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204E" w:rsidR="00CF17DE" w:rsidRDefault="00CF17DE" w14:paraId="3F0A2015" w14:textId="77777777">
      <w:pPr>
        <w:pStyle w:val="titlebar"/>
        <w:rPr>
          <w:rFonts w:ascii="Times New Roman" w:hAnsi="Times New Roman"/>
          <w:sz w:val="24"/>
        </w:rPr>
      </w:pPr>
      <w:r w:rsidRPr="00F1204E">
        <w:rPr>
          <w:rFonts w:ascii="Times New Roman" w:hAnsi="Times New Roman"/>
          <w:sz w:val="24"/>
        </w:rPr>
        <w:t xml:space="preserve">PUBLIC UTILITIES COMMISSION OF THE STATE OF </w:t>
      </w:r>
      <w:smartTag w:uri="urn:schemas-microsoft-com:office:smarttags" w:element="State">
        <w:smartTag w:uri="urn:schemas-microsoft-com:office:smarttags" w:element="PostalCode">
          <w:r w:rsidRPr="00F1204E">
            <w:rPr>
              <w:rFonts w:ascii="Times New Roman" w:hAnsi="Times New Roman"/>
              <w:sz w:val="24"/>
            </w:rPr>
            <w:t>CALIFORNIA</w:t>
          </w:r>
        </w:smartTag>
      </w:smartTag>
    </w:p>
    <w:p w:rsidRPr="00F1204E" w:rsidR="00CF17DE" w:rsidRDefault="00CF17DE" w14:paraId="027DA850" w14:textId="77777777">
      <w:pPr>
        <w:suppressAutoHyphens/>
        <w:rPr>
          <w:rFonts w:ascii="Times New Roman" w:hAnsi="Times New Roman"/>
        </w:rPr>
      </w:pPr>
    </w:p>
    <w:p w:rsidR="00CF17DE" w:rsidP="009040E3" w:rsidRDefault="003F57DF" w14:paraId="29AEC102" w14:textId="41789CCC">
      <w:pPr>
        <w:jc w:val="right"/>
        <w:rPr>
          <w:rFonts w:ascii="Times New Roman" w:hAnsi="Times New Roman"/>
          <w:b/>
          <w:sz w:val="24"/>
        </w:rPr>
      </w:pPr>
      <w:r>
        <w:rPr>
          <w:rFonts w:ascii="Times New Roman" w:hAnsi="Times New Roman"/>
          <w:b/>
          <w:sz w:val="24"/>
        </w:rPr>
        <w:t>ADMINISTRATIVE SERVICES</w:t>
      </w:r>
      <w:r w:rsidRPr="00F1204E" w:rsidR="00593807">
        <w:rPr>
          <w:rFonts w:ascii="Times New Roman" w:hAnsi="Times New Roman"/>
          <w:b/>
          <w:sz w:val="24"/>
        </w:rPr>
        <w:t xml:space="preserve"> DIVISION</w:t>
      </w:r>
      <w:r w:rsidRPr="00F1204E" w:rsidR="00593807">
        <w:rPr>
          <w:rFonts w:ascii="Times New Roman" w:hAnsi="Times New Roman"/>
          <w:b/>
          <w:sz w:val="24"/>
        </w:rPr>
        <w:tab/>
      </w:r>
      <w:r w:rsidRPr="00F1204E" w:rsidR="00593807">
        <w:rPr>
          <w:rFonts w:ascii="Times New Roman" w:hAnsi="Times New Roman"/>
          <w:b/>
          <w:sz w:val="24"/>
        </w:rPr>
        <w:tab/>
      </w:r>
      <w:r w:rsidRPr="00F1204E" w:rsidR="00593807">
        <w:rPr>
          <w:rFonts w:ascii="Times New Roman" w:hAnsi="Times New Roman"/>
          <w:b/>
          <w:sz w:val="24"/>
        </w:rPr>
        <w:tab/>
      </w:r>
      <w:r w:rsidRPr="00F1204E" w:rsidR="00CF17DE">
        <w:rPr>
          <w:rFonts w:ascii="Times New Roman" w:hAnsi="Times New Roman"/>
          <w:b/>
          <w:sz w:val="24"/>
        </w:rPr>
        <w:t xml:space="preserve">RESOLUTION </w:t>
      </w:r>
      <w:r>
        <w:rPr>
          <w:rFonts w:ascii="Times New Roman" w:hAnsi="Times New Roman"/>
          <w:b/>
          <w:sz w:val="24"/>
        </w:rPr>
        <w:t>M-4865</w:t>
      </w:r>
    </w:p>
    <w:p w:rsidRPr="00F55C2A" w:rsidR="00F55C2A" w:rsidP="00F55C2A" w:rsidRDefault="00F55C2A" w14:paraId="4B241507" w14:textId="5BD8EB38">
      <w:pPr>
        <w:jc w:val="right"/>
        <w:rPr>
          <w:rFonts w:ascii="Times New Roman" w:hAnsi="Times New Roman"/>
          <w:bCs/>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9040E3">
        <w:rPr>
          <w:rFonts w:ascii="Times New Roman" w:hAnsi="Times New Roman"/>
          <w:bCs/>
          <w:sz w:val="24"/>
        </w:rPr>
        <w:t>December 15, 2022</w:t>
      </w:r>
    </w:p>
    <w:p w:rsidRPr="00F1204E" w:rsidR="00CF17DE" w:rsidP="00F1204E" w:rsidRDefault="00CF17DE" w14:paraId="302F2932" w14:textId="79044574">
      <w:pPr>
        <w:ind w:left="1440" w:firstLine="720"/>
        <w:rPr>
          <w:rFonts w:ascii="Times New Roman" w:hAnsi="Times New Roman"/>
          <w:b/>
          <w:sz w:val="24"/>
        </w:rPr>
      </w:pPr>
      <w:r w:rsidRPr="00F1204E">
        <w:rPr>
          <w:rFonts w:ascii="Times New Roman" w:hAnsi="Times New Roman"/>
          <w:b/>
          <w:sz w:val="24"/>
        </w:rPr>
        <w:tab/>
      </w:r>
      <w:r w:rsidR="00F1204E">
        <w:rPr>
          <w:rFonts w:ascii="Times New Roman" w:hAnsi="Times New Roman"/>
          <w:b/>
          <w:sz w:val="24"/>
        </w:rPr>
        <w:tab/>
      </w:r>
      <w:r w:rsidR="00F1204E">
        <w:rPr>
          <w:rFonts w:ascii="Times New Roman" w:hAnsi="Times New Roman"/>
          <w:b/>
          <w:sz w:val="24"/>
        </w:rPr>
        <w:tab/>
      </w:r>
      <w:r w:rsidR="00F1204E">
        <w:rPr>
          <w:rFonts w:ascii="Times New Roman" w:hAnsi="Times New Roman"/>
          <w:b/>
          <w:sz w:val="24"/>
        </w:rPr>
        <w:tab/>
      </w:r>
      <w:r w:rsidR="00F1204E">
        <w:rPr>
          <w:rFonts w:ascii="Times New Roman" w:hAnsi="Times New Roman"/>
          <w:b/>
          <w:sz w:val="24"/>
        </w:rPr>
        <w:tab/>
      </w:r>
    </w:p>
    <w:p w:rsidRPr="00F1204E" w:rsidR="00CF17DE" w:rsidRDefault="00CF17DE" w14:paraId="1C4C27E0" w14:textId="77777777">
      <w:pPr>
        <w:tabs>
          <w:tab w:val="right" w:pos="8910"/>
        </w:tabs>
        <w:ind w:left="1440" w:firstLine="720"/>
        <w:rPr>
          <w:rFonts w:ascii="Times New Roman" w:hAnsi="Times New Roman"/>
          <w:b/>
          <w:sz w:val="24"/>
        </w:rPr>
      </w:pPr>
    </w:p>
    <w:p w:rsidRPr="00F1204E" w:rsidR="00CF17DE" w:rsidRDefault="00CF17DE" w14:paraId="30A28582" w14:textId="77777777">
      <w:pPr>
        <w:pStyle w:val="mainex"/>
        <w:rPr>
          <w:rFonts w:ascii="Times New Roman" w:hAnsi="Times New Roman"/>
          <w:u w:val="single"/>
        </w:rPr>
      </w:pPr>
      <w:bookmarkStart w:name="_Ref404993683" w:id="0"/>
      <w:r w:rsidRPr="00F1204E">
        <w:rPr>
          <w:rFonts w:ascii="Times New Roman" w:hAnsi="Times New Roman"/>
          <w:u w:val="single"/>
        </w:rPr>
        <w:t>RESOLUTION</w:t>
      </w:r>
    </w:p>
    <w:p w:rsidRPr="00F1204E" w:rsidR="00CF17DE" w:rsidRDefault="00CF17DE" w14:paraId="65E88A7D" w14:textId="77777777">
      <w:pPr>
        <w:rPr>
          <w:rFonts w:ascii="Times New Roman" w:hAnsi="Times New Roman"/>
        </w:rPr>
      </w:pPr>
    </w:p>
    <w:p w:rsidRPr="00F1204E" w:rsidR="00CF17DE" w:rsidP="00F1204E" w:rsidRDefault="00CF17DE" w14:paraId="5C3C7819" w14:textId="29C427A2">
      <w:pPr>
        <w:pStyle w:val="Res-Caption"/>
        <w:rPr>
          <w:rFonts w:ascii="Times New Roman" w:hAnsi="Times New Roman"/>
        </w:rPr>
      </w:pPr>
      <w:r w:rsidRPr="00F1204E">
        <w:rPr>
          <w:rFonts w:ascii="Times New Roman" w:hAnsi="Times New Roman"/>
        </w:rPr>
        <w:t xml:space="preserve">Resolution </w:t>
      </w:r>
      <w:r w:rsidRPr="003F57DF" w:rsidR="003F57DF">
        <w:rPr>
          <w:rFonts w:ascii="Times New Roman" w:hAnsi="Times New Roman"/>
        </w:rPr>
        <w:t xml:space="preserve">M-4865. Adopts Public Utilities Commission Transportation Reimbursement Account User Fees, effective </w:t>
      </w:r>
      <w:r w:rsidR="00F55C2A">
        <w:rPr>
          <w:rFonts w:ascii="Times New Roman" w:hAnsi="Times New Roman"/>
        </w:rPr>
        <w:t xml:space="preserve">January 1, </w:t>
      </w:r>
      <w:r w:rsidRPr="003F57DF" w:rsidR="003F57DF">
        <w:rPr>
          <w:rFonts w:ascii="Times New Roman" w:hAnsi="Times New Roman"/>
        </w:rPr>
        <w:t>2023.</w:t>
      </w:r>
    </w:p>
    <w:p w:rsidRPr="00F1204E" w:rsidR="00CF17DE" w:rsidRDefault="00CF17DE" w14:paraId="16D83785" w14:textId="77777777">
      <w:pPr>
        <w:jc w:val="center"/>
        <w:rPr>
          <w:rFonts w:ascii="Times New Roman" w:hAnsi="Times New Roman"/>
        </w:rPr>
      </w:pPr>
      <w:r w:rsidRPr="00F1204E">
        <w:rPr>
          <w:rFonts w:ascii="Times New Roman" w:hAnsi="Times New Roman"/>
        </w:rPr>
        <w:t>__________________________________________________________</w:t>
      </w:r>
    </w:p>
    <w:p w:rsidRPr="00F1204E" w:rsidR="00CF17DE" w:rsidRDefault="00CF17DE" w14:paraId="7FD69406" w14:textId="77777777">
      <w:pPr>
        <w:rPr>
          <w:rFonts w:ascii="Times New Roman" w:hAnsi="Times New Roman"/>
          <w:b/>
        </w:rPr>
      </w:pPr>
    </w:p>
    <w:p w:rsidRPr="00F1204E" w:rsidR="00CF17DE" w:rsidRDefault="00CF17DE" w14:paraId="65F9988C" w14:textId="77777777">
      <w:pPr>
        <w:pStyle w:val="Heading1"/>
        <w:rPr>
          <w:rFonts w:ascii="Times New Roman" w:hAnsi="Times New Roman"/>
        </w:rPr>
      </w:pPr>
      <w:r w:rsidRPr="00F1204E">
        <w:rPr>
          <w:rFonts w:ascii="Times New Roman" w:hAnsi="Times New Roman"/>
        </w:rPr>
        <w:t>Summary</w:t>
      </w:r>
      <w:bookmarkEnd w:id="0"/>
    </w:p>
    <w:p w:rsidRPr="00F1204E" w:rsidR="00CF17DE" w:rsidRDefault="00CF17DE" w14:paraId="335E2221" w14:textId="77777777">
      <w:pPr>
        <w:rPr>
          <w:rFonts w:ascii="Times New Roman" w:hAnsi="Times New Roman"/>
        </w:rPr>
      </w:pPr>
    </w:p>
    <w:p w:rsidRPr="003F57DF" w:rsidR="003F57DF" w:rsidP="003F57DF" w:rsidRDefault="003F57DF" w14:paraId="1C01AF25" w14:textId="77777777">
      <w:pPr>
        <w:rPr>
          <w:rFonts w:ascii="Times New Roman" w:hAnsi="Times New Roman"/>
          <w:b/>
          <w:u w:val="single"/>
        </w:rPr>
      </w:pPr>
      <w:r w:rsidRPr="003F57DF">
        <w:rPr>
          <w:rFonts w:ascii="Times New Roman" w:hAnsi="Times New Roman"/>
        </w:rPr>
        <w:t>This resolution adopts Public Utilities Commission Transportation Reimbursement Account (PUCTRA), Fund 0461, user fees as follows:</w:t>
      </w:r>
    </w:p>
    <w:p w:rsidRPr="003F57DF" w:rsidR="003F57DF" w:rsidP="003F57DF" w:rsidRDefault="003F57DF" w14:paraId="07A8CEEC" w14:textId="77777777">
      <w:pPr>
        <w:rPr>
          <w:rFonts w:ascii="Times New Roman" w:hAnsi="Times New Roman"/>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68"/>
        <w:gridCol w:w="5292"/>
      </w:tblGrid>
      <w:tr w:rsidRPr="003F57DF" w:rsidR="003F57DF" w:rsidTr="00052485" w14:paraId="653D6527" w14:textId="77777777">
        <w:tc>
          <w:tcPr>
            <w:tcW w:w="4068" w:type="dxa"/>
          </w:tcPr>
          <w:p w:rsidRPr="003F57DF" w:rsidR="003F57DF" w:rsidP="003F57DF" w:rsidRDefault="003F57DF" w14:paraId="7216FB37" w14:textId="77777777">
            <w:pPr>
              <w:rPr>
                <w:rFonts w:ascii="Times New Roman" w:hAnsi="Times New Roman"/>
                <w:b/>
                <w:u w:val="single"/>
              </w:rPr>
            </w:pPr>
            <w:r w:rsidRPr="003F57DF">
              <w:rPr>
                <w:rFonts w:ascii="Times New Roman" w:hAnsi="Times New Roman"/>
                <w:b/>
                <w:u w:val="single"/>
              </w:rPr>
              <w:t>CLASS</w:t>
            </w:r>
          </w:p>
        </w:tc>
        <w:tc>
          <w:tcPr>
            <w:tcW w:w="5292" w:type="dxa"/>
          </w:tcPr>
          <w:p w:rsidRPr="003F57DF" w:rsidR="003F57DF" w:rsidP="003F57DF" w:rsidRDefault="003F57DF" w14:paraId="76B051C2" w14:textId="77777777">
            <w:pPr>
              <w:rPr>
                <w:rFonts w:ascii="Times New Roman" w:hAnsi="Times New Roman"/>
                <w:b/>
                <w:u w:val="single"/>
              </w:rPr>
            </w:pPr>
            <w:r w:rsidRPr="003F57DF">
              <w:rPr>
                <w:rFonts w:ascii="Times New Roman" w:hAnsi="Times New Roman"/>
                <w:b/>
                <w:u w:val="single"/>
              </w:rPr>
              <w:t>FEE</w:t>
            </w:r>
          </w:p>
        </w:tc>
      </w:tr>
      <w:tr w:rsidRPr="003F57DF" w:rsidR="003F57DF" w:rsidTr="00052485" w14:paraId="65D7B511" w14:textId="77777777">
        <w:tc>
          <w:tcPr>
            <w:tcW w:w="9360" w:type="dxa"/>
            <w:gridSpan w:val="2"/>
          </w:tcPr>
          <w:p w:rsidRPr="003F57DF" w:rsidR="003F57DF" w:rsidP="003F57DF" w:rsidRDefault="003F57DF" w14:paraId="7F5E75BC" w14:textId="77777777">
            <w:pPr>
              <w:rPr>
                <w:rFonts w:ascii="Times New Roman" w:hAnsi="Times New Roman"/>
                <w:b/>
              </w:rPr>
            </w:pPr>
            <w:r w:rsidRPr="003F57DF">
              <w:rPr>
                <w:rFonts w:ascii="Times New Roman" w:hAnsi="Times New Roman"/>
                <w:b/>
              </w:rPr>
              <w:t>Passenger Vehicle Operators:</w:t>
            </w:r>
          </w:p>
        </w:tc>
      </w:tr>
      <w:tr w:rsidRPr="003F57DF" w:rsidR="003F57DF" w:rsidTr="00052485" w14:paraId="208B4395" w14:textId="77777777">
        <w:trPr>
          <w:trHeight w:val="872"/>
        </w:trPr>
        <w:tc>
          <w:tcPr>
            <w:tcW w:w="4068" w:type="dxa"/>
          </w:tcPr>
          <w:p w:rsidRPr="003F57DF" w:rsidR="003F57DF" w:rsidP="00A63CFA" w:rsidRDefault="003F57DF" w14:paraId="1F4A2C1D" w14:textId="77777777">
            <w:pPr>
              <w:rPr>
                <w:rFonts w:ascii="Times New Roman" w:hAnsi="Times New Roman"/>
              </w:rPr>
            </w:pPr>
            <w:bookmarkStart w:name="_Hlk52534593" w:id="1"/>
            <w:r w:rsidRPr="003F57DF">
              <w:rPr>
                <w:rFonts w:ascii="Times New Roman" w:hAnsi="Times New Roman"/>
              </w:rPr>
              <w:t>Charter-Party Carriers, including Transportation Network Companies and Passenger Stage Corporations</w:t>
            </w:r>
          </w:p>
        </w:tc>
        <w:tc>
          <w:tcPr>
            <w:tcW w:w="5292" w:type="dxa"/>
          </w:tcPr>
          <w:p w:rsidRPr="003F57DF" w:rsidR="003F57DF" w:rsidP="00A63CFA" w:rsidRDefault="003F57DF" w14:paraId="7B8B0D54" w14:textId="6187EEFC">
            <w:pPr>
              <w:rPr>
                <w:rFonts w:ascii="Times New Roman" w:hAnsi="Times New Roman"/>
              </w:rPr>
            </w:pPr>
            <w:r w:rsidRPr="003F57DF">
              <w:rPr>
                <w:rFonts w:ascii="Times New Roman" w:hAnsi="Times New Roman"/>
              </w:rPr>
              <w:t>0.003 (0.3</w:t>
            </w:r>
            <w:r w:rsidR="00F55C2A">
              <w:rPr>
                <w:rFonts w:ascii="Times New Roman" w:hAnsi="Times New Roman"/>
              </w:rPr>
              <w:t xml:space="preserve"> percent</w:t>
            </w:r>
            <w:r w:rsidRPr="003F57DF">
              <w:rPr>
                <w:rFonts w:ascii="Times New Roman" w:hAnsi="Times New Roman"/>
              </w:rPr>
              <w:t>) of gross intrastate revenue plus minimum $10 quarterly fee or $25 annual fee</w:t>
            </w:r>
          </w:p>
        </w:tc>
      </w:tr>
      <w:bookmarkEnd w:id="1"/>
      <w:tr w:rsidRPr="003F57DF" w:rsidR="003F57DF" w:rsidTr="00052485" w14:paraId="7BD1333C" w14:textId="77777777">
        <w:tc>
          <w:tcPr>
            <w:tcW w:w="4068" w:type="dxa"/>
          </w:tcPr>
          <w:p w:rsidRPr="003F57DF" w:rsidR="003F57DF" w:rsidP="003F57DF" w:rsidRDefault="003F57DF" w14:paraId="19AC6C8B" w14:textId="77777777">
            <w:pPr>
              <w:rPr>
                <w:rFonts w:ascii="Times New Roman" w:hAnsi="Times New Roman"/>
                <w:b/>
              </w:rPr>
            </w:pPr>
            <w:r w:rsidRPr="003F57DF">
              <w:rPr>
                <w:rFonts w:ascii="Times New Roman" w:hAnsi="Times New Roman"/>
                <w:b/>
              </w:rPr>
              <w:t>Vessel Operators:</w:t>
            </w:r>
          </w:p>
        </w:tc>
        <w:tc>
          <w:tcPr>
            <w:tcW w:w="5292" w:type="dxa"/>
          </w:tcPr>
          <w:p w:rsidRPr="003F57DF" w:rsidR="003F57DF" w:rsidP="003F57DF" w:rsidRDefault="003F57DF" w14:paraId="06CCD9EE" w14:textId="77777777">
            <w:pPr>
              <w:ind w:left="360"/>
              <w:rPr>
                <w:rFonts w:ascii="Times New Roman" w:hAnsi="Times New Roman"/>
              </w:rPr>
            </w:pPr>
          </w:p>
        </w:tc>
      </w:tr>
      <w:tr w:rsidRPr="003F57DF" w:rsidR="003F57DF" w:rsidTr="00052485" w14:paraId="7A15BAD6" w14:textId="77777777">
        <w:trPr>
          <w:trHeight w:val="476"/>
        </w:trPr>
        <w:tc>
          <w:tcPr>
            <w:tcW w:w="4068" w:type="dxa"/>
          </w:tcPr>
          <w:p w:rsidRPr="003F57DF" w:rsidR="003F57DF" w:rsidP="003F57DF" w:rsidRDefault="003F57DF" w14:paraId="23A77258" w14:textId="77777777">
            <w:pPr>
              <w:rPr>
                <w:rFonts w:ascii="Times New Roman" w:hAnsi="Times New Roman"/>
              </w:rPr>
            </w:pPr>
            <w:r w:rsidRPr="003F57DF">
              <w:rPr>
                <w:rFonts w:ascii="Times New Roman" w:hAnsi="Times New Roman"/>
              </w:rPr>
              <w:t>Common Carrier Vessel Operator</w:t>
            </w:r>
            <w:r w:rsidRPr="003F57DF">
              <w:rPr>
                <w:rFonts w:ascii="Times New Roman" w:hAnsi="Times New Roman"/>
              </w:rPr>
              <w:tab/>
            </w:r>
          </w:p>
        </w:tc>
        <w:tc>
          <w:tcPr>
            <w:tcW w:w="5292" w:type="dxa"/>
          </w:tcPr>
          <w:p w:rsidRPr="003F57DF" w:rsidR="003F57DF" w:rsidP="003F57DF" w:rsidRDefault="003F57DF" w14:paraId="69DA6306" w14:textId="36E819AE">
            <w:pPr>
              <w:rPr>
                <w:rFonts w:ascii="Times New Roman" w:hAnsi="Times New Roman"/>
              </w:rPr>
            </w:pPr>
            <w:r w:rsidRPr="003F57DF">
              <w:rPr>
                <w:rFonts w:ascii="Times New Roman" w:hAnsi="Times New Roman"/>
              </w:rPr>
              <w:t>0.0055 (0.55</w:t>
            </w:r>
            <w:r w:rsidR="00F55C2A">
              <w:rPr>
                <w:rFonts w:ascii="Times New Roman" w:hAnsi="Times New Roman"/>
              </w:rPr>
              <w:t xml:space="preserve"> percent</w:t>
            </w:r>
            <w:r w:rsidRPr="003F57DF">
              <w:rPr>
                <w:rFonts w:ascii="Times New Roman" w:hAnsi="Times New Roman"/>
              </w:rPr>
              <w:t xml:space="preserve">) of gross intrastate revenue </w:t>
            </w:r>
            <w:bookmarkStart w:name="_Hlk54015711" w:id="2"/>
            <w:r w:rsidRPr="003F57DF">
              <w:rPr>
                <w:rFonts w:ascii="Times New Roman" w:hAnsi="Times New Roman"/>
              </w:rPr>
              <w:t>plus minimum $10 quarterly fee or $25 annual fee</w:t>
            </w:r>
            <w:bookmarkEnd w:id="2"/>
          </w:p>
        </w:tc>
      </w:tr>
      <w:tr w:rsidRPr="003F57DF" w:rsidR="003F57DF" w:rsidTr="00052485" w14:paraId="56C2094C" w14:textId="77777777">
        <w:trPr>
          <w:trHeight w:val="350"/>
        </w:trPr>
        <w:tc>
          <w:tcPr>
            <w:tcW w:w="9360" w:type="dxa"/>
            <w:gridSpan w:val="2"/>
            <w:vAlign w:val="bottom"/>
          </w:tcPr>
          <w:p w:rsidRPr="003F57DF" w:rsidR="003F57DF" w:rsidP="003F57DF" w:rsidRDefault="003F57DF" w14:paraId="2EADA5E5" w14:textId="77777777">
            <w:pPr>
              <w:rPr>
                <w:rFonts w:ascii="Times New Roman" w:hAnsi="Times New Roman"/>
                <w:b/>
              </w:rPr>
            </w:pPr>
            <w:r w:rsidRPr="003F57DF">
              <w:rPr>
                <w:rFonts w:ascii="Times New Roman" w:hAnsi="Times New Roman"/>
                <w:b/>
              </w:rPr>
              <w:t>Railroad Corporations:</w:t>
            </w:r>
          </w:p>
        </w:tc>
      </w:tr>
      <w:tr w:rsidRPr="003F57DF" w:rsidR="003F57DF" w:rsidTr="00052485" w14:paraId="24230E7E" w14:textId="77777777">
        <w:trPr>
          <w:trHeight w:val="368"/>
        </w:trPr>
        <w:tc>
          <w:tcPr>
            <w:tcW w:w="9360" w:type="dxa"/>
            <w:gridSpan w:val="2"/>
          </w:tcPr>
          <w:p w:rsidRPr="003F57DF" w:rsidR="003F57DF" w:rsidP="003F57DF" w:rsidRDefault="003F57DF" w14:paraId="6CEB90E8" w14:textId="77777777">
            <w:pPr>
              <w:rPr>
                <w:rFonts w:ascii="Times New Roman" w:hAnsi="Times New Roman"/>
              </w:rPr>
            </w:pPr>
            <w:r w:rsidRPr="003F57DF">
              <w:rPr>
                <w:rFonts w:ascii="Times New Roman" w:hAnsi="Times New Roman"/>
              </w:rPr>
              <w:t>Class I:</w:t>
            </w:r>
          </w:p>
        </w:tc>
      </w:tr>
      <w:tr w:rsidRPr="003F57DF" w:rsidR="003F57DF" w:rsidTr="00052485" w14:paraId="0B7EDBD8" w14:textId="77777777">
        <w:tc>
          <w:tcPr>
            <w:tcW w:w="4068" w:type="dxa"/>
          </w:tcPr>
          <w:p w:rsidRPr="003F57DF" w:rsidR="003F57DF" w:rsidP="003F57DF" w:rsidRDefault="003F57DF" w14:paraId="6FEFB523" w14:textId="77777777">
            <w:pPr>
              <w:rPr>
                <w:rFonts w:ascii="Times New Roman" w:hAnsi="Times New Roman"/>
              </w:rPr>
            </w:pPr>
            <w:r w:rsidRPr="003F57DF">
              <w:rPr>
                <w:rFonts w:ascii="Times New Roman" w:hAnsi="Times New Roman"/>
              </w:rPr>
              <w:t>Burlington Northern Santa Fe</w:t>
            </w:r>
          </w:p>
        </w:tc>
        <w:tc>
          <w:tcPr>
            <w:tcW w:w="5292" w:type="dxa"/>
          </w:tcPr>
          <w:p w:rsidRPr="003F57DF" w:rsidR="003F57DF" w:rsidP="003F57DF" w:rsidRDefault="003F57DF" w14:paraId="5A04F6D9" w14:textId="77777777">
            <w:pPr>
              <w:rPr>
                <w:rFonts w:ascii="Times New Roman" w:hAnsi="Times New Roman"/>
              </w:rPr>
            </w:pPr>
            <w:r w:rsidRPr="003F57DF">
              <w:rPr>
                <w:rFonts w:ascii="Times New Roman" w:hAnsi="Times New Roman"/>
              </w:rPr>
              <w:t>$3,843,422.20</w:t>
            </w:r>
          </w:p>
        </w:tc>
      </w:tr>
      <w:tr w:rsidRPr="003F57DF" w:rsidR="003F57DF" w:rsidTr="00052485" w14:paraId="00D39F51" w14:textId="77777777">
        <w:tc>
          <w:tcPr>
            <w:tcW w:w="4068" w:type="dxa"/>
          </w:tcPr>
          <w:p w:rsidRPr="003F57DF" w:rsidR="003F57DF" w:rsidP="003F57DF" w:rsidRDefault="003F57DF" w14:paraId="1CC4AE5C" w14:textId="77777777">
            <w:pPr>
              <w:rPr>
                <w:rFonts w:ascii="Times New Roman" w:hAnsi="Times New Roman"/>
              </w:rPr>
            </w:pPr>
            <w:r w:rsidRPr="003F57DF">
              <w:rPr>
                <w:rFonts w:ascii="Times New Roman" w:hAnsi="Times New Roman"/>
              </w:rPr>
              <w:t>Union Pacific</w:t>
            </w:r>
          </w:p>
        </w:tc>
        <w:tc>
          <w:tcPr>
            <w:tcW w:w="5292" w:type="dxa"/>
          </w:tcPr>
          <w:p w:rsidRPr="003F57DF" w:rsidR="003F57DF" w:rsidP="003F57DF" w:rsidRDefault="003F57DF" w14:paraId="4061BE70" w14:textId="77777777">
            <w:pPr>
              <w:rPr>
                <w:rFonts w:ascii="Times New Roman" w:hAnsi="Times New Roman"/>
              </w:rPr>
            </w:pPr>
            <w:r w:rsidRPr="003F57DF">
              <w:rPr>
                <w:rFonts w:ascii="Times New Roman" w:hAnsi="Times New Roman"/>
              </w:rPr>
              <w:t>$9,412,257.80</w:t>
            </w:r>
          </w:p>
        </w:tc>
      </w:tr>
      <w:tr w:rsidRPr="003F57DF" w:rsidR="003F57DF" w:rsidTr="00052485" w14:paraId="5B9380C2" w14:textId="77777777">
        <w:tc>
          <w:tcPr>
            <w:tcW w:w="4068" w:type="dxa"/>
          </w:tcPr>
          <w:p w:rsidRPr="003F57DF" w:rsidR="003F57DF" w:rsidP="003F57DF" w:rsidRDefault="003F57DF" w14:paraId="5193849F" w14:textId="77777777">
            <w:pPr>
              <w:rPr>
                <w:rFonts w:ascii="Times New Roman" w:hAnsi="Times New Roman"/>
              </w:rPr>
            </w:pPr>
            <w:r w:rsidRPr="003F57DF">
              <w:rPr>
                <w:rFonts w:ascii="Times New Roman" w:hAnsi="Times New Roman"/>
              </w:rPr>
              <w:t>Class II and III (</w:t>
            </w:r>
            <w:proofErr w:type="spellStart"/>
            <w:r w:rsidRPr="003F57DF">
              <w:rPr>
                <w:rFonts w:ascii="Times New Roman" w:hAnsi="Times New Roman"/>
              </w:rPr>
              <w:t>shortline</w:t>
            </w:r>
            <w:proofErr w:type="spellEnd"/>
            <w:r w:rsidRPr="003F57DF">
              <w:rPr>
                <w:rFonts w:ascii="Times New Roman" w:hAnsi="Times New Roman"/>
              </w:rPr>
              <w:t>)</w:t>
            </w:r>
          </w:p>
        </w:tc>
        <w:tc>
          <w:tcPr>
            <w:tcW w:w="5292" w:type="dxa"/>
          </w:tcPr>
          <w:p w:rsidRPr="003F57DF" w:rsidR="003F57DF" w:rsidP="003F57DF" w:rsidRDefault="003F57DF" w14:paraId="2353A952" w14:textId="012E03C7">
            <w:pPr>
              <w:rPr>
                <w:rFonts w:ascii="Times New Roman" w:hAnsi="Times New Roman"/>
              </w:rPr>
            </w:pPr>
            <w:r w:rsidRPr="003F57DF">
              <w:rPr>
                <w:rFonts w:ascii="Times New Roman" w:hAnsi="Times New Roman"/>
              </w:rPr>
              <w:t>$552,320 or 0.004 (0.4</w:t>
            </w:r>
            <w:r w:rsidR="00F55C2A">
              <w:rPr>
                <w:rFonts w:ascii="Times New Roman" w:hAnsi="Times New Roman"/>
              </w:rPr>
              <w:t xml:space="preserve"> percent</w:t>
            </w:r>
            <w:r w:rsidRPr="003F57DF">
              <w:rPr>
                <w:rFonts w:ascii="Times New Roman" w:hAnsi="Times New Roman"/>
              </w:rPr>
              <w:t>) of gross intrastate revenue, minimum of $500 each</w:t>
            </w:r>
          </w:p>
        </w:tc>
      </w:tr>
      <w:tr w:rsidRPr="003F57DF" w:rsidR="003F57DF" w:rsidTr="00052485" w14:paraId="3132C975" w14:textId="77777777">
        <w:tc>
          <w:tcPr>
            <w:tcW w:w="4068" w:type="dxa"/>
          </w:tcPr>
          <w:p w:rsidRPr="003F57DF" w:rsidR="003F57DF" w:rsidP="003F57DF" w:rsidRDefault="003F57DF" w14:paraId="44BF87BD" w14:textId="77777777">
            <w:pPr>
              <w:rPr>
                <w:rFonts w:ascii="Times New Roman" w:hAnsi="Times New Roman"/>
                <w:b/>
              </w:rPr>
            </w:pPr>
            <w:r w:rsidRPr="003F57DF">
              <w:rPr>
                <w:rFonts w:ascii="Times New Roman" w:hAnsi="Times New Roman"/>
                <w:b/>
              </w:rPr>
              <w:t>Pipeline Corporations</w:t>
            </w:r>
          </w:p>
        </w:tc>
        <w:tc>
          <w:tcPr>
            <w:tcW w:w="5292" w:type="dxa"/>
          </w:tcPr>
          <w:p w:rsidRPr="003F57DF" w:rsidR="003F57DF" w:rsidP="003F57DF" w:rsidRDefault="003F57DF" w14:paraId="02C741C5" w14:textId="5D539B6B">
            <w:pPr>
              <w:rPr>
                <w:rFonts w:ascii="Times New Roman" w:hAnsi="Times New Roman"/>
              </w:rPr>
            </w:pPr>
            <w:r w:rsidRPr="003F57DF">
              <w:rPr>
                <w:rFonts w:ascii="Times New Roman" w:hAnsi="Times New Roman"/>
              </w:rPr>
              <w:t>0.00068 (0.068</w:t>
            </w:r>
            <w:r w:rsidR="00F55C2A">
              <w:rPr>
                <w:rFonts w:ascii="Times New Roman" w:hAnsi="Times New Roman"/>
              </w:rPr>
              <w:t xml:space="preserve"> percent</w:t>
            </w:r>
            <w:r w:rsidRPr="003F57DF">
              <w:rPr>
                <w:rFonts w:ascii="Times New Roman" w:hAnsi="Times New Roman"/>
              </w:rPr>
              <w:t>) of gross intrastate revenue</w:t>
            </w:r>
          </w:p>
        </w:tc>
      </w:tr>
    </w:tbl>
    <w:p w:rsidRPr="00F1204E" w:rsidR="00CF17DE" w:rsidRDefault="00CF17DE" w14:paraId="4543F925" w14:textId="77777777">
      <w:pPr>
        <w:rPr>
          <w:rFonts w:ascii="Times New Roman" w:hAnsi="Times New Roman"/>
        </w:rPr>
      </w:pPr>
    </w:p>
    <w:p w:rsidR="00F55C2A" w:rsidRDefault="00F55C2A" w14:paraId="6076180D" w14:textId="77777777">
      <w:pPr>
        <w:rPr>
          <w:rFonts w:ascii="Times New Roman" w:hAnsi="Times New Roman"/>
          <w:b/>
          <w:caps/>
          <w:kern w:val="28"/>
          <w:u w:val="single"/>
        </w:rPr>
      </w:pPr>
      <w:r>
        <w:rPr>
          <w:rFonts w:ascii="Times New Roman" w:hAnsi="Times New Roman"/>
        </w:rPr>
        <w:br w:type="page"/>
      </w:r>
    </w:p>
    <w:p w:rsidRPr="00F1204E" w:rsidR="00CF17DE" w:rsidRDefault="00CF17DE" w14:paraId="5BB9ED16" w14:textId="25E5157D">
      <w:pPr>
        <w:pStyle w:val="Heading1"/>
        <w:rPr>
          <w:rFonts w:ascii="Times New Roman" w:hAnsi="Times New Roman"/>
        </w:rPr>
      </w:pPr>
      <w:r w:rsidRPr="00F1204E">
        <w:rPr>
          <w:rFonts w:ascii="Times New Roman" w:hAnsi="Times New Roman"/>
        </w:rPr>
        <w:lastRenderedPageBreak/>
        <w:t>Background</w:t>
      </w:r>
    </w:p>
    <w:p w:rsidRPr="003F57DF" w:rsidR="003F57DF" w:rsidP="003F57DF" w:rsidRDefault="003F57DF" w14:paraId="620B1FED" w14:textId="77777777">
      <w:pPr>
        <w:rPr>
          <w:rFonts w:ascii="Times New Roman" w:hAnsi="Times New Roman"/>
          <w:szCs w:val="26"/>
          <w:lang w:val="fr-FR"/>
        </w:rPr>
      </w:pPr>
      <w:bookmarkStart w:name="_Hlk51767439" w:id="3"/>
      <w:r w:rsidRPr="003F57DF">
        <w:rPr>
          <w:rFonts w:ascii="Times New Roman" w:hAnsi="Times New Roman"/>
          <w:szCs w:val="26"/>
        </w:rPr>
        <w:t xml:space="preserve">The California Public Utilities Commission (CPUC or Commission) is authorized by the California Public Utilities Code to annually assess user fees for transportation carriers, railroad corporations, and pipeline corporations. </w:t>
      </w:r>
      <w:r w:rsidRPr="003F57DF">
        <w:rPr>
          <w:rFonts w:ascii="Times New Roman" w:hAnsi="Times New Roman"/>
          <w:szCs w:val="26"/>
          <w:lang w:val="fr-FR"/>
        </w:rPr>
        <w:t xml:space="preserve">Public Utilities Code Section 421 states, in </w:t>
      </w:r>
      <w:proofErr w:type="gramStart"/>
      <w:r w:rsidRPr="003F57DF">
        <w:rPr>
          <w:rFonts w:ascii="Times New Roman" w:hAnsi="Times New Roman"/>
          <w:szCs w:val="26"/>
          <w:lang w:val="fr-FR"/>
        </w:rPr>
        <w:t>part:</w:t>
      </w:r>
      <w:proofErr w:type="gramEnd"/>
    </w:p>
    <w:bookmarkEnd w:id="3"/>
    <w:p w:rsidRPr="003F57DF" w:rsidR="003F57DF" w:rsidP="003F57DF" w:rsidRDefault="003F57DF" w14:paraId="5FD4C1AE" w14:textId="77777777">
      <w:pPr>
        <w:rPr>
          <w:rFonts w:ascii="Times New Roman" w:hAnsi="Times New Roman"/>
          <w:szCs w:val="26"/>
          <w:lang w:val="fr-FR"/>
        </w:rPr>
      </w:pPr>
    </w:p>
    <w:p w:rsidRPr="003F57DF" w:rsidR="003F57DF" w:rsidP="003F57DF" w:rsidRDefault="003F57DF" w14:paraId="00171059" w14:textId="77777777">
      <w:pPr>
        <w:shd w:val="clear" w:color="auto" w:fill="FFFFFF"/>
        <w:spacing w:after="120"/>
        <w:ind w:left="1080" w:right="1440" w:hanging="360"/>
        <w:textAlignment w:val="baseline"/>
        <w:rPr>
          <w:rFonts w:ascii="Times New Roman" w:hAnsi="Times New Roman"/>
          <w:color w:val="000000" w:themeColor="text1"/>
          <w:szCs w:val="26"/>
          <w:bdr w:val="none" w:color="auto" w:sz="0" w:space="0" w:frame="1"/>
        </w:rPr>
      </w:pPr>
      <w:r w:rsidRPr="003F57DF">
        <w:rPr>
          <w:rFonts w:ascii="Times New Roman" w:hAnsi="Times New Roman"/>
          <w:color w:val="000000" w:themeColor="text1"/>
          <w:szCs w:val="26"/>
          <w:bdr w:val="none" w:color="auto" w:sz="0" w:space="0" w:frame="1"/>
        </w:rPr>
        <w:t>(a)</w:t>
      </w:r>
      <w:r w:rsidRPr="003F57DF">
        <w:rPr>
          <w:rFonts w:ascii="Times New Roman" w:hAnsi="Times New Roman"/>
          <w:color w:val="000000" w:themeColor="text1"/>
          <w:szCs w:val="26"/>
          <w:bdr w:val="none" w:color="auto" w:sz="0" w:space="0" w:frame="1"/>
        </w:rPr>
        <w:tab/>
        <w:t>The commission shall annually determine a fee to be paid by every passenger stage corporation, charter-party carrier of passengers, pipeline corporation, for-hire vessel operator, common carrier vessel operator, railroad corporation, and commercial air operator, and every other common carrier and related business subject to the jurisdiction of the commission, except as otherwise provided in Article 3 (commencing with Section 431) of this chapter and Chapter 6 (commencing with Section 5001) of Division 2.</w:t>
      </w:r>
    </w:p>
    <w:p w:rsidRPr="003F57DF" w:rsidR="003F57DF" w:rsidP="003F57DF" w:rsidRDefault="003F57DF" w14:paraId="0FDADB89" w14:textId="77777777">
      <w:pPr>
        <w:shd w:val="clear" w:color="auto" w:fill="FFFFFF"/>
        <w:spacing w:after="120"/>
        <w:ind w:left="1080" w:right="1440" w:hanging="360"/>
        <w:textAlignment w:val="baseline"/>
        <w:rPr>
          <w:rFonts w:ascii="Times New Roman" w:hAnsi="Times New Roman"/>
          <w:color w:val="000000" w:themeColor="text1"/>
          <w:szCs w:val="26"/>
          <w:bdr w:val="none" w:color="auto" w:sz="0" w:space="0" w:frame="1"/>
        </w:rPr>
      </w:pPr>
      <w:r w:rsidRPr="003F57DF">
        <w:rPr>
          <w:rFonts w:ascii="Times New Roman" w:hAnsi="Times New Roman"/>
          <w:color w:val="000000" w:themeColor="text1"/>
          <w:szCs w:val="26"/>
          <w:bdr w:val="none" w:color="auto" w:sz="0" w:space="0" w:frame="1"/>
        </w:rPr>
        <w:t>(b)</w:t>
      </w:r>
      <w:r w:rsidRPr="003F57DF">
        <w:rPr>
          <w:rFonts w:ascii="Times New Roman" w:hAnsi="Times New Roman"/>
          <w:color w:val="000000" w:themeColor="text1"/>
          <w:szCs w:val="26"/>
          <w:bdr w:val="none" w:color="auto" w:sz="0" w:space="0" w:frame="1"/>
        </w:rPr>
        <w:tab/>
        <w:t xml:space="preserve">The </w:t>
      </w:r>
      <w:bookmarkStart w:name="_Hlk116425684" w:id="4"/>
      <w:r w:rsidRPr="003F57DF">
        <w:rPr>
          <w:rFonts w:ascii="Times New Roman" w:hAnsi="Times New Roman"/>
          <w:color w:val="000000" w:themeColor="text1"/>
          <w:szCs w:val="26"/>
          <w:bdr w:val="none" w:color="auto" w:sz="0" w:space="0" w:frame="1"/>
        </w:rPr>
        <w:t xml:space="preserve">annual fee shall be established to produce a total amount equal to the amount established in the authorized commission budget </w:t>
      </w:r>
      <w:bookmarkEnd w:id="4"/>
      <w:r w:rsidRPr="003F57DF">
        <w:rPr>
          <w:rFonts w:ascii="Times New Roman" w:hAnsi="Times New Roman"/>
          <w:color w:val="000000" w:themeColor="text1"/>
          <w:szCs w:val="26"/>
          <w:bdr w:val="none" w:color="auto" w:sz="0" w:space="0" w:frame="1"/>
        </w:rPr>
        <w:t>for the same year, including adjustments appropriated by the Legislature and an appropriate reserve, to regulate common carriers and related businesses, less the amount to be paid from special accounts or funds pursuant to Section 403, reimbursements, federal funds, other revenues, and unencumbered funds from the preceding year.</w:t>
      </w:r>
    </w:p>
    <w:p w:rsidRPr="003F57DF" w:rsidR="003F57DF" w:rsidP="003F57DF" w:rsidRDefault="003F57DF" w14:paraId="5A24C8E6" w14:textId="77777777">
      <w:pPr>
        <w:shd w:val="clear" w:color="auto" w:fill="FFFFFF"/>
        <w:spacing w:after="120"/>
        <w:ind w:left="1080" w:right="1440" w:hanging="360"/>
        <w:textAlignment w:val="baseline"/>
        <w:rPr>
          <w:rFonts w:ascii="Times New Roman" w:hAnsi="Times New Roman"/>
          <w:color w:val="000000" w:themeColor="text1"/>
          <w:szCs w:val="26"/>
          <w:bdr w:val="none" w:color="auto" w:sz="0" w:space="0" w:frame="1"/>
        </w:rPr>
      </w:pPr>
      <w:r w:rsidRPr="003F57DF">
        <w:rPr>
          <w:rFonts w:ascii="Times New Roman" w:hAnsi="Times New Roman"/>
          <w:color w:val="000000" w:themeColor="text1"/>
          <w:szCs w:val="26"/>
          <w:bdr w:val="none" w:color="auto" w:sz="0" w:space="0" w:frame="1"/>
        </w:rPr>
        <w:t>(c)</w:t>
      </w:r>
      <w:r w:rsidRPr="003F57DF">
        <w:rPr>
          <w:rFonts w:ascii="Times New Roman" w:hAnsi="Times New Roman"/>
          <w:color w:val="000000" w:themeColor="text1"/>
          <w:szCs w:val="26"/>
          <w:bdr w:val="none" w:color="auto" w:sz="0" w:space="0" w:frame="1"/>
        </w:rPr>
        <w:tab/>
        <w:t>Notwithstanding any other provision of law, the fees paid by railroad corporations shall be used for state-funded railroad investigation and enforcement activities of the commission, other than the rail safety activities funded by the Transportation Planning and Development Account pursuant to Section 99315. The railroad fees shall be set annually at a level that generates not less than the amount sufficient to fund activities pursuant to Sections 765.5, 916.2, and 7712.</w:t>
      </w:r>
    </w:p>
    <w:p w:rsidRPr="003F57DF" w:rsidR="003F57DF" w:rsidP="003F57DF" w:rsidRDefault="003F57DF" w14:paraId="503BF48B" w14:textId="77777777">
      <w:pPr>
        <w:rPr>
          <w:rFonts w:ascii="Times New Roman" w:hAnsi="Times New Roman"/>
          <w:iCs/>
          <w:color w:val="000000" w:themeColor="text1"/>
          <w:szCs w:val="26"/>
        </w:rPr>
      </w:pPr>
      <w:bookmarkStart w:name="_Hlk51770282" w:id="5"/>
      <w:r w:rsidRPr="003F57DF">
        <w:rPr>
          <w:rFonts w:ascii="Times New Roman" w:hAnsi="Times New Roman"/>
          <w:iCs/>
          <w:color w:val="000000" w:themeColor="text1"/>
          <w:szCs w:val="26"/>
        </w:rPr>
        <w:t xml:space="preserve">The Commission annually analyzes the amount of PUCTRA fees </w:t>
      </w:r>
      <w:bookmarkStart w:name="_Hlk52533617" w:id="6"/>
      <w:r w:rsidRPr="003F57DF">
        <w:rPr>
          <w:rFonts w:ascii="Times New Roman" w:hAnsi="Times New Roman"/>
          <w:iCs/>
          <w:color w:val="000000" w:themeColor="text1"/>
          <w:szCs w:val="26"/>
        </w:rPr>
        <w:t xml:space="preserve">sufficient </w:t>
      </w:r>
      <w:bookmarkStart w:name="_Hlk52532894" w:id="7"/>
      <w:r w:rsidRPr="003F57DF">
        <w:rPr>
          <w:rFonts w:ascii="Times New Roman" w:hAnsi="Times New Roman"/>
          <w:iCs/>
          <w:color w:val="000000" w:themeColor="text1"/>
          <w:szCs w:val="26"/>
        </w:rPr>
        <w:t>to support the Commission’s regulatory activities</w:t>
      </w:r>
      <w:bookmarkEnd w:id="7"/>
      <w:r w:rsidRPr="003F57DF">
        <w:rPr>
          <w:rFonts w:ascii="Times New Roman" w:hAnsi="Times New Roman"/>
          <w:iCs/>
          <w:color w:val="000000" w:themeColor="text1"/>
          <w:szCs w:val="26"/>
        </w:rPr>
        <w:t xml:space="preserve"> for the carrier class </w:t>
      </w:r>
      <w:bookmarkEnd w:id="6"/>
      <w:r w:rsidRPr="003F57DF">
        <w:rPr>
          <w:rFonts w:ascii="Times New Roman" w:hAnsi="Times New Roman"/>
          <w:iCs/>
          <w:color w:val="000000" w:themeColor="text1"/>
          <w:szCs w:val="26"/>
        </w:rPr>
        <w:t>from which the fee is collected and to establish an appropriate reserve.</w:t>
      </w:r>
      <w:r w:rsidRPr="003F57DF">
        <w:rPr>
          <w:rFonts w:ascii="Times New Roman" w:hAnsi="Times New Roman"/>
          <w:b/>
          <w:bCs/>
          <w:iCs/>
          <w:color w:val="000000" w:themeColor="text1"/>
          <w:szCs w:val="26"/>
          <w:u w:val="single"/>
          <w:vertAlign w:val="superscript"/>
        </w:rPr>
        <w:footnoteReference w:id="2"/>
      </w:r>
      <w:r w:rsidRPr="003F57DF">
        <w:rPr>
          <w:rFonts w:ascii="Times New Roman" w:hAnsi="Times New Roman"/>
          <w:iCs/>
          <w:color w:val="000000" w:themeColor="text1"/>
          <w:szCs w:val="26"/>
        </w:rPr>
        <w:t xml:space="preserve"> The Commission’s PUCTRA appropriation for its regulatory activities is subject to approval by the California Department of Finance.</w:t>
      </w:r>
      <w:r w:rsidRPr="003F57DF">
        <w:rPr>
          <w:rFonts w:ascii="Times New Roman" w:hAnsi="Times New Roman"/>
          <w:b/>
          <w:bCs/>
          <w:iCs/>
          <w:color w:val="000000" w:themeColor="text1"/>
          <w:szCs w:val="26"/>
          <w:u w:val="single"/>
          <w:vertAlign w:val="superscript"/>
        </w:rPr>
        <w:footnoteReference w:id="3"/>
      </w:r>
      <w:r w:rsidRPr="003F57DF">
        <w:rPr>
          <w:rFonts w:ascii="Times New Roman" w:hAnsi="Times New Roman"/>
          <w:iCs/>
          <w:color w:val="000000" w:themeColor="text1"/>
          <w:szCs w:val="26"/>
        </w:rPr>
        <w:t xml:space="preserve"> </w:t>
      </w:r>
    </w:p>
    <w:p w:rsidRPr="003F57DF" w:rsidR="003F57DF" w:rsidP="003F57DF" w:rsidRDefault="003F57DF" w14:paraId="272149B8" w14:textId="77777777">
      <w:pPr>
        <w:rPr>
          <w:rFonts w:ascii="Times New Roman" w:hAnsi="Times New Roman"/>
          <w:iCs/>
          <w:color w:val="000000" w:themeColor="text1"/>
          <w:szCs w:val="26"/>
        </w:rPr>
      </w:pPr>
    </w:p>
    <w:p w:rsidRPr="003F57DF" w:rsidR="003F57DF" w:rsidP="003F57DF" w:rsidRDefault="003F57DF" w14:paraId="4315EDC9" w14:textId="77777777">
      <w:pPr>
        <w:rPr>
          <w:rFonts w:ascii="Times New Roman" w:hAnsi="Times New Roman"/>
          <w:iCs/>
          <w:color w:val="000000" w:themeColor="text1"/>
          <w:szCs w:val="26"/>
        </w:rPr>
      </w:pPr>
      <w:r w:rsidRPr="003F57DF">
        <w:rPr>
          <w:rFonts w:ascii="Times New Roman" w:hAnsi="Times New Roman"/>
          <w:iCs/>
          <w:color w:val="000000" w:themeColor="text1"/>
          <w:szCs w:val="26"/>
        </w:rPr>
        <w:lastRenderedPageBreak/>
        <w:t>When determining the amount of the PUCTRA fee needed, the Commission may choose between several calculation methodologies established in California Public Utilities Code Sections 422 and 422.1. The Commission may establish different methods for calculating fees for each class of carrier.</w:t>
      </w:r>
      <w:r w:rsidRPr="003F57DF">
        <w:rPr>
          <w:rFonts w:ascii="Times New Roman" w:hAnsi="Times New Roman"/>
          <w:b/>
          <w:bCs/>
          <w:iCs/>
          <w:color w:val="000000" w:themeColor="text1"/>
          <w:szCs w:val="26"/>
          <w:u w:val="single"/>
          <w:vertAlign w:val="superscript"/>
        </w:rPr>
        <w:footnoteReference w:id="4"/>
      </w:r>
      <w:r w:rsidRPr="003F57DF">
        <w:rPr>
          <w:rFonts w:ascii="Times New Roman" w:hAnsi="Times New Roman"/>
          <w:iCs/>
          <w:color w:val="000000" w:themeColor="text1"/>
          <w:szCs w:val="26"/>
        </w:rPr>
        <w:t xml:space="preserve"> For example, the Commission</w:t>
      </w:r>
      <w:bookmarkEnd w:id="5"/>
      <w:r w:rsidRPr="003F57DF">
        <w:rPr>
          <w:rFonts w:ascii="Times New Roman" w:hAnsi="Times New Roman"/>
          <w:iCs/>
          <w:color w:val="000000" w:themeColor="text1"/>
          <w:szCs w:val="26"/>
        </w:rPr>
        <w:t xml:space="preserve"> may use a percentage of gross intrastate revenues of the class for carriers other than railroads.</w:t>
      </w:r>
      <w:r w:rsidRPr="003F57DF">
        <w:rPr>
          <w:rFonts w:ascii="Times New Roman" w:hAnsi="Times New Roman"/>
          <w:b/>
          <w:bCs/>
          <w:iCs/>
          <w:color w:val="000000" w:themeColor="text1"/>
          <w:szCs w:val="26"/>
          <w:u w:val="single"/>
          <w:vertAlign w:val="superscript"/>
        </w:rPr>
        <w:footnoteReference w:id="5"/>
      </w:r>
      <w:r w:rsidRPr="003F57DF">
        <w:rPr>
          <w:rFonts w:ascii="Times New Roman" w:hAnsi="Times New Roman"/>
          <w:iCs/>
          <w:color w:val="000000" w:themeColor="text1"/>
          <w:szCs w:val="26"/>
        </w:rPr>
        <w:t xml:space="preserve"> The percentage-based PUCTRA fee is charged on gross intrastate revenue, defined as “all compensation for the transportation or storage of property or the transportation of persons when both the origin and destination of the transportation or the performance of the service is within this state, and shall not include compensation for the transportation of persons or property in interstate or foreign commerce or the transportation of vehicles by ferries.”</w:t>
      </w:r>
      <w:r w:rsidRPr="003F57DF">
        <w:rPr>
          <w:rFonts w:ascii="Times New Roman" w:hAnsi="Times New Roman"/>
          <w:b/>
          <w:bCs/>
          <w:iCs/>
          <w:color w:val="000000" w:themeColor="text1"/>
          <w:szCs w:val="26"/>
          <w:u w:val="single"/>
          <w:vertAlign w:val="superscript"/>
        </w:rPr>
        <w:footnoteReference w:id="6"/>
      </w:r>
      <w:r w:rsidRPr="003F57DF">
        <w:rPr>
          <w:rFonts w:ascii="Times New Roman" w:hAnsi="Times New Roman"/>
          <w:iCs/>
          <w:color w:val="000000" w:themeColor="text1"/>
          <w:szCs w:val="26"/>
        </w:rPr>
        <w:t xml:space="preserve"> </w:t>
      </w:r>
    </w:p>
    <w:p w:rsidRPr="003F57DF" w:rsidR="003F57DF" w:rsidP="003F57DF" w:rsidRDefault="003F57DF" w14:paraId="3B501EF9" w14:textId="77777777">
      <w:pPr>
        <w:rPr>
          <w:rFonts w:ascii="Times New Roman" w:hAnsi="Times New Roman"/>
          <w:iCs/>
          <w:color w:val="000000" w:themeColor="text1"/>
          <w:szCs w:val="26"/>
        </w:rPr>
      </w:pPr>
    </w:p>
    <w:p w:rsidRPr="003F57DF" w:rsidR="003F57DF" w:rsidP="003F57DF" w:rsidRDefault="003F57DF" w14:paraId="0BC0FFF7" w14:textId="77777777">
      <w:pPr>
        <w:rPr>
          <w:rFonts w:ascii="Times New Roman" w:hAnsi="Times New Roman"/>
          <w:iCs/>
          <w:color w:val="000000" w:themeColor="text1"/>
          <w:szCs w:val="26"/>
        </w:rPr>
      </w:pPr>
      <w:bookmarkStart w:name="_Hlk52868583" w:id="9"/>
      <w:r w:rsidRPr="003F57DF">
        <w:rPr>
          <w:rFonts w:ascii="Times New Roman" w:hAnsi="Times New Roman"/>
          <w:iCs/>
          <w:color w:val="000000" w:themeColor="text1"/>
          <w:szCs w:val="26"/>
        </w:rPr>
        <w:t>In the alternative, the Commission may assess fees on a basis other than revenue, including, but not limited to, on a per vehicle basis for passenger carriers.</w:t>
      </w:r>
      <w:r w:rsidRPr="003F57DF">
        <w:rPr>
          <w:rFonts w:ascii="Times New Roman" w:hAnsi="Times New Roman"/>
          <w:b/>
          <w:bCs/>
          <w:iCs/>
          <w:color w:val="000000" w:themeColor="text1"/>
          <w:szCs w:val="26"/>
          <w:u w:val="single"/>
          <w:vertAlign w:val="superscript"/>
        </w:rPr>
        <w:footnoteReference w:id="7"/>
      </w:r>
      <w:r w:rsidRPr="003F57DF">
        <w:rPr>
          <w:rFonts w:ascii="Times New Roman" w:hAnsi="Times New Roman"/>
          <w:iCs/>
          <w:color w:val="000000" w:themeColor="text1"/>
          <w:szCs w:val="26"/>
        </w:rPr>
        <w:t xml:space="preserve"> </w:t>
      </w:r>
      <w:bookmarkEnd w:id="9"/>
      <w:r w:rsidRPr="003F57DF">
        <w:rPr>
          <w:rFonts w:ascii="Times New Roman" w:hAnsi="Times New Roman"/>
          <w:iCs/>
          <w:color w:val="000000" w:themeColor="text1"/>
          <w:szCs w:val="26"/>
        </w:rPr>
        <w:t>For railroad corporations, the fees shall be allocated within each class in accordance with Section 422 subdivision (g).</w:t>
      </w:r>
      <w:r w:rsidRPr="003F57DF">
        <w:rPr>
          <w:rFonts w:ascii="Times New Roman" w:hAnsi="Times New Roman"/>
          <w:b/>
          <w:bCs/>
          <w:iCs/>
          <w:color w:val="000000" w:themeColor="text1"/>
          <w:szCs w:val="26"/>
          <w:u w:val="single"/>
          <w:vertAlign w:val="superscript"/>
        </w:rPr>
        <w:footnoteReference w:id="8"/>
      </w:r>
      <w:r w:rsidRPr="003F57DF">
        <w:rPr>
          <w:rFonts w:ascii="Times New Roman" w:hAnsi="Times New Roman"/>
          <w:iCs/>
          <w:color w:val="000000" w:themeColor="text1"/>
          <w:szCs w:val="26"/>
        </w:rPr>
        <w:t xml:space="preserve"> </w:t>
      </w:r>
      <w:bookmarkStart w:name="_Hlk51770459" w:id="10"/>
      <w:r w:rsidRPr="003F57DF">
        <w:rPr>
          <w:rFonts w:ascii="Times New Roman" w:hAnsi="Times New Roman"/>
          <w:iCs/>
          <w:color w:val="000000" w:themeColor="text1"/>
          <w:szCs w:val="26"/>
        </w:rPr>
        <w:t>In addition to methodologies available under Section 422, the Commission may also establish a uniform annual fee to be paid by every charter-party carrier of passengers.</w:t>
      </w:r>
      <w:r w:rsidRPr="003F57DF">
        <w:rPr>
          <w:rFonts w:ascii="Times New Roman" w:hAnsi="Times New Roman"/>
          <w:b/>
          <w:bCs/>
          <w:iCs/>
          <w:color w:val="000000" w:themeColor="text1"/>
          <w:szCs w:val="26"/>
          <w:u w:val="single"/>
          <w:vertAlign w:val="superscript"/>
        </w:rPr>
        <w:footnoteReference w:id="9"/>
      </w:r>
      <w:r w:rsidRPr="003F57DF">
        <w:rPr>
          <w:rFonts w:ascii="Times New Roman" w:hAnsi="Times New Roman"/>
          <w:iCs/>
          <w:color w:val="000000" w:themeColor="text1"/>
          <w:szCs w:val="26"/>
        </w:rPr>
        <w:t xml:space="preserve"> </w:t>
      </w:r>
      <w:bookmarkEnd w:id="10"/>
    </w:p>
    <w:p w:rsidRPr="00F1204E" w:rsidR="00CF17DE" w:rsidRDefault="00CF17DE" w14:paraId="06C94D5F" w14:textId="77777777">
      <w:pPr>
        <w:rPr>
          <w:rFonts w:ascii="Times New Roman" w:hAnsi="Times New Roman"/>
        </w:rPr>
      </w:pPr>
    </w:p>
    <w:p w:rsidRPr="00F1204E" w:rsidR="00CF17DE" w:rsidRDefault="00CF17DE" w14:paraId="755620C4" w14:textId="77777777">
      <w:pPr>
        <w:pStyle w:val="Heading1"/>
        <w:rPr>
          <w:rFonts w:ascii="Times New Roman" w:hAnsi="Times New Roman"/>
        </w:rPr>
      </w:pPr>
      <w:r w:rsidRPr="00F1204E">
        <w:rPr>
          <w:rFonts w:ascii="Times New Roman" w:hAnsi="Times New Roman"/>
        </w:rPr>
        <w:t>Discussion</w:t>
      </w:r>
    </w:p>
    <w:p w:rsidRPr="003F57DF" w:rsidR="003F57DF" w:rsidP="003F57DF" w:rsidRDefault="003F57DF" w14:paraId="1B2DAD06" w14:textId="77777777">
      <w:pPr>
        <w:rPr>
          <w:rFonts w:ascii="Times New Roman" w:hAnsi="Times New Roman"/>
          <w:i/>
          <w:szCs w:val="26"/>
        </w:rPr>
      </w:pPr>
      <w:r w:rsidRPr="003F57DF">
        <w:rPr>
          <w:rFonts w:ascii="Times New Roman" w:hAnsi="Times New Roman"/>
          <w:i/>
          <w:szCs w:val="26"/>
        </w:rPr>
        <w:t>Revenue and Expenditure Analysis</w:t>
      </w:r>
    </w:p>
    <w:p w:rsidRPr="003F57DF" w:rsidR="003F57DF" w:rsidP="003F57DF" w:rsidRDefault="003F57DF" w14:paraId="42537880" w14:textId="77777777">
      <w:pPr>
        <w:rPr>
          <w:rFonts w:ascii="Times New Roman" w:hAnsi="Times New Roman"/>
          <w:szCs w:val="26"/>
        </w:rPr>
      </w:pPr>
    </w:p>
    <w:p w:rsidRPr="003F57DF" w:rsidR="003F57DF" w:rsidP="003F57DF" w:rsidRDefault="003F57DF" w14:paraId="17429E9E" w14:textId="77777777">
      <w:pPr>
        <w:rPr>
          <w:rFonts w:ascii="Times New Roman" w:hAnsi="Times New Roman"/>
          <w:szCs w:val="26"/>
        </w:rPr>
      </w:pPr>
      <w:r w:rsidRPr="003F57DF">
        <w:rPr>
          <w:rFonts w:ascii="Times New Roman" w:hAnsi="Times New Roman"/>
          <w:szCs w:val="26"/>
        </w:rPr>
        <w:t xml:space="preserve">The Governor’s Budget structures PUCTRA’s authorized expenditures by Program and Subprogram, as shown below in Table 1. </w:t>
      </w:r>
      <w:bookmarkStart w:name="_Hlk98134598" w:id="11"/>
      <w:r w:rsidRPr="003F57DF">
        <w:rPr>
          <w:rFonts w:ascii="Times New Roman" w:hAnsi="Times New Roman"/>
          <w:szCs w:val="26"/>
        </w:rPr>
        <w:t>Subtasks, the most granular level of detail by utility class (passenger vehicle operators, common carrier vessel operators, pipeline corporations), are not displayed in the Governor’s Budget but tracked internally by the CPUC</w:t>
      </w:r>
      <w:bookmarkEnd w:id="11"/>
      <w:r w:rsidRPr="003F57DF">
        <w:rPr>
          <w:rFonts w:ascii="Times New Roman" w:hAnsi="Times New Roman"/>
          <w:szCs w:val="26"/>
        </w:rPr>
        <w:t>.</w:t>
      </w:r>
      <w:bookmarkStart w:name="_Toc430784604" w:id="12"/>
      <w:bookmarkStart w:name="_Toc427649242" w:id="13"/>
    </w:p>
    <w:p w:rsidRPr="003F57DF" w:rsidR="003F57DF" w:rsidP="003F57DF" w:rsidRDefault="003F57DF" w14:paraId="71CBDE40" w14:textId="77777777">
      <w:pPr>
        <w:keepNext/>
        <w:outlineLvl w:val="3"/>
        <w:rPr>
          <w:rFonts w:ascii="Times New Roman" w:hAnsi="Times New Roman"/>
          <w:b/>
          <w:bCs/>
          <w:szCs w:val="26"/>
        </w:rPr>
      </w:pPr>
    </w:p>
    <w:p w:rsidR="00F55C2A" w:rsidRDefault="00F55C2A" w14:paraId="7999B32F" w14:textId="77777777">
      <w:pPr>
        <w:rPr>
          <w:rFonts w:ascii="Times New Roman" w:hAnsi="Times New Roman"/>
          <w:b/>
          <w:bCs/>
          <w:szCs w:val="26"/>
        </w:rPr>
      </w:pPr>
      <w:r>
        <w:rPr>
          <w:rFonts w:ascii="Times New Roman" w:hAnsi="Times New Roman"/>
          <w:b/>
          <w:bCs/>
          <w:szCs w:val="26"/>
        </w:rPr>
        <w:br w:type="page"/>
      </w:r>
    </w:p>
    <w:p w:rsidRPr="003F57DF" w:rsidR="003F57DF" w:rsidP="003F57DF" w:rsidRDefault="003F57DF" w14:paraId="351A28B3" w14:textId="2D859B0B">
      <w:pPr>
        <w:keepNext/>
        <w:spacing w:after="120"/>
        <w:jc w:val="center"/>
        <w:outlineLvl w:val="3"/>
        <w:rPr>
          <w:rFonts w:ascii="Times New Roman" w:hAnsi="Times New Roman"/>
          <w:b/>
          <w:bCs/>
          <w:szCs w:val="26"/>
        </w:rPr>
      </w:pPr>
      <w:r w:rsidRPr="003F57DF">
        <w:rPr>
          <w:rFonts w:ascii="Times New Roman" w:hAnsi="Times New Roman"/>
          <w:b/>
          <w:bCs/>
          <w:szCs w:val="26"/>
        </w:rPr>
        <w:lastRenderedPageBreak/>
        <w:t>Table 1: Governor’s Budget Structure, PUCTRA</w:t>
      </w:r>
      <w:bookmarkEnd w:id="12"/>
      <w:bookmarkEnd w:id="13"/>
    </w:p>
    <w:tbl>
      <w:tblPr>
        <w:tblStyle w:val="TableGrid"/>
        <w:tblW w:w="9360" w:type="dxa"/>
        <w:tblInd w:w="108"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680"/>
        <w:gridCol w:w="3220"/>
        <w:gridCol w:w="4460"/>
      </w:tblGrid>
      <w:tr w:rsidRPr="003F57DF" w:rsidR="003F57DF" w:rsidTr="00E75A1C" w14:paraId="2C89BD99" w14:textId="77777777">
        <w:tc>
          <w:tcPr>
            <w:tcW w:w="168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3F57DF" w:rsidR="003F57DF" w:rsidP="003F57DF" w:rsidRDefault="003F57DF" w14:paraId="479820C9" w14:textId="77777777">
            <w:pPr>
              <w:rPr>
                <w:rFonts w:ascii="Times New Roman" w:hAnsi="Times New Roman"/>
                <w:b/>
                <w:szCs w:val="26"/>
              </w:rPr>
            </w:pPr>
            <w:r w:rsidRPr="003F57DF">
              <w:rPr>
                <w:rFonts w:ascii="Times New Roman" w:hAnsi="Times New Roman"/>
                <w:b/>
                <w:szCs w:val="26"/>
              </w:rPr>
              <w:t xml:space="preserve">Program </w:t>
            </w:r>
          </w:p>
        </w:tc>
        <w:tc>
          <w:tcPr>
            <w:tcW w:w="322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3F57DF" w:rsidR="003F57DF" w:rsidP="003F57DF" w:rsidRDefault="003F57DF" w14:paraId="322E9CFB" w14:textId="77777777">
            <w:pPr>
              <w:rPr>
                <w:rFonts w:ascii="Times New Roman" w:hAnsi="Times New Roman"/>
                <w:b/>
                <w:szCs w:val="26"/>
              </w:rPr>
            </w:pPr>
            <w:r w:rsidRPr="003F57DF">
              <w:rPr>
                <w:rFonts w:ascii="Times New Roman" w:hAnsi="Times New Roman"/>
                <w:b/>
                <w:szCs w:val="26"/>
              </w:rPr>
              <w:t>Subprogram</w:t>
            </w:r>
          </w:p>
        </w:tc>
        <w:tc>
          <w:tcPr>
            <w:tcW w:w="446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3F57DF" w:rsidR="003F57DF" w:rsidP="003F57DF" w:rsidRDefault="003F57DF" w14:paraId="41491A7B" w14:textId="77777777">
            <w:pPr>
              <w:rPr>
                <w:rFonts w:ascii="Times New Roman" w:hAnsi="Times New Roman"/>
                <w:b/>
                <w:szCs w:val="26"/>
              </w:rPr>
            </w:pPr>
            <w:r w:rsidRPr="003F57DF">
              <w:rPr>
                <w:rFonts w:ascii="Times New Roman" w:hAnsi="Times New Roman"/>
                <w:b/>
                <w:szCs w:val="26"/>
              </w:rPr>
              <w:t>Subtask (Utility Class) Tracked Internally</w:t>
            </w:r>
          </w:p>
        </w:tc>
      </w:tr>
      <w:tr w:rsidRPr="003F57DF" w:rsidR="003F57DF" w:rsidTr="00E75A1C" w14:paraId="410A4F8E" w14:textId="77777777">
        <w:tc>
          <w:tcPr>
            <w:tcW w:w="1680" w:type="dxa"/>
            <w:vMerge w:val="restart"/>
            <w:tcBorders>
              <w:top w:val="single" w:color="auto" w:sz="4" w:space="0"/>
              <w:left w:val="single" w:color="auto" w:sz="4" w:space="0"/>
              <w:bottom w:val="single" w:color="auto" w:sz="4" w:space="0"/>
              <w:right w:val="single" w:color="auto" w:sz="4" w:space="0"/>
            </w:tcBorders>
            <w:vAlign w:val="center"/>
          </w:tcPr>
          <w:p w:rsidRPr="003F57DF" w:rsidR="003F57DF" w:rsidP="003F57DF" w:rsidRDefault="003F57DF" w14:paraId="3B3B530D" w14:textId="77777777">
            <w:pPr>
              <w:rPr>
                <w:rFonts w:ascii="Times New Roman" w:hAnsi="Times New Roman"/>
                <w:szCs w:val="26"/>
              </w:rPr>
            </w:pPr>
            <w:r w:rsidRPr="003F57DF">
              <w:rPr>
                <w:rFonts w:ascii="Times New Roman" w:hAnsi="Times New Roman"/>
                <w:szCs w:val="26"/>
              </w:rPr>
              <w:t>Regulation of Utilities (6690)</w:t>
            </w:r>
          </w:p>
        </w:tc>
        <w:tc>
          <w:tcPr>
            <w:tcW w:w="3220" w:type="dxa"/>
            <w:tcBorders>
              <w:top w:val="single" w:color="auto" w:sz="4" w:space="0"/>
              <w:left w:val="single" w:color="auto" w:sz="4" w:space="0"/>
              <w:bottom w:val="single" w:color="auto" w:sz="4" w:space="0"/>
              <w:right w:val="single" w:color="auto" w:sz="4" w:space="0"/>
            </w:tcBorders>
            <w:vAlign w:val="center"/>
          </w:tcPr>
          <w:p w:rsidRPr="003F57DF" w:rsidR="003F57DF" w:rsidP="003F57DF" w:rsidRDefault="003F57DF" w14:paraId="6DEDE399" w14:textId="77777777">
            <w:pPr>
              <w:rPr>
                <w:rFonts w:ascii="Times New Roman" w:hAnsi="Times New Roman"/>
                <w:szCs w:val="26"/>
              </w:rPr>
            </w:pPr>
            <w:r w:rsidRPr="003F57DF">
              <w:rPr>
                <w:rFonts w:ascii="Times New Roman" w:hAnsi="Times New Roman"/>
                <w:szCs w:val="26"/>
              </w:rPr>
              <w:t>Transportation Licensing and Enforcement (6690046)</w:t>
            </w:r>
          </w:p>
        </w:tc>
        <w:tc>
          <w:tcPr>
            <w:tcW w:w="4460" w:type="dxa"/>
            <w:tcBorders>
              <w:top w:val="single" w:color="auto" w:sz="4" w:space="0"/>
              <w:left w:val="single" w:color="auto" w:sz="4" w:space="0"/>
              <w:bottom w:val="single" w:color="auto" w:sz="4" w:space="0"/>
              <w:right w:val="single" w:color="auto" w:sz="4" w:space="0"/>
            </w:tcBorders>
            <w:vAlign w:val="center"/>
          </w:tcPr>
          <w:p w:rsidRPr="003F57DF" w:rsidR="003F57DF" w:rsidP="003F57DF" w:rsidRDefault="003F57DF" w14:paraId="5A416888" w14:textId="77777777">
            <w:pPr>
              <w:rPr>
                <w:rFonts w:ascii="Times New Roman" w:hAnsi="Times New Roman"/>
                <w:szCs w:val="26"/>
              </w:rPr>
            </w:pPr>
            <w:r w:rsidRPr="003F57DF">
              <w:rPr>
                <w:rFonts w:ascii="Times New Roman" w:hAnsi="Times New Roman"/>
                <w:szCs w:val="26"/>
              </w:rPr>
              <w:t xml:space="preserve">Passenger Vehicle Operators </w:t>
            </w:r>
          </w:p>
          <w:p w:rsidRPr="003F57DF" w:rsidR="003F57DF" w:rsidP="003F57DF" w:rsidRDefault="003F57DF" w14:paraId="1A53FE4D" w14:textId="77777777">
            <w:pPr>
              <w:rPr>
                <w:rFonts w:ascii="Times New Roman" w:hAnsi="Times New Roman"/>
                <w:szCs w:val="26"/>
              </w:rPr>
            </w:pPr>
            <w:r w:rsidRPr="003F57DF">
              <w:rPr>
                <w:rFonts w:ascii="Times New Roman" w:hAnsi="Times New Roman"/>
                <w:szCs w:val="26"/>
              </w:rPr>
              <w:t>Common Carrier Vessel Operators</w:t>
            </w:r>
          </w:p>
          <w:p w:rsidRPr="003F57DF" w:rsidR="003F57DF" w:rsidP="003F57DF" w:rsidRDefault="003F57DF" w14:paraId="234FA219" w14:textId="77777777">
            <w:pPr>
              <w:rPr>
                <w:rFonts w:ascii="Times New Roman" w:hAnsi="Times New Roman"/>
                <w:szCs w:val="26"/>
              </w:rPr>
            </w:pPr>
            <w:r w:rsidRPr="003F57DF">
              <w:rPr>
                <w:rFonts w:ascii="Times New Roman" w:hAnsi="Times New Roman"/>
                <w:szCs w:val="26"/>
              </w:rPr>
              <w:t>Pipeline Corporations</w:t>
            </w:r>
          </w:p>
        </w:tc>
      </w:tr>
      <w:tr w:rsidRPr="003F57DF" w:rsidR="003F57DF" w:rsidTr="00E75A1C" w14:paraId="290BFF35" w14:textId="77777777">
        <w:tc>
          <w:tcPr>
            <w:tcW w:w="1680" w:type="dxa"/>
            <w:vMerge/>
            <w:tcBorders>
              <w:top w:val="single" w:color="auto" w:sz="4" w:space="0"/>
              <w:left w:val="single" w:color="auto" w:sz="4" w:space="0"/>
              <w:bottom w:val="single" w:color="auto" w:sz="4" w:space="0"/>
              <w:right w:val="single" w:color="auto" w:sz="4" w:space="0"/>
            </w:tcBorders>
            <w:vAlign w:val="center"/>
          </w:tcPr>
          <w:p w:rsidRPr="003F57DF" w:rsidR="003F57DF" w:rsidP="003F57DF" w:rsidRDefault="003F57DF" w14:paraId="439AD673" w14:textId="77777777">
            <w:pPr>
              <w:rPr>
                <w:rFonts w:ascii="Times New Roman" w:hAnsi="Times New Roman"/>
                <w:szCs w:val="26"/>
              </w:rPr>
            </w:pPr>
          </w:p>
        </w:tc>
        <w:tc>
          <w:tcPr>
            <w:tcW w:w="3220" w:type="dxa"/>
            <w:tcBorders>
              <w:top w:val="single" w:color="auto" w:sz="4" w:space="0"/>
              <w:left w:val="single" w:color="auto" w:sz="4" w:space="0"/>
              <w:bottom w:val="single" w:color="auto" w:sz="4" w:space="0"/>
              <w:right w:val="single" w:color="auto" w:sz="4" w:space="0"/>
            </w:tcBorders>
            <w:vAlign w:val="center"/>
          </w:tcPr>
          <w:p w:rsidRPr="003F57DF" w:rsidR="003F57DF" w:rsidP="003F57DF" w:rsidRDefault="003F57DF" w14:paraId="2621C7C8" w14:textId="77777777">
            <w:pPr>
              <w:rPr>
                <w:rFonts w:ascii="Times New Roman" w:hAnsi="Times New Roman"/>
                <w:szCs w:val="26"/>
              </w:rPr>
            </w:pPr>
            <w:r w:rsidRPr="003F57DF">
              <w:rPr>
                <w:rFonts w:ascii="Times New Roman" w:hAnsi="Times New Roman"/>
                <w:szCs w:val="26"/>
              </w:rPr>
              <w:t>Freight Safety (6690055)</w:t>
            </w:r>
          </w:p>
        </w:tc>
        <w:tc>
          <w:tcPr>
            <w:tcW w:w="4460" w:type="dxa"/>
            <w:tcBorders>
              <w:top w:val="single" w:color="auto" w:sz="4" w:space="0"/>
              <w:left w:val="single" w:color="auto" w:sz="4" w:space="0"/>
              <w:bottom w:val="single" w:color="auto" w:sz="4" w:space="0"/>
              <w:right w:val="single" w:color="auto" w:sz="4" w:space="0"/>
            </w:tcBorders>
            <w:vAlign w:val="center"/>
          </w:tcPr>
          <w:p w:rsidRPr="003F57DF" w:rsidR="003F57DF" w:rsidP="003F57DF" w:rsidRDefault="003F57DF" w14:paraId="78F9FA80" w14:textId="77777777">
            <w:pPr>
              <w:rPr>
                <w:rFonts w:ascii="Times New Roman" w:hAnsi="Times New Roman"/>
                <w:szCs w:val="26"/>
              </w:rPr>
            </w:pPr>
            <w:r w:rsidRPr="003F57DF">
              <w:rPr>
                <w:rFonts w:ascii="Times New Roman" w:hAnsi="Times New Roman"/>
                <w:szCs w:val="26"/>
              </w:rPr>
              <w:t>Railroad Corporations</w:t>
            </w:r>
          </w:p>
        </w:tc>
      </w:tr>
    </w:tbl>
    <w:p w:rsidRPr="003F57DF" w:rsidR="003F57DF" w:rsidP="003F57DF" w:rsidRDefault="003F57DF" w14:paraId="4C4A4DB9" w14:textId="77777777">
      <w:pPr>
        <w:rPr>
          <w:rFonts w:ascii="Times New Roman" w:hAnsi="Times New Roman"/>
          <w:szCs w:val="26"/>
        </w:rPr>
      </w:pPr>
    </w:p>
    <w:p w:rsidRPr="003F57DF" w:rsidR="003F57DF" w:rsidP="003F57DF" w:rsidRDefault="003F57DF" w14:paraId="59949842" w14:textId="77777777">
      <w:pPr>
        <w:rPr>
          <w:rFonts w:ascii="Times New Roman" w:hAnsi="Times New Roman"/>
          <w:szCs w:val="26"/>
        </w:rPr>
      </w:pPr>
      <w:r w:rsidRPr="003F57DF">
        <w:rPr>
          <w:rFonts w:ascii="Times New Roman" w:hAnsi="Times New Roman"/>
          <w:szCs w:val="26"/>
        </w:rPr>
        <w:t>In addition to the CPUC’s budgeted expenditures from PUCTRA</w:t>
      </w:r>
      <w:r w:rsidRPr="003F57DF">
        <w:rPr>
          <w:rFonts w:ascii="Times New Roman" w:hAnsi="Times New Roman"/>
          <w:iCs/>
          <w:color w:val="000000" w:themeColor="text1"/>
          <w:szCs w:val="26"/>
        </w:rPr>
        <w:t xml:space="preserve"> </w:t>
      </w:r>
      <w:r w:rsidRPr="003F57DF">
        <w:rPr>
          <w:rFonts w:ascii="Times New Roman" w:hAnsi="Times New Roman"/>
          <w:iCs/>
          <w:szCs w:val="26"/>
        </w:rPr>
        <w:t>to support the Commission’s regulatory activities</w:t>
      </w:r>
      <w:r w:rsidRPr="003F57DF">
        <w:rPr>
          <w:rFonts w:ascii="Times New Roman" w:hAnsi="Times New Roman"/>
          <w:szCs w:val="26"/>
        </w:rPr>
        <w:t xml:space="preserve">, the fund supports statewide fund assessments. </w:t>
      </w:r>
    </w:p>
    <w:p w:rsidRPr="003F57DF" w:rsidR="003F57DF" w:rsidP="003F57DF" w:rsidRDefault="003F57DF" w14:paraId="34A204F4" w14:textId="77777777">
      <w:pPr>
        <w:rPr>
          <w:rFonts w:ascii="Times New Roman" w:hAnsi="Times New Roman"/>
          <w:szCs w:val="26"/>
        </w:rPr>
      </w:pPr>
    </w:p>
    <w:p w:rsidRPr="003F57DF" w:rsidR="003F57DF" w:rsidP="003F57DF" w:rsidRDefault="003F57DF" w14:paraId="46A4CA79" w14:textId="293BB3BA">
      <w:pPr>
        <w:rPr>
          <w:rFonts w:ascii="Times New Roman" w:hAnsi="Times New Roman"/>
          <w:szCs w:val="26"/>
        </w:rPr>
      </w:pPr>
      <w:r w:rsidRPr="003F57DF">
        <w:rPr>
          <w:rFonts w:ascii="Times New Roman" w:hAnsi="Times New Roman"/>
          <w:szCs w:val="26"/>
        </w:rPr>
        <w:t>Table 2 shows PUCTRA’s 2022-23 current level of expenditures and 2022-23 Fund Assessments, distributed by Utility Class per Table 1.</w:t>
      </w:r>
    </w:p>
    <w:p w:rsidRPr="003F57DF" w:rsidR="003F57DF" w:rsidP="003F57DF" w:rsidRDefault="003F57DF" w14:paraId="3AF868E3" w14:textId="77777777">
      <w:pPr>
        <w:rPr>
          <w:rFonts w:ascii="Times New Roman" w:hAnsi="Times New Roman"/>
          <w:szCs w:val="26"/>
        </w:rPr>
      </w:pPr>
    </w:p>
    <w:p w:rsidRPr="003F57DF" w:rsidR="003F57DF" w:rsidP="003F57DF" w:rsidRDefault="003F57DF" w14:paraId="66DC99A4" w14:textId="77777777">
      <w:pPr>
        <w:spacing w:after="120"/>
        <w:jc w:val="center"/>
        <w:rPr>
          <w:rFonts w:ascii="Times New Roman" w:hAnsi="Times New Roman"/>
          <w:b/>
          <w:bCs/>
          <w:szCs w:val="26"/>
        </w:rPr>
      </w:pPr>
      <w:r w:rsidRPr="003F57DF">
        <w:rPr>
          <w:rFonts w:ascii="Times New Roman" w:hAnsi="Times New Roman"/>
          <w:b/>
          <w:bCs/>
          <w:szCs w:val="26"/>
        </w:rPr>
        <w:t>Table 2. Expenditures of PUCTRA</w:t>
      </w:r>
    </w:p>
    <w:tbl>
      <w:tblPr>
        <w:tblW w:w="8185" w:type="dxa"/>
        <w:jc w:val="center"/>
        <w:tblLayout w:type="fixed"/>
        <w:tblLook w:val="04A0" w:firstRow="1" w:lastRow="0" w:firstColumn="1" w:lastColumn="0" w:noHBand="0" w:noVBand="1"/>
      </w:tblPr>
      <w:tblGrid>
        <w:gridCol w:w="2785"/>
        <w:gridCol w:w="1800"/>
        <w:gridCol w:w="1800"/>
        <w:gridCol w:w="1800"/>
      </w:tblGrid>
      <w:tr w:rsidRPr="003F57DF" w:rsidR="003F57DF" w:rsidTr="003F57DF" w14:paraId="2D450807" w14:textId="77777777">
        <w:trPr>
          <w:trHeight w:val="845"/>
          <w:jc w:val="center"/>
        </w:trPr>
        <w:tc>
          <w:tcPr>
            <w:tcW w:w="2785" w:type="dxa"/>
            <w:tcBorders>
              <w:top w:val="single" w:color="auto" w:sz="4" w:space="0"/>
              <w:left w:val="single" w:color="auto" w:sz="4" w:space="0"/>
              <w:bottom w:val="single" w:color="auto" w:sz="4" w:space="0"/>
              <w:right w:val="single" w:color="D9D9D9" w:themeColor="background1" w:themeShade="D9" w:sz="4" w:space="0"/>
            </w:tcBorders>
            <w:shd w:val="clear" w:color="auto" w:fill="F2F2F2" w:themeFill="background1" w:themeFillShade="F2"/>
            <w:noWrap/>
            <w:vAlign w:val="bottom"/>
            <w:hideMark/>
          </w:tcPr>
          <w:p w:rsidRPr="003F57DF" w:rsidR="003F57DF" w:rsidP="003F57DF" w:rsidRDefault="003F57DF" w14:paraId="37FF05DD" w14:textId="77777777">
            <w:pPr>
              <w:jc w:val="center"/>
              <w:rPr>
                <w:rFonts w:ascii="Times New Roman" w:hAnsi="Times New Roman"/>
                <w:szCs w:val="26"/>
              </w:rPr>
            </w:pPr>
            <w:bookmarkStart w:name="_Toc427649243" w:id="14"/>
            <w:bookmarkStart w:name="_Toc430784605" w:id="15"/>
            <w:r w:rsidRPr="003F57DF">
              <w:rPr>
                <w:rFonts w:ascii="Times New Roman" w:hAnsi="Times New Roman"/>
                <w:szCs w:val="26"/>
              </w:rPr>
              <w:t>Utility Class</w:t>
            </w:r>
          </w:p>
        </w:tc>
        <w:tc>
          <w:tcPr>
            <w:tcW w:w="1800" w:type="dxa"/>
            <w:tcBorders>
              <w:top w:val="single" w:color="auto" w:sz="4" w:space="0"/>
              <w:left w:val="single" w:color="D9D9D9" w:themeColor="background1" w:themeShade="D9" w:sz="4" w:space="0"/>
              <w:bottom w:val="single" w:color="auto" w:sz="4" w:space="0"/>
              <w:right w:val="single" w:color="auto" w:sz="4" w:space="0"/>
            </w:tcBorders>
            <w:shd w:val="clear" w:color="auto" w:fill="F2F2F2" w:themeFill="background1" w:themeFillShade="F2"/>
            <w:vAlign w:val="bottom"/>
            <w:hideMark/>
          </w:tcPr>
          <w:p w:rsidRPr="003F57DF" w:rsidR="003F57DF" w:rsidP="003F57DF" w:rsidRDefault="003F57DF" w14:paraId="4D90CE98" w14:textId="77777777">
            <w:pPr>
              <w:jc w:val="center"/>
              <w:rPr>
                <w:rFonts w:ascii="Times New Roman" w:hAnsi="Times New Roman"/>
                <w:szCs w:val="26"/>
              </w:rPr>
            </w:pPr>
            <w:r w:rsidRPr="003F57DF">
              <w:rPr>
                <w:rFonts w:ascii="Times New Roman" w:hAnsi="Times New Roman"/>
                <w:szCs w:val="26"/>
              </w:rPr>
              <w:t>Current Level 2022-23</w:t>
            </w:r>
            <w:r w:rsidRPr="003F57DF">
              <w:rPr>
                <w:rFonts w:ascii="Times New Roman" w:hAnsi="Times New Roman"/>
                <w:b/>
                <w:bCs/>
                <w:szCs w:val="26"/>
                <w:u w:val="single"/>
                <w:vertAlign w:val="superscript"/>
              </w:rPr>
              <w:footnoteReference w:id="10"/>
            </w:r>
            <w:r w:rsidRPr="003F57DF">
              <w:rPr>
                <w:rFonts w:ascii="Times New Roman" w:hAnsi="Times New Roman"/>
                <w:szCs w:val="26"/>
              </w:rPr>
              <w:t xml:space="preserve">         </w:t>
            </w:r>
            <w:proofErr w:type="gramStart"/>
            <w:r w:rsidRPr="003F57DF">
              <w:rPr>
                <w:rFonts w:ascii="Times New Roman" w:hAnsi="Times New Roman"/>
                <w:szCs w:val="26"/>
              </w:rPr>
              <w:t xml:space="preserve">   (</w:t>
            </w:r>
            <w:proofErr w:type="gramEnd"/>
            <w:r w:rsidRPr="003F57DF">
              <w:rPr>
                <w:rFonts w:ascii="Times New Roman" w:hAnsi="Times New Roman"/>
                <w:szCs w:val="26"/>
              </w:rPr>
              <w:t>a)</w:t>
            </w:r>
          </w:p>
        </w:tc>
        <w:tc>
          <w:tcPr>
            <w:tcW w:w="18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tcPr>
          <w:p w:rsidRPr="003F57DF" w:rsidR="003F57DF" w:rsidP="003F57DF" w:rsidRDefault="003F57DF" w14:paraId="475278DB" w14:textId="280F0F61">
            <w:pPr>
              <w:jc w:val="center"/>
              <w:rPr>
                <w:rFonts w:ascii="Times New Roman" w:hAnsi="Times New Roman"/>
                <w:szCs w:val="26"/>
              </w:rPr>
            </w:pPr>
            <w:r w:rsidRPr="003F57DF">
              <w:rPr>
                <w:rFonts w:ascii="Times New Roman" w:hAnsi="Times New Roman"/>
                <w:szCs w:val="26"/>
              </w:rPr>
              <w:t>2022-23 Fund Assessments</w:t>
            </w:r>
            <w:r w:rsidRPr="003F57DF">
              <w:rPr>
                <w:rFonts w:ascii="Times New Roman" w:hAnsi="Times New Roman"/>
                <w:b/>
                <w:bCs/>
                <w:szCs w:val="26"/>
                <w:u w:val="single"/>
                <w:vertAlign w:val="superscript"/>
              </w:rPr>
              <w:footnoteReference w:id="11"/>
            </w:r>
            <w:r w:rsidRPr="003F57DF">
              <w:rPr>
                <w:rFonts w:ascii="Times New Roman" w:hAnsi="Times New Roman"/>
                <w:szCs w:val="26"/>
              </w:rPr>
              <w:t xml:space="preserve"> (b)</w:t>
            </w:r>
          </w:p>
        </w:tc>
        <w:tc>
          <w:tcPr>
            <w:tcW w:w="18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tcPr>
          <w:p w:rsidRPr="003F57DF" w:rsidR="003F57DF" w:rsidP="003F57DF" w:rsidRDefault="003F57DF" w14:paraId="41F34904" w14:textId="77777777">
            <w:pPr>
              <w:jc w:val="center"/>
              <w:rPr>
                <w:rFonts w:ascii="Times New Roman" w:hAnsi="Times New Roman"/>
                <w:szCs w:val="26"/>
              </w:rPr>
            </w:pPr>
            <w:r w:rsidRPr="003F57DF">
              <w:rPr>
                <w:rFonts w:ascii="Times New Roman" w:hAnsi="Times New Roman"/>
                <w:szCs w:val="26"/>
              </w:rPr>
              <w:t xml:space="preserve">Total Estimated Expenditures 2022-23          </w:t>
            </w:r>
            <w:proofErr w:type="gramStart"/>
            <w:r w:rsidRPr="003F57DF">
              <w:rPr>
                <w:rFonts w:ascii="Times New Roman" w:hAnsi="Times New Roman"/>
                <w:szCs w:val="26"/>
              </w:rPr>
              <w:t xml:space="preserve">   (</w:t>
            </w:r>
            <w:proofErr w:type="spellStart"/>
            <w:proofErr w:type="gramEnd"/>
            <w:r w:rsidRPr="003F57DF">
              <w:rPr>
                <w:rFonts w:ascii="Times New Roman" w:hAnsi="Times New Roman"/>
                <w:szCs w:val="26"/>
              </w:rPr>
              <w:t>a+b</w:t>
            </w:r>
            <w:proofErr w:type="spellEnd"/>
            <w:r w:rsidRPr="003F57DF">
              <w:rPr>
                <w:rFonts w:ascii="Times New Roman" w:hAnsi="Times New Roman"/>
                <w:szCs w:val="26"/>
              </w:rPr>
              <w:t>)</w:t>
            </w:r>
          </w:p>
        </w:tc>
      </w:tr>
      <w:tr w:rsidRPr="003F57DF" w:rsidR="003F57DF" w:rsidTr="003F57DF" w14:paraId="1E6F889C" w14:textId="77777777">
        <w:trPr>
          <w:trHeight w:val="300"/>
          <w:jc w:val="center"/>
        </w:trPr>
        <w:tc>
          <w:tcPr>
            <w:tcW w:w="278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F57DF" w:rsidR="003F57DF" w:rsidP="003F57DF" w:rsidRDefault="003F57DF" w14:paraId="4C51CBC2" w14:textId="77777777">
            <w:pPr>
              <w:contextualSpacing/>
              <w:rPr>
                <w:rFonts w:ascii="Times New Roman" w:hAnsi="Times New Roman"/>
                <w:szCs w:val="26"/>
              </w:rPr>
            </w:pPr>
            <w:r w:rsidRPr="003F57DF">
              <w:rPr>
                <w:rFonts w:ascii="Times New Roman" w:hAnsi="Times New Roman"/>
                <w:szCs w:val="26"/>
              </w:rPr>
              <w:t>Passenger Vehicle Operators</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F57DF" w:rsidR="003F57DF" w:rsidP="003F57DF" w:rsidRDefault="003F57DF" w14:paraId="7902BBCC" w14:textId="77777777">
            <w:pPr>
              <w:contextualSpacing/>
              <w:jc w:val="right"/>
              <w:rPr>
                <w:rFonts w:ascii="Times New Roman" w:hAnsi="Times New Roman"/>
                <w:szCs w:val="26"/>
              </w:rPr>
            </w:pPr>
            <w:r w:rsidRPr="003F57DF">
              <w:rPr>
                <w:rFonts w:ascii="Times New Roman" w:hAnsi="Times New Roman"/>
                <w:szCs w:val="26"/>
              </w:rPr>
              <w:t>$16,453,000</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3F57DF" w:rsidR="003F57DF" w:rsidP="003F57DF" w:rsidRDefault="003F57DF" w14:paraId="78EB77A5" w14:textId="77777777">
            <w:pPr>
              <w:contextualSpacing/>
              <w:jc w:val="right"/>
              <w:rPr>
                <w:rFonts w:ascii="Times New Roman" w:hAnsi="Times New Roman"/>
                <w:color w:val="000000"/>
                <w:szCs w:val="26"/>
              </w:rPr>
            </w:pPr>
            <w:r w:rsidRPr="003F57DF">
              <w:rPr>
                <w:rFonts w:ascii="Times New Roman" w:hAnsi="Times New Roman"/>
                <w:color w:val="000000"/>
                <w:szCs w:val="26"/>
              </w:rPr>
              <w:t>$810,000</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3F57DF" w:rsidR="003F57DF" w:rsidP="003F57DF" w:rsidRDefault="003F57DF" w14:paraId="7C59DC90" w14:textId="77777777">
            <w:pPr>
              <w:contextualSpacing/>
              <w:jc w:val="right"/>
              <w:rPr>
                <w:rFonts w:ascii="Times New Roman" w:hAnsi="Times New Roman"/>
                <w:szCs w:val="26"/>
              </w:rPr>
            </w:pPr>
            <w:r w:rsidRPr="003F57DF">
              <w:rPr>
                <w:rFonts w:ascii="Times New Roman" w:hAnsi="Times New Roman"/>
                <w:szCs w:val="26"/>
              </w:rPr>
              <w:t xml:space="preserve">$17,263,000 </w:t>
            </w:r>
          </w:p>
        </w:tc>
      </w:tr>
      <w:tr w:rsidRPr="003F57DF" w:rsidR="003F57DF" w:rsidTr="003F57DF" w14:paraId="5C73F079" w14:textId="77777777">
        <w:trPr>
          <w:trHeight w:val="300"/>
          <w:jc w:val="center"/>
        </w:trPr>
        <w:tc>
          <w:tcPr>
            <w:tcW w:w="278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F57DF" w:rsidR="003F57DF" w:rsidP="003F57DF" w:rsidRDefault="003F57DF" w14:paraId="37D88BBC" w14:textId="77777777">
            <w:pPr>
              <w:contextualSpacing/>
              <w:rPr>
                <w:rFonts w:ascii="Times New Roman" w:hAnsi="Times New Roman"/>
                <w:szCs w:val="26"/>
              </w:rPr>
            </w:pPr>
            <w:r w:rsidRPr="003F57DF">
              <w:rPr>
                <w:rFonts w:ascii="Times New Roman" w:hAnsi="Times New Roman"/>
                <w:szCs w:val="26"/>
              </w:rPr>
              <w:t>Vessel Operators</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F57DF" w:rsidR="003F57DF" w:rsidP="003F57DF" w:rsidRDefault="003F57DF" w14:paraId="09757495" w14:textId="77777777">
            <w:pPr>
              <w:contextualSpacing/>
              <w:jc w:val="right"/>
              <w:rPr>
                <w:rFonts w:ascii="Times New Roman" w:hAnsi="Times New Roman"/>
                <w:szCs w:val="26"/>
              </w:rPr>
            </w:pPr>
            <w:r w:rsidRPr="003F57DF">
              <w:rPr>
                <w:rFonts w:ascii="Times New Roman" w:hAnsi="Times New Roman"/>
                <w:szCs w:val="26"/>
              </w:rPr>
              <w:t>$344,000</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3F57DF" w:rsidR="003F57DF" w:rsidP="003F57DF" w:rsidRDefault="003F57DF" w14:paraId="7A061DF7" w14:textId="77777777">
            <w:pPr>
              <w:contextualSpacing/>
              <w:jc w:val="right"/>
              <w:rPr>
                <w:rFonts w:ascii="Times New Roman" w:hAnsi="Times New Roman"/>
                <w:color w:val="000000"/>
                <w:szCs w:val="26"/>
              </w:rPr>
            </w:pPr>
            <w:r w:rsidRPr="003F57DF">
              <w:rPr>
                <w:rFonts w:ascii="Times New Roman" w:hAnsi="Times New Roman"/>
                <w:color w:val="000000"/>
                <w:szCs w:val="26"/>
              </w:rPr>
              <w:t>$ 17,000</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3F57DF" w:rsidR="003F57DF" w:rsidP="003F57DF" w:rsidRDefault="003F57DF" w14:paraId="57B88284" w14:textId="77777777">
            <w:pPr>
              <w:contextualSpacing/>
              <w:jc w:val="right"/>
              <w:rPr>
                <w:rFonts w:ascii="Times New Roman" w:hAnsi="Times New Roman"/>
                <w:szCs w:val="26"/>
              </w:rPr>
            </w:pPr>
            <w:r w:rsidRPr="003F57DF">
              <w:rPr>
                <w:rFonts w:ascii="Times New Roman" w:hAnsi="Times New Roman"/>
                <w:szCs w:val="26"/>
              </w:rPr>
              <w:t>$361,000</w:t>
            </w:r>
          </w:p>
        </w:tc>
      </w:tr>
      <w:tr w:rsidRPr="003F57DF" w:rsidR="003F57DF" w:rsidTr="003F57DF" w14:paraId="0741A61F" w14:textId="77777777">
        <w:trPr>
          <w:trHeight w:val="300"/>
          <w:jc w:val="center"/>
        </w:trPr>
        <w:tc>
          <w:tcPr>
            <w:tcW w:w="278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F57DF" w:rsidR="003F57DF" w:rsidP="003F57DF" w:rsidRDefault="003F57DF" w14:paraId="66DD28B9" w14:textId="77777777">
            <w:pPr>
              <w:contextualSpacing/>
              <w:rPr>
                <w:rFonts w:ascii="Times New Roman" w:hAnsi="Times New Roman"/>
                <w:szCs w:val="26"/>
              </w:rPr>
            </w:pPr>
            <w:r w:rsidRPr="003F57DF">
              <w:rPr>
                <w:rFonts w:ascii="Times New Roman" w:hAnsi="Times New Roman"/>
                <w:szCs w:val="26"/>
              </w:rPr>
              <w:t>Pipeline Corporations</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F57DF" w:rsidR="003F57DF" w:rsidP="003F57DF" w:rsidRDefault="003F57DF" w14:paraId="4D702815" w14:textId="77777777">
            <w:pPr>
              <w:contextualSpacing/>
              <w:jc w:val="right"/>
              <w:rPr>
                <w:rFonts w:ascii="Times New Roman" w:hAnsi="Times New Roman"/>
                <w:szCs w:val="26"/>
              </w:rPr>
            </w:pPr>
            <w:r w:rsidRPr="003F57DF">
              <w:rPr>
                <w:rFonts w:ascii="Times New Roman" w:hAnsi="Times New Roman"/>
                <w:szCs w:val="26"/>
              </w:rPr>
              <w:t>$161,000</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3F57DF" w:rsidR="003F57DF" w:rsidP="003F57DF" w:rsidRDefault="003F57DF" w14:paraId="62BE9687" w14:textId="77777777">
            <w:pPr>
              <w:contextualSpacing/>
              <w:jc w:val="right"/>
              <w:rPr>
                <w:rFonts w:ascii="Times New Roman" w:hAnsi="Times New Roman"/>
                <w:color w:val="000000"/>
                <w:szCs w:val="26"/>
              </w:rPr>
            </w:pPr>
            <w:r w:rsidRPr="003F57DF">
              <w:rPr>
                <w:rFonts w:ascii="Times New Roman" w:hAnsi="Times New Roman"/>
                <w:color w:val="000000"/>
                <w:szCs w:val="26"/>
              </w:rPr>
              <w:t>$8,000</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3F57DF" w:rsidR="003F57DF" w:rsidP="003F57DF" w:rsidRDefault="003F57DF" w14:paraId="44A19E45" w14:textId="77777777">
            <w:pPr>
              <w:contextualSpacing/>
              <w:jc w:val="right"/>
              <w:rPr>
                <w:rFonts w:ascii="Times New Roman" w:hAnsi="Times New Roman"/>
                <w:szCs w:val="26"/>
              </w:rPr>
            </w:pPr>
            <w:r w:rsidRPr="003F57DF">
              <w:rPr>
                <w:rFonts w:ascii="Times New Roman" w:hAnsi="Times New Roman"/>
                <w:szCs w:val="26"/>
              </w:rPr>
              <w:t>$169,000</w:t>
            </w:r>
          </w:p>
        </w:tc>
      </w:tr>
      <w:tr w:rsidRPr="003F57DF" w:rsidR="003F57DF" w:rsidTr="003F57DF" w14:paraId="22AE17CC" w14:textId="77777777">
        <w:trPr>
          <w:trHeight w:val="300"/>
          <w:jc w:val="center"/>
        </w:trPr>
        <w:tc>
          <w:tcPr>
            <w:tcW w:w="278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F57DF" w:rsidR="003F57DF" w:rsidP="003F57DF" w:rsidRDefault="003F57DF" w14:paraId="7C8E99B2" w14:textId="77777777">
            <w:pPr>
              <w:contextualSpacing/>
              <w:rPr>
                <w:rFonts w:ascii="Times New Roman" w:hAnsi="Times New Roman"/>
                <w:szCs w:val="26"/>
              </w:rPr>
            </w:pPr>
            <w:r w:rsidRPr="003F57DF">
              <w:rPr>
                <w:rFonts w:ascii="Times New Roman" w:hAnsi="Times New Roman"/>
                <w:szCs w:val="26"/>
              </w:rPr>
              <w:t>Railroad Corporations</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F57DF" w:rsidR="003F57DF" w:rsidP="003F57DF" w:rsidRDefault="003F57DF" w14:paraId="05AB48D7" w14:textId="77777777">
            <w:pPr>
              <w:contextualSpacing/>
              <w:jc w:val="right"/>
              <w:rPr>
                <w:rFonts w:ascii="Times New Roman" w:hAnsi="Times New Roman"/>
                <w:szCs w:val="26"/>
              </w:rPr>
            </w:pPr>
            <w:r w:rsidRPr="003F57DF">
              <w:rPr>
                <w:rFonts w:ascii="Times New Roman" w:hAnsi="Times New Roman"/>
                <w:szCs w:val="26"/>
              </w:rPr>
              <w:t>$13,160,000</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3F57DF" w:rsidR="003F57DF" w:rsidP="003F57DF" w:rsidRDefault="003F57DF" w14:paraId="1716074C" w14:textId="77777777">
            <w:pPr>
              <w:contextualSpacing/>
              <w:jc w:val="right"/>
              <w:rPr>
                <w:rFonts w:ascii="Times New Roman" w:hAnsi="Times New Roman"/>
                <w:color w:val="000000"/>
                <w:szCs w:val="26"/>
              </w:rPr>
            </w:pPr>
            <w:r w:rsidRPr="003F57DF">
              <w:rPr>
                <w:rFonts w:ascii="Times New Roman" w:hAnsi="Times New Roman"/>
                <w:color w:val="000000"/>
                <w:szCs w:val="26"/>
              </w:rPr>
              <w:t>$648,000</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3F57DF" w:rsidR="003F57DF" w:rsidP="003F57DF" w:rsidRDefault="003F57DF" w14:paraId="4322A203" w14:textId="77777777">
            <w:pPr>
              <w:contextualSpacing/>
              <w:jc w:val="right"/>
              <w:rPr>
                <w:rFonts w:ascii="Times New Roman" w:hAnsi="Times New Roman"/>
                <w:szCs w:val="26"/>
              </w:rPr>
            </w:pPr>
            <w:r w:rsidRPr="003F57DF">
              <w:rPr>
                <w:rFonts w:ascii="Times New Roman" w:hAnsi="Times New Roman"/>
                <w:szCs w:val="26"/>
              </w:rPr>
              <w:t>$13,808,000</w:t>
            </w:r>
          </w:p>
        </w:tc>
      </w:tr>
      <w:tr w:rsidRPr="003F57DF" w:rsidR="003F57DF" w:rsidTr="003F57DF" w14:paraId="203FFC3E" w14:textId="77777777">
        <w:trPr>
          <w:trHeight w:val="315"/>
          <w:jc w:val="center"/>
        </w:trPr>
        <w:tc>
          <w:tcPr>
            <w:tcW w:w="278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F57DF" w:rsidR="003F57DF" w:rsidP="003F57DF" w:rsidRDefault="003F57DF" w14:paraId="0BD3A443" w14:textId="77777777">
            <w:pPr>
              <w:contextualSpacing/>
              <w:rPr>
                <w:rFonts w:ascii="Times New Roman" w:hAnsi="Times New Roman"/>
                <w:b/>
                <w:szCs w:val="26"/>
              </w:rPr>
            </w:pPr>
            <w:r w:rsidRPr="003F57DF">
              <w:rPr>
                <w:rFonts w:ascii="Times New Roman" w:hAnsi="Times New Roman"/>
                <w:b/>
                <w:szCs w:val="26"/>
              </w:rPr>
              <w:t>Total</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F57DF" w:rsidR="003F57DF" w:rsidP="003F57DF" w:rsidRDefault="003F57DF" w14:paraId="515145D4" w14:textId="77777777">
            <w:pPr>
              <w:contextualSpacing/>
              <w:jc w:val="right"/>
              <w:rPr>
                <w:rFonts w:ascii="Times New Roman" w:hAnsi="Times New Roman"/>
                <w:b/>
                <w:szCs w:val="26"/>
              </w:rPr>
            </w:pPr>
            <w:r w:rsidRPr="003F57DF">
              <w:rPr>
                <w:rFonts w:ascii="Times New Roman" w:hAnsi="Times New Roman"/>
                <w:b/>
                <w:szCs w:val="26"/>
              </w:rPr>
              <w:t>$30,118,000</w:t>
            </w:r>
          </w:p>
        </w:tc>
        <w:tc>
          <w:tcPr>
            <w:tcW w:w="1800" w:type="dxa"/>
            <w:tcBorders>
              <w:top w:val="single" w:color="auto" w:sz="4" w:space="0"/>
              <w:left w:val="single" w:color="auto" w:sz="4" w:space="0"/>
              <w:bottom w:val="single" w:color="auto" w:sz="4" w:space="0"/>
              <w:right w:val="single" w:color="auto" w:sz="4" w:space="0"/>
            </w:tcBorders>
            <w:vAlign w:val="bottom"/>
          </w:tcPr>
          <w:p w:rsidRPr="003F57DF" w:rsidR="003F57DF" w:rsidP="003F57DF" w:rsidRDefault="003F57DF" w14:paraId="35F0A54A" w14:textId="77777777">
            <w:pPr>
              <w:contextualSpacing/>
              <w:jc w:val="right"/>
              <w:rPr>
                <w:rFonts w:ascii="Times New Roman" w:hAnsi="Times New Roman"/>
                <w:b/>
                <w:szCs w:val="26"/>
              </w:rPr>
            </w:pPr>
            <w:r w:rsidRPr="003F57DF">
              <w:rPr>
                <w:rFonts w:ascii="Times New Roman" w:hAnsi="Times New Roman"/>
                <w:b/>
                <w:szCs w:val="26"/>
              </w:rPr>
              <w:t>$1,483,000</w:t>
            </w:r>
          </w:p>
        </w:tc>
        <w:tc>
          <w:tcPr>
            <w:tcW w:w="1800" w:type="dxa"/>
            <w:tcBorders>
              <w:top w:val="single" w:color="auto" w:sz="4" w:space="0"/>
              <w:left w:val="single" w:color="auto" w:sz="4" w:space="0"/>
              <w:bottom w:val="single" w:color="auto" w:sz="4" w:space="0"/>
              <w:right w:val="single" w:color="auto" w:sz="4" w:space="0"/>
            </w:tcBorders>
            <w:vAlign w:val="bottom"/>
          </w:tcPr>
          <w:p w:rsidRPr="003F57DF" w:rsidR="003F57DF" w:rsidP="003F57DF" w:rsidRDefault="003F57DF" w14:paraId="6C01E877" w14:textId="77777777">
            <w:pPr>
              <w:contextualSpacing/>
              <w:jc w:val="right"/>
              <w:rPr>
                <w:rFonts w:ascii="Times New Roman" w:hAnsi="Times New Roman"/>
                <w:b/>
                <w:szCs w:val="26"/>
              </w:rPr>
            </w:pPr>
            <w:r w:rsidRPr="003F57DF">
              <w:rPr>
                <w:rFonts w:ascii="Times New Roman" w:hAnsi="Times New Roman"/>
                <w:b/>
                <w:szCs w:val="26"/>
              </w:rPr>
              <w:t xml:space="preserve">$31,601,000 </w:t>
            </w:r>
          </w:p>
        </w:tc>
      </w:tr>
    </w:tbl>
    <w:p w:rsidRPr="003F57DF" w:rsidR="003F57DF" w:rsidP="003F57DF" w:rsidRDefault="003F57DF" w14:paraId="51BC9649" w14:textId="77777777">
      <w:pPr>
        <w:rPr>
          <w:rFonts w:ascii="Times New Roman" w:hAnsi="Times New Roman"/>
          <w:szCs w:val="26"/>
        </w:rPr>
      </w:pPr>
    </w:p>
    <w:p w:rsidRPr="003F57DF" w:rsidR="003F57DF" w:rsidP="000D7EC1" w:rsidRDefault="003F57DF" w14:paraId="158F4EDB" w14:textId="1D5DAEB5">
      <w:pPr>
        <w:spacing w:before="120" w:after="120"/>
        <w:rPr>
          <w:rFonts w:ascii="Times New Roman" w:hAnsi="Times New Roman"/>
          <w:szCs w:val="26"/>
        </w:rPr>
      </w:pPr>
      <w:r w:rsidRPr="003F57DF">
        <w:rPr>
          <w:rFonts w:ascii="Times New Roman" w:hAnsi="Times New Roman"/>
          <w:szCs w:val="26"/>
        </w:rPr>
        <w:t xml:space="preserve">Table 3 shows comparison between 2022-23 estimated user fee revenue at current rates and 2022-23 total estimated expenditures, distributed by Utility Class per Table 1. Assuming no changes are made, the estimated user fee revenue at current rates are not sufficient to sustain the estimated expenditures. </w:t>
      </w:r>
    </w:p>
    <w:p w:rsidR="00F55C2A" w:rsidRDefault="00F55C2A" w14:paraId="212ABAD5" w14:textId="77777777">
      <w:pPr>
        <w:rPr>
          <w:rFonts w:ascii="Times New Roman" w:hAnsi="Times New Roman"/>
          <w:b/>
          <w:bCs/>
          <w:szCs w:val="26"/>
        </w:rPr>
      </w:pPr>
      <w:r>
        <w:rPr>
          <w:rFonts w:ascii="Times New Roman" w:hAnsi="Times New Roman"/>
          <w:b/>
          <w:bCs/>
          <w:szCs w:val="26"/>
        </w:rPr>
        <w:br w:type="page"/>
      </w:r>
    </w:p>
    <w:p w:rsidRPr="003F57DF" w:rsidR="003F57DF" w:rsidP="003F57DF" w:rsidRDefault="003F57DF" w14:paraId="35D0F137" w14:textId="69774F51">
      <w:pPr>
        <w:spacing w:before="120" w:after="120"/>
        <w:jc w:val="center"/>
        <w:rPr>
          <w:rFonts w:ascii="Times New Roman" w:hAnsi="Times New Roman"/>
          <w:b/>
          <w:bCs/>
          <w:szCs w:val="26"/>
        </w:rPr>
      </w:pPr>
      <w:r w:rsidRPr="003F57DF">
        <w:rPr>
          <w:rFonts w:ascii="Times New Roman" w:hAnsi="Times New Roman"/>
          <w:b/>
          <w:bCs/>
          <w:szCs w:val="26"/>
        </w:rPr>
        <w:lastRenderedPageBreak/>
        <w:t>Table 3. PUCTRA User Fees and Expenditures Projected for 2022-23 (No Fee Change)</w:t>
      </w:r>
    </w:p>
    <w:tbl>
      <w:tblPr>
        <w:tblW w:w="9328" w:type="dxa"/>
        <w:tblLayout w:type="fixed"/>
        <w:tblLook w:val="04A0" w:firstRow="1" w:lastRow="0" w:firstColumn="1" w:lastColumn="0" w:noHBand="0" w:noVBand="1"/>
      </w:tblPr>
      <w:tblGrid>
        <w:gridCol w:w="2653"/>
        <w:gridCol w:w="2500"/>
        <w:gridCol w:w="2048"/>
        <w:gridCol w:w="2127"/>
      </w:tblGrid>
      <w:tr w:rsidRPr="003F57DF" w:rsidR="003F57DF" w:rsidTr="00E75A1C" w14:paraId="774F9D32" w14:textId="77777777">
        <w:trPr>
          <w:cantSplit/>
          <w:trHeight w:val="1500"/>
        </w:trPr>
        <w:tc>
          <w:tcPr>
            <w:tcW w:w="2653"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3F57DF" w:rsidR="003F57DF" w:rsidP="003F57DF" w:rsidRDefault="003F57DF" w14:paraId="2BC293AA" w14:textId="77777777">
            <w:pPr>
              <w:jc w:val="center"/>
              <w:rPr>
                <w:rFonts w:ascii="Times New Roman" w:hAnsi="Times New Roman"/>
                <w:szCs w:val="26"/>
              </w:rPr>
            </w:pPr>
            <w:r w:rsidRPr="003F57DF">
              <w:rPr>
                <w:rFonts w:ascii="Times New Roman" w:hAnsi="Times New Roman"/>
                <w:szCs w:val="26"/>
              </w:rPr>
              <w:t>Utility Class</w:t>
            </w:r>
          </w:p>
        </w:tc>
        <w:tc>
          <w:tcPr>
            <w:tcW w:w="25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3F57DF" w:rsidR="003F57DF" w:rsidP="003F57DF" w:rsidRDefault="003F57DF" w14:paraId="62A79B93" w14:textId="77777777">
            <w:pPr>
              <w:jc w:val="center"/>
              <w:rPr>
                <w:rFonts w:ascii="Times New Roman" w:hAnsi="Times New Roman"/>
                <w:szCs w:val="26"/>
              </w:rPr>
            </w:pPr>
            <w:r w:rsidRPr="003F57DF">
              <w:rPr>
                <w:rFonts w:ascii="Times New Roman" w:hAnsi="Times New Roman"/>
                <w:szCs w:val="26"/>
              </w:rPr>
              <w:t>Estimated User Fee Revenue 2022-23</w:t>
            </w:r>
          </w:p>
          <w:p w:rsidRPr="003F57DF" w:rsidR="003F57DF" w:rsidP="003F57DF" w:rsidRDefault="003F57DF" w14:paraId="530846CB" w14:textId="77777777">
            <w:pPr>
              <w:jc w:val="center"/>
              <w:rPr>
                <w:rFonts w:ascii="Times New Roman" w:hAnsi="Times New Roman"/>
                <w:szCs w:val="26"/>
                <w:highlight w:val="yellow"/>
              </w:rPr>
            </w:pPr>
            <w:r w:rsidRPr="003F57DF">
              <w:rPr>
                <w:rFonts w:ascii="Times New Roman" w:hAnsi="Times New Roman"/>
                <w:szCs w:val="26"/>
              </w:rPr>
              <w:t>(a)</w:t>
            </w:r>
            <w:r w:rsidRPr="003F57DF">
              <w:rPr>
                <w:rFonts w:ascii="Times New Roman" w:hAnsi="Times New Roman"/>
                <w:b/>
                <w:bCs/>
                <w:szCs w:val="26"/>
                <w:u w:val="single"/>
                <w:vertAlign w:val="superscript"/>
              </w:rPr>
              <w:footnoteReference w:id="12"/>
            </w:r>
          </w:p>
        </w:tc>
        <w:tc>
          <w:tcPr>
            <w:tcW w:w="20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F57DF" w:rsidR="003F57DF" w:rsidP="003F57DF" w:rsidRDefault="003F57DF" w14:paraId="7F90C544" w14:textId="77777777">
            <w:pPr>
              <w:jc w:val="center"/>
              <w:rPr>
                <w:rFonts w:ascii="Times New Roman" w:hAnsi="Times New Roman"/>
                <w:szCs w:val="26"/>
              </w:rPr>
            </w:pPr>
          </w:p>
          <w:p w:rsidRPr="003F57DF" w:rsidR="003F57DF" w:rsidP="003F57DF" w:rsidRDefault="003F57DF" w14:paraId="6FECB4A4" w14:textId="77777777">
            <w:pPr>
              <w:jc w:val="center"/>
              <w:rPr>
                <w:rFonts w:ascii="Times New Roman" w:hAnsi="Times New Roman"/>
                <w:szCs w:val="26"/>
              </w:rPr>
            </w:pPr>
            <w:r w:rsidRPr="003F57DF">
              <w:rPr>
                <w:rFonts w:ascii="Times New Roman" w:hAnsi="Times New Roman"/>
                <w:szCs w:val="26"/>
              </w:rPr>
              <w:t>Total Estimated Expenditures 2022-23 (b)</w:t>
            </w:r>
          </w:p>
        </w:tc>
        <w:tc>
          <w:tcPr>
            <w:tcW w:w="212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3F57DF" w:rsidR="003F57DF" w:rsidP="003F57DF" w:rsidRDefault="003F57DF" w14:paraId="66DAE9FE" w14:textId="77777777">
            <w:pPr>
              <w:jc w:val="center"/>
              <w:rPr>
                <w:rFonts w:ascii="Times New Roman" w:hAnsi="Times New Roman"/>
                <w:szCs w:val="26"/>
                <w:highlight w:val="yellow"/>
              </w:rPr>
            </w:pPr>
            <w:r w:rsidRPr="003F57DF">
              <w:rPr>
                <w:rFonts w:ascii="Times New Roman" w:hAnsi="Times New Roman"/>
                <w:szCs w:val="26"/>
              </w:rPr>
              <w:t>Estimated Revenues Less Estimated Expenditures (a-b)</w:t>
            </w:r>
          </w:p>
        </w:tc>
      </w:tr>
      <w:tr w:rsidRPr="003F57DF" w:rsidR="003F57DF" w:rsidTr="00E75A1C" w14:paraId="138481AC" w14:textId="77777777">
        <w:trPr>
          <w:cantSplit/>
          <w:trHeight w:val="289"/>
        </w:trPr>
        <w:tc>
          <w:tcPr>
            <w:tcW w:w="265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F57DF" w:rsidR="003F57DF" w:rsidP="003F57DF" w:rsidRDefault="003F57DF" w14:paraId="444E84E5" w14:textId="77777777">
            <w:pPr>
              <w:spacing w:before="240"/>
              <w:contextualSpacing/>
              <w:rPr>
                <w:rFonts w:ascii="Times New Roman" w:hAnsi="Times New Roman"/>
                <w:szCs w:val="26"/>
              </w:rPr>
            </w:pPr>
            <w:r w:rsidRPr="003F57DF">
              <w:rPr>
                <w:rFonts w:ascii="Times New Roman" w:hAnsi="Times New Roman"/>
                <w:szCs w:val="26"/>
              </w:rPr>
              <w:t>Passenger Vehicle Operators</w:t>
            </w:r>
          </w:p>
        </w:tc>
        <w:tc>
          <w:tcPr>
            <w:tcW w:w="25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F57DF" w:rsidR="003F57DF" w:rsidP="003F57DF" w:rsidRDefault="003F57DF" w14:paraId="134D173E" w14:textId="77777777">
            <w:pPr>
              <w:spacing w:before="240"/>
              <w:contextualSpacing/>
              <w:jc w:val="right"/>
              <w:rPr>
                <w:rFonts w:ascii="Times New Roman" w:hAnsi="Times New Roman"/>
                <w:szCs w:val="26"/>
              </w:rPr>
            </w:pPr>
            <w:r w:rsidRPr="003F57DF">
              <w:rPr>
                <w:rFonts w:ascii="Times New Roman" w:hAnsi="Times New Roman"/>
                <w:szCs w:val="26"/>
              </w:rPr>
              <w:t>$0</w:t>
            </w:r>
          </w:p>
        </w:tc>
        <w:tc>
          <w:tcPr>
            <w:tcW w:w="2048" w:type="dxa"/>
            <w:tcBorders>
              <w:top w:val="single" w:color="auto" w:sz="4" w:space="0"/>
              <w:left w:val="single" w:color="auto" w:sz="4" w:space="0"/>
              <w:bottom w:val="single" w:color="auto" w:sz="4" w:space="0"/>
              <w:right w:val="single" w:color="auto" w:sz="4" w:space="0"/>
            </w:tcBorders>
            <w:vAlign w:val="bottom"/>
          </w:tcPr>
          <w:p w:rsidRPr="003F57DF" w:rsidR="003F57DF" w:rsidP="003F57DF" w:rsidRDefault="003F57DF" w14:paraId="0F815508" w14:textId="77777777">
            <w:pPr>
              <w:spacing w:before="240"/>
              <w:contextualSpacing/>
              <w:jc w:val="right"/>
              <w:rPr>
                <w:rFonts w:ascii="Times New Roman" w:hAnsi="Times New Roman"/>
                <w:szCs w:val="26"/>
              </w:rPr>
            </w:pPr>
            <w:r w:rsidRPr="003F57DF">
              <w:rPr>
                <w:rFonts w:ascii="Times New Roman" w:hAnsi="Times New Roman"/>
                <w:szCs w:val="26"/>
              </w:rPr>
              <w:t>$ 17,262,000</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F57DF" w:rsidR="003F57DF" w:rsidP="003F57DF" w:rsidRDefault="003F57DF" w14:paraId="6FA7CD86" w14:textId="77777777">
            <w:pPr>
              <w:spacing w:before="240"/>
              <w:contextualSpacing/>
              <w:jc w:val="right"/>
              <w:rPr>
                <w:rFonts w:ascii="Times New Roman" w:hAnsi="Times New Roman"/>
                <w:szCs w:val="26"/>
              </w:rPr>
            </w:pPr>
            <w:r w:rsidRPr="003F57DF">
              <w:rPr>
                <w:rFonts w:ascii="Times New Roman" w:hAnsi="Times New Roman"/>
                <w:szCs w:val="26"/>
              </w:rPr>
              <w:t>$(17,262,000)</w:t>
            </w:r>
          </w:p>
        </w:tc>
      </w:tr>
      <w:tr w:rsidRPr="003F57DF" w:rsidR="003F57DF" w:rsidTr="00E75A1C" w14:paraId="7FC4AD7A" w14:textId="77777777">
        <w:trPr>
          <w:cantSplit/>
          <w:trHeight w:val="289"/>
        </w:trPr>
        <w:tc>
          <w:tcPr>
            <w:tcW w:w="265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F57DF" w:rsidR="003F57DF" w:rsidP="003F57DF" w:rsidRDefault="003F57DF" w14:paraId="5D6F5DDA" w14:textId="77777777">
            <w:pPr>
              <w:spacing w:before="240"/>
              <w:contextualSpacing/>
              <w:rPr>
                <w:rFonts w:ascii="Times New Roman" w:hAnsi="Times New Roman"/>
                <w:szCs w:val="26"/>
              </w:rPr>
            </w:pPr>
            <w:r w:rsidRPr="003F57DF">
              <w:rPr>
                <w:rFonts w:ascii="Times New Roman" w:hAnsi="Times New Roman"/>
                <w:szCs w:val="26"/>
              </w:rPr>
              <w:t>Vessel Operators</w:t>
            </w:r>
          </w:p>
        </w:tc>
        <w:tc>
          <w:tcPr>
            <w:tcW w:w="25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F57DF" w:rsidR="003F57DF" w:rsidP="003F57DF" w:rsidRDefault="003F57DF" w14:paraId="14706125" w14:textId="77777777">
            <w:pPr>
              <w:spacing w:before="240"/>
              <w:contextualSpacing/>
              <w:jc w:val="right"/>
              <w:rPr>
                <w:rFonts w:ascii="Times New Roman" w:hAnsi="Times New Roman"/>
                <w:szCs w:val="26"/>
              </w:rPr>
            </w:pPr>
            <w:r w:rsidRPr="003F57DF">
              <w:rPr>
                <w:rFonts w:ascii="Times New Roman" w:hAnsi="Times New Roman"/>
                <w:szCs w:val="26"/>
              </w:rPr>
              <w:t>$237,000</w:t>
            </w:r>
          </w:p>
        </w:tc>
        <w:tc>
          <w:tcPr>
            <w:tcW w:w="2048" w:type="dxa"/>
            <w:tcBorders>
              <w:top w:val="single" w:color="auto" w:sz="4" w:space="0"/>
              <w:left w:val="single" w:color="auto" w:sz="4" w:space="0"/>
              <w:bottom w:val="single" w:color="auto" w:sz="4" w:space="0"/>
              <w:right w:val="single" w:color="auto" w:sz="4" w:space="0"/>
            </w:tcBorders>
            <w:vAlign w:val="bottom"/>
          </w:tcPr>
          <w:p w:rsidRPr="003F57DF" w:rsidR="003F57DF" w:rsidP="003F57DF" w:rsidRDefault="003F57DF" w14:paraId="364B7FF7" w14:textId="77777777">
            <w:pPr>
              <w:spacing w:before="240"/>
              <w:contextualSpacing/>
              <w:jc w:val="right"/>
              <w:rPr>
                <w:rFonts w:ascii="Times New Roman" w:hAnsi="Times New Roman"/>
                <w:szCs w:val="26"/>
              </w:rPr>
            </w:pPr>
            <w:r w:rsidRPr="003F57DF">
              <w:rPr>
                <w:rFonts w:ascii="Times New Roman" w:hAnsi="Times New Roman"/>
                <w:szCs w:val="26"/>
              </w:rPr>
              <w:t>$366,000</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F57DF" w:rsidR="003F57DF" w:rsidP="003F57DF" w:rsidRDefault="003F57DF" w14:paraId="0978F110" w14:textId="77777777">
            <w:pPr>
              <w:spacing w:before="240"/>
              <w:contextualSpacing/>
              <w:jc w:val="right"/>
              <w:rPr>
                <w:rFonts w:ascii="Times New Roman" w:hAnsi="Times New Roman"/>
                <w:szCs w:val="26"/>
              </w:rPr>
            </w:pPr>
            <w:r w:rsidRPr="003F57DF">
              <w:rPr>
                <w:rFonts w:ascii="Times New Roman" w:hAnsi="Times New Roman"/>
                <w:szCs w:val="26"/>
              </w:rPr>
              <w:t>$(129,000)</w:t>
            </w:r>
          </w:p>
        </w:tc>
      </w:tr>
      <w:tr w:rsidRPr="003F57DF" w:rsidR="003F57DF" w:rsidTr="00E75A1C" w14:paraId="0DC5F6F1" w14:textId="77777777">
        <w:trPr>
          <w:cantSplit/>
          <w:trHeight w:val="289"/>
        </w:trPr>
        <w:tc>
          <w:tcPr>
            <w:tcW w:w="265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F57DF" w:rsidR="003F57DF" w:rsidP="003F57DF" w:rsidRDefault="003F57DF" w14:paraId="37402A24" w14:textId="77777777">
            <w:pPr>
              <w:spacing w:before="240"/>
              <w:contextualSpacing/>
              <w:rPr>
                <w:rFonts w:ascii="Times New Roman" w:hAnsi="Times New Roman"/>
                <w:szCs w:val="26"/>
              </w:rPr>
            </w:pPr>
            <w:r w:rsidRPr="003F57DF">
              <w:rPr>
                <w:rFonts w:ascii="Times New Roman" w:hAnsi="Times New Roman"/>
                <w:szCs w:val="26"/>
              </w:rPr>
              <w:t>Pipeline</w:t>
            </w:r>
          </w:p>
        </w:tc>
        <w:tc>
          <w:tcPr>
            <w:tcW w:w="25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F57DF" w:rsidR="003F57DF" w:rsidP="003F57DF" w:rsidRDefault="003F57DF" w14:paraId="339D74A1" w14:textId="77777777">
            <w:pPr>
              <w:spacing w:before="240"/>
              <w:contextualSpacing/>
              <w:jc w:val="right"/>
              <w:rPr>
                <w:rFonts w:ascii="Times New Roman" w:hAnsi="Times New Roman"/>
                <w:szCs w:val="26"/>
              </w:rPr>
            </w:pPr>
            <w:r w:rsidRPr="003F57DF">
              <w:rPr>
                <w:rFonts w:ascii="Times New Roman" w:hAnsi="Times New Roman"/>
                <w:szCs w:val="26"/>
              </w:rPr>
              <w:t>$212,000</w:t>
            </w:r>
          </w:p>
        </w:tc>
        <w:tc>
          <w:tcPr>
            <w:tcW w:w="2048" w:type="dxa"/>
            <w:tcBorders>
              <w:top w:val="single" w:color="auto" w:sz="4" w:space="0"/>
              <w:left w:val="single" w:color="auto" w:sz="4" w:space="0"/>
              <w:bottom w:val="single" w:color="auto" w:sz="4" w:space="0"/>
              <w:right w:val="single" w:color="auto" w:sz="4" w:space="0"/>
            </w:tcBorders>
            <w:vAlign w:val="bottom"/>
          </w:tcPr>
          <w:p w:rsidRPr="003F57DF" w:rsidR="003F57DF" w:rsidP="003F57DF" w:rsidRDefault="003F57DF" w14:paraId="3A901E41" w14:textId="77777777">
            <w:pPr>
              <w:spacing w:before="240"/>
              <w:contextualSpacing/>
              <w:jc w:val="right"/>
              <w:rPr>
                <w:rFonts w:ascii="Times New Roman" w:hAnsi="Times New Roman"/>
                <w:szCs w:val="26"/>
              </w:rPr>
            </w:pPr>
            <w:r w:rsidRPr="003F57DF">
              <w:rPr>
                <w:rFonts w:ascii="Times New Roman" w:hAnsi="Times New Roman"/>
                <w:szCs w:val="26"/>
              </w:rPr>
              <w:t>$165,000</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F57DF" w:rsidR="003F57DF" w:rsidP="003F57DF" w:rsidRDefault="003F57DF" w14:paraId="45E56E51" w14:textId="77777777">
            <w:pPr>
              <w:spacing w:before="240"/>
              <w:contextualSpacing/>
              <w:jc w:val="right"/>
              <w:rPr>
                <w:rFonts w:ascii="Times New Roman" w:hAnsi="Times New Roman"/>
                <w:szCs w:val="26"/>
              </w:rPr>
            </w:pPr>
            <w:r w:rsidRPr="003F57DF">
              <w:rPr>
                <w:rFonts w:ascii="Times New Roman" w:hAnsi="Times New Roman"/>
                <w:szCs w:val="26"/>
              </w:rPr>
              <w:t>$47,000</w:t>
            </w:r>
          </w:p>
        </w:tc>
      </w:tr>
      <w:tr w:rsidRPr="003F57DF" w:rsidR="003F57DF" w:rsidTr="00E75A1C" w14:paraId="509BBD27" w14:textId="77777777">
        <w:trPr>
          <w:cantSplit/>
          <w:trHeight w:val="289"/>
        </w:trPr>
        <w:tc>
          <w:tcPr>
            <w:tcW w:w="265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F57DF" w:rsidR="003F57DF" w:rsidP="003F57DF" w:rsidRDefault="003F57DF" w14:paraId="7E9F2309" w14:textId="77777777">
            <w:pPr>
              <w:spacing w:before="240"/>
              <w:contextualSpacing/>
              <w:rPr>
                <w:rFonts w:ascii="Times New Roman" w:hAnsi="Times New Roman"/>
                <w:szCs w:val="26"/>
              </w:rPr>
            </w:pPr>
            <w:r w:rsidRPr="003F57DF">
              <w:rPr>
                <w:rFonts w:ascii="Times New Roman" w:hAnsi="Times New Roman"/>
                <w:szCs w:val="26"/>
              </w:rPr>
              <w:t>Freight Rail</w:t>
            </w:r>
          </w:p>
        </w:tc>
        <w:tc>
          <w:tcPr>
            <w:tcW w:w="25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F57DF" w:rsidR="003F57DF" w:rsidP="003F57DF" w:rsidRDefault="003F57DF" w14:paraId="3A1005E8" w14:textId="77777777">
            <w:pPr>
              <w:spacing w:before="240"/>
              <w:contextualSpacing/>
              <w:jc w:val="right"/>
              <w:rPr>
                <w:rFonts w:ascii="Times New Roman" w:hAnsi="Times New Roman"/>
                <w:szCs w:val="26"/>
              </w:rPr>
            </w:pPr>
            <w:r w:rsidRPr="003F57DF">
              <w:rPr>
                <w:rFonts w:ascii="Times New Roman" w:hAnsi="Times New Roman"/>
                <w:szCs w:val="26"/>
              </w:rPr>
              <w:t>$13,276,000</w:t>
            </w:r>
          </w:p>
        </w:tc>
        <w:tc>
          <w:tcPr>
            <w:tcW w:w="2048" w:type="dxa"/>
            <w:tcBorders>
              <w:top w:val="single" w:color="auto" w:sz="4" w:space="0"/>
              <w:left w:val="single" w:color="auto" w:sz="4" w:space="0"/>
              <w:bottom w:val="single" w:color="auto" w:sz="4" w:space="0"/>
              <w:right w:val="single" w:color="auto" w:sz="4" w:space="0"/>
            </w:tcBorders>
            <w:vAlign w:val="bottom"/>
          </w:tcPr>
          <w:p w:rsidRPr="003F57DF" w:rsidR="003F57DF" w:rsidP="003F57DF" w:rsidRDefault="003F57DF" w14:paraId="13BF7604" w14:textId="77777777">
            <w:pPr>
              <w:spacing w:before="240"/>
              <w:contextualSpacing/>
              <w:jc w:val="right"/>
              <w:rPr>
                <w:rFonts w:ascii="Times New Roman" w:hAnsi="Times New Roman"/>
                <w:szCs w:val="26"/>
              </w:rPr>
            </w:pPr>
            <w:r w:rsidRPr="003F57DF">
              <w:rPr>
                <w:rFonts w:ascii="Times New Roman" w:hAnsi="Times New Roman"/>
                <w:szCs w:val="26"/>
              </w:rPr>
              <w:t>$13,808,000</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F57DF" w:rsidR="003F57DF" w:rsidP="003F57DF" w:rsidRDefault="003F57DF" w14:paraId="331F3E09" w14:textId="77777777">
            <w:pPr>
              <w:spacing w:before="240"/>
              <w:contextualSpacing/>
              <w:jc w:val="right"/>
              <w:rPr>
                <w:rFonts w:ascii="Times New Roman" w:hAnsi="Times New Roman"/>
                <w:szCs w:val="26"/>
              </w:rPr>
            </w:pPr>
            <w:r w:rsidRPr="003F57DF">
              <w:rPr>
                <w:rFonts w:ascii="Times New Roman" w:hAnsi="Times New Roman"/>
                <w:szCs w:val="26"/>
              </w:rPr>
              <w:t>$(532,000)</w:t>
            </w:r>
          </w:p>
        </w:tc>
      </w:tr>
      <w:tr w:rsidRPr="003F57DF" w:rsidR="003F57DF" w:rsidTr="00E75A1C" w14:paraId="0F834B2B" w14:textId="77777777">
        <w:trPr>
          <w:cantSplit/>
          <w:trHeight w:val="303"/>
        </w:trPr>
        <w:tc>
          <w:tcPr>
            <w:tcW w:w="265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F57DF" w:rsidR="003F57DF" w:rsidP="003F57DF" w:rsidRDefault="003F57DF" w14:paraId="01B471DD" w14:textId="77777777">
            <w:pPr>
              <w:spacing w:before="240"/>
              <w:contextualSpacing/>
              <w:rPr>
                <w:rFonts w:ascii="Times New Roman" w:hAnsi="Times New Roman"/>
                <w:b/>
                <w:szCs w:val="26"/>
              </w:rPr>
            </w:pPr>
            <w:r w:rsidRPr="003F57DF">
              <w:rPr>
                <w:rFonts w:ascii="Times New Roman" w:hAnsi="Times New Roman"/>
                <w:b/>
                <w:szCs w:val="26"/>
              </w:rPr>
              <w:t>Total</w:t>
            </w:r>
          </w:p>
        </w:tc>
        <w:tc>
          <w:tcPr>
            <w:tcW w:w="25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F57DF" w:rsidR="003F57DF" w:rsidP="003F57DF" w:rsidRDefault="003F57DF" w14:paraId="0280E5F5" w14:textId="77777777">
            <w:pPr>
              <w:spacing w:before="240"/>
              <w:contextualSpacing/>
              <w:jc w:val="right"/>
              <w:rPr>
                <w:rFonts w:ascii="Times New Roman" w:hAnsi="Times New Roman"/>
                <w:b/>
                <w:szCs w:val="26"/>
              </w:rPr>
            </w:pPr>
            <w:r w:rsidRPr="003F57DF">
              <w:rPr>
                <w:rFonts w:ascii="Times New Roman" w:hAnsi="Times New Roman"/>
                <w:b/>
                <w:szCs w:val="26"/>
              </w:rPr>
              <w:t>$13,725,000</w:t>
            </w:r>
          </w:p>
        </w:tc>
        <w:tc>
          <w:tcPr>
            <w:tcW w:w="2048" w:type="dxa"/>
            <w:tcBorders>
              <w:top w:val="single" w:color="auto" w:sz="4" w:space="0"/>
              <w:left w:val="single" w:color="auto" w:sz="4" w:space="0"/>
              <w:bottom w:val="single" w:color="auto" w:sz="4" w:space="0"/>
              <w:right w:val="single" w:color="auto" w:sz="4" w:space="0"/>
            </w:tcBorders>
            <w:vAlign w:val="bottom"/>
          </w:tcPr>
          <w:p w:rsidRPr="003F57DF" w:rsidR="003F57DF" w:rsidP="003F57DF" w:rsidRDefault="003F57DF" w14:paraId="2602A41A" w14:textId="77777777">
            <w:pPr>
              <w:spacing w:before="240"/>
              <w:contextualSpacing/>
              <w:jc w:val="right"/>
              <w:rPr>
                <w:rFonts w:ascii="Times New Roman" w:hAnsi="Times New Roman"/>
                <w:b/>
                <w:bCs/>
                <w:szCs w:val="26"/>
              </w:rPr>
            </w:pPr>
            <w:r w:rsidRPr="003F57DF">
              <w:rPr>
                <w:rFonts w:ascii="Times New Roman" w:hAnsi="Times New Roman"/>
                <w:b/>
                <w:bCs/>
                <w:szCs w:val="26"/>
              </w:rPr>
              <w:t>$31,601,000</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F57DF" w:rsidR="003F57DF" w:rsidP="003F57DF" w:rsidRDefault="003F57DF" w14:paraId="4E5E377B" w14:textId="77777777">
            <w:pPr>
              <w:spacing w:before="240"/>
              <w:contextualSpacing/>
              <w:jc w:val="right"/>
              <w:rPr>
                <w:rFonts w:ascii="Times New Roman" w:hAnsi="Times New Roman"/>
                <w:b/>
                <w:szCs w:val="26"/>
              </w:rPr>
            </w:pPr>
            <w:r w:rsidRPr="003F57DF">
              <w:rPr>
                <w:rFonts w:ascii="Times New Roman" w:hAnsi="Times New Roman"/>
                <w:b/>
                <w:szCs w:val="26"/>
              </w:rPr>
              <w:t>$(17,876,000)</w:t>
            </w:r>
          </w:p>
        </w:tc>
      </w:tr>
    </w:tbl>
    <w:p w:rsidRPr="003F57DF" w:rsidR="003F57DF" w:rsidP="003F57DF" w:rsidRDefault="003F57DF" w14:paraId="3AE77029" w14:textId="77777777">
      <w:pPr>
        <w:rPr>
          <w:rFonts w:ascii="Times New Roman" w:hAnsi="Times New Roman"/>
          <w:szCs w:val="26"/>
        </w:rPr>
      </w:pPr>
    </w:p>
    <w:p w:rsidRPr="003F57DF" w:rsidR="003F57DF" w:rsidP="003F57DF" w:rsidRDefault="003F57DF" w14:paraId="5BC6AFEE" w14:textId="77777777">
      <w:pPr>
        <w:rPr>
          <w:rFonts w:ascii="Times New Roman" w:hAnsi="Times New Roman"/>
          <w:i/>
          <w:szCs w:val="26"/>
        </w:rPr>
      </w:pPr>
      <w:r w:rsidRPr="003F57DF">
        <w:rPr>
          <w:rFonts w:ascii="Times New Roman" w:hAnsi="Times New Roman"/>
          <w:i/>
          <w:szCs w:val="26"/>
        </w:rPr>
        <w:t>Fund Reserve Analysis</w:t>
      </w:r>
    </w:p>
    <w:p w:rsidRPr="003F57DF" w:rsidR="003F57DF" w:rsidP="003F57DF" w:rsidRDefault="003F57DF" w14:paraId="705831E6" w14:textId="77777777">
      <w:pPr>
        <w:rPr>
          <w:rFonts w:ascii="Times New Roman" w:hAnsi="Times New Roman"/>
          <w:szCs w:val="26"/>
        </w:rPr>
      </w:pPr>
    </w:p>
    <w:p w:rsidRPr="003F57DF" w:rsidR="003F57DF" w:rsidP="003F57DF" w:rsidRDefault="003F57DF" w14:paraId="027F28BD" w14:textId="77777777">
      <w:pPr>
        <w:rPr>
          <w:rFonts w:ascii="Times New Roman" w:hAnsi="Times New Roman"/>
          <w:szCs w:val="26"/>
        </w:rPr>
      </w:pPr>
      <w:r w:rsidRPr="003F57DF">
        <w:rPr>
          <w:rFonts w:ascii="Times New Roman" w:hAnsi="Times New Roman"/>
          <w:szCs w:val="26"/>
        </w:rPr>
        <w:t xml:space="preserve">CPUC’s fund reserve policy for PUCTRA requires a minimum fund reserve of 25 percent of total estimated expenditures. At the expected level of expenditures and current rates, Fiscal Year 2022-23 estimated fund reserve is not sufficient to meet the minimum requirement. </w:t>
      </w:r>
    </w:p>
    <w:p w:rsidRPr="003F57DF" w:rsidR="003F57DF" w:rsidP="003F57DF" w:rsidRDefault="003F57DF" w14:paraId="634A8897" w14:textId="77777777">
      <w:pPr>
        <w:rPr>
          <w:rFonts w:ascii="Times New Roman" w:hAnsi="Times New Roman"/>
          <w:szCs w:val="26"/>
        </w:rPr>
      </w:pPr>
    </w:p>
    <w:p w:rsidRPr="003F57DF" w:rsidR="003F57DF" w:rsidP="003F57DF" w:rsidRDefault="003F57DF" w14:paraId="3D66EFF6" w14:textId="77777777">
      <w:pPr>
        <w:rPr>
          <w:rFonts w:ascii="Times New Roman" w:hAnsi="Times New Roman"/>
          <w:szCs w:val="26"/>
        </w:rPr>
      </w:pPr>
      <w:r w:rsidRPr="003F57DF">
        <w:rPr>
          <w:rFonts w:ascii="Times New Roman" w:hAnsi="Times New Roman"/>
          <w:szCs w:val="26"/>
        </w:rPr>
        <w:t>CPUC proposes the necessary fee increases and reinstatements of fees to support the expected level of expenditures and maintain the required level of fund reserves.</w:t>
      </w:r>
    </w:p>
    <w:p w:rsidRPr="003F57DF" w:rsidR="003F57DF" w:rsidP="003F57DF" w:rsidRDefault="003F57DF" w14:paraId="31107873" w14:textId="77777777">
      <w:pPr>
        <w:rPr>
          <w:rFonts w:ascii="Times New Roman" w:hAnsi="Times New Roman"/>
          <w:szCs w:val="26"/>
        </w:rPr>
      </w:pPr>
    </w:p>
    <w:p w:rsidRPr="003F57DF" w:rsidR="003F57DF" w:rsidP="003F57DF" w:rsidRDefault="003F57DF" w14:paraId="0F821695" w14:textId="77777777">
      <w:pPr>
        <w:rPr>
          <w:rFonts w:ascii="Times New Roman" w:hAnsi="Times New Roman"/>
          <w:i/>
          <w:szCs w:val="26"/>
        </w:rPr>
      </w:pPr>
      <w:bookmarkStart w:name="_Hlk529439613" w:id="16"/>
      <w:bookmarkEnd w:id="14"/>
      <w:bookmarkEnd w:id="15"/>
      <w:r w:rsidRPr="003F57DF">
        <w:rPr>
          <w:rFonts w:ascii="Times New Roman" w:hAnsi="Times New Roman"/>
          <w:i/>
          <w:szCs w:val="26"/>
        </w:rPr>
        <w:t>Passenger Vehicle Operators</w:t>
      </w:r>
    </w:p>
    <w:p w:rsidRPr="003F57DF" w:rsidR="003F57DF" w:rsidP="003F57DF" w:rsidRDefault="003F57DF" w14:paraId="0CA91485" w14:textId="77777777">
      <w:pPr>
        <w:rPr>
          <w:rFonts w:ascii="Times New Roman" w:hAnsi="Times New Roman"/>
          <w:i/>
          <w:szCs w:val="26"/>
        </w:rPr>
      </w:pPr>
    </w:p>
    <w:p w:rsidRPr="003F57DF" w:rsidR="003F57DF" w:rsidP="003F57DF" w:rsidRDefault="003F57DF" w14:paraId="4D84E33E" w14:textId="79BF34F6">
      <w:pPr>
        <w:rPr>
          <w:rFonts w:ascii="Times New Roman" w:hAnsi="Times New Roman"/>
          <w:szCs w:val="26"/>
        </w:rPr>
      </w:pPr>
      <w:r w:rsidRPr="003F57DF">
        <w:rPr>
          <w:rFonts w:ascii="Times New Roman" w:hAnsi="Times New Roman"/>
          <w:szCs w:val="26"/>
        </w:rPr>
        <w:t xml:space="preserve">Based on the analysis of projected PUCTRA revenues to program expenditures and the PUCTRA fund reserve attributable to Passenger Vehicle Operators, </w:t>
      </w:r>
      <w:bookmarkStart w:name="_Hlk52534111" w:id="17"/>
      <w:bookmarkStart w:name="_Hlk52976133" w:id="18"/>
      <w:r w:rsidRPr="003F57DF">
        <w:rPr>
          <w:rFonts w:ascii="Times New Roman" w:hAnsi="Times New Roman"/>
          <w:szCs w:val="26"/>
        </w:rPr>
        <w:t xml:space="preserve">the Commission concludes that the current fund reserve is no longer sufficient </w:t>
      </w:r>
      <w:r w:rsidRPr="003F57DF">
        <w:rPr>
          <w:rFonts w:ascii="Times New Roman" w:hAnsi="Times New Roman"/>
          <w:iCs/>
          <w:szCs w:val="26"/>
        </w:rPr>
        <w:t>to support the Commission’s regulatory activities for this class pursuant to Public Utilities Code Section 421(b)</w:t>
      </w:r>
      <w:r w:rsidRPr="003F57DF">
        <w:rPr>
          <w:rFonts w:ascii="Times New Roman" w:hAnsi="Times New Roman"/>
          <w:szCs w:val="26"/>
        </w:rPr>
        <w:t>.</w:t>
      </w:r>
      <w:bookmarkEnd w:id="17"/>
      <w:r w:rsidRPr="003F57DF">
        <w:rPr>
          <w:rFonts w:ascii="Times New Roman" w:hAnsi="Times New Roman"/>
          <w:szCs w:val="26"/>
        </w:rPr>
        <w:t xml:space="preserve"> </w:t>
      </w:r>
      <w:bookmarkEnd w:id="18"/>
      <w:r w:rsidRPr="003F57DF">
        <w:rPr>
          <w:rFonts w:ascii="Times New Roman" w:hAnsi="Times New Roman"/>
          <w:szCs w:val="26"/>
        </w:rPr>
        <w:t>The fee for Passenger Vehicle Operators is reinstated at 0.003 (0.3</w:t>
      </w:r>
      <w:r w:rsidR="00F55C2A">
        <w:rPr>
          <w:rFonts w:ascii="Times New Roman" w:hAnsi="Times New Roman"/>
          <w:szCs w:val="26"/>
        </w:rPr>
        <w:t>percent</w:t>
      </w:r>
      <w:r w:rsidRPr="003F57DF">
        <w:rPr>
          <w:rFonts w:ascii="Times New Roman" w:hAnsi="Times New Roman"/>
          <w:szCs w:val="26"/>
        </w:rPr>
        <w:t xml:space="preserve">) of gross intrastate revenue </w:t>
      </w:r>
      <w:bookmarkStart w:name="_Hlk52535727" w:id="19"/>
      <w:r w:rsidRPr="003F57DF">
        <w:rPr>
          <w:rFonts w:ascii="Times New Roman" w:hAnsi="Times New Roman"/>
          <w:szCs w:val="26"/>
        </w:rPr>
        <w:t>plus a minimum $10 quarterly fee or $25 annual fee.</w:t>
      </w:r>
    </w:p>
    <w:bookmarkEnd w:id="19"/>
    <w:p w:rsidRPr="003F57DF" w:rsidR="003F57DF" w:rsidP="003F57DF" w:rsidRDefault="003F57DF" w14:paraId="7E0EB2D0" w14:textId="77777777">
      <w:pPr>
        <w:rPr>
          <w:rFonts w:ascii="Times New Roman" w:hAnsi="Times New Roman"/>
          <w:szCs w:val="26"/>
        </w:rPr>
      </w:pPr>
    </w:p>
    <w:p w:rsidRPr="003F57DF" w:rsidR="003F57DF" w:rsidP="003F57DF" w:rsidRDefault="003F57DF" w14:paraId="14EEC7FB" w14:textId="77777777">
      <w:pPr>
        <w:rPr>
          <w:rFonts w:ascii="Times New Roman" w:hAnsi="Times New Roman"/>
          <w:szCs w:val="26"/>
        </w:rPr>
      </w:pPr>
      <w:bookmarkStart w:name="_Hlk52535851" w:id="20"/>
      <w:r w:rsidRPr="003F57DF">
        <w:rPr>
          <w:rFonts w:ascii="Times New Roman" w:hAnsi="Times New Roman"/>
          <w:szCs w:val="26"/>
        </w:rPr>
        <w:t>Carriers are required to report quarterly or annual gross intrastate revenues pursuant to Public Utilities Code Section 423. The fee will be evaluated annually and modified as needed.</w:t>
      </w:r>
    </w:p>
    <w:bookmarkEnd w:id="16"/>
    <w:bookmarkEnd w:id="20"/>
    <w:p w:rsidRPr="003F57DF" w:rsidR="003F57DF" w:rsidP="003F57DF" w:rsidRDefault="003F57DF" w14:paraId="277AA9BF" w14:textId="77777777">
      <w:pPr>
        <w:rPr>
          <w:rFonts w:ascii="Times New Roman" w:hAnsi="Times New Roman"/>
          <w:szCs w:val="26"/>
        </w:rPr>
      </w:pPr>
    </w:p>
    <w:p w:rsidRPr="003F57DF" w:rsidR="003F57DF" w:rsidP="003F57DF" w:rsidRDefault="003F57DF" w14:paraId="27CEDBC1" w14:textId="77777777">
      <w:pPr>
        <w:rPr>
          <w:rFonts w:ascii="Times New Roman" w:hAnsi="Times New Roman"/>
          <w:i/>
          <w:szCs w:val="26"/>
        </w:rPr>
      </w:pPr>
      <w:r w:rsidRPr="003F57DF">
        <w:rPr>
          <w:rFonts w:ascii="Times New Roman" w:hAnsi="Times New Roman"/>
          <w:i/>
          <w:szCs w:val="26"/>
        </w:rPr>
        <w:t>Vessel Operators</w:t>
      </w:r>
    </w:p>
    <w:p w:rsidRPr="003F57DF" w:rsidR="003F57DF" w:rsidP="003F57DF" w:rsidRDefault="003F57DF" w14:paraId="45D14D03" w14:textId="77777777">
      <w:pPr>
        <w:rPr>
          <w:rFonts w:ascii="Times New Roman" w:hAnsi="Times New Roman"/>
          <w:i/>
          <w:szCs w:val="26"/>
        </w:rPr>
      </w:pPr>
    </w:p>
    <w:p w:rsidRPr="003F57DF" w:rsidR="003F57DF" w:rsidP="003F57DF" w:rsidRDefault="003F57DF" w14:paraId="09843406" w14:textId="099B85B9">
      <w:pPr>
        <w:rPr>
          <w:rFonts w:ascii="Times New Roman" w:hAnsi="Times New Roman"/>
          <w:szCs w:val="26"/>
        </w:rPr>
      </w:pPr>
      <w:r w:rsidRPr="003F57DF">
        <w:rPr>
          <w:rFonts w:ascii="Times New Roman" w:hAnsi="Times New Roman"/>
          <w:szCs w:val="26"/>
        </w:rPr>
        <w:t>The estimated revenues for vessel operators at current rates are not sufficient to match the current estimated expenditures.</w:t>
      </w:r>
      <w:bookmarkStart w:name="_Hlk52976196" w:id="21"/>
      <w:r w:rsidRPr="003F57DF">
        <w:rPr>
          <w:rFonts w:ascii="Times New Roman" w:hAnsi="Times New Roman"/>
          <w:szCs w:val="26"/>
        </w:rPr>
        <w:t xml:space="preserve"> </w:t>
      </w:r>
      <w:bookmarkEnd w:id="21"/>
      <w:r w:rsidRPr="003F57DF">
        <w:rPr>
          <w:rFonts w:ascii="Times New Roman" w:hAnsi="Times New Roman"/>
          <w:szCs w:val="26"/>
        </w:rPr>
        <w:t>To sustain the estimated expenditures for Vessel Operators, the Commission concludes the fee for Vessel Operators shall be 0.0055 (0.55</w:t>
      </w:r>
      <w:r w:rsidR="00F55C2A">
        <w:rPr>
          <w:rFonts w:ascii="Times New Roman" w:hAnsi="Times New Roman"/>
          <w:szCs w:val="26"/>
        </w:rPr>
        <w:t>percent</w:t>
      </w:r>
      <w:r w:rsidRPr="003F57DF">
        <w:rPr>
          <w:rFonts w:ascii="Times New Roman" w:hAnsi="Times New Roman"/>
          <w:szCs w:val="26"/>
        </w:rPr>
        <w:t xml:space="preserve">) of gross intrastate revenue plus a minimum $10 quarterly fee or $25 annual fee. </w:t>
      </w:r>
    </w:p>
    <w:p w:rsidRPr="003F57DF" w:rsidR="003F57DF" w:rsidP="003F57DF" w:rsidRDefault="003F57DF" w14:paraId="2FCC8C0B" w14:textId="77777777">
      <w:pPr>
        <w:rPr>
          <w:rFonts w:ascii="Times New Roman" w:hAnsi="Times New Roman"/>
          <w:szCs w:val="26"/>
        </w:rPr>
      </w:pPr>
    </w:p>
    <w:p w:rsidRPr="003F57DF" w:rsidR="003F57DF" w:rsidP="003F57DF" w:rsidRDefault="003F57DF" w14:paraId="55254EDF" w14:textId="77777777">
      <w:pPr>
        <w:rPr>
          <w:rFonts w:ascii="Times New Roman" w:hAnsi="Times New Roman"/>
          <w:i/>
          <w:szCs w:val="26"/>
        </w:rPr>
      </w:pPr>
      <w:r w:rsidRPr="003F57DF">
        <w:rPr>
          <w:rFonts w:ascii="Times New Roman" w:hAnsi="Times New Roman"/>
          <w:i/>
          <w:szCs w:val="26"/>
        </w:rPr>
        <w:t>Freight Rail</w:t>
      </w:r>
    </w:p>
    <w:p w:rsidRPr="003F57DF" w:rsidR="003F57DF" w:rsidP="003F57DF" w:rsidRDefault="003F57DF" w14:paraId="134FA8CA" w14:textId="77777777">
      <w:pPr>
        <w:rPr>
          <w:rFonts w:ascii="Times New Roman" w:hAnsi="Times New Roman"/>
          <w:i/>
          <w:szCs w:val="26"/>
        </w:rPr>
      </w:pPr>
    </w:p>
    <w:p w:rsidRPr="003F57DF" w:rsidR="003F57DF" w:rsidP="000D7EC1" w:rsidRDefault="003F57DF" w14:paraId="720B16CF" w14:textId="77777777">
      <w:pPr>
        <w:rPr>
          <w:rFonts w:ascii="Times New Roman" w:hAnsi="Times New Roman"/>
          <w:szCs w:val="26"/>
        </w:rPr>
      </w:pPr>
      <w:r w:rsidRPr="003F57DF">
        <w:rPr>
          <w:rFonts w:ascii="Times New Roman" w:hAnsi="Times New Roman"/>
          <w:szCs w:val="26"/>
        </w:rPr>
        <w:t>Unlike the other utility classes of PUCTRA, freight rail user fees are set by amount for Class I railroad corporations and by rate with a minimum fee for Class II and III railroad corporations. The total fee level of $13,808,000 is set for the railroad corporations to match the estimated expenditures in Table 3.</w:t>
      </w:r>
    </w:p>
    <w:p w:rsidRPr="003F57DF" w:rsidR="003F57DF" w:rsidP="000D7EC1" w:rsidRDefault="003F57DF" w14:paraId="2E7703B4" w14:textId="77777777">
      <w:pPr>
        <w:rPr>
          <w:rFonts w:ascii="Times New Roman" w:hAnsi="Times New Roman"/>
          <w:szCs w:val="26"/>
        </w:rPr>
      </w:pPr>
    </w:p>
    <w:p w:rsidRPr="003F57DF" w:rsidR="003F57DF" w:rsidP="003F57DF" w:rsidRDefault="003F57DF" w14:paraId="26D5D7A6" w14:textId="77777777">
      <w:pPr>
        <w:rPr>
          <w:rFonts w:ascii="Times New Roman" w:hAnsi="Times New Roman"/>
          <w:i/>
          <w:szCs w:val="26"/>
        </w:rPr>
      </w:pPr>
      <w:r w:rsidRPr="003F57DF">
        <w:rPr>
          <w:rFonts w:ascii="Times New Roman" w:hAnsi="Times New Roman"/>
          <w:i/>
          <w:szCs w:val="26"/>
        </w:rPr>
        <w:t>Pipeline Corporations</w:t>
      </w:r>
    </w:p>
    <w:p w:rsidRPr="003F57DF" w:rsidR="003F57DF" w:rsidP="003F57DF" w:rsidRDefault="003F57DF" w14:paraId="74BECB2D" w14:textId="77777777">
      <w:pPr>
        <w:rPr>
          <w:rFonts w:ascii="Times New Roman" w:hAnsi="Times New Roman"/>
          <w:i/>
          <w:szCs w:val="26"/>
        </w:rPr>
      </w:pPr>
    </w:p>
    <w:p w:rsidRPr="003F57DF" w:rsidR="003F57DF" w:rsidP="003F57DF" w:rsidRDefault="003F57DF" w14:paraId="56856F50" w14:textId="11474772">
      <w:pPr>
        <w:rPr>
          <w:rFonts w:ascii="Times New Roman" w:hAnsi="Times New Roman"/>
          <w:szCs w:val="26"/>
        </w:rPr>
      </w:pPr>
      <w:r w:rsidRPr="003F57DF">
        <w:rPr>
          <w:rFonts w:ascii="Times New Roman" w:hAnsi="Times New Roman"/>
          <w:szCs w:val="26"/>
        </w:rPr>
        <w:t>The estimated revenues for Pipeline Corporations at current rates are sufficient to match the current estimated expenditures. To sustain the estimated expenditures for Pipeline Corporations, the Commission concludes the fee for Pipeline Corporations shall remain at 0.00068 (0.068</w:t>
      </w:r>
      <w:r w:rsidR="00F55C2A">
        <w:rPr>
          <w:rFonts w:ascii="Times New Roman" w:hAnsi="Times New Roman"/>
          <w:szCs w:val="26"/>
        </w:rPr>
        <w:t>percent</w:t>
      </w:r>
      <w:r w:rsidRPr="003F57DF">
        <w:rPr>
          <w:rFonts w:ascii="Times New Roman" w:hAnsi="Times New Roman"/>
          <w:szCs w:val="26"/>
        </w:rPr>
        <w:t>) of gross intrastate revenue.</w:t>
      </w:r>
    </w:p>
    <w:p w:rsidRPr="003F57DF" w:rsidR="003F57DF" w:rsidP="003F57DF" w:rsidRDefault="003F57DF" w14:paraId="580C348A" w14:textId="77777777">
      <w:pPr>
        <w:rPr>
          <w:rFonts w:ascii="Times New Roman" w:hAnsi="Times New Roman"/>
          <w:szCs w:val="26"/>
        </w:rPr>
      </w:pPr>
    </w:p>
    <w:p w:rsidRPr="003F57DF" w:rsidR="003F57DF" w:rsidP="003F57DF" w:rsidRDefault="003F57DF" w14:paraId="67488239" w14:textId="77777777">
      <w:pPr>
        <w:rPr>
          <w:rFonts w:ascii="Times New Roman" w:hAnsi="Times New Roman"/>
          <w:i/>
          <w:iCs/>
          <w:szCs w:val="26"/>
        </w:rPr>
      </w:pPr>
      <w:r w:rsidRPr="003F57DF">
        <w:rPr>
          <w:rFonts w:ascii="Times New Roman" w:hAnsi="Times New Roman"/>
          <w:i/>
          <w:iCs/>
          <w:szCs w:val="26"/>
        </w:rPr>
        <w:t>Prime Carriers Payment of PUCTRA fees for Subcarriers</w:t>
      </w:r>
    </w:p>
    <w:p w:rsidRPr="003F57DF" w:rsidR="003F57DF" w:rsidP="003F57DF" w:rsidRDefault="003F57DF" w14:paraId="63B8BAB8" w14:textId="77777777">
      <w:pPr>
        <w:rPr>
          <w:rFonts w:ascii="Times New Roman" w:hAnsi="Times New Roman"/>
          <w:i/>
          <w:iCs/>
          <w:szCs w:val="26"/>
        </w:rPr>
      </w:pPr>
    </w:p>
    <w:p w:rsidRPr="003F57DF" w:rsidR="003F57DF" w:rsidP="003F57DF" w:rsidRDefault="003F57DF" w14:paraId="40E001E8" w14:textId="77777777">
      <w:pPr>
        <w:rPr>
          <w:rFonts w:ascii="Times New Roman" w:hAnsi="Times New Roman"/>
          <w:szCs w:val="26"/>
        </w:rPr>
      </w:pPr>
      <w:bookmarkStart w:name="_Hlk52535577" w:id="22"/>
      <w:r w:rsidRPr="003F57DF">
        <w:rPr>
          <w:rFonts w:ascii="Times New Roman" w:hAnsi="Times New Roman"/>
          <w:szCs w:val="26"/>
        </w:rPr>
        <w:t>“Prime carriers” are responsible for the reporting and payment of the fees on the gross intrastate earnings of subcarriers. Prime carriers are those passenger vehicle and vessel operators who engage the services of subcarriers. Such services of subcarriers by these prime carriers shall be evidenced by a written document. Fee statements submitted by a prime carrier shall indicate the name and gross intrastate earnings of each subcarrier in sufficient detail to enable the Commission to cross-reference earnings and determine appropriate fee amounts among the respective carriers. Similarly, a fee statement submitted by a subcarrier shall indicate its gross intrastate earnings associated with each prime carrier. The Commission establishes this payment method for purpose of providing a more economical, simple, and efficient method of collecting and accounting for fees required to be charged and deposited in PUCTRA.</w:t>
      </w:r>
    </w:p>
    <w:bookmarkEnd w:id="22"/>
    <w:p w:rsidRPr="003F57DF" w:rsidR="003F57DF" w:rsidP="003F57DF" w:rsidRDefault="003F57DF" w14:paraId="6CB5EBAF" w14:textId="77777777">
      <w:pPr>
        <w:rPr>
          <w:rFonts w:ascii="Times New Roman" w:hAnsi="Times New Roman"/>
          <w:szCs w:val="26"/>
        </w:rPr>
      </w:pPr>
    </w:p>
    <w:p w:rsidRPr="003F57DF" w:rsidR="003F57DF" w:rsidP="003F57DF" w:rsidRDefault="003F57DF" w14:paraId="459465BD" w14:textId="77777777">
      <w:pPr>
        <w:rPr>
          <w:rFonts w:ascii="Times New Roman" w:hAnsi="Times New Roman"/>
          <w:i/>
          <w:iCs/>
          <w:szCs w:val="26"/>
        </w:rPr>
      </w:pPr>
      <w:r w:rsidRPr="003F57DF">
        <w:rPr>
          <w:rFonts w:ascii="Times New Roman" w:hAnsi="Times New Roman"/>
          <w:i/>
          <w:iCs/>
          <w:szCs w:val="26"/>
        </w:rPr>
        <w:t>Penalties for Late Payment</w:t>
      </w:r>
    </w:p>
    <w:p w:rsidRPr="003F57DF" w:rsidR="003F57DF" w:rsidP="003F57DF" w:rsidRDefault="003F57DF" w14:paraId="690FD16F" w14:textId="77777777">
      <w:pPr>
        <w:rPr>
          <w:rFonts w:ascii="Times New Roman" w:hAnsi="Times New Roman"/>
          <w:i/>
          <w:iCs/>
          <w:szCs w:val="26"/>
        </w:rPr>
      </w:pPr>
    </w:p>
    <w:p w:rsidRPr="003F57DF" w:rsidR="003F57DF" w:rsidP="000D7EC1" w:rsidRDefault="003F57DF" w14:paraId="1EE27DFF" w14:textId="77777777">
      <w:pPr>
        <w:rPr>
          <w:rFonts w:ascii="Times New Roman" w:hAnsi="Times New Roman"/>
          <w:szCs w:val="26"/>
        </w:rPr>
      </w:pPr>
      <w:r w:rsidRPr="003F57DF">
        <w:rPr>
          <w:rFonts w:ascii="Times New Roman" w:hAnsi="Times New Roman"/>
          <w:szCs w:val="26"/>
        </w:rPr>
        <w:t xml:space="preserve">The penalty imposed in Public Utilities Code Section 405 for default of the payment of the fee provided for in Public Utilities Code Section 421 shall remain fixed at 25 percent of the amount of the fee. Late penalties collected from common carriers and other </w:t>
      </w:r>
      <w:r w:rsidRPr="003F57DF">
        <w:rPr>
          <w:rFonts w:ascii="Times New Roman" w:hAnsi="Times New Roman"/>
          <w:szCs w:val="26"/>
        </w:rPr>
        <w:lastRenderedPageBreak/>
        <w:t>business subject to Public Utilities Code Section 421 are deposited in the PUCTRA fund.</w:t>
      </w:r>
      <w:r w:rsidRPr="003F57DF">
        <w:rPr>
          <w:rFonts w:ascii="Times New Roman" w:hAnsi="Times New Roman"/>
          <w:szCs w:val="26"/>
          <w:vertAlign w:val="superscript"/>
        </w:rPr>
        <w:footnoteReference w:id="13"/>
      </w:r>
    </w:p>
    <w:p w:rsidRPr="003F57DF" w:rsidR="003F57DF" w:rsidP="003F57DF" w:rsidRDefault="003F57DF" w14:paraId="72085DF9" w14:textId="77777777">
      <w:pPr>
        <w:contextualSpacing/>
        <w:jc w:val="center"/>
        <w:rPr>
          <w:rFonts w:ascii="Times New Roman" w:hAnsi="Times New Roman"/>
          <w:b/>
          <w:bCs/>
          <w:szCs w:val="26"/>
        </w:rPr>
      </w:pPr>
    </w:p>
    <w:p w:rsidRPr="003F57DF" w:rsidR="003F57DF" w:rsidP="003F57DF" w:rsidRDefault="003F57DF" w14:paraId="460A1E74" w14:textId="77777777">
      <w:pPr>
        <w:rPr>
          <w:rFonts w:ascii="Times New Roman" w:hAnsi="Times New Roman"/>
          <w:i/>
          <w:iCs/>
          <w:szCs w:val="26"/>
        </w:rPr>
      </w:pPr>
      <w:r w:rsidRPr="003F57DF">
        <w:rPr>
          <w:rFonts w:ascii="Times New Roman" w:hAnsi="Times New Roman"/>
          <w:i/>
          <w:iCs/>
          <w:szCs w:val="26"/>
        </w:rPr>
        <w:t xml:space="preserve">Calculating Revenue Subject to the PUCTRA Fee </w:t>
      </w:r>
    </w:p>
    <w:p w:rsidRPr="003F57DF" w:rsidR="003F57DF" w:rsidP="003F57DF" w:rsidRDefault="003F57DF" w14:paraId="0D3F31DE" w14:textId="77777777">
      <w:pPr>
        <w:rPr>
          <w:rFonts w:ascii="Times New Roman" w:hAnsi="Times New Roman"/>
          <w:b/>
          <w:szCs w:val="26"/>
          <w:u w:val="single"/>
        </w:rPr>
      </w:pPr>
    </w:p>
    <w:p w:rsidRPr="003F57DF" w:rsidR="003F57DF" w:rsidP="003F57DF" w:rsidRDefault="003F57DF" w14:paraId="4C68D070" w14:textId="77777777">
      <w:pPr>
        <w:rPr>
          <w:rFonts w:ascii="Times New Roman" w:hAnsi="Times New Roman"/>
          <w:bCs/>
          <w:szCs w:val="26"/>
        </w:rPr>
      </w:pPr>
      <w:r w:rsidRPr="003F57DF">
        <w:rPr>
          <w:rFonts w:ascii="Times New Roman" w:hAnsi="Times New Roman"/>
          <w:bCs/>
          <w:szCs w:val="26"/>
        </w:rPr>
        <w:t>The PUCTRA fee applies to a carrier’s gross intrastate revenues</w:t>
      </w:r>
      <w:r w:rsidRPr="003F57DF">
        <w:rPr>
          <w:rFonts w:ascii="Times New Roman" w:hAnsi="Times New Roman"/>
          <w:bCs/>
          <w:szCs w:val="26"/>
          <w:vertAlign w:val="superscript"/>
        </w:rPr>
        <w:footnoteReference w:id="14"/>
      </w:r>
      <w:r w:rsidRPr="003F57DF">
        <w:rPr>
          <w:rFonts w:ascii="Times New Roman" w:hAnsi="Times New Roman"/>
          <w:bCs/>
          <w:szCs w:val="26"/>
        </w:rPr>
        <w:t xml:space="preserve"> for “all compensation for the transportation or storage of property or the transportation of persons when both the origin and destination of the transportation or the performance of the service is within this state….”</w:t>
      </w:r>
      <w:r w:rsidRPr="003F57DF">
        <w:rPr>
          <w:rFonts w:ascii="Times New Roman" w:hAnsi="Times New Roman"/>
          <w:bCs/>
          <w:szCs w:val="26"/>
          <w:vertAlign w:val="superscript"/>
        </w:rPr>
        <w:footnoteReference w:id="15"/>
      </w:r>
      <w:r w:rsidRPr="003F57DF">
        <w:rPr>
          <w:rFonts w:ascii="Times New Roman" w:hAnsi="Times New Roman"/>
          <w:bCs/>
          <w:szCs w:val="26"/>
        </w:rPr>
        <w:t xml:space="preserve"> The PUCTRA fee does not apply to “compensation for the transportation of persons or property in interstate or foreign commerce or the transportation of vehicles by ferries.” </w:t>
      </w:r>
    </w:p>
    <w:p w:rsidRPr="003F57DF" w:rsidR="003F57DF" w:rsidP="003F57DF" w:rsidRDefault="003F57DF" w14:paraId="6C113AC4" w14:textId="77777777">
      <w:pPr>
        <w:rPr>
          <w:rFonts w:ascii="Times New Roman" w:hAnsi="Times New Roman"/>
          <w:bCs/>
          <w:szCs w:val="26"/>
        </w:rPr>
      </w:pPr>
    </w:p>
    <w:p w:rsidRPr="003F57DF" w:rsidR="003F57DF" w:rsidP="003F57DF" w:rsidRDefault="003F57DF" w14:paraId="6C08687D" w14:textId="77777777">
      <w:pPr>
        <w:rPr>
          <w:rFonts w:ascii="Times New Roman" w:hAnsi="Times New Roman"/>
          <w:bCs/>
          <w:szCs w:val="26"/>
        </w:rPr>
      </w:pPr>
      <w:r w:rsidRPr="003F57DF">
        <w:rPr>
          <w:rFonts w:ascii="Times New Roman" w:hAnsi="Times New Roman"/>
          <w:bCs/>
          <w:szCs w:val="26"/>
        </w:rPr>
        <w:t>Per Public Utilities Code § 208, “‘Transportation of persons’ includes every service in connection with or incidental to the safety, comfort, or convenience of the person transported and the receipt, carriage, and delivery of such person and his baggage.”</w:t>
      </w:r>
      <w:r w:rsidRPr="003F57DF">
        <w:rPr>
          <w:rFonts w:ascii="Times New Roman" w:hAnsi="Times New Roman"/>
          <w:bCs/>
          <w:szCs w:val="26"/>
          <w:vertAlign w:val="superscript"/>
        </w:rPr>
        <w:footnoteReference w:id="16"/>
      </w:r>
      <w:r w:rsidRPr="003F57DF">
        <w:rPr>
          <w:rFonts w:ascii="Times New Roman" w:hAnsi="Times New Roman"/>
          <w:bCs/>
          <w:szCs w:val="26"/>
        </w:rPr>
        <w:t xml:space="preserve"> For tariffed common carriers, per Public Utilities Code § 494, “compensation for transportation” includes not only “fares” approved in their tariffs, but also other “rates” and “charges.”</w:t>
      </w:r>
      <w:r w:rsidRPr="003F57DF">
        <w:rPr>
          <w:rFonts w:ascii="Times New Roman" w:hAnsi="Times New Roman"/>
          <w:bCs/>
          <w:szCs w:val="26"/>
          <w:vertAlign w:val="superscript"/>
        </w:rPr>
        <w:footnoteReference w:id="17"/>
      </w:r>
      <w:r w:rsidRPr="003F57DF">
        <w:rPr>
          <w:rFonts w:ascii="Times New Roman" w:hAnsi="Times New Roman"/>
          <w:bCs/>
          <w:szCs w:val="26"/>
        </w:rPr>
        <w:br/>
      </w:r>
    </w:p>
    <w:p w:rsidRPr="003F57DF" w:rsidR="003F57DF" w:rsidP="003F57DF" w:rsidRDefault="003F57DF" w14:paraId="199D63D8" w14:textId="77777777">
      <w:pPr>
        <w:rPr>
          <w:rFonts w:ascii="Times New Roman" w:hAnsi="Times New Roman"/>
          <w:bCs/>
          <w:szCs w:val="26"/>
        </w:rPr>
      </w:pPr>
      <w:r w:rsidRPr="003F57DF">
        <w:rPr>
          <w:rFonts w:ascii="Times New Roman" w:hAnsi="Times New Roman"/>
          <w:bCs/>
          <w:szCs w:val="26"/>
        </w:rPr>
        <w:t xml:space="preserve">The Public Utilities Code specifies that the fee applies to “gross” revenue and “all” compensation for transportation. Revenue is not limited to net revenues or “fares,” and the Public Utilities Code defines “transportation of persons” broadly to include the collection and payment charges incidental to the delivery of transported persons. As such, fees such as bridge tolls, wharfage fees, and similar charges collected from passengers is considered gross revenue derived from compensation for transportation and subject to the PUCTRA fee. This also includes Access for All fees, authorized by Chapter 701, Statutes of 2018 (Senate Bill 1376) to support transportation access for wheelchair users. </w:t>
      </w:r>
    </w:p>
    <w:p w:rsidRPr="003F57DF" w:rsidR="003F57DF" w:rsidP="003F57DF" w:rsidRDefault="003F57DF" w14:paraId="460C269E" w14:textId="77777777">
      <w:pPr>
        <w:rPr>
          <w:rFonts w:ascii="Times New Roman" w:hAnsi="Times New Roman"/>
          <w:b/>
          <w:szCs w:val="26"/>
          <w:u w:val="single"/>
        </w:rPr>
      </w:pPr>
    </w:p>
    <w:p w:rsidRPr="003F57DF" w:rsidR="003F57DF" w:rsidP="003F57DF" w:rsidRDefault="003F57DF" w14:paraId="5B324A5F" w14:textId="77777777">
      <w:pPr>
        <w:rPr>
          <w:rFonts w:ascii="Times New Roman" w:hAnsi="Times New Roman"/>
          <w:bCs/>
          <w:szCs w:val="26"/>
        </w:rPr>
      </w:pPr>
      <w:r w:rsidRPr="003F57DF">
        <w:rPr>
          <w:rFonts w:ascii="Times New Roman" w:hAnsi="Times New Roman"/>
          <w:bCs/>
          <w:szCs w:val="26"/>
        </w:rPr>
        <w:t xml:space="preserve">The purpose of this clarification on revenue subject to the PUCTRA fee is to provide guidance to regulated entities and to ensure revenues are calculated in a consistent way. The Commission does not intend to increase total dollar amounts collected by clarifying that “gross intrastate revenues” include certain charges, because this resolution calculates </w:t>
      </w:r>
      <w:r w:rsidRPr="003F57DF">
        <w:rPr>
          <w:rFonts w:ascii="Times New Roman" w:hAnsi="Times New Roman"/>
          <w:bCs/>
          <w:szCs w:val="26"/>
        </w:rPr>
        <w:lastRenderedPageBreak/>
        <w:t>the percentages of PUCTRA fee to produce the authorized Commission budget, plus an appropriate reserve.</w:t>
      </w:r>
      <w:r w:rsidRPr="003F57DF">
        <w:rPr>
          <w:rFonts w:ascii="Times New Roman" w:hAnsi="Times New Roman"/>
          <w:bCs/>
          <w:szCs w:val="26"/>
          <w:vertAlign w:val="superscript"/>
        </w:rPr>
        <w:footnoteReference w:id="18"/>
      </w:r>
      <w:r w:rsidRPr="003F57DF">
        <w:rPr>
          <w:rFonts w:ascii="Times New Roman" w:hAnsi="Times New Roman"/>
          <w:bCs/>
          <w:szCs w:val="26"/>
        </w:rPr>
        <w:t xml:space="preserve"> </w:t>
      </w:r>
    </w:p>
    <w:p w:rsidR="000D7EC1" w:rsidRDefault="000D7EC1" w14:paraId="216B2158" w14:textId="1235F110">
      <w:pPr>
        <w:rPr>
          <w:rFonts w:ascii="Times New Roman" w:hAnsi="Times New Roman"/>
          <w:b/>
          <w:caps/>
          <w:kern w:val="28"/>
          <w:u w:val="single"/>
        </w:rPr>
      </w:pPr>
    </w:p>
    <w:p w:rsidRPr="00F1204E" w:rsidR="00CF17DE" w:rsidRDefault="00CF17DE" w14:paraId="18822EA7" w14:textId="3E06AEC2">
      <w:pPr>
        <w:pStyle w:val="Heading1"/>
        <w:rPr>
          <w:rFonts w:ascii="Times New Roman" w:hAnsi="Times New Roman"/>
        </w:rPr>
      </w:pPr>
      <w:r w:rsidRPr="00F1204E">
        <w:rPr>
          <w:rFonts w:ascii="Times New Roman" w:hAnsi="Times New Roman"/>
        </w:rPr>
        <w:t>Comments</w:t>
      </w:r>
    </w:p>
    <w:p w:rsidRPr="00F1204E" w:rsidR="00CF17DE" w:rsidRDefault="00CF17DE" w14:paraId="0DC82BF5" w14:textId="25EAF0C8">
      <w:pPr>
        <w:rPr>
          <w:rFonts w:ascii="Times New Roman" w:hAnsi="Times New Roman"/>
        </w:rPr>
      </w:pPr>
      <w:r w:rsidRPr="00F1204E">
        <w:rPr>
          <w:rFonts w:ascii="Times New Roman" w:hAnsi="Times New Roman"/>
        </w:rPr>
        <w:t xml:space="preserve">Public Utilities Code section 311(g)(1) provides that this resolution must be served on all parties and subject to at least 30 days public review and comment prior to a vote of the Commission.  Section 311(g)(2) provides that this 30-day period may be reduced or waived upon the stipulation of all parties in the proceeding.  </w:t>
      </w:r>
    </w:p>
    <w:p w:rsidRPr="00F1204E" w:rsidR="00CF17DE" w:rsidRDefault="00CF17DE" w14:paraId="534B1218" w14:textId="77777777">
      <w:pPr>
        <w:rPr>
          <w:rFonts w:ascii="Times New Roman" w:hAnsi="Times New Roman"/>
        </w:rPr>
      </w:pPr>
    </w:p>
    <w:p w:rsidRPr="00F1204E" w:rsidR="00CF17DE" w:rsidRDefault="00CF17DE" w14:paraId="0202167D" w14:textId="19F71C8D">
      <w:pPr>
        <w:rPr>
          <w:rFonts w:ascii="Times New Roman" w:hAnsi="Times New Roman"/>
        </w:rPr>
      </w:pPr>
      <w:r w:rsidRPr="00F1204E">
        <w:rPr>
          <w:rFonts w:ascii="Times New Roman" w:hAnsi="Times New Roman"/>
        </w:rPr>
        <w:t xml:space="preserve">The 30-day comment period for the draft of this resolution was neither waived </w:t>
      </w:r>
      <w:proofErr w:type="gramStart"/>
      <w:r w:rsidRPr="00F1204E">
        <w:rPr>
          <w:rFonts w:ascii="Times New Roman" w:hAnsi="Times New Roman"/>
        </w:rPr>
        <w:t>or</w:t>
      </w:r>
      <w:proofErr w:type="gramEnd"/>
      <w:r w:rsidRPr="00F1204E">
        <w:rPr>
          <w:rFonts w:ascii="Times New Roman" w:hAnsi="Times New Roman"/>
        </w:rPr>
        <w:t xml:space="preserve"> reduced.  Accordingly, this draft resolution was mailed to parties for comments, and will be placed on the Commission's agenda no earlier than 30 days from today.  </w:t>
      </w:r>
    </w:p>
    <w:p w:rsidRPr="00F1204E" w:rsidR="00CF17DE" w:rsidRDefault="00CF17DE" w14:paraId="7A7AEE8C" w14:textId="77777777">
      <w:pPr>
        <w:rPr>
          <w:rFonts w:ascii="Times New Roman" w:hAnsi="Times New Roman"/>
          <w:b/>
        </w:rPr>
      </w:pPr>
    </w:p>
    <w:p w:rsidR="00F55C2A" w:rsidRDefault="00F55C2A" w14:paraId="1AD65EF7" w14:textId="77777777">
      <w:pPr>
        <w:rPr>
          <w:rFonts w:ascii="Times New Roman" w:hAnsi="Times New Roman"/>
          <w:b/>
          <w:caps/>
          <w:kern w:val="28"/>
          <w:u w:val="single"/>
        </w:rPr>
      </w:pPr>
      <w:r>
        <w:rPr>
          <w:rFonts w:ascii="Times New Roman" w:hAnsi="Times New Roman"/>
        </w:rPr>
        <w:br w:type="page"/>
      </w:r>
    </w:p>
    <w:p w:rsidRPr="00F1204E" w:rsidR="00CF17DE" w:rsidRDefault="00CF17DE" w14:paraId="591E64B3" w14:textId="3A6DA16B">
      <w:pPr>
        <w:pStyle w:val="Heading1"/>
        <w:rPr>
          <w:rFonts w:ascii="Times New Roman" w:hAnsi="Times New Roman"/>
        </w:rPr>
      </w:pPr>
      <w:r w:rsidRPr="00F1204E">
        <w:rPr>
          <w:rFonts w:ascii="Times New Roman" w:hAnsi="Times New Roman"/>
        </w:rPr>
        <w:lastRenderedPageBreak/>
        <w:t>Therefore</w:t>
      </w:r>
      <w:r w:rsidR="000D7EC1">
        <w:rPr>
          <w:rFonts w:ascii="Times New Roman" w:hAnsi="Times New Roman"/>
        </w:rPr>
        <w:t>,</w:t>
      </w:r>
      <w:r w:rsidRPr="00F1204E">
        <w:rPr>
          <w:rFonts w:ascii="Times New Roman" w:hAnsi="Times New Roman"/>
        </w:rPr>
        <w:t xml:space="preserve"> it is ordered that:</w:t>
      </w:r>
    </w:p>
    <w:p w:rsidRPr="000D7EC1" w:rsidR="000D7EC1" w:rsidP="000D7EC1" w:rsidRDefault="000D7EC1" w14:paraId="4515FBE6" w14:textId="77777777">
      <w:pPr>
        <w:numPr>
          <w:ilvl w:val="0"/>
          <w:numId w:val="7"/>
        </w:numPr>
        <w:contextualSpacing/>
        <w:rPr>
          <w:rFonts w:ascii="Times New Roman" w:hAnsi="Times New Roman"/>
          <w:szCs w:val="26"/>
        </w:rPr>
      </w:pPr>
      <w:r w:rsidRPr="000D7EC1">
        <w:rPr>
          <w:rFonts w:ascii="Times New Roman" w:hAnsi="Times New Roman"/>
          <w:szCs w:val="26"/>
        </w:rPr>
        <w:t>The current Public Utilities Commission Transportation Reimbursement Account user fees provided for in Public Utilities Code Section 421 shall be revised as follows:</w:t>
      </w:r>
    </w:p>
    <w:p w:rsidRPr="000D7EC1" w:rsidR="000D7EC1" w:rsidP="000D7EC1" w:rsidRDefault="000D7EC1" w14:paraId="776D8A48" w14:textId="77777777">
      <w:pPr>
        <w:keepNext/>
        <w:ind w:left="720"/>
        <w:outlineLvl w:val="1"/>
        <w:rPr>
          <w:rFonts w:ascii="Times New Roman" w:hAnsi="Times New Roman"/>
          <w:szCs w:val="26"/>
        </w:rPr>
      </w:pPr>
    </w:p>
    <w:tbl>
      <w:tblPr>
        <w:tblStyle w:val="TableGridLight1"/>
        <w:tblW w:w="9360"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5418"/>
        <w:gridCol w:w="3942"/>
      </w:tblGrid>
      <w:tr w:rsidRPr="000D7EC1" w:rsidR="000D7EC1" w:rsidTr="00E75A1C" w14:paraId="7A3DC013" w14:textId="77777777">
        <w:tc>
          <w:tcPr>
            <w:tcW w:w="5418" w:type="dxa"/>
            <w:tcBorders>
              <w:bottom w:val="single" w:color="auto" w:sz="4" w:space="0"/>
            </w:tcBorders>
          </w:tcPr>
          <w:p w:rsidRPr="000D7EC1" w:rsidR="000D7EC1" w:rsidP="000D7EC1" w:rsidRDefault="000D7EC1" w14:paraId="405EE34B" w14:textId="77777777">
            <w:pPr>
              <w:keepNext/>
              <w:outlineLvl w:val="1"/>
              <w:rPr>
                <w:rFonts w:ascii="Times New Roman" w:hAnsi="Times New Roman"/>
                <w:b/>
                <w:szCs w:val="26"/>
                <w:u w:val="single"/>
              </w:rPr>
            </w:pPr>
            <w:r w:rsidRPr="000D7EC1">
              <w:rPr>
                <w:rFonts w:ascii="Times New Roman" w:hAnsi="Times New Roman"/>
                <w:b/>
                <w:szCs w:val="26"/>
                <w:u w:val="single"/>
              </w:rPr>
              <w:t>CLASS</w:t>
            </w:r>
          </w:p>
        </w:tc>
        <w:tc>
          <w:tcPr>
            <w:tcW w:w="3942" w:type="dxa"/>
            <w:tcBorders>
              <w:bottom w:val="single" w:color="auto" w:sz="4" w:space="0"/>
            </w:tcBorders>
          </w:tcPr>
          <w:p w:rsidRPr="000D7EC1" w:rsidR="000D7EC1" w:rsidP="000D7EC1" w:rsidRDefault="000D7EC1" w14:paraId="134286E5" w14:textId="77777777">
            <w:pPr>
              <w:keepNext/>
              <w:outlineLvl w:val="1"/>
              <w:rPr>
                <w:rFonts w:ascii="Times New Roman" w:hAnsi="Times New Roman"/>
                <w:b/>
                <w:szCs w:val="26"/>
                <w:u w:val="single"/>
              </w:rPr>
            </w:pPr>
            <w:r w:rsidRPr="000D7EC1">
              <w:rPr>
                <w:rFonts w:ascii="Times New Roman" w:hAnsi="Times New Roman"/>
                <w:b/>
                <w:szCs w:val="26"/>
                <w:u w:val="single"/>
              </w:rPr>
              <w:t>FEE</w:t>
            </w:r>
          </w:p>
        </w:tc>
      </w:tr>
      <w:tr w:rsidRPr="000D7EC1" w:rsidR="000D7EC1" w:rsidTr="00E75A1C" w14:paraId="1CFF1EA4"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9360" w:type="dxa"/>
            <w:gridSpan w:val="2"/>
            <w:tcBorders>
              <w:top w:val="single" w:color="auto" w:sz="4" w:space="0"/>
              <w:left w:val="single" w:color="auto" w:sz="4" w:space="0"/>
              <w:bottom w:val="single" w:color="auto" w:sz="4" w:space="0"/>
              <w:right w:val="single" w:color="auto" w:sz="4" w:space="0"/>
            </w:tcBorders>
          </w:tcPr>
          <w:p w:rsidRPr="000D7EC1" w:rsidR="000D7EC1" w:rsidP="000D7EC1" w:rsidRDefault="000D7EC1" w14:paraId="2DFEA4A5" w14:textId="77777777">
            <w:pPr>
              <w:keepNext/>
              <w:outlineLvl w:val="1"/>
              <w:rPr>
                <w:rFonts w:ascii="Times New Roman" w:hAnsi="Times New Roman"/>
                <w:szCs w:val="26"/>
              </w:rPr>
            </w:pPr>
            <w:r w:rsidRPr="000D7EC1">
              <w:rPr>
                <w:rFonts w:ascii="Times New Roman" w:hAnsi="Times New Roman"/>
                <w:szCs w:val="26"/>
              </w:rPr>
              <w:t>Passenger Vehicle Operators:</w:t>
            </w:r>
          </w:p>
        </w:tc>
      </w:tr>
      <w:tr w:rsidRPr="000D7EC1" w:rsidR="000D7EC1" w:rsidTr="00E75A1C" w14:paraId="55B709C5"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rPr>
          <w:trHeight w:val="895"/>
        </w:trPr>
        <w:tc>
          <w:tcPr>
            <w:tcW w:w="5418" w:type="dxa"/>
            <w:tcBorders>
              <w:top w:val="single" w:color="auto" w:sz="4" w:space="0"/>
              <w:left w:val="single" w:color="auto" w:sz="4" w:space="0"/>
              <w:bottom w:val="single" w:color="auto" w:sz="4" w:space="0"/>
              <w:right w:val="single" w:color="auto" w:sz="4" w:space="0"/>
            </w:tcBorders>
          </w:tcPr>
          <w:p w:rsidRPr="000D7EC1" w:rsidR="000D7EC1" w:rsidP="000D7EC1" w:rsidRDefault="000D7EC1" w14:paraId="0247451C" w14:textId="77777777">
            <w:pPr>
              <w:keepNext/>
              <w:ind w:left="161"/>
              <w:outlineLvl w:val="1"/>
              <w:rPr>
                <w:rFonts w:ascii="Times New Roman" w:hAnsi="Times New Roman"/>
                <w:szCs w:val="26"/>
              </w:rPr>
            </w:pPr>
            <w:r w:rsidRPr="000D7EC1">
              <w:rPr>
                <w:rFonts w:ascii="Times New Roman" w:hAnsi="Times New Roman"/>
                <w:szCs w:val="26"/>
              </w:rPr>
              <w:t>Charter-Party Carriers, including Transportation Network Companies and Passenger Stage Corporations</w:t>
            </w:r>
          </w:p>
        </w:tc>
        <w:tc>
          <w:tcPr>
            <w:tcW w:w="3942" w:type="dxa"/>
            <w:tcBorders>
              <w:top w:val="single" w:color="auto" w:sz="4" w:space="0"/>
              <w:left w:val="single" w:color="auto" w:sz="4" w:space="0"/>
              <w:bottom w:val="single" w:color="auto" w:sz="4" w:space="0"/>
              <w:right w:val="single" w:color="auto" w:sz="4" w:space="0"/>
            </w:tcBorders>
          </w:tcPr>
          <w:p w:rsidRPr="000D7EC1" w:rsidR="000D7EC1" w:rsidP="000D7EC1" w:rsidRDefault="000D7EC1" w14:paraId="0332FA40" w14:textId="2D05DC15">
            <w:pPr>
              <w:keepNext/>
              <w:outlineLvl w:val="1"/>
              <w:rPr>
                <w:rFonts w:ascii="Times New Roman" w:hAnsi="Times New Roman"/>
                <w:szCs w:val="26"/>
              </w:rPr>
            </w:pPr>
            <w:r w:rsidRPr="000D7EC1">
              <w:rPr>
                <w:rFonts w:ascii="Times New Roman" w:hAnsi="Times New Roman"/>
                <w:szCs w:val="26"/>
              </w:rPr>
              <w:t>0.003 (0.3</w:t>
            </w:r>
            <w:r w:rsidR="00F55C2A">
              <w:rPr>
                <w:rFonts w:ascii="Times New Roman" w:hAnsi="Times New Roman"/>
                <w:szCs w:val="26"/>
              </w:rPr>
              <w:t xml:space="preserve"> percent</w:t>
            </w:r>
            <w:r w:rsidRPr="000D7EC1">
              <w:rPr>
                <w:rFonts w:ascii="Times New Roman" w:hAnsi="Times New Roman"/>
                <w:szCs w:val="26"/>
              </w:rPr>
              <w:t>) of gross intrastate revenue plus minimum $10 quarterly fee or $25 annual fee</w:t>
            </w:r>
          </w:p>
        </w:tc>
      </w:tr>
      <w:tr w:rsidRPr="000D7EC1" w:rsidR="000D7EC1" w:rsidTr="00E75A1C" w14:paraId="6B7110DD"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9360" w:type="dxa"/>
            <w:gridSpan w:val="2"/>
            <w:tcBorders>
              <w:top w:val="single" w:color="auto" w:sz="4" w:space="0"/>
              <w:left w:val="single" w:color="auto" w:sz="4" w:space="0"/>
              <w:bottom w:val="single" w:color="auto" w:sz="4" w:space="0"/>
              <w:right w:val="single" w:color="auto" w:sz="4" w:space="0"/>
            </w:tcBorders>
          </w:tcPr>
          <w:p w:rsidRPr="000D7EC1" w:rsidR="000D7EC1" w:rsidP="000D7EC1" w:rsidRDefault="000D7EC1" w14:paraId="69FEB4F5" w14:textId="77777777">
            <w:pPr>
              <w:keepNext/>
              <w:outlineLvl w:val="1"/>
              <w:rPr>
                <w:rFonts w:ascii="Times New Roman" w:hAnsi="Times New Roman"/>
                <w:szCs w:val="26"/>
              </w:rPr>
            </w:pPr>
            <w:r w:rsidRPr="000D7EC1">
              <w:rPr>
                <w:rFonts w:ascii="Times New Roman" w:hAnsi="Times New Roman"/>
                <w:szCs w:val="26"/>
              </w:rPr>
              <w:t>Vessel Operators:</w:t>
            </w:r>
          </w:p>
        </w:tc>
      </w:tr>
      <w:tr w:rsidRPr="000D7EC1" w:rsidR="000D7EC1" w:rsidTr="00E75A1C" w14:paraId="6E2FEFBA"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rPr>
          <w:trHeight w:val="818"/>
        </w:trPr>
        <w:tc>
          <w:tcPr>
            <w:tcW w:w="5418" w:type="dxa"/>
            <w:tcBorders>
              <w:top w:val="single" w:color="auto" w:sz="4" w:space="0"/>
              <w:left w:val="single" w:color="auto" w:sz="4" w:space="0"/>
              <w:bottom w:val="single" w:color="auto" w:sz="4" w:space="0"/>
              <w:right w:val="single" w:color="auto" w:sz="4" w:space="0"/>
            </w:tcBorders>
          </w:tcPr>
          <w:p w:rsidRPr="000D7EC1" w:rsidR="000D7EC1" w:rsidP="000D7EC1" w:rsidRDefault="000D7EC1" w14:paraId="6BA0E3C5" w14:textId="77777777">
            <w:pPr>
              <w:ind w:left="150"/>
              <w:rPr>
                <w:rFonts w:ascii="Times New Roman" w:hAnsi="Times New Roman"/>
                <w:szCs w:val="26"/>
              </w:rPr>
            </w:pPr>
            <w:r w:rsidRPr="000D7EC1">
              <w:rPr>
                <w:rFonts w:ascii="Times New Roman" w:hAnsi="Times New Roman"/>
                <w:szCs w:val="26"/>
              </w:rPr>
              <w:t>Common Carrier Vessel Operator</w:t>
            </w:r>
            <w:r w:rsidRPr="000D7EC1">
              <w:rPr>
                <w:rFonts w:ascii="Times New Roman" w:hAnsi="Times New Roman"/>
                <w:szCs w:val="26"/>
              </w:rPr>
              <w:tab/>
            </w:r>
          </w:p>
        </w:tc>
        <w:tc>
          <w:tcPr>
            <w:tcW w:w="3942" w:type="dxa"/>
            <w:tcBorders>
              <w:top w:val="single" w:color="auto" w:sz="4" w:space="0"/>
              <w:left w:val="single" w:color="auto" w:sz="4" w:space="0"/>
              <w:bottom w:val="single" w:color="auto" w:sz="4" w:space="0"/>
              <w:right w:val="single" w:color="auto" w:sz="4" w:space="0"/>
            </w:tcBorders>
          </w:tcPr>
          <w:p w:rsidRPr="000D7EC1" w:rsidR="000D7EC1" w:rsidP="000D7EC1" w:rsidRDefault="000D7EC1" w14:paraId="164EF594" w14:textId="54D8EDDD">
            <w:pPr>
              <w:rPr>
                <w:rFonts w:ascii="Times New Roman" w:hAnsi="Times New Roman"/>
                <w:szCs w:val="26"/>
              </w:rPr>
            </w:pPr>
            <w:r w:rsidRPr="000D7EC1">
              <w:rPr>
                <w:rFonts w:ascii="Times New Roman" w:hAnsi="Times New Roman"/>
                <w:szCs w:val="26"/>
              </w:rPr>
              <w:t>0.0055 (0.55</w:t>
            </w:r>
            <w:r w:rsidR="00F55C2A">
              <w:rPr>
                <w:rFonts w:ascii="Times New Roman" w:hAnsi="Times New Roman"/>
                <w:szCs w:val="26"/>
              </w:rPr>
              <w:t xml:space="preserve"> percent</w:t>
            </w:r>
            <w:r w:rsidRPr="000D7EC1">
              <w:rPr>
                <w:rFonts w:ascii="Times New Roman" w:hAnsi="Times New Roman"/>
                <w:szCs w:val="26"/>
              </w:rPr>
              <w:t>) of gross intrastate revenue plus minimum $10 quarterly fee or $25 annual fee</w:t>
            </w:r>
          </w:p>
        </w:tc>
      </w:tr>
      <w:tr w:rsidRPr="000D7EC1" w:rsidR="000D7EC1" w:rsidTr="00E75A1C" w14:paraId="3F396A06"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rPr>
          <w:trHeight w:val="350"/>
        </w:trPr>
        <w:tc>
          <w:tcPr>
            <w:tcW w:w="9360" w:type="dxa"/>
            <w:gridSpan w:val="2"/>
            <w:tcBorders>
              <w:top w:val="single" w:color="auto" w:sz="4" w:space="0"/>
              <w:left w:val="single" w:color="auto" w:sz="4" w:space="0"/>
              <w:bottom w:val="single" w:color="auto" w:sz="4" w:space="0"/>
              <w:right w:val="single" w:color="auto" w:sz="4" w:space="0"/>
            </w:tcBorders>
            <w:vAlign w:val="bottom"/>
          </w:tcPr>
          <w:p w:rsidRPr="000D7EC1" w:rsidR="000D7EC1" w:rsidP="000D7EC1" w:rsidRDefault="000D7EC1" w14:paraId="400C9EEB" w14:textId="77777777">
            <w:pPr>
              <w:rPr>
                <w:rFonts w:ascii="Times New Roman" w:hAnsi="Times New Roman"/>
                <w:szCs w:val="26"/>
              </w:rPr>
            </w:pPr>
            <w:r w:rsidRPr="000D7EC1">
              <w:rPr>
                <w:rFonts w:ascii="Times New Roman" w:hAnsi="Times New Roman"/>
                <w:szCs w:val="26"/>
              </w:rPr>
              <w:t>Railroad Corporations:</w:t>
            </w:r>
          </w:p>
        </w:tc>
      </w:tr>
      <w:tr w:rsidRPr="000D7EC1" w:rsidR="000D7EC1" w:rsidTr="00E75A1C" w14:paraId="15D73785"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9360" w:type="dxa"/>
            <w:gridSpan w:val="2"/>
            <w:tcBorders>
              <w:top w:val="single" w:color="auto" w:sz="4" w:space="0"/>
              <w:left w:val="single" w:color="auto" w:sz="4" w:space="0"/>
              <w:bottom w:val="single" w:color="auto" w:sz="4" w:space="0"/>
              <w:right w:val="single" w:color="auto" w:sz="4" w:space="0"/>
            </w:tcBorders>
          </w:tcPr>
          <w:p w:rsidRPr="000D7EC1" w:rsidR="000D7EC1" w:rsidP="000D7EC1" w:rsidRDefault="000D7EC1" w14:paraId="18A53B0E" w14:textId="77777777">
            <w:pPr>
              <w:rPr>
                <w:rFonts w:ascii="Times New Roman" w:hAnsi="Times New Roman"/>
                <w:szCs w:val="26"/>
              </w:rPr>
            </w:pPr>
            <w:r w:rsidRPr="000D7EC1">
              <w:rPr>
                <w:rFonts w:ascii="Times New Roman" w:hAnsi="Times New Roman"/>
                <w:szCs w:val="26"/>
              </w:rPr>
              <w:t>Class I:</w:t>
            </w:r>
          </w:p>
        </w:tc>
      </w:tr>
      <w:tr w:rsidRPr="000D7EC1" w:rsidR="000D7EC1" w:rsidTr="00E75A1C" w14:paraId="0F80FA8B"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5418" w:type="dxa"/>
            <w:tcBorders>
              <w:top w:val="single" w:color="auto" w:sz="4" w:space="0"/>
              <w:left w:val="single" w:color="auto" w:sz="4" w:space="0"/>
              <w:bottom w:val="single" w:color="auto" w:sz="4" w:space="0"/>
              <w:right w:val="single" w:color="auto" w:sz="4" w:space="0"/>
            </w:tcBorders>
          </w:tcPr>
          <w:p w:rsidRPr="000D7EC1" w:rsidR="000D7EC1" w:rsidP="000D7EC1" w:rsidRDefault="000D7EC1" w14:paraId="7C799BF7" w14:textId="77777777">
            <w:pPr>
              <w:ind w:firstLine="521"/>
              <w:rPr>
                <w:rFonts w:ascii="Times New Roman" w:hAnsi="Times New Roman"/>
                <w:szCs w:val="26"/>
              </w:rPr>
            </w:pPr>
            <w:r w:rsidRPr="000D7EC1">
              <w:rPr>
                <w:rFonts w:ascii="Times New Roman" w:hAnsi="Times New Roman"/>
                <w:szCs w:val="26"/>
              </w:rPr>
              <w:t>Burlington Northern Santa Fe</w:t>
            </w:r>
          </w:p>
        </w:tc>
        <w:tc>
          <w:tcPr>
            <w:tcW w:w="3942" w:type="dxa"/>
            <w:tcBorders>
              <w:top w:val="single" w:color="auto" w:sz="4" w:space="0"/>
              <w:left w:val="single" w:color="auto" w:sz="4" w:space="0"/>
              <w:bottom w:val="single" w:color="auto" w:sz="4" w:space="0"/>
              <w:right w:val="single" w:color="auto" w:sz="4" w:space="0"/>
            </w:tcBorders>
          </w:tcPr>
          <w:p w:rsidRPr="000D7EC1" w:rsidR="000D7EC1" w:rsidP="000D7EC1" w:rsidRDefault="000D7EC1" w14:paraId="60614AD7" w14:textId="77777777">
            <w:pPr>
              <w:ind w:left="789"/>
              <w:jc w:val="right"/>
              <w:rPr>
                <w:rFonts w:ascii="Times New Roman" w:hAnsi="Times New Roman"/>
                <w:szCs w:val="26"/>
              </w:rPr>
            </w:pPr>
            <w:r w:rsidRPr="000D7EC1">
              <w:rPr>
                <w:rFonts w:ascii="Times New Roman" w:hAnsi="Times New Roman"/>
                <w:szCs w:val="26"/>
              </w:rPr>
              <w:t>$3,843,422.20</w:t>
            </w:r>
          </w:p>
        </w:tc>
      </w:tr>
      <w:tr w:rsidRPr="000D7EC1" w:rsidR="000D7EC1" w:rsidTr="00E75A1C" w14:paraId="6CF8A12B"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5418" w:type="dxa"/>
            <w:tcBorders>
              <w:top w:val="single" w:color="auto" w:sz="4" w:space="0"/>
              <w:left w:val="single" w:color="auto" w:sz="4" w:space="0"/>
              <w:bottom w:val="single" w:color="auto" w:sz="4" w:space="0"/>
              <w:right w:val="single" w:color="auto" w:sz="4" w:space="0"/>
            </w:tcBorders>
          </w:tcPr>
          <w:p w:rsidRPr="000D7EC1" w:rsidR="000D7EC1" w:rsidP="000D7EC1" w:rsidRDefault="000D7EC1" w14:paraId="62185134" w14:textId="77777777">
            <w:pPr>
              <w:ind w:firstLine="521"/>
              <w:rPr>
                <w:rFonts w:ascii="Times New Roman" w:hAnsi="Times New Roman"/>
                <w:szCs w:val="26"/>
              </w:rPr>
            </w:pPr>
            <w:r w:rsidRPr="000D7EC1">
              <w:rPr>
                <w:rFonts w:ascii="Times New Roman" w:hAnsi="Times New Roman"/>
                <w:szCs w:val="26"/>
              </w:rPr>
              <w:t>Union Pacific</w:t>
            </w:r>
          </w:p>
        </w:tc>
        <w:tc>
          <w:tcPr>
            <w:tcW w:w="3942" w:type="dxa"/>
            <w:tcBorders>
              <w:top w:val="single" w:color="auto" w:sz="4" w:space="0"/>
              <w:left w:val="single" w:color="auto" w:sz="4" w:space="0"/>
              <w:bottom w:val="single" w:color="auto" w:sz="4" w:space="0"/>
              <w:right w:val="single" w:color="auto" w:sz="4" w:space="0"/>
            </w:tcBorders>
          </w:tcPr>
          <w:p w:rsidRPr="000D7EC1" w:rsidR="000D7EC1" w:rsidP="000D7EC1" w:rsidRDefault="000D7EC1" w14:paraId="59F02642" w14:textId="77777777">
            <w:pPr>
              <w:ind w:left="789"/>
              <w:jc w:val="right"/>
              <w:rPr>
                <w:rFonts w:ascii="Times New Roman" w:hAnsi="Times New Roman"/>
                <w:szCs w:val="26"/>
              </w:rPr>
            </w:pPr>
            <w:r w:rsidRPr="000D7EC1">
              <w:rPr>
                <w:rFonts w:ascii="Times New Roman" w:hAnsi="Times New Roman"/>
                <w:szCs w:val="26"/>
              </w:rPr>
              <w:t>$9,412,257.80</w:t>
            </w:r>
          </w:p>
        </w:tc>
      </w:tr>
      <w:tr w:rsidRPr="000D7EC1" w:rsidR="000D7EC1" w:rsidTr="00E75A1C" w14:paraId="597E6857"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c>
          <w:tcPr>
            <w:tcW w:w="5418" w:type="dxa"/>
            <w:tcBorders>
              <w:top w:val="single" w:color="auto" w:sz="4" w:space="0"/>
              <w:left w:val="single" w:color="auto" w:sz="4" w:space="0"/>
              <w:bottom w:val="single" w:color="auto" w:sz="4" w:space="0"/>
              <w:right w:val="single" w:color="auto" w:sz="4" w:space="0"/>
            </w:tcBorders>
          </w:tcPr>
          <w:p w:rsidRPr="000D7EC1" w:rsidR="000D7EC1" w:rsidP="000D7EC1" w:rsidRDefault="000D7EC1" w14:paraId="194BDDBE" w14:textId="77777777">
            <w:pPr>
              <w:rPr>
                <w:rFonts w:ascii="Times New Roman" w:hAnsi="Times New Roman"/>
                <w:szCs w:val="26"/>
              </w:rPr>
            </w:pPr>
            <w:r w:rsidRPr="000D7EC1">
              <w:rPr>
                <w:rFonts w:ascii="Times New Roman" w:hAnsi="Times New Roman"/>
                <w:szCs w:val="26"/>
              </w:rPr>
              <w:t>Class II and III (</w:t>
            </w:r>
            <w:proofErr w:type="spellStart"/>
            <w:r w:rsidRPr="000D7EC1">
              <w:rPr>
                <w:rFonts w:ascii="Times New Roman" w:hAnsi="Times New Roman"/>
                <w:szCs w:val="26"/>
              </w:rPr>
              <w:t>shortline</w:t>
            </w:r>
            <w:proofErr w:type="spellEnd"/>
            <w:r w:rsidRPr="000D7EC1">
              <w:rPr>
                <w:rFonts w:ascii="Times New Roman" w:hAnsi="Times New Roman"/>
                <w:szCs w:val="26"/>
              </w:rPr>
              <w:t>)</w:t>
            </w:r>
          </w:p>
        </w:tc>
        <w:tc>
          <w:tcPr>
            <w:tcW w:w="3942" w:type="dxa"/>
            <w:tcBorders>
              <w:top w:val="single" w:color="auto" w:sz="4" w:space="0"/>
              <w:left w:val="single" w:color="auto" w:sz="4" w:space="0"/>
              <w:bottom w:val="single" w:color="auto" w:sz="4" w:space="0"/>
              <w:right w:val="single" w:color="auto" w:sz="4" w:space="0"/>
            </w:tcBorders>
          </w:tcPr>
          <w:p w:rsidRPr="000D7EC1" w:rsidR="000D7EC1" w:rsidP="000D7EC1" w:rsidRDefault="000D7EC1" w14:paraId="0E8683E4" w14:textId="69524297">
            <w:pPr>
              <w:rPr>
                <w:rFonts w:ascii="Times New Roman" w:hAnsi="Times New Roman"/>
                <w:szCs w:val="26"/>
              </w:rPr>
            </w:pPr>
            <w:r w:rsidRPr="000D7EC1">
              <w:rPr>
                <w:rFonts w:ascii="Times New Roman" w:hAnsi="Times New Roman"/>
                <w:szCs w:val="26"/>
              </w:rPr>
              <w:t>$552,320 or 0.004 (0.4</w:t>
            </w:r>
            <w:r w:rsidR="00F55C2A">
              <w:rPr>
                <w:rFonts w:ascii="Times New Roman" w:hAnsi="Times New Roman"/>
                <w:szCs w:val="26"/>
              </w:rPr>
              <w:t xml:space="preserve"> percent</w:t>
            </w:r>
            <w:r w:rsidRPr="000D7EC1">
              <w:rPr>
                <w:rFonts w:ascii="Times New Roman" w:hAnsi="Times New Roman"/>
                <w:szCs w:val="26"/>
              </w:rPr>
              <w:t>) of gross intrastate revenue, minimum of $500 each</w:t>
            </w:r>
          </w:p>
        </w:tc>
      </w:tr>
      <w:tr w:rsidRPr="000D7EC1" w:rsidR="000D7EC1" w:rsidTr="00E75A1C" w14:paraId="7E02430B"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Ex>
        <w:trPr>
          <w:trHeight w:val="395"/>
        </w:trPr>
        <w:tc>
          <w:tcPr>
            <w:tcW w:w="5418" w:type="dxa"/>
            <w:tcBorders>
              <w:top w:val="single" w:color="auto" w:sz="4" w:space="0"/>
              <w:left w:val="single" w:color="auto" w:sz="4" w:space="0"/>
              <w:bottom w:val="single" w:color="auto" w:sz="4" w:space="0"/>
              <w:right w:val="single" w:color="auto" w:sz="4" w:space="0"/>
            </w:tcBorders>
          </w:tcPr>
          <w:p w:rsidRPr="000D7EC1" w:rsidR="000D7EC1" w:rsidP="000D7EC1" w:rsidRDefault="000D7EC1" w14:paraId="6175B961" w14:textId="77777777">
            <w:pPr>
              <w:rPr>
                <w:rFonts w:ascii="Times New Roman" w:hAnsi="Times New Roman"/>
                <w:szCs w:val="26"/>
              </w:rPr>
            </w:pPr>
            <w:r w:rsidRPr="000D7EC1">
              <w:rPr>
                <w:rFonts w:ascii="Times New Roman" w:hAnsi="Times New Roman"/>
                <w:szCs w:val="26"/>
              </w:rPr>
              <w:t>Pipeline Corporations</w:t>
            </w:r>
          </w:p>
        </w:tc>
        <w:tc>
          <w:tcPr>
            <w:tcW w:w="3942" w:type="dxa"/>
            <w:tcBorders>
              <w:top w:val="single" w:color="auto" w:sz="4" w:space="0"/>
              <w:left w:val="single" w:color="auto" w:sz="4" w:space="0"/>
              <w:bottom w:val="single" w:color="auto" w:sz="4" w:space="0"/>
              <w:right w:val="single" w:color="auto" w:sz="4" w:space="0"/>
            </w:tcBorders>
          </w:tcPr>
          <w:p w:rsidRPr="000D7EC1" w:rsidR="000D7EC1" w:rsidP="000D7EC1" w:rsidRDefault="000D7EC1" w14:paraId="7C55AE07" w14:textId="08ACF82F">
            <w:pPr>
              <w:rPr>
                <w:rFonts w:ascii="Times New Roman" w:hAnsi="Times New Roman"/>
                <w:szCs w:val="26"/>
              </w:rPr>
            </w:pPr>
            <w:r w:rsidRPr="000D7EC1">
              <w:rPr>
                <w:rFonts w:ascii="Times New Roman" w:hAnsi="Times New Roman"/>
                <w:szCs w:val="26"/>
              </w:rPr>
              <w:t>0.00068 (0.068</w:t>
            </w:r>
            <w:r w:rsidR="00F55C2A">
              <w:rPr>
                <w:rFonts w:ascii="Times New Roman" w:hAnsi="Times New Roman"/>
                <w:szCs w:val="26"/>
              </w:rPr>
              <w:t xml:space="preserve"> percent</w:t>
            </w:r>
            <w:r w:rsidRPr="000D7EC1">
              <w:rPr>
                <w:rFonts w:ascii="Times New Roman" w:hAnsi="Times New Roman"/>
                <w:szCs w:val="26"/>
              </w:rPr>
              <w:t>) of gross intrastate revenue</w:t>
            </w:r>
          </w:p>
        </w:tc>
      </w:tr>
    </w:tbl>
    <w:p w:rsidRPr="000D7EC1" w:rsidR="000D7EC1" w:rsidP="000D7EC1" w:rsidRDefault="000D7EC1" w14:paraId="37D2EA9E" w14:textId="77777777">
      <w:pPr>
        <w:rPr>
          <w:rFonts w:ascii="Times New Roman" w:hAnsi="Times New Roman"/>
          <w:szCs w:val="26"/>
        </w:rPr>
      </w:pPr>
    </w:p>
    <w:p w:rsidRPr="000D7EC1" w:rsidR="000D7EC1" w:rsidP="000D7EC1" w:rsidRDefault="000D7EC1" w14:paraId="317F7F59" w14:textId="77777777">
      <w:pPr>
        <w:numPr>
          <w:ilvl w:val="0"/>
          <w:numId w:val="7"/>
        </w:numPr>
        <w:contextualSpacing/>
        <w:rPr>
          <w:rFonts w:ascii="Times New Roman" w:hAnsi="Times New Roman"/>
          <w:szCs w:val="26"/>
        </w:rPr>
      </w:pPr>
      <w:r w:rsidRPr="000D7EC1">
        <w:rPr>
          <w:rFonts w:ascii="Times New Roman" w:hAnsi="Times New Roman"/>
          <w:szCs w:val="26"/>
        </w:rPr>
        <w:t xml:space="preserve">Carriers retain the obligation to report quarterly or annual gross intrastate revenues, pursuant to Public Utilities Code Section 423. </w:t>
      </w:r>
    </w:p>
    <w:p w:rsidRPr="000D7EC1" w:rsidR="000D7EC1" w:rsidP="000D7EC1" w:rsidRDefault="000D7EC1" w14:paraId="03454BE8" w14:textId="77777777">
      <w:pPr>
        <w:ind w:left="720"/>
        <w:contextualSpacing/>
        <w:rPr>
          <w:rFonts w:ascii="Times New Roman" w:hAnsi="Times New Roman"/>
          <w:szCs w:val="26"/>
        </w:rPr>
      </w:pPr>
    </w:p>
    <w:p w:rsidRPr="000D7EC1" w:rsidR="000D7EC1" w:rsidP="000D7EC1" w:rsidRDefault="000D7EC1" w14:paraId="147DBD34" w14:textId="77777777">
      <w:pPr>
        <w:numPr>
          <w:ilvl w:val="0"/>
          <w:numId w:val="7"/>
        </w:numPr>
        <w:contextualSpacing/>
        <w:rPr>
          <w:rFonts w:ascii="Times New Roman" w:hAnsi="Times New Roman"/>
          <w:szCs w:val="26"/>
        </w:rPr>
      </w:pPr>
      <w:r w:rsidRPr="000D7EC1">
        <w:rPr>
          <w:rFonts w:ascii="Times New Roman" w:hAnsi="Times New Roman"/>
          <w:szCs w:val="26"/>
        </w:rPr>
        <w:t>Prime carriers retain the obligation to report and pay the fees on the gross intrastate earnings of subcarriers.</w:t>
      </w:r>
    </w:p>
    <w:p w:rsidRPr="000D7EC1" w:rsidR="000D7EC1" w:rsidP="000D7EC1" w:rsidRDefault="000D7EC1" w14:paraId="36D03708" w14:textId="77777777">
      <w:pPr>
        <w:ind w:left="720"/>
        <w:contextualSpacing/>
        <w:rPr>
          <w:rFonts w:ascii="Times New Roman" w:hAnsi="Times New Roman"/>
          <w:szCs w:val="26"/>
        </w:rPr>
      </w:pPr>
    </w:p>
    <w:p w:rsidRPr="000D7EC1" w:rsidR="000D7EC1" w:rsidP="000D7EC1" w:rsidRDefault="000D7EC1" w14:paraId="6CDBEECB" w14:textId="77777777">
      <w:pPr>
        <w:numPr>
          <w:ilvl w:val="0"/>
          <w:numId w:val="7"/>
        </w:numPr>
        <w:rPr>
          <w:rFonts w:ascii="Times New Roman" w:hAnsi="Times New Roman"/>
          <w:color w:val="000000" w:themeColor="text1"/>
          <w:szCs w:val="26"/>
        </w:rPr>
      </w:pPr>
      <w:r w:rsidRPr="000D7EC1">
        <w:rPr>
          <w:rFonts w:ascii="Times New Roman" w:hAnsi="Times New Roman"/>
          <w:color w:val="000000" w:themeColor="text1"/>
          <w:szCs w:val="26"/>
        </w:rPr>
        <w:t>The penalty imposed in Public Utilities Code Section 405 for late payment of the fee provided for in Public Utilities Code Section 421 shall remain fixed at 25 percent of the amount of the fee.</w:t>
      </w:r>
    </w:p>
    <w:p w:rsidRPr="000D7EC1" w:rsidR="000D7EC1" w:rsidP="000D7EC1" w:rsidRDefault="000D7EC1" w14:paraId="4C64C720" w14:textId="77777777">
      <w:pPr>
        <w:numPr>
          <w:ilvl w:val="0"/>
          <w:numId w:val="6"/>
        </w:numPr>
        <w:ind w:firstLine="0"/>
        <w:rPr>
          <w:rFonts w:ascii="Times New Roman" w:hAnsi="Times New Roman"/>
          <w:color w:val="000000" w:themeColor="text1"/>
          <w:szCs w:val="26"/>
        </w:rPr>
      </w:pPr>
    </w:p>
    <w:p w:rsidRPr="000D7EC1" w:rsidR="000D7EC1" w:rsidP="000D7EC1" w:rsidRDefault="000D7EC1" w14:paraId="5137E752" w14:textId="77777777">
      <w:pPr>
        <w:numPr>
          <w:ilvl w:val="0"/>
          <w:numId w:val="7"/>
        </w:numPr>
        <w:rPr>
          <w:rFonts w:ascii="Times New Roman" w:hAnsi="Times New Roman"/>
          <w:color w:val="000000" w:themeColor="text1"/>
          <w:szCs w:val="26"/>
        </w:rPr>
      </w:pPr>
      <w:r w:rsidRPr="000D7EC1">
        <w:rPr>
          <w:rFonts w:ascii="Times New Roman" w:hAnsi="Times New Roman"/>
          <w:color w:val="000000" w:themeColor="text1"/>
          <w:szCs w:val="26"/>
        </w:rPr>
        <w:t>Today’s adopted fee structure will be evaluated annually and modified as needed based on fund condition status.</w:t>
      </w:r>
    </w:p>
    <w:p w:rsidR="000D7EC1" w:rsidRDefault="000D7EC1" w14:paraId="03CF5C56" w14:textId="77777777">
      <w:pPr>
        <w:tabs>
          <w:tab w:val="left" w:pos="720"/>
          <w:tab w:val="left" w:pos="1296"/>
          <w:tab w:val="left" w:pos="2016"/>
          <w:tab w:val="left" w:pos="2736"/>
          <w:tab w:val="left" w:pos="3456"/>
          <w:tab w:val="left" w:pos="4176"/>
          <w:tab w:val="left" w:pos="5760"/>
        </w:tabs>
        <w:rPr>
          <w:rFonts w:ascii="Times New Roman" w:hAnsi="Times New Roman"/>
        </w:rPr>
      </w:pPr>
    </w:p>
    <w:p w:rsidR="00F55C2A" w:rsidRDefault="00F55C2A" w14:paraId="6A3AB2F6" w14:textId="77777777">
      <w:pPr>
        <w:rPr>
          <w:rFonts w:ascii="Times New Roman" w:hAnsi="Times New Roman"/>
        </w:rPr>
      </w:pPr>
      <w:r>
        <w:rPr>
          <w:rFonts w:ascii="Times New Roman" w:hAnsi="Times New Roman"/>
        </w:rPr>
        <w:br w:type="page"/>
      </w:r>
    </w:p>
    <w:p w:rsidRPr="00F1204E" w:rsidR="00CF17DE" w:rsidRDefault="00CF17DE" w14:paraId="5E85B150" w14:textId="6EB9D559">
      <w:pPr>
        <w:tabs>
          <w:tab w:val="left" w:pos="720"/>
          <w:tab w:val="left" w:pos="1296"/>
          <w:tab w:val="left" w:pos="2016"/>
          <w:tab w:val="left" w:pos="2736"/>
          <w:tab w:val="left" w:pos="3456"/>
          <w:tab w:val="left" w:pos="4176"/>
          <w:tab w:val="left" w:pos="5760"/>
        </w:tabs>
        <w:rPr>
          <w:rFonts w:ascii="Times New Roman" w:hAnsi="Times New Roman"/>
        </w:rPr>
      </w:pPr>
      <w:r w:rsidRPr="00F1204E">
        <w:rPr>
          <w:rFonts w:ascii="Times New Roman" w:hAnsi="Times New Roman"/>
        </w:rPr>
        <w:lastRenderedPageBreak/>
        <w:t>This Resolution is effective today.</w:t>
      </w:r>
    </w:p>
    <w:p w:rsidRPr="00F1204E" w:rsidR="00CF17DE" w:rsidRDefault="00CF17DE" w14:paraId="49F0319D" w14:textId="77777777">
      <w:pPr>
        <w:tabs>
          <w:tab w:val="left" w:pos="720"/>
          <w:tab w:val="left" w:pos="1296"/>
          <w:tab w:val="left" w:pos="2016"/>
          <w:tab w:val="left" w:pos="2736"/>
          <w:tab w:val="left" w:pos="3456"/>
          <w:tab w:val="left" w:pos="4176"/>
          <w:tab w:val="left" w:pos="5760"/>
        </w:tabs>
        <w:rPr>
          <w:rFonts w:ascii="Times New Roman" w:hAnsi="Times New Roman"/>
        </w:rPr>
      </w:pPr>
    </w:p>
    <w:p w:rsidRPr="00F1204E" w:rsidR="00CF17DE" w:rsidRDefault="00CF17DE" w14:paraId="1EAC2EED" w14:textId="100E7CD6">
      <w:pPr>
        <w:rPr>
          <w:rFonts w:ascii="Times New Roman" w:hAnsi="Times New Roman"/>
          <w:snapToGrid w:val="0"/>
        </w:rPr>
      </w:pPr>
      <w:r w:rsidRPr="00F1204E">
        <w:rPr>
          <w:rFonts w:ascii="Times New Roman" w:hAnsi="Times New Roman"/>
          <w:snapToGrid w:val="0"/>
        </w:rPr>
        <w:t xml:space="preserve">I certify that the foregoing resolution was duly introduced, </w:t>
      </w:r>
      <w:proofErr w:type="gramStart"/>
      <w:r w:rsidRPr="00F1204E">
        <w:rPr>
          <w:rFonts w:ascii="Times New Roman" w:hAnsi="Times New Roman"/>
          <w:snapToGrid w:val="0"/>
        </w:rPr>
        <w:t>passed</w:t>
      </w:r>
      <w:proofErr w:type="gramEnd"/>
      <w:r w:rsidRPr="00F1204E">
        <w:rPr>
          <w:rFonts w:ascii="Times New Roman" w:hAnsi="Times New Roman"/>
          <w:snapToGrid w:val="0"/>
        </w:rPr>
        <w:t xml:space="preserve"> and adopted at a conference of the Public Utilities Commission of the State of California held on </w:t>
      </w:r>
      <w:r w:rsidR="000D7EC1">
        <w:rPr>
          <w:rFonts w:ascii="Times New Roman" w:hAnsi="Times New Roman"/>
          <w:snapToGrid w:val="0"/>
        </w:rPr>
        <w:t>12/15/2022</w:t>
      </w:r>
      <w:r w:rsidRPr="00F1204E">
        <w:rPr>
          <w:rFonts w:ascii="Times New Roman" w:hAnsi="Times New Roman"/>
          <w:snapToGrid w:val="0"/>
        </w:rPr>
        <w:t>; the following Commissioners voting favorably thereon:</w:t>
      </w:r>
    </w:p>
    <w:p w:rsidRPr="00F1204E" w:rsidR="00CF17DE" w:rsidRDefault="00CF17DE" w14:paraId="4E90FA3C" w14:textId="77777777">
      <w:pPr>
        <w:tabs>
          <w:tab w:val="left" w:pos="720"/>
          <w:tab w:val="left" w:pos="1152"/>
          <w:tab w:val="left" w:pos="1728"/>
          <w:tab w:val="left" w:pos="3168"/>
          <w:tab w:val="left" w:pos="5040"/>
        </w:tabs>
        <w:ind w:right="144"/>
        <w:rPr>
          <w:rFonts w:ascii="Times New Roman" w:hAnsi="Times New Roman"/>
        </w:rPr>
      </w:pPr>
    </w:p>
    <w:p w:rsidRPr="00F1204E" w:rsidR="00CF17DE" w:rsidRDefault="00CF17DE" w14:paraId="2ADCBC38" w14:textId="77777777">
      <w:pPr>
        <w:tabs>
          <w:tab w:val="left" w:pos="720"/>
          <w:tab w:val="left" w:pos="1152"/>
          <w:tab w:val="left" w:pos="1728"/>
          <w:tab w:val="left" w:pos="3168"/>
          <w:tab w:val="left" w:pos="5040"/>
        </w:tabs>
        <w:ind w:right="144"/>
        <w:rPr>
          <w:rFonts w:ascii="Times New Roman" w:hAnsi="Times New Roman"/>
        </w:rPr>
      </w:pPr>
    </w:p>
    <w:p w:rsidRPr="00F1204E" w:rsidR="00CF17DE" w:rsidRDefault="00CF17DE" w14:paraId="712D83D0" w14:textId="77777777">
      <w:pPr>
        <w:tabs>
          <w:tab w:val="left" w:pos="720"/>
          <w:tab w:val="left" w:pos="1152"/>
          <w:tab w:val="left" w:pos="1728"/>
          <w:tab w:val="left" w:pos="3168"/>
          <w:tab w:val="left" w:pos="5040"/>
        </w:tabs>
        <w:ind w:right="144"/>
        <w:rPr>
          <w:rFonts w:ascii="Times New Roman" w:hAnsi="Times New Roman"/>
        </w:rPr>
      </w:pPr>
    </w:p>
    <w:p w:rsidRPr="00F1204E" w:rsidR="00CF17DE" w:rsidRDefault="00CF17DE" w14:paraId="7A26A9BC" w14:textId="77777777">
      <w:pPr>
        <w:tabs>
          <w:tab w:val="left" w:pos="720"/>
          <w:tab w:val="left" w:pos="1152"/>
          <w:tab w:val="left" w:pos="1728"/>
          <w:tab w:val="left" w:pos="3168"/>
          <w:tab w:val="left" w:pos="5040"/>
        </w:tabs>
        <w:ind w:right="144"/>
        <w:rPr>
          <w:rFonts w:ascii="Times New Roman" w:hAnsi="Times New Roman"/>
        </w:rPr>
      </w:pPr>
    </w:p>
    <w:p w:rsidRPr="00F1204E" w:rsidR="000D7EC1" w:rsidP="000D7EC1" w:rsidRDefault="00CF17DE" w14:paraId="74D09F96" w14:textId="77777777">
      <w:pPr>
        <w:tabs>
          <w:tab w:val="left" w:pos="720"/>
          <w:tab w:val="left" w:pos="1152"/>
          <w:tab w:val="left" w:pos="1728"/>
          <w:tab w:val="left" w:pos="3168"/>
          <w:tab w:val="left" w:pos="5040"/>
        </w:tabs>
        <w:ind w:right="144"/>
        <w:rPr>
          <w:rFonts w:ascii="Times New Roman" w:hAnsi="Times New Roman"/>
        </w:rPr>
      </w:pPr>
      <w:r w:rsidRPr="00F1204E">
        <w:rPr>
          <w:rFonts w:ascii="Times New Roman" w:hAnsi="Times New Roman"/>
        </w:rPr>
        <w:tab/>
      </w:r>
      <w:r w:rsidRPr="00F1204E">
        <w:rPr>
          <w:rFonts w:ascii="Times New Roman" w:hAnsi="Times New Roman"/>
        </w:rPr>
        <w:tab/>
      </w:r>
      <w:r w:rsidRPr="00F1204E">
        <w:rPr>
          <w:rFonts w:ascii="Times New Roman" w:hAnsi="Times New Roman"/>
        </w:rPr>
        <w:tab/>
      </w:r>
      <w:r w:rsidRPr="00F1204E">
        <w:rPr>
          <w:rFonts w:ascii="Times New Roman" w:hAnsi="Times New Roman"/>
        </w:rPr>
        <w:tab/>
      </w:r>
      <w:r w:rsidRPr="00F1204E">
        <w:rPr>
          <w:rFonts w:ascii="Times New Roman" w:hAnsi="Times New Roman"/>
        </w:rPr>
        <w:tab/>
      </w:r>
      <w:r w:rsidRPr="00F1204E">
        <w:rPr>
          <w:rFonts w:ascii="Times New Roman" w:hAnsi="Times New Roman"/>
        </w:rPr>
        <w:tab/>
      </w:r>
    </w:p>
    <w:tbl>
      <w:tblPr>
        <w:tblW w:w="0" w:type="auto"/>
        <w:tblInd w:w="4788" w:type="dxa"/>
        <w:tblLayout w:type="fixed"/>
        <w:tblLook w:val="0000" w:firstRow="0" w:lastRow="0" w:firstColumn="0" w:lastColumn="0" w:noHBand="0" w:noVBand="0"/>
      </w:tblPr>
      <w:tblGrid>
        <w:gridCol w:w="3870"/>
      </w:tblGrid>
      <w:tr w:rsidRPr="00C25255" w:rsidR="000D7EC1" w:rsidTr="00E75A1C" w14:paraId="165A09D0" w14:textId="77777777">
        <w:tc>
          <w:tcPr>
            <w:tcW w:w="3870" w:type="dxa"/>
            <w:tcBorders>
              <w:bottom w:val="single" w:color="auto" w:sz="6" w:space="0"/>
            </w:tcBorders>
          </w:tcPr>
          <w:p w:rsidRPr="00C25255" w:rsidR="000D7EC1" w:rsidP="00E75A1C" w:rsidRDefault="000D7EC1" w14:paraId="028729C5" w14:textId="77777777">
            <w:pPr>
              <w:ind w:right="-648"/>
              <w:rPr>
                <w:i/>
                <w:iCs/>
                <w:szCs w:val="26"/>
              </w:rPr>
            </w:pPr>
            <w:r w:rsidRPr="00C25255">
              <w:rPr>
                <w:szCs w:val="26"/>
              </w:rPr>
              <w:t xml:space="preserve">          </w:t>
            </w:r>
          </w:p>
        </w:tc>
      </w:tr>
      <w:tr w:rsidRPr="00C25255" w:rsidR="000D7EC1" w:rsidTr="00E75A1C" w14:paraId="7D6F4B5D" w14:textId="77777777">
        <w:tc>
          <w:tcPr>
            <w:tcW w:w="3870" w:type="dxa"/>
          </w:tcPr>
          <w:p w:rsidRPr="00C25255" w:rsidR="000D7EC1" w:rsidP="00E75A1C" w:rsidRDefault="000D7EC1" w14:paraId="17374097" w14:textId="77777777">
            <w:pPr>
              <w:pStyle w:val="Heading6"/>
              <w:ind w:left="-40"/>
              <w:jc w:val="center"/>
              <w:rPr>
                <w:rFonts w:ascii="Times New Roman" w:hAnsi="Times New Roman"/>
                <w:b w:val="0"/>
                <w:bCs/>
                <w:szCs w:val="26"/>
              </w:rPr>
            </w:pPr>
            <w:r w:rsidRPr="00C25255">
              <w:rPr>
                <w:rFonts w:ascii="Times New Roman" w:hAnsi="Times New Roman"/>
                <w:b w:val="0"/>
                <w:szCs w:val="26"/>
              </w:rPr>
              <w:t>Rachel Peterson</w:t>
            </w:r>
          </w:p>
          <w:p w:rsidRPr="00C25255" w:rsidR="000D7EC1" w:rsidP="00E75A1C" w:rsidRDefault="000D7EC1" w14:paraId="3DB5AB09" w14:textId="77777777">
            <w:pPr>
              <w:pStyle w:val="Heading6"/>
              <w:ind w:left="-40"/>
              <w:jc w:val="center"/>
              <w:rPr>
                <w:rFonts w:ascii="Times New Roman" w:hAnsi="Times New Roman"/>
                <w:szCs w:val="26"/>
              </w:rPr>
            </w:pPr>
            <w:r w:rsidRPr="00C25255">
              <w:rPr>
                <w:rFonts w:ascii="Times New Roman" w:hAnsi="Times New Roman"/>
                <w:b w:val="0"/>
                <w:szCs w:val="26"/>
              </w:rPr>
              <w:t>Executive Director</w:t>
            </w:r>
          </w:p>
        </w:tc>
      </w:tr>
    </w:tbl>
    <w:p w:rsidR="000D7EC1" w:rsidP="000D7EC1" w:rsidRDefault="000D7EC1" w14:paraId="595CCF77" w14:textId="495D15BF">
      <w:pPr>
        <w:tabs>
          <w:tab w:val="left" w:pos="720"/>
          <w:tab w:val="left" w:pos="1152"/>
          <w:tab w:val="left" w:pos="1728"/>
          <w:tab w:val="left" w:pos="3168"/>
          <w:tab w:val="left" w:pos="5040"/>
        </w:tabs>
        <w:ind w:right="144"/>
        <w:rPr>
          <w:rFonts w:ascii="Times New Roman" w:hAnsi="Times New Roman"/>
        </w:rPr>
      </w:pPr>
    </w:p>
    <w:p w:rsidR="000D7EC1" w:rsidRDefault="000D7EC1" w14:paraId="13180B2B" w14:textId="77777777">
      <w:pPr>
        <w:rPr>
          <w:rFonts w:ascii="Times New Roman" w:hAnsi="Times New Roman"/>
        </w:rPr>
      </w:pPr>
      <w:r>
        <w:rPr>
          <w:rFonts w:ascii="Times New Roman" w:hAnsi="Times New Roman"/>
        </w:rPr>
        <w:br w:type="page"/>
      </w:r>
    </w:p>
    <w:p w:rsidRPr="000D7EC1" w:rsidR="000D7EC1" w:rsidP="000D7EC1" w:rsidRDefault="000D7EC1" w14:paraId="7EA77B3C" w14:textId="77777777">
      <w:pPr>
        <w:pStyle w:val="Heading3"/>
        <w:shd w:val="clear" w:color="auto" w:fill="FFFFFF" w:themeFill="background1"/>
        <w:ind w:left="2160"/>
        <w:rPr>
          <w:rFonts w:ascii="Times New Roman" w:hAnsi="Times New Roman"/>
          <w:b w:val="0"/>
          <w:bCs/>
          <w:szCs w:val="26"/>
        </w:rPr>
      </w:pPr>
      <w:r w:rsidRPr="000D7EC1">
        <w:rPr>
          <w:rFonts w:ascii="Times New Roman" w:hAnsi="Times New Roman"/>
          <w:bCs/>
          <w:szCs w:val="26"/>
        </w:rPr>
        <w:lastRenderedPageBreak/>
        <w:t>APPENDIX A</w:t>
      </w:r>
    </w:p>
    <w:p w:rsidRPr="000D7EC1" w:rsidR="000D7EC1" w:rsidP="000D7EC1" w:rsidRDefault="000D7EC1" w14:paraId="7A2F9ACA" w14:textId="77777777">
      <w:pPr>
        <w:jc w:val="center"/>
        <w:rPr>
          <w:rFonts w:ascii="Times New Roman" w:hAnsi="Times New Roman"/>
          <w:b/>
          <w:bCs/>
          <w:szCs w:val="26"/>
        </w:rPr>
      </w:pPr>
      <w:r w:rsidRPr="000D7EC1">
        <w:rPr>
          <w:rFonts w:ascii="Times New Roman" w:hAnsi="Times New Roman"/>
          <w:b/>
          <w:bCs/>
          <w:szCs w:val="26"/>
        </w:rPr>
        <w:t>0461 Public Utilities Commission Transportation Reimbursement Account</w:t>
      </w:r>
    </w:p>
    <w:p w:rsidRPr="000D7EC1" w:rsidR="000D7EC1" w:rsidP="000D7EC1" w:rsidRDefault="000D7EC1" w14:paraId="0F522A1A" w14:textId="77777777">
      <w:pPr>
        <w:jc w:val="center"/>
        <w:rPr>
          <w:rFonts w:ascii="Times New Roman" w:hAnsi="Times New Roman"/>
          <w:b/>
          <w:bCs/>
          <w:szCs w:val="26"/>
        </w:rPr>
      </w:pPr>
      <w:r w:rsidRPr="000D7EC1">
        <w:rPr>
          <w:rFonts w:ascii="Times New Roman" w:hAnsi="Times New Roman"/>
          <w:b/>
          <w:bCs/>
          <w:szCs w:val="26"/>
        </w:rPr>
        <w:t>Fund Condition Statement - Projected</w:t>
      </w:r>
    </w:p>
    <w:p w:rsidRPr="00C25255" w:rsidR="000D7EC1" w:rsidP="000D7EC1" w:rsidRDefault="000D7EC1" w14:paraId="5E25DE84" w14:textId="77777777">
      <w:pPr>
        <w:rPr>
          <w:szCs w:val="26"/>
        </w:rPr>
      </w:pPr>
    </w:p>
    <w:tbl>
      <w:tblPr>
        <w:tblW w:w="9742" w:type="dxa"/>
        <w:tblLook w:val="04A0" w:firstRow="1" w:lastRow="0" w:firstColumn="1" w:lastColumn="0" w:noHBand="0" w:noVBand="1"/>
      </w:tblPr>
      <w:tblGrid>
        <w:gridCol w:w="6560"/>
        <w:gridCol w:w="1530"/>
        <w:gridCol w:w="1516"/>
        <w:gridCol w:w="236"/>
      </w:tblGrid>
      <w:tr w:rsidRPr="000D7EC1" w:rsidR="000D7EC1" w:rsidTr="00E75A1C" w14:paraId="69FC3EF3" w14:textId="77777777">
        <w:trPr>
          <w:gridAfter w:val="1"/>
          <w:wAfter w:w="236" w:type="dxa"/>
          <w:trHeight w:val="315"/>
        </w:trPr>
        <w:tc>
          <w:tcPr>
            <w:tcW w:w="6560" w:type="dxa"/>
            <w:tcBorders>
              <w:top w:val="single" w:color="F2F2F2" w:sz="8" w:space="0"/>
              <w:left w:val="single" w:color="F2F2F2" w:sz="8" w:space="0"/>
              <w:bottom w:val="single" w:color="auto" w:sz="8" w:space="0"/>
              <w:right w:val="single" w:color="F2F2F2" w:sz="8" w:space="0"/>
            </w:tcBorders>
            <w:shd w:val="clear" w:color="auto" w:fill="auto"/>
            <w:noWrap/>
            <w:vAlign w:val="bottom"/>
            <w:hideMark/>
          </w:tcPr>
          <w:p w:rsidRPr="000D7EC1" w:rsidR="000D7EC1" w:rsidP="00E75A1C" w:rsidRDefault="000D7EC1" w14:paraId="6DD65B32" w14:textId="77777777">
            <w:pPr>
              <w:rPr>
                <w:rFonts w:ascii="Times New Roman" w:hAnsi="Times New Roman"/>
                <w:color w:val="000000"/>
                <w:szCs w:val="26"/>
              </w:rPr>
            </w:pPr>
            <w:r w:rsidRPr="000D7EC1">
              <w:rPr>
                <w:rFonts w:ascii="Times New Roman" w:hAnsi="Times New Roman"/>
                <w:color w:val="000000"/>
                <w:szCs w:val="26"/>
              </w:rPr>
              <w:t> </w:t>
            </w:r>
          </w:p>
        </w:tc>
        <w:tc>
          <w:tcPr>
            <w:tcW w:w="1530" w:type="dxa"/>
            <w:tcBorders>
              <w:top w:val="single" w:color="F2F2F2" w:sz="8" w:space="0"/>
              <w:left w:val="nil"/>
              <w:bottom w:val="single" w:color="auto" w:sz="8" w:space="0"/>
              <w:right w:val="single" w:color="F2F2F2" w:sz="8" w:space="0"/>
            </w:tcBorders>
            <w:shd w:val="clear" w:color="auto" w:fill="auto"/>
            <w:noWrap/>
            <w:vAlign w:val="center"/>
            <w:hideMark/>
          </w:tcPr>
          <w:p w:rsidRPr="000D7EC1" w:rsidR="000D7EC1" w:rsidP="00E75A1C" w:rsidRDefault="000D7EC1" w14:paraId="537586EC" w14:textId="77777777">
            <w:pPr>
              <w:jc w:val="right"/>
              <w:rPr>
                <w:rFonts w:ascii="Times New Roman" w:hAnsi="Times New Roman"/>
                <w:b/>
                <w:bCs/>
                <w:color w:val="000000"/>
                <w:szCs w:val="26"/>
              </w:rPr>
            </w:pPr>
            <w:r w:rsidRPr="000D7EC1">
              <w:rPr>
                <w:rFonts w:ascii="Times New Roman" w:hAnsi="Times New Roman"/>
                <w:b/>
                <w:bCs/>
                <w:color w:val="000000"/>
                <w:szCs w:val="26"/>
              </w:rPr>
              <w:t>FY 2021-22</w:t>
            </w:r>
          </w:p>
        </w:tc>
        <w:tc>
          <w:tcPr>
            <w:tcW w:w="1416" w:type="dxa"/>
            <w:tcBorders>
              <w:top w:val="single" w:color="F2F2F2" w:sz="8" w:space="0"/>
              <w:left w:val="nil"/>
              <w:bottom w:val="single" w:color="auto" w:sz="8" w:space="0"/>
              <w:right w:val="single" w:color="F2F2F2" w:sz="8" w:space="0"/>
            </w:tcBorders>
            <w:shd w:val="clear" w:color="auto" w:fill="auto"/>
            <w:noWrap/>
            <w:vAlign w:val="center"/>
            <w:hideMark/>
          </w:tcPr>
          <w:p w:rsidRPr="000D7EC1" w:rsidR="000D7EC1" w:rsidP="00E75A1C" w:rsidRDefault="000D7EC1" w14:paraId="5EC5EC04" w14:textId="77777777">
            <w:pPr>
              <w:jc w:val="right"/>
              <w:rPr>
                <w:rFonts w:ascii="Times New Roman" w:hAnsi="Times New Roman"/>
                <w:b/>
                <w:bCs/>
                <w:color w:val="000000"/>
                <w:szCs w:val="26"/>
              </w:rPr>
            </w:pPr>
            <w:r w:rsidRPr="000D7EC1">
              <w:rPr>
                <w:rFonts w:ascii="Times New Roman" w:hAnsi="Times New Roman"/>
                <w:b/>
                <w:bCs/>
                <w:color w:val="000000"/>
                <w:szCs w:val="26"/>
              </w:rPr>
              <w:t>FY 2022-23</w:t>
            </w:r>
          </w:p>
        </w:tc>
      </w:tr>
      <w:tr w:rsidRPr="000D7EC1" w:rsidR="000D7EC1" w:rsidTr="00E75A1C" w14:paraId="1E6DEC0E"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hideMark/>
          </w:tcPr>
          <w:p w:rsidRPr="000D7EC1" w:rsidR="000D7EC1" w:rsidP="00E75A1C" w:rsidRDefault="000D7EC1" w14:paraId="0D07E6E4" w14:textId="77777777">
            <w:pPr>
              <w:rPr>
                <w:rFonts w:ascii="Times New Roman" w:hAnsi="Times New Roman"/>
                <w:color w:val="000000"/>
                <w:szCs w:val="26"/>
              </w:rPr>
            </w:pPr>
            <w:r w:rsidRPr="000D7EC1">
              <w:rPr>
                <w:rFonts w:ascii="Times New Roman" w:hAnsi="Times New Roman"/>
                <w:color w:val="000000"/>
                <w:szCs w:val="26"/>
              </w:rPr>
              <w:t>BEGINNING BALANCE</w:t>
            </w:r>
          </w:p>
        </w:tc>
        <w:tc>
          <w:tcPr>
            <w:tcW w:w="1530"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033180EA" w14:textId="77777777">
            <w:pPr>
              <w:jc w:val="right"/>
              <w:rPr>
                <w:rFonts w:ascii="Times New Roman" w:hAnsi="Times New Roman"/>
                <w:color w:val="000000"/>
                <w:szCs w:val="26"/>
              </w:rPr>
            </w:pPr>
            <w:r w:rsidRPr="000D7EC1">
              <w:rPr>
                <w:rFonts w:ascii="Times New Roman" w:hAnsi="Times New Roman"/>
                <w:color w:val="000000"/>
                <w:szCs w:val="26"/>
              </w:rPr>
              <w:t xml:space="preserve">$34,661,000 </w:t>
            </w:r>
          </w:p>
        </w:tc>
        <w:tc>
          <w:tcPr>
            <w:tcW w:w="1416"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1D2B3A72" w14:textId="77777777">
            <w:pPr>
              <w:jc w:val="center"/>
              <w:rPr>
                <w:rFonts w:ascii="Times New Roman" w:hAnsi="Times New Roman"/>
                <w:color w:val="000000"/>
                <w:szCs w:val="26"/>
              </w:rPr>
            </w:pPr>
            <w:r w:rsidRPr="000D7EC1">
              <w:rPr>
                <w:rFonts w:ascii="Times New Roman" w:hAnsi="Times New Roman"/>
                <w:color w:val="000000"/>
                <w:szCs w:val="26"/>
              </w:rPr>
              <w:t>$23,367,000</w:t>
            </w:r>
          </w:p>
        </w:tc>
      </w:tr>
      <w:tr w:rsidRPr="000D7EC1" w:rsidR="000D7EC1" w:rsidTr="00E75A1C" w14:paraId="3BFD7476"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hideMark/>
          </w:tcPr>
          <w:p w:rsidRPr="000D7EC1" w:rsidR="000D7EC1" w:rsidP="00E75A1C" w:rsidRDefault="000D7EC1" w14:paraId="7A0587E2" w14:textId="77777777">
            <w:pPr>
              <w:rPr>
                <w:rFonts w:ascii="Times New Roman" w:hAnsi="Times New Roman"/>
                <w:color w:val="000000"/>
                <w:szCs w:val="26"/>
              </w:rPr>
            </w:pPr>
            <w:r w:rsidRPr="000D7EC1">
              <w:rPr>
                <w:rFonts w:ascii="Times New Roman" w:hAnsi="Times New Roman"/>
                <w:color w:val="000000"/>
                <w:szCs w:val="26"/>
              </w:rPr>
              <w:t>Prior Year Adjustments</w:t>
            </w:r>
          </w:p>
        </w:tc>
        <w:tc>
          <w:tcPr>
            <w:tcW w:w="1530" w:type="dxa"/>
            <w:tcBorders>
              <w:top w:val="nil"/>
              <w:left w:val="nil"/>
              <w:bottom w:val="single" w:color="auto" w:sz="8" w:space="0"/>
              <w:right w:val="single" w:color="auto" w:sz="8" w:space="0"/>
            </w:tcBorders>
            <w:shd w:val="clear" w:color="auto" w:fill="auto"/>
            <w:noWrap/>
            <w:vAlign w:val="center"/>
          </w:tcPr>
          <w:p w:rsidRPr="000D7EC1" w:rsidR="000D7EC1" w:rsidP="00E75A1C" w:rsidRDefault="000D7EC1" w14:paraId="413AEF26" w14:textId="77777777">
            <w:pPr>
              <w:jc w:val="right"/>
              <w:rPr>
                <w:rFonts w:ascii="Times New Roman" w:hAnsi="Times New Roman"/>
                <w:color w:val="000000"/>
                <w:szCs w:val="26"/>
              </w:rPr>
            </w:pPr>
            <w:r w:rsidRPr="000D7EC1">
              <w:rPr>
                <w:rFonts w:ascii="Times New Roman" w:hAnsi="Times New Roman"/>
                <w:color w:val="000000"/>
                <w:szCs w:val="26"/>
              </w:rPr>
              <w:t>$384,000</w:t>
            </w:r>
          </w:p>
        </w:tc>
        <w:tc>
          <w:tcPr>
            <w:tcW w:w="1416" w:type="dxa"/>
            <w:tcBorders>
              <w:top w:val="nil"/>
              <w:left w:val="nil"/>
              <w:bottom w:val="single" w:color="auto" w:sz="8" w:space="0"/>
              <w:right w:val="single" w:color="auto" w:sz="8" w:space="0"/>
            </w:tcBorders>
            <w:shd w:val="clear" w:color="auto" w:fill="auto"/>
            <w:noWrap/>
            <w:vAlign w:val="center"/>
          </w:tcPr>
          <w:p w:rsidRPr="000D7EC1" w:rsidR="000D7EC1" w:rsidP="00E75A1C" w:rsidRDefault="000D7EC1" w14:paraId="0CF55D00" w14:textId="77777777">
            <w:pPr>
              <w:jc w:val="right"/>
              <w:rPr>
                <w:rFonts w:ascii="Times New Roman" w:hAnsi="Times New Roman"/>
                <w:color w:val="000000"/>
                <w:szCs w:val="26"/>
              </w:rPr>
            </w:pPr>
            <w:r w:rsidRPr="000D7EC1">
              <w:rPr>
                <w:rFonts w:ascii="Times New Roman" w:hAnsi="Times New Roman"/>
                <w:color w:val="000000"/>
                <w:szCs w:val="26"/>
              </w:rPr>
              <w:t>-</w:t>
            </w:r>
          </w:p>
        </w:tc>
      </w:tr>
      <w:tr w:rsidRPr="000D7EC1" w:rsidR="000D7EC1" w:rsidTr="00E75A1C" w14:paraId="0E61FFD2"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hideMark/>
          </w:tcPr>
          <w:p w:rsidRPr="000D7EC1" w:rsidR="000D7EC1" w:rsidP="00E75A1C" w:rsidRDefault="000D7EC1" w14:paraId="056993D5" w14:textId="77777777">
            <w:pPr>
              <w:rPr>
                <w:rFonts w:ascii="Times New Roman" w:hAnsi="Times New Roman"/>
                <w:color w:val="000000"/>
                <w:szCs w:val="26"/>
              </w:rPr>
            </w:pPr>
            <w:r w:rsidRPr="000D7EC1">
              <w:rPr>
                <w:rFonts w:ascii="Times New Roman" w:hAnsi="Times New Roman"/>
                <w:color w:val="000000"/>
                <w:szCs w:val="26"/>
              </w:rPr>
              <w:t>Adjusted Beginning Balance</w:t>
            </w:r>
          </w:p>
        </w:tc>
        <w:tc>
          <w:tcPr>
            <w:tcW w:w="1530" w:type="dxa"/>
            <w:tcBorders>
              <w:top w:val="nil"/>
              <w:left w:val="nil"/>
              <w:bottom w:val="single" w:color="auto" w:sz="8" w:space="0"/>
              <w:right w:val="single" w:color="auto" w:sz="8" w:space="0"/>
            </w:tcBorders>
            <w:shd w:val="clear" w:color="auto" w:fill="auto"/>
            <w:noWrap/>
            <w:vAlign w:val="center"/>
          </w:tcPr>
          <w:p w:rsidRPr="000D7EC1" w:rsidR="000D7EC1" w:rsidP="00E75A1C" w:rsidRDefault="000D7EC1" w14:paraId="3E59185D" w14:textId="77777777">
            <w:pPr>
              <w:jc w:val="right"/>
              <w:rPr>
                <w:rFonts w:ascii="Times New Roman" w:hAnsi="Times New Roman"/>
                <w:color w:val="000000"/>
                <w:szCs w:val="26"/>
              </w:rPr>
            </w:pPr>
            <w:r w:rsidRPr="000D7EC1">
              <w:rPr>
                <w:rFonts w:ascii="Times New Roman" w:hAnsi="Times New Roman"/>
                <w:color w:val="000000"/>
                <w:szCs w:val="26"/>
              </w:rPr>
              <w:t>$35,045,000</w:t>
            </w:r>
          </w:p>
        </w:tc>
        <w:tc>
          <w:tcPr>
            <w:tcW w:w="1416" w:type="dxa"/>
            <w:tcBorders>
              <w:top w:val="nil"/>
              <w:left w:val="nil"/>
              <w:bottom w:val="single" w:color="auto" w:sz="8" w:space="0"/>
              <w:right w:val="single" w:color="auto" w:sz="8" w:space="0"/>
            </w:tcBorders>
            <w:shd w:val="clear" w:color="auto" w:fill="auto"/>
            <w:noWrap/>
            <w:vAlign w:val="center"/>
          </w:tcPr>
          <w:p w:rsidRPr="000D7EC1" w:rsidR="000D7EC1" w:rsidP="00E75A1C" w:rsidRDefault="000D7EC1" w14:paraId="7B087449" w14:textId="77777777">
            <w:pPr>
              <w:jc w:val="right"/>
              <w:rPr>
                <w:rFonts w:ascii="Times New Roman" w:hAnsi="Times New Roman"/>
                <w:color w:val="000000"/>
                <w:szCs w:val="26"/>
              </w:rPr>
            </w:pPr>
            <w:r w:rsidRPr="000D7EC1">
              <w:rPr>
                <w:rFonts w:ascii="Times New Roman" w:hAnsi="Times New Roman"/>
                <w:color w:val="000000"/>
                <w:szCs w:val="26"/>
              </w:rPr>
              <w:t>$23,367,000</w:t>
            </w:r>
          </w:p>
        </w:tc>
      </w:tr>
      <w:tr w:rsidRPr="000D7EC1" w:rsidR="000D7EC1" w:rsidTr="00E75A1C" w14:paraId="6E6CFFA1" w14:textId="77777777">
        <w:trPr>
          <w:gridAfter w:val="1"/>
          <w:wAfter w:w="236" w:type="dxa"/>
          <w:trHeight w:val="315"/>
        </w:trPr>
        <w:tc>
          <w:tcPr>
            <w:tcW w:w="9506" w:type="dxa"/>
            <w:gridSpan w:val="3"/>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0D7EC1" w:rsidR="000D7EC1" w:rsidP="00E75A1C" w:rsidRDefault="000D7EC1" w14:paraId="609FD2F6" w14:textId="77777777">
            <w:pPr>
              <w:rPr>
                <w:rFonts w:ascii="Times New Roman" w:hAnsi="Times New Roman"/>
                <w:color w:val="000000"/>
                <w:szCs w:val="26"/>
              </w:rPr>
            </w:pPr>
            <w:r w:rsidRPr="000D7EC1">
              <w:rPr>
                <w:rFonts w:ascii="Times New Roman" w:hAnsi="Times New Roman"/>
                <w:color w:val="000000"/>
                <w:szCs w:val="26"/>
              </w:rPr>
              <w:t xml:space="preserve">REVENUES, TRANSFERS, AND OTHER ADJUSTMENTS </w:t>
            </w:r>
          </w:p>
        </w:tc>
      </w:tr>
      <w:tr w:rsidRPr="000D7EC1" w:rsidR="000D7EC1" w:rsidTr="00E75A1C" w14:paraId="6712F0DB" w14:textId="77777777">
        <w:trPr>
          <w:gridAfter w:val="1"/>
          <w:wAfter w:w="236" w:type="dxa"/>
          <w:trHeight w:val="315"/>
        </w:trPr>
        <w:tc>
          <w:tcPr>
            <w:tcW w:w="9506" w:type="dxa"/>
            <w:gridSpan w:val="3"/>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0D7EC1" w:rsidR="000D7EC1" w:rsidP="00E75A1C" w:rsidRDefault="000D7EC1" w14:paraId="6697C2A4" w14:textId="77777777">
            <w:pPr>
              <w:rPr>
                <w:rFonts w:ascii="Times New Roman" w:hAnsi="Times New Roman"/>
                <w:color w:val="000000"/>
                <w:szCs w:val="26"/>
              </w:rPr>
            </w:pPr>
            <w:r w:rsidRPr="000D7EC1">
              <w:rPr>
                <w:rFonts w:ascii="Times New Roman" w:hAnsi="Times New Roman"/>
                <w:color w:val="000000"/>
                <w:szCs w:val="26"/>
              </w:rPr>
              <w:t>Revenues:</w:t>
            </w:r>
          </w:p>
        </w:tc>
      </w:tr>
      <w:tr w:rsidRPr="000D7EC1" w:rsidR="000D7EC1" w:rsidTr="00E75A1C" w14:paraId="4FE94A8C"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hideMark/>
          </w:tcPr>
          <w:p w:rsidRPr="000D7EC1" w:rsidR="000D7EC1" w:rsidP="00E75A1C" w:rsidRDefault="000D7EC1" w14:paraId="5CAEF53F" w14:textId="77777777">
            <w:pPr>
              <w:ind w:firstLine="260" w:firstLineChars="100"/>
              <w:rPr>
                <w:rFonts w:ascii="Times New Roman" w:hAnsi="Times New Roman"/>
                <w:color w:val="000000"/>
                <w:szCs w:val="26"/>
              </w:rPr>
            </w:pPr>
            <w:r w:rsidRPr="000D7EC1">
              <w:rPr>
                <w:rFonts w:ascii="Times New Roman" w:hAnsi="Times New Roman"/>
                <w:color w:val="000000"/>
                <w:szCs w:val="26"/>
              </w:rPr>
              <w:t>4126600 - Public Utilities Commission - Quarterly Fees</w:t>
            </w:r>
          </w:p>
        </w:tc>
        <w:tc>
          <w:tcPr>
            <w:tcW w:w="1530"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3F035D1C" w14:textId="77777777">
            <w:pPr>
              <w:jc w:val="right"/>
              <w:rPr>
                <w:rFonts w:ascii="Times New Roman" w:hAnsi="Times New Roman"/>
                <w:color w:val="000000"/>
                <w:szCs w:val="26"/>
              </w:rPr>
            </w:pPr>
            <w:r w:rsidRPr="000D7EC1">
              <w:rPr>
                <w:rFonts w:ascii="Times New Roman" w:hAnsi="Times New Roman"/>
                <w:color w:val="000000"/>
                <w:szCs w:val="26"/>
              </w:rPr>
              <w:t>$13,337,000</w:t>
            </w:r>
          </w:p>
        </w:tc>
        <w:tc>
          <w:tcPr>
            <w:tcW w:w="1416"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7F17D23C" w14:textId="77777777">
            <w:pPr>
              <w:jc w:val="right"/>
              <w:rPr>
                <w:rFonts w:ascii="Times New Roman" w:hAnsi="Times New Roman"/>
                <w:color w:val="000000"/>
                <w:szCs w:val="26"/>
              </w:rPr>
            </w:pPr>
            <w:r w:rsidRPr="000D7EC1">
              <w:rPr>
                <w:rFonts w:ascii="Times New Roman" w:hAnsi="Times New Roman"/>
                <w:color w:val="000000"/>
                <w:szCs w:val="26"/>
              </w:rPr>
              <w:t>$21,769,000</w:t>
            </w:r>
          </w:p>
        </w:tc>
      </w:tr>
      <w:tr w:rsidRPr="000D7EC1" w:rsidR="000D7EC1" w:rsidTr="00E75A1C" w14:paraId="1E690173"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hideMark/>
          </w:tcPr>
          <w:p w:rsidRPr="000D7EC1" w:rsidR="000D7EC1" w:rsidP="00E75A1C" w:rsidRDefault="000D7EC1" w14:paraId="43DDB55A" w14:textId="77777777">
            <w:pPr>
              <w:ind w:firstLine="260" w:firstLineChars="100"/>
              <w:rPr>
                <w:rFonts w:ascii="Times New Roman" w:hAnsi="Times New Roman"/>
                <w:color w:val="000000"/>
                <w:szCs w:val="26"/>
              </w:rPr>
            </w:pPr>
            <w:r w:rsidRPr="000D7EC1">
              <w:rPr>
                <w:rFonts w:ascii="Times New Roman" w:hAnsi="Times New Roman"/>
                <w:color w:val="000000"/>
                <w:szCs w:val="26"/>
              </w:rPr>
              <w:t>4126800 - Public Utilities Commission – Penalties on Quarterly Fees</w:t>
            </w:r>
          </w:p>
        </w:tc>
        <w:tc>
          <w:tcPr>
            <w:tcW w:w="1530"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2B830507" w14:textId="77777777">
            <w:pPr>
              <w:jc w:val="right"/>
              <w:rPr>
                <w:rFonts w:ascii="Times New Roman" w:hAnsi="Times New Roman"/>
                <w:color w:val="000000"/>
                <w:szCs w:val="26"/>
              </w:rPr>
            </w:pPr>
            <w:r w:rsidRPr="000D7EC1">
              <w:rPr>
                <w:rFonts w:ascii="Times New Roman" w:hAnsi="Times New Roman"/>
                <w:color w:val="000000"/>
                <w:szCs w:val="26"/>
              </w:rPr>
              <w:t>$0</w:t>
            </w:r>
          </w:p>
        </w:tc>
        <w:tc>
          <w:tcPr>
            <w:tcW w:w="1416"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5C64B462" w14:textId="77777777">
            <w:pPr>
              <w:jc w:val="right"/>
              <w:rPr>
                <w:rFonts w:ascii="Times New Roman" w:hAnsi="Times New Roman"/>
                <w:color w:val="000000"/>
                <w:szCs w:val="26"/>
              </w:rPr>
            </w:pPr>
            <w:r w:rsidRPr="000D7EC1">
              <w:rPr>
                <w:rFonts w:ascii="Times New Roman" w:hAnsi="Times New Roman"/>
                <w:color w:val="000000"/>
                <w:szCs w:val="26"/>
              </w:rPr>
              <w:t>$0</w:t>
            </w:r>
          </w:p>
        </w:tc>
      </w:tr>
      <w:tr w:rsidRPr="000D7EC1" w:rsidR="000D7EC1" w:rsidTr="00E75A1C" w14:paraId="13E73E7A"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hideMark/>
          </w:tcPr>
          <w:p w:rsidRPr="000D7EC1" w:rsidR="000D7EC1" w:rsidP="00E75A1C" w:rsidRDefault="000D7EC1" w14:paraId="3D695731" w14:textId="77777777">
            <w:pPr>
              <w:ind w:firstLine="260" w:firstLineChars="100"/>
              <w:rPr>
                <w:rFonts w:ascii="Times New Roman" w:hAnsi="Times New Roman"/>
                <w:color w:val="000000"/>
                <w:szCs w:val="26"/>
              </w:rPr>
            </w:pPr>
            <w:r w:rsidRPr="000D7EC1">
              <w:rPr>
                <w:rFonts w:ascii="Times New Roman" w:hAnsi="Times New Roman"/>
                <w:color w:val="000000"/>
                <w:szCs w:val="26"/>
              </w:rPr>
              <w:t xml:space="preserve">4129400 - Other Regulatory Licenses and Permits </w:t>
            </w:r>
          </w:p>
        </w:tc>
        <w:tc>
          <w:tcPr>
            <w:tcW w:w="1530"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0D42D868" w14:textId="77777777">
            <w:pPr>
              <w:jc w:val="right"/>
              <w:rPr>
                <w:rFonts w:ascii="Times New Roman" w:hAnsi="Times New Roman"/>
                <w:color w:val="000000"/>
                <w:szCs w:val="26"/>
              </w:rPr>
            </w:pPr>
            <w:r w:rsidRPr="000D7EC1">
              <w:rPr>
                <w:rFonts w:ascii="Times New Roman" w:hAnsi="Times New Roman"/>
                <w:color w:val="000000"/>
                <w:szCs w:val="26"/>
              </w:rPr>
              <w:t>$1,894,000</w:t>
            </w:r>
          </w:p>
        </w:tc>
        <w:tc>
          <w:tcPr>
            <w:tcW w:w="1416"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5874CCF2" w14:textId="77777777">
            <w:pPr>
              <w:jc w:val="right"/>
              <w:rPr>
                <w:rFonts w:ascii="Times New Roman" w:hAnsi="Times New Roman"/>
                <w:color w:val="000000"/>
                <w:szCs w:val="26"/>
              </w:rPr>
            </w:pPr>
            <w:r w:rsidRPr="000D7EC1">
              <w:rPr>
                <w:rFonts w:ascii="Times New Roman" w:hAnsi="Times New Roman"/>
                <w:color w:val="000000"/>
                <w:szCs w:val="26"/>
              </w:rPr>
              <w:t>$650,000</w:t>
            </w:r>
          </w:p>
        </w:tc>
      </w:tr>
      <w:tr w:rsidRPr="000D7EC1" w:rsidR="000D7EC1" w:rsidTr="00E75A1C" w14:paraId="3A8C1C83"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hideMark/>
          </w:tcPr>
          <w:p w:rsidRPr="000D7EC1" w:rsidR="000D7EC1" w:rsidP="00E75A1C" w:rsidRDefault="000D7EC1" w14:paraId="29548AA4" w14:textId="77777777">
            <w:pPr>
              <w:ind w:firstLine="260" w:firstLineChars="100"/>
              <w:rPr>
                <w:rFonts w:ascii="Times New Roman" w:hAnsi="Times New Roman"/>
                <w:color w:val="000000"/>
                <w:szCs w:val="26"/>
              </w:rPr>
            </w:pPr>
            <w:r w:rsidRPr="000D7EC1">
              <w:rPr>
                <w:rFonts w:ascii="Times New Roman" w:hAnsi="Times New Roman"/>
                <w:color w:val="000000"/>
                <w:szCs w:val="26"/>
              </w:rPr>
              <w:t xml:space="preserve">4127400 - Renewal Fees </w:t>
            </w:r>
          </w:p>
        </w:tc>
        <w:tc>
          <w:tcPr>
            <w:tcW w:w="1530"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2B577186" w14:textId="77777777">
            <w:pPr>
              <w:jc w:val="right"/>
              <w:rPr>
                <w:rFonts w:ascii="Times New Roman" w:hAnsi="Times New Roman"/>
                <w:color w:val="000000"/>
                <w:szCs w:val="26"/>
              </w:rPr>
            </w:pPr>
            <w:r w:rsidRPr="000D7EC1">
              <w:rPr>
                <w:rFonts w:ascii="Times New Roman" w:hAnsi="Times New Roman"/>
                <w:color w:val="000000"/>
                <w:szCs w:val="26"/>
              </w:rPr>
              <w:t>$0</w:t>
            </w:r>
          </w:p>
        </w:tc>
        <w:tc>
          <w:tcPr>
            <w:tcW w:w="1416"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54AAE125" w14:textId="77777777">
            <w:pPr>
              <w:jc w:val="right"/>
              <w:rPr>
                <w:rFonts w:ascii="Times New Roman" w:hAnsi="Times New Roman"/>
                <w:color w:val="000000"/>
                <w:szCs w:val="26"/>
              </w:rPr>
            </w:pPr>
            <w:r w:rsidRPr="000D7EC1">
              <w:rPr>
                <w:rFonts w:ascii="Times New Roman" w:hAnsi="Times New Roman"/>
                <w:color w:val="000000"/>
                <w:szCs w:val="26"/>
              </w:rPr>
              <w:t>$0</w:t>
            </w:r>
          </w:p>
        </w:tc>
      </w:tr>
      <w:tr w:rsidRPr="000D7EC1" w:rsidR="000D7EC1" w:rsidTr="00E75A1C" w14:paraId="7D267C10"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hideMark/>
          </w:tcPr>
          <w:p w:rsidRPr="000D7EC1" w:rsidR="000D7EC1" w:rsidP="00E75A1C" w:rsidRDefault="000D7EC1" w14:paraId="2C2E9FCA" w14:textId="77777777">
            <w:pPr>
              <w:ind w:firstLine="260" w:firstLineChars="100"/>
              <w:rPr>
                <w:rFonts w:ascii="Times New Roman" w:hAnsi="Times New Roman"/>
                <w:color w:val="000000"/>
                <w:szCs w:val="26"/>
              </w:rPr>
            </w:pPr>
            <w:r w:rsidRPr="000D7EC1">
              <w:rPr>
                <w:rFonts w:ascii="Times New Roman" w:hAnsi="Times New Roman"/>
                <w:color w:val="000000"/>
                <w:szCs w:val="26"/>
              </w:rPr>
              <w:t xml:space="preserve">4163000 - Investment Income - Surplus Money Investments </w:t>
            </w:r>
          </w:p>
        </w:tc>
        <w:tc>
          <w:tcPr>
            <w:tcW w:w="1530"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13B4C5D4" w14:textId="77777777">
            <w:pPr>
              <w:jc w:val="right"/>
              <w:rPr>
                <w:rFonts w:ascii="Times New Roman" w:hAnsi="Times New Roman"/>
                <w:color w:val="000000"/>
                <w:szCs w:val="26"/>
              </w:rPr>
            </w:pPr>
            <w:r w:rsidRPr="000D7EC1">
              <w:rPr>
                <w:rFonts w:ascii="Times New Roman" w:hAnsi="Times New Roman"/>
                <w:color w:val="000000"/>
                <w:szCs w:val="26"/>
              </w:rPr>
              <w:t>$87,000</w:t>
            </w:r>
          </w:p>
        </w:tc>
        <w:tc>
          <w:tcPr>
            <w:tcW w:w="1416"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19160765" w14:textId="77777777">
            <w:pPr>
              <w:jc w:val="right"/>
              <w:rPr>
                <w:rFonts w:ascii="Times New Roman" w:hAnsi="Times New Roman"/>
                <w:color w:val="000000"/>
                <w:szCs w:val="26"/>
              </w:rPr>
            </w:pPr>
            <w:r w:rsidRPr="000D7EC1">
              <w:rPr>
                <w:rFonts w:ascii="Times New Roman" w:hAnsi="Times New Roman"/>
                <w:color w:val="000000"/>
                <w:szCs w:val="26"/>
              </w:rPr>
              <w:t>$140,000</w:t>
            </w:r>
          </w:p>
        </w:tc>
      </w:tr>
      <w:tr w:rsidRPr="000D7EC1" w:rsidR="000D7EC1" w:rsidTr="00E75A1C" w14:paraId="3A765F2A"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hideMark/>
          </w:tcPr>
          <w:p w:rsidRPr="000D7EC1" w:rsidR="000D7EC1" w:rsidP="00E75A1C" w:rsidRDefault="000D7EC1" w14:paraId="487271DD" w14:textId="77777777">
            <w:pPr>
              <w:ind w:firstLine="260" w:firstLineChars="100"/>
              <w:rPr>
                <w:rFonts w:ascii="Times New Roman" w:hAnsi="Times New Roman"/>
                <w:color w:val="000000"/>
                <w:szCs w:val="26"/>
              </w:rPr>
            </w:pPr>
            <w:r w:rsidRPr="000D7EC1">
              <w:rPr>
                <w:rFonts w:ascii="Times New Roman" w:hAnsi="Times New Roman"/>
                <w:color w:val="000000"/>
                <w:szCs w:val="26"/>
              </w:rPr>
              <w:t>4171400 Escheat – Unclaimed Checks, Warrants, Bonds and Coupons</w:t>
            </w:r>
          </w:p>
        </w:tc>
        <w:tc>
          <w:tcPr>
            <w:tcW w:w="1530"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69871575" w14:textId="77777777">
            <w:pPr>
              <w:jc w:val="right"/>
              <w:rPr>
                <w:rFonts w:ascii="Times New Roman" w:hAnsi="Times New Roman"/>
                <w:color w:val="000000"/>
                <w:szCs w:val="26"/>
              </w:rPr>
            </w:pPr>
            <w:r w:rsidRPr="000D7EC1">
              <w:rPr>
                <w:rFonts w:ascii="Times New Roman" w:hAnsi="Times New Roman"/>
                <w:color w:val="000000"/>
                <w:szCs w:val="26"/>
              </w:rPr>
              <w:t>$0</w:t>
            </w:r>
          </w:p>
        </w:tc>
        <w:tc>
          <w:tcPr>
            <w:tcW w:w="1416"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7E4F121A" w14:textId="77777777">
            <w:pPr>
              <w:jc w:val="right"/>
              <w:rPr>
                <w:rFonts w:ascii="Times New Roman" w:hAnsi="Times New Roman"/>
                <w:color w:val="000000"/>
                <w:szCs w:val="26"/>
              </w:rPr>
            </w:pPr>
            <w:r w:rsidRPr="000D7EC1">
              <w:rPr>
                <w:rFonts w:ascii="Times New Roman" w:hAnsi="Times New Roman"/>
                <w:color w:val="000000"/>
                <w:szCs w:val="26"/>
              </w:rPr>
              <w:t>$0</w:t>
            </w:r>
          </w:p>
        </w:tc>
      </w:tr>
      <w:tr w:rsidRPr="000D7EC1" w:rsidR="000D7EC1" w:rsidTr="00E75A1C" w14:paraId="2AC47A52"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tcPr>
          <w:p w:rsidRPr="000D7EC1" w:rsidR="000D7EC1" w:rsidP="00E75A1C" w:rsidRDefault="000D7EC1" w14:paraId="6A2DA180" w14:textId="77777777">
            <w:pPr>
              <w:rPr>
                <w:rFonts w:ascii="Times New Roman" w:hAnsi="Times New Roman"/>
                <w:color w:val="000000"/>
                <w:szCs w:val="26"/>
              </w:rPr>
            </w:pPr>
            <w:r w:rsidRPr="000D7EC1">
              <w:rPr>
                <w:rFonts w:ascii="Times New Roman" w:hAnsi="Times New Roman"/>
                <w:color w:val="000000"/>
                <w:szCs w:val="26"/>
              </w:rPr>
              <w:t>Operating Transfers from Coronavirus Relief Fund 8505 per EO E 20/21-251 CS 11.90</w:t>
            </w:r>
          </w:p>
        </w:tc>
        <w:tc>
          <w:tcPr>
            <w:tcW w:w="1530" w:type="dxa"/>
            <w:tcBorders>
              <w:top w:val="nil"/>
              <w:left w:val="nil"/>
              <w:bottom w:val="single" w:color="auto" w:sz="8" w:space="0"/>
              <w:right w:val="single" w:color="auto" w:sz="8" w:space="0"/>
            </w:tcBorders>
            <w:shd w:val="clear" w:color="auto" w:fill="auto"/>
            <w:noWrap/>
            <w:vAlign w:val="center"/>
          </w:tcPr>
          <w:p w:rsidRPr="000D7EC1" w:rsidR="000D7EC1" w:rsidP="00E75A1C" w:rsidRDefault="000D7EC1" w14:paraId="7399A422" w14:textId="77777777">
            <w:pPr>
              <w:jc w:val="right"/>
              <w:rPr>
                <w:rFonts w:ascii="Times New Roman" w:hAnsi="Times New Roman"/>
                <w:color w:val="000000"/>
                <w:szCs w:val="26"/>
              </w:rPr>
            </w:pPr>
            <w:r w:rsidRPr="000D7EC1">
              <w:rPr>
                <w:rFonts w:ascii="Times New Roman" w:hAnsi="Times New Roman"/>
                <w:color w:val="000000"/>
                <w:szCs w:val="26"/>
              </w:rPr>
              <w:t>$666,000</w:t>
            </w:r>
          </w:p>
        </w:tc>
        <w:tc>
          <w:tcPr>
            <w:tcW w:w="1416" w:type="dxa"/>
            <w:tcBorders>
              <w:top w:val="nil"/>
              <w:left w:val="nil"/>
              <w:bottom w:val="single" w:color="auto" w:sz="8" w:space="0"/>
              <w:right w:val="single" w:color="auto" w:sz="8" w:space="0"/>
            </w:tcBorders>
            <w:shd w:val="clear" w:color="auto" w:fill="auto"/>
            <w:noWrap/>
            <w:vAlign w:val="center"/>
          </w:tcPr>
          <w:p w:rsidRPr="000D7EC1" w:rsidR="000D7EC1" w:rsidP="00E75A1C" w:rsidRDefault="000D7EC1" w14:paraId="683A971F" w14:textId="77777777">
            <w:pPr>
              <w:jc w:val="right"/>
              <w:rPr>
                <w:rFonts w:ascii="Times New Roman" w:hAnsi="Times New Roman"/>
                <w:color w:val="000000"/>
                <w:szCs w:val="26"/>
              </w:rPr>
            </w:pPr>
          </w:p>
        </w:tc>
      </w:tr>
      <w:tr w:rsidRPr="000D7EC1" w:rsidR="000D7EC1" w:rsidTr="00E75A1C" w14:paraId="1ABED8D9"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tcPr>
          <w:p w:rsidRPr="000D7EC1" w:rsidR="000D7EC1" w:rsidP="00E75A1C" w:rsidRDefault="000D7EC1" w14:paraId="4E957182" w14:textId="77777777">
            <w:pPr>
              <w:rPr>
                <w:rFonts w:ascii="Times New Roman" w:hAnsi="Times New Roman"/>
                <w:color w:val="000000"/>
                <w:szCs w:val="26"/>
              </w:rPr>
            </w:pPr>
            <w:r w:rsidRPr="000D7EC1">
              <w:rPr>
                <w:rFonts w:ascii="Times New Roman" w:hAnsi="Times New Roman"/>
                <w:color w:val="000000"/>
                <w:szCs w:val="26"/>
              </w:rPr>
              <w:t>Operating Transfers from Fund 0461 to Fund 0001</w:t>
            </w:r>
          </w:p>
          <w:p w:rsidRPr="000D7EC1" w:rsidR="000D7EC1" w:rsidP="00E75A1C" w:rsidRDefault="000D7EC1" w14:paraId="56305A46" w14:textId="77777777">
            <w:pPr>
              <w:rPr>
                <w:rFonts w:ascii="Times New Roman" w:hAnsi="Times New Roman"/>
                <w:color w:val="000000"/>
                <w:szCs w:val="26"/>
              </w:rPr>
            </w:pPr>
            <w:r w:rsidRPr="000D7EC1">
              <w:rPr>
                <w:rFonts w:ascii="Times New Roman" w:hAnsi="Times New Roman"/>
                <w:color w:val="000000"/>
                <w:szCs w:val="26"/>
              </w:rPr>
              <w:t>General Fund per EO E 21/22-276</w:t>
            </w:r>
          </w:p>
        </w:tc>
        <w:tc>
          <w:tcPr>
            <w:tcW w:w="1530" w:type="dxa"/>
            <w:tcBorders>
              <w:top w:val="nil"/>
              <w:left w:val="nil"/>
              <w:bottom w:val="single" w:color="auto" w:sz="8" w:space="0"/>
              <w:right w:val="single" w:color="auto" w:sz="8" w:space="0"/>
            </w:tcBorders>
            <w:shd w:val="clear" w:color="auto" w:fill="auto"/>
            <w:noWrap/>
            <w:vAlign w:val="center"/>
          </w:tcPr>
          <w:p w:rsidRPr="000D7EC1" w:rsidR="000D7EC1" w:rsidP="00E75A1C" w:rsidRDefault="000D7EC1" w14:paraId="1804054D" w14:textId="77777777">
            <w:pPr>
              <w:jc w:val="right"/>
              <w:rPr>
                <w:rFonts w:ascii="Times New Roman" w:hAnsi="Times New Roman"/>
                <w:color w:val="000000"/>
                <w:szCs w:val="26"/>
              </w:rPr>
            </w:pPr>
            <w:r w:rsidRPr="000D7EC1">
              <w:rPr>
                <w:rFonts w:ascii="Times New Roman" w:hAnsi="Times New Roman"/>
                <w:color w:val="000000"/>
                <w:szCs w:val="26"/>
              </w:rPr>
              <w:t>-$861,000</w:t>
            </w:r>
          </w:p>
        </w:tc>
        <w:tc>
          <w:tcPr>
            <w:tcW w:w="1416" w:type="dxa"/>
            <w:tcBorders>
              <w:top w:val="nil"/>
              <w:left w:val="nil"/>
              <w:bottom w:val="single" w:color="auto" w:sz="8" w:space="0"/>
              <w:right w:val="single" w:color="auto" w:sz="8" w:space="0"/>
            </w:tcBorders>
            <w:shd w:val="clear" w:color="auto" w:fill="auto"/>
            <w:noWrap/>
            <w:vAlign w:val="center"/>
          </w:tcPr>
          <w:p w:rsidRPr="000D7EC1" w:rsidR="000D7EC1" w:rsidP="00E75A1C" w:rsidRDefault="000D7EC1" w14:paraId="6D4C1497" w14:textId="77777777">
            <w:pPr>
              <w:jc w:val="right"/>
              <w:rPr>
                <w:rFonts w:ascii="Times New Roman" w:hAnsi="Times New Roman"/>
                <w:color w:val="000000"/>
                <w:szCs w:val="26"/>
              </w:rPr>
            </w:pPr>
          </w:p>
        </w:tc>
      </w:tr>
      <w:tr w:rsidRPr="000D7EC1" w:rsidR="000D7EC1" w:rsidTr="00E75A1C" w14:paraId="1D4D37CD"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hideMark/>
          </w:tcPr>
          <w:p w:rsidRPr="000D7EC1" w:rsidR="000D7EC1" w:rsidP="00E75A1C" w:rsidRDefault="000D7EC1" w14:paraId="2691B734" w14:textId="77777777">
            <w:pPr>
              <w:rPr>
                <w:rFonts w:ascii="Times New Roman" w:hAnsi="Times New Roman"/>
                <w:color w:val="000000"/>
                <w:szCs w:val="26"/>
              </w:rPr>
            </w:pPr>
            <w:r w:rsidRPr="000D7EC1">
              <w:rPr>
                <w:rFonts w:ascii="Times New Roman" w:hAnsi="Times New Roman"/>
                <w:color w:val="000000"/>
                <w:szCs w:val="26"/>
              </w:rPr>
              <w:t>Total Revenues, Transfers, and Other Adjustments</w:t>
            </w:r>
          </w:p>
        </w:tc>
        <w:tc>
          <w:tcPr>
            <w:tcW w:w="1530"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3F2E0C79" w14:textId="77777777">
            <w:pPr>
              <w:jc w:val="right"/>
              <w:rPr>
                <w:rFonts w:ascii="Times New Roman" w:hAnsi="Times New Roman"/>
                <w:color w:val="000000"/>
                <w:szCs w:val="26"/>
              </w:rPr>
            </w:pPr>
            <w:r w:rsidRPr="000D7EC1">
              <w:rPr>
                <w:rFonts w:ascii="Times New Roman" w:hAnsi="Times New Roman"/>
                <w:color w:val="000000"/>
                <w:szCs w:val="26"/>
              </w:rPr>
              <w:t>$15,123,000</w:t>
            </w:r>
          </w:p>
        </w:tc>
        <w:tc>
          <w:tcPr>
            <w:tcW w:w="1416"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64A15BD7" w14:textId="77777777">
            <w:pPr>
              <w:jc w:val="right"/>
              <w:rPr>
                <w:rFonts w:ascii="Times New Roman" w:hAnsi="Times New Roman"/>
                <w:color w:val="000000"/>
                <w:szCs w:val="26"/>
              </w:rPr>
            </w:pPr>
            <w:r w:rsidRPr="000D7EC1">
              <w:rPr>
                <w:rFonts w:ascii="Times New Roman" w:hAnsi="Times New Roman"/>
                <w:color w:val="000000"/>
                <w:szCs w:val="26"/>
              </w:rPr>
              <w:t>$22,559,000</w:t>
            </w:r>
          </w:p>
        </w:tc>
      </w:tr>
      <w:tr w:rsidRPr="000D7EC1" w:rsidR="000D7EC1" w:rsidTr="00E75A1C" w14:paraId="416E29E3"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hideMark/>
          </w:tcPr>
          <w:p w:rsidRPr="000D7EC1" w:rsidR="000D7EC1" w:rsidP="00E75A1C" w:rsidRDefault="000D7EC1" w14:paraId="36626E24" w14:textId="77777777">
            <w:pPr>
              <w:rPr>
                <w:rFonts w:ascii="Times New Roman" w:hAnsi="Times New Roman"/>
                <w:color w:val="000000"/>
                <w:szCs w:val="26"/>
              </w:rPr>
            </w:pPr>
            <w:r w:rsidRPr="000D7EC1">
              <w:rPr>
                <w:rFonts w:ascii="Times New Roman" w:hAnsi="Times New Roman"/>
                <w:color w:val="000000"/>
                <w:szCs w:val="26"/>
              </w:rPr>
              <w:t>Total Resources</w:t>
            </w:r>
          </w:p>
        </w:tc>
        <w:tc>
          <w:tcPr>
            <w:tcW w:w="1530"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79283D88" w14:textId="77777777">
            <w:pPr>
              <w:jc w:val="right"/>
              <w:rPr>
                <w:rFonts w:ascii="Times New Roman" w:hAnsi="Times New Roman"/>
                <w:color w:val="000000"/>
                <w:szCs w:val="26"/>
              </w:rPr>
            </w:pPr>
            <w:r w:rsidRPr="000D7EC1">
              <w:rPr>
                <w:rFonts w:ascii="Times New Roman" w:hAnsi="Times New Roman"/>
                <w:color w:val="000000"/>
                <w:szCs w:val="26"/>
              </w:rPr>
              <w:t>$30,246,000</w:t>
            </w:r>
          </w:p>
        </w:tc>
        <w:tc>
          <w:tcPr>
            <w:tcW w:w="1416"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17CD7E2C" w14:textId="77777777">
            <w:pPr>
              <w:jc w:val="right"/>
              <w:rPr>
                <w:rFonts w:ascii="Times New Roman" w:hAnsi="Times New Roman"/>
                <w:color w:val="000000"/>
                <w:szCs w:val="26"/>
              </w:rPr>
            </w:pPr>
            <w:r w:rsidRPr="000D7EC1">
              <w:rPr>
                <w:rFonts w:ascii="Times New Roman" w:hAnsi="Times New Roman"/>
                <w:color w:val="000000"/>
                <w:szCs w:val="26"/>
              </w:rPr>
              <w:t>$45,118,000</w:t>
            </w:r>
          </w:p>
        </w:tc>
      </w:tr>
      <w:tr w:rsidRPr="000D7EC1" w:rsidR="000D7EC1" w:rsidTr="00E75A1C" w14:paraId="3AD938E1" w14:textId="77777777">
        <w:trPr>
          <w:gridAfter w:val="1"/>
          <w:wAfter w:w="236" w:type="dxa"/>
          <w:trHeight w:val="315"/>
        </w:trPr>
        <w:tc>
          <w:tcPr>
            <w:tcW w:w="9506" w:type="dxa"/>
            <w:gridSpan w:val="3"/>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0D7EC1" w:rsidR="000D7EC1" w:rsidP="00E75A1C" w:rsidRDefault="000D7EC1" w14:paraId="3A49C361" w14:textId="77777777">
            <w:pPr>
              <w:rPr>
                <w:rFonts w:ascii="Times New Roman" w:hAnsi="Times New Roman"/>
                <w:color w:val="000000"/>
                <w:szCs w:val="26"/>
              </w:rPr>
            </w:pPr>
            <w:r w:rsidRPr="000D7EC1">
              <w:rPr>
                <w:rFonts w:ascii="Times New Roman" w:hAnsi="Times New Roman"/>
                <w:color w:val="000000"/>
                <w:szCs w:val="26"/>
              </w:rPr>
              <w:t xml:space="preserve">EXPENDITURES AND EXPENDITURE ADJUSTMENTS </w:t>
            </w:r>
          </w:p>
        </w:tc>
      </w:tr>
      <w:tr w:rsidRPr="000D7EC1" w:rsidR="000D7EC1" w:rsidTr="00E75A1C" w14:paraId="3EC94C54" w14:textId="77777777">
        <w:trPr>
          <w:gridAfter w:val="1"/>
          <w:wAfter w:w="236" w:type="dxa"/>
          <w:trHeight w:val="315"/>
        </w:trPr>
        <w:tc>
          <w:tcPr>
            <w:tcW w:w="9506" w:type="dxa"/>
            <w:gridSpan w:val="3"/>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0D7EC1" w:rsidR="000D7EC1" w:rsidP="00E75A1C" w:rsidRDefault="000D7EC1" w14:paraId="3A67E502" w14:textId="77777777">
            <w:pPr>
              <w:rPr>
                <w:rFonts w:ascii="Times New Roman" w:hAnsi="Times New Roman"/>
                <w:color w:val="000000"/>
                <w:szCs w:val="26"/>
              </w:rPr>
            </w:pPr>
            <w:r w:rsidRPr="000D7EC1">
              <w:rPr>
                <w:rFonts w:ascii="Times New Roman" w:hAnsi="Times New Roman"/>
                <w:color w:val="000000"/>
                <w:szCs w:val="26"/>
              </w:rPr>
              <w:t xml:space="preserve">Expenditures: </w:t>
            </w:r>
          </w:p>
        </w:tc>
      </w:tr>
      <w:tr w:rsidRPr="000D7EC1" w:rsidR="000D7EC1" w:rsidTr="00E75A1C" w14:paraId="5551F1BA"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hideMark/>
          </w:tcPr>
          <w:p w:rsidRPr="000D7EC1" w:rsidR="000D7EC1" w:rsidP="00E75A1C" w:rsidRDefault="000D7EC1" w14:paraId="4B81FABF" w14:textId="77777777">
            <w:pPr>
              <w:ind w:firstLine="260" w:firstLineChars="100"/>
              <w:rPr>
                <w:rFonts w:ascii="Times New Roman" w:hAnsi="Times New Roman"/>
                <w:color w:val="000000"/>
                <w:szCs w:val="26"/>
              </w:rPr>
            </w:pPr>
            <w:r w:rsidRPr="000D7EC1">
              <w:rPr>
                <w:rFonts w:ascii="Times New Roman" w:hAnsi="Times New Roman"/>
                <w:color w:val="000000"/>
                <w:szCs w:val="26"/>
              </w:rPr>
              <w:t>Public Utilities Commission State Operations</w:t>
            </w:r>
          </w:p>
        </w:tc>
        <w:tc>
          <w:tcPr>
            <w:tcW w:w="1530"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547D4F1F" w14:textId="77777777">
            <w:pPr>
              <w:jc w:val="right"/>
              <w:rPr>
                <w:rFonts w:ascii="Times New Roman" w:hAnsi="Times New Roman"/>
                <w:color w:val="000000"/>
                <w:szCs w:val="26"/>
              </w:rPr>
            </w:pPr>
            <w:r w:rsidRPr="000D7EC1">
              <w:rPr>
                <w:rFonts w:ascii="Times New Roman" w:hAnsi="Times New Roman"/>
                <w:color w:val="000000"/>
                <w:szCs w:val="26"/>
              </w:rPr>
              <w:t>$25,484,000</w:t>
            </w:r>
          </w:p>
        </w:tc>
        <w:tc>
          <w:tcPr>
            <w:tcW w:w="1416"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66513B04" w14:textId="77777777">
            <w:pPr>
              <w:jc w:val="right"/>
              <w:rPr>
                <w:rFonts w:ascii="Times New Roman" w:hAnsi="Times New Roman"/>
                <w:color w:val="000000"/>
                <w:szCs w:val="26"/>
              </w:rPr>
            </w:pPr>
            <w:r w:rsidRPr="000D7EC1">
              <w:rPr>
                <w:rFonts w:ascii="Times New Roman" w:hAnsi="Times New Roman"/>
                <w:color w:val="000000"/>
                <w:szCs w:val="26"/>
              </w:rPr>
              <w:t>$30,118,000</w:t>
            </w:r>
          </w:p>
        </w:tc>
      </w:tr>
      <w:tr w:rsidRPr="000D7EC1" w:rsidR="000D7EC1" w:rsidTr="00E75A1C" w14:paraId="068788F2"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hideMark/>
          </w:tcPr>
          <w:p w:rsidRPr="000D7EC1" w:rsidR="000D7EC1" w:rsidP="00E75A1C" w:rsidRDefault="000D7EC1" w14:paraId="43B34E47" w14:textId="77777777">
            <w:pPr>
              <w:ind w:firstLine="260" w:firstLineChars="100"/>
              <w:rPr>
                <w:rFonts w:ascii="Times New Roman" w:hAnsi="Times New Roman"/>
                <w:color w:val="000000"/>
                <w:szCs w:val="26"/>
              </w:rPr>
            </w:pPr>
            <w:r w:rsidRPr="000D7EC1">
              <w:rPr>
                <w:rFonts w:ascii="Times New Roman" w:hAnsi="Times New Roman"/>
                <w:color w:val="000000"/>
                <w:szCs w:val="26"/>
              </w:rPr>
              <w:t>Supplemental Pension Payments</w:t>
            </w:r>
          </w:p>
        </w:tc>
        <w:tc>
          <w:tcPr>
            <w:tcW w:w="1530"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50CECE3D" w14:textId="77777777">
            <w:pPr>
              <w:jc w:val="right"/>
              <w:rPr>
                <w:rFonts w:ascii="Times New Roman" w:hAnsi="Times New Roman"/>
                <w:color w:val="000000"/>
                <w:szCs w:val="26"/>
              </w:rPr>
            </w:pPr>
            <w:r w:rsidRPr="000D7EC1">
              <w:rPr>
                <w:rFonts w:ascii="Times New Roman" w:hAnsi="Times New Roman"/>
                <w:color w:val="000000"/>
                <w:szCs w:val="26"/>
              </w:rPr>
              <w:t>$390,000</w:t>
            </w:r>
          </w:p>
        </w:tc>
        <w:tc>
          <w:tcPr>
            <w:tcW w:w="1416"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28CAC8D6" w14:textId="77777777">
            <w:pPr>
              <w:jc w:val="right"/>
              <w:rPr>
                <w:rFonts w:ascii="Times New Roman" w:hAnsi="Times New Roman"/>
                <w:color w:val="000000"/>
                <w:szCs w:val="26"/>
              </w:rPr>
            </w:pPr>
            <w:r w:rsidRPr="000D7EC1">
              <w:rPr>
                <w:rFonts w:ascii="Times New Roman" w:hAnsi="Times New Roman"/>
                <w:color w:val="000000"/>
                <w:szCs w:val="26"/>
              </w:rPr>
              <w:t>$390,000</w:t>
            </w:r>
          </w:p>
        </w:tc>
      </w:tr>
      <w:tr w:rsidRPr="000D7EC1" w:rsidR="000D7EC1" w:rsidTr="00E75A1C" w14:paraId="094D47F3"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hideMark/>
          </w:tcPr>
          <w:p w:rsidRPr="000D7EC1" w:rsidR="000D7EC1" w:rsidP="00E75A1C" w:rsidRDefault="000D7EC1" w14:paraId="189D5F2B" w14:textId="77777777">
            <w:pPr>
              <w:ind w:firstLine="260" w:firstLineChars="100"/>
              <w:rPr>
                <w:rFonts w:ascii="Times New Roman" w:hAnsi="Times New Roman"/>
                <w:color w:val="000000"/>
                <w:szCs w:val="26"/>
              </w:rPr>
            </w:pPr>
            <w:r w:rsidRPr="000D7EC1">
              <w:rPr>
                <w:rFonts w:ascii="Times New Roman" w:hAnsi="Times New Roman"/>
                <w:color w:val="000000"/>
                <w:szCs w:val="26"/>
              </w:rPr>
              <w:t>Statewide General Admin Expense (Pro Rata)</w:t>
            </w:r>
          </w:p>
        </w:tc>
        <w:tc>
          <w:tcPr>
            <w:tcW w:w="1530"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6858B163" w14:textId="77777777">
            <w:pPr>
              <w:jc w:val="right"/>
              <w:rPr>
                <w:rFonts w:ascii="Times New Roman" w:hAnsi="Times New Roman"/>
                <w:color w:val="000000"/>
                <w:szCs w:val="26"/>
              </w:rPr>
            </w:pPr>
            <w:r w:rsidRPr="000D7EC1">
              <w:rPr>
                <w:rFonts w:ascii="Times New Roman" w:hAnsi="Times New Roman"/>
                <w:color w:val="000000"/>
                <w:szCs w:val="26"/>
              </w:rPr>
              <w:t>$927,000</w:t>
            </w:r>
          </w:p>
        </w:tc>
        <w:tc>
          <w:tcPr>
            <w:tcW w:w="1416"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2D9A08B8" w14:textId="77777777">
            <w:pPr>
              <w:jc w:val="right"/>
              <w:rPr>
                <w:rFonts w:ascii="Times New Roman" w:hAnsi="Times New Roman"/>
                <w:color w:val="000000"/>
                <w:szCs w:val="26"/>
              </w:rPr>
            </w:pPr>
            <w:r w:rsidRPr="000D7EC1">
              <w:rPr>
                <w:rFonts w:ascii="Times New Roman" w:hAnsi="Times New Roman"/>
                <w:color w:val="000000"/>
                <w:szCs w:val="26"/>
              </w:rPr>
              <w:t>$1,093,000</w:t>
            </w:r>
          </w:p>
        </w:tc>
      </w:tr>
      <w:tr w:rsidRPr="000D7EC1" w:rsidR="000D7EC1" w:rsidTr="00E75A1C" w14:paraId="441CB5B6"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hideMark/>
          </w:tcPr>
          <w:p w:rsidRPr="000D7EC1" w:rsidR="000D7EC1" w:rsidP="00E75A1C" w:rsidRDefault="000D7EC1" w14:paraId="74CDE53B" w14:textId="77777777">
            <w:pPr>
              <w:rPr>
                <w:rFonts w:ascii="Times New Roman" w:hAnsi="Times New Roman"/>
                <w:color w:val="000000"/>
                <w:szCs w:val="26"/>
              </w:rPr>
            </w:pPr>
            <w:r w:rsidRPr="000D7EC1">
              <w:rPr>
                <w:rFonts w:ascii="Times New Roman" w:hAnsi="Times New Roman"/>
                <w:color w:val="000000"/>
                <w:szCs w:val="26"/>
              </w:rPr>
              <w:t>Total Expenditures and Expenditure Adjustments</w:t>
            </w:r>
          </w:p>
        </w:tc>
        <w:tc>
          <w:tcPr>
            <w:tcW w:w="1530"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19DFEBDE" w14:textId="77777777">
            <w:pPr>
              <w:jc w:val="right"/>
              <w:rPr>
                <w:rFonts w:ascii="Times New Roman" w:hAnsi="Times New Roman"/>
                <w:color w:val="000000"/>
                <w:szCs w:val="26"/>
              </w:rPr>
            </w:pPr>
            <w:r w:rsidRPr="000D7EC1">
              <w:rPr>
                <w:rFonts w:ascii="Times New Roman" w:hAnsi="Times New Roman"/>
                <w:color w:val="000000"/>
                <w:szCs w:val="26"/>
              </w:rPr>
              <w:t>$26,801,000</w:t>
            </w:r>
          </w:p>
        </w:tc>
        <w:tc>
          <w:tcPr>
            <w:tcW w:w="1416"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3E6858A0" w14:textId="77777777">
            <w:pPr>
              <w:jc w:val="right"/>
              <w:rPr>
                <w:rFonts w:ascii="Times New Roman" w:hAnsi="Times New Roman"/>
                <w:color w:val="000000"/>
                <w:szCs w:val="26"/>
              </w:rPr>
            </w:pPr>
            <w:r w:rsidRPr="000D7EC1">
              <w:rPr>
                <w:rFonts w:ascii="Times New Roman" w:hAnsi="Times New Roman"/>
                <w:color w:val="000000"/>
                <w:szCs w:val="26"/>
              </w:rPr>
              <w:t>$31,601,000</w:t>
            </w:r>
          </w:p>
        </w:tc>
      </w:tr>
      <w:tr w:rsidRPr="000D7EC1" w:rsidR="000D7EC1" w:rsidTr="00E75A1C" w14:paraId="43AD57C2" w14:textId="77777777">
        <w:trPr>
          <w:gridAfter w:val="1"/>
          <w:wAfter w:w="236" w:type="dxa"/>
          <w:trHeight w:val="315"/>
        </w:trPr>
        <w:tc>
          <w:tcPr>
            <w:tcW w:w="6560" w:type="dxa"/>
            <w:tcBorders>
              <w:top w:val="nil"/>
              <w:left w:val="single" w:color="auto" w:sz="8" w:space="0"/>
              <w:bottom w:val="single" w:color="auto" w:sz="8" w:space="0"/>
              <w:right w:val="single" w:color="auto" w:sz="8" w:space="0"/>
            </w:tcBorders>
            <w:shd w:val="clear" w:color="auto" w:fill="auto"/>
            <w:noWrap/>
            <w:vAlign w:val="center"/>
            <w:hideMark/>
          </w:tcPr>
          <w:p w:rsidRPr="000D7EC1" w:rsidR="000D7EC1" w:rsidP="00E75A1C" w:rsidRDefault="000D7EC1" w14:paraId="1C73DAD1" w14:textId="77777777">
            <w:pPr>
              <w:rPr>
                <w:rFonts w:ascii="Times New Roman" w:hAnsi="Times New Roman"/>
                <w:color w:val="000000"/>
                <w:szCs w:val="26"/>
              </w:rPr>
            </w:pPr>
            <w:r w:rsidRPr="000D7EC1">
              <w:rPr>
                <w:rFonts w:ascii="Times New Roman" w:hAnsi="Times New Roman"/>
                <w:color w:val="000000"/>
                <w:szCs w:val="26"/>
              </w:rPr>
              <w:t xml:space="preserve">FUND BALANCE </w:t>
            </w:r>
          </w:p>
        </w:tc>
        <w:tc>
          <w:tcPr>
            <w:tcW w:w="1530"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239E3348" w14:textId="77777777">
            <w:pPr>
              <w:jc w:val="right"/>
              <w:rPr>
                <w:rFonts w:ascii="Times New Roman" w:hAnsi="Times New Roman"/>
                <w:color w:val="000000"/>
                <w:szCs w:val="26"/>
              </w:rPr>
            </w:pPr>
            <w:r w:rsidRPr="000D7EC1">
              <w:rPr>
                <w:rFonts w:ascii="Times New Roman" w:hAnsi="Times New Roman"/>
                <w:color w:val="000000"/>
                <w:szCs w:val="26"/>
              </w:rPr>
              <w:t>$23,367,000</w:t>
            </w:r>
          </w:p>
        </w:tc>
        <w:tc>
          <w:tcPr>
            <w:tcW w:w="1416" w:type="dxa"/>
            <w:tcBorders>
              <w:top w:val="nil"/>
              <w:left w:val="nil"/>
              <w:bottom w:val="single" w:color="auto" w:sz="8" w:space="0"/>
              <w:right w:val="single" w:color="auto" w:sz="8" w:space="0"/>
            </w:tcBorders>
            <w:shd w:val="clear" w:color="auto" w:fill="auto"/>
            <w:noWrap/>
            <w:vAlign w:val="center"/>
            <w:hideMark/>
          </w:tcPr>
          <w:p w:rsidRPr="000D7EC1" w:rsidR="000D7EC1" w:rsidP="00E75A1C" w:rsidRDefault="000D7EC1" w14:paraId="07222335" w14:textId="77777777">
            <w:pPr>
              <w:jc w:val="right"/>
              <w:rPr>
                <w:rFonts w:ascii="Times New Roman" w:hAnsi="Times New Roman"/>
                <w:color w:val="000000"/>
                <w:szCs w:val="26"/>
              </w:rPr>
            </w:pPr>
            <w:r w:rsidRPr="000D7EC1">
              <w:rPr>
                <w:rFonts w:ascii="Times New Roman" w:hAnsi="Times New Roman"/>
                <w:color w:val="000000"/>
                <w:szCs w:val="26"/>
              </w:rPr>
              <w:t>$14,325,000</w:t>
            </w:r>
          </w:p>
        </w:tc>
      </w:tr>
      <w:tr w:rsidRPr="000D7EC1" w:rsidR="000D7EC1" w:rsidTr="00E75A1C" w14:paraId="389BB57E" w14:textId="77777777">
        <w:trPr>
          <w:gridAfter w:val="1"/>
          <w:wAfter w:w="236" w:type="dxa"/>
          <w:trHeight w:val="351"/>
        </w:trPr>
        <w:tc>
          <w:tcPr>
            <w:tcW w:w="9506" w:type="dxa"/>
            <w:gridSpan w:val="3"/>
            <w:vMerge w:val="restart"/>
            <w:tcBorders>
              <w:top w:val="single" w:color="auto" w:sz="8" w:space="0"/>
              <w:left w:val="nil"/>
              <w:bottom w:val="nil"/>
              <w:right w:val="nil"/>
            </w:tcBorders>
            <w:shd w:val="clear" w:color="auto" w:fill="auto"/>
            <w:vAlign w:val="bottom"/>
            <w:hideMark/>
          </w:tcPr>
          <w:p w:rsidRPr="000D7EC1" w:rsidR="000D7EC1" w:rsidP="00E75A1C" w:rsidRDefault="000D7EC1" w14:paraId="6C0C8D75" w14:textId="77777777">
            <w:pPr>
              <w:rPr>
                <w:rFonts w:ascii="Times New Roman" w:hAnsi="Times New Roman"/>
                <w:i/>
                <w:iCs/>
                <w:color w:val="000000"/>
                <w:szCs w:val="26"/>
              </w:rPr>
            </w:pPr>
            <w:r w:rsidRPr="000D7EC1">
              <w:rPr>
                <w:rFonts w:ascii="Times New Roman" w:hAnsi="Times New Roman"/>
                <w:i/>
                <w:iCs/>
                <w:color w:val="000000"/>
                <w:szCs w:val="26"/>
              </w:rPr>
              <w:t xml:space="preserve">1. Projected Fund Condition Statement is based on estimated used fees revenue based on increased rates. </w:t>
            </w:r>
            <w:r w:rsidRPr="000D7EC1">
              <w:rPr>
                <w:rFonts w:ascii="Times New Roman" w:hAnsi="Times New Roman"/>
                <w:i/>
                <w:iCs/>
                <w:color w:val="000000"/>
                <w:szCs w:val="26"/>
              </w:rPr>
              <w:br/>
              <w:t>2. The projected Fund Condition Statement will not match to the 2023-24 Governor's Budget as the updated revenue projections are not reflect in the 2023-24 Governor's Budget.</w:t>
            </w:r>
          </w:p>
        </w:tc>
      </w:tr>
      <w:tr w:rsidRPr="000D7EC1" w:rsidR="000D7EC1" w:rsidTr="00E75A1C" w14:paraId="2B255B16" w14:textId="77777777">
        <w:trPr>
          <w:trHeight w:val="300"/>
        </w:trPr>
        <w:tc>
          <w:tcPr>
            <w:tcW w:w="9506" w:type="dxa"/>
            <w:gridSpan w:val="3"/>
            <w:vMerge/>
            <w:tcBorders>
              <w:top w:val="single" w:color="auto" w:sz="8" w:space="0"/>
              <w:left w:val="nil"/>
              <w:bottom w:val="nil"/>
              <w:right w:val="nil"/>
            </w:tcBorders>
            <w:vAlign w:val="center"/>
            <w:hideMark/>
          </w:tcPr>
          <w:p w:rsidRPr="000D7EC1" w:rsidR="000D7EC1" w:rsidP="00E75A1C" w:rsidRDefault="000D7EC1" w14:paraId="488E8381" w14:textId="77777777">
            <w:pPr>
              <w:rPr>
                <w:rFonts w:ascii="Times New Roman" w:hAnsi="Times New Roman"/>
                <w:i/>
                <w:iCs/>
                <w:color w:val="000000"/>
                <w:szCs w:val="26"/>
              </w:rPr>
            </w:pPr>
          </w:p>
        </w:tc>
        <w:tc>
          <w:tcPr>
            <w:tcW w:w="236" w:type="dxa"/>
            <w:tcBorders>
              <w:top w:val="nil"/>
              <w:left w:val="nil"/>
              <w:bottom w:val="nil"/>
              <w:right w:val="nil"/>
            </w:tcBorders>
            <w:shd w:val="clear" w:color="auto" w:fill="auto"/>
            <w:noWrap/>
            <w:vAlign w:val="bottom"/>
            <w:hideMark/>
          </w:tcPr>
          <w:p w:rsidRPr="000D7EC1" w:rsidR="000D7EC1" w:rsidP="00E75A1C" w:rsidRDefault="000D7EC1" w14:paraId="1E57D8D0" w14:textId="77777777">
            <w:pPr>
              <w:rPr>
                <w:rFonts w:ascii="Times New Roman" w:hAnsi="Times New Roman"/>
                <w:i/>
                <w:iCs/>
                <w:color w:val="000000"/>
                <w:szCs w:val="26"/>
              </w:rPr>
            </w:pPr>
          </w:p>
        </w:tc>
      </w:tr>
      <w:tr w:rsidRPr="000D7EC1" w:rsidR="000D7EC1" w:rsidTr="00E75A1C" w14:paraId="413EA9BF" w14:textId="77777777">
        <w:trPr>
          <w:trHeight w:val="300"/>
        </w:trPr>
        <w:tc>
          <w:tcPr>
            <w:tcW w:w="9506" w:type="dxa"/>
            <w:gridSpan w:val="3"/>
            <w:vMerge/>
            <w:tcBorders>
              <w:top w:val="single" w:color="auto" w:sz="8" w:space="0"/>
              <w:left w:val="nil"/>
              <w:bottom w:val="nil"/>
              <w:right w:val="nil"/>
            </w:tcBorders>
            <w:vAlign w:val="center"/>
            <w:hideMark/>
          </w:tcPr>
          <w:p w:rsidRPr="000D7EC1" w:rsidR="000D7EC1" w:rsidP="00E75A1C" w:rsidRDefault="000D7EC1" w14:paraId="53242552" w14:textId="77777777">
            <w:pPr>
              <w:rPr>
                <w:rFonts w:ascii="Times New Roman" w:hAnsi="Times New Roman"/>
                <w:i/>
                <w:iCs/>
                <w:color w:val="000000"/>
                <w:szCs w:val="26"/>
              </w:rPr>
            </w:pPr>
          </w:p>
        </w:tc>
        <w:tc>
          <w:tcPr>
            <w:tcW w:w="236" w:type="dxa"/>
            <w:tcBorders>
              <w:top w:val="nil"/>
              <w:left w:val="nil"/>
              <w:bottom w:val="nil"/>
              <w:right w:val="nil"/>
            </w:tcBorders>
            <w:shd w:val="clear" w:color="auto" w:fill="auto"/>
            <w:noWrap/>
            <w:vAlign w:val="bottom"/>
            <w:hideMark/>
          </w:tcPr>
          <w:p w:rsidRPr="000D7EC1" w:rsidR="000D7EC1" w:rsidP="00E75A1C" w:rsidRDefault="000D7EC1" w14:paraId="2CB89BD3" w14:textId="77777777">
            <w:pPr>
              <w:rPr>
                <w:rFonts w:ascii="Times New Roman" w:hAnsi="Times New Roman"/>
                <w:szCs w:val="26"/>
              </w:rPr>
            </w:pPr>
          </w:p>
        </w:tc>
      </w:tr>
    </w:tbl>
    <w:p w:rsidRPr="00F1204E" w:rsidR="00CF17DE" w:rsidP="000D7EC1" w:rsidRDefault="00CF17DE" w14:paraId="52560726" w14:textId="77777777">
      <w:pPr>
        <w:tabs>
          <w:tab w:val="left" w:pos="720"/>
          <w:tab w:val="left" w:pos="1152"/>
          <w:tab w:val="left" w:pos="1728"/>
          <w:tab w:val="left" w:pos="3168"/>
          <w:tab w:val="left" w:pos="5040"/>
        </w:tabs>
        <w:ind w:right="144"/>
        <w:rPr>
          <w:rFonts w:ascii="Times New Roman" w:hAnsi="Times New Roman"/>
        </w:rPr>
      </w:pPr>
    </w:p>
    <w:sectPr w:rsidRPr="00F1204E" w:rsidR="00CF17DE">
      <w:headerReference w:type="default" r:id="rId7"/>
      <w:footerReference w:type="default" r:id="rId8"/>
      <w:headerReference w:type="first" r:id="rId9"/>
      <w:footerReference w:type="first" r:id="rId1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40E7" w14:textId="77777777" w:rsidR="00A155E2" w:rsidRDefault="00A155E2">
      <w:r>
        <w:separator/>
      </w:r>
    </w:p>
  </w:endnote>
  <w:endnote w:type="continuationSeparator" w:id="0">
    <w:p w14:paraId="1DC6B40C" w14:textId="77777777" w:rsidR="00A155E2" w:rsidRDefault="00A1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66D7" w14:textId="77777777" w:rsidR="00CF17DE" w:rsidRDefault="00CF17DE">
    <w:pPr>
      <w:pStyle w:val="Footer"/>
    </w:pPr>
    <w:r>
      <w:rPr>
        <w:rStyle w:val="PageNumber"/>
      </w:rPr>
      <w:fldChar w:fldCharType="begin"/>
    </w:r>
    <w:r>
      <w:rPr>
        <w:rStyle w:val="PageNumber"/>
      </w:rPr>
      <w:instrText xml:space="preserve"> PAGE </w:instrText>
    </w:r>
    <w:r>
      <w:rPr>
        <w:rStyle w:val="PageNumber"/>
      </w:rPr>
      <w:fldChar w:fldCharType="separate"/>
    </w:r>
    <w:r w:rsidR="00F1204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3AC7" w14:textId="77777777" w:rsidR="00CF17DE" w:rsidRDefault="00CF17DE">
    <w:pPr>
      <w:pStyle w:val="Footer"/>
      <w:tabs>
        <w:tab w:val="clear" w:pos="4320"/>
        <w:tab w:val="center" w:pos="4680"/>
      </w:tabs>
    </w:pPr>
    <w:r>
      <w:rPr>
        <w:rStyle w:val="PageNumber"/>
      </w:rPr>
      <w:fldChar w:fldCharType="begin"/>
    </w:r>
    <w:r>
      <w:rPr>
        <w:rStyle w:val="PageNumber"/>
      </w:rPr>
      <w:instrText xml:space="preserve"> PAGE </w:instrText>
    </w:r>
    <w:r>
      <w:rPr>
        <w:rStyle w:val="PageNumber"/>
      </w:rPr>
      <w:fldChar w:fldCharType="separate"/>
    </w:r>
    <w:r w:rsidR="00F120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1B1F" w14:textId="77777777" w:rsidR="00A155E2" w:rsidRDefault="00A155E2">
      <w:r>
        <w:separator/>
      </w:r>
    </w:p>
  </w:footnote>
  <w:footnote w:type="continuationSeparator" w:id="0">
    <w:p w14:paraId="474DE0B4" w14:textId="77777777" w:rsidR="00A155E2" w:rsidRDefault="00A155E2">
      <w:r>
        <w:continuationSeparator/>
      </w:r>
    </w:p>
  </w:footnote>
  <w:footnote w:type="continuationNotice" w:id="1">
    <w:p w14:paraId="7DA341BF" w14:textId="77777777" w:rsidR="00A155E2" w:rsidRDefault="00A155E2">
      <w:pPr>
        <w:rPr>
          <w:sz w:val="22"/>
        </w:rPr>
      </w:pPr>
    </w:p>
    <w:p w14:paraId="7B1E3F0F" w14:textId="77777777" w:rsidR="00A155E2" w:rsidRDefault="00A155E2">
      <w:pPr>
        <w:jc w:val="right"/>
        <w:rPr>
          <w:sz w:val="22"/>
        </w:rPr>
      </w:pPr>
      <w:r>
        <w:rPr>
          <w:i/>
          <w:sz w:val="22"/>
        </w:rPr>
        <w:t>Footnote continued on next page</w:t>
      </w:r>
    </w:p>
  </w:footnote>
  <w:footnote w:id="2">
    <w:p w14:paraId="0628617A" w14:textId="77777777" w:rsidR="003F57DF" w:rsidRPr="006B729C" w:rsidRDefault="003F57DF" w:rsidP="00F55C2A">
      <w:pPr>
        <w:pStyle w:val="FootnoteText"/>
        <w:numPr>
          <w:ilvl w:val="0"/>
          <w:numId w:val="0"/>
        </w:numPr>
        <w:spacing w:after="120"/>
        <w:ind w:left="36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w:t>
      </w:r>
      <w:r w:rsidRPr="006B729C">
        <w:rPr>
          <w:rFonts w:ascii="Times New Roman" w:hAnsi="Times New Roman"/>
          <w:iCs/>
          <w:szCs w:val="24"/>
        </w:rPr>
        <w:t>Cal. Pub. Util. Code § 422(a)(2).</w:t>
      </w:r>
    </w:p>
  </w:footnote>
  <w:footnote w:id="3">
    <w:p w14:paraId="56304861" w14:textId="77777777" w:rsidR="003F57DF" w:rsidRPr="006B729C" w:rsidRDefault="003F57DF" w:rsidP="00F55C2A">
      <w:pPr>
        <w:pStyle w:val="FootnoteText"/>
        <w:numPr>
          <w:ilvl w:val="0"/>
          <w:numId w:val="0"/>
        </w:numPr>
        <w:spacing w:after="120"/>
        <w:ind w:left="360"/>
        <w:rPr>
          <w:rFonts w:ascii="Times New Roman" w:hAnsi="Times New Roman"/>
          <w:szCs w:val="24"/>
        </w:rPr>
      </w:pPr>
      <w:r w:rsidRPr="006B729C">
        <w:rPr>
          <w:rStyle w:val="FootnoteReference"/>
          <w:rFonts w:ascii="Times New Roman" w:hAnsi="Times New Roman"/>
          <w:b/>
          <w:bCs/>
          <w:szCs w:val="24"/>
          <w:u w:val="single"/>
        </w:rPr>
        <w:footnoteRef/>
      </w:r>
      <w:r w:rsidRPr="006B729C">
        <w:rPr>
          <w:rStyle w:val="FootnoteReference"/>
          <w:b/>
          <w:bCs/>
          <w:u w:val="single"/>
        </w:rPr>
        <w:t xml:space="preserve"> </w:t>
      </w:r>
      <w:r>
        <w:t xml:space="preserve"> </w:t>
      </w:r>
      <w:r w:rsidRPr="006B729C">
        <w:rPr>
          <w:rFonts w:ascii="Times New Roman" w:hAnsi="Times New Roman"/>
          <w:iCs/>
          <w:szCs w:val="24"/>
        </w:rPr>
        <w:t>Cal. Pub. Util. Code § 422(a).</w:t>
      </w:r>
    </w:p>
  </w:footnote>
  <w:footnote w:id="4">
    <w:p w14:paraId="1555A0E2" w14:textId="77777777" w:rsidR="003F57DF" w:rsidRPr="006B729C" w:rsidRDefault="003F57DF" w:rsidP="00F55C2A">
      <w:pPr>
        <w:pStyle w:val="FootnoteText"/>
        <w:numPr>
          <w:ilvl w:val="0"/>
          <w:numId w:val="0"/>
        </w:numPr>
        <w:spacing w:after="120"/>
        <w:ind w:left="36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w:t>
      </w:r>
      <w:r w:rsidRPr="006B729C">
        <w:rPr>
          <w:rFonts w:ascii="Times New Roman" w:hAnsi="Times New Roman"/>
          <w:iCs/>
          <w:szCs w:val="24"/>
        </w:rPr>
        <w:t>Cal. Pub. Util. Code § 422(b).</w:t>
      </w:r>
    </w:p>
  </w:footnote>
  <w:footnote w:id="5">
    <w:p w14:paraId="1109CA4F" w14:textId="77777777" w:rsidR="003F57DF" w:rsidRPr="006B729C" w:rsidRDefault="003F57DF" w:rsidP="00F55C2A">
      <w:pPr>
        <w:pStyle w:val="FootnoteText"/>
        <w:numPr>
          <w:ilvl w:val="0"/>
          <w:numId w:val="0"/>
        </w:numPr>
        <w:spacing w:after="120"/>
        <w:ind w:left="36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w:t>
      </w:r>
      <w:bookmarkStart w:id="8" w:name="_Hlk52530652"/>
      <w:r w:rsidRPr="006B729C">
        <w:rPr>
          <w:rFonts w:ascii="Times New Roman" w:hAnsi="Times New Roman"/>
          <w:iCs/>
          <w:szCs w:val="24"/>
        </w:rPr>
        <w:t>Cal. Pub. Util. Code § 422(c)(1</w:t>
      </w:r>
      <w:bookmarkEnd w:id="8"/>
      <w:r w:rsidRPr="006B729C">
        <w:rPr>
          <w:rFonts w:ascii="Times New Roman" w:hAnsi="Times New Roman"/>
          <w:iCs/>
          <w:szCs w:val="24"/>
        </w:rPr>
        <w:t>).</w:t>
      </w:r>
    </w:p>
  </w:footnote>
  <w:footnote w:id="6">
    <w:p w14:paraId="3FA2E1C3" w14:textId="77777777" w:rsidR="003F57DF" w:rsidRPr="006B729C" w:rsidRDefault="003F57DF" w:rsidP="00F55C2A">
      <w:pPr>
        <w:pStyle w:val="FootnoteText"/>
        <w:numPr>
          <w:ilvl w:val="0"/>
          <w:numId w:val="0"/>
        </w:numPr>
        <w:spacing w:after="120"/>
        <w:ind w:left="36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w:t>
      </w:r>
      <w:r w:rsidRPr="006B729C">
        <w:rPr>
          <w:rFonts w:ascii="Times New Roman" w:hAnsi="Times New Roman"/>
          <w:iCs/>
          <w:szCs w:val="24"/>
        </w:rPr>
        <w:t>Cal. Pub. Util. Code § 424(b).</w:t>
      </w:r>
    </w:p>
  </w:footnote>
  <w:footnote w:id="7">
    <w:p w14:paraId="66BBBDFE" w14:textId="77777777" w:rsidR="003F57DF" w:rsidRPr="006B729C" w:rsidRDefault="003F57DF" w:rsidP="00F55C2A">
      <w:pPr>
        <w:pStyle w:val="FootnoteText"/>
        <w:numPr>
          <w:ilvl w:val="0"/>
          <w:numId w:val="0"/>
        </w:numPr>
        <w:spacing w:after="120"/>
        <w:ind w:left="36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w:t>
      </w:r>
      <w:r w:rsidRPr="006B729C">
        <w:rPr>
          <w:rFonts w:ascii="Times New Roman" w:hAnsi="Times New Roman"/>
          <w:iCs/>
          <w:szCs w:val="24"/>
        </w:rPr>
        <w:t>Cal. Pub. Util. Code § 422(c)(2).</w:t>
      </w:r>
    </w:p>
  </w:footnote>
  <w:footnote w:id="8">
    <w:p w14:paraId="4B74B667" w14:textId="77777777" w:rsidR="003F57DF" w:rsidRPr="006B729C" w:rsidRDefault="003F57DF" w:rsidP="00F55C2A">
      <w:pPr>
        <w:pStyle w:val="FootnoteText"/>
        <w:numPr>
          <w:ilvl w:val="0"/>
          <w:numId w:val="0"/>
        </w:numPr>
        <w:spacing w:after="120"/>
        <w:ind w:left="36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w:t>
      </w:r>
      <w:r w:rsidRPr="006B729C">
        <w:rPr>
          <w:rFonts w:ascii="Times New Roman" w:hAnsi="Times New Roman"/>
          <w:iCs/>
          <w:szCs w:val="24"/>
        </w:rPr>
        <w:t>Cal. Pub. Util. Code § 422(c)(1).</w:t>
      </w:r>
    </w:p>
  </w:footnote>
  <w:footnote w:id="9">
    <w:p w14:paraId="5786744B" w14:textId="77777777" w:rsidR="003F57DF" w:rsidRPr="006B729C" w:rsidRDefault="003F57DF" w:rsidP="00F55C2A">
      <w:pPr>
        <w:pStyle w:val="FootnoteText"/>
        <w:numPr>
          <w:ilvl w:val="0"/>
          <w:numId w:val="0"/>
        </w:numPr>
        <w:spacing w:after="120"/>
        <w:ind w:left="36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w:t>
      </w:r>
      <w:r w:rsidRPr="006B729C">
        <w:rPr>
          <w:rFonts w:ascii="Times New Roman" w:hAnsi="Times New Roman"/>
          <w:iCs/>
          <w:szCs w:val="24"/>
        </w:rPr>
        <w:t>Cal. Pub. Util. Code § 422.1.</w:t>
      </w:r>
    </w:p>
  </w:footnote>
  <w:footnote w:id="10">
    <w:p w14:paraId="335C0996" w14:textId="77777777" w:rsidR="003F57DF" w:rsidRPr="006B729C" w:rsidRDefault="003F57DF" w:rsidP="00F55C2A">
      <w:pPr>
        <w:pStyle w:val="FootnoteText"/>
        <w:numPr>
          <w:ilvl w:val="0"/>
          <w:numId w:val="0"/>
        </w:numPr>
        <w:spacing w:after="120"/>
        <w:ind w:left="36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From the 202</w:t>
      </w:r>
      <w:r>
        <w:rPr>
          <w:rFonts w:ascii="Times New Roman" w:hAnsi="Times New Roman"/>
          <w:szCs w:val="24"/>
        </w:rPr>
        <w:t>2</w:t>
      </w:r>
      <w:r w:rsidRPr="006B729C">
        <w:rPr>
          <w:rFonts w:ascii="Times New Roman" w:hAnsi="Times New Roman"/>
          <w:szCs w:val="24"/>
        </w:rPr>
        <w:t>-2</w:t>
      </w:r>
      <w:r>
        <w:rPr>
          <w:rFonts w:ascii="Times New Roman" w:hAnsi="Times New Roman"/>
          <w:szCs w:val="24"/>
        </w:rPr>
        <w:t>3</w:t>
      </w:r>
      <w:r w:rsidRPr="006B729C">
        <w:rPr>
          <w:rFonts w:ascii="Times New Roman" w:hAnsi="Times New Roman"/>
          <w:szCs w:val="24"/>
        </w:rPr>
        <w:t xml:space="preserve"> Governor’s Budget</w:t>
      </w:r>
      <w:r>
        <w:rPr>
          <w:rFonts w:ascii="Times New Roman" w:hAnsi="Times New Roman"/>
          <w:szCs w:val="24"/>
        </w:rPr>
        <w:t>; allocated by workload data by utility class.</w:t>
      </w:r>
    </w:p>
  </w:footnote>
  <w:footnote w:id="11">
    <w:p w14:paraId="6CE8889F" w14:textId="77777777" w:rsidR="003F57DF" w:rsidRPr="006B729C" w:rsidRDefault="003F57DF" w:rsidP="00F55C2A">
      <w:pPr>
        <w:pStyle w:val="FootnoteText"/>
        <w:numPr>
          <w:ilvl w:val="0"/>
          <w:numId w:val="0"/>
        </w:numPr>
        <w:spacing w:after="120"/>
        <w:ind w:left="36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From the 202</w:t>
      </w:r>
      <w:r>
        <w:rPr>
          <w:rFonts w:ascii="Times New Roman" w:hAnsi="Times New Roman"/>
          <w:szCs w:val="24"/>
        </w:rPr>
        <w:t>2</w:t>
      </w:r>
      <w:r w:rsidRPr="006B729C">
        <w:rPr>
          <w:rFonts w:ascii="Times New Roman" w:hAnsi="Times New Roman"/>
          <w:szCs w:val="24"/>
        </w:rPr>
        <w:t>-2</w:t>
      </w:r>
      <w:r>
        <w:rPr>
          <w:rFonts w:ascii="Times New Roman" w:hAnsi="Times New Roman"/>
          <w:szCs w:val="24"/>
        </w:rPr>
        <w:t>3</w:t>
      </w:r>
      <w:r w:rsidRPr="006B729C">
        <w:rPr>
          <w:rFonts w:ascii="Times New Roman" w:hAnsi="Times New Roman"/>
          <w:szCs w:val="24"/>
        </w:rPr>
        <w:t xml:space="preserve"> Governor’s Budget</w:t>
      </w:r>
      <w:r>
        <w:rPr>
          <w:rFonts w:ascii="Times New Roman" w:hAnsi="Times New Roman"/>
          <w:szCs w:val="24"/>
        </w:rPr>
        <w:t xml:space="preserve"> 0461 – Fund Condition Statement</w:t>
      </w:r>
      <w:r w:rsidRPr="006B729C">
        <w:rPr>
          <w:rFonts w:ascii="Times New Roman" w:hAnsi="Times New Roman"/>
          <w:szCs w:val="24"/>
        </w:rPr>
        <w:t>; allocated by workload data by utility class.</w:t>
      </w:r>
    </w:p>
  </w:footnote>
  <w:footnote w:id="12">
    <w:p w14:paraId="2FCE2064" w14:textId="77777777" w:rsidR="003F57DF" w:rsidRPr="006B729C" w:rsidRDefault="003F57DF" w:rsidP="00F55C2A">
      <w:pPr>
        <w:pStyle w:val="FootnoteText"/>
        <w:numPr>
          <w:ilvl w:val="0"/>
          <w:numId w:val="0"/>
        </w:numPr>
        <w:spacing w:after="120"/>
        <w:ind w:left="360"/>
        <w:rPr>
          <w:rFonts w:ascii="Times New Roman" w:hAnsi="Times New Roman"/>
          <w:szCs w:val="24"/>
        </w:rPr>
      </w:pPr>
      <w:r w:rsidRPr="006B729C">
        <w:rPr>
          <w:rStyle w:val="FootnoteReference"/>
          <w:rFonts w:ascii="Times New Roman" w:hAnsi="Times New Roman"/>
          <w:b/>
          <w:bCs/>
          <w:szCs w:val="24"/>
          <w:u w:val="single"/>
        </w:rPr>
        <w:footnoteRef/>
      </w:r>
      <w:r w:rsidRPr="006B729C">
        <w:rPr>
          <w:rFonts w:ascii="Times New Roman" w:hAnsi="Times New Roman"/>
          <w:szCs w:val="24"/>
        </w:rPr>
        <w:t xml:space="preserve"> </w:t>
      </w:r>
      <w:r>
        <w:rPr>
          <w:rFonts w:ascii="Times New Roman" w:hAnsi="Times New Roman"/>
          <w:szCs w:val="24"/>
        </w:rPr>
        <w:t xml:space="preserve">Amounts in </w:t>
      </w:r>
      <w:r w:rsidRPr="006B729C">
        <w:rPr>
          <w:rFonts w:ascii="Times New Roman" w:hAnsi="Times New Roman"/>
          <w:szCs w:val="24"/>
        </w:rPr>
        <w:t xml:space="preserve">Column </w:t>
      </w:r>
      <w:r>
        <w:rPr>
          <w:rFonts w:ascii="Times New Roman" w:hAnsi="Times New Roman"/>
          <w:szCs w:val="24"/>
        </w:rPr>
        <w:t>(</w:t>
      </w:r>
      <w:r w:rsidRPr="006B729C">
        <w:rPr>
          <w:rFonts w:ascii="Times New Roman" w:hAnsi="Times New Roman"/>
          <w:szCs w:val="24"/>
        </w:rPr>
        <w:t>a</w:t>
      </w:r>
      <w:r>
        <w:rPr>
          <w:rFonts w:ascii="Times New Roman" w:hAnsi="Times New Roman"/>
          <w:szCs w:val="24"/>
        </w:rPr>
        <w:t>)</w:t>
      </w:r>
      <w:r w:rsidRPr="006B729C">
        <w:rPr>
          <w:rFonts w:ascii="Times New Roman" w:hAnsi="Times New Roman"/>
          <w:szCs w:val="24"/>
        </w:rPr>
        <w:t xml:space="preserve"> represent </w:t>
      </w:r>
      <w:r>
        <w:rPr>
          <w:rFonts w:ascii="Times New Roman" w:hAnsi="Times New Roman"/>
          <w:szCs w:val="24"/>
        </w:rPr>
        <w:t>the estimated user fee revenues using user fee rates from the PUCTRA resolution M-4858.</w:t>
      </w:r>
    </w:p>
  </w:footnote>
  <w:footnote w:id="13">
    <w:p w14:paraId="11BD7413" w14:textId="77777777" w:rsidR="003F57DF" w:rsidRDefault="003F57DF" w:rsidP="00F55C2A">
      <w:pPr>
        <w:pStyle w:val="FootnoteText"/>
        <w:numPr>
          <w:ilvl w:val="0"/>
          <w:numId w:val="0"/>
        </w:numPr>
        <w:ind w:left="360"/>
      </w:pPr>
      <w:r>
        <w:rPr>
          <w:rStyle w:val="FootnoteReference"/>
        </w:rPr>
        <w:footnoteRef/>
      </w:r>
      <w:r>
        <w:t xml:space="preserve"> Cal. Pub. Util. Code § 408. </w:t>
      </w:r>
    </w:p>
  </w:footnote>
  <w:footnote w:id="14">
    <w:p w14:paraId="2C1AA4EA" w14:textId="77777777" w:rsidR="003F57DF" w:rsidRPr="00A37CA2" w:rsidRDefault="003F57DF" w:rsidP="00F55C2A">
      <w:pPr>
        <w:pStyle w:val="FootnoteText"/>
        <w:numPr>
          <w:ilvl w:val="0"/>
          <w:numId w:val="0"/>
        </w:numPr>
        <w:ind w:left="360"/>
        <w:rPr>
          <w:rFonts w:ascii="Times New Roman" w:hAnsi="Times New Roman"/>
        </w:rPr>
      </w:pPr>
      <w:r w:rsidRPr="00A37CA2">
        <w:rPr>
          <w:rStyle w:val="FootnoteReference"/>
          <w:rFonts w:ascii="Times New Roman" w:hAnsi="Times New Roman"/>
        </w:rPr>
        <w:footnoteRef/>
      </w:r>
      <w:r w:rsidRPr="00A37CA2">
        <w:rPr>
          <w:rFonts w:ascii="Times New Roman" w:hAnsi="Times New Roman"/>
        </w:rPr>
        <w:t xml:space="preserve"> </w:t>
      </w:r>
      <w:r>
        <w:rPr>
          <w:rFonts w:ascii="Times New Roman" w:hAnsi="Times New Roman"/>
        </w:rPr>
        <w:t>Cal. Pub. Util.</w:t>
      </w:r>
      <w:r w:rsidRPr="00A37CA2">
        <w:rPr>
          <w:rFonts w:ascii="Times New Roman" w:hAnsi="Times New Roman"/>
        </w:rPr>
        <w:t xml:space="preserve"> Code § 422.</w:t>
      </w:r>
    </w:p>
  </w:footnote>
  <w:footnote w:id="15">
    <w:p w14:paraId="15357EB3" w14:textId="77777777" w:rsidR="003F57DF" w:rsidRPr="00A37CA2" w:rsidRDefault="003F57DF" w:rsidP="00F55C2A">
      <w:pPr>
        <w:pStyle w:val="FootnoteText"/>
        <w:numPr>
          <w:ilvl w:val="0"/>
          <w:numId w:val="0"/>
        </w:numPr>
        <w:ind w:left="360"/>
        <w:rPr>
          <w:rFonts w:ascii="Times New Roman" w:hAnsi="Times New Roman"/>
        </w:rPr>
      </w:pPr>
      <w:r w:rsidRPr="00A37CA2">
        <w:rPr>
          <w:rStyle w:val="FootnoteReference"/>
          <w:rFonts w:ascii="Times New Roman" w:hAnsi="Times New Roman"/>
        </w:rPr>
        <w:footnoteRef/>
      </w:r>
      <w:r w:rsidRPr="00A37CA2">
        <w:rPr>
          <w:rFonts w:ascii="Times New Roman" w:hAnsi="Times New Roman"/>
        </w:rPr>
        <w:t xml:space="preserve"> </w:t>
      </w:r>
      <w:r>
        <w:rPr>
          <w:rFonts w:ascii="Times New Roman" w:hAnsi="Times New Roman"/>
          <w:bCs/>
        </w:rPr>
        <w:t>Cal. Pub. Util.</w:t>
      </w:r>
      <w:r w:rsidRPr="00A37CA2">
        <w:rPr>
          <w:rFonts w:ascii="Times New Roman" w:hAnsi="Times New Roman"/>
          <w:bCs/>
        </w:rPr>
        <w:t xml:space="preserve"> Code § 424(b).</w:t>
      </w:r>
    </w:p>
  </w:footnote>
  <w:footnote w:id="16">
    <w:p w14:paraId="404A5CC3" w14:textId="77777777" w:rsidR="003F57DF" w:rsidRPr="00A37CA2" w:rsidRDefault="003F57DF" w:rsidP="00F55C2A">
      <w:pPr>
        <w:pStyle w:val="FootnoteText"/>
        <w:numPr>
          <w:ilvl w:val="0"/>
          <w:numId w:val="0"/>
        </w:numPr>
        <w:ind w:left="360"/>
        <w:rPr>
          <w:rFonts w:ascii="Times New Roman" w:hAnsi="Times New Roman"/>
        </w:rPr>
      </w:pPr>
      <w:r w:rsidRPr="00A37CA2">
        <w:rPr>
          <w:rStyle w:val="FootnoteReference"/>
          <w:rFonts w:ascii="Times New Roman" w:hAnsi="Times New Roman"/>
        </w:rPr>
        <w:footnoteRef/>
      </w:r>
      <w:r w:rsidRPr="00A37CA2">
        <w:rPr>
          <w:rFonts w:ascii="Times New Roman" w:hAnsi="Times New Roman"/>
        </w:rPr>
        <w:t xml:space="preserve"> </w:t>
      </w:r>
      <w:r>
        <w:rPr>
          <w:rFonts w:ascii="Times New Roman" w:hAnsi="Times New Roman"/>
        </w:rPr>
        <w:t>Cal. Pub. Util.</w:t>
      </w:r>
      <w:r w:rsidRPr="00A37CA2">
        <w:rPr>
          <w:rFonts w:ascii="Times New Roman" w:hAnsi="Times New Roman"/>
        </w:rPr>
        <w:t xml:space="preserve"> Code § 208. </w:t>
      </w:r>
    </w:p>
  </w:footnote>
  <w:footnote w:id="17">
    <w:p w14:paraId="7FD58678" w14:textId="77777777" w:rsidR="003F57DF" w:rsidRDefault="003F57DF" w:rsidP="00F55C2A">
      <w:pPr>
        <w:pStyle w:val="FootnoteText"/>
        <w:numPr>
          <w:ilvl w:val="0"/>
          <w:numId w:val="0"/>
        </w:numPr>
        <w:ind w:left="360"/>
      </w:pPr>
      <w:r w:rsidRPr="00A37CA2">
        <w:rPr>
          <w:rStyle w:val="FootnoteReference"/>
          <w:rFonts w:ascii="Times New Roman" w:hAnsi="Times New Roman"/>
        </w:rPr>
        <w:footnoteRef/>
      </w:r>
      <w:r w:rsidRPr="00A37CA2">
        <w:rPr>
          <w:rFonts w:ascii="Times New Roman" w:hAnsi="Times New Roman"/>
        </w:rPr>
        <w:t xml:space="preserve"> </w:t>
      </w:r>
      <w:r>
        <w:rPr>
          <w:rFonts w:ascii="Times New Roman" w:hAnsi="Times New Roman"/>
        </w:rPr>
        <w:t>Cal. Pub. Util.</w:t>
      </w:r>
      <w:r w:rsidRPr="00A37CA2">
        <w:rPr>
          <w:rFonts w:ascii="Times New Roman" w:hAnsi="Times New Roman"/>
        </w:rPr>
        <w:t xml:space="preserve"> Code § 494(a).</w:t>
      </w:r>
      <w:r>
        <w:t xml:space="preserve"> </w:t>
      </w:r>
    </w:p>
  </w:footnote>
  <w:footnote w:id="18">
    <w:p w14:paraId="3D949D6F" w14:textId="77777777" w:rsidR="003F57DF" w:rsidRDefault="003F57DF" w:rsidP="003F57DF">
      <w:pPr>
        <w:pStyle w:val="FootnoteText"/>
      </w:pPr>
      <w:r>
        <w:rPr>
          <w:rStyle w:val="FootnoteReference"/>
        </w:rPr>
        <w:footnoteRef/>
      </w:r>
      <w:r>
        <w:t xml:space="preserve"> Cal. Pub. Util. Code § 421(b).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39D6" w14:textId="47B80DF7" w:rsidR="00CF17DE" w:rsidRDefault="00CF17DE">
    <w:pPr>
      <w:pStyle w:val="Header"/>
      <w:tabs>
        <w:tab w:val="clear" w:pos="4320"/>
        <w:tab w:val="clear" w:pos="8640"/>
        <w:tab w:val="center" w:pos="4680"/>
        <w:tab w:val="right" w:pos="9180"/>
      </w:tabs>
    </w:pPr>
    <w:r>
      <w:t xml:space="preserve">Resolution </w:t>
    </w:r>
    <w:r w:rsidR="003F57DF">
      <w:t>M-4865</w:t>
    </w:r>
    <w:r>
      <w:t xml:space="preserve"> </w:t>
    </w:r>
    <w:r>
      <w:tab/>
      <w:t>DRAFT</w:t>
    </w:r>
    <w:r>
      <w:tab/>
    </w:r>
    <w:r w:rsidR="009040E3">
      <w:t>December 15, 2022</w:t>
    </w:r>
  </w:p>
  <w:p w14:paraId="1533AE69" w14:textId="77777777" w:rsidR="00CF17DE" w:rsidRDefault="00CF17DE">
    <w:pPr>
      <w:pStyle w:val="Header"/>
    </w:pPr>
  </w:p>
  <w:p w14:paraId="2466E91D" w14:textId="77777777" w:rsidR="00F1204E" w:rsidRDefault="00F12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FA53" w14:textId="3AB28A82" w:rsidR="00CF17DE" w:rsidRDefault="00CF17DE" w:rsidP="009040E3">
    <w:pPr>
      <w:pStyle w:val="Header"/>
      <w:jc w:val="right"/>
      <w:rPr>
        <w:rFonts w:ascii="Helvetica" w:hAnsi="Helvetica"/>
        <w:b/>
        <w:sz w:val="28"/>
      </w:rPr>
    </w:pPr>
    <w:r>
      <w:tab/>
    </w:r>
    <w:r>
      <w:rPr>
        <w:b/>
      </w:rPr>
      <w:t>DRAFT</w:t>
    </w:r>
    <w:r>
      <w:rPr>
        <w:b/>
      </w:rPr>
      <w:tab/>
    </w:r>
    <w:proofErr w:type="spellStart"/>
    <w:r w:rsidR="00F55C2A" w:rsidRPr="00FE7A00">
      <w:rPr>
        <w:b/>
      </w:rPr>
      <w:t>Item_Agenda</w:t>
    </w:r>
    <w:proofErr w:type="spellEnd"/>
    <w:r w:rsidR="00F55C2A" w:rsidRPr="00FE7A00">
      <w:rPr>
        <w:b/>
      </w:rPr>
      <w:t xml:space="preserve"> ID#</w:t>
    </w:r>
    <w:r w:rsidR="009040E3">
      <w:rPr>
        <w:b/>
      </w:rPr>
      <w:t xml:space="preserve"> 21079</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1"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2F9E0239"/>
    <w:multiLevelType w:val="hybridMultilevel"/>
    <w:tmpl w:val="07024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E265276"/>
    <w:multiLevelType w:val="hybridMultilevel"/>
    <w:tmpl w:val="58505C2A"/>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num w:numId="1" w16cid:durableId="2111655455">
    <w:abstractNumId w:val="0"/>
  </w:num>
  <w:num w:numId="2" w16cid:durableId="395787844">
    <w:abstractNumId w:val="4"/>
  </w:num>
  <w:num w:numId="3" w16cid:durableId="14576184">
    <w:abstractNumId w:val="2"/>
  </w:num>
  <w:num w:numId="4" w16cid:durableId="2106920336">
    <w:abstractNumId w:val="6"/>
  </w:num>
  <w:num w:numId="5" w16cid:durableId="1972784839">
    <w:abstractNumId w:val="1"/>
  </w:num>
  <w:num w:numId="6" w16cid:durableId="180237697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14646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52485"/>
    <w:rsid w:val="000B5D11"/>
    <w:rsid w:val="000D7EC1"/>
    <w:rsid w:val="003F57DF"/>
    <w:rsid w:val="00400F6B"/>
    <w:rsid w:val="00440AB7"/>
    <w:rsid w:val="00470B9B"/>
    <w:rsid w:val="004905D3"/>
    <w:rsid w:val="00593807"/>
    <w:rsid w:val="005C4F6A"/>
    <w:rsid w:val="007A281A"/>
    <w:rsid w:val="00801D70"/>
    <w:rsid w:val="009040E3"/>
    <w:rsid w:val="00921BB6"/>
    <w:rsid w:val="00A155E2"/>
    <w:rsid w:val="00A218B6"/>
    <w:rsid w:val="00A63CFA"/>
    <w:rsid w:val="00AF1DF6"/>
    <w:rsid w:val="00BC367D"/>
    <w:rsid w:val="00CF17DE"/>
    <w:rsid w:val="00DB6F2C"/>
    <w:rsid w:val="00F1204E"/>
    <w:rsid w:val="00F55C2A"/>
    <w:rsid w:val="00FC3381"/>
    <w:rsid w:val="00FE6CAC"/>
    <w:rsid w:val="00FE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4097"/>
    <o:shapelayout v:ext="edit">
      <o:idmap v:ext="edit" data="1"/>
    </o:shapelayout>
  </w:shapeDefaults>
  <w:decimalSymbol w:val="."/>
  <w:listSeparator w:val=","/>
  <w14:docId w14:val="4F26EEFA"/>
  <w15:docId w15:val="{C04E60B9-9950-47E8-822D-1EB70B1D893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basedOn w:val="DefaultParagraphFont"/>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basedOn w:val="DefaultParagraphFont"/>
    <w:uiPriority w:val="99"/>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table" w:styleId="TableGrid">
    <w:name w:val="Table Grid"/>
    <w:basedOn w:val="TableNormal"/>
    <w:rsid w:val="003F5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D7E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2345</ap:Words>
  <ap:Characters>14198</ap:Characters>
  <ap:Application>Microsoft Office Word</ap:Application>
  <ap:DocSecurity>0</ap:DocSecurity>
  <ap:Lines>118</ap:Lines>
  <ap:Paragraphs>33</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Manager/>
  <ap:Company/>
  <ap:LinksUpToDate>false</ap:LinksUpToDate>
  <ap:CharactersWithSpaces>16510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2000-06-01T18:55:00Z</cp:lastPrinted>
  <dcterms:created xsi:type="dcterms:W3CDTF">2022-11-10T07:20:53Z</dcterms:created>
  <dcterms:modified xsi:type="dcterms:W3CDTF">2022-11-10T07:20:53Z</dcterms:modified>
</cp:coreProperties>
</file>