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9A8" w:rsidP="00EB69A8" w:rsidRDefault="00EB69A8" w14:paraId="2630E718" w14:textId="77777777">
      <w:pPr>
        <w:pStyle w:val="Title"/>
      </w:pPr>
    </w:p>
    <w:p w:rsidR="00EB69A8" w:rsidP="00EB69A8" w:rsidRDefault="00EB69A8" w14:paraId="3D1E5744" w14:textId="77777777">
      <w:pPr>
        <w:pBdr>
          <w:bottom w:val="double" w:color="auto" w:sz="6" w:space="1"/>
        </w:pBdr>
        <w:tabs>
          <w:tab w:val="right" w:pos="9630"/>
          <w:tab w:val="left" w:pos="9720"/>
        </w:tabs>
        <w:rPr>
          <w:rFonts w:ascii="Arial" w:hAnsi="Arial"/>
          <w:i/>
          <w:sz w:val="26"/>
        </w:rPr>
      </w:pPr>
      <w:r>
        <w:rPr>
          <w:rFonts w:ascii="Arial" w:hAnsi="Arial"/>
          <w:sz w:val="16"/>
        </w:rPr>
        <w:t>STATE OF CALIFORNIA</w:t>
      </w:r>
      <w:r>
        <w:rPr>
          <w:rFonts w:ascii="Arial" w:hAnsi="Arial"/>
          <w:sz w:val="26"/>
        </w:rPr>
        <w:tab/>
      </w:r>
      <w:r>
        <w:rPr>
          <w:rFonts w:ascii="Arial" w:hAnsi="Arial"/>
          <w:sz w:val="16"/>
          <w:szCs w:val="16"/>
        </w:rPr>
        <w:t>GAVIN NEWSOM.,</w:t>
      </w:r>
      <w:r>
        <w:rPr>
          <w:rFonts w:ascii="Arial" w:hAnsi="Arial"/>
          <w:sz w:val="26"/>
        </w:rPr>
        <w:t xml:space="preserve"> </w:t>
      </w:r>
      <w:r>
        <w:rPr>
          <w:rFonts w:ascii="Arial" w:hAnsi="Arial"/>
          <w:i/>
          <w:sz w:val="16"/>
        </w:rPr>
        <w:t>Governor</w:t>
      </w:r>
    </w:p>
    <w:p w:rsidR="00EB69A8" w:rsidP="00EB69A8" w:rsidRDefault="00EB69A8" w14:paraId="5006937C" w14:textId="77777777">
      <w:pPr>
        <w:tabs>
          <w:tab w:val="right" w:pos="11070"/>
        </w:tabs>
        <w:spacing w:before="80"/>
        <w:ind w:right="-450"/>
        <w:rPr>
          <w:rFonts w:ascii="Arial" w:hAnsi="Arial"/>
          <w:sz w:val="26"/>
        </w:rPr>
      </w:pPr>
      <w:r>
        <w:rPr>
          <w:rFonts w:ascii="Arial" w:hAnsi="Arial"/>
          <w:sz w:val="26"/>
        </w:rPr>
        <w:t>PUBLIC UTILITIES COMMISSION</w:t>
      </w:r>
    </w:p>
    <w:p w:rsidR="00EB69A8" w:rsidP="00EB69A8" w:rsidRDefault="00EB69A8" w14:paraId="2754D656" w14:textId="77777777">
      <w:pPr>
        <w:tabs>
          <w:tab w:val="right" w:pos="11070"/>
        </w:tabs>
        <w:spacing w:before="80"/>
        <w:ind w:right="-450"/>
        <w:rPr>
          <w:rFonts w:ascii="Arial" w:hAnsi="Arial"/>
          <w:sz w:val="12"/>
        </w:rPr>
      </w:pPr>
      <w:r>
        <w:rPr>
          <w:rFonts w:ascii="Arial" w:hAnsi="Arial"/>
          <w:sz w:val="12"/>
        </w:rPr>
        <w:t>505 VAN NESS AVENUE</w:t>
      </w:r>
    </w:p>
    <w:p w:rsidR="00EB69A8" w:rsidP="00EB69A8" w:rsidRDefault="00EB69A8" w14:paraId="7CAF765B" w14:textId="77777777">
      <w:pPr>
        <w:tabs>
          <w:tab w:val="right" w:pos="11070"/>
        </w:tabs>
        <w:spacing w:before="80"/>
        <w:ind w:right="-450"/>
        <w:rPr>
          <w:rFonts w:ascii="Arial" w:hAnsi="Arial"/>
          <w:sz w:val="12"/>
        </w:rPr>
      </w:pPr>
      <w:r>
        <w:rPr>
          <w:rFonts w:ascii="Arial" w:hAnsi="Arial"/>
          <w:sz w:val="12"/>
        </w:rPr>
        <w:t xml:space="preserve">SAN FRANCISCO, </w:t>
      </w:r>
      <w:smartTag w:uri="urn:schemas-microsoft-com:office:smarttags" w:element="State">
        <w:r>
          <w:rPr>
            <w:rFonts w:ascii="Arial" w:hAnsi="Arial"/>
            <w:sz w:val="12"/>
          </w:rPr>
          <w:t>CA</w:t>
        </w:r>
      </w:smartTag>
      <w:r>
        <w:rPr>
          <w:rFonts w:ascii="Arial" w:hAnsi="Arial"/>
          <w:sz w:val="12"/>
        </w:rPr>
        <w:t xml:space="preserve"> </w:t>
      </w:r>
      <w:smartTag w:uri="urn:schemas-microsoft-com:office:smarttags" w:element="PostalCode">
        <w:r>
          <w:rPr>
            <w:rFonts w:ascii="Arial" w:hAnsi="Arial"/>
            <w:sz w:val="12"/>
          </w:rPr>
          <w:t>94102-3298</w:t>
        </w:r>
      </w:smartTag>
    </w:p>
    <w:p w:rsidR="00EB69A8" w:rsidP="00EB69A8" w:rsidRDefault="00EB69A8" w14:paraId="725C8E72" w14:textId="77777777">
      <w:pPr>
        <w:tabs>
          <w:tab w:val="left" w:pos="6930"/>
        </w:tabs>
        <w:ind w:left="547" w:right="1282"/>
        <w:rPr>
          <w:rFonts w:ascii="Arial" w:hAnsi="Arial"/>
          <w:sz w:val="16"/>
        </w:rPr>
      </w:pPr>
    </w:p>
    <w:p w:rsidR="00EB69A8" w:rsidP="00EB69A8" w:rsidRDefault="00EB69A8" w14:paraId="63D1A253" w14:textId="77777777">
      <w:pPr>
        <w:tabs>
          <w:tab w:val="left" w:pos="6930"/>
        </w:tabs>
        <w:ind w:left="547" w:right="1282"/>
        <w:rPr>
          <w:rFonts w:ascii="Book Antiqua" w:hAnsi="Book Antiqua"/>
          <w:sz w:val="26"/>
        </w:rPr>
      </w:pPr>
    </w:p>
    <w:p w:rsidR="00EB69A8" w:rsidP="00EB69A8" w:rsidRDefault="00EB69A8" w14:paraId="7C4D2E2E" w14:textId="77777777">
      <w:pPr>
        <w:tabs>
          <w:tab w:val="left" w:pos="6930"/>
        </w:tabs>
        <w:ind w:left="547" w:right="1282"/>
        <w:rPr>
          <w:rFonts w:ascii="Book Antiqua" w:hAnsi="Book Antiqua"/>
          <w:sz w:val="26"/>
        </w:rPr>
      </w:pPr>
    </w:p>
    <w:p w:rsidR="00EB69A8" w:rsidP="00EB69A8" w:rsidRDefault="00E758BA" w14:paraId="37F1875C" w14:textId="660E2F8B">
      <w:pPr>
        <w:rPr>
          <w:rFonts w:ascii="Book Antiqua" w:hAnsi="Book Antiqua"/>
          <w:sz w:val="26"/>
        </w:rPr>
      </w:pPr>
      <w:r>
        <w:rPr>
          <w:rFonts w:ascii="Book Antiqua" w:hAnsi="Book Antiqua"/>
          <w:sz w:val="26"/>
        </w:rPr>
        <w:t>November 21, 2022</w:t>
      </w:r>
      <w:r w:rsidR="00EB69A8">
        <w:rPr>
          <w:rFonts w:ascii="Book Antiqua" w:hAnsi="Book Antiqua"/>
          <w:sz w:val="26"/>
        </w:rPr>
        <w:tab/>
      </w:r>
      <w:r w:rsidR="00EB69A8">
        <w:rPr>
          <w:rFonts w:ascii="Book Antiqua" w:hAnsi="Book Antiqua"/>
          <w:sz w:val="26"/>
        </w:rPr>
        <w:tab/>
      </w:r>
      <w:r w:rsidR="00EB69A8">
        <w:rPr>
          <w:rFonts w:ascii="Book Antiqua" w:hAnsi="Book Antiqua"/>
          <w:sz w:val="26"/>
        </w:rPr>
        <w:tab/>
      </w:r>
      <w:r w:rsidR="00EB69A8">
        <w:rPr>
          <w:rFonts w:ascii="Book Antiqua" w:hAnsi="Book Antiqua"/>
          <w:sz w:val="26"/>
        </w:rPr>
        <w:tab/>
      </w:r>
      <w:r w:rsidR="00EB69A8">
        <w:rPr>
          <w:rFonts w:ascii="Book Antiqua" w:hAnsi="Book Antiqua"/>
          <w:sz w:val="26"/>
        </w:rPr>
        <w:tab/>
        <w:t xml:space="preserve">                     </w:t>
      </w:r>
      <w:r w:rsidR="00EB69A8">
        <w:rPr>
          <w:rFonts w:ascii="Book Antiqua" w:hAnsi="Book Antiqua"/>
          <w:b/>
          <w:bCs/>
          <w:sz w:val="26"/>
        </w:rPr>
        <w:t>Agenda ID #</w:t>
      </w:r>
      <w:r>
        <w:rPr>
          <w:rFonts w:ascii="Book Antiqua" w:hAnsi="Book Antiqua"/>
          <w:b/>
          <w:bCs/>
          <w:sz w:val="26"/>
        </w:rPr>
        <w:t>21182</w:t>
      </w:r>
    </w:p>
    <w:p w:rsidR="00EB69A8" w:rsidP="00EB69A8" w:rsidRDefault="00EB69A8" w14:paraId="47E29695" w14:textId="77777777">
      <w:pPr>
        <w:rPr>
          <w:rFonts w:ascii="Book Antiqua" w:hAnsi="Book Antiqua"/>
          <w:sz w:val="26"/>
        </w:rPr>
      </w:pPr>
    </w:p>
    <w:p w:rsidR="00EB69A8" w:rsidP="00EB69A8" w:rsidRDefault="00EB69A8" w14:paraId="5AB7BAE1" w14:textId="77777777">
      <w:pPr>
        <w:rPr>
          <w:rFonts w:ascii="Book Antiqua" w:hAnsi="Book Antiqua"/>
          <w:sz w:val="26"/>
        </w:rPr>
      </w:pPr>
    </w:p>
    <w:p w:rsidR="00EB69A8" w:rsidP="00EB69A8" w:rsidRDefault="00EB69A8" w14:paraId="55892107" w14:textId="602A2273">
      <w:pPr>
        <w:rPr>
          <w:rFonts w:ascii="Book Antiqua" w:hAnsi="Book Antiqua"/>
          <w:sz w:val="26"/>
          <w:u w:val="single"/>
        </w:rPr>
      </w:pPr>
      <w:r>
        <w:rPr>
          <w:rFonts w:ascii="Book Antiqua" w:hAnsi="Book Antiqua"/>
          <w:sz w:val="26"/>
        </w:rPr>
        <w:t>TO PARTIES OF RECORD IN DRAFT RESOLUTION ALJ-428:</w:t>
      </w:r>
    </w:p>
    <w:p w:rsidR="00EB69A8" w:rsidP="00EB69A8" w:rsidRDefault="00EB69A8" w14:paraId="08C4FAD7" w14:textId="77777777">
      <w:pPr>
        <w:rPr>
          <w:rFonts w:ascii="Book Antiqua" w:hAnsi="Book Antiqua"/>
          <w:sz w:val="26"/>
        </w:rPr>
      </w:pPr>
    </w:p>
    <w:p w:rsidR="00EB69A8" w:rsidP="00EB69A8" w:rsidRDefault="00EB69A8" w14:paraId="07D7AFCC" w14:textId="088B8A62">
      <w:pPr>
        <w:rPr>
          <w:rFonts w:ascii="Book Antiqua" w:hAnsi="Book Antiqua"/>
          <w:sz w:val="26"/>
        </w:rPr>
      </w:pPr>
      <w:r>
        <w:rPr>
          <w:rFonts w:ascii="Book Antiqua" w:hAnsi="Book Antiqua"/>
          <w:sz w:val="26"/>
          <w:szCs w:val="26"/>
        </w:rPr>
        <w:t xml:space="preserve">This is the draft Resolution of Administrative Law Judge </w:t>
      </w:r>
      <w:r>
        <w:rPr>
          <w:rFonts w:ascii="Book Antiqua" w:hAnsi="Book Antiqua" w:eastAsia="MS Mincho"/>
          <w:color w:val="000000"/>
        </w:rPr>
        <w:t xml:space="preserve">Peter Wercinski </w:t>
      </w:r>
      <w:r>
        <w:rPr>
          <w:rFonts w:ascii="Book Antiqua" w:hAnsi="Book Antiqua"/>
          <w:sz w:val="26"/>
          <w:szCs w:val="26"/>
        </w:rPr>
        <w:t xml:space="preserve">resolving </w:t>
      </w:r>
      <w:r>
        <w:rPr>
          <w:rFonts w:ascii="Book Antiqua" w:hAnsi="Book Antiqua" w:eastAsia="MS Mincho"/>
          <w:color w:val="000000"/>
        </w:rPr>
        <w:t>K.22-06-007</w:t>
      </w:r>
      <w:r>
        <w:rPr>
          <w:rFonts w:ascii="Book Antiqua" w:hAnsi="Book Antiqua"/>
        </w:rPr>
        <w:t xml:space="preserve">. </w:t>
      </w:r>
      <w:r>
        <w:rPr>
          <w:rFonts w:ascii="Book Antiqua" w:hAnsi="Book Antiqua"/>
          <w:sz w:val="26"/>
          <w:szCs w:val="26"/>
        </w:rPr>
        <w:t>It</w:t>
      </w:r>
      <w:r>
        <w:rPr>
          <w:rFonts w:ascii="Book Antiqua" w:hAnsi="Book Antiqua"/>
          <w:sz w:val="26"/>
        </w:rPr>
        <w:t xml:space="preserve"> will not appear on the Commission’s agenda sooner than 30 days from the date it is mailed.  The Commission may act then, or it may postpone action until later. </w:t>
      </w:r>
    </w:p>
    <w:p w:rsidR="00EB69A8" w:rsidP="00EB69A8" w:rsidRDefault="00EB69A8" w14:paraId="787FE698" w14:textId="77777777">
      <w:pPr>
        <w:rPr>
          <w:rFonts w:ascii="Book Antiqua" w:hAnsi="Book Antiqua"/>
          <w:sz w:val="26"/>
        </w:rPr>
      </w:pPr>
    </w:p>
    <w:p w:rsidR="00EB69A8" w:rsidP="00EB69A8" w:rsidRDefault="00EB69A8" w14:paraId="5DBE4BFB" w14:textId="77777777">
      <w:pPr>
        <w:rPr>
          <w:rFonts w:ascii="Book Antiqua" w:hAnsi="Book Antiqua"/>
          <w:sz w:val="26"/>
        </w:rPr>
      </w:pPr>
      <w:r>
        <w:rPr>
          <w:rFonts w:ascii="Book Antiqua" w:hAnsi="Book Antiqua"/>
          <w:sz w:val="26"/>
        </w:rPr>
        <w:t>When the Commission acts on the draft resolution, it may adopt all or part of it as written, amend or modify it, or set it aside and prepare its own order.  Only when the Commission acts does the resolution become binding on the parties.</w:t>
      </w:r>
    </w:p>
    <w:p w:rsidR="00EB69A8" w:rsidP="00EB69A8" w:rsidRDefault="00EB69A8" w14:paraId="6875B246" w14:textId="77777777">
      <w:pPr>
        <w:rPr>
          <w:rFonts w:ascii="Book Antiqua" w:hAnsi="Book Antiqua"/>
          <w:sz w:val="26"/>
        </w:rPr>
      </w:pPr>
    </w:p>
    <w:p w:rsidR="00EB69A8" w:rsidP="00EB69A8" w:rsidRDefault="00EB69A8" w14:paraId="06451C52" w14:textId="5E401792">
      <w:pPr>
        <w:autoSpaceDE w:val="0"/>
        <w:autoSpaceDN w:val="0"/>
        <w:adjustRightInd w:val="0"/>
        <w:rPr>
          <w:rFonts w:ascii="Book Antiqua" w:hAnsi="Book Antiqua" w:eastAsia="Calibri" w:cs="Book Antiqua"/>
          <w:color w:val="000000"/>
          <w:sz w:val="26"/>
          <w:szCs w:val="26"/>
        </w:rPr>
      </w:pPr>
      <w:r>
        <w:rPr>
          <w:rFonts w:ascii="Book Antiqua" w:hAnsi="Book Antiqua" w:eastAsia="Calibri" w:cs="Book Antiqua"/>
          <w:color w:val="000000"/>
          <w:sz w:val="26"/>
        </w:rPr>
        <w:t xml:space="preserve">You may serve comments on the draft resolution. </w:t>
      </w:r>
      <w:r>
        <w:rPr>
          <w:rFonts w:ascii="Book Antiqua" w:hAnsi="Book Antiqua" w:eastAsia="Calibri" w:cs="Book Antiqua"/>
          <w:color w:val="000000"/>
        </w:rPr>
        <w:t xml:space="preserve"> </w:t>
      </w:r>
      <w:r>
        <w:rPr>
          <w:rFonts w:ascii="Book Antiqua" w:hAnsi="Book Antiqua" w:eastAsia="Calibri" w:cs="Book Antiqua"/>
          <w:color w:val="000000"/>
          <w:sz w:val="26"/>
          <w:szCs w:val="26"/>
        </w:rPr>
        <w:t>Comments shall be served (but not filed) within 20 days of the date that the draft Resolution was mailed and published on the Commission’s website [link], as provided in Rule 14.5 of the Commission’s Rules of Practice and Procedure. Comments shall be served upon all persons on this proceeding’s service list and on Assistant Chief ALJ </w:t>
      </w:r>
      <w:r w:rsidR="00E758BA">
        <w:rPr>
          <w:rFonts w:ascii="Book Antiqua" w:hAnsi="Book Antiqua" w:eastAsia="Calibri" w:cs="Book Antiqua"/>
          <w:color w:val="000000"/>
          <w:sz w:val="26"/>
          <w:szCs w:val="26"/>
        </w:rPr>
        <w:t>Wercinski</w:t>
      </w:r>
      <w:r>
        <w:rPr>
          <w:rFonts w:ascii="Book Antiqua" w:hAnsi="Book Antiqua" w:eastAsia="Calibri" w:cs="Book Antiqua"/>
          <w:color w:val="000000"/>
          <w:sz w:val="26"/>
          <w:szCs w:val="26"/>
        </w:rPr>
        <w:t xml:space="preserve"> at </w:t>
      </w:r>
      <w:r w:rsidR="00E758BA">
        <w:rPr>
          <w:rFonts w:ascii="Book Antiqua" w:hAnsi="Book Antiqua" w:eastAsia="Calibri" w:cs="Book Antiqua"/>
          <w:sz w:val="26"/>
          <w:szCs w:val="26"/>
        </w:rPr>
        <w:t>PWI</w:t>
      </w:r>
      <w:r>
        <w:rPr>
          <w:rFonts w:ascii="Book Antiqua" w:hAnsi="Book Antiqua" w:eastAsia="Calibri" w:cs="Book Antiqua"/>
          <w:sz w:val="26"/>
          <w:szCs w:val="26"/>
        </w:rPr>
        <w:t>@cpuc.ca.gov</w:t>
      </w:r>
      <w:r>
        <w:rPr>
          <w:rFonts w:ascii="Book Antiqua" w:hAnsi="Book Antiqua" w:eastAsia="Calibri" w:cs="Book Antiqua"/>
          <w:color w:val="000000"/>
          <w:sz w:val="26"/>
          <w:szCs w:val="26"/>
        </w:rPr>
        <w:t>.</w:t>
      </w:r>
    </w:p>
    <w:p w:rsidR="00EB69A8" w:rsidP="00EB69A8" w:rsidRDefault="00EB69A8" w14:paraId="245C370E" w14:textId="77777777">
      <w:pPr>
        <w:rPr>
          <w:rFonts w:ascii="Book Antiqua" w:hAnsi="Book Antiqua"/>
          <w:sz w:val="26"/>
        </w:rPr>
      </w:pPr>
    </w:p>
    <w:p w:rsidR="00EB69A8" w:rsidP="00EB69A8" w:rsidRDefault="00EB69A8" w14:paraId="00B8CF95" w14:textId="77777777">
      <w:pPr>
        <w:rPr>
          <w:rFonts w:ascii="Book Antiqua" w:hAnsi="Book Antiqua"/>
          <w:sz w:val="26"/>
        </w:rPr>
      </w:pPr>
    </w:p>
    <w:p w:rsidR="00EB69A8" w:rsidP="00EB69A8" w:rsidRDefault="00E758BA" w14:paraId="4D004325" w14:textId="2F023C88">
      <w:pPr>
        <w:outlineLvl w:val="0"/>
        <w:rPr>
          <w:rFonts w:ascii="Book Antiqua" w:hAnsi="Book Antiqua"/>
          <w:sz w:val="26"/>
          <w:u w:val="single"/>
        </w:rPr>
      </w:pPr>
      <w:r>
        <w:rPr>
          <w:rFonts w:ascii="Book Antiqua" w:hAnsi="Book Antiqua"/>
          <w:sz w:val="26"/>
          <w:u w:val="single"/>
        </w:rPr>
        <w:t xml:space="preserve">/s/  </w:t>
      </w:r>
      <w:r w:rsidRPr="00E758BA">
        <w:rPr>
          <w:rFonts w:ascii="Book Antiqua" w:hAnsi="Book Antiqua"/>
          <w:sz w:val="26"/>
          <w:u w:val="single"/>
        </w:rPr>
        <w:t>MICHELLE COOKE</w:t>
      </w:r>
      <w:r>
        <w:rPr>
          <w:rFonts w:ascii="Book Antiqua" w:hAnsi="Book Antiqua"/>
          <w:sz w:val="26"/>
          <w:u w:val="single"/>
        </w:rPr>
        <w:tab/>
      </w:r>
      <w:r>
        <w:rPr>
          <w:rFonts w:ascii="Book Antiqua" w:hAnsi="Book Antiqua"/>
          <w:sz w:val="26"/>
          <w:u w:val="single"/>
        </w:rPr>
        <w:tab/>
      </w:r>
    </w:p>
    <w:p w:rsidR="00EB69A8" w:rsidP="00EB69A8" w:rsidRDefault="00EB69A8" w14:paraId="1E1CCF3E" w14:textId="77777777">
      <w:pPr>
        <w:outlineLvl w:val="0"/>
        <w:rPr>
          <w:rFonts w:ascii="Book Antiqua" w:hAnsi="Book Antiqua"/>
          <w:sz w:val="26"/>
        </w:rPr>
      </w:pPr>
      <w:r>
        <w:rPr>
          <w:rFonts w:ascii="Book Antiqua" w:hAnsi="Book Antiqua"/>
          <w:sz w:val="26"/>
        </w:rPr>
        <w:t>Michelle Cooke</w:t>
      </w:r>
      <w:r>
        <w:rPr>
          <w:rFonts w:ascii="Book Antiqua" w:hAnsi="Book Antiqua"/>
          <w:sz w:val="26"/>
        </w:rPr>
        <w:br/>
        <w:t>Acting Chief Administrative Law Judge</w:t>
      </w:r>
    </w:p>
    <w:p w:rsidR="00EB69A8" w:rsidP="00EB69A8" w:rsidRDefault="00EB69A8" w14:paraId="52473292" w14:textId="77777777">
      <w:pPr>
        <w:rPr>
          <w:rFonts w:ascii="Book Antiqua" w:hAnsi="Book Antiqua"/>
          <w:sz w:val="26"/>
        </w:rPr>
      </w:pPr>
    </w:p>
    <w:p w:rsidR="00EB69A8" w:rsidP="00EB69A8" w:rsidRDefault="00EB69A8" w14:paraId="106BFBF6" w14:textId="77777777">
      <w:pPr>
        <w:outlineLvl w:val="0"/>
        <w:rPr>
          <w:rFonts w:ascii="Book Antiqua" w:hAnsi="Book Antiqua"/>
          <w:sz w:val="26"/>
          <w:u w:val="single"/>
        </w:rPr>
      </w:pPr>
      <w:proofErr w:type="spellStart"/>
      <w:r>
        <w:rPr>
          <w:rFonts w:ascii="Book Antiqua" w:hAnsi="Book Antiqua"/>
          <w:sz w:val="26"/>
        </w:rPr>
        <w:t>MLC:sgu</w:t>
      </w:r>
      <w:proofErr w:type="spellEnd"/>
    </w:p>
    <w:p w:rsidR="00EB69A8" w:rsidP="00EB69A8" w:rsidRDefault="00EB69A8" w14:paraId="19ADB595" w14:textId="77777777">
      <w:pPr>
        <w:outlineLvl w:val="0"/>
        <w:rPr>
          <w:rFonts w:ascii="Book Antiqua" w:hAnsi="Book Antiqua"/>
          <w:sz w:val="26"/>
        </w:rPr>
      </w:pPr>
    </w:p>
    <w:p w:rsidR="00EB69A8" w:rsidP="00EB69A8" w:rsidRDefault="00EB69A8" w14:paraId="381BC4DC" w14:textId="77777777">
      <w:pPr>
        <w:rPr>
          <w:rFonts w:ascii="Book Antiqua" w:hAnsi="Book Antiqua"/>
          <w:sz w:val="26"/>
        </w:rPr>
      </w:pPr>
      <w:r>
        <w:rPr>
          <w:rFonts w:ascii="Book Antiqua" w:hAnsi="Book Antiqua"/>
          <w:sz w:val="26"/>
        </w:rPr>
        <w:t>Attachment</w:t>
      </w:r>
    </w:p>
    <w:p w:rsidR="00C47C2A" w:rsidRDefault="00C47C2A" w14:paraId="541026E4" w14:textId="77777777">
      <w:pPr>
        <w:pStyle w:val="Title"/>
      </w:pPr>
    </w:p>
    <w:p w:rsidR="00EB69A8" w:rsidRDefault="00EB69A8" w14:paraId="20094345" w14:textId="77777777">
      <w:pPr>
        <w:pStyle w:val="Title"/>
        <w:sectPr w:rsidR="00EB69A8">
          <w:headerReference w:type="default" r:id="rId8"/>
          <w:footerReference w:type="default" r:id="rId9"/>
          <w:headerReference w:type="first" r:id="rId10"/>
          <w:pgSz w:w="12240" w:h="15840" w:code="1"/>
          <w:pgMar w:top="1440" w:right="1440" w:bottom="1440" w:left="1440" w:header="720" w:footer="720" w:gutter="0"/>
          <w:pgNumType w:start="1"/>
          <w:cols w:space="720"/>
          <w:titlePg/>
        </w:sectPr>
      </w:pPr>
    </w:p>
    <w:p w:rsidR="00C47C2A" w:rsidRDefault="00C47C2A" w14:paraId="0AB0D452" w14:textId="77777777">
      <w:pPr>
        <w:pStyle w:val="Title"/>
      </w:pPr>
      <w:r>
        <w:lastRenderedPageBreak/>
        <w:t>PUBLIC UTILITIES COMMISSION OF THE STATE OF CALIFORNIA</w:t>
      </w:r>
    </w:p>
    <w:p w:rsidR="00C47C2A" w:rsidRDefault="00C47C2A" w14:paraId="3CCDF8F3" w14:textId="77777777"/>
    <w:p w:rsidRPr="0030350E" w:rsidR="00C47C2A" w:rsidRDefault="00C47C2A" w14:paraId="44D44DBB" w14:textId="453F2312">
      <w:pPr>
        <w:rPr>
          <w:rFonts w:ascii="Book Antiqua" w:hAnsi="Book Antiqua"/>
        </w:rPr>
      </w:pPr>
      <w:r>
        <w:tab/>
      </w:r>
      <w:r>
        <w:tab/>
      </w:r>
      <w:r>
        <w:tab/>
      </w:r>
      <w:r>
        <w:tab/>
      </w:r>
      <w:r>
        <w:tab/>
      </w:r>
      <w:r w:rsidRPr="0030350E">
        <w:rPr>
          <w:rFonts w:ascii="Book Antiqua" w:hAnsi="Book Antiqua"/>
        </w:rPr>
        <w:t>Resolution ALJ-</w:t>
      </w:r>
      <w:r w:rsidRPr="0030350E" w:rsidR="00EB69A8">
        <w:rPr>
          <w:rFonts w:ascii="Book Antiqua" w:hAnsi="Book Antiqua"/>
        </w:rPr>
        <w:t>428</w:t>
      </w:r>
    </w:p>
    <w:p w:rsidRPr="0030350E" w:rsidR="00C47C2A" w:rsidRDefault="00C47C2A" w14:paraId="1FB6D567" w14:textId="77777777">
      <w:pPr>
        <w:rPr>
          <w:rFonts w:ascii="Book Antiqua" w:hAnsi="Book Antiqua"/>
        </w:rPr>
      </w:pPr>
      <w:r w:rsidRPr="0030350E">
        <w:rPr>
          <w:rFonts w:ascii="Book Antiqua" w:hAnsi="Book Antiqua"/>
        </w:rPr>
        <w:tab/>
      </w:r>
      <w:r w:rsidRPr="0030350E">
        <w:rPr>
          <w:rFonts w:ascii="Book Antiqua" w:hAnsi="Book Antiqua"/>
        </w:rPr>
        <w:tab/>
      </w:r>
      <w:r w:rsidRPr="0030350E">
        <w:rPr>
          <w:rFonts w:ascii="Book Antiqua" w:hAnsi="Book Antiqua"/>
        </w:rPr>
        <w:tab/>
      </w:r>
      <w:r w:rsidRPr="0030350E">
        <w:rPr>
          <w:rFonts w:ascii="Book Antiqua" w:hAnsi="Book Antiqua"/>
        </w:rPr>
        <w:tab/>
      </w:r>
      <w:r w:rsidRPr="0030350E">
        <w:rPr>
          <w:rFonts w:ascii="Book Antiqua" w:hAnsi="Book Antiqua"/>
        </w:rPr>
        <w:tab/>
        <w:t>Administrative Law Judge Division</w:t>
      </w:r>
    </w:p>
    <w:p w:rsidRPr="0030350E" w:rsidR="00C47C2A" w:rsidRDefault="00C47C2A" w14:paraId="44259B6C" w14:textId="77777777">
      <w:pPr>
        <w:rPr>
          <w:rFonts w:ascii="Book Antiqua" w:hAnsi="Book Antiqua"/>
        </w:rPr>
      </w:pPr>
      <w:r w:rsidRPr="0030350E">
        <w:rPr>
          <w:rFonts w:ascii="Book Antiqua" w:hAnsi="Book Antiqua"/>
        </w:rPr>
        <w:tab/>
      </w:r>
      <w:r w:rsidRPr="0030350E">
        <w:rPr>
          <w:rFonts w:ascii="Book Antiqua" w:hAnsi="Book Antiqua"/>
        </w:rPr>
        <w:tab/>
      </w:r>
      <w:r w:rsidRPr="0030350E">
        <w:rPr>
          <w:rFonts w:ascii="Book Antiqua" w:hAnsi="Book Antiqua"/>
        </w:rPr>
        <w:tab/>
      </w:r>
      <w:r w:rsidRPr="0030350E">
        <w:rPr>
          <w:rFonts w:ascii="Book Antiqua" w:hAnsi="Book Antiqua"/>
        </w:rPr>
        <w:tab/>
      </w:r>
      <w:r w:rsidRPr="0030350E">
        <w:rPr>
          <w:rFonts w:ascii="Book Antiqua" w:hAnsi="Book Antiqua"/>
        </w:rPr>
        <w:tab/>
        <w:t>[Date]</w:t>
      </w:r>
    </w:p>
    <w:p w:rsidR="00C47C2A" w:rsidRDefault="00C47C2A" w14:paraId="71C85141" w14:textId="77777777"/>
    <w:p w:rsidR="00C47C2A" w:rsidRDefault="00C47C2A" w14:paraId="2CE20E58" w14:textId="77777777"/>
    <w:p w:rsidR="00C47C2A" w:rsidRDefault="00C47C2A" w14:paraId="774D16D0" w14:textId="77777777">
      <w:pPr>
        <w:jc w:val="center"/>
        <w:rPr>
          <w:b/>
          <w:u w:val="single"/>
        </w:rPr>
      </w:pPr>
      <w:r>
        <w:rPr>
          <w:rFonts w:ascii="Helvetica" w:hAnsi="Helvetica"/>
          <w:b/>
          <w:u w:val="single"/>
        </w:rPr>
        <w:t>R</w:t>
      </w:r>
      <w:r>
        <w:rPr>
          <w:rFonts w:ascii="Helvetica" w:hAnsi="Helvetica"/>
          <w:b/>
        </w:rPr>
        <w:t xml:space="preserve"> </w:t>
      </w:r>
      <w:r>
        <w:rPr>
          <w:rFonts w:ascii="Helvetica" w:hAnsi="Helvetica"/>
          <w:b/>
          <w:u w:val="single"/>
        </w:rPr>
        <w:t>E</w:t>
      </w:r>
      <w:r>
        <w:rPr>
          <w:rFonts w:ascii="Helvetica" w:hAnsi="Helvetica"/>
          <w:b/>
        </w:rPr>
        <w:t xml:space="preserve"> </w:t>
      </w:r>
      <w:r>
        <w:rPr>
          <w:rFonts w:ascii="Helvetica" w:hAnsi="Helvetica"/>
          <w:b/>
          <w:u w:val="single"/>
        </w:rPr>
        <w:t>S</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L</w:t>
      </w:r>
      <w:r>
        <w:rPr>
          <w:rFonts w:ascii="Helvetica" w:hAnsi="Helvetica"/>
          <w:b/>
        </w:rPr>
        <w:t xml:space="preserve"> </w:t>
      </w:r>
      <w:r>
        <w:rPr>
          <w:rFonts w:ascii="Helvetica" w:hAnsi="Helvetica"/>
          <w:b/>
          <w:u w:val="single"/>
        </w:rPr>
        <w:t>U</w:t>
      </w:r>
      <w:r>
        <w:rPr>
          <w:rFonts w:ascii="Helvetica" w:hAnsi="Helvetica"/>
          <w:b/>
        </w:rPr>
        <w:t xml:space="preserve"> </w:t>
      </w:r>
      <w:r>
        <w:rPr>
          <w:rFonts w:ascii="Helvetica" w:hAnsi="Helvetica"/>
          <w:b/>
          <w:u w:val="single"/>
        </w:rPr>
        <w:t>T</w:t>
      </w:r>
      <w:r>
        <w:rPr>
          <w:rFonts w:ascii="Helvetica" w:hAnsi="Helvetica"/>
          <w:b/>
        </w:rPr>
        <w:t xml:space="preserve"> </w:t>
      </w:r>
      <w:r>
        <w:rPr>
          <w:rFonts w:ascii="Helvetica" w:hAnsi="Helvetica"/>
          <w:b/>
          <w:u w:val="single"/>
        </w:rPr>
        <w:t>I</w:t>
      </w:r>
      <w:r>
        <w:rPr>
          <w:rFonts w:ascii="Helvetica" w:hAnsi="Helvetica"/>
          <w:b/>
        </w:rPr>
        <w:t xml:space="preserve"> </w:t>
      </w:r>
      <w:r>
        <w:rPr>
          <w:rFonts w:ascii="Helvetica" w:hAnsi="Helvetica"/>
          <w:b/>
          <w:u w:val="single"/>
        </w:rPr>
        <w:t>O</w:t>
      </w:r>
      <w:r>
        <w:rPr>
          <w:rFonts w:ascii="Helvetica" w:hAnsi="Helvetica"/>
          <w:b/>
        </w:rPr>
        <w:t xml:space="preserve"> </w:t>
      </w:r>
      <w:r>
        <w:rPr>
          <w:rFonts w:ascii="Helvetica" w:hAnsi="Helvetica"/>
          <w:b/>
          <w:u w:val="single"/>
        </w:rPr>
        <w:t>N</w:t>
      </w:r>
    </w:p>
    <w:p w:rsidR="00C47C2A" w:rsidRDefault="00C47C2A" w14:paraId="63712963" w14:textId="77777777">
      <w:pPr>
        <w:jc w:val="center"/>
        <w:rPr>
          <w:b/>
        </w:rPr>
      </w:pPr>
    </w:p>
    <w:p w:rsidR="00C47C2A" w:rsidRDefault="00C47C2A" w14:paraId="074DB6AD" w14:textId="77777777"/>
    <w:p w:rsidRPr="0030350E" w:rsidR="00C47C2A" w:rsidRDefault="00C47C2A" w14:paraId="4B65BA0D" w14:textId="1C60417D">
      <w:pPr>
        <w:pStyle w:val="BlockText"/>
        <w:rPr>
          <w:rFonts w:ascii="Book Antiqua" w:hAnsi="Book Antiqua"/>
          <w:u w:val="single"/>
        </w:rPr>
      </w:pPr>
      <w:r w:rsidRPr="0030350E">
        <w:rPr>
          <w:rFonts w:ascii="Book Antiqua" w:hAnsi="Book Antiqua"/>
        </w:rPr>
        <w:t>RESOLUTION ALJ-</w:t>
      </w:r>
      <w:r w:rsidRPr="0030350E" w:rsidR="00EB69A8">
        <w:rPr>
          <w:rFonts w:ascii="Book Antiqua" w:hAnsi="Book Antiqua"/>
        </w:rPr>
        <w:t>428</w:t>
      </w:r>
      <w:r w:rsidRPr="0030350E" w:rsidR="003A727C">
        <w:rPr>
          <w:rFonts w:ascii="Book Antiqua" w:hAnsi="Book Antiqua"/>
        </w:rPr>
        <w:t>.  Resolves the Appeal K.2</w:t>
      </w:r>
      <w:r w:rsidRPr="0030350E" w:rsidR="002D1E8D">
        <w:rPr>
          <w:rFonts w:ascii="Book Antiqua" w:hAnsi="Book Antiqua"/>
        </w:rPr>
        <w:t>2</w:t>
      </w:r>
      <w:r w:rsidRPr="0030350E" w:rsidR="003A727C">
        <w:rPr>
          <w:rFonts w:ascii="Book Antiqua" w:hAnsi="Book Antiqua"/>
        </w:rPr>
        <w:t>-</w:t>
      </w:r>
      <w:r w:rsidRPr="0030350E" w:rsidR="00D31DFA">
        <w:rPr>
          <w:rFonts w:ascii="Book Antiqua" w:hAnsi="Book Antiqua"/>
        </w:rPr>
        <w:t>06-007</w:t>
      </w:r>
      <w:r w:rsidRPr="0030350E" w:rsidR="003A727C">
        <w:rPr>
          <w:rFonts w:ascii="Book Antiqua" w:hAnsi="Book Antiqua"/>
        </w:rPr>
        <w:t xml:space="preserve"> </w:t>
      </w:r>
      <w:r w:rsidRPr="0030350E" w:rsidR="00150296">
        <w:rPr>
          <w:rFonts w:ascii="Book Antiqua" w:hAnsi="Book Antiqua"/>
        </w:rPr>
        <w:t>of Citation</w:t>
      </w:r>
      <w:r w:rsidRPr="0030350E" w:rsidR="00EB69A8">
        <w:rPr>
          <w:rFonts w:ascii="Book Antiqua" w:hAnsi="Book Antiqua"/>
        </w:rPr>
        <w:t> </w:t>
      </w:r>
      <w:r w:rsidRPr="0030350E" w:rsidR="00150296">
        <w:rPr>
          <w:rFonts w:ascii="Book Antiqua" w:hAnsi="Book Antiqua"/>
        </w:rPr>
        <w:t>No.</w:t>
      </w:r>
      <w:r w:rsidRPr="0030350E" w:rsidR="00EB69A8">
        <w:rPr>
          <w:rFonts w:ascii="Book Antiqua" w:hAnsi="Book Antiqua"/>
        </w:rPr>
        <w:t> </w:t>
      </w:r>
      <w:r w:rsidRPr="0030350E" w:rsidR="00E5474D">
        <w:rPr>
          <w:rFonts w:ascii="Book Antiqua" w:hAnsi="Book Antiqua"/>
        </w:rPr>
        <w:t>T.22.04-002</w:t>
      </w:r>
      <w:r w:rsidRPr="0030350E" w:rsidR="00150296">
        <w:rPr>
          <w:rFonts w:ascii="Book Antiqua" w:hAnsi="Book Antiqua"/>
        </w:rPr>
        <w:t xml:space="preserve"> by </w:t>
      </w:r>
      <w:r w:rsidRPr="0030350E" w:rsidR="00E5474D">
        <w:rPr>
          <w:rFonts w:ascii="Book Antiqua" w:hAnsi="Book Antiqua"/>
        </w:rPr>
        <w:t>Amore Limousine Service Inc</w:t>
      </w:r>
      <w:r w:rsidRPr="0030350E" w:rsidR="00150296">
        <w:rPr>
          <w:rFonts w:ascii="Book Antiqua" w:hAnsi="Book Antiqua"/>
        </w:rPr>
        <w:t>.</w:t>
      </w:r>
    </w:p>
    <w:p w:rsidRPr="0030350E" w:rsidR="00C47C2A" w:rsidRDefault="00C47C2A" w14:paraId="189F6F33" w14:textId="77777777">
      <w:pPr>
        <w:rPr>
          <w:rFonts w:ascii="Book Antiqua" w:hAnsi="Book Antiqua"/>
        </w:rPr>
      </w:pPr>
    </w:p>
    <w:p w:rsidR="00C47C2A" w:rsidRDefault="00C47C2A" w14:paraId="3779AF46" w14:textId="77777777"/>
    <w:p w:rsidR="00C47C2A" w:rsidRDefault="00C47C2A" w14:paraId="5245EFAA" w14:textId="77777777">
      <w:pPr>
        <w:tabs>
          <w:tab w:val="right" w:pos="8550"/>
        </w:tabs>
        <w:ind w:left="720" w:right="720"/>
      </w:pPr>
      <w:r>
        <w:rPr>
          <w:u w:val="single"/>
        </w:rPr>
        <w:tab/>
      </w:r>
    </w:p>
    <w:p w:rsidR="00C47C2A" w:rsidRDefault="00C47C2A" w14:paraId="6008216D" w14:textId="77777777"/>
    <w:p w:rsidRPr="0030350E" w:rsidR="00C47C2A" w:rsidRDefault="00C47C2A" w14:paraId="32F7362E" w14:textId="77777777">
      <w:pPr>
        <w:rPr>
          <w:rFonts w:ascii="Book Antiqua" w:hAnsi="Book Antiqua"/>
          <w:b/>
          <w:u w:val="single"/>
        </w:rPr>
      </w:pPr>
      <w:r w:rsidRPr="0030350E">
        <w:rPr>
          <w:rFonts w:ascii="Book Antiqua" w:hAnsi="Book Antiqua"/>
          <w:b/>
          <w:u w:val="single"/>
        </w:rPr>
        <w:t>SUMMARY</w:t>
      </w:r>
    </w:p>
    <w:p w:rsidRPr="0030350E" w:rsidR="00C47C2A" w:rsidRDefault="00C47C2A" w14:paraId="50E6458C" w14:textId="77777777">
      <w:pPr>
        <w:rPr>
          <w:rFonts w:ascii="Book Antiqua" w:hAnsi="Book Antiqua"/>
        </w:rPr>
      </w:pPr>
    </w:p>
    <w:p w:rsidRPr="0030350E" w:rsidR="00C47C2A" w:rsidRDefault="00150296" w14:paraId="2D06E699" w14:textId="6C3ACB88">
      <w:pPr>
        <w:rPr>
          <w:rFonts w:ascii="Book Antiqua" w:hAnsi="Book Antiqua"/>
        </w:rPr>
      </w:pPr>
      <w:r w:rsidRPr="0030350E">
        <w:rPr>
          <w:rFonts w:ascii="Book Antiqua" w:hAnsi="Book Antiqua"/>
        </w:rPr>
        <w:t>This resolution resolves</w:t>
      </w:r>
      <w:r w:rsidRPr="0030350E" w:rsidR="00F4359A">
        <w:rPr>
          <w:rFonts w:ascii="Book Antiqua" w:hAnsi="Book Antiqua"/>
        </w:rPr>
        <w:t xml:space="preserve"> the</w:t>
      </w:r>
      <w:r w:rsidRPr="0030350E">
        <w:rPr>
          <w:rFonts w:ascii="Book Antiqua" w:hAnsi="Book Antiqua"/>
        </w:rPr>
        <w:t xml:space="preserve"> appeal of Citation No. </w:t>
      </w:r>
      <w:r w:rsidRPr="0030350E" w:rsidR="006A6223">
        <w:rPr>
          <w:rFonts w:ascii="Book Antiqua" w:hAnsi="Book Antiqua"/>
        </w:rPr>
        <w:t>T.22.04-002</w:t>
      </w:r>
      <w:r w:rsidRPr="0030350E">
        <w:rPr>
          <w:rFonts w:ascii="Book Antiqua" w:hAnsi="Book Antiqua"/>
        </w:rPr>
        <w:t xml:space="preserve"> </w:t>
      </w:r>
      <w:r w:rsidRPr="0030350E" w:rsidR="000677AE">
        <w:rPr>
          <w:rFonts w:ascii="Book Antiqua" w:hAnsi="Book Antiqua"/>
        </w:rPr>
        <w:t xml:space="preserve">(Citation) </w:t>
      </w:r>
      <w:r w:rsidRPr="0030350E" w:rsidR="00AB2CED">
        <w:rPr>
          <w:rFonts w:ascii="Book Antiqua" w:hAnsi="Book Antiqua"/>
        </w:rPr>
        <w:t>issued</w:t>
      </w:r>
      <w:r w:rsidRPr="0030350E" w:rsidR="00F4359A">
        <w:rPr>
          <w:rFonts w:ascii="Book Antiqua" w:hAnsi="Book Antiqua"/>
        </w:rPr>
        <w:t xml:space="preserve"> to </w:t>
      </w:r>
      <w:r w:rsidRPr="0030350E" w:rsidR="006A6223">
        <w:rPr>
          <w:rFonts w:ascii="Book Antiqua" w:hAnsi="Book Antiqua"/>
        </w:rPr>
        <w:t>Amore Limousine Service Inc.</w:t>
      </w:r>
      <w:r w:rsidRPr="0030350E" w:rsidR="00AB2CED">
        <w:rPr>
          <w:rFonts w:ascii="Book Antiqua" w:hAnsi="Book Antiqua"/>
        </w:rPr>
        <w:t xml:space="preserve"> </w:t>
      </w:r>
      <w:r w:rsidRPr="0030350E" w:rsidR="006A6223">
        <w:rPr>
          <w:rFonts w:ascii="Book Antiqua" w:hAnsi="Book Antiqua"/>
        </w:rPr>
        <w:t xml:space="preserve">(Amore) </w:t>
      </w:r>
      <w:r w:rsidRPr="0030350E" w:rsidR="00AB2CED">
        <w:rPr>
          <w:rFonts w:ascii="Book Antiqua" w:hAnsi="Book Antiqua"/>
        </w:rPr>
        <w:t>by the California Public Utilities Commission’s C</w:t>
      </w:r>
      <w:r w:rsidRPr="0030350E" w:rsidR="006A6223">
        <w:rPr>
          <w:rFonts w:ascii="Book Antiqua" w:hAnsi="Book Antiqua"/>
        </w:rPr>
        <w:t>onsumer Protection and Enforcement</w:t>
      </w:r>
      <w:r w:rsidRPr="0030350E" w:rsidR="00AB2CED">
        <w:rPr>
          <w:rFonts w:ascii="Book Antiqua" w:hAnsi="Book Antiqua"/>
        </w:rPr>
        <w:t xml:space="preserve"> Division.  </w:t>
      </w:r>
      <w:r w:rsidRPr="0030350E" w:rsidR="00C40E30">
        <w:rPr>
          <w:rFonts w:ascii="Book Antiqua" w:hAnsi="Book Antiqua"/>
        </w:rPr>
        <w:t xml:space="preserve">The Citation imposes a </w:t>
      </w:r>
      <w:r w:rsidRPr="0030350E" w:rsidR="006A6223">
        <w:rPr>
          <w:rFonts w:ascii="Book Antiqua" w:hAnsi="Book Antiqua"/>
        </w:rPr>
        <w:t>$4,000</w:t>
      </w:r>
      <w:r w:rsidRPr="0030350E" w:rsidR="00AB2CED">
        <w:rPr>
          <w:rFonts w:ascii="Book Antiqua" w:hAnsi="Book Antiqua"/>
        </w:rPr>
        <w:t xml:space="preserve"> </w:t>
      </w:r>
      <w:r w:rsidRPr="0030350E" w:rsidR="00C40E30">
        <w:rPr>
          <w:rFonts w:ascii="Book Antiqua" w:hAnsi="Book Antiqua"/>
        </w:rPr>
        <w:t xml:space="preserve">penalty on Amore </w:t>
      </w:r>
      <w:r w:rsidRPr="0030350E" w:rsidR="00AB2CED">
        <w:rPr>
          <w:rFonts w:ascii="Book Antiqua" w:hAnsi="Book Antiqua"/>
        </w:rPr>
        <w:t>for f</w:t>
      </w:r>
      <w:r w:rsidRPr="0030350E" w:rsidR="006A6223">
        <w:rPr>
          <w:rFonts w:ascii="Book Antiqua" w:hAnsi="Book Antiqua"/>
        </w:rPr>
        <w:t>ive violations</w:t>
      </w:r>
      <w:r w:rsidRPr="0030350E" w:rsidR="00AB2CED">
        <w:rPr>
          <w:rFonts w:ascii="Book Antiqua" w:hAnsi="Book Antiqua"/>
        </w:rPr>
        <w:t xml:space="preserve">.  The appeal is </w:t>
      </w:r>
      <w:r w:rsidRPr="0030350E" w:rsidR="000677AE">
        <w:rPr>
          <w:rFonts w:ascii="Book Antiqua" w:hAnsi="Book Antiqua"/>
        </w:rPr>
        <w:t>d</w:t>
      </w:r>
      <w:r w:rsidRPr="0030350E" w:rsidR="00C40E30">
        <w:rPr>
          <w:rFonts w:ascii="Book Antiqua" w:hAnsi="Book Antiqua"/>
        </w:rPr>
        <w:t>ismissed</w:t>
      </w:r>
      <w:r w:rsidRPr="0030350E" w:rsidR="000677AE">
        <w:rPr>
          <w:rFonts w:ascii="Book Antiqua" w:hAnsi="Book Antiqua"/>
        </w:rPr>
        <w:t xml:space="preserve"> </w:t>
      </w:r>
      <w:r w:rsidRPr="0030350E" w:rsidR="00AD70FF">
        <w:rPr>
          <w:rFonts w:ascii="Book Antiqua" w:hAnsi="Book Antiqua"/>
        </w:rPr>
        <w:t xml:space="preserve">and the </w:t>
      </w:r>
      <w:r w:rsidRPr="0030350E" w:rsidR="00C40E30">
        <w:rPr>
          <w:rFonts w:ascii="Book Antiqua" w:hAnsi="Book Antiqua"/>
        </w:rPr>
        <w:t>Citation and penalty</w:t>
      </w:r>
      <w:r w:rsidRPr="0030350E" w:rsidR="00AD70FF">
        <w:rPr>
          <w:rFonts w:ascii="Book Antiqua" w:hAnsi="Book Antiqua"/>
        </w:rPr>
        <w:t xml:space="preserve"> of $4,000 </w:t>
      </w:r>
      <w:r w:rsidRPr="0030350E" w:rsidR="00C40E30">
        <w:rPr>
          <w:rFonts w:ascii="Book Antiqua" w:hAnsi="Book Antiqua"/>
        </w:rPr>
        <w:t>are affirmed</w:t>
      </w:r>
      <w:r w:rsidRPr="0030350E" w:rsidR="00AD70FF">
        <w:rPr>
          <w:rFonts w:ascii="Book Antiqua" w:hAnsi="Book Antiqua"/>
        </w:rPr>
        <w:t xml:space="preserve"> </w:t>
      </w:r>
      <w:r w:rsidRPr="0030350E" w:rsidR="000677AE">
        <w:rPr>
          <w:rFonts w:ascii="Book Antiqua" w:hAnsi="Book Antiqua"/>
        </w:rPr>
        <w:t xml:space="preserve">because the </w:t>
      </w:r>
      <w:r w:rsidRPr="0030350E" w:rsidR="00AD70FF">
        <w:rPr>
          <w:rFonts w:ascii="Book Antiqua" w:hAnsi="Book Antiqua"/>
        </w:rPr>
        <w:t>testimony and documents</w:t>
      </w:r>
      <w:r w:rsidRPr="0030350E" w:rsidR="000677AE">
        <w:rPr>
          <w:rFonts w:ascii="Book Antiqua" w:hAnsi="Book Antiqua"/>
        </w:rPr>
        <w:t xml:space="preserve"> admitted at the </w:t>
      </w:r>
      <w:r w:rsidRPr="00B9589A" w:rsidR="000677AE">
        <w:rPr>
          <w:rFonts w:ascii="Book Antiqua" w:hAnsi="Book Antiqua"/>
        </w:rPr>
        <w:t>September</w:t>
      </w:r>
      <w:r w:rsidRPr="00B9589A" w:rsidR="007B4FCC">
        <w:rPr>
          <w:rFonts w:ascii="Book Antiqua" w:hAnsi="Book Antiqua"/>
        </w:rPr>
        <w:t> </w:t>
      </w:r>
      <w:r w:rsidRPr="00B9589A" w:rsidR="000677AE">
        <w:rPr>
          <w:rFonts w:ascii="Book Antiqua" w:hAnsi="Book Antiqua"/>
        </w:rPr>
        <w:t>29</w:t>
      </w:r>
      <w:r w:rsidRPr="0030350E" w:rsidR="000677AE">
        <w:rPr>
          <w:rFonts w:ascii="Book Antiqua" w:hAnsi="Book Antiqua"/>
        </w:rPr>
        <w:t xml:space="preserve">, 2022 hearing establish </w:t>
      </w:r>
      <w:r w:rsidRPr="0030350E" w:rsidR="00B00242">
        <w:rPr>
          <w:rFonts w:ascii="Book Antiqua" w:hAnsi="Book Antiqua"/>
        </w:rPr>
        <w:t xml:space="preserve">by a preponderance of the evidence </w:t>
      </w:r>
      <w:r w:rsidRPr="0030350E" w:rsidR="000677AE">
        <w:rPr>
          <w:rFonts w:ascii="Book Antiqua" w:hAnsi="Book Antiqua"/>
        </w:rPr>
        <w:t xml:space="preserve">each of the five violations set forth in the Citation </w:t>
      </w:r>
      <w:r w:rsidRPr="0030350E" w:rsidR="00C40E30">
        <w:rPr>
          <w:rFonts w:ascii="Book Antiqua" w:hAnsi="Book Antiqua"/>
        </w:rPr>
        <w:t>and the penalty amount</w:t>
      </w:r>
      <w:r w:rsidRPr="0030350E" w:rsidR="00B34EC0">
        <w:rPr>
          <w:rFonts w:ascii="Book Antiqua" w:hAnsi="Book Antiqua"/>
        </w:rPr>
        <w:t>.  T</w:t>
      </w:r>
      <w:r w:rsidRPr="0030350E" w:rsidR="00AB2CED">
        <w:rPr>
          <w:rFonts w:ascii="Book Antiqua" w:hAnsi="Book Antiqua"/>
        </w:rPr>
        <w:t>his proceeding is closed.</w:t>
      </w:r>
    </w:p>
    <w:p w:rsidRPr="0030350E" w:rsidR="00C47C2A" w:rsidRDefault="00C47C2A" w14:paraId="7CC95425" w14:textId="77777777">
      <w:pPr>
        <w:rPr>
          <w:rFonts w:ascii="Book Antiqua" w:hAnsi="Book Antiqua"/>
        </w:rPr>
      </w:pPr>
    </w:p>
    <w:p w:rsidRPr="0030350E" w:rsidR="00C47C2A" w:rsidRDefault="00C47C2A" w14:paraId="52AE041B" w14:textId="0EF98AD7">
      <w:pPr>
        <w:rPr>
          <w:rFonts w:ascii="Book Antiqua" w:hAnsi="Book Antiqua"/>
          <w:b/>
          <w:u w:val="single"/>
        </w:rPr>
      </w:pPr>
      <w:r w:rsidRPr="0030350E">
        <w:rPr>
          <w:rFonts w:ascii="Book Antiqua" w:hAnsi="Book Antiqua"/>
          <w:b/>
          <w:u w:val="single"/>
        </w:rPr>
        <w:t>BACKGROUND</w:t>
      </w:r>
    </w:p>
    <w:p w:rsidRPr="0030350E" w:rsidR="00C47C2A" w:rsidRDefault="00C47C2A" w14:paraId="78E0529A" w14:textId="77777777">
      <w:pPr>
        <w:rPr>
          <w:rFonts w:ascii="Book Antiqua" w:hAnsi="Book Antiqua"/>
        </w:rPr>
      </w:pPr>
    </w:p>
    <w:p w:rsidRPr="0030350E" w:rsidR="008C3F02" w:rsidRDefault="00D74C12" w14:paraId="6A4BDA9D" w14:textId="19A11CDD">
      <w:pPr>
        <w:rPr>
          <w:rFonts w:ascii="Book Antiqua" w:hAnsi="Book Antiqua"/>
        </w:rPr>
      </w:pPr>
      <w:r w:rsidRPr="0030350E">
        <w:rPr>
          <w:rFonts w:ascii="Book Antiqua" w:hAnsi="Book Antiqua"/>
        </w:rPr>
        <w:t xml:space="preserve">Amore Limousine Service Inc. (Amore) </w:t>
      </w:r>
      <w:r w:rsidRPr="0030350E" w:rsidR="00590141">
        <w:rPr>
          <w:rFonts w:ascii="Book Antiqua" w:hAnsi="Book Antiqua"/>
        </w:rPr>
        <w:t xml:space="preserve">and its predecessor legal entities </w:t>
      </w:r>
      <w:r w:rsidRPr="0030350E">
        <w:rPr>
          <w:rFonts w:ascii="Book Antiqua" w:hAnsi="Book Antiqua"/>
        </w:rPr>
        <w:t>ha</w:t>
      </w:r>
      <w:r w:rsidRPr="0030350E" w:rsidR="00590141">
        <w:rPr>
          <w:rFonts w:ascii="Book Antiqua" w:hAnsi="Book Antiqua"/>
        </w:rPr>
        <w:t>ve</w:t>
      </w:r>
      <w:r w:rsidRPr="0030350E">
        <w:rPr>
          <w:rFonts w:ascii="Book Antiqua" w:hAnsi="Book Antiqua"/>
        </w:rPr>
        <w:t xml:space="preserve"> operated as a charter-party carrier</w:t>
      </w:r>
      <w:r w:rsidRPr="0030350E" w:rsidR="00356072">
        <w:rPr>
          <w:rFonts w:ascii="Book Antiqua" w:hAnsi="Book Antiqua"/>
        </w:rPr>
        <w:t xml:space="preserve"> pursuant to authorization from the California Public Utilities Commission </w:t>
      </w:r>
      <w:r w:rsidRPr="0030350E" w:rsidR="00191215">
        <w:rPr>
          <w:rFonts w:ascii="Book Antiqua" w:hAnsi="Book Antiqua"/>
        </w:rPr>
        <w:t xml:space="preserve">(Commission) </w:t>
      </w:r>
      <w:r w:rsidRPr="0030350E" w:rsidR="00590141">
        <w:rPr>
          <w:rFonts w:ascii="Book Antiqua" w:hAnsi="Book Antiqua"/>
        </w:rPr>
        <w:t>since 1998</w:t>
      </w:r>
      <w:r w:rsidRPr="0030350E" w:rsidR="00356072">
        <w:rPr>
          <w:rFonts w:ascii="Book Antiqua" w:hAnsi="Book Antiqua"/>
        </w:rPr>
        <w:t xml:space="preserve">. </w:t>
      </w:r>
      <w:r w:rsidRPr="0030350E" w:rsidR="00196DD7">
        <w:rPr>
          <w:rFonts w:ascii="Book Antiqua" w:hAnsi="Book Antiqua"/>
        </w:rPr>
        <w:t xml:space="preserve"> </w:t>
      </w:r>
      <w:r w:rsidRPr="0030350E" w:rsidR="00356072">
        <w:rPr>
          <w:rFonts w:ascii="Book Antiqua" w:hAnsi="Book Antiqua"/>
        </w:rPr>
        <w:t xml:space="preserve">On March 23, 2020, the Commission issued a Notice of Suspension to Amore for its failure to maintain adequate insurance. </w:t>
      </w:r>
      <w:r w:rsidRPr="0030350E" w:rsidR="00196DD7">
        <w:rPr>
          <w:rFonts w:ascii="Book Antiqua" w:hAnsi="Book Antiqua"/>
        </w:rPr>
        <w:t xml:space="preserve"> </w:t>
      </w:r>
      <w:r w:rsidRPr="0030350E" w:rsidR="00356072">
        <w:rPr>
          <w:rFonts w:ascii="Book Antiqua" w:hAnsi="Book Antiqua"/>
        </w:rPr>
        <w:t>On March</w:t>
      </w:r>
      <w:r w:rsidRPr="0030350E" w:rsidR="00196DD7">
        <w:rPr>
          <w:rFonts w:ascii="Book Antiqua" w:hAnsi="Book Antiqua"/>
        </w:rPr>
        <w:t> </w:t>
      </w:r>
      <w:r w:rsidRPr="0030350E" w:rsidR="00356072">
        <w:rPr>
          <w:rFonts w:ascii="Book Antiqua" w:hAnsi="Book Antiqua"/>
        </w:rPr>
        <w:t xml:space="preserve">24, 2020, the Commission issued a </w:t>
      </w:r>
      <w:r w:rsidRPr="0030350E" w:rsidR="00A146C7">
        <w:rPr>
          <w:rFonts w:ascii="Book Antiqua" w:hAnsi="Book Antiqua"/>
        </w:rPr>
        <w:t>Notice of Voluntary Suspension of Operating Authority to Amore beginning March 23, 2020 that required Amore to cease operations.</w:t>
      </w:r>
      <w:r w:rsidRPr="0030350E" w:rsidR="009A69A1">
        <w:rPr>
          <w:rFonts w:ascii="Book Antiqua" w:hAnsi="Book Antiqua"/>
        </w:rPr>
        <w:t xml:space="preserve"> After the suspension of its operating authority, Amore continued to</w:t>
      </w:r>
      <w:r w:rsidRPr="0030350E" w:rsidR="008C3F02">
        <w:rPr>
          <w:rFonts w:ascii="Book Antiqua" w:hAnsi="Book Antiqua"/>
        </w:rPr>
        <w:t xml:space="preserve"> identify itself as a limousine service on Facebook and Yelp.</w:t>
      </w:r>
    </w:p>
    <w:p w:rsidRPr="0030350E" w:rsidR="008C3F02" w:rsidRDefault="008C3F02" w14:paraId="7C168B29" w14:textId="77777777">
      <w:pPr>
        <w:rPr>
          <w:rFonts w:ascii="Book Antiqua" w:hAnsi="Book Antiqua"/>
        </w:rPr>
      </w:pPr>
    </w:p>
    <w:p w:rsidRPr="0030350E" w:rsidR="00611008" w:rsidRDefault="008C3F02" w14:paraId="36766D5F" w14:textId="56B53EB2">
      <w:pPr>
        <w:rPr>
          <w:rFonts w:ascii="Book Antiqua" w:hAnsi="Book Antiqua"/>
        </w:rPr>
      </w:pPr>
      <w:r w:rsidRPr="0030350E">
        <w:rPr>
          <w:rFonts w:ascii="Book Antiqua" w:hAnsi="Book Antiqua"/>
        </w:rPr>
        <w:t>On December 18, 2021</w:t>
      </w:r>
      <w:r w:rsidRPr="0030350E" w:rsidR="00501965">
        <w:rPr>
          <w:rFonts w:ascii="Book Antiqua" w:hAnsi="Book Antiqua"/>
        </w:rPr>
        <w:t xml:space="preserve"> when Amore’s operating authority as a charter-party carrier continued to be suspended, Amore’s Chief Executive Officer (CEO) drove several passengers in an Amore 11-passenger limousine to a winery</w:t>
      </w:r>
      <w:r w:rsidRPr="0030350E" w:rsidR="00611008">
        <w:rPr>
          <w:rFonts w:ascii="Book Antiqua" w:hAnsi="Book Antiqua"/>
        </w:rPr>
        <w:t xml:space="preserve"> in Calistoga</w:t>
      </w:r>
      <w:r w:rsidRPr="0030350E" w:rsidR="00501965">
        <w:rPr>
          <w:rFonts w:ascii="Book Antiqua" w:hAnsi="Book Antiqua"/>
        </w:rPr>
        <w:t xml:space="preserve">. </w:t>
      </w:r>
      <w:r w:rsidRPr="0030350E" w:rsidR="00196DD7">
        <w:rPr>
          <w:rFonts w:ascii="Book Antiqua" w:hAnsi="Book Antiqua"/>
        </w:rPr>
        <w:t xml:space="preserve"> </w:t>
      </w:r>
      <w:r w:rsidRPr="0030350E" w:rsidR="00501965">
        <w:rPr>
          <w:rFonts w:ascii="Book Antiqua" w:hAnsi="Book Antiqua"/>
        </w:rPr>
        <w:t xml:space="preserve">The CEO was dressed in </w:t>
      </w:r>
      <w:r w:rsidRPr="0030350E" w:rsidR="00336BE0">
        <w:rPr>
          <w:rFonts w:ascii="Book Antiqua" w:hAnsi="Book Antiqua"/>
        </w:rPr>
        <w:t xml:space="preserve">black pants and a white shirt, </w:t>
      </w:r>
      <w:r w:rsidRPr="0030350E" w:rsidR="00501965">
        <w:rPr>
          <w:rFonts w:ascii="Book Antiqua" w:hAnsi="Book Antiqua"/>
        </w:rPr>
        <w:t>attire</w:t>
      </w:r>
      <w:r w:rsidRPr="0030350E" w:rsidR="003B2287">
        <w:rPr>
          <w:rFonts w:ascii="Book Antiqua" w:hAnsi="Book Antiqua"/>
        </w:rPr>
        <w:t xml:space="preserve"> typical of a</w:t>
      </w:r>
      <w:r w:rsidRPr="0030350E" w:rsidR="00DE7111">
        <w:rPr>
          <w:rFonts w:ascii="Book Antiqua" w:hAnsi="Book Antiqua"/>
        </w:rPr>
        <w:t xml:space="preserve"> hired driver</w:t>
      </w:r>
      <w:r w:rsidRPr="0030350E" w:rsidR="00336BE0">
        <w:rPr>
          <w:rFonts w:ascii="Book Antiqua" w:hAnsi="Book Antiqua"/>
        </w:rPr>
        <w:t>,</w:t>
      </w:r>
      <w:r w:rsidRPr="0030350E" w:rsidR="00DE7111">
        <w:rPr>
          <w:rFonts w:ascii="Book Antiqua" w:hAnsi="Book Antiqua"/>
        </w:rPr>
        <w:t xml:space="preserve"> and had a California Class C non-commercial driver’s license but no commercial driver’s license </w:t>
      </w:r>
      <w:r w:rsidRPr="0030350E" w:rsidR="00DE7111">
        <w:rPr>
          <w:rFonts w:ascii="Book Antiqua" w:hAnsi="Book Antiqua"/>
        </w:rPr>
        <w:lastRenderedPageBreak/>
        <w:t xml:space="preserve">or commercial endorsement. </w:t>
      </w:r>
      <w:r w:rsidRPr="0030350E" w:rsidR="00196DD7">
        <w:rPr>
          <w:rFonts w:ascii="Book Antiqua" w:hAnsi="Book Antiqua"/>
        </w:rPr>
        <w:t xml:space="preserve"> </w:t>
      </w:r>
      <w:r w:rsidRPr="0030350E" w:rsidR="00DE7111">
        <w:rPr>
          <w:rFonts w:ascii="Book Antiqua" w:hAnsi="Book Antiqua"/>
        </w:rPr>
        <w:t>The CEO did not have any interaction with the</w:t>
      </w:r>
      <w:r w:rsidR="00DE7111">
        <w:t xml:space="preserve"> </w:t>
      </w:r>
      <w:r w:rsidRPr="0030350E" w:rsidR="00DE7111">
        <w:rPr>
          <w:rFonts w:ascii="Book Antiqua" w:hAnsi="Book Antiqua"/>
        </w:rPr>
        <w:t xml:space="preserve">limousine’s passengers as they exited the limousine. </w:t>
      </w:r>
      <w:r w:rsidRPr="0030350E" w:rsidR="00196DD7">
        <w:rPr>
          <w:rFonts w:ascii="Book Antiqua" w:hAnsi="Book Antiqua"/>
        </w:rPr>
        <w:t xml:space="preserve"> </w:t>
      </w:r>
      <w:r w:rsidRPr="0030350E" w:rsidR="00611008">
        <w:rPr>
          <w:rFonts w:ascii="Book Antiqua" w:hAnsi="Book Antiqua"/>
        </w:rPr>
        <w:t>The winery required advance reservations for visitors to enter the winery property.</w:t>
      </w:r>
      <w:r w:rsidRPr="0030350E" w:rsidR="00196DD7">
        <w:rPr>
          <w:rFonts w:ascii="Book Antiqua" w:hAnsi="Book Antiqua"/>
        </w:rPr>
        <w:t xml:space="preserve"> </w:t>
      </w:r>
      <w:r w:rsidRPr="0030350E" w:rsidR="00611008">
        <w:rPr>
          <w:rFonts w:ascii="Book Antiqua" w:hAnsi="Book Antiqua"/>
        </w:rPr>
        <w:t xml:space="preserve"> However, no winery reservations in the name of Amore’s CEO or her daughter were made for December 18, 2021.</w:t>
      </w:r>
    </w:p>
    <w:p w:rsidRPr="0030350E" w:rsidR="00611008" w:rsidRDefault="00611008" w14:paraId="7F089196" w14:textId="77777777">
      <w:pPr>
        <w:rPr>
          <w:rFonts w:ascii="Book Antiqua" w:hAnsi="Book Antiqua"/>
        </w:rPr>
      </w:pPr>
    </w:p>
    <w:p w:rsidRPr="0030350E" w:rsidR="008C3F02" w:rsidRDefault="000158F4" w14:paraId="0EEF2F2E" w14:textId="02330457">
      <w:pPr>
        <w:rPr>
          <w:rFonts w:ascii="Book Antiqua" w:hAnsi="Book Antiqua"/>
        </w:rPr>
      </w:pPr>
      <w:r w:rsidRPr="0030350E">
        <w:rPr>
          <w:rFonts w:ascii="Book Antiqua" w:hAnsi="Book Antiqua"/>
        </w:rPr>
        <w:t>Amore’s maintenance facility and t</w:t>
      </w:r>
      <w:r w:rsidRPr="0030350E" w:rsidR="00B00242">
        <w:rPr>
          <w:rFonts w:ascii="Book Antiqua" w:hAnsi="Book Antiqua"/>
        </w:rPr>
        <w:t xml:space="preserve">he </w:t>
      </w:r>
      <w:r w:rsidRPr="0030350E" w:rsidR="00925CDA">
        <w:rPr>
          <w:rFonts w:ascii="Book Antiqua" w:hAnsi="Book Antiqua"/>
        </w:rPr>
        <w:t>limousine driven by</w:t>
      </w:r>
      <w:r w:rsidRPr="0030350E" w:rsidR="00B00242">
        <w:rPr>
          <w:rFonts w:ascii="Book Antiqua" w:hAnsi="Book Antiqua"/>
        </w:rPr>
        <w:t xml:space="preserve"> Amore’s</w:t>
      </w:r>
      <w:r w:rsidRPr="0030350E" w:rsidR="00925CDA">
        <w:rPr>
          <w:rFonts w:ascii="Book Antiqua" w:hAnsi="Book Antiqua"/>
        </w:rPr>
        <w:t xml:space="preserve"> CEO had not been inspected by the California Highway Patrol </w:t>
      </w:r>
      <w:r w:rsidRPr="0030350E" w:rsidR="00BA36A0">
        <w:rPr>
          <w:rFonts w:ascii="Book Antiqua" w:hAnsi="Book Antiqua"/>
        </w:rPr>
        <w:t xml:space="preserve">(CHP) </w:t>
      </w:r>
      <w:r w:rsidRPr="0030350E">
        <w:rPr>
          <w:rFonts w:ascii="Book Antiqua" w:hAnsi="Book Antiqua"/>
        </w:rPr>
        <w:t>at any time in the 13 months before December 18, 2021</w:t>
      </w:r>
      <w:r w:rsidRPr="0030350E" w:rsidR="00925CDA">
        <w:rPr>
          <w:rFonts w:ascii="Book Antiqua" w:hAnsi="Book Antiqua"/>
        </w:rPr>
        <w:t>.</w:t>
      </w:r>
      <w:r w:rsidRPr="0030350E" w:rsidR="00FF64E8">
        <w:rPr>
          <w:rFonts w:ascii="Book Antiqua" w:hAnsi="Book Antiqua"/>
        </w:rPr>
        <w:t xml:space="preserve"> </w:t>
      </w:r>
      <w:r w:rsidRPr="0030350E" w:rsidR="00196DD7">
        <w:rPr>
          <w:rFonts w:ascii="Book Antiqua" w:hAnsi="Book Antiqua"/>
        </w:rPr>
        <w:t xml:space="preserve"> </w:t>
      </w:r>
      <w:r w:rsidRPr="0030350E" w:rsidR="00FF64E8">
        <w:rPr>
          <w:rFonts w:ascii="Book Antiqua" w:hAnsi="Book Antiqua"/>
        </w:rPr>
        <w:t xml:space="preserve">On December 18, 2021, Amore did not have any liability protection covering the limousine; </w:t>
      </w:r>
      <w:r w:rsidRPr="0030350E">
        <w:rPr>
          <w:rFonts w:ascii="Book Antiqua" w:hAnsi="Book Antiqua"/>
        </w:rPr>
        <w:t>Amore’s</w:t>
      </w:r>
      <w:r w:rsidRPr="0030350E" w:rsidR="00FF64E8">
        <w:rPr>
          <w:rFonts w:ascii="Book Antiqua" w:hAnsi="Book Antiqua"/>
        </w:rPr>
        <w:t xml:space="preserve"> CEO had a personal liability insurance policy covering the limousine with bodily injury liability limits of $15,000 per person and $30,000 per accident and property damage liability limits of $5,000 per accident.</w:t>
      </w:r>
    </w:p>
    <w:p w:rsidRPr="0030350E" w:rsidR="00925CDA" w:rsidRDefault="00925CDA" w14:paraId="24D1C6D3" w14:textId="1EC5570F">
      <w:pPr>
        <w:rPr>
          <w:rFonts w:ascii="Book Antiqua" w:hAnsi="Book Antiqua"/>
        </w:rPr>
      </w:pPr>
    </w:p>
    <w:p w:rsidRPr="0030350E" w:rsidR="00BA36A0" w:rsidRDefault="00925CDA" w14:paraId="167CE881" w14:textId="25688515">
      <w:pPr>
        <w:rPr>
          <w:rFonts w:ascii="Book Antiqua" w:hAnsi="Book Antiqua"/>
        </w:rPr>
      </w:pPr>
      <w:r w:rsidRPr="0030350E">
        <w:rPr>
          <w:rFonts w:ascii="Book Antiqua" w:hAnsi="Book Antiqua"/>
        </w:rPr>
        <w:t>On April 5, 2022, the Commission’s Consumer Protection and Enforcement Division</w:t>
      </w:r>
      <w:r w:rsidRPr="0030350E" w:rsidR="003C3DB9">
        <w:rPr>
          <w:rFonts w:ascii="Book Antiqua" w:hAnsi="Book Antiqua"/>
        </w:rPr>
        <w:t xml:space="preserve"> (CPED)</w:t>
      </w:r>
      <w:r w:rsidRPr="0030350E">
        <w:rPr>
          <w:rFonts w:ascii="Book Antiqua" w:hAnsi="Book Antiqua"/>
        </w:rPr>
        <w:t xml:space="preserve"> issued Citation T.22-04-002 </w:t>
      </w:r>
      <w:r w:rsidRPr="0030350E" w:rsidR="00BA36A0">
        <w:rPr>
          <w:rFonts w:ascii="Book Antiqua" w:hAnsi="Book Antiqua"/>
        </w:rPr>
        <w:t xml:space="preserve">(Citation) </w:t>
      </w:r>
      <w:r w:rsidRPr="0030350E">
        <w:rPr>
          <w:rFonts w:ascii="Book Antiqua" w:hAnsi="Book Antiqua"/>
        </w:rPr>
        <w:t xml:space="preserve">to </w:t>
      </w:r>
      <w:proofErr w:type="spellStart"/>
      <w:r w:rsidRPr="0030350E">
        <w:rPr>
          <w:rFonts w:ascii="Book Antiqua" w:hAnsi="Book Antiqua"/>
        </w:rPr>
        <w:t>Amore</w:t>
      </w:r>
      <w:proofErr w:type="spellEnd"/>
      <w:r w:rsidRPr="0030350E">
        <w:rPr>
          <w:rFonts w:ascii="Book Antiqua" w:hAnsi="Book Antiqua"/>
        </w:rPr>
        <w:t xml:space="preserve"> for five violations: </w:t>
      </w:r>
      <w:r w:rsidRPr="0030350E" w:rsidR="00196DD7">
        <w:rPr>
          <w:rFonts w:ascii="Book Antiqua" w:hAnsi="Book Antiqua"/>
        </w:rPr>
        <w:t xml:space="preserve"> </w:t>
      </w:r>
      <w:r w:rsidRPr="0030350E">
        <w:rPr>
          <w:rFonts w:ascii="Book Antiqua" w:hAnsi="Book Antiqua"/>
        </w:rPr>
        <w:t>(1) operation as a charter-party carrier after suspension of Amore’s operating authority; (2) operation of a vehicle without providing adequate protection against liability in an amount not less than $1,500,000</w:t>
      </w:r>
      <w:r w:rsidRPr="0030350E" w:rsidR="00BA36A0">
        <w:rPr>
          <w:rFonts w:ascii="Book Antiqua" w:hAnsi="Book Antiqua"/>
        </w:rPr>
        <w:t>; (3) operation of a bus without a CHP inspection; (4) engagement of a driver without being licensed with the proper endorsement; and (5) advertisement as a charter-party carrier without valid authority.</w:t>
      </w:r>
      <w:r w:rsidRPr="0030350E" w:rsidR="00196DD7">
        <w:rPr>
          <w:rFonts w:ascii="Book Antiqua" w:hAnsi="Book Antiqua"/>
        </w:rPr>
        <w:t xml:space="preserve"> </w:t>
      </w:r>
      <w:r w:rsidRPr="0030350E" w:rsidR="00BA36A0">
        <w:rPr>
          <w:rFonts w:ascii="Book Antiqua" w:hAnsi="Book Antiqua"/>
        </w:rPr>
        <w:t xml:space="preserve"> The Citation directs Amore to pay a</w:t>
      </w:r>
      <w:r w:rsidRPr="0030350E" w:rsidR="00C40E30">
        <w:rPr>
          <w:rFonts w:ascii="Book Antiqua" w:hAnsi="Book Antiqua"/>
        </w:rPr>
        <w:t xml:space="preserve"> penalty</w:t>
      </w:r>
      <w:r w:rsidRPr="0030350E" w:rsidR="00BA36A0">
        <w:rPr>
          <w:rFonts w:ascii="Book Antiqua" w:hAnsi="Book Antiqua"/>
        </w:rPr>
        <w:t xml:space="preserve"> of $4,000 or file an appeal.</w:t>
      </w:r>
    </w:p>
    <w:p w:rsidRPr="0030350E" w:rsidR="00BA36A0" w:rsidRDefault="00BA36A0" w14:paraId="3088B149" w14:textId="77777777">
      <w:pPr>
        <w:rPr>
          <w:rFonts w:ascii="Book Antiqua" w:hAnsi="Book Antiqua"/>
        </w:rPr>
      </w:pPr>
    </w:p>
    <w:p w:rsidRPr="0030350E" w:rsidR="003C3DB9" w:rsidRDefault="00BA36A0" w14:paraId="170E7562" w14:textId="2A0F85B2">
      <w:pPr>
        <w:rPr>
          <w:rFonts w:ascii="Book Antiqua" w:hAnsi="Book Antiqua"/>
        </w:rPr>
      </w:pPr>
      <w:r w:rsidRPr="0030350E">
        <w:rPr>
          <w:rFonts w:ascii="Book Antiqua" w:hAnsi="Book Antiqua"/>
        </w:rPr>
        <w:t>On June 20, 2022, Amore filed a Notice of Appeal (Appeal).</w:t>
      </w:r>
      <w:r w:rsidRPr="0030350E" w:rsidR="00196DD7">
        <w:rPr>
          <w:rFonts w:ascii="Book Antiqua" w:hAnsi="Book Antiqua"/>
        </w:rPr>
        <w:t xml:space="preserve"> </w:t>
      </w:r>
      <w:r w:rsidRPr="0030350E">
        <w:rPr>
          <w:rFonts w:ascii="Book Antiqua" w:hAnsi="Book Antiqua"/>
        </w:rPr>
        <w:t xml:space="preserve"> In the Appeal, </w:t>
      </w:r>
      <w:r w:rsidRPr="0030350E" w:rsidR="00191215">
        <w:rPr>
          <w:rFonts w:ascii="Book Antiqua" w:hAnsi="Book Antiqua"/>
        </w:rPr>
        <w:t>Amore’s</w:t>
      </w:r>
      <w:r w:rsidRPr="0030350E">
        <w:rPr>
          <w:rFonts w:ascii="Book Antiqua" w:hAnsi="Book Antiqua"/>
        </w:rPr>
        <w:t xml:space="preserve"> CEO state</w:t>
      </w:r>
      <w:r w:rsidRPr="0030350E" w:rsidR="00590141">
        <w:rPr>
          <w:rFonts w:ascii="Book Antiqua" w:hAnsi="Book Antiqua"/>
        </w:rPr>
        <w:t>s</w:t>
      </w:r>
      <w:r w:rsidRPr="0030350E">
        <w:rPr>
          <w:rFonts w:ascii="Book Antiqua" w:hAnsi="Book Antiqua"/>
        </w:rPr>
        <w:t xml:space="preserve"> that she was taking her daughter wine tasting with her daughter’s friends, acknowledged that she had personal insurance but no commercial insurance on the limousine, </w:t>
      </w:r>
      <w:r w:rsidRPr="0030350E" w:rsidR="003C3DB9">
        <w:rPr>
          <w:rFonts w:ascii="Book Antiqua" w:hAnsi="Book Antiqua"/>
        </w:rPr>
        <w:t xml:space="preserve">and </w:t>
      </w:r>
      <w:r w:rsidRPr="0030350E" w:rsidR="00F4636E">
        <w:rPr>
          <w:rFonts w:ascii="Book Antiqua" w:hAnsi="Book Antiqua"/>
        </w:rPr>
        <w:t>asserted that she was driving a modified limousine and not a bus</w:t>
      </w:r>
      <w:r w:rsidRPr="0030350E" w:rsidR="003C3DB9">
        <w:rPr>
          <w:rFonts w:ascii="Book Antiqua" w:hAnsi="Book Antiqua"/>
        </w:rPr>
        <w:t>.</w:t>
      </w:r>
      <w:r w:rsidR="003372A0">
        <w:rPr>
          <w:rFonts w:ascii="Book Antiqua" w:hAnsi="Book Antiqua"/>
        </w:rPr>
        <w:t xml:space="preserve"> On July 11, 2022, CPED filed a motion for leave to file its confidential Compliance Filing under seal.</w:t>
      </w:r>
    </w:p>
    <w:p w:rsidRPr="0030350E" w:rsidR="003C3DB9" w:rsidRDefault="003C3DB9" w14:paraId="192185E7" w14:textId="77777777">
      <w:pPr>
        <w:rPr>
          <w:rFonts w:ascii="Book Antiqua" w:hAnsi="Book Antiqua"/>
        </w:rPr>
      </w:pPr>
    </w:p>
    <w:p w:rsidRPr="0030350E" w:rsidR="00C47C2A" w:rsidP="00590141" w:rsidRDefault="003C3DB9" w14:paraId="6E6538C8" w14:textId="7DA82DF3">
      <w:pPr>
        <w:rPr>
          <w:rFonts w:ascii="Book Antiqua" w:hAnsi="Book Antiqua"/>
        </w:rPr>
      </w:pPr>
      <w:r w:rsidRPr="0030350E">
        <w:rPr>
          <w:rFonts w:ascii="Book Antiqua" w:hAnsi="Book Antiqua"/>
        </w:rPr>
        <w:t xml:space="preserve">On September 29, 2022, the assigned Administrative Law Judge conducted an evidentiary hearing. </w:t>
      </w:r>
      <w:r w:rsidRPr="0030350E" w:rsidR="00196DD7">
        <w:rPr>
          <w:rFonts w:ascii="Book Antiqua" w:hAnsi="Book Antiqua"/>
        </w:rPr>
        <w:t xml:space="preserve"> </w:t>
      </w:r>
      <w:r w:rsidRPr="0030350E">
        <w:rPr>
          <w:rFonts w:ascii="Book Antiqua" w:hAnsi="Book Antiqua"/>
        </w:rPr>
        <w:t xml:space="preserve">Amore and CPED appeared at the evidentiary hearing and presented testimony. </w:t>
      </w:r>
      <w:r w:rsidRPr="0030350E" w:rsidR="00196DD7">
        <w:rPr>
          <w:rFonts w:ascii="Book Antiqua" w:hAnsi="Book Antiqua"/>
        </w:rPr>
        <w:t xml:space="preserve"> </w:t>
      </w:r>
      <w:r w:rsidRPr="0030350E">
        <w:rPr>
          <w:rFonts w:ascii="Book Antiqua" w:hAnsi="Book Antiqua"/>
        </w:rPr>
        <w:t xml:space="preserve">Exhibits </w:t>
      </w:r>
      <w:r w:rsidRPr="0030350E" w:rsidR="00590141">
        <w:rPr>
          <w:rFonts w:ascii="Book Antiqua" w:hAnsi="Book Antiqua"/>
        </w:rPr>
        <w:t>CPED-1 through CPED-19 were admitted into evidence at the evidentiary hearing.</w:t>
      </w:r>
    </w:p>
    <w:p w:rsidR="00C47C2A" w:rsidRDefault="00C47C2A" w14:paraId="3C40348A" w14:textId="77777777"/>
    <w:p w:rsidRPr="0030350E" w:rsidR="00C47C2A" w:rsidP="007B4FCC" w:rsidRDefault="00C47C2A" w14:paraId="062C617C" w14:textId="0859F171">
      <w:pPr>
        <w:rPr>
          <w:rFonts w:ascii="Book Antiqua" w:hAnsi="Book Antiqua"/>
          <w:b/>
          <w:u w:val="single"/>
        </w:rPr>
      </w:pPr>
      <w:r w:rsidRPr="0030350E">
        <w:rPr>
          <w:rFonts w:ascii="Book Antiqua" w:hAnsi="Book Antiqua"/>
          <w:b/>
          <w:u w:val="single"/>
        </w:rPr>
        <w:t>DISCUSSION</w:t>
      </w:r>
    </w:p>
    <w:p w:rsidRPr="0030350E" w:rsidR="00FE771D" w:rsidP="007B4FCC" w:rsidRDefault="00FE771D" w14:paraId="7D90287B" w14:textId="1E6DEBE0">
      <w:pPr>
        <w:rPr>
          <w:rFonts w:ascii="Book Antiqua" w:hAnsi="Book Antiqua"/>
          <w:b/>
          <w:u w:val="single"/>
        </w:rPr>
      </w:pPr>
    </w:p>
    <w:p w:rsidRPr="0030350E" w:rsidR="00FE771D" w:rsidP="007B4FCC" w:rsidRDefault="00FE771D" w14:paraId="79FEA725" w14:textId="648AAC96">
      <w:pPr>
        <w:numPr>
          <w:ilvl w:val="0"/>
          <w:numId w:val="4"/>
        </w:numPr>
        <w:rPr>
          <w:rFonts w:ascii="Book Antiqua" w:hAnsi="Book Antiqua"/>
          <w:b/>
          <w:u w:val="single"/>
        </w:rPr>
      </w:pPr>
      <w:r w:rsidRPr="0030350E">
        <w:rPr>
          <w:rFonts w:ascii="Book Antiqua" w:hAnsi="Book Antiqua"/>
          <w:b/>
          <w:u w:val="single"/>
        </w:rPr>
        <w:t>Burden of Proof</w:t>
      </w:r>
    </w:p>
    <w:p w:rsidRPr="0030350E" w:rsidR="00FE771D" w:rsidP="007B4FCC" w:rsidRDefault="00FE771D" w14:paraId="370BDBF2" w14:textId="5D01AA81">
      <w:pPr>
        <w:ind w:left="720"/>
        <w:rPr>
          <w:rFonts w:ascii="Book Antiqua" w:hAnsi="Book Antiqua"/>
          <w:b/>
          <w:u w:val="single"/>
        </w:rPr>
      </w:pPr>
    </w:p>
    <w:p w:rsidR="00FE771D" w:rsidP="007B4FCC" w:rsidRDefault="00FE771D" w14:paraId="23F6FDAB" w14:textId="3EEFC3B9">
      <w:pPr>
        <w:rPr>
          <w:bCs/>
        </w:rPr>
      </w:pPr>
      <w:r w:rsidRPr="0030350E">
        <w:rPr>
          <w:rFonts w:ascii="Book Antiqua" w:hAnsi="Book Antiqua"/>
          <w:bCs/>
        </w:rPr>
        <w:t>In this proceeding, CPED has the burden of proof by a preponderance of the evidence</w:t>
      </w:r>
      <w:r>
        <w:rPr>
          <w:bCs/>
        </w:rPr>
        <w:t>.</w:t>
      </w:r>
      <w:r w:rsidRPr="0030350E">
        <w:rPr>
          <w:rStyle w:val="FootnoteReference"/>
          <w:rFonts w:ascii="Book Antiqua" w:hAnsi="Book Antiqua"/>
          <w:bCs/>
        </w:rPr>
        <w:footnoteReference w:id="1"/>
      </w:r>
    </w:p>
    <w:p w:rsidRPr="00B9589A" w:rsidR="00590141" w:rsidP="007B4FCC" w:rsidRDefault="00F6783A" w14:paraId="1995051D" w14:textId="28365988">
      <w:pPr>
        <w:keepNext/>
        <w:keepLines/>
        <w:numPr>
          <w:ilvl w:val="0"/>
          <w:numId w:val="4"/>
        </w:numPr>
        <w:rPr>
          <w:rFonts w:ascii="Book Antiqua" w:hAnsi="Book Antiqua"/>
          <w:bCs/>
        </w:rPr>
      </w:pPr>
      <w:r w:rsidRPr="00B9589A">
        <w:rPr>
          <w:rFonts w:ascii="Book Antiqua" w:hAnsi="Book Antiqua"/>
          <w:b/>
          <w:u w:val="single"/>
        </w:rPr>
        <w:lastRenderedPageBreak/>
        <w:t>Operation as Charter-Party Carrier after Suspension of Operating Authority</w:t>
      </w:r>
      <w:r w:rsidRPr="00B9589A">
        <w:rPr>
          <w:rFonts w:ascii="Book Antiqua" w:hAnsi="Book Antiqua"/>
          <w:bCs/>
          <w:u w:val="single"/>
        </w:rPr>
        <w:t xml:space="preserve"> </w:t>
      </w:r>
    </w:p>
    <w:p w:rsidRPr="00B9589A" w:rsidR="00590141" w:rsidP="007B4FCC" w:rsidRDefault="00590141" w14:paraId="4D5C91E6" w14:textId="77777777">
      <w:pPr>
        <w:keepNext/>
        <w:keepLines/>
        <w:rPr>
          <w:rFonts w:ascii="Book Antiqua" w:hAnsi="Book Antiqua"/>
          <w:bCs/>
        </w:rPr>
      </w:pPr>
    </w:p>
    <w:p w:rsidRPr="0030350E" w:rsidR="00E31946" w:rsidP="007B4FCC" w:rsidRDefault="00B33092" w14:paraId="25E92889" w14:textId="7B445D9C">
      <w:pPr>
        <w:keepNext/>
        <w:keepLines/>
        <w:rPr>
          <w:rFonts w:ascii="Book Antiqua" w:hAnsi="Book Antiqua"/>
          <w:bCs/>
        </w:rPr>
      </w:pPr>
      <w:r w:rsidRPr="00B9589A">
        <w:rPr>
          <w:rFonts w:ascii="Book Antiqua" w:hAnsi="Book Antiqua"/>
          <w:bCs/>
        </w:rPr>
        <w:t>A charter-party carrier of passengers is a person engaged in the transportation of</w:t>
      </w:r>
      <w:r w:rsidRPr="0030350E">
        <w:rPr>
          <w:rFonts w:ascii="Book Antiqua" w:hAnsi="Book Antiqua"/>
          <w:bCs/>
        </w:rPr>
        <w:t xml:space="preserve"> persons by motor vehicle for compensation over any public highway in California.</w:t>
      </w:r>
      <w:r w:rsidRPr="0030350E">
        <w:rPr>
          <w:rStyle w:val="FootnoteReference"/>
          <w:rFonts w:ascii="Book Antiqua" w:hAnsi="Book Antiqua"/>
          <w:bCs/>
        </w:rPr>
        <w:footnoteReference w:id="2"/>
      </w:r>
      <w:r w:rsidRPr="0030350E">
        <w:rPr>
          <w:rFonts w:ascii="Book Antiqua" w:hAnsi="Book Antiqua"/>
          <w:bCs/>
        </w:rPr>
        <w:t xml:space="preserve"> </w:t>
      </w:r>
      <w:r w:rsidRPr="0030350E" w:rsidR="00196DD7">
        <w:rPr>
          <w:rFonts w:ascii="Book Antiqua" w:hAnsi="Book Antiqua"/>
          <w:bCs/>
        </w:rPr>
        <w:t xml:space="preserve"> </w:t>
      </w:r>
      <w:r w:rsidRPr="0030350E" w:rsidR="00F6783A">
        <w:rPr>
          <w:rFonts w:ascii="Book Antiqua" w:hAnsi="Book Antiqua"/>
          <w:bCs/>
        </w:rPr>
        <w:t>It is unlawful for a charter-party carrier to conduct any operations as a carrier during a period of suspension of an operating permit or certificate issued by the Commission.</w:t>
      </w:r>
      <w:r w:rsidRPr="0030350E" w:rsidR="00F6783A">
        <w:rPr>
          <w:rStyle w:val="FootnoteReference"/>
          <w:rFonts w:ascii="Book Antiqua" w:hAnsi="Book Antiqua"/>
          <w:bCs/>
        </w:rPr>
        <w:footnoteReference w:id="3"/>
      </w:r>
      <w:r w:rsidRPr="0030350E" w:rsidR="00F6783A">
        <w:rPr>
          <w:rFonts w:ascii="Book Antiqua" w:hAnsi="Book Antiqua"/>
          <w:bCs/>
        </w:rPr>
        <w:t xml:space="preserve"> </w:t>
      </w:r>
      <w:r w:rsidRPr="0030350E" w:rsidR="00102277">
        <w:rPr>
          <w:rFonts w:ascii="Book Antiqua" w:hAnsi="Book Antiqua"/>
          <w:bCs/>
        </w:rPr>
        <w:t>The Commission may levy a civil penalty of up to $7,500 upon the holde</w:t>
      </w:r>
      <w:r w:rsidRPr="0030350E" w:rsidR="00E31946">
        <w:rPr>
          <w:rFonts w:ascii="Book Antiqua" w:hAnsi="Book Antiqua"/>
          <w:bCs/>
        </w:rPr>
        <w:t>r</w:t>
      </w:r>
      <w:r w:rsidRPr="0030350E" w:rsidR="00102277">
        <w:rPr>
          <w:rFonts w:ascii="Book Antiqua" w:hAnsi="Book Antiqua"/>
          <w:bCs/>
        </w:rPr>
        <w:t xml:space="preserve"> of an operating permit or certificate for any violation of the statutory provisions applicable to charter-party carriers.</w:t>
      </w:r>
      <w:r w:rsidRPr="0030350E" w:rsidR="00102277">
        <w:rPr>
          <w:rStyle w:val="FootnoteReference"/>
          <w:rFonts w:ascii="Book Antiqua" w:hAnsi="Book Antiqua"/>
          <w:bCs/>
        </w:rPr>
        <w:footnoteReference w:id="4"/>
      </w:r>
      <w:r w:rsidRPr="0030350E" w:rsidR="00102277">
        <w:rPr>
          <w:rFonts w:ascii="Book Antiqua" w:hAnsi="Book Antiqua"/>
          <w:bCs/>
        </w:rPr>
        <w:t xml:space="preserve"> </w:t>
      </w:r>
    </w:p>
    <w:p w:rsidRPr="0030350E" w:rsidR="00E31946" w:rsidRDefault="00E31946" w14:paraId="24F30902" w14:textId="77777777">
      <w:pPr>
        <w:rPr>
          <w:rFonts w:ascii="Book Antiqua" w:hAnsi="Book Antiqua"/>
          <w:bCs/>
        </w:rPr>
      </w:pPr>
    </w:p>
    <w:p w:rsidRPr="0030350E" w:rsidR="00A2741E" w:rsidRDefault="00E31946" w14:paraId="13C768AE" w14:textId="4177AE50">
      <w:pPr>
        <w:rPr>
          <w:rFonts w:ascii="Book Antiqua" w:hAnsi="Book Antiqua"/>
          <w:bCs/>
        </w:rPr>
      </w:pPr>
      <w:r w:rsidRPr="0030350E">
        <w:rPr>
          <w:rFonts w:ascii="Book Antiqua" w:hAnsi="Book Antiqua"/>
          <w:bCs/>
        </w:rPr>
        <w:t xml:space="preserve">It was not disputed at the evidentiary hearing that the Commission had suspended Amore’s operating authority effective March 23, 2020 and continuing through December 18, 2021. </w:t>
      </w:r>
      <w:r w:rsidRPr="0030350E" w:rsidR="00196DD7">
        <w:rPr>
          <w:rFonts w:ascii="Book Antiqua" w:hAnsi="Book Antiqua"/>
          <w:bCs/>
        </w:rPr>
        <w:t xml:space="preserve"> </w:t>
      </w:r>
      <w:r w:rsidRPr="0030350E">
        <w:rPr>
          <w:rFonts w:ascii="Book Antiqua" w:hAnsi="Book Antiqua"/>
          <w:bCs/>
        </w:rPr>
        <w:t xml:space="preserve">CPED contends that the evidence reflects that Amore was conducting charter-party carrier operations on December 18, 2021; Amore contends that it was only providing </w:t>
      </w:r>
      <w:r w:rsidRPr="0030350E" w:rsidR="00B72D6D">
        <w:rPr>
          <w:rFonts w:ascii="Book Antiqua" w:hAnsi="Book Antiqua"/>
          <w:bCs/>
        </w:rPr>
        <w:t xml:space="preserve">an </w:t>
      </w:r>
      <w:r w:rsidRPr="0030350E">
        <w:rPr>
          <w:rFonts w:ascii="Book Antiqua" w:hAnsi="Book Antiqua"/>
          <w:bCs/>
        </w:rPr>
        <w:t xml:space="preserve">uncompensated limousine </w:t>
      </w:r>
      <w:r w:rsidRPr="0030350E" w:rsidR="00B72D6D">
        <w:rPr>
          <w:rFonts w:ascii="Book Antiqua" w:hAnsi="Book Antiqua"/>
          <w:bCs/>
        </w:rPr>
        <w:t>ride</w:t>
      </w:r>
      <w:r w:rsidRPr="0030350E">
        <w:rPr>
          <w:rFonts w:ascii="Book Antiqua" w:hAnsi="Book Antiqua"/>
          <w:bCs/>
        </w:rPr>
        <w:t xml:space="preserve"> </w:t>
      </w:r>
      <w:r w:rsidRPr="0030350E" w:rsidR="00B72D6D">
        <w:rPr>
          <w:rFonts w:ascii="Book Antiqua" w:hAnsi="Book Antiqua"/>
          <w:bCs/>
        </w:rPr>
        <w:t xml:space="preserve">as a belated birthday gift for </w:t>
      </w:r>
      <w:r w:rsidRPr="0030350E">
        <w:rPr>
          <w:rFonts w:ascii="Book Antiqua" w:hAnsi="Book Antiqua"/>
          <w:bCs/>
        </w:rPr>
        <w:t>the CE</w:t>
      </w:r>
      <w:r w:rsidRPr="0030350E" w:rsidR="00B72D6D">
        <w:rPr>
          <w:rFonts w:ascii="Book Antiqua" w:hAnsi="Book Antiqua"/>
          <w:bCs/>
        </w:rPr>
        <w:t>O’</w:t>
      </w:r>
      <w:r w:rsidRPr="0030350E">
        <w:rPr>
          <w:rFonts w:ascii="Book Antiqua" w:hAnsi="Book Antiqua"/>
          <w:bCs/>
        </w:rPr>
        <w:t xml:space="preserve">s daughter and her friends. </w:t>
      </w:r>
      <w:r w:rsidRPr="0030350E" w:rsidR="00196DD7">
        <w:rPr>
          <w:rFonts w:ascii="Book Antiqua" w:hAnsi="Book Antiqua"/>
          <w:bCs/>
        </w:rPr>
        <w:t xml:space="preserve"> </w:t>
      </w:r>
      <w:r w:rsidRPr="0030350E" w:rsidR="005A497D">
        <w:rPr>
          <w:rFonts w:ascii="Book Antiqua" w:hAnsi="Book Antiqua"/>
          <w:bCs/>
        </w:rPr>
        <w:t xml:space="preserve">The CPED witnesses testified credibly that the CEO who drove the limousine on December 18, 2021 was dressed in professional attire typical of the clothes that a limousine driver for hire would wear. </w:t>
      </w:r>
      <w:r w:rsidR="000645A6">
        <w:rPr>
          <w:rFonts w:ascii="Book Antiqua" w:hAnsi="Book Antiqua"/>
          <w:bCs/>
        </w:rPr>
        <w:t xml:space="preserve"> </w:t>
      </w:r>
      <w:r w:rsidRPr="0030350E" w:rsidR="005A497D">
        <w:rPr>
          <w:rFonts w:ascii="Book Antiqua" w:hAnsi="Book Antiqua"/>
          <w:bCs/>
        </w:rPr>
        <w:t xml:space="preserve">In contrast, </w:t>
      </w:r>
      <w:r w:rsidRPr="0030350E" w:rsidR="00822A79">
        <w:rPr>
          <w:rFonts w:ascii="Book Antiqua" w:hAnsi="Book Antiqua"/>
          <w:bCs/>
        </w:rPr>
        <w:t>Amore’s</w:t>
      </w:r>
      <w:r w:rsidRPr="0030350E" w:rsidR="005A497D">
        <w:rPr>
          <w:rFonts w:ascii="Book Antiqua" w:hAnsi="Book Antiqua"/>
          <w:bCs/>
        </w:rPr>
        <w:t xml:space="preserve"> CEO testified uncertainly regarding her attire, stating initially that she could have been wearing jeans but later acknowledging that she could have been wearing clothes with a more professional look. </w:t>
      </w:r>
    </w:p>
    <w:p w:rsidRPr="0030350E" w:rsidR="00A2741E" w:rsidRDefault="00A2741E" w14:paraId="1432C27F" w14:textId="77777777">
      <w:pPr>
        <w:rPr>
          <w:rFonts w:ascii="Book Antiqua" w:hAnsi="Book Antiqua"/>
          <w:bCs/>
        </w:rPr>
      </w:pPr>
    </w:p>
    <w:p w:rsidRPr="0030350E" w:rsidR="00A5308B" w:rsidRDefault="0062754C" w14:paraId="3CFE677F" w14:textId="38EAC0BB">
      <w:pPr>
        <w:rPr>
          <w:rFonts w:ascii="Book Antiqua" w:hAnsi="Book Antiqua"/>
          <w:bCs/>
        </w:rPr>
      </w:pPr>
      <w:r w:rsidRPr="0030350E">
        <w:rPr>
          <w:rFonts w:ascii="Book Antiqua" w:hAnsi="Book Antiqua"/>
          <w:bCs/>
        </w:rPr>
        <w:t>The CPED witnesses who observed the CEO in front of the winery also testified credibly that they did not see any interaction between the CEO</w:t>
      </w:r>
      <w:r w:rsidRPr="0030350E" w:rsidR="00981BFA">
        <w:rPr>
          <w:rFonts w:ascii="Book Antiqua" w:hAnsi="Book Antiqua"/>
          <w:bCs/>
        </w:rPr>
        <w:t xml:space="preserve"> and the limousine’s passengers as they exited the vehicle and that some interaction would have been normal if in fact </w:t>
      </w:r>
      <w:r w:rsidRPr="0030350E" w:rsidR="00822A79">
        <w:rPr>
          <w:rFonts w:ascii="Book Antiqua" w:hAnsi="Book Antiqua"/>
          <w:bCs/>
        </w:rPr>
        <w:t>Amore’s</w:t>
      </w:r>
      <w:r w:rsidRPr="0030350E" w:rsidR="00981BFA">
        <w:rPr>
          <w:rFonts w:ascii="Book Antiqua" w:hAnsi="Book Antiqua"/>
          <w:bCs/>
        </w:rPr>
        <w:t xml:space="preserve"> CEO was providing an uncompensated limousine ride for her daughter to go to a birthday celebration at the winery with friends.</w:t>
      </w:r>
      <w:r w:rsidRPr="0030350E" w:rsidR="00196DD7">
        <w:rPr>
          <w:rFonts w:ascii="Book Antiqua" w:hAnsi="Book Antiqua"/>
          <w:bCs/>
        </w:rPr>
        <w:t xml:space="preserve"> </w:t>
      </w:r>
      <w:r w:rsidRPr="0030350E" w:rsidR="00981BFA">
        <w:rPr>
          <w:rFonts w:ascii="Book Antiqua" w:hAnsi="Book Antiqua"/>
          <w:bCs/>
        </w:rPr>
        <w:t xml:space="preserve"> In addition, the CPED witnesses testified credibly that the winery requires reservations for any</w:t>
      </w:r>
      <w:r w:rsidRPr="0030350E" w:rsidR="00AC25BD">
        <w:rPr>
          <w:rFonts w:ascii="Book Antiqua" w:hAnsi="Book Antiqua"/>
          <w:bCs/>
        </w:rPr>
        <w:t xml:space="preserve"> visitor to enter the property</w:t>
      </w:r>
      <w:r w:rsidRPr="0030350E" w:rsidR="00981BFA">
        <w:rPr>
          <w:rFonts w:ascii="Book Antiqua" w:hAnsi="Book Antiqua"/>
          <w:bCs/>
        </w:rPr>
        <w:t xml:space="preserve"> and that the winery had no reservations on December </w:t>
      </w:r>
      <w:r w:rsidRPr="0030350E" w:rsidR="00602909">
        <w:rPr>
          <w:rFonts w:ascii="Book Antiqua" w:hAnsi="Book Antiqua"/>
          <w:bCs/>
        </w:rPr>
        <w:t>18</w:t>
      </w:r>
      <w:r w:rsidRPr="0030350E" w:rsidR="00981BFA">
        <w:rPr>
          <w:rFonts w:ascii="Book Antiqua" w:hAnsi="Book Antiqua"/>
          <w:bCs/>
        </w:rPr>
        <w:t>, 2021 under the name of either</w:t>
      </w:r>
      <w:r w:rsidRPr="0030350E" w:rsidR="00AC25BD">
        <w:rPr>
          <w:rFonts w:ascii="Book Antiqua" w:hAnsi="Book Antiqua"/>
          <w:bCs/>
        </w:rPr>
        <w:t xml:space="preserve"> Amore’s</w:t>
      </w:r>
      <w:r w:rsidRPr="0030350E" w:rsidR="00981BFA">
        <w:rPr>
          <w:rFonts w:ascii="Book Antiqua" w:hAnsi="Book Antiqua"/>
          <w:bCs/>
        </w:rPr>
        <w:t xml:space="preserve"> CEO or the CEO’s daughter. </w:t>
      </w:r>
      <w:r w:rsidRPr="0030350E" w:rsidR="00196DD7">
        <w:rPr>
          <w:rFonts w:ascii="Book Antiqua" w:hAnsi="Book Antiqua"/>
          <w:bCs/>
        </w:rPr>
        <w:t xml:space="preserve"> </w:t>
      </w:r>
      <w:r w:rsidRPr="0030350E" w:rsidR="00AC25BD">
        <w:rPr>
          <w:rFonts w:ascii="Book Antiqua" w:hAnsi="Book Antiqua"/>
          <w:bCs/>
        </w:rPr>
        <w:t>Amore’s</w:t>
      </w:r>
      <w:r w:rsidRPr="0030350E" w:rsidR="00981BFA">
        <w:rPr>
          <w:rFonts w:ascii="Book Antiqua" w:hAnsi="Book Antiqua"/>
          <w:bCs/>
        </w:rPr>
        <w:t xml:space="preserve"> CEO testified that the winery did require reservations by name but did not have a clear explanation for the reason there was no reservation in either her name or her daughter’s name, speculating that the reservation may have been under the name of one of her daughter’s friends who attended the event. </w:t>
      </w:r>
      <w:r w:rsidRPr="0030350E" w:rsidR="00196DD7">
        <w:rPr>
          <w:rFonts w:ascii="Book Antiqua" w:hAnsi="Book Antiqua"/>
          <w:bCs/>
        </w:rPr>
        <w:t xml:space="preserve"> </w:t>
      </w:r>
      <w:r w:rsidRPr="0030350E" w:rsidR="00B72D6D">
        <w:rPr>
          <w:rFonts w:ascii="Book Antiqua" w:hAnsi="Book Antiqua"/>
          <w:bCs/>
        </w:rPr>
        <w:t>The CEO’s daughter did not testify at the hearing</w:t>
      </w:r>
      <w:r w:rsidRPr="0030350E" w:rsidR="00A5308B">
        <w:rPr>
          <w:rFonts w:ascii="Book Antiqua" w:hAnsi="Book Antiqua"/>
          <w:bCs/>
        </w:rPr>
        <w:t>, and Amore did not present any documentation at the evidentiary hearing regarding the name on the reservation and a connection to the CEO or her daughter</w:t>
      </w:r>
      <w:r w:rsidRPr="0030350E" w:rsidR="00B72D6D">
        <w:rPr>
          <w:rFonts w:ascii="Book Antiqua" w:hAnsi="Book Antiqua"/>
          <w:bCs/>
        </w:rPr>
        <w:t xml:space="preserve">. </w:t>
      </w:r>
    </w:p>
    <w:p w:rsidRPr="0030350E" w:rsidR="00A5308B" w:rsidRDefault="00A5308B" w14:paraId="414CF51A" w14:textId="77777777">
      <w:pPr>
        <w:rPr>
          <w:rFonts w:ascii="Book Antiqua" w:hAnsi="Book Antiqua"/>
          <w:bCs/>
        </w:rPr>
      </w:pPr>
    </w:p>
    <w:p w:rsidRPr="0030350E" w:rsidR="00E31946" w:rsidRDefault="00E31946" w14:paraId="05A91D88" w14:textId="20F0A060">
      <w:pPr>
        <w:rPr>
          <w:rFonts w:ascii="Book Antiqua" w:hAnsi="Book Antiqua"/>
          <w:bCs/>
        </w:rPr>
      </w:pPr>
      <w:r w:rsidRPr="0030350E">
        <w:rPr>
          <w:rFonts w:ascii="Book Antiqua" w:hAnsi="Book Antiqua"/>
          <w:bCs/>
        </w:rPr>
        <w:lastRenderedPageBreak/>
        <w:t>The testimony of the</w:t>
      </w:r>
      <w:r w:rsidRPr="0030350E" w:rsidR="005A497D">
        <w:rPr>
          <w:rFonts w:ascii="Book Antiqua" w:hAnsi="Book Antiqua"/>
          <w:bCs/>
        </w:rPr>
        <w:t xml:space="preserve"> CPED witnesses was more persuasive and credible</w:t>
      </w:r>
      <w:r w:rsidRPr="0030350E" w:rsidR="00B72D6D">
        <w:rPr>
          <w:rFonts w:ascii="Book Antiqua" w:hAnsi="Book Antiqua"/>
          <w:bCs/>
        </w:rPr>
        <w:t xml:space="preserve"> than the testimony of </w:t>
      </w:r>
      <w:r w:rsidRPr="0030350E" w:rsidR="00602909">
        <w:rPr>
          <w:rFonts w:ascii="Book Antiqua" w:hAnsi="Book Antiqua"/>
          <w:bCs/>
        </w:rPr>
        <w:t>Amore’s</w:t>
      </w:r>
      <w:r w:rsidRPr="0030350E" w:rsidR="00B72D6D">
        <w:rPr>
          <w:rFonts w:ascii="Book Antiqua" w:hAnsi="Book Antiqua"/>
          <w:bCs/>
        </w:rPr>
        <w:t xml:space="preserve"> CEO regarding the events of December 18, 2021 relevant to whether Amore was conducting </w:t>
      </w:r>
      <w:r w:rsidRPr="0030350E" w:rsidR="00B33092">
        <w:rPr>
          <w:rFonts w:ascii="Book Antiqua" w:hAnsi="Book Antiqua"/>
          <w:bCs/>
        </w:rPr>
        <w:t xml:space="preserve">compensated </w:t>
      </w:r>
      <w:r w:rsidRPr="0030350E" w:rsidR="00B72D6D">
        <w:rPr>
          <w:rFonts w:ascii="Book Antiqua" w:hAnsi="Book Antiqua"/>
          <w:bCs/>
        </w:rPr>
        <w:t xml:space="preserve">charter-party carrier </w:t>
      </w:r>
      <w:r w:rsidRPr="0030350E" w:rsidR="00A16476">
        <w:rPr>
          <w:rFonts w:ascii="Book Antiqua" w:hAnsi="Book Antiqua"/>
          <w:bCs/>
        </w:rPr>
        <w:t>operations</w:t>
      </w:r>
      <w:r w:rsidRPr="0030350E" w:rsidR="00B72D6D">
        <w:rPr>
          <w:rFonts w:ascii="Book Antiqua" w:hAnsi="Book Antiqua"/>
          <w:bCs/>
        </w:rPr>
        <w:t xml:space="preserve"> on that day. </w:t>
      </w:r>
      <w:r w:rsidRPr="0030350E" w:rsidR="00196DD7">
        <w:rPr>
          <w:rFonts w:ascii="Book Antiqua" w:hAnsi="Book Antiqua"/>
          <w:bCs/>
        </w:rPr>
        <w:t xml:space="preserve"> </w:t>
      </w:r>
      <w:r w:rsidRPr="0030350E" w:rsidR="00B72D6D">
        <w:rPr>
          <w:rFonts w:ascii="Book Antiqua" w:hAnsi="Book Antiqua"/>
          <w:bCs/>
        </w:rPr>
        <w:t xml:space="preserve">The evidence established that Amore </w:t>
      </w:r>
      <w:r w:rsidRPr="0030350E" w:rsidR="00602909">
        <w:rPr>
          <w:rFonts w:ascii="Book Antiqua" w:hAnsi="Book Antiqua"/>
          <w:bCs/>
        </w:rPr>
        <w:t>violated Pub. Util. Code Section 5379 by engaging</w:t>
      </w:r>
      <w:r w:rsidRPr="0030350E" w:rsidR="00B72D6D">
        <w:rPr>
          <w:rFonts w:ascii="Book Antiqua" w:hAnsi="Book Antiqua"/>
          <w:bCs/>
        </w:rPr>
        <w:t xml:space="preserve"> in charter-party carrier</w:t>
      </w:r>
      <w:r w:rsidRPr="0030350E" w:rsidR="008640F3">
        <w:rPr>
          <w:rFonts w:ascii="Book Antiqua" w:hAnsi="Book Antiqua"/>
          <w:bCs/>
        </w:rPr>
        <w:t xml:space="preserve"> operations</w:t>
      </w:r>
      <w:r w:rsidRPr="0030350E" w:rsidR="00EF3AB6">
        <w:rPr>
          <w:rFonts w:ascii="Book Antiqua" w:hAnsi="Book Antiqua"/>
          <w:bCs/>
        </w:rPr>
        <w:t xml:space="preserve"> for compensation</w:t>
      </w:r>
      <w:r w:rsidRPr="0030350E" w:rsidR="00B72D6D">
        <w:rPr>
          <w:rFonts w:ascii="Book Antiqua" w:hAnsi="Book Antiqua"/>
          <w:bCs/>
        </w:rPr>
        <w:t xml:space="preserve"> on December 18, 2021 when its operating authority was suspended.</w:t>
      </w:r>
    </w:p>
    <w:p w:rsidRPr="0030350E" w:rsidR="00B72D6D" w:rsidRDefault="00B72D6D" w14:paraId="2EF79490" w14:textId="77777777">
      <w:pPr>
        <w:rPr>
          <w:rFonts w:ascii="Book Antiqua" w:hAnsi="Book Antiqua"/>
          <w:bCs/>
        </w:rPr>
      </w:pPr>
    </w:p>
    <w:p w:rsidRPr="0030350E" w:rsidR="001B36E0" w:rsidP="001B36E0" w:rsidRDefault="001B36E0" w14:paraId="1C51B836" w14:textId="23023EF7">
      <w:pPr>
        <w:numPr>
          <w:ilvl w:val="0"/>
          <w:numId w:val="4"/>
        </w:numPr>
        <w:rPr>
          <w:rFonts w:ascii="Book Antiqua" w:hAnsi="Book Antiqua"/>
          <w:bCs/>
        </w:rPr>
      </w:pPr>
      <w:r w:rsidRPr="0030350E">
        <w:rPr>
          <w:rFonts w:ascii="Book Antiqua" w:hAnsi="Book Antiqua"/>
          <w:b/>
          <w:u w:val="single"/>
        </w:rPr>
        <w:t>Operation of Vehicle without Adequate Liability Protection</w:t>
      </w:r>
    </w:p>
    <w:p w:rsidRPr="0030350E" w:rsidR="001B36E0" w:rsidP="001B36E0" w:rsidRDefault="001B36E0" w14:paraId="543F6072" w14:textId="77777777">
      <w:pPr>
        <w:ind w:left="720"/>
        <w:rPr>
          <w:rFonts w:ascii="Book Antiqua" w:hAnsi="Book Antiqua"/>
          <w:bCs/>
        </w:rPr>
      </w:pPr>
    </w:p>
    <w:p w:rsidRPr="0030350E" w:rsidR="00290D4D" w:rsidRDefault="00055CD3" w14:paraId="3A90A18D" w14:textId="4A453F91">
      <w:pPr>
        <w:rPr>
          <w:rFonts w:ascii="Book Antiqua" w:hAnsi="Book Antiqua"/>
          <w:bCs/>
        </w:rPr>
      </w:pPr>
      <w:r w:rsidRPr="0030350E">
        <w:rPr>
          <w:rFonts w:ascii="Book Antiqua" w:hAnsi="Book Antiqua"/>
          <w:bCs/>
        </w:rPr>
        <w:t>The Commission shall require a charter-party carrier to procure and continue in effect during the life of the operating permit or certificate adequate protection against liability imposed by law upon the charter-party carrier.</w:t>
      </w:r>
      <w:r w:rsidRPr="0030350E">
        <w:rPr>
          <w:rStyle w:val="FootnoteReference"/>
          <w:rFonts w:ascii="Book Antiqua" w:hAnsi="Book Antiqua"/>
          <w:bCs/>
        </w:rPr>
        <w:footnoteReference w:id="5"/>
      </w:r>
      <w:r w:rsidRPr="0030350E">
        <w:rPr>
          <w:rFonts w:ascii="Book Antiqua" w:hAnsi="Book Antiqua"/>
          <w:bCs/>
        </w:rPr>
        <w:t xml:space="preserve"> </w:t>
      </w:r>
      <w:r w:rsidRPr="0030350E" w:rsidR="00196DD7">
        <w:rPr>
          <w:rFonts w:ascii="Book Antiqua" w:hAnsi="Book Antiqua"/>
          <w:bCs/>
        </w:rPr>
        <w:t xml:space="preserve"> </w:t>
      </w:r>
      <w:r w:rsidRPr="0030350E">
        <w:rPr>
          <w:rFonts w:ascii="Book Antiqua" w:hAnsi="Book Antiqua"/>
          <w:bCs/>
        </w:rPr>
        <w:t xml:space="preserve">For any vehicle with a seating capacity of eight through 15 passengers, </w:t>
      </w:r>
      <w:r w:rsidRPr="0030350E" w:rsidR="00290D4D">
        <w:rPr>
          <w:rFonts w:ascii="Book Antiqua" w:hAnsi="Book Antiqua"/>
          <w:bCs/>
        </w:rPr>
        <w:t>a charter-party carrier shall have minimum liability protection coverage of $1,500,000</w:t>
      </w:r>
      <w:r w:rsidRPr="0030350E" w:rsidR="004C645D">
        <w:rPr>
          <w:rFonts w:ascii="Book Antiqua" w:hAnsi="Book Antiqua"/>
          <w:bCs/>
        </w:rPr>
        <w:t xml:space="preserve"> for bodily injury and property damage</w:t>
      </w:r>
      <w:r w:rsidRPr="0030350E" w:rsidR="00290D4D">
        <w:rPr>
          <w:rFonts w:ascii="Book Antiqua" w:hAnsi="Book Antiqua"/>
          <w:bCs/>
        </w:rPr>
        <w:t>.</w:t>
      </w:r>
      <w:r w:rsidRPr="0030350E" w:rsidR="00290D4D">
        <w:rPr>
          <w:rStyle w:val="FootnoteReference"/>
          <w:rFonts w:ascii="Book Antiqua" w:hAnsi="Book Antiqua"/>
          <w:bCs/>
        </w:rPr>
        <w:footnoteReference w:id="6"/>
      </w:r>
    </w:p>
    <w:p w:rsidRPr="0030350E" w:rsidR="00290D4D" w:rsidRDefault="00290D4D" w14:paraId="615A2366" w14:textId="77777777">
      <w:pPr>
        <w:rPr>
          <w:rFonts w:ascii="Book Antiqua" w:hAnsi="Book Antiqua"/>
          <w:bCs/>
        </w:rPr>
      </w:pPr>
    </w:p>
    <w:p w:rsidRPr="0030350E" w:rsidR="004C645D" w:rsidP="004C645D" w:rsidRDefault="00290D4D" w14:paraId="5F942303" w14:textId="6A2DEB96">
      <w:pPr>
        <w:rPr>
          <w:rFonts w:ascii="Book Antiqua" w:hAnsi="Book Antiqua"/>
        </w:rPr>
      </w:pPr>
      <w:r w:rsidRPr="0030350E">
        <w:rPr>
          <w:rFonts w:ascii="Book Antiqua" w:hAnsi="Book Antiqua"/>
          <w:bCs/>
        </w:rPr>
        <w:t>Amore had cancelled its public liability insurance policy in March 2020</w:t>
      </w:r>
      <w:r w:rsidRPr="0030350E" w:rsidR="00FF64E8">
        <w:rPr>
          <w:rFonts w:ascii="Book Antiqua" w:hAnsi="Book Antiqua"/>
          <w:bCs/>
        </w:rPr>
        <w:t xml:space="preserve"> and did not have liability protection in effect on December 18, 2021. </w:t>
      </w:r>
      <w:r w:rsidRPr="0030350E" w:rsidR="00196DD7">
        <w:rPr>
          <w:rFonts w:ascii="Book Antiqua" w:hAnsi="Book Antiqua"/>
          <w:bCs/>
        </w:rPr>
        <w:t xml:space="preserve"> </w:t>
      </w:r>
      <w:r w:rsidRPr="0030350E" w:rsidR="00602909">
        <w:rPr>
          <w:rFonts w:ascii="Book Antiqua" w:hAnsi="Book Antiqua"/>
          <w:bCs/>
        </w:rPr>
        <w:t>Amore’s</w:t>
      </w:r>
      <w:r w:rsidRPr="0030350E" w:rsidR="00FF64E8">
        <w:rPr>
          <w:rFonts w:ascii="Book Antiqua" w:hAnsi="Book Antiqua"/>
          <w:bCs/>
        </w:rPr>
        <w:t xml:space="preserve"> CEO had a personal liability insurance policy </w:t>
      </w:r>
      <w:r w:rsidRPr="0030350E" w:rsidR="004C645D">
        <w:rPr>
          <w:rFonts w:ascii="Book Antiqua" w:hAnsi="Book Antiqua"/>
          <w:bCs/>
        </w:rPr>
        <w:t xml:space="preserve">covering the limousine </w:t>
      </w:r>
      <w:r w:rsidRPr="0030350E" w:rsidR="00FF64E8">
        <w:rPr>
          <w:rFonts w:ascii="Book Antiqua" w:hAnsi="Book Antiqua"/>
          <w:bCs/>
        </w:rPr>
        <w:t>in effect on December 18, 2021</w:t>
      </w:r>
      <w:r w:rsidRPr="0030350E" w:rsidR="004C645D">
        <w:rPr>
          <w:rFonts w:ascii="Book Antiqua" w:hAnsi="Book Antiqua"/>
          <w:bCs/>
        </w:rPr>
        <w:t xml:space="preserve">, but that policy’s </w:t>
      </w:r>
      <w:r w:rsidRPr="0030350E" w:rsidR="004C645D">
        <w:rPr>
          <w:rFonts w:ascii="Book Antiqua" w:hAnsi="Book Antiqua"/>
        </w:rPr>
        <w:t xml:space="preserve">bodily injury liability limits of $15,000 per person and $30,000 per accident and property damage liability limits of $5,000 per accident did not meet the minimum limits of $1,500,000 required under </w:t>
      </w:r>
      <w:r w:rsidRPr="0030350E" w:rsidR="00196DD7">
        <w:rPr>
          <w:rFonts w:ascii="Book Antiqua" w:hAnsi="Book Antiqua"/>
        </w:rPr>
        <w:t>General Order (</w:t>
      </w:r>
      <w:r w:rsidRPr="0030350E" w:rsidR="004C645D">
        <w:rPr>
          <w:rFonts w:ascii="Book Antiqua" w:hAnsi="Book Antiqua"/>
        </w:rPr>
        <w:t>GO</w:t>
      </w:r>
      <w:r w:rsidRPr="0030350E" w:rsidR="00196DD7">
        <w:rPr>
          <w:rFonts w:ascii="Book Antiqua" w:hAnsi="Book Antiqua"/>
        </w:rPr>
        <w:t>)</w:t>
      </w:r>
      <w:r w:rsidRPr="0030350E" w:rsidR="004C645D">
        <w:rPr>
          <w:rFonts w:ascii="Book Antiqua" w:hAnsi="Book Antiqua"/>
        </w:rPr>
        <w:t xml:space="preserve"> 155-G(1). </w:t>
      </w:r>
      <w:r w:rsidRPr="0030350E" w:rsidR="00196DD7">
        <w:rPr>
          <w:rFonts w:ascii="Book Antiqua" w:hAnsi="Book Antiqua"/>
        </w:rPr>
        <w:t xml:space="preserve"> </w:t>
      </w:r>
      <w:r w:rsidRPr="0030350E" w:rsidR="004C645D">
        <w:rPr>
          <w:rFonts w:ascii="Book Antiqua" w:hAnsi="Book Antiqua"/>
        </w:rPr>
        <w:t>Therefore, Amore violated Pub. Util. Code Section 5391 and G</w:t>
      </w:r>
      <w:r w:rsidRPr="0030350E" w:rsidR="00196DD7">
        <w:rPr>
          <w:rFonts w:ascii="Book Antiqua" w:hAnsi="Book Antiqua"/>
        </w:rPr>
        <w:t>O</w:t>
      </w:r>
      <w:r w:rsidRPr="0030350E" w:rsidR="004C645D">
        <w:rPr>
          <w:rFonts w:ascii="Book Antiqua" w:hAnsi="Book Antiqua"/>
        </w:rPr>
        <w:t xml:space="preserve"> 155-G(1) by not maintaining adequate liability protection</w:t>
      </w:r>
      <w:r w:rsidRPr="0030350E" w:rsidR="00F903A2">
        <w:rPr>
          <w:rFonts w:ascii="Book Antiqua" w:hAnsi="Book Antiqua"/>
        </w:rPr>
        <w:t xml:space="preserve"> while performing charter-party carrier operations on December 18, 2021</w:t>
      </w:r>
      <w:r w:rsidRPr="0030350E" w:rsidR="004C645D">
        <w:rPr>
          <w:rFonts w:ascii="Book Antiqua" w:hAnsi="Book Antiqua"/>
        </w:rPr>
        <w:t>.</w:t>
      </w:r>
    </w:p>
    <w:p w:rsidRPr="0030350E" w:rsidR="00F903A2" w:rsidP="004C645D" w:rsidRDefault="00F903A2" w14:paraId="56B9B168" w14:textId="2CD7CF0E">
      <w:pPr>
        <w:rPr>
          <w:rFonts w:ascii="Book Antiqua" w:hAnsi="Book Antiqua"/>
        </w:rPr>
      </w:pPr>
    </w:p>
    <w:p w:rsidRPr="0030350E" w:rsidR="00F903A2" w:rsidP="00F903A2" w:rsidRDefault="00F903A2" w14:paraId="6E2F119E" w14:textId="73CC77D8">
      <w:pPr>
        <w:numPr>
          <w:ilvl w:val="0"/>
          <w:numId w:val="4"/>
        </w:numPr>
        <w:rPr>
          <w:rFonts w:ascii="Book Antiqua" w:hAnsi="Book Antiqua"/>
        </w:rPr>
      </w:pPr>
      <w:r w:rsidRPr="0030350E">
        <w:rPr>
          <w:rFonts w:ascii="Book Antiqua" w:hAnsi="Book Antiqua"/>
          <w:b/>
          <w:bCs/>
          <w:u w:val="single"/>
        </w:rPr>
        <w:t xml:space="preserve">Operation of </w:t>
      </w:r>
      <w:r w:rsidR="006B2D08">
        <w:rPr>
          <w:rFonts w:ascii="Book Antiqua" w:hAnsi="Book Antiqua"/>
          <w:b/>
          <w:bCs/>
          <w:u w:val="single"/>
        </w:rPr>
        <w:t xml:space="preserve">a </w:t>
      </w:r>
      <w:r w:rsidRPr="0030350E">
        <w:rPr>
          <w:rFonts w:ascii="Book Antiqua" w:hAnsi="Book Antiqua"/>
          <w:b/>
          <w:bCs/>
          <w:u w:val="single"/>
        </w:rPr>
        <w:t>Bus without CHP Inspection</w:t>
      </w:r>
    </w:p>
    <w:p w:rsidRPr="0030350E" w:rsidR="00F903A2" w:rsidP="00F903A2" w:rsidRDefault="00F903A2" w14:paraId="6C698AD1" w14:textId="77777777">
      <w:pPr>
        <w:ind w:left="720"/>
        <w:rPr>
          <w:rFonts w:ascii="Book Antiqua" w:hAnsi="Book Antiqua"/>
        </w:rPr>
      </w:pPr>
    </w:p>
    <w:p w:rsidRPr="0030350E" w:rsidR="00F903A2" w:rsidRDefault="00F903A2" w14:paraId="0EB500B3" w14:textId="75D6244C">
      <w:pPr>
        <w:rPr>
          <w:rFonts w:ascii="Book Antiqua" w:hAnsi="Book Antiqua"/>
          <w:bCs/>
        </w:rPr>
      </w:pPr>
      <w:r w:rsidRPr="0030350E">
        <w:rPr>
          <w:rFonts w:ascii="Book Antiqua" w:hAnsi="Book Antiqua"/>
          <w:bCs/>
        </w:rPr>
        <w:t>All vehicles operated by charter-party carriers</w:t>
      </w:r>
      <w:r w:rsidRPr="0030350E" w:rsidR="002A5FA1">
        <w:rPr>
          <w:rFonts w:ascii="Book Antiqua" w:hAnsi="Book Antiqua"/>
          <w:bCs/>
        </w:rPr>
        <w:t xml:space="preserve"> shall comply with the requirements of the CHP and the Motor Carrier Safety sections of Title 13 of the California Code of Regulations.</w:t>
      </w:r>
      <w:r w:rsidRPr="0030350E" w:rsidR="002A5FA1">
        <w:rPr>
          <w:rStyle w:val="FootnoteReference"/>
          <w:rFonts w:ascii="Book Antiqua" w:hAnsi="Book Antiqua"/>
          <w:bCs/>
        </w:rPr>
        <w:footnoteReference w:id="7"/>
      </w:r>
      <w:r w:rsidRPr="0030350E" w:rsidR="002754B4">
        <w:rPr>
          <w:rFonts w:ascii="Book Antiqua" w:hAnsi="Book Antiqua"/>
          <w:bCs/>
        </w:rPr>
        <w:t xml:space="preserve"> It is unlawful to operate a bus without a</w:t>
      </w:r>
      <w:r w:rsidRPr="0030350E" w:rsidR="00A4220B">
        <w:rPr>
          <w:rFonts w:ascii="Book Antiqua" w:hAnsi="Book Antiqua"/>
          <w:bCs/>
        </w:rPr>
        <w:t xml:space="preserve"> CHP</w:t>
      </w:r>
      <w:r w:rsidRPr="0030350E" w:rsidR="002754B4">
        <w:rPr>
          <w:rFonts w:ascii="Book Antiqua" w:hAnsi="Book Antiqua"/>
          <w:bCs/>
        </w:rPr>
        <w:t xml:space="preserve"> inspection of the maintenance facility of the entity operating the bus</w:t>
      </w:r>
      <w:r w:rsidRPr="0030350E" w:rsidR="00454301">
        <w:rPr>
          <w:rFonts w:ascii="Book Antiqua" w:hAnsi="Book Antiqua"/>
          <w:bCs/>
        </w:rPr>
        <w:t xml:space="preserve"> at least once every 13 months</w:t>
      </w:r>
      <w:r w:rsidRPr="0030350E" w:rsidR="002754B4">
        <w:rPr>
          <w:rFonts w:ascii="Book Antiqua" w:hAnsi="Book Antiqua"/>
          <w:bCs/>
        </w:rPr>
        <w:t>.</w:t>
      </w:r>
      <w:r w:rsidRPr="0030350E" w:rsidR="002754B4">
        <w:rPr>
          <w:rStyle w:val="FootnoteReference"/>
          <w:rFonts w:ascii="Book Antiqua" w:hAnsi="Book Antiqua"/>
          <w:bCs/>
        </w:rPr>
        <w:footnoteReference w:id="8"/>
      </w:r>
      <w:r w:rsidRPr="0030350E" w:rsidR="00B33092">
        <w:rPr>
          <w:rFonts w:ascii="Book Antiqua" w:hAnsi="Book Antiqua"/>
          <w:bCs/>
        </w:rPr>
        <w:t xml:space="preserve"> </w:t>
      </w:r>
      <w:r w:rsidRPr="0030350E" w:rsidR="00196DD7">
        <w:rPr>
          <w:rFonts w:ascii="Book Antiqua" w:hAnsi="Book Antiqua"/>
          <w:bCs/>
        </w:rPr>
        <w:t xml:space="preserve"> </w:t>
      </w:r>
      <w:r w:rsidRPr="0030350E" w:rsidR="00B33092">
        <w:rPr>
          <w:rFonts w:ascii="Book Antiqua" w:hAnsi="Book Antiqua"/>
          <w:bCs/>
        </w:rPr>
        <w:t>A bus is a vehicle designed, used, or maintained for carrying more than 10 persons, including the driver</w:t>
      </w:r>
      <w:r w:rsidRPr="0030350E" w:rsidR="00EF3AB6">
        <w:rPr>
          <w:rFonts w:ascii="Book Antiqua" w:hAnsi="Book Antiqua"/>
          <w:bCs/>
        </w:rPr>
        <w:t>, which is used to transport persons for compensation.</w:t>
      </w:r>
      <w:r w:rsidRPr="0030350E" w:rsidR="00EF3AB6">
        <w:rPr>
          <w:rStyle w:val="FootnoteReference"/>
          <w:rFonts w:ascii="Book Antiqua" w:hAnsi="Book Antiqua"/>
          <w:bCs/>
        </w:rPr>
        <w:footnoteReference w:id="9"/>
      </w:r>
    </w:p>
    <w:p w:rsidRPr="0030350E" w:rsidR="00EF3AB6" w:rsidRDefault="00EF3AB6" w14:paraId="7DBC5C58" w14:textId="77777777">
      <w:pPr>
        <w:rPr>
          <w:rFonts w:ascii="Book Antiqua" w:hAnsi="Book Antiqua"/>
          <w:bCs/>
        </w:rPr>
      </w:pPr>
    </w:p>
    <w:p w:rsidRPr="0030350E" w:rsidR="009964E5" w:rsidRDefault="00454301" w14:paraId="074E5040" w14:textId="5178521C">
      <w:pPr>
        <w:rPr>
          <w:rFonts w:ascii="Book Antiqua" w:hAnsi="Book Antiqua"/>
          <w:bCs/>
        </w:rPr>
      </w:pPr>
      <w:r w:rsidRPr="0030350E">
        <w:rPr>
          <w:rFonts w:ascii="Book Antiqua" w:hAnsi="Book Antiqua"/>
          <w:bCs/>
        </w:rPr>
        <w:lastRenderedPageBreak/>
        <w:t xml:space="preserve">The CPED witnesses testified credibly that the </w:t>
      </w:r>
      <w:r w:rsidRPr="0030350E" w:rsidR="009964E5">
        <w:rPr>
          <w:rFonts w:ascii="Book Antiqua" w:hAnsi="Book Antiqua"/>
          <w:bCs/>
        </w:rPr>
        <w:t>limousine in use on December 18, 2021 met the definition of a bus and that the required CHP inspection had not been performed.</w:t>
      </w:r>
      <w:r w:rsidRPr="0030350E" w:rsidR="00196DD7">
        <w:rPr>
          <w:rFonts w:ascii="Book Antiqua" w:hAnsi="Book Antiqua"/>
          <w:bCs/>
        </w:rPr>
        <w:t xml:space="preserve"> </w:t>
      </w:r>
      <w:r w:rsidRPr="0030350E" w:rsidR="009964E5">
        <w:rPr>
          <w:rFonts w:ascii="Book Antiqua" w:hAnsi="Book Antiqua"/>
          <w:bCs/>
        </w:rPr>
        <w:t xml:space="preserve"> </w:t>
      </w:r>
      <w:r w:rsidRPr="0030350E" w:rsidR="00841670">
        <w:rPr>
          <w:rFonts w:ascii="Book Antiqua" w:hAnsi="Book Antiqua"/>
          <w:bCs/>
        </w:rPr>
        <w:t xml:space="preserve">The testimony of Amore’s CEO reflected that no CHP inspection had been performed from the suspension of Amore’s operating authority in March 2020 through December 18, 2021. </w:t>
      </w:r>
      <w:r w:rsidRPr="0030350E" w:rsidR="00196DD7">
        <w:rPr>
          <w:rFonts w:ascii="Book Antiqua" w:hAnsi="Book Antiqua"/>
          <w:bCs/>
        </w:rPr>
        <w:t xml:space="preserve"> </w:t>
      </w:r>
      <w:r w:rsidRPr="0030350E" w:rsidR="00841670">
        <w:rPr>
          <w:rFonts w:ascii="Book Antiqua" w:hAnsi="Book Antiqua"/>
          <w:bCs/>
        </w:rPr>
        <w:t>The</w:t>
      </w:r>
      <w:r w:rsidRPr="0030350E" w:rsidR="00EF3AB6">
        <w:rPr>
          <w:rFonts w:ascii="Book Antiqua" w:hAnsi="Book Antiqua"/>
          <w:bCs/>
        </w:rPr>
        <w:t xml:space="preserve"> CEO testified that the limousine in use on December 18, 2021 had a seating capacity of 10</w:t>
      </w:r>
      <w:r w:rsidRPr="0030350E" w:rsidR="00234552">
        <w:rPr>
          <w:rFonts w:ascii="Book Antiqua" w:hAnsi="Book Antiqua"/>
          <w:bCs/>
        </w:rPr>
        <w:t>, was a modified limousine</w:t>
      </w:r>
      <w:r w:rsidRPr="0030350E" w:rsidR="008B1BE6">
        <w:rPr>
          <w:rFonts w:ascii="Book Antiqua" w:hAnsi="Book Antiqua"/>
          <w:bCs/>
        </w:rPr>
        <w:t>,</w:t>
      </w:r>
      <w:r w:rsidRPr="0030350E" w:rsidR="00234552">
        <w:rPr>
          <w:rStyle w:val="FootnoteReference"/>
          <w:rFonts w:ascii="Book Antiqua" w:hAnsi="Book Antiqua"/>
          <w:bCs/>
        </w:rPr>
        <w:footnoteReference w:id="10"/>
      </w:r>
      <w:r w:rsidRPr="0030350E" w:rsidR="00EF3AB6">
        <w:rPr>
          <w:rFonts w:ascii="Book Antiqua" w:hAnsi="Book Antiqua"/>
          <w:bCs/>
        </w:rPr>
        <w:t xml:space="preserve"> and did not fall within the definition of a bus. </w:t>
      </w:r>
      <w:r w:rsidRPr="0030350E" w:rsidR="00196DD7">
        <w:rPr>
          <w:rFonts w:ascii="Book Antiqua" w:hAnsi="Book Antiqua"/>
          <w:bCs/>
        </w:rPr>
        <w:t xml:space="preserve"> </w:t>
      </w:r>
      <w:r w:rsidRPr="0030350E" w:rsidR="00EF3AB6">
        <w:rPr>
          <w:rFonts w:ascii="Book Antiqua" w:hAnsi="Book Antiqua"/>
          <w:bCs/>
        </w:rPr>
        <w:t xml:space="preserve">However, </w:t>
      </w:r>
      <w:r w:rsidRPr="0030350E" w:rsidR="001C7677">
        <w:rPr>
          <w:rFonts w:ascii="Book Antiqua" w:hAnsi="Book Antiqua"/>
          <w:bCs/>
        </w:rPr>
        <w:t xml:space="preserve">Amore’s June 29, 2019 Passenger Carrier Equipment Statement </w:t>
      </w:r>
      <w:r w:rsidRPr="0030350E" w:rsidR="00FF6D7E">
        <w:rPr>
          <w:rFonts w:ascii="Book Antiqua" w:hAnsi="Book Antiqua"/>
          <w:bCs/>
        </w:rPr>
        <w:t xml:space="preserve">(Equipment Statement) </w:t>
      </w:r>
      <w:r w:rsidRPr="0030350E" w:rsidR="001C7677">
        <w:rPr>
          <w:rFonts w:ascii="Book Antiqua" w:hAnsi="Book Antiqua"/>
          <w:bCs/>
        </w:rPr>
        <w:t>signed by the CEO states that the limousine seats 11.</w:t>
      </w:r>
      <w:r w:rsidRPr="0030350E" w:rsidR="00FF6D7E">
        <w:rPr>
          <w:rFonts w:ascii="Book Antiqua" w:hAnsi="Book Antiqua"/>
          <w:bCs/>
        </w:rPr>
        <w:t xml:space="preserve"> </w:t>
      </w:r>
      <w:r w:rsidRPr="0030350E" w:rsidR="00602909">
        <w:rPr>
          <w:rFonts w:ascii="Book Antiqua" w:hAnsi="Book Antiqua"/>
          <w:bCs/>
        </w:rPr>
        <w:t>Amore’s</w:t>
      </w:r>
      <w:r w:rsidRPr="0030350E" w:rsidR="00FF6D7E">
        <w:rPr>
          <w:rFonts w:ascii="Book Antiqua" w:hAnsi="Book Antiqua"/>
          <w:bCs/>
        </w:rPr>
        <w:t xml:space="preserve"> CEO certified that the information in the Equipment Statement was accurate.</w:t>
      </w:r>
      <w:r w:rsidRPr="0030350E" w:rsidR="001C7677">
        <w:rPr>
          <w:rStyle w:val="FootnoteReference"/>
          <w:rFonts w:ascii="Book Antiqua" w:hAnsi="Book Antiqua"/>
          <w:bCs/>
        </w:rPr>
        <w:footnoteReference w:id="11"/>
      </w:r>
      <w:r w:rsidRPr="0030350E" w:rsidR="001C7677">
        <w:rPr>
          <w:rFonts w:ascii="Book Antiqua" w:hAnsi="Book Antiqua"/>
          <w:bCs/>
        </w:rPr>
        <w:t xml:space="preserve"> </w:t>
      </w:r>
      <w:r w:rsidRPr="0030350E">
        <w:rPr>
          <w:rFonts w:ascii="Book Antiqua" w:hAnsi="Book Antiqua"/>
          <w:bCs/>
        </w:rPr>
        <w:t xml:space="preserve">Based upon </w:t>
      </w:r>
      <w:r w:rsidRPr="0030350E" w:rsidR="009964E5">
        <w:rPr>
          <w:rFonts w:ascii="Book Antiqua" w:hAnsi="Book Antiqua"/>
          <w:bCs/>
        </w:rPr>
        <w:t xml:space="preserve">the testimony of the CPED witnesses and </w:t>
      </w:r>
      <w:r w:rsidRPr="0030350E">
        <w:rPr>
          <w:rFonts w:ascii="Book Antiqua" w:hAnsi="Book Antiqua"/>
          <w:bCs/>
        </w:rPr>
        <w:t>the CEO’s certification, the limousine meets the definition of a bus</w:t>
      </w:r>
      <w:r w:rsidRPr="0030350E" w:rsidR="00602909">
        <w:rPr>
          <w:rFonts w:ascii="Book Antiqua" w:hAnsi="Book Antiqua"/>
          <w:bCs/>
        </w:rPr>
        <w:t>,</w:t>
      </w:r>
      <w:r w:rsidRPr="0030350E" w:rsidR="009964E5">
        <w:rPr>
          <w:rFonts w:ascii="Book Antiqua" w:hAnsi="Book Antiqua"/>
          <w:bCs/>
        </w:rPr>
        <w:t xml:space="preserve"> and the required CHP inspection was not performed. </w:t>
      </w:r>
      <w:r w:rsidRPr="0030350E" w:rsidR="00196DD7">
        <w:rPr>
          <w:rFonts w:ascii="Book Antiqua" w:hAnsi="Book Antiqua"/>
          <w:bCs/>
        </w:rPr>
        <w:t xml:space="preserve"> </w:t>
      </w:r>
      <w:r w:rsidRPr="0030350E" w:rsidR="009964E5">
        <w:rPr>
          <w:rFonts w:ascii="Book Antiqua" w:hAnsi="Book Antiqua"/>
          <w:bCs/>
        </w:rPr>
        <w:t xml:space="preserve">Therefore, the evidence established Amore’s violation of operating a bus without </w:t>
      </w:r>
      <w:r w:rsidRPr="0030350E" w:rsidR="00841670">
        <w:rPr>
          <w:rFonts w:ascii="Book Antiqua" w:hAnsi="Book Antiqua"/>
          <w:bCs/>
        </w:rPr>
        <w:t>the required</w:t>
      </w:r>
      <w:r w:rsidRPr="0030350E" w:rsidR="009964E5">
        <w:rPr>
          <w:rFonts w:ascii="Book Antiqua" w:hAnsi="Book Antiqua"/>
          <w:bCs/>
        </w:rPr>
        <w:t xml:space="preserve"> CHP inspection.</w:t>
      </w:r>
    </w:p>
    <w:p w:rsidR="00223A16" w:rsidRDefault="00223A16" w14:paraId="55FC3576" w14:textId="77777777">
      <w:pPr>
        <w:rPr>
          <w:bCs/>
        </w:rPr>
      </w:pPr>
    </w:p>
    <w:p w:rsidRPr="0030350E" w:rsidR="00F20489" w:rsidP="00F20489" w:rsidRDefault="00F20489" w14:paraId="499ED471" w14:textId="77777777">
      <w:pPr>
        <w:numPr>
          <w:ilvl w:val="0"/>
          <w:numId w:val="4"/>
        </w:numPr>
        <w:rPr>
          <w:rFonts w:ascii="Book Antiqua" w:hAnsi="Book Antiqua"/>
          <w:bCs/>
        </w:rPr>
      </w:pPr>
      <w:r w:rsidRPr="0030350E">
        <w:rPr>
          <w:rFonts w:ascii="Book Antiqua" w:hAnsi="Book Antiqua"/>
          <w:b/>
          <w:u w:val="single"/>
        </w:rPr>
        <w:t>Driver Not Properly Licensed</w:t>
      </w:r>
    </w:p>
    <w:p w:rsidRPr="0030350E" w:rsidR="00055CD3" w:rsidP="00F20489" w:rsidRDefault="009964E5" w14:paraId="5D897B59" w14:textId="5CE7F495">
      <w:pPr>
        <w:ind w:left="720"/>
        <w:rPr>
          <w:rFonts w:ascii="Book Antiqua" w:hAnsi="Book Antiqua"/>
          <w:bCs/>
        </w:rPr>
      </w:pPr>
      <w:r w:rsidRPr="0030350E">
        <w:rPr>
          <w:rFonts w:ascii="Book Antiqua" w:hAnsi="Book Antiqua"/>
          <w:bCs/>
        </w:rPr>
        <w:t xml:space="preserve"> </w:t>
      </w:r>
      <w:r w:rsidRPr="0030350E" w:rsidR="00290D4D">
        <w:rPr>
          <w:rFonts w:ascii="Book Antiqua" w:hAnsi="Book Antiqua"/>
          <w:bCs/>
        </w:rPr>
        <w:t xml:space="preserve"> </w:t>
      </w:r>
    </w:p>
    <w:p w:rsidRPr="0030350E" w:rsidR="00A81EE8" w:rsidRDefault="00C50D3C" w14:paraId="27928A97" w14:textId="55433E24">
      <w:pPr>
        <w:rPr>
          <w:rFonts w:ascii="Book Antiqua" w:hAnsi="Book Antiqua"/>
          <w:bCs/>
        </w:rPr>
      </w:pPr>
      <w:r w:rsidRPr="0030350E">
        <w:rPr>
          <w:rFonts w:ascii="Book Antiqua" w:hAnsi="Book Antiqua"/>
          <w:bCs/>
        </w:rPr>
        <w:t>Every driver of a charter-party vehicle shall be licensed as required under the California</w:t>
      </w:r>
      <w:r w:rsidRPr="0030350E" w:rsidR="007A5CBD">
        <w:rPr>
          <w:rFonts w:ascii="Book Antiqua" w:hAnsi="Book Antiqua"/>
          <w:bCs/>
        </w:rPr>
        <w:t> </w:t>
      </w:r>
      <w:r w:rsidRPr="0030350E">
        <w:rPr>
          <w:rFonts w:ascii="Book Antiqua" w:hAnsi="Book Antiqua"/>
          <w:bCs/>
        </w:rPr>
        <w:t>Vehicle Code.</w:t>
      </w:r>
      <w:r w:rsidRPr="0030350E">
        <w:rPr>
          <w:rStyle w:val="FootnoteReference"/>
          <w:rFonts w:ascii="Book Antiqua" w:hAnsi="Book Antiqua"/>
          <w:bCs/>
        </w:rPr>
        <w:footnoteReference w:id="12"/>
      </w:r>
      <w:r w:rsidRPr="0030350E">
        <w:rPr>
          <w:rFonts w:ascii="Book Antiqua" w:hAnsi="Book Antiqua"/>
          <w:bCs/>
        </w:rPr>
        <w:t xml:space="preserve"> </w:t>
      </w:r>
      <w:r w:rsidRPr="0030350E" w:rsidR="00196DD7">
        <w:rPr>
          <w:rFonts w:ascii="Book Antiqua" w:hAnsi="Book Antiqua"/>
          <w:bCs/>
        </w:rPr>
        <w:t xml:space="preserve"> </w:t>
      </w:r>
      <w:r w:rsidRPr="0030350E">
        <w:rPr>
          <w:rFonts w:ascii="Book Antiqua" w:hAnsi="Book Antiqua"/>
          <w:bCs/>
        </w:rPr>
        <w:t>A person shall not operate a commercial motor vehicle unless that person has a valid commercial driver’s license of the appropriate class.</w:t>
      </w:r>
      <w:r w:rsidRPr="0030350E">
        <w:rPr>
          <w:rStyle w:val="FootnoteReference"/>
          <w:rFonts w:ascii="Book Antiqua" w:hAnsi="Book Antiqua"/>
          <w:bCs/>
        </w:rPr>
        <w:footnoteReference w:id="13"/>
      </w:r>
      <w:r w:rsidRPr="0030350E">
        <w:rPr>
          <w:rFonts w:ascii="Book Antiqua" w:hAnsi="Book Antiqua"/>
          <w:bCs/>
        </w:rPr>
        <w:t xml:space="preserve"> </w:t>
      </w:r>
      <w:r w:rsidRPr="0030350E" w:rsidR="00196DD7">
        <w:rPr>
          <w:rFonts w:ascii="Book Antiqua" w:hAnsi="Book Antiqua"/>
          <w:bCs/>
        </w:rPr>
        <w:t xml:space="preserve"> </w:t>
      </w:r>
      <w:r w:rsidRPr="0030350E">
        <w:rPr>
          <w:rFonts w:ascii="Book Antiqua" w:hAnsi="Book Antiqua"/>
          <w:bCs/>
        </w:rPr>
        <w:t xml:space="preserve">In addition, a driver is required </w:t>
      </w:r>
      <w:r w:rsidRPr="0030350E" w:rsidR="00BF1FD0">
        <w:rPr>
          <w:rFonts w:ascii="Book Antiqua" w:hAnsi="Book Antiqua"/>
          <w:bCs/>
        </w:rPr>
        <w:t xml:space="preserve">to obtain an endorsement issued by the </w:t>
      </w:r>
      <w:r w:rsidRPr="0030350E" w:rsidR="00740E3B">
        <w:rPr>
          <w:rFonts w:ascii="Book Antiqua" w:hAnsi="Book Antiqua"/>
          <w:bCs/>
        </w:rPr>
        <w:t>D</w:t>
      </w:r>
      <w:r w:rsidRPr="0030350E" w:rsidR="00BF1FD0">
        <w:rPr>
          <w:rFonts w:ascii="Book Antiqua" w:hAnsi="Book Antiqua"/>
          <w:bCs/>
        </w:rPr>
        <w:t xml:space="preserve">epartment </w:t>
      </w:r>
      <w:r w:rsidRPr="0030350E" w:rsidR="00740E3B">
        <w:rPr>
          <w:rFonts w:ascii="Book Antiqua" w:hAnsi="Book Antiqua"/>
          <w:bCs/>
        </w:rPr>
        <w:t xml:space="preserve">of Motor Vehicles </w:t>
      </w:r>
      <w:r w:rsidRPr="0030350E" w:rsidR="00BF1FD0">
        <w:rPr>
          <w:rFonts w:ascii="Book Antiqua" w:hAnsi="Book Antiqua"/>
          <w:bCs/>
        </w:rPr>
        <w:t>to operate any commercial motor vehicle that is a passenger transportation vehicle designed, used, or maintained to carry more than 10 persons, including the driver.</w:t>
      </w:r>
      <w:r w:rsidRPr="0030350E" w:rsidR="00BF1FD0">
        <w:rPr>
          <w:rStyle w:val="FootnoteReference"/>
          <w:rFonts w:ascii="Book Antiqua" w:hAnsi="Book Antiqua"/>
          <w:bCs/>
        </w:rPr>
        <w:footnoteReference w:id="14"/>
      </w:r>
      <w:r w:rsidRPr="0030350E">
        <w:rPr>
          <w:rFonts w:ascii="Book Antiqua" w:hAnsi="Book Antiqua"/>
          <w:bCs/>
        </w:rPr>
        <w:t xml:space="preserve"> </w:t>
      </w:r>
      <w:r w:rsidRPr="0030350E" w:rsidR="00196DD7">
        <w:rPr>
          <w:rFonts w:ascii="Book Antiqua" w:hAnsi="Book Antiqua"/>
          <w:bCs/>
        </w:rPr>
        <w:t xml:space="preserve"> </w:t>
      </w:r>
      <w:r w:rsidRPr="0030350E" w:rsidR="00BF1FD0">
        <w:rPr>
          <w:rFonts w:ascii="Book Antiqua" w:hAnsi="Book Antiqua"/>
          <w:bCs/>
        </w:rPr>
        <w:t xml:space="preserve">Amore’s CEO acknowledged at the evidentiary hearing that she had a non-commercial driver’s license and no endorsement on December 18, 2021. </w:t>
      </w:r>
      <w:r w:rsidRPr="0030350E" w:rsidR="00196DD7">
        <w:rPr>
          <w:rFonts w:ascii="Book Antiqua" w:hAnsi="Book Antiqua"/>
          <w:bCs/>
        </w:rPr>
        <w:t xml:space="preserve"> </w:t>
      </w:r>
      <w:r w:rsidRPr="0030350E" w:rsidR="00BF1FD0">
        <w:rPr>
          <w:rFonts w:ascii="Book Antiqua" w:hAnsi="Book Antiqua"/>
          <w:bCs/>
        </w:rPr>
        <w:t>As set forth above, the limousine driven by Amore’s CEO had a seating capacity of 11</w:t>
      </w:r>
      <w:r w:rsidRPr="0030350E" w:rsidR="007A5CBD">
        <w:rPr>
          <w:rFonts w:ascii="Book Antiqua" w:hAnsi="Book Antiqua"/>
          <w:bCs/>
        </w:rPr>
        <w:t> </w:t>
      </w:r>
      <w:r w:rsidRPr="0030350E" w:rsidR="00BF1FD0">
        <w:rPr>
          <w:rFonts w:ascii="Book Antiqua" w:hAnsi="Book Antiqua"/>
          <w:bCs/>
        </w:rPr>
        <w:t xml:space="preserve">persons. Therefore, </w:t>
      </w:r>
      <w:r w:rsidRPr="0030350E" w:rsidR="00A81EE8">
        <w:rPr>
          <w:rFonts w:ascii="Book Antiqua" w:hAnsi="Book Antiqua"/>
          <w:bCs/>
        </w:rPr>
        <w:t xml:space="preserve">Amore violated the requirements of the California Vehicle Code when its CEO operated a commercial motor vehicle on December 18, 2021 without a commercial driver’s license and </w:t>
      </w:r>
      <w:r w:rsidRPr="0030350E" w:rsidR="00FB6486">
        <w:rPr>
          <w:rFonts w:ascii="Book Antiqua" w:hAnsi="Book Antiqua"/>
          <w:bCs/>
        </w:rPr>
        <w:t>a</w:t>
      </w:r>
      <w:r w:rsidRPr="0030350E" w:rsidR="00602909">
        <w:rPr>
          <w:rFonts w:ascii="Book Antiqua" w:hAnsi="Book Antiqua"/>
          <w:bCs/>
        </w:rPr>
        <w:t xml:space="preserve"> commercial</w:t>
      </w:r>
      <w:r w:rsidRPr="0030350E" w:rsidR="00FB6486">
        <w:rPr>
          <w:rFonts w:ascii="Book Antiqua" w:hAnsi="Book Antiqua"/>
          <w:bCs/>
        </w:rPr>
        <w:t xml:space="preserve"> </w:t>
      </w:r>
      <w:r w:rsidRPr="0030350E" w:rsidR="00A81EE8">
        <w:rPr>
          <w:rFonts w:ascii="Book Antiqua" w:hAnsi="Book Antiqua"/>
          <w:bCs/>
        </w:rPr>
        <w:t>endorsement.</w:t>
      </w:r>
    </w:p>
    <w:p w:rsidRPr="0030350E" w:rsidR="00A81EE8" w:rsidRDefault="00A81EE8" w14:paraId="6FBBB100" w14:textId="77777777">
      <w:pPr>
        <w:rPr>
          <w:rFonts w:ascii="Book Antiqua" w:hAnsi="Book Antiqua"/>
          <w:bCs/>
        </w:rPr>
      </w:pPr>
    </w:p>
    <w:p w:rsidRPr="0030350E" w:rsidR="00A81EE8" w:rsidP="00A81EE8" w:rsidRDefault="00A81EE8" w14:paraId="3876AE9A" w14:textId="3D481CB8">
      <w:pPr>
        <w:numPr>
          <w:ilvl w:val="0"/>
          <w:numId w:val="4"/>
        </w:numPr>
        <w:rPr>
          <w:rFonts w:ascii="Book Antiqua" w:hAnsi="Book Antiqua"/>
          <w:b/>
          <w:u w:val="single"/>
        </w:rPr>
      </w:pPr>
      <w:r w:rsidRPr="0030350E">
        <w:rPr>
          <w:rFonts w:ascii="Book Antiqua" w:hAnsi="Book Antiqua"/>
          <w:b/>
          <w:u w:val="single"/>
        </w:rPr>
        <w:lastRenderedPageBreak/>
        <w:t>Advertisement as Charter-Party Carrier without Valid Authority</w:t>
      </w:r>
    </w:p>
    <w:p w:rsidRPr="0030350E" w:rsidR="00A81EE8" w:rsidP="00A81EE8" w:rsidRDefault="00A81EE8" w14:paraId="1282971D" w14:textId="77777777">
      <w:pPr>
        <w:ind w:left="720"/>
        <w:rPr>
          <w:rFonts w:ascii="Book Antiqua" w:hAnsi="Book Antiqua"/>
          <w:b/>
          <w:u w:val="single"/>
        </w:rPr>
      </w:pPr>
    </w:p>
    <w:p w:rsidR="00223A16" w:rsidRDefault="001566DD" w14:paraId="7172D76D" w14:textId="3088C659">
      <w:pPr>
        <w:rPr>
          <w:rFonts w:ascii="Book Antiqua" w:hAnsi="Book Antiqua"/>
          <w:bCs/>
        </w:rPr>
      </w:pPr>
      <w:r w:rsidRPr="0030350E">
        <w:rPr>
          <w:rFonts w:ascii="Book Antiqua" w:hAnsi="Book Antiqua"/>
          <w:bCs/>
        </w:rPr>
        <w:t>A corporation or person is prohibited from knowingly and willfully issuing any advertisement or other holding out to the public that the corporation or person is in operation as a charter-party carrier without having a valid certificate or permit.</w:t>
      </w:r>
      <w:r w:rsidRPr="0030350E">
        <w:rPr>
          <w:rStyle w:val="FootnoteReference"/>
          <w:rFonts w:ascii="Book Antiqua" w:hAnsi="Book Antiqua"/>
          <w:bCs/>
        </w:rPr>
        <w:footnoteReference w:id="15"/>
      </w:r>
      <w:r w:rsidRPr="0030350E">
        <w:rPr>
          <w:rFonts w:ascii="Book Antiqua" w:hAnsi="Book Antiqua"/>
          <w:bCs/>
        </w:rPr>
        <w:t xml:space="preserve"> </w:t>
      </w:r>
      <w:r w:rsidRPr="0030350E" w:rsidR="00196DD7">
        <w:rPr>
          <w:rFonts w:ascii="Book Antiqua" w:hAnsi="Book Antiqua"/>
          <w:bCs/>
        </w:rPr>
        <w:t xml:space="preserve"> </w:t>
      </w:r>
      <w:r w:rsidRPr="0030350E" w:rsidR="00547A59">
        <w:rPr>
          <w:rFonts w:ascii="Book Antiqua" w:hAnsi="Book Antiqua"/>
          <w:bCs/>
        </w:rPr>
        <w:t xml:space="preserve">In June 2020, Amore made two posts on Facebook under the heading “Amore Limousine Service” during the period </w:t>
      </w:r>
      <w:r w:rsidRPr="0030350E" w:rsidR="007E45BA">
        <w:rPr>
          <w:rFonts w:ascii="Book Antiqua" w:hAnsi="Book Antiqua"/>
          <w:bCs/>
        </w:rPr>
        <w:t>when</w:t>
      </w:r>
      <w:r w:rsidRPr="0030350E" w:rsidR="00547A59">
        <w:rPr>
          <w:rFonts w:ascii="Book Antiqua" w:hAnsi="Book Antiqua"/>
          <w:bCs/>
        </w:rPr>
        <w:t xml:space="preserve"> its Commission authority to operate as a charter-party carrier had been suspended.</w:t>
      </w:r>
      <w:r w:rsidRPr="0030350E" w:rsidR="00547A59">
        <w:rPr>
          <w:rStyle w:val="FootnoteReference"/>
          <w:rFonts w:ascii="Book Antiqua" w:hAnsi="Book Antiqua"/>
          <w:bCs/>
        </w:rPr>
        <w:footnoteReference w:id="16"/>
      </w:r>
      <w:r w:rsidRPr="0030350E" w:rsidR="00547A59">
        <w:rPr>
          <w:rFonts w:ascii="Book Antiqua" w:hAnsi="Book Antiqua"/>
          <w:bCs/>
        </w:rPr>
        <w:t xml:space="preserve"> </w:t>
      </w:r>
      <w:r w:rsidRPr="0030350E" w:rsidR="00196DD7">
        <w:rPr>
          <w:rFonts w:ascii="Book Antiqua" w:hAnsi="Book Antiqua"/>
          <w:bCs/>
        </w:rPr>
        <w:t xml:space="preserve"> </w:t>
      </w:r>
      <w:r w:rsidRPr="0030350E" w:rsidR="00547A59">
        <w:rPr>
          <w:rFonts w:ascii="Book Antiqua" w:hAnsi="Book Antiqua"/>
          <w:bCs/>
        </w:rPr>
        <w:t xml:space="preserve">In addition, during the period when Amore’s operating authority as a charter-party carrier had been suspended, </w:t>
      </w:r>
      <w:r w:rsidRPr="0030350E" w:rsidR="00223A16">
        <w:rPr>
          <w:rFonts w:ascii="Book Antiqua" w:hAnsi="Book Antiqua"/>
          <w:bCs/>
        </w:rPr>
        <w:t>a statement by Amore’s CEO that “Amore Limousine Service specializes Napa and Sonoma wine tours” was posted on Yelp’s website and was not removed by Amore.</w:t>
      </w:r>
      <w:r w:rsidRPr="0030350E" w:rsidR="00223A16">
        <w:rPr>
          <w:rStyle w:val="FootnoteReference"/>
          <w:rFonts w:ascii="Book Antiqua" w:hAnsi="Book Antiqua"/>
          <w:bCs/>
        </w:rPr>
        <w:footnoteReference w:id="17"/>
      </w:r>
      <w:r w:rsidRPr="0030350E" w:rsidR="00223A16">
        <w:rPr>
          <w:rFonts w:ascii="Book Antiqua" w:hAnsi="Book Antiqua"/>
          <w:bCs/>
        </w:rPr>
        <w:t xml:space="preserve"> </w:t>
      </w:r>
      <w:r w:rsidRPr="0030350E" w:rsidR="00196DD7">
        <w:rPr>
          <w:rFonts w:ascii="Book Antiqua" w:hAnsi="Book Antiqua"/>
          <w:bCs/>
        </w:rPr>
        <w:t xml:space="preserve"> </w:t>
      </w:r>
      <w:r w:rsidRPr="0030350E" w:rsidR="00223A16">
        <w:rPr>
          <w:rFonts w:ascii="Book Antiqua" w:hAnsi="Book Antiqua"/>
          <w:bCs/>
        </w:rPr>
        <w:t xml:space="preserve">In making those postings, Amore did knowingly and willfully hold itself out to the public as an operating charter-party carrier when it had no Commission operating authority to do so. </w:t>
      </w:r>
      <w:r w:rsidRPr="0030350E" w:rsidR="00196DD7">
        <w:rPr>
          <w:rFonts w:ascii="Book Antiqua" w:hAnsi="Book Antiqua"/>
          <w:bCs/>
        </w:rPr>
        <w:t xml:space="preserve"> </w:t>
      </w:r>
      <w:r w:rsidRPr="0030350E" w:rsidR="00223A16">
        <w:rPr>
          <w:rFonts w:ascii="Book Antiqua" w:hAnsi="Book Antiqua"/>
          <w:bCs/>
        </w:rPr>
        <w:t>Therefore, Amore did violate Pub. Util. Code Section 5414.5.</w:t>
      </w:r>
    </w:p>
    <w:p w:rsidR="003372A0" w:rsidRDefault="003372A0" w14:paraId="0A2DFF28" w14:textId="21A24533">
      <w:pPr>
        <w:rPr>
          <w:rFonts w:ascii="Book Antiqua" w:hAnsi="Book Antiqua"/>
          <w:bCs/>
        </w:rPr>
      </w:pPr>
    </w:p>
    <w:p w:rsidRPr="003372A0" w:rsidR="003372A0" w:rsidP="003372A0" w:rsidRDefault="003372A0" w14:paraId="69457AAF" w14:textId="232F0015">
      <w:pPr>
        <w:pStyle w:val="ListParagraph"/>
        <w:numPr>
          <w:ilvl w:val="0"/>
          <w:numId w:val="4"/>
        </w:numPr>
        <w:rPr>
          <w:rFonts w:ascii="Book Antiqua" w:hAnsi="Book Antiqua"/>
          <w:b/>
        </w:rPr>
      </w:pPr>
      <w:r>
        <w:rPr>
          <w:rFonts w:ascii="Book Antiqua" w:hAnsi="Book Antiqua"/>
          <w:b/>
          <w:u w:val="single"/>
        </w:rPr>
        <w:t>CPED Motion for Leave to File Confidential Compliance Filing under Seal</w:t>
      </w:r>
    </w:p>
    <w:p w:rsidR="003372A0" w:rsidP="003372A0" w:rsidRDefault="003372A0" w14:paraId="5D22F99F" w14:textId="21CF3A5B">
      <w:pPr>
        <w:pStyle w:val="ListParagraph"/>
        <w:rPr>
          <w:rFonts w:ascii="Book Antiqua" w:hAnsi="Book Antiqua"/>
          <w:b/>
          <w:u w:val="single"/>
        </w:rPr>
      </w:pPr>
    </w:p>
    <w:p w:rsidRPr="003372A0" w:rsidR="003372A0" w:rsidP="003372A0" w:rsidRDefault="003372A0" w14:paraId="25FE769F" w14:textId="59E930AA">
      <w:pPr>
        <w:pStyle w:val="ListParagraph"/>
        <w:ind w:left="0"/>
        <w:rPr>
          <w:rFonts w:ascii="Book Antiqua" w:hAnsi="Book Antiqua"/>
          <w:bCs/>
        </w:rPr>
      </w:pPr>
      <w:r>
        <w:rPr>
          <w:rFonts w:ascii="Book Antiqua" w:hAnsi="Book Antiqua"/>
          <w:bCs/>
        </w:rPr>
        <w:t>CPED’s motion for leave to file its confidential Compliance Filing under seal seeks to keep confidential personal information regarding Amore’s CEO. Good cause was established to grant the motion. Therefore, CPED’s motion for leave to file its confidential Compliance Filing under seal is granted.</w:t>
      </w:r>
    </w:p>
    <w:p w:rsidRPr="0030350E" w:rsidR="00223A16" w:rsidRDefault="00223A16" w14:paraId="1464299A" w14:textId="77777777">
      <w:pPr>
        <w:rPr>
          <w:rFonts w:ascii="Book Antiqua" w:hAnsi="Book Antiqua"/>
          <w:bCs/>
        </w:rPr>
      </w:pPr>
    </w:p>
    <w:p w:rsidRPr="0030350E" w:rsidR="00637D40" w:rsidP="006D58C5" w:rsidRDefault="00637D40" w14:paraId="57561782" w14:textId="3FFB3370">
      <w:pPr>
        <w:rPr>
          <w:rFonts w:ascii="Book Antiqua" w:hAnsi="Book Antiqua"/>
          <w:b/>
          <w:u w:val="single"/>
        </w:rPr>
      </w:pPr>
      <w:r w:rsidRPr="0030350E">
        <w:rPr>
          <w:rFonts w:ascii="Book Antiqua" w:hAnsi="Book Antiqua"/>
          <w:b/>
          <w:u w:val="single"/>
        </w:rPr>
        <w:t>CONCLUSION</w:t>
      </w:r>
    </w:p>
    <w:p w:rsidRPr="0030350E" w:rsidR="00637D40" w:rsidP="006D58C5" w:rsidRDefault="00637D40" w14:paraId="22F1337E" w14:textId="77777777">
      <w:pPr>
        <w:rPr>
          <w:rFonts w:ascii="Book Antiqua" w:hAnsi="Book Antiqua"/>
          <w:b/>
          <w:u w:val="single"/>
        </w:rPr>
      </w:pPr>
    </w:p>
    <w:p w:rsidRPr="0030350E" w:rsidR="006D58C5" w:rsidP="006D58C5" w:rsidRDefault="006D58C5" w14:paraId="1BA726FD" w14:textId="6C46D8D1">
      <w:pPr>
        <w:rPr>
          <w:rFonts w:ascii="Book Antiqua" w:hAnsi="Book Antiqua"/>
          <w:bCs/>
        </w:rPr>
      </w:pPr>
      <w:r w:rsidRPr="0030350E">
        <w:rPr>
          <w:rFonts w:ascii="Book Antiqua" w:hAnsi="Book Antiqua"/>
          <w:bCs/>
        </w:rPr>
        <w:t xml:space="preserve">The testimony and documentary evidence admitted at the evidentiary hearing established by a preponderance of the evidence each of Amore’s five violations referenced in the Citation. </w:t>
      </w:r>
      <w:r w:rsidRPr="0030350E" w:rsidR="00196DD7">
        <w:rPr>
          <w:rFonts w:ascii="Book Antiqua" w:hAnsi="Book Antiqua"/>
          <w:bCs/>
        </w:rPr>
        <w:t xml:space="preserve"> </w:t>
      </w:r>
      <w:r w:rsidRPr="0030350E">
        <w:rPr>
          <w:rFonts w:ascii="Book Antiqua" w:hAnsi="Book Antiqua"/>
          <w:bCs/>
        </w:rPr>
        <w:t xml:space="preserve">The Citation imposes a total </w:t>
      </w:r>
      <w:r w:rsidRPr="0030350E" w:rsidR="00FB6486">
        <w:rPr>
          <w:rFonts w:ascii="Book Antiqua" w:hAnsi="Book Antiqua"/>
          <w:bCs/>
        </w:rPr>
        <w:t>penalty</w:t>
      </w:r>
      <w:r w:rsidRPr="0030350E">
        <w:rPr>
          <w:rFonts w:ascii="Book Antiqua" w:hAnsi="Book Antiqua"/>
          <w:bCs/>
        </w:rPr>
        <w:t xml:space="preserve"> of $4,000. </w:t>
      </w:r>
      <w:r w:rsidRPr="0030350E" w:rsidR="00196DD7">
        <w:rPr>
          <w:rFonts w:ascii="Book Antiqua" w:hAnsi="Book Antiqua"/>
          <w:bCs/>
        </w:rPr>
        <w:t xml:space="preserve"> </w:t>
      </w:r>
      <w:r w:rsidRPr="0030350E">
        <w:rPr>
          <w:rFonts w:ascii="Book Antiqua" w:hAnsi="Book Antiqua"/>
          <w:bCs/>
        </w:rPr>
        <w:t>As set forth above, CPED could have imposed a</w:t>
      </w:r>
      <w:r w:rsidRPr="0030350E" w:rsidR="00FB6486">
        <w:rPr>
          <w:rFonts w:ascii="Book Antiqua" w:hAnsi="Book Antiqua"/>
          <w:bCs/>
        </w:rPr>
        <w:t xml:space="preserve"> penalty</w:t>
      </w:r>
      <w:r w:rsidRPr="0030350E">
        <w:rPr>
          <w:rFonts w:ascii="Book Antiqua" w:hAnsi="Book Antiqua"/>
          <w:bCs/>
        </w:rPr>
        <w:t xml:space="preserve"> of up to $7,500 for each violation, and therefore CPED had the authority to impose the</w:t>
      </w:r>
      <w:r w:rsidRPr="0030350E" w:rsidR="00FB6486">
        <w:rPr>
          <w:rFonts w:ascii="Book Antiqua" w:hAnsi="Book Antiqua"/>
          <w:bCs/>
        </w:rPr>
        <w:t xml:space="preserve"> total penalty</w:t>
      </w:r>
      <w:r w:rsidRPr="0030350E">
        <w:rPr>
          <w:rFonts w:ascii="Book Antiqua" w:hAnsi="Book Antiqua"/>
          <w:bCs/>
        </w:rPr>
        <w:t xml:space="preserve"> of $4,000 set forth in the Citation. </w:t>
      </w:r>
      <w:r w:rsidRPr="0030350E" w:rsidR="00196DD7">
        <w:rPr>
          <w:rFonts w:ascii="Book Antiqua" w:hAnsi="Book Antiqua"/>
          <w:bCs/>
        </w:rPr>
        <w:t xml:space="preserve"> </w:t>
      </w:r>
      <w:r w:rsidRPr="0030350E" w:rsidR="00FB6486">
        <w:rPr>
          <w:rFonts w:ascii="Book Antiqua" w:hAnsi="Book Antiqua"/>
          <w:bCs/>
        </w:rPr>
        <w:t xml:space="preserve">Based upon the facts set forth above, there was sufficient evidence to support the $4,000 penalty amount. </w:t>
      </w:r>
      <w:r w:rsidRPr="0030350E" w:rsidR="00196DD7">
        <w:rPr>
          <w:rFonts w:ascii="Book Antiqua" w:hAnsi="Book Antiqua"/>
          <w:bCs/>
        </w:rPr>
        <w:t xml:space="preserve"> </w:t>
      </w:r>
      <w:r w:rsidRPr="0030350E">
        <w:rPr>
          <w:rFonts w:ascii="Book Antiqua" w:hAnsi="Book Antiqua"/>
          <w:bCs/>
        </w:rPr>
        <w:t xml:space="preserve">As a result, Amore’s appeal </w:t>
      </w:r>
      <w:r w:rsidRPr="0030350E" w:rsidR="00FB6486">
        <w:rPr>
          <w:rFonts w:ascii="Book Antiqua" w:hAnsi="Book Antiqua"/>
          <w:bCs/>
        </w:rPr>
        <w:t>should be</w:t>
      </w:r>
      <w:r w:rsidRPr="0030350E">
        <w:rPr>
          <w:rFonts w:ascii="Book Antiqua" w:hAnsi="Book Antiqua"/>
          <w:bCs/>
        </w:rPr>
        <w:t xml:space="preserve"> d</w:t>
      </w:r>
      <w:r w:rsidRPr="0030350E" w:rsidR="00892FB0">
        <w:rPr>
          <w:rFonts w:ascii="Book Antiqua" w:hAnsi="Book Antiqua"/>
          <w:bCs/>
        </w:rPr>
        <w:t>ismissed</w:t>
      </w:r>
      <w:r w:rsidRPr="0030350E">
        <w:rPr>
          <w:rFonts w:ascii="Book Antiqua" w:hAnsi="Book Antiqua"/>
          <w:bCs/>
        </w:rPr>
        <w:t>, and the</w:t>
      </w:r>
      <w:r w:rsidRPr="0030350E" w:rsidR="00892FB0">
        <w:rPr>
          <w:rFonts w:ascii="Book Antiqua" w:hAnsi="Book Antiqua"/>
          <w:bCs/>
        </w:rPr>
        <w:t xml:space="preserve"> </w:t>
      </w:r>
      <w:r w:rsidRPr="0030350E" w:rsidR="00637D40">
        <w:rPr>
          <w:rFonts w:ascii="Book Antiqua" w:hAnsi="Book Antiqua"/>
          <w:bCs/>
        </w:rPr>
        <w:t xml:space="preserve">five </w:t>
      </w:r>
      <w:r w:rsidRPr="0030350E" w:rsidR="00892FB0">
        <w:rPr>
          <w:rFonts w:ascii="Book Antiqua" w:hAnsi="Book Antiqua"/>
          <w:bCs/>
        </w:rPr>
        <w:t>violations and penalty</w:t>
      </w:r>
      <w:r w:rsidRPr="0030350E">
        <w:rPr>
          <w:rFonts w:ascii="Book Antiqua" w:hAnsi="Book Antiqua"/>
          <w:bCs/>
        </w:rPr>
        <w:t xml:space="preserve"> of $4,000 set forth in the Citation </w:t>
      </w:r>
      <w:r w:rsidRPr="0030350E" w:rsidR="00FB6486">
        <w:rPr>
          <w:rFonts w:ascii="Book Antiqua" w:hAnsi="Book Antiqua"/>
          <w:bCs/>
        </w:rPr>
        <w:t>should be</w:t>
      </w:r>
      <w:r w:rsidRPr="0030350E" w:rsidR="00892FB0">
        <w:rPr>
          <w:rFonts w:ascii="Book Antiqua" w:hAnsi="Book Antiqua"/>
          <w:bCs/>
        </w:rPr>
        <w:t xml:space="preserve"> affirmed</w:t>
      </w:r>
      <w:r w:rsidRPr="0030350E">
        <w:rPr>
          <w:rFonts w:ascii="Book Antiqua" w:hAnsi="Book Antiqua"/>
          <w:bCs/>
        </w:rPr>
        <w:t>.</w:t>
      </w:r>
    </w:p>
    <w:p w:rsidR="007B4FCC" w:rsidRDefault="007B4FCC" w14:paraId="2D6D59FA" w14:textId="77777777">
      <w:pPr>
        <w:rPr>
          <w:rFonts w:ascii="Book Antiqua" w:hAnsi="Book Antiqua"/>
          <w:b/>
          <w:u w:val="single"/>
        </w:rPr>
      </w:pPr>
    </w:p>
    <w:p w:rsidRPr="00B9589A" w:rsidR="00C47C2A" w:rsidP="007B4FCC" w:rsidRDefault="00C47C2A" w14:paraId="3DB6BC32" w14:textId="574FDA0F">
      <w:pPr>
        <w:keepNext/>
        <w:keepLines/>
        <w:rPr>
          <w:rFonts w:ascii="Book Antiqua" w:hAnsi="Book Antiqua"/>
          <w:b/>
          <w:u w:val="single"/>
        </w:rPr>
      </w:pPr>
      <w:r w:rsidRPr="00B9589A">
        <w:rPr>
          <w:rFonts w:ascii="Book Antiqua" w:hAnsi="Book Antiqua"/>
          <w:b/>
          <w:u w:val="single"/>
        </w:rPr>
        <w:lastRenderedPageBreak/>
        <w:t>COMMENTS</w:t>
      </w:r>
    </w:p>
    <w:p w:rsidRPr="00B9589A" w:rsidR="00C47C2A" w:rsidP="007B4FCC" w:rsidRDefault="00C47C2A" w14:paraId="265E9984" w14:textId="77777777">
      <w:pPr>
        <w:keepNext/>
        <w:keepLines/>
        <w:rPr>
          <w:rFonts w:ascii="Book Antiqua" w:hAnsi="Book Antiqua"/>
        </w:rPr>
      </w:pPr>
    </w:p>
    <w:p w:rsidR="00C47C2A" w:rsidP="007B4FCC" w:rsidRDefault="00B261F9" w14:paraId="16341E25" w14:textId="5E49BC0D">
      <w:pPr>
        <w:keepNext/>
        <w:keepLines/>
      </w:pPr>
      <w:r w:rsidRPr="00B9589A">
        <w:rPr>
          <w:rFonts w:ascii="Book Antiqua" w:hAnsi="Book Antiqua"/>
        </w:rPr>
        <w:t>The draft resolution was served on the parties for public review and comment in</w:t>
      </w:r>
      <w:r w:rsidRPr="0030350E">
        <w:rPr>
          <w:rFonts w:ascii="Book Antiqua" w:hAnsi="Book Antiqua"/>
        </w:rPr>
        <w:t xml:space="preserve"> accordance with Pub</w:t>
      </w:r>
      <w:r w:rsidRPr="0030350E" w:rsidR="00637D40">
        <w:rPr>
          <w:rFonts w:ascii="Book Antiqua" w:hAnsi="Book Antiqua"/>
        </w:rPr>
        <w:t>.</w:t>
      </w:r>
      <w:r w:rsidRPr="0030350E">
        <w:rPr>
          <w:rFonts w:ascii="Book Antiqua" w:hAnsi="Book Antiqua"/>
        </w:rPr>
        <w:t xml:space="preserve"> Util</w:t>
      </w:r>
      <w:r w:rsidRPr="0030350E" w:rsidR="00637D40">
        <w:rPr>
          <w:rFonts w:ascii="Book Antiqua" w:hAnsi="Book Antiqua"/>
        </w:rPr>
        <w:t>.</w:t>
      </w:r>
      <w:r w:rsidRPr="0030350E">
        <w:rPr>
          <w:rFonts w:ascii="Book Antiqua" w:hAnsi="Book Antiqua"/>
        </w:rPr>
        <w:t xml:space="preserve"> Code Section 311(g)(1), Article 14 of the Commission’s Rules of Practice and Procedure, and Rule 18 of Resolution ALJ-377</w:t>
      </w:r>
      <w:r w:rsidRPr="0030350E" w:rsidR="00C47C2A">
        <w:rPr>
          <w:rFonts w:ascii="Book Antiqua" w:hAnsi="Book Antiqua"/>
        </w:rPr>
        <w:t>.</w:t>
      </w:r>
      <w:r w:rsidRPr="0030350E">
        <w:rPr>
          <w:rFonts w:ascii="Book Antiqua" w:hAnsi="Book Antiqua"/>
        </w:rPr>
        <w:t xml:space="preserve">  </w:t>
      </w:r>
    </w:p>
    <w:p w:rsidRPr="0030350E" w:rsidR="00C47C2A" w:rsidRDefault="00C47C2A" w14:paraId="687525F7" w14:textId="74F8B299">
      <w:pPr>
        <w:rPr>
          <w:rFonts w:ascii="Book Antiqua" w:hAnsi="Book Antiqua"/>
        </w:rPr>
      </w:pPr>
    </w:p>
    <w:p w:rsidRPr="0030350E" w:rsidR="00C47C2A" w:rsidRDefault="00C47C2A" w14:paraId="713E5B3B" w14:textId="77777777">
      <w:pPr>
        <w:keepNext/>
        <w:rPr>
          <w:rFonts w:ascii="Book Antiqua" w:hAnsi="Book Antiqua"/>
          <w:b/>
          <w:u w:val="single"/>
        </w:rPr>
      </w:pPr>
      <w:r w:rsidRPr="0030350E">
        <w:rPr>
          <w:rFonts w:ascii="Book Antiqua" w:hAnsi="Book Antiqua"/>
          <w:b/>
          <w:u w:val="single"/>
        </w:rPr>
        <w:t>FINDINGS</w:t>
      </w:r>
      <w:r w:rsidRPr="0030350E" w:rsidR="00B261F9">
        <w:rPr>
          <w:rFonts w:ascii="Book Antiqua" w:hAnsi="Book Antiqua"/>
          <w:b/>
          <w:u w:val="single"/>
        </w:rPr>
        <w:t xml:space="preserve"> AND CONCLUSIONS</w:t>
      </w:r>
    </w:p>
    <w:p w:rsidRPr="0030350E" w:rsidR="00C47C2A" w:rsidRDefault="00C47C2A" w14:paraId="0180A698" w14:textId="77777777">
      <w:pPr>
        <w:rPr>
          <w:rFonts w:ascii="Book Antiqua" w:hAnsi="Book Antiqua"/>
        </w:rPr>
      </w:pPr>
    </w:p>
    <w:p w:rsidRPr="00B9589A" w:rsidR="00C47C2A" w:rsidP="007B4FCC" w:rsidRDefault="00A16476" w14:paraId="3F83D784" w14:textId="3065F546">
      <w:pPr>
        <w:numPr>
          <w:ilvl w:val="0"/>
          <w:numId w:val="6"/>
        </w:numPr>
        <w:ind w:left="360"/>
        <w:rPr>
          <w:rFonts w:ascii="Book Antiqua" w:hAnsi="Book Antiqua"/>
        </w:rPr>
      </w:pPr>
      <w:r w:rsidRPr="00B9589A">
        <w:rPr>
          <w:rFonts w:ascii="Book Antiqua" w:hAnsi="Book Antiqua"/>
        </w:rPr>
        <w:t>The Commission suspended Amore’s authority to conduct charter-party carrier operations effective March 23, 2020, and that suspension continued without interruption through December 18, 2021.</w:t>
      </w:r>
    </w:p>
    <w:p w:rsidRPr="00B9589A" w:rsidR="00C47C2A" w:rsidP="007B4FCC" w:rsidRDefault="007B4FCC" w14:paraId="3FEFC2C1" w14:textId="7BF666F2">
      <w:pPr>
        <w:tabs>
          <w:tab w:val="left" w:pos="8298"/>
        </w:tabs>
        <w:ind w:left="360"/>
        <w:rPr>
          <w:rFonts w:ascii="Book Antiqua" w:hAnsi="Book Antiqua"/>
        </w:rPr>
      </w:pPr>
      <w:r w:rsidRPr="00B9589A">
        <w:rPr>
          <w:rFonts w:ascii="Book Antiqua" w:hAnsi="Book Antiqua"/>
        </w:rPr>
        <w:tab/>
      </w:r>
    </w:p>
    <w:p w:rsidRPr="00B9589A" w:rsidR="00C47C2A" w:rsidP="007B4FCC" w:rsidRDefault="00A16476" w14:paraId="6C0F48A4" w14:textId="17A72E04">
      <w:pPr>
        <w:numPr>
          <w:ilvl w:val="0"/>
          <w:numId w:val="6"/>
        </w:numPr>
        <w:ind w:left="360"/>
        <w:rPr>
          <w:rFonts w:ascii="Book Antiqua" w:hAnsi="Book Antiqua"/>
        </w:rPr>
      </w:pPr>
      <w:r w:rsidRPr="00B9589A">
        <w:rPr>
          <w:rFonts w:ascii="Book Antiqua" w:hAnsi="Book Antiqua"/>
        </w:rPr>
        <w:t xml:space="preserve">On December 18, 2021, Amore </w:t>
      </w:r>
      <w:r w:rsidRPr="00B9589A" w:rsidR="00816688">
        <w:rPr>
          <w:rFonts w:ascii="Book Antiqua" w:hAnsi="Book Antiqua"/>
        </w:rPr>
        <w:t xml:space="preserve">operated a limousine driven by its CEO to </w:t>
      </w:r>
      <w:r w:rsidRPr="00B9589A">
        <w:rPr>
          <w:rFonts w:ascii="Book Antiqua" w:hAnsi="Book Antiqua"/>
        </w:rPr>
        <w:t>engage in charter-party carrier operations for compensation.</w:t>
      </w:r>
    </w:p>
    <w:p w:rsidRPr="00B9589A" w:rsidR="0041798D" w:rsidP="007B4FCC" w:rsidRDefault="0041798D" w14:paraId="2162B650" w14:textId="77777777">
      <w:pPr>
        <w:ind w:left="360"/>
        <w:rPr>
          <w:rFonts w:ascii="Book Antiqua" w:hAnsi="Book Antiqua"/>
        </w:rPr>
      </w:pPr>
    </w:p>
    <w:p w:rsidRPr="00B9589A" w:rsidR="0041798D" w:rsidP="007B4FCC" w:rsidRDefault="00A16476" w14:paraId="62F8E2EB" w14:textId="6EC32628">
      <w:pPr>
        <w:numPr>
          <w:ilvl w:val="0"/>
          <w:numId w:val="6"/>
        </w:numPr>
        <w:ind w:left="360"/>
        <w:rPr>
          <w:rFonts w:ascii="Book Antiqua" w:hAnsi="Book Antiqua"/>
        </w:rPr>
      </w:pPr>
      <w:r w:rsidRPr="00B9589A">
        <w:rPr>
          <w:rFonts w:ascii="Book Antiqua" w:hAnsi="Book Antiqua"/>
        </w:rPr>
        <w:t xml:space="preserve">On December 18, 2021, </w:t>
      </w:r>
      <w:r w:rsidRPr="00B9589A" w:rsidR="00816688">
        <w:rPr>
          <w:rFonts w:ascii="Book Antiqua" w:hAnsi="Book Antiqua"/>
        </w:rPr>
        <w:t>Amore did not have liability protection of $1,500,000 for bodily injury and property damage covering the limousine that Amore operated that day</w:t>
      </w:r>
      <w:r w:rsidRPr="00B9589A" w:rsidR="0041798D">
        <w:rPr>
          <w:rFonts w:ascii="Book Antiqua" w:hAnsi="Book Antiqua"/>
        </w:rPr>
        <w:t>.</w:t>
      </w:r>
    </w:p>
    <w:p w:rsidRPr="00B9589A" w:rsidR="0041798D" w:rsidP="007B4FCC" w:rsidRDefault="0041798D" w14:paraId="012632A2" w14:textId="77777777">
      <w:pPr>
        <w:ind w:left="360"/>
        <w:rPr>
          <w:rFonts w:ascii="Book Antiqua" w:hAnsi="Book Antiqua"/>
        </w:rPr>
      </w:pPr>
    </w:p>
    <w:p w:rsidRPr="00B9589A" w:rsidR="0041798D" w:rsidP="007B4FCC" w:rsidRDefault="001B6B54" w14:paraId="31711B7D" w14:textId="21B992C2">
      <w:pPr>
        <w:numPr>
          <w:ilvl w:val="0"/>
          <w:numId w:val="6"/>
        </w:numPr>
        <w:ind w:left="360"/>
        <w:rPr>
          <w:rFonts w:ascii="Book Antiqua" w:hAnsi="Book Antiqua"/>
        </w:rPr>
      </w:pPr>
      <w:r w:rsidRPr="00B9589A">
        <w:rPr>
          <w:rFonts w:ascii="Book Antiqua" w:hAnsi="Book Antiqua"/>
        </w:rPr>
        <w:t>The limousine operated by Amore on December 18, 2021 had a seating capacity of 11</w:t>
      </w:r>
      <w:r w:rsidRPr="00B9589A" w:rsidR="007B4FCC">
        <w:rPr>
          <w:rFonts w:ascii="Book Antiqua" w:hAnsi="Book Antiqua"/>
        </w:rPr>
        <w:t> </w:t>
      </w:r>
      <w:r w:rsidRPr="00B9589A">
        <w:rPr>
          <w:rFonts w:ascii="Book Antiqua" w:hAnsi="Book Antiqua"/>
        </w:rPr>
        <w:t>persons, including the driver</w:t>
      </w:r>
      <w:r w:rsidRPr="00B9589A" w:rsidR="0041798D">
        <w:rPr>
          <w:rFonts w:ascii="Book Antiqua" w:hAnsi="Book Antiqua"/>
        </w:rPr>
        <w:t>.</w:t>
      </w:r>
    </w:p>
    <w:p w:rsidRPr="00B9589A" w:rsidR="00545CA1" w:rsidP="007B4FCC" w:rsidRDefault="00545CA1" w14:paraId="5B384B73" w14:textId="77777777">
      <w:pPr>
        <w:ind w:left="360"/>
        <w:rPr>
          <w:rFonts w:ascii="Book Antiqua" w:hAnsi="Book Antiqua"/>
        </w:rPr>
      </w:pPr>
    </w:p>
    <w:p w:rsidRPr="00B9589A" w:rsidR="00545CA1" w:rsidP="007B4FCC" w:rsidRDefault="001B6B54" w14:paraId="19B3533C" w14:textId="0B9F2347">
      <w:pPr>
        <w:numPr>
          <w:ilvl w:val="0"/>
          <w:numId w:val="6"/>
        </w:numPr>
        <w:ind w:left="360"/>
        <w:rPr>
          <w:rFonts w:ascii="Book Antiqua" w:hAnsi="Book Antiqua"/>
        </w:rPr>
      </w:pPr>
      <w:r w:rsidRPr="00B9589A">
        <w:rPr>
          <w:rFonts w:ascii="Book Antiqua" w:hAnsi="Book Antiqua"/>
        </w:rPr>
        <w:t xml:space="preserve">The CHP did not inspect </w:t>
      </w:r>
      <w:r w:rsidRPr="00B9589A" w:rsidR="00F825CC">
        <w:rPr>
          <w:rFonts w:ascii="Book Antiqua" w:hAnsi="Book Antiqua"/>
        </w:rPr>
        <w:t xml:space="preserve">the limousine operated by Amore on December 18, 2021 or </w:t>
      </w:r>
      <w:r w:rsidRPr="00B9589A">
        <w:rPr>
          <w:rFonts w:ascii="Book Antiqua" w:hAnsi="Book Antiqua"/>
        </w:rPr>
        <w:t>Amore’s maintenance facility at any time in the 13 months before December</w:t>
      </w:r>
      <w:r w:rsidRPr="00B9589A" w:rsidR="007B4FCC">
        <w:rPr>
          <w:rFonts w:ascii="Book Antiqua" w:hAnsi="Book Antiqua"/>
        </w:rPr>
        <w:t> </w:t>
      </w:r>
      <w:r w:rsidRPr="00B9589A">
        <w:rPr>
          <w:rFonts w:ascii="Book Antiqua" w:hAnsi="Book Antiqua"/>
        </w:rPr>
        <w:t>18,</w:t>
      </w:r>
      <w:r w:rsidRPr="00B9589A" w:rsidR="007B4FCC">
        <w:rPr>
          <w:rFonts w:ascii="Book Antiqua" w:hAnsi="Book Antiqua"/>
        </w:rPr>
        <w:t> </w:t>
      </w:r>
      <w:r w:rsidRPr="00B9589A">
        <w:rPr>
          <w:rFonts w:ascii="Book Antiqua" w:hAnsi="Book Antiqua"/>
        </w:rPr>
        <w:t>2021.</w:t>
      </w:r>
    </w:p>
    <w:p w:rsidRPr="00B9589A" w:rsidR="001B6B54" w:rsidP="007B4FCC" w:rsidRDefault="001B6B54" w14:paraId="17670EA6" w14:textId="2CAC8718">
      <w:pPr>
        <w:ind w:left="360"/>
        <w:rPr>
          <w:rFonts w:ascii="Book Antiqua" w:hAnsi="Book Antiqua"/>
        </w:rPr>
      </w:pPr>
    </w:p>
    <w:p w:rsidRPr="00B9589A" w:rsidR="001B6B54" w:rsidP="007B4FCC" w:rsidRDefault="008640F3" w14:paraId="0D98C395" w14:textId="0F700F4F">
      <w:pPr>
        <w:numPr>
          <w:ilvl w:val="0"/>
          <w:numId w:val="6"/>
        </w:numPr>
        <w:ind w:left="360"/>
        <w:rPr>
          <w:rFonts w:ascii="Book Antiqua" w:hAnsi="Book Antiqua"/>
        </w:rPr>
      </w:pPr>
      <w:r w:rsidRPr="00B9589A">
        <w:rPr>
          <w:rFonts w:ascii="Book Antiqua" w:hAnsi="Book Antiqua"/>
        </w:rPr>
        <w:t xml:space="preserve">On December 18, 2021, </w:t>
      </w:r>
      <w:r w:rsidRPr="00B9589A" w:rsidR="00A82445">
        <w:rPr>
          <w:rFonts w:ascii="Book Antiqua" w:hAnsi="Book Antiqua"/>
        </w:rPr>
        <w:t xml:space="preserve">Amore’s CEO did not have a </w:t>
      </w:r>
      <w:r w:rsidRPr="00B9589A" w:rsidR="00C64697">
        <w:rPr>
          <w:rFonts w:ascii="Book Antiqua" w:hAnsi="Book Antiqua"/>
        </w:rPr>
        <w:t xml:space="preserve">valid </w:t>
      </w:r>
      <w:r w:rsidRPr="00B9589A" w:rsidR="00A82445">
        <w:rPr>
          <w:rFonts w:ascii="Book Antiqua" w:hAnsi="Book Antiqua"/>
        </w:rPr>
        <w:t>commercial driver’s license or an endorsement issued by the Department of Motor Vehicles to operate any commercial motor vehicle.</w:t>
      </w:r>
    </w:p>
    <w:p w:rsidRPr="00B9589A" w:rsidR="001B6B54" w:rsidP="007B4FCC" w:rsidRDefault="001B6B54" w14:paraId="19DD92BA" w14:textId="77777777">
      <w:pPr>
        <w:ind w:left="360"/>
        <w:rPr>
          <w:rFonts w:ascii="Book Antiqua" w:hAnsi="Book Antiqua"/>
        </w:rPr>
      </w:pPr>
    </w:p>
    <w:p w:rsidRPr="00B9589A" w:rsidR="001B6B54" w:rsidP="007B4FCC" w:rsidRDefault="00A82445" w14:paraId="6452B7F2" w14:textId="6053E8B2">
      <w:pPr>
        <w:numPr>
          <w:ilvl w:val="0"/>
          <w:numId w:val="6"/>
        </w:numPr>
        <w:ind w:left="360"/>
        <w:rPr>
          <w:rFonts w:ascii="Book Antiqua" w:hAnsi="Book Antiqua"/>
        </w:rPr>
      </w:pPr>
      <w:r w:rsidRPr="00B9589A">
        <w:rPr>
          <w:rFonts w:ascii="Book Antiqua" w:hAnsi="Book Antiqua"/>
        </w:rPr>
        <w:t>In June 2020, Amore made two postings on Facebook under the heading “Amore</w:t>
      </w:r>
      <w:r w:rsidRPr="00B9589A" w:rsidR="007A5CBD">
        <w:rPr>
          <w:rFonts w:ascii="Book Antiqua" w:hAnsi="Book Antiqua"/>
        </w:rPr>
        <w:t> </w:t>
      </w:r>
      <w:r w:rsidRPr="00B9589A">
        <w:rPr>
          <w:rFonts w:ascii="Book Antiqua" w:hAnsi="Book Antiqua"/>
        </w:rPr>
        <w:t>Limousine Service.”</w:t>
      </w:r>
    </w:p>
    <w:p w:rsidRPr="00B9589A" w:rsidR="001B6B54" w:rsidP="007B4FCC" w:rsidRDefault="001B6B54" w14:paraId="5467989A" w14:textId="77777777">
      <w:pPr>
        <w:ind w:left="360"/>
        <w:rPr>
          <w:rFonts w:ascii="Book Antiqua" w:hAnsi="Book Antiqua"/>
        </w:rPr>
      </w:pPr>
    </w:p>
    <w:p w:rsidRPr="00B9589A" w:rsidR="001B6B54" w:rsidP="007B4FCC" w:rsidRDefault="00A82445" w14:paraId="2556360C" w14:textId="1C321D1F">
      <w:pPr>
        <w:numPr>
          <w:ilvl w:val="0"/>
          <w:numId w:val="6"/>
        </w:numPr>
        <w:ind w:left="360"/>
        <w:rPr>
          <w:rFonts w:ascii="Book Antiqua" w:hAnsi="Book Antiqua"/>
        </w:rPr>
      </w:pPr>
      <w:r w:rsidRPr="00B9589A">
        <w:rPr>
          <w:rFonts w:ascii="Book Antiqua" w:hAnsi="Book Antiqua"/>
        </w:rPr>
        <w:t xml:space="preserve">During the period in which its authority to operate as a charter-party carrier had been suspended by the Commission, Amore’s CEO made the statement on Yelp’s website that </w:t>
      </w:r>
      <w:r w:rsidRPr="00B9589A">
        <w:rPr>
          <w:rFonts w:ascii="Book Antiqua" w:hAnsi="Book Antiqua"/>
          <w:bCs/>
        </w:rPr>
        <w:t xml:space="preserve">“Amore Limousine Service specializes Napa and Sonoma wine tours.” </w:t>
      </w:r>
    </w:p>
    <w:p w:rsidRPr="00B9589A" w:rsidR="001B6B54" w:rsidP="007B4FCC" w:rsidRDefault="001B6B54" w14:paraId="776425A0" w14:textId="77777777">
      <w:pPr>
        <w:ind w:left="360"/>
        <w:rPr>
          <w:rFonts w:ascii="Book Antiqua" w:hAnsi="Book Antiqua"/>
        </w:rPr>
      </w:pPr>
    </w:p>
    <w:p w:rsidRPr="00B9589A" w:rsidR="008640F3" w:rsidP="007B4FCC" w:rsidRDefault="008640F3" w14:paraId="1515E931" w14:textId="6DC3B1FE">
      <w:pPr>
        <w:numPr>
          <w:ilvl w:val="0"/>
          <w:numId w:val="6"/>
        </w:numPr>
        <w:ind w:left="360"/>
        <w:rPr>
          <w:rFonts w:ascii="Book Antiqua" w:hAnsi="Book Antiqua"/>
          <w:bCs/>
        </w:rPr>
      </w:pPr>
      <w:r w:rsidRPr="00B9589A">
        <w:rPr>
          <w:rFonts w:ascii="Book Antiqua" w:hAnsi="Book Antiqua"/>
        </w:rPr>
        <w:t>Amore violated Pub. Util. Code Section 5379 by engaging</w:t>
      </w:r>
      <w:r w:rsidRPr="00B9589A">
        <w:rPr>
          <w:rFonts w:ascii="Book Antiqua" w:hAnsi="Book Antiqua"/>
          <w:bCs/>
        </w:rPr>
        <w:t xml:space="preserve"> in charter-party carrier operations for compensation on December 18, 2021 when its operating authority was suspended.</w:t>
      </w:r>
    </w:p>
    <w:p w:rsidRPr="00B9589A" w:rsidR="00786595" w:rsidP="007B4FCC" w:rsidRDefault="00786595" w14:paraId="0DE3D270" w14:textId="77777777">
      <w:pPr>
        <w:ind w:left="360"/>
        <w:rPr>
          <w:rFonts w:ascii="Book Antiqua" w:hAnsi="Book Antiqua"/>
        </w:rPr>
      </w:pPr>
    </w:p>
    <w:p w:rsidRPr="00B9589A" w:rsidR="00A82445" w:rsidP="007B4FCC" w:rsidRDefault="00786595" w14:paraId="18736F9A" w14:textId="342EF7B4">
      <w:pPr>
        <w:numPr>
          <w:ilvl w:val="0"/>
          <w:numId w:val="6"/>
        </w:numPr>
        <w:ind w:left="360"/>
        <w:rPr>
          <w:rFonts w:ascii="Book Antiqua" w:hAnsi="Book Antiqua"/>
        </w:rPr>
      </w:pPr>
      <w:r w:rsidRPr="00B9589A">
        <w:rPr>
          <w:rFonts w:ascii="Book Antiqua" w:hAnsi="Book Antiqua"/>
        </w:rPr>
        <w:lastRenderedPageBreak/>
        <w:t>Amore violated Pub. Util. Code Section 5391 and G</w:t>
      </w:r>
      <w:r w:rsidRPr="00B9589A" w:rsidR="00196DD7">
        <w:rPr>
          <w:rFonts w:ascii="Book Antiqua" w:hAnsi="Book Antiqua"/>
        </w:rPr>
        <w:t>O</w:t>
      </w:r>
      <w:r w:rsidRPr="00B9589A">
        <w:rPr>
          <w:rFonts w:ascii="Book Antiqua" w:hAnsi="Book Antiqua"/>
        </w:rPr>
        <w:t xml:space="preserve"> 155-G(1) by not maintaining liability protection of $1,500,000 for bodily injury and property damage while performing charter-party carrier operations on December 18, 2021</w:t>
      </w:r>
      <w:r w:rsidRPr="00B9589A" w:rsidR="00A82445">
        <w:rPr>
          <w:rFonts w:ascii="Book Antiqua" w:hAnsi="Book Antiqua"/>
        </w:rPr>
        <w:t>.</w:t>
      </w:r>
    </w:p>
    <w:p w:rsidRPr="00B9589A" w:rsidR="00A82445" w:rsidP="007B4FCC" w:rsidRDefault="00A82445" w14:paraId="1F8D28A9" w14:textId="77777777">
      <w:pPr>
        <w:ind w:left="360"/>
        <w:rPr>
          <w:rFonts w:ascii="Book Antiqua" w:hAnsi="Book Antiqua"/>
        </w:rPr>
      </w:pPr>
    </w:p>
    <w:p w:rsidRPr="00B9589A" w:rsidR="00A82445" w:rsidP="007B4FCC" w:rsidRDefault="00786595" w14:paraId="055D9A57" w14:textId="2392DB40">
      <w:pPr>
        <w:numPr>
          <w:ilvl w:val="0"/>
          <w:numId w:val="6"/>
        </w:numPr>
        <w:ind w:left="360"/>
        <w:rPr>
          <w:rFonts w:ascii="Book Antiqua" w:hAnsi="Book Antiqua"/>
        </w:rPr>
      </w:pPr>
      <w:r w:rsidRPr="00B9589A">
        <w:rPr>
          <w:rFonts w:ascii="Book Antiqua" w:hAnsi="Book Antiqua"/>
        </w:rPr>
        <w:t xml:space="preserve">Amore violated Cal. </w:t>
      </w:r>
      <w:proofErr w:type="spellStart"/>
      <w:r w:rsidRPr="00B9589A">
        <w:rPr>
          <w:rFonts w:ascii="Book Antiqua" w:hAnsi="Book Antiqua"/>
        </w:rPr>
        <w:t>Veh</w:t>
      </w:r>
      <w:proofErr w:type="spellEnd"/>
      <w:r w:rsidRPr="00B9589A">
        <w:rPr>
          <w:rFonts w:ascii="Book Antiqua" w:hAnsi="Book Antiqua"/>
        </w:rPr>
        <w:t>. Code Section 34501(c) and (e</w:t>
      </w:r>
      <w:r w:rsidRPr="00B9589A" w:rsidR="00581877">
        <w:rPr>
          <w:rFonts w:ascii="Book Antiqua" w:hAnsi="Book Antiqua"/>
        </w:rPr>
        <w:t>) o</w:t>
      </w:r>
      <w:r w:rsidRPr="00B9589A" w:rsidR="00A82445">
        <w:rPr>
          <w:rFonts w:ascii="Book Antiqua" w:hAnsi="Book Antiqua"/>
        </w:rPr>
        <w:t xml:space="preserve">n December 18, 2021, </w:t>
      </w:r>
      <w:r w:rsidRPr="00B9589A" w:rsidR="00581877">
        <w:rPr>
          <w:rFonts w:ascii="Book Antiqua" w:hAnsi="Book Antiqua"/>
        </w:rPr>
        <w:t>by operating a limousine with a seating capacity of 11 persons that met the definition of a bus without having the CHP inspect Amore’s maintenance facility within the 13</w:t>
      </w:r>
      <w:r w:rsidRPr="00B9589A" w:rsidR="007B4FCC">
        <w:rPr>
          <w:rFonts w:ascii="Book Antiqua" w:hAnsi="Book Antiqua"/>
        </w:rPr>
        <w:t> </w:t>
      </w:r>
      <w:r w:rsidRPr="00B9589A" w:rsidR="00581877">
        <w:rPr>
          <w:rFonts w:ascii="Book Antiqua" w:hAnsi="Book Antiqua"/>
        </w:rPr>
        <w:t xml:space="preserve">months before December 18, 2021. </w:t>
      </w:r>
    </w:p>
    <w:p w:rsidRPr="00B9589A" w:rsidR="00A82445" w:rsidP="007B4FCC" w:rsidRDefault="00A82445" w14:paraId="72F69EE5" w14:textId="77777777">
      <w:pPr>
        <w:ind w:left="360"/>
        <w:rPr>
          <w:rFonts w:ascii="Book Antiqua" w:hAnsi="Book Antiqua"/>
        </w:rPr>
      </w:pPr>
    </w:p>
    <w:p w:rsidRPr="00B9589A" w:rsidR="00A82445" w:rsidP="007B4FCC" w:rsidRDefault="00277D45" w14:paraId="7A3AA63B" w14:textId="30043590">
      <w:pPr>
        <w:numPr>
          <w:ilvl w:val="0"/>
          <w:numId w:val="6"/>
        </w:numPr>
        <w:ind w:left="360"/>
        <w:rPr>
          <w:rFonts w:ascii="Book Antiqua" w:hAnsi="Book Antiqua"/>
        </w:rPr>
      </w:pPr>
      <w:r w:rsidRPr="00B9589A">
        <w:rPr>
          <w:rFonts w:ascii="Book Antiqua" w:hAnsi="Book Antiqua"/>
        </w:rPr>
        <w:t xml:space="preserve">Amore violated Cal. </w:t>
      </w:r>
      <w:proofErr w:type="spellStart"/>
      <w:r w:rsidRPr="00B9589A">
        <w:rPr>
          <w:rFonts w:ascii="Book Antiqua" w:hAnsi="Book Antiqua"/>
        </w:rPr>
        <w:t>Veh</w:t>
      </w:r>
      <w:proofErr w:type="spellEnd"/>
      <w:r w:rsidRPr="00B9589A">
        <w:rPr>
          <w:rFonts w:ascii="Book Antiqua" w:hAnsi="Book Antiqua"/>
        </w:rPr>
        <w:t>. Code Sections 15250(a)(1) and 15278(a)(2) o</w:t>
      </w:r>
      <w:r w:rsidRPr="00B9589A" w:rsidR="00A82445">
        <w:rPr>
          <w:rFonts w:ascii="Book Antiqua" w:hAnsi="Book Antiqua"/>
        </w:rPr>
        <w:t>n December</w:t>
      </w:r>
      <w:r w:rsidRPr="00B9589A" w:rsidR="007B4FCC">
        <w:rPr>
          <w:rFonts w:ascii="Book Antiqua" w:hAnsi="Book Antiqua"/>
        </w:rPr>
        <w:t> </w:t>
      </w:r>
      <w:r w:rsidRPr="00B9589A" w:rsidR="00A82445">
        <w:rPr>
          <w:rFonts w:ascii="Book Antiqua" w:hAnsi="Book Antiqua"/>
        </w:rPr>
        <w:t>18,</w:t>
      </w:r>
      <w:r w:rsidRPr="00B9589A" w:rsidR="007B4FCC">
        <w:rPr>
          <w:rFonts w:ascii="Book Antiqua" w:hAnsi="Book Antiqua"/>
        </w:rPr>
        <w:t> </w:t>
      </w:r>
      <w:r w:rsidRPr="00B9589A" w:rsidR="00A82445">
        <w:rPr>
          <w:rFonts w:ascii="Book Antiqua" w:hAnsi="Book Antiqua"/>
        </w:rPr>
        <w:t xml:space="preserve">2021, </w:t>
      </w:r>
      <w:r w:rsidRPr="00B9589A">
        <w:rPr>
          <w:rFonts w:ascii="Book Antiqua" w:hAnsi="Book Antiqua"/>
        </w:rPr>
        <w:t xml:space="preserve">when its CEO operated an Amore commercial motor vehicle without a </w:t>
      </w:r>
      <w:r w:rsidRPr="00B9589A" w:rsidR="00594B0E">
        <w:rPr>
          <w:rFonts w:ascii="Book Antiqua" w:hAnsi="Book Antiqua"/>
        </w:rPr>
        <w:t xml:space="preserve">valid </w:t>
      </w:r>
      <w:r w:rsidRPr="00B9589A">
        <w:rPr>
          <w:rFonts w:ascii="Book Antiqua" w:hAnsi="Book Antiqua"/>
        </w:rPr>
        <w:t>commercial driver’s license and operated an Amore passenger transportation vehicle with a seating capacity of 11 persons without a</w:t>
      </w:r>
      <w:r w:rsidRPr="00B9589A" w:rsidR="00D76B14">
        <w:rPr>
          <w:rFonts w:ascii="Book Antiqua" w:hAnsi="Book Antiqua"/>
        </w:rPr>
        <w:t xml:space="preserve"> commercial</w:t>
      </w:r>
      <w:r w:rsidRPr="00B9589A">
        <w:rPr>
          <w:rFonts w:ascii="Book Antiqua" w:hAnsi="Book Antiqua"/>
        </w:rPr>
        <w:t xml:space="preserve"> endorsement </w:t>
      </w:r>
      <w:r w:rsidRPr="00B9589A" w:rsidR="001558A6">
        <w:rPr>
          <w:rFonts w:ascii="Book Antiqua" w:hAnsi="Book Antiqua"/>
        </w:rPr>
        <w:t>issued by the Department of Motor Vehicles.</w:t>
      </w:r>
    </w:p>
    <w:p w:rsidRPr="00B9589A" w:rsidR="007550B7" w:rsidP="007B4FCC" w:rsidRDefault="007550B7" w14:paraId="5C90A7A2" w14:textId="77777777">
      <w:pPr>
        <w:ind w:left="360"/>
        <w:rPr>
          <w:rFonts w:ascii="Book Antiqua" w:hAnsi="Book Antiqua"/>
        </w:rPr>
      </w:pPr>
    </w:p>
    <w:p w:rsidRPr="00B9589A" w:rsidR="00A82445" w:rsidP="007B4FCC" w:rsidRDefault="00B538FA" w14:paraId="4FB82307" w14:textId="5E8043D0">
      <w:pPr>
        <w:numPr>
          <w:ilvl w:val="0"/>
          <w:numId w:val="6"/>
        </w:numPr>
        <w:ind w:left="360"/>
        <w:rPr>
          <w:rFonts w:ascii="Book Antiqua" w:hAnsi="Book Antiqua"/>
        </w:rPr>
      </w:pPr>
      <w:r w:rsidRPr="00B9589A">
        <w:rPr>
          <w:rFonts w:ascii="Book Antiqua" w:hAnsi="Book Antiqua"/>
        </w:rPr>
        <w:t xml:space="preserve">Amore violated Pub. Util. Code Section 5414.5 by knowingly and willfully holding itself out to the public </w:t>
      </w:r>
      <w:r w:rsidRPr="00B9589A" w:rsidR="007E45BA">
        <w:rPr>
          <w:rFonts w:ascii="Book Antiqua" w:hAnsi="Book Antiqua"/>
        </w:rPr>
        <w:t>that it was</w:t>
      </w:r>
      <w:r w:rsidRPr="00B9589A" w:rsidR="00346F96">
        <w:rPr>
          <w:rFonts w:ascii="Book Antiqua" w:hAnsi="Book Antiqua"/>
        </w:rPr>
        <w:t xml:space="preserve"> operating</w:t>
      </w:r>
      <w:r w:rsidRPr="00B9589A" w:rsidR="007E45BA">
        <w:rPr>
          <w:rFonts w:ascii="Book Antiqua" w:hAnsi="Book Antiqua"/>
        </w:rPr>
        <w:t xml:space="preserve"> as a charter-party carrier during a period when its Commission authority to operate as a charter-party carrier had been suspended</w:t>
      </w:r>
      <w:r w:rsidRPr="00B9589A">
        <w:rPr>
          <w:rFonts w:ascii="Book Antiqua" w:hAnsi="Book Antiqua"/>
        </w:rPr>
        <w:t xml:space="preserve"> when it made two postings on Facebook under the heading “Amore Limousine Service” </w:t>
      </w:r>
      <w:r w:rsidRPr="00B9589A" w:rsidR="00346F96">
        <w:rPr>
          <w:rFonts w:ascii="Book Antiqua" w:hAnsi="Book Antiqua"/>
        </w:rPr>
        <w:t xml:space="preserve">and when </w:t>
      </w:r>
      <w:r w:rsidRPr="00B9589A" w:rsidR="007E45BA">
        <w:rPr>
          <w:rFonts w:ascii="Book Antiqua" w:hAnsi="Book Antiqua"/>
        </w:rPr>
        <w:t xml:space="preserve">Amore’s CEO stated on Yelp’s website that </w:t>
      </w:r>
      <w:r w:rsidRPr="00B9589A" w:rsidR="00346F96">
        <w:rPr>
          <w:rFonts w:ascii="Book Antiqua" w:hAnsi="Book Antiqua"/>
          <w:bCs/>
        </w:rPr>
        <w:t>“</w:t>
      </w:r>
      <w:r w:rsidRPr="00B9589A" w:rsidR="007E45BA">
        <w:rPr>
          <w:rFonts w:ascii="Book Antiqua" w:hAnsi="Book Antiqua"/>
          <w:bCs/>
        </w:rPr>
        <w:t>Amore Limousine Service specializes Napa and Sonoma wine tours</w:t>
      </w:r>
      <w:r w:rsidRPr="00B9589A" w:rsidR="00346F96">
        <w:rPr>
          <w:rFonts w:ascii="Book Antiqua" w:hAnsi="Book Antiqua"/>
          <w:bCs/>
        </w:rPr>
        <w:t>.</w:t>
      </w:r>
      <w:r w:rsidRPr="00B9589A" w:rsidR="007E45BA">
        <w:rPr>
          <w:rFonts w:ascii="Book Antiqua" w:hAnsi="Book Antiqua"/>
          <w:bCs/>
        </w:rPr>
        <w:t>”</w:t>
      </w:r>
    </w:p>
    <w:p w:rsidRPr="00B9589A" w:rsidR="00A82445" w:rsidP="007B4FCC" w:rsidRDefault="00A82445" w14:paraId="6624ADCA" w14:textId="77777777">
      <w:pPr>
        <w:ind w:left="360"/>
        <w:rPr>
          <w:rFonts w:ascii="Book Antiqua" w:hAnsi="Book Antiqua"/>
        </w:rPr>
      </w:pPr>
    </w:p>
    <w:p w:rsidRPr="00B9589A" w:rsidR="003372A0" w:rsidP="007B4FCC" w:rsidRDefault="001B317D" w14:paraId="3B5E19EF" w14:textId="77777777">
      <w:pPr>
        <w:numPr>
          <w:ilvl w:val="0"/>
          <w:numId w:val="6"/>
        </w:numPr>
        <w:ind w:left="360"/>
        <w:rPr>
          <w:rFonts w:ascii="Book Antiqua" w:hAnsi="Book Antiqua"/>
        </w:rPr>
      </w:pPr>
      <w:r w:rsidRPr="00B9589A">
        <w:rPr>
          <w:rFonts w:ascii="Book Antiqua" w:hAnsi="Book Antiqua"/>
        </w:rPr>
        <w:t>The Commission’s penalty of $4,000 on Amore for five violations is below the allowable maximum civil penalty amount of $7,500 per violation set forth in Pub. Util. Code Section 5378(b)</w:t>
      </w:r>
      <w:r w:rsidRPr="00B9589A" w:rsidR="00D76B14">
        <w:rPr>
          <w:rFonts w:ascii="Book Antiqua" w:hAnsi="Book Antiqua"/>
        </w:rPr>
        <w:t xml:space="preserve"> and is supported by the evidence</w:t>
      </w:r>
      <w:r w:rsidRPr="00B9589A">
        <w:rPr>
          <w:rFonts w:ascii="Book Antiqua" w:hAnsi="Book Antiqua"/>
        </w:rPr>
        <w:t>.</w:t>
      </w:r>
    </w:p>
    <w:p w:rsidRPr="00B9589A" w:rsidR="003372A0" w:rsidP="007B4FCC" w:rsidRDefault="003372A0" w14:paraId="2415AB0F" w14:textId="77777777">
      <w:pPr>
        <w:pStyle w:val="ListParagraph"/>
        <w:ind w:left="360"/>
        <w:rPr>
          <w:rFonts w:ascii="Book Antiqua" w:hAnsi="Book Antiqua"/>
        </w:rPr>
      </w:pPr>
    </w:p>
    <w:p w:rsidRPr="00B9589A" w:rsidR="00A82445" w:rsidP="007B4FCC" w:rsidRDefault="003372A0" w14:paraId="282C0DF4" w14:textId="43AC4E76">
      <w:pPr>
        <w:numPr>
          <w:ilvl w:val="0"/>
          <w:numId w:val="6"/>
        </w:numPr>
        <w:ind w:left="360"/>
        <w:rPr>
          <w:rFonts w:ascii="Book Antiqua" w:hAnsi="Book Antiqua"/>
        </w:rPr>
      </w:pPr>
      <w:r w:rsidRPr="00B9589A">
        <w:rPr>
          <w:rFonts w:ascii="Book Antiqua" w:hAnsi="Book Antiqua"/>
        </w:rPr>
        <w:t>CPED’s motion for leave to file its confidential Compliance Filing under seal should be granted.</w:t>
      </w:r>
      <w:r w:rsidRPr="00B9589A" w:rsidR="001B317D">
        <w:rPr>
          <w:rFonts w:ascii="Book Antiqua" w:hAnsi="Book Antiqua"/>
        </w:rPr>
        <w:t xml:space="preserve"> </w:t>
      </w:r>
    </w:p>
    <w:p w:rsidRPr="00B9589A" w:rsidR="00A82445" w:rsidP="007B4FCC" w:rsidRDefault="00A82445" w14:paraId="3D200EE0" w14:textId="77777777">
      <w:pPr>
        <w:ind w:left="360"/>
        <w:rPr>
          <w:rFonts w:ascii="Book Antiqua" w:hAnsi="Book Antiqua"/>
        </w:rPr>
      </w:pPr>
    </w:p>
    <w:p w:rsidRPr="00B9589A" w:rsidR="00443C9B" w:rsidP="007B4FCC" w:rsidRDefault="00163EDE" w14:paraId="5122BBE1" w14:textId="64048F7A">
      <w:pPr>
        <w:numPr>
          <w:ilvl w:val="0"/>
          <w:numId w:val="6"/>
        </w:numPr>
        <w:ind w:left="360"/>
        <w:rPr>
          <w:rFonts w:ascii="Book Antiqua" w:hAnsi="Book Antiqua"/>
        </w:rPr>
      </w:pPr>
      <w:r w:rsidRPr="00B9589A">
        <w:rPr>
          <w:rFonts w:ascii="Book Antiqua" w:hAnsi="Book Antiqua"/>
        </w:rPr>
        <w:t>K.22-06-007</w:t>
      </w:r>
      <w:r w:rsidRPr="00B9589A" w:rsidR="00443C9B">
        <w:rPr>
          <w:rFonts w:ascii="Book Antiqua" w:hAnsi="Book Antiqua"/>
        </w:rPr>
        <w:t xml:space="preserve"> should be closed.</w:t>
      </w:r>
    </w:p>
    <w:p w:rsidR="00C47C2A" w:rsidRDefault="00C47C2A" w14:paraId="3C8E8D77" w14:textId="77777777"/>
    <w:p w:rsidRPr="0030350E" w:rsidR="00C47C2A" w:rsidRDefault="00443C9B" w14:paraId="43D5E932" w14:textId="77777777">
      <w:pPr>
        <w:keepNext/>
        <w:rPr>
          <w:rFonts w:ascii="Book Antiqua" w:hAnsi="Book Antiqua"/>
        </w:rPr>
      </w:pPr>
      <w:r w:rsidRPr="0030350E">
        <w:rPr>
          <w:rFonts w:ascii="Book Antiqua" w:hAnsi="Book Antiqua"/>
          <w:bCs/>
        </w:rPr>
        <w:t>Therefore</w:t>
      </w:r>
      <w:r w:rsidRPr="0030350E" w:rsidR="00C47C2A">
        <w:rPr>
          <w:rFonts w:ascii="Book Antiqua" w:hAnsi="Book Antiqua"/>
          <w:b/>
        </w:rPr>
        <w:t>, IT IS ORDERED</w:t>
      </w:r>
      <w:r w:rsidRPr="0030350E" w:rsidR="00C47C2A">
        <w:rPr>
          <w:rFonts w:ascii="Book Antiqua" w:hAnsi="Book Antiqua"/>
        </w:rPr>
        <w:t xml:space="preserve"> that:</w:t>
      </w:r>
    </w:p>
    <w:p w:rsidRPr="0030350E" w:rsidR="00C47C2A" w:rsidRDefault="00C47C2A" w14:paraId="005FEA46" w14:textId="77777777">
      <w:pPr>
        <w:rPr>
          <w:rFonts w:ascii="Book Antiqua" w:hAnsi="Book Antiqua"/>
        </w:rPr>
      </w:pPr>
    </w:p>
    <w:p w:rsidRPr="00B9589A" w:rsidR="00C47C2A" w:rsidP="007B4FCC" w:rsidRDefault="00443C9B" w14:paraId="7AAB415D" w14:textId="0D42DAF2">
      <w:pPr>
        <w:numPr>
          <w:ilvl w:val="0"/>
          <w:numId w:val="2"/>
        </w:numPr>
        <w:ind w:left="360"/>
        <w:rPr>
          <w:rFonts w:ascii="Book Antiqua" w:hAnsi="Book Antiqua"/>
        </w:rPr>
      </w:pPr>
      <w:r w:rsidRPr="00B9589A">
        <w:rPr>
          <w:rFonts w:ascii="Book Antiqua" w:hAnsi="Book Antiqua"/>
        </w:rPr>
        <w:t xml:space="preserve">The Appeal of </w:t>
      </w:r>
      <w:r w:rsidRPr="00B9589A" w:rsidR="001B317D">
        <w:rPr>
          <w:rFonts w:ascii="Book Antiqua" w:hAnsi="Book Antiqua"/>
        </w:rPr>
        <w:t>Amore Limousine Service Inc.</w:t>
      </w:r>
      <w:r w:rsidRPr="00B9589A">
        <w:rPr>
          <w:rFonts w:ascii="Book Antiqua" w:hAnsi="Book Antiqua"/>
        </w:rPr>
        <w:t xml:space="preserve"> to Citation No. </w:t>
      </w:r>
      <w:r w:rsidRPr="00B9589A" w:rsidR="001B317D">
        <w:rPr>
          <w:rFonts w:ascii="Book Antiqua" w:hAnsi="Book Antiqua"/>
        </w:rPr>
        <w:t>T.22.</w:t>
      </w:r>
      <w:r w:rsidRPr="00B9589A" w:rsidR="00271C33">
        <w:rPr>
          <w:rFonts w:ascii="Book Antiqua" w:hAnsi="Book Antiqua"/>
        </w:rPr>
        <w:t>04-002</w:t>
      </w:r>
      <w:r w:rsidRPr="00B9589A">
        <w:rPr>
          <w:rFonts w:ascii="Book Antiqua" w:hAnsi="Book Antiqua"/>
        </w:rPr>
        <w:t xml:space="preserve"> issued on </w:t>
      </w:r>
      <w:r w:rsidRPr="00B9589A" w:rsidR="00271C33">
        <w:rPr>
          <w:rFonts w:ascii="Book Antiqua" w:hAnsi="Book Antiqua"/>
        </w:rPr>
        <w:t>April 5, 2022</w:t>
      </w:r>
      <w:r w:rsidRPr="00B9589A">
        <w:rPr>
          <w:rFonts w:ascii="Book Antiqua" w:hAnsi="Book Antiqua"/>
        </w:rPr>
        <w:t xml:space="preserve"> by the California Public Utilities Commission’s C</w:t>
      </w:r>
      <w:r w:rsidRPr="00B9589A" w:rsidR="00271C33">
        <w:rPr>
          <w:rFonts w:ascii="Book Antiqua" w:hAnsi="Book Antiqua"/>
        </w:rPr>
        <w:t>onsumer Protection and Enforcement Division</w:t>
      </w:r>
      <w:r w:rsidRPr="00B9589A">
        <w:rPr>
          <w:rFonts w:ascii="Book Antiqua" w:hAnsi="Book Antiqua"/>
        </w:rPr>
        <w:t xml:space="preserve"> is dismissed.</w:t>
      </w:r>
    </w:p>
    <w:p w:rsidRPr="00B9589A" w:rsidR="004628F9" w:rsidP="007B4FCC" w:rsidRDefault="004628F9" w14:paraId="16F786FF" w14:textId="77777777">
      <w:pPr>
        <w:ind w:left="360"/>
        <w:rPr>
          <w:rFonts w:ascii="Book Antiqua" w:hAnsi="Book Antiqua"/>
        </w:rPr>
      </w:pPr>
    </w:p>
    <w:p w:rsidRPr="00B9589A" w:rsidR="008012D1" w:rsidP="007B4FCC" w:rsidRDefault="00443C9B" w14:paraId="3102B064" w14:textId="778CEAE0">
      <w:pPr>
        <w:numPr>
          <w:ilvl w:val="0"/>
          <w:numId w:val="2"/>
        </w:numPr>
        <w:ind w:left="360"/>
        <w:rPr>
          <w:rFonts w:ascii="Book Antiqua" w:hAnsi="Book Antiqua"/>
        </w:rPr>
      </w:pPr>
      <w:r w:rsidRPr="00B9589A">
        <w:rPr>
          <w:rFonts w:ascii="Book Antiqua" w:hAnsi="Book Antiqua"/>
        </w:rPr>
        <w:t xml:space="preserve">The </w:t>
      </w:r>
      <w:r w:rsidRPr="00B9589A" w:rsidR="00271C33">
        <w:rPr>
          <w:rFonts w:ascii="Book Antiqua" w:hAnsi="Book Antiqua"/>
        </w:rPr>
        <w:t xml:space="preserve">five </w:t>
      </w:r>
      <w:r w:rsidRPr="00B9589A">
        <w:rPr>
          <w:rFonts w:ascii="Book Antiqua" w:hAnsi="Book Antiqua"/>
        </w:rPr>
        <w:t>violation</w:t>
      </w:r>
      <w:r w:rsidRPr="00B9589A" w:rsidR="00271C33">
        <w:rPr>
          <w:rFonts w:ascii="Book Antiqua" w:hAnsi="Book Antiqua"/>
        </w:rPr>
        <w:t>s</w:t>
      </w:r>
      <w:r w:rsidRPr="00B9589A">
        <w:rPr>
          <w:rFonts w:ascii="Book Antiqua" w:hAnsi="Book Antiqua"/>
        </w:rPr>
        <w:t xml:space="preserve"> and penalty </w:t>
      </w:r>
      <w:r w:rsidRPr="00B9589A" w:rsidR="00545CA1">
        <w:rPr>
          <w:rFonts w:ascii="Book Antiqua" w:hAnsi="Book Antiqua"/>
        </w:rPr>
        <w:t xml:space="preserve">set </w:t>
      </w:r>
      <w:r w:rsidRPr="00B9589A" w:rsidR="00271C33">
        <w:rPr>
          <w:rFonts w:ascii="Book Antiqua" w:hAnsi="Book Antiqua"/>
        </w:rPr>
        <w:t xml:space="preserve">forth </w:t>
      </w:r>
      <w:r w:rsidRPr="00B9589A">
        <w:rPr>
          <w:rFonts w:ascii="Book Antiqua" w:hAnsi="Book Antiqua"/>
        </w:rPr>
        <w:t xml:space="preserve">in Citation No. </w:t>
      </w:r>
      <w:r w:rsidRPr="00B9589A" w:rsidR="00271C33">
        <w:rPr>
          <w:rFonts w:ascii="Book Antiqua" w:hAnsi="Book Antiqua"/>
        </w:rPr>
        <w:t>T.22.04-002</w:t>
      </w:r>
      <w:r w:rsidRPr="00B9589A">
        <w:rPr>
          <w:rFonts w:ascii="Book Antiqua" w:hAnsi="Book Antiqua"/>
        </w:rPr>
        <w:t xml:space="preserve"> are affirmed.</w:t>
      </w:r>
    </w:p>
    <w:p w:rsidRPr="00B9589A" w:rsidR="00545CA1" w:rsidP="007B4FCC" w:rsidRDefault="00545CA1" w14:paraId="4F35B84E" w14:textId="77777777">
      <w:pPr>
        <w:pStyle w:val="ListParagraph"/>
        <w:ind w:left="360"/>
        <w:rPr>
          <w:rFonts w:ascii="Book Antiqua" w:hAnsi="Book Antiqua"/>
        </w:rPr>
      </w:pPr>
    </w:p>
    <w:p w:rsidRPr="00B9589A" w:rsidR="00545CA1" w:rsidP="007B4FCC" w:rsidRDefault="00271C33" w14:paraId="5AEC6938" w14:textId="444AD018">
      <w:pPr>
        <w:numPr>
          <w:ilvl w:val="0"/>
          <w:numId w:val="2"/>
        </w:numPr>
        <w:ind w:left="360"/>
        <w:rPr>
          <w:rFonts w:ascii="Book Antiqua" w:hAnsi="Book Antiqua"/>
        </w:rPr>
      </w:pPr>
      <w:r w:rsidRPr="00B9589A">
        <w:rPr>
          <w:rFonts w:ascii="Book Antiqua" w:hAnsi="Book Antiqua"/>
        </w:rPr>
        <w:t>Amore Limousine Service Inc.</w:t>
      </w:r>
      <w:r w:rsidRPr="00B9589A" w:rsidR="00545CA1">
        <w:rPr>
          <w:rFonts w:ascii="Book Antiqua" w:hAnsi="Book Antiqua"/>
        </w:rPr>
        <w:t xml:space="preserve"> must pay the penalty of $</w:t>
      </w:r>
      <w:r w:rsidRPr="00B9589A">
        <w:rPr>
          <w:rFonts w:ascii="Book Antiqua" w:hAnsi="Book Antiqua"/>
        </w:rPr>
        <w:t>4</w:t>
      </w:r>
      <w:r w:rsidRPr="00B9589A" w:rsidR="00545CA1">
        <w:rPr>
          <w:rFonts w:ascii="Book Antiqua" w:hAnsi="Book Antiqua"/>
        </w:rPr>
        <w:t xml:space="preserve">,000.00 within </w:t>
      </w:r>
      <w:r w:rsidRPr="00B9589A" w:rsidR="006F3EDB">
        <w:rPr>
          <w:rFonts w:ascii="Book Antiqua" w:hAnsi="Book Antiqua"/>
        </w:rPr>
        <w:t>30</w:t>
      </w:r>
      <w:r w:rsidRPr="00B9589A" w:rsidR="00545CA1">
        <w:rPr>
          <w:rFonts w:ascii="Book Antiqua" w:hAnsi="Book Antiqua"/>
        </w:rPr>
        <w:t xml:space="preserve"> days of the date of issuance of this resolution by check or money order payable to the </w:t>
      </w:r>
      <w:r w:rsidRPr="00B9589A" w:rsidR="005F0B41">
        <w:rPr>
          <w:rFonts w:ascii="Book Antiqua" w:hAnsi="Book Antiqua"/>
        </w:rPr>
        <w:t xml:space="preserve">California Public Utilities Commission and mailed or delivered to the Commission’s </w:t>
      </w:r>
      <w:r w:rsidRPr="00B9589A" w:rsidR="005F0B41">
        <w:rPr>
          <w:rFonts w:ascii="Book Antiqua" w:hAnsi="Book Antiqua"/>
        </w:rPr>
        <w:lastRenderedPageBreak/>
        <w:t xml:space="preserve">Fiscal Office at </w:t>
      </w:r>
      <w:r w:rsidRPr="00B9589A" w:rsidR="00290233">
        <w:rPr>
          <w:rFonts w:ascii="Book Antiqua" w:hAnsi="Book Antiqua"/>
        </w:rPr>
        <w:t>505 Van Ness Avenue, San Francisco, CA 94102</w:t>
      </w:r>
      <w:r w:rsidRPr="00B9589A" w:rsidR="008329E9">
        <w:rPr>
          <w:rFonts w:ascii="Book Antiqua" w:hAnsi="Book Antiqua"/>
        </w:rPr>
        <w:noBreakHyphen/>
      </w:r>
      <w:r w:rsidRPr="00B9589A" w:rsidR="00290233">
        <w:rPr>
          <w:rFonts w:ascii="Book Antiqua" w:hAnsi="Book Antiqua"/>
        </w:rPr>
        <w:t xml:space="preserve">3298.  </w:t>
      </w:r>
      <w:r w:rsidRPr="00B9589A">
        <w:rPr>
          <w:rFonts w:ascii="Book Antiqua" w:hAnsi="Book Antiqua"/>
        </w:rPr>
        <w:t>Amore Limousine Service Inc.</w:t>
      </w:r>
      <w:r w:rsidRPr="00B9589A" w:rsidR="00290233">
        <w:rPr>
          <w:rFonts w:ascii="Book Antiqua" w:hAnsi="Book Antiqua"/>
        </w:rPr>
        <w:t xml:space="preserve"> shall write on the face of the check or money order “For deposit to the State of California General Fund per Resolution ALJ-</w:t>
      </w:r>
      <w:r w:rsidRPr="00B9589A" w:rsidR="00724CF8">
        <w:rPr>
          <w:rFonts w:ascii="Book Antiqua" w:hAnsi="Book Antiqua"/>
        </w:rPr>
        <w:t>428</w:t>
      </w:r>
      <w:r w:rsidRPr="00B9589A" w:rsidR="00290233">
        <w:rPr>
          <w:rFonts w:ascii="Book Antiqua" w:hAnsi="Book Antiqua"/>
        </w:rPr>
        <w:t>.”</w:t>
      </w:r>
    </w:p>
    <w:p w:rsidRPr="00B9589A" w:rsidR="003372A0" w:rsidP="007B4FCC" w:rsidRDefault="003372A0" w14:paraId="6D71614E" w14:textId="77777777">
      <w:pPr>
        <w:pStyle w:val="ListParagraph"/>
        <w:ind w:left="360"/>
        <w:rPr>
          <w:rFonts w:ascii="Book Antiqua" w:hAnsi="Book Antiqua"/>
        </w:rPr>
      </w:pPr>
    </w:p>
    <w:p w:rsidRPr="00B9589A" w:rsidR="003372A0" w:rsidP="007B4FCC" w:rsidRDefault="003372A0" w14:paraId="051E10A6" w14:textId="78A56C80">
      <w:pPr>
        <w:numPr>
          <w:ilvl w:val="0"/>
          <w:numId w:val="2"/>
        </w:numPr>
        <w:ind w:left="360"/>
        <w:rPr>
          <w:rFonts w:ascii="Book Antiqua" w:hAnsi="Book Antiqua"/>
        </w:rPr>
      </w:pPr>
      <w:r w:rsidRPr="00B9589A">
        <w:rPr>
          <w:rFonts w:ascii="Book Antiqua" w:hAnsi="Book Antiqua"/>
        </w:rPr>
        <w:t xml:space="preserve">The </w:t>
      </w:r>
      <w:r w:rsidRPr="00B9589A" w:rsidR="008679B7">
        <w:rPr>
          <w:rFonts w:ascii="Book Antiqua" w:hAnsi="Book Antiqua"/>
        </w:rPr>
        <w:t xml:space="preserve">California Public Utilities Commission </w:t>
      </w:r>
      <w:r w:rsidRPr="00B9589A">
        <w:rPr>
          <w:rFonts w:ascii="Book Antiqua" w:hAnsi="Book Antiqua"/>
        </w:rPr>
        <w:t>Consumer Protection and Enforcement Division’s motion for leave to file its confidential Compliance Filing under seal is granted.</w:t>
      </w:r>
    </w:p>
    <w:p w:rsidRPr="00B9589A" w:rsidR="008012D1" w:rsidP="007B4FCC" w:rsidRDefault="008012D1" w14:paraId="3A8D5DDD" w14:textId="77777777">
      <w:pPr>
        <w:ind w:left="360"/>
      </w:pPr>
    </w:p>
    <w:p w:rsidRPr="00B9589A" w:rsidR="00C47C2A" w:rsidP="007B4FCC" w:rsidRDefault="00163EDE" w14:paraId="5C56BCED" w14:textId="148392A9">
      <w:pPr>
        <w:numPr>
          <w:ilvl w:val="0"/>
          <w:numId w:val="2"/>
        </w:numPr>
        <w:ind w:left="360"/>
        <w:rPr>
          <w:rFonts w:ascii="Book Antiqua" w:hAnsi="Book Antiqua"/>
        </w:rPr>
      </w:pPr>
      <w:r w:rsidRPr="00B9589A">
        <w:rPr>
          <w:rFonts w:ascii="Book Antiqua" w:hAnsi="Book Antiqua"/>
        </w:rPr>
        <w:t>K.22-06-007</w:t>
      </w:r>
      <w:r w:rsidRPr="00B9589A" w:rsidR="00D33BBA">
        <w:rPr>
          <w:rFonts w:ascii="Book Antiqua" w:hAnsi="Book Antiqua"/>
        </w:rPr>
        <w:t xml:space="preserve"> </w:t>
      </w:r>
      <w:r w:rsidRPr="00B9589A" w:rsidR="008012D1">
        <w:rPr>
          <w:rFonts w:ascii="Book Antiqua" w:hAnsi="Book Antiqua"/>
        </w:rPr>
        <w:t>is closed.</w:t>
      </w:r>
    </w:p>
    <w:p w:rsidRPr="00B9589A" w:rsidR="008012D1" w:rsidP="008012D1" w:rsidRDefault="008012D1" w14:paraId="069AC18B" w14:textId="77777777">
      <w:pPr>
        <w:ind w:left="360"/>
        <w:rPr>
          <w:rFonts w:ascii="Book Antiqua" w:hAnsi="Book Antiqua"/>
        </w:rPr>
      </w:pPr>
    </w:p>
    <w:p w:rsidRPr="0030350E" w:rsidR="00C47C2A" w:rsidP="007B4FCC" w:rsidRDefault="00C47C2A" w14:paraId="79FFA51E" w14:textId="77777777">
      <w:pPr>
        <w:ind w:left="360"/>
        <w:rPr>
          <w:rFonts w:ascii="Book Antiqua" w:hAnsi="Book Antiqua"/>
        </w:rPr>
      </w:pPr>
      <w:r w:rsidRPr="00B9589A">
        <w:rPr>
          <w:rFonts w:ascii="Book Antiqua" w:hAnsi="Book Antiqua"/>
        </w:rPr>
        <w:t>This resolution is effective today.</w:t>
      </w:r>
    </w:p>
    <w:p w:rsidRPr="0030350E" w:rsidR="00C47C2A" w:rsidRDefault="00C47C2A" w14:paraId="5F6E75DE" w14:textId="77777777">
      <w:pPr>
        <w:rPr>
          <w:rFonts w:ascii="Book Antiqua" w:hAnsi="Book Antiqua"/>
        </w:rPr>
      </w:pPr>
    </w:p>
    <w:p w:rsidRPr="0030350E" w:rsidR="00C47C2A" w:rsidRDefault="00C47C2A" w14:paraId="2BACBD29" w14:textId="77777777">
      <w:pPr>
        <w:rPr>
          <w:rFonts w:ascii="Book Antiqua" w:hAnsi="Book Antiqua"/>
        </w:rPr>
      </w:pPr>
      <w:r w:rsidRPr="0030350E">
        <w:rPr>
          <w:rFonts w:ascii="Book Antiqua" w:hAnsi="Book Antiqua"/>
        </w:rPr>
        <w:t xml:space="preserve">I certify that the foregoing resolution was duly introduced, passed, and adopted at a conference of the Public Utilities Commission of the State of </w:t>
      </w:r>
      <w:smartTag w:uri="urn:schemas-microsoft-com:office:smarttags" w:element="place">
        <w:smartTag w:uri="urn:schemas-microsoft-com:office:smarttags" w:element="State">
          <w:r w:rsidRPr="0030350E">
            <w:rPr>
              <w:rFonts w:ascii="Book Antiqua" w:hAnsi="Book Antiqua"/>
            </w:rPr>
            <w:t>California</w:t>
          </w:r>
        </w:smartTag>
      </w:smartTag>
      <w:r w:rsidRPr="0030350E">
        <w:rPr>
          <w:rFonts w:ascii="Book Antiqua" w:hAnsi="Book Antiqua"/>
        </w:rPr>
        <w:t xml:space="preserve"> held on _______________, the following Commissioners voting favorably thereon:</w:t>
      </w:r>
    </w:p>
    <w:p w:rsidRPr="0030350E" w:rsidR="00C47C2A" w:rsidRDefault="00C47C2A" w14:paraId="1CE19CDF" w14:textId="77777777">
      <w:pPr>
        <w:rPr>
          <w:rFonts w:ascii="Book Antiqua" w:hAnsi="Book Antiqua"/>
        </w:rPr>
      </w:pPr>
    </w:p>
    <w:p w:rsidRPr="0030350E" w:rsidR="00C47C2A" w:rsidRDefault="00C47C2A" w14:paraId="164BDBB9" w14:textId="4DC02D3E">
      <w:pPr>
        <w:rPr>
          <w:rFonts w:ascii="Book Antiqua" w:hAnsi="Book Antiqua"/>
        </w:rPr>
      </w:pPr>
    </w:p>
    <w:tbl>
      <w:tblPr>
        <w:tblW w:w="0" w:type="auto"/>
        <w:tblInd w:w="4428" w:type="dxa"/>
        <w:tblLayout w:type="fixed"/>
        <w:tblLook w:val="0000" w:firstRow="0" w:lastRow="0" w:firstColumn="0" w:lastColumn="0" w:noHBand="0" w:noVBand="0"/>
      </w:tblPr>
      <w:tblGrid>
        <w:gridCol w:w="3780"/>
      </w:tblGrid>
      <w:tr w:rsidR="00C47C2A" w14:paraId="635AF4DE" w14:textId="77777777">
        <w:tc>
          <w:tcPr>
            <w:tcW w:w="3780" w:type="dxa"/>
            <w:tcBorders>
              <w:bottom w:val="single" w:color="auto" w:sz="6" w:space="0"/>
            </w:tcBorders>
          </w:tcPr>
          <w:p w:rsidRPr="0030350E" w:rsidR="00C47C2A" w:rsidRDefault="00C47C2A" w14:paraId="77391156" w14:textId="77777777">
            <w:pPr>
              <w:jc w:val="center"/>
              <w:rPr>
                <w:rFonts w:ascii="Book Antiqua" w:hAnsi="Book Antiqua"/>
              </w:rPr>
            </w:pPr>
          </w:p>
        </w:tc>
      </w:tr>
      <w:tr w:rsidR="00C47C2A" w14:paraId="0256BD1A" w14:textId="77777777">
        <w:tc>
          <w:tcPr>
            <w:tcW w:w="3780" w:type="dxa"/>
          </w:tcPr>
          <w:p w:rsidRPr="0030350E" w:rsidR="00C47C2A" w:rsidRDefault="003A6E0C" w14:paraId="3370E6C1" w14:textId="77777777">
            <w:pPr>
              <w:spacing w:before="120"/>
              <w:jc w:val="center"/>
              <w:rPr>
                <w:rFonts w:ascii="Book Antiqua" w:hAnsi="Book Antiqua"/>
              </w:rPr>
            </w:pPr>
            <w:r w:rsidRPr="0030350E">
              <w:rPr>
                <w:rFonts w:ascii="Book Antiqua" w:hAnsi="Book Antiqua"/>
              </w:rPr>
              <w:t>RACHEL PETERSON</w:t>
            </w:r>
          </w:p>
          <w:p w:rsidRPr="0030350E" w:rsidR="00C47C2A" w:rsidRDefault="00C47C2A" w14:paraId="0D51487E" w14:textId="77777777">
            <w:pPr>
              <w:jc w:val="center"/>
              <w:rPr>
                <w:rFonts w:ascii="Book Antiqua" w:hAnsi="Book Antiqua"/>
              </w:rPr>
            </w:pPr>
            <w:r w:rsidRPr="0030350E">
              <w:rPr>
                <w:rFonts w:ascii="Book Antiqua" w:hAnsi="Book Antiqua"/>
              </w:rPr>
              <w:t>Executive Director</w:t>
            </w:r>
          </w:p>
        </w:tc>
      </w:tr>
    </w:tbl>
    <w:p w:rsidR="008D0B36" w:rsidRDefault="008D0B36" w14:paraId="4133E509" w14:textId="77777777">
      <w:pPr>
        <w:pStyle w:val="standard"/>
        <w:spacing w:line="240" w:lineRule="auto"/>
        <w:sectPr w:rsidR="008D0B36" w:rsidSect="00C33F3A">
          <w:headerReference w:type="first" r:id="rId11"/>
          <w:footerReference w:type="first" r:id="rId12"/>
          <w:pgSz w:w="12240" w:h="15840" w:code="1"/>
          <w:pgMar w:top="1440" w:right="1440" w:bottom="1440" w:left="1440" w:header="720" w:footer="720" w:gutter="0"/>
          <w:pgNumType w:fmt="numberInDash" w:start="1"/>
          <w:cols w:space="720"/>
          <w:titlePg/>
        </w:sectPr>
      </w:pPr>
    </w:p>
    <w:p w:rsidRPr="00070884" w:rsidR="008D0B36" w:rsidP="008D0B36" w:rsidRDefault="008D0B36" w14:paraId="1662CCB9" w14:textId="10D19B8D">
      <w:pPr>
        <w:widowControl w:val="0"/>
        <w:tabs>
          <w:tab w:val="center" w:pos="4320"/>
          <w:tab w:val="right" w:pos="8640"/>
        </w:tabs>
        <w:rPr>
          <w:rFonts w:ascii="Book Antiqua" w:hAnsi="Book Antiqua"/>
          <w:sz w:val="26"/>
        </w:rPr>
      </w:pPr>
      <w:r>
        <w:rPr>
          <w:rFonts w:ascii="Book Antiqua" w:hAnsi="Book Antiqua"/>
          <w:sz w:val="26"/>
        </w:rPr>
        <w:lastRenderedPageBreak/>
        <w:t>ALJ</w:t>
      </w:r>
      <w:r w:rsidRPr="00070884">
        <w:rPr>
          <w:rFonts w:ascii="Book Antiqua" w:hAnsi="Book Antiqua"/>
          <w:sz w:val="26"/>
        </w:rPr>
        <w:t>/</w:t>
      </w:r>
      <w:r>
        <w:rPr>
          <w:rFonts w:ascii="Book Antiqua" w:hAnsi="Book Antiqua"/>
          <w:sz w:val="26"/>
        </w:rPr>
        <w:t>PWI</w:t>
      </w:r>
      <w:r w:rsidRPr="00070884">
        <w:rPr>
          <w:rFonts w:ascii="Book Antiqua" w:hAnsi="Book Antiqua"/>
          <w:sz w:val="26"/>
        </w:rPr>
        <w:t>/</w:t>
      </w:r>
      <w:proofErr w:type="spellStart"/>
      <w:r>
        <w:rPr>
          <w:rFonts w:ascii="Book Antiqua" w:hAnsi="Book Antiqua"/>
          <w:sz w:val="26"/>
        </w:rPr>
        <w:t>sgu</w:t>
      </w:r>
      <w:proofErr w:type="spellEnd"/>
    </w:p>
    <w:p w:rsidRPr="00070884" w:rsidR="008D0B36" w:rsidP="008D0B36" w:rsidRDefault="008D0B36" w14:paraId="675497E5" w14:textId="77777777">
      <w:pPr>
        <w:widowControl w:val="0"/>
        <w:tabs>
          <w:tab w:val="center" w:pos="4320"/>
          <w:tab w:val="right" w:pos="8640"/>
        </w:tabs>
        <w:rPr>
          <w:sz w:val="26"/>
        </w:rPr>
      </w:pPr>
    </w:p>
    <w:p w:rsidRPr="00070884" w:rsidR="008D0B36" w:rsidP="008D0B36" w:rsidRDefault="008D0B36" w14:paraId="33540FFF" w14:textId="77777777">
      <w:pPr>
        <w:widowControl w:val="0"/>
        <w:tabs>
          <w:tab w:val="center" w:pos="4320"/>
          <w:tab w:val="right" w:pos="8640"/>
        </w:tabs>
        <w:rPr>
          <w:sz w:val="26"/>
        </w:rPr>
      </w:pPr>
    </w:p>
    <w:p w:rsidRPr="00070884" w:rsidR="008D0B36" w:rsidP="008D0B36" w:rsidRDefault="008D0B36" w14:paraId="3AF68161" w14:textId="77777777">
      <w:pPr>
        <w:suppressAutoHyphens/>
        <w:rPr>
          <w:rFonts w:ascii="Arial" w:hAnsi="Arial" w:cs="Arial"/>
          <w:b/>
        </w:rPr>
      </w:pPr>
      <w:r w:rsidRPr="00070884">
        <w:rPr>
          <w:rFonts w:ascii="Arial" w:hAnsi="Arial" w:cs="Arial"/>
          <w:b/>
        </w:rPr>
        <w:t>BEFORE THE PUBLIC UTILITIES COMMISSION OF THE STATE OF CALIFORNIA</w:t>
      </w:r>
    </w:p>
    <w:p w:rsidRPr="00070884" w:rsidR="008D0B36" w:rsidP="008D0B36" w:rsidRDefault="008D0B36" w14:paraId="1DCE349E" w14:textId="77777777">
      <w:pPr>
        <w:suppressAutoHyphens/>
        <w:rPr>
          <w:sz w:val="26"/>
        </w:rPr>
      </w:pPr>
    </w:p>
    <w:p w:rsidR="008D0B36" w:rsidP="008D0B36" w:rsidRDefault="008D0B36" w14:paraId="0AC544BA" w14:textId="77777777"/>
    <w:p w:rsidRPr="0030350E" w:rsidR="008D0B36" w:rsidP="008D0B36" w:rsidRDefault="008D0B36" w14:paraId="1472A122" w14:textId="77777777">
      <w:pPr>
        <w:pStyle w:val="BlockText"/>
        <w:rPr>
          <w:rFonts w:ascii="Book Antiqua" w:hAnsi="Book Antiqua"/>
          <w:u w:val="single"/>
        </w:rPr>
      </w:pPr>
      <w:r w:rsidRPr="0030350E">
        <w:rPr>
          <w:rFonts w:ascii="Book Antiqua" w:hAnsi="Book Antiqua"/>
        </w:rPr>
        <w:t>RESOLUTION ALJ-428.  Resolves the Appeal K.22-06-007 of Citation No. T.22.04-002 by Amore Limousine Service Inc.</w:t>
      </w:r>
    </w:p>
    <w:p w:rsidRPr="00070884" w:rsidR="008D0B36" w:rsidP="008D0B36" w:rsidRDefault="008D0B36" w14:paraId="55242CF7" w14:textId="77777777">
      <w:pPr>
        <w:suppressAutoHyphens/>
        <w:rPr>
          <w:sz w:val="26"/>
        </w:rPr>
      </w:pPr>
    </w:p>
    <w:p w:rsidRPr="00070884" w:rsidR="008D0B36" w:rsidP="008D0B36" w:rsidRDefault="008D0B36" w14:paraId="67DDF391" w14:textId="77777777">
      <w:pPr>
        <w:jc w:val="center"/>
        <w:rPr>
          <w:rFonts w:ascii="Arial" w:hAnsi="Arial" w:cs="Arial"/>
          <w:b/>
          <w:sz w:val="26"/>
          <w:szCs w:val="26"/>
        </w:rPr>
      </w:pPr>
      <w:r w:rsidRPr="00070884">
        <w:rPr>
          <w:rFonts w:ascii="Arial" w:hAnsi="Arial" w:cs="Arial"/>
          <w:b/>
          <w:sz w:val="26"/>
          <w:szCs w:val="26"/>
        </w:rPr>
        <w:t>INFORMATION REGARDING SERVICE</w:t>
      </w:r>
    </w:p>
    <w:p w:rsidRPr="00070884" w:rsidR="008D0B36" w:rsidP="008D0B36" w:rsidRDefault="008D0B36" w14:paraId="48D5FAD6" w14:textId="77777777">
      <w:pPr>
        <w:suppressAutoHyphens/>
        <w:rPr>
          <w:sz w:val="26"/>
          <w:szCs w:val="26"/>
        </w:rPr>
      </w:pPr>
    </w:p>
    <w:p w:rsidRPr="00070884" w:rsidR="008D0B36" w:rsidP="008D0B36" w:rsidRDefault="008D0B36" w14:paraId="5404B291" w14:textId="4CD9B8EB">
      <w:pPr>
        <w:spacing w:line="360" w:lineRule="auto"/>
        <w:ind w:firstLine="720"/>
        <w:rPr>
          <w:rFonts w:ascii="Book Antiqua" w:hAnsi="Book Antiqua"/>
          <w:sz w:val="26"/>
        </w:rPr>
      </w:pPr>
      <w:r w:rsidRPr="00070884">
        <w:rPr>
          <w:rFonts w:ascii="Book Antiqua" w:hAnsi="Book Antiqua"/>
          <w:sz w:val="26"/>
        </w:rPr>
        <w:t xml:space="preserve">I have electronically served all persons on the attached official service list who have provided an e-mail address for </w:t>
      </w:r>
      <w:r w:rsidRPr="006D064C">
        <w:rPr>
          <w:rFonts w:ascii="Book Antiqua" w:hAnsi="Book Antiqua"/>
        </w:rPr>
        <w:t>K</w:t>
      </w:r>
      <w:r>
        <w:rPr>
          <w:rFonts w:ascii="Book Antiqua" w:hAnsi="Book Antiqua"/>
        </w:rPr>
        <w:t>.22-06-007.</w:t>
      </w:r>
    </w:p>
    <w:p w:rsidRPr="00070884" w:rsidR="008D0B36" w:rsidP="008D0B36" w:rsidRDefault="008D0B36" w14:paraId="534341D0" w14:textId="77777777">
      <w:pPr>
        <w:spacing w:line="360" w:lineRule="auto"/>
        <w:ind w:firstLine="720"/>
        <w:rPr>
          <w:rFonts w:ascii="Book Antiqua" w:hAnsi="Book Antiqua"/>
          <w:sz w:val="26"/>
        </w:rPr>
      </w:pPr>
      <w:r w:rsidRPr="00070884">
        <w:rPr>
          <w:rFonts w:ascii="Book Antiqua" w:hAnsi="Book Antiqua"/>
          <w:sz w:val="26"/>
        </w:rPr>
        <w:t>Upon confirmation of this document’s acceptance for filing, I will cause a copy of the filed document to be served by U.S. mail on all parties listed in the “Party” category of the official service list for whom no e-mail address is provided.</w:t>
      </w:r>
    </w:p>
    <w:p w:rsidRPr="00070884" w:rsidR="008D0B36" w:rsidP="008D0B36" w:rsidRDefault="008D0B36" w14:paraId="564099EF" w14:textId="0A8EE546">
      <w:pPr>
        <w:spacing w:line="360" w:lineRule="auto"/>
        <w:ind w:firstLine="720"/>
        <w:rPr>
          <w:rFonts w:ascii="Book Antiqua" w:hAnsi="Book Antiqua"/>
          <w:sz w:val="26"/>
        </w:rPr>
      </w:pPr>
      <w:r w:rsidRPr="00070884">
        <w:rPr>
          <w:rFonts w:ascii="Book Antiqua" w:hAnsi="Book Antiqua"/>
          <w:sz w:val="26"/>
        </w:rPr>
        <w:t xml:space="preserve">Dated </w:t>
      </w:r>
      <w:r>
        <w:rPr>
          <w:rFonts w:ascii="Book Antiqua" w:hAnsi="Book Antiqua"/>
          <w:sz w:val="26"/>
        </w:rPr>
        <w:t>November 21, 2022,</w:t>
      </w:r>
      <w:r w:rsidRPr="00070884">
        <w:rPr>
          <w:rFonts w:ascii="Book Antiqua" w:hAnsi="Book Antiqua"/>
          <w:sz w:val="26"/>
        </w:rPr>
        <w:t xml:space="preserve"> at San Francisco, California.</w:t>
      </w:r>
    </w:p>
    <w:p w:rsidRPr="00070884" w:rsidR="008D0B36" w:rsidP="008D0B36" w:rsidRDefault="008D0B36" w14:paraId="075E49B5" w14:textId="77777777">
      <w:pPr>
        <w:rPr>
          <w:rFonts w:ascii="Book Antiqua" w:hAnsi="Book Antiqua"/>
          <w:sz w:val="26"/>
        </w:rPr>
      </w:pPr>
    </w:p>
    <w:p w:rsidRPr="00070884" w:rsidR="008D0B36" w:rsidP="008D0B36" w:rsidRDefault="008D0B36" w14:paraId="473E5D1A" w14:textId="77777777">
      <w:pPr>
        <w:rPr>
          <w:rFonts w:ascii="Book Antiqua" w:hAnsi="Book Antiqua"/>
          <w:sz w:val="26"/>
        </w:rPr>
      </w:pPr>
    </w:p>
    <w:tbl>
      <w:tblPr>
        <w:tblW w:w="8928" w:type="dxa"/>
        <w:tblLayout w:type="fixed"/>
        <w:tblLook w:val="0000" w:firstRow="0" w:lastRow="0" w:firstColumn="0" w:lastColumn="0" w:noHBand="0" w:noVBand="0"/>
      </w:tblPr>
      <w:tblGrid>
        <w:gridCol w:w="4248"/>
        <w:gridCol w:w="4680"/>
      </w:tblGrid>
      <w:tr w:rsidRPr="00070884" w:rsidR="008D0B36" w:rsidTr="0042242F" w14:paraId="425469EF" w14:textId="77777777">
        <w:tc>
          <w:tcPr>
            <w:tcW w:w="4248" w:type="dxa"/>
          </w:tcPr>
          <w:p w:rsidRPr="00070884" w:rsidR="008D0B36" w:rsidP="0042242F" w:rsidRDefault="008D0B36" w14:paraId="3E8678B3" w14:textId="77777777">
            <w:pPr>
              <w:jc w:val="center"/>
              <w:rPr>
                <w:rFonts w:ascii="Book Antiqua" w:hAnsi="Book Antiqua"/>
                <w:sz w:val="26"/>
                <w:szCs w:val="26"/>
              </w:rPr>
            </w:pPr>
            <w:r>
              <w:rPr>
                <w:rFonts w:ascii="Book Antiqua" w:hAnsi="Book Antiqua"/>
                <w:sz w:val="26"/>
                <w:szCs w:val="26"/>
              </w:rPr>
              <w:t xml:space="preserve">             </w:t>
            </w:r>
          </w:p>
        </w:tc>
        <w:tc>
          <w:tcPr>
            <w:tcW w:w="4680" w:type="dxa"/>
            <w:tcBorders>
              <w:bottom w:val="single" w:color="auto" w:sz="4" w:space="0"/>
            </w:tcBorders>
          </w:tcPr>
          <w:p w:rsidRPr="00070884" w:rsidR="008D0B36" w:rsidP="0042242F" w:rsidRDefault="008D0B36" w14:paraId="47D14517" w14:textId="77777777">
            <w:pPr>
              <w:jc w:val="center"/>
              <w:rPr>
                <w:rFonts w:ascii="Book Antiqua" w:hAnsi="Book Antiqua"/>
                <w:sz w:val="26"/>
                <w:szCs w:val="26"/>
              </w:rPr>
            </w:pPr>
            <w:r>
              <w:rPr>
                <w:rFonts w:ascii="Book Antiqua" w:hAnsi="Book Antiqua"/>
                <w:sz w:val="26"/>
                <w:szCs w:val="26"/>
              </w:rPr>
              <w:t>/s/  SHANE GUTTO</w:t>
            </w:r>
          </w:p>
        </w:tc>
      </w:tr>
      <w:tr w:rsidRPr="00070884" w:rsidR="008D0B36" w:rsidTr="0042242F" w14:paraId="6385600C" w14:textId="77777777">
        <w:trPr>
          <w:trHeight w:val="345"/>
        </w:trPr>
        <w:tc>
          <w:tcPr>
            <w:tcW w:w="4248" w:type="dxa"/>
          </w:tcPr>
          <w:p w:rsidRPr="00070884" w:rsidR="008D0B36" w:rsidP="0042242F" w:rsidRDefault="008D0B36" w14:paraId="3B70C2DA" w14:textId="77777777">
            <w:pPr>
              <w:jc w:val="center"/>
              <w:rPr>
                <w:rFonts w:ascii="Book Antiqua" w:hAnsi="Book Antiqua"/>
                <w:sz w:val="26"/>
                <w:szCs w:val="26"/>
              </w:rPr>
            </w:pPr>
          </w:p>
        </w:tc>
        <w:tc>
          <w:tcPr>
            <w:tcW w:w="4680" w:type="dxa"/>
            <w:tcBorders>
              <w:top w:val="single" w:color="auto" w:sz="4" w:space="0"/>
            </w:tcBorders>
          </w:tcPr>
          <w:p w:rsidRPr="00070884" w:rsidR="008D0B36" w:rsidP="0042242F" w:rsidRDefault="008D0B36" w14:paraId="6FEFF48B" w14:textId="77777777">
            <w:pPr>
              <w:jc w:val="center"/>
              <w:rPr>
                <w:rFonts w:ascii="Book Antiqua" w:hAnsi="Book Antiqua"/>
                <w:sz w:val="26"/>
                <w:szCs w:val="26"/>
              </w:rPr>
            </w:pPr>
            <w:r>
              <w:rPr>
                <w:rFonts w:ascii="Book Antiqua" w:hAnsi="Book Antiqua"/>
                <w:sz w:val="26"/>
                <w:szCs w:val="26"/>
              </w:rPr>
              <w:t>Shane Gutto</w:t>
            </w:r>
          </w:p>
        </w:tc>
      </w:tr>
    </w:tbl>
    <w:p w:rsidRPr="00070884" w:rsidR="008D0B36" w:rsidP="008D0B36" w:rsidRDefault="008D0B36" w14:paraId="0EC28767" w14:textId="77777777">
      <w:pPr>
        <w:autoSpaceDE w:val="0"/>
        <w:autoSpaceDN w:val="0"/>
        <w:adjustRightInd w:val="0"/>
        <w:jc w:val="center"/>
        <w:rPr>
          <w:rFonts w:ascii="Book Antiqua" w:hAnsi="Book Antiqua" w:cs="Helvetica"/>
          <w:b/>
          <w:bCs/>
          <w:spacing w:val="120"/>
          <w:sz w:val="26"/>
          <w:szCs w:val="26"/>
        </w:rPr>
        <w:sectPr w:rsidRPr="00070884" w:rsidR="008D0B36" w:rsidSect="001159C9">
          <w:headerReference w:type="default" r:id="rId13"/>
          <w:footerReference w:type="default" r:id="rId14"/>
          <w:headerReference w:type="first" r:id="rId15"/>
          <w:footerReference w:type="first" r:id="rId16"/>
          <w:pgSz w:w="12240" w:h="15840"/>
          <w:pgMar w:top="1728" w:right="1440" w:bottom="1440" w:left="1440" w:header="720" w:footer="720" w:gutter="0"/>
          <w:pgNumType w:fmt="numberInDash" w:start="2"/>
          <w:cols w:space="720"/>
          <w:titlePg/>
          <w:docGrid w:linePitch="360"/>
        </w:sectPr>
      </w:pPr>
    </w:p>
    <w:p w:rsidRPr="00070884" w:rsidR="008D0B36" w:rsidP="008D0B36" w:rsidRDefault="008D0B36" w14:paraId="57D12221" w14:textId="77777777">
      <w:pPr>
        <w:autoSpaceDE w:val="0"/>
        <w:autoSpaceDN w:val="0"/>
        <w:adjustRightInd w:val="0"/>
        <w:jc w:val="center"/>
        <w:rPr>
          <w:rFonts w:ascii="Book Antiqua" w:hAnsi="Book Antiqua" w:cs="Helvetica"/>
          <w:b/>
          <w:bCs/>
          <w:spacing w:val="120"/>
          <w:sz w:val="26"/>
          <w:szCs w:val="26"/>
        </w:rPr>
        <w:sectPr w:rsidRPr="00070884" w:rsidR="008D0B36" w:rsidSect="00FA0F86">
          <w:headerReference w:type="first" r:id="rId17"/>
          <w:footerReference w:type="first" r:id="rId18"/>
          <w:type w:val="continuous"/>
          <w:pgSz w:w="12240" w:h="15840"/>
          <w:pgMar w:top="1728" w:right="1440" w:bottom="1440" w:left="1440" w:header="720" w:footer="720" w:gutter="0"/>
          <w:pgNumType w:fmt="numberInDash" w:start="1"/>
          <w:cols w:space="720"/>
          <w:titlePg/>
          <w:docGrid w:linePitch="360"/>
        </w:sectPr>
      </w:pPr>
    </w:p>
    <w:p w:rsidRPr="00070884" w:rsidR="008D0B36" w:rsidP="008D0B36" w:rsidRDefault="008D0B36" w14:paraId="0D17302C" w14:textId="77777777">
      <w:pPr>
        <w:autoSpaceDE w:val="0"/>
        <w:autoSpaceDN w:val="0"/>
        <w:adjustRightInd w:val="0"/>
        <w:jc w:val="center"/>
        <w:rPr>
          <w:rFonts w:ascii="Arial" w:hAnsi="Arial" w:cs="Arial"/>
          <w:b/>
          <w:bCs/>
          <w:spacing w:val="120"/>
          <w:sz w:val="26"/>
          <w:szCs w:val="26"/>
        </w:rPr>
      </w:pPr>
      <w:r w:rsidRPr="00070884">
        <w:rPr>
          <w:rFonts w:ascii="Arial" w:hAnsi="Arial" w:cs="Arial"/>
          <w:b/>
          <w:bCs/>
          <w:spacing w:val="120"/>
          <w:sz w:val="26"/>
          <w:szCs w:val="26"/>
        </w:rPr>
        <w:lastRenderedPageBreak/>
        <w:t>NOTICE</w:t>
      </w:r>
    </w:p>
    <w:p w:rsidRPr="00070884" w:rsidR="008D0B36" w:rsidP="008D0B36" w:rsidRDefault="008D0B36" w14:paraId="4D9FB5D7" w14:textId="77777777">
      <w:pPr>
        <w:autoSpaceDE w:val="0"/>
        <w:autoSpaceDN w:val="0"/>
        <w:adjustRightInd w:val="0"/>
        <w:rPr>
          <w:rFonts w:ascii="Helvetica" w:hAnsi="Helvetica" w:cs="Helvetica"/>
          <w:szCs w:val="24"/>
        </w:rPr>
      </w:pPr>
    </w:p>
    <w:p w:rsidRPr="00070884" w:rsidR="008D0B36" w:rsidP="008D0B36" w:rsidRDefault="008D0B36" w14:paraId="030FD93E"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rsidRPr="00070884" w:rsidR="008D0B36" w:rsidP="008D0B36" w:rsidRDefault="008D0B36" w14:paraId="120DD4BA" w14:textId="77777777">
      <w:pPr>
        <w:autoSpaceDE w:val="0"/>
        <w:autoSpaceDN w:val="0"/>
        <w:adjustRightInd w:val="0"/>
        <w:ind w:left="720" w:right="1080"/>
        <w:rPr>
          <w:rFonts w:ascii="Arial" w:hAnsi="Arial" w:cs="Arial"/>
          <w:szCs w:val="24"/>
        </w:rPr>
      </w:pPr>
    </w:p>
    <w:p w:rsidRPr="00070884" w:rsidR="008D0B36" w:rsidP="008D0B36" w:rsidRDefault="008D0B36" w14:paraId="37A695B3" w14:textId="77777777">
      <w:pPr>
        <w:tabs>
          <w:tab w:val="left" w:pos="0"/>
        </w:tabs>
        <w:autoSpaceDE w:val="0"/>
        <w:autoSpaceDN w:val="0"/>
        <w:adjustRightInd w:val="0"/>
        <w:ind w:left="720" w:right="1080"/>
        <w:rPr>
          <w:rFonts w:ascii="Arial" w:hAnsi="Arial" w:cs="Arial"/>
          <w:szCs w:val="24"/>
        </w:rPr>
      </w:pPr>
      <w:r w:rsidRPr="00070884">
        <w:rPr>
          <w:rFonts w:ascii="Arial" w:hAnsi="Arial" w:cs="Arial"/>
          <w:szCs w:val="24"/>
        </w:rPr>
        <w:t xml:space="preserve">* * * * * * * * * * * * * * * * * * * * * * * * * * * * * * * * * * * * * * * * * * * * * * </w:t>
      </w:r>
    </w:p>
    <w:p w:rsidRPr="00070884" w:rsidR="008D0B36" w:rsidP="008D0B36" w:rsidRDefault="008D0B36" w14:paraId="0CC9D25E" w14:textId="77777777">
      <w:pPr>
        <w:tabs>
          <w:tab w:val="left" w:pos="0"/>
        </w:tabs>
        <w:autoSpaceDE w:val="0"/>
        <w:autoSpaceDN w:val="0"/>
        <w:adjustRightInd w:val="0"/>
        <w:ind w:left="720" w:right="1440"/>
        <w:rPr>
          <w:rFonts w:ascii="Arial" w:hAnsi="Arial" w:cs="Arial"/>
          <w:sz w:val="18"/>
          <w:szCs w:val="18"/>
        </w:rPr>
      </w:pPr>
    </w:p>
    <w:p w:rsidRPr="00070884" w:rsidR="008D0B36" w:rsidP="008D0B36" w:rsidRDefault="008D0B36" w14:paraId="35980790" w14:textId="77777777">
      <w:pPr>
        <w:tabs>
          <w:tab w:val="left" w:pos="0"/>
        </w:tabs>
        <w:autoSpaceDE w:val="0"/>
        <w:autoSpaceDN w:val="0"/>
        <w:adjustRightInd w:val="0"/>
        <w:ind w:left="720" w:right="900"/>
        <w:rPr>
          <w:rFonts w:ascii="Arial" w:hAnsi="Arial" w:cs="Arial"/>
          <w:szCs w:val="24"/>
        </w:rPr>
      </w:pPr>
      <w:r w:rsidRPr="00070884">
        <w:rPr>
          <w:rFonts w:ascii="Arial" w:hAnsi="Arial" w:cs="Arial"/>
          <w:szCs w:val="24"/>
        </w:rPr>
        <w:t>The Commission’s policy is to schedule hearings (meetings, workshops, etc.) in locations that are accessible to people with disabilities.  To verify that a particular location is accessible, call: Calendar Clerk (415) 703</w:t>
      </w:r>
      <w:r w:rsidRPr="00070884">
        <w:rPr>
          <w:rFonts w:ascii="Arial" w:hAnsi="Arial" w:cs="Arial"/>
          <w:szCs w:val="24"/>
        </w:rPr>
        <w:noBreakHyphen/>
        <w:t>1203.</w:t>
      </w:r>
    </w:p>
    <w:p w:rsidRPr="00070884" w:rsidR="008D0B36" w:rsidP="008D0B36" w:rsidRDefault="008D0B36" w14:paraId="2466E79F" w14:textId="77777777">
      <w:pPr>
        <w:tabs>
          <w:tab w:val="left" w:pos="0"/>
        </w:tabs>
        <w:autoSpaceDE w:val="0"/>
        <w:autoSpaceDN w:val="0"/>
        <w:adjustRightInd w:val="0"/>
        <w:ind w:left="720" w:right="900"/>
        <w:rPr>
          <w:rFonts w:ascii="Arial" w:hAnsi="Arial" w:cs="Arial"/>
          <w:szCs w:val="24"/>
        </w:rPr>
      </w:pPr>
    </w:p>
    <w:p w:rsidRPr="00070884" w:rsidR="008D0B36" w:rsidP="008D0B36" w:rsidRDefault="008D0B36" w14:paraId="1AD07D1B" w14:textId="77777777">
      <w:pPr>
        <w:tabs>
          <w:tab w:val="left" w:pos="0"/>
        </w:tabs>
        <w:autoSpaceDE w:val="0"/>
        <w:autoSpaceDN w:val="0"/>
        <w:adjustRightInd w:val="0"/>
        <w:ind w:left="720" w:right="900"/>
        <w:rPr>
          <w:rFonts w:ascii="Arial" w:hAnsi="Arial" w:cs="Arial"/>
          <w:szCs w:val="24"/>
        </w:rPr>
        <w:sectPr w:rsidRPr="00070884" w:rsidR="008D0B36" w:rsidSect="001159C9">
          <w:headerReference w:type="first" r:id="rId19"/>
          <w:footerReference w:type="first" r:id="rId20"/>
          <w:pgSz w:w="12240" w:h="15840"/>
          <w:pgMar w:top="1728" w:right="1440" w:bottom="1440" w:left="1440" w:header="720" w:footer="720" w:gutter="0"/>
          <w:pgNumType w:fmt="numberInDash" w:start="2"/>
          <w:cols w:space="720"/>
          <w:titlePg/>
          <w:docGrid w:linePitch="360"/>
        </w:sectPr>
      </w:pPr>
      <w:r w:rsidRPr="00070884">
        <w:rPr>
          <w:rFonts w:ascii="Arial" w:hAnsi="Arial" w:cs="Arial"/>
          <w:szCs w:val="24"/>
        </w:rPr>
        <w:t>If specialized accommodations for the disabled are needed, e.g., sign language interpreters, those making the arrangements must call the Public Advisor at (415) 703</w:t>
      </w:r>
      <w:r w:rsidRPr="00070884">
        <w:rPr>
          <w:rFonts w:ascii="Arial" w:hAnsi="Arial" w:cs="Arial"/>
          <w:szCs w:val="24"/>
        </w:rPr>
        <w:noBreakHyphen/>
        <w:t>2074 or TDD# (415) 703-2032 five working days in advance of the event</w:t>
      </w:r>
      <w:r>
        <w:rPr>
          <w:rFonts w:ascii="Arial" w:hAnsi="Arial" w:cs="Arial"/>
          <w:szCs w:val="24"/>
        </w:rPr>
        <w:t>.</w:t>
      </w: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A7688F" w:rsidTr="00752AD0" w14:paraId="6306E963" w14:textId="77777777">
        <w:tc>
          <w:tcPr>
            <w:tcW w:w="5400" w:type="dxa"/>
            <w:tcBorders>
              <w:top w:val="nil"/>
              <w:left w:val="nil"/>
              <w:bottom w:val="nil"/>
              <w:right w:val="nil"/>
            </w:tcBorders>
          </w:tcPr>
          <w:p w:rsidR="00A7688F" w:rsidP="00752AD0" w:rsidRDefault="00A7688F" w14:paraId="4A4669F1" w14:textId="313C420A">
            <w:pPr>
              <w:rPr>
                <w:sz w:val="18"/>
                <w:szCs w:val="18"/>
              </w:rPr>
            </w:pPr>
            <w:r>
              <w:rPr>
                <w:b/>
                <w:bCs/>
                <w:sz w:val="18"/>
                <w:szCs w:val="18"/>
              </w:rPr>
              <w:lastRenderedPageBreak/>
              <w:t xml:space="preserve">************** PARTIES ************** </w:t>
            </w:r>
            <w:r>
              <w:rPr>
                <w:sz w:val="18"/>
                <w:szCs w:val="18"/>
              </w:rPr>
              <w:br/>
            </w:r>
            <w:r w:rsidRPr="00A7688F">
              <w:rPr>
                <w:b/>
                <w:bCs/>
                <w:sz w:val="18"/>
                <w:szCs w:val="18"/>
              </w:rPr>
              <w:t>************ SERVICE LIST ***********</w:t>
            </w:r>
            <w:r w:rsidRPr="00A7688F">
              <w:rPr>
                <w:b/>
                <w:bCs/>
                <w:sz w:val="18"/>
                <w:szCs w:val="18"/>
              </w:rPr>
              <w:br/>
              <w:t xml:space="preserve">Last Updated on 21-NOV-2022 by: KB3 </w:t>
            </w:r>
            <w:r w:rsidRPr="00A7688F">
              <w:rPr>
                <w:sz w:val="18"/>
                <w:szCs w:val="18"/>
              </w:rPr>
              <w:br/>
            </w:r>
            <w:r w:rsidRPr="00A7688F">
              <w:rPr>
                <w:b/>
                <w:bCs/>
                <w:sz w:val="18"/>
                <w:szCs w:val="18"/>
              </w:rPr>
              <w:t>K2206007 LIST</w:t>
            </w:r>
            <w:r>
              <w:rPr>
                <w:sz w:val="18"/>
                <w:szCs w:val="18"/>
              </w:rPr>
              <w:br/>
              <w:t xml:space="preserve">Toni </w:t>
            </w:r>
            <w:proofErr w:type="spellStart"/>
            <w:r>
              <w:rPr>
                <w:sz w:val="18"/>
                <w:szCs w:val="18"/>
              </w:rPr>
              <w:t>Schmit</w:t>
            </w:r>
            <w:proofErr w:type="spellEnd"/>
            <w:r>
              <w:rPr>
                <w:sz w:val="18"/>
                <w:szCs w:val="18"/>
              </w:rPr>
              <w:t xml:space="preserve">                                  </w:t>
            </w:r>
            <w:r>
              <w:rPr>
                <w:sz w:val="18"/>
                <w:szCs w:val="18"/>
              </w:rPr>
              <w:br/>
              <w:t xml:space="preserve">AMORE LIMOUSINE SERVICE, INC.                </w:t>
            </w:r>
            <w:r>
              <w:rPr>
                <w:sz w:val="18"/>
                <w:szCs w:val="18"/>
              </w:rPr>
              <w:br/>
              <w:t xml:space="preserve">4873 SUMMER GROVE CIRCLE                     </w:t>
            </w:r>
            <w:r>
              <w:rPr>
                <w:sz w:val="18"/>
                <w:szCs w:val="18"/>
              </w:rPr>
              <w:br/>
              <w:t xml:space="preserve">FAIRFIELD CA 94534                           </w:t>
            </w:r>
            <w:r>
              <w:rPr>
                <w:sz w:val="18"/>
                <w:szCs w:val="18"/>
              </w:rPr>
              <w:br/>
              <w:t xml:space="preserve">(707) 864-0111                               </w:t>
            </w:r>
            <w:r>
              <w:rPr>
                <w:sz w:val="18"/>
                <w:szCs w:val="18"/>
              </w:rPr>
              <w:br/>
              <w:t xml:space="preserve">Toni@AmoreLimoService.com                    </w:t>
            </w:r>
            <w:r>
              <w:rPr>
                <w:sz w:val="18"/>
                <w:szCs w:val="18"/>
              </w:rPr>
              <w:br/>
              <w:t>For: Amore Limousine Service, Inc.                                                                                                                                                                                                                                                                                                                                                                                                                                                                                                                                                                                                                                                                                                                                                                                              ____________________________________________</w:t>
            </w:r>
            <w:r>
              <w:rPr>
                <w:sz w:val="18"/>
                <w:szCs w:val="18"/>
              </w:rPr>
              <w:br/>
            </w:r>
            <w:r>
              <w:rPr>
                <w:sz w:val="18"/>
                <w:szCs w:val="18"/>
              </w:rPr>
              <w:br/>
              <w:t xml:space="preserve">Steve Esguerra                               </w:t>
            </w:r>
            <w:r>
              <w:rPr>
                <w:sz w:val="18"/>
                <w:szCs w:val="18"/>
              </w:rPr>
              <w:br/>
              <w:t xml:space="preserve">Consumer Protection and Enforcement Division </w:t>
            </w:r>
            <w:r>
              <w:rPr>
                <w:sz w:val="18"/>
                <w:szCs w:val="18"/>
              </w:rPr>
              <w:br/>
              <w:t xml:space="preserve">RM. 32                                       </w:t>
            </w:r>
            <w:r>
              <w:rPr>
                <w:sz w:val="18"/>
                <w:szCs w:val="18"/>
              </w:rPr>
              <w:br/>
              <w:t xml:space="preserve">320 West 4th Street Suite 500                </w:t>
            </w:r>
            <w:r>
              <w:rPr>
                <w:sz w:val="18"/>
                <w:szCs w:val="18"/>
              </w:rPr>
              <w:br/>
              <w:t xml:space="preserve">Los Angeles CA 90013                         </w:t>
            </w:r>
            <w:r>
              <w:rPr>
                <w:sz w:val="18"/>
                <w:szCs w:val="18"/>
              </w:rPr>
              <w:br/>
              <w:t xml:space="preserve">(213) 620-2492                               </w:t>
            </w:r>
            <w:r>
              <w:rPr>
                <w:sz w:val="18"/>
                <w:szCs w:val="18"/>
              </w:rPr>
              <w:br/>
              <w:t xml:space="preserve">se1@cpuc.ca.gov                              </w:t>
            </w:r>
            <w:r>
              <w:rPr>
                <w:sz w:val="18"/>
                <w:szCs w:val="18"/>
              </w:rPr>
              <w:br/>
              <w:t xml:space="preserve">For: Consumer Protection and Enforcement Division (CPED)                                                                                                                                                                                                                                                                                                                                                                                                                                                                                                                                                                                                                                                                                                                                                                        </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Kenneth Bruno                                </w:t>
            </w:r>
            <w:r>
              <w:rPr>
                <w:sz w:val="18"/>
                <w:szCs w:val="18"/>
              </w:rPr>
              <w:br/>
              <w:t xml:space="preserve">Consumer Protection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576-6297                               </w:t>
            </w:r>
            <w:r>
              <w:rPr>
                <w:sz w:val="18"/>
                <w:szCs w:val="18"/>
              </w:rPr>
              <w:br/>
              <w:t xml:space="preserve">kb4@cpuc.ca.gov                              </w:t>
            </w:r>
            <w:r>
              <w:rPr>
                <w:sz w:val="18"/>
                <w:szCs w:val="18"/>
              </w:rPr>
              <w:br/>
            </w:r>
            <w:r>
              <w:rPr>
                <w:sz w:val="18"/>
                <w:szCs w:val="18"/>
              </w:rPr>
              <w:br/>
              <w:t xml:space="preserve">Eric Hooks                                   </w:t>
            </w:r>
            <w:r>
              <w:rPr>
                <w:sz w:val="18"/>
                <w:szCs w:val="18"/>
              </w:rPr>
              <w:br/>
              <w:t xml:space="preserve">Consumer Protection and Enforcement Division </w:t>
            </w:r>
            <w:r>
              <w:rPr>
                <w:sz w:val="18"/>
                <w:szCs w:val="18"/>
              </w:rPr>
              <w:br/>
              <w:t xml:space="preserve">505 Van Ness Avenue                          </w:t>
            </w:r>
            <w:r>
              <w:rPr>
                <w:sz w:val="18"/>
                <w:szCs w:val="18"/>
              </w:rPr>
              <w:br/>
              <w:t xml:space="preserve">San Francisco CA 94102 3298                  </w:t>
            </w:r>
            <w:r>
              <w:rPr>
                <w:sz w:val="18"/>
                <w:szCs w:val="18"/>
              </w:rPr>
              <w:br/>
              <w:t xml:space="preserve">(415) 703-2302                               </w:t>
            </w:r>
            <w:r>
              <w:rPr>
                <w:sz w:val="18"/>
                <w:szCs w:val="18"/>
              </w:rPr>
              <w:br/>
              <w:t xml:space="preserve">eh2@cpuc.ca.gov                              </w:t>
            </w:r>
            <w:r>
              <w:rPr>
                <w:sz w:val="18"/>
                <w:szCs w:val="18"/>
              </w:rPr>
              <w:br/>
            </w:r>
            <w:r>
              <w:rPr>
                <w:sz w:val="18"/>
                <w:szCs w:val="18"/>
              </w:rPr>
              <w:br/>
              <w:t xml:space="preserve">Majed Ibrahim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576-7009                               </w:t>
            </w:r>
            <w:r>
              <w:rPr>
                <w:sz w:val="18"/>
                <w:szCs w:val="18"/>
              </w:rPr>
              <w:br/>
              <w:t xml:space="preserve">mi1@cpuc.ca.gov                              </w:t>
            </w:r>
            <w:r>
              <w:rPr>
                <w:sz w:val="18"/>
                <w:szCs w:val="18"/>
              </w:rPr>
              <w:br/>
            </w:r>
            <w:r>
              <w:rPr>
                <w:sz w:val="18"/>
                <w:szCs w:val="18"/>
              </w:rPr>
              <w:br/>
              <w:t xml:space="preserve">Douglas Ito                                  </w:t>
            </w:r>
            <w:r>
              <w:rPr>
                <w:sz w:val="18"/>
                <w:szCs w:val="18"/>
              </w:rPr>
              <w:br/>
              <w:t xml:space="preserve">Consumer Protection and Enforcement Division </w:t>
            </w:r>
            <w:r>
              <w:rPr>
                <w:sz w:val="18"/>
                <w:szCs w:val="18"/>
              </w:rPr>
              <w:br/>
              <w:t xml:space="preserve">300 Capitol Mall                             </w:t>
            </w:r>
            <w:r>
              <w:rPr>
                <w:sz w:val="18"/>
                <w:szCs w:val="18"/>
              </w:rPr>
              <w:br/>
              <w:t xml:space="preserve">Sacramento CA 95814 4309                     </w:t>
            </w:r>
            <w:r>
              <w:rPr>
                <w:sz w:val="18"/>
                <w:szCs w:val="18"/>
              </w:rPr>
              <w:br/>
              <w:t xml:space="preserve">(916) 713-4132                               </w:t>
            </w:r>
            <w:r>
              <w:rPr>
                <w:sz w:val="18"/>
                <w:szCs w:val="18"/>
              </w:rPr>
              <w:br/>
              <w:t xml:space="preserve">dit@cpuc.ca.gov                              </w:t>
            </w:r>
            <w:r>
              <w:rPr>
                <w:sz w:val="18"/>
                <w:szCs w:val="18"/>
              </w:rPr>
              <w:br/>
            </w:r>
          </w:p>
        </w:tc>
        <w:tc>
          <w:tcPr>
            <w:tcW w:w="5400" w:type="dxa"/>
            <w:tcBorders>
              <w:top w:val="nil"/>
              <w:left w:val="nil"/>
              <w:bottom w:val="nil"/>
              <w:right w:val="nil"/>
            </w:tcBorders>
          </w:tcPr>
          <w:p w:rsidR="00A7688F" w:rsidP="00752AD0" w:rsidRDefault="00A7688F" w14:paraId="0A5B137A" w14:textId="77777777">
            <w:pPr>
              <w:rPr>
                <w:sz w:val="18"/>
                <w:szCs w:val="18"/>
              </w:rPr>
            </w:pPr>
            <w:r>
              <w:rPr>
                <w:sz w:val="18"/>
                <w:szCs w:val="18"/>
              </w:rPr>
              <w:t xml:space="preserve">Adrianne E. Johnson                          </w:t>
            </w:r>
            <w:r>
              <w:rPr>
                <w:sz w:val="18"/>
                <w:szCs w:val="18"/>
              </w:rPr>
              <w:br/>
              <w:t xml:space="preserve">Consumer Protection and Enforcement Division </w:t>
            </w:r>
            <w:r>
              <w:rPr>
                <w:sz w:val="18"/>
                <w:szCs w:val="18"/>
              </w:rPr>
              <w:br/>
              <w:t xml:space="preserve">RM. 11                                       </w:t>
            </w:r>
            <w:r>
              <w:rPr>
                <w:sz w:val="18"/>
                <w:szCs w:val="18"/>
              </w:rPr>
              <w:br/>
              <w:t xml:space="preserve">320 West 4th Street Suite 500                </w:t>
            </w:r>
            <w:r>
              <w:rPr>
                <w:sz w:val="18"/>
                <w:szCs w:val="18"/>
              </w:rPr>
              <w:br/>
              <w:t xml:space="preserve">Los Angeles CA 90013                         </w:t>
            </w:r>
            <w:r>
              <w:rPr>
                <w:sz w:val="18"/>
                <w:szCs w:val="18"/>
              </w:rPr>
              <w:br/>
              <w:t xml:space="preserve">(213) 576-7098                               </w:t>
            </w:r>
            <w:r>
              <w:rPr>
                <w:sz w:val="18"/>
                <w:szCs w:val="18"/>
              </w:rPr>
              <w:br/>
              <w:t xml:space="preserve">adj@cpuc.ca.gov                              </w:t>
            </w:r>
            <w:r>
              <w:rPr>
                <w:sz w:val="18"/>
                <w:szCs w:val="18"/>
              </w:rPr>
              <w:br/>
            </w:r>
            <w:r>
              <w:rPr>
                <w:sz w:val="18"/>
                <w:szCs w:val="18"/>
              </w:rPr>
              <w:br/>
              <w:t xml:space="preserve">Rahmon Momoh                                 </w:t>
            </w:r>
            <w:r>
              <w:rPr>
                <w:sz w:val="18"/>
                <w:szCs w:val="18"/>
              </w:rPr>
              <w:br/>
              <w:t xml:space="preserve">Consumer Protection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703-1725                               </w:t>
            </w:r>
            <w:r>
              <w:rPr>
                <w:sz w:val="18"/>
                <w:szCs w:val="18"/>
              </w:rPr>
              <w:br/>
              <w:t xml:space="preserve">rmm@cpuc.ca.gov                              </w:t>
            </w:r>
            <w:r>
              <w:rPr>
                <w:sz w:val="18"/>
                <w:szCs w:val="18"/>
              </w:rPr>
              <w:br/>
            </w:r>
            <w:r>
              <w:rPr>
                <w:sz w:val="18"/>
                <w:szCs w:val="18"/>
              </w:rPr>
              <w:br/>
              <w:t xml:space="preserve">Maria Solis                                  </w:t>
            </w:r>
            <w:r>
              <w:rPr>
                <w:sz w:val="18"/>
                <w:szCs w:val="18"/>
              </w:rPr>
              <w:br/>
              <w:t xml:space="preserve">Consumer Protection and Enforcement Division </w:t>
            </w:r>
            <w:r>
              <w:rPr>
                <w:sz w:val="18"/>
                <w:szCs w:val="18"/>
              </w:rPr>
              <w:br/>
              <w:t xml:space="preserve">180 Promenade Circle, Suite 115              </w:t>
            </w:r>
            <w:r>
              <w:rPr>
                <w:sz w:val="18"/>
                <w:szCs w:val="18"/>
              </w:rPr>
              <w:br/>
              <w:t xml:space="preserve">Sacramento CA 95834 2939                     </w:t>
            </w:r>
            <w:r>
              <w:rPr>
                <w:sz w:val="18"/>
                <w:szCs w:val="18"/>
              </w:rPr>
              <w:br/>
              <w:t xml:space="preserve">(916) 928-2534                               </w:t>
            </w:r>
            <w:r>
              <w:rPr>
                <w:sz w:val="18"/>
                <w:szCs w:val="18"/>
              </w:rPr>
              <w:br/>
              <w:t xml:space="preserve">ms8@cpuc.ca.gov                              </w:t>
            </w:r>
            <w:r>
              <w:rPr>
                <w:sz w:val="18"/>
                <w:szCs w:val="18"/>
              </w:rPr>
              <w:br/>
            </w:r>
            <w:r>
              <w:rPr>
                <w:sz w:val="18"/>
                <w:szCs w:val="18"/>
              </w:rPr>
              <w:br/>
              <w:t xml:space="preserve">Peter Wercinski                              </w:t>
            </w:r>
            <w:r>
              <w:rPr>
                <w:sz w:val="18"/>
                <w:szCs w:val="18"/>
              </w:rPr>
              <w:br/>
              <w:t xml:space="preserve">Administrative Law Judge Division            </w:t>
            </w:r>
            <w:r>
              <w:rPr>
                <w:sz w:val="18"/>
                <w:szCs w:val="18"/>
              </w:rPr>
              <w:br/>
              <w:t xml:space="preserve">RM. 5021                                     </w:t>
            </w:r>
            <w:r>
              <w:rPr>
                <w:sz w:val="18"/>
                <w:szCs w:val="18"/>
              </w:rPr>
              <w:br/>
              <w:t xml:space="preserve">505 Van Ness Avenue                          </w:t>
            </w:r>
            <w:r>
              <w:rPr>
                <w:sz w:val="18"/>
                <w:szCs w:val="18"/>
              </w:rPr>
              <w:br/>
              <w:t xml:space="preserve">San Francisco CA 94102 3298                  </w:t>
            </w:r>
            <w:r>
              <w:rPr>
                <w:sz w:val="18"/>
                <w:szCs w:val="18"/>
              </w:rPr>
              <w:br/>
              <w:t xml:space="preserve">(415) 703-3923                               </w:t>
            </w:r>
            <w:r>
              <w:rPr>
                <w:sz w:val="18"/>
                <w:szCs w:val="18"/>
              </w:rPr>
              <w:br/>
              <w:t xml:space="preserve">pwi@cpuc.ca.gov                              </w:t>
            </w:r>
            <w:r>
              <w:rPr>
                <w:sz w:val="18"/>
                <w:szCs w:val="18"/>
              </w:rPr>
              <w:br/>
            </w:r>
            <w:r>
              <w:rPr>
                <w:sz w:val="18"/>
                <w:szCs w:val="18"/>
              </w:rPr>
              <w:br/>
            </w:r>
          </w:p>
        </w:tc>
      </w:tr>
    </w:tbl>
    <w:p w:rsidR="00C47C2A" w:rsidP="00A7688F" w:rsidRDefault="00C47C2A" w14:paraId="54A1522E" w14:textId="60947A4A">
      <w:pPr>
        <w:pStyle w:val="standard"/>
        <w:spacing w:line="240" w:lineRule="auto"/>
        <w:ind w:firstLine="0"/>
      </w:pPr>
    </w:p>
    <w:sectPr w:rsidR="00C47C2A" w:rsidSect="0092114E">
      <w:headerReference w:type="first" r:id="rId21"/>
      <w:footerReference w:type="first" r:id="rId22"/>
      <w:pgSz w:w="12240" w:h="15840" w:code="1"/>
      <w:pgMar w:top="1440" w:right="1440" w:bottom="144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72861" w14:textId="77777777" w:rsidR="005E39D2" w:rsidRDefault="005E39D2">
      <w:r>
        <w:separator/>
      </w:r>
    </w:p>
  </w:endnote>
  <w:endnote w:type="continuationSeparator" w:id="0">
    <w:p w14:paraId="07E8DD01" w14:textId="77777777" w:rsidR="005E39D2" w:rsidRDefault="005E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C07C" w14:textId="6024B0E2" w:rsidR="00C47C2A" w:rsidRDefault="00C47C2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FF004B">
      <w:rPr>
        <w:rStyle w:val="PageNumber"/>
        <w:noProof/>
      </w:rPr>
      <w:t>2</w:t>
    </w:r>
    <w:r>
      <w:rPr>
        <w:rStyle w:val="PageNumber"/>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7381" w14:textId="77777777" w:rsidR="00E758BA" w:rsidRDefault="00E758BA">
    <w:pPr>
      <w:pStyle w:val="Footer"/>
    </w:pPr>
    <w:r w:rsidRPr="00C33F3A">
      <w:rPr>
        <w:sz w:val="16"/>
        <w:szCs w:val="16"/>
      </w:rPr>
      <w:t>498042787</w:t>
    </w:r>
    <w:r>
      <w:tab/>
    </w:r>
    <w:r>
      <w:fldChar w:fldCharType="begin"/>
    </w:r>
    <w:r>
      <w:instrText xml:space="preserve"> PAGE   \* MERGEFORMAT </w:instrText>
    </w:r>
    <w:r>
      <w:fldChar w:fldCharType="separate"/>
    </w:r>
    <w:r>
      <w:rPr>
        <w:noProof/>
      </w:rPr>
      <w:t>2</w:t>
    </w:r>
    <w:r>
      <w:rPr>
        <w:noProof/>
      </w:rPr>
      <w:fldChar w:fldCharType="end"/>
    </w:r>
  </w:p>
  <w:p w14:paraId="4563F328" w14:textId="77777777" w:rsidR="00E758BA" w:rsidRDefault="00E758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7E5B" w14:textId="77777777" w:rsidR="008D0B36" w:rsidRPr="00070884" w:rsidRDefault="008D0B36" w:rsidP="00070884">
    <w:pPr>
      <w:pStyle w:val="Footer"/>
      <w:jc w:val="center"/>
      <w:rPr>
        <w:rFonts w:ascii="Book Antiqua" w:hAnsi="Book Antiqua"/>
      </w:rPr>
    </w:pPr>
    <w:r w:rsidRPr="00070884">
      <w:rPr>
        <w:rFonts w:ascii="Book Antiqua" w:hAnsi="Book Antiqua"/>
      </w:rPr>
      <w:fldChar w:fldCharType="begin"/>
    </w:r>
    <w:r w:rsidRPr="00070884">
      <w:rPr>
        <w:rFonts w:ascii="Book Antiqua" w:hAnsi="Book Antiqua"/>
      </w:rPr>
      <w:instrText xml:space="preserve"> PAGE   \* MERGEFORMAT </w:instrText>
    </w:r>
    <w:r w:rsidRPr="00070884">
      <w:rPr>
        <w:rFonts w:ascii="Book Antiqua" w:hAnsi="Book Antiqua"/>
      </w:rPr>
      <w:fldChar w:fldCharType="separate"/>
    </w:r>
    <w:r w:rsidRPr="00070884">
      <w:rPr>
        <w:rFonts w:ascii="Book Antiqua" w:hAnsi="Book Antiqua"/>
        <w:noProof/>
      </w:rPr>
      <w:t>2</w:t>
    </w:r>
    <w:r w:rsidRPr="00070884">
      <w:rPr>
        <w:rFonts w:ascii="Book Antiqua" w:hAnsi="Book Antiqua"/>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6618E" w14:textId="77777777" w:rsidR="008D0B36" w:rsidRPr="00AF0F82" w:rsidRDefault="008D0B36" w:rsidP="00070884">
    <w:pPr>
      <w:pStyle w:val="Footer"/>
      <w:tabs>
        <w:tab w:val="clear" w:pos="4320"/>
        <w:tab w:val="clear" w:pos="8640"/>
        <w:tab w:val="right" w:pos="9360"/>
      </w:tabs>
      <w:ind w:left="648"/>
      <w:jc w:val="center"/>
      <w:rPr>
        <w:rFonts w:ascii="Book Antiqua" w:hAnsi="Book Antiqua"/>
      </w:rPr>
    </w:pPr>
    <w:r w:rsidRPr="00AF0F82">
      <w:rPr>
        <w:rFonts w:ascii="Book Antiqua" w:hAnsi="Book Antiqua"/>
      </w:rPr>
      <w:t>- 1 -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CD80" w14:textId="77777777" w:rsidR="008D0B36" w:rsidRDefault="008D0B36" w:rsidP="002F4E62">
    <w:pPr>
      <w:pStyle w:val="Footer"/>
    </w:pPr>
    <w:r>
      <w:fldChar w:fldCharType="begin"/>
    </w:r>
    <w:r>
      <w:instrText xml:space="preserve"> PAGE   \* MERGEFORMAT </w:instrText>
    </w:r>
    <w:r>
      <w:fldChar w:fldCharType="separate"/>
    </w:r>
    <w:r>
      <w:rPr>
        <w:noProof/>
      </w:rPr>
      <w:t>- 1 -</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28CE1" w14:textId="77777777" w:rsidR="008D0B36" w:rsidRPr="00AF0F82" w:rsidRDefault="008D0B36" w:rsidP="00070884">
    <w:pPr>
      <w:pStyle w:val="Footer"/>
      <w:jc w:val="center"/>
      <w:rPr>
        <w:rFonts w:ascii="Book Antiqua" w:hAnsi="Book Antiqua"/>
      </w:rPr>
    </w:pPr>
    <w:r w:rsidRPr="00AF0F82">
      <w:rPr>
        <w:rFonts w:ascii="Book Antiqua" w:hAnsi="Book Antiqua"/>
      </w:rPr>
      <w:fldChar w:fldCharType="begin"/>
    </w:r>
    <w:r w:rsidRPr="00AF0F82">
      <w:rPr>
        <w:rFonts w:ascii="Book Antiqua" w:hAnsi="Book Antiqua"/>
      </w:rPr>
      <w:instrText xml:space="preserve"> PAGE   \* MERGEFORMAT </w:instrText>
    </w:r>
    <w:r w:rsidRPr="00AF0F82">
      <w:rPr>
        <w:rFonts w:ascii="Book Antiqua" w:hAnsi="Book Antiqua"/>
      </w:rPr>
      <w:fldChar w:fldCharType="separate"/>
    </w:r>
    <w:r w:rsidRPr="00AF0F82">
      <w:rPr>
        <w:rFonts w:ascii="Book Antiqua" w:hAnsi="Book Antiqua"/>
        <w:noProof/>
      </w:rPr>
      <w:t>- 2 -</w:t>
    </w:r>
    <w:r w:rsidRPr="00AF0F82">
      <w:rPr>
        <w:rFonts w:ascii="Book Antiqua" w:hAnsi="Book Antiqua"/>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1B9E1" w14:textId="77777777" w:rsidR="0092114E" w:rsidRPr="0068104E" w:rsidRDefault="00C719ED" w:rsidP="00D25A58">
    <w:pPr>
      <w:pStyle w:val="Footer"/>
      <w:jc w:val="center"/>
      <w:rPr>
        <w:rFonts w:ascii="Book Antiqua" w:hAnsi="Book Antiqua"/>
      </w:rPr>
    </w:pPr>
    <w:r w:rsidRPr="0068104E">
      <w:rPr>
        <w:rFonts w:ascii="Book Antiqua" w:hAnsi="Book Antiqua"/>
      </w:rPr>
      <w:fldChar w:fldCharType="begin"/>
    </w:r>
    <w:r w:rsidRPr="0068104E">
      <w:rPr>
        <w:rFonts w:ascii="Book Antiqua" w:hAnsi="Book Antiqua"/>
      </w:rPr>
      <w:instrText xml:space="preserve"> PAGE   \* MERGEFORMAT </w:instrText>
    </w:r>
    <w:r w:rsidRPr="0068104E">
      <w:rPr>
        <w:rFonts w:ascii="Book Antiqua" w:hAnsi="Book Antiqua"/>
      </w:rPr>
      <w:fldChar w:fldCharType="separate"/>
    </w:r>
    <w:r w:rsidRPr="0068104E">
      <w:rPr>
        <w:rFonts w:ascii="Book Antiqua" w:hAnsi="Book Antiqua"/>
        <w:noProof/>
      </w:rPr>
      <w:t>- 1 -</w:t>
    </w:r>
    <w:r w:rsidRPr="0068104E">
      <w:rPr>
        <w:rFonts w:ascii="Book Antiqua" w:hAnsi="Book Antiqu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52B0" w14:textId="77777777" w:rsidR="005E39D2" w:rsidRDefault="005E39D2">
      <w:r>
        <w:separator/>
      </w:r>
    </w:p>
  </w:footnote>
  <w:footnote w:type="continuationSeparator" w:id="0">
    <w:p w14:paraId="079042EB" w14:textId="77777777" w:rsidR="005E39D2" w:rsidRDefault="005E39D2">
      <w:r>
        <w:continuationSeparator/>
      </w:r>
    </w:p>
  </w:footnote>
  <w:footnote w:id="1">
    <w:p w14:paraId="416D53D3" w14:textId="5FFADF34" w:rsidR="00FE771D" w:rsidRPr="0030350E" w:rsidRDefault="00FE771D"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Resolution ALJ-377 </w:t>
      </w:r>
      <w:r w:rsidR="00637D40" w:rsidRPr="0030350E">
        <w:rPr>
          <w:rFonts w:ascii="Book Antiqua" w:hAnsi="Book Antiqua"/>
        </w:rPr>
        <w:t>Rule</w:t>
      </w:r>
      <w:r w:rsidRPr="0030350E">
        <w:rPr>
          <w:rFonts w:ascii="Book Antiqua" w:hAnsi="Book Antiqua"/>
        </w:rPr>
        <w:t xml:space="preserve"> 11.</w:t>
      </w:r>
    </w:p>
  </w:footnote>
  <w:footnote w:id="2">
    <w:p w14:paraId="3089BC83" w14:textId="440C45C0" w:rsidR="00B33092" w:rsidRPr="0030350E" w:rsidRDefault="00B33092" w:rsidP="00196DD7">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Public Utility (Pub. Util.) Code Section 5360.</w:t>
      </w:r>
    </w:p>
  </w:footnote>
  <w:footnote w:id="3">
    <w:p w14:paraId="7D4BF0CE" w14:textId="43A533E9" w:rsidR="00F6783A" w:rsidRPr="0030350E" w:rsidRDefault="00F6783A" w:rsidP="00196DD7">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Pub. Util. Code Section 5379.</w:t>
      </w:r>
    </w:p>
  </w:footnote>
  <w:footnote w:id="4">
    <w:p w14:paraId="5DA5956F" w14:textId="36079DE7" w:rsidR="00102277" w:rsidRDefault="00102277" w:rsidP="00196DD7">
      <w:pPr>
        <w:pStyle w:val="FootnoteText"/>
        <w:spacing w:after="120"/>
      </w:pPr>
      <w:r w:rsidRPr="0030350E">
        <w:rPr>
          <w:rStyle w:val="FootnoteReference"/>
          <w:rFonts w:ascii="Book Antiqua" w:hAnsi="Book Antiqua"/>
        </w:rPr>
        <w:footnoteRef/>
      </w:r>
      <w:r w:rsidRPr="0030350E">
        <w:rPr>
          <w:rFonts w:ascii="Book Antiqua" w:hAnsi="Book Antiqua"/>
        </w:rPr>
        <w:t xml:space="preserve"> Pub. Util. Code Section</w:t>
      </w:r>
      <w:r w:rsidR="00E31946" w:rsidRPr="0030350E">
        <w:rPr>
          <w:rFonts w:ascii="Book Antiqua" w:hAnsi="Book Antiqua"/>
        </w:rPr>
        <w:t xml:space="preserve"> 5378(b).</w:t>
      </w:r>
    </w:p>
  </w:footnote>
  <w:footnote w:id="5">
    <w:p w14:paraId="0F1D8EFD" w14:textId="7FAFBF19" w:rsidR="00055CD3" w:rsidRPr="0030350E" w:rsidRDefault="00055CD3"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Pub. Util. Code Section 5391.</w:t>
      </w:r>
    </w:p>
  </w:footnote>
  <w:footnote w:id="6">
    <w:p w14:paraId="154738FF" w14:textId="5C268DBD" w:rsidR="00290D4D" w:rsidRPr="0030350E" w:rsidRDefault="00290D4D"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G</w:t>
      </w:r>
      <w:r w:rsidR="00196DD7" w:rsidRPr="0030350E">
        <w:rPr>
          <w:rFonts w:ascii="Book Antiqua" w:hAnsi="Book Antiqua"/>
        </w:rPr>
        <w:t>O</w:t>
      </w:r>
      <w:r w:rsidRPr="0030350E">
        <w:rPr>
          <w:rFonts w:ascii="Book Antiqua" w:hAnsi="Book Antiqua"/>
        </w:rPr>
        <w:t xml:space="preserve"> 155-G(1). </w:t>
      </w:r>
    </w:p>
  </w:footnote>
  <w:footnote w:id="7">
    <w:p w14:paraId="2356F51A" w14:textId="54AE03C1" w:rsidR="002A5FA1" w:rsidRPr="0030350E" w:rsidRDefault="002A5FA1"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G</w:t>
      </w:r>
      <w:r w:rsidR="00196DD7" w:rsidRPr="0030350E">
        <w:rPr>
          <w:rFonts w:ascii="Book Antiqua" w:hAnsi="Book Antiqua"/>
        </w:rPr>
        <w:t>O</w:t>
      </w:r>
      <w:r w:rsidRPr="0030350E">
        <w:rPr>
          <w:rFonts w:ascii="Book Antiqua" w:hAnsi="Book Antiqua"/>
        </w:rPr>
        <w:t xml:space="preserve"> 157-E Section 4.02.</w:t>
      </w:r>
    </w:p>
  </w:footnote>
  <w:footnote w:id="8">
    <w:p w14:paraId="3D0984E4" w14:textId="7642F26D" w:rsidR="002754B4" w:rsidRPr="0030350E" w:rsidRDefault="002754B4"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w:t>
      </w:r>
      <w:r w:rsidR="004B10E3" w:rsidRPr="0030350E">
        <w:rPr>
          <w:rFonts w:ascii="Book Antiqua" w:hAnsi="Book Antiqua"/>
        </w:rPr>
        <w:t xml:space="preserve">California </w:t>
      </w:r>
      <w:r w:rsidRPr="0030350E">
        <w:rPr>
          <w:rFonts w:ascii="Book Antiqua" w:hAnsi="Book Antiqua"/>
        </w:rPr>
        <w:t xml:space="preserve">Vehicle </w:t>
      </w:r>
      <w:r w:rsidR="004B10E3" w:rsidRPr="0030350E">
        <w:rPr>
          <w:rFonts w:ascii="Book Antiqua" w:hAnsi="Book Antiqua"/>
        </w:rPr>
        <w:t xml:space="preserve">(Cal. </w:t>
      </w:r>
      <w:proofErr w:type="spellStart"/>
      <w:r w:rsidR="004B10E3" w:rsidRPr="0030350E">
        <w:rPr>
          <w:rFonts w:ascii="Book Antiqua" w:hAnsi="Book Antiqua"/>
        </w:rPr>
        <w:t>Veh</w:t>
      </w:r>
      <w:proofErr w:type="spellEnd"/>
      <w:r w:rsidR="004B10E3" w:rsidRPr="0030350E">
        <w:rPr>
          <w:rFonts w:ascii="Book Antiqua" w:hAnsi="Book Antiqua"/>
        </w:rPr>
        <w:t xml:space="preserve">.) </w:t>
      </w:r>
      <w:r w:rsidRPr="0030350E">
        <w:rPr>
          <w:rFonts w:ascii="Book Antiqua" w:hAnsi="Book Antiqua"/>
        </w:rPr>
        <w:t>Code Section 34501(c), (e).</w:t>
      </w:r>
    </w:p>
  </w:footnote>
  <w:footnote w:id="9">
    <w:p w14:paraId="440B4FC8" w14:textId="6F27B87B" w:rsidR="00EF3AB6" w:rsidRPr="0030350E" w:rsidRDefault="00EF3AB6"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Pub. Util. Code Section 5359(b).</w:t>
      </w:r>
    </w:p>
  </w:footnote>
  <w:footnote w:id="10">
    <w:p w14:paraId="6467BEF4" w14:textId="6CC8AD11" w:rsidR="00234552" w:rsidRPr="0030350E" w:rsidRDefault="00234552"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A modified limousine has a seating capacity of not more than 10 persons, including the driver. Pub. Util. Code Section 5361. </w:t>
      </w:r>
      <w:r w:rsidR="00196DD7" w:rsidRPr="0030350E">
        <w:rPr>
          <w:rFonts w:ascii="Book Antiqua" w:hAnsi="Book Antiqua"/>
        </w:rPr>
        <w:t xml:space="preserve"> </w:t>
      </w:r>
      <w:r w:rsidRPr="0030350E">
        <w:rPr>
          <w:rFonts w:ascii="Book Antiqua" w:hAnsi="Book Antiqua"/>
        </w:rPr>
        <w:t>Even if the limousine in use on December</w:t>
      </w:r>
      <w:r w:rsidR="00196DD7" w:rsidRPr="0030350E">
        <w:rPr>
          <w:rFonts w:ascii="Book Antiqua" w:hAnsi="Book Antiqua"/>
        </w:rPr>
        <w:t> </w:t>
      </w:r>
      <w:r w:rsidRPr="0030350E">
        <w:rPr>
          <w:rFonts w:ascii="Book Antiqua" w:hAnsi="Book Antiqua"/>
        </w:rPr>
        <w:t>18,</w:t>
      </w:r>
      <w:r w:rsidR="00196DD7" w:rsidRPr="0030350E">
        <w:rPr>
          <w:rFonts w:ascii="Book Antiqua" w:hAnsi="Book Antiqua"/>
        </w:rPr>
        <w:t> </w:t>
      </w:r>
      <w:r w:rsidRPr="0030350E">
        <w:rPr>
          <w:rFonts w:ascii="Book Antiqua" w:hAnsi="Book Antiqua"/>
        </w:rPr>
        <w:t>2021 was a modified limousine and not a bus, a CHP inspection of the terminal from which the limousine operate</w:t>
      </w:r>
      <w:r w:rsidR="00CB48FB" w:rsidRPr="0030350E">
        <w:rPr>
          <w:rFonts w:ascii="Book Antiqua" w:hAnsi="Book Antiqua"/>
        </w:rPr>
        <w:t>s</w:t>
      </w:r>
      <w:r w:rsidRPr="0030350E">
        <w:rPr>
          <w:rFonts w:ascii="Book Antiqua" w:hAnsi="Book Antiqua"/>
        </w:rPr>
        <w:t xml:space="preserve"> is required once every 13 months</w:t>
      </w:r>
      <w:r w:rsidR="00CB48FB" w:rsidRPr="0030350E">
        <w:rPr>
          <w:rFonts w:ascii="Book Antiqua" w:hAnsi="Book Antiqua"/>
        </w:rPr>
        <w:t xml:space="preserve">. </w:t>
      </w:r>
      <w:r w:rsidR="00196DD7" w:rsidRPr="0030350E">
        <w:rPr>
          <w:rFonts w:ascii="Book Antiqua" w:hAnsi="Book Antiqua"/>
        </w:rPr>
        <w:t xml:space="preserve"> </w:t>
      </w:r>
      <w:r w:rsidR="00CB48FB" w:rsidRPr="0030350E">
        <w:rPr>
          <w:rFonts w:ascii="Book Antiqua" w:hAnsi="Book Antiqua"/>
        </w:rPr>
        <w:t xml:space="preserve">13 </w:t>
      </w:r>
      <w:r w:rsidR="007A5CBD" w:rsidRPr="0030350E">
        <w:rPr>
          <w:rFonts w:ascii="Book Antiqua" w:hAnsi="Book Antiqua"/>
        </w:rPr>
        <w:t> </w:t>
      </w:r>
      <w:r w:rsidR="00CB48FB" w:rsidRPr="0030350E">
        <w:rPr>
          <w:rFonts w:ascii="Book Antiqua" w:hAnsi="Book Antiqua"/>
        </w:rPr>
        <w:t>Cal.</w:t>
      </w:r>
      <w:r w:rsidR="007A5CBD" w:rsidRPr="0030350E">
        <w:rPr>
          <w:rFonts w:ascii="Book Antiqua" w:hAnsi="Book Antiqua"/>
        </w:rPr>
        <w:t> </w:t>
      </w:r>
      <w:r w:rsidR="00CB48FB" w:rsidRPr="0030350E">
        <w:rPr>
          <w:rFonts w:ascii="Book Antiqua" w:hAnsi="Book Antiqua"/>
        </w:rPr>
        <w:t>Code of Regulations Section 1231.3(a).</w:t>
      </w:r>
      <w:r w:rsidR="00196DD7" w:rsidRPr="0030350E">
        <w:rPr>
          <w:rFonts w:ascii="Book Antiqua" w:hAnsi="Book Antiqua"/>
        </w:rPr>
        <w:t xml:space="preserve"> </w:t>
      </w:r>
      <w:r w:rsidR="00CB48FB" w:rsidRPr="0030350E">
        <w:rPr>
          <w:rFonts w:ascii="Book Antiqua" w:hAnsi="Book Antiqua"/>
        </w:rPr>
        <w:t xml:space="preserve"> No evidence was presented at the hearing that the terminal inspection required for a modified limousine was performed. </w:t>
      </w:r>
      <w:r w:rsidRPr="0030350E">
        <w:rPr>
          <w:rFonts w:ascii="Book Antiqua" w:hAnsi="Book Antiqua"/>
        </w:rPr>
        <w:t xml:space="preserve"> </w:t>
      </w:r>
    </w:p>
  </w:footnote>
  <w:footnote w:id="11">
    <w:p w14:paraId="7205FE15" w14:textId="70876A76" w:rsidR="001C7677" w:rsidRPr="0030350E" w:rsidRDefault="001C7677"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Exhibit CPED-6.</w:t>
      </w:r>
    </w:p>
  </w:footnote>
  <w:footnote w:id="12">
    <w:p w14:paraId="55F52CAA" w14:textId="0C1E8964" w:rsidR="00C50D3C" w:rsidRPr="0030350E" w:rsidRDefault="00C50D3C"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G</w:t>
      </w:r>
      <w:r w:rsidR="00196DD7" w:rsidRPr="0030350E">
        <w:rPr>
          <w:rFonts w:ascii="Book Antiqua" w:hAnsi="Book Antiqua"/>
        </w:rPr>
        <w:t xml:space="preserve">O </w:t>
      </w:r>
      <w:r w:rsidRPr="0030350E">
        <w:rPr>
          <w:rFonts w:ascii="Book Antiqua" w:hAnsi="Book Antiqua"/>
        </w:rPr>
        <w:t>157-E Section 5.01.</w:t>
      </w:r>
    </w:p>
  </w:footnote>
  <w:footnote w:id="13">
    <w:p w14:paraId="6B88D109" w14:textId="3F9372B4" w:rsidR="00C50D3C" w:rsidRPr="0030350E" w:rsidRDefault="00C50D3C" w:rsidP="00180F04">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Cal. </w:t>
      </w:r>
      <w:proofErr w:type="spellStart"/>
      <w:r w:rsidRPr="0030350E">
        <w:rPr>
          <w:rFonts w:ascii="Book Antiqua" w:hAnsi="Book Antiqua"/>
        </w:rPr>
        <w:t>Veh</w:t>
      </w:r>
      <w:proofErr w:type="spellEnd"/>
      <w:r w:rsidR="004B10E3" w:rsidRPr="0030350E">
        <w:rPr>
          <w:rFonts w:ascii="Book Antiqua" w:hAnsi="Book Antiqua"/>
        </w:rPr>
        <w:t>.</w:t>
      </w:r>
      <w:r w:rsidRPr="0030350E">
        <w:rPr>
          <w:rFonts w:ascii="Book Antiqua" w:hAnsi="Book Antiqua"/>
        </w:rPr>
        <w:t xml:space="preserve"> Code Section 15250(a)(1).</w:t>
      </w:r>
    </w:p>
  </w:footnote>
  <w:footnote w:id="14">
    <w:p w14:paraId="54CC4A26" w14:textId="49E9B9F5" w:rsidR="00BF1FD0" w:rsidRDefault="00BF1FD0" w:rsidP="00180F04">
      <w:pPr>
        <w:pStyle w:val="FootnoteText"/>
        <w:spacing w:after="120"/>
      </w:pPr>
      <w:r w:rsidRPr="0030350E">
        <w:rPr>
          <w:rStyle w:val="FootnoteReference"/>
          <w:rFonts w:ascii="Book Antiqua" w:hAnsi="Book Antiqua"/>
        </w:rPr>
        <w:footnoteRef/>
      </w:r>
      <w:r w:rsidRPr="0030350E">
        <w:rPr>
          <w:rFonts w:ascii="Book Antiqua" w:hAnsi="Book Antiqua"/>
        </w:rPr>
        <w:t xml:space="preserve"> Cal. </w:t>
      </w:r>
      <w:proofErr w:type="spellStart"/>
      <w:r w:rsidRPr="0030350E">
        <w:rPr>
          <w:rFonts w:ascii="Book Antiqua" w:hAnsi="Book Antiqua"/>
        </w:rPr>
        <w:t>Ve</w:t>
      </w:r>
      <w:r w:rsidR="004B10E3" w:rsidRPr="0030350E">
        <w:rPr>
          <w:rFonts w:ascii="Book Antiqua" w:hAnsi="Book Antiqua"/>
        </w:rPr>
        <w:t>h</w:t>
      </w:r>
      <w:proofErr w:type="spellEnd"/>
      <w:r w:rsidR="004B10E3" w:rsidRPr="0030350E">
        <w:rPr>
          <w:rFonts w:ascii="Book Antiqua" w:hAnsi="Book Antiqua"/>
        </w:rPr>
        <w:t>.</w:t>
      </w:r>
      <w:r w:rsidRPr="0030350E">
        <w:rPr>
          <w:rFonts w:ascii="Book Antiqua" w:hAnsi="Book Antiqua"/>
        </w:rPr>
        <w:t xml:space="preserve"> Code Section 15278(a)(2).</w:t>
      </w:r>
      <w:r>
        <w:t xml:space="preserve"> </w:t>
      </w:r>
    </w:p>
  </w:footnote>
  <w:footnote w:id="15">
    <w:p w14:paraId="0C5801F3" w14:textId="604FCB19" w:rsidR="001566DD" w:rsidRPr="0030350E" w:rsidRDefault="001566DD" w:rsidP="00196DD7">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Pub. Util. Code Section 5414.5.</w:t>
      </w:r>
    </w:p>
  </w:footnote>
  <w:footnote w:id="16">
    <w:p w14:paraId="02A6F3F5" w14:textId="3B7C1E44" w:rsidR="00547A59" w:rsidRPr="0030350E" w:rsidRDefault="00547A59" w:rsidP="00196DD7">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Exhibit CPED-2 Attachment 8.</w:t>
      </w:r>
    </w:p>
  </w:footnote>
  <w:footnote w:id="17">
    <w:p w14:paraId="1217A2A9" w14:textId="07371734" w:rsidR="00223A16" w:rsidRPr="0030350E" w:rsidRDefault="00223A16" w:rsidP="00196DD7">
      <w:pPr>
        <w:pStyle w:val="FootnoteText"/>
        <w:spacing w:after="120"/>
        <w:rPr>
          <w:rFonts w:ascii="Book Antiqua" w:hAnsi="Book Antiqua"/>
        </w:rPr>
      </w:pPr>
      <w:r w:rsidRPr="0030350E">
        <w:rPr>
          <w:rStyle w:val="FootnoteReference"/>
          <w:rFonts w:ascii="Book Antiqua" w:hAnsi="Book Antiqua"/>
        </w:rPr>
        <w:footnoteRef/>
      </w:r>
      <w:r w:rsidRPr="0030350E">
        <w:rPr>
          <w:rFonts w:ascii="Book Antiqua" w:hAnsi="Book Antiqua"/>
        </w:rPr>
        <w:t xml:space="preserve"> </w:t>
      </w:r>
      <w:r w:rsidRPr="0030350E">
        <w:rPr>
          <w:rFonts w:ascii="Book Antiqua" w:hAnsi="Book Antiqua"/>
          <w:i/>
          <w:iCs/>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5777" w14:textId="4E0F5527" w:rsidR="00C47C2A" w:rsidRPr="0030350E" w:rsidRDefault="00C47C2A" w:rsidP="00180F04">
    <w:pPr>
      <w:pStyle w:val="Header"/>
      <w:tabs>
        <w:tab w:val="clear" w:pos="8640"/>
        <w:tab w:val="right" w:pos="9360"/>
      </w:tabs>
      <w:rPr>
        <w:rFonts w:ascii="Book Antiqua" w:hAnsi="Book Antiqua"/>
        <w:b/>
        <w:szCs w:val="24"/>
      </w:rPr>
    </w:pPr>
    <w:r w:rsidRPr="0030350E">
      <w:rPr>
        <w:rFonts w:ascii="Book Antiqua" w:hAnsi="Book Antiqua"/>
      </w:rPr>
      <w:t>Resolution ALJ-</w:t>
    </w:r>
    <w:r w:rsidR="00180F04" w:rsidRPr="0030350E">
      <w:rPr>
        <w:rFonts w:ascii="Book Antiqua" w:hAnsi="Book Antiqua"/>
      </w:rPr>
      <w:t>428</w:t>
    </w:r>
    <w:r w:rsidRPr="0030350E">
      <w:rPr>
        <w:rFonts w:ascii="Book Antiqua" w:hAnsi="Book Antiqua"/>
      </w:rPr>
      <w:t xml:space="preserve">  </w:t>
    </w:r>
    <w:r w:rsidR="00180F04" w:rsidRPr="0030350E">
      <w:rPr>
        <w:rFonts w:ascii="Book Antiqua" w:hAnsi="Book Antiqua"/>
      </w:rPr>
      <w:t>AC</w:t>
    </w:r>
    <w:r w:rsidRPr="0030350E">
      <w:rPr>
        <w:rFonts w:ascii="Book Antiqua" w:hAnsi="Book Antiqua"/>
        <w:szCs w:val="24"/>
      </w:rPr>
      <w:t>ALJ/</w:t>
    </w:r>
    <w:r w:rsidR="00180F04" w:rsidRPr="0030350E">
      <w:rPr>
        <w:rFonts w:ascii="Book Antiqua" w:hAnsi="Book Antiqua"/>
        <w:szCs w:val="24"/>
      </w:rPr>
      <w:t>PWI/</w:t>
    </w:r>
    <w:proofErr w:type="spellStart"/>
    <w:r w:rsidR="00180F04" w:rsidRPr="0030350E">
      <w:rPr>
        <w:rFonts w:ascii="Book Antiqua" w:hAnsi="Book Antiqua"/>
        <w:szCs w:val="24"/>
      </w:rPr>
      <w:t>sgu</w:t>
    </w:r>
    <w:proofErr w:type="spellEnd"/>
    <w:r w:rsidR="00180F04" w:rsidRPr="0030350E">
      <w:rPr>
        <w:rFonts w:ascii="Book Antiqua" w:hAnsi="Book Antiqua"/>
        <w:szCs w:val="24"/>
      </w:rPr>
      <w:tab/>
    </w:r>
    <w:r w:rsidRPr="0030350E">
      <w:rPr>
        <w:rFonts w:ascii="Book Antiqua" w:hAnsi="Book Antiqua"/>
        <w:szCs w:val="24"/>
      </w:rPr>
      <w:tab/>
    </w:r>
    <w:r w:rsidRPr="0030350E">
      <w:rPr>
        <w:rFonts w:ascii="Book Antiqua" w:hAnsi="Book Antiqua"/>
        <w:b/>
        <w:szCs w:val="24"/>
      </w:rPr>
      <w:t>DRAFT</w:t>
    </w:r>
  </w:p>
  <w:p w14:paraId="6E685F0C" w14:textId="77777777" w:rsidR="00C47C2A" w:rsidRPr="0030350E" w:rsidRDefault="00C47C2A">
    <w:pPr>
      <w:pStyle w:val="Header"/>
      <w:rPr>
        <w:rFonts w:ascii="Book Antiqua" w:hAnsi="Book Antiqua"/>
      </w:rPr>
    </w:pPr>
  </w:p>
  <w:p w14:paraId="35134213" w14:textId="77777777" w:rsidR="00C47C2A" w:rsidRDefault="00C47C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2986" w14:textId="77777777" w:rsidR="00C47C2A" w:rsidRDefault="00C47C2A">
    <w:pPr>
      <w:pStyle w:val="Header"/>
      <w:rPr>
        <w:b/>
        <w:szCs w:val="24"/>
      </w:rPr>
    </w:pPr>
  </w:p>
  <w:p w14:paraId="5EF9F469" w14:textId="77777777" w:rsidR="00C47C2A" w:rsidRDefault="00C47C2A">
    <w:pPr>
      <w:pStyle w:val="Header"/>
      <w:rPr>
        <w:b/>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8735" w14:textId="6930BC60" w:rsidR="00EB69A8" w:rsidRDefault="00EB69A8">
    <w:pPr>
      <w:pStyle w:val="Header"/>
      <w:rPr>
        <w:b/>
        <w:szCs w:val="24"/>
      </w:rPr>
    </w:pPr>
    <w:r>
      <w:rPr>
        <w:szCs w:val="24"/>
      </w:rPr>
      <w:t>ACALJ/PWI/</w:t>
    </w:r>
    <w:proofErr w:type="spellStart"/>
    <w:r>
      <w:rPr>
        <w:szCs w:val="24"/>
      </w:rPr>
      <w:t>sgu</w:t>
    </w:r>
    <w:proofErr w:type="spellEnd"/>
    <w:r>
      <w:rPr>
        <w:szCs w:val="24"/>
      </w:rPr>
      <w:tab/>
    </w:r>
    <w:r>
      <w:rPr>
        <w:b/>
        <w:szCs w:val="24"/>
      </w:rPr>
      <w:t>DRAFT</w:t>
    </w:r>
    <w:r>
      <w:rPr>
        <w:b/>
        <w:szCs w:val="24"/>
      </w:rPr>
      <w:tab/>
      <w:t xml:space="preserve">Agenda ID </w:t>
    </w:r>
    <w:r w:rsidR="00E758BA">
      <w:rPr>
        <w:b/>
        <w:szCs w:val="24"/>
      </w:rPr>
      <w:t>21182</w:t>
    </w:r>
  </w:p>
  <w:p w14:paraId="67CCE4A0" w14:textId="77777777" w:rsidR="00EB69A8" w:rsidRDefault="00EB69A8">
    <w:pPr>
      <w:pStyle w:val="Header"/>
      <w:rPr>
        <w:b/>
        <w:szCs w:val="24"/>
      </w:rPr>
    </w:pPr>
  </w:p>
  <w:p w14:paraId="3A6BCF61" w14:textId="77777777" w:rsidR="00EB69A8" w:rsidRDefault="00EB69A8">
    <w:pPr>
      <w:pStyle w:val="Header"/>
      <w:rPr>
        <w:b/>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D535" w14:textId="77777777" w:rsidR="008D0B36" w:rsidRPr="00E7690F" w:rsidRDefault="008D0B36" w:rsidP="009A2693">
    <w:pPr>
      <w:jc w:val="center"/>
      <w:rPr>
        <w:sz w:val="22"/>
        <w:szCs w:val="22"/>
      </w:rPr>
    </w:pPr>
    <w:r w:rsidRPr="00E7690F">
      <w:rPr>
        <w:sz w:val="22"/>
        <w:szCs w:val="22"/>
      </w:rPr>
      <w:b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F2832" w14:textId="77777777" w:rsidR="008D0B36" w:rsidRDefault="008D0B36">
    <w:pPr>
      <w:pStyle w:val="Header"/>
      <w:rPr>
        <w:b/>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EAC1" w14:textId="77777777" w:rsidR="008D0B36" w:rsidRDefault="008D0B3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EE9" w14:textId="77777777" w:rsidR="008D0B36" w:rsidRPr="00C56F64" w:rsidRDefault="008D0B36" w:rsidP="008D0B36">
    <w:pPr>
      <w:pStyle w:val="Header"/>
    </w:pPr>
    <w:r w:rsidRPr="00D57B1B">
      <w:rPr>
        <w:rFonts w:ascii="Book Antiqua" w:hAnsi="Book Antiqua"/>
      </w:rPr>
      <w:t>Resolution ALJ-</w:t>
    </w:r>
    <w:r>
      <w:rPr>
        <w:rFonts w:ascii="Book Antiqua" w:hAnsi="Book Antiqua"/>
      </w:rPr>
      <w:t>428</w:t>
    </w:r>
    <w:r w:rsidRPr="00D57B1B">
      <w:rPr>
        <w:rFonts w:ascii="Book Antiqua" w:hAnsi="Book Antiqua"/>
      </w:rPr>
      <w:t xml:space="preserve">  </w:t>
    </w:r>
    <w:r w:rsidRPr="00D57B1B">
      <w:rPr>
        <w:rFonts w:ascii="Book Antiqua" w:hAnsi="Book Antiqua"/>
        <w:szCs w:val="24"/>
      </w:rPr>
      <w:t>ALJ/</w:t>
    </w:r>
    <w:r>
      <w:rPr>
        <w:rFonts w:ascii="Book Antiqua" w:hAnsi="Book Antiqua"/>
        <w:szCs w:val="24"/>
      </w:rPr>
      <w:t>PWI/</w:t>
    </w:r>
    <w:proofErr w:type="spellStart"/>
    <w:r>
      <w:rPr>
        <w:rFonts w:ascii="Book Antiqua" w:hAnsi="Book Antiqua"/>
        <w:szCs w:val="24"/>
      </w:rPr>
      <w:t>sgu</w:t>
    </w:r>
    <w:proofErr w:type="spellEnd"/>
  </w:p>
  <w:p w14:paraId="1AA2D540" w14:textId="30D30F26" w:rsidR="008D0B36" w:rsidRPr="008D0B36" w:rsidRDefault="008D0B36" w:rsidP="008D0B3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374C" w14:textId="0A1CB6B0" w:rsidR="00EE73EE" w:rsidRPr="00C56F64" w:rsidRDefault="00C719ED" w:rsidP="00EE73EE">
    <w:pPr>
      <w:pStyle w:val="Header"/>
    </w:pPr>
    <w:r w:rsidRPr="00D57B1B">
      <w:rPr>
        <w:rFonts w:ascii="Book Antiqua" w:hAnsi="Book Antiqua"/>
      </w:rPr>
      <w:t>Resolution ALJ-</w:t>
    </w:r>
    <w:r>
      <w:rPr>
        <w:rFonts w:ascii="Book Antiqua" w:hAnsi="Book Antiqua"/>
      </w:rPr>
      <w:t>42</w:t>
    </w:r>
    <w:r w:rsidR="008D0B36">
      <w:rPr>
        <w:rFonts w:ascii="Book Antiqua" w:hAnsi="Book Antiqua"/>
      </w:rPr>
      <w:t>8</w:t>
    </w:r>
    <w:r w:rsidRPr="00D57B1B">
      <w:rPr>
        <w:rFonts w:ascii="Book Antiqua" w:hAnsi="Book Antiqua"/>
      </w:rPr>
      <w:t xml:space="preserve">  </w:t>
    </w:r>
    <w:r w:rsidRPr="00D57B1B">
      <w:rPr>
        <w:rFonts w:ascii="Book Antiqua" w:hAnsi="Book Antiqua"/>
        <w:szCs w:val="24"/>
      </w:rPr>
      <w:t>ALJ/</w:t>
    </w:r>
    <w:r w:rsidR="008D0B36">
      <w:rPr>
        <w:rFonts w:ascii="Book Antiqua" w:hAnsi="Book Antiqua"/>
        <w:szCs w:val="24"/>
      </w:rPr>
      <w:t>PWI</w:t>
    </w:r>
    <w:r>
      <w:rPr>
        <w:rFonts w:ascii="Book Antiqua" w:hAnsi="Book Antiqua"/>
        <w:szCs w:val="24"/>
      </w:rPr>
      <w:t>/</w:t>
    </w:r>
    <w:proofErr w:type="spellStart"/>
    <w:r>
      <w:rPr>
        <w:rFonts w:ascii="Book Antiqua" w:hAnsi="Book Antiqua"/>
        <w:szCs w:val="24"/>
      </w:rPr>
      <w:t>sgu</w:t>
    </w:r>
    <w:proofErr w:type="spellEnd"/>
  </w:p>
  <w:p w14:paraId="3EAB1382" w14:textId="77777777" w:rsidR="006C5715" w:rsidRPr="00E064B2" w:rsidRDefault="00000000" w:rsidP="006C5715">
    <w:pPr>
      <w:pStyle w:val="Header"/>
      <w:rPr>
        <w:rFonts w:ascii="Book Antiqua" w:hAnsi="Book Antiqua"/>
      </w:rPr>
    </w:pPr>
  </w:p>
  <w:p w14:paraId="44184535" w14:textId="77777777" w:rsidR="0092114E" w:rsidRPr="0092114E" w:rsidRDefault="00000000" w:rsidP="0092114E">
    <w:pPr>
      <w:pStyle w:val="Heade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A49EC"/>
    <w:multiLevelType w:val="hybridMultilevel"/>
    <w:tmpl w:val="4C5E1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5759F"/>
    <w:multiLevelType w:val="hybridMultilevel"/>
    <w:tmpl w:val="8626D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8E4F88"/>
    <w:multiLevelType w:val="hybridMultilevel"/>
    <w:tmpl w:val="92065E66"/>
    <w:lvl w:ilvl="0" w:tplc="E6AA93FE">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7004B"/>
    <w:multiLevelType w:val="hybridMultilevel"/>
    <w:tmpl w:val="B0624456"/>
    <w:lvl w:ilvl="0" w:tplc="29CCE3EE">
      <w:start w:val="1"/>
      <w:numFmt w:val="decimal"/>
      <w:lvlText w:val="%1."/>
      <w:lvlJc w:val="left"/>
      <w:pPr>
        <w:ind w:left="720" w:hanging="360"/>
      </w:pPr>
      <w:rPr>
        <w:rFonts w:ascii="Palatino" w:eastAsia="Times New Roman" w:hAnsi="Palatin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AB02FF"/>
    <w:multiLevelType w:val="hybridMultilevel"/>
    <w:tmpl w:val="A88E0078"/>
    <w:lvl w:ilvl="0" w:tplc="6862052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C3FFC"/>
    <w:multiLevelType w:val="hybridMultilevel"/>
    <w:tmpl w:val="E360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4163605">
    <w:abstractNumId w:val="2"/>
  </w:num>
  <w:num w:numId="2" w16cid:durableId="39012555">
    <w:abstractNumId w:val="5"/>
  </w:num>
  <w:num w:numId="3" w16cid:durableId="1531189991">
    <w:abstractNumId w:val="1"/>
  </w:num>
  <w:num w:numId="4" w16cid:durableId="258950215">
    <w:abstractNumId w:val="4"/>
  </w:num>
  <w:num w:numId="5" w16cid:durableId="1839805754">
    <w:abstractNumId w:val="3"/>
  </w:num>
  <w:num w:numId="6" w16cid:durableId="9287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8F9"/>
    <w:rsid w:val="000158F4"/>
    <w:rsid w:val="00042C24"/>
    <w:rsid w:val="00055CD3"/>
    <w:rsid w:val="000571DF"/>
    <w:rsid w:val="000645A6"/>
    <w:rsid w:val="000677AE"/>
    <w:rsid w:val="00067E04"/>
    <w:rsid w:val="000925F2"/>
    <w:rsid w:val="000B3799"/>
    <w:rsid w:val="000C088D"/>
    <w:rsid w:val="00102277"/>
    <w:rsid w:val="00150296"/>
    <w:rsid w:val="001558A6"/>
    <w:rsid w:val="001566DD"/>
    <w:rsid w:val="00163EDE"/>
    <w:rsid w:val="00180F04"/>
    <w:rsid w:val="00191215"/>
    <w:rsid w:val="00196DD7"/>
    <w:rsid w:val="001B317D"/>
    <w:rsid w:val="001B36E0"/>
    <w:rsid w:val="001B46DF"/>
    <w:rsid w:val="001B6B54"/>
    <w:rsid w:val="001C7677"/>
    <w:rsid w:val="00223A16"/>
    <w:rsid w:val="00234552"/>
    <w:rsid w:val="00247DC3"/>
    <w:rsid w:val="00271C33"/>
    <w:rsid w:val="002754B4"/>
    <w:rsid w:val="00277D45"/>
    <w:rsid w:val="00290233"/>
    <w:rsid w:val="00290D4D"/>
    <w:rsid w:val="0029695C"/>
    <w:rsid w:val="002A5FA1"/>
    <w:rsid w:val="002D1E8D"/>
    <w:rsid w:val="002D43A5"/>
    <w:rsid w:val="002E0289"/>
    <w:rsid w:val="0030350E"/>
    <w:rsid w:val="003202FB"/>
    <w:rsid w:val="003332A5"/>
    <w:rsid w:val="00336BE0"/>
    <w:rsid w:val="003372A0"/>
    <w:rsid w:val="00346F96"/>
    <w:rsid w:val="00356072"/>
    <w:rsid w:val="00383406"/>
    <w:rsid w:val="003A6E0C"/>
    <w:rsid w:val="003A727C"/>
    <w:rsid w:val="003B2287"/>
    <w:rsid w:val="003C3DB9"/>
    <w:rsid w:val="003D3396"/>
    <w:rsid w:val="003E10D9"/>
    <w:rsid w:val="003F2930"/>
    <w:rsid w:val="003F44F9"/>
    <w:rsid w:val="003F4557"/>
    <w:rsid w:val="00410DFF"/>
    <w:rsid w:val="00415681"/>
    <w:rsid w:val="0041798D"/>
    <w:rsid w:val="00443C9B"/>
    <w:rsid w:val="00445F8C"/>
    <w:rsid w:val="00454301"/>
    <w:rsid w:val="004628F9"/>
    <w:rsid w:val="004B10E3"/>
    <w:rsid w:val="004C645D"/>
    <w:rsid w:val="004E7748"/>
    <w:rsid w:val="004F29B3"/>
    <w:rsid w:val="005004DD"/>
    <w:rsid w:val="00501965"/>
    <w:rsid w:val="0050526D"/>
    <w:rsid w:val="00545CA1"/>
    <w:rsid w:val="00547A59"/>
    <w:rsid w:val="0056216E"/>
    <w:rsid w:val="00581877"/>
    <w:rsid w:val="0058537C"/>
    <w:rsid w:val="00590141"/>
    <w:rsid w:val="00594B0E"/>
    <w:rsid w:val="005A4740"/>
    <w:rsid w:val="005A497D"/>
    <w:rsid w:val="005B4258"/>
    <w:rsid w:val="005E39D2"/>
    <w:rsid w:val="005F0B41"/>
    <w:rsid w:val="00602909"/>
    <w:rsid w:val="00603954"/>
    <w:rsid w:val="006065EA"/>
    <w:rsid w:val="00611008"/>
    <w:rsid w:val="0062754C"/>
    <w:rsid w:val="00632064"/>
    <w:rsid w:val="00637D40"/>
    <w:rsid w:val="006A19AF"/>
    <w:rsid w:val="006A6223"/>
    <w:rsid w:val="006B2D08"/>
    <w:rsid w:val="006D58C5"/>
    <w:rsid w:val="006F3EDB"/>
    <w:rsid w:val="006F6CA5"/>
    <w:rsid w:val="00701C6A"/>
    <w:rsid w:val="00724CF8"/>
    <w:rsid w:val="00740E3B"/>
    <w:rsid w:val="007550B7"/>
    <w:rsid w:val="00786595"/>
    <w:rsid w:val="007A5CBD"/>
    <w:rsid w:val="007B4FCC"/>
    <w:rsid w:val="007E45BA"/>
    <w:rsid w:val="008012D1"/>
    <w:rsid w:val="00816688"/>
    <w:rsid w:val="00817C70"/>
    <w:rsid w:val="00822A79"/>
    <w:rsid w:val="008230E3"/>
    <w:rsid w:val="008329E9"/>
    <w:rsid w:val="00841670"/>
    <w:rsid w:val="0084311C"/>
    <w:rsid w:val="0084749E"/>
    <w:rsid w:val="008640F3"/>
    <w:rsid w:val="008679B7"/>
    <w:rsid w:val="00892FB0"/>
    <w:rsid w:val="008B1BE6"/>
    <w:rsid w:val="008C3F02"/>
    <w:rsid w:val="008C4B2D"/>
    <w:rsid w:val="008D0B36"/>
    <w:rsid w:val="008D6D00"/>
    <w:rsid w:val="00922051"/>
    <w:rsid w:val="00925CDA"/>
    <w:rsid w:val="00927CEF"/>
    <w:rsid w:val="00981BFA"/>
    <w:rsid w:val="009964E5"/>
    <w:rsid w:val="009A69A1"/>
    <w:rsid w:val="009C2356"/>
    <w:rsid w:val="00A07332"/>
    <w:rsid w:val="00A146C7"/>
    <w:rsid w:val="00A16476"/>
    <w:rsid w:val="00A174AB"/>
    <w:rsid w:val="00A2741E"/>
    <w:rsid w:val="00A4220B"/>
    <w:rsid w:val="00A5308B"/>
    <w:rsid w:val="00A7688F"/>
    <w:rsid w:val="00A81EE8"/>
    <w:rsid w:val="00A82445"/>
    <w:rsid w:val="00AB2CED"/>
    <w:rsid w:val="00AB4339"/>
    <w:rsid w:val="00AB65FB"/>
    <w:rsid w:val="00AC25BD"/>
    <w:rsid w:val="00AC3A3D"/>
    <w:rsid w:val="00AD5AE0"/>
    <w:rsid w:val="00AD70FF"/>
    <w:rsid w:val="00B00242"/>
    <w:rsid w:val="00B015B3"/>
    <w:rsid w:val="00B261F9"/>
    <w:rsid w:val="00B33092"/>
    <w:rsid w:val="00B34EC0"/>
    <w:rsid w:val="00B5070E"/>
    <w:rsid w:val="00B538FA"/>
    <w:rsid w:val="00B72D6D"/>
    <w:rsid w:val="00B73703"/>
    <w:rsid w:val="00B9589A"/>
    <w:rsid w:val="00BA36A0"/>
    <w:rsid w:val="00BE157C"/>
    <w:rsid w:val="00BE5D8C"/>
    <w:rsid w:val="00BF1FD0"/>
    <w:rsid w:val="00C33F3A"/>
    <w:rsid w:val="00C40E30"/>
    <w:rsid w:val="00C47C2A"/>
    <w:rsid w:val="00C50D3C"/>
    <w:rsid w:val="00C64697"/>
    <w:rsid w:val="00C719ED"/>
    <w:rsid w:val="00C762DF"/>
    <w:rsid w:val="00CA420F"/>
    <w:rsid w:val="00CB48FB"/>
    <w:rsid w:val="00CD2608"/>
    <w:rsid w:val="00D31DFA"/>
    <w:rsid w:val="00D33BBA"/>
    <w:rsid w:val="00D4468B"/>
    <w:rsid w:val="00D74C12"/>
    <w:rsid w:val="00D76B14"/>
    <w:rsid w:val="00D83630"/>
    <w:rsid w:val="00DC0ACD"/>
    <w:rsid w:val="00DE46F6"/>
    <w:rsid w:val="00DE6B3F"/>
    <w:rsid w:val="00DE7111"/>
    <w:rsid w:val="00E31946"/>
    <w:rsid w:val="00E5474D"/>
    <w:rsid w:val="00E56B9B"/>
    <w:rsid w:val="00E56CD6"/>
    <w:rsid w:val="00E758BA"/>
    <w:rsid w:val="00EB6339"/>
    <w:rsid w:val="00EB69A8"/>
    <w:rsid w:val="00EF3AB6"/>
    <w:rsid w:val="00EF4B1F"/>
    <w:rsid w:val="00F20489"/>
    <w:rsid w:val="00F4359A"/>
    <w:rsid w:val="00F4636E"/>
    <w:rsid w:val="00F51D27"/>
    <w:rsid w:val="00F6783A"/>
    <w:rsid w:val="00F825CC"/>
    <w:rsid w:val="00F903A2"/>
    <w:rsid w:val="00FB508B"/>
    <w:rsid w:val="00FB6486"/>
    <w:rsid w:val="00FE771D"/>
    <w:rsid w:val="00FF004B"/>
    <w:rsid w:val="00FF64E8"/>
    <w:rsid w:val="00FF6D7E"/>
    <w:rsid w:val="00FF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hapeDefaults>
    <o:shapedefaults v:ext="edit" spidmax="2050"/>
    <o:shapelayout v:ext="edit">
      <o:idmap v:ext="edit" data="2"/>
    </o:shapelayout>
  </w:shapeDefaults>
  <w:decimalSymbol w:val="."/>
  <w:listSeparator w:val=","/>
  <w14:docId w14:val="465DB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andard">
    <w:name w:val="standard"/>
    <w:basedOn w:val="Normal"/>
    <w:link w:val="standardChar"/>
    <w:pPr>
      <w:spacing w:line="360" w:lineRule="auto"/>
      <w:ind w:firstLine="720"/>
    </w:pPr>
  </w:style>
  <w:style w:type="paragraph" w:styleId="Title">
    <w:name w:val="Title"/>
    <w:basedOn w:val="Normal"/>
    <w:link w:val="TitleChar"/>
    <w:qFormat/>
    <w:pPr>
      <w:jc w:val="center"/>
    </w:pPr>
    <w:rPr>
      <w:rFonts w:ascii="Helvetica" w:hAnsi="Helvetica"/>
      <w:b/>
    </w:rPr>
  </w:style>
  <w:style w:type="paragraph" w:styleId="BlockText">
    <w:name w:val="Block Text"/>
    <w:basedOn w:val="Normal"/>
    <w:pPr>
      <w:ind w:left="720" w:right="720"/>
    </w:pPr>
  </w:style>
  <w:style w:type="character" w:customStyle="1" w:styleId="standardChar">
    <w:name w:val="standard Char"/>
    <w:link w:val="standard"/>
    <w:rPr>
      <w:rFonts w:ascii="Palatino" w:hAnsi="Palatino"/>
      <w:sz w:val="24"/>
      <w:lang w:val="en-US" w:eastAsia="en-US" w:bidi="ar-SA"/>
    </w:rPr>
  </w:style>
  <w:style w:type="paragraph" w:styleId="ListParagraph">
    <w:name w:val="List Paragraph"/>
    <w:basedOn w:val="Normal"/>
    <w:uiPriority w:val="34"/>
    <w:qFormat/>
    <w:rsid w:val="00545CA1"/>
    <w:pPr>
      <w:ind w:left="720"/>
    </w:pPr>
  </w:style>
  <w:style w:type="character" w:customStyle="1" w:styleId="TitleChar">
    <w:name w:val="Title Char"/>
    <w:link w:val="Title"/>
    <w:rsid w:val="00EB69A8"/>
    <w:rPr>
      <w:rFonts w:ascii="Helvetica" w:hAnsi="Helvetica"/>
      <w:b/>
      <w:sz w:val="24"/>
    </w:rPr>
  </w:style>
  <w:style w:type="character" w:customStyle="1" w:styleId="FooterChar">
    <w:name w:val="Footer Char"/>
    <w:link w:val="Footer"/>
    <w:uiPriority w:val="99"/>
    <w:rsid w:val="00C33F3A"/>
    <w:rPr>
      <w:rFonts w:ascii="Palatino" w:hAnsi="Palatino"/>
      <w:sz w:val="24"/>
    </w:rPr>
  </w:style>
  <w:style w:type="paragraph" w:styleId="Revision">
    <w:name w:val="Revision"/>
    <w:hidden/>
    <w:uiPriority w:val="99"/>
    <w:semiHidden/>
    <w:rsid w:val="0050526D"/>
    <w:rPr>
      <w:rFonts w:ascii="Palatino" w:hAnsi="Palatino"/>
      <w:sz w:val="24"/>
    </w:rPr>
  </w:style>
  <w:style w:type="character" w:styleId="CommentReference">
    <w:name w:val="annotation reference"/>
    <w:basedOn w:val="DefaultParagraphFont"/>
    <w:rsid w:val="00415681"/>
    <w:rPr>
      <w:sz w:val="16"/>
      <w:szCs w:val="16"/>
    </w:rPr>
  </w:style>
  <w:style w:type="paragraph" w:styleId="CommentText">
    <w:name w:val="annotation text"/>
    <w:basedOn w:val="Normal"/>
    <w:link w:val="CommentTextChar"/>
    <w:rsid w:val="00415681"/>
    <w:rPr>
      <w:sz w:val="20"/>
    </w:rPr>
  </w:style>
  <w:style w:type="character" w:customStyle="1" w:styleId="CommentTextChar">
    <w:name w:val="Comment Text Char"/>
    <w:basedOn w:val="DefaultParagraphFont"/>
    <w:link w:val="CommentText"/>
    <w:rsid w:val="00415681"/>
    <w:rPr>
      <w:rFonts w:ascii="Palatino" w:hAnsi="Palatino"/>
    </w:rPr>
  </w:style>
  <w:style w:type="paragraph" w:styleId="CommentSubject">
    <w:name w:val="annotation subject"/>
    <w:basedOn w:val="CommentText"/>
    <w:next w:val="CommentText"/>
    <w:link w:val="CommentSubjectChar"/>
    <w:rsid w:val="00415681"/>
    <w:rPr>
      <w:b/>
      <w:bCs/>
    </w:rPr>
  </w:style>
  <w:style w:type="character" w:customStyle="1" w:styleId="CommentSubjectChar">
    <w:name w:val="Comment Subject Char"/>
    <w:basedOn w:val="CommentTextChar"/>
    <w:link w:val="CommentSubject"/>
    <w:rsid w:val="00415681"/>
    <w:rPr>
      <w:rFonts w:ascii="Palatino" w:hAnsi="Palatino"/>
      <w:b/>
      <w:bCs/>
    </w:rPr>
  </w:style>
  <w:style w:type="character" w:customStyle="1" w:styleId="HeaderChar">
    <w:name w:val="Header Char"/>
    <w:basedOn w:val="DefaultParagraphFont"/>
    <w:link w:val="Header"/>
    <w:rsid w:val="008D0B36"/>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3157">
      <w:bodyDiv w:val="1"/>
      <w:marLeft w:val="0"/>
      <w:marRight w:val="0"/>
      <w:marTop w:val="0"/>
      <w:marBottom w:val="0"/>
      <w:divBdr>
        <w:top w:val="none" w:sz="0" w:space="0" w:color="auto"/>
        <w:left w:val="none" w:sz="0" w:space="0" w:color="auto"/>
        <w:bottom w:val="none" w:sz="0" w:space="0" w:color="auto"/>
        <w:right w:val="none" w:sz="0" w:space="0" w:color="auto"/>
      </w:divBdr>
      <w:divsChild>
        <w:div w:id="1219586754">
          <w:marLeft w:val="0"/>
          <w:marRight w:val="0"/>
          <w:marTop w:val="0"/>
          <w:marBottom w:val="0"/>
          <w:divBdr>
            <w:top w:val="none" w:sz="0" w:space="0" w:color="auto"/>
            <w:left w:val="none" w:sz="0" w:space="0" w:color="auto"/>
            <w:bottom w:val="none" w:sz="0" w:space="0" w:color="auto"/>
            <w:right w:val="none" w:sz="0" w:space="0" w:color="auto"/>
          </w:divBdr>
        </w:div>
      </w:divsChild>
    </w:div>
    <w:div w:id="9726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613F-DD48-409A-8C22-C064092153DA}">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13</ap:Pages>
  <ap:Words>3806</ap:Words>
  <ap:Characters>21697</ap:Characters>
  <ap:Application>Microsoft Office Word</ap:Application>
  <ap:DocSecurity>0</ap:DocSecurity>
  <ap:Lines>180</ap:Lines>
  <ap:Paragraphs>50</ap:Paragraphs>
  <ap:ScaleCrop>false</ap:ScaleCrop>
  <ap:HeadingPairs>
    <vt:vector baseType="variant" size="2">
      <vt:variant>
        <vt:lpstr>Title</vt:lpstr>
      </vt:variant>
      <vt:variant>
        <vt:i4>1</vt:i4>
      </vt:variant>
    </vt:vector>
  </ap:HeadingPairs>
  <ap:TitlesOfParts>
    <vt:vector baseType="lpstr" size="1">
      <vt:lpstr>_</vt:lpstr>
    </vt:vector>
  </ap:TitlesOfParts>
  <ap:Manager/>
  <ap:Company/>
  <ap:LinksUpToDate>false</ap:LinksUpToDate>
  <ap:CharactersWithSpaces>25453</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2008-07-18T20:41:00Z</cp:lastPrinted>
  <dcterms:created xsi:type="dcterms:W3CDTF">2022-11-21T14:39:30Z</dcterms:created>
  <dcterms:modified xsi:type="dcterms:W3CDTF">2022-11-21T14:39:30Z</dcterms:modified>
</cp:coreProperties>
</file>