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4D5D" w:rsidR="001507CE" w:rsidP="001507CE" w:rsidRDefault="001507CE" w14:paraId="37FA4A2D" w14:textId="4C42D7A6">
      <w:pPr>
        <w:pStyle w:val="titlebar"/>
        <w:rPr>
          <w:rFonts w:ascii="Palatino Linotype" w:hAnsi="Palatino Linotype"/>
          <w:sz w:val="24"/>
          <w:szCs w:val="24"/>
        </w:rPr>
      </w:pPr>
      <w:r w:rsidRPr="00534D5D">
        <w:rPr>
          <w:rFonts w:ascii="Palatino Linotype" w:hAnsi="Palatino Linotype"/>
          <w:sz w:val="24"/>
          <w:szCs w:val="24"/>
        </w:rPr>
        <w:t>PUBLIC UTILITIES COMMISSION OF THE STATE OF CALIFORNIA</w:t>
      </w:r>
    </w:p>
    <w:p w:rsidRPr="00534D5D" w:rsidR="00C17FD9" w:rsidP="00C17FD9" w:rsidRDefault="00815645" w14:paraId="3104F95C" w14:textId="77777777">
      <w:pPr>
        <w:pStyle w:val="titlebar"/>
        <w:tabs>
          <w:tab w:val="right" w:pos="8820"/>
        </w:tabs>
        <w:rPr>
          <w:rFonts w:ascii="Palatino Linotype" w:hAnsi="Palatino Linotype"/>
          <w:sz w:val="24"/>
          <w:szCs w:val="24"/>
        </w:rPr>
      </w:pPr>
      <w:r w:rsidRPr="00534D5D">
        <w:rPr>
          <w:rFonts w:ascii="Palatino Linotype" w:hAnsi="Palatino Linotype"/>
          <w:sz w:val="24"/>
          <w:szCs w:val="24"/>
        </w:rPr>
        <w:tab/>
      </w:r>
    </w:p>
    <w:p w:rsidRPr="00534D5D" w:rsidR="00C17FD9" w:rsidP="00C17FD9" w:rsidRDefault="00C17FD9" w14:paraId="11E31B81" w14:textId="68D8F68E">
      <w:pPr>
        <w:pStyle w:val="titlebar"/>
        <w:tabs>
          <w:tab w:val="right" w:pos="8820"/>
        </w:tabs>
        <w:jc w:val="both"/>
        <w:rPr>
          <w:rFonts w:ascii="Palatino Linotype" w:hAnsi="Palatino Linotype"/>
          <w:sz w:val="24"/>
          <w:szCs w:val="24"/>
        </w:rPr>
      </w:pPr>
      <w:r w:rsidRPr="00534D5D">
        <w:rPr>
          <w:rFonts w:ascii="Palatino Linotype" w:hAnsi="Palatino Linotype"/>
          <w:sz w:val="24"/>
          <w:szCs w:val="24"/>
        </w:rPr>
        <w:t xml:space="preserve">  </w:t>
      </w:r>
      <w:r w:rsidRPr="00534D5D">
        <w:rPr>
          <w:rFonts w:ascii="Palatino Linotype" w:hAnsi="Palatino Linotype"/>
          <w:sz w:val="24"/>
          <w:szCs w:val="24"/>
        </w:rPr>
        <w:tab/>
      </w:r>
      <w:r w:rsidRPr="00534D5D" w:rsidR="00815645">
        <w:rPr>
          <w:rFonts w:ascii="Palatino Linotype" w:hAnsi="Palatino Linotype"/>
          <w:sz w:val="24"/>
          <w:szCs w:val="24"/>
        </w:rPr>
        <w:t>Agenda I</w:t>
      </w:r>
      <w:r w:rsidRPr="00534D5D">
        <w:rPr>
          <w:rFonts w:ascii="Palatino Linotype" w:hAnsi="Palatino Linotype"/>
          <w:sz w:val="24"/>
          <w:szCs w:val="24"/>
        </w:rPr>
        <w:t>D #</w:t>
      </w:r>
      <w:r w:rsidRPr="004C15B7" w:rsidR="004C15B7">
        <w:rPr>
          <w:rFonts w:ascii="Palatino Linotype" w:hAnsi="Palatino Linotype"/>
          <w:sz w:val="24"/>
          <w:szCs w:val="24"/>
        </w:rPr>
        <w:t>21147</w:t>
      </w:r>
    </w:p>
    <w:p w:rsidRPr="00534D5D" w:rsidR="00815645" w:rsidP="00C17FD9" w:rsidRDefault="00815645" w14:paraId="6446DAD7" w14:textId="33FD32E2">
      <w:pPr>
        <w:pStyle w:val="titlebar"/>
        <w:tabs>
          <w:tab w:val="right" w:pos="8820"/>
        </w:tabs>
        <w:jc w:val="both"/>
        <w:rPr>
          <w:rFonts w:ascii="Palatino Linotype" w:hAnsi="Palatino Linotype"/>
          <w:sz w:val="24"/>
          <w:szCs w:val="24"/>
        </w:rPr>
      </w:pPr>
      <w:r w:rsidRPr="00534D5D">
        <w:rPr>
          <w:rFonts w:ascii="Palatino Linotype" w:hAnsi="Palatino Linotype"/>
          <w:sz w:val="24"/>
          <w:szCs w:val="24"/>
        </w:rPr>
        <w:t>ENERGY DIVISION</w:t>
      </w:r>
      <w:r w:rsidRPr="00534D5D" w:rsidR="00C17FD9">
        <w:rPr>
          <w:rFonts w:ascii="Palatino Linotype" w:hAnsi="Palatino Linotype"/>
          <w:sz w:val="24"/>
          <w:szCs w:val="24"/>
        </w:rPr>
        <w:tab/>
      </w:r>
      <w:r w:rsidRPr="00534D5D">
        <w:rPr>
          <w:rFonts w:ascii="Palatino Linotype" w:hAnsi="Palatino Linotype"/>
          <w:sz w:val="24"/>
          <w:szCs w:val="24"/>
        </w:rPr>
        <w:t>RESOLUTION E</w:t>
      </w:r>
      <w:r w:rsidRPr="00534D5D" w:rsidR="0094258E">
        <w:rPr>
          <w:rFonts w:ascii="Palatino Linotype" w:hAnsi="Palatino Linotype"/>
          <w:sz w:val="24"/>
          <w:szCs w:val="24"/>
        </w:rPr>
        <w:t>-</w:t>
      </w:r>
      <w:r w:rsidRPr="00534D5D" w:rsidR="00BC4B3A">
        <w:rPr>
          <w:rFonts w:ascii="Palatino Linotype" w:hAnsi="Palatino Linotype"/>
          <w:sz w:val="24"/>
          <w:szCs w:val="24"/>
        </w:rPr>
        <w:t>5</w:t>
      </w:r>
      <w:r w:rsidRPr="00534D5D" w:rsidR="004A1713">
        <w:rPr>
          <w:rFonts w:ascii="Palatino Linotype" w:hAnsi="Palatino Linotype"/>
          <w:sz w:val="24"/>
          <w:szCs w:val="24"/>
        </w:rPr>
        <w:t>2</w:t>
      </w:r>
      <w:r w:rsidRPr="00534D5D" w:rsidR="00BC4B3A">
        <w:rPr>
          <w:rFonts w:ascii="Palatino Linotype" w:hAnsi="Palatino Linotype"/>
          <w:sz w:val="24"/>
          <w:szCs w:val="24"/>
        </w:rPr>
        <w:t>47</w:t>
      </w:r>
    </w:p>
    <w:p w:rsidRPr="00534D5D" w:rsidR="00815645" w:rsidP="00C17FD9" w:rsidRDefault="00C17FD9" w14:paraId="4E513A36" w14:textId="631811EB">
      <w:pPr>
        <w:pStyle w:val="titlebar"/>
        <w:tabs>
          <w:tab w:val="right" w:pos="8820"/>
        </w:tabs>
        <w:jc w:val="both"/>
        <w:rPr>
          <w:rFonts w:ascii="Palatino Linotype" w:hAnsi="Palatino Linotype"/>
          <w:sz w:val="24"/>
          <w:szCs w:val="24"/>
        </w:rPr>
      </w:pPr>
      <w:r w:rsidRPr="00534D5D">
        <w:rPr>
          <w:rFonts w:ascii="Palatino Linotype" w:hAnsi="Palatino Linotype"/>
          <w:sz w:val="24"/>
          <w:szCs w:val="24"/>
        </w:rPr>
        <w:tab/>
      </w:r>
      <w:r w:rsidRPr="00534D5D" w:rsidR="000350BE">
        <w:rPr>
          <w:rFonts w:ascii="Palatino Linotype" w:hAnsi="Palatino Linotype"/>
          <w:sz w:val="24"/>
          <w:szCs w:val="24"/>
        </w:rPr>
        <w:t>December 15</w:t>
      </w:r>
      <w:r w:rsidRPr="00534D5D" w:rsidR="00815645">
        <w:rPr>
          <w:rFonts w:ascii="Palatino Linotype" w:hAnsi="Palatino Linotype"/>
          <w:sz w:val="24"/>
          <w:szCs w:val="24"/>
        </w:rPr>
        <w:t>, 202</w:t>
      </w:r>
      <w:r w:rsidRPr="00534D5D" w:rsidR="0094258E">
        <w:rPr>
          <w:rFonts w:ascii="Palatino Linotype" w:hAnsi="Palatino Linotype"/>
          <w:sz w:val="24"/>
          <w:szCs w:val="24"/>
        </w:rPr>
        <w:t>2</w:t>
      </w:r>
    </w:p>
    <w:p w:rsidRPr="00534D5D" w:rsidR="001507CE" w:rsidP="009456DA" w:rsidRDefault="001507CE" w14:paraId="0C56D4CF" w14:textId="77777777">
      <w:pPr>
        <w:tabs>
          <w:tab w:val="right" w:pos="8910"/>
        </w:tabs>
        <w:spacing w:after="0"/>
        <w:ind w:left="1440" w:firstLine="720"/>
        <w:rPr>
          <w:rFonts w:ascii="Palatino Linotype" w:hAnsi="Palatino Linotype"/>
          <w:b/>
          <w:sz w:val="24"/>
          <w:szCs w:val="24"/>
        </w:rPr>
      </w:pPr>
    </w:p>
    <w:p w:rsidRPr="00534D5D" w:rsidR="001507CE" w:rsidP="001507CE" w:rsidRDefault="001507CE" w14:paraId="7A2EBC86" w14:textId="77777777">
      <w:pPr>
        <w:pStyle w:val="mainex"/>
        <w:rPr>
          <w:rFonts w:ascii="Palatino Linotype" w:hAnsi="Palatino Linotype"/>
          <w:sz w:val="24"/>
          <w:szCs w:val="24"/>
          <w:u w:val="single"/>
        </w:rPr>
      </w:pPr>
      <w:r w:rsidRPr="00534D5D">
        <w:rPr>
          <w:rFonts w:ascii="Palatino Linotype" w:hAnsi="Palatino Linotype"/>
          <w:sz w:val="24"/>
          <w:szCs w:val="24"/>
          <w:u w:val="single"/>
        </w:rPr>
        <w:t>RESOLUTION</w:t>
      </w:r>
    </w:p>
    <w:p w:rsidRPr="00534D5D" w:rsidR="001507CE" w:rsidP="009456DA" w:rsidRDefault="001507CE" w14:paraId="6E034AC7" w14:textId="77777777">
      <w:pPr>
        <w:spacing w:after="0"/>
        <w:rPr>
          <w:rFonts w:ascii="Palatino Linotype" w:hAnsi="Palatino Linotype"/>
          <w:sz w:val="24"/>
          <w:szCs w:val="24"/>
        </w:rPr>
      </w:pPr>
    </w:p>
    <w:p w:rsidRPr="00534D5D" w:rsidR="001507CE" w:rsidP="001507CE" w:rsidRDefault="001507CE" w14:paraId="0F5895EE" w14:textId="0C51573E">
      <w:pPr>
        <w:pStyle w:val="Res-Caption"/>
        <w:rPr>
          <w:rFonts w:ascii="Palatino Linotype" w:hAnsi="Palatino Linotype"/>
          <w:sz w:val="24"/>
          <w:szCs w:val="24"/>
        </w:rPr>
      </w:pPr>
      <w:r w:rsidRPr="00534D5D">
        <w:rPr>
          <w:rFonts w:ascii="Palatino Linotype" w:hAnsi="Palatino Linotype"/>
          <w:sz w:val="24"/>
          <w:szCs w:val="24"/>
        </w:rPr>
        <w:t>Resolution E-</w:t>
      </w:r>
      <w:r w:rsidRPr="00534D5D" w:rsidR="00BC4B3A">
        <w:rPr>
          <w:rFonts w:ascii="Palatino Linotype" w:hAnsi="Palatino Linotype"/>
          <w:sz w:val="24"/>
          <w:szCs w:val="24"/>
        </w:rPr>
        <w:t>5</w:t>
      </w:r>
      <w:r w:rsidRPr="00534D5D" w:rsidR="004A1713">
        <w:rPr>
          <w:rFonts w:ascii="Palatino Linotype" w:hAnsi="Palatino Linotype"/>
          <w:sz w:val="24"/>
          <w:szCs w:val="24"/>
        </w:rPr>
        <w:t>2</w:t>
      </w:r>
      <w:r w:rsidRPr="00534D5D" w:rsidR="00BC4B3A">
        <w:rPr>
          <w:rFonts w:ascii="Palatino Linotype" w:hAnsi="Palatino Linotype"/>
          <w:sz w:val="24"/>
          <w:szCs w:val="24"/>
        </w:rPr>
        <w:t>47</w:t>
      </w:r>
      <w:r w:rsidRPr="00534D5D">
        <w:rPr>
          <w:rFonts w:ascii="Palatino Linotype" w:hAnsi="Palatino Linotype"/>
          <w:sz w:val="24"/>
          <w:szCs w:val="24"/>
        </w:rPr>
        <w:t xml:space="preserve"> </w:t>
      </w:r>
      <w:r w:rsidRPr="00534D5D" w:rsidR="000361B6">
        <w:rPr>
          <w:rFonts w:ascii="Palatino Linotype" w:hAnsi="Palatino Linotype"/>
          <w:sz w:val="24"/>
          <w:szCs w:val="24"/>
        </w:rPr>
        <w:t xml:space="preserve">Pacific Gas </w:t>
      </w:r>
      <w:r w:rsidRPr="00534D5D" w:rsidR="00DC0742">
        <w:rPr>
          <w:rFonts w:ascii="Palatino Linotype" w:hAnsi="Palatino Linotype"/>
          <w:sz w:val="24"/>
          <w:szCs w:val="24"/>
        </w:rPr>
        <w:t>and</w:t>
      </w:r>
      <w:r w:rsidRPr="00534D5D" w:rsidR="000361B6">
        <w:rPr>
          <w:rFonts w:ascii="Palatino Linotype" w:hAnsi="Palatino Linotype"/>
          <w:sz w:val="24"/>
          <w:szCs w:val="24"/>
        </w:rPr>
        <w:t xml:space="preserve"> Electric</w:t>
      </w:r>
      <w:r w:rsidRPr="00534D5D" w:rsidR="00C106B6">
        <w:rPr>
          <w:rFonts w:ascii="Palatino Linotype" w:hAnsi="Palatino Linotype"/>
          <w:sz w:val="24"/>
          <w:szCs w:val="24"/>
        </w:rPr>
        <w:t xml:space="preserve"> Company</w:t>
      </w:r>
      <w:r w:rsidRPr="00534D5D" w:rsidR="000361B6">
        <w:rPr>
          <w:rFonts w:ascii="Palatino Linotype" w:hAnsi="Palatino Linotype"/>
          <w:sz w:val="24"/>
          <w:szCs w:val="24"/>
        </w:rPr>
        <w:t xml:space="preserve">, </w:t>
      </w:r>
      <w:r w:rsidRPr="00534D5D">
        <w:rPr>
          <w:rFonts w:ascii="Palatino Linotype" w:hAnsi="Palatino Linotype"/>
          <w:sz w:val="24"/>
          <w:szCs w:val="24"/>
        </w:rPr>
        <w:t>San Diego Gas &amp; Electric</w:t>
      </w:r>
      <w:r w:rsidRPr="00534D5D" w:rsidR="00C106B6">
        <w:rPr>
          <w:rFonts w:ascii="Palatino Linotype" w:hAnsi="Palatino Linotype"/>
          <w:sz w:val="24"/>
          <w:szCs w:val="24"/>
        </w:rPr>
        <w:t xml:space="preserve"> Company</w:t>
      </w:r>
      <w:r w:rsidRPr="00534D5D" w:rsidR="000361B6">
        <w:rPr>
          <w:rFonts w:ascii="Palatino Linotype" w:hAnsi="Palatino Linotype"/>
          <w:sz w:val="24"/>
          <w:szCs w:val="24"/>
        </w:rPr>
        <w:t>, Southern California Edison</w:t>
      </w:r>
      <w:r w:rsidRPr="00534D5D" w:rsidR="00C106B6">
        <w:rPr>
          <w:rFonts w:ascii="Palatino Linotype" w:hAnsi="Palatino Linotype"/>
          <w:sz w:val="24"/>
          <w:szCs w:val="24"/>
        </w:rPr>
        <w:t xml:space="preserve"> Company</w:t>
      </w:r>
      <w:r w:rsidRPr="00534D5D" w:rsidR="000361B6">
        <w:rPr>
          <w:rFonts w:ascii="Palatino Linotype" w:hAnsi="Palatino Linotype"/>
          <w:sz w:val="24"/>
          <w:szCs w:val="24"/>
        </w:rPr>
        <w:t>, Bear Valley Electric Service, Liberty Utilities, and PacifiCorp</w:t>
      </w:r>
      <w:r w:rsidRPr="00534D5D" w:rsidR="008777C0">
        <w:rPr>
          <w:rFonts w:ascii="Palatino Linotype" w:hAnsi="Palatino Linotype"/>
          <w:sz w:val="24"/>
          <w:szCs w:val="24"/>
        </w:rPr>
        <w:t xml:space="preserve"> d/b/a </w:t>
      </w:r>
      <w:proofErr w:type="spellStart"/>
      <w:r w:rsidRPr="00534D5D" w:rsidR="008777C0">
        <w:rPr>
          <w:rFonts w:ascii="Palatino Linotype" w:hAnsi="Palatino Linotype"/>
          <w:sz w:val="24"/>
          <w:szCs w:val="24"/>
        </w:rPr>
        <w:t>PacificPower</w:t>
      </w:r>
      <w:proofErr w:type="spellEnd"/>
      <w:r w:rsidRPr="00534D5D">
        <w:rPr>
          <w:rFonts w:ascii="Palatino Linotype" w:hAnsi="Palatino Linotype"/>
          <w:sz w:val="24"/>
          <w:szCs w:val="24"/>
        </w:rPr>
        <w:t xml:space="preserve"> request approval </w:t>
      </w:r>
      <w:r w:rsidRPr="00534D5D" w:rsidR="000361B6">
        <w:rPr>
          <w:rFonts w:ascii="Palatino Linotype" w:hAnsi="Palatino Linotype"/>
          <w:sz w:val="24"/>
          <w:szCs w:val="24"/>
        </w:rPr>
        <w:t>of a proposed electric vehicle service equipment service energization timeline in compliance with Ordering Paragraph 8 of Resolution</w:t>
      </w:r>
      <w:r w:rsidRPr="00534D5D" w:rsidR="00561E1C">
        <w:rPr>
          <w:rFonts w:ascii="Palatino Linotype" w:hAnsi="Palatino Linotype"/>
          <w:sz w:val="24"/>
          <w:szCs w:val="24"/>
        </w:rPr>
        <w:t>s</w:t>
      </w:r>
      <w:r w:rsidRPr="00534D5D" w:rsidR="000361B6">
        <w:rPr>
          <w:rFonts w:ascii="Palatino Linotype" w:hAnsi="Palatino Linotype"/>
          <w:sz w:val="24"/>
          <w:szCs w:val="24"/>
        </w:rPr>
        <w:t xml:space="preserve"> E-5167 and E-5168.</w:t>
      </w:r>
    </w:p>
    <w:p w:rsidRPr="00534D5D" w:rsidR="001507CE" w:rsidP="001507CE" w:rsidRDefault="001507CE" w14:paraId="4D37DD4C" w14:textId="77777777">
      <w:pPr>
        <w:pStyle w:val="Res-Caption"/>
        <w:rPr>
          <w:rFonts w:ascii="Palatino Linotype" w:hAnsi="Palatino Linotype"/>
          <w:sz w:val="24"/>
          <w:szCs w:val="24"/>
        </w:rPr>
      </w:pPr>
    </w:p>
    <w:p w:rsidRPr="00534D5D" w:rsidR="001507CE" w:rsidP="001507CE" w:rsidRDefault="001507CE" w14:paraId="11B5EA53" w14:textId="77777777">
      <w:pPr>
        <w:pStyle w:val="Res-Caption"/>
        <w:rPr>
          <w:rFonts w:ascii="Palatino Linotype" w:hAnsi="Palatino Linotype"/>
          <w:sz w:val="24"/>
          <w:szCs w:val="24"/>
        </w:rPr>
      </w:pPr>
      <w:r w:rsidRPr="00534D5D">
        <w:rPr>
          <w:rFonts w:ascii="Palatino Linotype" w:hAnsi="Palatino Linotype"/>
          <w:sz w:val="24"/>
          <w:szCs w:val="24"/>
        </w:rPr>
        <w:t>PROPOSED OUTCOME:</w:t>
      </w:r>
    </w:p>
    <w:p w:rsidRPr="00534D5D" w:rsidR="001507CE" w:rsidP="001507CE" w:rsidRDefault="001507CE" w14:paraId="2DACDC36" w14:textId="71D1AE08">
      <w:pPr>
        <w:pStyle w:val="Res-Caption"/>
        <w:numPr>
          <w:ilvl w:val="0"/>
          <w:numId w:val="4"/>
        </w:numPr>
        <w:rPr>
          <w:rFonts w:ascii="Palatino Linotype" w:hAnsi="Palatino Linotype"/>
          <w:sz w:val="24"/>
          <w:szCs w:val="24"/>
        </w:rPr>
      </w:pPr>
      <w:r w:rsidRPr="00534D5D">
        <w:rPr>
          <w:rFonts w:ascii="Palatino Linotype" w:hAnsi="Palatino Linotype"/>
          <w:sz w:val="24"/>
          <w:szCs w:val="24"/>
        </w:rPr>
        <w:t xml:space="preserve">This resolution </w:t>
      </w:r>
      <w:r w:rsidRPr="00534D5D" w:rsidR="00561E1C">
        <w:rPr>
          <w:rFonts w:ascii="Palatino Linotype" w:hAnsi="Palatino Linotype"/>
          <w:sz w:val="24"/>
          <w:szCs w:val="24"/>
        </w:rPr>
        <w:t xml:space="preserve">modifies </w:t>
      </w:r>
      <w:r w:rsidRPr="00534D5D" w:rsidR="000361B6">
        <w:rPr>
          <w:rFonts w:ascii="Palatino Linotype" w:hAnsi="Palatino Linotype"/>
          <w:sz w:val="24"/>
          <w:szCs w:val="24"/>
        </w:rPr>
        <w:t xml:space="preserve">Pacific Gas </w:t>
      </w:r>
      <w:r w:rsidRPr="00534D5D" w:rsidR="009D0880">
        <w:rPr>
          <w:rFonts w:ascii="Palatino Linotype" w:hAnsi="Palatino Linotype"/>
          <w:sz w:val="24"/>
          <w:szCs w:val="24"/>
        </w:rPr>
        <w:t>and</w:t>
      </w:r>
      <w:r w:rsidRPr="00534D5D" w:rsidR="000361B6">
        <w:rPr>
          <w:rFonts w:ascii="Palatino Linotype" w:hAnsi="Palatino Linotype"/>
          <w:sz w:val="24"/>
          <w:szCs w:val="24"/>
        </w:rPr>
        <w:t xml:space="preserve"> Electric</w:t>
      </w:r>
      <w:r w:rsidRPr="00534D5D" w:rsidR="00E4764C">
        <w:rPr>
          <w:rFonts w:ascii="Palatino Linotype" w:hAnsi="Palatino Linotype"/>
          <w:sz w:val="24"/>
          <w:szCs w:val="24"/>
        </w:rPr>
        <w:t xml:space="preserve"> Company</w:t>
      </w:r>
      <w:r w:rsidRPr="00534D5D" w:rsidR="000361B6">
        <w:rPr>
          <w:rFonts w:ascii="Palatino Linotype" w:hAnsi="Palatino Linotype"/>
          <w:sz w:val="24"/>
          <w:szCs w:val="24"/>
        </w:rPr>
        <w:t>’s, San Diego Gas &amp; Electric</w:t>
      </w:r>
      <w:r w:rsidRPr="00534D5D" w:rsidR="00E4764C">
        <w:rPr>
          <w:rFonts w:ascii="Palatino Linotype" w:hAnsi="Palatino Linotype"/>
          <w:sz w:val="24"/>
          <w:szCs w:val="24"/>
        </w:rPr>
        <w:t xml:space="preserve"> Company</w:t>
      </w:r>
      <w:r w:rsidRPr="00534D5D" w:rsidR="000361B6">
        <w:rPr>
          <w:rFonts w:ascii="Palatino Linotype" w:hAnsi="Palatino Linotype"/>
          <w:sz w:val="24"/>
          <w:szCs w:val="24"/>
        </w:rPr>
        <w:t>’s, Southern California Edison</w:t>
      </w:r>
      <w:r w:rsidRPr="00534D5D" w:rsidR="00E4764C">
        <w:rPr>
          <w:rFonts w:ascii="Palatino Linotype" w:hAnsi="Palatino Linotype"/>
          <w:sz w:val="24"/>
          <w:szCs w:val="24"/>
        </w:rPr>
        <w:t xml:space="preserve"> Company</w:t>
      </w:r>
      <w:r w:rsidRPr="00534D5D" w:rsidR="000361B6">
        <w:rPr>
          <w:rFonts w:ascii="Palatino Linotype" w:hAnsi="Palatino Linotype"/>
          <w:sz w:val="24"/>
          <w:szCs w:val="24"/>
        </w:rPr>
        <w:t>’s, Bear Valley Electric Service’s, Liberty Utilities’, and PacifiCorp</w:t>
      </w:r>
      <w:r w:rsidRPr="00534D5D" w:rsidR="00423DA7">
        <w:rPr>
          <w:rFonts w:ascii="Palatino Linotype" w:hAnsi="Palatino Linotype"/>
          <w:sz w:val="24"/>
          <w:szCs w:val="24"/>
        </w:rPr>
        <w:t xml:space="preserve"> d/b/a </w:t>
      </w:r>
      <w:proofErr w:type="spellStart"/>
      <w:r w:rsidRPr="00534D5D" w:rsidR="00423DA7">
        <w:rPr>
          <w:rFonts w:ascii="Palatino Linotype" w:hAnsi="Palatino Linotype"/>
          <w:sz w:val="24"/>
          <w:szCs w:val="24"/>
        </w:rPr>
        <w:t>PacificPower</w:t>
      </w:r>
      <w:r w:rsidRPr="00534D5D" w:rsidR="000361B6">
        <w:rPr>
          <w:rFonts w:ascii="Palatino Linotype" w:hAnsi="Palatino Linotype"/>
          <w:sz w:val="24"/>
          <w:szCs w:val="24"/>
        </w:rPr>
        <w:t>’s</w:t>
      </w:r>
      <w:proofErr w:type="spellEnd"/>
      <w:r w:rsidRPr="00534D5D" w:rsidR="00561E1C">
        <w:rPr>
          <w:rFonts w:ascii="Palatino Linotype" w:hAnsi="Palatino Linotype"/>
          <w:sz w:val="24"/>
          <w:szCs w:val="24"/>
        </w:rPr>
        <w:t xml:space="preserve"> proposed service energization timeline to align with Ordering Paragraph 8 of Resolutions E-5167 and E-5168</w:t>
      </w:r>
    </w:p>
    <w:p w:rsidRPr="00534D5D" w:rsidR="001507CE" w:rsidP="001507CE" w:rsidRDefault="001507CE" w14:paraId="7DD257D5" w14:textId="7C78499C">
      <w:pPr>
        <w:pStyle w:val="Res-Caption"/>
        <w:ind w:left="1575"/>
        <w:rPr>
          <w:rFonts w:ascii="Palatino Linotype" w:hAnsi="Palatino Linotype"/>
          <w:sz w:val="24"/>
          <w:szCs w:val="24"/>
        </w:rPr>
      </w:pPr>
      <w:r w:rsidRPr="00534D5D">
        <w:rPr>
          <w:rFonts w:ascii="Palatino Linotype" w:hAnsi="Palatino Linotype"/>
          <w:sz w:val="24"/>
          <w:szCs w:val="24"/>
        </w:rPr>
        <w:t xml:space="preserve"> </w:t>
      </w:r>
    </w:p>
    <w:p w:rsidRPr="00534D5D" w:rsidR="001507CE" w:rsidP="009456DA" w:rsidRDefault="001507CE" w14:paraId="098086A9" w14:textId="77777777">
      <w:pPr>
        <w:autoSpaceDE w:val="0"/>
        <w:autoSpaceDN w:val="0"/>
        <w:spacing w:after="0"/>
        <w:ind w:left="720" w:right="720"/>
        <w:rPr>
          <w:rFonts w:ascii="Palatino Linotype" w:hAnsi="Palatino Linotype" w:eastAsia="Times New Roman" w:cs="Times New Roman"/>
          <w:sz w:val="24"/>
          <w:szCs w:val="24"/>
        </w:rPr>
      </w:pPr>
      <w:r w:rsidRPr="00534D5D">
        <w:rPr>
          <w:rFonts w:ascii="Palatino Linotype" w:hAnsi="Palatino Linotype" w:eastAsia="Times New Roman" w:cs="Times New Roman"/>
          <w:sz w:val="24"/>
          <w:szCs w:val="24"/>
        </w:rPr>
        <w:t>SAFETY CONSIDERATIONS:</w:t>
      </w:r>
    </w:p>
    <w:p w:rsidRPr="00534D5D" w:rsidR="006C0FDA" w:rsidP="006C0FDA" w:rsidRDefault="006C0FDA" w14:paraId="014848BA" w14:textId="1B3918F7">
      <w:pPr>
        <w:pStyle w:val="Res-Caption"/>
        <w:numPr>
          <w:ilvl w:val="0"/>
          <w:numId w:val="4"/>
        </w:numPr>
        <w:rPr>
          <w:rFonts w:ascii="Palatino Linotype" w:hAnsi="Palatino Linotype"/>
          <w:sz w:val="24"/>
          <w:szCs w:val="24"/>
        </w:rPr>
      </w:pPr>
      <w:r w:rsidRPr="00534D5D">
        <w:rPr>
          <w:rFonts w:ascii="Palatino Linotype" w:hAnsi="Palatino Linotype"/>
          <w:sz w:val="24"/>
          <w:szCs w:val="24"/>
        </w:rPr>
        <w:t xml:space="preserve">There are no </w:t>
      </w:r>
      <w:r w:rsidRPr="00534D5D" w:rsidR="00DB3179">
        <w:rPr>
          <w:rFonts w:ascii="Palatino Linotype" w:hAnsi="Palatino Linotype"/>
          <w:sz w:val="24"/>
          <w:szCs w:val="24"/>
        </w:rPr>
        <w:t xml:space="preserve">incremental </w:t>
      </w:r>
      <w:r w:rsidRPr="00534D5D">
        <w:rPr>
          <w:rFonts w:ascii="Palatino Linotype" w:hAnsi="Palatino Linotype"/>
          <w:sz w:val="24"/>
          <w:szCs w:val="24"/>
        </w:rPr>
        <w:t>safety considerations associated with this resolution.</w:t>
      </w:r>
      <w:r w:rsidRPr="00534D5D" w:rsidR="007D0A40">
        <w:rPr>
          <w:rFonts w:ascii="Palatino Linotype" w:hAnsi="Palatino Linotype"/>
          <w:sz w:val="24"/>
          <w:szCs w:val="24"/>
        </w:rPr>
        <w:t xml:space="preserve"> The utilities must comply with the Safety Requirements Checklist for Transportation Electrification </w:t>
      </w:r>
      <w:r w:rsidRPr="00534D5D" w:rsidR="00E52836">
        <w:rPr>
          <w:rFonts w:ascii="Palatino Linotype" w:hAnsi="Palatino Linotype"/>
          <w:sz w:val="24"/>
          <w:szCs w:val="24"/>
        </w:rPr>
        <w:t>programs the California Public Utilities Commission adopted in D.18-</w:t>
      </w:r>
      <w:r w:rsidRPr="00534D5D" w:rsidR="00E34128">
        <w:rPr>
          <w:rFonts w:ascii="Palatino Linotype" w:hAnsi="Palatino Linotype"/>
          <w:sz w:val="24"/>
          <w:szCs w:val="24"/>
        </w:rPr>
        <w:t>05-040</w:t>
      </w:r>
      <w:r w:rsidRPr="00534D5D" w:rsidR="00380266">
        <w:rPr>
          <w:rFonts w:ascii="Palatino Linotype" w:hAnsi="Palatino Linotype"/>
          <w:sz w:val="24"/>
          <w:szCs w:val="24"/>
        </w:rPr>
        <w:t xml:space="preserve"> and D.18-09</w:t>
      </w:r>
      <w:r w:rsidRPr="00534D5D" w:rsidR="00AA6839">
        <w:rPr>
          <w:rFonts w:ascii="Palatino Linotype" w:hAnsi="Palatino Linotype"/>
          <w:sz w:val="24"/>
          <w:szCs w:val="24"/>
        </w:rPr>
        <w:t>-034.</w:t>
      </w:r>
    </w:p>
    <w:p w:rsidRPr="00534D5D" w:rsidR="001507CE" w:rsidP="001507CE" w:rsidRDefault="006C0FDA" w14:paraId="6F8BA2C0" w14:textId="22314062">
      <w:pPr>
        <w:pStyle w:val="Res-Caption"/>
        <w:rPr>
          <w:rFonts w:ascii="Palatino Linotype" w:hAnsi="Palatino Linotype"/>
          <w:sz w:val="24"/>
          <w:szCs w:val="24"/>
        </w:rPr>
      </w:pPr>
      <w:r w:rsidRPr="00534D5D" w:rsidDel="006C0FDA">
        <w:rPr>
          <w:rFonts w:ascii="Palatino Linotype" w:hAnsi="Palatino Linotype"/>
          <w:sz w:val="24"/>
          <w:szCs w:val="24"/>
        </w:rPr>
        <w:t xml:space="preserve"> </w:t>
      </w:r>
    </w:p>
    <w:p w:rsidRPr="00534D5D" w:rsidR="001507CE" w:rsidP="001507CE" w:rsidRDefault="001507CE" w14:paraId="5AEF94B6" w14:textId="77777777">
      <w:pPr>
        <w:pStyle w:val="Res-Caption"/>
        <w:rPr>
          <w:rFonts w:ascii="Palatino Linotype" w:hAnsi="Palatino Linotype"/>
          <w:sz w:val="24"/>
          <w:szCs w:val="24"/>
        </w:rPr>
      </w:pPr>
      <w:r w:rsidRPr="00534D5D">
        <w:rPr>
          <w:rFonts w:ascii="Palatino Linotype" w:hAnsi="Palatino Linotype"/>
          <w:sz w:val="24"/>
          <w:szCs w:val="24"/>
        </w:rPr>
        <w:t>ESTIMATED COST:</w:t>
      </w:r>
    </w:p>
    <w:p w:rsidRPr="00534D5D" w:rsidR="001507CE" w:rsidP="001507CE" w:rsidRDefault="00211B0A" w14:paraId="3428F8CA" w14:textId="320F4E02">
      <w:pPr>
        <w:pStyle w:val="Res-Caption"/>
        <w:numPr>
          <w:ilvl w:val="0"/>
          <w:numId w:val="4"/>
        </w:numPr>
        <w:rPr>
          <w:rFonts w:ascii="Palatino Linotype" w:hAnsi="Palatino Linotype" w:cs="Arial"/>
          <w:sz w:val="24"/>
          <w:szCs w:val="24"/>
        </w:rPr>
      </w:pPr>
      <w:r w:rsidRPr="00211B0A">
        <w:rPr>
          <w:rFonts w:ascii="Palatino Linotype" w:hAnsi="Palatino Linotype"/>
          <w:sz w:val="24"/>
          <w:szCs w:val="24"/>
        </w:rPr>
        <w:t>There are no costs associated with this resolution.</w:t>
      </w:r>
      <w:r w:rsidRPr="00534D5D" w:rsidR="00D800FB">
        <w:rPr>
          <w:rFonts w:ascii="Palatino Linotype" w:hAnsi="Palatino Linotype"/>
          <w:sz w:val="24"/>
          <w:szCs w:val="24"/>
        </w:rPr>
        <w:t xml:space="preserve"> </w:t>
      </w:r>
    </w:p>
    <w:p w:rsidRPr="00534D5D" w:rsidR="001507CE" w:rsidP="009456DA" w:rsidRDefault="001507CE" w14:paraId="22DD1BBA" w14:textId="77777777">
      <w:pPr>
        <w:autoSpaceDE w:val="0"/>
        <w:autoSpaceDN w:val="0"/>
        <w:spacing w:after="0"/>
        <w:ind w:left="720" w:right="720"/>
        <w:rPr>
          <w:rFonts w:ascii="Palatino Linotype" w:hAnsi="Palatino Linotype" w:eastAsia="Times New Roman" w:cs="Times New Roman"/>
          <w:sz w:val="24"/>
          <w:szCs w:val="24"/>
        </w:rPr>
      </w:pPr>
    </w:p>
    <w:p w:rsidR="001507CE" w:rsidP="00EA4BDF" w:rsidRDefault="001507CE" w14:paraId="177D66D8" w14:textId="4BFBC78F">
      <w:pPr>
        <w:autoSpaceDE w:val="0"/>
        <w:autoSpaceDN w:val="0"/>
        <w:spacing w:after="0"/>
        <w:ind w:left="720" w:right="720"/>
        <w:rPr>
          <w:rFonts w:ascii="Palatino Linotype" w:hAnsi="Palatino Linotype" w:eastAsia="Times New Roman" w:cs="Times New Roman"/>
          <w:sz w:val="24"/>
          <w:szCs w:val="24"/>
        </w:rPr>
      </w:pPr>
      <w:r w:rsidRPr="009456DA">
        <w:rPr>
          <w:rFonts w:ascii="Palatino Linotype" w:hAnsi="Palatino Linotype" w:eastAsia="Times New Roman" w:cs="Times New Roman"/>
          <w:sz w:val="24"/>
          <w:szCs w:val="24"/>
        </w:rPr>
        <w:t xml:space="preserve">By </w:t>
      </w:r>
      <w:r w:rsidRPr="009456DA" w:rsidR="009456DA">
        <w:rPr>
          <w:rFonts w:ascii="Palatino Linotype" w:hAnsi="Palatino Linotype" w:eastAsia="Times New Roman"/>
          <w:sz w:val="24"/>
          <w:szCs w:val="24"/>
        </w:rPr>
        <w:t xml:space="preserve">Pacific Gas and Electric Company’s AL 6607-E, Southern California Edison Company’s Advice Letter 4803-E San Diego Gas &amp; Electric’s Advice Letter 4011-E, Bear Valley Electric Service Advice Letter 444-E, Liberty Utilities’ Advice Letter 192-E, and PacifiCorp d/b/a </w:t>
      </w:r>
      <w:proofErr w:type="spellStart"/>
      <w:r w:rsidRPr="009456DA" w:rsidR="009456DA">
        <w:rPr>
          <w:rFonts w:ascii="Palatino Linotype" w:hAnsi="Palatino Linotype" w:eastAsia="Times New Roman"/>
          <w:sz w:val="24"/>
          <w:szCs w:val="24"/>
        </w:rPr>
        <w:t>PacificPower’s</w:t>
      </w:r>
      <w:proofErr w:type="spellEnd"/>
      <w:r w:rsidRPr="009456DA" w:rsidR="009456DA">
        <w:rPr>
          <w:rFonts w:ascii="Palatino Linotype" w:hAnsi="Palatino Linotype" w:eastAsia="Times New Roman"/>
          <w:sz w:val="24"/>
          <w:szCs w:val="24"/>
        </w:rPr>
        <w:t xml:space="preserve"> Advice Letter 685-E</w:t>
      </w:r>
      <w:r w:rsidRPr="009456DA">
        <w:rPr>
          <w:rFonts w:ascii="Palatino Linotype" w:hAnsi="Palatino Linotype" w:eastAsia="Times New Roman" w:cs="Times New Roman"/>
          <w:sz w:val="24"/>
          <w:szCs w:val="24"/>
        </w:rPr>
        <w:t xml:space="preserve"> filed on </w:t>
      </w:r>
      <w:r w:rsidRPr="009456DA" w:rsidR="00D800FB">
        <w:rPr>
          <w:rFonts w:ascii="Palatino Linotype" w:hAnsi="Palatino Linotype" w:eastAsia="Times New Roman" w:cs="Times New Roman"/>
          <w:sz w:val="24"/>
          <w:szCs w:val="24"/>
        </w:rPr>
        <w:t>Ma</w:t>
      </w:r>
      <w:r w:rsidRPr="009456DA">
        <w:rPr>
          <w:rFonts w:ascii="Palatino Linotype" w:hAnsi="Palatino Linotype" w:eastAsia="Times New Roman" w:cs="Times New Roman"/>
          <w:sz w:val="24"/>
          <w:szCs w:val="24"/>
        </w:rPr>
        <w:t xml:space="preserve">y </w:t>
      </w:r>
      <w:r w:rsidRPr="009456DA" w:rsidR="00D800FB">
        <w:rPr>
          <w:rFonts w:ascii="Palatino Linotype" w:hAnsi="Palatino Linotype" w:eastAsia="Times New Roman" w:cs="Times New Roman"/>
          <w:sz w:val="24"/>
          <w:szCs w:val="24"/>
        </w:rPr>
        <w:t>27</w:t>
      </w:r>
      <w:r w:rsidRPr="009456DA">
        <w:rPr>
          <w:rFonts w:ascii="Palatino Linotype" w:hAnsi="Palatino Linotype" w:eastAsia="Times New Roman" w:cs="Times New Roman"/>
          <w:sz w:val="24"/>
          <w:szCs w:val="24"/>
        </w:rPr>
        <w:t>, 202</w:t>
      </w:r>
      <w:r w:rsidRPr="009456DA" w:rsidR="00D800FB">
        <w:rPr>
          <w:rFonts w:ascii="Palatino Linotype" w:hAnsi="Palatino Linotype" w:eastAsia="Times New Roman" w:cs="Times New Roman"/>
          <w:sz w:val="24"/>
          <w:szCs w:val="24"/>
        </w:rPr>
        <w:t>2</w:t>
      </w:r>
      <w:r w:rsidRPr="009456DA">
        <w:rPr>
          <w:rFonts w:ascii="Palatino Linotype" w:hAnsi="Palatino Linotype" w:eastAsia="Times New Roman" w:cs="Times New Roman"/>
          <w:sz w:val="24"/>
          <w:szCs w:val="24"/>
        </w:rPr>
        <w:t xml:space="preserve">. </w:t>
      </w:r>
    </w:p>
    <w:p w:rsidRPr="009456DA" w:rsidR="00EA4BDF" w:rsidP="00EA4BDF" w:rsidRDefault="00EA4BDF" w14:paraId="15238D65" w14:textId="77777777">
      <w:pPr>
        <w:pBdr>
          <w:bottom w:val="single" w:color="auto" w:sz="6" w:space="1"/>
        </w:pBdr>
        <w:autoSpaceDE w:val="0"/>
        <w:autoSpaceDN w:val="0"/>
        <w:spacing w:after="0"/>
        <w:ind w:left="720" w:right="720"/>
        <w:rPr>
          <w:rFonts w:ascii="Palatino Linotype" w:hAnsi="Palatino Linotype" w:eastAsia="Times New Roman" w:cs="Times New Roman"/>
          <w:sz w:val="24"/>
          <w:szCs w:val="24"/>
        </w:rPr>
      </w:pPr>
    </w:p>
    <w:p w:rsidR="00EA4BDF" w:rsidP="00EA4BDF" w:rsidRDefault="00EA4BDF" w14:paraId="7D5549C3" w14:textId="77777777">
      <w:pPr>
        <w:pBdr>
          <w:bottom w:val="single" w:color="auto" w:sz="6" w:space="1"/>
        </w:pBdr>
        <w:spacing w:after="0"/>
        <w:ind w:left="720"/>
        <w:rPr>
          <w:rFonts w:ascii="Palatino Linotype" w:hAnsi="Palatino Linotype"/>
          <w:sz w:val="24"/>
          <w:szCs w:val="24"/>
        </w:rPr>
        <w:sectPr w:rsidR="00EA4BDF" w:rsidSect="000353F5">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rsidRPr="00534D5D" w:rsidR="00DF3534" w:rsidP="00DF3534" w:rsidRDefault="00DF3534" w14:paraId="34BA4F52" w14:textId="5C209CD8">
      <w:pPr>
        <w:pStyle w:val="Heading1"/>
        <w:jc w:val="both"/>
        <w:rPr>
          <w:rFonts w:ascii="Palatino Linotype" w:hAnsi="Palatino Linotype" w:cs="Helvetica"/>
          <w:sz w:val="24"/>
          <w:szCs w:val="24"/>
        </w:rPr>
      </w:pPr>
      <w:r w:rsidRPr="00534D5D">
        <w:rPr>
          <w:rFonts w:ascii="Palatino Linotype" w:hAnsi="Palatino Linotype" w:cs="Helvetica"/>
          <w:sz w:val="24"/>
          <w:szCs w:val="24"/>
        </w:rPr>
        <w:lastRenderedPageBreak/>
        <w:t>Summary</w:t>
      </w:r>
    </w:p>
    <w:p w:rsidRPr="00534D5D" w:rsidR="00DF3534" w:rsidP="00DF3534" w:rsidRDefault="00DF3534" w14:paraId="6A81CA43" w14:textId="349FF544">
      <w:pPr>
        <w:autoSpaceDE w:val="0"/>
        <w:autoSpaceDN w:val="0"/>
        <w:rPr>
          <w:rFonts w:ascii="Palatino Linotype" w:hAnsi="Palatino Linotype"/>
          <w:b/>
          <w:bCs/>
          <w:sz w:val="24"/>
          <w:szCs w:val="24"/>
        </w:rPr>
      </w:pPr>
      <w:r w:rsidRPr="00534D5D">
        <w:rPr>
          <w:rFonts w:ascii="Palatino Linotype" w:hAnsi="Palatino Linotype"/>
          <w:b/>
          <w:bCs/>
          <w:sz w:val="24"/>
          <w:szCs w:val="24"/>
        </w:rPr>
        <w:t>San Diego Gas &amp; Electric</w:t>
      </w:r>
      <w:r w:rsidRPr="00534D5D" w:rsidR="00A07A55">
        <w:rPr>
          <w:rFonts w:ascii="Palatino Linotype" w:hAnsi="Palatino Linotype"/>
          <w:b/>
          <w:bCs/>
          <w:sz w:val="24"/>
          <w:szCs w:val="24"/>
        </w:rPr>
        <w:t xml:space="preserve"> Company</w:t>
      </w:r>
      <w:r w:rsidRPr="00534D5D" w:rsidR="00B21086">
        <w:rPr>
          <w:rFonts w:ascii="Palatino Linotype" w:hAnsi="Palatino Linotype"/>
          <w:b/>
          <w:bCs/>
          <w:sz w:val="24"/>
          <w:szCs w:val="24"/>
        </w:rPr>
        <w:t>’s</w:t>
      </w:r>
      <w:r w:rsidRPr="00534D5D" w:rsidR="00AC318B">
        <w:rPr>
          <w:rFonts w:ascii="Palatino Linotype" w:hAnsi="Palatino Linotype"/>
          <w:b/>
          <w:bCs/>
          <w:sz w:val="24"/>
          <w:szCs w:val="24"/>
        </w:rPr>
        <w:t xml:space="preserve"> (SDG&amp;E)</w:t>
      </w:r>
      <w:r w:rsidRPr="00534D5D" w:rsidR="00B21086">
        <w:rPr>
          <w:rFonts w:ascii="Palatino Linotype" w:hAnsi="Palatino Linotype"/>
          <w:b/>
          <w:bCs/>
          <w:sz w:val="24"/>
          <w:szCs w:val="24"/>
        </w:rPr>
        <w:t xml:space="preserve"> </w:t>
      </w:r>
      <w:r w:rsidRPr="00534D5D" w:rsidR="004D1242">
        <w:rPr>
          <w:rFonts w:ascii="Palatino Linotype" w:hAnsi="Palatino Linotype"/>
          <w:b/>
          <w:bCs/>
          <w:sz w:val="24"/>
          <w:szCs w:val="24"/>
        </w:rPr>
        <w:t xml:space="preserve">joint </w:t>
      </w:r>
      <w:r w:rsidRPr="00534D5D" w:rsidR="00B21086">
        <w:rPr>
          <w:rFonts w:ascii="Palatino Linotype" w:hAnsi="Palatino Linotype"/>
          <w:b/>
          <w:bCs/>
          <w:sz w:val="24"/>
          <w:szCs w:val="24"/>
        </w:rPr>
        <w:t xml:space="preserve">request </w:t>
      </w:r>
      <w:r w:rsidRPr="00534D5D" w:rsidR="00965832">
        <w:rPr>
          <w:rFonts w:ascii="Palatino Linotype" w:hAnsi="Palatino Linotype"/>
          <w:b/>
          <w:bCs/>
          <w:sz w:val="24"/>
          <w:szCs w:val="24"/>
        </w:rPr>
        <w:t>to establish an electric vehicle</w:t>
      </w:r>
      <w:r w:rsidRPr="00534D5D" w:rsidR="00FA73C1">
        <w:rPr>
          <w:rFonts w:ascii="Palatino Linotype" w:hAnsi="Palatino Linotype"/>
          <w:b/>
          <w:bCs/>
          <w:sz w:val="24"/>
          <w:szCs w:val="24"/>
        </w:rPr>
        <w:t xml:space="preserve"> (EV)</w:t>
      </w:r>
      <w:r w:rsidRPr="00534D5D" w:rsidR="00965832">
        <w:rPr>
          <w:rFonts w:ascii="Palatino Linotype" w:hAnsi="Palatino Linotype"/>
          <w:b/>
          <w:bCs/>
          <w:sz w:val="24"/>
          <w:szCs w:val="24"/>
        </w:rPr>
        <w:t xml:space="preserve"> service</w:t>
      </w:r>
      <w:r w:rsidRPr="00534D5D" w:rsidR="00AC318B">
        <w:rPr>
          <w:rFonts w:ascii="Palatino Linotype" w:hAnsi="Palatino Linotype"/>
          <w:b/>
          <w:bCs/>
          <w:sz w:val="24"/>
          <w:szCs w:val="24"/>
        </w:rPr>
        <w:t xml:space="preserve"> energization timeline</w:t>
      </w:r>
      <w:r w:rsidRPr="00534D5D" w:rsidR="00C92C7F">
        <w:rPr>
          <w:rFonts w:ascii="Palatino Linotype" w:hAnsi="Palatino Linotype"/>
          <w:b/>
          <w:bCs/>
          <w:sz w:val="24"/>
          <w:szCs w:val="24"/>
        </w:rPr>
        <w:t>, which it filed on behalf of itself,</w:t>
      </w:r>
      <w:r w:rsidRPr="00534D5D" w:rsidR="005A055A">
        <w:rPr>
          <w:rFonts w:ascii="Palatino Linotype" w:hAnsi="Palatino Linotype"/>
          <w:b/>
          <w:bCs/>
          <w:sz w:val="24"/>
          <w:szCs w:val="24"/>
        </w:rPr>
        <w:t xml:space="preserve"> </w:t>
      </w:r>
      <w:r w:rsidRPr="00534D5D" w:rsidR="005F4EBA">
        <w:rPr>
          <w:rFonts w:ascii="Palatino Linotype" w:hAnsi="Palatino Linotype"/>
          <w:b/>
          <w:bCs/>
          <w:sz w:val="24"/>
          <w:szCs w:val="24"/>
        </w:rPr>
        <w:t>Pacific</w:t>
      </w:r>
      <w:r w:rsidRPr="00534D5D">
        <w:rPr>
          <w:rFonts w:ascii="Palatino Linotype" w:hAnsi="Palatino Linotype"/>
          <w:b/>
          <w:bCs/>
          <w:sz w:val="24"/>
          <w:szCs w:val="24"/>
        </w:rPr>
        <w:t xml:space="preserve"> </w:t>
      </w:r>
      <w:r w:rsidRPr="00534D5D" w:rsidR="005A055A">
        <w:rPr>
          <w:rFonts w:ascii="Palatino Linotype" w:hAnsi="Palatino Linotype"/>
          <w:b/>
          <w:bCs/>
          <w:sz w:val="24"/>
          <w:szCs w:val="24"/>
        </w:rPr>
        <w:t xml:space="preserve">Gas </w:t>
      </w:r>
      <w:r w:rsidRPr="00534D5D" w:rsidR="00A07A55">
        <w:rPr>
          <w:rFonts w:ascii="Palatino Linotype" w:hAnsi="Palatino Linotype"/>
          <w:b/>
          <w:bCs/>
          <w:sz w:val="24"/>
          <w:szCs w:val="24"/>
        </w:rPr>
        <w:t>and</w:t>
      </w:r>
      <w:r w:rsidRPr="00534D5D" w:rsidR="005A055A">
        <w:rPr>
          <w:rFonts w:ascii="Palatino Linotype" w:hAnsi="Palatino Linotype"/>
          <w:b/>
          <w:bCs/>
          <w:sz w:val="24"/>
          <w:szCs w:val="24"/>
        </w:rPr>
        <w:t xml:space="preserve"> Electric</w:t>
      </w:r>
      <w:r w:rsidRPr="00534D5D" w:rsidR="00A07A55">
        <w:rPr>
          <w:rFonts w:ascii="Palatino Linotype" w:hAnsi="Palatino Linotype"/>
          <w:b/>
          <w:bCs/>
          <w:sz w:val="24"/>
          <w:szCs w:val="24"/>
        </w:rPr>
        <w:t xml:space="preserve"> Company</w:t>
      </w:r>
      <w:r w:rsidRPr="00534D5D" w:rsidR="00C92C7F">
        <w:rPr>
          <w:rFonts w:ascii="Palatino Linotype" w:hAnsi="Palatino Linotype"/>
          <w:b/>
          <w:bCs/>
          <w:sz w:val="24"/>
          <w:szCs w:val="24"/>
        </w:rPr>
        <w:t xml:space="preserve"> (PG&amp;E)</w:t>
      </w:r>
      <w:r w:rsidRPr="00534D5D" w:rsidR="005A055A">
        <w:rPr>
          <w:rFonts w:ascii="Palatino Linotype" w:hAnsi="Palatino Linotype"/>
          <w:b/>
          <w:bCs/>
          <w:sz w:val="24"/>
          <w:szCs w:val="24"/>
        </w:rPr>
        <w:t>, Southern California Edison</w:t>
      </w:r>
      <w:r w:rsidRPr="00534D5D" w:rsidR="00A07A55">
        <w:rPr>
          <w:rFonts w:ascii="Palatino Linotype" w:hAnsi="Palatino Linotype"/>
          <w:b/>
          <w:bCs/>
          <w:sz w:val="24"/>
          <w:szCs w:val="24"/>
        </w:rPr>
        <w:t xml:space="preserve"> Company</w:t>
      </w:r>
      <w:r w:rsidRPr="00534D5D" w:rsidR="00C92C7F">
        <w:rPr>
          <w:rFonts w:ascii="Palatino Linotype" w:hAnsi="Palatino Linotype"/>
          <w:b/>
          <w:bCs/>
          <w:sz w:val="24"/>
          <w:szCs w:val="24"/>
        </w:rPr>
        <w:t xml:space="preserve"> (SCE)</w:t>
      </w:r>
      <w:r w:rsidRPr="00534D5D" w:rsidR="005A055A">
        <w:rPr>
          <w:rFonts w:ascii="Palatino Linotype" w:hAnsi="Palatino Linotype"/>
          <w:b/>
          <w:bCs/>
          <w:sz w:val="24"/>
          <w:szCs w:val="24"/>
        </w:rPr>
        <w:t>, Liberty Utilities</w:t>
      </w:r>
      <w:r w:rsidRPr="00534D5D" w:rsidR="00D61B81">
        <w:rPr>
          <w:rFonts w:ascii="Palatino Linotype" w:hAnsi="Palatino Linotype"/>
          <w:b/>
          <w:bCs/>
          <w:sz w:val="24"/>
          <w:szCs w:val="24"/>
        </w:rPr>
        <w:t xml:space="preserve"> (Liberty)</w:t>
      </w:r>
      <w:r w:rsidRPr="00534D5D" w:rsidR="005A055A">
        <w:rPr>
          <w:rFonts w:ascii="Palatino Linotype" w:hAnsi="Palatino Linotype"/>
          <w:b/>
          <w:bCs/>
          <w:sz w:val="24"/>
          <w:szCs w:val="24"/>
        </w:rPr>
        <w:t>, Bear Valley Electric Service</w:t>
      </w:r>
      <w:r w:rsidRPr="00534D5D" w:rsidR="00D61B81">
        <w:rPr>
          <w:rFonts w:ascii="Palatino Linotype" w:hAnsi="Palatino Linotype"/>
          <w:b/>
          <w:bCs/>
          <w:sz w:val="24"/>
          <w:szCs w:val="24"/>
        </w:rPr>
        <w:t xml:space="preserve"> (BVES)</w:t>
      </w:r>
      <w:r w:rsidRPr="00534D5D" w:rsidR="005A055A">
        <w:rPr>
          <w:rFonts w:ascii="Palatino Linotype" w:hAnsi="Palatino Linotype"/>
          <w:b/>
          <w:bCs/>
          <w:sz w:val="24"/>
          <w:szCs w:val="24"/>
        </w:rPr>
        <w:t>, and PacifiCorp</w:t>
      </w:r>
      <w:r w:rsidRPr="00534D5D" w:rsidR="00842557">
        <w:rPr>
          <w:rFonts w:ascii="Palatino Linotype" w:hAnsi="Palatino Linotype"/>
          <w:b/>
          <w:bCs/>
          <w:sz w:val="24"/>
          <w:szCs w:val="24"/>
        </w:rPr>
        <w:t xml:space="preserve"> d/b/a </w:t>
      </w:r>
      <w:proofErr w:type="spellStart"/>
      <w:r w:rsidRPr="00534D5D" w:rsidR="00842557">
        <w:rPr>
          <w:rFonts w:ascii="Palatino Linotype" w:hAnsi="Palatino Linotype"/>
          <w:b/>
          <w:bCs/>
          <w:sz w:val="24"/>
          <w:szCs w:val="24"/>
        </w:rPr>
        <w:t>PacificPower</w:t>
      </w:r>
      <w:proofErr w:type="spellEnd"/>
      <w:r w:rsidRPr="00534D5D" w:rsidR="00D61B81">
        <w:rPr>
          <w:rFonts w:ascii="Palatino Linotype" w:hAnsi="Palatino Linotype"/>
          <w:b/>
          <w:bCs/>
          <w:sz w:val="24"/>
          <w:szCs w:val="24"/>
        </w:rPr>
        <w:t xml:space="preserve"> (PacifiCorp</w:t>
      </w:r>
      <w:r w:rsidRPr="00534D5D" w:rsidR="004668E0">
        <w:rPr>
          <w:rFonts w:ascii="Palatino Linotype" w:hAnsi="Palatino Linotype"/>
          <w:b/>
          <w:bCs/>
          <w:sz w:val="24"/>
          <w:szCs w:val="24"/>
        </w:rPr>
        <w:t>)</w:t>
      </w:r>
      <w:proofErr w:type="gramStart"/>
      <w:r w:rsidRPr="00534D5D" w:rsidR="005831D7">
        <w:rPr>
          <w:rFonts w:ascii="Palatino Linotype" w:hAnsi="Palatino Linotype"/>
          <w:b/>
          <w:bCs/>
          <w:sz w:val="24"/>
          <w:szCs w:val="24"/>
        </w:rPr>
        <w:t>—(</w:t>
      </w:r>
      <w:proofErr w:type="gramEnd"/>
      <w:r w:rsidRPr="00534D5D" w:rsidR="005831D7">
        <w:rPr>
          <w:rFonts w:ascii="Palatino Linotype" w:hAnsi="Palatino Linotype"/>
          <w:b/>
          <w:bCs/>
          <w:i/>
          <w:iCs/>
          <w:sz w:val="24"/>
          <w:szCs w:val="24"/>
        </w:rPr>
        <w:t>collectively, “Joint IOUs”)</w:t>
      </w:r>
      <w:r w:rsidRPr="00534D5D" w:rsidR="005A055A">
        <w:rPr>
          <w:rFonts w:ascii="Palatino Linotype" w:hAnsi="Palatino Linotype"/>
          <w:b/>
          <w:bCs/>
          <w:sz w:val="24"/>
          <w:szCs w:val="24"/>
        </w:rPr>
        <w:t xml:space="preserve"> is approved, with modifications.</w:t>
      </w:r>
    </w:p>
    <w:p w:rsidRPr="00534D5D" w:rsidR="004F66EE" w:rsidP="004F66EE" w:rsidRDefault="00D005C4" w14:paraId="53120430" w14:textId="624754FA">
      <w:pPr>
        <w:rPr>
          <w:rFonts w:ascii="Palatino Linotype" w:hAnsi="Palatino Linotype"/>
          <w:sz w:val="24"/>
          <w:szCs w:val="24"/>
        </w:rPr>
      </w:pPr>
      <w:r w:rsidRPr="00534D5D">
        <w:rPr>
          <w:rFonts w:ascii="Palatino Linotype" w:hAnsi="Palatino Linotype"/>
          <w:sz w:val="24"/>
          <w:szCs w:val="24"/>
        </w:rPr>
        <w:t>SDG&amp;E’s</w:t>
      </w:r>
      <w:r w:rsidRPr="00534D5D" w:rsidR="004F66EE">
        <w:rPr>
          <w:rFonts w:ascii="Palatino Linotype" w:hAnsi="Palatino Linotype"/>
          <w:sz w:val="24"/>
          <w:szCs w:val="24"/>
        </w:rPr>
        <w:t xml:space="preserve"> </w:t>
      </w:r>
      <w:r w:rsidRPr="00534D5D" w:rsidR="005831D7">
        <w:rPr>
          <w:rFonts w:ascii="Palatino Linotype" w:hAnsi="Palatino Linotype"/>
          <w:sz w:val="24"/>
          <w:szCs w:val="24"/>
        </w:rPr>
        <w:t xml:space="preserve">joint AL 4011-E, consisting of BVES AL 444-E, Liberty Utilities AL 192-E, PG&amp;E AL 6607-E, PacifiCorp AL 685-E, and SCE AL 4803-E, (collectively, </w:t>
      </w:r>
      <w:r w:rsidRPr="00534D5D" w:rsidR="005831D7">
        <w:rPr>
          <w:rFonts w:ascii="Palatino Linotype" w:hAnsi="Palatino Linotype"/>
          <w:i/>
          <w:iCs/>
          <w:sz w:val="24"/>
          <w:szCs w:val="24"/>
        </w:rPr>
        <w:t>Joint IOU AL)</w:t>
      </w:r>
      <w:r w:rsidRPr="00534D5D" w:rsidR="005831D7">
        <w:rPr>
          <w:rFonts w:ascii="Palatino Linotype" w:hAnsi="Palatino Linotype"/>
          <w:sz w:val="24"/>
          <w:szCs w:val="24"/>
        </w:rPr>
        <w:t xml:space="preserve"> </w:t>
      </w:r>
      <w:r w:rsidRPr="00534D5D" w:rsidR="004F66EE">
        <w:rPr>
          <w:rFonts w:ascii="Palatino Linotype" w:hAnsi="Palatino Linotype"/>
          <w:sz w:val="24"/>
          <w:szCs w:val="24"/>
        </w:rPr>
        <w:t>proposes to establish a</w:t>
      </w:r>
      <w:r w:rsidRPr="00534D5D" w:rsidR="0059787D">
        <w:rPr>
          <w:rFonts w:ascii="Palatino Linotype" w:hAnsi="Palatino Linotype"/>
          <w:sz w:val="24"/>
          <w:szCs w:val="24"/>
        </w:rPr>
        <w:t xml:space="preserve"> </w:t>
      </w:r>
      <w:r w:rsidRPr="00534D5D" w:rsidR="00A16949">
        <w:rPr>
          <w:rFonts w:ascii="Palatino Linotype" w:hAnsi="Palatino Linotype"/>
          <w:sz w:val="24"/>
          <w:szCs w:val="24"/>
        </w:rPr>
        <w:t>160-business</w:t>
      </w:r>
      <w:r w:rsidRPr="00534D5D" w:rsidR="0059787D">
        <w:rPr>
          <w:rFonts w:ascii="Palatino Linotype" w:hAnsi="Palatino Linotype"/>
          <w:sz w:val="24"/>
          <w:szCs w:val="24"/>
        </w:rPr>
        <w:t xml:space="preserve"> day</w:t>
      </w:r>
      <w:r w:rsidRPr="00534D5D" w:rsidR="004F66EE">
        <w:rPr>
          <w:rFonts w:ascii="Palatino Linotype" w:hAnsi="Palatino Linotype"/>
          <w:sz w:val="24"/>
          <w:szCs w:val="24"/>
        </w:rPr>
        <w:t xml:space="preserve"> average service energization timeline </w:t>
      </w:r>
      <w:r w:rsidRPr="00534D5D" w:rsidR="00C47DE5">
        <w:rPr>
          <w:rFonts w:ascii="Palatino Linotype" w:hAnsi="Palatino Linotype"/>
          <w:sz w:val="24"/>
          <w:szCs w:val="24"/>
        </w:rPr>
        <w:t xml:space="preserve">for </w:t>
      </w:r>
      <w:r w:rsidRPr="00534D5D" w:rsidR="00763AC4">
        <w:rPr>
          <w:rFonts w:ascii="Palatino Linotype" w:hAnsi="Palatino Linotype"/>
          <w:sz w:val="24"/>
          <w:szCs w:val="24"/>
        </w:rPr>
        <w:t>projects installing electric vehicle charging infrastructure</w:t>
      </w:r>
      <w:r w:rsidRPr="00534D5D" w:rsidR="004F66EE">
        <w:rPr>
          <w:rFonts w:ascii="Palatino Linotype" w:hAnsi="Palatino Linotype"/>
          <w:sz w:val="24"/>
          <w:szCs w:val="24"/>
        </w:rPr>
        <w:t xml:space="preserve">. The Joint IOUs </w:t>
      </w:r>
      <w:r w:rsidRPr="00534D5D" w:rsidR="0094679B">
        <w:rPr>
          <w:rFonts w:ascii="Palatino Linotype" w:hAnsi="Palatino Linotype"/>
          <w:sz w:val="24"/>
          <w:szCs w:val="24"/>
        </w:rPr>
        <w:t xml:space="preserve">AL </w:t>
      </w:r>
      <w:r w:rsidRPr="00534D5D" w:rsidR="004F66EE">
        <w:rPr>
          <w:rFonts w:ascii="Palatino Linotype" w:hAnsi="Palatino Linotype"/>
          <w:sz w:val="24"/>
          <w:szCs w:val="24"/>
        </w:rPr>
        <w:t>propose</w:t>
      </w:r>
      <w:r w:rsidRPr="00534D5D" w:rsidR="009F3391">
        <w:rPr>
          <w:rFonts w:ascii="Palatino Linotype" w:hAnsi="Palatino Linotype"/>
          <w:sz w:val="24"/>
          <w:szCs w:val="24"/>
        </w:rPr>
        <w:t>s</w:t>
      </w:r>
      <w:r w:rsidRPr="00534D5D" w:rsidR="004F66EE">
        <w:rPr>
          <w:rFonts w:ascii="Palatino Linotype" w:hAnsi="Palatino Linotype"/>
          <w:sz w:val="24"/>
          <w:szCs w:val="24"/>
        </w:rPr>
        <w:t xml:space="preserve"> </w:t>
      </w:r>
      <w:r w:rsidRPr="00534D5D" w:rsidR="00A04018">
        <w:rPr>
          <w:rFonts w:ascii="Palatino Linotype" w:hAnsi="Palatino Linotype"/>
          <w:sz w:val="24"/>
          <w:szCs w:val="24"/>
        </w:rPr>
        <w:t>to limit the</w:t>
      </w:r>
      <w:r w:rsidRPr="00534D5D" w:rsidR="004F66EE">
        <w:rPr>
          <w:rFonts w:ascii="Palatino Linotype" w:hAnsi="Palatino Linotype"/>
          <w:sz w:val="24"/>
          <w:szCs w:val="24"/>
        </w:rPr>
        <w:t xml:space="preserve"> adopted </w:t>
      </w:r>
      <w:r w:rsidRPr="00534D5D" w:rsidR="00A04018">
        <w:rPr>
          <w:rFonts w:ascii="Palatino Linotype" w:hAnsi="Palatino Linotype"/>
          <w:sz w:val="24"/>
          <w:szCs w:val="24"/>
        </w:rPr>
        <w:t xml:space="preserve">service </w:t>
      </w:r>
      <w:r w:rsidRPr="00534D5D" w:rsidR="004F66EE">
        <w:rPr>
          <w:rFonts w:ascii="Palatino Linotype" w:hAnsi="Palatino Linotype"/>
          <w:sz w:val="24"/>
          <w:szCs w:val="24"/>
        </w:rPr>
        <w:t xml:space="preserve">energization timeline </w:t>
      </w:r>
      <w:r w:rsidRPr="00534D5D" w:rsidR="00A04018">
        <w:rPr>
          <w:rFonts w:ascii="Palatino Linotype" w:hAnsi="Palatino Linotype"/>
          <w:sz w:val="24"/>
          <w:szCs w:val="24"/>
        </w:rPr>
        <w:t>to</w:t>
      </w:r>
      <w:r w:rsidRPr="00534D5D" w:rsidR="004F66EE">
        <w:rPr>
          <w:rFonts w:ascii="Palatino Linotype" w:hAnsi="Palatino Linotype"/>
          <w:sz w:val="24"/>
          <w:szCs w:val="24"/>
        </w:rPr>
        <w:t xml:space="preserve"> cover tasks that are </w:t>
      </w:r>
      <w:r w:rsidRPr="00534D5D" w:rsidR="00BB0829">
        <w:rPr>
          <w:rFonts w:ascii="Palatino Linotype" w:hAnsi="Palatino Linotype"/>
          <w:sz w:val="24"/>
          <w:szCs w:val="24"/>
        </w:rPr>
        <w:t xml:space="preserve">only </w:t>
      </w:r>
      <w:r w:rsidRPr="00534D5D" w:rsidR="004F66EE">
        <w:rPr>
          <w:rFonts w:ascii="Palatino Linotype" w:hAnsi="Palatino Linotype"/>
          <w:sz w:val="24"/>
          <w:szCs w:val="24"/>
        </w:rPr>
        <w:t>within the IOUs direct control</w:t>
      </w:r>
      <w:r w:rsidRPr="00534D5D" w:rsidR="00891E31">
        <w:rPr>
          <w:rFonts w:ascii="Palatino Linotype" w:hAnsi="Palatino Linotype"/>
          <w:sz w:val="24"/>
          <w:szCs w:val="24"/>
        </w:rPr>
        <w:t xml:space="preserve">, while also identifying measures to accelerate </w:t>
      </w:r>
      <w:r w:rsidRPr="00534D5D" w:rsidR="00CB77AB">
        <w:rPr>
          <w:rFonts w:ascii="Palatino Linotype" w:hAnsi="Palatino Linotype"/>
          <w:sz w:val="24"/>
          <w:szCs w:val="24"/>
        </w:rPr>
        <w:t xml:space="preserve">the timeline to complete tasks </w:t>
      </w:r>
      <w:r w:rsidRPr="00534D5D" w:rsidR="001114BC">
        <w:rPr>
          <w:rFonts w:ascii="Palatino Linotype" w:hAnsi="Palatino Linotype"/>
          <w:sz w:val="24"/>
          <w:szCs w:val="24"/>
        </w:rPr>
        <w:t xml:space="preserve">within </w:t>
      </w:r>
      <w:r w:rsidRPr="00534D5D" w:rsidR="00CB77AB">
        <w:rPr>
          <w:rFonts w:ascii="Palatino Linotype" w:hAnsi="Palatino Linotype"/>
          <w:sz w:val="24"/>
          <w:szCs w:val="24"/>
        </w:rPr>
        <w:t xml:space="preserve">their </w:t>
      </w:r>
      <w:r w:rsidRPr="00534D5D" w:rsidR="001114BC">
        <w:rPr>
          <w:rFonts w:ascii="Palatino Linotype" w:hAnsi="Palatino Linotype"/>
          <w:sz w:val="24"/>
          <w:szCs w:val="24"/>
        </w:rPr>
        <w:t>in</w:t>
      </w:r>
      <w:r w:rsidRPr="00534D5D" w:rsidR="00CB77AB">
        <w:rPr>
          <w:rFonts w:ascii="Palatino Linotype" w:hAnsi="Palatino Linotype"/>
          <w:sz w:val="24"/>
          <w:szCs w:val="24"/>
        </w:rPr>
        <w:t>direct control</w:t>
      </w:r>
      <w:r w:rsidRPr="00534D5D" w:rsidR="00D33717">
        <w:rPr>
          <w:rFonts w:ascii="Palatino Linotype" w:hAnsi="Palatino Linotype"/>
          <w:sz w:val="24"/>
          <w:szCs w:val="24"/>
        </w:rPr>
        <w:t>.</w:t>
      </w:r>
      <w:r w:rsidRPr="00534D5D" w:rsidR="004F66EE">
        <w:rPr>
          <w:rFonts w:ascii="Palatino Linotype" w:hAnsi="Palatino Linotype"/>
          <w:sz w:val="24"/>
          <w:szCs w:val="24"/>
        </w:rPr>
        <w:t xml:space="preserve"> Finally, the Joint IOUs’ AL identifies options to improve the completion timeline for steps outside of the </w:t>
      </w:r>
      <w:r w:rsidRPr="00534D5D" w:rsidR="0036352D">
        <w:rPr>
          <w:rFonts w:ascii="Palatino Linotype" w:hAnsi="Palatino Linotype"/>
          <w:sz w:val="24"/>
          <w:szCs w:val="24"/>
        </w:rPr>
        <w:t>IOUs’</w:t>
      </w:r>
      <w:r w:rsidRPr="00534D5D" w:rsidR="004F66EE">
        <w:rPr>
          <w:rFonts w:ascii="Palatino Linotype" w:hAnsi="Palatino Linotype"/>
          <w:sz w:val="24"/>
          <w:szCs w:val="24"/>
        </w:rPr>
        <w:t xml:space="preserve"> direct control.</w:t>
      </w:r>
    </w:p>
    <w:p w:rsidRPr="00534D5D" w:rsidR="004F66EE" w:rsidP="004F66EE" w:rsidRDefault="004F66EE" w14:paraId="727FF4AD" w14:textId="31DF2D56">
      <w:pPr>
        <w:autoSpaceDE w:val="0"/>
        <w:autoSpaceDN w:val="0"/>
        <w:rPr>
          <w:rFonts w:ascii="Palatino Linotype" w:hAnsi="Palatino Linotype"/>
          <w:sz w:val="24"/>
          <w:szCs w:val="24"/>
        </w:rPr>
      </w:pPr>
      <w:r w:rsidRPr="00534D5D">
        <w:rPr>
          <w:rFonts w:ascii="Palatino Linotype" w:hAnsi="Palatino Linotype"/>
          <w:sz w:val="24"/>
          <w:szCs w:val="24"/>
        </w:rPr>
        <w:t xml:space="preserve">This </w:t>
      </w:r>
      <w:r w:rsidRPr="00534D5D" w:rsidR="0011191D">
        <w:rPr>
          <w:rFonts w:ascii="Palatino Linotype" w:hAnsi="Palatino Linotype"/>
          <w:sz w:val="24"/>
          <w:szCs w:val="24"/>
        </w:rPr>
        <w:t>R</w:t>
      </w:r>
      <w:r w:rsidRPr="00534D5D">
        <w:rPr>
          <w:rFonts w:ascii="Palatino Linotype" w:hAnsi="Palatino Linotype"/>
          <w:sz w:val="24"/>
          <w:szCs w:val="24"/>
        </w:rPr>
        <w:t xml:space="preserve">esolution approves, with modifications, the Joint </w:t>
      </w:r>
      <w:proofErr w:type="gramStart"/>
      <w:r w:rsidRPr="00534D5D">
        <w:rPr>
          <w:rFonts w:ascii="Palatino Linotype" w:hAnsi="Palatino Linotype"/>
          <w:sz w:val="24"/>
          <w:szCs w:val="24"/>
        </w:rPr>
        <w:t>IOUs’</w:t>
      </w:r>
      <w:proofErr w:type="gramEnd"/>
      <w:r w:rsidRPr="00534D5D">
        <w:rPr>
          <w:rFonts w:ascii="Palatino Linotype" w:hAnsi="Palatino Linotype"/>
          <w:sz w:val="24"/>
          <w:szCs w:val="24"/>
        </w:rPr>
        <w:t xml:space="preserve"> proposed average service energization timeline. The Joint IOUs must achieve an interim average service energization timeline of 125 business days for projects going through the EV Infrastructure Rule, excluding projects with a capacity exceeding 2-megawatts (MW), projects that need distribution line upgrades via Electric Rule 15, </w:t>
      </w:r>
      <w:r w:rsidRPr="00534D5D" w:rsidR="00EA22C9">
        <w:rPr>
          <w:rFonts w:ascii="Palatino Linotype" w:hAnsi="Palatino Linotype"/>
          <w:sz w:val="24"/>
          <w:szCs w:val="24"/>
        </w:rPr>
        <w:t xml:space="preserve">and </w:t>
      </w:r>
      <w:r w:rsidRPr="00534D5D">
        <w:rPr>
          <w:rFonts w:ascii="Palatino Linotype" w:hAnsi="Palatino Linotype"/>
          <w:sz w:val="24"/>
          <w:szCs w:val="24"/>
        </w:rPr>
        <w:t>projects requiring sub-station upgrades. The Joint IOUs must collect and report data on sites that exceed the 125-business day average service energization timeline to inform potential modifications to the target. Within one-year of authorization of this resolution, the Joint IOUs shall host a public workshop to discuss their efforts to achieve the 125-business day average service energization timeline. Within 60-days of hosting this public workshop, the Joint IOUs must submit a T</w:t>
      </w:r>
      <w:r w:rsidRPr="00534D5D" w:rsidR="00D23D3B">
        <w:rPr>
          <w:rFonts w:ascii="Palatino Linotype" w:hAnsi="Palatino Linotype"/>
          <w:sz w:val="24"/>
          <w:szCs w:val="24"/>
        </w:rPr>
        <w:t xml:space="preserve">ier </w:t>
      </w:r>
      <w:r w:rsidRPr="00534D5D">
        <w:rPr>
          <w:rFonts w:ascii="Palatino Linotype" w:hAnsi="Palatino Linotype"/>
          <w:sz w:val="24"/>
          <w:szCs w:val="24"/>
        </w:rPr>
        <w:t>2</w:t>
      </w:r>
      <w:r w:rsidRPr="00534D5D" w:rsidR="00D23D3B">
        <w:rPr>
          <w:rFonts w:ascii="Palatino Linotype" w:hAnsi="Palatino Linotype"/>
          <w:sz w:val="24"/>
          <w:szCs w:val="24"/>
        </w:rPr>
        <w:t xml:space="preserve"> (T2)</w:t>
      </w:r>
      <w:r w:rsidRPr="00534D5D">
        <w:rPr>
          <w:rFonts w:ascii="Palatino Linotype" w:hAnsi="Palatino Linotype"/>
          <w:sz w:val="24"/>
          <w:szCs w:val="24"/>
        </w:rPr>
        <w:t xml:space="preserve"> AL proposing an updated average service energization timeline informed by their efforts over the previous year. Finally, the Joint IOUs must collect service energization data related to processes atypical or outside of the EV Infrastructure Rules (i.e., projects going through Rule 15, projects exceeding 2MW in capacity, projects requiring sub-station upgrades, etc.) to inform a potential energization timeline for such projects.  </w:t>
      </w:r>
    </w:p>
    <w:p w:rsidRPr="00534D5D" w:rsidR="00DF3534" w:rsidP="00815645" w:rsidRDefault="00DF3534" w14:paraId="48A47F41" w14:textId="0A223767">
      <w:pPr>
        <w:pStyle w:val="Heading1"/>
        <w:jc w:val="both"/>
        <w:rPr>
          <w:rFonts w:ascii="Palatino Linotype" w:hAnsi="Palatino Linotype" w:cs="Helvetica"/>
          <w:sz w:val="24"/>
          <w:szCs w:val="24"/>
        </w:rPr>
      </w:pPr>
      <w:r w:rsidRPr="00534D5D">
        <w:rPr>
          <w:rFonts w:ascii="Palatino Linotype" w:hAnsi="Palatino Linotype" w:cs="Helvetica"/>
          <w:sz w:val="24"/>
          <w:szCs w:val="24"/>
        </w:rPr>
        <w:lastRenderedPageBreak/>
        <w:t>Background</w:t>
      </w:r>
    </w:p>
    <w:p w:rsidRPr="00534D5D" w:rsidR="00640403" w:rsidP="00640403" w:rsidRDefault="00640403" w14:paraId="5DB41B6B" w14:textId="6545D441">
      <w:pPr>
        <w:rPr>
          <w:rFonts w:ascii="Palatino Linotype" w:hAnsi="Palatino Linotype"/>
          <w:sz w:val="24"/>
          <w:szCs w:val="24"/>
        </w:rPr>
      </w:pPr>
      <w:r w:rsidRPr="00534D5D">
        <w:rPr>
          <w:rFonts w:ascii="Palatino Linotype" w:hAnsi="Palatino Linotype"/>
          <w:sz w:val="24"/>
          <w:szCs w:val="24"/>
        </w:rPr>
        <w:t>On February 26, 2021,</w:t>
      </w:r>
      <w:r w:rsidRPr="00534D5D" w:rsidR="005A055A">
        <w:rPr>
          <w:rFonts w:ascii="Palatino Linotype" w:hAnsi="Palatino Linotype"/>
          <w:sz w:val="24"/>
          <w:szCs w:val="24"/>
        </w:rPr>
        <w:t xml:space="preserve"> pursuant to Assembly Bill (AB) 841 (Ting, 2020) PG&amp;E </w:t>
      </w:r>
      <w:r w:rsidRPr="00534D5D" w:rsidR="00C44401">
        <w:rPr>
          <w:rFonts w:ascii="Palatino Linotype" w:hAnsi="Palatino Linotype"/>
          <w:sz w:val="24"/>
          <w:szCs w:val="24"/>
        </w:rPr>
        <w:t xml:space="preserve">filed </w:t>
      </w:r>
      <w:r w:rsidRPr="00534D5D" w:rsidR="005A055A">
        <w:rPr>
          <w:rFonts w:ascii="Palatino Linotype" w:hAnsi="Palatino Linotype"/>
          <w:sz w:val="24"/>
          <w:szCs w:val="24"/>
        </w:rPr>
        <w:t>Advice Letter (AL) 6102-E</w:t>
      </w:r>
      <w:r w:rsidRPr="00534D5D" w:rsidR="00AA164C">
        <w:rPr>
          <w:rStyle w:val="FootnoteReference"/>
          <w:rFonts w:ascii="Palatino Linotype" w:hAnsi="Palatino Linotype"/>
          <w:sz w:val="24"/>
          <w:szCs w:val="24"/>
        </w:rPr>
        <w:footnoteReference w:id="2"/>
      </w:r>
      <w:r w:rsidRPr="00534D5D" w:rsidR="005A055A">
        <w:rPr>
          <w:rFonts w:ascii="Palatino Linotype" w:hAnsi="Palatino Linotype"/>
          <w:sz w:val="24"/>
          <w:szCs w:val="24"/>
        </w:rPr>
        <w:t xml:space="preserve">, SCE </w:t>
      </w:r>
      <w:r w:rsidRPr="00534D5D" w:rsidR="00D114C3">
        <w:rPr>
          <w:rFonts w:ascii="Palatino Linotype" w:hAnsi="Palatino Linotype"/>
          <w:sz w:val="24"/>
          <w:szCs w:val="24"/>
        </w:rPr>
        <w:t>filed</w:t>
      </w:r>
      <w:r w:rsidRPr="00534D5D" w:rsidR="005A055A">
        <w:rPr>
          <w:rFonts w:ascii="Palatino Linotype" w:hAnsi="Palatino Linotype"/>
          <w:sz w:val="24"/>
          <w:szCs w:val="24"/>
        </w:rPr>
        <w:t xml:space="preserve"> AL 4429-E, SDG&amp;E </w:t>
      </w:r>
      <w:r w:rsidRPr="00534D5D" w:rsidR="00D114C3">
        <w:rPr>
          <w:rFonts w:ascii="Palatino Linotype" w:hAnsi="Palatino Linotype"/>
          <w:sz w:val="24"/>
          <w:szCs w:val="24"/>
        </w:rPr>
        <w:t>filed</w:t>
      </w:r>
      <w:r w:rsidRPr="00534D5D" w:rsidR="005A055A">
        <w:rPr>
          <w:rFonts w:ascii="Palatino Linotype" w:hAnsi="Palatino Linotype"/>
          <w:sz w:val="24"/>
          <w:szCs w:val="24"/>
        </w:rPr>
        <w:t xml:space="preserve"> AL 3705-E</w:t>
      </w:r>
      <w:r w:rsidRPr="00534D5D" w:rsidR="00225365">
        <w:rPr>
          <w:rFonts w:ascii="Palatino Linotype" w:hAnsi="Palatino Linotype"/>
          <w:sz w:val="24"/>
          <w:szCs w:val="24"/>
        </w:rPr>
        <w:t xml:space="preserve">, </w:t>
      </w:r>
      <w:proofErr w:type="gramStart"/>
      <w:r w:rsidRPr="00534D5D" w:rsidR="00225365">
        <w:rPr>
          <w:rFonts w:ascii="Palatino Linotype" w:hAnsi="Palatino Linotype"/>
          <w:sz w:val="24"/>
          <w:szCs w:val="24"/>
        </w:rPr>
        <w:t>and,</w:t>
      </w:r>
      <w:proofErr w:type="gramEnd"/>
      <w:r w:rsidRPr="00534D5D" w:rsidR="00225365">
        <w:rPr>
          <w:rFonts w:ascii="Palatino Linotype" w:hAnsi="Palatino Linotype"/>
          <w:sz w:val="24"/>
          <w:szCs w:val="24"/>
        </w:rPr>
        <w:t xml:space="preserve"> PacifiCorp summitted AL 643-E</w:t>
      </w:r>
      <w:r w:rsidRPr="00534D5D" w:rsidR="00225365">
        <w:rPr>
          <w:rStyle w:val="FootnoteReference"/>
          <w:rFonts w:ascii="Palatino Linotype" w:hAnsi="Palatino Linotype"/>
          <w:sz w:val="24"/>
          <w:szCs w:val="24"/>
        </w:rPr>
        <w:footnoteReference w:id="3"/>
      </w:r>
      <w:r w:rsidRPr="00534D5D" w:rsidR="000F3D54">
        <w:rPr>
          <w:rFonts w:ascii="Palatino Linotype" w:hAnsi="Palatino Linotype"/>
          <w:sz w:val="24"/>
          <w:szCs w:val="24"/>
        </w:rPr>
        <w:t>. On March 1, 2021,</w:t>
      </w:r>
      <w:r w:rsidRPr="00534D5D" w:rsidR="005677B8">
        <w:rPr>
          <w:rFonts w:ascii="Palatino Linotype" w:hAnsi="Palatino Linotype"/>
          <w:sz w:val="24"/>
          <w:szCs w:val="24"/>
        </w:rPr>
        <w:t xml:space="preserve"> </w:t>
      </w:r>
      <w:r w:rsidRPr="00534D5D" w:rsidR="000F3D54">
        <w:rPr>
          <w:rFonts w:ascii="Palatino Linotype" w:hAnsi="Palatino Linotype"/>
          <w:sz w:val="24"/>
          <w:szCs w:val="24"/>
        </w:rPr>
        <w:t>BVES submitted AL 413-E and Liberty submitted AL 166-E.</w:t>
      </w:r>
      <w:r w:rsidRPr="00534D5D" w:rsidR="00225365">
        <w:rPr>
          <w:rFonts w:ascii="Palatino Linotype" w:hAnsi="Palatino Linotype"/>
          <w:sz w:val="24"/>
          <w:szCs w:val="24"/>
        </w:rPr>
        <w:t xml:space="preserve"> </w:t>
      </w:r>
      <w:r w:rsidRPr="00534D5D" w:rsidR="005677B8">
        <w:rPr>
          <w:rFonts w:ascii="Palatino Linotype" w:hAnsi="Palatino Linotype"/>
          <w:sz w:val="24"/>
          <w:szCs w:val="24"/>
        </w:rPr>
        <w:t>Through the six A</w:t>
      </w:r>
      <w:r w:rsidRPr="00534D5D" w:rsidR="003476BC">
        <w:rPr>
          <w:rFonts w:ascii="Palatino Linotype" w:hAnsi="Palatino Linotype"/>
          <w:sz w:val="24"/>
          <w:szCs w:val="24"/>
        </w:rPr>
        <w:t>L</w:t>
      </w:r>
      <w:r w:rsidRPr="00534D5D" w:rsidR="005677B8">
        <w:rPr>
          <w:rFonts w:ascii="Palatino Linotype" w:hAnsi="Palatino Linotype"/>
          <w:sz w:val="24"/>
          <w:szCs w:val="24"/>
        </w:rPr>
        <w:t xml:space="preserve">s, the large </w:t>
      </w:r>
      <w:r w:rsidRPr="00534D5D" w:rsidR="003A4A14">
        <w:rPr>
          <w:rFonts w:ascii="Palatino Linotype" w:hAnsi="Palatino Linotype"/>
          <w:sz w:val="24"/>
          <w:szCs w:val="24"/>
        </w:rPr>
        <w:t>IOUs</w:t>
      </w:r>
      <w:r w:rsidRPr="00534D5D" w:rsidR="008936CB">
        <w:rPr>
          <w:rFonts w:ascii="Palatino Linotype" w:hAnsi="Palatino Linotype"/>
          <w:sz w:val="24"/>
          <w:szCs w:val="24"/>
        </w:rPr>
        <w:t>—PG&amp;E, SDG&amp;E, and SCE—</w:t>
      </w:r>
      <w:r w:rsidRPr="00534D5D" w:rsidR="005677B8">
        <w:rPr>
          <w:rFonts w:ascii="Palatino Linotype" w:hAnsi="Palatino Linotype"/>
          <w:sz w:val="24"/>
          <w:szCs w:val="24"/>
        </w:rPr>
        <w:t>and</w:t>
      </w:r>
      <w:r w:rsidRPr="00534D5D" w:rsidR="008936CB">
        <w:rPr>
          <w:rFonts w:ascii="Palatino Linotype" w:hAnsi="Palatino Linotype"/>
          <w:sz w:val="24"/>
          <w:szCs w:val="24"/>
        </w:rPr>
        <w:t xml:space="preserve"> the</w:t>
      </w:r>
      <w:r w:rsidRPr="00534D5D" w:rsidR="005677B8">
        <w:rPr>
          <w:rFonts w:ascii="Palatino Linotype" w:hAnsi="Palatino Linotype"/>
          <w:sz w:val="24"/>
          <w:szCs w:val="24"/>
        </w:rPr>
        <w:t xml:space="preserve"> small IOUs</w:t>
      </w:r>
      <w:r w:rsidRPr="00534D5D" w:rsidR="000233BB">
        <w:rPr>
          <w:rFonts w:ascii="Palatino Linotype" w:hAnsi="Palatino Linotype"/>
          <w:sz w:val="24"/>
          <w:szCs w:val="24"/>
        </w:rPr>
        <w:t>—BVES, Liberty, and PacifiCorp</w:t>
      </w:r>
      <w:r w:rsidRPr="00534D5D" w:rsidR="00D005C4">
        <w:rPr>
          <w:rFonts w:ascii="Palatino Linotype" w:hAnsi="Palatino Linotype"/>
          <w:sz w:val="24"/>
          <w:szCs w:val="24"/>
        </w:rPr>
        <w:t xml:space="preserve"> </w:t>
      </w:r>
      <w:r w:rsidRPr="00534D5D" w:rsidR="005677B8">
        <w:rPr>
          <w:rFonts w:ascii="Palatino Linotype" w:hAnsi="Palatino Linotype"/>
          <w:sz w:val="24"/>
          <w:szCs w:val="24"/>
        </w:rPr>
        <w:t>requested approval to establish new EV Infrastructure Rules</w:t>
      </w:r>
      <w:r w:rsidRPr="00534D5D" w:rsidR="008B7245">
        <w:rPr>
          <w:rFonts w:ascii="Palatino Linotype" w:hAnsi="Palatino Linotype"/>
          <w:sz w:val="24"/>
          <w:szCs w:val="24"/>
        </w:rPr>
        <w:t>,</w:t>
      </w:r>
      <w:r w:rsidRPr="00534D5D" w:rsidR="005677B8">
        <w:rPr>
          <w:rStyle w:val="FootnoteReference"/>
          <w:rFonts w:ascii="Palatino Linotype" w:hAnsi="Palatino Linotype"/>
          <w:sz w:val="24"/>
          <w:szCs w:val="24"/>
        </w:rPr>
        <w:footnoteReference w:id="4"/>
      </w:r>
      <w:r w:rsidRPr="00534D5D" w:rsidR="00976C47">
        <w:rPr>
          <w:rFonts w:ascii="Palatino Linotype" w:hAnsi="Palatino Linotype"/>
          <w:sz w:val="24"/>
          <w:szCs w:val="24"/>
        </w:rPr>
        <w:t xml:space="preserve"> which are an optional tariff that covers nearly the full cost of all electrical distribution infrastructure on the utility-side of the customer’s meter for all customers installing separately metered infrastructure to support </w:t>
      </w:r>
      <w:r w:rsidRPr="00534D5D" w:rsidR="00660BB9">
        <w:rPr>
          <w:rFonts w:ascii="Palatino Linotype" w:hAnsi="Palatino Linotype"/>
          <w:sz w:val="24"/>
          <w:szCs w:val="24"/>
        </w:rPr>
        <w:t>electric vehicle (</w:t>
      </w:r>
      <w:r w:rsidRPr="00534D5D" w:rsidR="00976C47">
        <w:rPr>
          <w:rFonts w:ascii="Palatino Linotype" w:hAnsi="Palatino Linotype"/>
          <w:sz w:val="24"/>
          <w:szCs w:val="24"/>
        </w:rPr>
        <w:t>EV</w:t>
      </w:r>
      <w:r w:rsidRPr="00534D5D" w:rsidR="00660BB9">
        <w:rPr>
          <w:rFonts w:ascii="Palatino Linotype" w:hAnsi="Palatino Linotype"/>
          <w:sz w:val="24"/>
          <w:szCs w:val="24"/>
        </w:rPr>
        <w:t>)</w:t>
      </w:r>
      <w:r w:rsidRPr="00534D5D" w:rsidR="00976C47">
        <w:rPr>
          <w:rFonts w:ascii="Palatino Linotype" w:hAnsi="Palatino Linotype"/>
          <w:sz w:val="24"/>
          <w:szCs w:val="24"/>
        </w:rPr>
        <w:t xml:space="preserve"> charging, other than those in single-family residences.</w:t>
      </w:r>
      <w:r w:rsidRPr="00534D5D" w:rsidR="00B9159B">
        <w:rPr>
          <w:rStyle w:val="FootnoteReference"/>
          <w:rFonts w:ascii="Palatino Linotype" w:hAnsi="Palatino Linotype"/>
          <w:sz w:val="24"/>
          <w:szCs w:val="24"/>
        </w:rPr>
        <w:footnoteReference w:id="5"/>
      </w:r>
      <w:r w:rsidRPr="00534D5D" w:rsidR="005677B8">
        <w:rPr>
          <w:rFonts w:ascii="Palatino Linotype" w:hAnsi="Palatino Linotype"/>
          <w:sz w:val="24"/>
          <w:szCs w:val="24"/>
        </w:rPr>
        <w:t xml:space="preserve"> </w:t>
      </w:r>
    </w:p>
    <w:p w:rsidRPr="00534D5D" w:rsidR="00B9159B" w:rsidP="00640403" w:rsidRDefault="00B9159B" w14:paraId="584DF38A" w14:textId="17ECFD8E">
      <w:pPr>
        <w:rPr>
          <w:rFonts w:ascii="Palatino Linotype" w:hAnsi="Palatino Linotype"/>
          <w:sz w:val="24"/>
          <w:szCs w:val="24"/>
        </w:rPr>
      </w:pPr>
      <w:r w:rsidRPr="00534D5D">
        <w:rPr>
          <w:rFonts w:ascii="Palatino Linotype" w:hAnsi="Palatino Linotype"/>
          <w:sz w:val="24"/>
          <w:szCs w:val="24"/>
        </w:rPr>
        <w:t>On October 7, 2021, the C</w:t>
      </w:r>
      <w:r w:rsidRPr="00534D5D" w:rsidR="008B7245">
        <w:rPr>
          <w:rFonts w:ascii="Palatino Linotype" w:hAnsi="Palatino Linotype"/>
          <w:sz w:val="24"/>
          <w:szCs w:val="24"/>
        </w:rPr>
        <w:t>PUC</w:t>
      </w:r>
      <w:r w:rsidRPr="00534D5D">
        <w:rPr>
          <w:rFonts w:ascii="Palatino Linotype" w:hAnsi="Palatino Linotype"/>
          <w:sz w:val="24"/>
          <w:szCs w:val="24"/>
        </w:rPr>
        <w:t xml:space="preserve"> issued Resolutions E-5167 and E-5168</w:t>
      </w:r>
      <w:r w:rsidRPr="00534D5D" w:rsidR="006D19B9">
        <w:rPr>
          <w:rFonts w:ascii="Palatino Linotype" w:hAnsi="Palatino Linotype"/>
          <w:sz w:val="24"/>
          <w:szCs w:val="24"/>
        </w:rPr>
        <w:t>, that approved, with modifications, the IOUs’ proposed EV Infrastructure Rules</w:t>
      </w:r>
      <w:r w:rsidRPr="00534D5D" w:rsidR="000F5667">
        <w:rPr>
          <w:rFonts w:ascii="Palatino Linotype" w:hAnsi="Palatino Linotype"/>
          <w:sz w:val="24"/>
          <w:szCs w:val="24"/>
        </w:rPr>
        <w:t xml:space="preserve"> and associated Memorandum Accounts. On April 7, 2022</w:t>
      </w:r>
      <w:r w:rsidRPr="00534D5D" w:rsidR="008B7245">
        <w:rPr>
          <w:rFonts w:ascii="Palatino Linotype" w:hAnsi="Palatino Linotype"/>
          <w:sz w:val="24"/>
          <w:szCs w:val="24"/>
        </w:rPr>
        <w:t>,</w:t>
      </w:r>
      <w:r w:rsidRPr="00534D5D" w:rsidR="000F5667">
        <w:rPr>
          <w:rStyle w:val="FootnoteReference"/>
          <w:rFonts w:ascii="Palatino Linotype" w:hAnsi="Palatino Linotype"/>
          <w:sz w:val="24"/>
          <w:szCs w:val="24"/>
        </w:rPr>
        <w:footnoteReference w:id="6"/>
      </w:r>
      <w:r w:rsidRPr="00534D5D" w:rsidR="000F5667">
        <w:rPr>
          <w:rFonts w:ascii="Palatino Linotype" w:hAnsi="Palatino Linotype"/>
          <w:sz w:val="24"/>
          <w:szCs w:val="24"/>
        </w:rPr>
        <w:t xml:space="preserve"> the IOUs began offering service under their EV Infrastructure Rules.</w:t>
      </w:r>
    </w:p>
    <w:p w:rsidRPr="00534D5D" w:rsidR="00AD344E" w:rsidP="00640403" w:rsidRDefault="000F5667" w14:paraId="2231AF47" w14:textId="4A18E44A">
      <w:pPr>
        <w:rPr>
          <w:rFonts w:ascii="Palatino Linotype" w:hAnsi="Palatino Linotype"/>
          <w:sz w:val="24"/>
          <w:szCs w:val="24"/>
        </w:rPr>
      </w:pPr>
      <w:r w:rsidRPr="00534D5D">
        <w:rPr>
          <w:rFonts w:ascii="Palatino Linotype" w:hAnsi="Palatino Linotype"/>
          <w:sz w:val="24"/>
          <w:szCs w:val="24"/>
        </w:rPr>
        <w:t>Ordering Paragraph (OP) 8 of both Resolution E-5167 and E-5168 ordered the Joint IOUs to host a workshop within 180 days of the Resolutions’ approval to discuss barriers to the timely energization of EV charging infrastructure</w:t>
      </w:r>
      <w:r w:rsidRPr="00534D5D" w:rsidR="000F3261">
        <w:rPr>
          <w:rFonts w:ascii="Palatino Linotype" w:hAnsi="Palatino Linotype"/>
          <w:sz w:val="24"/>
          <w:szCs w:val="24"/>
        </w:rPr>
        <w:t xml:space="preserve">. </w:t>
      </w:r>
      <w:r w:rsidRPr="00534D5D" w:rsidR="005E2718">
        <w:rPr>
          <w:rFonts w:ascii="Palatino Linotype" w:hAnsi="Palatino Linotype"/>
          <w:sz w:val="24"/>
          <w:szCs w:val="24"/>
        </w:rPr>
        <w:t>The Resolutions required the Joint IOUs</w:t>
      </w:r>
      <w:r w:rsidRPr="00534D5D" w:rsidR="00042103">
        <w:rPr>
          <w:rFonts w:ascii="Palatino Linotype" w:hAnsi="Palatino Linotype"/>
          <w:sz w:val="24"/>
          <w:szCs w:val="24"/>
        </w:rPr>
        <w:t>,</w:t>
      </w:r>
      <w:r w:rsidRPr="00534D5D" w:rsidR="005E2718">
        <w:rPr>
          <w:rFonts w:ascii="Palatino Linotype" w:hAnsi="Palatino Linotype"/>
          <w:sz w:val="24"/>
          <w:szCs w:val="24"/>
        </w:rPr>
        <w:t xml:space="preserve"> d</w:t>
      </w:r>
      <w:r w:rsidRPr="00534D5D" w:rsidR="002053FF">
        <w:rPr>
          <w:rFonts w:ascii="Palatino Linotype" w:hAnsi="Palatino Linotype"/>
          <w:sz w:val="24"/>
          <w:szCs w:val="24"/>
        </w:rPr>
        <w:t>uring the workshop</w:t>
      </w:r>
      <w:r w:rsidRPr="00534D5D" w:rsidR="000F3261">
        <w:rPr>
          <w:rFonts w:ascii="Palatino Linotype" w:hAnsi="Palatino Linotype"/>
          <w:sz w:val="24"/>
          <w:szCs w:val="24"/>
        </w:rPr>
        <w:t xml:space="preserve"> to at minimum </w:t>
      </w:r>
      <w:r w:rsidRPr="00534D5D" w:rsidR="002053FF">
        <w:rPr>
          <w:rFonts w:ascii="Palatino Linotype" w:hAnsi="Palatino Linotype"/>
          <w:sz w:val="24"/>
          <w:szCs w:val="24"/>
        </w:rPr>
        <w:t>address</w:t>
      </w:r>
      <w:r w:rsidRPr="00534D5D" w:rsidR="005E2718">
        <w:rPr>
          <w:rFonts w:ascii="Palatino Linotype" w:hAnsi="Palatino Linotype"/>
          <w:sz w:val="24"/>
          <w:szCs w:val="24"/>
        </w:rPr>
        <w:t>:</w:t>
      </w:r>
      <w:r w:rsidRPr="00534D5D" w:rsidR="002053FF">
        <w:rPr>
          <w:rFonts w:ascii="Palatino Linotype" w:hAnsi="Palatino Linotype"/>
          <w:sz w:val="24"/>
          <w:szCs w:val="24"/>
        </w:rPr>
        <w:t xml:space="preserve"> 1) the IOUs’ processes and internal timeline for timely installing and energizing electrical distribution infrastructure to support EV charging, 2) the barriers within the IOUs’ control that impact the IOUs’ ability to meet a timely service energization average, </w:t>
      </w:r>
      <w:r w:rsidR="001A3A1A">
        <w:rPr>
          <w:rFonts w:ascii="Palatino Linotype" w:hAnsi="Palatino Linotype"/>
          <w:sz w:val="24"/>
          <w:szCs w:val="24"/>
        </w:rPr>
        <w:br/>
      </w:r>
      <w:r w:rsidRPr="00534D5D" w:rsidR="002053FF">
        <w:rPr>
          <w:rFonts w:ascii="Palatino Linotype" w:hAnsi="Palatino Linotype"/>
          <w:sz w:val="24"/>
          <w:szCs w:val="24"/>
        </w:rPr>
        <w:t>3) the barriers outside of the IOUs’ control that impact the IOUs’ ability to meet a faster service energization average, 4) the direct perspective of Electric Vehicle Service Providers (EVSPs) and other industry representatives, 5) how the IOUs can collaborate and coordinate with EVSPs and other market actors (e.g., authorit</w:t>
      </w:r>
      <w:r w:rsidRPr="00534D5D" w:rsidR="008A0FC1">
        <w:rPr>
          <w:rFonts w:ascii="Palatino Linotype" w:hAnsi="Palatino Linotype"/>
          <w:sz w:val="24"/>
          <w:szCs w:val="24"/>
        </w:rPr>
        <w:t>ies</w:t>
      </w:r>
      <w:r w:rsidRPr="00534D5D" w:rsidR="002053FF">
        <w:rPr>
          <w:rFonts w:ascii="Palatino Linotype" w:hAnsi="Palatino Linotype"/>
          <w:sz w:val="24"/>
          <w:szCs w:val="24"/>
        </w:rPr>
        <w:t xml:space="preserve"> having </w:t>
      </w:r>
      <w:r w:rsidRPr="00534D5D" w:rsidR="002053FF">
        <w:rPr>
          <w:rFonts w:ascii="Palatino Linotype" w:hAnsi="Palatino Linotype"/>
          <w:sz w:val="24"/>
          <w:szCs w:val="24"/>
        </w:rPr>
        <w:lastRenderedPageBreak/>
        <w:t>jurisdiction) to accelerate service energization timing, and 6) potential solutions to overcome the identified barriers</w:t>
      </w:r>
      <w:r w:rsidRPr="00534D5D">
        <w:rPr>
          <w:rFonts w:ascii="Palatino Linotype" w:hAnsi="Palatino Linotype"/>
          <w:sz w:val="24"/>
          <w:szCs w:val="24"/>
        </w:rPr>
        <w:t xml:space="preserve">. </w:t>
      </w:r>
    </w:p>
    <w:p w:rsidRPr="00534D5D" w:rsidR="002B6A5B" w:rsidP="00640403" w:rsidRDefault="002053FF" w14:paraId="0130FBEF" w14:textId="4ED6B22F">
      <w:pPr>
        <w:rPr>
          <w:rFonts w:ascii="Palatino Linotype" w:hAnsi="Palatino Linotype"/>
          <w:sz w:val="24"/>
          <w:szCs w:val="24"/>
        </w:rPr>
      </w:pPr>
      <w:r w:rsidRPr="00534D5D">
        <w:rPr>
          <w:rFonts w:ascii="Palatino Linotype" w:hAnsi="Palatino Linotype"/>
          <w:sz w:val="24"/>
          <w:szCs w:val="24"/>
        </w:rPr>
        <w:t xml:space="preserve">OP 8 directed the IOUs to submit a joint </w:t>
      </w:r>
      <w:r w:rsidRPr="00534D5D" w:rsidR="00EE37B3">
        <w:rPr>
          <w:rFonts w:ascii="Palatino Linotype" w:hAnsi="Palatino Linotype"/>
          <w:sz w:val="24"/>
          <w:szCs w:val="24"/>
        </w:rPr>
        <w:t>T</w:t>
      </w:r>
      <w:r w:rsidRPr="00534D5D">
        <w:rPr>
          <w:rFonts w:ascii="Palatino Linotype" w:hAnsi="Palatino Linotype"/>
          <w:sz w:val="24"/>
          <w:szCs w:val="24"/>
        </w:rPr>
        <w:t>2 AL within 60 days of holding th</w:t>
      </w:r>
      <w:r w:rsidRPr="00534D5D" w:rsidR="00EE37B3">
        <w:rPr>
          <w:rFonts w:ascii="Palatino Linotype" w:hAnsi="Palatino Linotype"/>
          <w:sz w:val="24"/>
          <w:szCs w:val="24"/>
        </w:rPr>
        <w:t>e</w:t>
      </w:r>
      <w:r w:rsidRPr="00534D5D">
        <w:rPr>
          <w:rFonts w:ascii="Palatino Linotype" w:hAnsi="Palatino Linotype"/>
          <w:sz w:val="24"/>
          <w:szCs w:val="24"/>
        </w:rPr>
        <w:t xml:space="preserve"> public workshop, to propose a</w:t>
      </w:r>
      <w:r w:rsidRPr="00534D5D" w:rsidR="000F1128">
        <w:rPr>
          <w:rFonts w:ascii="Palatino Linotype" w:hAnsi="Palatino Linotype"/>
          <w:sz w:val="24"/>
          <w:szCs w:val="24"/>
        </w:rPr>
        <w:t>n average</w:t>
      </w:r>
      <w:r w:rsidRPr="00534D5D">
        <w:rPr>
          <w:rFonts w:ascii="Palatino Linotype" w:hAnsi="Palatino Linotype"/>
          <w:sz w:val="24"/>
          <w:szCs w:val="24"/>
        </w:rPr>
        <w:t xml:space="preserve"> service energization timeline, that, at minimum</w:t>
      </w:r>
      <w:r w:rsidRPr="00534D5D" w:rsidR="00AD344E">
        <w:rPr>
          <w:rFonts w:ascii="Palatino Linotype" w:hAnsi="Palatino Linotype"/>
          <w:sz w:val="24"/>
          <w:szCs w:val="24"/>
        </w:rPr>
        <w:t>:</w:t>
      </w:r>
      <w:r w:rsidRPr="00534D5D">
        <w:rPr>
          <w:rFonts w:ascii="Palatino Linotype" w:hAnsi="Palatino Linotype"/>
          <w:sz w:val="24"/>
          <w:szCs w:val="24"/>
        </w:rPr>
        <w:t xml:space="preserve"> </w:t>
      </w:r>
    </w:p>
    <w:p w:rsidRPr="00534D5D" w:rsidR="000575B4" w:rsidP="000575B4" w:rsidRDefault="002053FF" w14:paraId="2E2C3497" w14:textId="2AAA86D6">
      <w:pPr>
        <w:pStyle w:val="ListParagraph"/>
        <w:numPr>
          <w:ilvl w:val="0"/>
          <w:numId w:val="17"/>
        </w:numPr>
        <w:rPr>
          <w:rFonts w:ascii="Palatino Linotype" w:hAnsi="Palatino Linotype"/>
          <w:sz w:val="24"/>
          <w:szCs w:val="24"/>
        </w:rPr>
      </w:pPr>
      <w:r w:rsidRPr="00534D5D">
        <w:rPr>
          <w:rFonts w:ascii="Palatino Linotype" w:hAnsi="Palatino Linotype"/>
          <w:sz w:val="24"/>
          <w:szCs w:val="24"/>
        </w:rPr>
        <w:t>proposes a numerical target (i.e., number of business days) for average energization timing between when a customer submit</w:t>
      </w:r>
      <w:r w:rsidRPr="00534D5D" w:rsidR="00CA4A72">
        <w:rPr>
          <w:rFonts w:ascii="Palatino Linotype" w:hAnsi="Palatino Linotype"/>
          <w:sz w:val="24"/>
          <w:szCs w:val="24"/>
        </w:rPr>
        <w:t>s</w:t>
      </w:r>
      <w:r w:rsidRPr="00534D5D">
        <w:rPr>
          <w:rFonts w:ascii="Palatino Linotype" w:hAnsi="Palatino Linotype"/>
          <w:sz w:val="24"/>
          <w:szCs w:val="24"/>
        </w:rPr>
        <w:t xml:space="preserve"> an application and when their site is energized that reflects efforts to accelerate the current average service energization timeline, which was expected to be between an average of 90 and 160 </w:t>
      </w:r>
      <w:proofErr w:type="gramStart"/>
      <w:r w:rsidRPr="00534D5D">
        <w:rPr>
          <w:rFonts w:ascii="Palatino Linotype" w:hAnsi="Palatino Linotype"/>
          <w:sz w:val="24"/>
          <w:szCs w:val="24"/>
        </w:rPr>
        <w:t>days</w:t>
      </w:r>
      <w:r w:rsidRPr="00534D5D" w:rsidR="00AD344E">
        <w:rPr>
          <w:rFonts w:ascii="Palatino Linotype" w:hAnsi="Palatino Linotype"/>
          <w:sz w:val="24"/>
          <w:szCs w:val="24"/>
        </w:rPr>
        <w:t>;</w:t>
      </w:r>
      <w:proofErr w:type="gramEnd"/>
      <w:r w:rsidRPr="00534D5D">
        <w:rPr>
          <w:rFonts w:ascii="Palatino Linotype" w:hAnsi="Palatino Linotype"/>
          <w:sz w:val="24"/>
          <w:szCs w:val="24"/>
        </w:rPr>
        <w:t xml:space="preserve"> </w:t>
      </w:r>
    </w:p>
    <w:p w:rsidRPr="00534D5D" w:rsidR="000575B4" w:rsidP="000575B4" w:rsidRDefault="002053FF" w14:paraId="434990FF" w14:textId="0DB18131">
      <w:pPr>
        <w:pStyle w:val="ListParagraph"/>
        <w:numPr>
          <w:ilvl w:val="0"/>
          <w:numId w:val="17"/>
        </w:numPr>
        <w:rPr>
          <w:rFonts w:ascii="Palatino Linotype" w:hAnsi="Palatino Linotype"/>
          <w:sz w:val="24"/>
          <w:szCs w:val="24"/>
        </w:rPr>
      </w:pPr>
      <w:r w:rsidRPr="00534D5D">
        <w:rPr>
          <w:rFonts w:ascii="Palatino Linotype" w:hAnsi="Palatino Linotype"/>
          <w:sz w:val="24"/>
          <w:szCs w:val="24"/>
        </w:rPr>
        <w:t xml:space="preserve">identifies the processes that are within the IOUs’ direct and indirect </w:t>
      </w:r>
      <w:proofErr w:type="gramStart"/>
      <w:r w:rsidRPr="00534D5D">
        <w:rPr>
          <w:rFonts w:ascii="Palatino Linotype" w:hAnsi="Palatino Linotype"/>
          <w:sz w:val="24"/>
          <w:szCs w:val="24"/>
        </w:rPr>
        <w:t>control</w:t>
      </w:r>
      <w:r w:rsidRPr="00534D5D" w:rsidR="00AD344E">
        <w:rPr>
          <w:rFonts w:ascii="Palatino Linotype" w:hAnsi="Palatino Linotype"/>
          <w:sz w:val="24"/>
          <w:szCs w:val="24"/>
        </w:rPr>
        <w:t>;</w:t>
      </w:r>
      <w:proofErr w:type="gramEnd"/>
      <w:r w:rsidRPr="00534D5D">
        <w:rPr>
          <w:rFonts w:ascii="Palatino Linotype" w:hAnsi="Palatino Linotype"/>
          <w:sz w:val="24"/>
          <w:szCs w:val="24"/>
        </w:rPr>
        <w:t xml:space="preserve"> </w:t>
      </w:r>
    </w:p>
    <w:p w:rsidRPr="00534D5D" w:rsidR="000575B4" w:rsidP="000575B4" w:rsidRDefault="002053FF" w14:paraId="7506FB69" w14:textId="41501A99">
      <w:pPr>
        <w:pStyle w:val="ListParagraph"/>
        <w:numPr>
          <w:ilvl w:val="0"/>
          <w:numId w:val="17"/>
        </w:numPr>
        <w:rPr>
          <w:rFonts w:ascii="Palatino Linotype" w:hAnsi="Palatino Linotype"/>
          <w:sz w:val="24"/>
          <w:szCs w:val="24"/>
        </w:rPr>
      </w:pPr>
      <w:r w:rsidRPr="00534D5D">
        <w:rPr>
          <w:rFonts w:ascii="Palatino Linotype" w:hAnsi="Palatino Linotype"/>
          <w:sz w:val="24"/>
          <w:szCs w:val="24"/>
        </w:rPr>
        <w:t xml:space="preserve">identifies the processes that are not within the IOUs’ control (e.g., within the control of the customer, </w:t>
      </w:r>
      <w:r w:rsidRPr="00534D5D" w:rsidR="00AD344E">
        <w:rPr>
          <w:rFonts w:ascii="Palatino Linotype" w:hAnsi="Palatino Linotype"/>
          <w:sz w:val="24"/>
          <w:szCs w:val="24"/>
        </w:rPr>
        <w:t>authorities having jurisdiction</w:t>
      </w:r>
      <w:r w:rsidRPr="00534D5D" w:rsidR="009F221F">
        <w:rPr>
          <w:rFonts w:ascii="Palatino Linotype" w:hAnsi="Palatino Linotype"/>
          <w:sz w:val="24"/>
          <w:szCs w:val="24"/>
        </w:rPr>
        <w:t xml:space="preserve"> (AHJ)</w:t>
      </w:r>
      <w:r w:rsidRPr="00534D5D">
        <w:rPr>
          <w:rFonts w:ascii="Palatino Linotype" w:hAnsi="Palatino Linotype"/>
          <w:sz w:val="24"/>
          <w:szCs w:val="24"/>
        </w:rPr>
        <w:t>, EVSP, etc.</w:t>
      </w:r>
      <w:proofErr w:type="gramStart"/>
      <w:r w:rsidRPr="00534D5D">
        <w:rPr>
          <w:rFonts w:ascii="Palatino Linotype" w:hAnsi="Palatino Linotype"/>
          <w:sz w:val="24"/>
          <w:szCs w:val="24"/>
        </w:rPr>
        <w:t>)</w:t>
      </w:r>
      <w:r w:rsidRPr="00534D5D" w:rsidR="00AD344E">
        <w:rPr>
          <w:rFonts w:ascii="Palatino Linotype" w:hAnsi="Palatino Linotype"/>
          <w:sz w:val="24"/>
          <w:szCs w:val="24"/>
        </w:rPr>
        <w:t>;</w:t>
      </w:r>
      <w:proofErr w:type="gramEnd"/>
      <w:r w:rsidRPr="00534D5D">
        <w:rPr>
          <w:rFonts w:ascii="Palatino Linotype" w:hAnsi="Palatino Linotype"/>
          <w:sz w:val="24"/>
          <w:szCs w:val="24"/>
        </w:rPr>
        <w:t xml:space="preserve"> </w:t>
      </w:r>
    </w:p>
    <w:p w:rsidRPr="00534D5D" w:rsidR="000575B4" w:rsidP="000575B4" w:rsidRDefault="002053FF" w14:paraId="5D92D14E" w14:textId="3DF8B5FE">
      <w:pPr>
        <w:pStyle w:val="ListParagraph"/>
        <w:numPr>
          <w:ilvl w:val="0"/>
          <w:numId w:val="17"/>
        </w:numPr>
        <w:rPr>
          <w:rFonts w:ascii="Palatino Linotype" w:hAnsi="Palatino Linotype"/>
          <w:sz w:val="24"/>
          <w:szCs w:val="24"/>
        </w:rPr>
      </w:pPr>
      <w:r w:rsidRPr="00534D5D">
        <w:rPr>
          <w:rFonts w:ascii="Palatino Linotype" w:hAnsi="Palatino Linotype"/>
          <w:sz w:val="24"/>
          <w:szCs w:val="24"/>
        </w:rPr>
        <w:t>proposes a process for how the IOU</w:t>
      </w:r>
      <w:r w:rsidRPr="00534D5D" w:rsidR="00AD344E">
        <w:rPr>
          <w:rFonts w:ascii="Palatino Linotype" w:hAnsi="Palatino Linotype"/>
          <w:sz w:val="24"/>
          <w:szCs w:val="24"/>
        </w:rPr>
        <w:t>s</w:t>
      </w:r>
      <w:r w:rsidRPr="00534D5D">
        <w:rPr>
          <w:rFonts w:ascii="Palatino Linotype" w:hAnsi="Palatino Linotype"/>
          <w:sz w:val="24"/>
          <w:szCs w:val="24"/>
        </w:rPr>
        <w:t xml:space="preserve"> can improve the service energization timing</w:t>
      </w:r>
      <w:r w:rsidRPr="00534D5D" w:rsidR="007B1234">
        <w:rPr>
          <w:rFonts w:ascii="Palatino Linotype" w:hAnsi="Palatino Linotype"/>
          <w:sz w:val="24"/>
          <w:szCs w:val="24"/>
        </w:rPr>
        <w:t xml:space="preserve"> for items that are within their direct and indirect </w:t>
      </w:r>
      <w:proofErr w:type="gramStart"/>
      <w:r w:rsidRPr="00534D5D" w:rsidR="007B1234">
        <w:rPr>
          <w:rFonts w:ascii="Palatino Linotype" w:hAnsi="Palatino Linotype"/>
          <w:sz w:val="24"/>
          <w:szCs w:val="24"/>
        </w:rPr>
        <w:t>control</w:t>
      </w:r>
      <w:r w:rsidRPr="00534D5D" w:rsidR="00AD344E">
        <w:rPr>
          <w:rFonts w:ascii="Palatino Linotype" w:hAnsi="Palatino Linotype"/>
          <w:sz w:val="24"/>
          <w:szCs w:val="24"/>
        </w:rPr>
        <w:t>;</w:t>
      </w:r>
      <w:proofErr w:type="gramEnd"/>
      <w:r w:rsidRPr="00534D5D" w:rsidR="007B1234">
        <w:rPr>
          <w:rFonts w:ascii="Palatino Linotype" w:hAnsi="Palatino Linotype"/>
          <w:sz w:val="24"/>
          <w:szCs w:val="24"/>
        </w:rPr>
        <w:t xml:space="preserve"> </w:t>
      </w:r>
    </w:p>
    <w:p w:rsidRPr="00534D5D" w:rsidR="000575B4" w:rsidP="000575B4" w:rsidRDefault="007B1234" w14:paraId="5440BE35" w14:textId="0D64773D">
      <w:pPr>
        <w:pStyle w:val="ListParagraph"/>
        <w:numPr>
          <w:ilvl w:val="0"/>
          <w:numId w:val="17"/>
        </w:numPr>
        <w:rPr>
          <w:rFonts w:ascii="Palatino Linotype" w:hAnsi="Palatino Linotype"/>
          <w:sz w:val="24"/>
          <w:szCs w:val="24"/>
        </w:rPr>
      </w:pPr>
      <w:r w:rsidRPr="00534D5D">
        <w:rPr>
          <w:rFonts w:ascii="Palatino Linotype" w:hAnsi="Palatino Linotype"/>
          <w:sz w:val="24"/>
          <w:szCs w:val="24"/>
        </w:rPr>
        <w:t>includes a description of how the IOU can contribute towards improving the timing for other responsibilities, if any</w:t>
      </w:r>
      <w:r w:rsidRPr="00534D5D" w:rsidR="00AD344E">
        <w:rPr>
          <w:rFonts w:ascii="Palatino Linotype" w:hAnsi="Palatino Linotype"/>
          <w:sz w:val="24"/>
          <w:szCs w:val="24"/>
        </w:rPr>
        <w:t>;</w:t>
      </w:r>
      <w:r w:rsidRPr="00534D5D">
        <w:rPr>
          <w:rFonts w:ascii="Palatino Linotype" w:hAnsi="Palatino Linotype"/>
          <w:sz w:val="24"/>
          <w:szCs w:val="24"/>
        </w:rPr>
        <w:t xml:space="preserve"> and </w:t>
      </w:r>
    </w:p>
    <w:p w:rsidRPr="00534D5D" w:rsidR="002053FF" w:rsidP="00AA2CBE" w:rsidRDefault="007B1234" w14:paraId="05CA31D9" w14:textId="26C97F43">
      <w:pPr>
        <w:pStyle w:val="ListParagraph"/>
        <w:numPr>
          <w:ilvl w:val="0"/>
          <w:numId w:val="17"/>
        </w:numPr>
        <w:rPr>
          <w:rFonts w:ascii="Palatino Linotype" w:hAnsi="Palatino Linotype"/>
          <w:sz w:val="24"/>
          <w:szCs w:val="24"/>
        </w:rPr>
      </w:pPr>
      <w:r w:rsidRPr="00534D5D">
        <w:rPr>
          <w:rFonts w:ascii="Palatino Linotype" w:hAnsi="Palatino Linotype"/>
          <w:sz w:val="24"/>
          <w:szCs w:val="24"/>
        </w:rPr>
        <w:t xml:space="preserve">ensures the proposal is reflective of the discussions and feedback from the workshop, including the feedback of industry representative. </w:t>
      </w:r>
      <w:r w:rsidRPr="00534D5D" w:rsidR="002053FF">
        <w:rPr>
          <w:rFonts w:ascii="Palatino Linotype" w:hAnsi="Palatino Linotype"/>
          <w:sz w:val="24"/>
          <w:szCs w:val="24"/>
        </w:rPr>
        <w:t xml:space="preserve"> </w:t>
      </w:r>
    </w:p>
    <w:p w:rsidRPr="00534D5D" w:rsidR="00AD3BB0" w:rsidP="00640403" w:rsidRDefault="000F5667" w14:paraId="5D949722" w14:textId="3D96F669">
      <w:pPr>
        <w:rPr>
          <w:rFonts w:ascii="Palatino Linotype" w:hAnsi="Palatino Linotype"/>
          <w:sz w:val="24"/>
          <w:szCs w:val="24"/>
        </w:rPr>
      </w:pPr>
      <w:r w:rsidRPr="00534D5D">
        <w:rPr>
          <w:rFonts w:ascii="Palatino Linotype" w:hAnsi="Palatino Linotype"/>
          <w:sz w:val="24"/>
          <w:szCs w:val="24"/>
        </w:rPr>
        <w:t>On March 28, 2022, the Joint IOUs hosted this public workshop</w:t>
      </w:r>
      <w:r w:rsidRPr="00534D5D" w:rsidR="00EE55B3">
        <w:rPr>
          <w:rFonts w:ascii="Palatino Linotype" w:hAnsi="Palatino Linotype"/>
          <w:sz w:val="24"/>
          <w:szCs w:val="24"/>
        </w:rPr>
        <w:t xml:space="preserve">, which had representatives from </w:t>
      </w:r>
      <w:r w:rsidRPr="00534D5D" w:rsidR="00FE2EAD">
        <w:rPr>
          <w:rFonts w:ascii="Palatino Linotype" w:hAnsi="Palatino Linotype"/>
          <w:sz w:val="24"/>
          <w:szCs w:val="24"/>
        </w:rPr>
        <w:t>EVSPs</w:t>
      </w:r>
      <w:r w:rsidRPr="00534D5D" w:rsidR="008C0EEA">
        <w:rPr>
          <w:rFonts w:ascii="Palatino Linotype" w:hAnsi="Palatino Linotype"/>
          <w:sz w:val="24"/>
          <w:szCs w:val="24"/>
        </w:rPr>
        <w:t>, technology vendors, automakers, cities and counties, consumer and environmental justice organizations, state agencies, and the California Governor’s Office of Business and Economic Development (GO-Biz)</w:t>
      </w:r>
      <w:r w:rsidRPr="00534D5D">
        <w:rPr>
          <w:rFonts w:ascii="Palatino Linotype" w:hAnsi="Palatino Linotype"/>
          <w:sz w:val="24"/>
          <w:szCs w:val="24"/>
        </w:rPr>
        <w:t>.</w:t>
      </w:r>
      <w:r w:rsidRPr="00534D5D" w:rsidR="007B1234">
        <w:rPr>
          <w:rFonts w:ascii="Palatino Linotype" w:hAnsi="Palatino Linotype"/>
          <w:sz w:val="24"/>
          <w:szCs w:val="24"/>
        </w:rPr>
        <w:t xml:space="preserve"> </w:t>
      </w:r>
      <w:r w:rsidRPr="00534D5D" w:rsidR="00C01319">
        <w:rPr>
          <w:rFonts w:ascii="Palatino Linotype" w:hAnsi="Palatino Linotype"/>
          <w:sz w:val="24"/>
          <w:szCs w:val="24"/>
        </w:rPr>
        <w:t xml:space="preserve">On April </w:t>
      </w:r>
      <w:r w:rsidRPr="00534D5D" w:rsidR="00FB22D5">
        <w:rPr>
          <w:rFonts w:ascii="Palatino Linotype" w:hAnsi="Palatino Linotype"/>
          <w:sz w:val="24"/>
          <w:szCs w:val="24"/>
        </w:rPr>
        <w:t>18</w:t>
      </w:r>
      <w:r w:rsidRPr="00534D5D" w:rsidR="000038F9">
        <w:rPr>
          <w:rFonts w:ascii="Palatino Linotype" w:hAnsi="Palatino Linotype"/>
          <w:sz w:val="24"/>
          <w:szCs w:val="24"/>
        </w:rPr>
        <w:t xml:space="preserve">, 2022, </w:t>
      </w:r>
      <w:r w:rsidRPr="00534D5D" w:rsidR="00FB22D5">
        <w:rPr>
          <w:rFonts w:ascii="Palatino Linotype" w:hAnsi="Palatino Linotype"/>
          <w:sz w:val="24"/>
          <w:szCs w:val="24"/>
        </w:rPr>
        <w:t xml:space="preserve">Energy Division staff </w:t>
      </w:r>
      <w:r w:rsidRPr="00534D5D" w:rsidR="00610480">
        <w:rPr>
          <w:rFonts w:ascii="Palatino Linotype" w:hAnsi="Palatino Linotype"/>
          <w:sz w:val="24"/>
          <w:szCs w:val="24"/>
        </w:rPr>
        <w:t>sent an email to the</w:t>
      </w:r>
      <w:r w:rsidRPr="00534D5D" w:rsidR="00E45A10">
        <w:rPr>
          <w:rFonts w:ascii="Palatino Linotype" w:hAnsi="Palatino Linotype"/>
          <w:sz w:val="24"/>
          <w:szCs w:val="24"/>
        </w:rPr>
        <w:t xml:space="preserve"> </w:t>
      </w:r>
      <w:r w:rsidRPr="00534D5D" w:rsidR="00B02392">
        <w:rPr>
          <w:rFonts w:ascii="Palatino Linotype" w:hAnsi="Palatino Linotype"/>
          <w:sz w:val="24"/>
          <w:szCs w:val="24"/>
        </w:rPr>
        <w:t>Rulemaking (R.) 18-12-006</w:t>
      </w:r>
      <w:r w:rsidRPr="00534D5D" w:rsidR="00E45A10">
        <w:rPr>
          <w:rFonts w:ascii="Palatino Linotype" w:hAnsi="Palatino Linotype"/>
          <w:sz w:val="24"/>
          <w:szCs w:val="24"/>
        </w:rPr>
        <w:t xml:space="preserve"> service list</w:t>
      </w:r>
      <w:r w:rsidRPr="00534D5D" w:rsidR="00B02392">
        <w:rPr>
          <w:rFonts w:ascii="Palatino Linotype" w:hAnsi="Palatino Linotype"/>
          <w:sz w:val="24"/>
          <w:szCs w:val="24"/>
        </w:rPr>
        <w:t xml:space="preserve"> </w:t>
      </w:r>
      <w:r w:rsidRPr="00534D5D" w:rsidR="0031043B">
        <w:rPr>
          <w:rFonts w:ascii="Palatino Linotype" w:hAnsi="Palatino Linotype"/>
          <w:sz w:val="24"/>
          <w:szCs w:val="24"/>
        </w:rPr>
        <w:t xml:space="preserve">to </w:t>
      </w:r>
      <w:r w:rsidRPr="00534D5D" w:rsidR="00577A33">
        <w:rPr>
          <w:rFonts w:ascii="Palatino Linotype" w:hAnsi="Palatino Linotype"/>
          <w:sz w:val="24"/>
          <w:szCs w:val="24"/>
        </w:rPr>
        <w:t>provide</w:t>
      </w:r>
      <w:r w:rsidRPr="00534D5D" w:rsidR="0031043B">
        <w:rPr>
          <w:rFonts w:ascii="Palatino Linotype" w:hAnsi="Palatino Linotype"/>
          <w:sz w:val="24"/>
          <w:szCs w:val="24"/>
        </w:rPr>
        <w:t xml:space="preserve"> parties the opportunity to submit informal post-workshop comments </w:t>
      </w:r>
      <w:r w:rsidRPr="00534D5D" w:rsidR="009D3365">
        <w:rPr>
          <w:rFonts w:ascii="Palatino Linotype" w:hAnsi="Palatino Linotype"/>
          <w:sz w:val="24"/>
          <w:szCs w:val="24"/>
        </w:rPr>
        <w:t xml:space="preserve">directly to the Joint IOUs to </w:t>
      </w:r>
      <w:r w:rsidRPr="00534D5D" w:rsidR="00A01658">
        <w:rPr>
          <w:rFonts w:ascii="Palatino Linotype" w:hAnsi="Palatino Linotype"/>
          <w:sz w:val="24"/>
          <w:szCs w:val="24"/>
        </w:rPr>
        <w:t>help inform the</w:t>
      </w:r>
      <w:r w:rsidRPr="00534D5D" w:rsidR="00ED13DF">
        <w:rPr>
          <w:rFonts w:ascii="Palatino Linotype" w:hAnsi="Palatino Linotype"/>
          <w:sz w:val="24"/>
          <w:szCs w:val="24"/>
        </w:rPr>
        <w:t>ir</w:t>
      </w:r>
      <w:r w:rsidRPr="00534D5D" w:rsidR="00A01658">
        <w:rPr>
          <w:rFonts w:ascii="Palatino Linotype" w:hAnsi="Palatino Linotype"/>
          <w:sz w:val="24"/>
          <w:szCs w:val="24"/>
        </w:rPr>
        <w:t xml:space="preserve"> </w:t>
      </w:r>
      <w:r w:rsidRPr="00534D5D" w:rsidR="008A78E5">
        <w:rPr>
          <w:rFonts w:ascii="Palatino Linotype" w:hAnsi="Palatino Linotype"/>
          <w:sz w:val="24"/>
          <w:szCs w:val="24"/>
        </w:rPr>
        <w:t xml:space="preserve">average service energization </w:t>
      </w:r>
      <w:r w:rsidRPr="00534D5D" w:rsidR="003F17F6">
        <w:rPr>
          <w:rFonts w:ascii="Palatino Linotype" w:hAnsi="Palatino Linotype"/>
          <w:sz w:val="24"/>
          <w:szCs w:val="24"/>
        </w:rPr>
        <w:t>timeline proposal.</w:t>
      </w:r>
      <w:r w:rsidRPr="00534D5D" w:rsidR="00B02392">
        <w:rPr>
          <w:rFonts w:ascii="Palatino Linotype" w:hAnsi="Palatino Linotype"/>
          <w:sz w:val="24"/>
          <w:szCs w:val="24"/>
        </w:rPr>
        <w:t xml:space="preserve"> </w:t>
      </w:r>
      <w:r w:rsidRPr="00534D5D" w:rsidR="00B25DAC">
        <w:rPr>
          <w:rFonts w:ascii="Palatino Linotype" w:hAnsi="Palatino Linotype"/>
          <w:sz w:val="24"/>
          <w:szCs w:val="24"/>
        </w:rPr>
        <w:t>Amply</w:t>
      </w:r>
      <w:r w:rsidRPr="00534D5D" w:rsidR="00CF1063">
        <w:rPr>
          <w:rFonts w:ascii="Palatino Linotype" w:hAnsi="Palatino Linotype"/>
          <w:sz w:val="24"/>
          <w:szCs w:val="24"/>
        </w:rPr>
        <w:t xml:space="preserve"> Power</w:t>
      </w:r>
      <w:r w:rsidRPr="00534D5D" w:rsidR="00F171D1">
        <w:rPr>
          <w:rFonts w:ascii="Palatino Linotype" w:hAnsi="Palatino Linotype"/>
          <w:sz w:val="24"/>
          <w:szCs w:val="24"/>
        </w:rPr>
        <w:t xml:space="preserve">, Inc. (Amply) submitted informal comments </w:t>
      </w:r>
      <w:r w:rsidRPr="00534D5D" w:rsidR="00FB22D5">
        <w:rPr>
          <w:rFonts w:ascii="Palatino Linotype" w:hAnsi="Palatino Linotype"/>
          <w:sz w:val="24"/>
          <w:szCs w:val="24"/>
        </w:rPr>
        <w:t>on April 24, 2022</w:t>
      </w:r>
      <w:r w:rsidRPr="00534D5D" w:rsidR="005060F2">
        <w:rPr>
          <w:rFonts w:ascii="Palatino Linotype" w:hAnsi="Palatino Linotype"/>
          <w:sz w:val="24"/>
          <w:szCs w:val="24"/>
        </w:rPr>
        <w:t xml:space="preserve">, while </w:t>
      </w:r>
      <w:r w:rsidRPr="00534D5D" w:rsidR="0086510C">
        <w:rPr>
          <w:rFonts w:ascii="Palatino Linotype" w:hAnsi="Palatino Linotype"/>
          <w:sz w:val="24"/>
          <w:szCs w:val="24"/>
        </w:rPr>
        <w:t>Electrify America (EA)</w:t>
      </w:r>
      <w:r w:rsidRPr="00534D5D" w:rsidR="005060F2">
        <w:rPr>
          <w:rFonts w:ascii="Palatino Linotype" w:hAnsi="Palatino Linotype"/>
          <w:sz w:val="24"/>
          <w:szCs w:val="24"/>
        </w:rPr>
        <w:t xml:space="preserve">, and </w:t>
      </w:r>
      <w:r w:rsidRPr="00534D5D" w:rsidR="00A671E1">
        <w:rPr>
          <w:rFonts w:ascii="Palatino Linotype" w:hAnsi="Palatino Linotype"/>
          <w:sz w:val="24"/>
          <w:szCs w:val="24"/>
        </w:rPr>
        <w:t>Joint EV Industry Parties</w:t>
      </w:r>
      <w:r w:rsidRPr="00534D5D" w:rsidR="00A671E1">
        <w:rPr>
          <w:rStyle w:val="FootnoteReference"/>
          <w:rFonts w:ascii="Palatino Linotype" w:hAnsi="Palatino Linotype"/>
          <w:sz w:val="24"/>
          <w:szCs w:val="24"/>
        </w:rPr>
        <w:footnoteReference w:id="7"/>
      </w:r>
      <w:r w:rsidRPr="00534D5D" w:rsidR="00B25DAC">
        <w:rPr>
          <w:rFonts w:ascii="Palatino Linotype" w:hAnsi="Palatino Linotype"/>
          <w:sz w:val="24"/>
          <w:szCs w:val="24"/>
        </w:rPr>
        <w:t xml:space="preserve"> </w:t>
      </w:r>
      <w:r w:rsidRPr="00534D5D" w:rsidR="00C302D8">
        <w:rPr>
          <w:rFonts w:ascii="Palatino Linotype" w:hAnsi="Palatino Linotype"/>
          <w:sz w:val="24"/>
          <w:szCs w:val="24"/>
        </w:rPr>
        <w:t xml:space="preserve">submitted informal comments on April </w:t>
      </w:r>
      <w:r w:rsidRPr="00534D5D" w:rsidR="00474A5C">
        <w:rPr>
          <w:rFonts w:ascii="Palatino Linotype" w:hAnsi="Palatino Linotype"/>
          <w:sz w:val="24"/>
          <w:szCs w:val="24"/>
        </w:rPr>
        <w:t xml:space="preserve">28, 2022. </w:t>
      </w:r>
      <w:r w:rsidRPr="00534D5D" w:rsidR="007B1234">
        <w:rPr>
          <w:rFonts w:ascii="Palatino Linotype" w:hAnsi="Palatino Linotype"/>
          <w:sz w:val="24"/>
          <w:szCs w:val="24"/>
        </w:rPr>
        <w:t xml:space="preserve">On May 27, 2022, </w:t>
      </w:r>
      <w:r w:rsidRPr="00534D5D" w:rsidR="00FE3510">
        <w:rPr>
          <w:rFonts w:ascii="Palatino Linotype" w:hAnsi="Palatino Linotype"/>
          <w:sz w:val="24"/>
          <w:szCs w:val="24"/>
        </w:rPr>
        <w:t>SDG&amp;E submitted</w:t>
      </w:r>
      <w:r w:rsidRPr="00534D5D" w:rsidR="008301A3">
        <w:rPr>
          <w:rFonts w:ascii="Palatino Linotype" w:hAnsi="Palatino Linotype"/>
          <w:sz w:val="24"/>
          <w:szCs w:val="24"/>
        </w:rPr>
        <w:t xml:space="preserve"> </w:t>
      </w:r>
      <w:r w:rsidRPr="00534D5D" w:rsidR="00E06FC5">
        <w:rPr>
          <w:rFonts w:ascii="Palatino Linotype" w:hAnsi="Palatino Linotype"/>
          <w:sz w:val="24"/>
          <w:szCs w:val="24"/>
        </w:rPr>
        <w:t xml:space="preserve">the </w:t>
      </w:r>
      <w:r w:rsidRPr="00534D5D" w:rsidR="003A08FB">
        <w:rPr>
          <w:rFonts w:ascii="Palatino Linotype" w:hAnsi="Palatino Linotype"/>
          <w:sz w:val="24"/>
          <w:szCs w:val="24"/>
        </w:rPr>
        <w:t xml:space="preserve">joint </w:t>
      </w:r>
      <w:r w:rsidRPr="00534D5D" w:rsidR="007A6C13">
        <w:rPr>
          <w:rFonts w:ascii="Palatino Linotype" w:hAnsi="Palatino Linotype"/>
          <w:sz w:val="24"/>
          <w:szCs w:val="24"/>
        </w:rPr>
        <w:t xml:space="preserve">T2 </w:t>
      </w:r>
      <w:r w:rsidRPr="00534D5D" w:rsidR="0099468F">
        <w:rPr>
          <w:rFonts w:ascii="Palatino Linotype" w:hAnsi="Palatino Linotype"/>
          <w:sz w:val="24"/>
          <w:szCs w:val="24"/>
        </w:rPr>
        <w:t xml:space="preserve">AL 4011-E, </w:t>
      </w:r>
      <w:r w:rsidRPr="00534D5D" w:rsidR="00E06FC5">
        <w:rPr>
          <w:rFonts w:ascii="Palatino Linotype" w:hAnsi="Palatino Linotype"/>
          <w:sz w:val="24"/>
          <w:szCs w:val="24"/>
        </w:rPr>
        <w:t xml:space="preserve">consisting of </w:t>
      </w:r>
      <w:r w:rsidRPr="00534D5D" w:rsidR="0099468F">
        <w:rPr>
          <w:rFonts w:ascii="Palatino Linotype" w:hAnsi="Palatino Linotype"/>
          <w:sz w:val="24"/>
          <w:szCs w:val="24"/>
        </w:rPr>
        <w:t xml:space="preserve">BVES AL 444-E, Liberty Utilities </w:t>
      </w:r>
      <w:r w:rsidRPr="00534D5D" w:rsidR="00D362BD">
        <w:rPr>
          <w:rFonts w:ascii="Palatino Linotype" w:hAnsi="Palatino Linotype"/>
          <w:sz w:val="24"/>
          <w:szCs w:val="24"/>
        </w:rPr>
        <w:t xml:space="preserve">AL </w:t>
      </w:r>
      <w:r w:rsidRPr="00534D5D" w:rsidR="0099468F">
        <w:rPr>
          <w:rFonts w:ascii="Palatino Linotype" w:hAnsi="Palatino Linotype"/>
          <w:sz w:val="24"/>
          <w:szCs w:val="24"/>
        </w:rPr>
        <w:t xml:space="preserve">192-E, PG&amp;E </w:t>
      </w:r>
      <w:r w:rsidRPr="00534D5D" w:rsidR="00F6480D">
        <w:rPr>
          <w:rFonts w:ascii="Palatino Linotype" w:hAnsi="Palatino Linotype"/>
          <w:sz w:val="24"/>
          <w:szCs w:val="24"/>
        </w:rPr>
        <w:t xml:space="preserve">AL </w:t>
      </w:r>
      <w:r w:rsidRPr="00534D5D" w:rsidR="0099468F">
        <w:rPr>
          <w:rFonts w:ascii="Palatino Linotype" w:hAnsi="Palatino Linotype"/>
          <w:sz w:val="24"/>
          <w:szCs w:val="24"/>
        </w:rPr>
        <w:t xml:space="preserve">6607-E, PacifiCorp AL 685-E, and SCE </w:t>
      </w:r>
      <w:r w:rsidRPr="00534D5D" w:rsidR="00F6480D">
        <w:rPr>
          <w:rFonts w:ascii="Palatino Linotype" w:hAnsi="Palatino Linotype"/>
          <w:sz w:val="24"/>
          <w:szCs w:val="24"/>
        </w:rPr>
        <w:t xml:space="preserve">AL </w:t>
      </w:r>
      <w:r w:rsidRPr="00534D5D" w:rsidR="0099468F">
        <w:rPr>
          <w:rFonts w:ascii="Palatino Linotype" w:hAnsi="Palatino Linotype"/>
          <w:sz w:val="24"/>
          <w:szCs w:val="24"/>
        </w:rPr>
        <w:t xml:space="preserve">4803-E, to </w:t>
      </w:r>
      <w:r w:rsidRPr="00534D5D" w:rsidR="00FE3510">
        <w:rPr>
          <w:rFonts w:ascii="Palatino Linotype" w:hAnsi="Palatino Linotype"/>
          <w:sz w:val="24"/>
          <w:szCs w:val="24"/>
        </w:rPr>
        <w:t>propos</w:t>
      </w:r>
      <w:r w:rsidRPr="00534D5D" w:rsidR="0099468F">
        <w:rPr>
          <w:rFonts w:ascii="Palatino Linotype" w:hAnsi="Palatino Linotype"/>
          <w:sz w:val="24"/>
          <w:szCs w:val="24"/>
        </w:rPr>
        <w:t>e</w:t>
      </w:r>
      <w:r w:rsidRPr="00534D5D" w:rsidR="00FE3510">
        <w:rPr>
          <w:rFonts w:ascii="Palatino Linotype" w:hAnsi="Palatino Linotype"/>
          <w:sz w:val="24"/>
          <w:szCs w:val="24"/>
        </w:rPr>
        <w:t xml:space="preserve"> an average EV service energization timeline. </w:t>
      </w:r>
    </w:p>
    <w:p w:rsidRPr="00534D5D" w:rsidR="00221694" w:rsidP="00640403" w:rsidRDefault="00AD3BB0" w14:paraId="6C18ADA7" w14:textId="22B21E69">
      <w:pPr>
        <w:rPr>
          <w:rFonts w:ascii="Palatino Linotype" w:hAnsi="Palatino Linotype"/>
          <w:sz w:val="24"/>
          <w:szCs w:val="24"/>
        </w:rPr>
      </w:pPr>
      <w:r w:rsidRPr="00534D5D">
        <w:rPr>
          <w:rFonts w:ascii="Palatino Linotype" w:hAnsi="Palatino Linotype"/>
          <w:sz w:val="24"/>
          <w:szCs w:val="24"/>
        </w:rPr>
        <w:t xml:space="preserve">The Joint IOUs’ AL </w:t>
      </w:r>
      <w:r w:rsidRPr="00534D5D" w:rsidR="00451B32">
        <w:rPr>
          <w:rFonts w:ascii="Palatino Linotype" w:hAnsi="Palatino Linotype"/>
          <w:sz w:val="24"/>
          <w:szCs w:val="24"/>
        </w:rPr>
        <w:t>proposes to establish a 160-business day average service energization timeline f</w:t>
      </w:r>
      <w:r w:rsidRPr="00534D5D" w:rsidR="00CD4F51">
        <w:rPr>
          <w:rFonts w:ascii="Palatino Linotype" w:hAnsi="Palatino Linotype"/>
          <w:sz w:val="24"/>
          <w:szCs w:val="24"/>
        </w:rPr>
        <w:t xml:space="preserve">or steps that are fully within the IOUs’ direct control. </w:t>
      </w:r>
      <w:r w:rsidRPr="00534D5D" w:rsidR="00AE01BB">
        <w:rPr>
          <w:rFonts w:ascii="Palatino Linotype" w:hAnsi="Palatino Linotype"/>
          <w:sz w:val="24"/>
          <w:szCs w:val="24"/>
        </w:rPr>
        <w:t xml:space="preserve">The Joint </w:t>
      </w:r>
      <w:r w:rsidRPr="00534D5D" w:rsidR="00AE01BB">
        <w:rPr>
          <w:rFonts w:ascii="Palatino Linotype" w:hAnsi="Palatino Linotype"/>
          <w:sz w:val="24"/>
          <w:szCs w:val="24"/>
        </w:rPr>
        <w:lastRenderedPageBreak/>
        <w:t xml:space="preserve">IOUs request to limit the average service </w:t>
      </w:r>
      <w:r w:rsidRPr="00534D5D" w:rsidR="003C4EAB">
        <w:rPr>
          <w:rFonts w:ascii="Palatino Linotype" w:hAnsi="Palatino Linotype"/>
          <w:sz w:val="24"/>
          <w:szCs w:val="24"/>
        </w:rPr>
        <w:t>energization</w:t>
      </w:r>
      <w:r w:rsidRPr="00534D5D" w:rsidR="00AE01BB">
        <w:rPr>
          <w:rFonts w:ascii="Palatino Linotype" w:hAnsi="Palatino Linotype"/>
          <w:sz w:val="24"/>
          <w:szCs w:val="24"/>
        </w:rPr>
        <w:t xml:space="preserve"> timeline only </w:t>
      </w:r>
      <w:r w:rsidRPr="00534D5D" w:rsidR="003C4EAB">
        <w:rPr>
          <w:rFonts w:ascii="Palatino Linotype" w:hAnsi="Palatino Linotype"/>
          <w:sz w:val="24"/>
          <w:szCs w:val="24"/>
        </w:rPr>
        <w:t>to projects going through their EV Infrastructure Rules</w:t>
      </w:r>
      <w:r w:rsidRPr="00534D5D" w:rsidR="000A12D9">
        <w:rPr>
          <w:rFonts w:ascii="Palatino Linotype" w:hAnsi="Palatino Linotype"/>
          <w:sz w:val="24"/>
          <w:szCs w:val="24"/>
        </w:rPr>
        <w:t xml:space="preserve">, while excluding </w:t>
      </w:r>
      <w:r w:rsidRPr="00534D5D" w:rsidR="00F81740">
        <w:rPr>
          <w:rFonts w:ascii="Palatino Linotype" w:hAnsi="Palatino Linotype"/>
          <w:sz w:val="24"/>
          <w:szCs w:val="24"/>
        </w:rPr>
        <w:t>projects needing distribution line extensions or capacity upgrades.</w:t>
      </w:r>
      <w:r w:rsidRPr="00534D5D" w:rsidR="00C876F5">
        <w:rPr>
          <w:rFonts w:ascii="Palatino Linotype" w:hAnsi="Palatino Linotype"/>
          <w:sz w:val="24"/>
          <w:szCs w:val="24"/>
        </w:rPr>
        <w:t xml:space="preserve"> The Joint IOUs als</w:t>
      </w:r>
      <w:r w:rsidRPr="00534D5D" w:rsidR="007757EE">
        <w:rPr>
          <w:rFonts w:ascii="Palatino Linotype" w:hAnsi="Palatino Linotype"/>
          <w:sz w:val="24"/>
          <w:szCs w:val="24"/>
        </w:rPr>
        <w:t xml:space="preserve">o list </w:t>
      </w:r>
      <w:proofErr w:type="gramStart"/>
      <w:r w:rsidRPr="00534D5D" w:rsidR="007757EE">
        <w:rPr>
          <w:rFonts w:ascii="Palatino Linotype" w:hAnsi="Palatino Linotype"/>
          <w:sz w:val="24"/>
          <w:szCs w:val="24"/>
        </w:rPr>
        <w:t>a number of</w:t>
      </w:r>
      <w:proofErr w:type="gramEnd"/>
      <w:r w:rsidRPr="00534D5D" w:rsidR="007757EE">
        <w:rPr>
          <w:rFonts w:ascii="Palatino Linotype" w:hAnsi="Palatino Linotype"/>
          <w:sz w:val="24"/>
          <w:szCs w:val="24"/>
        </w:rPr>
        <w:t xml:space="preserve"> steps they are committed to pursuing to make ongoing improvements to the energization timeline for customers</w:t>
      </w:r>
      <w:r w:rsidRPr="00534D5D" w:rsidR="00941BEA">
        <w:rPr>
          <w:rFonts w:ascii="Palatino Linotype" w:hAnsi="Palatino Linotype"/>
          <w:sz w:val="24"/>
          <w:szCs w:val="24"/>
        </w:rPr>
        <w:t xml:space="preserve">, for steps that are both, within and outside of their direct control. </w:t>
      </w:r>
      <w:r w:rsidRPr="00534D5D" w:rsidR="00CF4E72">
        <w:rPr>
          <w:rFonts w:ascii="Palatino Linotype" w:hAnsi="Palatino Linotype"/>
          <w:sz w:val="24"/>
          <w:szCs w:val="24"/>
        </w:rPr>
        <w:t>Finally, the Joint IOU</w:t>
      </w:r>
      <w:r w:rsidRPr="00534D5D" w:rsidR="007D68E9">
        <w:rPr>
          <w:rFonts w:ascii="Palatino Linotype" w:hAnsi="Palatino Linotype"/>
          <w:sz w:val="24"/>
          <w:szCs w:val="24"/>
        </w:rPr>
        <w:t>s’</w:t>
      </w:r>
      <w:r w:rsidRPr="00534D5D" w:rsidR="00CF4E72">
        <w:rPr>
          <w:rFonts w:ascii="Palatino Linotype" w:hAnsi="Palatino Linotype"/>
          <w:sz w:val="24"/>
          <w:szCs w:val="24"/>
        </w:rPr>
        <w:t xml:space="preserve"> AL </w:t>
      </w:r>
      <w:r w:rsidRPr="00534D5D" w:rsidR="00981D88">
        <w:rPr>
          <w:rFonts w:ascii="Palatino Linotype" w:hAnsi="Palatino Linotype"/>
          <w:sz w:val="24"/>
          <w:szCs w:val="24"/>
        </w:rPr>
        <w:t>discusses why they found some stakeholder feedback to be in</w:t>
      </w:r>
      <w:r w:rsidRPr="00534D5D" w:rsidR="009324B3">
        <w:rPr>
          <w:rFonts w:ascii="Palatino Linotype" w:hAnsi="Palatino Linotype"/>
          <w:sz w:val="24"/>
          <w:szCs w:val="24"/>
        </w:rPr>
        <w:t>f</w:t>
      </w:r>
      <w:r w:rsidRPr="00534D5D" w:rsidR="00981D88">
        <w:rPr>
          <w:rFonts w:ascii="Palatino Linotype" w:hAnsi="Palatino Linotype"/>
          <w:sz w:val="24"/>
          <w:szCs w:val="24"/>
        </w:rPr>
        <w:t>easible</w:t>
      </w:r>
      <w:r w:rsidRPr="00534D5D" w:rsidR="007D68E9">
        <w:rPr>
          <w:rFonts w:ascii="Palatino Linotype" w:hAnsi="Palatino Linotype"/>
          <w:sz w:val="24"/>
          <w:szCs w:val="24"/>
        </w:rPr>
        <w:t xml:space="preserve"> to implement</w:t>
      </w:r>
      <w:r w:rsidRPr="00534D5D" w:rsidR="00981D88">
        <w:rPr>
          <w:rFonts w:ascii="Palatino Linotype" w:hAnsi="Palatino Linotype"/>
          <w:sz w:val="24"/>
          <w:szCs w:val="24"/>
        </w:rPr>
        <w:t xml:space="preserve">. </w:t>
      </w:r>
    </w:p>
    <w:p w:rsidRPr="00534D5D" w:rsidR="00221694" w:rsidP="00640403" w:rsidRDefault="00ED7890" w14:paraId="676B8CCD" w14:textId="4BDD02EB">
      <w:pPr>
        <w:rPr>
          <w:rFonts w:ascii="Palatino Linotype" w:hAnsi="Palatino Linotype"/>
          <w:sz w:val="24"/>
          <w:szCs w:val="24"/>
        </w:rPr>
      </w:pPr>
      <w:r w:rsidRPr="00534D5D">
        <w:rPr>
          <w:rFonts w:ascii="Palatino Linotype" w:hAnsi="Palatino Linotype"/>
          <w:i/>
          <w:iCs/>
          <w:sz w:val="24"/>
          <w:szCs w:val="24"/>
          <w:u w:val="single"/>
        </w:rPr>
        <w:t xml:space="preserve">Propose a numerical target for average energization timing between when a customer </w:t>
      </w:r>
      <w:proofErr w:type="gramStart"/>
      <w:r w:rsidRPr="00534D5D">
        <w:rPr>
          <w:rFonts w:ascii="Palatino Linotype" w:hAnsi="Palatino Linotype"/>
          <w:i/>
          <w:iCs/>
          <w:sz w:val="24"/>
          <w:szCs w:val="24"/>
          <w:u w:val="single"/>
        </w:rPr>
        <w:t>submits an application</w:t>
      </w:r>
      <w:proofErr w:type="gramEnd"/>
      <w:r w:rsidRPr="00534D5D">
        <w:rPr>
          <w:rFonts w:ascii="Palatino Linotype" w:hAnsi="Palatino Linotype"/>
          <w:i/>
          <w:iCs/>
          <w:sz w:val="24"/>
          <w:szCs w:val="24"/>
          <w:u w:val="single"/>
        </w:rPr>
        <w:t xml:space="preserve"> and when their site is energized, between an average of 90 and 160 days</w:t>
      </w:r>
    </w:p>
    <w:p w:rsidRPr="00534D5D" w:rsidR="0017045C" w:rsidP="0017045C" w:rsidRDefault="0017045C" w14:paraId="39D9E292" w14:textId="7562E9BB">
      <w:pPr>
        <w:rPr>
          <w:rFonts w:ascii="Palatino Linotype" w:hAnsi="Palatino Linotype"/>
          <w:sz w:val="24"/>
          <w:szCs w:val="24"/>
        </w:rPr>
      </w:pPr>
      <w:r w:rsidRPr="00534D5D">
        <w:rPr>
          <w:rFonts w:ascii="Palatino Linotype" w:hAnsi="Palatino Linotype"/>
          <w:sz w:val="24"/>
          <w:szCs w:val="24"/>
        </w:rPr>
        <w:t>The Joint IOUs propose that sites constructed under the EV Infrastructure Rules meet an average service energization target of 160</w:t>
      </w:r>
      <w:r w:rsidRPr="00534D5D" w:rsidR="00C4098E">
        <w:rPr>
          <w:rFonts w:ascii="Palatino Linotype" w:hAnsi="Palatino Linotype"/>
          <w:sz w:val="24"/>
          <w:szCs w:val="24"/>
        </w:rPr>
        <w:t>-</w:t>
      </w:r>
      <w:r w:rsidRPr="00534D5D">
        <w:rPr>
          <w:rFonts w:ascii="Palatino Linotype" w:hAnsi="Palatino Linotype"/>
          <w:sz w:val="24"/>
          <w:szCs w:val="24"/>
        </w:rPr>
        <w:t>business days. The proposed 160</w:t>
      </w:r>
      <w:r w:rsidRPr="00534D5D" w:rsidR="00C4098E">
        <w:rPr>
          <w:rFonts w:ascii="Palatino Linotype" w:hAnsi="Palatino Linotype"/>
          <w:sz w:val="24"/>
          <w:szCs w:val="24"/>
        </w:rPr>
        <w:t>-</w:t>
      </w:r>
      <w:r w:rsidRPr="00534D5D">
        <w:rPr>
          <w:rFonts w:ascii="Palatino Linotype" w:hAnsi="Palatino Linotype"/>
          <w:sz w:val="24"/>
          <w:szCs w:val="24"/>
        </w:rPr>
        <w:t>business day average includes steps in the EV Infrastructure Rules energization lifecycle that are in the direct control of the IOUs, such as civil construction work, but excludes steps outside the IOUs direct control, such as distribution system work, including work conducted under Rule 15</w:t>
      </w:r>
      <w:r w:rsidRPr="00534D5D" w:rsidR="002F2382">
        <w:rPr>
          <w:rFonts w:ascii="Palatino Linotype" w:hAnsi="Palatino Linotype"/>
          <w:sz w:val="24"/>
          <w:szCs w:val="24"/>
        </w:rPr>
        <w:t xml:space="preserve">, </w:t>
      </w:r>
      <w:r w:rsidRPr="00534D5D">
        <w:rPr>
          <w:rFonts w:ascii="Palatino Linotype" w:hAnsi="Palatino Linotype"/>
          <w:sz w:val="24"/>
          <w:szCs w:val="24"/>
        </w:rPr>
        <w:t xml:space="preserve">substation upgrades, and permitting review process. </w:t>
      </w:r>
    </w:p>
    <w:p w:rsidRPr="00534D5D" w:rsidR="0017045C" w:rsidP="0017045C" w:rsidRDefault="0017045C" w14:paraId="76D5D8EC" w14:textId="3A193EA8">
      <w:pPr>
        <w:rPr>
          <w:rFonts w:ascii="Palatino Linotype" w:hAnsi="Palatino Linotype"/>
          <w:sz w:val="24"/>
          <w:szCs w:val="24"/>
        </w:rPr>
      </w:pPr>
      <w:r w:rsidRPr="00534D5D">
        <w:rPr>
          <w:rFonts w:ascii="Palatino Linotype" w:hAnsi="Palatino Linotype"/>
          <w:sz w:val="24"/>
          <w:szCs w:val="24"/>
        </w:rPr>
        <w:t xml:space="preserve">As the IOUs’ proposed timeline is an average, they note the actual time required to energize a given site will depend on the unique conditions of that site and the complexity of the project. The Joint IOUs state that some sites will be energized faster than the proposed average timeline and some sites will require a longer timeline. The Joint IOUs additionally clarify the proposed timeline is specific only to work performed under the EV Infrastructure Rules. </w:t>
      </w:r>
    </w:p>
    <w:p w:rsidRPr="00534D5D" w:rsidR="0017045C" w:rsidP="0017045C" w:rsidRDefault="0017045C" w14:paraId="04EFC66E" w14:textId="71E61A6E">
      <w:pPr>
        <w:rPr>
          <w:rFonts w:ascii="Palatino Linotype" w:hAnsi="Palatino Linotype"/>
          <w:sz w:val="24"/>
          <w:szCs w:val="24"/>
        </w:rPr>
      </w:pPr>
      <w:r w:rsidRPr="00534D5D">
        <w:rPr>
          <w:rFonts w:ascii="Palatino Linotype" w:hAnsi="Palatino Linotype"/>
          <w:sz w:val="24"/>
          <w:szCs w:val="24"/>
        </w:rPr>
        <w:t xml:space="preserve">The Joint IOUs note that they will continually evaluate how to improve the EV Infrastructure Rule service </w:t>
      </w:r>
      <w:r w:rsidRPr="00534D5D" w:rsidR="00565349">
        <w:rPr>
          <w:rFonts w:ascii="Palatino Linotype" w:hAnsi="Palatino Linotype"/>
          <w:sz w:val="24"/>
          <w:szCs w:val="24"/>
        </w:rPr>
        <w:t>energization</w:t>
      </w:r>
      <w:r w:rsidRPr="00534D5D" w:rsidR="00B72C8D">
        <w:rPr>
          <w:rFonts w:ascii="Palatino Linotype" w:hAnsi="Palatino Linotype"/>
          <w:sz w:val="24"/>
          <w:szCs w:val="24"/>
        </w:rPr>
        <w:t xml:space="preserve"> </w:t>
      </w:r>
      <w:r w:rsidRPr="00534D5D">
        <w:rPr>
          <w:rFonts w:ascii="Palatino Linotype" w:hAnsi="Palatino Linotype"/>
          <w:sz w:val="24"/>
          <w:szCs w:val="24"/>
        </w:rPr>
        <w:t xml:space="preserve">process and expect that 18 months after the EV Infrastructure Rules are introduced that the Joint IOUs will be able to offer lower average targets. </w:t>
      </w:r>
    </w:p>
    <w:p w:rsidRPr="00534D5D" w:rsidR="0017045C" w:rsidP="0017045C" w:rsidRDefault="00296C27" w14:paraId="7D9C24A0" w14:textId="779B2A45">
      <w:pPr>
        <w:rPr>
          <w:rFonts w:ascii="Palatino Linotype" w:hAnsi="Palatino Linotype"/>
          <w:sz w:val="24"/>
          <w:szCs w:val="24"/>
        </w:rPr>
      </w:pPr>
      <w:r w:rsidRPr="00534D5D">
        <w:rPr>
          <w:rFonts w:ascii="Palatino Linotype" w:hAnsi="Palatino Linotype"/>
          <w:sz w:val="24"/>
          <w:szCs w:val="24"/>
        </w:rPr>
        <w:t xml:space="preserve">The Joint IOUs cite the following reason to support </w:t>
      </w:r>
      <w:r w:rsidRPr="00534D5D" w:rsidR="0017045C">
        <w:rPr>
          <w:rFonts w:ascii="Palatino Linotype" w:hAnsi="Palatino Linotype"/>
          <w:sz w:val="24"/>
          <w:szCs w:val="24"/>
        </w:rPr>
        <w:t xml:space="preserve">the </w:t>
      </w:r>
      <w:r w:rsidRPr="00534D5D">
        <w:rPr>
          <w:rFonts w:ascii="Palatino Linotype" w:hAnsi="Palatino Linotype"/>
          <w:sz w:val="24"/>
          <w:szCs w:val="24"/>
        </w:rPr>
        <w:t xml:space="preserve">proposed </w:t>
      </w:r>
      <w:r w:rsidRPr="00534D5D" w:rsidR="0017045C">
        <w:rPr>
          <w:rFonts w:ascii="Palatino Linotype" w:hAnsi="Palatino Linotype"/>
          <w:sz w:val="24"/>
          <w:szCs w:val="24"/>
        </w:rPr>
        <w:t>160</w:t>
      </w:r>
      <w:r w:rsidRPr="00534D5D" w:rsidR="00565349">
        <w:rPr>
          <w:rFonts w:ascii="Palatino Linotype" w:hAnsi="Palatino Linotype"/>
          <w:sz w:val="24"/>
          <w:szCs w:val="24"/>
        </w:rPr>
        <w:t>-</w:t>
      </w:r>
      <w:r w:rsidRPr="00534D5D" w:rsidR="0017045C">
        <w:rPr>
          <w:rFonts w:ascii="Palatino Linotype" w:hAnsi="Palatino Linotype"/>
          <w:sz w:val="24"/>
          <w:szCs w:val="24"/>
        </w:rPr>
        <w:t>business day average</w:t>
      </w:r>
      <w:r w:rsidRPr="00534D5D">
        <w:rPr>
          <w:rFonts w:ascii="Palatino Linotype" w:hAnsi="Palatino Linotype"/>
          <w:sz w:val="24"/>
          <w:szCs w:val="24"/>
        </w:rPr>
        <w:t xml:space="preserve"> service energization timeline</w:t>
      </w:r>
      <w:r w:rsidRPr="00534D5D" w:rsidR="0017045C">
        <w:rPr>
          <w:rFonts w:ascii="Palatino Linotype" w:hAnsi="Palatino Linotype"/>
          <w:sz w:val="24"/>
          <w:szCs w:val="24"/>
        </w:rPr>
        <w:t>:</w:t>
      </w:r>
    </w:p>
    <w:p w:rsidRPr="00534D5D" w:rsidR="0017045C" w:rsidP="0017045C" w:rsidRDefault="0017045C" w14:paraId="6A3616F1" w14:textId="77777777">
      <w:pPr>
        <w:pStyle w:val="ListParagraph"/>
        <w:numPr>
          <w:ilvl w:val="0"/>
          <w:numId w:val="13"/>
        </w:numPr>
        <w:rPr>
          <w:rFonts w:ascii="Palatino Linotype" w:hAnsi="Palatino Linotype"/>
          <w:b/>
          <w:bCs/>
          <w:sz w:val="24"/>
          <w:szCs w:val="24"/>
        </w:rPr>
      </w:pPr>
      <w:r w:rsidRPr="00534D5D">
        <w:rPr>
          <w:rFonts w:ascii="Palatino Linotype" w:hAnsi="Palatino Linotype"/>
          <w:b/>
          <w:bCs/>
          <w:sz w:val="24"/>
          <w:szCs w:val="24"/>
        </w:rPr>
        <w:t>The addition of civil construction work for EV projects will likely increase the average energization timeline.</w:t>
      </w:r>
    </w:p>
    <w:p w:rsidRPr="00534D5D" w:rsidR="0017045C" w:rsidP="0017045C" w:rsidRDefault="0017045C" w14:paraId="381B0F77" w14:textId="60544DE9">
      <w:pPr>
        <w:rPr>
          <w:rFonts w:ascii="Palatino Linotype" w:hAnsi="Palatino Linotype"/>
          <w:sz w:val="24"/>
          <w:szCs w:val="24"/>
        </w:rPr>
      </w:pPr>
      <w:r w:rsidRPr="00534D5D">
        <w:rPr>
          <w:rFonts w:ascii="Palatino Linotype" w:hAnsi="Palatino Linotype"/>
          <w:sz w:val="24"/>
          <w:szCs w:val="24"/>
        </w:rPr>
        <w:t xml:space="preserve">During the March 31 public workshop, the Joint IOUs identified that their current average timelines for installing EV charging infrastructure under the existing service </w:t>
      </w:r>
      <w:r w:rsidRPr="00534D5D">
        <w:rPr>
          <w:rFonts w:ascii="Palatino Linotype" w:hAnsi="Palatino Linotype"/>
          <w:sz w:val="24"/>
          <w:szCs w:val="24"/>
        </w:rPr>
        <w:lastRenderedPageBreak/>
        <w:t xml:space="preserve">extension </w:t>
      </w:r>
      <w:r w:rsidRPr="00534D5D" w:rsidR="00796A7B">
        <w:rPr>
          <w:rFonts w:ascii="Palatino Linotype" w:hAnsi="Palatino Linotype"/>
          <w:sz w:val="24"/>
          <w:szCs w:val="24"/>
        </w:rPr>
        <w:t>R</w:t>
      </w:r>
      <w:r w:rsidRPr="00534D5D">
        <w:rPr>
          <w:rFonts w:ascii="Palatino Linotype" w:hAnsi="Palatino Linotype"/>
          <w:sz w:val="24"/>
          <w:szCs w:val="24"/>
        </w:rPr>
        <w:t>ules (Rule 16)</w:t>
      </w:r>
      <w:r w:rsidRPr="00534D5D" w:rsidR="005A53BD">
        <w:rPr>
          <w:rStyle w:val="FootnoteReference"/>
          <w:rFonts w:ascii="Palatino Linotype" w:hAnsi="Palatino Linotype"/>
          <w:sz w:val="24"/>
          <w:szCs w:val="24"/>
        </w:rPr>
        <w:footnoteReference w:id="8"/>
      </w:r>
      <w:r w:rsidRPr="00534D5D">
        <w:rPr>
          <w:rFonts w:ascii="Palatino Linotype" w:hAnsi="Palatino Linotype"/>
          <w:sz w:val="24"/>
          <w:szCs w:val="24"/>
        </w:rPr>
        <w:t xml:space="preserve"> generally range from 150 to 155 business days, on average, for steps under the IOUs direct control. </w:t>
      </w:r>
    </w:p>
    <w:p w:rsidRPr="00534D5D" w:rsidR="0017045C" w:rsidP="0017045C" w:rsidRDefault="0017045C" w14:paraId="012D2200" w14:textId="5D6343F1">
      <w:pPr>
        <w:rPr>
          <w:rFonts w:ascii="Palatino Linotype" w:hAnsi="Palatino Linotype"/>
          <w:sz w:val="24"/>
          <w:szCs w:val="24"/>
        </w:rPr>
      </w:pPr>
      <w:r w:rsidRPr="00534D5D">
        <w:rPr>
          <w:rFonts w:ascii="Palatino Linotype" w:hAnsi="Palatino Linotype"/>
          <w:sz w:val="24"/>
          <w:szCs w:val="24"/>
        </w:rPr>
        <w:t>Under Rule 16,</w:t>
      </w:r>
      <w:r w:rsidRPr="00534D5D" w:rsidR="008202FB">
        <w:rPr>
          <w:rFonts w:ascii="Palatino Linotype" w:hAnsi="Palatino Linotype"/>
          <w:sz w:val="24"/>
          <w:szCs w:val="24"/>
        </w:rPr>
        <w:t xml:space="preserve"> the responsibility of</w:t>
      </w:r>
      <w:r w:rsidRPr="00534D5D">
        <w:rPr>
          <w:rFonts w:ascii="Palatino Linotype" w:hAnsi="Palatino Linotype"/>
          <w:sz w:val="24"/>
          <w:szCs w:val="24"/>
        </w:rPr>
        <w:t xml:space="preserve"> civil construction work, which includes excavation, conduit, and substructures, are assigned to the customer. The EV Infrastructure Rules assign all civil construction work</w:t>
      </w:r>
      <w:r w:rsidRPr="00534D5D" w:rsidR="00E9352E">
        <w:rPr>
          <w:rFonts w:ascii="Palatino Linotype" w:hAnsi="Palatino Linotype"/>
          <w:sz w:val="24"/>
          <w:szCs w:val="24"/>
        </w:rPr>
        <w:t>,</w:t>
      </w:r>
      <w:r w:rsidRPr="00534D5D">
        <w:rPr>
          <w:rFonts w:ascii="Palatino Linotype" w:hAnsi="Palatino Linotype"/>
          <w:sz w:val="24"/>
          <w:szCs w:val="24"/>
        </w:rPr>
        <w:t xml:space="preserve"> </w:t>
      </w:r>
      <w:r w:rsidRPr="00534D5D" w:rsidR="00E9352E">
        <w:rPr>
          <w:rFonts w:ascii="Palatino Linotype" w:hAnsi="Palatino Linotype"/>
          <w:sz w:val="24"/>
          <w:szCs w:val="24"/>
        </w:rPr>
        <w:t xml:space="preserve">in </w:t>
      </w:r>
      <w:r w:rsidRPr="00534D5D">
        <w:rPr>
          <w:rFonts w:ascii="Palatino Linotype" w:hAnsi="Palatino Linotype"/>
          <w:sz w:val="24"/>
          <w:szCs w:val="24"/>
        </w:rPr>
        <w:t>the definition of electric distribution infrastructure</w:t>
      </w:r>
      <w:r w:rsidRPr="00534D5D" w:rsidR="006D5A3D">
        <w:rPr>
          <w:rStyle w:val="FootnoteReference"/>
          <w:rFonts w:ascii="Palatino Linotype" w:hAnsi="Palatino Linotype"/>
          <w:sz w:val="24"/>
          <w:szCs w:val="24"/>
        </w:rPr>
        <w:footnoteReference w:id="9"/>
      </w:r>
      <w:r w:rsidRPr="00534D5D">
        <w:rPr>
          <w:rFonts w:ascii="Palatino Linotype" w:hAnsi="Palatino Linotype"/>
          <w:sz w:val="24"/>
          <w:szCs w:val="24"/>
        </w:rPr>
        <w:t xml:space="preserve"> work</w:t>
      </w:r>
      <w:r w:rsidRPr="00534D5D" w:rsidR="00E9352E">
        <w:rPr>
          <w:rFonts w:ascii="Palatino Linotype" w:hAnsi="Palatino Linotype"/>
          <w:sz w:val="24"/>
          <w:szCs w:val="24"/>
        </w:rPr>
        <w:t>,</w:t>
      </w:r>
      <w:r w:rsidRPr="00534D5D">
        <w:rPr>
          <w:rFonts w:ascii="Palatino Linotype" w:hAnsi="Palatino Linotype"/>
          <w:sz w:val="24"/>
          <w:szCs w:val="24"/>
        </w:rPr>
        <w:t xml:space="preserve"> under the </w:t>
      </w:r>
      <w:r w:rsidRPr="00534D5D" w:rsidR="006648D3">
        <w:rPr>
          <w:rFonts w:ascii="Palatino Linotype" w:hAnsi="Palatino Linotype"/>
          <w:sz w:val="24"/>
          <w:szCs w:val="24"/>
        </w:rPr>
        <w:t>IOUs’</w:t>
      </w:r>
      <w:r w:rsidRPr="00534D5D">
        <w:rPr>
          <w:rFonts w:ascii="Palatino Linotype" w:hAnsi="Palatino Linotype"/>
          <w:sz w:val="24"/>
          <w:szCs w:val="24"/>
        </w:rPr>
        <w:t xml:space="preserve"> responsibility. The Joint IOUs assert this is a signification change in responsibility as civil construction work can be complex and could increase the baseline energization timeline average by 25</w:t>
      </w:r>
      <w:r w:rsidRPr="00534D5D" w:rsidR="002B7E91">
        <w:rPr>
          <w:rFonts w:ascii="Palatino Linotype" w:hAnsi="Palatino Linotype"/>
          <w:sz w:val="24"/>
          <w:szCs w:val="24"/>
        </w:rPr>
        <w:t xml:space="preserve"> to </w:t>
      </w:r>
      <w:r w:rsidRPr="00534D5D">
        <w:rPr>
          <w:rFonts w:ascii="Palatino Linotype" w:hAnsi="Palatino Linotype"/>
          <w:sz w:val="24"/>
          <w:szCs w:val="24"/>
        </w:rPr>
        <w:t xml:space="preserve">35 business days, or from the current 150 to 155 business day average to 175 to 180 business days.  </w:t>
      </w:r>
    </w:p>
    <w:p w:rsidRPr="00534D5D" w:rsidR="0017045C" w:rsidP="0017045C" w:rsidRDefault="0017045C" w14:paraId="3B7DFE57" w14:textId="246686CB">
      <w:pPr>
        <w:pStyle w:val="ListParagraph"/>
        <w:numPr>
          <w:ilvl w:val="0"/>
          <w:numId w:val="13"/>
        </w:numPr>
        <w:rPr>
          <w:rFonts w:ascii="Palatino Linotype" w:hAnsi="Palatino Linotype"/>
          <w:b/>
          <w:bCs/>
          <w:sz w:val="24"/>
          <w:szCs w:val="24"/>
        </w:rPr>
      </w:pPr>
      <w:r w:rsidRPr="00534D5D">
        <w:rPr>
          <w:rFonts w:ascii="Palatino Linotype" w:hAnsi="Palatino Linotype"/>
          <w:b/>
          <w:bCs/>
          <w:sz w:val="24"/>
          <w:szCs w:val="24"/>
        </w:rPr>
        <w:t xml:space="preserve">The </w:t>
      </w:r>
      <w:r w:rsidRPr="00534D5D" w:rsidR="009545F3">
        <w:rPr>
          <w:rFonts w:ascii="Palatino Linotype" w:hAnsi="Palatino Linotype"/>
          <w:b/>
          <w:bCs/>
          <w:sz w:val="24"/>
          <w:szCs w:val="24"/>
        </w:rPr>
        <w:t xml:space="preserve">IOUs </w:t>
      </w:r>
      <w:r w:rsidRPr="00534D5D">
        <w:rPr>
          <w:rFonts w:ascii="Palatino Linotype" w:hAnsi="Palatino Linotype"/>
          <w:b/>
          <w:bCs/>
          <w:sz w:val="24"/>
          <w:szCs w:val="24"/>
        </w:rPr>
        <w:t xml:space="preserve">will need time to implement processes proposed to help expedite the </w:t>
      </w:r>
      <w:r w:rsidRPr="00534D5D" w:rsidR="00AC14AD">
        <w:rPr>
          <w:rFonts w:ascii="Palatino Linotype" w:hAnsi="Palatino Linotype"/>
          <w:b/>
          <w:bCs/>
          <w:sz w:val="24"/>
          <w:szCs w:val="24"/>
        </w:rPr>
        <w:t xml:space="preserve">service </w:t>
      </w:r>
      <w:r w:rsidRPr="00534D5D">
        <w:rPr>
          <w:rFonts w:ascii="Palatino Linotype" w:hAnsi="Palatino Linotype"/>
          <w:b/>
          <w:bCs/>
          <w:sz w:val="24"/>
          <w:szCs w:val="24"/>
        </w:rPr>
        <w:t>energization timeline</w:t>
      </w:r>
    </w:p>
    <w:p w:rsidRPr="00534D5D" w:rsidR="0017045C" w:rsidP="0017045C" w:rsidRDefault="0017045C" w14:paraId="6B932D1D" w14:textId="266F225C">
      <w:pPr>
        <w:rPr>
          <w:rFonts w:ascii="Palatino Linotype" w:hAnsi="Palatino Linotype"/>
          <w:sz w:val="24"/>
          <w:szCs w:val="24"/>
        </w:rPr>
      </w:pPr>
      <w:r w:rsidRPr="00534D5D">
        <w:rPr>
          <w:rFonts w:ascii="Palatino Linotype" w:hAnsi="Palatino Linotype"/>
          <w:sz w:val="24"/>
          <w:szCs w:val="24"/>
        </w:rPr>
        <w:t xml:space="preserve">The Joint IOUs state they are currently working to implement the processes to manage EV Infrastructure Rule </w:t>
      </w:r>
      <w:r w:rsidRPr="00534D5D" w:rsidR="00811791">
        <w:rPr>
          <w:rFonts w:ascii="Palatino Linotype" w:hAnsi="Palatino Linotype"/>
          <w:sz w:val="24"/>
          <w:szCs w:val="24"/>
        </w:rPr>
        <w:t>projects</w:t>
      </w:r>
      <w:r w:rsidRPr="00534D5D">
        <w:rPr>
          <w:rFonts w:ascii="Palatino Linotype" w:hAnsi="Palatino Linotype"/>
          <w:sz w:val="24"/>
          <w:szCs w:val="24"/>
        </w:rPr>
        <w:t>. Some IOUs are planning to devote dedicated internal or third-party resources for EV Infrastructure Rule projects, and ramping up these teams will require time, as will fully developing EV Infrastructure Rule processes and procedures. The Joint IOUs claim more time is required to develop these teams, which may initially raise the average timeline for EV Infrastructure Rule projects. They argue the proposed 160</w:t>
      </w:r>
      <w:r w:rsidRPr="00534D5D" w:rsidR="000E4735">
        <w:rPr>
          <w:rFonts w:ascii="Palatino Linotype" w:hAnsi="Palatino Linotype"/>
          <w:sz w:val="24"/>
          <w:szCs w:val="24"/>
        </w:rPr>
        <w:t>-</w:t>
      </w:r>
      <w:r w:rsidRPr="00534D5D">
        <w:rPr>
          <w:rFonts w:ascii="Palatino Linotype" w:hAnsi="Palatino Linotype"/>
          <w:sz w:val="24"/>
          <w:szCs w:val="24"/>
        </w:rPr>
        <w:t xml:space="preserve">business day average target will </w:t>
      </w:r>
      <w:r w:rsidRPr="00534D5D" w:rsidR="00E967C1">
        <w:rPr>
          <w:rFonts w:ascii="Palatino Linotype" w:hAnsi="Palatino Linotype"/>
          <w:sz w:val="24"/>
          <w:szCs w:val="24"/>
        </w:rPr>
        <w:t>provide</w:t>
      </w:r>
      <w:r w:rsidRPr="00534D5D">
        <w:rPr>
          <w:rFonts w:ascii="Palatino Linotype" w:hAnsi="Palatino Linotype"/>
          <w:sz w:val="24"/>
          <w:szCs w:val="24"/>
        </w:rPr>
        <w:t xml:space="preserve"> the IOUs the time required to develop these processes while still complying with a consistent average </w:t>
      </w:r>
      <w:r w:rsidRPr="00534D5D" w:rsidR="00E967C1">
        <w:rPr>
          <w:rFonts w:ascii="Palatino Linotype" w:hAnsi="Palatino Linotype"/>
          <w:sz w:val="24"/>
          <w:szCs w:val="24"/>
        </w:rPr>
        <w:t xml:space="preserve">service energization </w:t>
      </w:r>
      <w:r w:rsidRPr="00534D5D">
        <w:rPr>
          <w:rFonts w:ascii="Palatino Linotype" w:hAnsi="Palatino Linotype"/>
          <w:sz w:val="24"/>
          <w:szCs w:val="24"/>
        </w:rPr>
        <w:t>target for EV Infrastructure Rule work.</w:t>
      </w:r>
    </w:p>
    <w:p w:rsidRPr="00534D5D" w:rsidR="0017045C" w:rsidP="0017045C" w:rsidRDefault="0017045C" w14:paraId="0836B137" w14:textId="77777777">
      <w:pPr>
        <w:pStyle w:val="ListParagraph"/>
        <w:numPr>
          <w:ilvl w:val="0"/>
          <w:numId w:val="13"/>
        </w:numPr>
        <w:rPr>
          <w:rFonts w:ascii="Palatino Linotype" w:hAnsi="Palatino Linotype"/>
          <w:b/>
          <w:bCs/>
          <w:sz w:val="24"/>
          <w:szCs w:val="24"/>
        </w:rPr>
      </w:pPr>
      <w:r w:rsidRPr="00534D5D">
        <w:rPr>
          <w:rFonts w:ascii="Palatino Linotype" w:hAnsi="Palatino Linotype"/>
          <w:b/>
          <w:bCs/>
          <w:sz w:val="24"/>
          <w:szCs w:val="24"/>
        </w:rPr>
        <w:t xml:space="preserve">The current EV market does not produce a predictable volume of “construction-ready” work to justify a more aggressive timeline. </w:t>
      </w:r>
    </w:p>
    <w:p w:rsidRPr="00534D5D" w:rsidR="0017045C" w:rsidP="0017045C" w:rsidRDefault="0017045C" w14:paraId="3539523D" w14:textId="0C78639C">
      <w:pPr>
        <w:rPr>
          <w:rFonts w:ascii="Palatino Linotype" w:hAnsi="Palatino Linotype"/>
          <w:sz w:val="24"/>
          <w:szCs w:val="24"/>
        </w:rPr>
      </w:pPr>
      <w:r w:rsidRPr="00534D5D">
        <w:rPr>
          <w:rFonts w:ascii="Palatino Linotype" w:hAnsi="Palatino Linotype"/>
          <w:sz w:val="24"/>
          <w:szCs w:val="24"/>
        </w:rPr>
        <w:t xml:space="preserve">The Joint IOUs assert that construction can only begin on an EV Infrastructure Rule job that is deemed “construction ready,” which </w:t>
      </w:r>
      <w:r w:rsidRPr="00534D5D" w:rsidR="00A61EAE">
        <w:rPr>
          <w:rFonts w:ascii="Palatino Linotype" w:hAnsi="Palatino Linotype"/>
          <w:sz w:val="24"/>
          <w:szCs w:val="24"/>
        </w:rPr>
        <w:t>they</w:t>
      </w:r>
      <w:r w:rsidRPr="00534D5D">
        <w:rPr>
          <w:rFonts w:ascii="Palatino Linotype" w:hAnsi="Palatino Linotype"/>
          <w:sz w:val="24"/>
          <w:szCs w:val="24"/>
        </w:rPr>
        <w:t xml:space="preserve"> define as a project that 1) has executed contracts, 2) has all necessary land rights, 3) has acquired all necessary permits, and </w:t>
      </w:r>
      <w:r w:rsidR="00E146E3">
        <w:rPr>
          <w:rFonts w:ascii="Palatino Linotype" w:hAnsi="Palatino Linotype"/>
          <w:sz w:val="24"/>
          <w:szCs w:val="24"/>
        </w:rPr>
        <w:br/>
      </w:r>
      <w:r w:rsidRPr="00534D5D">
        <w:rPr>
          <w:rFonts w:ascii="Palatino Linotype" w:hAnsi="Palatino Linotype"/>
          <w:sz w:val="24"/>
          <w:szCs w:val="24"/>
        </w:rPr>
        <w:t xml:space="preserve">4) has planned all necessary </w:t>
      </w:r>
      <w:r w:rsidRPr="00534D5D" w:rsidR="0030693E">
        <w:rPr>
          <w:rFonts w:ascii="Palatino Linotype" w:hAnsi="Palatino Linotype"/>
          <w:sz w:val="24"/>
          <w:szCs w:val="24"/>
        </w:rPr>
        <w:t>IOU</w:t>
      </w:r>
      <w:r w:rsidRPr="00534D5D">
        <w:rPr>
          <w:rFonts w:ascii="Palatino Linotype" w:hAnsi="Palatino Linotype"/>
          <w:sz w:val="24"/>
          <w:szCs w:val="24"/>
        </w:rPr>
        <w:t xml:space="preserve"> procedures to ensure electric system safety, worker safety, and public safety. </w:t>
      </w:r>
    </w:p>
    <w:p w:rsidRPr="00534D5D" w:rsidR="0017045C" w:rsidP="0017045C" w:rsidRDefault="0017045C" w14:paraId="7314BE08" w14:textId="4A982917">
      <w:pPr>
        <w:rPr>
          <w:rFonts w:ascii="Palatino Linotype" w:hAnsi="Palatino Linotype"/>
          <w:sz w:val="24"/>
          <w:szCs w:val="24"/>
        </w:rPr>
      </w:pPr>
      <w:r w:rsidRPr="00534D5D">
        <w:rPr>
          <w:rFonts w:ascii="Palatino Linotype" w:hAnsi="Palatino Linotype"/>
          <w:sz w:val="24"/>
          <w:szCs w:val="24"/>
        </w:rPr>
        <w:lastRenderedPageBreak/>
        <w:t>The Joint IOUs note that the proposed 160</w:t>
      </w:r>
      <w:r w:rsidRPr="00534D5D" w:rsidR="00A24E2F">
        <w:rPr>
          <w:rFonts w:ascii="Palatino Linotype" w:hAnsi="Palatino Linotype"/>
          <w:sz w:val="24"/>
          <w:szCs w:val="24"/>
        </w:rPr>
        <w:t>-</w:t>
      </w:r>
      <w:r w:rsidRPr="00534D5D">
        <w:rPr>
          <w:rFonts w:ascii="Palatino Linotype" w:hAnsi="Palatino Linotype"/>
          <w:sz w:val="24"/>
          <w:szCs w:val="24"/>
        </w:rPr>
        <w:t>business day</w:t>
      </w:r>
      <w:r w:rsidRPr="00534D5D" w:rsidR="00A24E2F">
        <w:rPr>
          <w:rFonts w:ascii="Palatino Linotype" w:hAnsi="Palatino Linotype"/>
          <w:sz w:val="24"/>
          <w:szCs w:val="24"/>
        </w:rPr>
        <w:t xml:space="preserve"> average service</w:t>
      </w:r>
      <w:r w:rsidRPr="00534D5D">
        <w:rPr>
          <w:rFonts w:ascii="Palatino Linotype" w:hAnsi="Palatino Linotype"/>
          <w:sz w:val="24"/>
          <w:szCs w:val="24"/>
        </w:rPr>
        <w:t xml:space="preserve"> energization timeline does not include steps that customers and AHJs are responsible, including AHJ issuing permits, customers providing signed easements, etc. The Joint IOUs assert that it is common for many applications to sit in the construction phase for several months before it is “construction-ready”</w:t>
      </w:r>
      <w:r w:rsidRPr="00534D5D" w:rsidR="000150C4">
        <w:rPr>
          <w:rStyle w:val="FootnoteReference"/>
          <w:rFonts w:ascii="Palatino Linotype" w:hAnsi="Palatino Linotype"/>
          <w:sz w:val="24"/>
          <w:szCs w:val="24"/>
        </w:rPr>
        <w:footnoteReference w:id="10"/>
      </w:r>
      <w:r w:rsidRPr="00534D5D">
        <w:rPr>
          <w:rFonts w:ascii="Palatino Linotype" w:hAnsi="Palatino Linotype"/>
          <w:sz w:val="24"/>
          <w:szCs w:val="24"/>
        </w:rPr>
        <w:t xml:space="preserve"> because of an outstanding dependency</w:t>
      </w:r>
      <w:r w:rsidRPr="00534D5D" w:rsidR="00D759A6">
        <w:rPr>
          <w:rFonts w:ascii="Palatino Linotype" w:hAnsi="Palatino Linotype"/>
          <w:sz w:val="24"/>
          <w:szCs w:val="24"/>
        </w:rPr>
        <w:t xml:space="preserve">. Additionally, </w:t>
      </w:r>
      <w:r w:rsidRPr="00534D5D">
        <w:rPr>
          <w:rFonts w:ascii="Palatino Linotype" w:hAnsi="Palatino Linotype"/>
          <w:sz w:val="24"/>
          <w:szCs w:val="24"/>
        </w:rPr>
        <w:t>since the EV market is still in a nascent state</w:t>
      </w:r>
      <w:r w:rsidRPr="00534D5D" w:rsidR="006B212A">
        <w:rPr>
          <w:rFonts w:ascii="Palatino Linotype" w:hAnsi="Palatino Linotype"/>
          <w:sz w:val="24"/>
          <w:szCs w:val="24"/>
        </w:rPr>
        <w:t>,</w:t>
      </w:r>
      <w:r w:rsidRPr="00534D5D">
        <w:rPr>
          <w:rFonts w:ascii="Palatino Linotype" w:hAnsi="Palatino Linotype"/>
          <w:sz w:val="24"/>
          <w:szCs w:val="24"/>
        </w:rPr>
        <w:t xml:space="preserve"> </w:t>
      </w:r>
      <w:r w:rsidRPr="00534D5D" w:rsidR="00C826C4">
        <w:rPr>
          <w:rFonts w:ascii="Palatino Linotype" w:hAnsi="Palatino Linotype"/>
          <w:sz w:val="24"/>
          <w:szCs w:val="24"/>
        </w:rPr>
        <w:t xml:space="preserve">a </w:t>
      </w:r>
      <w:r w:rsidRPr="00534D5D" w:rsidR="00EE6991">
        <w:rPr>
          <w:rFonts w:ascii="Palatino Linotype" w:hAnsi="Palatino Linotype"/>
          <w:sz w:val="24"/>
          <w:szCs w:val="24"/>
        </w:rPr>
        <w:t>stable</w:t>
      </w:r>
      <w:r w:rsidRPr="00534D5D" w:rsidR="00C826C4">
        <w:rPr>
          <w:rFonts w:ascii="Palatino Linotype" w:hAnsi="Palatino Linotype"/>
          <w:sz w:val="24"/>
          <w:szCs w:val="24"/>
        </w:rPr>
        <w:t xml:space="preserve"> process</w:t>
      </w:r>
      <w:r w:rsidRPr="00534D5D">
        <w:rPr>
          <w:rFonts w:ascii="Palatino Linotype" w:hAnsi="Palatino Linotype"/>
          <w:sz w:val="24"/>
          <w:szCs w:val="24"/>
        </w:rPr>
        <w:t xml:space="preserve"> to support the energization life cycle </w:t>
      </w:r>
      <w:r w:rsidRPr="00534D5D" w:rsidR="008C3614">
        <w:rPr>
          <w:rFonts w:ascii="Palatino Linotype" w:hAnsi="Palatino Linotype"/>
          <w:sz w:val="24"/>
          <w:szCs w:val="24"/>
        </w:rPr>
        <w:t>has not yet been defined</w:t>
      </w:r>
      <w:r w:rsidRPr="00534D5D">
        <w:rPr>
          <w:rFonts w:ascii="Palatino Linotype" w:hAnsi="Palatino Linotype"/>
          <w:sz w:val="24"/>
          <w:szCs w:val="24"/>
        </w:rPr>
        <w:t xml:space="preserve"> by </w:t>
      </w:r>
      <w:r w:rsidRPr="00534D5D" w:rsidR="008F5506">
        <w:rPr>
          <w:rFonts w:ascii="Palatino Linotype" w:hAnsi="Palatino Linotype"/>
          <w:sz w:val="24"/>
          <w:szCs w:val="24"/>
        </w:rPr>
        <w:t>IOU</w:t>
      </w:r>
      <w:r w:rsidRPr="00534D5D" w:rsidR="0001711B">
        <w:rPr>
          <w:rFonts w:ascii="Palatino Linotype" w:hAnsi="Palatino Linotype"/>
          <w:sz w:val="24"/>
          <w:szCs w:val="24"/>
        </w:rPr>
        <w:t xml:space="preserve"> and </w:t>
      </w:r>
      <w:r w:rsidRPr="00534D5D">
        <w:rPr>
          <w:rFonts w:ascii="Palatino Linotype" w:hAnsi="Palatino Linotype"/>
          <w:sz w:val="24"/>
          <w:szCs w:val="24"/>
        </w:rPr>
        <w:t>non-</w:t>
      </w:r>
      <w:r w:rsidRPr="00534D5D" w:rsidR="008F5506">
        <w:rPr>
          <w:rFonts w:ascii="Palatino Linotype" w:hAnsi="Palatino Linotype"/>
          <w:sz w:val="24"/>
          <w:szCs w:val="24"/>
        </w:rPr>
        <w:t>IOU</w:t>
      </w:r>
      <w:r w:rsidRPr="00534D5D">
        <w:rPr>
          <w:rFonts w:ascii="Palatino Linotype" w:hAnsi="Palatino Linotype"/>
          <w:sz w:val="24"/>
          <w:szCs w:val="24"/>
        </w:rPr>
        <w:t xml:space="preserve"> market participants. </w:t>
      </w:r>
    </w:p>
    <w:p w:rsidRPr="00534D5D" w:rsidR="0017045C" w:rsidP="0017045C" w:rsidRDefault="00B54841" w14:paraId="7DCB2ADE" w14:textId="56922DBB">
      <w:pPr>
        <w:rPr>
          <w:rFonts w:ascii="Palatino Linotype" w:hAnsi="Palatino Linotype"/>
          <w:sz w:val="24"/>
          <w:szCs w:val="24"/>
        </w:rPr>
      </w:pPr>
      <w:r w:rsidRPr="00534D5D">
        <w:rPr>
          <w:rFonts w:ascii="Palatino Linotype" w:hAnsi="Palatino Linotype"/>
          <w:sz w:val="24"/>
          <w:szCs w:val="24"/>
        </w:rPr>
        <w:t>For instance, the</w:t>
      </w:r>
      <w:r w:rsidRPr="00534D5D" w:rsidR="0017045C">
        <w:rPr>
          <w:rFonts w:ascii="Palatino Linotype" w:hAnsi="Palatino Linotype"/>
          <w:sz w:val="24"/>
          <w:szCs w:val="24"/>
        </w:rPr>
        <w:t xml:space="preserve"> Joint IOUs highlight that permit agencies are responsible for critical path activities necessary for energization, with data from PG&amp;E’s service territory showing that approximately 24 percent of the projects built in 2021 took over a year to be “construction ready” after the contract was executed and approximately 25</w:t>
      </w:r>
      <w:r w:rsidRPr="00534D5D" w:rsidR="0043126E">
        <w:rPr>
          <w:rFonts w:ascii="Palatino Linotype" w:hAnsi="Palatino Linotype"/>
          <w:sz w:val="24"/>
          <w:szCs w:val="24"/>
        </w:rPr>
        <w:t xml:space="preserve"> percent</w:t>
      </w:r>
      <w:r w:rsidRPr="00534D5D" w:rsidR="0017045C">
        <w:rPr>
          <w:rFonts w:ascii="Palatino Linotype" w:hAnsi="Palatino Linotype"/>
          <w:sz w:val="24"/>
          <w:szCs w:val="24"/>
        </w:rPr>
        <w:t xml:space="preserve"> took between six months to a year, mainly due to delays outside the </w:t>
      </w:r>
      <w:r w:rsidRPr="00534D5D" w:rsidR="002B27F4">
        <w:rPr>
          <w:rFonts w:ascii="Palatino Linotype" w:hAnsi="Palatino Linotype"/>
          <w:sz w:val="24"/>
          <w:szCs w:val="24"/>
        </w:rPr>
        <w:t>IOU</w:t>
      </w:r>
      <w:r w:rsidRPr="00534D5D" w:rsidR="0017045C">
        <w:rPr>
          <w:rFonts w:ascii="Palatino Linotype" w:hAnsi="Palatino Linotype"/>
          <w:sz w:val="24"/>
          <w:szCs w:val="24"/>
        </w:rPr>
        <w:t xml:space="preserve"> control, including delays in permit issuance, easement language negations, and other reasons. </w:t>
      </w:r>
    </w:p>
    <w:p w:rsidRPr="00534D5D" w:rsidR="0017045C" w:rsidP="0017045C" w:rsidRDefault="0017045C" w14:paraId="7638917D" w14:textId="77777777">
      <w:pPr>
        <w:rPr>
          <w:rFonts w:ascii="Palatino Linotype" w:hAnsi="Palatino Linotype"/>
          <w:sz w:val="24"/>
          <w:szCs w:val="24"/>
        </w:rPr>
      </w:pPr>
      <w:r w:rsidRPr="00534D5D">
        <w:rPr>
          <w:rFonts w:ascii="Palatino Linotype" w:hAnsi="Palatino Linotype"/>
          <w:sz w:val="24"/>
          <w:szCs w:val="24"/>
        </w:rPr>
        <w:t xml:space="preserve">The Joint IOUs assert that a moderate timeline provides predictability for customers in the near-term, and time for the EV market to mature and produce the volume of “construction-ready” work needed to support a more aggressive timeline. </w:t>
      </w:r>
    </w:p>
    <w:p w:rsidRPr="00534D5D" w:rsidR="0059386E" w:rsidP="00640403" w:rsidRDefault="0059386E" w14:paraId="0F415146" w14:textId="6996DCEB">
      <w:pPr>
        <w:rPr>
          <w:rFonts w:ascii="Palatino Linotype" w:hAnsi="Palatino Linotype"/>
          <w:i/>
          <w:iCs/>
          <w:sz w:val="24"/>
          <w:szCs w:val="24"/>
          <w:u w:val="single"/>
        </w:rPr>
      </w:pPr>
      <w:r w:rsidRPr="00534D5D">
        <w:rPr>
          <w:rFonts w:ascii="Palatino Linotype" w:hAnsi="Palatino Linotype"/>
          <w:i/>
          <w:iCs/>
          <w:sz w:val="24"/>
          <w:szCs w:val="24"/>
          <w:u w:val="single"/>
        </w:rPr>
        <w:t>Identify the processes that are within the IOUs’ direct and indirect control</w:t>
      </w:r>
      <w:r w:rsidRPr="00534D5D" w:rsidR="00552177">
        <w:rPr>
          <w:rFonts w:ascii="Palatino Linotype" w:hAnsi="Palatino Linotype"/>
          <w:i/>
          <w:iCs/>
          <w:sz w:val="24"/>
          <w:szCs w:val="24"/>
          <w:u w:val="single"/>
        </w:rPr>
        <w:t xml:space="preserve">, and </w:t>
      </w:r>
      <w:r w:rsidRPr="00534D5D" w:rsidR="00752908">
        <w:rPr>
          <w:rFonts w:ascii="Palatino Linotype" w:hAnsi="Palatino Linotype"/>
          <w:i/>
          <w:iCs/>
          <w:sz w:val="24"/>
          <w:szCs w:val="24"/>
          <w:u w:val="single"/>
        </w:rPr>
        <w:t>processes not within the IOUs’ control</w:t>
      </w:r>
      <w:r w:rsidRPr="00534D5D" w:rsidDel="0017045C">
        <w:rPr>
          <w:rFonts w:ascii="Palatino Linotype" w:hAnsi="Palatino Linotype"/>
          <w:i/>
          <w:iCs/>
          <w:sz w:val="24"/>
          <w:szCs w:val="24"/>
          <w:u w:val="single"/>
        </w:rPr>
        <w:t xml:space="preserve"> </w:t>
      </w:r>
    </w:p>
    <w:p w:rsidRPr="00534D5D" w:rsidR="0059386E" w:rsidP="0059386E" w:rsidRDefault="0059386E" w14:paraId="2394C23E" w14:textId="12C591C2">
      <w:pPr>
        <w:rPr>
          <w:rFonts w:ascii="Palatino Linotype" w:hAnsi="Palatino Linotype"/>
          <w:sz w:val="24"/>
          <w:szCs w:val="24"/>
        </w:rPr>
      </w:pPr>
      <w:r w:rsidRPr="00534D5D">
        <w:rPr>
          <w:rFonts w:ascii="Palatino Linotype" w:hAnsi="Palatino Linotype"/>
          <w:sz w:val="24"/>
          <w:szCs w:val="24"/>
        </w:rPr>
        <w:t xml:space="preserve">The Joint IOUs’ proposal requests that the average numerical target adopted by the </w:t>
      </w:r>
      <w:r w:rsidRPr="00534D5D" w:rsidR="003163F0">
        <w:rPr>
          <w:rFonts w:ascii="Palatino Linotype" w:hAnsi="Palatino Linotype"/>
          <w:sz w:val="24"/>
          <w:szCs w:val="24"/>
        </w:rPr>
        <w:t>CPUC</w:t>
      </w:r>
      <w:r w:rsidRPr="00534D5D">
        <w:rPr>
          <w:rFonts w:ascii="Palatino Linotype" w:hAnsi="Palatino Linotype"/>
          <w:sz w:val="24"/>
          <w:szCs w:val="24"/>
        </w:rPr>
        <w:t xml:space="preserve"> only apply to steps in the energization lifecycle which the IOUs are solely responsible. The Joint IOUs state this will ensure that the </w:t>
      </w:r>
      <w:r w:rsidRPr="00534D5D" w:rsidR="001531FF">
        <w:rPr>
          <w:rFonts w:ascii="Palatino Linotype" w:hAnsi="Palatino Linotype"/>
          <w:sz w:val="24"/>
          <w:szCs w:val="24"/>
        </w:rPr>
        <w:t>IOU</w:t>
      </w:r>
      <w:r w:rsidRPr="00534D5D">
        <w:rPr>
          <w:rFonts w:ascii="Palatino Linotype" w:hAnsi="Palatino Linotype"/>
          <w:sz w:val="24"/>
          <w:szCs w:val="24"/>
        </w:rPr>
        <w:t xml:space="preserve"> timeline is transparent, predictable, and trackable. The Joint IOUs also note that the customers, AHJ, and EVSPs are not governed by the </w:t>
      </w:r>
      <w:r w:rsidRPr="00534D5D" w:rsidR="00D426C2">
        <w:rPr>
          <w:rFonts w:ascii="Palatino Linotype" w:hAnsi="Palatino Linotype"/>
          <w:sz w:val="24"/>
          <w:szCs w:val="24"/>
        </w:rPr>
        <w:t>CPUC</w:t>
      </w:r>
      <w:r w:rsidRPr="00534D5D">
        <w:rPr>
          <w:rFonts w:ascii="Palatino Linotype" w:hAnsi="Palatino Linotype"/>
          <w:sz w:val="24"/>
          <w:szCs w:val="24"/>
        </w:rPr>
        <w:t xml:space="preserve">, and thus do not have the same regulatory expectation or oversight to ensure an enforceable timeline is met. Thus, including steps in the average </w:t>
      </w:r>
      <w:r w:rsidRPr="00534D5D" w:rsidR="00757D05">
        <w:rPr>
          <w:rFonts w:ascii="Palatino Linotype" w:hAnsi="Palatino Linotype"/>
          <w:sz w:val="24"/>
          <w:szCs w:val="24"/>
        </w:rPr>
        <w:t xml:space="preserve">service </w:t>
      </w:r>
      <w:r w:rsidRPr="00534D5D">
        <w:rPr>
          <w:rFonts w:ascii="Palatino Linotype" w:hAnsi="Palatino Linotype"/>
          <w:sz w:val="24"/>
          <w:szCs w:val="24"/>
        </w:rPr>
        <w:t xml:space="preserve">energization timeline that are not under the </w:t>
      </w:r>
      <w:r w:rsidRPr="00534D5D" w:rsidR="00AC78AB">
        <w:rPr>
          <w:rFonts w:ascii="Palatino Linotype" w:hAnsi="Palatino Linotype"/>
          <w:sz w:val="24"/>
          <w:szCs w:val="24"/>
        </w:rPr>
        <w:t>IOUs’</w:t>
      </w:r>
      <w:r w:rsidRPr="00534D5D">
        <w:rPr>
          <w:rFonts w:ascii="Palatino Linotype" w:hAnsi="Palatino Linotype"/>
          <w:sz w:val="24"/>
          <w:szCs w:val="24"/>
        </w:rPr>
        <w:t xml:space="preserve"> direct control should not be included. </w:t>
      </w:r>
    </w:p>
    <w:p w:rsidRPr="00534D5D" w:rsidR="0059386E" w:rsidP="0059386E" w:rsidRDefault="0059386E" w14:paraId="1CEC9107" w14:textId="30DEF00A">
      <w:pPr>
        <w:rPr>
          <w:rFonts w:ascii="Palatino Linotype" w:hAnsi="Palatino Linotype"/>
          <w:sz w:val="24"/>
          <w:szCs w:val="24"/>
        </w:rPr>
      </w:pPr>
      <w:r w:rsidRPr="00534D5D">
        <w:rPr>
          <w:rFonts w:ascii="Palatino Linotype" w:hAnsi="Palatino Linotype"/>
          <w:sz w:val="24"/>
          <w:szCs w:val="24"/>
        </w:rPr>
        <w:t>The Joint IOUs provided the following table to indicate what steps are and are not under their direct control, and thus are included in the average</w:t>
      </w:r>
      <w:r w:rsidRPr="00534D5D" w:rsidR="00757D05">
        <w:rPr>
          <w:rFonts w:ascii="Palatino Linotype" w:hAnsi="Palatino Linotype"/>
          <w:sz w:val="24"/>
          <w:szCs w:val="24"/>
        </w:rPr>
        <w:t xml:space="preserve"> service energization</w:t>
      </w:r>
      <w:r w:rsidRPr="00534D5D">
        <w:rPr>
          <w:rFonts w:ascii="Palatino Linotype" w:hAnsi="Palatino Linotype"/>
          <w:sz w:val="24"/>
          <w:szCs w:val="24"/>
        </w:rPr>
        <w:t xml:space="preserve"> </w:t>
      </w:r>
      <w:r w:rsidRPr="00534D5D">
        <w:rPr>
          <w:rFonts w:ascii="Palatino Linotype" w:hAnsi="Palatino Linotype"/>
          <w:sz w:val="24"/>
          <w:szCs w:val="24"/>
        </w:rPr>
        <w:lastRenderedPageBreak/>
        <w:t>numerical target</w:t>
      </w:r>
      <w:r w:rsidRPr="00534D5D" w:rsidR="00CA6F55">
        <w:rPr>
          <w:rFonts w:ascii="Palatino Linotype" w:hAnsi="Palatino Linotype"/>
          <w:sz w:val="24"/>
          <w:szCs w:val="24"/>
        </w:rPr>
        <w:t xml:space="preserve">. Steps marked “Yes” are included in the proposed </w:t>
      </w:r>
      <w:r w:rsidRPr="00534D5D" w:rsidR="005E5F4A">
        <w:rPr>
          <w:rFonts w:ascii="Palatino Linotype" w:hAnsi="Palatino Linotype"/>
          <w:sz w:val="24"/>
          <w:szCs w:val="24"/>
        </w:rPr>
        <w:t xml:space="preserve">service energization numerical target. </w:t>
      </w:r>
    </w:p>
    <w:p w:rsidRPr="00534D5D" w:rsidR="0059386E" w:rsidP="0059386E" w:rsidRDefault="0059386E" w14:paraId="3A847E7A" w14:textId="77777777">
      <w:pPr>
        <w:rPr>
          <w:rFonts w:ascii="Palatino Linotype" w:hAnsi="Palatino Linotype"/>
          <w:sz w:val="24"/>
          <w:szCs w:val="24"/>
        </w:rPr>
      </w:pPr>
      <w:r w:rsidRPr="00534D5D">
        <w:rPr>
          <w:rFonts w:ascii="Palatino Linotype" w:hAnsi="Palatino Linotype"/>
          <w:noProof/>
          <w:sz w:val="24"/>
          <w:szCs w:val="24"/>
        </w:rPr>
        <w:drawing>
          <wp:inline distT="0" distB="0" distL="0" distR="0" wp14:anchorId="078343F2" wp14:editId="51D257C1">
            <wp:extent cx="5943600" cy="3133725"/>
            <wp:effectExtent l="0" t="0" r="0" b="3175"/>
            <wp:docPr id="2" name="Picture 2"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ab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943600" cy="3133725"/>
                    </a:xfrm>
                    <a:prstGeom prst="rect">
                      <a:avLst/>
                    </a:prstGeom>
                  </pic:spPr>
                </pic:pic>
              </a:graphicData>
            </a:graphic>
          </wp:inline>
        </w:drawing>
      </w:r>
    </w:p>
    <w:p w:rsidRPr="00534D5D" w:rsidR="0059386E" w:rsidP="0059386E" w:rsidRDefault="0059386E" w14:paraId="07F4EC5C" w14:textId="64E4C0B2">
      <w:pPr>
        <w:rPr>
          <w:rFonts w:ascii="Palatino Linotype" w:hAnsi="Palatino Linotype"/>
          <w:bCs/>
          <w:sz w:val="24"/>
          <w:szCs w:val="24"/>
        </w:rPr>
      </w:pPr>
      <w:r w:rsidRPr="00534D5D">
        <w:rPr>
          <w:rFonts w:ascii="Palatino Linotype" w:hAnsi="Palatino Linotype"/>
          <w:bCs/>
          <w:sz w:val="24"/>
          <w:szCs w:val="24"/>
        </w:rPr>
        <w:t xml:space="preserve">The Joint IOUs’ </w:t>
      </w:r>
      <w:r w:rsidRPr="00534D5D" w:rsidR="00417C1F">
        <w:rPr>
          <w:rFonts w:ascii="Palatino Linotype" w:hAnsi="Palatino Linotype"/>
          <w:bCs/>
          <w:sz w:val="24"/>
          <w:szCs w:val="24"/>
        </w:rPr>
        <w:t>AL</w:t>
      </w:r>
      <w:r w:rsidRPr="00534D5D">
        <w:rPr>
          <w:rFonts w:ascii="Palatino Linotype" w:hAnsi="Palatino Linotype"/>
          <w:bCs/>
          <w:sz w:val="24"/>
          <w:szCs w:val="24"/>
        </w:rPr>
        <w:t xml:space="preserve"> acknowledges that performing the pre-assessment and engineering study is a</w:t>
      </w:r>
      <w:r w:rsidRPr="00534D5D" w:rsidR="00497BAA">
        <w:rPr>
          <w:rFonts w:ascii="Palatino Linotype" w:hAnsi="Palatino Linotype"/>
          <w:bCs/>
          <w:sz w:val="24"/>
          <w:szCs w:val="24"/>
        </w:rPr>
        <w:t xml:space="preserve">n IOU </w:t>
      </w:r>
      <w:proofErr w:type="gramStart"/>
      <w:r w:rsidRPr="00534D5D">
        <w:rPr>
          <w:rFonts w:ascii="Palatino Linotype" w:hAnsi="Palatino Linotype"/>
          <w:bCs/>
          <w:sz w:val="24"/>
          <w:szCs w:val="24"/>
        </w:rPr>
        <w:t>task, but</w:t>
      </w:r>
      <w:proofErr w:type="gramEnd"/>
      <w:r w:rsidRPr="00534D5D">
        <w:rPr>
          <w:rFonts w:ascii="Palatino Linotype" w:hAnsi="Palatino Linotype"/>
          <w:bCs/>
          <w:sz w:val="24"/>
          <w:szCs w:val="24"/>
        </w:rPr>
        <w:t xml:space="preserve"> is excluded from the </w:t>
      </w:r>
      <w:r w:rsidRPr="00534D5D" w:rsidR="00943B63">
        <w:rPr>
          <w:rFonts w:ascii="Palatino Linotype" w:hAnsi="Palatino Linotype"/>
          <w:bCs/>
          <w:sz w:val="24"/>
          <w:szCs w:val="24"/>
        </w:rPr>
        <w:t xml:space="preserve">proposed 160 days </w:t>
      </w:r>
      <w:r w:rsidRPr="00534D5D">
        <w:rPr>
          <w:rFonts w:ascii="Palatino Linotype" w:hAnsi="Palatino Linotype"/>
          <w:bCs/>
          <w:sz w:val="24"/>
          <w:szCs w:val="24"/>
        </w:rPr>
        <w:t xml:space="preserve">average </w:t>
      </w:r>
      <w:r w:rsidRPr="00534D5D" w:rsidR="00757D05">
        <w:rPr>
          <w:rFonts w:ascii="Palatino Linotype" w:hAnsi="Palatino Linotype"/>
          <w:bCs/>
          <w:sz w:val="24"/>
          <w:szCs w:val="24"/>
        </w:rPr>
        <w:t xml:space="preserve">service energization </w:t>
      </w:r>
      <w:r w:rsidRPr="00534D5D">
        <w:rPr>
          <w:rFonts w:ascii="Palatino Linotype" w:hAnsi="Palatino Linotype"/>
          <w:bCs/>
          <w:sz w:val="24"/>
          <w:szCs w:val="24"/>
        </w:rPr>
        <w:t xml:space="preserve">timeline as customers are still required to provide information to the IOU to complete the preliminary design of a project. </w:t>
      </w:r>
    </w:p>
    <w:p w:rsidRPr="00534D5D" w:rsidR="0059386E" w:rsidP="0059386E" w:rsidRDefault="0059386E" w14:paraId="5A1C3753" w14:textId="1C34683E">
      <w:pPr>
        <w:rPr>
          <w:rFonts w:ascii="Palatino Linotype" w:hAnsi="Palatino Linotype"/>
          <w:bCs/>
          <w:sz w:val="24"/>
          <w:szCs w:val="24"/>
        </w:rPr>
      </w:pPr>
      <w:r w:rsidRPr="00534D5D">
        <w:rPr>
          <w:rFonts w:ascii="Palatino Linotype" w:hAnsi="Palatino Linotype"/>
          <w:bCs/>
          <w:sz w:val="24"/>
          <w:szCs w:val="24"/>
        </w:rPr>
        <w:t xml:space="preserve">The Joint IOUs further </w:t>
      </w:r>
      <w:r w:rsidRPr="00534D5D" w:rsidR="00544C44">
        <w:rPr>
          <w:rFonts w:ascii="Palatino Linotype" w:hAnsi="Palatino Linotype"/>
          <w:bCs/>
          <w:sz w:val="24"/>
          <w:szCs w:val="24"/>
        </w:rPr>
        <w:t>state</w:t>
      </w:r>
      <w:r w:rsidRPr="00534D5D">
        <w:rPr>
          <w:rFonts w:ascii="Palatino Linotype" w:hAnsi="Palatino Linotype"/>
          <w:bCs/>
          <w:sz w:val="24"/>
          <w:szCs w:val="24"/>
        </w:rPr>
        <w:t xml:space="preserve"> that projects </w:t>
      </w:r>
      <w:r w:rsidRPr="00534D5D" w:rsidR="00544C44">
        <w:rPr>
          <w:rFonts w:ascii="Palatino Linotype" w:hAnsi="Palatino Linotype"/>
          <w:bCs/>
          <w:sz w:val="24"/>
          <w:szCs w:val="24"/>
        </w:rPr>
        <w:t xml:space="preserve">with long-lead time items, including projects </w:t>
      </w:r>
      <w:r w:rsidRPr="00534D5D">
        <w:rPr>
          <w:rFonts w:ascii="Palatino Linotype" w:hAnsi="Palatino Linotype"/>
          <w:bCs/>
          <w:sz w:val="24"/>
          <w:szCs w:val="24"/>
        </w:rPr>
        <w:t xml:space="preserve">that exceed 2 </w:t>
      </w:r>
      <w:r w:rsidRPr="00534D5D" w:rsidR="007D4145">
        <w:rPr>
          <w:rFonts w:ascii="Palatino Linotype" w:hAnsi="Palatino Linotype"/>
          <w:bCs/>
          <w:sz w:val="24"/>
          <w:szCs w:val="24"/>
        </w:rPr>
        <w:t>MW</w:t>
      </w:r>
      <w:r w:rsidRPr="00534D5D">
        <w:rPr>
          <w:rFonts w:ascii="Palatino Linotype" w:hAnsi="Palatino Linotype"/>
          <w:bCs/>
          <w:sz w:val="24"/>
          <w:szCs w:val="24"/>
        </w:rPr>
        <w:t>, projects that trigger upstream capacity upgrades that must go through Rule 15, and projects that require substation upgrades</w:t>
      </w:r>
      <w:r w:rsidRPr="00534D5D" w:rsidR="00544C44">
        <w:rPr>
          <w:rFonts w:ascii="Palatino Linotype" w:hAnsi="Palatino Linotype"/>
          <w:bCs/>
          <w:sz w:val="24"/>
          <w:szCs w:val="24"/>
        </w:rPr>
        <w:t>,</w:t>
      </w:r>
      <w:r w:rsidRPr="00534D5D">
        <w:rPr>
          <w:rFonts w:ascii="Palatino Linotype" w:hAnsi="Palatino Linotype"/>
          <w:bCs/>
          <w:sz w:val="24"/>
          <w:szCs w:val="24"/>
        </w:rPr>
        <w:t xml:space="preserve"> may delay interconnection of EV projects and are also not applicable to the EV Infrastructure Rule and are thus excluded from the proposed average</w:t>
      </w:r>
      <w:r w:rsidRPr="00534D5D" w:rsidR="00757D05">
        <w:rPr>
          <w:rFonts w:ascii="Palatino Linotype" w:hAnsi="Palatino Linotype"/>
          <w:bCs/>
          <w:sz w:val="24"/>
          <w:szCs w:val="24"/>
        </w:rPr>
        <w:t xml:space="preserve"> service</w:t>
      </w:r>
      <w:r w:rsidRPr="00534D5D">
        <w:rPr>
          <w:rFonts w:ascii="Palatino Linotype" w:hAnsi="Palatino Linotype"/>
          <w:bCs/>
          <w:sz w:val="24"/>
          <w:szCs w:val="24"/>
        </w:rPr>
        <w:t xml:space="preserve"> energization timeline. </w:t>
      </w:r>
    </w:p>
    <w:p w:rsidRPr="00534D5D" w:rsidR="009D4197" w:rsidP="00602484" w:rsidRDefault="00F502A1" w14:paraId="2F5B016D" w14:textId="6B1FAD85">
      <w:pPr>
        <w:rPr>
          <w:rFonts w:ascii="Palatino Linotype" w:hAnsi="Palatino Linotype"/>
          <w:i/>
          <w:iCs/>
          <w:sz w:val="24"/>
          <w:szCs w:val="24"/>
          <w:u w:val="single"/>
        </w:rPr>
      </w:pPr>
      <w:r w:rsidRPr="00534D5D">
        <w:rPr>
          <w:rFonts w:ascii="Palatino Linotype" w:hAnsi="Palatino Linotype"/>
          <w:i/>
          <w:iCs/>
          <w:sz w:val="24"/>
          <w:szCs w:val="24"/>
          <w:u w:val="single"/>
        </w:rPr>
        <w:t>Proposes a process for how the IOUs can improve the service energization timing for items that are within their direct and indirect control</w:t>
      </w:r>
    </w:p>
    <w:p w:rsidRPr="00534D5D" w:rsidR="009D4197" w:rsidP="009D4197" w:rsidRDefault="009D4197" w14:paraId="7145227C" w14:textId="57B5D79D">
      <w:pPr>
        <w:rPr>
          <w:rFonts w:ascii="Palatino Linotype" w:hAnsi="Palatino Linotype"/>
          <w:bCs/>
          <w:sz w:val="24"/>
          <w:szCs w:val="24"/>
        </w:rPr>
      </w:pPr>
      <w:r w:rsidRPr="00534D5D">
        <w:rPr>
          <w:rFonts w:ascii="Palatino Linotype" w:hAnsi="Palatino Linotype"/>
          <w:bCs/>
          <w:sz w:val="24"/>
          <w:szCs w:val="24"/>
        </w:rPr>
        <w:t xml:space="preserve">The Joint IOUs’ AL states that the Joint IOUs are actively working to improve new service timelines for EV customers, and in many cases either have, are in the process, or are exploring opportunities to address the feedback provided by stakeholders to help expedite the process. Specifically, </w:t>
      </w:r>
      <w:r w:rsidRPr="00534D5D" w:rsidR="00C46DF7">
        <w:rPr>
          <w:rFonts w:ascii="Palatino Linotype" w:hAnsi="Palatino Linotype"/>
          <w:bCs/>
          <w:sz w:val="24"/>
          <w:szCs w:val="24"/>
        </w:rPr>
        <w:t>the</w:t>
      </w:r>
      <w:r w:rsidRPr="00534D5D" w:rsidR="00643AED">
        <w:rPr>
          <w:rFonts w:ascii="Palatino Linotype" w:hAnsi="Palatino Linotype"/>
          <w:bCs/>
          <w:sz w:val="24"/>
          <w:szCs w:val="24"/>
        </w:rPr>
        <w:t xml:space="preserve"> Joint EV Industry’s</w:t>
      </w:r>
      <w:r w:rsidRPr="00534D5D" w:rsidR="00C46DF7">
        <w:rPr>
          <w:rFonts w:ascii="Palatino Linotype" w:hAnsi="Palatino Linotype"/>
          <w:bCs/>
          <w:sz w:val="24"/>
          <w:szCs w:val="24"/>
        </w:rPr>
        <w:t xml:space="preserve"> informal</w:t>
      </w:r>
      <w:r w:rsidRPr="00534D5D" w:rsidR="00AC29D6">
        <w:rPr>
          <w:rFonts w:ascii="Palatino Linotype" w:hAnsi="Palatino Linotype"/>
          <w:bCs/>
          <w:sz w:val="24"/>
          <w:szCs w:val="24"/>
        </w:rPr>
        <w:t xml:space="preserve"> </w:t>
      </w:r>
      <w:r w:rsidRPr="00534D5D" w:rsidR="00643AED">
        <w:rPr>
          <w:rFonts w:ascii="Palatino Linotype" w:hAnsi="Palatino Linotype"/>
          <w:bCs/>
          <w:sz w:val="24"/>
          <w:szCs w:val="24"/>
        </w:rPr>
        <w:t xml:space="preserve">post-workshop comments </w:t>
      </w:r>
      <w:r w:rsidRPr="00534D5D">
        <w:rPr>
          <w:rFonts w:ascii="Palatino Linotype" w:hAnsi="Palatino Linotype"/>
          <w:bCs/>
          <w:sz w:val="24"/>
          <w:szCs w:val="24"/>
        </w:rPr>
        <w:t>provided recommendations for the Joint IOUs to consider, including:</w:t>
      </w:r>
    </w:p>
    <w:p w:rsidRPr="00534D5D" w:rsidR="009D4197" w:rsidP="009D4197" w:rsidRDefault="009D4197" w14:paraId="0448E25E" w14:textId="77777777">
      <w:pPr>
        <w:pStyle w:val="ListParagraph"/>
        <w:numPr>
          <w:ilvl w:val="0"/>
          <w:numId w:val="15"/>
        </w:numPr>
        <w:rPr>
          <w:rFonts w:ascii="Palatino Linotype" w:hAnsi="Palatino Linotype"/>
          <w:bCs/>
          <w:sz w:val="24"/>
          <w:szCs w:val="24"/>
        </w:rPr>
      </w:pPr>
      <w:r w:rsidRPr="00534D5D">
        <w:rPr>
          <w:rFonts w:ascii="Palatino Linotype" w:hAnsi="Palatino Linotype"/>
          <w:bCs/>
          <w:sz w:val="24"/>
          <w:szCs w:val="24"/>
        </w:rPr>
        <w:lastRenderedPageBreak/>
        <w:t>Establishing a single point of contact for EV infrastructure requests</w:t>
      </w:r>
    </w:p>
    <w:p w:rsidRPr="00534D5D" w:rsidR="009D4197" w:rsidP="009D4197" w:rsidRDefault="009D4197" w14:paraId="7B20D23D" w14:textId="77777777">
      <w:pPr>
        <w:pStyle w:val="ListParagraph"/>
        <w:numPr>
          <w:ilvl w:val="0"/>
          <w:numId w:val="15"/>
        </w:numPr>
        <w:rPr>
          <w:rFonts w:ascii="Palatino Linotype" w:hAnsi="Palatino Linotype"/>
          <w:bCs/>
          <w:sz w:val="24"/>
          <w:szCs w:val="24"/>
        </w:rPr>
      </w:pPr>
      <w:r w:rsidRPr="00534D5D">
        <w:rPr>
          <w:rFonts w:ascii="Palatino Linotype" w:hAnsi="Palatino Linotype"/>
          <w:bCs/>
          <w:sz w:val="24"/>
          <w:szCs w:val="24"/>
        </w:rPr>
        <w:t>Developing a process or a tool to help improve transparency and communication</w:t>
      </w:r>
    </w:p>
    <w:p w:rsidRPr="00534D5D" w:rsidR="009D4197" w:rsidP="009D4197" w:rsidRDefault="009D4197" w14:paraId="352E60CD" w14:textId="77777777">
      <w:pPr>
        <w:pStyle w:val="ListParagraph"/>
        <w:numPr>
          <w:ilvl w:val="0"/>
          <w:numId w:val="15"/>
        </w:numPr>
        <w:rPr>
          <w:rFonts w:ascii="Palatino Linotype" w:hAnsi="Palatino Linotype"/>
          <w:bCs/>
          <w:sz w:val="24"/>
          <w:szCs w:val="24"/>
        </w:rPr>
      </w:pPr>
      <w:r w:rsidRPr="00534D5D">
        <w:rPr>
          <w:rFonts w:ascii="Palatino Linotype" w:hAnsi="Palatino Linotype"/>
          <w:bCs/>
          <w:sz w:val="24"/>
          <w:szCs w:val="24"/>
        </w:rPr>
        <w:t>Improving capacity maps to include available load serving capacity</w:t>
      </w:r>
    </w:p>
    <w:p w:rsidRPr="00534D5D" w:rsidR="009D4197" w:rsidP="009D4197" w:rsidRDefault="009D4197" w14:paraId="4F446F04" w14:textId="77777777">
      <w:pPr>
        <w:pStyle w:val="ListParagraph"/>
        <w:numPr>
          <w:ilvl w:val="0"/>
          <w:numId w:val="15"/>
        </w:numPr>
        <w:rPr>
          <w:rFonts w:ascii="Palatino Linotype" w:hAnsi="Palatino Linotype"/>
          <w:bCs/>
          <w:sz w:val="24"/>
          <w:szCs w:val="24"/>
        </w:rPr>
      </w:pPr>
      <w:r w:rsidRPr="00534D5D">
        <w:rPr>
          <w:rFonts w:ascii="Palatino Linotype" w:hAnsi="Palatino Linotype"/>
          <w:bCs/>
          <w:sz w:val="24"/>
          <w:szCs w:val="24"/>
        </w:rPr>
        <w:t>Revisiting the easement requirements to help streamline the process</w:t>
      </w:r>
    </w:p>
    <w:p w:rsidRPr="00534D5D" w:rsidR="009D4197" w:rsidP="009D4197" w:rsidRDefault="009D4197" w14:paraId="0F63BE6E" w14:textId="77777777">
      <w:pPr>
        <w:pStyle w:val="ListParagraph"/>
        <w:numPr>
          <w:ilvl w:val="0"/>
          <w:numId w:val="15"/>
        </w:numPr>
        <w:rPr>
          <w:rFonts w:ascii="Palatino Linotype" w:hAnsi="Palatino Linotype"/>
          <w:bCs/>
          <w:sz w:val="24"/>
          <w:szCs w:val="24"/>
        </w:rPr>
      </w:pPr>
      <w:r w:rsidRPr="00534D5D">
        <w:rPr>
          <w:rFonts w:ascii="Palatino Linotype" w:hAnsi="Palatino Linotype"/>
          <w:bCs/>
          <w:sz w:val="24"/>
          <w:szCs w:val="24"/>
        </w:rPr>
        <w:t>Developing clearly defined requirements and/or obligations for customers</w:t>
      </w:r>
    </w:p>
    <w:p w:rsidRPr="00534D5D" w:rsidR="00602484" w:rsidP="00071C17" w:rsidRDefault="009D4197" w14:paraId="6592BF19" w14:textId="04E543E8">
      <w:pPr>
        <w:pStyle w:val="ListParagraph"/>
        <w:numPr>
          <w:ilvl w:val="0"/>
          <w:numId w:val="15"/>
        </w:numPr>
        <w:rPr>
          <w:rFonts w:ascii="Palatino Linotype" w:hAnsi="Palatino Linotype"/>
          <w:i/>
          <w:iCs/>
          <w:sz w:val="24"/>
          <w:szCs w:val="24"/>
          <w:u w:val="single"/>
        </w:rPr>
      </w:pPr>
      <w:r w:rsidRPr="00534D5D">
        <w:rPr>
          <w:rFonts w:ascii="Palatino Linotype" w:hAnsi="Palatino Linotype"/>
          <w:bCs/>
          <w:sz w:val="24"/>
          <w:szCs w:val="24"/>
        </w:rPr>
        <w:t xml:space="preserve">Establishing standards for engineering reviews. </w:t>
      </w:r>
    </w:p>
    <w:p w:rsidRPr="00534D5D" w:rsidR="00602484" w:rsidP="00602484" w:rsidRDefault="00602484" w14:paraId="30F6E4DC" w14:textId="77777777">
      <w:pPr>
        <w:rPr>
          <w:rFonts w:ascii="Palatino Linotype" w:hAnsi="Palatino Linotype"/>
          <w:i/>
          <w:iCs/>
          <w:sz w:val="24"/>
          <w:szCs w:val="24"/>
          <w:u w:val="single"/>
        </w:rPr>
      </w:pPr>
      <w:r w:rsidRPr="00534D5D">
        <w:rPr>
          <w:rFonts w:ascii="Palatino Linotype" w:hAnsi="Palatino Linotype"/>
          <w:i/>
          <w:iCs/>
          <w:sz w:val="24"/>
          <w:szCs w:val="24"/>
          <w:u w:val="single"/>
        </w:rPr>
        <w:t>Includes a description of how the IOU can contribute towards improving the timing for other responsibilities, if any</w:t>
      </w:r>
    </w:p>
    <w:p w:rsidRPr="00534D5D" w:rsidR="00EB21F9" w:rsidP="00EB21F9" w:rsidRDefault="00EB21F9" w14:paraId="579FF54B" w14:textId="31C5F656">
      <w:pPr>
        <w:rPr>
          <w:rFonts w:ascii="Palatino Linotype" w:hAnsi="Palatino Linotype"/>
          <w:bCs/>
          <w:sz w:val="24"/>
          <w:szCs w:val="24"/>
        </w:rPr>
      </w:pPr>
      <w:r w:rsidRPr="00534D5D">
        <w:rPr>
          <w:rFonts w:ascii="Palatino Linotype" w:hAnsi="Palatino Linotype"/>
          <w:bCs/>
          <w:sz w:val="24"/>
          <w:szCs w:val="24"/>
        </w:rPr>
        <w:t xml:space="preserve">The Joint IOUs’ proposal identifies areas outside of their direct control that they can support </w:t>
      </w:r>
      <w:r w:rsidRPr="00534D5D" w:rsidR="003B6C4D">
        <w:rPr>
          <w:rFonts w:ascii="Palatino Linotype" w:hAnsi="Palatino Linotype"/>
          <w:bCs/>
          <w:sz w:val="24"/>
          <w:szCs w:val="24"/>
        </w:rPr>
        <w:t xml:space="preserve">to </w:t>
      </w:r>
      <w:r w:rsidRPr="00534D5D">
        <w:rPr>
          <w:rFonts w:ascii="Palatino Linotype" w:hAnsi="Palatino Linotype"/>
          <w:bCs/>
          <w:sz w:val="24"/>
          <w:szCs w:val="24"/>
        </w:rPr>
        <w:t>improv</w:t>
      </w:r>
      <w:r w:rsidRPr="00534D5D" w:rsidR="003B6C4D">
        <w:rPr>
          <w:rFonts w:ascii="Palatino Linotype" w:hAnsi="Palatino Linotype"/>
          <w:bCs/>
          <w:sz w:val="24"/>
          <w:szCs w:val="24"/>
        </w:rPr>
        <w:t>e</w:t>
      </w:r>
      <w:r w:rsidRPr="00534D5D">
        <w:rPr>
          <w:rFonts w:ascii="Palatino Linotype" w:hAnsi="Palatino Linotype"/>
          <w:bCs/>
          <w:sz w:val="24"/>
          <w:szCs w:val="24"/>
        </w:rPr>
        <w:t xml:space="preserve"> the service energization process</w:t>
      </w:r>
      <w:r w:rsidRPr="00534D5D" w:rsidR="003B6C4D">
        <w:rPr>
          <w:rFonts w:ascii="Palatino Linotype" w:hAnsi="Palatino Linotype"/>
          <w:bCs/>
          <w:sz w:val="24"/>
          <w:szCs w:val="24"/>
        </w:rPr>
        <w:t>,</w:t>
      </w:r>
      <w:r w:rsidRPr="00534D5D">
        <w:rPr>
          <w:rFonts w:ascii="Palatino Linotype" w:hAnsi="Palatino Linotype"/>
          <w:bCs/>
          <w:sz w:val="24"/>
          <w:szCs w:val="24"/>
        </w:rPr>
        <w:t xml:space="preserve"> includ</w:t>
      </w:r>
      <w:r w:rsidRPr="00534D5D" w:rsidR="003B6C4D">
        <w:rPr>
          <w:rFonts w:ascii="Palatino Linotype" w:hAnsi="Palatino Linotype"/>
          <w:bCs/>
          <w:sz w:val="24"/>
          <w:szCs w:val="24"/>
        </w:rPr>
        <w:t>ing</w:t>
      </w:r>
      <w:r w:rsidRPr="00534D5D">
        <w:rPr>
          <w:rFonts w:ascii="Palatino Linotype" w:hAnsi="Palatino Linotype"/>
          <w:bCs/>
          <w:sz w:val="24"/>
          <w:szCs w:val="24"/>
        </w:rPr>
        <w:t>:</w:t>
      </w:r>
    </w:p>
    <w:p w:rsidRPr="00534D5D" w:rsidR="008A4D5C" w:rsidP="00EB21F9" w:rsidRDefault="00EB21F9" w14:paraId="1B4251D2" w14:textId="12881670">
      <w:pPr>
        <w:pStyle w:val="ListParagraph"/>
        <w:numPr>
          <w:ilvl w:val="0"/>
          <w:numId w:val="16"/>
        </w:numPr>
        <w:rPr>
          <w:rFonts w:ascii="Palatino Linotype" w:hAnsi="Palatino Linotype"/>
          <w:bCs/>
          <w:sz w:val="24"/>
          <w:szCs w:val="24"/>
        </w:rPr>
      </w:pPr>
      <w:r w:rsidRPr="00534D5D">
        <w:rPr>
          <w:rFonts w:ascii="Palatino Linotype" w:hAnsi="Palatino Linotype"/>
          <w:bCs/>
          <w:sz w:val="24"/>
          <w:szCs w:val="24"/>
        </w:rPr>
        <w:t xml:space="preserve">Requesting forecasts of future charger deployment from the large EVSP and EV fleet customers </w:t>
      </w:r>
    </w:p>
    <w:p w:rsidRPr="00534D5D" w:rsidR="00EB21F9" w:rsidP="00071C17" w:rsidRDefault="008A4D5C" w14:paraId="2E92244D" w14:textId="09D18E53">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T</w:t>
      </w:r>
      <w:r w:rsidRPr="00534D5D" w:rsidR="00EB21F9">
        <w:rPr>
          <w:rFonts w:ascii="Palatino Linotype" w:hAnsi="Palatino Linotype"/>
          <w:bCs/>
          <w:sz w:val="24"/>
          <w:szCs w:val="24"/>
        </w:rPr>
        <w:t xml:space="preserve">he Joint IOUs state </w:t>
      </w:r>
      <w:r w:rsidRPr="00534D5D" w:rsidR="004D78D1">
        <w:rPr>
          <w:rFonts w:ascii="Palatino Linotype" w:hAnsi="Palatino Linotype"/>
          <w:bCs/>
          <w:sz w:val="24"/>
          <w:szCs w:val="24"/>
        </w:rPr>
        <w:t xml:space="preserve">requesting forecast of future charger deployment from customers </w:t>
      </w:r>
      <w:r w:rsidRPr="00534D5D" w:rsidR="00EB21F9">
        <w:rPr>
          <w:rFonts w:ascii="Palatino Linotype" w:hAnsi="Palatino Linotype"/>
          <w:bCs/>
          <w:sz w:val="24"/>
          <w:szCs w:val="24"/>
        </w:rPr>
        <w:t xml:space="preserve">will help the IOUs plan future infrastructure deployments and have the necessary internal resources in place to timely serve new EV Infrastructure Rule applications as they are submitted. </w:t>
      </w:r>
    </w:p>
    <w:p w:rsidRPr="00534D5D" w:rsidR="00EB21F9" w:rsidP="00EB21F9" w:rsidRDefault="00EB21F9" w14:paraId="37876096" w14:textId="77777777">
      <w:pPr>
        <w:pStyle w:val="ListParagraph"/>
        <w:numPr>
          <w:ilvl w:val="0"/>
          <w:numId w:val="16"/>
        </w:numPr>
        <w:rPr>
          <w:rFonts w:ascii="Palatino Linotype" w:hAnsi="Palatino Linotype"/>
          <w:bCs/>
          <w:sz w:val="24"/>
          <w:szCs w:val="24"/>
        </w:rPr>
      </w:pPr>
      <w:r w:rsidRPr="00534D5D">
        <w:rPr>
          <w:rFonts w:ascii="Palatino Linotype" w:hAnsi="Palatino Linotype"/>
          <w:bCs/>
          <w:sz w:val="24"/>
          <w:szCs w:val="24"/>
        </w:rPr>
        <w:t>Educating local governments and other AHJs about the expected future growth of EV charging deployments and required permitting.</w:t>
      </w:r>
    </w:p>
    <w:p w:rsidRPr="00534D5D" w:rsidR="00A31179" w:rsidP="00071C17" w:rsidRDefault="00793956" w14:paraId="2F4E934A" w14:textId="288D27D4">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The Joint IOUs state that some IOUs are actively contributing to efforts by GO-Biz to speed local permitting</w:t>
      </w:r>
      <w:r w:rsidRPr="00534D5D" w:rsidR="00516999">
        <w:rPr>
          <w:rFonts w:ascii="Palatino Linotype" w:hAnsi="Palatino Linotype"/>
          <w:bCs/>
          <w:sz w:val="24"/>
          <w:szCs w:val="24"/>
        </w:rPr>
        <w:t xml:space="preserve"> processes.</w:t>
      </w:r>
    </w:p>
    <w:p w:rsidRPr="00534D5D" w:rsidR="008A4D5C" w:rsidP="00EB21F9" w:rsidRDefault="00EB21F9" w14:paraId="65C21D0D" w14:textId="4E83B4F7">
      <w:pPr>
        <w:pStyle w:val="ListParagraph"/>
        <w:numPr>
          <w:ilvl w:val="0"/>
          <w:numId w:val="16"/>
        </w:numPr>
        <w:rPr>
          <w:rFonts w:ascii="Palatino Linotype" w:hAnsi="Palatino Linotype"/>
          <w:bCs/>
          <w:sz w:val="24"/>
          <w:szCs w:val="24"/>
        </w:rPr>
      </w:pPr>
      <w:r w:rsidRPr="00534D5D">
        <w:rPr>
          <w:rFonts w:ascii="Palatino Linotype" w:hAnsi="Palatino Linotype"/>
          <w:bCs/>
          <w:sz w:val="24"/>
          <w:szCs w:val="24"/>
        </w:rPr>
        <w:t xml:space="preserve">Assigning </w:t>
      </w:r>
      <w:r w:rsidRPr="00534D5D" w:rsidR="002D2C17">
        <w:rPr>
          <w:rFonts w:ascii="Palatino Linotype" w:hAnsi="Palatino Linotype"/>
          <w:bCs/>
          <w:sz w:val="24"/>
          <w:szCs w:val="24"/>
        </w:rPr>
        <w:t xml:space="preserve">a </w:t>
      </w:r>
      <w:r w:rsidRPr="00534D5D">
        <w:rPr>
          <w:rFonts w:ascii="Palatino Linotype" w:hAnsi="Palatino Linotype"/>
          <w:bCs/>
          <w:sz w:val="24"/>
          <w:szCs w:val="24"/>
        </w:rPr>
        <w:t>consistent</w:t>
      </w:r>
      <w:r w:rsidRPr="00534D5D" w:rsidR="004832B1">
        <w:rPr>
          <w:rFonts w:ascii="Palatino Linotype" w:hAnsi="Palatino Linotype"/>
          <w:bCs/>
          <w:sz w:val="24"/>
          <w:szCs w:val="24"/>
        </w:rPr>
        <w:t xml:space="preserve">, </w:t>
      </w:r>
      <w:r w:rsidRPr="00534D5D" w:rsidR="008A4D5C">
        <w:rPr>
          <w:rFonts w:ascii="Palatino Linotype" w:hAnsi="Palatino Linotype"/>
          <w:bCs/>
          <w:sz w:val="24"/>
          <w:szCs w:val="24"/>
        </w:rPr>
        <w:t>standardized</w:t>
      </w:r>
      <w:r w:rsidRPr="00534D5D">
        <w:rPr>
          <w:rFonts w:ascii="Palatino Linotype" w:hAnsi="Palatino Linotype"/>
          <w:bCs/>
          <w:sz w:val="24"/>
          <w:szCs w:val="24"/>
        </w:rPr>
        <w:t xml:space="preserve"> premise addresses</w:t>
      </w:r>
      <w:r w:rsidRPr="00534D5D" w:rsidR="008A4D5C">
        <w:rPr>
          <w:rFonts w:ascii="Palatino Linotype" w:hAnsi="Palatino Linotype"/>
          <w:bCs/>
          <w:sz w:val="24"/>
          <w:szCs w:val="24"/>
        </w:rPr>
        <w:t xml:space="preserve"> to each site</w:t>
      </w:r>
      <w:r w:rsidRPr="00534D5D">
        <w:rPr>
          <w:rFonts w:ascii="Palatino Linotype" w:hAnsi="Palatino Linotype"/>
          <w:bCs/>
          <w:sz w:val="24"/>
          <w:szCs w:val="24"/>
        </w:rPr>
        <w:t xml:space="preserve"> </w:t>
      </w:r>
    </w:p>
    <w:p w:rsidRPr="00534D5D" w:rsidR="004832B1" w:rsidP="00071C17" w:rsidRDefault="008A4D5C" w14:paraId="22ADC497" w14:textId="4133C712">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T</w:t>
      </w:r>
      <w:r w:rsidRPr="00534D5D" w:rsidR="00EB21F9">
        <w:rPr>
          <w:rFonts w:ascii="Palatino Linotype" w:hAnsi="Palatino Linotype"/>
          <w:bCs/>
          <w:sz w:val="24"/>
          <w:szCs w:val="24"/>
        </w:rPr>
        <w:t xml:space="preserve">he Joint IOUs claim </w:t>
      </w:r>
      <w:r w:rsidRPr="00534D5D">
        <w:rPr>
          <w:rFonts w:ascii="Palatino Linotype" w:hAnsi="Palatino Linotype"/>
          <w:bCs/>
          <w:sz w:val="24"/>
          <w:szCs w:val="24"/>
        </w:rPr>
        <w:t xml:space="preserve">assigning a </w:t>
      </w:r>
      <w:r w:rsidRPr="00534D5D" w:rsidR="004832B1">
        <w:rPr>
          <w:rFonts w:ascii="Palatino Linotype" w:hAnsi="Palatino Linotype"/>
          <w:bCs/>
          <w:sz w:val="24"/>
          <w:szCs w:val="24"/>
        </w:rPr>
        <w:t>consistent</w:t>
      </w:r>
      <w:r w:rsidRPr="00534D5D">
        <w:rPr>
          <w:rFonts w:ascii="Palatino Linotype" w:hAnsi="Palatino Linotype"/>
          <w:bCs/>
          <w:sz w:val="24"/>
          <w:szCs w:val="24"/>
        </w:rPr>
        <w:t xml:space="preserve"> premise address to each site </w:t>
      </w:r>
      <w:r w:rsidRPr="00534D5D" w:rsidR="00EB21F9">
        <w:rPr>
          <w:rFonts w:ascii="Palatino Linotype" w:hAnsi="Palatino Linotype"/>
          <w:bCs/>
          <w:sz w:val="24"/>
          <w:szCs w:val="24"/>
        </w:rPr>
        <w:t>will help EV charging projects comply with local jurisdiction address</w:t>
      </w:r>
      <w:r w:rsidRPr="00534D5D">
        <w:rPr>
          <w:rFonts w:ascii="Palatino Linotype" w:hAnsi="Palatino Linotype"/>
          <w:bCs/>
          <w:sz w:val="24"/>
          <w:szCs w:val="24"/>
        </w:rPr>
        <w:t xml:space="preserve"> formatting </w:t>
      </w:r>
      <w:r w:rsidRPr="00534D5D" w:rsidR="00EB21F9">
        <w:rPr>
          <w:rFonts w:ascii="Palatino Linotype" w:hAnsi="Palatino Linotype"/>
          <w:bCs/>
          <w:sz w:val="24"/>
          <w:szCs w:val="24"/>
        </w:rPr>
        <w:t xml:space="preserve">requirements. </w:t>
      </w:r>
    </w:p>
    <w:p w:rsidRPr="00534D5D" w:rsidR="004832B1" w:rsidP="004832B1" w:rsidRDefault="00EB21F9" w14:paraId="17B45FCD" w14:textId="7A68CAB7">
      <w:pPr>
        <w:pStyle w:val="ListParagraph"/>
        <w:numPr>
          <w:ilvl w:val="0"/>
          <w:numId w:val="16"/>
        </w:numPr>
        <w:rPr>
          <w:rFonts w:ascii="Palatino Linotype" w:hAnsi="Palatino Linotype"/>
          <w:sz w:val="24"/>
          <w:szCs w:val="24"/>
          <w:u w:val="single"/>
        </w:rPr>
      </w:pPr>
      <w:r w:rsidRPr="00534D5D">
        <w:rPr>
          <w:rFonts w:ascii="Palatino Linotype" w:hAnsi="Palatino Linotype"/>
          <w:bCs/>
          <w:sz w:val="24"/>
          <w:szCs w:val="24"/>
        </w:rPr>
        <w:t xml:space="preserve">Strengthening internal supply management practices to secure required equipment and materials </w:t>
      </w:r>
    </w:p>
    <w:p w:rsidRPr="00534D5D" w:rsidR="00EB21F9" w:rsidP="00071C17" w:rsidRDefault="004832B1" w14:paraId="6CFA1A7D" w14:textId="2135C2C5">
      <w:pPr>
        <w:pStyle w:val="ListParagraph"/>
        <w:numPr>
          <w:ilvl w:val="1"/>
          <w:numId w:val="16"/>
        </w:numPr>
        <w:rPr>
          <w:rFonts w:ascii="Palatino Linotype" w:hAnsi="Palatino Linotype"/>
          <w:i/>
          <w:iCs/>
          <w:sz w:val="24"/>
          <w:szCs w:val="24"/>
          <w:u w:val="single"/>
        </w:rPr>
      </w:pPr>
      <w:r w:rsidRPr="00534D5D">
        <w:rPr>
          <w:rFonts w:ascii="Palatino Linotype" w:hAnsi="Palatino Linotype"/>
          <w:bCs/>
          <w:sz w:val="24"/>
          <w:szCs w:val="24"/>
        </w:rPr>
        <w:t>T</w:t>
      </w:r>
      <w:r w:rsidRPr="00534D5D" w:rsidR="00EB21F9">
        <w:rPr>
          <w:rFonts w:ascii="Palatino Linotype" w:hAnsi="Palatino Linotype"/>
          <w:bCs/>
          <w:sz w:val="24"/>
          <w:szCs w:val="24"/>
        </w:rPr>
        <w:t xml:space="preserve">he Joint IOUs state </w:t>
      </w:r>
      <w:r w:rsidRPr="00534D5D">
        <w:rPr>
          <w:rFonts w:ascii="Palatino Linotype" w:hAnsi="Palatino Linotype"/>
          <w:bCs/>
          <w:sz w:val="24"/>
          <w:szCs w:val="24"/>
        </w:rPr>
        <w:t xml:space="preserve">strengthening internal supply management practices </w:t>
      </w:r>
      <w:r w:rsidRPr="00534D5D" w:rsidR="00EB21F9">
        <w:rPr>
          <w:rFonts w:ascii="Palatino Linotype" w:hAnsi="Palatino Linotype"/>
          <w:bCs/>
          <w:sz w:val="24"/>
          <w:szCs w:val="24"/>
        </w:rPr>
        <w:t>will help customers better understand their needs early in the process to mitigate some challenges with delivery of materials.</w:t>
      </w:r>
    </w:p>
    <w:p w:rsidRPr="00534D5D" w:rsidR="00602484" w:rsidP="00071C17" w:rsidRDefault="00602484" w14:paraId="015563A4" w14:textId="7AB278C1">
      <w:pPr>
        <w:rPr>
          <w:rFonts w:ascii="Palatino Linotype" w:hAnsi="Palatino Linotype"/>
          <w:i/>
          <w:iCs/>
          <w:sz w:val="24"/>
          <w:szCs w:val="24"/>
          <w:u w:val="single"/>
        </w:rPr>
      </w:pPr>
      <w:r w:rsidRPr="00534D5D">
        <w:rPr>
          <w:rFonts w:ascii="Palatino Linotype" w:hAnsi="Palatino Linotype"/>
          <w:i/>
          <w:iCs/>
          <w:sz w:val="24"/>
          <w:szCs w:val="24"/>
          <w:u w:val="single"/>
        </w:rPr>
        <w:t xml:space="preserve">Ensures the proposal is reflective of the discussions and feedback from the workshop, including the feedback of industry representative  </w:t>
      </w:r>
    </w:p>
    <w:p w:rsidRPr="00534D5D" w:rsidR="00453182" w:rsidP="00453182" w:rsidRDefault="00453182" w14:paraId="76E0644D" w14:textId="448042A9">
      <w:pPr>
        <w:rPr>
          <w:rFonts w:ascii="Palatino Linotype" w:hAnsi="Palatino Linotype"/>
          <w:bCs/>
          <w:sz w:val="24"/>
          <w:szCs w:val="24"/>
        </w:rPr>
      </w:pPr>
      <w:r w:rsidRPr="00534D5D">
        <w:rPr>
          <w:rFonts w:ascii="Palatino Linotype" w:hAnsi="Palatino Linotype"/>
          <w:bCs/>
          <w:sz w:val="24"/>
          <w:szCs w:val="24"/>
        </w:rPr>
        <w:t xml:space="preserve">The Joint IOU AL </w:t>
      </w:r>
      <w:r w:rsidRPr="00534D5D" w:rsidR="00960A96">
        <w:rPr>
          <w:rFonts w:ascii="Palatino Linotype" w:hAnsi="Palatino Linotype"/>
          <w:bCs/>
          <w:sz w:val="24"/>
          <w:szCs w:val="24"/>
        </w:rPr>
        <w:t xml:space="preserve">identifies </w:t>
      </w:r>
      <w:proofErr w:type="gramStart"/>
      <w:r w:rsidRPr="00534D5D" w:rsidR="00960A96">
        <w:rPr>
          <w:rFonts w:ascii="Palatino Linotype" w:hAnsi="Palatino Linotype"/>
          <w:bCs/>
          <w:sz w:val="24"/>
          <w:szCs w:val="24"/>
        </w:rPr>
        <w:t>a number of</w:t>
      </w:r>
      <w:proofErr w:type="gramEnd"/>
      <w:r w:rsidRPr="00534D5D" w:rsidR="00960A96">
        <w:rPr>
          <w:rFonts w:ascii="Palatino Linotype" w:hAnsi="Palatino Linotype"/>
          <w:bCs/>
          <w:sz w:val="24"/>
          <w:szCs w:val="24"/>
        </w:rPr>
        <w:t xml:space="preserve"> ways </w:t>
      </w:r>
      <w:r w:rsidRPr="00534D5D">
        <w:rPr>
          <w:rFonts w:ascii="Palatino Linotype" w:hAnsi="Palatino Linotype"/>
          <w:bCs/>
          <w:sz w:val="24"/>
          <w:szCs w:val="24"/>
        </w:rPr>
        <w:t xml:space="preserve">that they considered the informal recommendations from Amply, Electrify America, and the Joint EV Industry, and some, </w:t>
      </w:r>
      <w:r w:rsidRPr="00534D5D">
        <w:rPr>
          <w:rFonts w:ascii="Palatino Linotype" w:hAnsi="Palatino Linotype"/>
          <w:bCs/>
          <w:sz w:val="24"/>
          <w:szCs w:val="24"/>
        </w:rPr>
        <w:lastRenderedPageBreak/>
        <w:t>but not all of the IOUs, have made some of the following, non-exhaustive list of improvements:</w:t>
      </w:r>
    </w:p>
    <w:p w:rsidRPr="00534D5D" w:rsidR="00453182" w:rsidP="00071C17" w:rsidRDefault="00453182" w14:paraId="1974CBD2" w14:textId="77777777">
      <w:pPr>
        <w:pStyle w:val="ListParagraph"/>
        <w:numPr>
          <w:ilvl w:val="0"/>
          <w:numId w:val="19"/>
        </w:numPr>
        <w:ind w:left="720"/>
        <w:rPr>
          <w:rFonts w:ascii="Palatino Linotype" w:hAnsi="Palatino Linotype"/>
          <w:i/>
          <w:iCs/>
          <w:sz w:val="24"/>
          <w:szCs w:val="24"/>
          <w:u w:val="single"/>
        </w:rPr>
      </w:pPr>
      <w:r w:rsidRPr="00534D5D">
        <w:rPr>
          <w:rFonts w:ascii="Palatino Linotype" w:hAnsi="Palatino Linotype"/>
          <w:sz w:val="24"/>
          <w:szCs w:val="24"/>
        </w:rPr>
        <w:t>Assigning dedicated IOU design and project management resources to EV projects</w:t>
      </w:r>
    </w:p>
    <w:p w:rsidRPr="00534D5D" w:rsidR="00453182" w:rsidP="00071C17" w:rsidRDefault="00453182" w14:paraId="30BBF5DB" w14:textId="77777777">
      <w:pPr>
        <w:pStyle w:val="ListParagraph"/>
        <w:numPr>
          <w:ilvl w:val="1"/>
          <w:numId w:val="19"/>
        </w:numPr>
        <w:ind w:left="1440"/>
        <w:rPr>
          <w:rFonts w:ascii="Palatino Linotype" w:hAnsi="Palatino Linotype"/>
          <w:i/>
          <w:iCs/>
          <w:sz w:val="24"/>
          <w:szCs w:val="24"/>
          <w:u w:val="single"/>
        </w:rPr>
      </w:pPr>
      <w:r w:rsidRPr="00534D5D">
        <w:rPr>
          <w:rFonts w:ascii="Palatino Linotype" w:hAnsi="Palatino Linotype"/>
          <w:bCs/>
          <w:sz w:val="24"/>
          <w:szCs w:val="24"/>
        </w:rPr>
        <w:t>The Joint IOUs state dedicating resources to the EV Infrastructure Rule implementation will allow IOU staff to specialize in EV projects and build ongoing relationships with major EV charging customers, and the IOUs plan to continue increasing the number of design staff assigned to EV Infrastructure Rules work as the number of customers requesting service under the Rules increases.</w:t>
      </w:r>
    </w:p>
    <w:p w:rsidRPr="00534D5D" w:rsidR="00453182" w:rsidP="00071C17" w:rsidRDefault="00453182" w14:paraId="35D39FBC" w14:textId="77777777">
      <w:pPr>
        <w:pStyle w:val="ListParagraph"/>
        <w:numPr>
          <w:ilvl w:val="0"/>
          <w:numId w:val="19"/>
        </w:numPr>
        <w:ind w:left="720"/>
        <w:rPr>
          <w:rFonts w:ascii="Palatino Linotype" w:hAnsi="Palatino Linotype"/>
          <w:i/>
          <w:iCs/>
          <w:sz w:val="24"/>
          <w:szCs w:val="24"/>
          <w:u w:val="single"/>
        </w:rPr>
      </w:pPr>
      <w:r w:rsidRPr="00534D5D">
        <w:rPr>
          <w:rFonts w:ascii="Palatino Linotype" w:hAnsi="Palatino Linotype"/>
          <w:sz w:val="24"/>
          <w:szCs w:val="24"/>
        </w:rPr>
        <w:t>Improving public communication of IOU timeline and requirements</w:t>
      </w:r>
    </w:p>
    <w:p w:rsidRPr="00534D5D" w:rsidR="00453182" w:rsidP="00071C17" w:rsidRDefault="00453182" w14:paraId="12A3CC96" w14:textId="77777777">
      <w:pPr>
        <w:pStyle w:val="ListParagraph"/>
        <w:numPr>
          <w:ilvl w:val="1"/>
          <w:numId w:val="19"/>
        </w:numPr>
        <w:ind w:left="1440"/>
        <w:rPr>
          <w:rFonts w:ascii="Palatino Linotype" w:hAnsi="Palatino Linotype"/>
          <w:i/>
          <w:iCs/>
          <w:sz w:val="24"/>
          <w:szCs w:val="24"/>
          <w:u w:val="single"/>
        </w:rPr>
      </w:pPr>
      <w:r w:rsidRPr="00534D5D">
        <w:rPr>
          <w:rFonts w:ascii="Palatino Linotype" w:hAnsi="Palatino Linotype"/>
          <w:bCs/>
          <w:sz w:val="24"/>
          <w:szCs w:val="24"/>
        </w:rPr>
        <w:t>The Joint IOUs provide examples to improve public communication of IOU timelines and requirements that include PG&amp;E’s efforts to publish its EV Journey Map</w:t>
      </w:r>
      <w:r w:rsidRPr="00534D5D">
        <w:rPr>
          <w:rStyle w:val="FootnoteReference"/>
          <w:rFonts w:ascii="Palatino Linotype" w:hAnsi="Palatino Linotype"/>
          <w:bCs/>
          <w:sz w:val="24"/>
          <w:szCs w:val="24"/>
        </w:rPr>
        <w:footnoteReference w:id="11"/>
      </w:r>
      <w:r w:rsidRPr="00534D5D">
        <w:rPr>
          <w:rFonts w:ascii="Palatino Linotype" w:hAnsi="Palatino Linotype"/>
          <w:bCs/>
          <w:sz w:val="24"/>
          <w:szCs w:val="24"/>
        </w:rPr>
        <w:t xml:space="preserve"> to outline the key steps in the process to ensure clear understanding of responsibilities and utility target timelines, where applicable to utility-owned responsibilities. SCE is additionally developing a factsheet and welcome package for customers to help increase awareness around responsibilities, requirements, and timelines.</w:t>
      </w:r>
    </w:p>
    <w:p w:rsidRPr="00534D5D" w:rsidR="00453182" w:rsidP="00071C17" w:rsidRDefault="00453182" w14:paraId="30EC4F70" w14:textId="77777777">
      <w:pPr>
        <w:pStyle w:val="ListParagraph"/>
        <w:numPr>
          <w:ilvl w:val="0"/>
          <w:numId w:val="19"/>
        </w:numPr>
        <w:ind w:left="720"/>
        <w:rPr>
          <w:rFonts w:ascii="Palatino Linotype" w:hAnsi="Palatino Linotype"/>
          <w:i/>
          <w:iCs/>
          <w:sz w:val="24"/>
          <w:szCs w:val="24"/>
          <w:u w:val="single"/>
        </w:rPr>
      </w:pPr>
      <w:r w:rsidRPr="00534D5D">
        <w:rPr>
          <w:rFonts w:ascii="Palatino Linotype" w:hAnsi="Palatino Linotype"/>
          <w:sz w:val="24"/>
          <w:szCs w:val="24"/>
        </w:rPr>
        <w:t>Actively working to increase the accessibility of and information provided by the Interconnection Capacity Analysis maps</w:t>
      </w:r>
    </w:p>
    <w:p w:rsidRPr="00534D5D" w:rsidR="00453182" w:rsidP="00071C17" w:rsidRDefault="00453182" w14:paraId="74B05752" w14:textId="77777777">
      <w:pPr>
        <w:pStyle w:val="ListParagraph"/>
        <w:numPr>
          <w:ilvl w:val="1"/>
          <w:numId w:val="19"/>
        </w:numPr>
        <w:ind w:left="1440"/>
        <w:rPr>
          <w:rFonts w:ascii="Palatino Linotype" w:hAnsi="Palatino Linotype"/>
          <w:i/>
          <w:iCs/>
          <w:sz w:val="24"/>
          <w:szCs w:val="24"/>
          <w:u w:val="single"/>
        </w:rPr>
      </w:pPr>
      <w:r w:rsidRPr="00534D5D">
        <w:rPr>
          <w:rFonts w:ascii="Palatino Linotype" w:hAnsi="Palatino Linotype"/>
          <w:bCs/>
          <w:sz w:val="24"/>
          <w:szCs w:val="24"/>
        </w:rPr>
        <w:t>The Joint IOUs provide an example of SDG&amp;E currently sharing its capacity mapping data to help inform customers on the optimal grid locations for at scale charging infrastructure.</w:t>
      </w:r>
    </w:p>
    <w:p w:rsidRPr="00534D5D" w:rsidR="00453182" w:rsidP="00071C17" w:rsidRDefault="00453182" w14:paraId="2C12EA9D" w14:textId="77777777">
      <w:pPr>
        <w:pStyle w:val="ListParagraph"/>
        <w:numPr>
          <w:ilvl w:val="0"/>
          <w:numId w:val="19"/>
        </w:numPr>
        <w:ind w:left="720"/>
        <w:rPr>
          <w:rFonts w:ascii="Palatino Linotype" w:hAnsi="Palatino Linotype"/>
          <w:i/>
          <w:iCs/>
          <w:sz w:val="24"/>
          <w:szCs w:val="24"/>
          <w:u w:val="single"/>
        </w:rPr>
      </w:pPr>
      <w:r w:rsidRPr="00534D5D">
        <w:rPr>
          <w:rFonts w:ascii="Palatino Linotype" w:hAnsi="Palatino Linotype"/>
          <w:sz w:val="24"/>
          <w:szCs w:val="24"/>
        </w:rPr>
        <w:t>Considering opportunities to expedite the easement process</w:t>
      </w:r>
    </w:p>
    <w:p w:rsidRPr="00534D5D" w:rsidR="00453182" w:rsidP="00071C17" w:rsidRDefault="00453182" w14:paraId="6CBF4C65" w14:textId="77777777">
      <w:pPr>
        <w:pStyle w:val="ListParagraph"/>
        <w:numPr>
          <w:ilvl w:val="1"/>
          <w:numId w:val="19"/>
        </w:numPr>
        <w:ind w:left="1440"/>
        <w:rPr>
          <w:rFonts w:ascii="Palatino Linotype" w:hAnsi="Palatino Linotype"/>
          <w:i/>
          <w:iCs/>
          <w:sz w:val="24"/>
          <w:szCs w:val="24"/>
          <w:u w:val="single"/>
        </w:rPr>
      </w:pPr>
      <w:r w:rsidRPr="00534D5D">
        <w:rPr>
          <w:rFonts w:ascii="Palatino Linotype" w:hAnsi="Palatino Linotype"/>
          <w:bCs/>
          <w:sz w:val="24"/>
          <w:szCs w:val="24"/>
        </w:rPr>
        <w:t>The Joint IOUs cite to examples of expediting the easement process that include PG&amp;E’s offering of pre-approved easement language to customers to avoid any potential delays in securing land rights. They additionally cite to SCE’s efforts to update its processes to provide customers with a sample easement document earlier in the project lifecycle and plans to allow customers to prepare/provide certain components of the easement materials (i.e., legal description and exhibits) to help expedite the process.</w:t>
      </w:r>
    </w:p>
    <w:p w:rsidRPr="00534D5D" w:rsidR="00453182" w:rsidP="00071C17" w:rsidRDefault="00453182" w14:paraId="01E2A3D9" w14:textId="77777777">
      <w:pPr>
        <w:pStyle w:val="ListParagraph"/>
        <w:numPr>
          <w:ilvl w:val="0"/>
          <w:numId w:val="19"/>
        </w:numPr>
        <w:ind w:left="720"/>
        <w:rPr>
          <w:rFonts w:ascii="Palatino Linotype" w:hAnsi="Palatino Linotype"/>
          <w:i/>
          <w:iCs/>
          <w:sz w:val="24"/>
          <w:szCs w:val="24"/>
          <w:u w:val="single"/>
        </w:rPr>
      </w:pPr>
      <w:r w:rsidRPr="00534D5D">
        <w:rPr>
          <w:rFonts w:ascii="Palatino Linotype" w:hAnsi="Palatino Linotype"/>
          <w:sz w:val="24"/>
          <w:szCs w:val="24"/>
        </w:rPr>
        <w:t>Conducting regular meetings with major EVSP customers</w:t>
      </w:r>
    </w:p>
    <w:p w:rsidRPr="00534D5D" w:rsidR="00453182" w:rsidP="00071C17" w:rsidRDefault="00453182" w14:paraId="6EB477B2" w14:textId="77777777">
      <w:pPr>
        <w:pStyle w:val="ListParagraph"/>
        <w:numPr>
          <w:ilvl w:val="1"/>
          <w:numId w:val="19"/>
        </w:numPr>
        <w:ind w:left="1440"/>
        <w:rPr>
          <w:rFonts w:ascii="Palatino Linotype" w:hAnsi="Palatino Linotype"/>
          <w:i/>
          <w:iCs/>
          <w:sz w:val="24"/>
          <w:szCs w:val="24"/>
          <w:u w:val="single"/>
        </w:rPr>
      </w:pPr>
      <w:r w:rsidRPr="00534D5D">
        <w:rPr>
          <w:rFonts w:ascii="Palatino Linotype" w:hAnsi="Palatino Linotype"/>
          <w:bCs/>
          <w:sz w:val="24"/>
          <w:szCs w:val="24"/>
        </w:rPr>
        <w:lastRenderedPageBreak/>
        <w:t>The Joint IOUs state that some IOUs currently host recurring meetings with many of the major EVSP customers on a biweekly or monthly basis to improve communication and inform them about new service processes, helping customers plan their applications and avoiding miscommunications.</w:t>
      </w:r>
    </w:p>
    <w:p w:rsidRPr="00534D5D" w:rsidR="00610DAF" w:rsidP="003438E2" w:rsidRDefault="00453182" w14:paraId="3D1BC78D" w14:textId="126342E5">
      <w:pPr>
        <w:pStyle w:val="ListParagraph"/>
        <w:numPr>
          <w:ilvl w:val="0"/>
          <w:numId w:val="19"/>
        </w:numPr>
        <w:rPr>
          <w:rFonts w:ascii="Palatino Linotype" w:hAnsi="Palatino Linotype"/>
          <w:bCs/>
          <w:sz w:val="24"/>
          <w:szCs w:val="24"/>
        </w:rPr>
      </w:pPr>
      <w:r w:rsidRPr="00534D5D">
        <w:rPr>
          <w:rFonts w:ascii="Palatino Linotype" w:hAnsi="Palatino Linotype"/>
          <w:bCs/>
          <w:sz w:val="24"/>
          <w:szCs w:val="24"/>
        </w:rPr>
        <w:t>Establishing standards for when the IOU engineering review of the distribution system impacts are required</w:t>
      </w:r>
    </w:p>
    <w:p w:rsidRPr="00534D5D" w:rsidR="00610DAF" w:rsidP="0037223F" w:rsidRDefault="00453182" w14:paraId="61148C1B" w14:textId="7278EE57">
      <w:pPr>
        <w:pStyle w:val="ListParagraph"/>
        <w:numPr>
          <w:ilvl w:val="1"/>
          <w:numId w:val="19"/>
        </w:numPr>
        <w:rPr>
          <w:rFonts w:ascii="Palatino Linotype" w:hAnsi="Palatino Linotype"/>
          <w:sz w:val="24"/>
          <w:szCs w:val="24"/>
        </w:rPr>
      </w:pPr>
      <w:r w:rsidRPr="00534D5D">
        <w:rPr>
          <w:rFonts w:ascii="Palatino Linotype" w:hAnsi="Palatino Linotype"/>
          <w:sz w:val="24"/>
          <w:szCs w:val="24"/>
        </w:rPr>
        <w:t xml:space="preserve">The Joint IOUs provide an example of establishing engineering review standards through SCE having a system in place that allows for projects with less than 500 kilowatts to bypass an engineering review, in locations where there are not capacity constraint concerns. </w:t>
      </w:r>
    </w:p>
    <w:p w:rsidR="00610DAF" w:rsidP="001A3A1A" w:rsidRDefault="009A10D0" w14:paraId="6AEDDAE1" w14:textId="37FAC2ED">
      <w:pPr>
        <w:spacing w:after="0"/>
        <w:rPr>
          <w:rFonts w:ascii="Palatino Linotype" w:hAnsi="Palatino Linotype"/>
          <w:bCs/>
          <w:sz w:val="24"/>
          <w:szCs w:val="24"/>
        </w:rPr>
      </w:pPr>
      <w:r w:rsidRPr="00534D5D">
        <w:rPr>
          <w:rFonts w:ascii="Palatino Linotype" w:hAnsi="Palatino Linotype"/>
          <w:bCs/>
          <w:sz w:val="24"/>
          <w:szCs w:val="24"/>
        </w:rPr>
        <w:t xml:space="preserve">The Joint IOUs </w:t>
      </w:r>
      <w:r w:rsidRPr="00534D5D" w:rsidR="00644604">
        <w:rPr>
          <w:rFonts w:ascii="Palatino Linotype" w:hAnsi="Palatino Linotype"/>
          <w:bCs/>
          <w:sz w:val="24"/>
          <w:szCs w:val="24"/>
        </w:rPr>
        <w:t xml:space="preserve">note that while they have or are in the process of taking steps to address numerous stakeholder recommendations, there are some recommendations that the IOUs are unable to address for various reasons. </w:t>
      </w:r>
      <w:r w:rsidRPr="00534D5D" w:rsidR="00B33FDE">
        <w:rPr>
          <w:rFonts w:ascii="Palatino Linotype" w:hAnsi="Palatino Linotype"/>
          <w:bCs/>
          <w:sz w:val="24"/>
          <w:szCs w:val="24"/>
        </w:rPr>
        <w:t xml:space="preserve">The Joint IOUs </w:t>
      </w:r>
      <w:r w:rsidRPr="00534D5D" w:rsidR="00993635">
        <w:rPr>
          <w:rFonts w:ascii="Palatino Linotype" w:hAnsi="Palatino Linotype"/>
          <w:bCs/>
          <w:sz w:val="24"/>
          <w:szCs w:val="24"/>
        </w:rPr>
        <w:t>specifically state that they are unable to address</w:t>
      </w:r>
      <w:r w:rsidRPr="00534D5D" w:rsidR="00B0421D">
        <w:rPr>
          <w:rFonts w:ascii="Palatino Linotype" w:hAnsi="Palatino Linotype"/>
          <w:bCs/>
          <w:sz w:val="24"/>
          <w:szCs w:val="24"/>
        </w:rPr>
        <w:t xml:space="preserve"> </w:t>
      </w:r>
      <w:r w:rsidRPr="00534D5D" w:rsidR="00993635">
        <w:rPr>
          <w:rFonts w:ascii="Palatino Linotype" w:hAnsi="Palatino Linotype"/>
          <w:bCs/>
          <w:sz w:val="24"/>
          <w:szCs w:val="24"/>
        </w:rPr>
        <w:t xml:space="preserve">the stakeholder recommendation </w:t>
      </w:r>
      <w:r w:rsidRPr="00534D5D" w:rsidR="002107C4">
        <w:rPr>
          <w:rFonts w:ascii="Palatino Linotype" w:hAnsi="Palatino Linotype"/>
          <w:bCs/>
          <w:sz w:val="24"/>
          <w:szCs w:val="24"/>
        </w:rPr>
        <w:t>for the IOUs to adopt specific timeframes for certain tasks. The Joint IOUs assert they discussed</w:t>
      </w:r>
      <w:r w:rsidRPr="00534D5D" w:rsidR="000D327D">
        <w:rPr>
          <w:rFonts w:ascii="Palatino Linotype" w:hAnsi="Palatino Linotype"/>
          <w:bCs/>
          <w:sz w:val="24"/>
          <w:szCs w:val="24"/>
        </w:rPr>
        <w:t xml:space="preserve"> this </w:t>
      </w:r>
      <w:r w:rsidRPr="00534D5D" w:rsidR="008A2B25">
        <w:rPr>
          <w:rFonts w:ascii="Palatino Linotype" w:hAnsi="Palatino Linotype"/>
          <w:bCs/>
          <w:sz w:val="24"/>
          <w:szCs w:val="24"/>
        </w:rPr>
        <w:t>recommendation</w:t>
      </w:r>
      <w:r w:rsidRPr="00534D5D" w:rsidR="00FE6DA3">
        <w:rPr>
          <w:rFonts w:ascii="Palatino Linotype" w:hAnsi="Palatino Linotype"/>
          <w:bCs/>
          <w:sz w:val="24"/>
          <w:szCs w:val="24"/>
        </w:rPr>
        <w:t xml:space="preserve"> internally</w:t>
      </w:r>
      <w:r w:rsidRPr="00534D5D" w:rsidR="008A2B25">
        <w:rPr>
          <w:rFonts w:ascii="Palatino Linotype" w:hAnsi="Palatino Linotype"/>
          <w:bCs/>
          <w:sz w:val="24"/>
          <w:szCs w:val="24"/>
        </w:rPr>
        <w:t xml:space="preserve"> but</w:t>
      </w:r>
      <w:r w:rsidRPr="00534D5D" w:rsidR="000D327D">
        <w:rPr>
          <w:rFonts w:ascii="Palatino Linotype" w:hAnsi="Palatino Linotype"/>
          <w:bCs/>
          <w:sz w:val="24"/>
          <w:szCs w:val="24"/>
        </w:rPr>
        <w:t xml:space="preserve"> concluded that they could not include it </w:t>
      </w:r>
      <w:r w:rsidRPr="00534D5D" w:rsidR="00FE6DA3">
        <w:rPr>
          <w:rFonts w:ascii="Palatino Linotype" w:hAnsi="Palatino Linotype"/>
          <w:bCs/>
          <w:sz w:val="24"/>
          <w:szCs w:val="24"/>
        </w:rPr>
        <w:t xml:space="preserve">within the average service </w:t>
      </w:r>
      <w:r w:rsidRPr="00534D5D" w:rsidR="007F5F26">
        <w:rPr>
          <w:rFonts w:ascii="Palatino Linotype" w:hAnsi="Palatino Linotype"/>
          <w:bCs/>
          <w:sz w:val="24"/>
          <w:szCs w:val="24"/>
        </w:rPr>
        <w:t>energization</w:t>
      </w:r>
      <w:r w:rsidRPr="00534D5D" w:rsidR="00FE6DA3">
        <w:rPr>
          <w:rFonts w:ascii="Palatino Linotype" w:hAnsi="Palatino Linotype"/>
          <w:bCs/>
          <w:sz w:val="24"/>
          <w:szCs w:val="24"/>
        </w:rPr>
        <w:t xml:space="preserve"> timeline </w:t>
      </w:r>
      <w:r w:rsidRPr="00534D5D" w:rsidR="000D327D">
        <w:rPr>
          <w:rFonts w:ascii="Palatino Linotype" w:hAnsi="Palatino Linotype"/>
          <w:bCs/>
          <w:sz w:val="24"/>
          <w:szCs w:val="24"/>
        </w:rPr>
        <w:t>as the IOUs</w:t>
      </w:r>
      <w:r w:rsidRPr="00534D5D" w:rsidR="00246A44">
        <w:rPr>
          <w:rFonts w:ascii="Palatino Linotype" w:hAnsi="Palatino Linotype"/>
          <w:bCs/>
          <w:sz w:val="24"/>
          <w:szCs w:val="24"/>
        </w:rPr>
        <w:t xml:space="preserve"> processes often include times needed to notify </w:t>
      </w:r>
      <w:r w:rsidRPr="00534D5D" w:rsidR="00A814FD">
        <w:rPr>
          <w:rFonts w:ascii="Palatino Linotype" w:hAnsi="Palatino Linotype"/>
          <w:bCs/>
          <w:sz w:val="24"/>
          <w:szCs w:val="24"/>
        </w:rPr>
        <w:t>impacted</w:t>
      </w:r>
      <w:r w:rsidRPr="00534D5D" w:rsidR="00246A44">
        <w:rPr>
          <w:rFonts w:ascii="Palatino Linotype" w:hAnsi="Palatino Linotype"/>
          <w:bCs/>
          <w:sz w:val="24"/>
          <w:szCs w:val="24"/>
        </w:rPr>
        <w:t xml:space="preserve"> customers of potential outages, and that the IOUs must retain a focus on safety and compliance with California’s regulatory requirements as they work to expedite the</w:t>
      </w:r>
      <w:r w:rsidRPr="00534D5D" w:rsidR="00A814FD">
        <w:rPr>
          <w:rFonts w:ascii="Palatino Linotype" w:hAnsi="Palatino Linotype"/>
          <w:bCs/>
          <w:sz w:val="24"/>
          <w:szCs w:val="24"/>
        </w:rPr>
        <w:t>ir processes.</w:t>
      </w:r>
    </w:p>
    <w:p w:rsidRPr="00534D5D" w:rsidR="001A3A1A" w:rsidP="00610DAF" w:rsidRDefault="001A3A1A" w14:paraId="2A14C1FC" w14:textId="77777777">
      <w:pPr>
        <w:rPr>
          <w:rFonts w:ascii="Palatino Linotype" w:hAnsi="Palatino Linotype"/>
          <w:bCs/>
          <w:sz w:val="24"/>
          <w:szCs w:val="24"/>
        </w:rPr>
      </w:pPr>
    </w:p>
    <w:p w:rsidRPr="00534D5D" w:rsidR="00DF3534" w:rsidP="00DF3534" w:rsidRDefault="00DF3534" w14:paraId="603B4B04" w14:textId="3032216B">
      <w:pPr>
        <w:pStyle w:val="Heading1"/>
        <w:jc w:val="both"/>
        <w:rPr>
          <w:rFonts w:ascii="Palatino Linotype" w:hAnsi="Palatino Linotype" w:cs="Helvetica"/>
          <w:sz w:val="24"/>
          <w:szCs w:val="24"/>
        </w:rPr>
      </w:pPr>
      <w:r w:rsidRPr="00534D5D">
        <w:rPr>
          <w:rFonts w:ascii="Palatino Linotype" w:hAnsi="Palatino Linotype" w:cs="Helvetica"/>
          <w:sz w:val="24"/>
          <w:szCs w:val="24"/>
        </w:rPr>
        <w:t>NOTICE</w:t>
      </w:r>
    </w:p>
    <w:p w:rsidRPr="00534D5D" w:rsidR="00DF3534" w:rsidP="00DF3534" w:rsidRDefault="00DF3534" w14:paraId="3CE1E067" w14:textId="75741E63">
      <w:pPr>
        <w:spacing w:after="120"/>
        <w:rPr>
          <w:rFonts w:ascii="Palatino Linotype" w:hAnsi="Palatino Linotype"/>
          <w:sz w:val="24"/>
          <w:szCs w:val="24"/>
        </w:rPr>
      </w:pPr>
      <w:r w:rsidRPr="00534D5D">
        <w:rPr>
          <w:rFonts w:ascii="Palatino Linotype" w:hAnsi="Palatino Linotype"/>
          <w:sz w:val="24"/>
          <w:szCs w:val="24"/>
        </w:rPr>
        <w:t xml:space="preserve">Notice of AL </w:t>
      </w:r>
      <w:r w:rsidRPr="00534D5D" w:rsidR="000B07B3">
        <w:rPr>
          <w:rFonts w:ascii="Palatino Linotype" w:hAnsi="Palatino Linotype"/>
          <w:sz w:val="24"/>
          <w:szCs w:val="24"/>
        </w:rPr>
        <w:t>4</w:t>
      </w:r>
      <w:r w:rsidRPr="00534D5D">
        <w:rPr>
          <w:rFonts w:ascii="Palatino Linotype" w:hAnsi="Palatino Linotype"/>
          <w:sz w:val="24"/>
          <w:szCs w:val="24"/>
        </w:rPr>
        <w:t>0</w:t>
      </w:r>
      <w:r w:rsidRPr="00534D5D" w:rsidR="000B07B3">
        <w:rPr>
          <w:rFonts w:ascii="Palatino Linotype" w:hAnsi="Palatino Linotype"/>
          <w:sz w:val="24"/>
          <w:szCs w:val="24"/>
        </w:rPr>
        <w:t>11</w:t>
      </w:r>
      <w:r w:rsidRPr="00534D5D">
        <w:rPr>
          <w:rFonts w:ascii="Palatino Linotype" w:hAnsi="Palatino Linotype"/>
          <w:sz w:val="24"/>
          <w:szCs w:val="24"/>
        </w:rPr>
        <w:t>-E was made by publication in the C</w:t>
      </w:r>
      <w:r w:rsidRPr="00534D5D" w:rsidR="00B83A6D">
        <w:rPr>
          <w:rFonts w:ascii="Palatino Linotype" w:hAnsi="Palatino Linotype"/>
          <w:sz w:val="24"/>
          <w:szCs w:val="24"/>
        </w:rPr>
        <w:t>PUC</w:t>
      </w:r>
      <w:r w:rsidRPr="00534D5D">
        <w:rPr>
          <w:rFonts w:ascii="Palatino Linotype" w:hAnsi="Palatino Linotype"/>
          <w:sz w:val="24"/>
          <w:szCs w:val="24"/>
        </w:rPr>
        <w:t>’s Daily Calendar. SDG&amp;E states that a copy of the AL was mailed and distributed in accordance with Section 4 of General Order 96-B.</w:t>
      </w:r>
      <w:r w:rsidRPr="00534D5D" w:rsidR="00815645">
        <w:rPr>
          <w:rFonts w:ascii="Palatino Linotype" w:hAnsi="Palatino Linotype"/>
          <w:sz w:val="24"/>
          <w:szCs w:val="24"/>
        </w:rPr>
        <w:br/>
      </w:r>
    </w:p>
    <w:p w:rsidRPr="00534D5D" w:rsidR="00DF3534" w:rsidP="00DF3534" w:rsidRDefault="00DF3534" w14:paraId="406AAAFB" w14:textId="2AF8A5B3">
      <w:pPr>
        <w:pStyle w:val="Heading1"/>
        <w:jc w:val="both"/>
        <w:rPr>
          <w:rFonts w:ascii="Palatino Linotype" w:hAnsi="Palatino Linotype" w:cs="Helvetica"/>
          <w:sz w:val="24"/>
          <w:szCs w:val="24"/>
        </w:rPr>
      </w:pPr>
      <w:r w:rsidRPr="00534D5D">
        <w:rPr>
          <w:rFonts w:ascii="Palatino Linotype" w:hAnsi="Palatino Linotype" w:cs="Helvetica"/>
          <w:sz w:val="24"/>
          <w:szCs w:val="24"/>
        </w:rPr>
        <w:t>PROTESTS</w:t>
      </w:r>
    </w:p>
    <w:p w:rsidRPr="00534D5D" w:rsidR="00827E98" w:rsidP="0027156A" w:rsidRDefault="004079BC" w14:paraId="02FE16E7" w14:textId="5B7A1C59">
      <w:pPr>
        <w:rPr>
          <w:rFonts w:ascii="Palatino Linotype" w:hAnsi="Palatino Linotype"/>
          <w:sz w:val="24"/>
          <w:szCs w:val="24"/>
        </w:rPr>
      </w:pPr>
      <w:r w:rsidRPr="00534D5D">
        <w:rPr>
          <w:rFonts w:ascii="Palatino Linotype" w:hAnsi="Palatino Linotype"/>
          <w:sz w:val="24"/>
          <w:szCs w:val="24"/>
        </w:rPr>
        <w:t xml:space="preserve">On June 16, 2022, ChargePoint, Inc., Electrify America, LLC, </w:t>
      </w:r>
      <w:proofErr w:type="spellStart"/>
      <w:r w:rsidRPr="00534D5D">
        <w:rPr>
          <w:rFonts w:ascii="Palatino Linotype" w:hAnsi="Palatino Linotype"/>
          <w:sz w:val="24"/>
          <w:szCs w:val="24"/>
        </w:rPr>
        <w:t>EVgo</w:t>
      </w:r>
      <w:proofErr w:type="spellEnd"/>
      <w:r w:rsidRPr="00534D5D">
        <w:rPr>
          <w:rFonts w:ascii="Palatino Linotype" w:hAnsi="Palatino Linotype"/>
          <w:sz w:val="24"/>
          <w:szCs w:val="24"/>
        </w:rPr>
        <w:t xml:space="preserve"> Services, LLC, and Tesla, Inc. (collectively, </w:t>
      </w:r>
      <w:r w:rsidRPr="00534D5D">
        <w:rPr>
          <w:rFonts w:ascii="Palatino Linotype" w:hAnsi="Palatino Linotype"/>
          <w:i/>
          <w:iCs/>
          <w:sz w:val="24"/>
          <w:szCs w:val="24"/>
        </w:rPr>
        <w:t>Joint EV Industry</w:t>
      </w:r>
      <w:r w:rsidRPr="00534D5D">
        <w:rPr>
          <w:rFonts w:ascii="Palatino Linotype" w:hAnsi="Palatino Linotype"/>
          <w:sz w:val="24"/>
          <w:szCs w:val="24"/>
        </w:rPr>
        <w:t xml:space="preserve">), submitted a joint protest to </w:t>
      </w:r>
      <w:r w:rsidRPr="00534D5D" w:rsidR="0099468F">
        <w:rPr>
          <w:rFonts w:ascii="Palatino Linotype" w:hAnsi="Palatino Linotype"/>
          <w:sz w:val="24"/>
          <w:szCs w:val="24"/>
        </w:rPr>
        <w:t>the Joint IOU AL</w:t>
      </w:r>
      <w:r w:rsidRPr="00534D5D">
        <w:rPr>
          <w:rFonts w:ascii="Palatino Linotype" w:hAnsi="Palatino Linotype"/>
          <w:sz w:val="24"/>
          <w:szCs w:val="24"/>
        </w:rPr>
        <w:t xml:space="preserve">. </w:t>
      </w:r>
    </w:p>
    <w:p w:rsidRPr="00534D5D" w:rsidR="007B247E" w:rsidP="0027156A" w:rsidRDefault="007B247E" w14:paraId="55AC99B0" w14:textId="15983A4C">
      <w:pPr>
        <w:rPr>
          <w:rFonts w:ascii="Palatino Linotype" w:hAnsi="Palatino Linotype"/>
          <w:sz w:val="24"/>
          <w:szCs w:val="24"/>
        </w:rPr>
      </w:pPr>
      <w:r w:rsidRPr="00534D5D">
        <w:rPr>
          <w:rFonts w:ascii="Palatino Linotype" w:hAnsi="Palatino Linotype"/>
          <w:sz w:val="24"/>
          <w:szCs w:val="24"/>
        </w:rPr>
        <w:t>The Joint EV Industry base their protest on the grounds that the IOUs were clearly directed to “propose a numerical target (i.e.</w:t>
      </w:r>
      <w:r w:rsidRPr="00534D5D" w:rsidR="00C45221">
        <w:rPr>
          <w:rFonts w:ascii="Palatino Linotype" w:hAnsi="Palatino Linotype"/>
          <w:sz w:val="24"/>
          <w:szCs w:val="24"/>
        </w:rPr>
        <w:t>,</w:t>
      </w:r>
      <w:r w:rsidRPr="00534D5D">
        <w:rPr>
          <w:rFonts w:ascii="Palatino Linotype" w:hAnsi="Palatino Linotype"/>
          <w:sz w:val="24"/>
          <w:szCs w:val="24"/>
        </w:rPr>
        <w:t xml:space="preserve"> number of business days) for average </w:t>
      </w:r>
      <w:r w:rsidRPr="00534D5D">
        <w:rPr>
          <w:rFonts w:ascii="Palatino Linotype" w:hAnsi="Palatino Linotype"/>
          <w:sz w:val="24"/>
          <w:szCs w:val="24"/>
        </w:rPr>
        <w:lastRenderedPageBreak/>
        <w:t>energization time that reflects efforts to accelerate the current average service energization timeline</w:t>
      </w:r>
      <w:r w:rsidRPr="00534D5D" w:rsidR="00155E67">
        <w:rPr>
          <w:rFonts w:ascii="Palatino Linotype" w:hAnsi="Palatino Linotype"/>
          <w:sz w:val="24"/>
          <w:szCs w:val="24"/>
        </w:rPr>
        <w:t>.</w:t>
      </w:r>
      <w:r w:rsidRPr="00534D5D" w:rsidR="007F79C0">
        <w:rPr>
          <w:rFonts w:ascii="Palatino Linotype" w:hAnsi="Palatino Linotype"/>
          <w:sz w:val="24"/>
          <w:szCs w:val="24"/>
        </w:rPr>
        <w:t>”</w:t>
      </w:r>
      <w:r w:rsidRPr="00534D5D" w:rsidR="00155E67">
        <w:rPr>
          <w:rFonts w:ascii="Palatino Linotype" w:hAnsi="Palatino Linotype"/>
          <w:sz w:val="24"/>
          <w:szCs w:val="24"/>
        </w:rPr>
        <w:t xml:space="preserve"> The Joint EV Industry </w:t>
      </w:r>
      <w:r w:rsidRPr="00534D5D" w:rsidR="00C45221">
        <w:rPr>
          <w:rFonts w:ascii="Palatino Linotype" w:hAnsi="Palatino Linotype"/>
          <w:sz w:val="24"/>
          <w:szCs w:val="24"/>
        </w:rPr>
        <w:t>argues that</w:t>
      </w:r>
      <w:r w:rsidRPr="00534D5D">
        <w:rPr>
          <w:rFonts w:ascii="Palatino Linotype" w:hAnsi="Palatino Linotype"/>
          <w:sz w:val="24"/>
          <w:szCs w:val="24"/>
        </w:rPr>
        <w:t xml:space="preserve"> the </w:t>
      </w:r>
      <w:r w:rsidRPr="00534D5D" w:rsidR="00030E42">
        <w:rPr>
          <w:rFonts w:ascii="Palatino Linotype" w:hAnsi="Palatino Linotype"/>
          <w:sz w:val="24"/>
          <w:szCs w:val="24"/>
        </w:rPr>
        <w:t>Joint IOUs’ proposal of 160 business days</w:t>
      </w:r>
      <w:r w:rsidRPr="00534D5D" w:rsidR="00155E67">
        <w:rPr>
          <w:rFonts w:ascii="Palatino Linotype" w:hAnsi="Palatino Linotype"/>
          <w:sz w:val="24"/>
          <w:szCs w:val="24"/>
        </w:rPr>
        <w:t xml:space="preserve"> for energization, </w:t>
      </w:r>
      <w:r w:rsidRPr="00534D5D" w:rsidR="00103654">
        <w:rPr>
          <w:rFonts w:ascii="Palatino Linotype" w:hAnsi="Palatino Linotype"/>
          <w:sz w:val="24"/>
          <w:szCs w:val="24"/>
        </w:rPr>
        <w:t>does not achieve this goal, nor do the Joint IOUs propose steps to improve the energization timelines for customers</w:t>
      </w:r>
      <w:r w:rsidRPr="00534D5D" w:rsidR="00155E67">
        <w:rPr>
          <w:rFonts w:ascii="Palatino Linotype" w:hAnsi="Palatino Linotype"/>
          <w:sz w:val="24"/>
          <w:szCs w:val="24"/>
        </w:rPr>
        <w:t xml:space="preserve">. </w:t>
      </w:r>
    </w:p>
    <w:p w:rsidR="001A3A1A" w:rsidP="001A3A1A" w:rsidRDefault="004079BC" w14:paraId="78932631" w14:textId="77777777">
      <w:pPr>
        <w:spacing w:after="0"/>
        <w:rPr>
          <w:rFonts w:ascii="Palatino Linotype" w:hAnsi="Palatino Linotype"/>
          <w:sz w:val="24"/>
          <w:szCs w:val="24"/>
        </w:rPr>
      </w:pPr>
      <w:r w:rsidRPr="00534D5D">
        <w:rPr>
          <w:rFonts w:ascii="Palatino Linotype" w:hAnsi="Palatino Linotype"/>
          <w:sz w:val="24"/>
          <w:szCs w:val="24"/>
        </w:rPr>
        <w:t>On June 23, 2022, the Joint IOUs filed a reply to the Joint EV Industry Parties’ protest.</w:t>
      </w:r>
    </w:p>
    <w:p w:rsidRPr="00534D5D" w:rsidR="00C36A62" w:rsidP="0027156A" w:rsidRDefault="004079BC" w14:paraId="35760D01" w14:textId="402D1BBD">
      <w:pPr>
        <w:rPr>
          <w:rFonts w:ascii="Palatino Linotype" w:hAnsi="Palatino Linotype"/>
          <w:sz w:val="24"/>
          <w:szCs w:val="24"/>
        </w:rPr>
      </w:pPr>
      <w:r w:rsidRPr="00534D5D">
        <w:rPr>
          <w:rFonts w:ascii="Palatino Linotype" w:hAnsi="Palatino Linotype"/>
          <w:sz w:val="24"/>
          <w:szCs w:val="24"/>
        </w:rPr>
        <w:t xml:space="preserve"> </w:t>
      </w:r>
    </w:p>
    <w:p w:rsidRPr="00534D5D" w:rsidR="00DF3534" w:rsidP="00DF3534" w:rsidRDefault="00DF3534" w14:paraId="4A7787BD" w14:textId="649743A3">
      <w:pPr>
        <w:pStyle w:val="Heading1"/>
        <w:jc w:val="both"/>
        <w:rPr>
          <w:rFonts w:ascii="Palatino Linotype" w:hAnsi="Palatino Linotype" w:cs="Helvetica"/>
          <w:sz w:val="24"/>
          <w:szCs w:val="24"/>
        </w:rPr>
      </w:pPr>
      <w:r w:rsidRPr="00534D5D">
        <w:rPr>
          <w:rFonts w:ascii="Palatino Linotype" w:hAnsi="Palatino Linotype" w:cs="Helvetica"/>
          <w:sz w:val="24"/>
          <w:szCs w:val="24"/>
        </w:rPr>
        <w:t>DISCUSSION</w:t>
      </w:r>
    </w:p>
    <w:p w:rsidRPr="00534D5D" w:rsidR="00907F66" w:rsidP="00BD6C69" w:rsidRDefault="003A3F1B" w14:paraId="7E2C4A6B" w14:textId="77777777">
      <w:pPr>
        <w:rPr>
          <w:rFonts w:ascii="Palatino Linotype" w:hAnsi="Palatino Linotype"/>
          <w:bCs/>
          <w:sz w:val="24"/>
          <w:szCs w:val="24"/>
        </w:rPr>
      </w:pPr>
      <w:r w:rsidRPr="00534D5D">
        <w:rPr>
          <w:rFonts w:ascii="Palatino Linotype" w:hAnsi="Palatino Linotype"/>
          <w:bCs/>
          <w:sz w:val="24"/>
          <w:szCs w:val="24"/>
        </w:rPr>
        <w:t xml:space="preserve">This section of the </w:t>
      </w:r>
      <w:r w:rsidRPr="00534D5D" w:rsidR="00692F59">
        <w:rPr>
          <w:rFonts w:ascii="Palatino Linotype" w:hAnsi="Palatino Linotype"/>
          <w:bCs/>
          <w:sz w:val="24"/>
          <w:szCs w:val="24"/>
        </w:rPr>
        <w:t>R</w:t>
      </w:r>
      <w:r w:rsidRPr="00534D5D">
        <w:rPr>
          <w:rFonts w:ascii="Palatino Linotype" w:hAnsi="Palatino Linotype"/>
          <w:bCs/>
          <w:sz w:val="24"/>
          <w:szCs w:val="24"/>
        </w:rPr>
        <w:t xml:space="preserve">esolution identifies how the CPUC </w:t>
      </w:r>
      <w:r w:rsidRPr="00534D5D" w:rsidR="00FB05C6">
        <w:rPr>
          <w:rFonts w:ascii="Palatino Linotype" w:hAnsi="Palatino Linotype"/>
          <w:bCs/>
          <w:sz w:val="24"/>
          <w:szCs w:val="24"/>
        </w:rPr>
        <w:t>dispose</w:t>
      </w:r>
      <w:r w:rsidRPr="00534D5D">
        <w:rPr>
          <w:rFonts w:ascii="Palatino Linotype" w:hAnsi="Palatino Linotype"/>
          <w:bCs/>
          <w:sz w:val="24"/>
          <w:szCs w:val="24"/>
        </w:rPr>
        <w:t xml:space="preserve"> of the issues associated with the adoption of </w:t>
      </w:r>
      <w:r w:rsidRPr="00534D5D" w:rsidR="00C15E78">
        <w:rPr>
          <w:rFonts w:ascii="Palatino Linotype" w:hAnsi="Palatino Linotype"/>
          <w:bCs/>
          <w:sz w:val="24"/>
          <w:szCs w:val="24"/>
        </w:rPr>
        <w:t>the Joint IOUs’ average EV Service Energization Timeline</w:t>
      </w:r>
      <w:r w:rsidRPr="00534D5D" w:rsidR="006421A9">
        <w:rPr>
          <w:rFonts w:ascii="Palatino Linotype" w:hAnsi="Palatino Linotype"/>
          <w:bCs/>
          <w:sz w:val="24"/>
          <w:szCs w:val="24"/>
        </w:rPr>
        <w:t xml:space="preserve">. </w:t>
      </w:r>
    </w:p>
    <w:p w:rsidRPr="00534D5D" w:rsidR="00BD6C69" w:rsidP="00BD6C69" w:rsidRDefault="00FD1A0C" w14:paraId="1A0AB908" w14:textId="600A7096">
      <w:pPr>
        <w:rPr>
          <w:rFonts w:ascii="Palatino Linotype" w:hAnsi="Palatino Linotype"/>
          <w:b/>
          <w:sz w:val="24"/>
          <w:szCs w:val="24"/>
        </w:rPr>
      </w:pPr>
      <w:r w:rsidRPr="00534D5D">
        <w:rPr>
          <w:rFonts w:ascii="Palatino Linotype" w:hAnsi="Palatino Linotype"/>
          <w:b/>
          <w:sz w:val="24"/>
          <w:szCs w:val="24"/>
        </w:rPr>
        <w:t>We</w:t>
      </w:r>
      <w:r w:rsidRPr="00534D5D" w:rsidR="00BD6C69">
        <w:rPr>
          <w:rFonts w:ascii="Palatino Linotype" w:hAnsi="Palatino Linotype"/>
          <w:b/>
          <w:sz w:val="24"/>
          <w:szCs w:val="24"/>
        </w:rPr>
        <w:t xml:space="preserve"> </w:t>
      </w:r>
      <w:r w:rsidRPr="00534D5D" w:rsidR="00481CC2">
        <w:rPr>
          <w:rFonts w:ascii="Palatino Linotype" w:hAnsi="Palatino Linotype"/>
          <w:b/>
          <w:sz w:val="24"/>
          <w:szCs w:val="24"/>
        </w:rPr>
        <w:t>find that</w:t>
      </w:r>
      <w:r w:rsidRPr="00534D5D" w:rsidR="00BD6C69">
        <w:rPr>
          <w:rFonts w:ascii="Palatino Linotype" w:hAnsi="Palatino Linotype"/>
          <w:b/>
          <w:sz w:val="24"/>
          <w:szCs w:val="24"/>
        </w:rPr>
        <w:t xml:space="preserve"> </w:t>
      </w:r>
      <w:r w:rsidRPr="00534D5D" w:rsidR="00FF0D3F">
        <w:rPr>
          <w:rFonts w:ascii="Palatino Linotype" w:hAnsi="Palatino Linotype"/>
          <w:b/>
          <w:sz w:val="24"/>
          <w:szCs w:val="24"/>
        </w:rPr>
        <w:t xml:space="preserve">the Joint </w:t>
      </w:r>
      <w:r w:rsidRPr="00534D5D" w:rsidR="00481CC2">
        <w:rPr>
          <w:rFonts w:ascii="Palatino Linotype" w:hAnsi="Palatino Linotype"/>
          <w:b/>
          <w:sz w:val="24"/>
          <w:szCs w:val="24"/>
        </w:rPr>
        <w:t>IOU</w:t>
      </w:r>
      <w:r w:rsidRPr="00534D5D" w:rsidR="00BD6C69">
        <w:rPr>
          <w:rFonts w:ascii="Palatino Linotype" w:hAnsi="Palatino Linotype"/>
          <w:b/>
          <w:sz w:val="24"/>
          <w:szCs w:val="24"/>
        </w:rPr>
        <w:t>s</w:t>
      </w:r>
      <w:r w:rsidRPr="00534D5D" w:rsidR="00FF0D3F">
        <w:rPr>
          <w:rFonts w:ascii="Palatino Linotype" w:hAnsi="Palatino Linotype"/>
          <w:b/>
          <w:sz w:val="24"/>
          <w:szCs w:val="24"/>
        </w:rPr>
        <w:t>’</w:t>
      </w:r>
      <w:r w:rsidRPr="00534D5D" w:rsidR="00BD6C69">
        <w:rPr>
          <w:rFonts w:ascii="Palatino Linotype" w:hAnsi="Palatino Linotype"/>
          <w:b/>
          <w:sz w:val="24"/>
          <w:szCs w:val="24"/>
        </w:rPr>
        <w:t xml:space="preserve"> </w:t>
      </w:r>
      <w:r w:rsidRPr="00534D5D" w:rsidR="005B586E">
        <w:rPr>
          <w:rFonts w:ascii="Palatino Linotype" w:hAnsi="Palatino Linotype"/>
          <w:b/>
          <w:sz w:val="24"/>
          <w:szCs w:val="24"/>
        </w:rPr>
        <w:t xml:space="preserve">average service energization timeline </w:t>
      </w:r>
      <w:r w:rsidRPr="00534D5D" w:rsidR="00FF0D3F">
        <w:rPr>
          <w:rFonts w:ascii="Palatino Linotype" w:hAnsi="Palatino Linotype"/>
          <w:b/>
          <w:sz w:val="24"/>
          <w:szCs w:val="24"/>
        </w:rPr>
        <w:t>propos</w:t>
      </w:r>
      <w:r w:rsidRPr="00534D5D" w:rsidR="00FB05C6">
        <w:rPr>
          <w:rFonts w:ascii="Palatino Linotype" w:hAnsi="Palatino Linotype"/>
          <w:b/>
          <w:sz w:val="24"/>
          <w:szCs w:val="24"/>
        </w:rPr>
        <w:t>al</w:t>
      </w:r>
      <w:r w:rsidRPr="00534D5D" w:rsidR="00FF0D3F">
        <w:rPr>
          <w:rFonts w:ascii="Palatino Linotype" w:hAnsi="Palatino Linotype"/>
          <w:b/>
          <w:sz w:val="24"/>
          <w:szCs w:val="24"/>
        </w:rPr>
        <w:t xml:space="preserve"> </w:t>
      </w:r>
      <w:r w:rsidRPr="00534D5D" w:rsidR="008A42C0">
        <w:rPr>
          <w:rFonts w:ascii="Palatino Linotype" w:hAnsi="Palatino Linotype"/>
          <w:b/>
          <w:sz w:val="24"/>
          <w:szCs w:val="24"/>
        </w:rPr>
        <w:t>requires</w:t>
      </w:r>
      <w:r w:rsidRPr="00534D5D" w:rsidR="00DF461D">
        <w:rPr>
          <w:rFonts w:ascii="Palatino Linotype" w:hAnsi="Palatino Linotype"/>
          <w:b/>
          <w:sz w:val="24"/>
          <w:szCs w:val="24"/>
        </w:rPr>
        <w:t xml:space="preserve"> modification </w:t>
      </w:r>
      <w:proofErr w:type="gramStart"/>
      <w:r w:rsidRPr="00534D5D" w:rsidR="00DF461D">
        <w:rPr>
          <w:rFonts w:ascii="Palatino Linotype" w:hAnsi="Palatino Linotype"/>
          <w:b/>
          <w:sz w:val="24"/>
          <w:szCs w:val="24"/>
        </w:rPr>
        <w:t>in order</w:t>
      </w:r>
      <w:r w:rsidRPr="00534D5D" w:rsidR="00BD6C69">
        <w:rPr>
          <w:rFonts w:ascii="Palatino Linotype" w:hAnsi="Palatino Linotype"/>
          <w:b/>
          <w:sz w:val="24"/>
          <w:szCs w:val="24"/>
        </w:rPr>
        <w:t xml:space="preserve"> </w:t>
      </w:r>
      <w:r w:rsidRPr="00534D5D" w:rsidR="00FF0D3F">
        <w:rPr>
          <w:rFonts w:ascii="Palatino Linotype" w:hAnsi="Palatino Linotype"/>
          <w:b/>
          <w:sz w:val="24"/>
          <w:szCs w:val="24"/>
        </w:rPr>
        <w:t>to</w:t>
      </w:r>
      <w:proofErr w:type="gramEnd"/>
      <w:r w:rsidRPr="00534D5D" w:rsidR="00FF0D3F">
        <w:rPr>
          <w:rFonts w:ascii="Palatino Linotype" w:hAnsi="Palatino Linotype"/>
          <w:b/>
          <w:sz w:val="24"/>
          <w:szCs w:val="24"/>
        </w:rPr>
        <w:t xml:space="preserve"> align with OP 8 of Resolutions E-5167 and E-5168</w:t>
      </w:r>
      <w:r w:rsidRPr="00534D5D" w:rsidR="00BD6C69">
        <w:rPr>
          <w:rFonts w:ascii="Palatino Linotype" w:hAnsi="Palatino Linotype"/>
          <w:b/>
          <w:sz w:val="24"/>
          <w:szCs w:val="24"/>
        </w:rPr>
        <w:t xml:space="preserve">. </w:t>
      </w:r>
    </w:p>
    <w:p w:rsidRPr="00534D5D" w:rsidR="005B586E" w:rsidP="008F684D" w:rsidRDefault="005B586E" w14:paraId="669E90A1" w14:textId="730D93BD">
      <w:pPr>
        <w:rPr>
          <w:rFonts w:ascii="Palatino Linotype" w:hAnsi="Palatino Linotype"/>
          <w:sz w:val="24"/>
          <w:szCs w:val="24"/>
        </w:rPr>
      </w:pPr>
      <w:r w:rsidRPr="00534D5D">
        <w:rPr>
          <w:rFonts w:ascii="Palatino Linotype" w:hAnsi="Palatino Linotype"/>
          <w:sz w:val="24"/>
          <w:szCs w:val="24"/>
        </w:rPr>
        <w:t>The Joint IOUs’ proposal requests to establish a 160-business day average service energization timeline for projects going through the EV Infrastructure Rules, which only includes the time for the IOUs to complete tasks that are directly within the IOUs’ control.</w:t>
      </w:r>
    </w:p>
    <w:p w:rsidRPr="00534D5D" w:rsidR="008F684D" w:rsidP="008F684D" w:rsidRDefault="008F684D" w14:paraId="258CA1FA" w14:textId="1C98EF18">
      <w:pPr>
        <w:rPr>
          <w:rFonts w:ascii="Palatino Linotype" w:hAnsi="Palatino Linotype"/>
          <w:sz w:val="24"/>
          <w:szCs w:val="24"/>
        </w:rPr>
      </w:pPr>
      <w:r w:rsidRPr="00534D5D">
        <w:rPr>
          <w:rFonts w:ascii="Palatino Linotype" w:hAnsi="Palatino Linotype"/>
          <w:sz w:val="24"/>
          <w:szCs w:val="24"/>
        </w:rPr>
        <w:t xml:space="preserve">The Joint EV Industry’s protest argues the Joint </w:t>
      </w:r>
      <w:proofErr w:type="gramStart"/>
      <w:r w:rsidRPr="00534D5D">
        <w:rPr>
          <w:rFonts w:ascii="Palatino Linotype" w:hAnsi="Palatino Linotype"/>
          <w:sz w:val="24"/>
          <w:szCs w:val="24"/>
        </w:rPr>
        <w:t>IOUs’</w:t>
      </w:r>
      <w:proofErr w:type="gramEnd"/>
      <w:r w:rsidRPr="00534D5D">
        <w:rPr>
          <w:rFonts w:ascii="Palatino Linotype" w:hAnsi="Palatino Linotype"/>
          <w:sz w:val="24"/>
          <w:szCs w:val="24"/>
        </w:rPr>
        <w:t xml:space="preserve"> proposed 160-business day average timeline –which is at least 224 calendar days, or seven months- does not accelerate energization. They suggest that the CPUC re-evaluate </w:t>
      </w:r>
      <w:r w:rsidRPr="00534D5D" w:rsidR="00085A8F">
        <w:rPr>
          <w:rFonts w:ascii="Palatino Linotype" w:hAnsi="Palatino Linotype"/>
          <w:sz w:val="24"/>
          <w:szCs w:val="24"/>
        </w:rPr>
        <w:t>the proposed</w:t>
      </w:r>
      <w:r w:rsidRPr="00534D5D">
        <w:rPr>
          <w:rFonts w:ascii="Palatino Linotype" w:hAnsi="Palatino Linotype"/>
          <w:sz w:val="24"/>
          <w:szCs w:val="24"/>
        </w:rPr>
        <w:t xml:space="preserve"> number to better reflect the IOUs current average</w:t>
      </w:r>
      <w:r w:rsidRPr="00534D5D" w:rsidR="00085A8F">
        <w:rPr>
          <w:rFonts w:ascii="Palatino Linotype" w:hAnsi="Palatino Linotype"/>
          <w:sz w:val="24"/>
          <w:szCs w:val="24"/>
        </w:rPr>
        <w:t xml:space="preserve"> service energization</w:t>
      </w:r>
      <w:r w:rsidRPr="00534D5D">
        <w:rPr>
          <w:rFonts w:ascii="Palatino Linotype" w:hAnsi="Palatino Linotype"/>
          <w:sz w:val="24"/>
          <w:szCs w:val="24"/>
        </w:rPr>
        <w:t xml:space="preserve"> timeline under each IOUs’ Electric Rule 16</w:t>
      </w:r>
      <w:r w:rsidRPr="00534D5D">
        <w:rPr>
          <w:rStyle w:val="FootnoteReference"/>
          <w:rFonts w:ascii="Palatino Linotype" w:hAnsi="Palatino Linotype"/>
          <w:sz w:val="24"/>
          <w:szCs w:val="24"/>
        </w:rPr>
        <w:footnoteReference w:id="12"/>
      </w:r>
      <w:r w:rsidRPr="00534D5D">
        <w:rPr>
          <w:rFonts w:ascii="Palatino Linotype" w:hAnsi="Palatino Linotype"/>
          <w:sz w:val="24"/>
          <w:szCs w:val="24"/>
        </w:rPr>
        <w:t xml:space="preserve">, which ranges from an average of 150 to 155 business days. </w:t>
      </w:r>
    </w:p>
    <w:p w:rsidRPr="00534D5D" w:rsidR="008F684D" w:rsidP="008F684D" w:rsidRDefault="008F684D" w14:paraId="1F2EC738" w14:textId="7005A98D">
      <w:pPr>
        <w:rPr>
          <w:rFonts w:ascii="Palatino Linotype" w:hAnsi="Palatino Linotype"/>
          <w:sz w:val="24"/>
          <w:szCs w:val="24"/>
        </w:rPr>
      </w:pPr>
      <w:r w:rsidRPr="00534D5D">
        <w:rPr>
          <w:rFonts w:ascii="Palatino Linotype" w:hAnsi="Palatino Linotype"/>
          <w:sz w:val="24"/>
          <w:szCs w:val="24"/>
        </w:rPr>
        <w:t xml:space="preserve">The Joint EV Industry disagrees with the Joint IOUs’ claim that the lack of a predictable volume of construction-ready work that will go through the EV Infrastructure Rules justifies a less aggressive </w:t>
      </w:r>
      <w:r w:rsidRPr="00534D5D" w:rsidR="006A18A7">
        <w:rPr>
          <w:rFonts w:ascii="Palatino Linotype" w:hAnsi="Palatino Linotype"/>
          <w:sz w:val="24"/>
          <w:szCs w:val="24"/>
        </w:rPr>
        <w:t xml:space="preserve">service </w:t>
      </w:r>
      <w:r w:rsidRPr="00534D5D">
        <w:rPr>
          <w:rFonts w:ascii="Palatino Linotype" w:hAnsi="Palatino Linotype"/>
          <w:sz w:val="24"/>
          <w:szCs w:val="24"/>
        </w:rPr>
        <w:t xml:space="preserve">energization timeline. The Joint EV Industry assert </w:t>
      </w:r>
      <w:r w:rsidRPr="00534D5D" w:rsidR="00611E7A">
        <w:rPr>
          <w:rFonts w:ascii="Palatino Linotype" w:hAnsi="Palatino Linotype"/>
          <w:sz w:val="24"/>
          <w:szCs w:val="24"/>
        </w:rPr>
        <w:t xml:space="preserve">that </w:t>
      </w:r>
      <w:r w:rsidRPr="00534D5D" w:rsidR="006A6F6D">
        <w:rPr>
          <w:rFonts w:ascii="Palatino Linotype" w:hAnsi="Palatino Linotype"/>
          <w:sz w:val="24"/>
          <w:szCs w:val="24"/>
        </w:rPr>
        <w:t xml:space="preserve">the volume of construction ready work </w:t>
      </w:r>
      <w:r w:rsidRPr="00534D5D" w:rsidR="006A6F6D">
        <w:rPr>
          <w:rFonts w:ascii="Palatino Linotype" w:hAnsi="Palatino Linotype"/>
          <w:i/>
          <w:iCs/>
          <w:sz w:val="24"/>
          <w:szCs w:val="24"/>
        </w:rPr>
        <w:t>is</w:t>
      </w:r>
      <w:r w:rsidRPr="00534D5D" w:rsidR="006A6F6D">
        <w:rPr>
          <w:rFonts w:ascii="Palatino Linotype" w:hAnsi="Palatino Linotype"/>
          <w:sz w:val="24"/>
          <w:szCs w:val="24"/>
        </w:rPr>
        <w:t xml:space="preserve"> predictable</w:t>
      </w:r>
      <w:r w:rsidRPr="00534D5D" w:rsidR="008F7FC9">
        <w:rPr>
          <w:rFonts w:ascii="Palatino Linotype" w:hAnsi="Palatino Linotype"/>
          <w:sz w:val="24"/>
          <w:szCs w:val="24"/>
        </w:rPr>
        <w:t xml:space="preserve">, and that the IOUs </w:t>
      </w:r>
      <w:r w:rsidRPr="00534D5D" w:rsidR="002E68A6">
        <w:rPr>
          <w:rFonts w:ascii="Palatino Linotype" w:hAnsi="Palatino Linotype"/>
          <w:sz w:val="24"/>
          <w:szCs w:val="24"/>
        </w:rPr>
        <w:t xml:space="preserve">should anticipate the amount of utility-side work </w:t>
      </w:r>
      <w:r w:rsidRPr="00534D5D" w:rsidR="00C40AD1">
        <w:rPr>
          <w:rFonts w:ascii="Palatino Linotype" w:hAnsi="Palatino Linotype"/>
          <w:sz w:val="24"/>
          <w:szCs w:val="24"/>
        </w:rPr>
        <w:t xml:space="preserve">performed </w:t>
      </w:r>
      <w:r w:rsidRPr="00534D5D" w:rsidR="002E68A6">
        <w:rPr>
          <w:rFonts w:ascii="Palatino Linotype" w:hAnsi="Palatino Linotype"/>
          <w:sz w:val="24"/>
          <w:szCs w:val="24"/>
        </w:rPr>
        <w:t xml:space="preserve">under the EV Infrastructure Rules, as well as work performed to support other state and federal TE initiatives, will increase. </w:t>
      </w:r>
      <w:r w:rsidRPr="00534D5D" w:rsidR="00C40AD1">
        <w:rPr>
          <w:rFonts w:ascii="Palatino Linotype" w:hAnsi="Palatino Linotype"/>
          <w:sz w:val="24"/>
          <w:szCs w:val="24"/>
        </w:rPr>
        <w:t>The Joint EV Industry asserts the predic</w:t>
      </w:r>
      <w:r w:rsidRPr="00534D5D" w:rsidR="00604060">
        <w:rPr>
          <w:rFonts w:ascii="Palatino Linotype" w:hAnsi="Palatino Linotype"/>
          <w:sz w:val="24"/>
          <w:szCs w:val="24"/>
        </w:rPr>
        <w:t>t</w:t>
      </w:r>
      <w:r w:rsidRPr="00534D5D" w:rsidR="00C40AD1">
        <w:rPr>
          <w:rFonts w:ascii="Palatino Linotype" w:hAnsi="Palatino Linotype"/>
          <w:sz w:val="24"/>
          <w:szCs w:val="24"/>
        </w:rPr>
        <w:t xml:space="preserve">able increase in work under the EV </w:t>
      </w:r>
      <w:r w:rsidRPr="00534D5D" w:rsidR="00C40AD1">
        <w:rPr>
          <w:rFonts w:ascii="Palatino Linotype" w:hAnsi="Palatino Linotype"/>
          <w:sz w:val="24"/>
          <w:szCs w:val="24"/>
        </w:rPr>
        <w:lastRenderedPageBreak/>
        <w:t>Infrastructure Rules justifies a more a</w:t>
      </w:r>
      <w:r w:rsidRPr="00534D5D" w:rsidR="00E750C7">
        <w:rPr>
          <w:rFonts w:ascii="Palatino Linotype" w:hAnsi="Palatino Linotype"/>
          <w:sz w:val="24"/>
          <w:szCs w:val="24"/>
        </w:rPr>
        <w:t xml:space="preserve">ggressive timeline </w:t>
      </w:r>
      <w:proofErr w:type="gramStart"/>
      <w:r w:rsidRPr="00534D5D" w:rsidR="00E750C7">
        <w:rPr>
          <w:rFonts w:ascii="Palatino Linotype" w:hAnsi="Palatino Linotype"/>
          <w:sz w:val="24"/>
          <w:szCs w:val="24"/>
        </w:rPr>
        <w:t>in order to</w:t>
      </w:r>
      <w:proofErr w:type="gramEnd"/>
      <w:r w:rsidRPr="00534D5D" w:rsidR="00E750C7">
        <w:rPr>
          <w:rFonts w:ascii="Palatino Linotype" w:hAnsi="Palatino Linotype"/>
          <w:sz w:val="24"/>
          <w:szCs w:val="24"/>
        </w:rPr>
        <w:t xml:space="preserve"> not fall behind in meeting California’s </w:t>
      </w:r>
      <w:r w:rsidRPr="00534D5D" w:rsidR="009B5E02">
        <w:rPr>
          <w:rFonts w:ascii="Palatino Linotype" w:hAnsi="Palatino Linotype"/>
          <w:sz w:val="24"/>
          <w:szCs w:val="24"/>
        </w:rPr>
        <w:t xml:space="preserve">EV </w:t>
      </w:r>
      <w:r w:rsidRPr="00534D5D" w:rsidR="00E750C7">
        <w:rPr>
          <w:rFonts w:ascii="Palatino Linotype" w:hAnsi="Palatino Linotype"/>
          <w:sz w:val="24"/>
          <w:szCs w:val="24"/>
        </w:rPr>
        <w:t xml:space="preserve">goals and to keep pace with EV charging demand. </w:t>
      </w:r>
    </w:p>
    <w:p w:rsidRPr="00534D5D" w:rsidR="00663F0E" w:rsidP="008F684D" w:rsidRDefault="008F684D" w14:paraId="68D3774B" w14:textId="4BE0DC83">
      <w:pPr>
        <w:rPr>
          <w:rFonts w:ascii="Palatino Linotype" w:hAnsi="Palatino Linotype"/>
          <w:sz w:val="24"/>
          <w:szCs w:val="24"/>
        </w:rPr>
      </w:pPr>
      <w:r w:rsidRPr="00534D5D">
        <w:rPr>
          <w:rFonts w:ascii="Palatino Linotype" w:hAnsi="Palatino Linotype"/>
          <w:sz w:val="24"/>
          <w:szCs w:val="24"/>
        </w:rPr>
        <w:t xml:space="preserve">The Joint EV Industry recommends that the CPUC adopt a 90-business day average </w:t>
      </w:r>
      <w:r w:rsidRPr="00534D5D" w:rsidR="009B5E02">
        <w:rPr>
          <w:rFonts w:ascii="Palatino Linotype" w:hAnsi="Palatino Linotype"/>
          <w:sz w:val="24"/>
          <w:szCs w:val="24"/>
        </w:rPr>
        <w:t xml:space="preserve">service </w:t>
      </w:r>
      <w:r w:rsidRPr="00534D5D">
        <w:rPr>
          <w:rFonts w:ascii="Palatino Linotype" w:hAnsi="Palatino Linotype"/>
          <w:sz w:val="24"/>
          <w:szCs w:val="24"/>
        </w:rPr>
        <w:t>energization timeline as a near-term target</w:t>
      </w:r>
      <w:r w:rsidRPr="00534D5D" w:rsidR="00604060">
        <w:rPr>
          <w:rFonts w:ascii="Palatino Linotype" w:hAnsi="Palatino Linotype"/>
          <w:sz w:val="24"/>
          <w:szCs w:val="24"/>
        </w:rPr>
        <w:t xml:space="preserve"> but</w:t>
      </w:r>
      <w:r w:rsidRPr="00534D5D" w:rsidR="00663F0E">
        <w:rPr>
          <w:rFonts w:ascii="Palatino Linotype" w:hAnsi="Palatino Linotype"/>
          <w:sz w:val="24"/>
          <w:szCs w:val="24"/>
        </w:rPr>
        <w:t xml:space="preserve"> recommend that if the CPUC were to reject the 90-business day recommendation,</w:t>
      </w:r>
      <w:r w:rsidRPr="00534D5D">
        <w:rPr>
          <w:rFonts w:ascii="Palatino Linotype" w:hAnsi="Palatino Linotype"/>
          <w:sz w:val="24"/>
          <w:szCs w:val="24"/>
        </w:rPr>
        <w:t xml:space="preserve"> that </w:t>
      </w:r>
      <w:r w:rsidRPr="00534D5D" w:rsidR="00663F0E">
        <w:rPr>
          <w:rFonts w:ascii="Palatino Linotype" w:hAnsi="Palatino Linotype"/>
          <w:sz w:val="24"/>
          <w:szCs w:val="24"/>
        </w:rPr>
        <w:t>the</w:t>
      </w:r>
      <w:r w:rsidRPr="00534D5D">
        <w:rPr>
          <w:rFonts w:ascii="Palatino Linotype" w:hAnsi="Palatino Linotype"/>
          <w:sz w:val="24"/>
          <w:szCs w:val="24"/>
        </w:rPr>
        <w:t xml:space="preserve"> minimum approve</w:t>
      </w:r>
      <w:r w:rsidRPr="00534D5D" w:rsidR="00663F0E">
        <w:rPr>
          <w:rFonts w:ascii="Palatino Linotype" w:hAnsi="Palatino Linotype"/>
          <w:sz w:val="24"/>
          <w:szCs w:val="24"/>
        </w:rPr>
        <w:t>d service energization</w:t>
      </w:r>
      <w:r w:rsidRPr="00534D5D">
        <w:rPr>
          <w:rFonts w:ascii="Palatino Linotype" w:hAnsi="Palatino Linotype"/>
          <w:sz w:val="24"/>
          <w:szCs w:val="24"/>
        </w:rPr>
        <w:t xml:space="preserve"> timeline </w:t>
      </w:r>
      <w:r w:rsidRPr="00534D5D" w:rsidR="00663F0E">
        <w:rPr>
          <w:rFonts w:ascii="Palatino Linotype" w:hAnsi="Palatino Linotype"/>
          <w:sz w:val="24"/>
          <w:szCs w:val="24"/>
        </w:rPr>
        <w:t>be</w:t>
      </w:r>
      <w:r w:rsidRPr="00534D5D">
        <w:rPr>
          <w:rFonts w:ascii="Palatino Linotype" w:hAnsi="Palatino Linotype"/>
          <w:sz w:val="24"/>
          <w:szCs w:val="24"/>
        </w:rPr>
        <w:t xml:space="preserve"> no longer than the current average of 150 to </w:t>
      </w:r>
      <w:r w:rsidR="00E146E3">
        <w:rPr>
          <w:rFonts w:ascii="Palatino Linotype" w:hAnsi="Palatino Linotype"/>
          <w:sz w:val="24"/>
          <w:szCs w:val="24"/>
        </w:rPr>
        <w:br/>
      </w:r>
      <w:r w:rsidRPr="00534D5D">
        <w:rPr>
          <w:rFonts w:ascii="Palatino Linotype" w:hAnsi="Palatino Linotype"/>
          <w:sz w:val="24"/>
          <w:szCs w:val="24"/>
        </w:rPr>
        <w:t xml:space="preserve">155 business days.  </w:t>
      </w:r>
    </w:p>
    <w:p w:rsidRPr="00534D5D" w:rsidR="008F684D" w:rsidP="008F684D" w:rsidRDefault="008F684D" w14:paraId="609D6930" w14:textId="57187F7E">
      <w:pPr>
        <w:rPr>
          <w:rFonts w:ascii="Palatino Linotype" w:hAnsi="Palatino Linotype"/>
          <w:sz w:val="24"/>
          <w:szCs w:val="24"/>
        </w:rPr>
      </w:pPr>
      <w:r w:rsidRPr="00534D5D">
        <w:rPr>
          <w:rFonts w:ascii="Palatino Linotype" w:hAnsi="Palatino Linotype"/>
          <w:sz w:val="24"/>
          <w:szCs w:val="24"/>
        </w:rPr>
        <w:t xml:space="preserve">The Joint EV Industry also recommends </w:t>
      </w:r>
      <w:r w:rsidRPr="00534D5D" w:rsidR="00663F0E">
        <w:rPr>
          <w:rFonts w:ascii="Palatino Linotype" w:hAnsi="Palatino Linotype"/>
          <w:sz w:val="24"/>
          <w:szCs w:val="24"/>
        </w:rPr>
        <w:t xml:space="preserve">the CPUC adopt a </w:t>
      </w:r>
      <w:r w:rsidRPr="00534D5D">
        <w:rPr>
          <w:rFonts w:ascii="Palatino Linotype" w:hAnsi="Palatino Linotype"/>
          <w:sz w:val="24"/>
          <w:szCs w:val="24"/>
        </w:rPr>
        <w:t xml:space="preserve">concurrent process to evaluate the IOUs ability to meet </w:t>
      </w:r>
      <w:r w:rsidRPr="00534D5D" w:rsidR="00A90062">
        <w:rPr>
          <w:rFonts w:ascii="Palatino Linotype" w:hAnsi="Palatino Linotype"/>
          <w:sz w:val="24"/>
          <w:szCs w:val="24"/>
        </w:rPr>
        <w:t>a</w:t>
      </w:r>
      <w:r w:rsidRPr="00534D5D">
        <w:rPr>
          <w:rFonts w:ascii="Palatino Linotype" w:hAnsi="Palatino Linotype"/>
          <w:sz w:val="24"/>
          <w:szCs w:val="24"/>
        </w:rPr>
        <w:t xml:space="preserve"> 90-business day </w:t>
      </w:r>
      <w:r w:rsidRPr="00534D5D" w:rsidR="00A90062">
        <w:rPr>
          <w:rFonts w:ascii="Palatino Linotype" w:hAnsi="Palatino Linotype"/>
          <w:sz w:val="24"/>
          <w:szCs w:val="24"/>
        </w:rPr>
        <w:t xml:space="preserve">average service energization </w:t>
      </w:r>
      <w:r w:rsidRPr="00534D5D">
        <w:rPr>
          <w:rFonts w:ascii="Palatino Linotype" w:hAnsi="Palatino Linotype"/>
          <w:sz w:val="24"/>
          <w:szCs w:val="24"/>
        </w:rPr>
        <w:t xml:space="preserve">target to inform a permanent target. They recommend this evaluation include an IOU-led public workshop within </w:t>
      </w:r>
      <w:r w:rsidRPr="00534D5D" w:rsidR="00A90062">
        <w:rPr>
          <w:rFonts w:ascii="Palatino Linotype" w:hAnsi="Palatino Linotype"/>
          <w:sz w:val="24"/>
          <w:szCs w:val="24"/>
        </w:rPr>
        <w:t>twelve</w:t>
      </w:r>
      <w:r w:rsidRPr="00534D5D">
        <w:rPr>
          <w:rFonts w:ascii="Palatino Linotype" w:hAnsi="Palatino Linotype"/>
          <w:sz w:val="24"/>
          <w:szCs w:val="24"/>
        </w:rPr>
        <w:t>-months of approval of the interim target to:</w:t>
      </w:r>
    </w:p>
    <w:p w:rsidRPr="00534D5D" w:rsidR="008F684D" w:rsidP="008F684D" w:rsidRDefault="008F684D" w14:paraId="11D938F9" w14:textId="3A0C720D">
      <w:pPr>
        <w:pStyle w:val="ListParagraph"/>
        <w:numPr>
          <w:ilvl w:val="0"/>
          <w:numId w:val="12"/>
        </w:numPr>
        <w:rPr>
          <w:rFonts w:ascii="Palatino Linotype" w:hAnsi="Palatino Linotype"/>
          <w:sz w:val="24"/>
          <w:szCs w:val="24"/>
        </w:rPr>
      </w:pPr>
      <w:r w:rsidRPr="00534D5D">
        <w:rPr>
          <w:rFonts w:ascii="Palatino Linotype" w:hAnsi="Palatino Linotype"/>
          <w:sz w:val="24"/>
          <w:szCs w:val="24"/>
        </w:rPr>
        <w:t xml:space="preserve">Provide an update on the IOUs’ progress on various issues that stakeholders identified as key to accelerating the </w:t>
      </w:r>
      <w:r w:rsidRPr="00534D5D" w:rsidR="007F099C">
        <w:rPr>
          <w:rFonts w:ascii="Palatino Linotype" w:hAnsi="Palatino Linotype"/>
          <w:sz w:val="24"/>
          <w:szCs w:val="24"/>
        </w:rPr>
        <w:t xml:space="preserve">service </w:t>
      </w:r>
      <w:r w:rsidRPr="00534D5D">
        <w:rPr>
          <w:rFonts w:ascii="Palatino Linotype" w:hAnsi="Palatino Linotype"/>
          <w:sz w:val="24"/>
          <w:szCs w:val="24"/>
        </w:rPr>
        <w:t xml:space="preserve">energization process, including easements, staffing, hosting capacity map improvements, inspection consistency, </w:t>
      </w:r>
      <w:proofErr w:type="gramStart"/>
      <w:r w:rsidRPr="00534D5D">
        <w:rPr>
          <w:rFonts w:ascii="Palatino Linotype" w:hAnsi="Palatino Linotype"/>
          <w:sz w:val="24"/>
          <w:szCs w:val="24"/>
        </w:rPr>
        <w:t>etc.;</w:t>
      </w:r>
      <w:proofErr w:type="gramEnd"/>
    </w:p>
    <w:p w:rsidRPr="00534D5D" w:rsidR="008F684D" w:rsidP="008F684D" w:rsidRDefault="008F684D" w14:paraId="556B5676" w14:textId="55E1A0C0">
      <w:pPr>
        <w:pStyle w:val="ListParagraph"/>
        <w:numPr>
          <w:ilvl w:val="0"/>
          <w:numId w:val="12"/>
        </w:numPr>
        <w:rPr>
          <w:rFonts w:ascii="Palatino Linotype" w:hAnsi="Palatino Linotype"/>
          <w:sz w:val="24"/>
          <w:szCs w:val="24"/>
        </w:rPr>
      </w:pPr>
      <w:r w:rsidRPr="00534D5D">
        <w:rPr>
          <w:rFonts w:ascii="Palatino Linotype" w:hAnsi="Palatino Linotype"/>
          <w:sz w:val="24"/>
          <w:szCs w:val="24"/>
        </w:rPr>
        <w:t xml:space="preserve">Provide an evaluation of the current state of the </w:t>
      </w:r>
      <w:r w:rsidRPr="00534D5D" w:rsidR="007F099C">
        <w:rPr>
          <w:rFonts w:ascii="Palatino Linotype" w:hAnsi="Palatino Linotype"/>
          <w:sz w:val="24"/>
          <w:szCs w:val="24"/>
        </w:rPr>
        <w:t xml:space="preserve">service energization </w:t>
      </w:r>
      <w:r w:rsidRPr="00534D5D">
        <w:rPr>
          <w:rFonts w:ascii="Palatino Linotype" w:hAnsi="Palatino Linotype"/>
          <w:sz w:val="24"/>
          <w:szCs w:val="24"/>
        </w:rPr>
        <w:t xml:space="preserve">timelines and progress needed to achieve the lower bound of the target timeline of </w:t>
      </w:r>
      <w:r w:rsidR="00E146E3">
        <w:rPr>
          <w:rFonts w:ascii="Palatino Linotype" w:hAnsi="Palatino Linotype"/>
          <w:sz w:val="24"/>
          <w:szCs w:val="24"/>
        </w:rPr>
        <w:br/>
      </w:r>
      <w:r w:rsidRPr="00534D5D">
        <w:rPr>
          <w:rFonts w:ascii="Palatino Linotype" w:hAnsi="Palatino Linotype"/>
          <w:sz w:val="24"/>
          <w:szCs w:val="24"/>
        </w:rPr>
        <w:t>9</w:t>
      </w:r>
      <w:r w:rsidRPr="00534D5D" w:rsidR="007F099C">
        <w:rPr>
          <w:rFonts w:ascii="Palatino Linotype" w:hAnsi="Palatino Linotype"/>
          <w:sz w:val="24"/>
          <w:szCs w:val="24"/>
        </w:rPr>
        <w:t>0-</w:t>
      </w:r>
      <w:r w:rsidRPr="00534D5D">
        <w:rPr>
          <w:rFonts w:ascii="Palatino Linotype" w:hAnsi="Palatino Linotype"/>
          <w:sz w:val="24"/>
          <w:szCs w:val="24"/>
        </w:rPr>
        <w:t>business days; and</w:t>
      </w:r>
    </w:p>
    <w:p w:rsidRPr="00534D5D" w:rsidR="009F2562" w:rsidP="00BF6B86" w:rsidRDefault="008F684D" w14:paraId="3B16F896" w14:textId="1F61827B">
      <w:pPr>
        <w:pStyle w:val="ListParagraph"/>
        <w:numPr>
          <w:ilvl w:val="0"/>
          <w:numId w:val="12"/>
        </w:numPr>
        <w:rPr>
          <w:rFonts w:ascii="Palatino Linotype" w:hAnsi="Palatino Linotype"/>
          <w:sz w:val="24"/>
          <w:szCs w:val="24"/>
        </w:rPr>
      </w:pPr>
      <w:r w:rsidRPr="00534D5D">
        <w:rPr>
          <w:rFonts w:ascii="Palatino Linotype" w:hAnsi="Palatino Linotype"/>
          <w:sz w:val="24"/>
          <w:szCs w:val="24"/>
        </w:rPr>
        <w:t xml:space="preserve">Provide next steps on how the IOUs will continue to accelerate the </w:t>
      </w:r>
      <w:r w:rsidRPr="00534D5D" w:rsidR="007F099C">
        <w:rPr>
          <w:rFonts w:ascii="Palatino Linotype" w:hAnsi="Palatino Linotype"/>
          <w:sz w:val="24"/>
          <w:szCs w:val="24"/>
        </w:rPr>
        <w:t xml:space="preserve">service </w:t>
      </w:r>
      <w:r w:rsidRPr="00534D5D">
        <w:rPr>
          <w:rFonts w:ascii="Palatino Linotype" w:hAnsi="Palatino Linotype"/>
          <w:sz w:val="24"/>
          <w:szCs w:val="24"/>
        </w:rPr>
        <w:t>energization process.</w:t>
      </w:r>
    </w:p>
    <w:p w:rsidRPr="00534D5D" w:rsidR="009F2562" w:rsidP="009F2562" w:rsidRDefault="009F2562" w14:paraId="091788DE" w14:textId="3350BAB1">
      <w:pPr>
        <w:rPr>
          <w:rFonts w:ascii="Palatino Linotype" w:hAnsi="Palatino Linotype"/>
          <w:sz w:val="24"/>
          <w:szCs w:val="24"/>
        </w:rPr>
      </w:pPr>
      <w:r w:rsidRPr="00534D5D">
        <w:rPr>
          <w:rFonts w:ascii="Palatino Linotype" w:hAnsi="Palatino Linotype"/>
          <w:sz w:val="24"/>
          <w:szCs w:val="24"/>
        </w:rPr>
        <w:t>The Joint IOUs refute the Joint EV Industry’s claim that the 160-day target does not comply with the Resolutions’ direction to accelerate energization timelines, as the Resolutions required the timeline to be between 90 and 160 days. The Joint IOUs state the proposed timeline reflects efforts to accelerate the current timelines, while also accounting for new utility-side responsibilities that are not included in the scope of the data to which the Joint EV Industry refers, such as additional civil construction work.</w:t>
      </w:r>
    </w:p>
    <w:p w:rsidRPr="00534D5D" w:rsidR="009F2562" w:rsidP="009F2562" w:rsidRDefault="009F2562" w14:paraId="6EA492EE" w14:textId="62303CB2">
      <w:pPr>
        <w:rPr>
          <w:rFonts w:ascii="Palatino Linotype" w:hAnsi="Palatino Linotype"/>
          <w:sz w:val="24"/>
          <w:szCs w:val="24"/>
        </w:rPr>
      </w:pPr>
      <w:r w:rsidRPr="00534D5D">
        <w:rPr>
          <w:rFonts w:ascii="Palatino Linotype" w:hAnsi="Palatino Linotype"/>
          <w:sz w:val="24"/>
          <w:szCs w:val="24"/>
        </w:rPr>
        <w:t>The Joint IOUs assert the proposed 160-day energization average timeline that excludes days of customer responsibility, permitting, and any required Rule 15 work is reasonable and represents an improvement over the status quo, when accounting for the additional utility civil construction work required by the EV Infrastructure Rules</w:t>
      </w:r>
      <w:r w:rsidRPr="00534D5D" w:rsidR="00523B45">
        <w:rPr>
          <w:rFonts w:ascii="Palatino Linotype" w:hAnsi="Palatino Linotype"/>
          <w:sz w:val="24"/>
          <w:szCs w:val="24"/>
        </w:rPr>
        <w:t xml:space="preserve"> </w:t>
      </w:r>
      <w:r w:rsidRPr="00534D5D" w:rsidR="005C4A10">
        <w:rPr>
          <w:rFonts w:ascii="Palatino Linotype" w:hAnsi="Palatino Linotype"/>
          <w:sz w:val="24"/>
          <w:szCs w:val="24"/>
        </w:rPr>
        <w:t xml:space="preserve">which adds </w:t>
      </w:r>
      <w:r w:rsidRPr="00534D5D" w:rsidR="00821C5C">
        <w:rPr>
          <w:rFonts w:ascii="Palatino Linotype" w:hAnsi="Palatino Linotype"/>
          <w:sz w:val="24"/>
          <w:szCs w:val="24"/>
        </w:rPr>
        <w:t>approximately</w:t>
      </w:r>
      <w:r w:rsidRPr="00534D5D" w:rsidR="00523B45">
        <w:rPr>
          <w:rFonts w:ascii="Palatino Linotype" w:hAnsi="Palatino Linotype"/>
          <w:sz w:val="24"/>
          <w:szCs w:val="24"/>
        </w:rPr>
        <w:t xml:space="preserve"> 25 to 30 days </w:t>
      </w:r>
      <w:r w:rsidRPr="00534D5D" w:rsidR="003C5775">
        <w:rPr>
          <w:rFonts w:ascii="Palatino Linotype" w:hAnsi="Palatino Linotype"/>
          <w:sz w:val="24"/>
          <w:szCs w:val="24"/>
        </w:rPr>
        <w:t xml:space="preserve">to the </w:t>
      </w:r>
      <w:r w:rsidRPr="00534D5D" w:rsidR="00AE5192">
        <w:rPr>
          <w:rFonts w:ascii="Palatino Linotype" w:hAnsi="Palatino Linotype"/>
          <w:sz w:val="24"/>
          <w:szCs w:val="24"/>
        </w:rPr>
        <w:t xml:space="preserve">timeline, </w:t>
      </w:r>
      <w:r w:rsidRPr="00534D5D" w:rsidR="00523B45">
        <w:rPr>
          <w:rFonts w:ascii="Palatino Linotype" w:hAnsi="Palatino Linotype"/>
          <w:sz w:val="24"/>
          <w:szCs w:val="24"/>
        </w:rPr>
        <w:t xml:space="preserve"> </w:t>
      </w:r>
      <w:r w:rsidRPr="00534D5D" w:rsidDel="00322288" w:rsidR="00D242FF">
        <w:rPr>
          <w:rFonts w:ascii="Palatino Linotype" w:hAnsi="Palatino Linotype"/>
          <w:sz w:val="24"/>
          <w:szCs w:val="24"/>
        </w:rPr>
        <w:t xml:space="preserve"> </w:t>
      </w:r>
      <w:r w:rsidRPr="00534D5D">
        <w:rPr>
          <w:rFonts w:ascii="Palatino Linotype" w:hAnsi="Palatino Linotype"/>
          <w:sz w:val="24"/>
          <w:szCs w:val="24"/>
        </w:rPr>
        <w:t xml:space="preserve">and argue that the Joint EV Industry’s recommended 90-day average timeline is not based on any facts that can demonstrate the IOUs are able to meet this timeline. The Joint IOUs urge the CPUC to </w:t>
      </w:r>
      <w:r w:rsidRPr="00534D5D">
        <w:rPr>
          <w:rFonts w:ascii="Palatino Linotype" w:hAnsi="Palatino Linotype"/>
          <w:sz w:val="24"/>
          <w:szCs w:val="24"/>
        </w:rPr>
        <w:lastRenderedPageBreak/>
        <w:t xml:space="preserve">reject the Joint EV Industry’s 90-day average timeline, and rather encourage the IOUs to continue to take appropriate steps to streamline and accelerate their processes. </w:t>
      </w:r>
    </w:p>
    <w:p w:rsidRPr="00534D5D" w:rsidR="009F2562" w:rsidP="009F2562" w:rsidRDefault="009F2562" w14:paraId="4727854E" w14:textId="7F43F327">
      <w:pPr>
        <w:rPr>
          <w:rFonts w:ascii="Palatino Linotype" w:hAnsi="Palatino Linotype"/>
          <w:sz w:val="24"/>
          <w:szCs w:val="24"/>
        </w:rPr>
      </w:pPr>
      <w:r w:rsidRPr="00534D5D">
        <w:rPr>
          <w:rFonts w:ascii="Palatino Linotype" w:hAnsi="Palatino Linotype"/>
          <w:sz w:val="24"/>
          <w:szCs w:val="24"/>
        </w:rPr>
        <w:t xml:space="preserve">In response to the Joint EV Industry’s </w:t>
      </w:r>
      <w:r w:rsidRPr="00534D5D" w:rsidR="00B81A39">
        <w:rPr>
          <w:rFonts w:ascii="Palatino Linotype" w:hAnsi="Palatino Linotype"/>
          <w:sz w:val="24"/>
          <w:szCs w:val="24"/>
        </w:rPr>
        <w:t>recommendation for the CPUC</w:t>
      </w:r>
      <w:r w:rsidRPr="00534D5D">
        <w:rPr>
          <w:rFonts w:ascii="Palatino Linotype" w:hAnsi="Palatino Linotype"/>
          <w:sz w:val="24"/>
          <w:szCs w:val="24"/>
        </w:rPr>
        <w:t xml:space="preserve"> to establish a near-term target and have an evaluation of the energization timeline within eighteen months to potentially adjust it, the Joint IOUs recommend the CPUC conduct both the initial informal evaluation and the public workshop with twelve-months of the approval of the Joint IOUs’ AL.</w:t>
      </w:r>
    </w:p>
    <w:p w:rsidRPr="00534D5D" w:rsidR="00D90052" w:rsidP="00B03B23" w:rsidRDefault="00077E42" w14:paraId="53887E99" w14:textId="5D179F86">
      <w:pPr>
        <w:rPr>
          <w:rFonts w:ascii="Palatino Linotype" w:hAnsi="Palatino Linotype"/>
          <w:sz w:val="24"/>
          <w:szCs w:val="24"/>
        </w:rPr>
      </w:pPr>
      <w:r w:rsidRPr="00534D5D">
        <w:rPr>
          <w:rFonts w:ascii="Palatino Linotype" w:hAnsi="Palatino Linotype"/>
          <w:sz w:val="24"/>
          <w:szCs w:val="24"/>
        </w:rPr>
        <w:t xml:space="preserve">We agree with the Joint EV Industry that the Joint </w:t>
      </w:r>
      <w:proofErr w:type="gramStart"/>
      <w:r w:rsidRPr="00534D5D" w:rsidR="00F274DE">
        <w:rPr>
          <w:rFonts w:ascii="Palatino Linotype" w:hAnsi="Palatino Linotype"/>
          <w:sz w:val="24"/>
          <w:szCs w:val="24"/>
        </w:rPr>
        <w:t>IOUs</w:t>
      </w:r>
      <w:r w:rsidRPr="00534D5D" w:rsidR="005114F8">
        <w:rPr>
          <w:rFonts w:ascii="Palatino Linotype" w:hAnsi="Palatino Linotype"/>
          <w:sz w:val="24"/>
          <w:szCs w:val="24"/>
        </w:rPr>
        <w:t>’</w:t>
      </w:r>
      <w:proofErr w:type="gramEnd"/>
      <w:r w:rsidRPr="00534D5D">
        <w:rPr>
          <w:rFonts w:ascii="Palatino Linotype" w:hAnsi="Palatino Linotype"/>
          <w:sz w:val="24"/>
          <w:szCs w:val="24"/>
        </w:rPr>
        <w:t xml:space="preserve"> proposed 160</w:t>
      </w:r>
      <w:r w:rsidRPr="00534D5D" w:rsidR="00C40ADB">
        <w:rPr>
          <w:rFonts w:ascii="Palatino Linotype" w:hAnsi="Palatino Linotype"/>
          <w:sz w:val="24"/>
          <w:szCs w:val="24"/>
        </w:rPr>
        <w:t>-</w:t>
      </w:r>
      <w:r w:rsidRPr="00534D5D">
        <w:rPr>
          <w:rFonts w:ascii="Palatino Linotype" w:hAnsi="Palatino Linotype"/>
          <w:sz w:val="24"/>
          <w:szCs w:val="24"/>
        </w:rPr>
        <w:t xml:space="preserve">business day average does not align with the goal established in </w:t>
      </w:r>
      <w:r w:rsidRPr="00534D5D" w:rsidR="005B2EE5">
        <w:rPr>
          <w:rFonts w:ascii="Palatino Linotype" w:hAnsi="Palatino Linotype"/>
          <w:sz w:val="24"/>
          <w:szCs w:val="24"/>
        </w:rPr>
        <w:t xml:space="preserve">Resolutions E-5167 and E-5168. </w:t>
      </w:r>
      <w:r w:rsidRPr="00534D5D" w:rsidR="004D4DDF">
        <w:rPr>
          <w:rFonts w:ascii="Palatino Linotype" w:hAnsi="Palatino Linotype"/>
          <w:sz w:val="24"/>
          <w:szCs w:val="24"/>
        </w:rPr>
        <w:t>Ordering Paragraph 8 of Resolutions E-5167 and E-5168 directed the Joint IOUs to demonstrate that they were taking steps to accelerate the service energization process in their proposal.</w:t>
      </w:r>
    </w:p>
    <w:p w:rsidRPr="00534D5D" w:rsidR="00DE1474" w:rsidP="00B03B23" w:rsidRDefault="00F274DE" w14:paraId="778F21E5" w14:textId="1D3BD024">
      <w:pPr>
        <w:rPr>
          <w:rFonts w:ascii="Palatino Linotype" w:hAnsi="Palatino Linotype"/>
          <w:sz w:val="24"/>
          <w:szCs w:val="24"/>
        </w:rPr>
      </w:pPr>
      <w:r w:rsidRPr="00534D5D">
        <w:rPr>
          <w:rFonts w:ascii="Palatino Linotype" w:hAnsi="Palatino Linotype"/>
          <w:sz w:val="24"/>
          <w:szCs w:val="24"/>
        </w:rPr>
        <w:t xml:space="preserve">We are not persuaded by the Joint IOUs assertion that the additional responsibility of civil construction </w:t>
      </w:r>
      <w:r w:rsidRPr="00534D5D" w:rsidR="00F661D9">
        <w:rPr>
          <w:rFonts w:ascii="Palatino Linotype" w:hAnsi="Palatino Linotype"/>
          <w:sz w:val="24"/>
          <w:szCs w:val="24"/>
        </w:rPr>
        <w:t xml:space="preserve">added </w:t>
      </w:r>
      <w:r w:rsidRPr="00534D5D">
        <w:rPr>
          <w:rFonts w:ascii="Palatino Linotype" w:hAnsi="Palatino Linotype"/>
          <w:sz w:val="24"/>
          <w:szCs w:val="24"/>
        </w:rPr>
        <w:t xml:space="preserve">to the direct utility-role under the EV Infrastructure Rules will add an additional 25-30 days to the energization process. </w:t>
      </w:r>
      <w:r w:rsidRPr="00534D5D" w:rsidR="008B42BF">
        <w:rPr>
          <w:rFonts w:ascii="Palatino Linotype" w:hAnsi="Palatino Linotype"/>
          <w:sz w:val="24"/>
          <w:szCs w:val="24"/>
        </w:rPr>
        <w:t>While the IOUs may ne</w:t>
      </w:r>
      <w:r w:rsidRPr="00534D5D" w:rsidR="006B6BD6">
        <w:rPr>
          <w:rFonts w:ascii="Palatino Linotype" w:hAnsi="Palatino Linotype"/>
          <w:sz w:val="24"/>
          <w:szCs w:val="24"/>
        </w:rPr>
        <w:t xml:space="preserve">ed to develop their internal processes to </w:t>
      </w:r>
      <w:r w:rsidRPr="00534D5D" w:rsidR="00350655">
        <w:rPr>
          <w:rFonts w:ascii="Palatino Linotype" w:hAnsi="Palatino Linotype"/>
          <w:sz w:val="24"/>
          <w:szCs w:val="24"/>
        </w:rPr>
        <w:t xml:space="preserve">ensure the timely completion of this work under the EV Infrastructure Rules, </w:t>
      </w:r>
      <w:r w:rsidRPr="00534D5D" w:rsidR="000F5D60">
        <w:rPr>
          <w:rFonts w:ascii="Palatino Linotype" w:hAnsi="Palatino Linotype"/>
          <w:sz w:val="24"/>
          <w:szCs w:val="24"/>
        </w:rPr>
        <w:t xml:space="preserve">they have nearly six-years </w:t>
      </w:r>
      <w:r w:rsidRPr="00534D5D" w:rsidR="003C3D06">
        <w:rPr>
          <w:rFonts w:ascii="Palatino Linotype" w:hAnsi="Palatino Linotype"/>
          <w:sz w:val="24"/>
          <w:szCs w:val="24"/>
        </w:rPr>
        <w:t xml:space="preserve">of </w:t>
      </w:r>
      <w:r w:rsidRPr="00534D5D" w:rsidR="000F5D60">
        <w:rPr>
          <w:rFonts w:ascii="Palatino Linotype" w:hAnsi="Palatino Linotype"/>
          <w:sz w:val="24"/>
          <w:szCs w:val="24"/>
        </w:rPr>
        <w:t xml:space="preserve">experience implementing civil construction work </w:t>
      </w:r>
      <w:r w:rsidRPr="00534D5D" w:rsidR="003C3D06">
        <w:rPr>
          <w:rFonts w:ascii="Palatino Linotype" w:hAnsi="Palatino Linotype"/>
          <w:sz w:val="24"/>
          <w:szCs w:val="24"/>
        </w:rPr>
        <w:t>with</w:t>
      </w:r>
      <w:r w:rsidRPr="00534D5D" w:rsidR="000F5D60">
        <w:rPr>
          <w:rFonts w:ascii="Palatino Linotype" w:hAnsi="Palatino Linotype"/>
          <w:sz w:val="24"/>
          <w:szCs w:val="24"/>
        </w:rPr>
        <w:t xml:space="preserve">in their approved behind-the-meter TE programs. </w:t>
      </w:r>
      <w:r w:rsidRPr="00534D5D" w:rsidR="001B05A5">
        <w:rPr>
          <w:rFonts w:ascii="Palatino Linotype" w:hAnsi="Palatino Linotype"/>
          <w:sz w:val="24"/>
          <w:szCs w:val="24"/>
        </w:rPr>
        <w:t>T</w:t>
      </w:r>
      <w:r w:rsidRPr="00534D5D" w:rsidR="0032668F">
        <w:rPr>
          <w:rFonts w:ascii="Palatino Linotype" w:hAnsi="Palatino Linotype"/>
          <w:sz w:val="24"/>
          <w:szCs w:val="24"/>
        </w:rPr>
        <w:t>hese efforts to implement their behind-the-meter TE programs are factored</w:t>
      </w:r>
      <w:r w:rsidRPr="00534D5D" w:rsidR="00A126F3">
        <w:rPr>
          <w:rFonts w:ascii="Palatino Linotype" w:hAnsi="Palatino Linotype"/>
          <w:sz w:val="24"/>
          <w:szCs w:val="24"/>
        </w:rPr>
        <w:t xml:space="preserve"> </w:t>
      </w:r>
      <w:r w:rsidRPr="00534D5D" w:rsidR="00C74A24">
        <w:rPr>
          <w:rFonts w:ascii="Palatino Linotype" w:hAnsi="Palatino Linotype"/>
          <w:sz w:val="24"/>
          <w:szCs w:val="24"/>
        </w:rPr>
        <w:t>in</w:t>
      </w:r>
      <w:r w:rsidRPr="00534D5D" w:rsidR="00A126F3">
        <w:rPr>
          <w:rFonts w:ascii="Palatino Linotype" w:hAnsi="Palatino Linotype"/>
          <w:sz w:val="24"/>
          <w:szCs w:val="24"/>
        </w:rPr>
        <w:t xml:space="preserve"> the</w:t>
      </w:r>
      <w:r w:rsidRPr="00534D5D" w:rsidR="00A04043">
        <w:rPr>
          <w:rFonts w:ascii="Palatino Linotype" w:hAnsi="Palatino Linotype"/>
          <w:sz w:val="24"/>
          <w:szCs w:val="24"/>
        </w:rPr>
        <w:t xml:space="preserve"> Joint IOUs’</w:t>
      </w:r>
      <w:r w:rsidRPr="00534D5D" w:rsidR="00A126F3">
        <w:rPr>
          <w:rFonts w:ascii="Palatino Linotype" w:hAnsi="Palatino Linotype"/>
          <w:sz w:val="24"/>
          <w:szCs w:val="24"/>
        </w:rPr>
        <w:t xml:space="preserve"> current 150</w:t>
      </w:r>
      <w:r w:rsidRPr="00534D5D" w:rsidR="00717544">
        <w:rPr>
          <w:rFonts w:ascii="Palatino Linotype" w:hAnsi="Palatino Linotype"/>
          <w:sz w:val="24"/>
          <w:szCs w:val="24"/>
        </w:rPr>
        <w:t xml:space="preserve"> to </w:t>
      </w:r>
      <w:r w:rsidRPr="00534D5D" w:rsidR="00A126F3">
        <w:rPr>
          <w:rFonts w:ascii="Palatino Linotype" w:hAnsi="Palatino Linotype"/>
          <w:sz w:val="24"/>
          <w:szCs w:val="24"/>
        </w:rPr>
        <w:t>155-business day average service energization timeline</w:t>
      </w:r>
      <w:r w:rsidRPr="00534D5D" w:rsidR="000F5D60">
        <w:rPr>
          <w:rFonts w:ascii="Palatino Linotype" w:hAnsi="Palatino Linotype"/>
          <w:sz w:val="24"/>
          <w:szCs w:val="24"/>
        </w:rPr>
        <w:t>.</w:t>
      </w:r>
      <w:r w:rsidRPr="00534D5D" w:rsidR="006E68C1">
        <w:rPr>
          <w:rFonts w:ascii="Palatino Linotype" w:hAnsi="Palatino Linotype"/>
          <w:sz w:val="24"/>
          <w:szCs w:val="24"/>
        </w:rPr>
        <w:t xml:space="preserve"> As this s</w:t>
      </w:r>
      <w:r w:rsidRPr="00534D5D" w:rsidR="00F16720">
        <w:rPr>
          <w:rFonts w:ascii="Palatino Linotype" w:hAnsi="Palatino Linotype"/>
          <w:sz w:val="24"/>
          <w:szCs w:val="24"/>
        </w:rPr>
        <w:t>tep</w:t>
      </w:r>
      <w:r w:rsidRPr="00534D5D" w:rsidR="006E68C1">
        <w:rPr>
          <w:rFonts w:ascii="Palatino Linotype" w:hAnsi="Palatino Linotype"/>
          <w:sz w:val="24"/>
          <w:szCs w:val="24"/>
        </w:rPr>
        <w:t xml:space="preserve"> is now </w:t>
      </w:r>
      <w:r w:rsidRPr="00534D5D" w:rsidR="004903D5">
        <w:rPr>
          <w:rFonts w:ascii="Palatino Linotype" w:hAnsi="Palatino Linotype"/>
          <w:sz w:val="24"/>
          <w:szCs w:val="24"/>
        </w:rPr>
        <w:t>included within th</w:t>
      </w:r>
      <w:r w:rsidRPr="00534D5D" w:rsidR="00E726A0">
        <w:rPr>
          <w:rFonts w:ascii="Palatino Linotype" w:hAnsi="Palatino Linotype"/>
          <w:sz w:val="24"/>
          <w:szCs w:val="24"/>
        </w:rPr>
        <w:t>e</w:t>
      </w:r>
      <w:r w:rsidRPr="00534D5D" w:rsidR="004903D5">
        <w:rPr>
          <w:rFonts w:ascii="Palatino Linotype" w:hAnsi="Palatino Linotype"/>
          <w:sz w:val="24"/>
          <w:szCs w:val="24"/>
        </w:rPr>
        <w:t xml:space="preserve"> IOUs’ direct control</w:t>
      </w:r>
      <w:r w:rsidRPr="00534D5D" w:rsidR="00E726A0">
        <w:rPr>
          <w:rFonts w:ascii="Palatino Linotype" w:hAnsi="Palatino Linotype"/>
          <w:sz w:val="24"/>
          <w:szCs w:val="24"/>
        </w:rPr>
        <w:t xml:space="preserve"> rather than an inexperience</w:t>
      </w:r>
      <w:r w:rsidRPr="00534D5D" w:rsidR="00F84BC2">
        <w:rPr>
          <w:rFonts w:ascii="Palatino Linotype" w:hAnsi="Palatino Linotype"/>
          <w:sz w:val="24"/>
          <w:szCs w:val="24"/>
        </w:rPr>
        <w:t>d</w:t>
      </w:r>
      <w:r w:rsidRPr="00534D5D" w:rsidR="00E726A0">
        <w:rPr>
          <w:rFonts w:ascii="Palatino Linotype" w:hAnsi="Palatino Linotype"/>
          <w:sz w:val="24"/>
          <w:szCs w:val="24"/>
        </w:rPr>
        <w:t xml:space="preserve"> customer’s control</w:t>
      </w:r>
      <w:r w:rsidRPr="00534D5D" w:rsidR="004903D5">
        <w:rPr>
          <w:rFonts w:ascii="Palatino Linotype" w:hAnsi="Palatino Linotype"/>
          <w:sz w:val="24"/>
          <w:szCs w:val="24"/>
        </w:rPr>
        <w:t>,</w:t>
      </w:r>
      <w:r w:rsidRPr="00534D5D" w:rsidR="000F5D60">
        <w:rPr>
          <w:rFonts w:ascii="Palatino Linotype" w:hAnsi="Palatino Linotype"/>
          <w:sz w:val="24"/>
          <w:szCs w:val="24"/>
        </w:rPr>
        <w:t xml:space="preserve"> </w:t>
      </w:r>
      <w:r w:rsidRPr="00534D5D" w:rsidR="004903D5">
        <w:rPr>
          <w:rFonts w:ascii="Palatino Linotype" w:hAnsi="Palatino Linotype"/>
          <w:sz w:val="24"/>
          <w:szCs w:val="24"/>
        </w:rPr>
        <w:t>w</w:t>
      </w:r>
      <w:r w:rsidRPr="00534D5D" w:rsidR="00350655">
        <w:rPr>
          <w:rFonts w:ascii="Palatino Linotype" w:hAnsi="Palatino Linotype"/>
          <w:sz w:val="24"/>
          <w:szCs w:val="24"/>
        </w:rPr>
        <w:t>e</w:t>
      </w:r>
      <w:r w:rsidRPr="00534D5D" w:rsidR="00177B6F">
        <w:rPr>
          <w:rFonts w:ascii="Palatino Linotype" w:hAnsi="Palatino Linotype"/>
          <w:sz w:val="24"/>
          <w:szCs w:val="24"/>
        </w:rPr>
        <w:t xml:space="preserve"> </w:t>
      </w:r>
      <w:r w:rsidRPr="00534D5D" w:rsidR="004E204C">
        <w:rPr>
          <w:rFonts w:ascii="Palatino Linotype" w:hAnsi="Palatino Linotype"/>
          <w:sz w:val="24"/>
          <w:szCs w:val="24"/>
        </w:rPr>
        <w:t>expect the Joint IOUs</w:t>
      </w:r>
      <w:r w:rsidRPr="00534D5D" w:rsidR="00C72E97">
        <w:rPr>
          <w:rFonts w:ascii="Palatino Linotype" w:hAnsi="Palatino Linotype"/>
          <w:sz w:val="24"/>
          <w:szCs w:val="24"/>
        </w:rPr>
        <w:t xml:space="preserve">, </w:t>
      </w:r>
      <w:r w:rsidRPr="00534D5D" w:rsidR="00342FBE">
        <w:rPr>
          <w:rFonts w:ascii="Palatino Linotype" w:hAnsi="Palatino Linotype"/>
          <w:sz w:val="24"/>
          <w:szCs w:val="24"/>
        </w:rPr>
        <w:t>by leveraging</w:t>
      </w:r>
      <w:r w:rsidRPr="00534D5D" w:rsidR="00F47B8E">
        <w:rPr>
          <w:rFonts w:ascii="Palatino Linotype" w:hAnsi="Palatino Linotype"/>
          <w:sz w:val="24"/>
          <w:szCs w:val="24"/>
        </w:rPr>
        <w:t xml:space="preserve"> </w:t>
      </w:r>
      <w:r w:rsidRPr="00534D5D" w:rsidR="002954EE">
        <w:rPr>
          <w:rFonts w:ascii="Palatino Linotype" w:hAnsi="Palatino Linotype"/>
          <w:sz w:val="24"/>
          <w:szCs w:val="24"/>
        </w:rPr>
        <w:t xml:space="preserve">their previous experience implementing behind-the-meter TE programs and </w:t>
      </w:r>
      <w:r w:rsidRPr="00534D5D" w:rsidR="00F47B8E">
        <w:rPr>
          <w:rFonts w:ascii="Palatino Linotype" w:hAnsi="Palatino Linotype"/>
          <w:sz w:val="24"/>
          <w:szCs w:val="24"/>
        </w:rPr>
        <w:t>achieving economies of scale</w:t>
      </w:r>
      <w:r w:rsidRPr="00534D5D" w:rsidR="00342FBE">
        <w:rPr>
          <w:rFonts w:ascii="Palatino Linotype" w:hAnsi="Palatino Linotype"/>
          <w:sz w:val="24"/>
          <w:szCs w:val="24"/>
        </w:rPr>
        <w:t>,</w:t>
      </w:r>
      <w:r w:rsidRPr="00534D5D" w:rsidR="00F47B8E">
        <w:rPr>
          <w:rFonts w:ascii="Palatino Linotype" w:hAnsi="Palatino Linotype"/>
          <w:sz w:val="24"/>
          <w:szCs w:val="24"/>
        </w:rPr>
        <w:t xml:space="preserve"> </w:t>
      </w:r>
      <w:r w:rsidRPr="00534D5D" w:rsidR="00177B6F">
        <w:rPr>
          <w:rFonts w:ascii="Palatino Linotype" w:hAnsi="Palatino Linotype"/>
          <w:sz w:val="24"/>
          <w:szCs w:val="24"/>
        </w:rPr>
        <w:t xml:space="preserve">will </w:t>
      </w:r>
      <w:r w:rsidRPr="00534D5D" w:rsidR="00F47B8E">
        <w:rPr>
          <w:rFonts w:ascii="Palatino Linotype" w:hAnsi="Palatino Linotype"/>
          <w:sz w:val="24"/>
          <w:szCs w:val="24"/>
        </w:rPr>
        <w:t xml:space="preserve">be able to improve on the 25-30 days they </w:t>
      </w:r>
      <w:r w:rsidRPr="00534D5D" w:rsidR="007E20AE">
        <w:rPr>
          <w:rFonts w:ascii="Palatino Linotype" w:hAnsi="Palatino Linotype"/>
          <w:sz w:val="24"/>
          <w:szCs w:val="24"/>
        </w:rPr>
        <w:t>assert</w:t>
      </w:r>
      <w:r w:rsidRPr="00534D5D" w:rsidR="00F47B8E">
        <w:rPr>
          <w:rFonts w:ascii="Palatino Linotype" w:hAnsi="Palatino Linotype"/>
          <w:sz w:val="24"/>
          <w:szCs w:val="24"/>
        </w:rPr>
        <w:t xml:space="preserve"> an individual customer needs to complete this work</w:t>
      </w:r>
      <w:r w:rsidRPr="00534D5D" w:rsidR="00E726A0">
        <w:rPr>
          <w:rFonts w:ascii="Palatino Linotype" w:hAnsi="Palatino Linotype"/>
          <w:sz w:val="24"/>
          <w:szCs w:val="24"/>
        </w:rPr>
        <w:t>.</w:t>
      </w:r>
      <w:r w:rsidRPr="00534D5D" w:rsidR="004E204C">
        <w:rPr>
          <w:rFonts w:ascii="Palatino Linotype" w:hAnsi="Palatino Linotype"/>
          <w:sz w:val="24"/>
          <w:szCs w:val="24"/>
        </w:rPr>
        <w:t xml:space="preserve"> </w:t>
      </w:r>
    </w:p>
    <w:p w:rsidRPr="00534D5D" w:rsidR="002E41D5" w:rsidP="004B4D71" w:rsidRDefault="005C412E" w14:paraId="5FABA29D" w14:textId="593B6013">
      <w:pPr>
        <w:rPr>
          <w:rFonts w:ascii="Palatino Linotype" w:hAnsi="Palatino Linotype"/>
          <w:sz w:val="24"/>
          <w:szCs w:val="24"/>
        </w:rPr>
      </w:pPr>
      <w:r w:rsidRPr="00534D5D">
        <w:rPr>
          <w:rFonts w:ascii="Palatino Linotype" w:hAnsi="Palatino Linotype"/>
          <w:sz w:val="24"/>
          <w:szCs w:val="24"/>
        </w:rPr>
        <w:t xml:space="preserve">While the Joint EV </w:t>
      </w:r>
      <w:r w:rsidRPr="00534D5D" w:rsidR="00A01793">
        <w:rPr>
          <w:rFonts w:ascii="Palatino Linotype" w:hAnsi="Palatino Linotype"/>
          <w:sz w:val="24"/>
          <w:szCs w:val="24"/>
        </w:rPr>
        <w:t>Industry</w:t>
      </w:r>
      <w:r w:rsidRPr="00534D5D">
        <w:rPr>
          <w:rFonts w:ascii="Palatino Linotype" w:hAnsi="Palatino Linotype"/>
          <w:sz w:val="24"/>
          <w:szCs w:val="24"/>
        </w:rPr>
        <w:t xml:space="preserve"> recommends a 90-day service energization average, w</w:t>
      </w:r>
      <w:r w:rsidRPr="00534D5D" w:rsidR="00DD3317">
        <w:rPr>
          <w:rFonts w:ascii="Palatino Linotype" w:hAnsi="Palatino Linotype"/>
          <w:sz w:val="24"/>
          <w:szCs w:val="24"/>
        </w:rPr>
        <w:t>e find it is too premature to adopt such an aggressive target. The</w:t>
      </w:r>
      <w:r w:rsidRPr="00534D5D" w:rsidR="002E41D5">
        <w:rPr>
          <w:rFonts w:ascii="Palatino Linotype" w:hAnsi="Palatino Linotype"/>
          <w:sz w:val="24"/>
          <w:szCs w:val="24"/>
        </w:rPr>
        <w:t xml:space="preserve"> CPUC does not have sufficient data that can support the Joint EV Industry’s assumption that </w:t>
      </w:r>
      <w:r w:rsidRPr="00534D5D" w:rsidR="00206B2D">
        <w:rPr>
          <w:rFonts w:ascii="Palatino Linotype" w:hAnsi="Palatino Linotype"/>
          <w:sz w:val="24"/>
          <w:szCs w:val="24"/>
        </w:rPr>
        <w:t xml:space="preserve">the Joint IOUs can achieve such an aggressive </w:t>
      </w:r>
      <w:r w:rsidRPr="00534D5D" w:rsidR="006815AB">
        <w:rPr>
          <w:rFonts w:ascii="Palatino Linotype" w:hAnsi="Palatino Linotype"/>
          <w:sz w:val="24"/>
          <w:szCs w:val="24"/>
        </w:rPr>
        <w:t>numerical target</w:t>
      </w:r>
      <w:r w:rsidRPr="00534D5D" w:rsidR="00BA326E">
        <w:rPr>
          <w:rFonts w:ascii="Palatino Linotype" w:hAnsi="Palatino Linotype"/>
          <w:sz w:val="24"/>
          <w:szCs w:val="24"/>
        </w:rPr>
        <w:t xml:space="preserve">. </w:t>
      </w:r>
      <w:r w:rsidRPr="00534D5D" w:rsidR="00EB537E">
        <w:rPr>
          <w:rFonts w:ascii="Palatino Linotype" w:hAnsi="Palatino Linotype"/>
          <w:sz w:val="24"/>
          <w:szCs w:val="24"/>
        </w:rPr>
        <w:t xml:space="preserve">Additionally, while we cannot </w:t>
      </w:r>
      <w:r w:rsidRPr="00534D5D" w:rsidR="00191B36">
        <w:rPr>
          <w:rFonts w:ascii="Palatino Linotype" w:hAnsi="Palatino Linotype"/>
          <w:sz w:val="24"/>
          <w:szCs w:val="24"/>
        </w:rPr>
        <w:t>justify adopting a 90-day service energization average target, we do find the</w:t>
      </w:r>
      <w:r w:rsidRPr="00534D5D" w:rsidR="00C078CC">
        <w:rPr>
          <w:rFonts w:ascii="Palatino Linotype" w:hAnsi="Palatino Linotype"/>
          <w:sz w:val="24"/>
          <w:szCs w:val="24"/>
        </w:rPr>
        <w:t xml:space="preserve"> Joint IOUs’ proposed 160-business day average to not </w:t>
      </w:r>
      <w:r w:rsidRPr="00534D5D" w:rsidR="00832794">
        <w:rPr>
          <w:rFonts w:ascii="Palatino Linotype" w:hAnsi="Palatino Linotype"/>
          <w:sz w:val="24"/>
          <w:szCs w:val="24"/>
        </w:rPr>
        <w:t xml:space="preserve">meet the </w:t>
      </w:r>
      <w:r w:rsidRPr="00534D5D" w:rsidR="00446CAC">
        <w:rPr>
          <w:rFonts w:ascii="Palatino Linotype" w:hAnsi="Palatino Linotype"/>
          <w:sz w:val="24"/>
          <w:szCs w:val="24"/>
        </w:rPr>
        <w:t xml:space="preserve">intent of Resolutions E-5167 and </w:t>
      </w:r>
      <w:r w:rsidR="00E146E3">
        <w:rPr>
          <w:rFonts w:ascii="Palatino Linotype" w:hAnsi="Palatino Linotype"/>
          <w:sz w:val="24"/>
          <w:szCs w:val="24"/>
        </w:rPr>
        <w:br/>
      </w:r>
      <w:r w:rsidRPr="00534D5D" w:rsidR="00446CAC">
        <w:rPr>
          <w:rFonts w:ascii="Palatino Linotype" w:hAnsi="Palatino Linotype"/>
          <w:sz w:val="24"/>
          <w:szCs w:val="24"/>
        </w:rPr>
        <w:t xml:space="preserve">E-5168, which </w:t>
      </w:r>
      <w:r w:rsidRPr="00534D5D" w:rsidR="00C93665">
        <w:rPr>
          <w:rFonts w:ascii="Palatino Linotype" w:hAnsi="Palatino Linotype"/>
          <w:sz w:val="24"/>
          <w:szCs w:val="24"/>
        </w:rPr>
        <w:t>direct the Joint IOUs to propose a timeline th</w:t>
      </w:r>
      <w:r w:rsidRPr="00534D5D" w:rsidR="00C375AD">
        <w:rPr>
          <w:rFonts w:ascii="Palatino Linotype" w:hAnsi="Palatino Linotype"/>
          <w:sz w:val="24"/>
          <w:szCs w:val="24"/>
        </w:rPr>
        <w:t>at</w:t>
      </w:r>
      <w:r w:rsidRPr="00534D5D" w:rsidR="00C93665">
        <w:rPr>
          <w:rFonts w:ascii="Palatino Linotype" w:hAnsi="Palatino Linotype"/>
          <w:sz w:val="24"/>
          <w:szCs w:val="24"/>
        </w:rPr>
        <w:t xml:space="preserve"> demonstrates efforts to accelerate the service energization process to support the state in meeting its aggressive </w:t>
      </w:r>
      <w:r w:rsidRPr="00534D5D" w:rsidR="00C93665">
        <w:rPr>
          <w:rFonts w:ascii="Palatino Linotype" w:hAnsi="Palatino Linotype"/>
          <w:sz w:val="24"/>
          <w:szCs w:val="24"/>
        </w:rPr>
        <w:lastRenderedPageBreak/>
        <w:t>EV goals and targets.</w:t>
      </w:r>
      <w:r w:rsidRPr="00534D5D" w:rsidR="000D2794">
        <w:rPr>
          <w:rStyle w:val="FootnoteReference"/>
          <w:rFonts w:ascii="Palatino Linotype" w:hAnsi="Palatino Linotype"/>
          <w:sz w:val="24"/>
          <w:szCs w:val="24"/>
        </w:rPr>
        <w:footnoteReference w:id="13"/>
      </w:r>
      <w:r w:rsidRPr="00534D5D" w:rsidR="00C93665">
        <w:rPr>
          <w:rFonts w:ascii="Palatino Linotype" w:hAnsi="Palatino Linotype"/>
          <w:sz w:val="24"/>
          <w:szCs w:val="24"/>
        </w:rPr>
        <w:t xml:space="preserve"> </w:t>
      </w:r>
      <w:r w:rsidRPr="00534D5D" w:rsidR="00807DC7">
        <w:rPr>
          <w:rFonts w:ascii="Palatino Linotype" w:hAnsi="Palatino Linotype"/>
          <w:sz w:val="24"/>
          <w:szCs w:val="24"/>
        </w:rPr>
        <w:t xml:space="preserve">Until the CPUC has more data to determine how aggressive </w:t>
      </w:r>
      <w:r w:rsidRPr="00534D5D" w:rsidR="00886965">
        <w:rPr>
          <w:rFonts w:ascii="Palatino Linotype" w:hAnsi="Palatino Linotype"/>
          <w:sz w:val="24"/>
          <w:szCs w:val="24"/>
        </w:rPr>
        <w:t xml:space="preserve">the service energization target should be, we believe </w:t>
      </w:r>
      <w:r w:rsidRPr="00534D5D" w:rsidR="00844682">
        <w:rPr>
          <w:rFonts w:ascii="Palatino Linotype" w:hAnsi="Palatino Linotype"/>
          <w:sz w:val="24"/>
          <w:szCs w:val="24"/>
        </w:rPr>
        <w:t>to be reasonable</w:t>
      </w:r>
      <w:r w:rsidRPr="00534D5D" w:rsidR="003D45EA">
        <w:rPr>
          <w:rFonts w:ascii="Palatino Linotype" w:hAnsi="Palatino Linotype"/>
          <w:sz w:val="24"/>
          <w:szCs w:val="24"/>
        </w:rPr>
        <w:t xml:space="preserve"> to adopt an interim target based on the middle ground between the Joint EV Industry’s proposed </w:t>
      </w:r>
      <w:r w:rsidR="00E146E3">
        <w:rPr>
          <w:rFonts w:ascii="Palatino Linotype" w:hAnsi="Palatino Linotype"/>
          <w:sz w:val="24"/>
          <w:szCs w:val="24"/>
        </w:rPr>
        <w:br/>
      </w:r>
      <w:r w:rsidRPr="00534D5D" w:rsidR="003D45EA">
        <w:rPr>
          <w:rFonts w:ascii="Palatino Linotype" w:hAnsi="Palatino Linotype"/>
          <w:sz w:val="24"/>
          <w:szCs w:val="24"/>
        </w:rPr>
        <w:t>90-business day average and the Joint IOUs’ 160-business day average.</w:t>
      </w:r>
    </w:p>
    <w:p w:rsidRPr="00534D5D" w:rsidR="007858A8" w:rsidP="007858A8" w:rsidRDefault="004B4D71" w14:paraId="466D3954" w14:textId="4EA61211">
      <w:pPr>
        <w:rPr>
          <w:rFonts w:ascii="Palatino Linotype" w:hAnsi="Palatino Linotype"/>
          <w:bCs/>
          <w:sz w:val="24"/>
          <w:szCs w:val="24"/>
        </w:rPr>
      </w:pPr>
      <w:r w:rsidRPr="00534D5D">
        <w:rPr>
          <w:rFonts w:ascii="Palatino Linotype" w:hAnsi="Palatino Linotype"/>
          <w:b/>
          <w:sz w:val="24"/>
          <w:szCs w:val="24"/>
        </w:rPr>
        <w:t>We modify the proposed average service energization timeline to adopt a temporary average of 125</w:t>
      </w:r>
      <w:r w:rsidRPr="00534D5D" w:rsidR="009C20E4">
        <w:rPr>
          <w:rFonts w:ascii="Palatino Linotype" w:hAnsi="Palatino Linotype"/>
          <w:b/>
          <w:sz w:val="24"/>
          <w:szCs w:val="24"/>
        </w:rPr>
        <w:t>-</w:t>
      </w:r>
      <w:r w:rsidRPr="00534D5D">
        <w:rPr>
          <w:rFonts w:ascii="Palatino Linotype" w:hAnsi="Palatino Linotype"/>
          <w:b/>
          <w:sz w:val="24"/>
          <w:szCs w:val="24"/>
        </w:rPr>
        <w:t>business days for all projects that go through the IOUs’ EV Infrastructure Rule</w:t>
      </w:r>
      <w:r w:rsidRPr="00534D5D" w:rsidR="007858A8">
        <w:rPr>
          <w:rFonts w:ascii="Palatino Linotype" w:hAnsi="Palatino Linotype"/>
          <w:b/>
          <w:sz w:val="24"/>
          <w:szCs w:val="24"/>
        </w:rPr>
        <w:t>.</w:t>
      </w:r>
      <w:r w:rsidRPr="00534D5D" w:rsidR="007858A8">
        <w:rPr>
          <w:rFonts w:ascii="Palatino Linotype" w:hAnsi="Palatino Linotype"/>
          <w:sz w:val="24"/>
          <w:szCs w:val="24"/>
        </w:rPr>
        <w:t xml:space="preserve"> </w:t>
      </w:r>
      <w:r w:rsidRPr="00534D5D" w:rsidR="007858A8">
        <w:rPr>
          <w:rFonts w:ascii="Palatino Linotype" w:hAnsi="Palatino Linotype"/>
          <w:bCs/>
          <w:sz w:val="24"/>
          <w:szCs w:val="24"/>
        </w:rPr>
        <w:t xml:space="preserve">We believe </w:t>
      </w:r>
      <w:r w:rsidRPr="00534D5D" w:rsidR="000C1B13">
        <w:rPr>
          <w:rFonts w:ascii="Palatino Linotype" w:hAnsi="Palatino Linotype"/>
          <w:bCs/>
          <w:sz w:val="24"/>
          <w:szCs w:val="24"/>
        </w:rPr>
        <w:t>a</w:t>
      </w:r>
      <w:r w:rsidRPr="00534D5D" w:rsidR="007858A8">
        <w:rPr>
          <w:rFonts w:ascii="Palatino Linotype" w:hAnsi="Palatino Linotype"/>
          <w:bCs/>
          <w:sz w:val="24"/>
          <w:szCs w:val="24"/>
        </w:rPr>
        <w:t xml:space="preserve"> 125</w:t>
      </w:r>
      <w:r w:rsidRPr="00534D5D" w:rsidR="00186D91">
        <w:rPr>
          <w:rFonts w:ascii="Palatino Linotype" w:hAnsi="Palatino Linotype"/>
          <w:bCs/>
          <w:sz w:val="24"/>
          <w:szCs w:val="24"/>
        </w:rPr>
        <w:t>-</w:t>
      </w:r>
      <w:r w:rsidRPr="00534D5D" w:rsidR="007858A8">
        <w:rPr>
          <w:rFonts w:ascii="Palatino Linotype" w:hAnsi="Palatino Linotype"/>
          <w:bCs/>
          <w:sz w:val="24"/>
          <w:szCs w:val="24"/>
        </w:rPr>
        <w:t>business day</w:t>
      </w:r>
      <w:r w:rsidRPr="00534D5D" w:rsidR="000C1B13">
        <w:rPr>
          <w:rFonts w:ascii="Palatino Linotype" w:hAnsi="Palatino Linotype"/>
          <w:bCs/>
          <w:sz w:val="24"/>
          <w:szCs w:val="24"/>
        </w:rPr>
        <w:t>s</w:t>
      </w:r>
      <w:r w:rsidRPr="00534D5D" w:rsidR="007858A8">
        <w:rPr>
          <w:rFonts w:ascii="Palatino Linotype" w:hAnsi="Palatino Linotype"/>
          <w:bCs/>
          <w:sz w:val="24"/>
          <w:szCs w:val="24"/>
        </w:rPr>
        <w:t xml:space="preserve"> service energization average target, starting from when a customer </w:t>
      </w:r>
      <w:proofErr w:type="gramStart"/>
      <w:r w:rsidRPr="00534D5D" w:rsidR="007858A8">
        <w:rPr>
          <w:rFonts w:ascii="Palatino Linotype" w:hAnsi="Palatino Linotype"/>
          <w:bCs/>
          <w:sz w:val="24"/>
          <w:szCs w:val="24"/>
        </w:rPr>
        <w:t>submits an application</w:t>
      </w:r>
      <w:proofErr w:type="gramEnd"/>
      <w:r w:rsidRPr="00534D5D" w:rsidR="007858A8">
        <w:rPr>
          <w:rFonts w:ascii="Palatino Linotype" w:hAnsi="Palatino Linotype"/>
          <w:bCs/>
          <w:sz w:val="24"/>
          <w:szCs w:val="24"/>
        </w:rPr>
        <w:t xml:space="preserve"> for service through the EV Infrastructure Rule to the energization of the </w:t>
      </w:r>
      <w:r w:rsidRPr="00534D5D" w:rsidR="00802690">
        <w:rPr>
          <w:rFonts w:ascii="Palatino Linotype" w:hAnsi="Palatino Linotype"/>
          <w:bCs/>
          <w:sz w:val="24"/>
          <w:szCs w:val="24"/>
        </w:rPr>
        <w:t>electric vehicle service equipment (</w:t>
      </w:r>
      <w:r w:rsidRPr="00534D5D" w:rsidR="007858A8">
        <w:rPr>
          <w:rFonts w:ascii="Palatino Linotype" w:hAnsi="Palatino Linotype"/>
          <w:bCs/>
          <w:sz w:val="24"/>
          <w:szCs w:val="24"/>
        </w:rPr>
        <w:t>EVSE</w:t>
      </w:r>
      <w:r w:rsidRPr="00534D5D" w:rsidR="00802690">
        <w:rPr>
          <w:rFonts w:ascii="Palatino Linotype" w:hAnsi="Palatino Linotype"/>
          <w:bCs/>
          <w:sz w:val="24"/>
          <w:szCs w:val="24"/>
        </w:rPr>
        <w:t>)</w:t>
      </w:r>
      <w:r w:rsidRPr="00534D5D" w:rsidR="007858A8">
        <w:rPr>
          <w:rFonts w:ascii="Palatino Linotype" w:hAnsi="Palatino Linotype"/>
          <w:bCs/>
          <w:sz w:val="24"/>
          <w:szCs w:val="24"/>
        </w:rPr>
        <w:t xml:space="preserve">, </w:t>
      </w:r>
      <w:r w:rsidRPr="00534D5D" w:rsidR="008B32F7">
        <w:rPr>
          <w:rFonts w:ascii="Palatino Linotype" w:hAnsi="Palatino Linotype"/>
          <w:bCs/>
          <w:sz w:val="24"/>
          <w:szCs w:val="24"/>
        </w:rPr>
        <w:t xml:space="preserve">balances </w:t>
      </w:r>
      <w:r w:rsidRPr="00534D5D" w:rsidR="007858A8">
        <w:rPr>
          <w:rFonts w:ascii="Palatino Linotype" w:hAnsi="Palatino Linotype"/>
          <w:bCs/>
          <w:sz w:val="24"/>
          <w:szCs w:val="24"/>
        </w:rPr>
        <w:t>the Joint EV Industry’s recommended 90-day target, and the Joint IOUs proposed 160-day target</w:t>
      </w:r>
      <w:r w:rsidRPr="00534D5D" w:rsidR="00C60B50">
        <w:rPr>
          <w:rFonts w:ascii="Palatino Linotype" w:hAnsi="Palatino Linotype"/>
          <w:bCs/>
          <w:sz w:val="24"/>
          <w:szCs w:val="24"/>
        </w:rPr>
        <w:t xml:space="preserve">, and </w:t>
      </w:r>
      <w:r w:rsidRPr="00534D5D" w:rsidR="00254CD1">
        <w:rPr>
          <w:rFonts w:ascii="Palatino Linotype" w:hAnsi="Palatino Linotype"/>
          <w:bCs/>
          <w:sz w:val="24"/>
          <w:szCs w:val="24"/>
        </w:rPr>
        <w:t xml:space="preserve">signals the intent for </w:t>
      </w:r>
      <w:r w:rsidRPr="00534D5D" w:rsidR="00580772">
        <w:rPr>
          <w:rFonts w:ascii="Palatino Linotype" w:hAnsi="Palatino Linotype"/>
          <w:bCs/>
          <w:sz w:val="24"/>
          <w:szCs w:val="24"/>
        </w:rPr>
        <w:t xml:space="preserve">the IOUs to improve current practices while still </w:t>
      </w:r>
      <w:r w:rsidRPr="00534D5D" w:rsidR="002225CA">
        <w:rPr>
          <w:rFonts w:ascii="Palatino Linotype" w:hAnsi="Palatino Linotype"/>
          <w:bCs/>
          <w:sz w:val="24"/>
          <w:szCs w:val="24"/>
        </w:rPr>
        <w:t xml:space="preserve">acknowledging the </w:t>
      </w:r>
      <w:r w:rsidRPr="00534D5D" w:rsidR="001E179C">
        <w:rPr>
          <w:rFonts w:ascii="Palatino Linotype" w:hAnsi="Palatino Linotype"/>
          <w:bCs/>
          <w:sz w:val="24"/>
          <w:szCs w:val="24"/>
        </w:rPr>
        <w:t>growing state of the market</w:t>
      </w:r>
      <w:r w:rsidRPr="00534D5D" w:rsidDel="00390764" w:rsidR="001E179C">
        <w:rPr>
          <w:rFonts w:ascii="Palatino Linotype" w:hAnsi="Palatino Linotype"/>
          <w:bCs/>
          <w:sz w:val="24"/>
          <w:szCs w:val="24"/>
        </w:rPr>
        <w:t xml:space="preserve">. </w:t>
      </w:r>
      <w:r w:rsidRPr="00534D5D" w:rsidR="007858A8">
        <w:rPr>
          <w:rFonts w:ascii="Palatino Linotype" w:hAnsi="Palatino Linotype"/>
          <w:bCs/>
          <w:sz w:val="24"/>
          <w:szCs w:val="24"/>
        </w:rPr>
        <w:t xml:space="preserve">The adopted target aligns with the Commission’s directives adopted in E-5167 and E-5178, which require the IOUs to propose a timeline that reflect efforts to accelerate the service energization process, which currently achieves a 150-155 business day average. </w:t>
      </w:r>
    </w:p>
    <w:p w:rsidRPr="00534D5D" w:rsidR="00A32763" w:rsidP="007858A8" w:rsidRDefault="000879B6" w14:paraId="6638A92F" w14:textId="704FE220">
      <w:pPr>
        <w:rPr>
          <w:rFonts w:ascii="Palatino Linotype" w:hAnsi="Palatino Linotype"/>
          <w:bCs/>
          <w:sz w:val="24"/>
          <w:szCs w:val="24"/>
        </w:rPr>
      </w:pPr>
      <w:r w:rsidRPr="00534D5D">
        <w:rPr>
          <w:rFonts w:ascii="Palatino Linotype" w:hAnsi="Palatino Linotype"/>
          <w:b/>
          <w:bCs/>
          <w:sz w:val="24"/>
          <w:szCs w:val="24"/>
        </w:rPr>
        <w:t xml:space="preserve">We direct the </w:t>
      </w:r>
      <w:r w:rsidRPr="00534D5D" w:rsidR="009E74B6">
        <w:rPr>
          <w:rFonts w:ascii="Palatino Linotype" w:hAnsi="Palatino Linotype"/>
          <w:b/>
          <w:bCs/>
          <w:sz w:val="24"/>
          <w:szCs w:val="24"/>
        </w:rPr>
        <w:t>IOUs to record the reason(s) for all delays and the number of days each project exceeded the 125-business day average within their EV Infrastructure Rule data collection reports.</w:t>
      </w:r>
      <w:r w:rsidRPr="00534D5D" w:rsidR="009E74B6">
        <w:rPr>
          <w:rFonts w:ascii="Palatino Linotype" w:hAnsi="Palatino Linotype"/>
          <w:sz w:val="24"/>
          <w:szCs w:val="24"/>
        </w:rPr>
        <w:t xml:space="preserve"> </w:t>
      </w:r>
      <w:r w:rsidRPr="00534D5D" w:rsidR="005C40C9">
        <w:rPr>
          <w:rFonts w:ascii="Palatino Linotype" w:hAnsi="Palatino Linotype"/>
          <w:sz w:val="24"/>
          <w:szCs w:val="24"/>
        </w:rPr>
        <w:t xml:space="preserve">While we adopt a more aggressive timeline than the Joint IOUs propose, we are cognizant of the lack of data to support either the Joint EV Industry’s recommendation or the Joint IOUs’ proposal. To ensure the </w:t>
      </w:r>
      <w:r w:rsidRPr="00534D5D" w:rsidR="00D24936">
        <w:rPr>
          <w:rFonts w:ascii="Palatino Linotype" w:hAnsi="Palatino Linotype"/>
          <w:sz w:val="24"/>
          <w:szCs w:val="24"/>
        </w:rPr>
        <w:t>CPUC</w:t>
      </w:r>
      <w:r w:rsidRPr="00534D5D" w:rsidR="005C40C9">
        <w:rPr>
          <w:rFonts w:ascii="Palatino Linotype" w:hAnsi="Palatino Linotype"/>
          <w:sz w:val="24"/>
          <w:szCs w:val="24"/>
        </w:rPr>
        <w:t xml:space="preserve"> has sufficient data to adopt a permanent average energization timeline, for each project that exceeds the </w:t>
      </w:r>
      <w:r w:rsidR="00E146E3">
        <w:rPr>
          <w:rFonts w:ascii="Palatino Linotype" w:hAnsi="Palatino Linotype"/>
          <w:sz w:val="24"/>
          <w:szCs w:val="24"/>
        </w:rPr>
        <w:br/>
      </w:r>
      <w:r w:rsidRPr="00534D5D" w:rsidR="005C40C9">
        <w:rPr>
          <w:rFonts w:ascii="Palatino Linotype" w:hAnsi="Palatino Linotype"/>
          <w:sz w:val="24"/>
          <w:szCs w:val="24"/>
        </w:rPr>
        <w:t xml:space="preserve">125-business day average timeline, the IOUs shall record the reason(s) for all delays and the number of days each project exceeded the 125-business day average within their EV Infrastructure Rule data collection reports. The Joint IOUs shall file a joint T2 AL within 60 days of having one-year </w:t>
      </w:r>
      <w:r w:rsidRPr="00534D5D" w:rsidR="00633DAB">
        <w:rPr>
          <w:rFonts w:ascii="Palatino Linotype" w:hAnsi="Palatino Linotype"/>
          <w:sz w:val="24"/>
          <w:szCs w:val="24"/>
        </w:rPr>
        <w:t>from the date of adoption of this resolution</w:t>
      </w:r>
      <w:r w:rsidRPr="00534D5D" w:rsidR="00265C18">
        <w:rPr>
          <w:rFonts w:ascii="Palatino Linotype" w:hAnsi="Palatino Linotype"/>
          <w:sz w:val="24"/>
          <w:szCs w:val="24"/>
        </w:rPr>
        <w:t>,</w:t>
      </w:r>
      <w:r w:rsidRPr="00534D5D" w:rsidR="00633DAB">
        <w:rPr>
          <w:rFonts w:ascii="Palatino Linotype" w:hAnsi="Palatino Linotype"/>
          <w:sz w:val="24"/>
          <w:szCs w:val="24"/>
        </w:rPr>
        <w:t xml:space="preserve"> </w:t>
      </w:r>
      <w:r w:rsidRPr="00534D5D" w:rsidR="005C40C9">
        <w:rPr>
          <w:rFonts w:ascii="Palatino Linotype" w:hAnsi="Palatino Linotype"/>
          <w:sz w:val="24"/>
          <w:szCs w:val="24"/>
        </w:rPr>
        <w:t xml:space="preserve">of data collected for implementation of the EV Infrastructure Rules to propose an updated service energization average target that is informed by existing efforts under the EV Infrastructure Rules. </w:t>
      </w:r>
    </w:p>
    <w:p w:rsidRPr="00534D5D" w:rsidR="00CA57F8" w:rsidP="00A32763" w:rsidRDefault="00A32763" w14:paraId="3DB65F4A" w14:textId="2974BB2E">
      <w:pPr>
        <w:rPr>
          <w:rFonts w:ascii="Palatino Linotype" w:hAnsi="Palatino Linotype"/>
          <w:sz w:val="24"/>
          <w:szCs w:val="24"/>
        </w:rPr>
      </w:pPr>
      <w:r w:rsidRPr="00534D5D">
        <w:rPr>
          <w:rFonts w:ascii="Palatino Linotype" w:hAnsi="Palatino Linotype"/>
          <w:b/>
          <w:sz w:val="24"/>
          <w:szCs w:val="24"/>
        </w:rPr>
        <w:t>We limit the scope of the adopted Average Service Energization Timeline to only apply to EV Infrastructure Rule projects</w:t>
      </w:r>
      <w:r w:rsidRPr="00534D5D" w:rsidR="00335269">
        <w:rPr>
          <w:rFonts w:ascii="Palatino Linotype" w:hAnsi="Palatino Linotype"/>
          <w:b/>
          <w:sz w:val="24"/>
          <w:szCs w:val="24"/>
        </w:rPr>
        <w:t xml:space="preserve">, excluding </w:t>
      </w:r>
      <w:r w:rsidRPr="00534D5D" w:rsidR="00C742C6">
        <w:rPr>
          <w:rFonts w:ascii="Palatino Linotype" w:hAnsi="Palatino Linotype"/>
          <w:b/>
          <w:sz w:val="24"/>
          <w:szCs w:val="24"/>
        </w:rPr>
        <w:t xml:space="preserve">projects that exceed 2MW and projects </w:t>
      </w:r>
      <w:r w:rsidRPr="00534D5D" w:rsidR="0008530C">
        <w:rPr>
          <w:rFonts w:ascii="Palatino Linotype" w:hAnsi="Palatino Linotype"/>
          <w:b/>
          <w:sz w:val="24"/>
          <w:szCs w:val="24"/>
        </w:rPr>
        <w:t xml:space="preserve">that require </w:t>
      </w:r>
      <w:r w:rsidRPr="00534D5D" w:rsidR="0053316B">
        <w:rPr>
          <w:rFonts w:ascii="Palatino Linotype" w:hAnsi="Palatino Linotype"/>
          <w:b/>
          <w:sz w:val="24"/>
          <w:szCs w:val="24"/>
        </w:rPr>
        <w:t xml:space="preserve">a customer to take service </w:t>
      </w:r>
      <w:r w:rsidRPr="00534D5D" w:rsidR="001D2BC9">
        <w:rPr>
          <w:rFonts w:ascii="Palatino Linotype" w:hAnsi="Palatino Linotype"/>
          <w:b/>
          <w:sz w:val="24"/>
          <w:szCs w:val="24"/>
        </w:rPr>
        <w:t xml:space="preserve">through </w:t>
      </w:r>
      <w:r w:rsidRPr="00534D5D" w:rsidR="00927344">
        <w:rPr>
          <w:rFonts w:ascii="Palatino Linotype" w:hAnsi="Palatino Linotype"/>
          <w:b/>
          <w:sz w:val="24"/>
          <w:szCs w:val="24"/>
        </w:rPr>
        <w:t xml:space="preserve">an </w:t>
      </w:r>
      <w:r w:rsidRPr="00534D5D" w:rsidR="001D2BC9">
        <w:rPr>
          <w:rFonts w:ascii="Palatino Linotype" w:hAnsi="Palatino Linotype"/>
          <w:b/>
          <w:sz w:val="24"/>
          <w:szCs w:val="24"/>
        </w:rPr>
        <w:t>additional Electric Rule</w:t>
      </w:r>
      <w:r w:rsidRPr="00534D5D" w:rsidR="00C742C6">
        <w:rPr>
          <w:rFonts w:ascii="Palatino Linotype" w:hAnsi="Palatino Linotype"/>
          <w:b/>
          <w:sz w:val="24"/>
          <w:szCs w:val="24"/>
        </w:rPr>
        <w:t>.</w:t>
      </w:r>
      <w:r w:rsidRPr="00534D5D" w:rsidR="001C6F57">
        <w:rPr>
          <w:rFonts w:ascii="Palatino Linotype" w:hAnsi="Palatino Linotype"/>
          <w:sz w:val="24"/>
          <w:szCs w:val="24"/>
        </w:rPr>
        <w:t xml:space="preserve"> </w:t>
      </w:r>
      <w:r w:rsidRPr="00534D5D" w:rsidR="00CA57F8">
        <w:rPr>
          <w:rFonts w:ascii="Palatino Linotype" w:hAnsi="Palatino Linotype"/>
          <w:sz w:val="24"/>
          <w:szCs w:val="24"/>
        </w:rPr>
        <w:t xml:space="preserve">The Joint IOUs’ proposal requests that the </w:t>
      </w:r>
      <w:r w:rsidRPr="00534D5D" w:rsidR="005A0F9D">
        <w:rPr>
          <w:rFonts w:ascii="Palatino Linotype" w:hAnsi="Palatino Linotype"/>
          <w:sz w:val="24"/>
          <w:szCs w:val="24"/>
        </w:rPr>
        <w:t xml:space="preserve">adopted average service energization </w:t>
      </w:r>
      <w:r w:rsidRPr="00534D5D" w:rsidR="005A0F9D">
        <w:rPr>
          <w:rFonts w:ascii="Palatino Linotype" w:hAnsi="Palatino Linotype"/>
          <w:sz w:val="24"/>
          <w:szCs w:val="24"/>
        </w:rPr>
        <w:lastRenderedPageBreak/>
        <w:t xml:space="preserve">timeline only apply to projects receiving service through the EV </w:t>
      </w:r>
      <w:r w:rsidRPr="00534D5D" w:rsidR="00873742">
        <w:rPr>
          <w:rFonts w:ascii="Palatino Linotype" w:hAnsi="Palatino Linotype"/>
          <w:sz w:val="24"/>
          <w:szCs w:val="24"/>
        </w:rPr>
        <w:t>Infrastructure</w:t>
      </w:r>
      <w:r w:rsidRPr="00534D5D" w:rsidR="005A0F9D">
        <w:rPr>
          <w:rFonts w:ascii="Palatino Linotype" w:hAnsi="Palatino Linotype"/>
          <w:sz w:val="24"/>
          <w:szCs w:val="24"/>
        </w:rPr>
        <w:t xml:space="preserve"> Rules. They additional</w:t>
      </w:r>
      <w:r w:rsidRPr="00534D5D" w:rsidR="00B15666">
        <w:rPr>
          <w:rFonts w:ascii="Palatino Linotype" w:hAnsi="Palatino Linotype"/>
          <w:sz w:val="24"/>
          <w:szCs w:val="24"/>
        </w:rPr>
        <w:t>ly</w:t>
      </w:r>
      <w:r w:rsidRPr="00534D5D" w:rsidR="005A0F9D">
        <w:rPr>
          <w:rFonts w:ascii="Palatino Linotype" w:hAnsi="Palatino Linotype"/>
          <w:sz w:val="24"/>
          <w:szCs w:val="24"/>
        </w:rPr>
        <w:t xml:space="preserve"> request that </w:t>
      </w:r>
      <w:r w:rsidRPr="00534D5D" w:rsidR="00014CA0">
        <w:rPr>
          <w:rFonts w:ascii="Palatino Linotype" w:hAnsi="Palatino Linotype"/>
          <w:sz w:val="24"/>
          <w:szCs w:val="24"/>
        </w:rPr>
        <w:t xml:space="preserve">the timeline exclude projects that exceed 2MW, projects needed a distribution line extension through Rule 15, </w:t>
      </w:r>
      <w:r w:rsidRPr="00534D5D" w:rsidR="00C837DF">
        <w:rPr>
          <w:rFonts w:ascii="Palatino Linotype" w:hAnsi="Palatino Linotype"/>
          <w:sz w:val="24"/>
          <w:szCs w:val="24"/>
        </w:rPr>
        <w:t xml:space="preserve">and </w:t>
      </w:r>
      <w:r w:rsidRPr="00534D5D" w:rsidR="00014CA0">
        <w:rPr>
          <w:rFonts w:ascii="Palatino Linotype" w:hAnsi="Palatino Linotype"/>
          <w:sz w:val="24"/>
          <w:szCs w:val="24"/>
        </w:rPr>
        <w:t>projects needing a sub-station upgrade</w:t>
      </w:r>
      <w:r w:rsidRPr="00534D5D" w:rsidR="00A83451">
        <w:rPr>
          <w:rFonts w:ascii="Palatino Linotype" w:hAnsi="Palatino Linotype"/>
          <w:sz w:val="24"/>
          <w:szCs w:val="24"/>
        </w:rPr>
        <w:t xml:space="preserve">. </w:t>
      </w:r>
      <w:r w:rsidRPr="00534D5D" w:rsidR="00F63E93">
        <w:rPr>
          <w:rFonts w:ascii="Palatino Linotype" w:hAnsi="Palatino Linotype"/>
          <w:sz w:val="24"/>
          <w:szCs w:val="24"/>
        </w:rPr>
        <w:t>The Joint IOUs</w:t>
      </w:r>
      <w:r w:rsidRPr="00534D5D" w:rsidR="009C5270">
        <w:rPr>
          <w:rFonts w:ascii="Palatino Linotype" w:hAnsi="Palatino Linotype"/>
          <w:sz w:val="24"/>
          <w:szCs w:val="24"/>
        </w:rPr>
        <w:t xml:space="preserve"> claim</w:t>
      </w:r>
      <w:r w:rsidRPr="00534D5D" w:rsidR="00D12760">
        <w:rPr>
          <w:rFonts w:ascii="Palatino Linotype" w:hAnsi="Palatino Linotype"/>
          <w:sz w:val="24"/>
          <w:szCs w:val="24"/>
        </w:rPr>
        <w:t xml:space="preserve"> that while they are </w:t>
      </w:r>
      <w:r w:rsidRPr="00534D5D" w:rsidR="008B419A">
        <w:rPr>
          <w:rFonts w:ascii="Palatino Linotype" w:hAnsi="Palatino Linotype"/>
          <w:sz w:val="24"/>
          <w:szCs w:val="24"/>
        </w:rPr>
        <w:t>working to ensure the electric grid is ready to accommodate the anticipated increase in EV charging over the next few years,</w:t>
      </w:r>
      <w:r w:rsidRPr="00534D5D" w:rsidR="009C5270">
        <w:rPr>
          <w:rFonts w:ascii="Palatino Linotype" w:hAnsi="Palatino Linotype"/>
          <w:sz w:val="24"/>
          <w:szCs w:val="24"/>
        </w:rPr>
        <w:t xml:space="preserve"> projects </w:t>
      </w:r>
      <w:r w:rsidRPr="00534D5D" w:rsidR="00C837DF">
        <w:rPr>
          <w:rFonts w:ascii="Palatino Linotype" w:hAnsi="Palatino Linotype"/>
          <w:sz w:val="24"/>
          <w:szCs w:val="24"/>
        </w:rPr>
        <w:t xml:space="preserve">such as these have </w:t>
      </w:r>
      <w:r w:rsidRPr="00534D5D" w:rsidR="009C5270">
        <w:rPr>
          <w:rFonts w:ascii="Palatino Linotype" w:hAnsi="Palatino Linotype"/>
          <w:sz w:val="24"/>
          <w:szCs w:val="24"/>
        </w:rPr>
        <w:t xml:space="preserve">long lead times </w:t>
      </w:r>
      <w:r w:rsidRPr="00534D5D" w:rsidR="00C837DF">
        <w:rPr>
          <w:rFonts w:ascii="Palatino Linotype" w:hAnsi="Palatino Linotype"/>
          <w:sz w:val="24"/>
          <w:szCs w:val="24"/>
        </w:rPr>
        <w:t>that</w:t>
      </w:r>
      <w:r w:rsidRPr="00534D5D" w:rsidR="009C5270">
        <w:rPr>
          <w:rFonts w:ascii="Palatino Linotype" w:hAnsi="Palatino Linotype"/>
          <w:sz w:val="24"/>
          <w:szCs w:val="24"/>
        </w:rPr>
        <w:t xml:space="preserve"> </w:t>
      </w:r>
      <w:r w:rsidRPr="00534D5D" w:rsidR="0042791A">
        <w:rPr>
          <w:rFonts w:ascii="Palatino Linotype" w:hAnsi="Palatino Linotype"/>
          <w:sz w:val="24"/>
          <w:szCs w:val="24"/>
        </w:rPr>
        <w:t>may delay the energization of EVSE</w:t>
      </w:r>
      <w:r w:rsidRPr="00534D5D" w:rsidR="008B419A">
        <w:rPr>
          <w:rFonts w:ascii="Palatino Linotype" w:hAnsi="Palatino Linotype"/>
          <w:sz w:val="24"/>
          <w:szCs w:val="24"/>
        </w:rPr>
        <w:t xml:space="preserve">. They </w:t>
      </w:r>
      <w:r w:rsidRPr="00534D5D" w:rsidR="007C0AD0">
        <w:rPr>
          <w:rFonts w:ascii="Palatino Linotype" w:hAnsi="Palatino Linotype"/>
          <w:sz w:val="24"/>
          <w:szCs w:val="24"/>
        </w:rPr>
        <w:t>additionally</w:t>
      </w:r>
      <w:r w:rsidRPr="00534D5D" w:rsidR="008B419A">
        <w:rPr>
          <w:rFonts w:ascii="Palatino Linotype" w:hAnsi="Palatino Linotype"/>
          <w:sz w:val="24"/>
          <w:szCs w:val="24"/>
        </w:rPr>
        <w:t xml:space="preserve"> argue that the EV </w:t>
      </w:r>
      <w:r w:rsidRPr="00534D5D" w:rsidR="007C0AD0">
        <w:rPr>
          <w:rFonts w:ascii="Palatino Linotype" w:hAnsi="Palatino Linotype"/>
          <w:sz w:val="24"/>
          <w:szCs w:val="24"/>
        </w:rPr>
        <w:t>Infrastructure Rules only apply to work associated with the service extensions that extends from the IOUs’ line extensions, and thus, the time to complete any required distribution work is excluded from the average service energization timeline.</w:t>
      </w:r>
      <w:r w:rsidRPr="00534D5D" w:rsidR="00776CA3">
        <w:rPr>
          <w:rStyle w:val="FootnoteReference"/>
          <w:rFonts w:ascii="Palatino Linotype" w:hAnsi="Palatino Linotype"/>
          <w:sz w:val="24"/>
          <w:szCs w:val="24"/>
        </w:rPr>
        <w:footnoteReference w:id="14"/>
      </w:r>
      <w:r w:rsidRPr="00534D5D" w:rsidR="007C0AD0">
        <w:rPr>
          <w:rFonts w:ascii="Palatino Linotype" w:hAnsi="Palatino Linotype"/>
          <w:sz w:val="24"/>
          <w:szCs w:val="24"/>
        </w:rPr>
        <w:t xml:space="preserve"> </w:t>
      </w:r>
    </w:p>
    <w:p w:rsidRPr="00534D5D" w:rsidR="00A32763" w:rsidP="00A32763" w:rsidRDefault="00A32763" w14:paraId="143538B1" w14:textId="11A3385F">
      <w:pPr>
        <w:rPr>
          <w:rFonts w:ascii="Palatino Linotype" w:hAnsi="Palatino Linotype"/>
          <w:sz w:val="24"/>
          <w:szCs w:val="24"/>
        </w:rPr>
      </w:pPr>
      <w:r w:rsidRPr="00534D5D">
        <w:rPr>
          <w:rFonts w:ascii="Palatino Linotype" w:hAnsi="Palatino Linotype"/>
          <w:sz w:val="24"/>
          <w:szCs w:val="24"/>
        </w:rPr>
        <w:t xml:space="preserve">As some customers and third-party EVSPs may choose to continue to utilize the IOUs’ Rule 15 and Rule 16 in lieu of the EV Infrastructure Rules, the Joint EV Industry recommend applying the average </w:t>
      </w:r>
      <w:r w:rsidRPr="00534D5D" w:rsidR="00DD2455">
        <w:rPr>
          <w:rFonts w:ascii="Palatino Linotype" w:hAnsi="Palatino Linotype"/>
          <w:sz w:val="24"/>
          <w:szCs w:val="24"/>
        </w:rPr>
        <w:t xml:space="preserve">service </w:t>
      </w:r>
      <w:r w:rsidRPr="00534D5D">
        <w:rPr>
          <w:rFonts w:ascii="Palatino Linotype" w:hAnsi="Palatino Linotype"/>
          <w:sz w:val="24"/>
          <w:szCs w:val="24"/>
        </w:rPr>
        <w:t>energization timeline to all customers installing EV charging, regardless of the Rule they take service through. The Joint EV Industry asserts this will help customers better understand the additional time associated with the additional civil work scope component of the EV Infrastructure Rules.</w:t>
      </w:r>
    </w:p>
    <w:p w:rsidRPr="00534D5D" w:rsidR="006D3757" w:rsidP="006D3757" w:rsidRDefault="000A7E03" w14:paraId="6AD6352E" w14:textId="1E54B61D">
      <w:pPr>
        <w:rPr>
          <w:rFonts w:ascii="Palatino Linotype" w:hAnsi="Palatino Linotype"/>
          <w:bCs/>
          <w:sz w:val="24"/>
          <w:szCs w:val="24"/>
        </w:rPr>
      </w:pPr>
      <w:r w:rsidRPr="00534D5D">
        <w:rPr>
          <w:rFonts w:ascii="Palatino Linotype" w:hAnsi="Palatino Linotype"/>
          <w:bCs/>
          <w:sz w:val="24"/>
          <w:szCs w:val="24"/>
        </w:rPr>
        <w:t>We</w:t>
      </w:r>
      <w:r w:rsidRPr="00534D5D" w:rsidR="006D3757">
        <w:rPr>
          <w:rFonts w:ascii="Palatino Linotype" w:hAnsi="Palatino Linotype"/>
          <w:bCs/>
          <w:sz w:val="24"/>
          <w:szCs w:val="24"/>
        </w:rPr>
        <w:t xml:space="preserve"> agree with the </w:t>
      </w:r>
      <w:r w:rsidRPr="00534D5D" w:rsidR="00643909">
        <w:rPr>
          <w:rFonts w:ascii="Palatino Linotype" w:hAnsi="Palatino Linotype"/>
          <w:bCs/>
          <w:sz w:val="24"/>
          <w:szCs w:val="24"/>
        </w:rPr>
        <w:t xml:space="preserve">Joint </w:t>
      </w:r>
      <w:r w:rsidRPr="00534D5D" w:rsidR="006D3757">
        <w:rPr>
          <w:rFonts w:ascii="Palatino Linotype" w:hAnsi="Palatino Linotype"/>
          <w:bCs/>
          <w:sz w:val="24"/>
          <w:szCs w:val="24"/>
        </w:rPr>
        <w:t>IOU</w:t>
      </w:r>
      <w:r w:rsidRPr="00534D5D" w:rsidR="00643909">
        <w:rPr>
          <w:rFonts w:ascii="Palatino Linotype" w:hAnsi="Palatino Linotype"/>
          <w:bCs/>
          <w:sz w:val="24"/>
          <w:szCs w:val="24"/>
        </w:rPr>
        <w:t>s</w:t>
      </w:r>
      <w:r w:rsidRPr="00534D5D" w:rsidR="006D3757">
        <w:rPr>
          <w:rFonts w:ascii="Palatino Linotype" w:hAnsi="Palatino Linotype"/>
          <w:bCs/>
          <w:sz w:val="24"/>
          <w:szCs w:val="24"/>
        </w:rPr>
        <w:t xml:space="preserve"> that projects exceeding 2MW, projects that trigger upstream capacity upgrades via Rule 15, and projects that require substation upgrades</w:t>
      </w:r>
      <w:r w:rsidRPr="00534D5D" w:rsidR="00EB124E">
        <w:rPr>
          <w:rFonts w:ascii="Palatino Linotype" w:hAnsi="Palatino Linotype"/>
          <w:bCs/>
          <w:sz w:val="24"/>
          <w:szCs w:val="24"/>
        </w:rPr>
        <w:t xml:space="preserve"> are outside the scope of the EV Infrastructure Rules. Additionally, these projects will</w:t>
      </w:r>
      <w:r w:rsidRPr="00534D5D" w:rsidR="006D3757">
        <w:rPr>
          <w:rFonts w:ascii="Palatino Linotype" w:hAnsi="Palatino Linotype"/>
          <w:bCs/>
          <w:sz w:val="24"/>
          <w:szCs w:val="24"/>
        </w:rPr>
        <w:t xml:space="preserve"> require long-lead time planning and constructions efforts to support the infrastructure deployed via the EV Infrastructure Rules. Due to the long-lead times of these tasks, we </w:t>
      </w:r>
      <w:r w:rsidRPr="00534D5D" w:rsidR="00794413">
        <w:rPr>
          <w:rFonts w:ascii="Palatino Linotype" w:hAnsi="Palatino Linotype"/>
          <w:bCs/>
          <w:sz w:val="24"/>
          <w:szCs w:val="24"/>
        </w:rPr>
        <w:t>do not</w:t>
      </w:r>
      <w:r w:rsidRPr="00534D5D" w:rsidR="006D3757">
        <w:rPr>
          <w:rFonts w:ascii="Palatino Linotype" w:hAnsi="Palatino Linotype"/>
          <w:bCs/>
          <w:sz w:val="24"/>
          <w:szCs w:val="24"/>
        </w:rPr>
        <w:t xml:space="preserve"> include</w:t>
      </w:r>
      <w:r w:rsidRPr="00534D5D" w:rsidR="00FD559C">
        <w:rPr>
          <w:rFonts w:ascii="Palatino Linotype" w:hAnsi="Palatino Linotype"/>
          <w:bCs/>
          <w:sz w:val="24"/>
          <w:szCs w:val="24"/>
        </w:rPr>
        <w:t xml:space="preserve"> these projects within</w:t>
      </w:r>
      <w:r w:rsidRPr="00534D5D" w:rsidR="006D3757">
        <w:rPr>
          <w:rFonts w:ascii="Palatino Linotype" w:hAnsi="Palatino Linotype"/>
          <w:bCs/>
          <w:sz w:val="24"/>
          <w:szCs w:val="24"/>
        </w:rPr>
        <w:t xml:space="preserve"> in the </w:t>
      </w:r>
      <w:r w:rsidRPr="00534D5D" w:rsidR="00FD559C">
        <w:rPr>
          <w:rFonts w:ascii="Palatino Linotype" w:hAnsi="Palatino Linotype"/>
          <w:bCs/>
          <w:sz w:val="24"/>
          <w:szCs w:val="24"/>
        </w:rPr>
        <w:t xml:space="preserve">adopted </w:t>
      </w:r>
      <w:r w:rsidRPr="00534D5D" w:rsidR="006D3757">
        <w:rPr>
          <w:rFonts w:ascii="Palatino Linotype" w:hAnsi="Palatino Linotype"/>
          <w:bCs/>
          <w:sz w:val="24"/>
          <w:szCs w:val="24"/>
        </w:rPr>
        <w:t xml:space="preserve">average </w:t>
      </w:r>
      <w:r w:rsidRPr="00534D5D" w:rsidR="00FD559C">
        <w:rPr>
          <w:rFonts w:ascii="Palatino Linotype" w:hAnsi="Palatino Linotype"/>
          <w:bCs/>
          <w:sz w:val="24"/>
          <w:szCs w:val="24"/>
        </w:rPr>
        <w:t xml:space="preserve">service </w:t>
      </w:r>
      <w:r w:rsidRPr="00534D5D" w:rsidR="006D3757">
        <w:rPr>
          <w:rFonts w:ascii="Palatino Linotype" w:hAnsi="Palatino Linotype"/>
          <w:bCs/>
          <w:sz w:val="24"/>
          <w:szCs w:val="24"/>
        </w:rPr>
        <w:t xml:space="preserve">energization timeline. </w:t>
      </w:r>
    </w:p>
    <w:p w:rsidRPr="00534D5D" w:rsidR="001C0B22" w:rsidP="00B03B23" w:rsidRDefault="001D088F" w14:paraId="10709CDD" w14:textId="0139DFFA">
      <w:pPr>
        <w:rPr>
          <w:rFonts w:ascii="Palatino Linotype" w:hAnsi="Palatino Linotype"/>
          <w:sz w:val="24"/>
          <w:szCs w:val="24"/>
        </w:rPr>
      </w:pPr>
      <w:r w:rsidRPr="00534D5D">
        <w:rPr>
          <w:rFonts w:ascii="Palatino Linotype" w:hAnsi="Palatino Linotype"/>
          <w:sz w:val="24"/>
          <w:szCs w:val="24"/>
        </w:rPr>
        <w:t xml:space="preserve">Further, while the adopted service energization target only includes work performed under the EV Infrastructure Rules, excluding any work </w:t>
      </w:r>
      <w:r w:rsidRPr="00534D5D">
        <w:rPr>
          <w:rFonts w:ascii="Palatino Linotype" w:hAnsi="Palatino Linotype"/>
          <w:bCs/>
          <w:sz w:val="24"/>
          <w:szCs w:val="24"/>
        </w:rPr>
        <w:t xml:space="preserve">that exceed 2MW, projects that trigger upstream capacity upgrades that must go through Electric Rule 15, and projects that require substation upgrades, or any other project with long-lead times, the IOUs shall record </w:t>
      </w:r>
      <w:r w:rsidRPr="00534D5D" w:rsidR="003F2493">
        <w:rPr>
          <w:rFonts w:ascii="Palatino Linotype" w:hAnsi="Palatino Linotype"/>
          <w:bCs/>
          <w:sz w:val="24"/>
          <w:szCs w:val="24"/>
        </w:rPr>
        <w:t xml:space="preserve">standardized </w:t>
      </w:r>
      <w:r w:rsidRPr="00534D5D">
        <w:rPr>
          <w:rFonts w:ascii="Palatino Linotype" w:hAnsi="Palatino Linotype"/>
          <w:bCs/>
          <w:sz w:val="24"/>
          <w:szCs w:val="24"/>
        </w:rPr>
        <w:t xml:space="preserve">data </w:t>
      </w:r>
      <w:r w:rsidRPr="00534D5D" w:rsidR="003F2493">
        <w:rPr>
          <w:rFonts w:ascii="Palatino Linotype" w:hAnsi="Palatino Linotype"/>
          <w:bCs/>
          <w:sz w:val="24"/>
          <w:szCs w:val="24"/>
        </w:rPr>
        <w:t xml:space="preserve">within their EV Infrastructure Rule data collection efforts </w:t>
      </w:r>
      <w:r w:rsidRPr="00534D5D">
        <w:rPr>
          <w:rFonts w:ascii="Palatino Linotype" w:hAnsi="Palatino Linotype"/>
          <w:bCs/>
          <w:sz w:val="24"/>
          <w:szCs w:val="24"/>
        </w:rPr>
        <w:lastRenderedPageBreak/>
        <w:t xml:space="preserve">to reflect the timelines to energize EVSE that </w:t>
      </w:r>
      <w:r w:rsidRPr="00534D5D" w:rsidR="051FE572">
        <w:rPr>
          <w:rFonts w:ascii="Palatino Linotype" w:hAnsi="Palatino Linotype"/>
          <w:sz w:val="24"/>
          <w:szCs w:val="24"/>
        </w:rPr>
        <w:t>has more than 2MW of capacity installed, goes through the IOUs’ Rule 15, goes through any other Electric Rule, and project that require a substation upgrade</w:t>
      </w:r>
      <w:r w:rsidRPr="00534D5D" w:rsidR="7BD0D090">
        <w:rPr>
          <w:rFonts w:ascii="Palatino Linotype" w:hAnsi="Palatino Linotype"/>
          <w:sz w:val="24"/>
          <w:szCs w:val="24"/>
        </w:rPr>
        <w:t>.</w:t>
      </w:r>
      <w:r w:rsidRPr="00534D5D">
        <w:rPr>
          <w:rFonts w:ascii="Palatino Linotype" w:hAnsi="Palatino Linotype"/>
          <w:bCs/>
          <w:sz w:val="24"/>
          <w:szCs w:val="24"/>
        </w:rPr>
        <w:t xml:space="preserve"> The CPUC may determine an average</w:t>
      </w:r>
      <w:r w:rsidRPr="00534D5D" w:rsidR="00655C44">
        <w:rPr>
          <w:rFonts w:ascii="Palatino Linotype" w:hAnsi="Palatino Linotype"/>
          <w:bCs/>
          <w:sz w:val="24"/>
          <w:szCs w:val="24"/>
        </w:rPr>
        <w:t xml:space="preserve"> service</w:t>
      </w:r>
      <w:r w:rsidRPr="00534D5D">
        <w:rPr>
          <w:rFonts w:ascii="Palatino Linotype" w:hAnsi="Palatino Linotype"/>
          <w:bCs/>
          <w:sz w:val="24"/>
          <w:szCs w:val="24"/>
        </w:rPr>
        <w:t xml:space="preserve"> energization timeline is needed for these efforts, which the collected data may help inform. </w:t>
      </w:r>
    </w:p>
    <w:p w:rsidRPr="00534D5D" w:rsidR="004B4D71" w:rsidP="00B03B23" w:rsidRDefault="001C0B22" w14:paraId="58F72F27" w14:textId="11A9A1FB">
      <w:pPr>
        <w:rPr>
          <w:rFonts w:ascii="Palatino Linotype" w:hAnsi="Palatino Linotype"/>
          <w:sz w:val="24"/>
          <w:szCs w:val="24"/>
        </w:rPr>
      </w:pPr>
      <w:r w:rsidRPr="00534D5D">
        <w:rPr>
          <w:rFonts w:ascii="Palatino Linotype" w:hAnsi="Palatino Linotype"/>
          <w:b/>
          <w:bCs/>
          <w:sz w:val="24"/>
          <w:szCs w:val="24"/>
        </w:rPr>
        <w:t xml:space="preserve">We modify the proposed </w:t>
      </w:r>
      <w:r w:rsidRPr="00534D5D" w:rsidR="00226516">
        <w:rPr>
          <w:rFonts w:ascii="Palatino Linotype" w:hAnsi="Palatino Linotype"/>
          <w:b/>
          <w:bCs/>
          <w:sz w:val="24"/>
          <w:szCs w:val="24"/>
        </w:rPr>
        <w:t xml:space="preserve">EV Infrastructure Rule </w:t>
      </w:r>
      <w:r w:rsidRPr="00534D5D">
        <w:rPr>
          <w:rFonts w:ascii="Palatino Linotype" w:hAnsi="Palatino Linotype"/>
          <w:b/>
          <w:bCs/>
          <w:sz w:val="24"/>
          <w:szCs w:val="24"/>
        </w:rPr>
        <w:t xml:space="preserve">steps </w:t>
      </w:r>
      <w:r w:rsidRPr="00534D5D" w:rsidR="00DE484C">
        <w:rPr>
          <w:rFonts w:ascii="Palatino Linotype" w:hAnsi="Palatino Linotype"/>
          <w:b/>
          <w:bCs/>
          <w:sz w:val="24"/>
          <w:szCs w:val="24"/>
        </w:rPr>
        <w:t xml:space="preserve">within the Energization Timeline adopted </w:t>
      </w:r>
      <w:r w:rsidRPr="00534D5D" w:rsidR="00DA137D">
        <w:rPr>
          <w:rFonts w:ascii="Palatino Linotype" w:hAnsi="Palatino Linotype"/>
          <w:b/>
          <w:bCs/>
          <w:sz w:val="24"/>
          <w:szCs w:val="24"/>
        </w:rPr>
        <w:t xml:space="preserve">to include </w:t>
      </w:r>
      <w:r w:rsidRPr="00534D5D" w:rsidR="00DA137D">
        <w:rPr>
          <w:rFonts w:ascii="Palatino Linotype" w:hAnsi="Palatino Linotype"/>
          <w:b/>
          <w:sz w:val="24"/>
          <w:szCs w:val="24"/>
        </w:rPr>
        <w:t>preassessments and engineering studies</w:t>
      </w:r>
      <w:r w:rsidRPr="00534D5D" w:rsidR="00DA137D">
        <w:rPr>
          <w:rFonts w:ascii="Palatino Linotype" w:hAnsi="Palatino Linotype"/>
          <w:b/>
          <w:bCs/>
          <w:sz w:val="24"/>
          <w:szCs w:val="24"/>
        </w:rPr>
        <w:t>.</w:t>
      </w:r>
      <w:r w:rsidRPr="00534D5D">
        <w:rPr>
          <w:rFonts w:ascii="Palatino Linotype" w:hAnsi="Palatino Linotype"/>
          <w:b/>
          <w:bCs/>
          <w:sz w:val="24"/>
          <w:szCs w:val="24"/>
        </w:rPr>
        <w:t xml:space="preserve"> </w:t>
      </w:r>
      <w:r w:rsidRPr="00534D5D" w:rsidR="006C3E45">
        <w:rPr>
          <w:rFonts w:ascii="Palatino Linotype" w:hAnsi="Palatino Linotype"/>
          <w:sz w:val="24"/>
          <w:szCs w:val="24"/>
        </w:rPr>
        <w:t xml:space="preserve">The Joint IOUs propose to only </w:t>
      </w:r>
      <w:r w:rsidRPr="00534D5D" w:rsidR="00226516">
        <w:rPr>
          <w:rFonts w:ascii="Palatino Linotype" w:hAnsi="Palatino Linotype"/>
          <w:sz w:val="24"/>
          <w:szCs w:val="24"/>
        </w:rPr>
        <w:t xml:space="preserve">include </w:t>
      </w:r>
      <w:r w:rsidRPr="00534D5D" w:rsidR="00707F7C">
        <w:rPr>
          <w:rFonts w:ascii="Palatino Linotype" w:hAnsi="Palatino Linotype"/>
          <w:sz w:val="24"/>
          <w:szCs w:val="24"/>
        </w:rPr>
        <w:t xml:space="preserve">steps that are within their direct control under the average service energization timeline. </w:t>
      </w:r>
      <w:r w:rsidRPr="00534D5D" w:rsidR="004C08D2">
        <w:rPr>
          <w:rFonts w:ascii="Palatino Linotype" w:hAnsi="Palatino Linotype"/>
          <w:sz w:val="24"/>
          <w:szCs w:val="24"/>
        </w:rPr>
        <w:t xml:space="preserve">They additionally propose to </w:t>
      </w:r>
      <w:r w:rsidRPr="00534D5D" w:rsidR="00561C69">
        <w:rPr>
          <w:rFonts w:ascii="Palatino Linotype" w:hAnsi="Palatino Linotype"/>
          <w:sz w:val="24"/>
          <w:szCs w:val="24"/>
        </w:rPr>
        <w:t>exclude</w:t>
      </w:r>
      <w:r w:rsidRPr="00534D5D" w:rsidR="00BA1978">
        <w:rPr>
          <w:rFonts w:ascii="Palatino Linotype" w:hAnsi="Palatino Linotype"/>
          <w:sz w:val="24"/>
          <w:szCs w:val="24"/>
        </w:rPr>
        <w:t xml:space="preserve"> the IOU</w:t>
      </w:r>
      <w:r w:rsidRPr="00534D5D" w:rsidR="000D646B">
        <w:rPr>
          <w:rFonts w:ascii="Palatino Linotype" w:hAnsi="Palatino Linotype"/>
          <w:sz w:val="24"/>
          <w:szCs w:val="24"/>
        </w:rPr>
        <w:t>-lead</w:t>
      </w:r>
      <w:r w:rsidRPr="00534D5D" w:rsidR="00561C69">
        <w:rPr>
          <w:rFonts w:ascii="Palatino Linotype" w:hAnsi="Palatino Linotype"/>
          <w:sz w:val="24"/>
          <w:szCs w:val="24"/>
        </w:rPr>
        <w:t xml:space="preserve"> </w:t>
      </w:r>
      <w:r w:rsidRPr="00534D5D" w:rsidR="00067026">
        <w:rPr>
          <w:rFonts w:ascii="Palatino Linotype" w:hAnsi="Palatino Linotype"/>
          <w:sz w:val="24"/>
          <w:szCs w:val="24"/>
        </w:rPr>
        <w:t xml:space="preserve">preassessment and </w:t>
      </w:r>
      <w:r w:rsidRPr="00534D5D" w:rsidR="00BA1978">
        <w:rPr>
          <w:rFonts w:ascii="Palatino Linotype" w:hAnsi="Palatino Linotype"/>
          <w:sz w:val="24"/>
          <w:szCs w:val="24"/>
        </w:rPr>
        <w:t xml:space="preserve">engineering studies from the timeline, </w:t>
      </w:r>
      <w:r w:rsidRPr="00534D5D" w:rsidR="00A8733F">
        <w:rPr>
          <w:rFonts w:ascii="Palatino Linotype" w:hAnsi="Palatino Linotype"/>
          <w:sz w:val="24"/>
          <w:szCs w:val="24"/>
        </w:rPr>
        <w:t xml:space="preserve">as these steps are contingent on outside party(s) completing </w:t>
      </w:r>
      <w:r w:rsidRPr="00534D5D" w:rsidR="007F008E">
        <w:rPr>
          <w:rFonts w:ascii="Palatino Linotype" w:hAnsi="Palatino Linotype"/>
          <w:sz w:val="24"/>
          <w:szCs w:val="24"/>
        </w:rPr>
        <w:t>tasks</w:t>
      </w:r>
      <w:r w:rsidRPr="00534D5D" w:rsidR="004C5CF1">
        <w:rPr>
          <w:rFonts w:ascii="Palatino Linotype" w:hAnsi="Palatino Linotype"/>
          <w:sz w:val="24"/>
          <w:szCs w:val="24"/>
        </w:rPr>
        <w:t xml:space="preserve"> before and during the IOUs’ efforts. </w:t>
      </w:r>
    </w:p>
    <w:p w:rsidRPr="00534D5D" w:rsidR="00FE681F" w:rsidP="00B03B23" w:rsidRDefault="006E3732" w14:paraId="2DEB581E" w14:textId="0A7316E7">
      <w:pPr>
        <w:rPr>
          <w:rFonts w:ascii="Palatino Linotype" w:hAnsi="Palatino Linotype"/>
          <w:sz w:val="24"/>
          <w:szCs w:val="24"/>
        </w:rPr>
      </w:pPr>
      <w:r w:rsidRPr="00534D5D">
        <w:rPr>
          <w:rFonts w:ascii="Palatino Linotype" w:hAnsi="Palatino Linotype"/>
          <w:sz w:val="24"/>
          <w:szCs w:val="24"/>
        </w:rPr>
        <w:t xml:space="preserve">The Joint EV Industry recommends that </w:t>
      </w:r>
      <w:r w:rsidRPr="00534D5D" w:rsidR="003B0147">
        <w:rPr>
          <w:rFonts w:ascii="Palatino Linotype" w:hAnsi="Palatino Linotype"/>
          <w:sz w:val="24"/>
          <w:szCs w:val="24"/>
        </w:rPr>
        <w:t xml:space="preserve">while it falls outside of the IOUs’ direct and indirect control, </w:t>
      </w:r>
      <w:r w:rsidRPr="00534D5D">
        <w:rPr>
          <w:rFonts w:ascii="Palatino Linotype" w:hAnsi="Palatino Linotype"/>
          <w:sz w:val="24"/>
          <w:szCs w:val="24"/>
        </w:rPr>
        <w:t xml:space="preserve">the </w:t>
      </w:r>
      <w:r w:rsidRPr="00534D5D" w:rsidR="003B0147">
        <w:rPr>
          <w:rFonts w:ascii="Palatino Linotype" w:hAnsi="Palatino Linotype"/>
          <w:sz w:val="24"/>
          <w:szCs w:val="24"/>
        </w:rPr>
        <w:t>CPUC should</w:t>
      </w:r>
      <w:r w:rsidRPr="00534D5D">
        <w:rPr>
          <w:rFonts w:ascii="Palatino Linotype" w:hAnsi="Palatino Linotype"/>
          <w:sz w:val="24"/>
          <w:szCs w:val="24"/>
        </w:rPr>
        <w:t xml:space="preserve"> incorporate the AHJ permit review periods into the average</w:t>
      </w:r>
      <w:r w:rsidRPr="00534D5D" w:rsidR="003B0147">
        <w:rPr>
          <w:rFonts w:ascii="Palatino Linotype" w:hAnsi="Palatino Linotype"/>
          <w:sz w:val="24"/>
          <w:szCs w:val="24"/>
        </w:rPr>
        <w:t xml:space="preserve"> service</w:t>
      </w:r>
      <w:r w:rsidRPr="00534D5D">
        <w:rPr>
          <w:rFonts w:ascii="Palatino Linotype" w:hAnsi="Palatino Linotype"/>
          <w:sz w:val="24"/>
          <w:szCs w:val="24"/>
        </w:rPr>
        <w:t xml:space="preserve"> energization timelines, as the IOUs’ proposal currently does not consider this process. </w:t>
      </w:r>
      <w:r w:rsidRPr="00534D5D" w:rsidR="004C5CF1">
        <w:rPr>
          <w:rFonts w:ascii="Palatino Linotype" w:hAnsi="Palatino Linotype"/>
          <w:sz w:val="24"/>
          <w:szCs w:val="24"/>
        </w:rPr>
        <w:t>T</w:t>
      </w:r>
      <w:r w:rsidRPr="00534D5D" w:rsidR="00F257A1">
        <w:rPr>
          <w:rFonts w:ascii="Palatino Linotype" w:hAnsi="Palatino Linotype"/>
          <w:sz w:val="24"/>
          <w:szCs w:val="24"/>
        </w:rPr>
        <w:t>he Joint EV Industry state</w:t>
      </w:r>
      <w:r w:rsidRPr="00534D5D" w:rsidR="00E9483D">
        <w:rPr>
          <w:rFonts w:ascii="Palatino Linotype" w:hAnsi="Palatino Linotype"/>
          <w:sz w:val="24"/>
          <w:szCs w:val="24"/>
        </w:rPr>
        <w:t xml:space="preserve"> with</w:t>
      </w:r>
      <w:r w:rsidRPr="00534D5D" w:rsidR="00F257A1">
        <w:rPr>
          <w:rFonts w:ascii="Palatino Linotype" w:hAnsi="Palatino Linotype"/>
          <w:sz w:val="24"/>
          <w:szCs w:val="24"/>
        </w:rPr>
        <w:t xml:space="preserve"> the passage of AB 1236</w:t>
      </w:r>
      <w:r w:rsidRPr="00534D5D" w:rsidR="00FB0146">
        <w:rPr>
          <w:rFonts w:ascii="Palatino Linotype" w:hAnsi="Palatino Linotype"/>
          <w:sz w:val="24"/>
          <w:szCs w:val="24"/>
        </w:rPr>
        <w:t xml:space="preserve"> (Chiu, 201</w:t>
      </w:r>
      <w:r w:rsidRPr="00534D5D" w:rsidR="009154DA">
        <w:rPr>
          <w:rFonts w:ascii="Palatino Linotype" w:hAnsi="Palatino Linotype"/>
          <w:sz w:val="24"/>
          <w:szCs w:val="24"/>
        </w:rPr>
        <w:t>5</w:t>
      </w:r>
      <w:r w:rsidRPr="00534D5D" w:rsidR="00FB0146">
        <w:rPr>
          <w:rFonts w:ascii="Palatino Linotype" w:hAnsi="Palatino Linotype"/>
          <w:sz w:val="24"/>
          <w:szCs w:val="24"/>
        </w:rPr>
        <w:t>)</w:t>
      </w:r>
      <w:r w:rsidRPr="00534D5D" w:rsidR="006358D4">
        <w:rPr>
          <w:rStyle w:val="FootnoteReference"/>
          <w:rFonts w:ascii="Palatino Linotype" w:hAnsi="Palatino Linotype"/>
          <w:sz w:val="24"/>
          <w:szCs w:val="24"/>
        </w:rPr>
        <w:t xml:space="preserve"> </w:t>
      </w:r>
      <w:r w:rsidRPr="00534D5D" w:rsidR="006358D4">
        <w:rPr>
          <w:rStyle w:val="FootnoteReference"/>
          <w:rFonts w:ascii="Palatino Linotype" w:hAnsi="Palatino Linotype"/>
          <w:sz w:val="24"/>
          <w:szCs w:val="24"/>
        </w:rPr>
        <w:footnoteReference w:id="15"/>
      </w:r>
      <w:r w:rsidRPr="00534D5D" w:rsidR="00F257A1">
        <w:rPr>
          <w:rFonts w:ascii="Palatino Linotype" w:hAnsi="Palatino Linotype"/>
          <w:sz w:val="24"/>
          <w:szCs w:val="24"/>
        </w:rPr>
        <w:t xml:space="preserve"> and AB 970</w:t>
      </w:r>
      <w:r w:rsidRPr="00534D5D" w:rsidR="00E20765">
        <w:rPr>
          <w:rFonts w:ascii="Palatino Linotype" w:hAnsi="Palatino Linotype"/>
          <w:sz w:val="24"/>
          <w:szCs w:val="24"/>
        </w:rPr>
        <w:t xml:space="preserve"> (McCarty, 2021)</w:t>
      </w:r>
      <w:r w:rsidRPr="00534D5D" w:rsidR="006358D4">
        <w:rPr>
          <w:rStyle w:val="FootnoteReference"/>
          <w:rFonts w:ascii="Palatino Linotype" w:hAnsi="Palatino Linotype"/>
          <w:sz w:val="24"/>
          <w:szCs w:val="24"/>
        </w:rPr>
        <w:t xml:space="preserve"> </w:t>
      </w:r>
      <w:r w:rsidRPr="00534D5D" w:rsidR="006358D4">
        <w:rPr>
          <w:rStyle w:val="FootnoteReference"/>
          <w:rFonts w:ascii="Palatino Linotype" w:hAnsi="Palatino Linotype"/>
          <w:sz w:val="24"/>
          <w:szCs w:val="24"/>
        </w:rPr>
        <w:footnoteReference w:id="16"/>
      </w:r>
      <w:r w:rsidRPr="00534D5D" w:rsidR="00F257A1">
        <w:rPr>
          <w:rFonts w:ascii="Palatino Linotype" w:hAnsi="Palatino Linotype"/>
          <w:sz w:val="24"/>
          <w:szCs w:val="24"/>
        </w:rPr>
        <w:t xml:space="preserve"> </w:t>
      </w:r>
      <w:r w:rsidRPr="00534D5D" w:rsidR="00B00BC5">
        <w:rPr>
          <w:rFonts w:ascii="Palatino Linotype" w:hAnsi="Palatino Linotype"/>
          <w:sz w:val="24"/>
          <w:szCs w:val="24"/>
        </w:rPr>
        <w:t>the Joint IOUs will</w:t>
      </w:r>
      <w:r w:rsidRPr="00534D5D" w:rsidR="00B8458D">
        <w:rPr>
          <w:rFonts w:ascii="Palatino Linotype" w:hAnsi="Palatino Linotype"/>
          <w:sz w:val="24"/>
          <w:szCs w:val="24"/>
        </w:rPr>
        <w:t xml:space="preserve"> be able to incorporate</w:t>
      </w:r>
      <w:r w:rsidRPr="00534D5D" w:rsidR="00F257A1">
        <w:rPr>
          <w:rFonts w:ascii="Palatino Linotype" w:hAnsi="Palatino Linotype"/>
          <w:sz w:val="24"/>
          <w:szCs w:val="24"/>
        </w:rPr>
        <w:t xml:space="preserve"> </w:t>
      </w:r>
      <w:r w:rsidRPr="00534D5D" w:rsidR="00B8458D">
        <w:rPr>
          <w:rFonts w:ascii="Palatino Linotype" w:hAnsi="Palatino Linotype"/>
          <w:sz w:val="24"/>
          <w:szCs w:val="24"/>
        </w:rPr>
        <w:t>the</w:t>
      </w:r>
      <w:r w:rsidRPr="00534D5D" w:rsidR="00F257A1">
        <w:rPr>
          <w:rFonts w:ascii="Palatino Linotype" w:hAnsi="Palatino Linotype"/>
          <w:sz w:val="24"/>
          <w:szCs w:val="24"/>
        </w:rPr>
        <w:t xml:space="preserve"> time it takes to attain the necessary permits to install and energize an EVSE</w:t>
      </w:r>
      <w:r w:rsidRPr="00534D5D" w:rsidR="00246B63">
        <w:rPr>
          <w:rFonts w:ascii="Palatino Linotype" w:hAnsi="Palatino Linotype"/>
          <w:sz w:val="24"/>
          <w:szCs w:val="24"/>
        </w:rPr>
        <w:t xml:space="preserve"> within the average service energization timeline.</w:t>
      </w:r>
      <w:r w:rsidRPr="00534D5D" w:rsidR="00F257A1">
        <w:rPr>
          <w:rFonts w:ascii="Palatino Linotype" w:hAnsi="Palatino Linotype"/>
          <w:sz w:val="24"/>
          <w:szCs w:val="24"/>
        </w:rPr>
        <w:t xml:space="preserve"> </w:t>
      </w:r>
      <w:r w:rsidRPr="00534D5D" w:rsidR="00246B63">
        <w:rPr>
          <w:rFonts w:ascii="Palatino Linotype" w:hAnsi="Palatino Linotype"/>
          <w:sz w:val="24"/>
          <w:szCs w:val="24"/>
        </w:rPr>
        <w:t xml:space="preserve">The Joint EV Industry argues that as AB 971 deems </w:t>
      </w:r>
      <w:r w:rsidRPr="00534D5D" w:rsidR="00F257A1">
        <w:rPr>
          <w:rFonts w:ascii="Palatino Linotype" w:hAnsi="Palatino Linotype"/>
          <w:sz w:val="24"/>
          <w:szCs w:val="24"/>
        </w:rPr>
        <w:t xml:space="preserve">a permit complete within </w:t>
      </w:r>
      <w:r w:rsidRPr="00534D5D" w:rsidR="00F06319">
        <w:rPr>
          <w:rFonts w:ascii="Palatino Linotype" w:hAnsi="Palatino Linotype"/>
          <w:sz w:val="24"/>
          <w:szCs w:val="24"/>
        </w:rPr>
        <w:t>5</w:t>
      </w:r>
      <w:r w:rsidRPr="00534D5D" w:rsidR="00263464">
        <w:rPr>
          <w:rFonts w:ascii="Palatino Linotype" w:hAnsi="Palatino Linotype"/>
          <w:sz w:val="24"/>
          <w:szCs w:val="24"/>
        </w:rPr>
        <w:t>-</w:t>
      </w:r>
      <w:r w:rsidRPr="00534D5D" w:rsidR="00F257A1">
        <w:rPr>
          <w:rFonts w:ascii="Palatino Linotype" w:hAnsi="Palatino Linotype"/>
          <w:sz w:val="24"/>
          <w:szCs w:val="24"/>
        </w:rPr>
        <w:t>business days and deemed approve</w:t>
      </w:r>
      <w:r w:rsidRPr="00534D5D" w:rsidR="000F3C57">
        <w:rPr>
          <w:rFonts w:ascii="Palatino Linotype" w:hAnsi="Palatino Linotype"/>
          <w:sz w:val="24"/>
          <w:szCs w:val="24"/>
        </w:rPr>
        <w:t>d</w:t>
      </w:r>
      <w:r w:rsidRPr="00534D5D" w:rsidR="00F257A1">
        <w:rPr>
          <w:rFonts w:ascii="Palatino Linotype" w:hAnsi="Palatino Linotype"/>
          <w:sz w:val="24"/>
          <w:szCs w:val="24"/>
        </w:rPr>
        <w:t xml:space="preserve"> within twenty</w:t>
      </w:r>
      <w:r w:rsidRPr="00534D5D" w:rsidR="00263464">
        <w:rPr>
          <w:rFonts w:ascii="Palatino Linotype" w:hAnsi="Palatino Linotype"/>
          <w:sz w:val="24"/>
          <w:szCs w:val="24"/>
        </w:rPr>
        <w:t>-</w:t>
      </w:r>
      <w:r w:rsidRPr="00534D5D" w:rsidR="00F257A1">
        <w:rPr>
          <w:rFonts w:ascii="Palatino Linotype" w:hAnsi="Palatino Linotype"/>
          <w:sz w:val="24"/>
          <w:szCs w:val="24"/>
        </w:rPr>
        <w:t>business days</w:t>
      </w:r>
      <w:r w:rsidRPr="00534D5D" w:rsidR="00024981">
        <w:rPr>
          <w:rFonts w:ascii="Palatino Linotype" w:hAnsi="Palatino Linotype"/>
          <w:sz w:val="24"/>
          <w:szCs w:val="24"/>
        </w:rPr>
        <w:t xml:space="preserve"> the Joint IOUs can now</w:t>
      </w:r>
      <w:r w:rsidRPr="00534D5D" w:rsidR="001E618B">
        <w:rPr>
          <w:rFonts w:ascii="Palatino Linotype" w:hAnsi="Palatino Linotype"/>
          <w:sz w:val="24"/>
          <w:szCs w:val="24"/>
        </w:rPr>
        <w:t xml:space="preserve"> develop steps to advance the utility-side planning and/or construction while a permit </w:t>
      </w:r>
      <w:r w:rsidRPr="00534D5D" w:rsidR="001127B8">
        <w:rPr>
          <w:rFonts w:ascii="Palatino Linotype" w:hAnsi="Palatino Linotype"/>
          <w:sz w:val="24"/>
          <w:szCs w:val="24"/>
        </w:rPr>
        <w:t xml:space="preserve">is pending complete/approved. </w:t>
      </w:r>
    </w:p>
    <w:p w:rsidRPr="00534D5D" w:rsidR="00E662C2" w:rsidP="00E662C2" w:rsidRDefault="00E662C2" w14:paraId="3A423347" w14:textId="64677712">
      <w:pPr>
        <w:rPr>
          <w:rFonts w:ascii="Palatino Linotype" w:hAnsi="Palatino Linotype"/>
          <w:sz w:val="24"/>
          <w:szCs w:val="24"/>
        </w:rPr>
      </w:pPr>
      <w:r w:rsidRPr="00534D5D">
        <w:rPr>
          <w:rFonts w:ascii="Palatino Linotype" w:hAnsi="Palatino Linotype"/>
          <w:sz w:val="24"/>
          <w:szCs w:val="24"/>
        </w:rPr>
        <w:lastRenderedPageBreak/>
        <w:t xml:space="preserve">The Joint IOUs express their appreciation for the efforts by state lawmakers to accelerate the EV permitting process via </w:t>
      </w:r>
      <w:r w:rsidRPr="00534D5D" w:rsidR="00210BD0">
        <w:rPr>
          <w:rFonts w:ascii="Palatino Linotype" w:hAnsi="Palatino Linotype"/>
          <w:sz w:val="24"/>
          <w:szCs w:val="24"/>
        </w:rPr>
        <w:t xml:space="preserve">AB 1236 and </w:t>
      </w:r>
      <w:r w:rsidRPr="00534D5D">
        <w:rPr>
          <w:rFonts w:ascii="Palatino Linotype" w:hAnsi="Palatino Linotype"/>
          <w:sz w:val="24"/>
          <w:szCs w:val="24"/>
        </w:rPr>
        <w:t xml:space="preserve">AB 970 but </w:t>
      </w:r>
      <w:r w:rsidRPr="00534D5D" w:rsidR="00076CE8">
        <w:rPr>
          <w:rFonts w:ascii="Palatino Linotype" w:hAnsi="Palatino Linotype"/>
          <w:sz w:val="24"/>
          <w:szCs w:val="24"/>
        </w:rPr>
        <w:t>assert</w:t>
      </w:r>
      <w:r w:rsidRPr="00534D5D">
        <w:rPr>
          <w:rFonts w:ascii="Palatino Linotype" w:hAnsi="Palatino Linotype"/>
          <w:sz w:val="24"/>
          <w:szCs w:val="24"/>
        </w:rPr>
        <w:t xml:space="preserve"> includ</w:t>
      </w:r>
      <w:r w:rsidRPr="00534D5D" w:rsidR="00076CE8">
        <w:rPr>
          <w:rFonts w:ascii="Palatino Linotype" w:hAnsi="Palatino Linotype"/>
          <w:sz w:val="24"/>
          <w:szCs w:val="24"/>
        </w:rPr>
        <w:t>ing</w:t>
      </w:r>
      <w:r w:rsidRPr="00534D5D">
        <w:rPr>
          <w:rFonts w:ascii="Palatino Linotype" w:hAnsi="Palatino Linotype"/>
          <w:sz w:val="24"/>
          <w:szCs w:val="24"/>
        </w:rPr>
        <w:t xml:space="preserve"> permitting into the EV Infrastructure Rule timeline as premature. The Joint IOUs </w:t>
      </w:r>
      <w:r w:rsidRPr="00534D5D" w:rsidR="00076CE8">
        <w:rPr>
          <w:rFonts w:ascii="Palatino Linotype" w:hAnsi="Palatino Linotype"/>
          <w:sz w:val="24"/>
          <w:szCs w:val="24"/>
        </w:rPr>
        <w:t>argue</w:t>
      </w:r>
      <w:r w:rsidRPr="00534D5D">
        <w:rPr>
          <w:rFonts w:ascii="Palatino Linotype" w:hAnsi="Palatino Linotype"/>
          <w:sz w:val="24"/>
          <w:szCs w:val="24"/>
        </w:rPr>
        <w:t xml:space="preserve"> that AB 970 was only signed by the Governor in October 2021, and it remains unclear what impact the law will have on permitting timelines. Moreover, the maximum of </w:t>
      </w:r>
      <w:r w:rsidR="00E146E3">
        <w:rPr>
          <w:rFonts w:ascii="Palatino Linotype" w:hAnsi="Palatino Linotype"/>
          <w:sz w:val="24"/>
          <w:szCs w:val="24"/>
        </w:rPr>
        <w:br/>
      </w:r>
      <w:r w:rsidRPr="00534D5D">
        <w:rPr>
          <w:rFonts w:ascii="Palatino Linotype" w:hAnsi="Palatino Linotype"/>
          <w:sz w:val="24"/>
          <w:szCs w:val="24"/>
        </w:rPr>
        <w:t>40</w:t>
      </w:r>
      <w:r w:rsidRPr="00534D5D" w:rsidR="00076CE8">
        <w:rPr>
          <w:rFonts w:ascii="Palatino Linotype" w:hAnsi="Palatino Linotype"/>
          <w:sz w:val="24"/>
          <w:szCs w:val="24"/>
        </w:rPr>
        <w:t>-</w:t>
      </w:r>
      <w:r w:rsidRPr="00534D5D">
        <w:rPr>
          <w:rFonts w:ascii="Palatino Linotype" w:hAnsi="Palatino Linotype"/>
          <w:sz w:val="24"/>
          <w:szCs w:val="24"/>
        </w:rPr>
        <w:t>business days for EVSE permitting by AB 970 is approximately 56 calendar days, over three-fifths of the 90-calendar-day average</w:t>
      </w:r>
      <w:r w:rsidRPr="00534D5D" w:rsidR="00076CE8">
        <w:rPr>
          <w:rFonts w:ascii="Palatino Linotype" w:hAnsi="Palatino Linotype"/>
          <w:sz w:val="24"/>
          <w:szCs w:val="24"/>
        </w:rPr>
        <w:t xml:space="preserve"> service energization</w:t>
      </w:r>
      <w:r w:rsidRPr="00534D5D">
        <w:rPr>
          <w:rFonts w:ascii="Palatino Linotype" w:hAnsi="Palatino Linotype"/>
          <w:sz w:val="24"/>
          <w:szCs w:val="24"/>
        </w:rPr>
        <w:t xml:space="preserve"> timeline requested by the Joint EV Industry</w:t>
      </w:r>
      <w:r w:rsidRPr="00534D5D" w:rsidR="00076CE8">
        <w:rPr>
          <w:rFonts w:ascii="Palatino Linotype" w:hAnsi="Palatino Linotype"/>
          <w:sz w:val="24"/>
          <w:szCs w:val="24"/>
        </w:rPr>
        <w:t>. Including permitting within the average service energization timeline will</w:t>
      </w:r>
      <w:r w:rsidRPr="00534D5D">
        <w:rPr>
          <w:rFonts w:ascii="Palatino Linotype" w:hAnsi="Palatino Linotype"/>
          <w:sz w:val="24"/>
          <w:szCs w:val="24"/>
        </w:rPr>
        <w:t xml:space="preserve"> leav</w:t>
      </w:r>
      <w:r w:rsidRPr="00534D5D" w:rsidR="00076CE8">
        <w:rPr>
          <w:rFonts w:ascii="Palatino Linotype" w:hAnsi="Palatino Linotype"/>
          <w:sz w:val="24"/>
          <w:szCs w:val="24"/>
        </w:rPr>
        <w:t>e</w:t>
      </w:r>
      <w:r w:rsidRPr="00534D5D">
        <w:rPr>
          <w:rFonts w:ascii="Palatino Linotype" w:hAnsi="Palatino Linotype"/>
          <w:sz w:val="24"/>
          <w:szCs w:val="24"/>
        </w:rPr>
        <w:t xml:space="preserve"> an unreasonable two-fifths of the timeline to the Joint IOUs to accomplish </w:t>
      </w:r>
      <w:r w:rsidRPr="00534D5D" w:rsidR="00076CE8">
        <w:rPr>
          <w:rFonts w:ascii="Palatino Linotype" w:hAnsi="Palatino Linotype"/>
          <w:sz w:val="24"/>
          <w:szCs w:val="24"/>
        </w:rPr>
        <w:t>all other IOU</w:t>
      </w:r>
      <w:r w:rsidRPr="00534D5D">
        <w:rPr>
          <w:rFonts w:ascii="Palatino Linotype" w:hAnsi="Palatino Linotype"/>
          <w:sz w:val="24"/>
          <w:szCs w:val="24"/>
        </w:rPr>
        <w:t xml:space="preserve"> responsibilities. </w:t>
      </w:r>
    </w:p>
    <w:p w:rsidRPr="00534D5D" w:rsidR="00A5355D" w:rsidP="00DF3534" w:rsidRDefault="005E03C0" w14:paraId="4402B381" w14:textId="71A16E97">
      <w:pPr>
        <w:rPr>
          <w:rFonts w:ascii="Palatino Linotype" w:hAnsi="Palatino Linotype"/>
          <w:bCs/>
          <w:sz w:val="24"/>
          <w:szCs w:val="24"/>
        </w:rPr>
      </w:pPr>
      <w:r w:rsidRPr="00534D5D">
        <w:rPr>
          <w:rFonts w:ascii="Palatino Linotype" w:hAnsi="Palatino Linotype"/>
          <w:bCs/>
          <w:sz w:val="24"/>
          <w:szCs w:val="24"/>
        </w:rPr>
        <w:t xml:space="preserve">First, </w:t>
      </w:r>
      <w:r w:rsidRPr="00534D5D" w:rsidR="00A5355D">
        <w:rPr>
          <w:rFonts w:ascii="Palatino Linotype" w:hAnsi="Palatino Linotype"/>
          <w:bCs/>
          <w:sz w:val="24"/>
          <w:szCs w:val="24"/>
        </w:rPr>
        <w:t xml:space="preserve">we disagree with the Joint IOUs’ proposal to not include preassessments and engineering studies within the average timeline. While the IOU may need further information from a customer during this process, </w:t>
      </w:r>
      <w:r w:rsidRPr="00534D5D" w:rsidR="004619B1">
        <w:rPr>
          <w:rFonts w:ascii="Palatino Linotype" w:hAnsi="Palatino Linotype"/>
          <w:bCs/>
          <w:sz w:val="24"/>
          <w:szCs w:val="24"/>
        </w:rPr>
        <w:t xml:space="preserve">these steps </w:t>
      </w:r>
      <w:r w:rsidRPr="00534D5D" w:rsidR="00A16D4A">
        <w:rPr>
          <w:rFonts w:ascii="Palatino Linotype" w:hAnsi="Palatino Linotype"/>
          <w:bCs/>
          <w:sz w:val="24"/>
          <w:szCs w:val="24"/>
        </w:rPr>
        <w:t>are include</w:t>
      </w:r>
      <w:r w:rsidRPr="00534D5D" w:rsidR="00666558">
        <w:rPr>
          <w:rFonts w:ascii="Palatino Linotype" w:hAnsi="Palatino Linotype"/>
          <w:bCs/>
          <w:sz w:val="24"/>
          <w:szCs w:val="24"/>
        </w:rPr>
        <w:t>d</w:t>
      </w:r>
      <w:r w:rsidRPr="00534D5D" w:rsidR="00A16D4A">
        <w:rPr>
          <w:rFonts w:ascii="Palatino Linotype" w:hAnsi="Palatino Linotype"/>
          <w:bCs/>
          <w:sz w:val="24"/>
          <w:szCs w:val="24"/>
        </w:rPr>
        <w:t xml:space="preserve"> in the EV Infrastructure Rules as being under</w:t>
      </w:r>
      <w:r w:rsidRPr="00534D5D" w:rsidR="004619B1">
        <w:rPr>
          <w:rFonts w:ascii="Palatino Linotype" w:hAnsi="Palatino Linotype"/>
          <w:bCs/>
          <w:sz w:val="24"/>
          <w:szCs w:val="24"/>
        </w:rPr>
        <w:t xml:space="preserve"> the direct control of the IOUs</w:t>
      </w:r>
      <w:r w:rsidRPr="00534D5D" w:rsidR="00A16D4A">
        <w:rPr>
          <w:rFonts w:ascii="Palatino Linotype" w:hAnsi="Palatino Linotype"/>
          <w:bCs/>
          <w:sz w:val="24"/>
          <w:szCs w:val="24"/>
        </w:rPr>
        <w:t xml:space="preserve">. </w:t>
      </w:r>
      <w:r w:rsidRPr="00534D5D" w:rsidR="001379CF">
        <w:rPr>
          <w:rFonts w:ascii="Palatino Linotype" w:hAnsi="Palatino Linotype"/>
          <w:bCs/>
          <w:sz w:val="24"/>
          <w:szCs w:val="24"/>
        </w:rPr>
        <w:t>T</w:t>
      </w:r>
      <w:r w:rsidRPr="00534D5D" w:rsidR="00A5355D">
        <w:rPr>
          <w:rFonts w:ascii="Palatino Linotype" w:hAnsi="Palatino Linotype"/>
          <w:bCs/>
          <w:sz w:val="24"/>
          <w:szCs w:val="24"/>
        </w:rPr>
        <w:t>he IOUs sh</w:t>
      </w:r>
      <w:r w:rsidRPr="00534D5D" w:rsidR="001379CF">
        <w:rPr>
          <w:rFonts w:ascii="Palatino Linotype" w:hAnsi="Palatino Linotype"/>
          <w:bCs/>
          <w:sz w:val="24"/>
          <w:szCs w:val="24"/>
        </w:rPr>
        <w:t>all develop a process to furth</w:t>
      </w:r>
      <w:r w:rsidRPr="00534D5D" w:rsidR="00A90E91">
        <w:rPr>
          <w:rFonts w:ascii="Palatino Linotype" w:hAnsi="Palatino Linotype"/>
          <w:bCs/>
          <w:sz w:val="24"/>
          <w:szCs w:val="24"/>
        </w:rPr>
        <w:t>er</w:t>
      </w:r>
      <w:r w:rsidRPr="00534D5D" w:rsidR="001379CF">
        <w:rPr>
          <w:rFonts w:ascii="Palatino Linotype" w:hAnsi="Palatino Linotype"/>
          <w:bCs/>
          <w:sz w:val="24"/>
          <w:szCs w:val="24"/>
        </w:rPr>
        <w:t xml:space="preserve"> the preassessment and engineering studies processes </w:t>
      </w:r>
      <w:r w:rsidRPr="00534D5D" w:rsidR="00D81E10">
        <w:rPr>
          <w:rFonts w:ascii="Palatino Linotype" w:hAnsi="Palatino Linotype"/>
          <w:bCs/>
          <w:sz w:val="24"/>
          <w:szCs w:val="24"/>
        </w:rPr>
        <w:t xml:space="preserve">to ensure </w:t>
      </w:r>
      <w:r w:rsidRPr="00534D5D" w:rsidR="00441BD9">
        <w:rPr>
          <w:rFonts w:ascii="Palatino Linotype" w:hAnsi="Palatino Linotype"/>
          <w:bCs/>
          <w:sz w:val="24"/>
          <w:szCs w:val="24"/>
        </w:rPr>
        <w:t>delays caused by</w:t>
      </w:r>
      <w:r w:rsidRPr="00534D5D" w:rsidR="001B5118">
        <w:rPr>
          <w:rFonts w:ascii="Palatino Linotype" w:hAnsi="Palatino Linotype"/>
          <w:bCs/>
          <w:sz w:val="24"/>
          <w:szCs w:val="24"/>
        </w:rPr>
        <w:t xml:space="preserve"> the</w:t>
      </w:r>
      <w:r w:rsidRPr="00534D5D" w:rsidR="00441BD9">
        <w:rPr>
          <w:rFonts w:ascii="Palatino Linotype" w:hAnsi="Palatino Linotype"/>
          <w:bCs/>
          <w:sz w:val="24"/>
          <w:szCs w:val="24"/>
        </w:rPr>
        <w:t xml:space="preserve"> </w:t>
      </w:r>
      <w:r w:rsidRPr="00534D5D" w:rsidR="001B5118">
        <w:rPr>
          <w:rFonts w:ascii="Palatino Linotype" w:hAnsi="Palatino Linotype"/>
          <w:bCs/>
          <w:sz w:val="24"/>
          <w:szCs w:val="24"/>
        </w:rPr>
        <w:t xml:space="preserve">customer is minimal. </w:t>
      </w:r>
      <w:r w:rsidRPr="00534D5D" w:rsidR="00E034C9">
        <w:rPr>
          <w:rFonts w:ascii="Palatino Linotype" w:hAnsi="Palatino Linotype"/>
          <w:bCs/>
          <w:sz w:val="24"/>
          <w:szCs w:val="24"/>
        </w:rPr>
        <w:t xml:space="preserve">The IOUs shall </w:t>
      </w:r>
      <w:r w:rsidRPr="00534D5D" w:rsidR="00A5355D">
        <w:rPr>
          <w:rFonts w:ascii="Palatino Linotype" w:hAnsi="Palatino Linotype"/>
          <w:bCs/>
          <w:sz w:val="24"/>
          <w:szCs w:val="24"/>
        </w:rPr>
        <w:t xml:space="preserve">complete as much of </w:t>
      </w:r>
      <w:r w:rsidRPr="00534D5D" w:rsidR="00E034C9">
        <w:rPr>
          <w:rFonts w:ascii="Palatino Linotype" w:hAnsi="Palatino Linotype"/>
          <w:bCs/>
          <w:sz w:val="24"/>
          <w:szCs w:val="24"/>
        </w:rPr>
        <w:t>the preassessment and engineering study</w:t>
      </w:r>
      <w:r w:rsidRPr="00534D5D" w:rsidR="00A5355D">
        <w:rPr>
          <w:rFonts w:ascii="Palatino Linotype" w:hAnsi="Palatino Linotype"/>
          <w:bCs/>
          <w:sz w:val="24"/>
          <w:szCs w:val="24"/>
        </w:rPr>
        <w:t xml:space="preserve"> work as possible to allow a customer time to review the site feasibility study and submit all necessary information prior to the IOU executing a preliminary design</w:t>
      </w:r>
      <w:r w:rsidRPr="00534D5D">
        <w:rPr>
          <w:rFonts w:ascii="Palatino Linotype" w:hAnsi="Palatino Linotype"/>
          <w:bCs/>
          <w:sz w:val="24"/>
          <w:szCs w:val="24"/>
        </w:rPr>
        <w:t>.</w:t>
      </w:r>
    </w:p>
    <w:p w:rsidRPr="00534D5D" w:rsidR="00FA1A2A" w:rsidP="00D61B53" w:rsidRDefault="00271CFE" w14:paraId="4732D8A0" w14:textId="41A7FB7B">
      <w:pPr>
        <w:rPr>
          <w:rFonts w:ascii="Palatino Linotype" w:hAnsi="Palatino Linotype"/>
          <w:bCs/>
          <w:sz w:val="24"/>
          <w:szCs w:val="24"/>
        </w:rPr>
      </w:pPr>
      <w:r w:rsidRPr="00534D5D">
        <w:rPr>
          <w:rFonts w:ascii="Palatino Linotype" w:hAnsi="Palatino Linotype"/>
          <w:bCs/>
          <w:sz w:val="24"/>
          <w:szCs w:val="24"/>
        </w:rPr>
        <w:t>Second,</w:t>
      </w:r>
      <w:r w:rsidRPr="00534D5D" w:rsidR="005E03C0">
        <w:rPr>
          <w:rFonts w:ascii="Palatino Linotype" w:hAnsi="Palatino Linotype"/>
          <w:bCs/>
          <w:sz w:val="24"/>
          <w:szCs w:val="24"/>
        </w:rPr>
        <w:t xml:space="preserve"> </w:t>
      </w:r>
      <w:r w:rsidRPr="00534D5D">
        <w:rPr>
          <w:rFonts w:ascii="Palatino Linotype" w:hAnsi="Palatino Linotype"/>
          <w:bCs/>
          <w:sz w:val="24"/>
          <w:szCs w:val="24"/>
        </w:rPr>
        <w:t xml:space="preserve">we </w:t>
      </w:r>
      <w:r w:rsidRPr="00534D5D" w:rsidR="005E03C0">
        <w:rPr>
          <w:rFonts w:ascii="Palatino Linotype" w:hAnsi="Palatino Linotype"/>
          <w:bCs/>
          <w:sz w:val="24"/>
          <w:szCs w:val="24"/>
        </w:rPr>
        <w:t>agree with the Joint EV Industry that the passage of AB 1236 and AB 970</w:t>
      </w:r>
      <w:r w:rsidRPr="00534D5D" w:rsidR="00666558">
        <w:rPr>
          <w:rFonts w:ascii="Palatino Linotype" w:hAnsi="Palatino Linotype"/>
          <w:bCs/>
          <w:sz w:val="24"/>
          <w:szCs w:val="24"/>
        </w:rPr>
        <w:t xml:space="preserve"> </w:t>
      </w:r>
      <w:r w:rsidRPr="00534D5D">
        <w:rPr>
          <w:rFonts w:ascii="Palatino Linotype" w:hAnsi="Palatino Linotype"/>
          <w:bCs/>
          <w:sz w:val="24"/>
          <w:szCs w:val="24"/>
        </w:rPr>
        <w:t>creates</w:t>
      </w:r>
      <w:r w:rsidRPr="00534D5D" w:rsidR="00EB3A92">
        <w:rPr>
          <w:rFonts w:ascii="Palatino Linotype" w:hAnsi="Palatino Linotype"/>
          <w:bCs/>
          <w:sz w:val="24"/>
          <w:szCs w:val="24"/>
        </w:rPr>
        <w:t xml:space="preserve"> a minimum level of certainty for when a permit will be issued for the installation of an EVSE. </w:t>
      </w:r>
      <w:r w:rsidRPr="00534D5D" w:rsidR="005E03C0">
        <w:rPr>
          <w:rFonts w:ascii="Palatino Linotype" w:hAnsi="Palatino Linotype"/>
          <w:bCs/>
          <w:sz w:val="24"/>
          <w:szCs w:val="24"/>
        </w:rPr>
        <w:t xml:space="preserve">As previously stated, AB 970 </w:t>
      </w:r>
      <w:r w:rsidRPr="00534D5D" w:rsidR="00C62B7E">
        <w:rPr>
          <w:rFonts w:ascii="Palatino Linotype" w:hAnsi="Palatino Linotype"/>
          <w:bCs/>
          <w:sz w:val="24"/>
          <w:szCs w:val="24"/>
        </w:rPr>
        <w:t xml:space="preserve">requires </w:t>
      </w:r>
      <w:r w:rsidRPr="00534D5D" w:rsidR="005E03C0">
        <w:rPr>
          <w:rFonts w:ascii="Palatino Linotype" w:hAnsi="Palatino Linotype"/>
          <w:bCs/>
          <w:sz w:val="24"/>
          <w:szCs w:val="24"/>
        </w:rPr>
        <w:t>a permit</w:t>
      </w:r>
      <w:r w:rsidRPr="00534D5D" w:rsidR="0003376D">
        <w:rPr>
          <w:rFonts w:ascii="Palatino Linotype" w:hAnsi="Palatino Linotype"/>
          <w:bCs/>
          <w:sz w:val="24"/>
          <w:szCs w:val="24"/>
        </w:rPr>
        <w:t xml:space="preserve"> automatically</w:t>
      </w:r>
      <w:r w:rsidRPr="00534D5D" w:rsidR="005E03C0">
        <w:rPr>
          <w:rFonts w:ascii="Palatino Linotype" w:hAnsi="Palatino Linotype"/>
          <w:bCs/>
          <w:sz w:val="24"/>
          <w:szCs w:val="24"/>
        </w:rPr>
        <w:t xml:space="preserve"> </w:t>
      </w:r>
      <w:r w:rsidRPr="00534D5D" w:rsidR="003C65C5">
        <w:rPr>
          <w:rFonts w:ascii="Palatino Linotype" w:hAnsi="Palatino Linotype"/>
          <w:bCs/>
          <w:sz w:val="24"/>
          <w:szCs w:val="24"/>
        </w:rPr>
        <w:t xml:space="preserve">be deemed </w:t>
      </w:r>
      <w:r w:rsidRPr="00534D5D" w:rsidR="005E03C0">
        <w:rPr>
          <w:rFonts w:ascii="Palatino Linotype" w:hAnsi="Palatino Linotype"/>
          <w:bCs/>
          <w:sz w:val="24"/>
          <w:szCs w:val="24"/>
        </w:rPr>
        <w:t xml:space="preserve">complete within </w:t>
      </w:r>
      <w:r w:rsidRPr="00534D5D" w:rsidR="00C076F5">
        <w:rPr>
          <w:rFonts w:ascii="Palatino Linotype" w:hAnsi="Palatino Linotype"/>
          <w:bCs/>
          <w:sz w:val="24"/>
          <w:szCs w:val="24"/>
        </w:rPr>
        <w:t>5-</w:t>
      </w:r>
      <w:r w:rsidRPr="00534D5D" w:rsidR="007F0478">
        <w:rPr>
          <w:rFonts w:ascii="Palatino Linotype" w:hAnsi="Palatino Linotype"/>
          <w:bCs/>
          <w:sz w:val="24"/>
          <w:szCs w:val="24"/>
        </w:rPr>
        <w:t xml:space="preserve">business </w:t>
      </w:r>
      <w:r w:rsidRPr="00534D5D">
        <w:rPr>
          <w:rFonts w:ascii="Palatino Linotype" w:hAnsi="Palatino Linotype"/>
          <w:bCs/>
          <w:sz w:val="24"/>
          <w:szCs w:val="24"/>
        </w:rPr>
        <w:t>days and</w:t>
      </w:r>
      <w:r w:rsidRPr="00534D5D" w:rsidR="005E03C0">
        <w:rPr>
          <w:rFonts w:ascii="Palatino Linotype" w:hAnsi="Palatino Linotype"/>
          <w:bCs/>
          <w:sz w:val="24"/>
          <w:szCs w:val="24"/>
        </w:rPr>
        <w:t xml:space="preserve"> deemed approve</w:t>
      </w:r>
      <w:r w:rsidRPr="00534D5D" w:rsidR="00151C79">
        <w:rPr>
          <w:rFonts w:ascii="Palatino Linotype" w:hAnsi="Palatino Linotype"/>
          <w:bCs/>
          <w:sz w:val="24"/>
          <w:szCs w:val="24"/>
        </w:rPr>
        <w:t>d</w:t>
      </w:r>
      <w:r w:rsidRPr="00534D5D" w:rsidR="005E03C0">
        <w:rPr>
          <w:rFonts w:ascii="Palatino Linotype" w:hAnsi="Palatino Linotype"/>
          <w:bCs/>
          <w:sz w:val="24"/>
          <w:szCs w:val="24"/>
        </w:rPr>
        <w:t xml:space="preserve"> within twenty</w:t>
      </w:r>
      <w:r w:rsidRPr="00534D5D" w:rsidR="00234626">
        <w:rPr>
          <w:rFonts w:ascii="Palatino Linotype" w:hAnsi="Palatino Linotype"/>
          <w:bCs/>
          <w:sz w:val="24"/>
          <w:szCs w:val="24"/>
        </w:rPr>
        <w:t>-</w:t>
      </w:r>
      <w:r w:rsidRPr="00534D5D" w:rsidR="007F0478">
        <w:rPr>
          <w:rFonts w:ascii="Palatino Linotype" w:hAnsi="Palatino Linotype"/>
          <w:bCs/>
          <w:sz w:val="24"/>
          <w:szCs w:val="24"/>
        </w:rPr>
        <w:t>business</w:t>
      </w:r>
      <w:r w:rsidRPr="00534D5D" w:rsidR="005E03C0">
        <w:rPr>
          <w:rFonts w:ascii="Palatino Linotype" w:hAnsi="Palatino Linotype"/>
          <w:bCs/>
          <w:sz w:val="24"/>
          <w:szCs w:val="24"/>
        </w:rPr>
        <w:t xml:space="preserve"> days. While th</w:t>
      </w:r>
      <w:r w:rsidRPr="00534D5D" w:rsidR="009939BC">
        <w:rPr>
          <w:rFonts w:ascii="Palatino Linotype" w:hAnsi="Palatino Linotype"/>
          <w:bCs/>
          <w:sz w:val="24"/>
          <w:szCs w:val="24"/>
        </w:rPr>
        <w:t>e permitting</w:t>
      </w:r>
      <w:r w:rsidRPr="00534D5D" w:rsidR="005E03C0">
        <w:rPr>
          <w:rFonts w:ascii="Palatino Linotype" w:hAnsi="Palatino Linotype"/>
          <w:bCs/>
          <w:sz w:val="24"/>
          <w:szCs w:val="24"/>
        </w:rPr>
        <w:t xml:space="preserve"> process may fall outside of the IOUs</w:t>
      </w:r>
      <w:r w:rsidRPr="00534D5D" w:rsidR="00ED33AF">
        <w:rPr>
          <w:rFonts w:ascii="Palatino Linotype" w:hAnsi="Palatino Linotype"/>
          <w:bCs/>
          <w:sz w:val="24"/>
          <w:szCs w:val="24"/>
        </w:rPr>
        <w:t>’</w:t>
      </w:r>
      <w:r w:rsidRPr="00534D5D" w:rsidR="005E03C0">
        <w:rPr>
          <w:rFonts w:ascii="Palatino Linotype" w:hAnsi="Palatino Linotype"/>
          <w:bCs/>
          <w:sz w:val="24"/>
          <w:szCs w:val="24"/>
        </w:rPr>
        <w:t xml:space="preserve"> direct </w:t>
      </w:r>
      <w:r w:rsidRPr="00534D5D" w:rsidR="009939BC">
        <w:rPr>
          <w:rFonts w:ascii="Palatino Linotype" w:hAnsi="Palatino Linotype"/>
          <w:bCs/>
          <w:sz w:val="24"/>
          <w:szCs w:val="24"/>
        </w:rPr>
        <w:t xml:space="preserve">and indirect </w:t>
      </w:r>
      <w:r w:rsidRPr="00534D5D" w:rsidR="005E03C0">
        <w:rPr>
          <w:rFonts w:ascii="Palatino Linotype" w:hAnsi="Palatino Linotype"/>
          <w:bCs/>
          <w:sz w:val="24"/>
          <w:szCs w:val="24"/>
        </w:rPr>
        <w:t xml:space="preserve">control, the </w:t>
      </w:r>
      <w:r w:rsidR="00E146E3">
        <w:rPr>
          <w:rFonts w:ascii="Palatino Linotype" w:hAnsi="Palatino Linotype"/>
          <w:bCs/>
          <w:sz w:val="24"/>
          <w:szCs w:val="24"/>
        </w:rPr>
        <w:t>guarantee</w:t>
      </w:r>
      <w:r w:rsidRPr="00534D5D" w:rsidR="005E03C0">
        <w:rPr>
          <w:rFonts w:ascii="Palatino Linotype" w:hAnsi="Palatino Linotype"/>
          <w:bCs/>
          <w:sz w:val="24"/>
          <w:szCs w:val="24"/>
        </w:rPr>
        <w:t xml:space="preserve"> that a permit will be</w:t>
      </w:r>
      <w:r w:rsidRPr="00534D5D" w:rsidR="003007D4">
        <w:rPr>
          <w:rFonts w:ascii="Palatino Linotype" w:hAnsi="Palatino Linotype"/>
          <w:bCs/>
          <w:sz w:val="24"/>
          <w:szCs w:val="24"/>
        </w:rPr>
        <w:t xml:space="preserve"> approved within </w:t>
      </w:r>
      <w:r w:rsidRPr="00534D5D" w:rsidR="009939BC">
        <w:rPr>
          <w:rFonts w:ascii="Palatino Linotype" w:hAnsi="Palatino Linotype"/>
          <w:bCs/>
          <w:sz w:val="24"/>
          <w:szCs w:val="24"/>
        </w:rPr>
        <w:t xml:space="preserve">at most </w:t>
      </w:r>
      <w:r w:rsidR="00E146E3">
        <w:rPr>
          <w:rFonts w:ascii="Palatino Linotype" w:hAnsi="Palatino Linotype"/>
          <w:bCs/>
          <w:sz w:val="24"/>
          <w:szCs w:val="24"/>
        </w:rPr>
        <w:br/>
      </w:r>
      <w:r w:rsidRPr="00534D5D" w:rsidR="003007D4">
        <w:rPr>
          <w:rFonts w:ascii="Palatino Linotype" w:hAnsi="Palatino Linotype"/>
          <w:bCs/>
          <w:sz w:val="24"/>
          <w:szCs w:val="24"/>
        </w:rPr>
        <w:t>25</w:t>
      </w:r>
      <w:r w:rsidRPr="00534D5D" w:rsidR="009939BC">
        <w:rPr>
          <w:rFonts w:ascii="Palatino Linotype" w:hAnsi="Palatino Linotype"/>
          <w:bCs/>
          <w:sz w:val="24"/>
          <w:szCs w:val="24"/>
        </w:rPr>
        <w:t>-</w:t>
      </w:r>
      <w:r w:rsidRPr="00534D5D" w:rsidR="003007D4">
        <w:rPr>
          <w:rFonts w:ascii="Palatino Linotype" w:hAnsi="Palatino Linotype"/>
          <w:bCs/>
          <w:sz w:val="24"/>
          <w:szCs w:val="24"/>
        </w:rPr>
        <w:t>business days</w:t>
      </w:r>
      <w:r w:rsidRPr="00534D5D" w:rsidR="00D63886">
        <w:rPr>
          <w:rFonts w:ascii="Palatino Linotype" w:hAnsi="Palatino Linotype"/>
          <w:bCs/>
          <w:sz w:val="24"/>
          <w:szCs w:val="24"/>
        </w:rPr>
        <w:t xml:space="preserve"> </w:t>
      </w:r>
      <w:r w:rsidRPr="00534D5D" w:rsidR="00E810EF">
        <w:rPr>
          <w:rFonts w:ascii="Palatino Linotype" w:hAnsi="Palatino Linotype"/>
          <w:bCs/>
          <w:sz w:val="24"/>
          <w:szCs w:val="24"/>
        </w:rPr>
        <w:t xml:space="preserve">allows the IOU to </w:t>
      </w:r>
      <w:r w:rsidRPr="00534D5D" w:rsidR="00C819F3">
        <w:rPr>
          <w:rFonts w:ascii="Palatino Linotype" w:hAnsi="Palatino Linotype"/>
          <w:bCs/>
          <w:sz w:val="24"/>
          <w:szCs w:val="24"/>
        </w:rPr>
        <w:t xml:space="preserve">begin work on other steps </w:t>
      </w:r>
      <w:r w:rsidRPr="00534D5D" w:rsidR="005C61C5">
        <w:rPr>
          <w:rFonts w:ascii="Palatino Linotype" w:hAnsi="Palatino Linotype"/>
          <w:bCs/>
          <w:sz w:val="24"/>
          <w:szCs w:val="24"/>
        </w:rPr>
        <w:t xml:space="preserve">requiring an approved permit </w:t>
      </w:r>
      <w:r w:rsidRPr="00534D5D" w:rsidR="00C819F3">
        <w:rPr>
          <w:rFonts w:ascii="Palatino Linotype" w:hAnsi="Palatino Linotype"/>
          <w:bCs/>
          <w:sz w:val="24"/>
          <w:szCs w:val="24"/>
        </w:rPr>
        <w:t xml:space="preserve">that may usually be delayed </w:t>
      </w:r>
      <w:r w:rsidRPr="00534D5D" w:rsidR="002E510C">
        <w:rPr>
          <w:rFonts w:ascii="Palatino Linotype" w:hAnsi="Palatino Linotype"/>
          <w:bCs/>
          <w:sz w:val="24"/>
          <w:szCs w:val="24"/>
        </w:rPr>
        <w:t>indefinitely</w:t>
      </w:r>
      <w:r w:rsidRPr="00534D5D" w:rsidR="003007D4">
        <w:rPr>
          <w:rFonts w:ascii="Palatino Linotype" w:hAnsi="Palatino Linotype"/>
          <w:bCs/>
          <w:sz w:val="24"/>
          <w:szCs w:val="24"/>
        </w:rPr>
        <w:t xml:space="preserve">. </w:t>
      </w:r>
      <w:r w:rsidRPr="00534D5D" w:rsidR="00B1745A">
        <w:rPr>
          <w:rFonts w:ascii="Palatino Linotype" w:hAnsi="Palatino Linotype"/>
          <w:bCs/>
          <w:sz w:val="24"/>
          <w:szCs w:val="24"/>
        </w:rPr>
        <w:t xml:space="preserve">Due to this certainty in the maximum time </w:t>
      </w:r>
      <w:r w:rsidRPr="00534D5D" w:rsidR="008F3318">
        <w:rPr>
          <w:rFonts w:ascii="Palatino Linotype" w:hAnsi="Palatino Linotype"/>
          <w:bCs/>
          <w:sz w:val="24"/>
          <w:szCs w:val="24"/>
        </w:rPr>
        <w:t>for</w:t>
      </w:r>
      <w:r w:rsidRPr="00534D5D" w:rsidR="00B1745A">
        <w:rPr>
          <w:rFonts w:ascii="Palatino Linotype" w:hAnsi="Palatino Linotype"/>
          <w:bCs/>
          <w:sz w:val="24"/>
          <w:szCs w:val="24"/>
        </w:rPr>
        <w:t xml:space="preserve"> a permit</w:t>
      </w:r>
      <w:r w:rsidRPr="00534D5D" w:rsidR="008F3318">
        <w:rPr>
          <w:rFonts w:ascii="Palatino Linotype" w:hAnsi="Palatino Linotype"/>
          <w:bCs/>
          <w:sz w:val="24"/>
          <w:szCs w:val="24"/>
        </w:rPr>
        <w:t xml:space="preserve"> to be approved</w:t>
      </w:r>
      <w:r w:rsidRPr="00534D5D" w:rsidR="00B1745A">
        <w:rPr>
          <w:rFonts w:ascii="Palatino Linotype" w:hAnsi="Palatino Linotype"/>
          <w:bCs/>
          <w:sz w:val="24"/>
          <w:szCs w:val="24"/>
        </w:rPr>
        <w:t xml:space="preserve">, the average </w:t>
      </w:r>
      <w:r w:rsidRPr="00534D5D" w:rsidR="0017248B">
        <w:rPr>
          <w:rFonts w:ascii="Palatino Linotype" w:hAnsi="Palatino Linotype"/>
          <w:bCs/>
          <w:sz w:val="24"/>
          <w:szCs w:val="24"/>
        </w:rPr>
        <w:t xml:space="preserve">service </w:t>
      </w:r>
      <w:r w:rsidRPr="00534D5D" w:rsidR="00B1745A">
        <w:rPr>
          <w:rFonts w:ascii="Palatino Linotype" w:hAnsi="Palatino Linotype"/>
          <w:bCs/>
          <w:sz w:val="24"/>
          <w:szCs w:val="24"/>
        </w:rPr>
        <w:t xml:space="preserve">energization timeline </w:t>
      </w:r>
      <w:r w:rsidRPr="00534D5D" w:rsidR="0017248B">
        <w:rPr>
          <w:rFonts w:ascii="Palatino Linotype" w:hAnsi="Palatino Linotype"/>
          <w:bCs/>
          <w:sz w:val="24"/>
          <w:szCs w:val="24"/>
        </w:rPr>
        <w:t>shall include the 25-business day maximum time for a permit to be deemed approved</w:t>
      </w:r>
      <w:r w:rsidRPr="00534D5D" w:rsidR="004540F1">
        <w:rPr>
          <w:rFonts w:ascii="Palatino Linotype" w:hAnsi="Palatino Linotype"/>
          <w:bCs/>
          <w:sz w:val="24"/>
          <w:szCs w:val="24"/>
        </w:rPr>
        <w:t xml:space="preserve">. </w:t>
      </w:r>
      <w:r w:rsidRPr="00534D5D" w:rsidR="00CC5454">
        <w:rPr>
          <w:rFonts w:ascii="Palatino Linotype" w:hAnsi="Palatino Linotype"/>
          <w:bCs/>
          <w:sz w:val="24"/>
          <w:szCs w:val="24"/>
        </w:rPr>
        <w:t xml:space="preserve">Table 1 below </w:t>
      </w:r>
      <w:r w:rsidRPr="00534D5D" w:rsidR="004A1699">
        <w:rPr>
          <w:rFonts w:ascii="Palatino Linotype" w:hAnsi="Palatino Linotype"/>
          <w:bCs/>
          <w:sz w:val="24"/>
          <w:szCs w:val="24"/>
        </w:rPr>
        <w:t>outlines the updated applicab</w:t>
      </w:r>
      <w:r w:rsidRPr="00534D5D" w:rsidR="00FA1A2A">
        <w:rPr>
          <w:rFonts w:ascii="Palatino Linotype" w:hAnsi="Palatino Linotype"/>
          <w:bCs/>
          <w:sz w:val="24"/>
          <w:szCs w:val="24"/>
        </w:rPr>
        <w:t>ility of the energization timeline we adopt in this Resolution:</w:t>
      </w:r>
    </w:p>
    <w:p w:rsidRPr="00534D5D" w:rsidR="00D61B53" w:rsidP="004D1348" w:rsidRDefault="00FA1A2A" w14:paraId="538C1059" w14:textId="23F46B07">
      <w:pPr>
        <w:keepNext/>
        <w:rPr>
          <w:rFonts w:ascii="Palatino Linotype" w:hAnsi="Palatino Linotype"/>
          <w:bCs/>
          <w:sz w:val="24"/>
          <w:szCs w:val="24"/>
        </w:rPr>
      </w:pPr>
      <w:r w:rsidRPr="00534D5D">
        <w:rPr>
          <w:rFonts w:ascii="Palatino Linotype" w:hAnsi="Palatino Linotype"/>
          <w:bCs/>
          <w:sz w:val="24"/>
          <w:szCs w:val="24"/>
        </w:rPr>
        <w:lastRenderedPageBreak/>
        <w:t>Table 1 – Energ</w:t>
      </w:r>
      <w:r w:rsidRPr="00534D5D" w:rsidR="001C0F0A">
        <w:rPr>
          <w:rFonts w:ascii="Palatino Linotype" w:hAnsi="Palatino Linotype"/>
          <w:bCs/>
          <w:sz w:val="24"/>
          <w:szCs w:val="24"/>
        </w:rPr>
        <w:t>i</w:t>
      </w:r>
      <w:r w:rsidRPr="00534D5D">
        <w:rPr>
          <w:rFonts w:ascii="Palatino Linotype" w:hAnsi="Palatino Linotype"/>
          <w:bCs/>
          <w:sz w:val="24"/>
          <w:szCs w:val="24"/>
        </w:rPr>
        <w:t xml:space="preserve">zation </w:t>
      </w:r>
      <w:r w:rsidRPr="00534D5D" w:rsidR="001C0F0A">
        <w:rPr>
          <w:rFonts w:ascii="Palatino Linotype" w:hAnsi="Palatino Linotype"/>
          <w:bCs/>
          <w:sz w:val="24"/>
          <w:szCs w:val="24"/>
        </w:rPr>
        <w:t>Steps Included in the Energization Timeline</w:t>
      </w:r>
    </w:p>
    <w:tbl>
      <w:tblPr>
        <w:tblW w:w="8440" w:type="dxa"/>
        <w:tblLook w:val="04A0" w:firstRow="1" w:lastRow="0" w:firstColumn="1" w:lastColumn="0" w:noHBand="0" w:noVBand="1"/>
      </w:tblPr>
      <w:tblGrid>
        <w:gridCol w:w="960"/>
        <w:gridCol w:w="6140"/>
        <w:gridCol w:w="1340"/>
      </w:tblGrid>
      <w:tr w:rsidRPr="00534D5D" w:rsidR="001C0F0A" w:rsidTr="001C0F0A" w14:paraId="10830253" w14:textId="77777777">
        <w:trPr>
          <w:trHeight w:val="576"/>
        </w:trPr>
        <w:tc>
          <w:tcPr>
            <w:tcW w:w="96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534D5D" w:rsidR="001C0F0A" w:rsidP="004D1348" w:rsidRDefault="001C0F0A" w14:paraId="0DC32D62" w14:textId="77777777">
            <w:pPr>
              <w:keepNext/>
              <w:spacing w:after="0" w:line="240" w:lineRule="auto"/>
              <w:jc w:val="center"/>
              <w:rPr>
                <w:rFonts w:ascii="Palatino Linotype" w:hAnsi="Palatino Linotype" w:eastAsia="Times New Roman" w:cs="Calibri"/>
                <w:b/>
                <w:bCs/>
                <w:color w:val="000000"/>
                <w:sz w:val="24"/>
                <w:szCs w:val="24"/>
              </w:rPr>
            </w:pPr>
            <w:r w:rsidRPr="00534D5D">
              <w:rPr>
                <w:rFonts w:ascii="Palatino Linotype" w:hAnsi="Palatino Linotype" w:eastAsia="Times New Roman" w:cs="Calibri"/>
                <w:b/>
                <w:bCs/>
                <w:color w:val="000000"/>
                <w:sz w:val="24"/>
                <w:szCs w:val="24"/>
              </w:rPr>
              <w:t>#</w:t>
            </w:r>
          </w:p>
        </w:tc>
        <w:tc>
          <w:tcPr>
            <w:tcW w:w="6140" w:type="dxa"/>
            <w:tcBorders>
              <w:top w:val="single" w:color="auto" w:sz="4" w:space="0"/>
              <w:left w:val="nil"/>
              <w:bottom w:val="single" w:color="auto" w:sz="4" w:space="0"/>
              <w:right w:val="single" w:color="auto" w:sz="4" w:space="0"/>
            </w:tcBorders>
            <w:shd w:val="clear" w:color="000000" w:fill="D9D9D9"/>
            <w:noWrap/>
            <w:vAlign w:val="center"/>
            <w:hideMark/>
          </w:tcPr>
          <w:p w:rsidRPr="00534D5D" w:rsidR="001C0F0A" w:rsidP="004D1348" w:rsidRDefault="001C0F0A" w14:paraId="13B0D22F" w14:textId="77777777">
            <w:pPr>
              <w:keepNext/>
              <w:spacing w:after="0" w:line="240" w:lineRule="auto"/>
              <w:jc w:val="center"/>
              <w:rPr>
                <w:rFonts w:ascii="Palatino Linotype" w:hAnsi="Palatino Linotype" w:eastAsia="Times New Roman" w:cs="Calibri"/>
                <w:b/>
                <w:bCs/>
                <w:color w:val="000000"/>
                <w:sz w:val="24"/>
                <w:szCs w:val="24"/>
              </w:rPr>
            </w:pPr>
            <w:r w:rsidRPr="00534D5D">
              <w:rPr>
                <w:rFonts w:ascii="Palatino Linotype" w:hAnsi="Palatino Linotype" w:eastAsia="Times New Roman" w:cs="Calibri"/>
                <w:b/>
                <w:bCs/>
                <w:color w:val="000000"/>
                <w:sz w:val="24"/>
                <w:szCs w:val="24"/>
              </w:rPr>
              <w:t>Energization Steps</w:t>
            </w:r>
          </w:p>
        </w:tc>
        <w:tc>
          <w:tcPr>
            <w:tcW w:w="1340" w:type="dxa"/>
            <w:tcBorders>
              <w:top w:val="single" w:color="auto" w:sz="4" w:space="0"/>
              <w:left w:val="nil"/>
              <w:bottom w:val="single" w:color="auto" w:sz="4" w:space="0"/>
              <w:right w:val="single" w:color="auto" w:sz="4" w:space="0"/>
            </w:tcBorders>
            <w:shd w:val="clear" w:color="000000" w:fill="D9D9D9"/>
            <w:vAlign w:val="center"/>
            <w:hideMark/>
          </w:tcPr>
          <w:p w:rsidRPr="00534D5D" w:rsidR="001C0F0A" w:rsidP="004D1348" w:rsidRDefault="001C0F0A" w14:paraId="017C16CA" w14:textId="578C7347">
            <w:pPr>
              <w:keepNext/>
              <w:spacing w:after="0" w:line="240" w:lineRule="auto"/>
              <w:jc w:val="center"/>
              <w:rPr>
                <w:rFonts w:ascii="Palatino Linotype" w:hAnsi="Palatino Linotype" w:eastAsia="Times New Roman" w:cs="Calibri"/>
                <w:b/>
                <w:bCs/>
                <w:color w:val="000000"/>
                <w:sz w:val="24"/>
                <w:szCs w:val="24"/>
              </w:rPr>
            </w:pPr>
            <w:r w:rsidRPr="00534D5D">
              <w:rPr>
                <w:rFonts w:ascii="Palatino Linotype" w:hAnsi="Palatino Linotype" w:eastAsia="Times New Roman" w:cs="Calibri"/>
                <w:b/>
                <w:bCs/>
                <w:color w:val="000000"/>
                <w:sz w:val="24"/>
                <w:szCs w:val="24"/>
              </w:rPr>
              <w:t>Included in Target?</w:t>
            </w:r>
          </w:p>
        </w:tc>
      </w:tr>
      <w:tr w:rsidRPr="00534D5D" w:rsidR="001C0F0A" w:rsidTr="001C0F0A" w14:paraId="4B6B9204"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4D1348" w:rsidRDefault="001C0F0A" w14:paraId="0CFCF3D0" w14:textId="77777777">
            <w:pPr>
              <w:keepNext/>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1</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4D1348" w:rsidRDefault="001C0F0A" w14:paraId="5F222061" w14:textId="77777777">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Customer submits site inquiry</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4D1348" w:rsidRDefault="001C0F0A" w14:paraId="3B411912" w14:textId="22B2EC3D">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E77CB4">
              <w:rPr>
                <w:rFonts w:ascii="Palatino Linotype" w:hAnsi="Palatino Linotype" w:eastAsia="Times New Roman" w:cs="Calibri"/>
                <w:color w:val="000000"/>
                <w:sz w:val="24"/>
                <w:szCs w:val="24"/>
              </w:rPr>
              <w:t>No</w:t>
            </w:r>
          </w:p>
        </w:tc>
      </w:tr>
      <w:tr w:rsidRPr="00534D5D" w:rsidR="001C0F0A" w:rsidTr="001C0F0A" w14:paraId="26F49F40"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4D1348" w:rsidRDefault="001C0F0A" w14:paraId="78CD926B" w14:textId="77777777">
            <w:pPr>
              <w:keepNext/>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2</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4D1348" w:rsidRDefault="001C0F0A" w14:paraId="01771374" w14:textId="77777777">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performs preassessment/engineering study</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4D1348" w:rsidRDefault="001C0F0A" w14:paraId="5031F0ED" w14:textId="6F6A4DDB">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E77CB4">
              <w:rPr>
                <w:rFonts w:ascii="Palatino Linotype" w:hAnsi="Palatino Linotype" w:eastAsia="Times New Roman" w:cs="Calibri"/>
                <w:color w:val="000000"/>
                <w:sz w:val="24"/>
                <w:szCs w:val="24"/>
              </w:rPr>
              <w:t xml:space="preserve">Yes </w:t>
            </w:r>
          </w:p>
        </w:tc>
      </w:tr>
      <w:tr w:rsidRPr="00534D5D" w:rsidR="001C0F0A" w:rsidTr="001C0F0A" w14:paraId="7CD604E5" w14:textId="77777777">
        <w:trPr>
          <w:trHeight w:val="576"/>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4D1348" w:rsidRDefault="001C0F0A" w14:paraId="118E0F74" w14:textId="77777777">
            <w:pPr>
              <w:keepNext/>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3</w:t>
            </w:r>
          </w:p>
        </w:tc>
        <w:tc>
          <w:tcPr>
            <w:tcW w:w="6140" w:type="dxa"/>
            <w:tcBorders>
              <w:top w:val="nil"/>
              <w:left w:val="nil"/>
              <w:bottom w:val="single" w:color="auto" w:sz="4" w:space="0"/>
              <w:right w:val="single" w:color="auto" w:sz="4" w:space="0"/>
            </w:tcBorders>
            <w:shd w:val="clear" w:color="auto" w:fill="auto"/>
            <w:vAlign w:val="bottom"/>
            <w:hideMark/>
          </w:tcPr>
          <w:p w:rsidRPr="00534D5D" w:rsidR="001C0F0A" w:rsidP="004D1348" w:rsidRDefault="001C0F0A" w14:paraId="11F38745" w14:textId="77777777">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Customer reviews site feasibility study and submits all required</w:t>
            </w:r>
            <w:r w:rsidRPr="00534D5D">
              <w:rPr>
                <w:rFonts w:ascii="Palatino Linotype" w:hAnsi="Palatino Linotype" w:eastAsia="Times New Roman" w:cs="Calibri"/>
                <w:color w:val="000000"/>
                <w:sz w:val="24"/>
                <w:szCs w:val="24"/>
              </w:rPr>
              <w:br/>
              <w:t>information</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4D1348" w:rsidRDefault="001C0F0A" w14:paraId="46992966" w14:textId="495452C0">
            <w:pPr>
              <w:keepNext/>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47E01">
              <w:rPr>
                <w:rFonts w:ascii="Palatino Linotype" w:hAnsi="Palatino Linotype" w:eastAsia="Times New Roman" w:cs="Calibri"/>
                <w:color w:val="000000"/>
                <w:sz w:val="24"/>
                <w:szCs w:val="24"/>
              </w:rPr>
              <w:t>No</w:t>
            </w:r>
          </w:p>
        </w:tc>
      </w:tr>
      <w:tr w:rsidRPr="00534D5D" w:rsidR="001C0F0A" w:rsidTr="001C0F0A" w14:paraId="62C910D3"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3986B309"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4</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7F8F4532"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executes preliminary design</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365E82B4" w14:textId="41C179FF">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47E01">
              <w:rPr>
                <w:rFonts w:ascii="Palatino Linotype" w:hAnsi="Palatino Linotype" w:eastAsia="Times New Roman" w:cs="Calibri"/>
                <w:color w:val="000000"/>
                <w:sz w:val="24"/>
                <w:szCs w:val="24"/>
              </w:rPr>
              <w:t>Yes</w:t>
            </w:r>
          </w:p>
        </w:tc>
      </w:tr>
      <w:tr w:rsidRPr="00534D5D" w:rsidR="001C0F0A" w:rsidTr="001C0F0A" w14:paraId="35D33A94"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56975BE6"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5</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07AD59F4"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Customer approves or declines preliminary design</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20609F7D" w14:textId="491FBA4E">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47E01">
              <w:rPr>
                <w:rFonts w:ascii="Palatino Linotype" w:hAnsi="Palatino Linotype" w:eastAsia="Times New Roman" w:cs="Calibri"/>
                <w:color w:val="000000"/>
                <w:sz w:val="24"/>
                <w:szCs w:val="24"/>
              </w:rPr>
              <w:t>No</w:t>
            </w:r>
          </w:p>
        </w:tc>
      </w:tr>
      <w:tr w:rsidRPr="00534D5D" w:rsidR="001C0F0A" w:rsidTr="001C0F0A" w14:paraId="0193F4D4"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037B1424"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6</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23C04A6C"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finalizes design and delivers contract to customers</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22F3E48F" w14:textId="267C2EA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47E01">
              <w:rPr>
                <w:rFonts w:ascii="Palatino Linotype" w:hAnsi="Palatino Linotype" w:eastAsia="Times New Roman" w:cs="Calibri"/>
                <w:color w:val="000000"/>
                <w:sz w:val="24"/>
                <w:szCs w:val="24"/>
              </w:rPr>
              <w:t>Yes</w:t>
            </w:r>
          </w:p>
        </w:tc>
      </w:tr>
      <w:tr w:rsidRPr="00534D5D" w:rsidR="001C0F0A" w:rsidTr="001C0F0A" w14:paraId="5AB108E2" w14:textId="77777777">
        <w:trPr>
          <w:trHeight w:val="576"/>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2424294E"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7</w:t>
            </w:r>
          </w:p>
        </w:tc>
        <w:tc>
          <w:tcPr>
            <w:tcW w:w="6140" w:type="dxa"/>
            <w:tcBorders>
              <w:top w:val="nil"/>
              <w:left w:val="nil"/>
              <w:bottom w:val="single" w:color="auto" w:sz="4" w:space="0"/>
              <w:right w:val="single" w:color="auto" w:sz="4" w:space="0"/>
            </w:tcBorders>
            <w:shd w:val="clear" w:color="auto" w:fill="auto"/>
            <w:vAlign w:val="bottom"/>
            <w:hideMark/>
          </w:tcPr>
          <w:p w:rsidRPr="00534D5D" w:rsidR="001C0F0A" w:rsidP="001C0F0A" w:rsidRDefault="001C0F0A" w14:paraId="1A516956"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creates and submits easement documents and AHJ permit</w:t>
            </w:r>
            <w:r w:rsidRPr="00534D5D">
              <w:rPr>
                <w:rFonts w:ascii="Palatino Linotype" w:hAnsi="Palatino Linotype" w:eastAsia="Times New Roman" w:cs="Calibri"/>
                <w:color w:val="000000"/>
                <w:sz w:val="24"/>
                <w:szCs w:val="24"/>
              </w:rPr>
              <w:br/>
              <w:t>requests</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4042B89C" w14:textId="6180A0DD">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81A2F">
              <w:rPr>
                <w:rFonts w:ascii="Palatino Linotype" w:hAnsi="Palatino Linotype" w:eastAsia="Times New Roman" w:cs="Calibri"/>
                <w:color w:val="000000"/>
                <w:sz w:val="24"/>
                <w:szCs w:val="24"/>
              </w:rPr>
              <w:t>Yes</w:t>
            </w:r>
          </w:p>
        </w:tc>
      </w:tr>
      <w:tr w:rsidRPr="00534D5D" w:rsidR="001C0F0A" w:rsidTr="001C0F0A" w14:paraId="31212DD5"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54AE9DEB"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8</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49ED15B7"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Customer and IOU completes Pre-Construction Field Meeting</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2766E30D" w14:textId="22629133">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581A2F">
              <w:rPr>
                <w:rFonts w:ascii="Palatino Linotype" w:hAnsi="Palatino Linotype" w:eastAsia="Times New Roman" w:cs="Calibri"/>
                <w:color w:val="000000"/>
                <w:sz w:val="24"/>
                <w:szCs w:val="24"/>
              </w:rPr>
              <w:t>Yes</w:t>
            </w:r>
          </w:p>
        </w:tc>
      </w:tr>
      <w:tr w:rsidRPr="00534D5D" w:rsidR="001C0F0A" w:rsidTr="001C0F0A" w14:paraId="56776E40" w14:textId="77777777">
        <w:trPr>
          <w:trHeight w:val="576"/>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60E8227D"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9</w:t>
            </w:r>
          </w:p>
        </w:tc>
        <w:tc>
          <w:tcPr>
            <w:tcW w:w="6140" w:type="dxa"/>
            <w:tcBorders>
              <w:top w:val="nil"/>
              <w:left w:val="nil"/>
              <w:bottom w:val="single" w:color="auto" w:sz="4" w:space="0"/>
              <w:right w:val="single" w:color="auto" w:sz="4" w:space="0"/>
            </w:tcBorders>
            <w:shd w:val="clear" w:color="auto" w:fill="auto"/>
            <w:vAlign w:val="bottom"/>
            <w:hideMark/>
          </w:tcPr>
          <w:p w:rsidRPr="00534D5D" w:rsidR="001C0F0A" w:rsidP="001C0F0A" w:rsidRDefault="001C0F0A" w14:paraId="447FF4A5"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xml:space="preserve">Customer delivers easement signatures and </w:t>
            </w:r>
            <w:proofErr w:type="gramStart"/>
            <w:r w:rsidRPr="00534D5D">
              <w:rPr>
                <w:rFonts w:ascii="Palatino Linotype" w:hAnsi="Palatino Linotype" w:eastAsia="Times New Roman" w:cs="Calibri"/>
                <w:color w:val="000000"/>
                <w:sz w:val="24"/>
                <w:szCs w:val="24"/>
              </w:rPr>
              <w:t>signed</w:t>
            </w:r>
            <w:proofErr w:type="gramEnd"/>
            <w:r w:rsidRPr="00534D5D">
              <w:rPr>
                <w:rFonts w:ascii="Palatino Linotype" w:hAnsi="Palatino Linotype" w:eastAsia="Times New Roman" w:cs="Calibri"/>
                <w:color w:val="000000"/>
                <w:sz w:val="24"/>
                <w:szCs w:val="24"/>
              </w:rPr>
              <w:t xml:space="preserve"> contracts to</w:t>
            </w:r>
            <w:r w:rsidRPr="00534D5D">
              <w:rPr>
                <w:rFonts w:ascii="Palatino Linotype" w:hAnsi="Palatino Linotype" w:eastAsia="Times New Roman" w:cs="Calibri"/>
                <w:color w:val="000000"/>
                <w:sz w:val="24"/>
                <w:szCs w:val="24"/>
              </w:rPr>
              <w:br/>
              <w:t>IOUs, and AHJs issue requested permits</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7BD9329B" w14:textId="3BC299CC">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6D3F2D">
              <w:rPr>
                <w:rFonts w:ascii="Palatino Linotype" w:hAnsi="Palatino Linotype" w:eastAsia="Times New Roman" w:cs="Calibri"/>
                <w:color w:val="000000"/>
                <w:sz w:val="24"/>
                <w:szCs w:val="24"/>
              </w:rPr>
              <w:t>Yes</w:t>
            </w:r>
          </w:p>
        </w:tc>
      </w:tr>
      <w:tr w:rsidRPr="00534D5D" w:rsidR="001C0F0A" w:rsidTr="001C0F0A" w14:paraId="3C17C0E5"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3ECD7686"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10</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6B48D462"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Customer completes all onsite work and applicable inspections</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6408AE68" w14:textId="514BEFE8">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6D3F2D">
              <w:rPr>
                <w:rFonts w:ascii="Palatino Linotype" w:hAnsi="Palatino Linotype" w:eastAsia="Times New Roman" w:cs="Calibri"/>
                <w:color w:val="000000"/>
                <w:sz w:val="24"/>
                <w:szCs w:val="24"/>
              </w:rPr>
              <w:t>No</w:t>
            </w:r>
          </w:p>
        </w:tc>
      </w:tr>
      <w:tr w:rsidRPr="00534D5D" w:rsidR="001C0F0A" w:rsidTr="001C0F0A" w14:paraId="0B5A98C5"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764FE75B"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11</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726B89EA"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schedules and completes civil construction work</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2296B997" w14:textId="79519708">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6D3F2D">
              <w:rPr>
                <w:rFonts w:ascii="Palatino Linotype" w:hAnsi="Palatino Linotype" w:eastAsia="Times New Roman" w:cs="Calibri"/>
                <w:color w:val="000000"/>
                <w:sz w:val="24"/>
                <w:szCs w:val="24"/>
              </w:rPr>
              <w:t>Yes</w:t>
            </w:r>
          </w:p>
        </w:tc>
      </w:tr>
      <w:tr w:rsidRPr="00534D5D" w:rsidR="001C0F0A" w:rsidTr="001C0F0A" w14:paraId="750CEE41" w14:textId="77777777">
        <w:trPr>
          <w:trHeight w:val="288"/>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534D5D" w:rsidR="001C0F0A" w:rsidP="001C0F0A" w:rsidRDefault="001C0F0A" w14:paraId="2DA378E9" w14:textId="77777777">
            <w:pPr>
              <w:spacing w:after="0" w:line="240" w:lineRule="auto"/>
              <w:jc w:val="center"/>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12</w:t>
            </w:r>
          </w:p>
        </w:tc>
        <w:tc>
          <w:tcPr>
            <w:tcW w:w="61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73625716" w14:textId="77777777">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IOU schedules and completes electric construction work</w:t>
            </w:r>
          </w:p>
        </w:tc>
        <w:tc>
          <w:tcPr>
            <w:tcW w:w="1340" w:type="dxa"/>
            <w:tcBorders>
              <w:top w:val="nil"/>
              <w:left w:val="nil"/>
              <w:bottom w:val="single" w:color="auto" w:sz="4" w:space="0"/>
              <w:right w:val="single" w:color="auto" w:sz="4" w:space="0"/>
            </w:tcBorders>
            <w:shd w:val="clear" w:color="auto" w:fill="auto"/>
            <w:noWrap/>
            <w:vAlign w:val="bottom"/>
            <w:hideMark/>
          </w:tcPr>
          <w:p w:rsidRPr="00534D5D" w:rsidR="001C0F0A" w:rsidP="001C0F0A" w:rsidRDefault="001C0F0A" w14:paraId="1EB3DC08" w14:textId="7B4D6BC5">
            <w:pPr>
              <w:spacing w:after="0" w:line="240" w:lineRule="auto"/>
              <w:rPr>
                <w:rFonts w:ascii="Palatino Linotype" w:hAnsi="Palatino Linotype" w:eastAsia="Times New Roman" w:cs="Calibri"/>
                <w:color w:val="000000"/>
                <w:sz w:val="24"/>
                <w:szCs w:val="24"/>
              </w:rPr>
            </w:pPr>
            <w:r w:rsidRPr="00534D5D">
              <w:rPr>
                <w:rFonts w:ascii="Palatino Linotype" w:hAnsi="Palatino Linotype" w:eastAsia="Times New Roman" w:cs="Calibri"/>
                <w:color w:val="000000"/>
                <w:sz w:val="24"/>
                <w:szCs w:val="24"/>
              </w:rPr>
              <w:t> </w:t>
            </w:r>
            <w:r w:rsidRPr="00534D5D" w:rsidR="006D3F2D">
              <w:rPr>
                <w:rFonts w:ascii="Palatino Linotype" w:hAnsi="Palatino Linotype" w:eastAsia="Times New Roman" w:cs="Calibri"/>
                <w:color w:val="000000"/>
                <w:sz w:val="24"/>
                <w:szCs w:val="24"/>
              </w:rPr>
              <w:t>Yes</w:t>
            </w:r>
          </w:p>
        </w:tc>
      </w:tr>
    </w:tbl>
    <w:p w:rsidRPr="00534D5D" w:rsidR="001C0F0A" w:rsidP="00D61B53" w:rsidRDefault="001C0F0A" w14:paraId="78132DCA" w14:textId="77777777">
      <w:pPr>
        <w:rPr>
          <w:rFonts w:ascii="Palatino Linotype" w:hAnsi="Palatino Linotype"/>
          <w:bCs/>
          <w:sz w:val="24"/>
          <w:szCs w:val="24"/>
        </w:rPr>
      </w:pPr>
    </w:p>
    <w:p w:rsidRPr="00534D5D" w:rsidR="0059105E" w:rsidP="00282481" w:rsidRDefault="00B46171" w14:paraId="01BCEC3C" w14:textId="61625153">
      <w:pPr>
        <w:rPr>
          <w:rFonts w:ascii="Palatino Linotype" w:hAnsi="Palatino Linotype"/>
          <w:bCs/>
          <w:sz w:val="24"/>
          <w:szCs w:val="24"/>
        </w:rPr>
      </w:pPr>
      <w:r w:rsidRPr="00534D5D">
        <w:rPr>
          <w:rFonts w:ascii="Palatino Linotype" w:hAnsi="Palatino Linotype"/>
          <w:b/>
          <w:sz w:val="24"/>
          <w:szCs w:val="24"/>
        </w:rPr>
        <w:t xml:space="preserve">The Joint IOUs shall each, at minimum, develop materials that clearly illustrate the </w:t>
      </w:r>
      <w:r w:rsidRPr="00534D5D" w:rsidR="00557D2F">
        <w:rPr>
          <w:rFonts w:ascii="Palatino Linotype" w:hAnsi="Palatino Linotype"/>
          <w:b/>
          <w:sz w:val="24"/>
          <w:szCs w:val="24"/>
        </w:rPr>
        <w:t xml:space="preserve">service </w:t>
      </w:r>
      <w:r w:rsidRPr="00534D5D">
        <w:rPr>
          <w:rFonts w:ascii="Palatino Linotype" w:hAnsi="Palatino Linotype"/>
          <w:b/>
          <w:sz w:val="24"/>
          <w:szCs w:val="24"/>
        </w:rPr>
        <w:t xml:space="preserve">energization steps that are the direct responsibility of the </w:t>
      </w:r>
      <w:r w:rsidRPr="00534D5D" w:rsidR="00345E21">
        <w:rPr>
          <w:rFonts w:ascii="Palatino Linotype" w:hAnsi="Palatino Linotype"/>
          <w:b/>
          <w:sz w:val="24"/>
          <w:szCs w:val="24"/>
        </w:rPr>
        <w:t>IOU</w:t>
      </w:r>
      <w:r w:rsidRPr="00534D5D">
        <w:rPr>
          <w:rFonts w:ascii="Palatino Linotype" w:hAnsi="Palatino Linotype"/>
          <w:b/>
          <w:sz w:val="24"/>
          <w:szCs w:val="24"/>
        </w:rPr>
        <w:t>, the customer, the EVSP, the AHJ, and any other party involved in the energization process</w:t>
      </w:r>
      <w:r w:rsidRPr="00534D5D">
        <w:rPr>
          <w:rFonts w:ascii="Palatino Linotype" w:hAnsi="Palatino Linotype"/>
          <w:b/>
          <w:i/>
          <w:iCs/>
          <w:sz w:val="24"/>
          <w:szCs w:val="24"/>
        </w:rPr>
        <w:t xml:space="preserve"> and make it available in their website</w:t>
      </w:r>
      <w:r w:rsidRPr="00534D5D">
        <w:rPr>
          <w:rFonts w:ascii="Palatino Linotype" w:hAnsi="Palatino Linotype"/>
          <w:bCs/>
          <w:i/>
          <w:iCs/>
          <w:sz w:val="24"/>
          <w:szCs w:val="24"/>
        </w:rPr>
        <w:t>.</w:t>
      </w:r>
      <w:r w:rsidRPr="00534D5D" w:rsidDel="00B46171">
        <w:rPr>
          <w:rFonts w:ascii="Palatino Linotype" w:hAnsi="Palatino Linotype"/>
          <w:b/>
          <w:i/>
          <w:iCs/>
          <w:sz w:val="24"/>
          <w:szCs w:val="24"/>
        </w:rPr>
        <w:t xml:space="preserve"> </w:t>
      </w:r>
      <w:r w:rsidRPr="00534D5D" w:rsidR="002B5A50">
        <w:rPr>
          <w:rFonts w:ascii="Palatino Linotype" w:hAnsi="Palatino Linotype"/>
          <w:b/>
          <w:sz w:val="24"/>
          <w:szCs w:val="24"/>
        </w:rPr>
        <w:t>The IOUs shall record any costs associated with developing this material in their respective EV Infrastructure Memorandum Accounts</w:t>
      </w:r>
      <w:r w:rsidRPr="00534D5D" w:rsidR="00DE0DC8">
        <w:rPr>
          <w:rFonts w:ascii="Palatino Linotype" w:hAnsi="Palatino Linotype"/>
          <w:b/>
          <w:sz w:val="24"/>
          <w:szCs w:val="24"/>
        </w:rPr>
        <w:t>.</w:t>
      </w:r>
      <w:r w:rsidRPr="00534D5D" w:rsidDel="00B46171" w:rsidR="002B5A50">
        <w:rPr>
          <w:rFonts w:ascii="Palatino Linotype" w:hAnsi="Palatino Linotype"/>
          <w:bCs/>
          <w:i/>
          <w:iCs/>
          <w:sz w:val="24"/>
          <w:szCs w:val="24"/>
        </w:rPr>
        <w:t xml:space="preserve"> </w:t>
      </w:r>
    </w:p>
    <w:p w:rsidRPr="00534D5D" w:rsidR="00C2243A" w:rsidP="0059105E" w:rsidRDefault="00C2243A" w14:paraId="27839246" w14:textId="203543A6">
      <w:pPr>
        <w:rPr>
          <w:rFonts w:ascii="Palatino Linotype" w:hAnsi="Palatino Linotype"/>
          <w:bCs/>
          <w:sz w:val="24"/>
          <w:szCs w:val="24"/>
        </w:rPr>
      </w:pPr>
      <w:r w:rsidRPr="00534D5D">
        <w:rPr>
          <w:rFonts w:ascii="Palatino Linotype" w:hAnsi="Palatino Linotype"/>
          <w:bCs/>
          <w:sz w:val="24"/>
          <w:szCs w:val="24"/>
        </w:rPr>
        <w:t xml:space="preserve">The Joint IOU AL </w:t>
      </w:r>
      <w:r w:rsidRPr="00534D5D" w:rsidR="0054002A">
        <w:rPr>
          <w:rFonts w:ascii="Palatino Linotype" w:hAnsi="Palatino Linotype"/>
          <w:bCs/>
          <w:sz w:val="24"/>
          <w:szCs w:val="24"/>
        </w:rPr>
        <w:t xml:space="preserve">provides examples of </w:t>
      </w:r>
      <w:r w:rsidRPr="00534D5D" w:rsidR="002B34B1">
        <w:rPr>
          <w:rFonts w:ascii="Palatino Linotype" w:hAnsi="Palatino Linotype"/>
          <w:bCs/>
          <w:sz w:val="24"/>
          <w:szCs w:val="24"/>
        </w:rPr>
        <w:t>PG&amp;E and SCE developing material</w:t>
      </w:r>
      <w:r w:rsidRPr="00534D5D" w:rsidR="00840929">
        <w:rPr>
          <w:rFonts w:ascii="Palatino Linotype" w:hAnsi="Palatino Linotype"/>
          <w:bCs/>
          <w:sz w:val="24"/>
          <w:szCs w:val="24"/>
        </w:rPr>
        <w:t>s</w:t>
      </w:r>
      <w:r w:rsidRPr="00534D5D" w:rsidR="00871ABF">
        <w:rPr>
          <w:rFonts w:ascii="Palatino Linotype" w:hAnsi="Palatino Linotype"/>
          <w:bCs/>
          <w:sz w:val="24"/>
          <w:szCs w:val="24"/>
        </w:rPr>
        <w:t xml:space="preserve"> to improve public communication of the IOUs’ </w:t>
      </w:r>
      <w:r w:rsidRPr="00534D5D" w:rsidR="00C4586B">
        <w:rPr>
          <w:rFonts w:ascii="Palatino Linotype" w:hAnsi="Palatino Linotype"/>
          <w:bCs/>
          <w:sz w:val="24"/>
          <w:szCs w:val="24"/>
        </w:rPr>
        <w:t xml:space="preserve">service energization timeline and </w:t>
      </w:r>
      <w:r w:rsidRPr="00534D5D" w:rsidR="00D16790">
        <w:rPr>
          <w:rFonts w:ascii="Palatino Linotype" w:hAnsi="Palatino Linotype"/>
          <w:bCs/>
          <w:sz w:val="24"/>
          <w:szCs w:val="24"/>
        </w:rPr>
        <w:t xml:space="preserve">requirements. </w:t>
      </w:r>
      <w:r w:rsidRPr="00534D5D" w:rsidR="00840929">
        <w:rPr>
          <w:rFonts w:ascii="Palatino Linotype" w:hAnsi="Palatino Linotype"/>
          <w:bCs/>
          <w:sz w:val="24"/>
          <w:szCs w:val="24"/>
        </w:rPr>
        <w:t xml:space="preserve">These efforts include PG&amp;E </w:t>
      </w:r>
      <w:r w:rsidRPr="00534D5D" w:rsidR="004B4772">
        <w:rPr>
          <w:rFonts w:ascii="Palatino Linotype" w:hAnsi="Palatino Linotype"/>
          <w:bCs/>
          <w:sz w:val="24"/>
          <w:szCs w:val="24"/>
        </w:rPr>
        <w:t xml:space="preserve">publishing its EV Journey Map </w:t>
      </w:r>
      <w:r w:rsidRPr="00534D5D" w:rsidR="00C07534">
        <w:rPr>
          <w:rFonts w:ascii="Palatino Linotype" w:hAnsi="Palatino Linotype"/>
          <w:bCs/>
          <w:sz w:val="24"/>
          <w:szCs w:val="24"/>
        </w:rPr>
        <w:t xml:space="preserve">on its website, which outlines the key steps in the service energization process with the goal </w:t>
      </w:r>
      <w:r w:rsidRPr="00534D5D" w:rsidR="00C07534">
        <w:rPr>
          <w:rFonts w:ascii="Palatino Linotype" w:hAnsi="Palatino Linotype"/>
          <w:bCs/>
          <w:sz w:val="24"/>
          <w:szCs w:val="24"/>
        </w:rPr>
        <w:lastRenderedPageBreak/>
        <w:t>to provide customers a clear understanding of the responsibilities and targets</w:t>
      </w:r>
      <w:r w:rsidRPr="00534D5D" w:rsidR="00CB6B3E">
        <w:rPr>
          <w:rFonts w:ascii="Palatino Linotype" w:hAnsi="Palatino Linotype"/>
          <w:bCs/>
          <w:sz w:val="24"/>
          <w:szCs w:val="24"/>
        </w:rPr>
        <w:t xml:space="preserve"> for receiving service through the EV Infrastructure Rule. SCE is also taking steps to develop a factsheet and welcome package</w:t>
      </w:r>
      <w:r w:rsidRPr="00534D5D" w:rsidR="009F4EFA">
        <w:rPr>
          <w:rFonts w:ascii="Palatino Linotype" w:hAnsi="Palatino Linotype"/>
          <w:bCs/>
          <w:sz w:val="24"/>
          <w:szCs w:val="24"/>
        </w:rPr>
        <w:t xml:space="preserve"> to increase awareness around the responsibilities, requirements, and timelines</w:t>
      </w:r>
      <w:r w:rsidRPr="00534D5D" w:rsidR="00CB6B3E">
        <w:rPr>
          <w:rFonts w:ascii="Palatino Linotype" w:hAnsi="Palatino Linotype"/>
          <w:bCs/>
          <w:sz w:val="24"/>
          <w:szCs w:val="24"/>
        </w:rPr>
        <w:t xml:space="preserve"> for customers taking service through the EV </w:t>
      </w:r>
      <w:r w:rsidRPr="00534D5D" w:rsidR="009F4EFA">
        <w:rPr>
          <w:rFonts w:ascii="Palatino Linotype" w:hAnsi="Palatino Linotype"/>
          <w:bCs/>
          <w:sz w:val="24"/>
          <w:szCs w:val="24"/>
        </w:rPr>
        <w:t>Infrastructure</w:t>
      </w:r>
      <w:r w:rsidRPr="00534D5D" w:rsidR="00CB6B3E">
        <w:rPr>
          <w:rFonts w:ascii="Palatino Linotype" w:hAnsi="Palatino Linotype"/>
          <w:bCs/>
          <w:sz w:val="24"/>
          <w:szCs w:val="24"/>
        </w:rPr>
        <w:t xml:space="preserve"> Rule.</w:t>
      </w:r>
    </w:p>
    <w:p w:rsidRPr="00534D5D" w:rsidR="0011456C" w:rsidP="0059105E" w:rsidRDefault="0011456C" w14:paraId="76F5A441" w14:textId="3AB2E31A">
      <w:pPr>
        <w:rPr>
          <w:rFonts w:ascii="Palatino Linotype" w:hAnsi="Palatino Linotype"/>
          <w:bCs/>
          <w:sz w:val="24"/>
          <w:szCs w:val="24"/>
        </w:rPr>
      </w:pPr>
      <w:r w:rsidRPr="00534D5D">
        <w:rPr>
          <w:rFonts w:ascii="Palatino Linotype" w:hAnsi="Palatino Linotype"/>
          <w:bCs/>
          <w:sz w:val="24"/>
          <w:szCs w:val="24"/>
        </w:rPr>
        <w:t xml:space="preserve">We find PG&amp;E’s and SCE’s efforts to improve customer understanding of the responsibilities and timelines for receiving service through the EV Infrastructure Rule as an essential service that each of the Joint IOUs should implement. The Joint IOUs shall each, at minimum, develop </w:t>
      </w:r>
      <w:r w:rsidRPr="00534D5D" w:rsidR="00F236D3">
        <w:rPr>
          <w:rFonts w:ascii="Palatino Linotype" w:hAnsi="Palatino Linotype"/>
          <w:bCs/>
          <w:sz w:val="24"/>
          <w:szCs w:val="24"/>
        </w:rPr>
        <w:t>materials that clearly illustrate the</w:t>
      </w:r>
      <w:r w:rsidRPr="00534D5D" w:rsidR="00701541">
        <w:rPr>
          <w:rFonts w:ascii="Palatino Linotype" w:hAnsi="Palatino Linotype"/>
          <w:bCs/>
          <w:sz w:val="24"/>
          <w:szCs w:val="24"/>
        </w:rPr>
        <w:t xml:space="preserve"> service</w:t>
      </w:r>
      <w:r w:rsidRPr="00534D5D" w:rsidR="00F236D3">
        <w:rPr>
          <w:rFonts w:ascii="Palatino Linotype" w:hAnsi="Palatino Linotype"/>
          <w:bCs/>
          <w:sz w:val="24"/>
          <w:szCs w:val="24"/>
        </w:rPr>
        <w:t xml:space="preserve"> energization steps that are the direct responsibility of the </w:t>
      </w:r>
      <w:r w:rsidRPr="00534D5D" w:rsidR="002469F1">
        <w:rPr>
          <w:rFonts w:ascii="Palatino Linotype" w:hAnsi="Palatino Linotype"/>
          <w:bCs/>
          <w:sz w:val="24"/>
          <w:szCs w:val="24"/>
        </w:rPr>
        <w:t>IOU</w:t>
      </w:r>
      <w:r w:rsidRPr="00534D5D" w:rsidR="00F236D3">
        <w:rPr>
          <w:rFonts w:ascii="Palatino Linotype" w:hAnsi="Palatino Linotype"/>
          <w:bCs/>
          <w:sz w:val="24"/>
          <w:szCs w:val="24"/>
        </w:rPr>
        <w:t>, the customer, the EVSP, the AHJ, and any other party involved in the energization process. The Joint IOUs shall ensure each step has a clear explanation for why the step is necessary, the process to complete the step, and an estimate</w:t>
      </w:r>
      <w:r w:rsidRPr="00534D5D" w:rsidR="005D5EF4">
        <w:rPr>
          <w:rFonts w:ascii="Palatino Linotype" w:hAnsi="Palatino Linotype"/>
          <w:bCs/>
          <w:sz w:val="24"/>
          <w:szCs w:val="24"/>
        </w:rPr>
        <w:t>d</w:t>
      </w:r>
      <w:r w:rsidRPr="00534D5D" w:rsidR="00F236D3">
        <w:rPr>
          <w:rFonts w:ascii="Palatino Linotype" w:hAnsi="Palatino Linotype"/>
          <w:bCs/>
          <w:sz w:val="24"/>
          <w:szCs w:val="24"/>
        </w:rPr>
        <w:t xml:space="preserve"> time frame </w:t>
      </w:r>
      <w:r w:rsidRPr="00534D5D" w:rsidR="00C37839">
        <w:rPr>
          <w:rFonts w:ascii="Palatino Linotype" w:hAnsi="Palatino Linotype"/>
          <w:bCs/>
          <w:sz w:val="24"/>
          <w:szCs w:val="24"/>
        </w:rPr>
        <w:t xml:space="preserve">to complete the step. </w:t>
      </w:r>
      <w:r w:rsidRPr="00534D5D" w:rsidR="00F236D3">
        <w:rPr>
          <w:rFonts w:ascii="Palatino Linotype" w:hAnsi="Palatino Linotype"/>
          <w:bCs/>
          <w:sz w:val="24"/>
          <w:szCs w:val="24"/>
        </w:rPr>
        <w:t>Th</w:t>
      </w:r>
      <w:r w:rsidRPr="00534D5D" w:rsidR="00C37839">
        <w:rPr>
          <w:rFonts w:ascii="Palatino Linotype" w:hAnsi="Palatino Linotype"/>
          <w:bCs/>
          <w:sz w:val="24"/>
          <w:szCs w:val="24"/>
        </w:rPr>
        <w:t>e IOUs shall make the</w:t>
      </w:r>
      <w:r w:rsidRPr="00534D5D" w:rsidR="00F236D3">
        <w:rPr>
          <w:rFonts w:ascii="Palatino Linotype" w:hAnsi="Palatino Linotype"/>
          <w:bCs/>
          <w:sz w:val="24"/>
          <w:szCs w:val="24"/>
        </w:rPr>
        <w:t xml:space="preserve"> material readily available for </w:t>
      </w:r>
      <w:r w:rsidRPr="00534D5D" w:rsidR="00E84D80">
        <w:rPr>
          <w:rFonts w:ascii="Palatino Linotype" w:hAnsi="Palatino Linotype"/>
          <w:bCs/>
          <w:sz w:val="24"/>
          <w:szCs w:val="24"/>
        </w:rPr>
        <w:t>all</w:t>
      </w:r>
      <w:r w:rsidRPr="00534D5D" w:rsidR="00F236D3">
        <w:rPr>
          <w:rFonts w:ascii="Palatino Linotype" w:hAnsi="Palatino Linotype"/>
          <w:bCs/>
          <w:sz w:val="24"/>
          <w:szCs w:val="24"/>
        </w:rPr>
        <w:t xml:space="preserve"> cust</w:t>
      </w:r>
      <w:r w:rsidRPr="00534D5D" w:rsidR="00C37839">
        <w:rPr>
          <w:rFonts w:ascii="Palatino Linotype" w:hAnsi="Palatino Linotype"/>
          <w:bCs/>
          <w:sz w:val="24"/>
          <w:szCs w:val="24"/>
        </w:rPr>
        <w:t>omers to access on their webpages</w:t>
      </w:r>
      <w:r w:rsidRPr="00534D5D" w:rsidR="00E84D80">
        <w:rPr>
          <w:rFonts w:ascii="Palatino Linotype" w:hAnsi="Palatino Linotype"/>
          <w:bCs/>
          <w:sz w:val="24"/>
          <w:szCs w:val="24"/>
        </w:rPr>
        <w:t>, and specifically</w:t>
      </w:r>
      <w:r w:rsidRPr="00534D5D" w:rsidR="00C37839">
        <w:rPr>
          <w:rFonts w:ascii="Palatino Linotype" w:hAnsi="Palatino Linotype"/>
          <w:bCs/>
          <w:sz w:val="24"/>
          <w:szCs w:val="24"/>
        </w:rPr>
        <w:t xml:space="preserve"> for a customer </w:t>
      </w:r>
      <w:proofErr w:type="gramStart"/>
      <w:r w:rsidRPr="00534D5D" w:rsidR="00C37839">
        <w:rPr>
          <w:rFonts w:ascii="Palatino Linotype" w:hAnsi="Palatino Linotype"/>
          <w:bCs/>
          <w:sz w:val="24"/>
          <w:szCs w:val="24"/>
        </w:rPr>
        <w:t>submitting an application</w:t>
      </w:r>
      <w:proofErr w:type="gramEnd"/>
      <w:r w:rsidRPr="00534D5D" w:rsidR="00C37839">
        <w:rPr>
          <w:rFonts w:ascii="Palatino Linotype" w:hAnsi="Palatino Linotype"/>
          <w:bCs/>
          <w:sz w:val="24"/>
          <w:szCs w:val="24"/>
        </w:rPr>
        <w:t xml:space="preserve"> for service through the EV Infrastructure Rule. The IOUs shall record any costs associated with developing this material in their respective EV Infrastructure Memorandum Accounts. </w:t>
      </w:r>
    </w:p>
    <w:p w:rsidRPr="00534D5D" w:rsidR="00C15DC1" w:rsidP="00071C17" w:rsidRDefault="008A4716" w14:paraId="568E8CCB" w14:textId="33B7CB30">
      <w:pPr>
        <w:rPr>
          <w:rFonts w:ascii="Palatino Linotype" w:hAnsi="Palatino Linotype"/>
          <w:bCs/>
          <w:sz w:val="24"/>
          <w:szCs w:val="24"/>
        </w:rPr>
      </w:pPr>
      <w:r w:rsidRPr="00534D5D">
        <w:rPr>
          <w:rFonts w:ascii="Palatino Linotype" w:hAnsi="Palatino Linotype"/>
          <w:b/>
          <w:sz w:val="24"/>
          <w:szCs w:val="24"/>
        </w:rPr>
        <w:t xml:space="preserve">Within </w:t>
      </w:r>
      <w:r w:rsidRPr="00534D5D" w:rsidR="00CF4A56">
        <w:rPr>
          <w:rFonts w:ascii="Palatino Linotype" w:hAnsi="Palatino Linotype"/>
          <w:b/>
          <w:sz w:val="24"/>
          <w:szCs w:val="24"/>
        </w:rPr>
        <w:t>90</w:t>
      </w:r>
      <w:r w:rsidRPr="00534D5D">
        <w:rPr>
          <w:rFonts w:ascii="Palatino Linotype" w:hAnsi="Palatino Linotype"/>
          <w:b/>
          <w:sz w:val="24"/>
          <w:szCs w:val="24"/>
        </w:rPr>
        <w:t xml:space="preserve"> days of the approval of this Resolution, each </w:t>
      </w:r>
      <w:r w:rsidRPr="00534D5D" w:rsidR="00E85073">
        <w:rPr>
          <w:rFonts w:ascii="Palatino Linotype" w:hAnsi="Palatino Linotype"/>
          <w:b/>
          <w:sz w:val="24"/>
          <w:szCs w:val="24"/>
        </w:rPr>
        <w:t>IOU</w:t>
      </w:r>
      <w:r w:rsidRPr="00534D5D">
        <w:rPr>
          <w:rFonts w:ascii="Palatino Linotype" w:hAnsi="Palatino Linotype"/>
          <w:b/>
          <w:sz w:val="24"/>
          <w:szCs w:val="24"/>
        </w:rPr>
        <w:t xml:space="preserve"> shall </w:t>
      </w:r>
      <w:r w:rsidRPr="00534D5D" w:rsidR="00C305A1">
        <w:rPr>
          <w:rFonts w:ascii="Palatino Linotype" w:hAnsi="Palatino Linotype"/>
          <w:b/>
          <w:sz w:val="24"/>
          <w:szCs w:val="24"/>
        </w:rPr>
        <w:t>initiate</w:t>
      </w:r>
      <w:r w:rsidRPr="00534D5D" w:rsidR="001A1194">
        <w:rPr>
          <w:rFonts w:ascii="Palatino Linotype" w:hAnsi="Palatino Linotype"/>
          <w:b/>
          <w:sz w:val="24"/>
          <w:szCs w:val="24"/>
        </w:rPr>
        <w:t xml:space="preserve"> </w:t>
      </w:r>
      <w:r w:rsidRPr="00534D5D">
        <w:rPr>
          <w:rFonts w:ascii="Palatino Linotype" w:hAnsi="Palatino Linotype"/>
          <w:b/>
          <w:sz w:val="24"/>
          <w:szCs w:val="24"/>
        </w:rPr>
        <w:t xml:space="preserve">quarterly updates to their ICA maps to reflect </w:t>
      </w:r>
      <w:r w:rsidRPr="00534D5D" w:rsidR="00E404DF">
        <w:rPr>
          <w:rFonts w:ascii="Palatino Linotype" w:hAnsi="Palatino Linotype"/>
          <w:b/>
          <w:sz w:val="24"/>
          <w:szCs w:val="24"/>
        </w:rPr>
        <w:t xml:space="preserve">the </w:t>
      </w:r>
      <w:r w:rsidRPr="00534D5D">
        <w:rPr>
          <w:rFonts w:ascii="Palatino Linotype" w:hAnsi="Palatino Linotype"/>
          <w:b/>
          <w:sz w:val="24"/>
          <w:szCs w:val="24"/>
        </w:rPr>
        <w:t>most up-to-date information per direction in this resolution</w:t>
      </w:r>
      <w:r w:rsidRPr="00534D5D">
        <w:rPr>
          <w:rFonts w:ascii="Palatino Linotype" w:hAnsi="Palatino Linotype"/>
          <w:bCs/>
          <w:sz w:val="24"/>
          <w:szCs w:val="24"/>
        </w:rPr>
        <w:t xml:space="preserve">. </w:t>
      </w:r>
    </w:p>
    <w:p w:rsidRPr="00534D5D" w:rsidR="00CF4A56" w:rsidP="00A7154B" w:rsidRDefault="00CF4A56" w14:paraId="76789DBE" w14:textId="124ECC57">
      <w:pPr>
        <w:rPr>
          <w:rFonts w:ascii="Palatino Linotype" w:hAnsi="Palatino Linotype"/>
          <w:bCs/>
          <w:sz w:val="24"/>
          <w:szCs w:val="24"/>
        </w:rPr>
      </w:pPr>
      <w:r w:rsidRPr="00534D5D">
        <w:rPr>
          <w:rFonts w:ascii="Palatino Linotype" w:hAnsi="Palatino Linotype"/>
          <w:bCs/>
          <w:sz w:val="24"/>
          <w:szCs w:val="24"/>
        </w:rPr>
        <w:t xml:space="preserve">The Joint IOU AL provides an example of the steps the IOUs are taking to improve the </w:t>
      </w:r>
      <w:r w:rsidRPr="00534D5D" w:rsidR="009112EA">
        <w:rPr>
          <w:rFonts w:ascii="Palatino Linotype" w:hAnsi="Palatino Linotype"/>
          <w:bCs/>
          <w:sz w:val="24"/>
          <w:szCs w:val="24"/>
        </w:rPr>
        <w:t xml:space="preserve">accessibility of information related to local grid conditions and a site’s capacity to install EV charging infrastructure. Specifically, the Joint IOU AL states SDG&amp;E is currently sharing its Interconnection Capacity Analyses (ICA) map data with customers to help inform the optimal grid locations for at scale charging infrastructure. </w:t>
      </w:r>
    </w:p>
    <w:p w:rsidRPr="00534D5D" w:rsidR="000613FB" w:rsidP="00A7154B" w:rsidRDefault="00FB0420" w14:paraId="5BCAA2DF" w14:textId="3E675C54">
      <w:pPr>
        <w:rPr>
          <w:rFonts w:ascii="Palatino Linotype" w:hAnsi="Palatino Linotype"/>
          <w:bCs/>
          <w:sz w:val="24"/>
          <w:szCs w:val="24"/>
        </w:rPr>
      </w:pPr>
      <w:r w:rsidRPr="00534D5D">
        <w:rPr>
          <w:rFonts w:ascii="Palatino Linotype" w:hAnsi="Palatino Linotype"/>
          <w:bCs/>
          <w:sz w:val="24"/>
          <w:szCs w:val="24"/>
        </w:rPr>
        <w:t xml:space="preserve">The Joint EV Industry supports </w:t>
      </w:r>
      <w:r w:rsidRPr="00534D5D" w:rsidR="009112EA">
        <w:rPr>
          <w:rFonts w:ascii="Palatino Linotype" w:hAnsi="Palatino Linotype"/>
          <w:bCs/>
          <w:sz w:val="24"/>
          <w:szCs w:val="24"/>
        </w:rPr>
        <w:t xml:space="preserve">the </w:t>
      </w:r>
      <w:r w:rsidRPr="00534D5D">
        <w:rPr>
          <w:rFonts w:ascii="Palatino Linotype" w:hAnsi="Palatino Linotype"/>
          <w:bCs/>
          <w:sz w:val="24"/>
          <w:szCs w:val="24"/>
        </w:rPr>
        <w:t xml:space="preserve">steps the Joint IOUs </w:t>
      </w:r>
      <w:r w:rsidRPr="00534D5D" w:rsidR="009112EA">
        <w:rPr>
          <w:rFonts w:ascii="Palatino Linotype" w:hAnsi="Palatino Linotype"/>
          <w:bCs/>
          <w:sz w:val="24"/>
          <w:szCs w:val="24"/>
        </w:rPr>
        <w:t xml:space="preserve">are taking </w:t>
      </w:r>
      <w:r w:rsidRPr="00534D5D">
        <w:rPr>
          <w:rFonts w:ascii="Palatino Linotype" w:hAnsi="Palatino Linotype"/>
          <w:bCs/>
          <w:sz w:val="24"/>
          <w:szCs w:val="24"/>
        </w:rPr>
        <w:t xml:space="preserve">to improve accessibility and </w:t>
      </w:r>
      <w:r w:rsidRPr="00534D5D" w:rsidR="00622538">
        <w:rPr>
          <w:rFonts w:ascii="Palatino Linotype" w:hAnsi="Palatino Linotype"/>
          <w:bCs/>
          <w:sz w:val="24"/>
          <w:szCs w:val="24"/>
        </w:rPr>
        <w:t>visibility</w:t>
      </w:r>
      <w:r w:rsidRPr="00534D5D" w:rsidR="009112EA">
        <w:rPr>
          <w:rFonts w:ascii="Palatino Linotype" w:hAnsi="Palatino Linotype"/>
          <w:bCs/>
          <w:sz w:val="24"/>
          <w:szCs w:val="24"/>
        </w:rPr>
        <w:t xml:space="preserve"> of their ICA maps. They further </w:t>
      </w:r>
      <w:r w:rsidRPr="00534D5D" w:rsidR="00622538">
        <w:rPr>
          <w:rFonts w:ascii="Palatino Linotype" w:hAnsi="Palatino Linotype"/>
          <w:bCs/>
          <w:sz w:val="24"/>
          <w:szCs w:val="24"/>
        </w:rPr>
        <w:t xml:space="preserve">recommend each IOU update their </w:t>
      </w:r>
      <w:r w:rsidRPr="00534D5D" w:rsidR="009112EA">
        <w:rPr>
          <w:rFonts w:ascii="Palatino Linotype" w:hAnsi="Palatino Linotype"/>
          <w:bCs/>
          <w:sz w:val="24"/>
          <w:szCs w:val="24"/>
        </w:rPr>
        <w:t>ICA</w:t>
      </w:r>
      <w:r w:rsidRPr="00534D5D" w:rsidR="00622538">
        <w:rPr>
          <w:rFonts w:ascii="Palatino Linotype" w:hAnsi="Palatino Linotype"/>
          <w:bCs/>
          <w:sz w:val="24"/>
          <w:szCs w:val="24"/>
        </w:rPr>
        <w:t xml:space="preserve"> maps on a quarterly basis to allow EVSP</w:t>
      </w:r>
      <w:r w:rsidRPr="00534D5D" w:rsidR="00787AC3">
        <w:rPr>
          <w:rFonts w:ascii="Palatino Linotype" w:hAnsi="Palatino Linotype"/>
          <w:bCs/>
          <w:sz w:val="24"/>
          <w:szCs w:val="24"/>
        </w:rPr>
        <w:t>s</w:t>
      </w:r>
      <w:r w:rsidRPr="00534D5D" w:rsidR="00622538">
        <w:rPr>
          <w:rFonts w:ascii="Palatino Linotype" w:hAnsi="Palatino Linotype"/>
          <w:bCs/>
          <w:sz w:val="24"/>
          <w:szCs w:val="24"/>
        </w:rPr>
        <w:t xml:space="preserve"> to see available load service capacity at the substation and circuit level (accounting for queued capacity), feeder identification and characteristics, substation source, and voltage information, and other </w:t>
      </w:r>
      <w:r w:rsidRPr="00534D5D" w:rsidR="00622538">
        <w:rPr>
          <w:rFonts w:ascii="Palatino Linotype" w:hAnsi="Palatino Linotype"/>
          <w:bCs/>
          <w:sz w:val="24"/>
          <w:szCs w:val="24"/>
        </w:rPr>
        <w:lastRenderedPageBreak/>
        <w:t>information regarding transformer locations and load and other “last-mile” grid information.</w:t>
      </w:r>
      <w:r w:rsidRPr="00534D5D" w:rsidR="00622538">
        <w:rPr>
          <w:rStyle w:val="FootnoteReference"/>
          <w:rFonts w:ascii="Palatino Linotype" w:hAnsi="Palatino Linotype"/>
          <w:bCs/>
          <w:sz w:val="24"/>
          <w:szCs w:val="24"/>
        </w:rPr>
        <w:footnoteReference w:id="17"/>
      </w:r>
      <w:r w:rsidRPr="00534D5D" w:rsidR="00622538">
        <w:rPr>
          <w:rFonts w:ascii="Palatino Linotype" w:hAnsi="Palatino Linotype"/>
          <w:bCs/>
          <w:sz w:val="24"/>
          <w:szCs w:val="24"/>
        </w:rPr>
        <w:t xml:space="preserve"> </w:t>
      </w:r>
    </w:p>
    <w:p w:rsidRPr="00534D5D" w:rsidR="00F014A3" w:rsidP="00A7154B" w:rsidRDefault="00F014A3" w14:paraId="4D8A6719" w14:textId="423C98C4">
      <w:pPr>
        <w:rPr>
          <w:rFonts w:ascii="Palatino Linotype" w:hAnsi="Palatino Linotype"/>
          <w:bCs/>
          <w:sz w:val="24"/>
          <w:szCs w:val="24"/>
        </w:rPr>
      </w:pPr>
      <w:r w:rsidRPr="00534D5D">
        <w:rPr>
          <w:rFonts w:ascii="Palatino Linotype" w:hAnsi="Palatino Linotype"/>
          <w:bCs/>
          <w:sz w:val="24"/>
          <w:szCs w:val="24"/>
        </w:rPr>
        <w:t>The Joint IOUs did not respond to the Joint EV Industry’s recommendation to update their ICA maps.</w:t>
      </w:r>
    </w:p>
    <w:p w:rsidRPr="00534D5D" w:rsidR="00DA5CBD" w:rsidP="000613FB" w:rsidRDefault="004B6222" w14:paraId="4AFC835F" w14:textId="27828547">
      <w:pPr>
        <w:rPr>
          <w:rFonts w:ascii="Palatino Linotype" w:hAnsi="Palatino Linotype"/>
          <w:bCs/>
          <w:sz w:val="24"/>
          <w:szCs w:val="24"/>
        </w:rPr>
      </w:pPr>
      <w:r w:rsidRPr="00534D5D">
        <w:rPr>
          <w:rFonts w:ascii="Palatino Linotype" w:hAnsi="Palatino Linotype"/>
          <w:bCs/>
          <w:sz w:val="24"/>
          <w:szCs w:val="24"/>
        </w:rPr>
        <w:t xml:space="preserve">We agree with the Joint EV Industry that improved, more accessible </w:t>
      </w:r>
      <w:r w:rsidRPr="00534D5D" w:rsidR="006316D1">
        <w:rPr>
          <w:rFonts w:ascii="Palatino Linotype" w:hAnsi="Palatino Linotype"/>
          <w:bCs/>
          <w:sz w:val="24"/>
          <w:szCs w:val="24"/>
        </w:rPr>
        <w:t xml:space="preserve">ICA </w:t>
      </w:r>
      <w:r w:rsidRPr="00534D5D">
        <w:rPr>
          <w:rFonts w:ascii="Palatino Linotype" w:hAnsi="Palatino Linotype"/>
          <w:bCs/>
          <w:sz w:val="24"/>
          <w:szCs w:val="24"/>
        </w:rPr>
        <w:t xml:space="preserve">maps will </w:t>
      </w:r>
      <w:r w:rsidRPr="00534D5D" w:rsidR="00D73E4C">
        <w:rPr>
          <w:rFonts w:ascii="Palatino Linotype" w:hAnsi="Palatino Linotype"/>
          <w:bCs/>
          <w:sz w:val="24"/>
          <w:szCs w:val="24"/>
        </w:rPr>
        <w:t>provide essential information to customers, EVSPs, and other non-</w:t>
      </w:r>
      <w:r w:rsidRPr="00534D5D" w:rsidR="00071F45">
        <w:rPr>
          <w:rFonts w:ascii="Palatino Linotype" w:hAnsi="Palatino Linotype"/>
          <w:bCs/>
          <w:sz w:val="24"/>
          <w:szCs w:val="24"/>
        </w:rPr>
        <w:t>IOU</w:t>
      </w:r>
      <w:r w:rsidRPr="00534D5D" w:rsidR="00D73E4C">
        <w:rPr>
          <w:rFonts w:ascii="Palatino Linotype" w:hAnsi="Palatino Linotype"/>
          <w:bCs/>
          <w:sz w:val="24"/>
          <w:szCs w:val="24"/>
        </w:rPr>
        <w:t xml:space="preserve"> stakeholders to </w:t>
      </w:r>
      <w:r w:rsidRPr="00534D5D" w:rsidR="00662256">
        <w:rPr>
          <w:rFonts w:ascii="Palatino Linotype" w:hAnsi="Palatino Linotype"/>
          <w:bCs/>
          <w:sz w:val="24"/>
          <w:szCs w:val="24"/>
        </w:rPr>
        <w:t xml:space="preserve">enable stakeholders to come to the IOU with a more </w:t>
      </w:r>
      <w:r w:rsidRPr="00534D5D" w:rsidR="00E45175">
        <w:rPr>
          <w:rFonts w:ascii="Palatino Linotype" w:hAnsi="Palatino Linotype"/>
          <w:bCs/>
          <w:sz w:val="24"/>
          <w:szCs w:val="24"/>
        </w:rPr>
        <w:t xml:space="preserve">complete site plan. Within </w:t>
      </w:r>
      <w:r w:rsidRPr="00534D5D" w:rsidR="00F014A3">
        <w:rPr>
          <w:rFonts w:ascii="Palatino Linotype" w:hAnsi="Palatino Linotype"/>
          <w:sz w:val="24"/>
          <w:szCs w:val="24"/>
        </w:rPr>
        <w:t xml:space="preserve">90 </w:t>
      </w:r>
      <w:r w:rsidRPr="00534D5D" w:rsidR="00E45175">
        <w:rPr>
          <w:rFonts w:ascii="Palatino Linotype" w:hAnsi="Palatino Linotype"/>
          <w:sz w:val="24"/>
          <w:szCs w:val="24"/>
        </w:rPr>
        <w:t>d</w:t>
      </w:r>
      <w:r w:rsidRPr="00534D5D" w:rsidR="00E45175">
        <w:rPr>
          <w:rFonts w:ascii="Palatino Linotype" w:hAnsi="Palatino Linotype"/>
          <w:bCs/>
          <w:sz w:val="24"/>
          <w:szCs w:val="24"/>
        </w:rPr>
        <w:t xml:space="preserve">ays of the approval of this Resolution, each </w:t>
      </w:r>
      <w:r w:rsidRPr="00534D5D" w:rsidR="00964B93">
        <w:rPr>
          <w:rFonts w:ascii="Palatino Linotype" w:hAnsi="Palatino Linotype"/>
          <w:bCs/>
          <w:sz w:val="24"/>
          <w:szCs w:val="24"/>
        </w:rPr>
        <w:t>IOU</w:t>
      </w:r>
      <w:r w:rsidRPr="00534D5D" w:rsidR="00E45175">
        <w:rPr>
          <w:rFonts w:ascii="Palatino Linotype" w:hAnsi="Palatino Linotype"/>
          <w:bCs/>
          <w:sz w:val="24"/>
          <w:szCs w:val="24"/>
        </w:rPr>
        <w:t xml:space="preserve"> shall pre</w:t>
      </w:r>
      <w:r w:rsidRPr="00534D5D" w:rsidR="00FB5071">
        <w:rPr>
          <w:rFonts w:ascii="Palatino Linotype" w:hAnsi="Palatino Linotype"/>
          <w:bCs/>
          <w:sz w:val="24"/>
          <w:szCs w:val="24"/>
        </w:rPr>
        <w:t>form quart</w:t>
      </w:r>
      <w:r w:rsidRPr="00534D5D" w:rsidR="00BE29CA">
        <w:rPr>
          <w:rFonts w:ascii="Palatino Linotype" w:hAnsi="Palatino Linotype"/>
          <w:bCs/>
          <w:sz w:val="24"/>
          <w:szCs w:val="24"/>
        </w:rPr>
        <w:t>erly updates to their ICA maps to reflect the most up-to-date information, including:</w:t>
      </w:r>
    </w:p>
    <w:p w:rsidRPr="00534D5D" w:rsidR="00BE29CA" w:rsidP="00C56487" w:rsidRDefault="00C56487" w14:paraId="7D7E8650" w14:textId="0D03A2A3">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Available load service capacity at the substation and circuit level – accounting for queued capacity</w:t>
      </w:r>
    </w:p>
    <w:p w:rsidRPr="00534D5D" w:rsidR="00C56487" w:rsidP="00C56487" w:rsidRDefault="003E736F" w14:paraId="265974EB" w14:textId="5F830614">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Feeder identification and characteristics</w:t>
      </w:r>
    </w:p>
    <w:p w:rsidRPr="00534D5D" w:rsidR="003E736F" w:rsidP="00C56487" w:rsidRDefault="003E736F" w14:paraId="135DFE5F" w14:textId="41B30CEC">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Substation source</w:t>
      </w:r>
    </w:p>
    <w:p w:rsidRPr="00534D5D" w:rsidR="003E736F" w:rsidP="00C56487" w:rsidRDefault="003E736F" w14:paraId="68E133CB" w14:textId="4066C57C">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Voltage information</w:t>
      </w:r>
    </w:p>
    <w:p w:rsidRPr="00534D5D" w:rsidR="003E736F" w:rsidP="00C56487" w:rsidRDefault="003E736F" w14:paraId="2D85ACAC" w14:textId="59DE4E18">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Transformer location</w:t>
      </w:r>
      <w:r w:rsidRPr="00534D5D" w:rsidR="00E266C3">
        <w:rPr>
          <w:rFonts w:ascii="Palatino Linotype" w:hAnsi="Palatino Linotype"/>
          <w:bCs/>
          <w:sz w:val="24"/>
          <w:szCs w:val="24"/>
        </w:rPr>
        <w:t>, and</w:t>
      </w:r>
    </w:p>
    <w:p w:rsidRPr="00534D5D" w:rsidR="00DF3367" w:rsidP="00C56487" w:rsidRDefault="00DF3367" w14:paraId="061E55FD" w14:textId="08E932D3">
      <w:pPr>
        <w:pStyle w:val="ListParagraph"/>
        <w:numPr>
          <w:ilvl w:val="1"/>
          <w:numId w:val="16"/>
        </w:numPr>
        <w:rPr>
          <w:rFonts w:ascii="Palatino Linotype" w:hAnsi="Palatino Linotype"/>
          <w:bCs/>
          <w:sz w:val="24"/>
          <w:szCs w:val="24"/>
        </w:rPr>
      </w:pPr>
      <w:r w:rsidRPr="00534D5D">
        <w:rPr>
          <w:rFonts w:ascii="Palatino Linotype" w:hAnsi="Palatino Linotype"/>
          <w:bCs/>
          <w:sz w:val="24"/>
          <w:szCs w:val="24"/>
        </w:rPr>
        <w:t xml:space="preserve">Any other </w:t>
      </w:r>
      <w:r w:rsidRPr="00534D5D" w:rsidR="00E266C3">
        <w:rPr>
          <w:rFonts w:ascii="Palatino Linotype" w:hAnsi="Palatino Linotype"/>
          <w:bCs/>
          <w:sz w:val="24"/>
          <w:szCs w:val="24"/>
        </w:rPr>
        <w:t>details</w:t>
      </w:r>
      <w:r w:rsidRPr="00534D5D">
        <w:rPr>
          <w:rFonts w:ascii="Palatino Linotype" w:hAnsi="Palatino Linotype"/>
          <w:bCs/>
          <w:sz w:val="24"/>
          <w:szCs w:val="24"/>
        </w:rPr>
        <w:t xml:space="preserve"> that can provide load and “last-mile” grid information</w:t>
      </w:r>
    </w:p>
    <w:p w:rsidRPr="00534D5D" w:rsidR="00196C2C" w:rsidP="0002741A" w:rsidRDefault="00001669" w14:paraId="2D880678" w14:textId="72E4F135">
      <w:pPr>
        <w:rPr>
          <w:rFonts w:ascii="Palatino Linotype" w:hAnsi="Palatino Linotype"/>
          <w:bCs/>
          <w:sz w:val="24"/>
          <w:szCs w:val="24"/>
        </w:rPr>
      </w:pPr>
      <w:r w:rsidRPr="00534D5D">
        <w:rPr>
          <w:rFonts w:ascii="Palatino Linotype" w:hAnsi="Palatino Linotype"/>
          <w:bCs/>
          <w:sz w:val="24"/>
          <w:szCs w:val="24"/>
        </w:rPr>
        <w:t xml:space="preserve">The Joint IOUs shall post the updated ICA map information on their EV Infrastructure Rule </w:t>
      </w:r>
      <w:proofErr w:type="gramStart"/>
      <w:r w:rsidRPr="00534D5D">
        <w:rPr>
          <w:rFonts w:ascii="Palatino Linotype" w:hAnsi="Palatino Linotype"/>
          <w:bCs/>
          <w:sz w:val="24"/>
          <w:szCs w:val="24"/>
        </w:rPr>
        <w:t>webpages, and</w:t>
      </w:r>
      <w:proofErr w:type="gramEnd"/>
      <w:r w:rsidRPr="00534D5D">
        <w:rPr>
          <w:rFonts w:ascii="Palatino Linotype" w:hAnsi="Palatino Linotype"/>
          <w:bCs/>
          <w:sz w:val="24"/>
          <w:szCs w:val="24"/>
        </w:rPr>
        <w:t xml:space="preserve"> </w:t>
      </w:r>
      <w:r w:rsidRPr="00534D5D" w:rsidR="0002741A">
        <w:rPr>
          <w:rFonts w:ascii="Palatino Linotype" w:hAnsi="Palatino Linotype"/>
          <w:bCs/>
          <w:sz w:val="24"/>
          <w:szCs w:val="24"/>
        </w:rPr>
        <w:t xml:space="preserve">discuss specific ICA map details with the individual customers requesting service through their EV Infrastructure Rules. </w:t>
      </w:r>
    </w:p>
    <w:p w:rsidRPr="00534D5D" w:rsidR="00D565FC" w:rsidP="00917606" w:rsidRDefault="00382146" w14:paraId="6A580E01" w14:textId="37056865">
      <w:pPr>
        <w:rPr>
          <w:rFonts w:ascii="Palatino Linotype" w:hAnsi="Palatino Linotype"/>
          <w:bCs/>
          <w:sz w:val="24"/>
          <w:szCs w:val="24"/>
        </w:rPr>
      </w:pPr>
      <w:r w:rsidRPr="00534D5D">
        <w:rPr>
          <w:rFonts w:ascii="Palatino Linotype" w:hAnsi="Palatino Linotype"/>
          <w:b/>
          <w:sz w:val="24"/>
          <w:szCs w:val="24"/>
        </w:rPr>
        <w:t xml:space="preserve">We decline to adopt a standard easement process for the Joint IOUs to follow but encourage </w:t>
      </w:r>
      <w:proofErr w:type="gramStart"/>
      <w:r w:rsidRPr="00534D5D">
        <w:rPr>
          <w:rFonts w:ascii="Palatino Linotype" w:hAnsi="Palatino Linotype"/>
          <w:b/>
          <w:sz w:val="24"/>
          <w:szCs w:val="24"/>
        </w:rPr>
        <w:t>all of</w:t>
      </w:r>
      <w:proofErr w:type="gramEnd"/>
      <w:r w:rsidRPr="00534D5D">
        <w:rPr>
          <w:rFonts w:ascii="Palatino Linotype" w:hAnsi="Palatino Linotype"/>
          <w:b/>
          <w:sz w:val="24"/>
          <w:szCs w:val="24"/>
        </w:rPr>
        <w:t xml:space="preserve"> the IOUs to take efforts that are either similar to those taken by PG&amp;E and SCE, or to develop a new path to simplify and expedite the easement process.</w:t>
      </w:r>
      <w:r w:rsidRPr="00534D5D">
        <w:rPr>
          <w:rFonts w:ascii="Palatino Linotype" w:hAnsi="Palatino Linotype"/>
          <w:bCs/>
          <w:sz w:val="24"/>
          <w:szCs w:val="24"/>
        </w:rPr>
        <w:t xml:space="preserve"> </w:t>
      </w:r>
      <w:r w:rsidRPr="00534D5D" w:rsidR="00C8401E">
        <w:rPr>
          <w:rFonts w:ascii="Palatino Linotype" w:hAnsi="Palatino Linotype"/>
          <w:bCs/>
          <w:sz w:val="24"/>
          <w:szCs w:val="24"/>
        </w:rPr>
        <w:t xml:space="preserve">The Joint IOU AL </w:t>
      </w:r>
      <w:r w:rsidRPr="00534D5D" w:rsidR="00CB6D42">
        <w:rPr>
          <w:rFonts w:ascii="Palatino Linotype" w:hAnsi="Palatino Linotype"/>
          <w:bCs/>
          <w:sz w:val="24"/>
          <w:szCs w:val="24"/>
        </w:rPr>
        <w:t>lists out examples of the steps they are taking to improve service energization timelines that includes IOU consideration of opportunities to expedite the easement process.</w:t>
      </w:r>
      <w:r w:rsidRPr="00534D5D" w:rsidR="00E62626">
        <w:rPr>
          <w:rStyle w:val="FootnoteReference"/>
          <w:rFonts w:ascii="Palatino Linotype" w:hAnsi="Palatino Linotype"/>
          <w:bCs/>
          <w:sz w:val="24"/>
          <w:szCs w:val="24"/>
        </w:rPr>
        <w:footnoteReference w:id="18"/>
      </w:r>
      <w:r w:rsidRPr="00534D5D" w:rsidR="00CB6D42">
        <w:rPr>
          <w:rFonts w:ascii="Palatino Linotype" w:hAnsi="Palatino Linotype"/>
          <w:bCs/>
          <w:sz w:val="24"/>
          <w:szCs w:val="24"/>
        </w:rPr>
        <w:t xml:space="preserve"> Specifically, the Joint IOUs identify </w:t>
      </w:r>
      <w:r w:rsidRPr="00534D5D" w:rsidR="00BE4AE3">
        <w:rPr>
          <w:rFonts w:ascii="Palatino Linotype" w:hAnsi="Palatino Linotype"/>
          <w:bCs/>
          <w:sz w:val="24"/>
          <w:szCs w:val="24"/>
        </w:rPr>
        <w:t xml:space="preserve">steps SCE is taking to update its </w:t>
      </w:r>
      <w:r w:rsidRPr="00534D5D" w:rsidR="0068019D">
        <w:rPr>
          <w:rFonts w:ascii="Palatino Linotype" w:hAnsi="Palatino Linotype"/>
          <w:bCs/>
          <w:sz w:val="24"/>
          <w:szCs w:val="24"/>
        </w:rPr>
        <w:t>processes</w:t>
      </w:r>
      <w:r w:rsidRPr="00534D5D" w:rsidR="00BE4AE3">
        <w:rPr>
          <w:rFonts w:ascii="Palatino Linotype" w:hAnsi="Palatino Linotype"/>
          <w:bCs/>
          <w:sz w:val="24"/>
          <w:szCs w:val="24"/>
        </w:rPr>
        <w:t xml:space="preserve"> to provide customers with a sample easement document earlier in the project lifecycle and SCE’s plans to allow customers to prepare and/or provide certain components of the easement materials to the IOU to help expedite the process. </w:t>
      </w:r>
      <w:r w:rsidRPr="00534D5D" w:rsidR="00BE4AE3">
        <w:rPr>
          <w:rFonts w:ascii="Palatino Linotype" w:hAnsi="Palatino Linotype"/>
          <w:bCs/>
          <w:sz w:val="24"/>
          <w:szCs w:val="24"/>
        </w:rPr>
        <w:lastRenderedPageBreak/>
        <w:t xml:space="preserve">Another example </w:t>
      </w:r>
      <w:r w:rsidRPr="00534D5D" w:rsidR="0068019D">
        <w:rPr>
          <w:rFonts w:ascii="Palatino Linotype" w:hAnsi="Palatino Linotype"/>
          <w:bCs/>
          <w:sz w:val="24"/>
          <w:szCs w:val="24"/>
        </w:rPr>
        <w:t xml:space="preserve">highlights PG&amp;E’s efforts to provide pre-approved easement language to customers to avoid any potential delays in securing land </w:t>
      </w:r>
      <w:r w:rsidRPr="00534D5D" w:rsidR="0052681F">
        <w:rPr>
          <w:rFonts w:ascii="Palatino Linotype" w:hAnsi="Palatino Linotype"/>
          <w:bCs/>
          <w:sz w:val="24"/>
          <w:szCs w:val="24"/>
        </w:rPr>
        <w:t>rights</w:t>
      </w:r>
      <w:r w:rsidRPr="00534D5D" w:rsidR="0068019D">
        <w:rPr>
          <w:rFonts w:ascii="Palatino Linotype" w:hAnsi="Palatino Linotype"/>
          <w:bCs/>
          <w:sz w:val="24"/>
          <w:szCs w:val="24"/>
        </w:rPr>
        <w:t xml:space="preserve">. </w:t>
      </w:r>
    </w:p>
    <w:p w:rsidRPr="00534D5D" w:rsidR="00917606" w:rsidP="00917606" w:rsidRDefault="000E6B7D" w14:paraId="16652740" w14:textId="4311830D">
      <w:pPr>
        <w:rPr>
          <w:rFonts w:ascii="Palatino Linotype" w:hAnsi="Palatino Linotype"/>
          <w:bCs/>
          <w:sz w:val="24"/>
          <w:szCs w:val="24"/>
        </w:rPr>
      </w:pPr>
      <w:r w:rsidRPr="00534D5D">
        <w:rPr>
          <w:rFonts w:ascii="Palatino Linotype" w:hAnsi="Palatino Linotype"/>
          <w:bCs/>
          <w:sz w:val="24"/>
          <w:szCs w:val="24"/>
        </w:rPr>
        <w:t xml:space="preserve">The Joint EV Industry </w:t>
      </w:r>
      <w:r w:rsidRPr="00534D5D" w:rsidR="00DF7664">
        <w:rPr>
          <w:rFonts w:ascii="Palatino Linotype" w:hAnsi="Palatino Linotype"/>
          <w:bCs/>
          <w:sz w:val="24"/>
          <w:szCs w:val="24"/>
        </w:rPr>
        <w:t>applaud</w:t>
      </w:r>
      <w:r w:rsidRPr="00534D5D">
        <w:rPr>
          <w:rFonts w:ascii="Palatino Linotype" w:hAnsi="Palatino Linotype"/>
          <w:bCs/>
          <w:sz w:val="24"/>
          <w:szCs w:val="24"/>
        </w:rPr>
        <w:t xml:space="preserve"> PG&amp;E’s leadership </w:t>
      </w:r>
      <w:r w:rsidRPr="00534D5D" w:rsidR="00DF7664">
        <w:rPr>
          <w:rFonts w:ascii="Palatino Linotype" w:hAnsi="Palatino Linotype"/>
          <w:bCs/>
          <w:sz w:val="24"/>
          <w:szCs w:val="24"/>
        </w:rPr>
        <w:t>i</w:t>
      </w:r>
      <w:r w:rsidRPr="00534D5D">
        <w:rPr>
          <w:rFonts w:ascii="Palatino Linotype" w:hAnsi="Palatino Linotype"/>
          <w:bCs/>
          <w:sz w:val="24"/>
          <w:szCs w:val="24"/>
        </w:rPr>
        <w:t xml:space="preserve">n </w:t>
      </w:r>
      <w:r w:rsidRPr="00534D5D" w:rsidR="00DF7664">
        <w:rPr>
          <w:rFonts w:ascii="Palatino Linotype" w:hAnsi="Palatino Linotype"/>
          <w:bCs/>
          <w:sz w:val="24"/>
          <w:szCs w:val="24"/>
        </w:rPr>
        <w:t>streamlining</w:t>
      </w:r>
      <w:r w:rsidRPr="00534D5D">
        <w:rPr>
          <w:rFonts w:ascii="Palatino Linotype" w:hAnsi="Palatino Linotype"/>
          <w:bCs/>
          <w:sz w:val="24"/>
          <w:szCs w:val="24"/>
        </w:rPr>
        <w:t xml:space="preserve"> the easement </w:t>
      </w:r>
      <w:r w:rsidRPr="00534D5D" w:rsidR="000F6AA4">
        <w:rPr>
          <w:rFonts w:ascii="Palatino Linotype" w:hAnsi="Palatino Linotype"/>
          <w:bCs/>
          <w:sz w:val="24"/>
          <w:szCs w:val="24"/>
        </w:rPr>
        <w:t>process and</w:t>
      </w:r>
      <w:r w:rsidRPr="00534D5D" w:rsidR="00A414D2">
        <w:rPr>
          <w:rFonts w:ascii="Palatino Linotype" w:hAnsi="Palatino Linotype"/>
          <w:bCs/>
          <w:sz w:val="24"/>
          <w:szCs w:val="24"/>
        </w:rPr>
        <w:t xml:space="preserve"> encourage the other IOUs to adopt PG&amp;E’s easement </w:t>
      </w:r>
      <w:r w:rsidRPr="00534D5D" w:rsidR="0054277C">
        <w:rPr>
          <w:rFonts w:ascii="Palatino Linotype" w:hAnsi="Palatino Linotype"/>
          <w:bCs/>
          <w:sz w:val="24"/>
          <w:szCs w:val="24"/>
        </w:rPr>
        <w:t>streamlining efforts</w:t>
      </w:r>
      <w:r w:rsidRPr="00534D5D" w:rsidR="00BA72E0">
        <w:rPr>
          <w:rFonts w:ascii="Palatino Linotype" w:hAnsi="Palatino Linotype"/>
          <w:bCs/>
          <w:sz w:val="24"/>
          <w:szCs w:val="24"/>
        </w:rPr>
        <w:t xml:space="preserve">, which can be inserted in third-party site host agreements instead of the easement process. The Joint EV Industry </w:t>
      </w:r>
      <w:r w:rsidRPr="00534D5D" w:rsidR="00177BAF">
        <w:rPr>
          <w:rFonts w:ascii="Palatino Linotype" w:hAnsi="Palatino Linotype"/>
          <w:bCs/>
          <w:sz w:val="24"/>
          <w:szCs w:val="24"/>
        </w:rPr>
        <w:t xml:space="preserve">assert this language </w:t>
      </w:r>
      <w:r w:rsidRPr="00534D5D" w:rsidR="00B950D4">
        <w:rPr>
          <w:rFonts w:ascii="Palatino Linotype" w:hAnsi="Palatino Linotype"/>
          <w:bCs/>
          <w:sz w:val="24"/>
          <w:szCs w:val="24"/>
        </w:rPr>
        <w:t xml:space="preserve">will </w:t>
      </w:r>
      <w:r w:rsidRPr="00534D5D" w:rsidR="00292C7B">
        <w:rPr>
          <w:rFonts w:ascii="Palatino Linotype" w:hAnsi="Palatino Linotype"/>
          <w:bCs/>
          <w:sz w:val="24"/>
          <w:szCs w:val="24"/>
        </w:rPr>
        <w:t>allow</w:t>
      </w:r>
      <w:r w:rsidRPr="00534D5D" w:rsidR="00B950D4">
        <w:rPr>
          <w:rFonts w:ascii="Palatino Linotype" w:hAnsi="Palatino Linotype"/>
          <w:bCs/>
          <w:sz w:val="24"/>
          <w:szCs w:val="24"/>
        </w:rPr>
        <w:t xml:space="preserve"> customers and the IOU </w:t>
      </w:r>
      <w:r w:rsidRPr="00534D5D" w:rsidR="0037381B">
        <w:rPr>
          <w:rFonts w:ascii="Palatino Linotype" w:hAnsi="Palatino Linotype"/>
          <w:bCs/>
          <w:sz w:val="24"/>
          <w:szCs w:val="24"/>
        </w:rPr>
        <w:t xml:space="preserve">to bypass a protracted negotiation process on often inflexible utility easement language and enables EVSPs and site hosts to </w:t>
      </w:r>
      <w:proofErr w:type="gramStart"/>
      <w:r w:rsidRPr="00534D5D" w:rsidR="0037381B">
        <w:rPr>
          <w:rFonts w:ascii="Palatino Linotype" w:hAnsi="Palatino Linotype"/>
          <w:bCs/>
          <w:sz w:val="24"/>
          <w:szCs w:val="24"/>
        </w:rPr>
        <w:t>more easily contract and deploy EVSE</w:t>
      </w:r>
      <w:r w:rsidRPr="00534D5D" w:rsidR="000F6AA4">
        <w:rPr>
          <w:rFonts w:ascii="Palatino Linotype" w:hAnsi="Palatino Linotype"/>
          <w:bCs/>
          <w:sz w:val="24"/>
          <w:szCs w:val="24"/>
        </w:rPr>
        <w:t>, which has the potential to significantly reduce delays in the energization process</w:t>
      </w:r>
      <w:proofErr w:type="gramEnd"/>
      <w:r w:rsidRPr="00534D5D" w:rsidR="000F6AA4">
        <w:rPr>
          <w:rFonts w:ascii="Palatino Linotype" w:hAnsi="Palatino Linotype"/>
          <w:bCs/>
          <w:sz w:val="24"/>
          <w:szCs w:val="24"/>
        </w:rPr>
        <w:t>.</w:t>
      </w:r>
      <w:r w:rsidRPr="00534D5D" w:rsidR="000F6AA4">
        <w:rPr>
          <w:rStyle w:val="FootnoteReference"/>
          <w:rFonts w:ascii="Palatino Linotype" w:hAnsi="Palatino Linotype"/>
          <w:bCs/>
          <w:sz w:val="24"/>
          <w:szCs w:val="24"/>
        </w:rPr>
        <w:footnoteReference w:id="19"/>
      </w:r>
      <w:r w:rsidRPr="00534D5D" w:rsidR="00EA25A4">
        <w:rPr>
          <w:rFonts w:ascii="Palatino Linotype" w:hAnsi="Palatino Linotype"/>
          <w:bCs/>
          <w:sz w:val="24"/>
          <w:szCs w:val="24"/>
        </w:rPr>
        <w:t xml:space="preserve"> </w:t>
      </w:r>
      <w:proofErr w:type="spellStart"/>
      <w:r w:rsidRPr="00534D5D" w:rsidR="00EA25A4">
        <w:rPr>
          <w:rFonts w:ascii="Palatino Linotype" w:hAnsi="Palatino Linotype"/>
          <w:bCs/>
          <w:sz w:val="24"/>
          <w:szCs w:val="24"/>
        </w:rPr>
        <w:t>EVgo</w:t>
      </w:r>
      <w:proofErr w:type="spellEnd"/>
      <w:r w:rsidRPr="00534D5D" w:rsidR="00EA25A4">
        <w:rPr>
          <w:rFonts w:ascii="Palatino Linotype" w:hAnsi="Palatino Linotype"/>
          <w:bCs/>
          <w:sz w:val="24"/>
          <w:szCs w:val="24"/>
        </w:rPr>
        <w:t xml:space="preserve"> also s</w:t>
      </w:r>
      <w:r w:rsidRPr="00534D5D" w:rsidR="00E449C2">
        <w:rPr>
          <w:rFonts w:ascii="Palatino Linotype" w:hAnsi="Palatino Linotype"/>
          <w:bCs/>
          <w:sz w:val="24"/>
          <w:szCs w:val="24"/>
        </w:rPr>
        <w:t xml:space="preserve">upports easement </w:t>
      </w:r>
      <w:r w:rsidRPr="00534D5D" w:rsidR="00252E54">
        <w:rPr>
          <w:rFonts w:ascii="Palatino Linotype" w:hAnsi="Palatino Linotype"/>
          <w:bCs/>
          <w:sz w:val="24"/>
          <w:szCs w:val="24"/>
        </w:rPr>
        <w:t>reforms</w:t>
      </w:r>
      <w:r w:rsidRPr="00534D5D" w:rsidR="00E449C2">
        <w:rPr>
          <w:rFonts w:ascii="Palatino Linotype" w:hAnsi="Palatino Linotype"/>
          <w:bCs/>
          <w:sz w:val="24"/>
          <w:szCs w:val="24"/>
        </w:rPr>
        <w:t xml:space="preserve">, noting that </w:t>
      </w:r>
      <w:r w:rsidRPr="00534D5D" w:rsidR="006F14C9">
        <w:rPr>
          <w:rFonts w:ascii="Palatino Linotype" w:hAnsi="Palatino Linotype"/>
          <w:bCs/>
          <w:sz w:val="24"/>
          <w:szCs w:val="24"/>
        </w:rPr>
        <w:t>IOUs</w:t>
      </w:r>
      <w:r w:rsidRPr="00534D5D" w:rsidR="00E449C2">
        <w:rPr>
          <w:rFonts w:ascii="Palatino Linotype" w:hAnsi="Palatino Linotype"/>
          <w:bCs/>
          <w:sz w:val="24"/>
          <w:szCs w:val="24"/>
        </w:rPr>
        <w:t xml:space="preserve"> only initiate the easement and permitting process after finalizing a</w:t>
      </w:r>
      <w:r w:rsidRPr="00534D5D" w:rsidR="00F430AC">
        <w:rPr>
          <w:rFonts w:ascii="Palatino Linotype" w:hAnsi="Palatino Linotype"/>
          <w:bCs/>
          <w:sz w:val="24"/>
          <w:szCs w:val="24"/>
        </w:rPr>
        <w:t xml:space="preserve">n IOU </w:t>
      </w:r>
      <w:r w:rsidRPr="00534D5D" w:rsidR="00E449C2">
        <w:rPr>
          <w:rFonts w:ascii="Palatino Linotype" w:hAnsi="Palatino Linotype"/>
          <w:bCs/>
          <w:sz w:val="24"/>
          <w:szCs w:val="24"/>
        </w:rPr>
        <w:t>design plan</w:t>
      </w:r>
      <w:r w:rsidRPr="00534D5D" w:rsidR="00252E54">
        <w:rPr>
          <w:rFonts w:ascii="Palatino Linotype" w:hAnsi="Palatino Linotype"/>
          <w:bCs/>
          <w:sz w:val="24"/>
          <w:szCs w:val="24"/>
        </w:rPr>
        <w:t>.</w:t>
      </w:r>
      <w:r w:rsidRPr="00534D5D" w:rsidR="00252E54">
        <w:rPr>
          <w:rStyle w:val="FootnoteReference"/>
          <w:rFonts w:ascii="Palatino Linotype" w:hAnsi="Palatino Linotype"/>
          <w:bCs/>
          <w:sz w:val="24"/>
          <w:szCs w:val="24"/>
        </w:rPr>
        <w:footnoteReference w:id="20"/>
      </w:r>
    </w:p>
    <w:p w:rsidRPr="00534D5D" w:rsidR="008472D3" w:rsidP="00917606" w:rsidRDefault="000802D6" w14:paraId="0FC1B4BA" w14:textId="6582BC96">
      <w:pPr>
        <w:rPr>
          <w:rFonts w:ascii="Palatino Linotype" w:hAnsi="Palatino Linotype"/>
          <w:bCs/>
          <w:sz w:val="24"/>
          <w:szCs w:val="24"/>
        </w:rPr>
      </w:pPr>
      <w:r w:rsidRPr="00534D5D">
        <w:rPr>
          <w:rFonts w:ascii="Palatino Linotype" w:hAnsi="Palatino Linotype"/>
          <w:bCs/>
          <w:sz w:val="24"/>
          <w:szCs w:val="24"/>
        </w:rPr>
        <w:t xml:space="preserve">We decline to adopt a standard easement process </w:t>
      </w:r>
      <w:r w:rsidRPr="00534D5D" w:rsidR="000D51AC">
        <w:rPr>
          <w:rFonts w:ascii="Palatino Linotype" w:hAnsi="Palatino Linotype"/>
          <w:bCs/>
          <w:sz w:val="24"/>
          <w:szCs w:val="24"/>
        </w:rPr>
        <w:t xml:space="preserve">for the Joint IOUs to follow. While </w:t>
      </w:r>
      <w:r w:rsidRPr="00534D5D" w:rsidR="00967374">
        <w:rPr>
          <w:rFonts w:ascii="Palatino Linotype" w:hAnsi="Palatino Linotype"/>
          <w:bCs/>
          <w:sz w:val="24"/>
          <w:szCs w:val="24"/>
        </w:rPr>
        <w:t xml:space="preserve">the Joint EV Industry’s assertion that </w:t>
      </w:r>
      <w:r w:rsidRPr="00534D5D" w:rsidR="000D51AC">
        <w:rPr>
          <w:rFonts w:ascii="Palatino Linotype" w:hAnsi="Palatino Linotype"/>
          <w:bCs/>
          <w:sz w:val="24"/>
          <w:szCs w:val="24"/>
        </w:rPr>
        <w:t xml:space="preserve">PG&amp;E </w:t>
      </w:r>
      <w:r w:rsidRPr="00534D5D" w:rsidR="00E57CAF">
        <w:rPr>
          <w:rFonts w:ascii="Palatino Linotype" w:hAnsi="Palatino Linotype"/>
          <w:bCs/>
          <w:sz w:val="24"/>
          <w:szCs w:val="24"/>
        </w:rPr>
        <w:t>has been able to accelerate their service energization process</w:t>
      </w:r>
      <w:r w:rsidRPr="00534D5D" w:rsidR="002539BE">
        <w:rPr>
          <w:rFonts w:ascii="Palatino Linotype" w:hAnsi="Palatino Linotype"/>
          <w:bCs/>
          <w:sz w:val="24"/>
          <w:szCs w:val="24"/>
        </w:rPr>
        <w:t xml:space="preserve"> by providing </w:t>
      </w:r>
      <w:r w:rsidRPr="00534D5D" w:rsidR="00E57CAF">
        <w:rPr>
          <w:rFonts w:ascii="Palatino Linotype" w:hAnsi="Palatino Linotype"/>
          <w:bCs/>
          <w:sz w:val="24"/>
          <w:szCs w:val="24"/>
        </w:rPr>
        <w:t xml:space="preserve">customers with </w:t>
      </w:r>
      <w:r w:rsidRPr="00534D5D" w:rsidR="002539BE">
        <w:rPr>
          <w:rFonts w:ascii="Palatino Linotype" w:hAnsi="Palatino Linotype"/>
          <w:bCs/>
          <w:sz w:val="24"/>
          <w:szCs w:val="24"/>
        </w:rPr>
        <w:t>a lease in lieu of easement language</w:t>
      </w:r>
      <w:r w:rsidRPr="00534D5D" w:rsidR="00967374">
        <w:rPr>
          <w:rFonts w:ascii="Palatino Linotype" w:hAnsi="Palatino Linotype"/>
          <w:bCs/>
          <w:sz w:val="24"/>
          <w:szCs w:val="24"/>
        </w:rPr>
        <w:t xml:space="preserve">, the </w:t>
      </w:r>
      <w:r w:rsidRPr="00534D5D" w:rsidR="00E57CAF">
        <w:rPr>
          <w:rFonts w:ascii="Palatino Linotype" w:hAnsi="Palatino Linotype"/>
          <w:bCs/>
          <w:sz w:val="24"/>
          <w:szCs w:val="24"/>
        </w:rPr>
        <w:t>CPUC</w:t>
      </w:r>
      <w:r w:rsidRPr="00534D5D" w:rsidR="00967374">
        <w:rPr>
          <w:rFonts w:ascii="Palatino Linotype" w:hAnsi="Palatino Linotype"/>
          <w:bCs/>
          <w:sz w:val="24"/>
          <w:szCs w:val="24"/>
        </w:rPr>
        <w:t xml:space="preserve"> has not verif</w:t>
      </w:r>
      <w:r w:rsidRPr="00534D5D" w:rsidR="003741E7">
        <w:rPr>
          <w:rFonts w:ascii="Palatino Linotype" w:hAnsi="Palatino Linotype"/>
          <w:bCs/>
          <w:sz w:val="24"/>
          <w:szCs w:val="24"/>
        </w:rPr>
        <w:t>ied</w:t>
      </w:r>
      <w:r w:rsidRPr="00534D5D" w:rsidR="00967374">
        <w:rPr>
          <w:rFonts w:ascii="Palatino Linotype" w:hAnsi="Palatino Linotype"/>
          <w:bCs/>
          <w:sz w:val="24"/>
          <w:szCs w:val="24"/>
        </w:rPr>
        <w:t xml:space="preserve"> this</w:t>
      </w:r>
      <w:r w:rsidRPr="00534D5D" w:rsidR="00E57CAF">
        <w:rPr>
          <w:rFonts w:ascii="Palatino Linotype" w:hAnsi="Palatino Linotype"/>
          <w:bCs/>
          <w:sz w:val="24"/>
          <w:szCs w:val="24"/>
        </w:rPr>
        <w:t xml:space="preserve"> assertion</w:t>
      </w:r>
      <w:r w:rsidRPr="00534D5D" w:rsidR="00967374">
        <w:rPr>
          <w:rFonts w:ascii="Palatino Linotype" w:hAnsi="Palatino Linotype"/>
          <w:bCs/>
          <w:sz w:val="24"/>
          <w:szCs w:val="24"/>
        </w:rPr>
        <w:t xml:space="preserve">. </w:t>
      </w:r>
      <w:r w:rsidRPr="00534D5D" w:rsidR="007F4BA1">
        <w:rPr>
          <w:rFonts w:ascii="Palatino Linotype" w:hAnsi="Palatino Linotype"/>
          <w:bCs/>
          <w:sz w:val="24"/>
          <w:szCs w:val="24"/>
        </w:rPr>
        <w:t>W</w:t>
      </w:r>
      <w:r w:rsidRPr="00534D5D" w:rsidR="00E57CAF">
        <w:rPr>
          <w:rFonts w:ascii="Palatino Linotype" w:hAnsi="Palatino Linotype"/>
          <w:bCs/>
          <w:sz w:val="24"/>
          <w:szCs w:val="24"/>
        </w:rPr>
        <w:t>hile w</w:t>
      </w:r>
      <w:r w:rsidRPr="00534D5D" w:rsidR="007F4BA1">
        <w:rPr>
          <w:rFonts w:ascii="Palatino Linotype" w:hAnsi="Palatino Linotype"/>
          <w:bCs/>
          <w:sz w:val="24"/>
          <w:szCs w:val="24"/>
        </w:rPr>
        <w:t>e are encouraged by</w:t>
      </w:r>
      <w:r w:rsidRPr="00534D5D" w:rsidR="00A54345">
        <w:rPr>
          <w:rFonts w:ascii="Palatino Linotype" w:hAnsi="Palatino Linotype"/>
          <w:bCs/>
          <w:sz w:val="24"/>
          <w:szCs w:val="24"/>
        </w:rPr>
        <w:t xml:space="preserve"> PG&amp;E’s and</w:t>
      </w:r>
      <w:r w:rsidRPr="00534D5D" w:rsidR="007F4BA1">
        <w:rPr>
          <w:rFonts w:ascii="Palatino Linotype" w:hAnsi="Palatino Linotype"/>
          <w:bCs/>
          <w:sz w:val="24"/>
          <w:szCs w:val="24"/>
        </w:rPr>
        <w:t xml:space="preserve"> SCE’s efforts to improve the </w:t>
      </w:r>
      <w:r w:rsidRPr="00534D5D" w:rsidR="00E57CAF">
        <w:rPr>
          <w:rFonts w:ascii="Palatino Linotype" w:hAnsi="Palatino Linotype"/>
          <w:bCs/>
          <w:sz w:val="24"/>
          <w:szCs w:val="24"/>
        </w:rPr>
        <w:t xml:space="preserve">easement </w:t>
      </w:r>
      <w:r w:rsidRPr="00534D5D" w:rsidR="007F4BA1">
        <w:rPr>
          <w:rFonts w:ascii="Palatino Linotype" w:hAnsi="Palatino Linotype"/>
          <w:bCs/>
          <w:sz w:val="24"/>
          <w:szCs w:val="24"/>
        </w:rPr>
        <w:t>proces</w:t>
      </w:r>
      <w:r w:rsidRPr="00534D5D" w:rsidR="00A54345">
        <w:rPr>
          <w:rFonts w:ascii="Palatino Linotype" w:hAnsi="Palatino Linotype"/>
          <w:bCs/>
          <w:sz w:val="24"/>
          <w:szCs w:val="24"/>
        </w:rPr>
        <w:t>s</w:t>
      </w:r>
      <w:r w:rsidRPr="00534D5D" w:rsidR="00F859B2">
        <w:rPr>
          <w:rFonts w:ascii="Palatino Linotype" w:hAnsi="Palatino Linotype"/>
          <w:bCs/>
          <w:sz w:val="24"/>
          <w:szCs w:val="24"/>
        </w:rPr>
        <w:t xml:space="preserve"> and are optimistic th</w:t>
      </w:r>
      <w:r w:rsidRPr="00534D5D" w:rsidR="00A54345">
        <w:rPr>
          <w:rFonts w:ascii="Palatino Linotype" w:hAnsi="Palatino Linotype"/>
          <w:bCs/>
          <w:sz w:val="24"/>
          <w:szCs w:val="24"/>
        </w:rPr>
        <w:t>e</w:t>
      </w:r>
      <w:r w:rsidRPr="00534D5D" w:rsidR="00F859B2">
        <w:rPr>
          <w:rFonts w:ascii="Palatino Linotype" w:hAnsi="Palatino Linotype"/>
          <w:bCs/>
          <w:sz w:val="24"/>
          <w:szCs w:val="24"/>
        </w:rPr>
        <w:t>s</w:t>
      </w:r>
      <w:r w:rsidRPr="00534D5D" w:rsidR="00A54345">
        <w:rPr>
          <w:rFonts w:ascii="Palatino Linotype" w:hAnsi="Palatino Linotype"/>
          <w:bCs/>
          <w:sz w:val="24"/>
          <w:szCs w:val="24"/>
        </w:rPr>
        <w:t>e</w:t>
      </w:r>
      <w:r w:rsidRPr="00534D5D" w:rsidR="00F859B2">
        <w:rPr>
          <w:rFonts w:ascii="Palatino Linotype" w:hAnsi="Palatino Linotype"/>
          <w:bCs/>
          <w:sz w:val="24"/>
          <w:szCs w:val="24"/>
        </w:rPr>
        <w:t xml:space="preserve"> effort</w:t>
      </w:r>
      <w:r w:rsidRPr="00534D5D" w:rsidR="00A54345">
        <w:rPr>
          <w:rFonts w:ascii="Palatino Linotype" w:hAnsi="Palatino Linotype"/>
          <w:bCs/>
          <w:sz w:val="24"/>
          <w:szCs w:val="24"/>
        </w:rPr>
        <w:t>s</w:t>
      </w:r>
      <w:r w:rsidRPr="00534D5D" w:rsidR="00F859B2">
        <w:rPr>
          <w:rFonts w:ascii="Palatino Linotype" w:hAnsi="Palatino Linotype"/>
          <w:bCs/>
          <w:sz w:val="24"/>
          <w:szCs w:val="24"/>
        </w:rPr>
        <w:t xml:space="preserve"> will </w:t>
      </w:r>
      <w:r w:rsidRPr="00534D5D" w:rsidR="00F833DF">
        <w:rPr>
          <w:rFonts w:ascii="Palatino Linotype" w:hAnsi="Palatino Linotype"/>
          <w:bCs/>
          <w:sz w:val="24"/>
          <w:szCs w:val="24"/>
        </w:rPr>
        <w:t xml:space="preserve">provide </w:t>
      </w:r>
      <w:r w:rsidRPr="00534D5D" w:rsidR="00A54345">
        <w:rPr>
          <w:rFonts w:ascii="Palatino Linotype" w:hAnsi="Palatino Linotype"/>
          <w:bCs/>
          <w:sz w:val="24"/>
          <w:szCs w:val="24"/>
        </w:rPr>
        <w:t>accelerate the service energization timelines</w:t>
      </w:r>
      <w:r w:rsidRPr="00534D5D" w:rsidR="00977FC1">
        <w:rPr>
          <w:rFonts w:ascii="Palatino Linotype" w:hAnsi="Palatino Linotype"/>
          <w:bCs/>
          <w:sz w:val="24"/>
          <w:szCs w:val="24"/>
        </w:rPr>
        <w:t xml:space="preserve">, we do not have sufficient </w:t>
      </w:r>
      <w:r w:rsidRPr="00534D5D" w:rsidR="00D047B8">
        <w:rPr>
          <w:rFonts w:ascii="Palatino Linotype" w:hAnsi="Palatino Linotype"/>
          <w:bCs/>
          <w:sz w:val="24"/>
          <w:szCs w:val="24"/>
        </w:rPr>
        <w:t xml:space="preserve">data or knowledge of the process to </w:t>
      </w:r>
      <w:r w:rsidRPr="00534D5D" w:rsidR="00AC5BC6">
        <w:rPr>
          <w:rFonts w:ascii="Palatino Linotype" w:hAnsi="Palatino Linotype"/>
          <w:bCs/>
          <w:sz w:val="24"/>
          <w:szCs w:val="24"/>
        </w:rPr>
        <w:t xml:space="preserve">establish a </w:t>
      </w:r>
      <w:r w:rsidRPr="00534D5D" w:rsidR="006739ED">
        <w:rPr>
          <w:rFonts w:ascii="Palatino Linotype" w:hAnsi="Palatino Linotype"/>
          <w:bCs/>
          <w:sz w:val="24"/>
          <w:szCs w:val="24"/>
        </w:rPr>
        <w:t xml:space="preserve">broad requirement </w:t>
      </w:r>
      <w:r w:rsidRPr="00534D5D" w:rsidR="004A050E">
        <w:rPr>
          <w:rFonts w:ascii="Palatino Linotype" w:hAnsi="Palatino Linotype"/>
          <w:bCs/>
          <w:sz w:val="24"/>
          <w:szCs w:val="24"/>
        </w:rPr>
        <w:t>for the Joint IOUs</w:t>
      </w:r>
      <w:r w:rsidRPr="00534D5D" w:rsidR="00F833DF">
        <w:rPr>
          <w:rFonts w:ascii="Palatino Linotype" w:hAnsi="Palatino Linotype"/>
          <w:bCs/>
          <w:sz w:val="24"/>
          <w:szCs w:val="24"/>
        </w:rPr>
        <w:t xml:space="preserve">. </w:t>
      </w:r>
      <w:r w:rsidRPr="00534D5D" w:rsidR="004A050E">
        <w:rPr>
          <w:rFonts w:ascii="Palatino Linotype" w:hAnsi="Palatino Linotype"/>
          <w:bCs/>
          <w:sz w:val="24"/>
          <w:szCs w:val="24"/>
        </w:rPr>
        <w:t>We direct each</w:t>
      </w:r>
      <w:r w:rsidRPr="00534D5D" w:rsidR="00F833DF">
        <w:rPr>
          <w:rFonts w:ascii="Palatino Linotype" w:hAnsi="Palatino Linotype"/>
          <w:bCs/>
          <w:sz w:val="24"/>
          <w:szCs w:val="24"/>
        </w:rPr>
        <w:t xml:space="preserve"> IOU</w:t>
      </w:r>
      <w:r w:rsidRPr="00534D5D" w:rsidR="004A050E">
        <w:rPr>
          <w:rFonts w:ascii="Palatino Linotype" w:hAnsi="Palatino Linotype"/>
          <w:bCs/>
          <w:sz w:val="24"/>
          <w:szCs w:val="24"/>
        </w:rPr>
        <w:t xml:space="preserve"> to</w:t>
      </w:r>
      <w:r w:rsidRPr="00534D5D" w:rsidR="00F833DF">
        <w:rPr>
          <w:rFonts w:ascii="Palatino Linotype" w:hAnsi="Palatino Linotype"/>
          <w:bCs/>
          <w:sz w:val="24"/>
          <w:szCs w:val="24"/>
        </w:rPr>
        <w:t xml:space="preserve"> </w:t>
      </w:r>
      <w:r w:rsidRPr="00534D5D" w:rsidR="004A050E">
        <w:rPr>
          <w:rFonts w:ascii="Palatino Linotype" w:hAnsi="Palatino Linotype"/>
          <w:bCs/>
          <w:sz w:val="24"/>
          <w:szCs w:val="24"/>
        </w:rPr>
        <w:t>develop processes</w:t>
      </w:r>
      <w:r w:rsidRPr="00534D5D" w:rsidR="00F833DF">
        <w:rPr>
          <w:rFonts w:ascii="Palatino Linotype" w:hAnsi="Palatino Linotype"/>
          <w:bCs/>
          <w:sz w:val="24"/>
          <w:szCs w:val="24"/>
        </w:rPr>
        <w:t xml:space="preserve"> that are either </w:t>
      </w:r>
      <w:proofErr w:type="gramStart"/>
      <w:r w:rsidRPr="00534D5D" w:rsidR="00F833DF">
        <w:rPr>
          <w:rFonts w:ascii="Palatino Linotype" w:hAnsi="Palatino Linotype"/>
          <w:bCs/>
          <w:sz w:val="24"/>
          <w:szCs w:val="24"/>
        </w:rPr>
        <w:t>similar to</w:t>
      </w:r>
      <w:proofErr w:type="gramEnd"/>
      <w:r w:rsidRPr="00534D5D" w:rsidR="00F833DF">
        <w:rPr>
          <w:rFonts w:ascii="Palatino Linotype" w:hAnsi="Palatino Linotype"/>
          <w:bCs/>
          <w:sz w:val="24"/>
          <w:szCs w:val="24"/>
        </w:rPr>
        <w:t xml:space="preserve"> those taken by PG&amp;E and SCE, or </w:t>
      </w:r>
      <w:r w:rsidRPr="00534D5D" w:rsidR="00A114C4">
        <w:rPr>
          <w:rFonts w:ascii="Palatino Linotype" w:hAnsi="Palatino Linotype"/>
          <w:bCs/>
          <w:sz w:val="24"/>
          <w:szCs w:val="24"/>
        </w:rPr>
        <w:t>a new path to simplify and expedite the easement process.</w:t>
      </w:r>
      <w:r w:rsidRPr="00534D5D" w:rsidR="002211FD">
        <w:rPr>
          <w:rFonts w:ascii="Palatino Linotype" w:hAnsi="Palatino Linotype"/>
          <w:bCs/>
          <w:sz w:val="24"/>
          <w:szCs w:val="24"/>
        </w:rPr>
        <w:t xml:space="preserve"> </w:t>
      </w:r>
      <w:r w:rsidRPr="00534D5D" w:rsidR="00A114C4">
        <w:rPr>
          <w:rFonts w:ascii="Palatino Linotype" w:hAnsi="Palatino Linotype"/>
          <w:bCs/>
          <w:sz w:val="24"/>
          <w:szCs w:val="24"/>
        </w:rPr>
        <w:t xml:space="preserve"> </w:t>
      </w:r>
    </w:p>
    <w:p w:rsidRPr="00534D5D" w:rsidR="008F6087" w:rsidP="005326FC" w:rsidRDefault="009B7F15" w14:paraId="7D30D7B2" w14:textId="78378CF4">
      <w:pPr>
        <w:rPr>
          <w:rFonts w:ascii="Palatino Linotype" w:hAnsi="Palatino Linotype"/>
          <w:bCs/>
          <w:sz w:val="24"/>
          <w:szCs w:val="24"/>
        </w:rPr>
      </w:pPr>
      <w:r w:rsidRPr="00534D5D">
        <w:rPr>
          <w:rFonts w:ascii="Palatino Linotype" w:hAnsi="Palatino Linotype"/>
          <w:b/>
          <w:sz w:val="24"/>
          <w:szCs w:val="24"/>
        </w:rPr>
        <w:t>We direct</w:t>
      </w:r>
      <w:r w:rsidRPr="00534D5D">
        <w:rPr>
          <w:rFonts w:ascii="Palatino Linotype" w:hAnsi="Palatino Linotype"/>
          <w:b/>
          <w:i/>
          <w:iCs/>
          <w:sz w:val="24"/>
          <w:szCs w:val="24"/>
        </w:rPr>
        <w:t xml:space="preserve"> </w:t>
      </w:r>
      <w:r w:rsidRPr="00534D5D">
        <w:rPr>
          <w:rFonts w:ascii="Palatino Linotype" w:hAnsi="Palatino Linotype"/>
          <w:b/>
          <w:sz w:val="24"/>
          <w:szCs w:val="24"/>
        </w:rPr>
        <w:t xml:space="preserve">each IOU to conduct meetings with EVSP customers </w:t>
      </w:r>
      <w:r w:rsidRPr="00534D5D" w:rsidR="00E17839">
        <w:rPr>
          <w:rFonts w:ascii="Palatino Linotype" w:hAnsi="Palatino Linotype"/>
          <w:b/>
          <w:sz w:val="24"/>
          <w:szCs w:val="24"/>
        </w:rPr>
        <w:t>quarterly</w:t>
      </w:r>
      <w:r w:rsidRPr="00534D5D">
        <w:rPr>
          <w:rFonts w:ascii="Palatino Linotype" w:hAnsi="Palatino Linotype"/>
          <w:b/>
          <w:sz w:val="24"/>
          <w:szCs w:val="24"/>
        </w:rPr>
        <w:t>, at minimum, to improve communication</w:t>
      </w:r>
      <w:r w:rsidRPr="00534D5D" w:rsidR="00FE1A47">
        <w:rPr>
          <w:rFonts w:ascii="Palatino Linotype" w:hAnsi="Palatino Linotype"/>
          <w:bCs/>
          <w:sz w:val="24"/>
          <w:szCs w:val="24"/>
        </w:rPr>
        <w:t xml:space="preserve">. </w:t>
      </w:r>
      <w:r w:rsidRPr="00534D5D" w:rsidR="008F6087">
        <w:rPr>
          <w:rFonts w:ascii="Palatino Linotype" w:hAnsi="Palatino Linotype"/>
          <w:bCs/>
          <w:sz w:val="24"/>
          <w:szCs w:val="24"/>
        </w:rPr>
        <w:t xml:space="preserve">The Joint IOU AL </w:t>
      </w:r>
      <w:r w:rsidRPr="00534D5D" w:rsidR="009751C2">
        <w:rPr>
          <w:rFonts w:ascii="Palatino Linotype" w:hAnsi="Palatino Linotype"/>
          <w:bCs/>
          <w:sz w:val="24"/>
          <w:szCs w:val="24"/>
        </w:rPr>
        <w:t>states that some IOUs host recurring meetings with many of the major EVSP customers on a biweekly or monthly basis</w:t>
      </w:r>
      <w:r w:rsidRPr="00534D5D" w:rsidR="00997B94">
        <w:rPr>
          <w:rFonts w:ascii="Palatino Linotype" w:hAnsi="Palatino Linotype"/>
          <w:bCs/>
          <w:sz w:val="24"/>
          <w:szCs w:val="24"/>
        </w:rPr>
        <w:t xml:space="preserve"> to improve communication and </w:t>
      </w:r>
      <w:r w:rsidRPr="00534D5D" w:rsidR="00620945">
        <w:rPr>
          <w:rFonts w:ascii="Palatino Linotype" w:hAnsi="Palatino Linotype"/>
          <w:bCs/>
          <w:sz w:val="24"/>
          <w:szCs w:val="24"/>
        </w:rPr>
        <w:t>inform</w:t>
      </w:r>
      <w:r w:rsidRPr="00534D5D" w:rsidR="00997B94">
        <w:rPr>
          <w:rFonts w:ascii="Palatino Linotype" w:hAnsi="Palatino Linotype"/>
          <w:bCs/>
          <w:sz w:val="24"/>
          <w:szCs w:val="24"/>
        </w:rPr>
        <w:t xml:space="preserve"> customers about the </w:t>
      </w:r>
      <w:r w:rsidRPr="00534D5D" w:rsidR="00C97BE0">
        <w:rPr>
          <w:rFonts w:ascii="Palatino Linotype" w:hAnsi="Palatino Linotype"/>
          <w:bCs/>
          <w:sz w:val="24"/>
          <w:szCs w:val="24"/>
        </w:rPr>
        <w:t>EV Infrastructure Rule processes</w:t>
      </w:r>
      <w:r w:rsidRPr="00534D5D" w:rsidR="00AA46C3">
        <w:rPr>
          <w:rFonts w:ascii="Palatino Linotype" w:hAnsi="Palatino Linotype"/>
          <w:bCs/>
          <w:sz w:val="24"/>
          <w:szCs w:val="24"/>
        </w:rPr>
        <w:t xml:space="preserve">. </w:t>
      </w:r>
    </w:p>
    <w:p w:rsidRPr="00534D5D" w:rsidR="00EB24F6" w:rsidP="00AD5BC2" w:rsidRDefault="00C02EE6" w14:paraId="2DC45EF5" w14:textId="2893BC82">
      <w:pPr>
        <w:rPr>
          <w:rFonts w:ascii="Palatino Linotype" w:hAnsi="Palatino Linotype"/>
          <w:bCs/>
          <w:sz w:val="24"/>
          <w:szCs w:val="24"/>
        </w:rPr>
      </w:pPr>
      <w:r w:rsidRPr="00534D5D">
        <w:rPr>
          <w:rFonts w:ascii="Palatino Linotype" w:hAnsi="Palatino Linotype"/>
          <w:bCs/>
          <w:sz w:val="24"/>
          <w:szCs w:val="24"/>
        </w:rPr>
        <w:t xml:space="preserve">We </w:t>
      </w:r>
      <w:r w:rsidRPr="00534D5D" w:rsidR="00F16313">
        <w:rPr>
          <w:rFonts w:ascii="Palatino Linotype" w:hAnsi="Palatino Linotype"/>
          <w:bCs/>
          <w:sz w:val="24"/>
          <w:szCs w:val="24"/>
        </w:rPr>
        <w:t>support the</w:t>
      </w:r>
      <w:r w:rsidRPr="00534D5D" w:rsidR="00620945">
        <w:rPr>
          <w:rFonts w:ascii="Palatino Linotype" w:hAnsi="Palatino Linotype"/>
          <w:bCs/>
          <w:sz w:val="24"/>
          <w:szCs w:val="24"/>
        </w:rPr>
        <w:t xml:space="preserve"> Joint</w:t>
      </w:r>
      <w:r w:rsidRPr="00534D5D" w:rsidR="00F16313">
        <w:rPr>
          <w:rFonts w:ascii="Palatino Linotype" w:hAnsi="Palatino Linotype"/>
          <w:bCs/>
          <w:sz w:val="24"/>
          <w:szCs w:val="24"/>
        </w:rPr>
        <w:t xml:space="preserve"> IOUs current efforts to host recurring meetings with their major EVSP customers. Improving communication and information sharing between the customer and </w:t>
      </w:r>
      <w:r w:rsidRPr="00534D5D" w:rsidR="00B2320C">
        <w:rPr>
          <w:rFonts w:ascii="Palatino Linotype" w:hAnsi="Palatino Linotype"/>
          <w:bCs/>
          <w:sz w:val="24"/>
          <w:szCs w:val="24"/>
        </w:rPr>
        <w:t>IOU</w:t>
      </w:r>
      <w:r w:rsidRPr="00534D5D" w:rsidR="00F16313">
        <w:rPr>
          <w:rFonts w:ascii="Palatino Linotype" w:hAnsi="Palatino Linotype"/>
          <w:bCs/>
          <w:sz w:val="24"/>
          <w:szCs w:val="24"/>
        </w:rPr>
        <w:t xml:space="preserve"> is essential to ensuring </w:t>
      </w:r>
      <w:r w:rsidRPr="00534D5D" w:rsidR="008F4BF9">
        <w:rPr>
          <w:rFonts w:ascii="Palatino Linotype" w:hAnsi="Palatino Linotype"/>
          <w:bCs/>
          <w:sz w:val="24"/>
          <w:szCs w:val="24"/>
        </w:rPr>
        <w:t>the</w:t>
      </w:r>
      <w:r w:rsidRPr="00534D5D" w:rsidR="00F16313">
        <w:rPr>
          <w:rFonts w:ascii="Palatino Linotype" w:hAnsi="Palatino Linotype"/>
          <w:bCs/>
          <w:sz w:val="24"/>
          <w:szCs w:val="24"/>
        </w:rPr>
        <w:t xml:space="preserve"> timel</w:t>
      </w:r>
      <w:r w:rsidRPr="00534D5D" w:rsidR="008F4BF9">
        <w:rPr>
          <w:rFonts w:ascii="Palatino Linotype" w:hAnsi="Palatino Linotype"/>
          <w:bCs/>
          <w:sz w:val="24"/>
          <w:szCs w:val="24"/>
        </w:rPr>
        <w:t>y</w:t>
      </w:r>
      <w:r w:rsidRPr="00534D5D" w:rsidR="00B2320C">
        <w:rPr>
          <w:rFonts w:ascii="Palatino Linotype" w:hAnsi="Palatino Linotype"/>
          <w:bCs/>
          <w:sz w:val="24"/>
          <w:szCs w:val="24"/>
        </w:rPr>
        <w:t xml:space="preserve"> service</w:t>
      </w:r>
      <w:r w:rsidRPr="00534D5D" w:rsidR="008F4BF9">
        <w:rPr>
          <w:rFonts w:ascii="Palatino Linotype" w:hAnsi="Palatino Linotype"/>
          <w:bCs/>
          <w:sz w:val="24"/>
          <w:szCs w:val="24"/>
        </w:rPr>
        <w:t xml:space="preserve"> energization of the EVSE. </w:t>
      </w:r>
      <w:r w:rsidRPr="00534D5D" w:rsidR="00FB085D">
        <w:rPr>
          <w:rFonts w:ascii="Palatino Linotype" w:hAnsi="Palatino Linotype"/>
          <w:bCs/>
          <w:sz w:val="24"/>
          <w:szCs w:val="24"/>
        </w:rPr>
        <w:t>W</w:t>
      </w:r>
      <w:r w:rsidRPr="00534D5D" w:rsidR="00355F32">
        <w:rPr>
          <w:rFonts w:ascii="Palatino Linotype" w:hAnsi="Palatino Linotype"/>
          <w:bCs/>
          <w:sz w:val="24"/>
          <w:szCs w:val="24"/>
        </w:rPr>
        <w:t>hile monthly meeting may be unnecessary and burdensome, w</w:t>
      </w:r>
      <w:r w:rsidRPr="00534D5D" w:rsidR="00FB085D">
        <w:rPr>
          <w:rFonts w:ascii="Palatino Linotype" w:hAnsi="Palatino Linotype"/>
          <w:bCs/>
          <w:sz w:val="24"/>
          <w:szCs w:val="24"/>
        </w:rPr>
        <w:t>e</w:t>
      </w:r>
      <w:r w:rsidRPr="00534D5D" w:rsidR="002D235A">
        <w:rPr>
          <w:rFonts w:ascii="Palatino Linotype" w:hAnsi="Palatino Linotype"/>
          <w:bCs/>
          <w:sz w:val="24"/>
          <w:szCs w:val="24"/>
        </w:rPr>
        <w:t xml:space="preserve"> </w:t>
      </w:r>
      <w:r w:rsidRPr="00534D5D" w:rsidR="00FB085D">
        <w:rPr>
          <w:rFonts w:ascii="Palatino Linotype" w:hAnsi="Palatino Linotype"/>
          <w:bCs/>
          <w:sz w:val="24"/>
          <w:szCs w:val="24"/>
        </w:rPr>
        <w:t>direct each</w:t>
      </w:r>
      <w:r w:rsidRPr="00534D5D" w:rsidR="002D235A">
        <w:rPr>
          <w:rFonts w:ascii="Palatino Linotype" w:hAnsi="Palatino Linotype"/>
          <w:bCs/>
          <w:sz w:val="24"/>
          <w:szCs w:val="24"/>
        </w:rPr>
        <w:t xml:space="preserve"> IOU </w:t>
      </w:r>
      <w:r w:rsidRPr="00534D5D" w:rsidR="00FB085D">
        <w:rPr>
          <w:rFonts w:ascii="Palatino Linotype" w:hAnsi="Palatino Linotype"/>
          <w:bCs/>
          <w:sz w:val="24"/>
          <w:szCs w:val="24"/>
        </w:rPr>
        <w:t>to</w:t>
      </w:r>
      <w:r w:rsidRPr="00534D5D" w:rsidR="002D235A">
        <w:rPr>
          <w:rFonts w:ascii="Palatino Linotype" w:hAnsi="Palatino Linotype"/>
          <w:bCs/>
          <w:sz w:val="24"/>
          <w:szCs w:val="24"/>
        </w:rPr>
        <w:t xml:space="preserve"> </w:t>
      </w:r>
      <w:r w:rsidRPr="00534D5D" w:rsidR="004F4A7D">
        <w:rPr>
          <w:rFonts w:ascii="Palatino Linotype" w:hAnsi="Palatino Linotype"/>
          <w:bCs/>
          <w:sz w:val="24"/>
          <w:szCs w:val="24"/>
        </w:rPr>
        <w:t>start conducting regular</w:t>
      </w:r>
      <w:r w:rsidRPr="00534D5D" w:rsidR="00FB085D">
        <w:rPr>
          <w:rFonts w:ascii="Palatino Linotype" w:hAnsi="Palatino Linotype"/>
          <w:bCs/>
          <w:sz w:val="24"/>
          <w:szCs w:val="24"/>
        </w:rPr>
        <w:t xml:space="preserve"> </w:t>
      </w:r>
      <w:r w:rsidRPr="00534D5D" w:rsidR="003709F4">
        <w:rPr>
          <w:rFonts w:ascii="Palatino Linotype" w:hAnsi="Palatino Linotype"/>
          <w:bCs/>
          <w:sz w:val="24"/>
          <w:szCs w:val="24"/>
        </w:rPr>
        <w:t xml:space="preserve">quarterly </w:t>
      </w:r>
      <w:r w:rsidRPr="00534D5D" w:rsidR="004F4A7D">
        <w:rPr>
          <w:rFonts w:ascii="Palatino Linotype" w:hAnsi="Palatino Linotype"/>
          <w:bCs/>
          <w:sz w:val="24"/>
          <w:szCs w:val="24"/>
        </w:rPr>
        <w:t xml:space="preserve">meetings with major EVSP customers </w:t>
      </w:r>
      <w:r w:rsidRPr="00534D5D" w:rsidR="00FB085D">
        <w:rPr>
          <w:rFonts w:ascii="Palatino Linotype" w:hAnsi="Palatino Linotype"/>
          <w:bCs/>
          <w:sz w:val="24"/>
          <w:szCs w:val="24"/>
        </w:rPr>
        <w:t>within their service territory</w:t>
      </w:r>
      <w:r w:rsidRPr="00534D5D" w:rsidR="004F4A7D">
        <w:rPr>
          <w:rFonts w:ascii="Palatino Linotype" w:hAnsi="Palatino Linotype"/>
          <w:bCs/>
          <w:sz w:val="24"/>
          <w:szCs w:val="24"/>
        </w:rPr>
        <w:t xml:space="preserve"> to improve communication and inform the customer about new service </w:t>
      </w:r>
      <w:r w:rsidRPr="00534D5D" w:rsidR="004F4A7D">
        <w:rPr>
          <w:rFonts w:ascii="Palatino Linotype" w:hAnsi="Palatino Linotype"/>
          <w:bCs/>
          <w:sz w:val="24"/>
          <w:szCs w:val="24"/>
        </w:rPr>
        <w:lastRenderedPageBreak/>
        <w:t>processes, help the customer plan their applications, and avoid miscommunications</w:t>
      </w:r>
      <w:r w:rsidRPr="00534D5D" w:rsidR="001A4AE4">
        <w:rPr>
          <w:rFonts w:ascii="Palatino Linotype" w:hAnsi="Palatino Linotype"/>
          <w:bCs/>
          <w:sz w:val="24"/>
          <w:szCs w:val="24"/>
        </w:rPr>
        <w:t>. The IOU</w:t>
      </w:r>
      <w:r w:rsidRPr="00534D5D" w:rsidR="00346188">
        <w:rPr>
          <w:rFonts w:ascii="Palatino Linotype" w:hAnsi="Palatino Linotype"/>
          <w:bCs/>
          <w:sz w:val="24"/>
          <w:szCs w:val="24"/>
        </w:rPr>
        <w:t>s</w:t>
      </w:r>
      <w:r w:rsidRPr="00534D5D" w:rsidR="001A4AE4">
        <w:rPr>
          <w:rFonts w:ascii="Palatino Linotype" w:hAnsi="Palatino Linotype"/>
          <w:bCs/>
          <w:sz w:val="24"/>
          <w:szCs w:val="24"/>
        </w:rPr>
        <w:t xml:space="preserve"> shall record all incremental costs associated with these efforts in their EV Infrastructure Rule Memorandum Accounts to seek recovery through their GRC.</w:t>
      </w:r>
    </w:p>
    <w:p w:rsidRPr="00534D5D" w:rsidR="00BC4B3A" w:rsidP="00AD5BC2" w:rsidRDefault="00BC4B3A" w14:paraId="659E09D8" w14:textId="77777777">
      <w:pPr>
        <w:rPr>
          <w:rFonts w:ascii="Palatino Linotype" w:hAnsi="Palatino Linotype"/>
          <w:b/>
          <w:sz w:val="24"/>
          <w:szCs w:val="24"/>
        </w:rPr>
      </w:pPr>
    </w:p>
    <w:p w:rsidRPr="00534D5D" w:rsidR="00BC4B3A" w:rsidP="00AD5BC2" w:rsidRDefault="00BC4B3A" w14:paraId="608CAEF8" w14:textId="77777777">
      <w:pPr>
        <w:rPr>
          <w:rFonts w:ascii="Palatino Linotype" w:hAnsi="Palatino Linotype"/>
          <w:b/>
          <w:sz w:val="24"/>
          <w:szCs w:val="24"/>
        </w:rPr>
      </w:pPr>
    </w:p>
    <w:p w:rsidRPr="00534D5D" w:rsidR="00BC4B3A" w:rsidP="00AD5BC2" w:rsidRDefault="00374D37" w14:paraId="6819BC14" w14:textId="77777777">
      <w:pPr>
        <w:rPr>
          <w:rFonts w:ascii="Palatino Linotype" w:hAnsi="Palatino Linotype"/>
          <w:bCs/>
          <w:sz w:val="24"/>
          <w:szCs w:val="24"/>
        </w:rPr>
      </w:pPr>
      <w:r w:rsidRPr="00534D5D">
        <w:rPr>
          <w:rFonts w:ascii="Palatino Linotype" w:hAnsi="Palatino Linotype"/>
          <w:b/>
          <w:sz w:val="24"/>
          <w:szCs w:val="24"/>
        </w:rPr>
        <w:t xml:space="preserve">We direct the IOUs to record </w:t>
      </w:r>
      <w:r w:rsidRPr="00534D5D" w:rsidR="009B70D8">
        <w:rPr>
          <w:rFonts w:ascii="Palatino Linotype" w:hAnsi="Palatino Linotype"/>
          <w:b/>
          <w:sz w:val="24"/>
          <w:szCs w:val="24"/>
        </w:rPr>
        <w:t xml:space="preserve">within their EV Infrastructure Rule data collection efforts all </w:t>
      </w:r>
      <w:r w:rsidRPr="00534D5D" w:rsidR="006204FF">
        <w:rPr>
          <w:rFonts w:ascii="Palatino Linotype" w:hAnsi="Palatino Linotype"/>
          <w:b/>
          <w:sz w:val="24"/>
          <w:szCs w:val="24"/>
        </w:rPr>
        <w:t xml:space="preserve">delays in </w:t>
      </w:r>
      <w:r w:rsidRPr="00534D5D" w:rsidR="00425D4E">
        <w:rPr>
          <w:rFonts w:ascii="Palatino Linotype" w:hAnsi="Palatino Linotype"/>
          <w:b/>
          <w:sz w:val="24"/>
          <w:szCs w:val="24"/>
        </w:rPr>
        <w:t>processes that are under the IOUs’ direct control</w:t>
      </w:r>
      <w:r w:rsidRPr="00534D5D" w:rsidR="006204FF">
        <w:rPr>
          <w:rFonts w:ascii="Palatino Linotype" w:hAnsi="Palatino Linotype"/>
          <w:b/>
          <w:sz w:val="24"/>
          <w:szCs w:val="24"/>
        </w:rPr>
        <w:t xml:space="preserve"> </w:t>
      </w:r>
      <w:r w:rsidRPr="00534D5D" w:rsidR="00A31D24">
        <w:rPr>
          <w:rFonts w:ascii="Palatino Linotype" w:hAnsi="Palatino Linotype"/>
          <w:b/>
          <w:sz w:val="24"/>
          <w:szCs w:val="24"/>
        </w:rPr>
        <w:t xml:space="preserve">that are impacted by </w:t>
      </w:r>
      <w:r w:rsidRPr="00534D5D" w:rsidR="009B70D8">
        <w:rPr>
          <w:rFonts w:ascii="Palatino Linotype" w:hAnsi="Palatino Linotype"/>
          <w:b/>
          <w:sz w:val="24"/>
          <w:szCs w:val="24"/>
        </w:rPr>
        <w:t>factors outside of their control.</w:t>
      </w:r>
      <w:r w:rsidRPr="00534D5D" w:rsidR="00502FF9">
        <w:rPr>
          <w:rFonts w:ascii="Palatino Linotype" w:hAnsi="Palatino Linotype"/>
          <w:bCs/>
          <w:sz w:val="24"/>
          <w:szCs w:val="24"/>
        </w:rPr>
        <w:t xml:space="preserve"> </w:t>
      </w:r>
    </w:p>
    <w:p w:rsidRPr="00534D5D" w:rsidR="00E74744" w:rsidP="00AD5BC2" w:rsidRDefault="005A4816" w14:paraId="378C573D" w14:textId="102149D2">
      <w:pPr>
        <w:rPr>
          <w:rFonts w:ascii="Palatino Linotype" w:hAnsi="Palatino Linotype"/>
          <w:bCs/>
          <w:sz w:val="24"/>
          <w:szCs w:val="24"/>
        </w:rPr>
      </w:pPr>
      <w:r w:rsidRPr="00534D5D">
        <w:rPr>
          <w:rFonts w:ascii="Palatino Linotype" w:hAnsi="Palatino Linotype"/>
          <w:bCs/>
          <w:sz w:val="24"/>
          <w:szCs w:val="24"/>
        </w:rPr>
        <w:t>T</w:t>
      </w:r>
      <w:r w:rsidRPr="00534D5D" w:rsidR="00EB24F6">
        <w:rPr>
          <w:rFonts w:ascii="Palatino Linotype" w:hAnsi="Palatino Linotype"/>
          <w:bCs/>
          <w:sz w:val="24"/>
          <w:szCs w:val="24"/>
        </w:rPr>
        <w:t xml:space="preserve">he Joint IOUs note that there are some processes that are under the </w:t>
      </w:r>
      <w:r w:rsidRPr="00534D5D" w:rsidR="00425D4E">
        <w:rPr>
          <w:rFonts w:ascii="Palatino Linotype" w:hAnsi="Palatino Linotype"/>
          <w:bCs/>
          <w:sz w:val="24"/>
          <w:szCs w:val="24"/>
        </w:rPr>
        <w:t>IOUs’</w:t>
      </w:r>
      <w:r w:rsidRPr="00534D5D" w:rsidR="00EB24F6">
        <w:rPr>
          <w:rFonts w:ascii="Palatino Linotype" w:hAnsi="Palatino Linotype"/>
          <w:bCs/>
          <w:sz w:val="24"/>
          <w:szCs w:val="24"/>
        </w:rPr>
        <w:t xml:space="preserve"> control, but that cannot reasonably be conducted faster</w:t>
      </w:r>
      <w:r w:rsidRPr="00534D5D" w:rsidR="006A7B21">
        <w:rPr>
          <w:rFonts w:ascii="Palatino Linotype" w:hAnsi="Palatino Linotype"/>
          <w:bCs/>
          <w:sz w:val="24"/>
          <w:szCs w:val="24"/>
        </w:rPr>
        <w:t xml:space="preserve">, such as utility construction timelines. The Joint IOUs cite to </w:t>
      </w:r>
      <w:r w:rsidRPr="00534D5D" w:rsidR="007508CF">
        <w:rPr>
          <w:rFonts w:ascii="Palatino Linotype" w:hAnsi="Palatino Linotype"/>
          <w:bCs/>
          <w:sz w:val="24"/>
          <w:szCs w:val="24"/>
        </w:rPr>
        <w:t xml:space="preserve">material shortages due to the ongoing global supply chain disruption that is outside of their control and </w:t>
      </w:r>
      <w:r w:rsidRPr="00534D5D" w:rsidR="00AF6295">
        <w:rPr>
          <w:rFonts w:ascii="Palatino Linotype" w:hAnsi="Palatino Linotype"/>
          <w:bCs/>
          <w:sz w:val="24"/>
          <w:szCs w:val="24"/>
        </w:rPr>
        <w:t>may</w:t>
      </w:r>
      <w:r w:rsidRPr="00534D5D" w:rsidR="007508CF">
        <w:rPr>
          <w:rFonts w:ascii="Palatino Linotype" w:hAnsi="Palatino Linotype"/>
          <w:bCs/>
          <w:sz w:val="24"/>
          <w:szCs w:val="24"/>
        </w:rPr>
        <w:t xml:space="preserve"> have impacts on the average timelines</w:t>
      </w:r>
      <w:r w:rsidRPr="00534D5D" w:rsidR="004B0EC0">
        <w:rPr>
          <w:rFonts w:ascii="Palatino Linotype" w:hAnsi="Palatino Linotype"/>
          <w:bCs/>
          <w:sz w:val="24"/>
          <w:szCs w:val="24"/>
        </w:rPr>
        <w:t>. They additionally cite to the need to avoid compromising safety or not complying with local regulations, such as Liberty</w:t>
      </w:r>
      <w:r w:rsidRPr="00534D5D" w:rsidR="00AF6295">
        <w:rPr>
          <w:rFonts w:ascii="Palatino Linotype" w:hAnsi="Palatino Linotype"/>
          <w:bCs/>
          <w:sz w:val="24"/>
          <w:szCs w:val="24"/>
        </w:rPr>
        <w:t xml:space="preserve"> being unable to conduct excavations during the winter months due to environmental regulations. </w:t>
      </w:r>
    </w:p>
    <w:p w:rsidRPr="00534D5D" w:rsidR="006B7292" w:rsidP="00AD5BC2" w:rsidRDefault="00AF6295" w14:paraId="46421986" w14:textId="37DE00B5">
      <w:pPr>
        <w:rPr>
          <w:rFonts w:ascii="Palatino Linotype" w:hAnsi="Palatino Linotype"/>
          <w:bCs/>
          <w:sz w:val="24"/>
          <w:szCs w:val="24"/>
        </w:rPr>
      </w:pPr>
      <w:r w:rsidRPr="00534D5D">
        <w:rPr>
          <w:rFonts w:ascii="Palatino Linotype" w:hAnsi="Palatino Linotype"/>
          <w:bCs/>
          <w:sz w:val="24"/>
          <w:szCs w:val="24"/>
        </w:rPr>
        <w:t>We acknowledge the</w:t>
      </w:r>
      <w:r w:rsidRPr="00534D5D" w:rsidR="00E2031D">
        <w:rPr>
          <w:rFonts w:ascii="Palatino Linotype" w:hAnsi="Palatino Linotype"/>
          <w:bCs/>
          <w:sz w:val="24"/>
          <w:szCs w:val="24"/>
        </w:rPr>
        <w:t>re are</w:t>
      </w:r>
      <w:r w:rsidRPr="00534D5D">
        <w:rPr>
          <w:rFonts w:ascii="Palatino Linotype" w:hAnsi="Palatino Linotype"/>
          <w:bCs/>
          <w:sz w:val="24"/>
          <w:szCs w:val="24"/>
        </w:rPr>
        <w:t xml:space="preserve"> many factors that may appear to be within the IOU’s control, but </w:t>
      </w:r>
      <w:r w:rsidRPr="00534D5D" w:rsidR="00CB51EC">
        <w:rPr>
          <w:rFonts w:ascii="Palatino Linotype" w:hAnsi="Palatino Linotype"/>
          <w:bCs/>
          <w:sz w:val="24"/>
          <w:szCs w:val="24"/>
        </w:rPr>
        <w:t xml:space="preserve">are </w:t>
      </w:r>
      <w:r w:rsidRPr="00534D5D" w:rsidR="00482CA6">
        <w:rPr>
          <w:rFonts w:ascii="Palatino Linotype" w:hAnsi="Palatino Linotype"/>
          <w:bCs/>
          <w:sz w:val="24"/>
          <w:szCs w:val="24"/>
        </w:rPr>
        <w:t xml:space="preserve">delayed for an outside reason, such as </w:t>
      </w:r>
      <w:r w:rsidRPr="00534D5D" w:rsidR="00CB51EC">
        <w:rPr>
          <w:rFonts w:ascii="Palatino Linotype" w:hAnsi="Palatino Linotype"/>
          <w:bCs/>
          <w:sz w:val="24"/>
          <w:szCs w:val="24"/>
        </w:rPr>
        <w:t>safety requirements,</w:t>
      </w:r>
      <w:r w:rsidRPr="00534D5D" w:rsidR="00482CA6">
        <w:rPr>
          <w:rFonts w:ascii="Palatino Linotype" w:hAnsi="Palatino Linotype"/>
          <w:bCs/>
          <w:sz w:val="24"/>
          <w:szCs w:val="24"/>
        </w:rPr>
        <w:t xml:space="preserve"> local regulations</w:t>
      </w:r>
      <w:r w:rsidRPr="00534D5D" w:rsidR="00CB51EC">
        <w:rPr>
          <w:rFonts w:ascii="Palatino Linotype" w:hAnsi="Palatino Linotype"/>
          <w:bCs/>
          <w:sz w:val="24"/>
          <w:szCs w:val="24"/>
        </w:rPr>
        <w:t>,</w:t>
      </w:r>
      <w:r w:rsidRPr="00534D5D" w:rsidR="00482CA6">
        <w:rPr>
          <w:rFonts w:ascii="Palatino Linotype" w:hAnsi="Palatino Linotype"/>
          <w:bCs/>
          <w:sz w:val="24"/>
          <w:szCs w:val="24"/>
        </w:rPr>
        <w:t xml:space="preserve"> or supply chain issues.</w:t>
      </w:r>
      <w:r w:rsidRPr="00534D5D" w:rsidR="009E5CBC">
        <w:rPr>
          <w:rFonts w:ascii="Palatino Linotype" w:hAnsi="Palatino Linotype"/>
          <w:bCs/>
          <w:sz w:val="24"/>
          <w:szCs w:val="24"/>
        </w:rPr>
        <w:t xml:space="preserve"> T</w:t>
      </w:r>
      <w:r w:rsidRPr="00534D5D" w:rsidR="00482CA6">
        <w:rPr>
          <w:rFonts w:ascii="Palatino Linotype" w:hAnsi="Palatino Linotype"/>
          <w:bCs/>
          <w:sz w:val="24"/>
          <w:szCs w:val="24"/>
        </w:rPr>
        <w:t xml:space="preserve">he IOUs </w:t>
      </w:r>
      <w:r w:rsidRPr="00534D5D" w:rsidR="00ED15C4">
        <w:rPr>
          <w:rFonts w:ascii="Palatino Linotype" w:hAnsi="Palatino Linotype"/>
          <w:bCs/>
          <w:sz w:val="24"/>
          <w:szCs w:val="24"/>
        </w:rPr>
        <w:t>shall</w:t>
      </w:r>
      <w:r w:rsidRPr="00534D5D" w:rsidR="00482CA6">
        <w:rPr>
          <w:rFonts w:ascii="Palatino Linotype" w:hAnsi="Palatino Linotype"/>
          <w:bCs/>
          <w:sz w:val="24"/>
          <w:szCs w:val="24"/>
        </w:rPr>
        <w:t xml:space="preserve"> continue to </w:t>
      </w:r>
      <w:r w:rsidRPr="00534D5D" w:rsidR="00D60394">
        <w:rPr>
          <w:rFonts w:ascii="Palatino Linotype" w:hAnsi="Palatino Linotype"/>
          <w:bCs/>
          <w:sz w:val="24"/>
          <w:szCs w:val="24"/>
        </w:rPr>
        <w:t xml:space="preserve">find ways to improve the energization timeline for </w:t>
      </w:r>
      <w:r w:rsidRPr="00534D5D" w:rsidR="00787111">
        <w:rPr>
          <w:rFonts w:ascii="Palatino Linotype" w:hAnsi="Palatino Linotype"/>
          <w:bCs/>
          <w:sz w:val="24"/>
          <w:szCs w:val="24"/>
        </w:rPr>
        <w:t xml:space="preserve">items </w:t>
      </w:r>
      <w:r w:rsidRPr="00534D5D" w:rsidR="00CB51EC">
        <w:rPr>
          <w:rFonts w:ascii="Palatino Linotype" w:hAnsi="Palatino Linotype"/>
          <w:bCs/>
          <w:sz w:val="24"/>
          <w:szCs w:val="24"/>
        </w:rPr>
        <w:t>a</w:t>
      </w:r>
      <w:r w:rsidRPr="00534D5D" w:rsidR="00787111">
        <w:rPr>
          <w:rFonts w:ascii="Palatino Linotype" w:hAnsi="Palatino Linotype"/>
          <w:bCs/>
          <w:sz w:val="24"/>
          <w:szCs w:val="24"/>
        </w:rPr>
        <w:t xml:space="preserve">ffecting steps within their control. The IOUs shall </w:t>
      </w:r>
      <w:r w:rsidRPr="00534D5D" w:rsidR="00ED15C4">
        <w:rPr>
          <w:rFonts w:ascii="Palatino Linotype" w:hAnsi="Palatino Linotype"/>
          <w:bCs/>
          <w:sz w:val="24"/>
          <w:szCs w:val="24"/>
        </w:rPr>
        <w:t>record</w:t>
      </w:r>
      <w:r w:rsidRPr="00534D5D" w:rsidR="001C7396">
        <w:rPr>
          <w:rFonts w:ascii="Palatino Linotype" w:hAnsi="Palatino Linotype"/>
          <w:bCs/>
          <w:sz w:val="24"/>
          <w:szCs w:val="24"/>
        </w:rPr>
        <w:t xml:space="preserve"> </w:t>
      </w:r>
      <w:r w:rsidRPr="00534D5D" w:rsidR="00267B48">
        <w:rPr>
          <w:rFonts w:ascii="Palatino Linotype" w:hAnsi="Palatino Linotype"/>
          <w:bCs/>
          <w:sz w:val="24"/>
          <w:szCs w:val="24"/>
        </w:rPr>
        <w:t xml:space="preserve">any delays </w:t>
      </w:r>
      <w:r w:rsidRPr="00534D5D" w:rsidR="001C7396">
        <w:rPr>
          <w:rFonts w:ascii="Palatino Linotype" w:hAnsi="Palatino Linotype"/>
          <w:bCs/>
          <w:sz w:val="24"/>
          <w:szCs w:val="24"/>
        </w:rPr>
        <w:t xml:space="preserve">(i.e., provide the number of days a step was delayed, the reason for the delay, </w:t>
      </w:r>
      <w:r w:rsidRPr="00534D5D" w:rsidR="004445DC">
        <w:rPr>
          <w:rFonts w:ascii="Palatino Linotype" w:hAnsi="Palatino Linotype"/>
          <w:bCs/>
          <w:sz w:val="24"/>
          <w:szCs w:val="24"/>
        </w:rPr>
        <w:t xml:space="preserve">action taken to </w:t>
      </w:r>
      <w:r w:rsidRPr="00534D5D" w:rsidR="00DF03C9">
        <w:rPr>
          <w:rFonts w:ascii="Palatino Linotype" w:hAnsi="Palatino Linotype"/>
          <w:bCs/>
          <w:sz w:val="24"/>
          <w:szCs w:val="24"/>
        </w:rPr>
        <w:t>address delay</w:t>
      </w:r>
      <w:r w:rsidRPr="00534D5D" w:rsidR="00C278B7">
        <w:rPr>
          <w:rFonts w:ascii="Palatino Linotype" w:hAnsi="Palatino Linotype"/>
          <w:bCs/>
          <w:sz w:val="24"/>
          <w:szCs w:val="24"/>
        </w:rPr>
        <w:t>, if any,</w:t>
      </w:r>
      <w:r w:rsidRPr="00534D5D" w:rsidR="001C7396">
        <w:rPr>
          <w:rFonts w:ascii="Palatino Linotype" w:hAnsi="Palatino Linotype"/>
          <w:bCs/>
          <w:sz w:val="24"/>
          <w:szCs w:val="24"/>
        </w:rPr>
        <w:t xml:space="preserve"> etc.) </w:t>
      </w:r>
      <w:r w:rsidRPr="00534D5D" w:rsidR="00787111">
        <w:rPr>
          <w:rFonts w:ascii="Palatino Linotype" w:hAnsi="Palatino Linotype"/>
          <w:bCs/>
          <w:sz w:val="24"/>
          <w:szCs w:val="24"/>
        </w:rPr>
        <w:t xml:space="preserve">impacting steps within their direct control </w:t>
      </w:r>
      <w:r w:rsidRPr="00534D5D" w:rsidR="001C7396">
        <w:rPr>
          <w:rFonts w:ascii="Palatino Linotype" w:hAnsi="Palatino Linotype"/>
          <w:bCs/>
          <w:sz w:val="24"/>
          <w:szCs w:val="24"/>
        </w:rPr>
        <w:t>within their EV Infrastructure Rule data collection efforts.</w:t>
      </w:r>
    </w:p>
    <w:p w:rsidRPr="00534D5D" w:rsidR="00EE35E1" w:rsidP="00710AFB" w:rsidRDefault="00087E9E" w14:paraId="733F8835" w14:textId="20414A04">
      <w:pPr>
        <w:rPr>
          <w:rFonts w:ascii="Palatino Linotype" w:hAnsi="Palatino Linotype"/>
          <w:bCs/>
          <w:sz w:val="24"/>
          <w:szCs w:val="24"/>
        </w:rPr>
      </w:pPr>
      <w:r w:rsidRPr="00534D5D">
        <w:rPr>
          <w:rFonts w:ascii="Palatino Linotype" w:hAnsi="Palatino Linotype"/>
          <w:b/>
          <w:sz w:val="24"/>
          <w:szCs w:val="24"/>
        </w:rPr>
        <w:t xml:space="preserve">We </w:t>
      </w:r>
      <w:r w:rsidRPr="00534D5D" w:rsidR="00861650">
        <w:rPr>
          <w:rFonts w:ascii="Palatino Linotype" w:hAnsi="Palatino Linotype"/>
          <w:b/>
          <w:sz w:val="24"/>
          <w:szCs w:val="24"/>
        </w:rPr>
        <w:t>d</w:t>
      </w:r>
      <w:r w:rsidRPr="00534D5D" w:rsidR="005B733E">
        <w:rPr>
          <w:rFonts w:ascii="Palatino Linotype" w:hAnsi="Palatino Linotype"/>
          <w:b/>
          <w:sz w:val="24"/>
          <w:szCs w:val="24"/>
        </w:rPr>
        <w:t>e</w:t>
      </w:r>
      <w:r w:rsidRPr="00534D5D" w:rsidR="00861650">
        <w:rPr>
          <w:rFonts w:ascii="Palatino Linotype" w:hAnsi="Palatino Linotype"/>
          <w:b/>
          <w:sz w:val="24"/>
          <w:szCs w:val="24"/>
        </w:rPr>
        <w:t xml:space="preserve">fer judgement </w:t>
      </w:r>
      <w:r w:rsidRPr="00534D5D" w:rsidR="005B733E">
        <w:rPr>
          <w:rFonts w:ascii="Palatino Linotype" w:hAnsi="Palatino Linotype"/>
          <w:b/>
          <w:sz w:val="24"/>
          <w:szCs w:val="24"/>
        </w:rPr>
        <w:t xml:space="preserve">on </w:t>
      </w:r>
      <w:r w:rsidRPr="00534D5D" w:rsidR="00861650">
        <w:rPr>
          <w:rFonts w:ascii="Palatino Linotype" w:hAnsi="Palatino Linotype"/>
          <w:b/>
          <w:sz w:val="24"/>
          <w:szCs w:val="24"/>
        </w:rPr>
        <w:t xml:space="preserve">the feasibility </w:t>
      </w:r>
      <w:r w:rsidRPr="00534D5D" w:rsidR="00513371">
        <w:rPr>
          <w:rFonts w:ascii="Palatino Linotype" w:hAnsi="Palatino Linotype"/>
          <w:b/>
          <w:sz w:val="24"/>
          <w:szCs w:val="24"/>
        </w:rPr>
        <w:t xml:space="preserve">of implementing </w:t>
      </w:r>
      <w:bookmarkStart w:name="_Hlk117155669" w:id="2"/>
      <w:r w:rsidRPr="00534D5D" w:rsidR="00513371">
        <w:rPr>
          <w:rFonts w:ascii="Palatino Linotype" w:hAnsi="Palatino Linotype"/>
          <w:b/>
          <w:sz w:val="24"/>
          <w:szCs w:val="24"/>
        </w:rPr>
        <w:t xml:space="preserve">feedback collected from stakeholders to the Joint </w:t>
      </w:r>
      <w:r w:rsidRPr="00534D5D" w:rsidR="00316408">
        <w:rPr>
          <w:rFonts w:ascii="Palatino Linotype" w:hAnsi="Palatino Linotype"/>
          <w:b/>
          <w:sz w:val="24"/>
          <w:szCs w:val="24"/>
        </w:rPr>
        <w:t>IOUs</w:t>
      </w:r>
      <w:bookmarkEnd w:id="2"/>
      <w:r w:rsidRPr="00534D5D" w:rsidR="0060394C">
        <w:rPr>
          <w:rFonts w:ascii="Palatino Linotype" w:hAnsi="Palatino Linotype"/>
          <w:b/>
          <w:sz w:val="24"/>
          <w:szCs w:val="24"/>
        </w:rPr>
        <w:t>,</w:t>
      </w:r>
      <w:r w:rsidRPr="00534D5D" w:rsidR="00316408">
        <w:rPr>
          <w:rFonts w:ascii="Palatino Linotype" w:hAnsi="Palatino Linotype"/>
          <w:b/>
          <w:sz w:val="24"/>
          <w:szCs w:val="24"/>
        </w:rPr>
        <w:t xml:space="preserve"> but</w:t>
      </w:r>
      <w:r w:rsidRPr="00534D5D" w:rsidR="00513371">
        <w:rPr>
          <w:rFonts w:ascii="Palatino Linotype" w:hAnsi="Palatino Linotype"/>
          <w:b/>
          <w:sz w:val="24"/>
          <w:szCs w:val="24"/>
        </w:rPr>
        <w:t xml:space="preserve"> support efforts to incorp</w:t>
      </w:r>
      <w:r w:rsidRPr="00534D5D" w:rsidR="00280DB6">
        <w:rPr>
          <w:rFonts w:ascii="Palatino Linotype" w:hAnsi="Palatino Linotype"/>
          <w:b/>
          <w:sz w:val="24"/>
          <w:szCs w:val="24"/>
        </w:rPr>
        <w:t>or</w:t>
      </w:r>
      <w:r w:rsidRPr="00534D5D" w:rsidR="00513371">
        <w:rPr>
          <w:rFonts w:ascii="Palatino Linotype" w:hAnsi="Palatino Linotype"/>
          <w:b/>
          <w:sz w:val="24"/>
          <w:szCs w:val="24"/>
        </w:rPr>
        <w:t xml:space="preserve">ate further </w:t>
      </w:r>
      <w:r w:rsidRPr="00534D5D" w:rsidR="00280DB6">
        <w:rPr>
          <w:rFonts w:ascii="Palatino Linotype" w:hAnsi="Palatino Linotype"/>
          <w:b/>
          <w:sz w:val="24"/>
          <w:szCs w:val="24"/>
        </w:rPr>
        <w:t xml:space="preserve">improvements into their </w:t>
      </w:r>
      <w:r w:rsidRPr="00534D5D" w:rsidR="002A05FD">
        <w:rPr>
          <w:rFonts w:ascii="Palatino Linotype" w:hAnsi="Palatino Linotype"/>
          <w:b/>
          <w:sz w:val="24"/>
          <w:szCs w:val="24"/>
        </w:rPr>
        <w:t xml:space="preserve">service </w:t>
      </w:r>
      <w:r w:rsidRPr="00534D5D" w:rsidR="00280DB6">
        <w:rPr>
          <w:rFonts w:ascii="Palatino Linotype" w:hAnsi="Palatino Linotype"/>
          <w:b/>
          <w:sz w:val="24"/>
          <w:szCs w:val="24"/>
        </w:rPr>
        <w:t>energization process</w:t>
      </w:r>
      <w:r w:rsidRPr="00534D5D" w:rsidR="002A05FD">
        <w:rPr>
          <w:rFonts w:ascii="Palatino Linotype" w:hAnsi="Palatino Linotype"/>
          <w:b/>
          <w:sz w:val="24"/>
          <w:szCs w:val="24"/>
        </w:rPr>
        <w:t>es</w:t>
      </w:r>
      <w:r w:rsidRPr="00534D5D" w:rsidR="00280DB6">
        <w:rPr>
          <w:rFonts w:ascii="Palatino Linotype" w:hAnsi="Palatino Linotype"/>
          <w:b/>
          <w:sz w:val="24"/>
          <w:szCs w:val="24"/>
        </w:rPr>
        <w:t>.</w:t>
      </w:r>
      <w:r w:rsidRPr="00534D5D" w:rsidR="001F322F">
        <w:rPr>
          <w:rFonts w:ascii="Palatino Linotype" w:hAnsi="Palatino Linotype"/>
          <w:bCs/>
          <w:sz w:val="24"/>
          <w:szCs w:val="24"/>
        </w:rPr>
        <w:t xml:space="preserve"> </w:t>
      </w:r>
      <w:r w:rsidRPr="00534D5D" w:rsidR="0057018E">
        <w:rPr>
          <w:rFonts w:ascii="Palatino Linotype" w:hAnsi="Palatino Linotype"/>
          <w:bCs/>
          <w:sz w:val="24"/>
          <w:szCs w:val="24"/>
        </w:rPr>
        <w:t xml:space="preserve">The Joint IOUs </w:t>
      </w:r>
      <w:r w:rsidRPr="00534D5D" w:rsidR="0048275C">
        <w:rPr>
          <w:rFonts w:ascii="Palatino Linotype" w:hAnsi="Palatino Linotype"/>
          <w:bCs/>
          <w:sz w:val="24"/>
          <w:szCs w:val="24"/>
        </w:rPr>
        <w:t>assert the</w:t>
      </w:r>
      <w:r w:rsidRPr="00534D5D" w:rsidR="00AE1F98">
        <w:rPr>
          <w:rFonts w:ascii="Palatino Linotype" w:hAnsi="Palatino Linotype"/>
          <w:bCs/>
          <w:sz w:val="24"/>
          <w:szCs w:val="24"/>
        </w:rPr>
        <w:t xml:space="preserve"> </w:t>
      </w:r>
      <w:r w:rsidRPr="00534D5D" w:rsidR="0048275C">
        <w:rPr>
          <w:rFonts w:ascii="Palatino Linotype" w:hAnsi="Palatino Linotype"/>
          <w:bCs/>
          <w:sz w:val="24"/>
          <w:szCs w:val="24"/>
        </w:rPr>
        <w:t xml:space="preserve">proposed </w:t>
      </w:r>
      <w:r w:rsidRPr="00534D5D" w:rsidR="00DA2D78">
        <w:rPr>
          <w:rFonts w:ascii="Palatino Linotype" w:hAnsi="Palatino Linotype"/>
          <w:bCs/>
          <w:sz w:val="24"/>
          <w:szCs w:val="24"/>
        </w:rPr>
        <w:t xml:space="preserve">average </w:t>
      </w:r>
      <w:r w:rsidRPr="00534D5D" w:rsidR="0048275C">
        <w:rPr>
          <w:rFonts w:ascii="Palatino Linotype" w:hAnsi="Palatino Linotype"/>
          <w:bCs/>
          <w:sz w:val="24"/>
          <w:szCs w:val="24"/>
        </w:rPr>
        <w:t xml:space="preserve">service energization timeline and processes </w:t>
      </w:r>
      <w:r w:rsidRPr="00534D5D" w:rsidR="00AE1F98">
        <w:rPr>
          <w:rFonts w:ascii="Palatino Linotype" w:hAnsi="Palatino Linotype"/>
          <w:bCs/>
          <w:sz w:val="24"/>
          <w:szCs w:val="24"/>
        </w:rPr>
        <w:t xml:space="preserve">listed above </w:t>
      </w:r>
      <w:r w:rsidRPr="00534D5D" w:rsidR="0048275C">
        <w:rPr>
          <w:rFonts w:ascii="Palatino Linotype" w:hAnsi="Palatino Linotype"/>
          <w:bCs/>
          <w:sz w:val="24"/>
          <w:szCs w:val="24"/>
        </w:rPr>
        <w:t>incorporate</w:t>
      </w:r>
      <w:r w:rsidRPr="00534D5D" w:rsidR="00884A72">
        <w:rPr>
          <w:rFonts w:ascii="Palatino Linotype" w:hAnsi="Palatino Linotype"/>
          <w:bCs/>
          <w:sz w:val="24"/>
          <w:szCs w:val="24"/>
        </w:rPr>
        <w:t xml:space="preserve"> and reflect</w:t>
      </w:r>
      <w:r w:rsidRPr="00534D5D" w:rsidR="0048275C">
        <w:rPr>
          <w:rFonts w:ascii="Palatino Linotype" w:hAnsi="Palatino Linotype"/>
          <w:bCs/>
          <w:sz w:val="24"/>
          <w:szCs w:val="24"/>
        </w:rPr>
        <w:t xml:space="preserve"> feedback from </w:t>
      </w:r>
      <w:r w:rsidRPr="00534D5D" w:rsidR="009769EA">
        <w:rPr>
          <w:rFonts w:ascii="Palatino Linotype" w:hAnsi="Palatino Linotype"/>
          <w:bCs/>
          <w:sz w:val="24"/>
          <w:szCs w:val="24"/>
        </w:rPr>
        <w:t>stakeholders</w:t>
      </w:r>
      <w:r w:rsidRPr="00534D5D" w:rsidR="0048275C">
        <w:rPr>
          <w:rFonts w:ascii="Palatino Linotype" w:hAnsi="Palatino Linotype"/>
          <w:bCs/>
          <w:sz w:val="24"/>
          <w:szCs w:val="24"/>
        </w:rPr>
        <w:t xml:space="preserve"> provided during the March 28 public </w:t>
      </w:r>
      <w:r w:rsidRPr="00534D5D" w:rsidR="009769EA">
        <w:rPr>
          <w:rFonts w:ascii="Palatino Linotype" w:hAnsi="Palatino Linotype"/>
          <w:bCs/>
          <w:sz w:val="24"/>
          <w:szCs w:val="24"/>
        </w:rPr>
        <w:t>workshop</w:t>
      </w:r>
      <w:r w:rsidRPr="00534D5D" w:rsidR="0048275C">
        <w:rPr>
          <w:rFonts w:ascii="Palatino Linotype" w:hAnsi="Palatino Linotype"/>
          <w:bCs/>
          <w:sz w:val="24"/>
          <w:szCs w:val="24"/>
        </w:rPr>
        <w:t xml:space="preserve"> and the </w:t>
      </w:r>
      <w:r w:rsidRPr="00534D5D" w:rsidR="009769EA">
        <w:rPr>
          <w:rFonts w:ascii="Palatino Linotype" w:hAnsi="Palatino Linotype"/>
          <w:bCs/>
          <w:sz w:val="24"/>
          <w:szCs w:val="24"/>
        </w:rPr>
        <w:t>informal comments submitted by parties after the workshop</w:t>
      </w:r>
      <w:r w:rsidRPr="00534D5D" w:rsidR="007E3C78">
        <w:rPr>
          <w:rFonts w:ascii="Palatino Linotype" w:hAnsi="Palatino Linotype"/>
          <w:bCs/>
          <w:sz w:val="24"/>
          <w:szCs w:val="24"/>
        </w:rPr>
        <w:t xml:space="preserve">. </w:t>
      </w:r>
      <w:r w:rsidRPr="00534D5D" w:rsidR="009769EA">
        <w:rPr>
          <w:rFonts w:ascii="Palatino Linotype" w:hAnsi="Palatino Linotype"/>
          <w:bCs/>
          <w:sz w:val="24"/>
          <w:szCs w:val="24"/>
        </w:rPr>
        <w:t xml:space="preserve"> </w:t>
      </w:r>
      <w:r w:rsidRPr="00534D5D" w:rsidR="00AC4B4A">
        <w:rPr>
          <w:rFonts w:ascii="Palatino Linotype" w:hAnsi="Palatino Linotype"/>
          <w:bCs/>
          <w:sz w:val="24"/>
          <w:szCs w:val="24"/>
        </w:rPr>
        <w:t xml:space="preserve">The Joint IOUs note that they were unable to incorporate all the feedback into their proposal </w:t>
      </w:r>
      <w:r w:rsidRPr="00534D5D" w:rsidR="00217980">
        <w:rPr>
          <w:rFonts w:ascii="Palatino Linotype" w:hAnsi="Palatino Linotype"/>
          <w:bCs/>
          <w:sz w:val="24"/>
          <w:szCs w:val="24"/>
        </w:rPr>
        <w:t>as some recommendations are infeasible to implement</w:t>
      </w:r>
      <w:r w:rsidRPr="00534D5D" w:rsidR="00A7493A">
        <w:rPr>
          <w:rFonts w:ascii="Palatino Linotype" w:hAnsi="Palatino Linotype"/>
          <w:bCs/>
          <w:sz w:val="24"/>
          <w:szCs w:val="24"/>
        </w:rPr>
        <w:t xml:space="preserve">, including recommendations that the </w:t>
      </w:r>
      <w:r w:rsidRPr="00534D5D" w:rsidR="00B8755C">
        <w:rPr>
          <w:rFonts w:ascii="Palatino Linotype" w:hAnsi="Palatino Linotype"/>
          <w:bCs/>
          <w:sz w:val="24"/>
          <w:szCs w:val="24"/>
        </w:rPr>
        <w:t xml:space="preserve">IOUs adopt specific timeframes for certain tasks. The Joint IOUs assert they discussed this recommendation internally but concluded that they could not include it within the </w:t>
      </w:r>
      <w:r w:rsidRPr="00534D5D" w:rsidR="00B8755C">
        <w:rPr>
          <w:rFonts w:ascii="Palatino Linotype" w:hAnsi="Palatino Linotype"/>
          <w:bCs/>
          <w:sz w:val="24"/>
          <w:szCs w:val="24"/>
        </w:rPr>
        <w:lastRenderedPageBreak/>
        <w:t>average service energization timeline as the IOUs processes often include times needed to notify impacted customers of potential outages, and that the IOUs must retain a focus on safety and compliance with California’s regulatory requirements as they work to expedite their processes.</w:t>
      </w:r>
    </w:p>
    <w:p w:rsidRPr="00534D5D" w:rsidR="00E74744" w:rsidP="00AD5BC2" w:rsidRDefault="00EE35E1" w14:paraId="55BF627A" w14:textId="03C14DCE">
      <w:pPr>
        <w:rPr>
          <w:rFonts w:ascii="Palatino Linotype" w:hAnsi="Palatino Linotype"/>
          <w:bCs/>
          <w:sz w:val="24"/>
          <w:szCs w:val="24"/>
        </w:rPr>
      </w:pPr>
      <w:r w:rsidRPr="00534D5D">
        <w:rPr>
          <w:rFonts w:ascii="Palatino Linotype" w:hAnsi="Palatino Linotype"/>
          <w:bCs/>
          <w:sz w:val="24"/>
          <w:szCs w:val="24"/>
        </w:rPr>
        <w:t>We agree with th</w:t>
      </w:r>
      <w:r w:rsidRPr="00534D5D" w:rsidR="002C54EC">
        <w:rPr>
          <w:rFonts w:ascii="Palatino Linotype" w:hAnsi="Palatino Linotype"/>
          <w:bCs/>
          <w:sz w:val="24"/>
          <w:szCs w:val="24"/>
        </w:rPr>
        <w:t>e Joint IOUs. While</w:t>
      </w:r>
      <w:r w:rsidRPr="00534D5D" w:rsidR="00DC03B0">
        <w:rPr>
          <w:rFonts w:ascii="Palatino Linotype" w:hAnsi="Palatino Linotype"/>
          <w:bCs/>
          <w:sz w:val="24"/>
          <w:szCs w:val="24"/>
        </w:rPr>
        <w:t xml:space="preserve"> our goal is to </w:t>
      </w:r>
      <w:r w:rsidRPr="00534D5D" w:rsidR="00FC19E9">
        <w:rPr>
          <w:rFonts w:ascii="Palatino Linotype" w:hAnsi="Palatino Linotype"/>
          <w:bCs/>
          <w:sz w:val="24"/>
          <w:szCs w:val="24"/>
        </w:rPr>
        <w:t>accelerate</w:t>
      </w:r>
      <w:r w:rsidRPr="00534D5D" w:rsidR="00DC03B0">
        <w:rPr>
          <w:rFonts w:ascii="Palatino Linotype" w:hAnsi="Palatino Linotype"/>
          <w:bCs/>
          <w:sz w:val="24"/>
          <w:szCs w:val="24"/>
        </w:rPr>
        <w:t xml:space="preserve"> the service energization process timeline</w:t>
      </w:r>
      <w:r w:rsidRPr="00534D5D" w:rsidR="00FC19E9">
        <w:rPr>
          <w:rFonts w:ascii="Palatino Linotype" w:hAnsi="Palatino Linotype"/>
          <w:bCs/>
          <w:sz w:val="24"/>
          <w:szCs w:val="24"/>
        </w:rPr>
        <w:t xml:space="preserve">, the </w:t>
      </w:r>
      <w:r w:rsidRPr="00534D5D" w:rsidR="00BC1D64">
        <w:rPr>
          <w:rFonts w:ascii="Palatino Linotype" w:hAnsi="Palatino Linotype"/>
          <w:bCs/>
          <w:sz w:val="24"/>
          <w:szCs w:val="24"/>
        </w:rPr>
        <w:t>CPUC’s</w:t>
      </w:r>
      <w:r w:rsidRPr="00534D5D" w:rsidR="00FC19E9">
        <w:rPr>
          <w:rFonts w:ascii="Palatino Linotype" w:hAnsi="Palatino Linotype"/>
          <w:bCs/>
          <w:sz w:val="24"/>
          <w:szCs w:val="24"/>
        </w:rPr>
        <w:t xml:space="preserve"> top priority is to ensure all safety and regulatory requirements are </w:t>
      </w:r>
      <w:r w:rsidRPr="00534D5D" w:rsidR="00F420A1">
        <w:rPr>
          <w:rFonts w:ascii="Palatino Linotype" w:hAnsi="Palatino Linotype"/>
          <w:bCs/>
          <w:sz w:val="24"/>
          <w:szCs w:val="24"/>
        </w:rPr>
        <w:t xml:space="preserve">followed. These safety and regulatory requirements must not be compromised by our secondary goal of accelerating EVSE energization. </w:t>
      </w:r>
      <w:r w:rsidRPr="00534D5D" w:rsidR="00DC03B0">
        <w:rPr>
          <w:rFonts w:ascii="Palatino Linotype" w:hAnsi="Palatino Linotype"/>
          <w:bCs/>
          <w:sz w:val="24"/>
          <w:szCs w:val="24"/>
        </w:rPr>
        <w:t xml:space="preserve"> </w:t>
      </w:r>
      <w:r w:rsidRPr="00534D5D" w:rsidR="005541B2">
        <w:rPr>
          <w:rFonts w:ascii="Palatino Linotype" w:hAnsi="Palatino Linotype"/>
          <w:bCs/>
          <w:sz w:val="24"/>
          <w:szCs w:val="24"/>
        </w:rPr>
        <w:t xml:space="preserve">The Joint IOUs must ensure that they </w:t>
      </w:r>
      <w:r w:rsidRPr="00534D5D" w:rsidR="00F94F0C">
        <w:rPr>
          <w:rFonts w:ascii="Palatino Linotype" w:hAnsi="Palatino Linotype"/>
          <w:bCs/>
          <w:sz w:val="24"/>
          <w:szCs w:val="24"/>
        </w:rPr>
        <w:t>abide by all safety and regulatory requirements adopted by the Commission, in addition to all local, state, and federal requirements.</w:t>
      </w:r>
      <w:r w:rsidRPr="00534D5D" w:rsidR="00E929D8">
        <w:rPr>
          <w:rFonts w:ascii="Palatino Linotype" w:hAnsi="Palatino Linotype"/>
          <w:bCs/>
          <w:sz w:val="24"/>
          <w:szCs w:val="24"/>
        </w:rPr>
        <w:t xml:space="preserve"> Still, we direct the IOUs to </w:t>
      </w:r>
      <w:r w:rsidRPr="00534D5D" w:rsidR="0089457E">
        <w:rPr>
          <w:rFonts w:ascii="Palatino Linotype" w:hAnsi="Palatino Linotype"/>
          <w:bCs/>
          <w:sz w:val="24"/>
          <w:szCs w:val="24"/>
        </w:rPr>
        <w:t>continue to assess and</w:t>
      </w:r>
      <w:r w:rsidRPr="00534D5D" w:rsidR="00E929D8">
        <w:rPr>
          <w:rFonts w:ascii="Palatino Linotype" w:hAnsi="Palatino Linotype"/>
          <w:bCs/>
          <w:sz w:val="24"/>
          <w:szCs w:val="24"/>
        </w:rPr>
        <w:t xml:space="preserve"> provide updates on </w:t>
      </w:r>
      <w:r w:rsidRPr="00534D5D" w:rsidR="00455D52">
        <w:rPr>
          <w:rFonts w:ascii="Palatino Linotype" w:hAnsi="Palatino Linotype"/>
          <w:bCs/>
          <w:sz w:val="24"/>
          <w:szCs w:val="24"/>
        </w:rPr>
        <w:t>feedback collected from stakeholders to the Joint IOUs during the preparation of AL 4011-E in the workshop</w:t>
      </w:r>
      <w:r w:rsidRPr="00534D5D" w:rsidR="00BC6D97">
        <w:rPr>
          <w:rFonts w:ascii="Palatino Linotype" w:hAnsi="Palatino Linotype"/>
          <w:bCs/>
          <w:sz w:val="24"/>
          <w:szCs w:val="24"/>
        </w:rPr>
        <w:t xml:space="preserve"> to be held after 1-year of data collection is compiled</w:t>
      </w:r>
      <w:r w:rsidRPr="00534D5D" w:rsidR="0089457E">
        <w:rPr>
          <w:rFonts w:ascii="Palatino Linotype" w:hAnsi="Palatino Linotype"/>
          <w:bCs/>
          <w:sz w:val="24"/>
          <w:szCs w:val="24"/>
        </w:rPr>
        <w:t>.</w:t>
      </w:r>
      <w:r w:rsidRPr="00534D5D" w:rsidR="00580281">
        <w:rPr>
          <w:rFonts w:ascii="Palatino Linotype" w:hAnsi="Palatino Linotype"/>
          <w:bCs/>
          <w:sz w:val="24"/>
          <w:szCs w:val="24"/>
        </w:rPr>
        <w:br/>
      </w:r>
    </w:p>
    <w:p w:rsidRPr="00534D5D" w:rsidR="00DF3534" w:rsidP="00DF3534" w:rsidRDefault="00DF3534" w14:paraId="50A923BB" w14:textId="77777777">
      <w:pPr>
        <w:autoSpaceDE w:val="0"/>
        <w:autoSpaceDN w:val="0"/>
        <w:adjustRightInd w:val="0"/>
        <w:spacing w:after="120"/>
        <w:jc w:val="both"/>
        <w:rPr>
          <w:rFonts w:ascii="Palatino Linotype" w:hAnsi="Palatino Linotype" w:cs="BookAntiqua"/>
          <w:b/>
          <w:sz w:val="24"/>
          <w:szCs w:val="24"/>
        </w:rPr>
      </w:pPr>
      <w:r w:rsidRPr="00534D5D">
        <w:rPr>
          <w:rFonts w:ascii="Palatino Linotype" w:hAnsi="Palatino Linotype" w:cs="BookAntiqua"/>
          <w:b/>
          <w:sz w:val="24"/>
          <w:szCs w:val="24"/>
        </w:rPr>
        <w:t>Safety Considerations</w:t>
      </w:r>
    </w:p>
    <w:p w:rsidRPr="00534D5D" w:rsidR="00DA6419" w:rsidP="00C152C9" w:rsidRDefault="00B126F3" w14:paraId="40DF82E4" w14:textId="0283C3ED">
      <w:pPr>
        <w:autoSpaceDE w:val="0"/>
        <w:autoSpaceDN w:val="0"/>
        <w:rPr>
          <w:rFonts w:ascii="Palatino Linotype" w:hAnsi="Palatino Linotype" w:eastAsia="Calibri" w:cs="Arial"/>
          <w:bCs/>
          <w:sz w:val="24"/>
          <w:szCs w:val="24"/>
        </w:rPr>
      </w:pPr>
      <w:r w:rsidRPr="00534D5D">
        <w:rPr>
          <w:rFonts w:ascii="Palatino Linotype" w:hAnsi="Palatino Linotype" w:eastAsia="Calibri" w:cs="Arial"/>
          <w:bCs/>
          <w:sz w:val="24"/>
          <w:szCs w:val="24"/>
        </w:rPr>
        <w:t>There are</w:t>
      </w:r>
      <w:r w:rsidRPr="00534D5D" w:rsidDel="00B126F3" w:rsidR="000831F6">
        <w:rPr>
          <w:rFonts w:ascii="Palatino Linotype" w:hAnsi="Palatino Linotype" w:eastAsia="Calibri" w:cs="Arial"/>
          <w:bCs/>
          <w:sz w:val="24"/>
          <w:szCs w:val="24"/>
        </w:rPr>
        <w:t xml:space="preserve"> </w:t>
      </w:r>
      <w:r w:rsidRPr="00534D5D" w:rsidR="000831F6">
        <w:rPr>
          <w:rFonts w:ascii="Palatino Linotype" w:hAnsi="Palatino Linotype" w:eastAsia="Calibri" w:cs="Arial"/>
          <w:bCs/>
          <w:sz w:val="24"/>
          <w:szCs w:val="24"/>
        </w:rPr>
        <w:t>n</w:t>
      </w:r>
      <w:r w:rsidRPr="00534D5D" w:rsidR="00086F05">
        <w:rPr>
          <w:rFonts w:ascii="Palatino Linotype" w:hAnsi="Palatino Linotype" w:eastAsia="Calibri" w:cs="Arial"/>
          <w:bCs/>
          <w:sz w:val="24"/>
          <w:szCs w:val="24"/>
        </w:rPr>
        <w:t xml:space="preserve">o </w:t>
      </w:r>
      <w:r w:rsidRPr="00534D5D" w:rsidR="000831F6">
        <w:rPr>
          <w:rFonts w:ascii="Palatino Linotype" w:hAnsi="Palatino Linotype" w:eastAsia="Calibri" w:cs="Arial"/>
          <w:bCs/>
          <w:sz w:val="24"/>
          <w:szCs w:val="24"/>
        </w:rPr>
        <w:t>incremental</w:t>
      </w:r>
      <w:r w:rsidRPr="00534D5D" w:rsidR="00086F05">
        <w:rPr>
          <w:rFonts w:ascii="Palatino Linotype" w:hAnsi="Palatino Linotype" w:eastAsia="Calibri" w:cs="Arial"/>
          <w:bCs/>
          <w:sz w:val="24"/>
          <w:szCs w:val="24"/>
        </w:rPr>
        <w:t xml:space="preserve"> safety </w:t>
      </w:r>
      <w:r w:rsidRPr="00534D5D" w:rsidR="000831F6">
        <w:rPr>
          <w:rFonts w:ascii="Palatino Linotype" w:hAnsi="Palatino Linotype" w:eastAsia="Calibri" w:cs="Arial"/>
          <w:bCs/>
          <w:sz w:val="24"/>
          <w:szCs w:val="24"/>
        </w:rPr>
        <w:t>implications associated with approval of this resolution</w:t>
      </w:r>
      <w:r w:rsidRPr="00534D5D" w:rsidR="00086F05">
        <w:rPr>
          <w:rFonts w:ascii="Palatino Linotype" w:hAnsi="Palatino Linotype" w:eastAsia="Calibri" w:cs="Arial"/>
          <w:bCs/>
          <w:sz w:val="24"/>
          <w:szCs w:val="24"/>
        </w:rPr>
        <w:t>.</w:t>
      </w:r>
      <w:r w:rsidRPr="00534D5D" w:rsidR="004A39C9">
        <w:rPr>
          <w:rFonts w:ascii="Palatino Linotype" w:hAnsi="Palatino Linotype" w:eastAsia="Calibri" w:cs="Arial"/>
          <w:bCs/>
          <w:sz w:val="24"/>
          <w:szCs w:val="24"/>
        </w:rPr>
        <w:t xml:space="preserve"> As th</w:t>
      </w:r>
      <w:r w:rsidRPr="00534D5D" w:rsidR="002B5677">
        <w:rPr>
          <w:rFonts w:ascii="Palatino Linotype" w:hAnsi="Palatino Linotype" w:eastAsia="Calibri" w:cs="Arial"/>
          <w:bCs/>
          <w:sz w:val="24"/>
          <w:szCs w:val="24"/>
        </w:rPr>
        <w:t xml:space="preserve">is resolution does not alter any process for energization, but </w:t>
      </w:r>
      <w:r w:rsidRPr="00534D5D" w:rsidR="00352667">
        <w:rPr>
          <w:rFonts w:ascii="Palatino Linotype" w:hAnsi="Palatino Linotype" w:eastAsia="Calibri" w:cs="Arial"/>
          <w:bCs/>
          <w:sz w:val="24"/>
          <w:szCs w:val="24"/>
        </w:rPr>
        <w:t>only establishes expected timelines for IOU work, there is not direct impact to safety.</w:t>
      </w:r>
      <w:r w:rsidRPr="00534D5D" w:rsidR="00C152C9">
        <w:rPr>
          <w:rFonts w:ascii="Palatino Linotype" w:hAnsi="Palatino Linotype" w:eastAsia="Calibri" w:cs="Arial"/>
          <w:bCs/>
          <w:sz w:val="24"/>
          <w:szCs w:val="24"/>
        </w:rPr>
        <w:br/>
      </w:r>
    </w:p>
    <w:p w:rsidRPr="00534D5D" w:rsidR="00DF3534" w:rsidP="00C152C9" w:rsidRDefault="00DF3534" w14:paraId="22F9BE1A" w14:textId="32989141">
      <w:pPr>
        <w:pStyle w:val="Heading1"/>
        <w:jc w:val="both"/>
        <w:rPr>
          <w:rFonts w:ascii="Palatino Linotype" w:hAnsi="Palatino Linotype"/>
          <w:sz w:val="24"/>
          <w:szCs w:val="24"/>
        </w:rPr>
      </w:pPr>
      <w:r w:rsidRPr="00534D5D">
        <w:rPr>
          <w:rFonts w:ascii="Palatino Linotype" w:hAnsi="Palatino Linotype" w:cs="Helvetica"/>
          <w:sz w:val="24"/>
          <w:szCs w:val="24"/>
        </w:rPr>
        <w:t>Comments</w:t>
      </w:r>
    </w:p>
    <w:p w:rsidR="001A3A1A" w:rsidP="001A3A1A" w:rsidRDefault="001A3A1A" w14:paraId="62DDF557" w14:textId="77777777">
      <w:pPr>
        <w:spacing w:after="0"/>
        <w:rPr>
          <w:rFonts w:ascii="Palatino Linotype" w:hAnsi="Palatino Linotype"/>
          <w:sz w:val="24"/>
          <w:szCs w:val="24"/>
        </w:rPr>
      </w:pPr>
      <w:r>
        <w:rPr>
          <w:rFonts w:ascii="Palatino Linotype" w:hAnsi="Palatino Linotype"/>
          <w:sz w:val="24"/>
          <w:szCs w:val="24"/>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1A3A1A" w:rsidP="001A3A1A" w:rsidRDefault="001A3A1A" w14:paraId="781A0842" w14:textId="77777777">
      <w:pPr>
        <w:spacing w:after="0"/>
        <w:rPr>
          <w:rFonts w:ascii="Palatino Linotype" w:hAnsi="Palatino Linotype"/>
          <w:sz w:val="24"/>
          <w:szCs w:val="24"/>
        </w:rPr>
      </w:pPr>
    </w:p>
    <w:p w:rsidR="001A3A1A" w:rsidP="001A3A1A" w:rsidRDefault="001A3A1A" w14:paraId="19BBBD45" w14:textId="77777777">
      <w:pPr>
        <w:spacing w:after="0"/>
        <w:rPr>
          <w:rFonts w:ascii="Palatino Linotype" w:hAnsi="Palatino Linotype"/>
          <w:sz w:val="24"/>
          <w:szCs w:val="24"/>
        </w:rPr>
      </w:pPr>
      <w:r>
        <w:rPr>
          <w:rFonts w:ascii="Palatino Linotype" w:hAnsi="Palatino Linotype"/>
          <w:sz w:val="24"/>
          <w:szCs w:val="24"/>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534D5D" w:rsidR="00DF3534" w:rsidP="00DF3534" w:rsidRDefault="00DF3534" w14:paraId="4CB463F4" w14:textId="77777777">
      <w:pPr>
        <w:rPr>
          <w:rFonts w:ascii="Palatino Linotype" w:hAnsi="Palatino Linotype"/>
          <w:sz w:val="24"/>
          <w:szCs w:val="24"/>
        </w:rPr>
      </w:pPr>
    </w:p>
    <w:p w:rsidRPr="00534D5D" w:rsidR="00DF3534" w:rsidP="00815645" w:rsidRDefault="00DF3534" w14:paraId="13E6BE7F" w14:textId="64B17688">
      <w:pPr>
        <w:pStyle w:val="Heading1"/>
        <w:spacing w:before="0" w:after="0"/>
        <w:jc w:val="both"/>
        <w:rPr>
          <w:rFonts w:ascii="Palatino Linotype" w:hAnsi="Palatino Linotype" w:cs="Helvetica"/>
          <w:sz w:val="24"/>
          <w:szCs w:val="24"/>
        </w:rPr>
      </w:pPr>
      <w:r w:rsidRPr="00534D5D">
        <w:rPr>
          <w:rFonts w:ascii="Palatino Linotype" w:hAnsi="Palatino Linotype" w:cs="Helvetica"/>
          <w:sz w:val="24"/>
          <w:szCs w:val="24"/>
        </w:rPr>
        <w:lastRenderedPageBreak/>
        <w:t>Findings</w:t>
      </w:r>
      <w:r w:rsidRPr="00534D5D" w:rsidR="00815645">
        <w:rPr>
          <w:rFonts w:ascii="Palatino Linotype" w:hAnsi="Palatino Linotype" w:cs="Helvetica"/>
          <w:sz w:val="24"/>
          <w:szCs w:val="24"/>
        </w:rPr>
        <w:br/>
      </w:r>
    </w:p>
    <w:p w:rsidRPr="00534D5D" w:rsidR="00DF3534" w:rsidP="00B77DB1" w:rsidRDefault="00BA2728" w14:paraId="1626D279" w14:textId="27A68522">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Ordering Paragraph </w:t>
      </w:r>
      <w:r w:rsidRPr="00534D5D" w:rsidR="005E09B2">
        <w:rPr>
          <w:rFonts w:ascii="Palatino Linotype" w:hAnsi="Palatino Linotype"/>
          <w:sz w:val="24"/>
          <w:szCs w:val="24"/>
        </w:rPr>
        <w:t xml:space="preserve">8(c) of </w:t>
      </w:r>
      <w:r w:rsidRPr="00534D5D" w:rsidR="0049320A">
        <w:rPr>
          <w:rFonts w:ascii="Palatino Linotype" w:hAnsi="Palatino Linotype"/>
          <w:sz w:val="24"/>
          <w:szCs w:val="24"/>
        </w:rPr>
        <w:t xml:space="preserve">Resolutions E-5167 and E-5168 </w:t>
      </w:r>
      <w:r w:rsidRPr="00534D5D" w:rsidR="005E09B2">
        <w:rPr>
          <w:rFonts w:ascii="Palatino Linotype" w:hAnsi="Palatino Linotype"/>
          <w:sz w:val="24"/>
          <w:szCs w:val="24"/>
        </w:rPr>
        <w:t xml:space="preserve">directs </w:t>
      </w:r>
      <w:r w:rsidRPr="00534D5D" w:rsidR="0049320A">
        <w:rPr>
          <w:rFonts w:ascii="Palatino Linotype" w:hAnsi="Palatino Linotype"/>
          <w:sz w:val="24"/>
          <w:szCs w:val="24"/>
        </w:rPr>
        <w:t>P</w:t>
      </w:r>
      <w:r w:rsidRPr="00534D5D" w:rsidR="001E2B20">
        <w:rPr>
          <w:rFonts w:ascii="Palatino Linotype" w:hAnsi="Palatino Linotype"/>
          <w:sz w:val="24"/>
          <w:szCs w:val="24"/>
        </w:rPr>
        <w:t>G&amp;E</w:t>
      </w:r>
      <w:r w:rsidRPr="00534D5D" w:rsidR="0049320A">
        <w:rPr>
          <w:rFonts w:ascii="Palatino Linotype" w:hAnsi="Palatino Linotype"/>
          <w:sz w:val="24"/>
          <w:szCs w:val="24"/>
        </w:rPr>
        <w:t xml:space="preserve">, </w:t>
      </w:r>
      <w:r w:rsidRPr="00534D5D" w:rsidR="001E2B20">
        <w:rPr>
          <w:rFonts w:ascii="Palatino Linotype" w:hAnsi="Palatino Linotype"/>
          <w:sz w:val="24"/>
          <w:szCs w:val="24"/>
        </w:rPr>
        <w:t>SCE</w:t>
      </w:r>
      <w:r w:rsidRPr="00534D5D" w:rsidR="0049320A">
        <w:rPr>
          <w:rFonts w:ascii="Palatino Linotype" w:hAnsi="Palatino Linotype"/>
          <w:sz w:val="24"/>
          <w:szCs w:val="24"/>
        </w:rPr>
        <w:t xml:space="preserve">, </w:t>
      </w:r>
      <w:r w:rsidRPr="00534D5D" w:rsidR="001E2B20">
        <w:rPr>
          <w:rFonts w:ascii="Palatino Linotype" w:hAnsi="Palatino Linotype"/>
          <w:sz w:val="24"/>
          <w:szCs w:val="24"/>
        </w:rPr>
        <w:t>SDG&amp;E</w:t>
      </w:r>
      <w:r w:rsidRPr="00534D5D" w:rsidR="0049320A">
        <w:rPr>
          <w:rFonts w:ascii="Palatino Linotype" w:hAnsi="Palatino Linotype"/>
          <w:sz w:val="24"/>
          <w:szCs w:val="24"/>
        </w:rPr>
        <w:t xml:space="preserve">, </w:t>
      </w:r>
      <w:r w:rsidRPr="00534D5D" w:rsidR="001E2B20">
        <w:rPr>
          <w:rFonts w:ascii="Palatino Linotype" w:hAnsi="Palatino Linotype"/>
          <w:sz w:val="24"/>
          <w:szCs w:val="24"/>
        </w:rPr>
        <w:t>BVES</w:t>
      </w:r>
      <w:r w:rsidRPr="00534D5D" w:rsidR="0049320A">
        <w:rPr>
          <w:rFonts w:ascii="Palatino Linotype" w:hAnsi="Palatino Linotype"/>
          <w:sz w:val="24"/>
          <w:szCs w:val="24"/>
        </w:rPr>
        <w:t xml:space="preserve">, Liberty, and PacifiCorp to file a joint </w:t>
      </w:r>
      <w:r w:rsidRPr="00534D5D" w:rsidR="006748CB">
        <w:rPr>
          <w:rFonts w:ascii="Palatino Linotype" w:hAnsi="Palatino Linotype"/>
          <w:sz w:val="24"/>
          <w:szCs w:val="24"/>
        </w:rPr>
        <w:t>advice letter within 240 days of the resolutions’ approval to propose an average service energization timeline for sites installed via the EV Infrastructure Rules.</w:t>
      </w:r>
    </w:p>
    <w:p w:rsidRPr="00534D5D" w:rsidR="000831F6" w:rsidP="00B77DB1" w:rsidRDefault="001E2B20" w14:paraId="115B61BD" w14:textId="4032EB38">
      <w:pPr>
        <w:pStyle w:val="ListParagraph"/>
        <w:numPr>
          <w:ilvl w:val="0"/>
          <w:numId w:val="11"/>
        </w:numPr>
        <w:rPr>
          <w:rFonts w:ascii="Palatino Linotype" w:hAnsi="Palatino Linotype"/>
          <w:sz w:val="24"/>
          <w:szCs w:val="24"/>
        </w:rPr>
      </w:pPr>
      <w:r w:rsidRPr="00534D5D">
        <w:rPr>
          <w:rFonts w:ascii="Palatino Linotype" w:hAnsi="Palatino Linotype"/>
          <w:sz w:val="24"/>
          <w:szCs w:val="24"/>
        </w:rPr>
        <w:t>SDG&amp;E</w:t>
      </w:r>
      <w:r w:rsidRPr="00534D5D" w:rsidR="000831F6">
        <w:rPr>
          <w:rFonts w:ascii="Palatino Linotype" w:hAnsi="Palatino Linotype"/>
          <w:sz w:val="24"/>
          <w:szCs w:val="24"/>
        </w:rPr>
        <w:t xml:space="preserve"> timely filed Advice Letter </w:t>
      </w:r>
      <w:r w:rsidRPr="00534D5D" w:rsidR="006748CB">
        <w:rPr>
          <w:rFonts w:ascii="Palatino Linotype" w:hAnsi="Palatino Linotype"/>
          <w:sz w:val="24"/>
          <w:szCs w:val="24"/>
        </w:rPr>
        <w:t>4011</w:t>
      </w:r>
      <w:r w:rsidRPr="00534D5D" w:rsidR="000831F6">
        <w:rPr>
          <w:rFonts w:ascii="Palatino Linotype" w:hAnsi="Palatino Linotype"/>
          <w:sz w:val="24"/>
          <w:szCs w:val="24"/>
        </w:rPr>
        <w:t>-E</w:t>
      </w:r>
      <w:r w:rsidRPr="00534D5D" w:rsidR="006748CB">
        <w:rPr>
          <w:rFonts w:ascii="Palatino Linotype" w:hAnsi="Palatino Linotype"/>
          <w:sz w:val="24"/>
          <w:szCs w:val="24"/>
        </w:rPr>
        <w:t xml:space="preserve"> jointly with </w:t>
      </w:r>
      <w:r w:rsidRPr="00534D5D">
        <w:rPr>
          <w:rFonts w:ascii="Palatino Linotype" w:hAnsi="Palatino Linotype"/>
          <w:sz w:val="24"/>
          <w:szCs w:val="24"/>
        </w:rPr>
        <w:t>PG&amp;E</w:t>
      </w:r>
      <w:r w:rsidRPr="00534D5D" w:rsidR="006748CB">
        <w:rPr>
          <w:rFonts w:ascii="Palatino Linotype" w:hAnsi="Palatino Linotype"/>
          <w:sz w:val="24"/>
          <w:szCs w:val="24"/>
        </w:rPr>
        <w:t xml:space="preserve">, </w:t>
      </w:r>
      <w:r w:rsidRPr="00534D5D">
        <w:rPr>
          <w:rFonts w:ascii="Palatino Linotype" w:hAnsi="Palatino Linotype"/>
          <w:sz w:val="24"/>
          <w:szCs w:val="24"/>
        </w:rPr>
        <w:t>SCE</w:t>
      </w:r>
      <w:r w:rsidRPr="00534D5D" w:rsidR="006748CB">
        <w:rPr>
          <w:rFonts w:ascii="Palatino Linotype" w:hAnsi="Palatino Linotype"/>
          <w:sz w:val="24"/>
          <w:szCs w:val="24"/>
        </w:rPr>
        <w:t xml:space="preserve">, </w:t>
      </w:r>
      <w:r w:rsidRPr="00534D5D">
        <w:rPr>
          <w:rFonts w:ascii="Palatino Linotype" w:hAnsi="Palatino Linotype"/>
          <w:sz w:val="24"/>
          <w:szCs w:val="24"/>
        </w:rPr>
        <w:t>BVES</w:t>
      </w:r>
      <w:r w:rsidRPr="00534D5D" w:rsidR="006748CB">
        <w:rPr>
          <w:rFonts w:ascii="Palatino Linotype" w:hAnsi="Palatino Linotype"/>
          <w:sz w:val="24"/>
          <w:szCs w:val="24"/>
        </w:rPr>
        <w:t>, Liberty, and PacifiCorp</w:t>
      </w:r>
      <w:r w:rsidRPr="00534D5D" w:rsidR="00E16E74">
        <w:rPr>
          <w:rFonts w:ascii="Palatino Linotype" w:hAnsi="Palatino Linotype"/>
          <w:sz w:val="24"/>
          <w:szCs w:val="24"/>
        </w:rPr>
        <w:t xml:space="preserve"> on May </w:t>
      </w:r>
      <w:r w:rsidRPr="00534D5D" w:rsidR="006319B7">
        <w:rPr>
          <w:rFonts w:ascii="Palatino Linotype" w:hAnsi="Palatino Linotype"/>
          <w:sz w:val="24"/>
          <w:szCs w:val="24"/>
        </w:rPr>
        <w:t xml:space="preserve">27, </w:t>
      </w:r>
      <w:proofErr w:type="gramStart"/>
      <w:r w:rsidRPr="00534D5D" w:rsidR="006319B7">
        <w:rPr>
          <w:rFonts w:ascii="Palatino Linotype" w:hAnsi="Palatino Linotype"/>
          <w:sz w:val="24"/>
          <w:szCs w:val="24"/>
        </w:rPr>
        <w:t>2022</w:t>
      </w:r>
      <w:proofErr w:type="gramEnd"/>
      <w:r w:rsidRPr="00534D5D" w:rsidR="002A7312">
        <w:rPr>
          <w:rFonts w:ascii="Palatino Linotype" w:hAnsi="Palatino Linotype"/>
          <w:sz w:val="24"/>
          <w:szCs w:val="24"/>
        </w:rPr>
        <w:t xml:space="preserve"> to propose a 160-business day average service energization timeline for projects taking service through the EV Infrastructure Rule</w:t>
      </w:r>
      <w:r w:rsidRPr="00534D5D" w:rsidR="00BC3385">
        <w:rPr>
          <w:rFonts w:ascii="Palatino Linotype" w:hAnsi="Palatino Linotype"/>
          <w:sz w:val="24"/>
          <w:szCs w:val="24"/>
        </w:rPr>
        <w:t xml:space="preserve">, and excludes projects that exceed 2MW, </w:t>
      </w:r>
      <w:r w:rsidRPr="00534D5D" w:rsidR="00D26E42">
        <w:rPr>
          <w:rFonts w:ascii="Palatino Linotype" w:hAnsi="Palatino Linotype"/>
          <w:sz w:val="24"/>
          <w:szCs w:val="24"/>
        </w:rPr>
        <w:t>projects needing a sub-station upgrade, and projects needing to take service through additional Electric Rules.</w:t>
      </w:r>
    </w:p>
    <w:p w:rsidRPr="00534D5D" w:rsidR="001232A4" w:rsidP="00B77DB1" w:rsidRDefault="001232A4" w14:paraId="57D7AECF" w14:textId="6F4394BC">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On </w:t>
      </w:r>
      <w:r w:rsidRPr="00534D5D" w:rsidR="00C649CF">
        <w:rPr>
          <w:rFonts w:ascii="Palatino Linotype" w:hAnsi="Palatino Linotype"/>
          <w:sz w:val="24"/>
          <w:szCs w:val="24"/>
        </w:rPr>
        <w:t xml:space="preserve">June 16, 2022, ChargePoint, Inc., Electrify America, LLC, </w:t>
      </w:r>
      <w:proofErr w:type="spellStart"/>
      <w:r w:rsidRPr="00534D5D" w:rsidR="00C649CF">
        <w:rPr>
          <w:rFonts w:ascii="Palatino Linotype" w:hAnsi="Palatino Linotype"/>
          <w:sz w:val="24"/>
          <w:szCs w:val="24"/>
        </w:rPr>
        <w:t>EVgo</w:t>
      </w:r>
      <w:proofErr w:type="spellEnd"/>
      <w:r w:rsidRPr="00534D5D" w:rsidR="00C649CF">
        <w:rPr>
          <w:rFonts w:ascii="Palatino Linotype" w:hAnsi="Palatino Linotype"/>
          <w:sz w:val="24"/>
          <w:szCs w:val="24"/>
        </w:rPr>
        <w:t>, LLC, and Tesla Inc., collectively submitted a joint protest to Advice Letter 4011-</w:t>
      </w:r>
      <w:r w:rsidRPr="00534D5D" w:rsidR="003E5713">
        <w:rPr>
          <w:rFonts w:ascii="Palatino Linotype" w:hAnsi="Palatino Linotype"/>
          <w:sz w:val="24"/>
          <w:szCs w:val="24"/>
        </w:rPr>
        <w:t>E recommending the CPUC deny the proposed 160-business day average service energization timeline and adopt a</w:t>
      </w:r>
      <w:r w:rsidRPr="00534D5D" w:rsidR="008F2AB1">
        <w:rPr>
          <w:rFonts w:ascii="Palatino Linotype" w:hAnsi="Palatino Linotype"/>
          <w:sz w:val="24"/>
          <w:szCs w:val="24"/>
        </w:rPr>
        <w:t>n interim</w:t>
      </w:r>
      <w:r w:rsidRPr="00534D5D" w:rsidR="003E5713">
        <w:rPr>
          <w:rFonts w:ascii="Palatino Linotype" w:hAnsi="Palatino Linotype"/>
          <w:sz w:val="24"/>
          <w:szCs w:val="24"/>
        </w:rPr>
        <w:t xml:space="preserve"> 90-business day timeline that includes all</w:t>
      </w:r>
      <w:r w:rsidRPr="00534D5D" w:rsidR="00FA2CC4">
        <w:rPr>
          <w:rFonts w:ascii="Palatino Linotype" w:hAnsi="Palatino Linotype"/>
          <w:sz w:val="24"/>
          <w:szCs w:val="24"/>
        </w:rPr>
        <w:t xml:space="preserve"> projects </w:t>
      </w:r>
      <w:r w:rsidRPr="00534D5D" w:rsidR="00CD691E">
        <w:rPr>
          <w:rFonts w:ascii="Palatino Linotype" w:hAnsi="Palatino Linotype"/>
          <w:sz w:val="24"/>
          <w:szCs w:val="24"/>
        </w:rPr>
        <w:t>taking service through the EV Infrastructure Rule, with no exceptions</w:t>
      </w:r>
      <w:r w:rsidRPr="00534D5D" w:rsidR="008F2AB1">
        <w:rPr>
          <w:rFonts w:ascii="Palatino Linotype" w:hAnsi="Palatino Linotype"/>
          <w:sz w:val="24"/>
          <w:szCs w:val="24"/>
        </w:rPr>
        <w:t xml:space="preserve">, and a </w:t>
      </w:r>
      <w:r w:rsidRPr="00534D5D" w:rsidR="00430F35">
        <w:rPr>
          <w:rFonts w:ascii="Palatino Linotype" w:hAnsi="Palatino Linotype"/>
          <w:sz w:val="24"/>
          <w:szCs w:val="24"/>
        </w:rPr>
        <w:t xml:space="preserve">twelve-month </w:t>
      </w:r>
      <w:r w:rsidRPr="00534D5D" w:rsidR="008F2AB1">
        <w:rPr>
          <w:rFonts w:ascii="Palatino Linotype" w:hAnsi="Palatino Linotype"/>
          <w:sz w:val="24"/>
          <w:szCs w:val="24"/>
        </w:rPr>
        <w:t xml:space="preserve">process to develop a permanent </w:t>
      </w:r>
      <w:r w:rsidRPr="00534D5D" w:rsidR="00430F35">
        <w:rPr>
          <w:rFonts w:ascii="Palatino Linotype" w:hAnsi="Palatino Linotype"/>
          <w:sz w:val="24"/>
          <w:szCs w:val="24"/>
        </w:rPr>
        <w:t xml:space="preserve">average service energization </w:t>
      </w:r>
      <w:r w:rsidRPr="00534D5D" w:rsidR="008F2AB1">
        <w:rPr>
          <w:rFonts w:ascii="Palatino Linotype" w:hAnsi="Palatino Linotype"/>
          <w:sz w:val="24"/>
          <w:szCs w:val="24"/>
        </w:rPr>
        <w:t>timelin</w:t>
      </w:r>
      <w:r w:rsidRPr="00534D5D" w:rsidR="00430F35">
        <w:rPr>
          <w:rFonts w:ascii="Palatino Linotype" w:hAnsi="Palatino Linotype"/>
          <w:sz w:val="24"/>
          <w:szCs w:val="24"/>
        </w:rPr>
        <w:t>e.</w:t>
      </w:r>
    </w:p>
    <w:p w:rsidRPr="00534D5D" w:rsidR="00F8693A" w:rsidP="00B77DB1" w:rsidRDefault="00F8693A" w14:paraId="28A0C135" w14:textId="7C76A725">
      <w:pPr>
        <w:pStyle w:val="ListParagraph"/>
        <w:numPr>
          <w:ilvl w:val="0"/>
          <w:numId w:val="11"/>
        </w:numPr>
        <w:rPr>
          <w:rFonts w:ascii="Palatino Linotype" w:hAnsi="Palatino Linotype"/>
          <w:sz w:val="24"/>
          <w:szCs w:val="24"/>
        </w:rPr>
      </w:pPr>
      <w:r w:rsidRPr="00534D5D">
        <w:rPr>
          <w:rFonts w:ascii="Palatino Linotype" w:hAnsi="Palatino Linotype"/>
          <w:sz w:val="24"/>
          <w:szCs w:val="24"/>
        </w:rPr>
        <w:t>On June 23, 2022, PG&amp;E, SCE, SDG&amp;E, BVES, Liberty, and PacifiCorp</w:t>
      </w:r>
      <w:r w:rsidRPr="00534D5D" w:rsidR="000C2CBF">
        <w:rPr>
          <w:rFonts w:ascii="Palatino Linotype" w:hAnsi="Palatino Linotype"/>
          <w:sz w:val="24"/>
          <w:szCs w:val="24"/>
        </w:rPr>
        <w:t xml:space="preserve"> jointly filed a reply to the joint protest</w:t>
      </w:r>
      <w:r w:rsidRPr="00534D5D" w:rsidR="008E3919">
        <w:rPr>
          <w:rFonts w:ascii="Palatino Linotype" w:hAnsi="Palatino Linotype"/>
          <w:sz w:val="24"/>
          <w:szCs w:val="24"/>
        </w:rPr>
        <w:t xml:space="preserve"> </w:t>
      </w:r>
      <w:r w:rsidRPr="00534D5D" w:rsidR="00B55E39">
        <w:rPr>
          <w:rFonts w:ascii="Palatino Linotype" w:hAnsi="Palatino Linotype"/>
          <w:sz w:val="24"/>
          <w:szCs w:val="24"/>
        </w:rPr>
        <w:t>arguing against the recommendation for the CPUC to establish an interim 90-business day average service energization timeline</w:t>
      </w:r>
      <w:r w:rsidRPr="00534D5D" w:rsidR="00D62F19">
        <w:rPr>
          <w:rFonts w:ascii="Palatino Linotype" w:hAnsi="Palatino Linotype"/>
          <w:sz w:val="24"/>
          <w:szCs w:val="24"/>
        </w:rPr>
        <w:t>.</w:t>
      </w:r>
    </w:p>
    <w:p w:rsidRPr="00534D5D" w:rsidR="00211797" w:rsidP="006748CB" w:rsidRDefault="001E2B20" w14:paraId="5AC4750D" w14:textId="2E5813C2">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PG&amp;E, SCE, SDG&amp;E, BVES</w:t>
      </w:r>
      <w:r w:rsidRPr="00534D5D" w:rsidR="005F0B9B">
        <w:rPr>
          <w:rFonts w:ascii="Palatino Linotype" w:hAnsi="Palatino Linotype"/>
          <w:sz w:val="24"/>
          <w:szCs w:val="24"/>
        </w:rPr>
        <w:t xml:space="preserve">, Liberty, and PacifiCorp achieved an average service energization timeline of </w:t>
      </w:r>
      <w:r w:rsidRPr="00534D5D">
        <w:rPr>
          <w:rFonts w:ascii="Palatino Linotype" w:hAnsi="Palatino Linotype"/>
          <w:sz w:val="24"/>
          <w:szCs w:val="24"/>
        </w:rPr>
        <w:t>150 to 155 business</w:t>
      </w:r>
      <w:r w:rsidRPr="00534D5D" w:rsidR="005F0B9B">
        <w:rPr>
          <w:rFonts w:ascii="Palatino Linotype" w:hAnsi="Palatino Linotype"/>
          <w:sz w:val="24"/>
          <w:szCs w:val="24"/>
        </w:rPr>
        <w:t xml:space="preserve"> days in 2021.</w:t>
      </w:r>
    </w:p>
    <w:p w:rsidRPr="00534D5D" w:rsidR="002310D8" w:rsidP="006748CB" w:rsidRDefault="002310D8" w14:paraId="1B04F122" w14:textId="6723F9C3">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The CPUC does not have sufficient data</w:t>
      </w:r>
      <w:r w:rsidRPr="00534D5D" w:rsidR="006C609B">
        <w:rPr>
          <w:rFonts w:ascii="Palatino Linotype" w:hAnsi="Palatino Linotype"/>
          <w:sz w:val="24"/>
          <w:szCs w:val="24"/>
        </w:rPr>
        <w:t xml:space="preserve"> to determine </w:t>
      </w:r>
      <w:r w:rsidRPr="00534D5D" w:rsidR="00C32CBA">
        <w:rPr>
          <w:rFonts w:ascii="Palatino Linotype" w:hAnsi="Palatino Linotype"/>
          <w:sz w:val="24"/>
          <w:szCs w:val="24"/>
        </w:rPr>
        <w:t xml:space="preserve">an appropriate permanent average service energization timeline </w:t>
      </w:r>
      <w:proofErr w:type="gramStart"/>
      <w:r w:rsidRPr="00534D5D" w:rsidR="00C32CBA">
        <w:rPr>
          <w:rFonts w:ascii="Palatino Linotype" w:hAnsi="Palatino Linotype"/>
          <w:sz w:val="24"/>
          <w:szCs w:val="24"/>
        </w:rPr>
        <w:t>at this time</w:t>
      </w:r>
      <w:proofErr w:type="gramEnd"/>
      <w:r w:rsidRPr="00534D5D" w:rsidR="00C32CBA">
        <w:rPr>
          <w:rFonts w:ascii="Palatino Linotype" w:hAnsi="Palatino Linotype"/>
          <w:sz w:val="24"/>
          <w:szCs w:val="24"/>
        </w:rPr>
        <w:t xml:space="preserve">. </w:t>
      </w:r>
    </w:p>
    <w:p w:rsidRPr="00534D5D" w:rsidR="002B3780" w:rsidP="006748CB" w:rsidRDefault="002B3780" w14:paraId="7F764C78" w14:textId="093E70D4">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 xml:space="preserve">It is reasonable to establish an interim average service energization timeline that is between the 90-business day and 160-business day proposals. </w:t>
      </w:r>
    </w:p>
    <w:p w:rsidRPr="00534D5D" w:rsidR="00006003" w:rsidP="006748CB" w:rsidRDefault="00006003" w14:paraId="60D5B62A" w14:textId="6EF7348B">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 xml:space="preserve">It is reasonable to direct PG&amp;E, SCE, SDG&amp;E, BVES, Liberty, and PacifiCorp </w:t>
      </w:r>
      <w:r w:rsidRPr="00534D5D" w:rsidR="00FF0810">
        <w:rPr>
          <w:rFonts w:ascii="Palatino Linotype" w:hAnsi="Palatino Linotype"/>
          <w:sz w:val="24"/>
          <w:szCs w:val="24"/>
        </w:rPr>
        <w:t>to propose a new average service energization timeline</w:t>
      </w:r>
      <w:r w:rsidRPr="00534D5D" w:rsidR="00E636B4">
        <w:rPr>
          <w:rFonts w:ascii="Palatino Linotype" w:hAnsi="Palatino Linotype"/>
          <w:sz w:val="24"/>
          <w:szCs w:val="24"/>
        </w:rPr>
        <w:t xml:space="preserve"> that is informed by at minimum, 12-months of EV Infrastructure Rule implementation efforts.</w:t>
      </w:r>
    </w:p>
    <w:p w:rsidRPr="00534D5D" w:rsidR="00371474" w:rsidP="006748CB" w:rsidRDefault="00371474" w14:paraId="1B9FB235" w14:textId="45830973">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AB 841 (Ting, 2020) includes civil construction work for EV projects in the definition of utility-side infrastructure to support EV charging.</w:t>
      </w:r>
    </w:p>
    <w:p w:rsidRPr="00534D5D" w:rsidR="007425C7" w:rsidP="006748CB" w:rsidRDefault="00300D8D" w14:paraId="53C59E73" w14:textId="063F7A2C">
      <w:pPr>
        <w:pStyle w:val="ListParagraph"/>
        <w:numPr>
          <w:ilvl w:val="0"/>
          <w:numId w:val="11"/>
        </w:numPr>
        <w:rPr>
          <w:rFonts w:ascii="Palatino Linotype" w:hAnsi="Palatino Linotype"/>
          <w:b/>
          <w:caps/>
          <w:sz w:val="24"/>
          <w:szCs w:val="24"/>
        </w:rPr>
      </w:pPr>
      <w:r w:rsidRPr="00534D5D">
        <w:rPr>
          <w:rFonts w:ascii="Palatino Linotype" w:hAnsi="Palatino Linotype"/>
          <w:sz w:val="24"/>
          <w:szCs w:val="24"/>
        </w:rPr>
        <w:t>PG&amp;E, SCE, SDG&amp;E, BVES, Liberty, and PacifiCorp have nearly six-</w:t>
      </w:r>
      <w:proofErr w:type="spellStart"/>
      <w:r w:rsidRPr="00534D5D">
        <w:rPr>
          <w:rFonts w:ascii="Palatino Linotype" w:hAnsi="Palatino Linotype"/>
          <w:sz w:val="24"/>
          <w:szCs w:val="24"/>
        </w:rPr>
        <w:t>years experience</w:t>
      </w:r>
      <w:proofErr w:type="spellEnd"/>
      <w:r w:rsidRPr="00534D5D">
        <w:rPr>
          <w:rFonts w:ascii="Palatino Linotype" w:hAnsi="Palatino Linotype"/>
          <w:sz w:val="24"/>
          <w:szCs w:val="24"/>
        </w:rPr>
        <w:t xml:space="preserve"> each implementing behind-the-meter transportation electrification programs that have the utility </w:t>
      </w:r>
      <w:r w:rsidRPr="00534D5D" w:rsidR="008A1867">
        <w:rPr>
          <w:rFonts w:ascii="Palatino Linotype" w:hAnsi="Palatino Linotype"/>
          <w:sz w:val="24"/>
          <w:szCs w:val="24"/>
        </w:rPr>
        <w:t>perform</w:t>
      </w:r>
      <w:r w:rsidRPr="00534D5D" w:rsidR="00D000BF">
        <w:rPr>
          <w:rFonts w:ascii="Palatino Linotype" w:hAnsi="Palatino Linotype"/>
          <w:sz w:val="24"/>
          <w:szCs w:val="24"/>
        </w:rPr>
        <w:t xml:space="preserve"> civil </w:t>
      </w:r>
      <w:r w:rsidRPr="00534D5D" w:rsidR="002310D8">
        <w:rPr>
          <w:rFonts w:ascii="Palatino Linotype" w:hAnsi="Palatino Linotype"/>
          <w:sz w:val="24"/>
          <w:szCs w:val="24"/>
        </w:rPr>
        <w:t>construction</w:t>
      </w:r>
      <w:r w:rsidRPr="00534D5D" w:rsidR="00D000BF">
        <w:rPr>
          <w:rFonts w:ascii="Palatino Linotype" w:hAnsi="Palatino Linotype"/>
          <w:sz w:val="24"/>
          <w:szCs w:val="24"/>
        </w:rPr>
        <w:t xml:space="preserve"> work.</w:t>
      </w:r>
    </w:p>
    <w:p w:rsidRPr="00534D5D" w:rsidR="002310D8" w:rsidP="007425C7" w:rsidRDefault="002610BC" w14:paraId="1A9E8B10" w14:textId="4C3E8E06">
      <w:pPr>
        <w:pStyle w:val="ListParagraph"/>
        <w:numPr>
          <w:ilvl w:val="0"/>
          <w:numId w:val="11"/>
        </w:numPr>
        <w:rPr>
          <w:rFonts w:ascii="Palatino Linotype" w:hAnsi="Palatino Linotype"/>
          <w:sz w:val="24"/>
          <w:szCs w:val="24"/>
        </w:rPr>
      </w:pPr>
      <w:r w:rsidRPr="00534D5D">
        <w:rPr>
          <w:rFonts w:ascii="Palatino Linotype" w:hAnsi="Palatino Linotype"/>
          <w:sz w:val="24"/>
          <w:szCs w:val="24"/>
        </w:rPr>
        <w:lastRenderedPageBreak/>
        <w:t>I</w:t>
      </w:r>
      <w:r w:rsidRPr="00534D5D" w:rsidR="007425C7">
        <w:rPr>
          <w:rFonts w:ascii="Palatino Linotype" w:hAnsi="Palatino Linotype"/>
          <w:sz w:val="24"/>
          <w:szCs w:val="24"/>
        </w:rPr>
        <w:t xml:space="preserve">t is reasonable </w:t>
      </w:r>
      <w:r w:rsidRPr="00534D5D">
        <w:rPr>
          <w:rFonts w:ascii="Palatino Linotype" w:hAnsi="Palatino Linotype"/>
          <w:sz w:val="24"/>
          <w:szCs w:val="24"/>
        </w:rPr>
        <w:t xml:space="preserve">to </w:t>
      </w:r>
      <w:r w:rsidRPr="00534D5D" w:rsidR="007462CB">
        <w:rPr>
          <w:rFonts w:ascii="Palatino Linotype" w:hAnsi="Palatino Linotype"/>
          <w:sz w:val="24"/>
          <w:szCs w:val="24"/>
        </w:rPr>
        <w:t>direct PG&amp;E, SCE, SDG&amp;E, BVES, Liberty, and PacifiCorp to</w:t>
      </w:r>
      <w:r w:rsidRPr="00534D5D" w:rsidR="004253FD">
        <w:rPr>
          <w:rFonts w:ascii="Palatino Linotype" w:hAnsi="Palatino Linotype"/>
          <w:sz w:val="24"/>
          <w:szCs w:val="24"/>
        </w:rPr>
        <w:t xml:space="preserve"> record the reasons for all delays </w:t>
      </w:r>
      <w:r w:rsidRPr="00534D5D" w:rsidR="00060490">
        <w:rPr>
          <w:rFonts w:ascii="Palatino Linotype" w:hAnsi="Palatino Linotype"/>
          <w:sz w:val="24"/>
          <w:szCs w:val="24"/>
        </w:rPr>
        <w:t xml:space="preserve">and the number of days each exceeding the adopted interim 125-business day average service energization timeline to inform potential modifications to the timeline. </w:t>
      </w:r>
    </w:p>
    <w:p w:rsidRPr="00534D5D" w:rsidR="007511CB" w:rsidP="007425C7" w:rsidRDefault="007511CB" w14:paraId="7300CB04" w14:textId="394B77F9">
      <w:pPr>
        <w:pStyle w:val="ListParagraph"/>
        <w:numPr>
          <w:ilvl w:val="0"/>
          <w:numId w:val="11"/>
        </w:numPr>
        <w:rPr>
          <w:rFonts w:ascii="Palatino Linotype" w:hAnsi="Palatino Linotype"/>
          <w:sz w:val="24"/>
          <w:szCs w:val="24"/>
        </w:rPr>
      </w:pPr>
      <w:r w:rsidRPr="00534D5D">
        <w:rPr>
          <w:rFonts w:ascii="Palatino Linotype" w:hAnsi="Palatino Linotype"/>
          <w:sz w:val="24"/>
          <w:szCs w:val="24"/>
        </w:rPr>
        <w:t>It is reasonable to limit the scope of the adopted average service energization timeline to only apply to EV Infrastructure Rule projects, excluding projects that exceed 2MW, projects needing sub-station upgrades, and projects that require the customer take service through an additional Electric Rule.</w:t>
      </w:r>
    </w:p>
    <w:p w:rsidRPr="00534D5D" w:rsidR="00420D4F" w:rsidP="007425C7" w:rsidRDefault="00420D4F" w14:paraId="05F08F0E" w14:textId="67BDC464">
      <w:pPr>
        <w:pStyle w:val="ListParagraph"/>
        <w:numPr>
          <w:ilvl w:val="0"/>
          <w:numId w:val="11"/>
        </w:numPr>
        <w:rPr>
          <w:rFonts w:ascii="Palatino Linotype" w:hAnsi="Palatino Linotype"/>
          <w:sz w:val="24"/>
          <w:szCs w:val="24"/>
        </w:rPr>
      </w:pPr>
      <w:r w:rsidRPr="00534D5D">
        <w:rPr>
          <w:rFonts w:ascii="Palatino Linotype" w:hAnsi="Palatino Linotype"/>
          <w:sz w:val="24"/>
          <w:szCs w:val="24"/>
        </w:rPr>
        <w:t>It is reasonable to direct PG&amp;E, SCE, SDG&amp;E, BVES, Liberty, and PacifiCorp to collect data on the tim</w:t>
      </w:r>
      <w:r w:rsidRPr="00534D5D" w:rsidR="00AB2285">
        <w:rPr>
          <w:rFonts w:ascii="Palatino Linotype" w:hAnsi="Palatino Linotype"/>
          <w:sz w:val="24"/>
          <w:szCs w:val="24"/>
        </w:rPr>
        <w:t xml:space="preserve">eline needed to complete projects that exceed 2MW, need substation upgrades, and/or require the customer to take service through an additional Electric Rule. </w:t>
      </w:r>
    </w:p>
    <w:p w:rsidRPr="00534D5D" w:rsidR="00AB2285" w:rsidP="007425C7" w:rsidRDefault="00AB2285" w14:paraId="15EDE3F1" w14:textId="218F5D8F">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The CPUC may </w:t>
      </w:r>
      <w:r w:rsidRPr="00534D5D" w:rsidR="00442E56">
        <w:rPr>
          <w:rFonts w:ascii="Palatino Linotype" w:hAnsi="Palatino Linotype"/>
          <w:sz w:val="24"/>
          <w:szCs w:val="24"/>
        </w:rPr>
        <w:t xml:space="preserve">find it reasonable to </w:t>
      </w:r>
      <w:r w:rsidRPr="00534D5D" w:rsidR="0002157A">
        <w:rPr>
          <w:rFonts w:ascii="Palatino Linotype" w:hAnsi="Palatino Linotype"/>
          <w:sz w:val="24"/>
          <w:szCs w:val="24"/>
        </w:rPr>
        <w:t xml:space="preserve">establish an average service energization timeline applying to </w:t>
      </w:r>
      <w:r w:rsidRPr="00534D5D" w:rsidR="007169F2">
        <w:rPr>
          <w:rFonts w:ascii="Palatino Linotype" w:hAnsi="Palatino Linotype"/>
          <w:sz w:val="24"/>
          <w:szCs w:val="24"/>
        </w:rPr>
        <w:t>projects that exceed 2MW, require substation upgrades, and</w:t>
      </w:r>
      <w:r w:rsidRPr="00534D5D" w:rsidR="004352A1">
        <w:rPr>
          <w:rFonts w:ascii="Palatino Linotype" w:hAnsi="Palatino Linotype"/>
          <w:sz w:val="24"/>
          <w:szCs w:val="24"/>
        </w:rPr>
        <w:t>/or require the customer to take service through an additional Electric Rule.</w:t>
      </w:r>
    </w:p>
    <w:p w:rsidRPr="00534D5D" w:rsidR="00D34B45" w:rsidP="007425C7" w:rsidRDefault="00D34B45" w14:paraId="3E712716" w14:textId="5FC49680">
      <w:pPr>
        <w:pStyle w:val="ListParagraph"/>
        <w:numPr>
          <w:ilvl w:val="0"/>
          <w:numId w:val="11"/>
        </w:numPr>
        <w:rPr>
          <w:rFonts w:ascii="Palatino Linotype" w:hAnsi="Palatino Linotype"/>
          <w:sz w:val="24"/>
          <w:szCs w:val="24"/>
        </w:rPr>
      </w:pPr>
      <w:r w:rsidRPr="00534D5D">
        <w:rPr>
          <w:rFonts w:ascii="Palatino Linotype" w:hAnsi="Palatino Linotype"/>
          <w:sz w:val="24"/>
          <w:szCs w:val="24"/>
        </w:rPr>
        <w:t>It is reasonable to include preassessment and engineering studies within the adopted average service energization timeline.</w:t>
      </w:r>
    </w:p>
    <w:p w:rsidRPr="00534D5D" w:rsidR="00216306" w:rsidP="006748CB" w:rsidRDefault="00EF1C94" w14:paraId="6DFB9DDF" w14:textId="118081C6">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The </w:t>
      </w:r>
      <w:r w:rsidRPr="00534D5D" w:rsidR="005A5E21">
        <w:rPr>
          <w:rFonts w:ascii="Palatino Linotype" w:hAnsi="Palatino Linotype"/>
          <w:sz w:val="24"/>
          <w:szCs w:val="24"/>
        </w:rPr>
        <w:t xml:space="preserve">California legislature has </w:t>
      </w:r>
      <w:r w:rsidRPr="00534D5D" w:rsidR="00B42F04">
        <w:rPr>
          <w:rFonts w:ascii="Palatino Linotype" w:hAnsi="Palatino Linotype"/>
          <w:sz w:val="24"/>
          <w:szCs w:val="24"/>
        </w:rPr>
        <w:t>passed two bills, Assembly Bill 1236 (</w:t>
      </w:r>
      <w:r w:rsidRPr="00534D5D" w:rsidR="00345400">
        <w:rPr>
          <w:rFonts w:ascii="Palatino Linotype" w:hAnsi="Palatino Linotype"/>
          <w:sz w:val="24"/>
          <w:szCs w:val="24"/>
        </w:rPr>
        <w:t>Chiu, 2015) and Assembly Bill 970 (McCarty, 2021)</w:t>
      </w:r>
      <w:r w:rsidRPr="00534D5D" w:rsidR="00B42F04">
        <w:rPr>
          <w:rFonts w:ascii="Palatino Linotype" w:hAnsi="Palatino Linotype"/>
          <w:sz w:val="24"/>
          <w:szCs w:val="24"/>
        </w:rPr>
        <w:t xml:space="preserve"> that seek to accelerate</w:t>
      </w:r>
      <w:r w:rsidRPr="00534D5D" w:rsidR="00345400">
        <w:rPr>
          <w:rFonts w:ascii="Palatino Linotype" w:hAnsi="Palatino Linotype"/>
          <w:sz w:val="24"/>
          <w:szCs w:val="24"/>
        </w:rPr>
        <w:t xml:space="preserve"> the EVSE permitting process.</w:t>
      </w:r>
    </w:p>
    <w:p w:rsidRPr="00534D5D" w:rsidR="005F0B9B" w:rsidP="006748CB" w:rsidRDefault="005F0B9B" w14:paraId="423DA20D" w14:textId="16DB642F">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Assembly Bill 970 establishes a fixed schedule of five business days for deemed complete and twenty business days for deemed approved, for an </w:t>
      </w:r>
      <w:r w:rsidRPr="00534D5D" w:rsidR="0037132F">
        <w:rPr>
          <w:rFonts w:ascii="Palatino Linotype" w:hAnsi="Palatino Linotype"/>
          <w:sz w:val="24"/>
          <w:szCs w:val="24"/>
        </w:rPr>
        <w:t>AHJ</w:t>
      </w:r>
      <w:r w:rsidRPr="00534D5D">
        <w:rPr>
          <w:rFonts w:ascii="Palatino Linotype" w:hAnsi="Palatino Linotype"/>
          <w:sz w:val="24"/>
          <w:szCs w:val="24"/>
        </w:rPr>
        <w:t xml:space="preserve"> to approve a permit for the installation of EV charging infrastructure.</w:t>
      </w:r>
    </w:p>
    <w:p w:rsidRPr="00534D5D" w:rsidR="00DC1703" w:rsidP="006748CB" w:rsidRDefault="00DC1703" w14:paraId="6077D260" w14:textId="63519232">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It is reasonable to </w:t>
      </w:r>
      <w:r w:rsidRPr="00534D5D" w:rsidR="00D63E6D">
        <w:rPr>
          <w:rFonts w:ascii="Palatino Linotype" w:hAnsi="Palatino Linotype"/>
          <w:sz w:val="24"/>
          <w:szCs w:val="24"/>
        </w:rPr>
        <w:t xml:space="preserve">include the </w:t>
      </w:r>
      <w:r w:rsidRPr="00534D5D" w:rsidR="00716CCF">
        <w:rPr>
          <w:rFonts w:ascii="Palatino Linotype" w:hAnsi="Palatino Linotype"/>
          <w:sz w:val="24"/>
          <w:szCs w:val="24"/>
        </w:rPr>
        <w:t xml:space="preserve">maximum 25-business days to receive an approved permit from an Authority Having Jurisdiction within the adopted average service energization timeline. </w:t>
      </w:r>
    </w:p>
    <w:p w:rsidRPr="00534D5D" w:rsidR="00B53017" w:rsidP="006748CB" w:rsidRDefault="00B53017" w14:paraId="685C9161" w14:textId="30152744">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Improving customer awareness and education on the service energization process can </w:t>
      </w:r>
      <w:r w:rsidRPr="00534D5D" w:rsidR="002E0631">
        <w:rPr>
          <w:rFonts w:ascii="Palatino Linotype" w:hAnsi="Palatino Linotype"/>
          <w:sz w:val="24"/>
          <w:szCs w:val="24"/>
        </w:rPr>
        <w:t>help accelerate the service energization timeline.</w:t>
      </w:r>
    </w:p>
    <w:p w:rsidRPr="00534D5D" w:rsidR="00716CCF" w:rsidP="006748CB" w:rsidRDefault="00B53017" w14:paraId="34E5E43C" w14:textId="799F170B">
      <w:pPr>
        <w:pStyle w:val="ListParagraph"/>
        <w:numPr>
          <w:ilvl w:val="0"/>
          <w:numId w:val="11"/>
        </w:numPr>
        <w:rPr>
          <w:rFonts w:ascii="Palatino Linotype" w:hAnsi="Palatino Linotype"/>
          <w:sz w:val="24"/>
          <w:szCs w:val="24"/>
        </w:rPr>
      </w:pPr>
      <w:r w:rsidRPr="00534D5D">
        <w:rPr>
          <w:rFonts w:ascii="Palatino Linotype" w:hAnsi="Palatino Linotype"/>
          <w:sz w:val="24"/>
          <w:szCs w:val="24"/>
        </w:rPr>
        <w:t>It is reasonable to direct PG&amp;E, SCE, SDG&amp;E, BVES, Liberty, and PacifiCorp to develop materials that clearly illustrate the ser</w:t>
      </w:r>
      <w:r w:rsidRPr="00534D5D" w:rsidR="0037132F">
        <w:rPr>
          <w:rFonts w:ascii="Palatino Linotype" w:hAnsi="Palatino Linotype"/>
          <w:sz w:val="24"/>
          <w:szCs w:val="24"/>
        </w:rPr>
        <w:t>vice energization steps that are in the direct responsibility of the utility, the customer, the EVSP, the AHJ</w:t>
      </w:r>
      <w:r w:rsidRPr="00534D5D" w:rsidR="00247C89">
        <w:rPr>
          <w:rFonts w:ascii="Palatino Linotype" w:hAnsi="Palatino Linotype"/>
          <w:sz w:val="24"/>
          <w:szCs w:val="24"/>
        </w:rPr>
        <w:t>, and any other party involved in the service energization process and make it available on their website.</w:t>
      </w:r>
    </w:p>
    <w:p w:rsidRPr="00534D5D" w:rsidR="00E12609" w:rsidP="006748CB" w:rsidRDefault="006C406B" w14:paraId="67571555" w14:textId="6743F522">
      <w:pPr>
        <w:pStyle w:val="ListParagraph"/>
        <w:numPr>
          <w:ilvl w:val="0"/>
          <w:numId w:val="11"/>
        </w:numPr>
        <w:rPr>
          <w:rFonts w:ascii="Palatino Linotype" w:hAnsi="Palatino Linotype"/>
          <w:sz w:val="24"/>
          <w:szCs w:val="24"/>
        </w:rPr>
      </w:pPr>
      <w:r w:rsidRPr="00534D5D">
        <w:rPr>
          <w:rFonts w:ascii="Palatino Linotype" w:hAnsi="Palatino Linotype"/>
          <w:sz w:val="24"/>
          <w:szCs w:val="24"/>
        </w:rPr>
        <w:lastRenderedPageBreak/>
        <w:t>PG&amp;E’s, SCE’s, SDG&amp;E’s, BVES’s, Liberty’s, and PacifiCorp’s Interconnection Capacity Analys</w:t>
      </w:r>
      <w:r w:rsidRPr="00534D5D" w:rsidR="00B43C6B">
        <w:rPr>
          <w:rFonts w:ascii="Palatino Linotype" w:hAnsi="Palatino Linotype"/>
          <w:sz w:val="24"/>
          <w:szCs w:val="24"/>
        </w:rPr>
        <w:t>e</w:t>
      </w:r>
      <w:r w:rsidRPr="00534D5D">
        <w:rPr>
          <w:rFonts w:ascii="Palatino Linotype" w:hAnsi="Palatino Linotype"/>
          <w:sz w:val="24"/>
          <w:szCs w:val="24"/>
        </w:rPr>
        <w:t xml:space="preserve">s maps </w:t>
      </w:r>
      <w:r w:rsidRPr="00534D5D" w:rsidR="00154A09">
        <w:rPr>
          <w:rFonts w:ascii="Palatino Linotype" w:hAnsi="Palatino Linotype"/>
          <w:sz w:val="24"/>
          <w:szCs w:val="24"/>
        </w:rPr>
        <w:t xml:space="preserve">include data that can help inform customers of </w:t>
      </w:r>
      <w:r w:rsidRPr="00534D5D" w:rsidR="00EA55C4">
        <w:rPr>
          <w:rFonts w:ascii="Palatino Linotype" w:hAnsi="Palatino Linotype"/>
          <w:sz w:val="24"/>
          <w:szCs w:val="24"/>
        </w:rPr>
        <w:t xml:space="preserve">the optimal gird locations for at scale </w:t>
      </w:r>
      <w:r w:rsidRPr="00534D5D" w:rsidR="00A84C98">
        <w:rPr>
          <w:rFonts w:ascii="Palatino Linotype" w:hAnsi="Palatino Linotype"/>
          <w:sz w:val="24"/>
          <w:szCs w:val="24"/>
        </w:rPr>
        <w:t xml:space="preserve">EV charging infrastructure. </w:t>
      </w:r>
    </w:p>
    <w:p w:rsidRPr="00534D5D" w:rsidR="00A84C98" w:rsidP="006748CB" w:rsidRDefault="00A84C98" w14:paraId="7D188751" w14:textId="7055E9CA">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It is reasonable to direct PG&amp;E, SCE, SDG&amp;E, BVES, Liberty, and PacifiCorp to </w:t>
      </w:r>
      <w:r w:rsidRPr="00534D5D" w:rsidR="00BF1A08">
        <w:rPr>
          <w:rFonts w:ascii="Palatino Linotype" w:hAnsi="Palatino Linotype"/>
          <w:sz w:val="24"/>
          <w:szCs w:val="24"/>
        </w:rPr>
        <w:t xml:space="preserve">make quarterly updates to their </w:t>
      </w:r>
      <w:r w:rsidRPr="00534D5D" w:rsidR="00A83021">
        <w:rPr>
          <w:rFonts w:ascii="Palatino Linotype" w:hAnsi="Palatino Linotype"/>
          <w:sz w:val="24"/>
          <w:szCs w:val="24"/>
        </w:rPr>
        <w:t>Interconnection Capacity Analyses maps to reflect the most up</w:t>
      </w:r>
      <w:r w:rsidRPr="00534D5D" w:rsidR="00C4786D">
        <w:rPr>
          <w:rFonts w:ascii="Palatino Linotype" w:hAnsi="Palatino Linotype"/>
          <w:sz w:val="24"/>
          <w:szCs w:val="24"/>
        </w:rPr>
        <w:t xml:space="preserve">-to-date information and post the updated map information on their EV Infrastructure Rule webpage and discuss the map specifics with individual customers requesting service through the EV Infrastructure Rule. </w:t>
      </w:r>
    </w:p>
    <w:p w:rsidRPr="00534D5D" w:rsidR="00CC1240" w:rsidP="006748CB" w:rsidRDefault="00CC1240" w14:paraId="09C7DF38" w14:textId="21E83086">
      <w:pPr>
        <w:pStyle w:val="ListParagraph"/>
        <w:numPr>
          <w:ilvl w:val="0"/>
          <w:numId w:val="11"/>
        </w:numPr>
        <w:rPr>
          <w:rFonts w:ascii="Palatino Linotype" w:hAnsi="Palatino Linotype"/>
          <w:sz w:val="24"/>
          <w:szCs w:val="24"/>
        </w:rPr>
      </w:pPr>
      <w:r w:rsidRPr="00534D5D">
        <w:rPr>
          <w:rFonts w:ascii="Palatino Linotype" w:hAnsi="Palatino Linotype"/>
          <w:sz w:val="24"/>
          <w:szCs w:val="24"/>
        </w:rPr>
        <w:t>We do not find it reasonable to adopt a standardized easement process</w:t>
      </w:r>
      <w:r w:rsidRPr="00534D5D" w:rsidR="000F0DE3">
        <w:rPr>
          <w:rFonts w:ascii="Palatino Linotype" w:hAnsi="Palatino Linotype"/>
          <w:sz w:val="24"/>
          <w:szCs w:val="24"/>
        </w:rPr>
        <w:t xml:space="preserve"> </w:t>
      </w:r>
      <w:proofErr w:type="gramStart"/>
      <w:r w:rsidRPr="00534D5D" w:rsidR="000F0DE3">
        <w:rPr>
          <w:rFonts w:ascii="Palatino Linotype" w:hAnsi="Palatino Linotype"/>
          <w:sz w:val="24"/>
          <w:szCs w:val="24"/>
        </w:rPr>
        <w:t>at this time</w:t>
      </w:r>
      <w:proofErr w:type="gramEnd"/>
      <w:r w:rsidRPr="00534D5D">
        <w:rPr>
          <w:rFonts w:ascii="Palatino Linotype" w:hAnsi="Palatino Linotype"/>
          <w:sz w:val="24"/>
          <w:szCs w:val="24"/>
        </w:rPr>
        <w:t>.</w:t>
      </w:r>
    </w:p>
    <w:p w:rsidRPr="00534D5D" w:rsidR="00A71FB2" w:rsidP="006748CB" w:rsidRDefault="00A71FB2" w14:paraId="0853BA2D" w14:textId="1CAD147C">
      <w:pPr>
        <w:pStyle w:val="ListParagraph"/>
        <w:numPr>
          <w:ilvl w:val="0"/>
          <w:numId w:val="11"/>
        </w:numPr>
        <w:rPr>
          <w:rFonts w:ascii="Palatino Linotype" w:hAnsi="Palatino Linotype"/>
          <w:sz w:val="24"/>
          <w:szCs w:val="24"/>
        </w:rPr>
      </w:pPr>
      <w:r w:rsidRPr="00534D5D">
        <w:rPr>
          <w:rFonts w:ascii="Palatino Linotype" w:hAnsi="Palatino Linotype"/>
          <w:sz w:val="24"/>
          <w:szCs w:val="24"/>
        </w:rPr>
        <w:t>There are steps in the service energization process that are under the utility’s direct control that may be delayed due to factors outside of their control.</w:t>
      </w:r>
    </w:p>
    <w:p w:rsidRPr="00534D5D" w:rsidR="00C9204E" w:rsidP="006748CB" w:rsidRDefault="00A2655D" w14:paraId="5F2CEFBC" w14:textId="22B802E4">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It is appropriate to </w:t>
      </w:r>
      <w:r w:rsidRPr="00534D5D" w:rsidR="00F528A6">
        <w:rPr>
          <w:rFonts w:ascii="Palatino Linotype" w:hAnsi="Palatino Linotype"/>
          <w:sz w:val="24"/>
          <w:szCs w:val="24"/>
        </w:rPr>
        <w:t>require PG&amp;E, SCE, SDG&amp;E, BVES, Liberty, and PacifiCorp to record within their EV Infrastructure Rule data collection efforts all delays in the service energization process that are under the utility control that are impacted by factors outside of their control.</w:t>
      </w:r>
    </w:p>
    <w:p w:rsidRPr="00534D5D" w:rsidR="003D30D3" w:rsidP="006748CB" w:rsidRDefault="00FF1DED" w14:paraId="2643721D" w14:textId="6FB85814">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PG&amp;E, SCE, SDG&amp;E, BVES, Liberty, and PacifiCorp </w:t>
      </w:r>
      <w:r w:rsidRPr="00534D5D" w:rsidR="00221986">
        <w:rPr>
          <w:rFonts w:ascii="Palatino Linotype" w:hAnsi="Palatino Linotype"/>
          <w:sz w:val="24"/>
          <w:szCs w:val="24"/>
        </w:rPr>
        <w:t xml:space="preserve">must </w:t>
      </w:r>
      <w:r w:rsidRPr="00534D5D" w:rsidR="00B85BAB">
        <w:rPr>
          <w:rFonts w:ascii="Palatino Linotype" w:hAnsi="Palatino Linotype"/>
          <w:sz w:val="24"/>
          <w:szCs w:val="24"/>
        </w:rPr>
        <w:t>not compromise</w:t>
      </w:r>
      <w:r w:rsidRPr="00534D5D" w:rsidR="00221986">
        <w:rPr>
          <w:rFonts w:ascii="Palatino Linotype" w:hAnsi="Palatino Linotype"/>
          <w:sz w:val="24"/>
          <w:szCs w:val="24"/>
        </w:rPr>
        <w:t xml:space="preserve"> safety and compliance with regulatory requirements</w:t>
      </w:r>
      <w:r w:rsidRPr="00534D5D" w:rsidR="00B85BAB">
        <w:rPr>
          <w:rFonts w:ascii="Palatino Linotype" w:hAnsi="Palatino Linotype"/>
          <w:sz w:val="24"/>
          <w:szCs w:val="24"/>
        </w:rPr>
        <w:t xml:space="preserve"> in their efforts to accelerate the service energization process.</w:t>
      </w:r>
    </w:p>
    <w:p w:rsidR="00247C89" w:rsidP="006748CB" w:rsidRDefault="00247C89" w14:paraId="14D043DE" w14:textId="50EDAA47">
      <w:pPr>
        <w:pStyle w:val="ListParagraph"/>
        <w:numPr>
          <w:ilvl w:val="0"/>
          <w:numId w:val="11"/>
        </w:numPr>
        <w:rPr>
          <w:rFonts w:ascii="Palatino Linotype" w:hAnsi="Palatino Linotype"/>
          <w:sz w:val="24"/>
          <w:szCs w:val="24"/>
        </w:rPr>
      </w:pPr>
      <w:r w:rsidRPr="00534D5D">
        <w:rPr>
          <w:rFonts w:ascii="Palatino Linotype" w:hAnsi="Palatino Linotype"/>
          <w:sz w:val="24"/>
          <w:szCs w:val="24"/>
        </w:rPr>
        <w:t xml:space="preserve">It is reasonable to direct PG&amp;E, SCE, SDG&amp;E, BVES, Liberty, and PacifiCorp to record all incremental costs </w:t>
      </w:r>
      <w:r w:rsidRPr="00534D5D" w:rsidR="00F939E2">
        <w:rPr>
          <w:rFonts w:ascii="Palatino Linotype" w:hAnsi="Palatino Linotype"/>
          <w:sz w:val="24"/>
          <w:szCs w:val="24"/>
        </w:rPr>
        <w:t>needed to support the acceleration of the service energization timeline within the EV Infrastructure Rule Memorandum Accounts</w:t>
      </w:r>
      <w:r w:rsidRPr="00534D5D" w:rsidR="00D53903">
        <w:rPr>
          <w:rFonts w:ascii="Palatino Linotype" w:hAnsi="Palatino Linotype"/>
          <w:sz w:val="24"/>
          <w:szCs w:val="24"/>
        </w:rPr>
        <w:t xml:space="preserve">. </w:t>
      </w:r>
    </w:p>
    <w:p w:rsidRPr="00534D5D" w:rsidR="001A3A1A" w:rsidP="001A3A1A" w:rsidRDefault="001A3A1A" w14:paraId="48AA40FB" w14:textId="77777777">
      <w:pPr>
        <w:pStyle w:val="ListParagraph"/>
        <w:spacing w:after="0"/>
        <w:ind w:left="360"/>
        <w:rPr>
          <w:rFonts w:ascii="Palatino Linotype" w:hAnsi="Palatino Linotype"/>
          <w:sz w:val="24"/>
          <w:szCs w:val="24"/>
        </w:rPr>
      </w:pPr>
    </w:p>
    <w:p w:rsidRPr="00534D5D" w:rsidR="000831F6" w:rsidP="001A3A1A" w:rsidRDefault="000831F6" w14:paraId="3D9598AC" w14:textId="051FE182">
      <w:pPr>
        <w:pStyle w:val="Heading1"/>
        <w:spacing w:before="0"/>
        <w:jc w:val="both"/>
        <w:rPr>
          <w:rFonts w:ascii="Palatino Linotype" w:hAnsi="Palatino Linotype" w:cs="Helvetica"/>
          <w:sz w:val="24"/>
          <w:szCs w:val="24"/>
        </w:rPr>
      </w:pPr>
      <w:proofErr w:type="gramStart"/>
      <w:r w:rsidRPr="00534D5D">
        <w:rPr>
          <w:rFonts w:ascii="Palatino Linotype" w:hAnsi="Palatino Linotype" w:cs="Helvetica"/>
          <w:sz w:val="24"/>
          <w:szCs w:val="24"/>
        </w:rPr>
        <w:t>THEREFORE</w:t>
      </w:r>
      <w:proofErr w:type="gramEnd"/>
      <w:r w:rsidRPr="00534D5D">
        <w:rPr>
          <w:rFonts w:ascii="Palatino Linotype" w:hAnsi="Palatino Linotype" w:cs="Helvetica"/>
          <w:sz w:val="24"/>
          <w:szCs w:val="24"/>
        </w:rPr>
        <w:t xml:space="preserve"> IT IS ORDERED THAT:</w:t>
      </w:r>
    </w:p>
    <w:p w:rsidRPr="00534D5D" w:rsidR="00E70086" w:rsidP="00E932DC" w:rsidRDefault="009456DA" w14:paraId="76E2EA6B" w14:textId="295068E9">
      <w:pPr>
        <w:pStyle w:val="ListParagraph"/>
        <w:numPr>
          <w:ilvl w:val="0"/>
          <w:numId w:val="7"/>
        </w:numPr>
        <w:rPr>
          <w:rFonts w:ascii="Palatino Linotype" w:hAnsi="Palatino Linotype"/>
          <w:sz w:val="24"/>
          <w:szCs w:val="24"/>
        </w:rPr>
      </w:pPr>
      <w:r w:rsidRPr="009456DA">
        <w:rPr>
          <w:rFonts w:ascii="Palatino Linotype" w:hAnsi="Palatino Linotype"/>
          <w:sz w:val="24"/>
          <w:szCs w:val="24"/>
        </w:rPr>
        <w:t xml:space="preserve">Pacific Gas and Electric Company’s AL 6607-E, Southern California Edison Company’s Advice Letter 4803-E San Diego Gas &amp; Electric’s Advice Letter 4011-E, Bear Valley Electric Service Advice Letter 444-E, Liberty Utilities’ Advice </w:t>
      </w:r>
      <w:r w:rsidR="00E146E3">
        <w:rPr>
          <w:rFonts w:ascii="Palatino Linotype" w:hAnsi="Palatino Linotype"/>
          <w:sz w:val="24"/>
          <w:szCs w:val="24"/>
        </w:rPr>
        <w:br/>
      </w:r>
      <w:r w:rsidRPr="009456DA">
        <w:rPr>
          <w:rFonts w:ascii="Palatino Linotype" w:hAnsi="Palatino Linotype"/>
          <w:sz w:val="24"/>
          <w:szCs w:val="24"/>
        </w:rPr>
        <w:t xml:space="preserve">Letter 192-E, and PacifiCorp d/b/a </w:t>
      </w:r>
      <w:proofErr w:type="spellStart"/>
      <w:r w:rsidRPr="009456DA">
        <w:rPr>
          <w:rFonts w:ascii="Palatino Linotype" w:hAnsi="Palatino Linotype"/>
          <w:sz w:val="24"/>
          <w:szCs w:val="24"/>
        </w:rPr>
        <w:t>PacificPower’s</w:t>
      </w:r>
      <w:proofErr w:type="spellEnd"/>
      <w:r w:rsidRPr="009456DA">
        <w:rPr>
          <w:rFonts w:ascii="Palatino Linotype" w:hAnsi="Palatino Linotype"/>
          <w:sz w:val="24"/>
          <w:szCs w:val="24"/>
        </w:rPr>
        <w:t xml:space="preserve"> Advice Letter 685-E, are approved with </w:t>
      </w:r>
      <w:proofErr w:type="spellStart"/>
      <w:r w:rsidRPr="009456DA">
        <w:rPr>
          <w:rFonts w:ascii="Palatino Linotype" w:hAnsi="Palatino Linotype"/>
          <w:sz w:val="24"/>
          <w:szCs w:val="24"/>
        </w:rPr>
        <w:t>modifications.</w:t>
      </w:r>
      <w:r w:rsidRPr="00534D5D" w:rsidR="00E932DC">
        <w:rPr>
          <w:rFonts w:ascii="Palatino Linotype" w:hAnsi="Palatino Linotype"/>
          <w:sz w:val="24"/>
          <w:szCs w:val="24"/>
        </w:rPr>
        <w:t>Pacific</w:t>
      </w:r>
      <w:proofErr w:type="spellEnd"/>
      <w:r w:rsidRPr="00534D5D" w:rsidR="00E932DC">
        <w:rPr>
          <w:rFonts w:ascii="Palatino Linotype" w:hAnsi="Palatino Linotype"/>
          <w:sz w:val="24"/>
          <w:szCs w:val="24"/>
        </w:rPr>
        <w:t xml:space="preserve"> Gas and Electric Company, San Diego Gas &amp; Electric Company, Southern California Edison Company, Bear Valley Electric Service, Liberty Utilities, and PacifiCorp d/b/a </w:t>
      </w:r>
      <w:proofErr w:type="spellStart"/>
      <w:r w:rsidRPr="00534D5D" w:rsidR="00E932DC">
        <w:rPr>
          <w:rFonts w:ascii="Palatino Linotype" w:hAnsi="Palatino Linotype"/>
          <w:sz w:val="24"/>
          <w:szCs w:val="24"/>
        </w:rPr>
        <w:t>PacificPower</w:t>
      </w:r>
      <w:proofErr w:type="spellEnd"/>
      <w:r w:rsidRPr="00534D5D" w:rsidDel="00E932DC" w:rsidR="00E932DC">
        <w:rPr>
          <w:rFonts w:ascii="Palatino Linotype" w:hAnsi="Palatino Linotype"/>
          <w:sz w:val="24"/>
          <w:szCs w:val="24"/>
        </w:rPr>
        <w:t xml:space="preserve"> </w:t>
      </w:r>
      <w:r w:rsidRPr="00534D5D" w:rsidR="00E70086">
        <w:rPr>
          <w:rFonts w:ascii="Palatino Linotype" w:hAnsi="Palatino Linotype"/>
          <w:sz w:val="24"/>
          <w:szCs w:val="24"/>
        </w:rPr>
        <w:t>are directed to achieve an interim average service energization timeline target of 125-business days.</w:t>
      </w:r>
    </w:p>
    <w:p w:rsidRPr="00534D5D" w:rsidR="006B5996" w:rsidP="00E70086" w:rsidRDefault="00E70086" w14:paraId="49AE38EC" w14:textId="3D79AC90">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w:t>
      </w:r>
      <w:r w:rsidRPr="00534D5D" w:rsidR="00391D8F">
        <w:rPr>
          <w:rFonts w:ascii="Palatino Linotype" w:hAnsi="Palatino Linotype"/>
          <w:sz w:val="24"/>
          <w:szCs w:val="24"/>
        </w:rPr>
        <w:t xml:space="preserve">(Joint IOUs) </w:t>
      </w:r>
      <w:r w:rsidRPr="00534D5D" w:rsidR="00AE7006">
        <w:rPr>
          <w:rFonts w:ascii="Palatino Linotype" w:hAnsi="Palatino Linotype"/>
          <w:sz w:val="24"/>
          <w:szCs w:val="24"/>
        </w:rPr>
        <w:t xml:space="preserve">shall include all work illustrated in </w:t>
      </w:r>
      <w:r w:rsidR="00EA4BDF">
        <w:rPr>
          <w:rFonts w:ascii="Palatino Linotype" w:hAnsi="Palatino Linotype"/>
          <w:sz w:val="24"/>
          <w:szCs w:val="24"/>
        </w:rPr>
        <w:br/>
      </w:r>
      <w:r w:rsidRPr="00534D5D" w:rsidR="00AE7006">
        <w:rPr>
          <w:rFonts w:ascii="Palatino Linotype" w:hAnsi="Palatino Linotype"/>
          <w:sz w:val="24"/>
          <w:szCs w:val="24"/>
        </w:rPr>
        <w:lastRenderedPageBreak/>
        <w:t xml:space="preserve">Table 1 that is identified as </w:t>
      </w:r>
      <w:r w:rsidRPr="00534D5D" w:rsidR="006B5996">
        <w:rPr>
          <w:rFonts w:ascii="Palatino Linotype" w:hAnsi="Palatino Linotype"/>
          <w:sz w:val="24"/>
          <w:szCs w:val="24"/>
        </w:rPr>
        <w:t>"I</w:t>
      </w:r>
      <w:r w:rsidRPr="00534D5D" w:rsidR="00306956">
        <w:rPr>
          <w:rFonts w:ascii="Palatino Linotype" w:hAnsi="Palatino Linotype"/>
          <w:sz w:val="24"/>
          <w:szCs w:val="24"/>
        </w:rPr>
        <w:t>ncluded</w:t>
      </w:r>
      <w:r w:rsidRPr="00534D5D" w:rsidR="006B5996">
        <w:rPr>
          <w:rFonts w:ascii="Palatino Linotype" w:hAnsi="Palatino Linotype"/>
          <w:sz w:val="24"/>
          <w:szCs w:val="24"/>
        </w:rPr>
        <w:t xml:space="preserve"> in Target”</w:t>
      </w:r>
      <w:r w:rsidRPr="00534D5D" w:rsidR="00AE7006">
        <w:rPr>
          <w:rFonts w:ascii="Palatino Linotype" w:hAnsi="Palatino Linotype"/>
          <w:sz w:val="24"/>
          <w:szCs w:val="24"/>
        </w:rPr>
        <w:t xml:space="preserve"> within the 125-business day average service energization timeline target. </w:t>
      </w:r>
    </w:p>
    <w:p w:rsidRPr="00534D5D" w:rsidR="006B5996" w:rsidP="00DF56A2" w:rsidRDefault="006B5996" w14:paraId="55B28DD2" w14:textId="3055CC74">
      <w:pPr>
        <w:pStyle w:val="ListParagraph"/>
        <w:numPr>
          <w:ilvl w:val="1"/>
          <w:numId w:val="7"/>
        </w:numPr>
        <w:rPr>
          <w:rFonts w:ascii="Palatino Linotype" w:hAnsi="Palatino Linotype"/>
          <w:sz w:val="24"/>
          <w:szCs w:val="24"/>
        </w:rPr>
      </w:pPr>
      <w:r w:rsidRPr="00534D5D">
        <w:rPr>
          <w:rFonts w:ascii="Palatino Linotype" w:hAnsi="Palatino Linotype"/>
          <w:sz w:val="24"/>
          <w:szCs w:val="24"/>
        </w:rPr>
        <w:t>The Joint IOUs shall include efforts to complete “Preassessment and Engineering Studies”</w:t>
      </w:r>
      <w:r w:rsidRPr="00534D5D" w:rsidR="00657B0F">
        <w:rPr>
          <w:rFonts w:ascii="Palatino Linotype" w:hAnsi="Palatino Linotype"/>
          <w:sz w:val="24"/>
          <w:szCs w:val="24"/>
        </w:rPr>
        <w:t xml:space="preserve"> </w:t>
      </w:r>
      <w:r w:rsidRPr="00534D5D">
        <w:rPr>
          <w:rFonts w:ascii="Palatino Linotype" w:hAnsi="Palatino Linotype"/>
          <w:sz w:val="24"/>
          <w:szCs w:val="24"/>
        </w:rPr>
        <w:t xml:space="preserve">within the adopted 125-business day average service energization timeline. </w:t>
      </w:r>
    </w:p>
    <w:p w:rsidRPr="00534D5D" w:rsidR="00E70086" w:rsidP="00DF56A2" w:rsidRDefault="00391D8F" w14:paraId="5BBF3FE7" w14:textId="39D5C2E4">
      <w:pPr>
        <w:pStyle w:val="ListParagraph"/>
        <w:numPr>
          <w:ilvl w:val="1"/>
          <w:numId w:val="7"/>
        </w:numPr>
        <w:rPr>
          <w:rFonts w:ascii="Palatino Linotype" w:hAnsi="Palatino Linotype"/>
          <w:sz w:val="24"/>
          <w:szCs w:val="24"/>
        </w:rPr>
      </w:pPr>
      <w:r w:rsidRPr="00534D5D">
        <w:rPr>
          <w:rFonts w:ascii="Palatino Linotype" w:hAnsi="Palatino Linotype"/>
          <w:sz w:val="24"/>
          <w:szCs w:val="24"/>
        </w:rPr>
        <w:t>The Joint IOUs shall</w:t>
      </w:r>
      <w:r w:rsidRPr="00534D5D" w:rsidR="004B259D">
        <w:rPr>
          <w:rFonts w:ascii="Palatino Linotype" w:hAnsi="Palatino Linotype"/>
          <w:sz w:val="24"/>
          <w:szCs w:val="24"/>
        </w:rPr>
        <w:t xml:space="preserve"> include</w:t>
      </w:r>
      <w:r w:rsidRPr="00534D5D" w:rsidR="004904A0">
        <w:rPr>
          <w:rFonts w:ascii="Palatino Linotype" w:hAnsi="Palatino Linotype"/>
          <w:sz w:val="24"/>
          <w:szCs w:val="24"/>
        </w:rPr>
        <w:t xml:space="preserve"> </w:t>
      </w:r>
      <w:r w:rsidRPr="00534D5D" w:rsidR="00DC641E">
        <w:rPr>
          <w:rFonts w:ascii="Palatino Linotype" w:hAnsi="Palatino Linotype"/>
          <w:sz w:val="24"/>
          <w:szCs w:val="24"/>
        </w:rPr>
        <w:t>within the 125-business day average service energization timeline</w:t>
      </w:r>
      <w:r w:rsidRPr="00534D5D" w:rsidR="00257E5F">
        <w:rPr>
          <w:rFonts w:ascii="Palatino Linotype" w:hAnsi="Palatino Linotype"/>
          <w:sz w:val="24"/>
          <w:szCs w:val="24"/>
        </w:rPr>
        <w:t xml:space="preserve"> the</w:t>
      </w:r>
      <w:r w:rsidRPr="00534D5D" w:rsidR="004B259D">
        <w:rPr>
          <w:rFonts w:ascii="Palatino Linotype" w:hAnsi="Palatino Linotype"/>
          <w:sz w:val="24"/>
          <w:szCs w:val="24"/>
        </w:rPr>
        <w:t xml:space="preserve"> 25-business days </w:t>
      </w:r>
      <w:r w:rsidRPr="00534D5D" w:rsidR="00DC641E">
        <w:rPr>
          <w:rFonts w:ascii="Palatino Linotype" w:hAnsi="Palatino Linotype"/>
          <w:sz w:val="24"/>
          <w:szCs w:val="24"/>
        </w:rPr>
        <w:t xml:space="preserve">or less </w:t>
      </w:r>
      <w:r w:rsidRPr="00534D5D" w:rsidR="004B259D">
        <w:rPr>
          <w:rFonts w:ascii="Palatino Linotype" w:hAnsi="Palatino Linotype"/>
          <w:sz w:val="24"/>
          <w:szCs w:val="24"/>
        </w:rPr>
        <w:t>needed</w:t>
      </w:r>
      <w:r w:rsidRPr="00534D5D" w:rsidR="002D2AE9">
        <w:rPr>
          <w:rFonts w:ascii="Palatino Linotype" w:hAnsi="Palatino Linotype"/>
          <w:sz w:val="24"/>
          <w:szCs w:val="24"/>
        </w:rPr>
        <w:t xml:space="preserve"> for a customer</w:t>
      </w:r>
      <w:r w:rsidRPr="00534D5D" w:rsidR="004B259D">
        <w:rPr>
          <w:rFonts w:ascii="Palatino Linotype" w:hAnsi="Palatino Linotype"/>
          <w:sz w:val="24"/>
          <w:szCs w:val="24"/>
        </w:rPr>
        <w:t xml:space="preserve"> to </w:t>
      </w:r>
      <w:r w:rsidRPr="00534D5D" w:rsidR="004904A0">
        <w:rPr>
          <w:rFonts w:ascii="Palatino Linotype" w:hAnsi="Palatino Linotype"/>
          <w:sz w:val="24"/>
          <w:szCs w:val="24"/>
        </w:rPr>
        <w:t>receive an approved permit</w:t>
      </w:r>
      <w:r w:rsidRPr="00534D5D" w:rsidR="00BE0A5A">
        <w:rPr>
          <w:rFonts w:ascii="Palatino Linotype" w:hAnsi="Palatino Linotype"/>
          <w:sz w:val="24"/>
          <w:szCs w:val="24"/>
        </w:rPr>
        <w:t xml:space="preserve"> for electric vehicle supply equipment installations. </w:t>
      </w:r>
    </w:p>
    <w:p w:rsidRPr="00534D5D" w:rsidR="00CA6468" w:rsidP="00E70086" w:rsidRDefault="00CA6468" w14:paraId="0F82989A" w14:textId="0978F99E">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shall exclude from counting against the 125-business day average service energization target any project that meets the following conditions: 1) </w:t>
      </w:r>
      <w:r w:rsidRPr="00534D5D" w:rsidR="00CB6778">
        <w:rPr>
          <w:rFonts w:ascii="Palatino Linotype" w:hAnsi="Palatino Linotype"/>
          <w:sz w:val="24"/>
          <w:szCs w:val="24"/>
        </w:rPr>
        <w:t xml:space="preserve">planned additional capacity exceeds two megawatts, 2) </w:t>
      </w:r>
      <w:r w:rsidRPr="00534D5D" w:rsidR="00660FB7">
        <w:rPr>
          <w:rFonts w:ascii="Palatino Linotype" w:hAnsi="Palatino Linotype"/>
          <w:sz w:val="24"/>
          <w:szCs w:val="24"/>
        </w:rPr>
        <w:t>a project</w:t>
      </w:r>
      <w:r w:rsidRPr="00534D5D" w:rsidR="00CB6778">
        <w:rPr>
          <w:rFonts w:ascii="Palatino Linotype" w:hAnsi="Palatino Linotype"/>
          <w:sz w:val="24"/>
          <w:szCs w:val="24"/>
        </w:rPr>
        <w:t xml:space="preserve"> that trigger</w:t>
      </w:r>
      <w:r w:rsidRPr="00534D5D" w:rsidR="00660FB7">
        <w:rPr>
          <w:rFonts w:ascii="Palatino Linotype" w:hAnsi="Palatino Linotype"/>
          <w:sz w:val="24"/>
          <w:szCs w:val="24"/>
        </w:rPr>
        <w:t>s</w:t>
      </w:r>
      <w:r w:rsidRPr="00534D5D" w:rsidR="00CB6778">
        <w:rPr>
          <w:rFonts w:ascii="Palatino Linotype" w:hAnsi="Palatino Linotype"/>
          <w:sz w:val="24"/>
          <w:szCs w:val="24"/>
        </w:rPr>
        <w:t xml:space="preserve"> a</w:t>
      </w:r>
      <w:r w:rsidRPr="00534D5D" w:rsidR="00660FB7">
        <w:rPr>
          <w:rFonts w:ascii="Palatino Linotype" w:hAnsi="Palatino Linotype"/>
          <w:sz w:val="24"/>
          <w:szCs w:val="24"/>
        </w:rPr>
        <w:t>n Electric Rule 15: Distribution Line Extension upgrade</w:t>
      </w:r>
      <w:r w:rsidRPr="00534D5D" w:rsidR="00EC3E4C">
        <w:rPr>
          <w:rFonts w:ascii="Palatino Linotype" w:hAnsi="Palatino Linotype"/>
          <w:sz w:val="24"/>
          <w:szCs w:val="24"/>
        </w:rPr>
        <w:t xml:space="preserve"> or any other Electric Rule</w:t>
      </w:r>
      <w:r w:rsidRPr="00534D5D" w:rsidR="00FA4343">
        <w:rPr>
          <w:rFonts w:ascii="Palatino Linotype" w:hAnsi="Palatino Linotype"/>
          <w:sz w:val="24"/>
          <w:szCs w:val="24"/>
        </w:rPr>
        <w:t>,</w:t>
      </w:r>
      <w:r w:rsidRPr="00534D5D" w:rsidR="00EC3E4C">
        <w:rPr>
          <w:rFonts w:ascii="Palatino Linotype" w:hAnsi="Palatino Linotype"/>
          <w:sz w:val="24"/>
          <w:szCs w:val="24"/>
        </w:rPr>
        <w:t xml:space="preserve"> and</w:t>
      </w:r>
      <w:r w:rsidRPr="00534D5D" w:rsidR="00FA4343">
        <w:rPr>
          <w:rFonts w:ascii="Palatino Linotype" w:hAnsi="Palatino Linotype"/>
          <w:sz w:val="24"/>
          <w:szCs w:val="24"/>
        </w:rPr>
        <w:t xml:space="preserve"> </w:t>
      </w:r>
      <w:r w:rsidRPr="00534D5D" w:rsidR="00EC3E4C">
        <w:rPr>
          <w:rFonts w:ascii="Palatino Linotype" w:hAnsi="Palatino Linotype"/>
          <w:sz w:val="24"/>
          <w:szCs w:val="24"/>
        </w:rPr>
        <w:t>3</w:t>
      </w:r>
      <w:r w:rsidRPr="00534D5D" w:rsidR="00FA4343">
        <w:rPr>
          <w:rFonts w:ascii="Palatino Linotype" w:hAnsi="Palatino Linotype"/>
          <w:sz w:val="24"/>
          <w:szCs w:val="24"/>
        </w:rPr>
        <w:t>) projects requiring a substation upgrade.</w:t>
      </w:r>
    </w:p>
    <w:p w:rsidRPr="00534D5D" w:rsidR="003F10D2" w:rsidP="00E70086" w:rsidRDefault="005F7CFB" w14:paraId="6883CAA6" w14:textId="689ACD47">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Within their EV Infrastructure Rule data collection efforts, </w:t>
      </w:r>
      <w:r w:rsidRPr="00534D5D" w:rsidR="003F10D2">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sidR="003F10D2">
        <w:rPr>
          <w:rFonts w:ascii="Palatino Linotype" w:hAnsi="Palatino Linotype"/>
          <w:sz w:val="24"/>
          <w:szCs w:val="24"/>
        </w:rPr>
        <w:t>PacificPower</w:t>
      </w:r>
      <w:proofErr w:type="spellEnd"/>
      <w:r w:rsidRPr="00534D5D" w:rsidR="00D0460F">
        <w:rPr>
          <w:rFonts w:ascii="Palatino Linotype" w:hAnsi="Palatino Linotype"/>
          <w:sz w:val="24"/>
          <w:szCs w:val="24"/>
        </w:rPr>
        <w:t xml:space="preserve"> </w:t>
      </w:r>
      <w:r w:rsidRPr="00534D5D" w:rsidR="00911D9F">
        <w:rPr>
          <w:rFonts w:ascii="Palatino Linotype" w:hAnsi="Palatino Linotype"/>
          <w:sz w:val="24"/>
          <w:szCs w:val="24"/>
        </w:rPr>
        <w:t xml:space="preserve">(Joint IOUs) </w:t>
      </w:r>
      <w:r w:rsidRPr="00534D5D" w:rsidR="00D0460F">
        <w:rPr>
          <w:rFonts w:ascii="Palatino Linotype" w:hAnsi="Palatino Linotype"/>
          <w:sz w:val="24"/>
          <w:szCs w:val="24"/>
        </w:rPr>
        <w:t>shall collect and report data for all projects that exceed the 125-business day average service energization target</w:t>
      </w:r>
      <w:r w:rsidRPr="00534D5D">
        <w:rPr>
          <w:rFonts w:ascii="Palatino Linotype" w:hAnsi="Palatino Linotype"/>
          <w:sz w:val="24"/>
          <w:szCs w:val="24"/>
        </w:rPr>
        <w:t>.</w:t>
      </w:r>
      <w:r w:rsidRPr="00534D5D" w:rsidR="005C22ED">
        <w:rPr>
          <w:rFonts w:ascii="Palatino Linotype" w:hAnsi="Palatino Linotype"/>
          <w:sz w:val="24"/>
          <w:szCs w:val="24"/>
        </w:rPr>
        <w:t xml:space="preserve"> For each project exceeding</w:t>
      </w:r>
      <w:r w:rsidRPr="00534D5D" w:rsidR="00911D9F">
        <w:rPr>
          <w:rFonts w:ascii="Palatino Linotype" w:hAnsi="Palatino Linotype"/>
          <w:sz w:val="24"/>
          <w:szCs w:val="24"/>
        </w:rPr>
        <w:t xml:space="preserve"> the 125-business day average service energization target, the Joint IOUs shall </w:t>
      </w:r>
      <w:r w:rsidRPr="00534D5D" w:rsidR="00771B0E">
        <w:rPr>
          <w:rFonts w:ascii="Palatino Linotype" w:hAnsi="Palatino Linotype"/>
          <w:sz w:val="24"/>
          <w:szCs w:val="24"/>
        </w:rPr>
        <w:t xml:space="preserve">record the following information in their EV Infrastructure Rule data collection efforts: 1) </w:t>
      </w:r>
      <w:r w:rsidRPr="00534D5D" w:rsidR="002C7583">
        <w:rPr>
          <w:rFonts w:ascii="Palatino Linotype" w:hAnsi="Palatino Linotype"/>
          <w:sz w:val="24"/>
          <w:szCs w:val="24"/>
        </w:rPr>
        <w:t xml:space="preserve">the reason for delay(s), 2) </w:t>
      </w:r>
      <w:r w:rsidRPr="00534D5D" w:rsidR="00760C6D">
        <w:rPr>
          <w:rFonts w:ascii="Palatino Linotype" w:hAnsi="Palatino Linotype"/>
          <w:sz w:val="24"/>
          <w:szCs w:val="24"/>
        </w:rPr>
        <w:t>the number of days</w:t>
      </w:r>
      <w:r w:rsidRPr="00534D5D" w:rsidR="002C7583">
        <w:rPr>
          <w:rFonts w:ascii="Palatino Linotype" w:hAnsi="Palatino Linotype"/>
          <w:sz w:val="24"/>
          <w:szCs w:val="24"/>
        </w:rPr>
        <w:t xml:space="preserve"> each</w:t>
      </w:r>
      <w:r w:rsidRPr="00534D5D" w:rsidR="0050405B">
        <w:rPr>
          <w:rFonts w:ascii="Palatino Linotype" w:hAnsi="Palatino Linotype"/>
          <w:sz w:val="24"/>
          <w:szCs w:val="24"/>
        </w:rPr>
        <w:t xml:space="preserve"> step was delayed, 3) </w:t>
      </w:r>
      <w:r w:rsidRPr="00534D5D" w:rsidR="00205C93">
        <w:rPr>
          <w:rFonts w:ascii="Palatino Linotype" w:hAnsi="Palatino Linotype"/>
          <w:sz w:val="24"/>
          <w:szCs w:val="24"/>
        </w:rPr>
        <w:t>the actions the utility took to resolve the deta</w:t>
      </w:r>
      <w:r w:rsidRPr="00534D5D" w:rsidR="00DF56A2">
        <w:rPr>
          <w:rFonts w:ascii="Palatino Linotype" w:hAnsi="Palatino Linotype"/>
          <w:sz w:val="24"/>
          <w:szCs w:val="24"/>
        </w:rPr>
        <w:t>i</w:t>
      </w:r>
      <w:r w:rsidRPr="00534D5D" w:rsidR="00205C93">
        <w:rPr>
          <w:rFonts w:ascii="Palatino Linotype" w:hAnsi="Palatino Linotype"/>
          <w:sz w:val="24"/>
          <w:szCs w:val="24"/>
        </w:rPr>
        <w:t xml:space="preserve">l, if any, </w:t>
      </w:r>
      <w:r w:rsidRPr="00534D5D" w:rsidR="00714B15">
        <w:rPr>
          <w:rFonts w:ascii="Palatino Linotype" w:hAnsi="Palatino Linotype"/>
          <w:sz w:val="24"/>
          <w:szCs w:val="24"/>
        </w:rPr>
        <w:t xml:space="preserve">and </w:t>
      </w:r>
      <w:r w:rsidRPr="00534D5D" w:rsidR="00205C93">
        <w:rPr>
          <w:rFonts w:ascii="Palatino Linotype" w:hAnsi="Palatino Linotype"/>
          <w:sz w:val="24"/>
          <w:szCs w:val="24"/>
        </w:rPr>
        <w:t xml:space="preserve">4) </w:t>
      </w:r>
      <w:r w:rsidRPr="00534D5D" w:rsidR="001B595A">
        <w:rPr>
          <w:rFonts w:ascii="Palatino Linotype" w:hAnsi="Palatino Linotype"/>
          <w:sz w:val="24"/>
          <w:szCs w:val="24"/>
        </w:rPr>
        <w:t>if the step is in the utility’s direct contro</w:t>
      </w:r>
      <w:r w:rsidRPr="00534D5D" w:rsidR="00714B15">
        <w:rPr>
          <w:rFonts w:ascii="Palatino Linotype" w:hAnsi="Palatino Linotype"/>
          <w:sz w:val="24"/>
          <w:szCs w:val="24"/>
        </w:rPr>
        <w:t xml:space="preserve">l, </w:t>
      </w:r>
      <w:r w:rsidRPr="00534D5D" w:rsidR="00E600A4">
        <w:rPr>
          <w:rFonts w:ascii="Palatino Linotype" w:hAnsi="Palatino Linotype"/>
          <w:sz w:val="24"/>
          <w:szCs w:val="24"/>
        </w:rPr>
        <w:t>utility’s</w:t>
      </w:r>
      <w:r w:rsidRPr="00534D5D" w:rsidR="00714B15">
        <w:rPr>
          <w:rFonts w:ascii="Palatino Linotype" w:hAnsi="Palatino Linotype"/>
          <w:sz w:val="24"/>
          <w:szCs w:val="24"/>
        </w:rPr>
        <w:t xml:space="preserve"> indirect control, or customer’s direct control.</w:t>
      </w:r>
      <w:r w:rsidRPr="00534D5D" w:rsidR="00760C6D">
        <w:rPr>
          <w:rFonts w:ascii="Palatino Linotype" w:hAnsi="Palatino Linotype"/>
          <w:sz w:val="24"/>
          <w:szCs w:val="24"/>
        </w:rPr>
        <w:t xml:space="preserve"> </w:t>
      </w:r>
    </w:p>
    <w:p w:rsidRPr="00534D5D" w:rsidR="007334DB" w:rsidP="00E70086" w:rsidRDefault="007334DB" w14:paraId="3423C5A2" w14:textId="7A9829C9">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proofErr w:type="gram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w:t>
      </w:r>
      <w:r w:rsidRPr="00534D5D" w:rsidR="002115FF">
        <w:rPr>
          <w:rFonts w:ascii="Palatino Linotype" w:hAnsi="Palatino Linotype"/>
          <w:sz w:val="24"/>
          <w:szCs w:val="24"/>
        </w:rPr>
        <w:t xml:space="preserve"> (</w:t>
      </w:r>
      <w:proofErr w:type="gramEnd"/>
      <w:r w:rsidRPr="00534D5D" w:rsidR="002115FF">
        <w:rPr>
          <w:rFonts w:ascii="Palatino Linotype" w:hAnsi="Palatino Linotype"/>
          <w:sz w:val="24"/>
          <w:szCs w:val="24"/>
        </w:rPr>
        <w:t xml:space="preserve">Joint IOUs) </w:t>
      </w:r>
      <w:r w:rsidRPr="00534D5D">
        <w:rPr>
          <w:rFonts w:ascii="Palatino Linotype" w:hAnsi="Palatino Linotype"/>
          <w:sz w:val="24"/>
          <w:szCs w:val="24"/>
        </w:rPr>
        <w:t xml:space="preserve">shall file a joint Tier 2 advice letter </w:t>
      </w:r>
      <w:r w:rsidRPr="00534D5D" w:rsidR="00465E9C">
        <w:rPr>
          <w:rFonts w:ascii="Palatino Linotype" w:hAnsi="Palatino Linotype"/>
          <w:sz w:val="24"/>
          <w:szCs w:val="24"/>
        </w:rPr>
        <w:t>with 60-days of having one-year of</w:t>
      </w:r>
      <w:r w:rsidRPr="00534D5D" w:rsidR="0080079E">
        <w:rPr>
          <w:rFonts w:ascii="Palatino Linotype" w:hAnsi="Palatino Linotype"/>
          <w:sz w:val="24"/>
          <w:szCs w:val="24"/>
        </w:rPr>
        <w:t xml:space="preserve"> </w:t>
      </w:r>
      <w:r w:rsidRPr="00534D5D" w:rsidR="001349DA">
        <w:rPr>
          <w:rFonts w:ascii="Palatino Linotype" w:hAnsi="Palatino Linotype"/>
          <w:sz w:val="24"/>
          <w:szCs w:val="24"/>
        </w:rPr>
        <w:t xml:space="preserve">EV Infrastructure Rule implementation </w:t>
      </w:r>
      <w:r w:rsidRPr="00534D5D" w:rsidR="00600534">
        <w:rPr>
          <w:rFonts w:ascii="Palatino Linotype" w:hAnsi="Palatino Linotype"/>
          <w:sz w:val="24"/>
          <w:szCs w:val="24"/>
        </w:rPr>
        <w:t>data collect</w:t>
      </w:r>
      <w:r w:rsidRPr="00534D5D" w:rsidR="001349DA">
        <w:rPr>
          <w:rFonts w:ascii="Palatino Linotype" w:hAnsi="Palatino Linotype"/>
          <w:sz w:val="24"/>
          <w:szCs w:val="24"/>
        </w:rPr>
        <w:t>ed</w:t>
      </w:r>
      <w:r w:rsidRPr="00534D5D" w:rsidR="00600534">
        <w:rPr>
          <w:rFonts w:ascii="Palatino Linotype" w:hAnsi="Palatino Linotype"/>
          <w:sz w:val="24"/>
          <w:szCs w:val="24"/>
        </w:rPr>
        <w:t xml:space="preserve"> </w:t>
      </w:r>
      <w:r w:rsidRPr="00534D5D" w:rsidR="00A82C18">
        <w:rPr>
          <w:rFonts w:ascii="Palatino Linotype" w:hAnsi="Palatino Linotype"/>
          <w:sz w:val="24"/>
          <w:szCs w:val="24"/>
        </w:rPr>
        <w:t>to propose an updated average service energization timeli</w:t>
      </w:r>
      <w:r w:rsidRPr="00534D5D" w:rsidR="00887DD8">
        <w:rPr>
          <w:rFonts w:ascii="Palatino Linotype" w:hAnsi="Palatino Linotype"/>
          <w:sz w:val="24"/>
          <w:szCs w:val="24"/>
        </w:rPr>
        <w:t>n</w:t>
      </w:r>
      <w:r w:rsidRPr="00534D5D" w:rsidR="00A82C18">
        <w:rPr>
          <w:rFonts w:ascii="Palatino Linotype" w:hAnsi="Palatino Linotype"/>
          <w:sz w:val="24"/>
          <w:szCs w:val="24"/>
        </w:rPr>
        <w:t>e target that is informed by</w:t>
      </w:r>
      <w:r w:rsidRPr="00534D5D" w:rsidR="00250F94">
        <w:rPr>
          <w:rFonts w:ascii="Palatino Linotype" w:hAnsi="Palatino Linotype"/>
          <w:sz w:val="24"/>
          <w:szCs w:val="24"/>
        </w:rPr>
        <w:t xml:space="preserve"> </w:t>
      </w:r>
      <w:r w:rsidRPr="00534D5D" w:rsidR="002115FF">
        <w:rPr>
          <w:rFonts w:ascii="Palatino Linotype" w:hAnsi="Palatino Linotype"/>
          <w:sz w:val="24"/>
          <w:szCs w:val="24"/>
        </w:rPr>
        <w:t xml:space="preserve">the Joint IOUs’ </w:t>
      </w:r>
      <w:r w:rsidRPr="00534D5D" w:rsidR="00BE2B5E">
        <w:rPr>
          <w:rFonts w:ascii="Palatino Linotype" w:hAnsi="Palatino Linotype"/>
          <w:sz w:val="24"/>
          <w:szCs w:val="24"/>
        </w:rPr>
        <w:t xml:space="preserve">existing efforts implementing the EV Infrastructure Rules. </w:t>
      </w:r>
    </w:p>
    <w:p w:rsidRPr="00534D5D" w:rsidR="00031760" w:rsidP="00E70086" w:rsidRDefault="00031760" w14:paraId="195E8103" w14:textId="68A0FFCF">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w:t>
      </w:r>
      <w:r w:rsidRPr="00534D5D" w:rsidR="008063CE">
        <w:rPr>
          <w:rFonts w:ascii="Palatino Linotype" w:hAnsi="Palatino Linotype"/>
          <w:sz w:val="24"/>
          <w:szCs w:val="24"/>
        </w:rPr>
        <w:t xml:space="preserve">(Joint IOUs) </w:t>
      </w:r>
      <w:r w:rsidRPr="00534D5D">
        <w:rPr>
          <w:rFonts w:ascii="Palatino Linotype" w:hAnsi="Palatino Linotype"/>
          <w:sz w:val="24"/>
          <w:szCs w:val="24"/>
        </w:rPr>
        <w:t xml:space="preserve">shall </w:t>
      </w:r>
      <w:r w:rsidRPr="00534D5D" w:rsidR="00FB4E98">
        <w:rPr>
          <w:rFonts w:ascii="Palatino Linotype" w:hAnsi="Palatino Linotype"/>
          <w:sz w:val="24"/>
          <w:szCs w:val="24"/>
        </w:rPr>
        <w:t xml:space="preserve">develop standardized data </w:t>
      </w:r>
      <w:r w:rsidRPr="00534D5D" w:rsidR="00FB4E98">
        <w:rPr>
          <w:rFonts w:ascii="Palatino Linotype" w:hAnsi="Palatino Linotype"/>
          <w:sz w:val="24"/>
          <w:szCs w:val="24"/>
        </w:rPr>
        <w:lastRenderedPageBreak/>
        <w:t xml:space="preserve">categories for </w:t>
      </w:r>
      <w:r w:rsidRPr="00534D5D" w:rsidR="00FD2D6D">
        <w:rPr>
          <w:rFonts w:ascii="Palatino Linotype" w:hAnsi="Palatino Linotype"/>
          <w:sz w:val="24"/>
          <w:szCs w:val="24"/>
        </w:rPr>
        <w:t xml:space="preserve">projects that 1) have an installed capacity </w:t>
      </w:r>
      <w:r w:rsidRPr="00534D5D" w:rsidR="000606AC">
        <w:rPr>
          <w:rFonts w:ascii="Palatino Linotype" w:hAnsi="Palatino Linotype"/>
          <w:sz w:val="24"/>
          <w:szCs w:val="24"/>
        </w:rPr>
        <w:t xml:space="preserve">greater than 2 megawatts, 2) trigger an Electric Rule 15 upgrade, 3) is required to go through additional Electric Rules, and 4) </w:t>
      </w:r>
      <w:r w:rsidRPr="00534D5D" w:rsidR="008063CE">
        <w:rPr>
          <w:rFonts w:ascii="Palatino Linotype" w:hAnsi="Palatino Linotype"/>
          <w:sz w:val="24"/>
          <w:szCs w:val="24"/>
        </w:rPr>
        <w:t xml:space="preserve">requires a sub-station upgrade. </w:t>
      </w:r>
      <w:r w:rsidRPr="00534D5D" w:rsidR="00F357E9">
        <w:rPr>
          <w:rFonts w:ascii="Palatino Linotype" w:hAnsi="Palatino Linotype"/>
          <w:sz w:val="24"/>
          <w:szCs w:val="24"/>
        </w:rPr>
        <w:t>Within their EV Infrastructure Rule data collection and reporting efforts, t</w:t>
      </w:r>
      <w:r w:rsidRPr="00534D5D" w:rsidR="008063CE">
        <w:rPr>
          <w:rFonts w:ascii="Palatino Linotype" w:hAnsi="Palatino Linotype"/>
          <w:sz w:val="24"/>
          <w:szCs w:val="24"/>
        </w:rPr>
        <w:t xml:space="preserve">he Joint IOUs shall </w:t>
      </w:r>
      <w:r w:rsidRPr="00534D5D" w:rsidR="00193EED">
        <w:rPr>
          <w:rFonts w:ascii="Palatino Linotype" w:hAnsi="Palatino Linotype"/>
          <w:sz w:val="24"/>
          <w:szCs w:val="24"/>
        </w:rPr>
        <w:t xml:space="preserve">record </w:t>
      </w:r>
      <w:r w:rsidRPr="00534D5D" w:rsidR="00F357E9">
        <w:rPr>
          <w:rFonts w:ascii="Palatino Linotype" w:hAnsi="Palatino Linotype"/>
          <w:sz w:val="24"/>
          <w:szCs w:val="24"/>
        </w:rPr>
        <w:t>data for all projects that go through at least one of these</w:t>
      </w:r>
      <w:r w:rsidRPr="00534D5D" w:rsidR="00B25BA0">
        <w:rPr>
          <w:rFonts w:ascii="Palatino Linotype" w:hAnsi="Palatino Linotype"/>
          <w:sz w:val="24"/>
          <w:szCs w:val="24"/>
        </w:rPr>
        <w:t xml:space="preserve"> to inform a potential </w:t>
      </w:r>
      <w:r w:rsidRPr="00534D5D" w:rsidR="00FE2643">
        <w:rPr>
          <w:rFonts w:ascii="Palatino Linotype" w:hAnsi="Palatino Linotype"/>
          <w:sz w:val="24"/>
          <w:szCs w:val="24"/>
        </w:rPr>
        <w:t xml:space="preserve">future </w:t>
      </w:r>
      <w:r w:rsidRPr="00534D5D" w:rsidR="00650DF2">
        <w:rPr>
          <w:rFonts w:ascii="Palatino Linotype" w:hAnsi="Palatino Linotype"/>
          <w:sz w:val="24"/>
          <w:szCs w:val="24"/>
        </w:rPr>
        <w:t xml:space="preserve">CPUC adopted </w:t>
      </w:r>
      <w:r w:rsidRPr="00534D5D" w:rsidR="00FE2643">
        <w:rPr>
          <w:rFonts w:ascii="Palatino Linotype" w:hAnsi="Palatino Linotype"/>
          <w:sz w:val="24"/>
          <w:szCs w:val="24"/>
        </w:rPr>
        <w:t xml:space="preserve">average service energization timeline </w:t>
      </w:r>
      <w:r w:rsidRPr="00534D5D" w:rsidR="00650DF2">
        <w:rPr>
          <w:rFonts w:ascii="Palatino Linotype" w:hAnsi="Palatino Linotype"/>
          <w:sz w:val="24"/>
          <w:szCs w:val="24"/>
        </w:rPr>
        <w:t>that applies to these projects.</w:t>
      </w:r>
    </w:p>
    <w:p w:rsidRPr="00534D5D" w:rsidR="00E932DC" w:rsidP="00E932DC" w:rsidRDefault="006278B2" w14:paraId="625E7B9F" w14:textId="0542AC2D">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w:t>
      </w:r>
      <w:r w:rsidRPr="00534D5D" w:rsidR="00125D44">
        <w:rPr>
          <w:rFonts w:ascii="Palatino Linotype" w:hAnsi="Palatino Linotype"/>
          <w:sz w:val="24"/>
          <w:szCs w:val="24"/>
        </w:rPr>
        <w:t xml:space="preserve">(Joint IOUs) </w:t>
      </w:r>
      <w:r w:rsidRPr="00534D5D">
        <w:rPr>
          <w:rFonts w:ascii="Palatino Linotype" w:hAnsi="Palatino Linotype"/>
          <w:sz w:val="24"/>
          <w:szCs w:val="24"/>
        </w:rPr>
        <w:t xml:space="preserve">shall </w:t>
      </w:r>
      <w:r w:rsidRPr="00534D5D" w:rsidR="00EC69D3">
        <w:rPr>
          <w:rFonts w:ascii="Palatino Linotype" w:hAnsi="Palatino Linotype"/>
          <w:sz w:val="24"/>
          <w:szCs w:val="24"/>
        </w:rPr>
        <w:t>each develop m</w:t>
      </w:r>
      <w:r w:rsidRPr="00534D5D" w:rsidR="00240506">
        <w:rPr>
          <w:rFonts w:ascii="Palatino Linotype" w:hAnsi="Palatino Linotype"/>
          <w:sz w:val="24"/>
          <w:szCs w:val="24"/>
        </w:rPr>
        <w:t>aterials that clearly illustrate the service energization process</w:t>
      </w:r>
      <w:r w:rsidRPr="00534D5D" w:rsidR="006B3000">
        <w:rPr>
          <w:rFonts w:ascii="Palatino Linotype" w:hAnsi="Palatino Linotype"/>
          <w:sz w:val="24"/>
          <w:szCs w:val="24"/>
        </w:rPr>
        <w:t>,</w:t>
      </w:r>
      <w:r w:rsidRPr="00534D5D" w:rsidR="00CE3104">
        <w:rPr>
          <w:rFonts w:ascii="Palatino Linotype" w:hAnsi="Palatino Linotype"/>
          <w:sz w:val="24"/>
          <w:szCs w:val="24"/>
        </w:rPr>
        <w:t xml:space="preserve"> which shall include 1) </w:t>
      </w:r>
      <w:r w:rsidRPr="00534D5D" w:rsidR="00F84698">
        <w:rPr>
          <w:rFonts w:ascii="Palatino Linotype" w:hAnsi="Palatino Linotype"/>
          <w:sz w:val="24"/>
          <w:szCs w:val="24"/>
        </w:rPr>
        <w:t>steps in the energization process that are the responsibility of the utility, 2) steps in the energization process that are the responsibility of the customer</w:t>
      </w:r>
      <w:r w:rsidRPr="00534D5D" w:rsidR="00AB0CE0">
        <w:rPr>
          <w:rFonts w:ascii="Palatino Linotype" w:hAnsi="Palatino Linotype"/>
          <w:sz w:val="24"/>
          <w:szCs w:val="24"/>
        </w:rPr>
        <w:t xml:space="preserve">, electric vehicle service provider, and/or authority having jurisdiction. </w:t>
      </w:r>
      <w:r w:rsidRPr="00534D5D" w:rsidR="00125D44">
        <w:rPr>
          <w:rFonts w:ascii="Palatino Linotype" w:hAnsi="Palatino Linotype"/>
          <w:sz w:val="24"/>
          <w:szCs w:val="24"/>
        </w:rPr>
        <w:t xml:space="preserve">The Joint IOUs shall ensure each step has clear explanations for </w:t>
      </w:r>
      <w:r w:rsidRPr="00534D5D" w:rsidR="004F40C9">
        <w:rPr>
          <w:rFonts w:ascii="Palatino Linotype" w:hAnsi="Palatino Linotype"/>
          <w:sz w:val="24"/>
          <w:szCs w:val="24"/>
        </w:rPr>
        <w:t>1)</w:t>
      </w:r>
      <w:r w:rsidRPr="00534D5D" w:rsidR="00762116">
        <w:rPr>
          <w:rFonts w:ascii="Palatino Linotype" w:hAnsi="Palatino Linotype"/>
          <w:sz w:val="24"/>
          <w:szCs w:val="24"/>
        </w:rPr>
        <w:t xml:space="preserve"> </w:t>
      </w:r>
      <w:r w:rsidRPr="00534D5D" w:rsidR="004F40C9">
        <w:rPr>
          <w:rFonts w:ascii="Palatino Linotype" w:hAnsi="Palatino Linotype"/>
          <w:sz w:val="24"/>
          <w:szCs w:val="24"/>
        </w:rPr>
        <w:t>why the step is necessary, 2) the process to complete the step,</w:t>
      </w:r>
      <w:r w:rsidRPr="00534D5D" w:rsidR="00762116">
        <w:rPr>
          <w:rFonts w:ascii="Palatino Linotype" w:hAnsi="Palatino Linotype"/>
          <w:sz w:val="24"/>
          <w:szCs w:val="24"/>
        </w:rPr>
        <w:t xml:space="preserve"> and 3) an estimate time frame to complete each step. </w:t>
      </w:r>
      <w:r w:rsidRPr="00534D5D" w:rsidR="00685456">
        <w:rPr>
          <w:rFonts w:ascii="Palatino Linotype" w:hAnsi="Palatino Linotype"/>
          <w:sz w:val="24"/>
          <w:szCs w:val="24"/>
        </w:rPr>
        <w:t>The Joint IOUs shall make th</w:t>
      </w:r>
      <w:r w:rsidRPr="00534D5D" w:rsidR="00483680">
        <w:rPr>
          <w:rFonts w:ascii="Palatino Linotype" w:hAnsi="Palatino Linotype"/>
          <w:sz w:val="24"/>
          <w:szCs w:val="24"/>
        </w:rPr>
        <w:t>is information available on their EV Infrastructure Rule we</w:t>
      </w:r>
      <w:r w:rsidRPr="00534D5D" w:rsidR="00580481">
        <w:rPr>
          <w:rFonts w:ascii="Palatino Linotype" w:hAnsi="Palatino Linotype"/>
          <w:sz w:val="24"/>
          <w:szCs w:val="24"/>
        </w:rPr>
        <w:t>bsite</w:t>
      </w:r>
      <w:r w:rsidRPr="00534D5D" w:rsidR="00483680">
        <w:rPr>
          <w:rFonts w:ascii="Palatino Linotype" w:hAnsi="Palatino Linotype"/>
          <w:sz w:val="24"/>
          <w:szCs w:val="24"/>
        </w:rPr>
        <w:t xml:space="preserve"> for all customers to access</w:t>
      </w:r>
      <w:r w:rsidRPr="00534D5D" w:rsidR="00660864">
        <w:rPr>
          <w:rFonts w:ascii="Palatino Linotype" w:hAnsi="Palatino Linotype"/>
          <w:sz w:val="24"/>
          <w:szCs w:val="24"/>
        </w:rPr>
        <w:t>.</w:t>
      </w:r>
    </w:p>
    <w:p w:rsidRPr="00534D5D" w:rsidR="000738E0" w:rsidP="000738E0" w:rsidRDefault="000738E0" w14:paraId="4B755066" w14:textId="45117321">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Within 90 days of approval of this Resolution, 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w:t>
      </w:r>
      <w:r w:rsidRPr="00534D5D" w:rsidR="00BB24A4">
        <w:rPr>
          <w:rFonts w:ascii="Palatino Linotype" w:hAnsi="Palatino Linotype"/>
          <w:sz w:val="24"/>
          <w:szCs w:val="24"/>
        </w:rPr>
        <w:t xml:space="preserve">(Joint IOUs) </w:t>
      </w:r>
      <w:r w:rsidRPr="00534D5D">
        <w:rPr>
          <w:rFonts w:ascii="Palatino Linotype" w:hAnsi="Palatino Linotype"/>
          <w:sz w:val="24"/>
          <w:szCs w:val="24"/>
        </w:rPr>
        <w:t xml:space="preserve">shall each </w:t>
      </w:r>
      <w:r w:rsidRPr="00534D5D" w:rsidR="00620253">
        <w:rPr>
          <w:rFonts w:ascii="Palatino Linotype" w:hAnsi="Palatino Linotype"/>
          <w:sz w:val="24"/>
          <w:szCs w:val="24"/>
        </w:rPr>
        <w:t xml:space="preserve">update their Interconnection Capacity Analyses (ICA) map data. </w:t>
      </w:r>
      <w:r w:rsidRPr="00534D5D" w:rsidR="00BB24A4">
        <w:rPr>
          <w:rFonts w:ascii="Palatino Linotype" w:hAnsi="Palatino Linotype"/>
          <w:sz w:val="24"/>
          <w:szCs w:val="24"/>
        </w:rPr>
        <w:t>The Joint</w:t>
      </w:r>
      <w:r w:rsidRPr="00534D5D" w:rsidR="00620253">
        <w:rPr>
          <w:rFonts w:ascii="Palatino Linotype" w:hAnsi="Palatino Linotype"/>
          <w:sz w:val="24"/>
          <w:szCs w:val="24"/>
        </w:rPr>
        <w:t xml:space="preserve"> </w:t>
      </w:r>
      <w:r w:rsidRPr="00534D5D" w:rsidR="00D45745">
        <w:rPr>
          <w:rFonts w:ascii="Palatino Linotype" w:hAnsi="Palatino Linotype"/>
          <w:sz w:val="24"/>
          <w:szCs w:val="24"/>
        </w:rPr>
        <w:t>IOUs shall</w:t>
      </w:r>
      <w:r w:rsidRPr="00534D5D" w:rsidR="00B855E0">
        <w:rPr>
          <w:rFonts w:ascii="Palatino Linotype" w:hAnsi="Palatino Linotype"/>
          <w:sz w:val="24"/>
          <w:szCs w:val="24"/>
        </w:rPr>
        <w:t xml:space="preserve"> update their ICA maps to reflect the most up-to-date information </w:t>
      </w:r>
      <w:proofErr w:type="gramStart"/>
      <w:r w:rsidRPr="00534D5D" w:rsidR="00B855E0">
        <w:rPr>
          <w:rFonts w:ascii="Palatino Linotype" w:hAnsi="Palatino Linotype"/>
          <w:sz w:val="24"/>
          <w:szCs w:val="24"/>
        </w:rPr>
        <w:t>on:</w:t>
      </w:r>
      <w:proofErr w:type="gramEnd"/>
      <w:r w:rsidRPr="00534D5D" w:rsidR="00B855E0">
        <w:rPr>
          <w:rFonts w:ascii="Palatino Linotype" w:hAnsi="Palatino Linotype"/>
          <w:sz w:val="24"/>
          <w:szCs w:val="24"/>
        </w:rPr>
        <w:t xml:space="preserve"> 1) available load service capacity at the substation and circuit level – accounting for queued capacity, 2) feeder identification and characteristics, 3) substation source, 4) voltage information, 5) transformer location, and 6) other details that can provide load and “last-mile” grid information. The Joint IOUs shall update the </w:t>
      </w:r>
      <w:r w:rsidRPr="00534D5D" w:rsidR="00033465">
        <w:rPr>
          <w:rFonts w:ascii="Palatino Linotype" w:hAnsi="Palatino Linotype"/>
          <w:sz w:val="24"/>
          <w:szCs w:val="24"/>
        </w:rPr>
        <w:t xml:space="preserve">data on a quarterly basis and </w:t>
      </w:r>
      <w:r w:rsidRPr="00534D5D" w:rsidR="00501899">
        <w:rPr>
          <w:rFonts w:ascii="Palatino Linotype" w:hAnsi="Palatino Linotype"/>
          <w:sz w:val="24"/>
          <w:szCs w:val="24"/>
        </w:rPr>
        <w:t xml:space="preserve">post the ICA map </w:t>
      </w:r>
      <w:r w:rsidRPr="00534D5D" w:rsidR="004D73C1">
        <w:rPr>
          <w:rFonts w:ascii="Palatino Linotype" w:hAnsi="Palatino Linotype"/>
          <w:sz w:val="24"/>
          <w:szCs w:val="24"/>
        </w:rPr>
        <w:t xml:space="preserve">information on their EV </w:t>
      </w:r>
      <w:r w:rsidRPr="00534D5D" w:rsidR="000169FF">
        <w:rPr>
          <w:rFonts w:ascii="Palatino Linotype" w:hAnsi="Palatino Linotype"/>
          <w:sz w:val="24"/>
          <w:szCs w:val="24"/>
        </w:rPr>
        <w:t>Infrastructure</w:t>
      </w:r>
      <w:r w:rsidRPr="00534D5D" w:rsidR="004D73C1">
        <w:rPr>
          <w:rFonts w:ascii="Palatino Linotype" w:hAnsi="Palatino Linotype"/>
          <w:sz w:val="24"/>
          <w:szCs w:val="24"/>
        </w:rPr>
        <w:t xml:space="preserve"> Rule websites and discuss specific ICA map details with customers requesting service through their EV Infrastructure Rule.</w:t>
      </w:r>
    </w:p>
    <w:p w:rsidRPr="00534D5D" w:rsidR="000169FF" w:rsidP="000169FF" w:rsidRDefault="000169FF" w14:paraId="7DF214CD" w14:textId="3D3A14AA">
      <w:pPr>
        <w:pStyle w:val="ListParagraph"/>
        <w:numPr>
          <w:ilvl w:val="0"/>
          <w:numId w:val="7"/>
        </w:numPr>
        <w:rPr>
          <w:rFonts w:ascii="Palatino Linotype" w:hAnsi="Palatino Linotype"/>
          <w:sz w:val="24"/>
          <w:szCs w:val="24"/>
        </w:rPr>
      </w:pPr>
      <w:r w:rsidRPr="00534D5D">
        <w:rPr>
          <w:rFonts w:ascii="Palatino Linotype" w:hAnsi="Palatino Linotype"/>
          <w:sz w:val="24"/>
          <w:szCs w:val="24"/>
        </w:rPr>
        <w:t xml:space="preserve">Pacific Gas and Electric Company, San Diego Gas &amp; Electric Company, Southern California Edison Company, Bear Valley Electric Service, Liberty Utilities, and PacifiCorp d/b/a </w:t>
      </w:r>
      <w:proofErr w:type="spellStart"/>
      <w:r w:rsidRPr="00534D5D">
        <w:rPr>
          <w:rFonts w:ascii="Palatino Linotype" w:hAnsi="Palatino Linotype"/>
          <w:sz w:val="24"/>
          <w:szCs w:val="24"/>
        </w:rPr>
        <w:t>PacificPower</w:t>
      </w:r>
      <w:proofErr w:type="spellEnd"/>
      <w:r w:rsidRPr="00534D5D">
        <w:rPr>
          <w:rFonts w:ascii="Palatino Linotype" w:hAnsi="Palatino Linotype"/>
          <w:sz w:val="24"/>
          <w:szCs w:val="24"/>
        </w:rPr>
        <w:t xml:space="preserve"> shall </w:t>
      </w:r>
      <w:r w:rsidRPr="00534D5D" w:rsidR="006846B8">
        <w:rPr>
          <w:rFonts w:ascii="Palatino Linotype" w:hAnsi="Palatino Linotype"/>
          <w:sz w:val="24"/>
          <w:szCs w:val="24"/>
        </w:rPr>
        <w:t xml:space="preserve">conduct </w:t>
      </w:r>
      <w:r w:rsidRPr="00534D5D" w:rsidR="005B63D6">
        <w:rPr>
          <w:rFonts w:ascii="Palatino Linotype" w:hAnsi="Palatino Linotype"/>
          <w:sz w:val="24"/>
          <w:szCs w:val="24"/>
        </w:rPr>
        <w:t xml:space="preserve">quarterly </w:t>
      </w:r>
      <w:r w:rsidRPr="00534D5D" w:rsidR="0024726C">
        <w:rPr>
          <w:rFonts w:ascii="Palatino Linotype" w:hAnsi="Palatino Linotype"/>
          <w:sz w:val="24"/>
          <w:szCs w:val="24"/>
        </w:rPr>
        <w:t>meetings with major electric vehicle service provider customers within their service territory to improve communication and inform customers about new service energization process</w:t>
      </w:r>
      <w:r w:rsidRPr="00534D5D" w:rsidR="00450F78">
        <w:rPr>
          <w:rFonts w:ascii="Palatino Linotype" w:hAnsi="Palatino Linotype"/>
          <w:sz w:val="24"/>
          <w:szCs w:val="24"/>
        </w:rPr>
        <w:t xml:space="preserve"> and</w:t>
      </w:r>
      <w:r w:rsidRPr="00534D5D" w:rsidR="0024726C">
        <w:rPr>
          <w:rFonts w:ascii="Palatino Linotype" w:hAnsi="Palatino Linotype"/>
          <w:sz w:val="24"/>
          <w:szCs w:val="24"/>
        </w:rPr>
        <w:t xml:space="preserve"> assist the customer in the application process</w:t>
      </w:r>
      <w:r w:rsidRPr="00534D5D" w:rsidR="00450F78">
        <w:rPr>
          <w:rFonts w:ascii="Palatino Linotype" w:hAnsi="Palatino Linotype"/>
          <w:sz w:val="24"/>
          <w:szCs w:val="24"/>
        </w:rPr>
        <w:t>.</w:t>
      </w:r>
    </w:p>
    <w:p w:rsidRPr="00534D5D" w:rsidR="000831F6" w:rsidP="000831F6" w:rsidRDefault="000831F6" w14:paraId="593B7818" w14:textId="041EB1E1">
      <w:pPr>
        <w:rPr>
          <w:rFonts w:ascii="Palatino Linotype" w:hAnsi="Palatino Linotype"/>
          <w:sz w:val="24"/>
          <w:szCs w:val="24"/>
        </w:rPr>
      </w:pPr>
      <w:r w:rsidRPr="00534D5D">
        <w:rPr>
          <w:rFonts w:ascii="Palatino Linotype" w:hAnsi="Palatino Linotype"/>
          <w:sz w:val="24"/>
          <w:szCs w:val="24"/>
        </w:rPr>
        <w:lastRenderedPageBreak/>
        <w:t>This Resolution is effective today.</w:t>
      </w:r>
    </w:p>
    <w:p w:rsidRPr="00534D5D" w:rsidR="00815645" w:rsidP="00C152C9" w:rsidRDefault="000831F6" w14:paraId="502B3E4D" w14:textId="53CE7D42">
      <w:pPr>
        <w:rPr>
          <w:rFonts w:ascii="Palatino Linotype" w:hAnsi="Palatino Linotype"/>
          <w:sz w:val="24"/>
          <w:szCs w:val="24"/>
        </w:rPr>
      </w:pPr>
      <w:r w:rsidRPr="00534D5D">
        <w:rPr>
          <w:rFonts w:ascii="Palatino Linotype" w:hAnsi="Palatino Linotype"/>
          <w:sz w:val="24"/>
          <w:szCs w:val="24"/>
        </w:rPr>
        <w:t xml:space="preserve">I certify that the foregoing resolution was duly introduced, passed, and adopted at a conference of the Public Utilities Commission of the State of California held on </w:t>
      </w:r>
      <w:r w:rsidRPr="00534D5D" w:rsidR="00BC4B3A">
        <w:rPr>
          <w:rFonts w:ascii="Palatino Linotype" w:hAnsi="Palatino Linotype"/>
          <w:sz w:val="24"/>
          <w:szCs w:val="24"/>
        </w:rPr>
        <w:t>December</w:t>
      </w:r>
      <w:r w:rsidRPr="00534D5D" w:rsidR="0099468F">
        <w:rPr>
          <w:rFonts w:ascii="Palatino Linotype" w:hAnsi="Palatino Linotype"/>
          <w:sz w:val="24"/>
          <w:szCs w:val="24"/>
        </w:rPr>
        <w:t xml:space="preserve"> </w:t>
      </w:r>
      <w:r w:rsidRPr="00534D5D" w:rsidR="00BC4B3A">
        <w:rPr>
          <w:rFonts w:ascii="Palatino Linotype" w:hAnsi="Palatino Linotype"/>
          <w:sz w:val="24"/>
          <w:szCs w:val="24"/>
        </w:rPr>
        <w:t>15</w:t>
      </w:r>
      <w:r w:rsidRPr="00534D5D" w:rsidR="005A0B5E">
        <w:rPr>
          <w:rFonts w:ascii="Palatino Linotype" w:hAnsi="Palatino Linotype"/>
          <w:sz w:val="24"/>
          <w:szCs w:val="24"/>
        </w:rPr>
        <w:t>, 202</w:t>
      </w:r>
      <w:r w:rsidR="00CE576B">
        <w:rPr>
          <w:rFonts w:ascii="Palatino Linotype" w:hAnsi="Palatino Linotype"/>
          <w:sz w:val="24"/>
          <w:szCs w:val="24"/>
        </w:rPr>
        <w:t>2,</w:t>
      </w:r>
      <w:r w:rsidRPr="00534D5D">
        <w:rPr>
          <w:rFonts w:ascii="Palatino Linotype" w:hAnsi="Palatino Linotype"/>
          <w:sz w:val="24"/>
          <w:szCs w:val="24"/>
        </w:rPr>
        <w:t xml:space="preserve"> the following Commissioners voting favorably thereon:</w:t>
      </w:r>
    </w:p>
    <w:p w:rsidRPr="00534D5D" w:rsidR="00C152C9" w:rsidP="00C152C9" w:rsidRDefault="00C152C9" w14:paraId="6ADC7BCB" w14:textId="77777777">
      <w:pPr>
        <w:rPr>
          <w:rFonts w:ascii="Palatino Linotype" w:hAnsi="Palatino Linotype"/>
          <w:sz w:val="24"/>
          <w:szCs w:val="24"/>
        </w:rPr>
      </w:pPr>
    </w:p>
    <w:p w:rsidRPr="00534D5D" w:rsidR="000353F5" w:rsidP="00EA4BDF" w:rsidRDefault="00940632" w14:paraId="59CCAA5B" w14:textId="51FDB169">
      <w:pPr>
        <w:tabs>
          <w:tab w:val="left" w:pos="720"/>
          <w:tab w:val="left" w:pos="1152"/>
          <w:tab w:val="left" w:pos="1728"/>
          <w:tab w:val="left" w:pos="3168"/>
          <w:tab w:val="left" w:pos="5040"/>
        </w:tabs>
        <w:spacing w:after="0"/>
        <w:ind w:right="144"/>
        <w:rPr>
          <w:rFonts w:ascii="Palatino Linotype" w:hAnsi="Palatino Linotype" w:eastAsia="Times New Roman" w:cs="Times New Roman"/>
          <w:sz w:val="24"/>
          <w:szCs w:val="24"/>
        </w:rPr>
      </w:pPr>
      <w:r w:rsidRPr="00534D5D">
        <w:rPr>
          <w:rFonts w:ascii="Palatino Linotype" w:hAnsi="Palatino Linotype"/>
          <w:sz w:val="24"/>
          <w:szCs w:val="24"/>
        </w:rPr>
        <w:tab/>
      </w:r>
      <w:r w:rsidRPr="00534D5D">
        <w:rPr>
          <w:rFonts w:ascii="Palatino Linotype" w:hAnsi="Palatino Linotype"/>
          <w:sz w:val="24"/>
          <w:szCs w:val="24"/>
        </w:rPr>
        <w:tab/>
      </w:r>
      <w:r w:rsidRPr="00534D5D">
        <w:rPr>
          <w:rFonts w:ascii="Palatino Linotype" w:hAnsi="Palatino Linotype"/>
          <w:sz w:val="24"/>
          <w:szCs w:val="24"/>
        </w:rPr>
        <w:tab/>
      </w:r>
      <w:r w:rsidRPr="00534D5D" w:rsidR="00397D98">
        <w:rPr>
          <w:rFonts w:ascii="Palatino Linotype" w:hAnsi="Palatino Linotype"/>
          <w:sz w:val="24"/>
          <w:szCs w:val="24"/>
        </w:rPr>
        <w:t xml:space="preserve">                                                          </w:t>
      </w:r>
      <w:r w:rsidRPr="00534D5D" w:rsidR="000353F5">
        <w:rPr>
          <w:rFonts w:ascii="Palatino Linotype" w:hAnsi="Palatino Linotype" w:eastAsia="Times New Roman" w:cs="Times New Roman"/>
          <w:sz w:val="24"/>
          <w:szCs w:val="24"/>
        </w:rPr>
        <w:t>_____________________</w:t>
      </w:r>
    </w:p>
    <w:p w:rsidRPr="00534D5D" w:rsidR="000353F5" w:rsidP="000353F5" w:rsidRDefault="000353F5" w14:paraId="1BB0468B" w14:textId="2E3448DE">
      <w:pPr>
        <w:spacing w:after="0" w:line="240" w:lineRule="auto"/>
        <w:rPr>
          <w:rFonts w:ascii="Palatino Linotype" w:hAnsi="Palatino Linotype" w:eastAsia="Times New Roman" w:cs="Times New Roman"/>
          <w:sz w:val="24"/>
          <w:szCs w:val="24"/>
        </w:rPr>
      </w:pP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sidR="00E411DF">
        <w:rPr>
          <w:rFonts w:ascii="Palatino Linotype" w:hAnsi="Palatino Linotype" w:eastAsia="Times New Roman" w:cs="Times New Roman"/>
          <w:sz w:val="24"/>
          <w:szCs w:val="24"/>
        </w:rPr>
        <w:t>Rachel Peterson</w:t>
      </w:r>
    </w:p>
    <w:p w:rsidR="00534D5D" w:rsidP="00534D5D" w:rsidRDefault="000353F5" w14:paraId="41D90371" w14:textId="77777777">
      <w:pPr>
        <w:spacing w:after="0" w:line="240" w:lineRule="auto"/>
        <w:rPr>
          <w:rFonts w:ascii="Palatino Linotype" w:hAnsi="Palatino Linotype" w:eastAsia="Times New Roman" w:cs="Times New Roman"/>
          <w:sz w:val="24"/>
          <w:szCs w:val="24"/>
        </w:rPr>
      </w:pP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r>
      <w:r w:rsidRPr="00534D5D">
        <w:rPr>
          <w:rFonts w:ascii="Palatino Linotype" w:hAnsi="Palatino Linotype" w:eastAsia="Times New Roman" w:cs="Times New Roman"/>
          <w:sz w:val="24"/>
          <w:szCs w:val="24"/>
        </w:rPr>
        <w:tab/>
        <w:t>Executive Directo</w:t>
      </w:r>
      <w:r w:rsidR="00534D5D">
        <w:rPr>
          <w:rFonts w:ascii="Palatino Linotype" w:hAnsi="Palatino Linotype" w:eastAsia="Times New Roman" w:cs="Times New Roman"/>
          <w:sz w:val="24"/>
          <w:szCs w:val="24"/>
        </w:rPr>
        <w:t>r</w:t>
      </w:r>
      <w:r w:rsidR="00EA4BDF">
        <w:rPr>
          <w:rFonts w:ascii="Palatino Linotype" w:hAnsi="Palatino Linotype" w:eastAsia="Times New Roman" w:cs="Times New Roman"/>
          <w:sz w:val="24"/>
          <w:szCs w:val="24"/>
        </w:rPr>
        <w:t xml:space="preserve"> </w:t>
      </w:r>
    </w:p>
    <w:p w:rsidRPr="00534D5D" w:rsidR="00940632" w:rsidP="00EA4BDF" w:rsidRDefault="00940632" w14:paraId="4F3E7FA3" w14:textId="0D4DEE50">
      <w:pPr>
        <w:rPr>
          <w:rFonts w:ascii="Palatino Linotype" w:hAnsi="Palatino Linotype"/>
          <w:sz w:val="24"/>
          <w:szCs w:val="24"/>
        </w:rPr>
      </w:pPr>
    </w:p>
    <w:sectPr w:rsidRPr="00534D5D" w:rsidR="0094063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B73" w14:textId="77777777" w:rsidR="003F5017" w:rsidRDefault="003F5017" w:rsidP="00CA4AB6">
      <w:pPr>
        <w:spacing w:after="0" w:line="240" w:lineRule="auto"/>
      </w:pPr>
      <w:r>
        <w:separator/>
      </w:r>
    </w:p>
  </w:endnote>
  <w:endnote w:type="continuationSeparator" w:id="0">
    <w:p w14:paraId="6094F06D" w14:textId="77777777" w:rsidR="003F5017" w:rsidRDefault="003F5017" w:rsidP="00CA4AB6">
      <w:pPr>
        <w:spacing w:after="0" w:line="240" w:lineRule="auto"/>
      </w:pPr>
      <w:r>
        <w:continuationSeparator/>
      </w:r>
    </w:p>
  </w:endnote>
  <w:endnote w:type="continuationNotice" w:id="1">
    <w:p w14:paraId="25F724A9" w14:textId="77777777" w:rsidR="003F5017" w:rsidRDefault="003F5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pitch w:val="variable"/>
    <w:sig w:usb0="20000A87" w:usb1="08000000" w:usb2="00000008" w:usb3="00000000" w:csb0="000001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Calibri"/>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B378" w14:textId="77777777" w:rsidR="000353F5" w:rsidRPr="00534D5D" w:rsidRDefault="000353F5" w:rsidP="00F94E49">
    <w:pPr>
      <w:pStyle w:val="Footer"/>
      <w:jc w:val="center"/>
      <w:rPr>
        <w:rFonts w:ascii="Palatino Linotype" w:hAnsi="Palatino Linotype"/>
        <w:sz w:val="24"/>
        <w:szCs w:val="24"/>
      </w:rPr>
    </w:pPr>
    <w:r w:rsidRPr="00534D5D">
      <w:rPr>
        <w:rStyle w:val="PageNumber"/>
        <w:rFonts w:ascii="Palatino Linotype" w:hAnsi="Palatino Linotype"/>
        <w:sz w:val="24"/>
        <w:szCs w:val="24"/>
      </w:rPr>
      <w:fldChar w:fldCharType="begin"/>
    </w:r>
    <w:r w:rsidRPr="00534D5D">
      <w:rPr>
        <w:rStyle w:val="PageNumber"/>
        <w:rFonts w:ascii="Palatino Linotype" w:hAnsi="Palatino Linotype"/>
        <w:sz w:val="24"/>
        <w:szCs w:val="24"/>
      </w:rPr>
      <w:instrText xml:space="preserve"> PAGE </w:instrText>
    </w:r>
    <w:r w:rsidRPr="00534D5D">
      <w:rPr>
        <w:rStyle w:val="PageNumber"/>
        <w:rFonts w:ascii="Palatino Linotype" w:hAnsi="Palatino Linotype"/>
        <w:sz w:val="24"/>
        <w:szCs w:val="24"/>
      </w:rPr>
      <w:fldChar w:fldCharType="separate"/>
    </w:r>
    <w:r w:rsidRPr="00534D5D">
      <w:rPr>
        <w:rStyle w:val="PageNumber"/>
        <w:rFonts w:ascii="Palatino Linotype" w:hAnsi="Palatino Linotype"/>
        <w:noProof/>
        <w:sz w:val="24"/>
        <w:szCs w:val="24"/>
      </w:rPr>
      <w:t>4</w:t>
    </w:r>
    <w:r w:rsidRPr="00534D5D">
      <w:rPr>
        <w:rStyle w:val="PageNumber"/>
        <w:rFonts w:ascii="Palatino Linotype" w:hAnsi="Palatino Linotype"/>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C67C" w14:textId="0E481106" w:rsidR="000353F5" w:rsidRPr="001A3A1A" w:rsidRDefault="00211B0A" w:rsidP="00211B0A">
    <w:pPr>
      <w:pStyle w:val="Footer"/>
      <w:rPr>
        <w:rFonts w:ascii="Palatino Linotype" w:hAnsi="Palatino Linotype"/>
        <w:sz w:val="24"/>
        <w:szCs w:val="24"/>
      </w:rPr>
    </w:pPr>
    <w:r w:rsidRPr="00211B0A">
      <w:rPr>
        <w:rStyle w:val="PageNumber"/>
        <w:rFonts w:ascii="Tahoma" w:hAnsi="Tahoma" w:cs="Tahoma"/>
        <w:sz w:val="20"/>
        <w:szCs w:val="20"/>
      </w:rPr>
      <w:t>498569937</w:t>
    </w:r>
    <w:r w:rsidRPr="00211B0A">
      <w:rPr>
        <w:rStyle w:val="PageNumber"/>
        <w:rFonts w:ascii="Palatino Linotype" w:hAnsi="Palatino Linotype"/>
        <w:sz w:val="24"/>
        <w:szCs w:val="24"/>
      </w:rPr>
      <w:t xml:space="preserve"> </w:t>
    </w:r>
    <w:r>
      <w:rPr>
        <w:rStyle w:val="PageNumber"/>
        <w:rFonts w:ascii="Palatino Linotype" w:hAnsi="Palatino Linotype"/>
        <w:sz w:val="24"/>
        <w:szCs w:val="24"/>
      </w:rPr>
      <w:tab/>
    </w:r>
    <w:r w:rsidR="000353F5" w:rsidRPr="001A3A1A">
      <w:rPr>
        <w:rStyle w:val="PageNumber"/>
        <w:rFonts w:ascii="Palatino Linotype" w:hAnsi="Palatino Linotype"/>
        <w:sz w:val="24"/>
        <w:szCs w:val="24"/>
      </w:rPr>
      <w:fldChar w:fldCharType="begin"/>
    </w:r>
    <w:r w:rsidR="000353F5" w:rsidRPr="001A3A1A">
      <w:rPr>
        <w:rStyle w:val="PageNumber"/>
        <w:rFonts w:ascii="Palatino Linotype" w:hAnsi="Palatino Linotype"/>
        <w:sz w:val="24"/>
        <w:szCs w:val="24"/>
      </w:rPr>
      <w:instrText xml:space="preserve"> PAGE </w:instrText>
    </w:r>
    <w:r w:rsidR="000353F5" w:rsidRPr="001A3A1A">
      <w:rPr>
        <w:rStyle w:val="PageNumber"/>
        <w:rFonts w:ascii="Palatino Linotype" w:hAnsi="Palatino Linotype"/>
        <w:sz w:val="24"/>
        <w:szCs w:val="24"/>
      </w:rPr>
      <w:fldChar w:fldCharType="separate"/>
    </w:r>
    <w:r w:rsidR="000353F5" w:rsidRPr="001A3A1A">
      <w:rPr>
        <w:rStyle w:val="PageNumber"/>
        <w:rFonts w:ascii="Palatino Linotype" w:hAnsi="Palatino Linotype"/>
        <w:noProof/>
        <w:sz w:val="24"/>
        <w:szCs w:val="24"/>
      </w:rPr>
      <w:t>1</w:t>
    </w:r>
    <w:r w:rsidR="000353F5" w:rsidRPr="001A3A1A">
      <w:rPr>
        <w:rStyle w:val="PageNumber"/>
        <w:rFonts w:ascii="Palatino Linotype" w:hAnsi="Palatino Linotype"/>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118A" w14:textId="77777777" w:rsidR="00534D5D" w:rsidRDefault="00534D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2102403114"/>
      <w:docPartObj>
        <w:docPartGallery w:val="Page Numbers (Bottom of Page)"/>
        <w:docPartUnique/>
      </w:docPartObj>
    </w:sdtPr>
    <w:sdtEndPr>
      <w:rPr>
        <w:noProof/>
      </w:rPr>
    </w:sdtEndPr>
    <w:sdtContent>
      <w:p w14:paraId="2E162507" w14:textId="15343759" w:rsidR="00EA4BDF" w:rsidRPr="00EA4BDF" w:rsidRDefault="00EA4BDF">
        <w:pPr>
          <w:pStyle w:val="Footer"/>
          <w:jc w:val="center"/>
          <w:rPr>
            <w:rFonts w:ascii="Palatino Linotype" w:hAnsi="Palatino Linotype"/>
            <w:sz w:val="24"/>
            <w:szCs w:val="24"/>
          </w:rPr>
        </w:pPr>
        <w:r w:rsidRPr="00EA4BDF">
          <w:rPr>
            <w:rFonts w:ascii="Palatino Linotype" w:hAnsi="Palatino Linotype"/>
            <w:sz w:val="24"/>
            <w:szCs w:val="24"/>
          </w:rPr>
          <w:fldChar w:fldCharType="begin"/>
        </w:r>
        <w:r w:rsidRPr="00EA4BDF">
          <w:rPr>
            <w:rFonts w:ascii="Palatino Linotype" w:hAnsi="Palatino Linotype"/>
            <w:sz w:val="24"/>
            <w:szCs w:val="24"/>
          </w:rPr>
          <w:instrText xml:space="preserve"> PAGE   \* MERGEFORMAT </w:instrText>
        </w:r>
        <w:r w:rsidRPr="00EA4BDF">
          <w:rPr>
            <w:rFonts w:ascii="Palatino Linotype" w:hAnsi="Palatino Linotype"/>
            <w:sz w:val="24"/>
            <w:szCs w:val="24"/>
          </w:rPr>
          <w:fldChar w:fldCharType="separate"/>
        </w:r>
        <w:r w:rsidRPr="00EA4BDF">
          <w:rPr>
            <w:rFonts w:ascii="Palatino Linotype" w:hAnsi="Palatino Linotype"/>
            <w:noProof/>
            <w:sz w:val="24"/>
            <w:szCs w:val="24"/>
          </w:rPr>
          <w:t>2</w:t>
        </w:r>
        <w:r w:rsidRPr="00EA4BDF">
          <w:rPr>
            <w:rFonts w:ascii="Palatino Linotype" w:hAnsi="Palatino Linotype"/>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565E" w14:textId="77777777" w:rsidR="00534D5D" w:rsidRDefault="00534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C4D1" w14:textId="77777777" w:rsidR="003F5017" w:rsidRDefault="003F5017" w:rsidP="00CA4AB6">
      <w:pPr>
        <w:spacing w:after="0" w:line="240" w:lineRule="auto"/>
      </w:pPr>
      <w:r>
        <w:separator/>
      </w:r>
    </w:p>
  </w:footnote>
  <w:footnote w:type="continuationSeparator" w:id="0">
    <w:p w14:paraId="7A25DA27" w14:textId="77777777" w:rsidR="003F5017" w:rsidRDefault="003F5017" w:rsidP="00CA4AB6">
      <w:pPr>
        <w:spacing w:after="0" w:line="240" w:lineRule="auto"/>
      </w:pPr>
      <w:r>
        <w:continuationSeparator/>
      </w:r>
    </w:p>
  </w:footnote>
  <w:footnote w:type="continuationNotice" w:id="1">
    <w:p w14:paraId="3B773E3A" w14:textId="77777777" w:rsidR="003F5017" w:rsidRDefault="003F5017">
      <w:pPr>
        <w:spacing w:after="0" w:line="240" w:lineRule="auto"/>
      </w:pPr>
    </w:p>
  </w:footnote>
  <w:footnote w:id="2">
    <w:p w14:paraId="0416DED3" w14:textId="39257F65" w:rsidR="00AA164C" w:rsidRDefault="00AA164C">
      <w:pPr>
        <w:pStyle w:val="FootnoteText"/>
      </w:pPr>
      <w:r>
        <w:rPr>
          <w:rStyle w:val="FootnoteReference"/>
        </w:rPr>
        <w:footnoteRef/>
      </w:r>
      <w:r>
        <w:t xml:space="preserve"> </w:t>
      </w:r>
      <w:r w:rsidR="002C26A5">
        <w:t xml:space="preserve">On March 17, 2021, PG&amp;E </w:t>
      </w:r>
      <w:r w:rsidR="00EF777B">
        <w:t xml:space="preserve">filed a supplemental AL to replace </w:t>
      </w:r>
      <w:r w:rsidR="00120D1A">
        <w:t xml:space="preserve">AL </w:t>
      </w:r>
      <w:r w:rsidR="00306075">
        <w:t>6102</w:t>
      </w:r>
      <w:r w:rsidR="00A12DA7">
        <w:t>-E</w:t>
      </w:r>
      <w:r w:rsidR="00120D1A">
        <w:t xml:space="preserve"> with AL </w:t>
      </w:r>
      <w:r w:rsidR="006F6EF8">
        <w:t>6102-E-A.</w:t>
      </w:r>
    </w:p>
  </w:footnote>
  <w:footnote w:id="3">
    <w:p w14:paraId="3217C093" w14:textId="77777777" w:rsidR="00225365" w:rsidRDefault="00225365" w:rsidP="00225365">
      <w:pPr>
        <w:pStyle w:val="FootnoteText"/>
      </w:pPr>
      <w:r>
        <w:rPr>
          <w:rStyle w:val="FootnoteReference"/>
        </w:rPr>
        <w:footnoteRef/>
      </w:r>
      <w:r>
        <w:t xml:space="preserve"> PacifiCorp withdrew AL 643-E on May 17, 2021, and replaced it with AL 649-E filed on June 8, 2021. AL 649-E-A was filed on June 18, 2021 to clarify language in AL 649-E. </w:t>
      </w:r>
    </w:p>
  </w:footnote>
  <w:footnote w:id="4">
    <w:p w14:paraId="2FBD8FB2" w14:textId="3EBB70C7" w:rsidR="005677B8" w:rsidRDefault="005677B8">
      <w:pPr>
        <w:pStyle w:val="FootnoteText"/>
      </w:pPr>
      <w:r>
        <w:rPr>
          <w:rStyle w:val="FootnoteReference"/>
        </w:rPr>
        <w:footnoteRef/>
      </w:r>
      <w:r>
        <w:t xml:space="preserve"> PG&amp;E Electric Rule 29, SCE Electric Rule 29, SDG&amp;E Electric Rule 45, BVES Electric Rule 24, Liberty Electric Rule 24, </w:t>
      </w:r>
      <w:r w:rsidR="00377710">
        <w:t>and PacifiCorp Electric Rule 24.</w:t>
      </w:r>
    </w:p>
  </w:footnote>
  <w:footnote w:id="5">
    <w:p w14:paraId="401DD263" w14:textId="0C2D49CB" w:rsidR="00B9159B" w:rsidRDefault="00B9159B">
      <w:pPr>
        <w:pStyle w:val="FootnoteText"/>
      </w:pPr>
      <w:r>
        <w:rPr>
          <w:rStyle w:val="FootnoteReference"/>
        </w:rPr>
        <w:footnoteRef/>
      </w:r>
      <w:r>
        <w:t xml:space="preserve"> Under the EV Infrastructure Rules, ratepayers cover the costs of service line extensions and electrical distribution infrastructure, which Public Utilities Code Section 740.19(b) defines as including poles, vaults, service drops, transformers, mounting pads, trenching, conduit, wire, cable, meters, other equipment as necessary, and associated engineering and civil construction work.</w:t>
      </w:r>
    </w:p>
  </w:footnote>
  <w:footnote w:id="6">
    <w:p w14:paraId="6E99D2AF" w14:textId="309359EA" w:rsidR="000F5667" w:rsidRDefault="000F5667">
      <w:pPr>
        <w:pStyle w:val="FootnoteText"/>
      </w:pPr>
      <w:r>
        <w:rPr>
          <w:rStyle w:val="FootnoteReference"/>
        </w:rPr>
        <w:footnoteRef/>
      </w:r>
      <w:r>
        <w:t xml:space="preserve"> PacifiCorp started offering service under their EV Infrastructure Rule in July 2022. </w:t>
      </w:r>
    </w:p>
  </w:footnote>
  <w:footnote w:id="7">
    <w:p w14:paraId="3EFD5C68" w14:textId="2BDF2439" w:rsidR="00A671E1" w:rsidRDefault="00A671E1">
      <w:pPr>
        <w:pStyle w:val="FootnoteText"/>
      </w:pPr>
      <w:r>
        <w:rPr>
          <w:rStyle w:val="FootnoteReference"/>
        </w:rPr>
        <w:footnoteRef/>
      </w:r>
      <w:r>
        <w:t xml:space="preserve"> </w:t>
      </w:r>
      <w:r w:rsidR="0086510C">
        <w:t>Consisting of ChargePoint, Inc., EVgo Services, LLC, and Tesla, Inc.</w:t>
      </w:r>
    </w:p>
  </w:footnote>
  <w:footnote w:id="8">
    <w:p w14:paraId="15FA50F5" w14:textId="6A65AE1A" w:rsidR="005A53BD" w:rsidRDefault="005A53BD">
      <w:pPr>
        <w:pStyle w:val="FootnoteText"/>
      </w:pPr>
      <w:r>
        <w:rPr>
          <w:rStyle w:val="FootnoteReference"/>
        </w:rPr>
        <w:footnoteRef/>
      </w:r>
      <w:r w:rsidR="00083771">
        <w:t xml:space="preserve"> While</w:t>
      </w:r>
      <w:r>
        <w:t xml:space="preserve"> PacifiCorp</w:t>
      </w:r>
      <w:r w:rsidR="00DA2A79">
        <w:t xml:space="preserve">’s service line extension work </w:t>
      </w:r>
      <w:r w:rsidR="00450E20">
        <w:t>is included in their Rule 15</w:t>
      </w:r>
      <w:r w:rsidR="00083771">
        <w:t xml:space="preserve">, we </w:t>
      </w:r>
      <w:r w:rsidR="002174F2">
        <w:t xml:space="preserve">will continue to cite to Rule 16 when </w:t>
      </w:r>
      <w:r w:rsidR="004B4DD1">
        <w:t>referring</w:t>
      </w:r>
      <w:r w:rsidR="002174F2">
        <w:t xml:space="preserve"> to</w:t>
      </w:r>
      <w:r w:rsidR="004B4DD1">
        <w:t xml:space="preserve"> the Joint IOUs’</w:t>
      </w:r>
      <w:r w:rsidR="002174F2">
        <w:t xml:space="preserve"> service line extension</w:t>
      </w:r>
      <w:r w:rsidR="004B4DD1">
        <w:t xml:space="preserve"> Rules.</w:t>
      </w:r>
    </w:p>
  </w:footnote>
  <w:footnote w:id="9">
    <w:p w14:paraId="1D2A0C5E" w14:textId="55364607" w:rsidR="006D5A3D" w:rsidRDefault="006D5A3D">
      <w:pPr>
        <w:pStyle w:val="FootnoteText"/>
      </w:pPr>
      <w:r>
        <w:rPr>
          <w:rStyle w:val="FootnoteReference"/>
        </w:rPr>
        <w:footnoteRef/>
      </w:r>
      <w:r>
        <w:t xml:space="preserve"> </w:t>
      </w:r>
      <w:r w:rsidR="00752A5A">
        <w:t>Section 740.19(b) defines</w:t>
      </w:r>
      <w:r w:rsidR="002F578D">
        <w:t xml:space="preserve"> electric distribution infrastructure as “</w:t>
      </w:r>
      <w:r w:rsidR="005F4CB2">
        <w:t>poles, vaults, service drops, transformers, mounting pads, trenching, conduit, wire, cable, meters, other equipment as necessary, and associated engineering and civil construction work.”</w:t>
      </w:r>
    </w:p>
  </w:footnote>
  <w:footnote w:id="10">
    <w:p w14:paraId="4A6D426D" w14:textId="0830049B" w:rsidR="000150C4" w:rsidRDefault="000150C4" w:rsidP="0025362E">
      <w:pPr>
        <w:pStyle w:val="FootnoteText"/>
      </w:pPr>
      <w:r>
        <w:rPr>
          <w:rStyle w:val="FootnoteReference"/>
        </w:rPr>
        <w:footnoteRef/>
      </w:r>
      <w:r>
        <w:t xml:space="preserve"> The IOUs define “construction ready</w:t>
      </w:r>
      <w:r w:rsidR="00872332">
        <w:t xml:space="preserve">” work as projects that </w:t>
      </w:r>
      <w:r w:rsidR="0093651B">
        <w:t>have</w:t>
      </w:r>
      <w:r w:rsidR="00872332">
        <w:t xml:space="preserve"> </w:t>
      </w:r>
      <w:r w:rsidR="00332C12">
        <w:t>executed contracts, all necessary land rights, all necessary permits</w:t>
      </w:r>
      <w:r w:rsidR="0025362E">
        <w:t>, all necessary utility procedures are planned to ensure electric system safety, worker</w:t>
      </w:r>
      <w:r w:rsidR="0093651B">
        <w:t xml:space="preserve"> </w:t>
      </w:r>
      <w:r w:rsidR="0049614F">
        <w:t>s</w:t>
      </w:r>
      <w:r w:rsidR="0025362E">
        <w:t xml:space="preserve">afety, and public safety. </w:t>
      </w:r>
    </w:p>
  </w:footnote>
  <w:footnote w:id="11">
    <w:p w14:paraId="4C822609" w14:textId="77777777" w:rsidR="00453182" w:rsidRDefault="00453182" w:rsidP="00453182">
      <w:pPr>
        <w:pStyle w:val="FootnoteText"/>
      </w:pPr>
      <w:r>
        <w:rPr>
          <w:rStyle w:val="FootnoteReference"/>
        </w:rPr>
        <w:footnoteRef/>
      </w:r>
      <w:r>
        <w:t xml:space="preserve"> The EV Journey Map can be accessed at PG&amp;E’s EV program and resources page: </w:t>
      </w:r>
    </w:p>
    <w:p w14:paraId="37FA17D0" w14:textId="77777777" w:rsidR="00453182" w:rsidRDefault="00000000" w:rsidP="00453182">
      <w:pPr>
        <w:pStyle w:val="FootnoteText"/>
      </w:pPr>
      <w:hyperlink r:id="rId1" w:history="1">
        <w:r w:rsidR="00453182" w:rsidRPr="003C4FC7">
          <w:rPr>
            <w:rStyle w:val="Hyperlink"/>
          </w:rPr>
          <w:t>https://www.pge.com/en_US/small-medium-business/energy-alternatives/clean-vehicles/ev-charge-network/electric-vehicle-charging/electric-vehicle-programs-and-resources.page</w:t>
        </w:r>
      </w:hyperlink>
      <w:r w:rsidR="00453182" w:rsidRPr="004C6DE6">
        <w:t>?</w:t>
      </w:r>
      <w:r w:rsidR="00453182">
        <w:t xml:space="preserve"> </w:t>
      </w:r>
    </w:p>
  </w:footnote>
  <w:footnote w:id="12">
    <w:p w14:paraId="4A87D133" w14:textId="2FB6D586" w:rsidR="008F684D" w:rsidRDefault="008F684D" w:rsidP="00907F66">
      <w:r>
        <w:rPr>
          <w:rStyle w:val="FootnoteReference"/>
        </w:rPr>
        <w:footnoteRef/>
      </w:r>
      <w:r>
        <w:t xml:space="preserve"> PacifiCorp does not have an Electric Rule 16, however, their Electric Rule 15 covers distribution and service line extensions. </w:t>
      </w:r>
    </w:p>
  </w:footnote>
  <w:footnote w:id="13">
    <w:p w14:paraId="0B706A2E" w14:textId="1FE9C8E3" w:rsidR="000D2794" w:rsidRDefault="000D2794">
      <w:pPr>
        <w:pStyle w:val="FootnoteText"/>
      </w:pPr>
      <w:r>
        <w:rPr>
          <w:rStyle w:val="FootnoteReference"/>
        </w:rPr>
        <w:footnoteRef/>
      </w:r>
      <w:r w:rsidR="00CA3FA1">
        <w:t xml:space="preserve"> OP 8</w:t>
      </w:r>
      <w:r w:rsidR="009078A9">
        <w:t>(</w:t>
      </w:r>
      <w:r w:rsidR="00CA3FA1">
        <w:t>C</w:t>
      </w:r>
      <w:r w:rsidR="009078A9">
        <w:t>)</w:t>
      </w:r>
      <w:r w:rsidR="00CA3FA1">
        <w:t xml:space="preserve"> of </w:t>
      </w:r>
      <w:r>
        <w:t xml:space="preserve"> Resolutions E-5167 and E-5168 direct the IOUs to </w:t>
      </w:r>
      <w:r w:rsidR="004B676A">
        <w:t>propose an average service energization timeline that “</w:t>
      </w:r>
      <w:r w:rsidR="00CA3FA1">
        <w:t>…</w:t>
      </w:r>
      <w:r w:rsidR="004B676A">
        <w:t>reflects efforts to accelerate the current average service energization timeline</w:t>
      </w:r>
      <w:r w:rsidR="00CA3FA1">
        <w:t>…)</w:t>
      </w:r>
    </w:p>
  </w:footnote>
  <w:footnote w:id="14">
    <w:p w14:paraId="7530BFE9" w14:textId="06EEF524" w:rsidR="00776CA3" w:rsidRDefault="00776CA3">
      <w:pPr>
        <w:pStyle w:val="FootnoteText"/>
      </w:pPr>
      <w:r>
        <w:rPr>
          <w:rStyle w:val="FootnoteReference"/>
        </w:rPr>
        <w:footnoteRef/>
      </w:r>
      <w:r>
        <w:t xml:space="preserve"> </w:t>
      </w:r>
      <w:r w:rsidR="007B547C">
        <w:t>The Joint IOUs’ EV Infrastructure Rules are optional alternatives</w:t>
      </w:r>
      <w:r w:rsidR="00604116">
        <w:t xml:space="preserve"> for customers installing EV charging infrastructure</w:t>
      </w:r>
      <w:r w:rsidR="007B547C">
        <w:t xml:space="preserve"> to the IOUs’ Rule 16 Service Line Extension</w:t>
      </w:r>
      <w:r w:rsidR="00604116">
        <w:t xml:space="preserve">. </w:t>
      </w:r>
      <w:r w:rsidR="005F44E5">
        <w:t>A customer taking service through the EV Infrastructure Rule may still need to take service through the IOUs’ Rule 15: Distribution Line Extensio</w:t>
      </w:r>
      <w:r w:rsidR="00A45315">
        <w:t>n if their EV Infrastructure Rule project triggers an upgrade. While work performed under the EV Infrastructure Rules and Rule 16 services a single service point only, Rule 15 work serves multiple service points</w:t>
      </w:r>
      <w:r w:rsidR="00E56D58">
        <w:t xml:space="preserve"> to support individual customer’s service line extensions. </w:t>
      </w:r>
    </w:p>
  </w:footnote>
  <w:footnote w:id="15">
    <w:p w14:paraId="242B3DF6" w14:textId="77777777" w:rsidR="006358D4" w:rsidRDefault="006358D4" w:rsidP="006358D4">
      <w:pPr>
        <w:pStyle w:val="FootnoteText"/>
      </w:pPr>
      <w:r>
        <w:rPr>
          <w:rStyle w:val="FootnoteReference"/>
        </w:rPr>
        <w:footnoteRef/>
      </w:r>
      <w:r>
        <w:t xml:space="preserve"> Codified in Government Code Section 65850.7, requires all California cities and counties to develop an expedited, streamlined permitting process for EV charging stations (EVCS). All cities and counties are required to adopt a streamlining ordinance and checklist for EVCS permit approvals. Compliance with AB 1236 can be found </w:t>
      </w:r>
      <w:hyperlink r:id="rId2" w:history="1">
        <w:r w:rsidRPr="007F0478">
          <w:rPr>
            <w:rStyle w:val="Hyperlink"/>
          </w:rPr>
          <w:t>here</w:t>
        </w:r>
      </w:hyperlink>
      <w:r>
        <w:t xml:space="preserve">. </w:t>
      </w:r>
    </w:p>
  </w:footnote>
  <w:footnote w:id="16">
    <w:p w14:paraId="573785C1" w14:textId="77777777" w:rsidR="006358D4" w:rsidRDefault="006358D4" w:rsidP="006358D4">
      <w:pPr>
        <w:pStyle w:val="FootnoteText"/>
      </w:pPr>
      <w:r>
        <w:rPr>
          <w:rStyle w:val="FootnoteReference"/>
        </w:rPr>
        <w:footnoteRef/>
      </w:r>
      <w:r>
        <w:t xml:space="preserve"> Codified in Government Code Section 65850.71, requires jurisdictions to limit EVCS project review to health and safety requirements, and adds specific binding timelines to review period based on the size of the project. A site with 1-25 EVSE will be deemed complete after 5 business days pending review for 1) application completeness, 2) permit applicant was issued a written deficiency notice that a) details all changes needed to make the application consistent with the city or county EVSE permitting checklist, or b) identifies specific information necessary for the Building Official to conduct a limited review of whether the project meets all health and safety requirements. If not already approved or denied, the site will be deemed approved within 20 business days after it was deemed complete if 1) the city or county has not made a finding that the EVSE could have a specific adverse impact upon the public health or safety, 2) the city or county has not required the applicant to apply for a use permit specified in Section 65850.7(b), and 3) an appeal has not been made to the planning commission pursuant to Section 65850.7(d). Sites with 26 or more EVSE installations will be deemed complete after 10 business days and deemed approved 40 business days after deemed complete. </w:t>
      </w:r>
    </w:p>
  </w:footnote>
  <w:footnote w:id="17">
    <w:p w14:paraId="69CAE0DE" w14:textId="14277858" w:rsidR="00622538" w:rsidRDefault="00622538">
      <w:pPr>
        <w:pStyle w:val="FootnoteText"/>
      </w:pPr>
      <w:r>
        <w:rPr>
          <w:rStyle w:val="FootnoteReference"/>
        </w:rPr>
        <w:footnoteRef/>
      </w:r>
      <w:r>
        <w:t xml:space="preserve"> Joint EV Industry Informal Comments at 7</w:t>
      </w:r>
    </w:p>
  </w:footnote>
  <w:footnote w:id="18">
    <w:p w14:paraId="7FE929BF" w14:textId="00AFD659" w:rsidR="00E62626" w:rsidRDefault="00E62626">
      <w:pPr>
        <w:pStyle w:val="FootnoteText"/>
      </w:pPr>
      <w:r>
        <w:rPr>
          <w:rStyle w:val="FootnoteReference"/>
        </w:rPr>
        <w:footnoteRef/>
      </w:r>
      <w:r>
        <w:t xml:space="preserve"> An easement </w:t>
      </w:r>
      <w:r w:rsidR="00B07FEC">
        <w:t>gives the holder (i.e., IOU) the right to use the property of a</w:t>
      </w:r>
      <w:r w:rsidR="00D84993">
        <w:t xml:space="preserve"> property’s</w:t>
      </w:r>
      <w:r w:rsidR="00B07FEC">
        <w:t xml:space="preserve"> owner (i.e., customer</w:t>
      </w:r>
      <w:r w:rsidR="005E794B">
        <w:t>, neighbor</w:t>
      </w:r>
      <w:r w:rsidR="00B07FEC">
        <w:t xml:space="preserve">) </w:t>
      </w:r>
      <w:r w:rsidR="00D84993">
        <w:t>without requiring the owner to sell the property.</w:t>
      </w:r>
      <w:r w:rsidR="004B7490">
        <w:t xml:space="preserve"> IOUs’ typical use easements to have overhead or underground </w:t>
      </w:r>
      <w:r w:rsidR="005E794B">
        <w:t>powerlines go through a customer’s or neighbor’s property without the IOU purchasing the land.</w:t>
      </w:r>
    </w:p>
  </w:footnote>
  <w:footnote w:id="19">
    <w:p w14:paraId="2FC44017" w14:textId="53193313" w:rsidR="000F6AA4" w:rsidRDefault="000F6AA4">
      <w:pPr>
        <w:pStyle w:val="FootnoteText"/>
      </w:pPr>
      <w:r>
        <w:rPr>
          <w:rStyle w:val="FootnoteReference"/>
        </w:rPr>
        <w:footnoteRef/>
      </w:r>
      <w:r>
        <w:t xml:space="preserve"> Joint EV Industry Informal Comments at 5</w:t>
      </w:r>
    </w:p>
  </w:footnote>
  <w:footnote w:id="20">
    <w:p w14:paraId="7481D4DB" w14:textId="6EBA25F9" w:rsidR="00252E54" w:rsidRDefault="00252E54">
      <w:pPr>
        <w:pStyle w:val="FootnoteText"/>
      </w:pPr>
      <w:r>
        <w:rPr>
          <w:rStyle w:val="FootnoteReference"/>
        </w:rPr>
        <w:footnoteRef/>
      </w:r>
      <w:r>
        <w:t xml:space="preserve"> EVgo </w:t>
      </w:r>
      <w:r w:rsidR="001A4AE4">
        <w:t>Informal</w:t>
      </w:r>
      <w:r>
        <w:t xml:space="preserve"> Comments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1AC7" w14:textId="68E01857" w:rsidR="000353F5" w:rsidRPr="00815645" w:rsidRDefault="000353F5">
    <w:pPr>
      <w:pStyle w:val="Header"/>
      <w:tabs>
        <w:tab w:val="right" w:pos="9180"/>
      </w:tabs>
      <w:rPr>
        <w:rFonts w:ascii="Palatino Linotype" w:hAnsi="Palatino Linotype"/>
        <w:sz w:val="24"/>
        <w:szCs w:val="24"/>
      </w:rPr>
    </w:pPr>
    <w:bookmarkStart w:id="0" w:name="_Hlk118966052"/>
    <w:bookmarkStart w:id="1" w:name="_Hlk118966053"/>
    <w:r w:rsidRPr="00815645">
      <w:rPr>
        <w:rFonts w:ascii="Palatino Linotype" w:hAnsi="Palatino Linotype"/>
        <w:sz w:val="24"/>
        <w:szCs w:val="24"/>
      </w:rPr>
      <w:t xml:space="preserve">Resolution </w:t>
    </w:r>
    <w:r w:rsidR="00953E44" w:rsidRPr="00815645">
      <w:rPr>
        <w:rFonts w:ascii="Palatino Linotype" w:hAnsi="Palatino Linotype"/>
        <w:sz w:val="24"/>
        <w:szCs w:val="24"/>
      </w:rPr>
      <w:t>E-</w:t>
    </w:r>
    <w:r w:rsidR="00BC4B3A">
      <w:rPr>
        <w:rFonts w:ascii="Palatino Linotype" w:hAnsi="Palatino Linotype"/>
        <w:sz w:val="24"/>
        <w:szCs w:val="24"/>
      </w:rPr>
      <w:t>5</w:t>
    </w:r>
    <w:r w:rsidR="004A1713">
      <w:rPr>
        <w:rFonts w:ascii="Palatino Linotype" w:hAnsi="Palatino Linotype"/>
        <w:sz w:val="24"/>
        <w:szCs w:val="24"/>
      </w:rPr>
      <w:t>2</w:t>
    </w:r>
    <w:r w:rsidR="00BC4B3A">
      <w:rPr>
        <w:rFonts w:ascii="Palatino Linotype" w:hAnsi="Palatino Linotype"/>
        <w:sz w:val="24"/>
        <w:szCs w:val="24"/>
      </w:rPr>
      <w:t>47</w:t>
    </w:r>
    <w:r w:rsidRPr="00815645">
      <w:rPr>
        <w:rFonts w:ascii="Palatino Linotype" w:hAnsi="Palatino Linotype"/>
        <w:sz w:val="24"/>
        <w:szCs w:val="24"/>
      </w:rPr>
      <w:tab/>
      <w:t>DRAFT</w:t>
    </w:r>
    <w:r w:rsidRPr="00815645">
      <w:rPr>
        <w:rFonts w:ascii="Palatino Linotype" w:hAnsi="Palatino Linotype"/>
        <w:sz w:val="24"/>
        <w:szCs w:val="24"/>
      </w:rPr>
      <w:tab/>
    </w:r>
    <w:r w:rsidR="00534D5D">
      <w:rPr>
        <w:rFonts w:ascii="Palatino Linotype" w:hAnsi="Palatino Linotype"/>
        <w:sz w:val="24"/>
        <w:szCs w:val="24"/>
      </w:rPr>
      <w:t>12/15/</w:t>
    </w:r>
    <w:r w:rsidRPr="00815645">
      <w:rPr>
        <w:rFonts w:ascii="Palatino Linotype" w:hAnsi="Palatino Linotype"/>
        <w:sz w:val="24"/>
        <w:szCs w:val="24"/>
      </w:rPr>
      <w:t>202</w:t>
    </w:r>
    <w:r w:rsidR="00D800FB">
      <w:rPr>
        <w:rFonts w:ascii="Palatino Linotype" w:hAnsi="Palatino Linotype"/>
        <w:sz w:val="24"/>
        <w:szCs w:val="24"/>
      </w:rPr>
      <w:t>2</w:t>
    </w:r>
  </w:p>
  <w:p w14:paraId="285C021C" w14:textId="7812B0F2" w:rsidR="000353F5" w:rsidRPr="00815645" w:rsidRDefault="00BC4B3A" w:rsidP="00534D5D">
    <w:pPr>
      <w:pStyle w:val="Header"/>
      <w:spacing w:after="200"/>
      <w:rPr>
        <w:rFonts w:ascii="Palatino Linotype" w:hAnsi="Palatino Linotype"/>
        <w:sz w:val="24"/>
        <w:szCs w:val="24"/>
      </w:rPr>
    </w:pPr>
    <w:r>
      <w:rPr>
        <w:rFonts w:ascii="Palatino Linotype" w:hAnsi="Palatino Linotype"/>
        <w:sz w:val="24"/>
        <w:szCs w:val="24"/>
      </w:rPr>
      <w:t xml:space="preserve">PG&amp;E AL 6607-E, SCE AL 4803-E, </w:t>
    </w:r>
    <w:r w:rsidR="006165B1" w:rsidRPr="00815645">
      <w:rPr>
        <w:rFonts w:ascii="Palatino Linotype" w:hAnsi="Palatino Linotype"/>
        <w:sz w:val="24"/>
        <w:szCs w:val="24"/>
      </w:rPr>
      <w:t xml:space="preserve">SDG&amp;E AL </w:t>
    </w:r>
    <w:r w:rsidR="00D800FB">
      <w:rPr>
        <w:rFonts w:ascii="Palatino Linotype" w:hAnsi="Palatino Linotype"/>
        <w:sz w:val="24"/>
        <w:szCs w:val="24"/>
      </w:rPr>
      <w:t>4011</w:t>
    </w:r>
    <w:r w:rsidR="006165B1" w:rsidRPr="00815645">
      <w:rPr>
        <w:rFonts w:ascii="Palatino Linotype" w:hAnsi="Palatino Linotype"/>
        <w:sz w:val="24"/>
        <w:szCs w:val="24"/>
      </w:rPr>
      <w:t>-E</w:t>
    </w:r>
    <w:r>
      <w:rPr>
        <w:rFonts w:ascii="Palatino Linotype" w:hAnsi="Palatino Linotype"/>
        <w:sz w:val="24"/>
        <w:szCs w:val="24"/>
      </w:rPr>
      <w:t xml:space="preserve">, BVES AL 444-E, </w:t>
    </w:r>
    <w:r w:rsidR="00534D5D">
      <w:rPr>
        <w:rFonts w:ascii="Palatino Linotype" w:hAnsi="Palatino Linotype"/>
        <w:sz w:val="24"/>
        <w:szCs w:val="24"/>
      </w:rPr>
      <w:br/>
    </w:r>
    <w:r>
      <w:rPr>
        <w:rFonts w:ascii="Palatino Linotype" w:hAnsi="Palatino Linotype"/>
        <w:sz w:val="24"/>
        <w:szCs w:val="24"/>
      </w:rPr>
      <w:t>Liberty AL 192-E, PacifiCorp AL 685-E</w:t>
    </w:r>
    <w:r w:rsidR="006165B1" w:rsidRPr="00815645">
      <w:rPr>
        <w:rFonts w:ascii="Palatino Linotype" w:hAnsi="Palatino Linotype"/>
        <w:sz w:val="24"/>
        <w:szCs w:val="24"/>
      </w:rPr>
      <w:t xml:space="preserve"> /</w:t>
    </w:r>
    <w:r w:rsidR="00F94E49" w:rsidRPr="00815645">
      <w:rPr>
        <w:rFonts w:ascii="Palatino Linotype" w:hAnsi="Palatino Linotype"/>
        <w:sz w:val="24"/>
        <w:szCs w:val="24"/>
      </w:rPr>
      <w:t>MTX</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EA1" w14:textId="7D411D58" w:rsidR="000353F5" w:rsidRPr="001A3A1A" w:rsidRDefault="001A3A1A">
    <w:pPr>
      <w:pStyle w:val="Header"/>
      <w:jc w:val="center"/>
      <w:rPr>
        <w:rFonts w:ascii="Palatino Linotype" w:hAnsi="Palatino Linotype"/>
        <w:sz w:val="24"/>
        <w:szCs w:val="20"/>
      </w:rPr>
    </w:pPr>
    <w:r>
      <w:rPr>
        <w:rFonts w:ascii="Palatino Linotype" w:hAnsi="Palatino Linotype"/>
        <w:sz w:val="24"/>
        <w:szCs w:val="2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668" w14:textId="77777777" w:rsidR="00534D5D" w:rsidRDefault="00534D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839C" w14:textId="77777777" w:rsidR="00EA4BDF" w:rsidRPr="00815645" w:rsidRDefault="00EA4BDF" w:rsidP="00EA4BDF">
    <w:pPr>
      <w:pStyle w:val="Header"/>
      <w:tabs>
        <w:tab w:val="right" w:pos="9180"/>
      </w:tabs>
      <w:rPr>
        <w:rFonts w:ascii="Palatino Linotype" w:hAnsi="Palatino Linotype"/>
        <w:sz w:val="24"/>
        <w:szCs w:val="24"/>
      </w:rPr>
    </w:pPr>
    <w:r w:rsidRPr="00815645">
      <w:rPr>
        <w:rFonts w:ascii="Palatino Linotype" w:hAnsi="Palatino Linotype"/>
        <w:sz w:val="24"/>
        <w:szCs w:val="24"/>
      </w:rPr>
      <w:t>Resolution E-</w:t>
    </w:r>
    <w:r>
      <w:rPr>
        <w:rFonts w:ascii="Palatino Linotype" w:hAnsi="Palatino Linotype"/>
        <w:sz w:val="24"/>
        <w:szCs w:val="24"/>
      </w:rPr>
      <w:t>5247</w:t>
    </w:r>
    <w:r w:rsidRPr="00815645">
      <w:rPr>
        <w:rFonts w:ascii="Palatino Linotype" w:hAnsi="Palatino Linotype"/>
        <w:sz w:val="24"/>
        <w:szCs w:val="24"/>
      </w:rPr>
      <w:tab/>
      <w:t>DRAFT</w:t>
    </w:r>
    <w:r w:rsidRPr="00815645">
      <w:rPr>
        <w:rFonts w:ascii="Palatino Linotype" w:hAnsi="Palatino Linotype"/>
        <w:sz w:val="24"/>
        <w:szCs w:val="24"/>
      </w:rPr>
      <w:tab/>
    </w:r>
    <w:r>
      <w:rPr>
        <w:rFonts w:ascii="Palatino Linotype" w:hAnsi="Palatino Linotype"/>
        <w:sz w:val="24"/>
        <w:szCs w:val="24"/>
      </w:rPr>
      <w:t>12/15/</w:t>
    </w:r>
    <w:r w:rsidRPr="00815645">
      <w:rPr>
        <w:rFonts w:ascii="Palatino Linotype" w:hAnsi="Palatino Linotype"/>
        <w:sz w:val="24"/>
        <w:szCs w:val="24"/>
      </w:rPr>
      <w:t>202</w:t>
    </w:r>
    <w:r>
      <w:rPr>
        <w:rFonts w:ascii="Palatino Linotype" w:hAnsi="Palatino Linotype"/>
        <w:sz w:val="24"/>
        <w:szCs w:val="24"/>
      </w:rPr>
      <w:t>2</w:t>
    </w:r>
  </w:p>
  <w:p w14:paraId="5CD4B7E2" w14:textId="77777777" w:rsidR="00EA4BDF" w:rsidRPr="00815645" w:rsidRDefault="00EA4BDF" w:rsidP="00EA4BDF">
    <w:pPr>
      <w:pStyle w:val="Header"/>
      <w:rPr>
        <w:rFonts w:ascii="Palatino Linotype" w:hAnsi="Palatino Linotype"/>
        <w:sz w:val="24"/>
        <w:szCs w:val="24"/>
      </w:rPr>
    </w:pPr>
    <w:r>
      <w:rPr>
        <w:rFonts w:ascii="Palatino Linotype" w:hAnsi="Palatino Linotype"/>
        <w:sz w:val="24"/>
        <w:szCs w:val="24"/>
      </w:rPr>
      <w:t xml:space="preserve">PG&amp;E AL 6607-E, SCE AL 4803-E, </w:t>
    </w:r>
    <w:r w:rsidRPr="00815645">
      <w:rPr>
        <w:rFonts w:ascii="Palatino Linotype" w:hAnsi="Palatino Linotype"/>
        <w:sz w:val="24"/>
        <w:szCs w:val="24"/>
      </w:rPr>
      <w:t xml:space="preserve">SDG&amp;E AL </w:t>
    </w:r>
    <w:r>
      <w:rPr>
        <w:rFonts w:ascii="Palatino Linotype" w:hAnsi="Palatino Linotype"/>
        <w:sz w:val="24"/>
        <w:szCs w:val="24"/>
      </w:rPr>
      <w:t>4011</w:t>
    </w:r>
    <w:r w:rsidRPr="00815645">
      <w:rPr>
        <w:rFonts w:ascii="Palatino Linotype" w:hAnsi="Palatino Linotype"/>
        <w:sz w:val="24"/>
        <w:szCs w:val="24"/>
      </w:rPr>
      <w:t>-E</w:t>
    </w:r>
    <w:r>
      <w:rPr>
        <w:rFonts w:ascii="Palatino Linotype" w:hAnsi="Palatino Linotype"/>
        <w:sz w:val="24"/>
        <w:szCs w:val="24"/>
      </w:rPr>
      <w:t xml:space="preserve">, BVES AL 444-E, </w:t>
    </w:r>
    <w:r>
      <w:rPr>
        <w:rFonts w:ascii="Palatino Linotype" w:hAnsi="Palatino Linotype"/>
        <w:sz w:val="24"/>
        <w:szCs w:val="24"/>
      </w:rPr>
      <w:br/>
      <w:t>Liberty AL 192-E, PacifiCorp AL 685-E</w:t>
    </w:r>
    <w:r w:rsidRPr="00815645">
      <w:rPr>
        <w:rFonts w:ascii="Palatino Linotype" w:hAnsi="Palatino Linotype"/>
        <w:sz w:val="24"/>
        <w:szCs w:val="24"/>
      </w:rPr>
      <w:t xml:space="preserve"> /MTX</w:t>
    </w:r>
  </w:p>
  <w:p w14:paraId="36A38A47" w14:textId="77777777" w:rsidR="0003738D" w:rsidRDefault="000373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BF72" w14:textId="77777777" w:rsidR="00534D5D" w:rsidRDefault="0053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A3"/>
    <w:multiLevelType w:val="hybridMultilevel"/>
    <w:tmpl w:val="597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5A2"/>
    <w:multiLevelType w:val="hybridMultilevel"/>
    <w:tmpl w:val="DFA6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0397"/>
    <w:multiLevelType w:val="hybridMultilevel"/>
    <w:tmpl w:val="00B2E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93946"/>
    <w:multiLevelType w:val="hybridMultilevel"/>
    <w:tmpl w:val="F912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20C"/>
    <w:multiLevelType w:val="hybridMultilevel"/>
    <w:tmpl w:val="62E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DE51BA"/>
    <w:multiLevelType w:val="hybridMultilevel"/>
    <w:tmpl w:val="13A03D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A727BF"/>
    <w:multiLevelType w:val="hybridMultilevel"/>
    <w:tmpl w:val="19B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47994"/>
    <w:multiLevelType w:val="hybridMultilevel"/>
    <w:tmpl w:val="0C82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4836"/>
    <w:multiLevelType w:val="hybridMultilevel"/>
    <w:tmpl w:val="2C9E342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2154A8"/>
    <w:multiLevelType w:val="hybridMultilevel"/>
    <w:tmpl w:val="9F06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24836"/>
    <w:multiLevelType w:val="hybridMultilevel"/>
    <w:tmpl w:val="1976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01583"/>
    <w:multiLevelType w:val="hybridMultilevel"/>
    <w:tmpl w:val="B06CA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36DD6"/>
    <w:multiLevelType w:val="hybridMultilevel"/>
    <w:tmpl w:val="D61CAC00"/>
    <w:lvl w:ilvl="0" w:tplc="8C0882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66334"/>
    <w:multiLevelType w:val="hybridMultilevel"/>
    <w:tmpl w:val="67DA7100"/>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5" w15:restartNumberingAfterBreak="0">
    <w:nsid w:val="5C08583C"/>
    <w:multiLevelType w:val="hybridMultilevel"/>
    <w:tmpl w:val="9EDCE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FA6537"/>
    <w:multiLevelType w:val="hybridMultilevel"/>
    <w:tmpl w:val="954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F7B22"/>
    <w:multiLevelType w:val="hybridMultilevel"/>
    <w:tmpl w:val="51AA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A4A5F"/>
    <w:multiLevelType w:val="hybridMultilevel"/>
    <w:tmpl w:val="DD8CC70A"/>
    <w:lvl w:ilvl="0" w:tplc="E90272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8730B"/>
    <w:multiLevelType w:val="hybridMultilevel"/>
    <w:tmpl w:val="2C9E342E"/>
    <w:lvl w:ilvl="0" w:tplc="3C247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5152567">
    <w:abstractNumId w:val="17"/>
  </w:num>
  <w:num w:numId="2" w16cid:durableId="2138833736">
    <w:abstractNumId w:val="0"/>
  </w:num>
  <w:num w:numId="3" w16cid:durableId="1699576230">
    <w:abstractNumId w:val="11"/>
  </w:num>
  <w:num w:numId="4" w16cid:durableId="1433015678">
    <w:abstractNumId w:val="14"/>
  </w:num>
  <w:num w:numId="5" w16cid:durableId="1922107377">
    <w:abstractNumId w:val="16"/>
  </w:num>
  <w:num w:numId="6" w16cid:durableId="104347112">
    <w:abstractNumId w:val="12"/>
  </w:num>
  <w:num w:numId="7" w16cid:durableId="1829318588">
    <w:abstractNumId w:val="6"/>
  </w:num>
  <w:num w:numId="8" w16cid:durableId="990908479">
    <w:abstractNumId w:val="5"/>
  </w:num>
  <w:num w:numId="9" w16cid:durableId="849178956">
    <w:abstractNumId w:val="13"/>
  </w:num>
  <w:num w:numId="10" w16cid:durableId="1346010984">
    <w:abstractNumId w:val="8"/>
  </w:num>
  <w:num w:numId="11" w16cid:durableId="1380938714">
    <w:abstractNumId w:val="2"/>
  </w:num>
  <w:num w:numId="12" w16cid:durableId="157774031">
    <w:abstractNumId w:val="1"/>
  </w:num>
  <w:num w:numId="13" w16cid:durableId="1650328109">
    <w:abstractNumId w:val="3"/>
  </w:num>
  <w:num w:numId="14" w16cid:durableId="1003359422">
    <w:abstractNumId w:val="4"/>
  </w:num>
  <w:num w:numId="15" w16cid:durableId="2095972796">
    <w:abstractNumId w:val="7"/>
  </w:num>
  <w:num w:numId="16" w16cid:durableId="1371539827">
    <w:abstractNumId w:val="10"/>
  </w:num>
  <w:num w:numId="17" w16cid:durableId="1387528525">
    <w:abstractNumId w:val="19"/>
  </w:num>
  <w:num w:numId="18" w16cid:durableId="179701618">
    <w:abstractNumId w:val="9"/>
  </w:num>
  <w:num w:numId="19" w16cid:durableId="676545575">
    <w:abstractNumId w:val="15"/>
  </w:num>
  <w:num w:numId="20" w16cid:durableId="634800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7"/>
    <w:rsid w:val="000013E5"/>
    <w:rsid w:val="00001669"/>
    <w:rsid w:val="00001F80"/>
    <w:rsid w:val="00002CB8"/>
    <w:rsid w:val="000038F9"/>
    <w:rsid w:val="00003CD1"/>
    <w:rsid w:val="00003F4E"/>
    <w:rsid w:val="00006003"/>
    <w:rsid w:val="00010868"/>
    <w:rsid w:val="00012538"/>
    <w:rsid w:val="00014BF2"/>
    <w:rsid w:val="00014CA0"/>
    <w:rsid w:val="000150C4"/>
    <w:rsid w:val="00015BC9"/>
    <w:rsid w:val="000169FF"/>
    <w:rsid w:val="0001710B"/>
    <w:rsid w:val="0001711B"/>
    <w:rsid w:val="00020954"/>
    <w:rsid w:val="0002157A"/>
    <w:rsid w:val="000221CC"/>
    <w:rsid w:val="000233BB"/>
    <w:rsid w:val="00024981"/>
    <w:rsid w:val="00026408"/>
    <w:rsid w:val="0002741A"/>
    <w:rsid w:val="00030250"/>
    <w:rsid w:val="00030E42"/>
    <w:rsid w:val="000315E6"/>
    <w:rsid w:val="0003175D"/>
    <w:rsid w:val="00031760"/>
    <w:rsid w:val="00032962"/>
    <w:rsid w:val="00033465"/>
    <w:rsid w:val="0003376D"/>
    <w:rsid w:val="00034311"/>
    <w:rsid w:val="000350BE"/>
    <w:rsid w:val="000353F5"/>
    <w:rsid w:val="000361B6"/>
    <w:rsid w:val="000365E0"/>
    <w:rsid w:val="0003738D"/>
    <w:rsid w:val="00037BE6"/>
    <w:rsid w:val="00037E2C"/>
    <w:rsid w:val="0004205D"/>
    <w:rsid w:val="00042103"/>
    <w:rsid w:val="00044E77"/>
    <w:rsid w:val="0004613C"/>
    <w:rsid w:val="000469DE"/>
    <w:rsid w:val="000470E3"/>
    <w:rsid w:val="000478A7"/>
    <w:rsid w:val="000506D9"/>
    <w:rsid w:val="000523A4"/>
    <w:rsid w:val="000540A4"/>
    <w:rsid w:val="00056803"/>
    <w:rsid w:val="000575B4"/>
    <w:rsid w:val="000576C1"/>
    <w:rsid w:val="00060490"/>
    <w:rsid w:val="000606AC"/>
    <w:rsid w:val="00060BCA"/>
    <w:rsid w:val="000613FB"/>
    <w:rsid w:val="0006286A"/>
    <w:rsid w:val="00064A08"/>
    <w:rsid w:val="0006551A"/>
    <w:rsid w:val="00066EFE"/>
    <w:rsid w:val="00067026"/>
    <w:rsid w:val="0006713C"/>
    <w:rsid w:val="000675CF"/>
    <w:rsid w:val="00071C17"/>
    <w:rsid w:val="00071F45"/>
    <w:rsid w:val="000738E0"/>
    <w:rsid w:val="00074E5D"/>
    <w:rsid w:val="00076849"/>
    <w:rsid w:val="00076CE8"/>
    <w:rsid w:val="00077E42"/>
    <w:rsid w:val="0008022C"/>
    <w:rsid w:val="000802D6"/>
    <w:rsid w:val="000805C7"/>
    <w:rsid w:val="000811B6"/>
    <w:rsid w:val="00082716"/>
    <w:rsid w:val="000831F6"/>
    <w:rsid w:val="00083771"/>
    <w:rsid w:val="00084091"/>
    <w:rsid w:val="000844B8"/>
    <w:rsid w:val="0008530C"/>
    <w:rsid w:val="00085A8F"/>
    <w:rsid w:val="000864E8"/>
    <w:rsid w:val="00086DF4"/>
    <w:rsid w:val="00086F05"/>
    <w:rsid w:val="0008759D"/>
    <w:rsid w:val="000879B6"/>
    <w:rsid w:val="00087E9E"/>
    <w:rsid w:val="00090169"/>
    <w:rsid w:val="0009162F"/>
    <w:rsid w:val="00094BF1"/>
    <w:rsid w:val="000957B2"/>
    <w:rsid w:val="00095960"/>
    <w:rsid w:val="00095C02"/>
    <w:rsid w:val="000A12D9"/>
    <w:rsid w:val="000A2B8A"/>
    <w:rsid w:val="000A2FB3"/>
    <w:rsid w:val="000A3139"/>
    <w:rsid w:val="000A346C"/>
    <w:rsid w:val="000A366D"/>
    <w:rsid w:val="000A391D"/>
    <w:rsid w:val="000A39F7"/>
    <w:rsid w:val="000A6050"/>
    <w:rsid w:val="000A7E03"/>
    <w:rsid w:val="000B07B3"/>
    <w:rsid w:val="000B4044"/>
    <w:rsid w:val="000B5A76"/>
    <w:rsid w:val="000B66BC"/>
    <w:rsid w:val="000C04BF"/>
    <w:rsid w:val="000C1661"/>
    <w:rsid w:val="000C1B13"/>
    <w:rsid w:val="000C2CBF"/>
    <w:rsid w:val="000C4DA5"/>
    <w:rsid w:val="000D2794"/>
    <w:rsid w:val="000D2B7C"/>
    <w:rsid w:val="000D327D"/>
    <w:rsid w:val="000D5197"/>
    <w:rsid w:val="000D51AC"/>
    <w:rsid w:val="000D56AD"/>
    <w:rsid w:val="000D5756"/>
    <w:rsid w:val="000D5A3A"/>
    <w:rsid w:val="000D646B"/>
    <w:rsid w:val="000E051D"/>
    <w:rsid w:val="000E2319"/>
    <w:rsid w:val="000E4735"/>
    <w:rsid w:val="000E69F8"/>
    <w:rsid w:val="000E6B7D"/>
    <w:rsid w:val="000E6DD1"/>
    <w:rsid w:val="000E776D"/>
    <w:rsid w:val="000F0DE3"/>
    <w:rsid w:val="000F1128"/>
    <w:rsid w:val="000F169F"/>
    <w:rsid w:val="000F3261"/>
    <w:rsid w:val="000F3C57"/>
    <w:rsid w:val="000F3D54"/>
    <w:rsid w:val="000F448E"/>
    <w:rsid w:val="000F470A"/>
    <w:rsid w:val="000F5667"/>
    <w:rsid w:val="000F5D60"/>
    <w:rsid w:val="000F6AA4"/>
    <w:rsid w:val="000F715A"/>
    <w:rsid w:val="0010275A"/>
    <w:rsid w:val="00103654"/>
    <w:rsid w:val="00103C9C"/>
    <w:rsid w:val="001042FB"/>
    <w:rsid w:val="0010563D"/>
    <w:rsid w:val="00105DC6"/>
    <w:rsid w:val="00107840"/>
    <w:rsid w:val="00107ED3"/>
    <w:rsid w:val="001114BC"/>
    <w:rsid w:val="0011191D"/>
    <w:rsid w:val="001127B8"/>
    <w:rsid w:val="00113495"/>
    <w:rsid w:val="0011456C"/>
    <w:rsid w:val="001145F1"/>
    <w:rsid w:val="00117D26"/>
    <w:rsid w:val="00120003"/>
    <w:rsid w:val="00120D1A"/>
    <w:rsid w:val="001232A4"/>
    <w:rsid w:val="001239D3"/>
    <w:rsid w:val="00124291"/>
    <w:rsid w:val="001247E7"/>
    <w:rsid w:val="00125D44"/>
    <w:rsid w:val="001345C3"/>
    <w:rsid w:val="001349DA"/>
    <w:rsid w:val="001350D0"/>
    <w:rsid w:val="00135F6C"/>
    <w:rsid w:val="001379CF"/>
    <w:rsid w:val="0014091E"/>
    <w:rsid w:val="00143620"/>
    <w:rsid w:val="001468DF"/>
    <w:rsid w:val="001473B8"/>
    <w:rsid w:val="001476D4"/>
    <w:rsid w:val="00147BDF"/>
    <w:rsid w:val="001507CE"/>
    <w:rsid w:val="001519E1"/>
    <w:rsid w:val="00151C79"/>
    <w:rsid w:val="001527B3"/>
    <w:rsid w:val="00152E89"/>
    <w:rsid w:val="001531FF"/>
    <w:rsid w:val="00154A09"/>
    <w:rsid w:val="00154B10"/>
    <w:rsid w:val="00155040"/>
    <w:rsid w:val="00155E67"/>
    <w:rsid w:val="00156386"/>
    <w:rsid w:val="00156516"/>
    <w:rsid w:val="0015770E"/>
    <w:rsid w:val="00157F0E"/>
    <w:rsid w:val="00163059"/>
    <w:rsid w:val="001639C4"/>
    <w:rsid w:val="00164E87"/>
    <w:rsid w:val="00167E71"/>
    <w:rsid w:val="0017045C"/>
    <w:rsid w:val="0017248B"/>
    <w:rsid w:val="001726C6"/>
    <w:rsid w:val="00173D13"/>
    <w:rsid w:val="00174929"/>
    <w:rsid w:val="00177116"/>
    <w:rsid w:val="00177B6F"/>
    <w:rsid w:val="00177BAF"/>
    <w:rsid w:val="001815C8"/>
    <w:rsid w:val="0018176D"/>
    <w:rsid w:val="00181E01"/>
    <w:rsid w:val="00182186"/>
    <w:rsid w:val="001825B9"/>
    <w:rsid w:val="0018384E"/>
    <w:rsid w:val="001839AF"/>
    <w:rsid w:val="0018433D"/>
    <w:rsid w:val="0018507D"/>
    <w:rsid w:val="0018536E"/>
    <w:rsid w:val="00186D91"/>
    <w:rsid w:val="00190CED"/>
    <w:rsid w:val="00190DAB"/>
    <w:rsid w:val="00191B36"/>
    <w:rsid w:val="00192092"/>
    <w:rsid w:val="00192DC1"/>
    <w:rsid w:val="001937AB"/>
    <w:rsid w:val="00193C08"/>
    <w:rsid w:val="00193EED"/>
    <w:rsid w:val="001949DC"/>
    <w:rsid w:val="0019592F"/>
    <w:rsid w:val="00196C2C"/>
    <w:rsid w:val="00197441"/>
    <w:rsid w:val="001A1194"/>
    <w:rsid w:val="001A1779"/>
    <w:rsid w:val="001A3A1A"/>
    <w:rsid w:val="001A3F6F"/>
    <w:rsid w:val="001A4AE4"/>
    <w:rsid w:val="001A4C00"/>
    <w:rsid w:val="001A6B1A"/>
    <w:rsid w:val="001B01DC"/>
    <w:rsid w:val="001B05A5"/>
    <w:rsid w:val="001B2D69"/>
    <w:rsid w:val="001B3664"/>
    <w:rsid w:val="001B5118"/>
    <w:rsid w:val="001B57CF"/>
    <w:rsid w:val="001B595A"/>
    <w:rsid w:val="001B7ADF"/>
    <w:rsid w:val="001C0793"/>
    <w:rsid w:val="001C0B22"/>
    <w:rsid w:val="001C0F0A"/>
    <w:rsid w:val="001C1D44"/>
    <w:rsid w:val="001C519B"/>
    <w:rsid w:val="001C58E4"/>
    <w:rsid w:val="001C6C8E"/>
    <w:rsid w:val="001C6F57"/>
    <w:rsid w:val="001C7396"/>
    <w:rsid w:val="001D0326"/>
    <w:rsid w:val="001D088F"/>
    <w:rsid w:val="001D1CB0"/>
    <w:rsid w:val="001D2BC9"/>
    <w:rsid w:val="001D50F2"/>
    <w:rsid w:val="001D6E0C"/>
    <w:rsid w:val="001E01F9"/>
    <w:rsid w:val="001E0E4E"/>
    <w:rsid w:val="001E179C"/>
    <w:rsid w:val="001E218B"/>
    <w:rsid w:val="001E2B20"/>
    <w:rsid w:val="001E41A2"/>
    <w:rsid w:val="001E48FC"/>
    <w:rsid w:val="001E541E"/>
    <w:rsid w:val="001E618B"/>
    <w:rsid w:val="001E651B"/>
    <w:rsid w:val="001F202A"/>
    <w:rsid w:val="001F24B4"/>
    <w:rsid w:val="001F2805"/>
    <w:rsid w:val="001F322F"/>
    <w:rsid w:val="001F4442"/>
    <w:rsid w:val="001F50A2"/>
    <w:rsid w:val="001F53D6"/>
    <w:rsid w:val="001F74E3"/>
    <w:rsid w:val="001F7C07"/>
    <w:rsid w:val="002003E3"/>
    <w:rsid w:val="00201437"/>
    <w:rsid w:val="0020226E"/>
    <w:rsid w:val="00202ADD"/>
    <w:rsid w:val="002030C3"/>
    <w:rsid w:val="002053FF"/>
    <w:rsid w:val="00205C93"/>
    <w:rsid w:val="00206B2D"/>
    <w:rsid w:val="00206DD4"/>
    <w:rsid w:val="002107C4"/>
    <w:rsid w:val="00210BD0"/>
    <w:rsid w:val="00210FE5"/>
    <w:rsid w:val="002115FF"/>
    <w:rsid w:val="00211797"/>
    <w:rsid w:val="00211B0A"/>
    <w:rsid w:val="00211CEB"/>
    <w:rsid w:val="002155C6"/>
    <w:rsid w:val="002156BB"/>
    <w:rsid w:val="002161A0"/>
    <w:rsid w:val="00216306"/>
    <w:rsid w:val="002163F5"/>
    <w:rsid w:val="00216739"/>
    <w:rsid w:val="00216B41"/>
    <w:rsid w:val="002174F2"/>
    <w:rsid w:val="00217805"/>
    <w:rsid w:val="00217980"/>
    <w:rsid w:val="00217B68"/>
    <w:rsid w:val="00221161"/>
    <w:rsid w:val="002211FD"/>
    <w:rsid w:val="00221694"/>
    <w:rsid w:val="00221746"/>
    <w:rsid w:val="00221986"/>
    <w:rsid w:val="002225CA"/>
    <w:rsid w:val="0022406F"/>
    <w:rsid w:val="002241AA"/>
    <w:rsid w:val="0022443B"/>
    <w:rsid w:val="00224925"/>
    <w:rsid w:val="00225365"/>
    <w:rsid w:val="00226516"/>
    <w:rsid w:val="00227C00"/>
    <w:rsid w:val="00227CE3"/>
    <w:rsid w:val="00230025"/>
    <w:rsid w:val="002310D8"/>
    <w:rsid w:val="00231E02"/>
    <w:rsid w:val="00232039"/>
    <w:rsid w:val="00232042"/>
    <w:rsid w:val="00234626"/>
    <w:rsid w:val="00235A7C"/>
    <w:rsid w:val="00235B00"/>
    <w:rsid w:val="00235B56"/>
    <w:rsid w:val="00236FCF"/>
    <w:rsid w:val="002379CE"/>
    <w:rsid w:val="00240506"/>
    <w:rsid w:val="00240621"/>
    <w:rsid w:val="00243478"/>
    <w:rsid w:val="00243DD0"/>
    <w:rsid w:val="002458C1"/>
    <w:rsid w:val="00246343"/>
    <w:rsid w:val="0024678D"/>
    <w:rsid w:val="002469F1"/>
    <w:rsid w:val="00246A44"/>
    <w:rsid w:val="00246B63"/>
    <w:rsid w:val="00246B8A"/>
    <w:rsid w:val="002471F6"/>
    <w:rsid w:val="0024726C"/>
    <w:rsid w:val="002478B9"/>
    <w:rsid w:val="00247C89"/>
    <w:rsid w:val="00250F94"/>
    <w:rsid w:val="00252E54"/>
    <w:rsid w:val="0025362E"/>
    <w:rsid w:val="002539BE"/>
    <w:rsid w:val="00254CD1"/>
    <w:rsid w:val="00255157"/>
    <w:rsid w:val="00257E5F"/>
    <w:rsid w:val="00260D41"/>
    <w:rsid w:val="002610BC"/>
    <w:rsid w:val="002625E2"/>
    <w:rsid w:val="00262BEA"/>
    <w:rsid w:val="00263464"/>
    <w:rsid w:val="00265C18"/>
    <w:rsid w:val="00267860"/>
    <w:rsid w:val="00267B48"/>
    <w:rsid w:val="00267D57"/>
    <w:rsid w:val="0027156A"/>
    <w:rsid w:val="00271CFE"/>
    <w:rsid w:val="002723FC"/>
    <w:rsid w:val="00273443"/>
    <w:rsid w:val="002746C0"/>
    <w:rsid w:val="00276598"/>
    <w:rsid w:val="00280DB6"/>
    <w:rsid w:val="00280E21"/>
    <w:rsid w:val="0028130A"/>
    <w:rsid w:val="00282481"/>
    <w:rsid w:val="00284C31"/>
    <w:rsid w:val="00285115"/>
    <w:rsid w:val="00286487"/>
    <w:rsid w:val="00286E46"/>
    <w:rsid w:val="00286EE7"/>
    <w:rsid w:val="00292961"/>
    <w:rsid w:val="00292C7B"/>
    <w:rsid w:val="002954EE"/>
    <w:rsid w:val="00295C05"/>
    <w:rsid w:val="00295F59"/>
    <w:rsid w:val="00296B2F"/>
    <w:rsid w:val="00296C27"/>
    <w:rsid w:val="00296FDF"/>
    <w:rsid w:val="002979E5"/>
    <w:rsid w:val="002A05FD"/>
    <w:rsid w:val="002A49A2"/>
    <w:rsid w:val="002A51BA"/>
    <w:rsid w:val="002A6A80"/>
    <w:rsid w:val="002A6FC0"/>
    <w:rsid w:val="002A7312"/>
    <w:rsid w:val="002B00A8"/>
    <w:rsid w:val="002B1EEA"/>
    <w:rsid w:val="002B27F4"/>
    <w:rsid w:val="002B34B1"/>
    <w:rsid w:val="002B3556"/>
    <w:rsid w:val="002B3780"/>
    <w:rsid w:val="002B4A5A"/>
    <w:rsid w:val="002B5677"/>
    <w:rsid w:val="002B5A50"/>
    <w:rsid w:val="002B6A5B"/>
    <w:rsid w:val="002B79F6"/>
    <w:rsid w:val="002B7C1D"/>
    <w:rsid w:val="002B7E91"/>
    <w:rsid w:val="002C1757"/>
    <w:rsid w:val="002C26A5"/>
    <w:rsid w:val="002C4736"/>
    <w:rsid w:val="002C4FE7"/>
    <w:rsid w:val="002C54EC"/>
    <w:rsid w:val="002C55D8"/>
    <w:rsid w:val="002C7583"/>
    <w:rsid w:val="002D191B"/>
    <w:rsid w:val="002D235A"/>
    <w:rsid w:val="002D2AE9"/>
    <w:rsid w:val="002D2C17"/>
    <w:rsid w:val="002D2CD2"/>
    <w:rsid w:val="002D31F5"/>
    <w:rsid w:val="002D3A33"/>
    <w:rsid w:val="002D3DAC"/>
    <w:rsid w:val="002D4582"/>
    <w:rsid w:val="002D4907"/>
    <w:rsid w:val="002D4D26"/>
    <w:rsid w:val="002D5186"/>
    <w:rsid w:val="002D5684"/>
    <w:rsid w:val="002D6890"/>
    <w:rsid w:val="002D79AF"/>
    <w:rsid w:val="002D7B44"/>
    <w:rsid w:val="002D7BF3"/>
    <w:rsid w:val="002E0631"/>
    <w:rsid w:val="002E0A52"/>
    <w:rsid w:val="002E296D"/>
    <w:rsid w:val="002E303D"/>
    <w:rsid w:val="002E41D5"/>
    <w:rsid w:val="002E4EFA"/>
    <w:rsid w:val="002E510C"/>
    <w:rsid w:val="002E549A"/>
    <w:rsid w:val="002E5670"/>
    <w:rsid w:val="002E5D61"/>
    <w:rsid w:val="002E5E30"/>
    <w:rsid w:val="002E68A6"/>
    <w:rsid w:val="002E7649"/>
    <w:rsid w:val="002E7DD4"/>
    <w:rsid w:val="002F0A6D"/>
    <w:rsid w:val="002F0E9C"/>
    <w:rsid w:val="002F2382"/>
    <w:rsid w:val="002F3340"/>
    <w:rsid w:val="002F4DA3"/>
    <w:rsid w:val="002F56DA"/>
    <w:rsid w:val="002F5726"/>
    <w:rsid w:val="002F578D"/>
    <w:rsid w:val="002F64D2"/>
    <w:rsid w:val="002F6D26"/>
    <w:rsid w:val="002F77FA"/>
    <w:rsid w:val="003007D4"/>
    <w:rsid w:val="00300D8D"/>
    <w:rsid w:val="003010BD"/>
    <w:rsid w:val="003035FD"/>
    <w:rsid w:val="00303F35"/>
    <w:rsid w:val="00305A66"/>
    <w:rsid w:val="00306075"/>
    <w:rsid w:val="0030693E"/>
    <w:rsid w:val="00306956"/>
    <w:rsid w:val="0031043B"/>
    <w:rsid w:val="003119CF"/>
    <w:rsid w:val="0031419A"/>
    <w:rsid w:val="00315F88"/>
    <w:rsid w:val="003163F0"/>
    <w:rsid w:val="00316408"/>
    <w:rsid w:val="0031706D"/>
    <w:rsid w:val="0031719C"/>
    <w:rsid w:val="00317797"/>
    <w:rsid w:val="00320281"/>
    <w:rsid w:val="00320F62"/>
    <w:rsid w:val="003211E6"/>
    <w:rsid w:val="00322288"/>
    <w:rsid w:val="00322C81"/>
    <w:rsid w:val="00322FCB"/>
    <w:rsid w:val="00323855"/>
    <w:rsid w:val="003256D0"/>
    <w:rsid w:val="00326510"/>
    <w:rsid w:val="0032668F"/>
    <w:rsid w:val="00332C12"/>
    <w:rsid w:val="00334680"/>
    <w:rsid w:val="00334956"/>
    <w:rsid w:val="003350C4"/>
    <w:rsid w:val="00335269"/>
    <w:rsid w:val="00335C10"/>
    <w:rsid w:val="00341AFD"/>
    <w:rsid w:val="00342FBE"/>
    <w:rsid w:val="0034308E"/>
    <w:rsid w:val="00343268"/>
    <w:rsid w:val="003438E2"/>
    <w:rsid w:val="0034391C"/>
    <w:rsid w:val="00343B87"/>
    <w:rsid w:val="003451EA"/>
    <w:rsid w:val="0034524E"/>
    <w:rsid w:val="00345400"/>
    <w:rsid w:val="00345E21"/>
    <w:rsid w:val="00345ECA"/>
    <w:rsid w:val="00346188"/>
    <w:rsid w:val="003476BC"/>
    <w:rsid w:val="00350655"/>
    <w:rsid w:val="003513C1"/>
    <w:rsid w:val="00351AB9"/>
    <w:rsid w:val="00351FF6"/>
    <w:rsid w:val="00352667"/>
    <w:rsid w:val="00352E0F"/>
    <w:rsid w:val="003534DA"/>
    <w:rsid w:val="00354528"/>
    <w:rsid w:val="00355F32"/>
    <w:rsid w:val="0035639A"/>
    <w:rsid w:val="00356741"/>
    <w:rsid w:val="00356A9F"/>
    <w:rsid w:val="00356C6E"/>
    <w:rsid w:val="00357D9C"/>
    <w:rsid w:val="00360792"/>
    <w:rsid w:val="00362373"/>
    <w:rsid w:val="00362861"/>
    <w:rsid w:val="0036352D"/>
    <w:rsid w:val="00367572"/>
    <w:rsid w:val="003709F4"/>
    <w:rsid w:val="0037132F"/>
    <w:rsid w:val="00371474"/>
    <w:rsid w:val="00372189"/>
    <w:rsid w:val="0037223F"/>
    <w:rsid w:val="00372E6E"/>
    <w:rsid w:val="0037381B"/>
    <w:rsid w:val="00373905"/>
    <w:rsid w:val="003741E7"/>
    <w:rsid w:val="00374D37"/>
    <w:rsid w:val="003753BB"/>
    <w:rsid w:val="003760CA"/>
    <w:rsid w:val="0037642A"/>
    <w:rsid w:val="00376682"/>
    <w:rsid w:val="00376ABF"/>
    <w:rsid w:val="00377710"/>
    <w:rsid w:val="00377C2B"/>
    <w:rsid w:val="00380266"/>
    <w:rsid w:val="00381EBC"/>
    <w:rsid w:val="00382146"/>
    <w:rsid w:val="003826C1"/>
    <w:rsid w:val="003839E0"/>
    <w:rsid w:val="00383D33"/>
    <w:rsid w:val="00384E24"/>
    <w:rsid w:val="00386ADB"/>
    <w:rsid w:val="00386DF8"/>
    <w:rsid w:val="00390764"/>
    <w:rsid w:val="00390920"/>
    <w:rsid w:val="00390AB4"/>
    <w:rsid w:val="00390F61"/>
    <w:rsid w:val="00391D8F"/>
    <w:rsid w:val="00394B3B"/>
    <w:rsid w:val="00395B3F"/>
    <w:rsid w:val="00396168"/>
    <w:rsid w:val="00396585"/>
    <w:rsid w:val="00397D98"/>
    <w:rsid w:val="00397E77"/>
    <w:rsid w:val="003A04D0"/>
    <w:rsid w:val="003A08FB"/>
    <w:rsid w:val="003A17E6"/>
    <w:rsid w:val="003A3F1B"/>
    <w:rsid w:val="003A4A14"/>
    <w:rsid w:val="003A7017"/>
    <w:rsid w:val="003B0147"/>
    <w:rsid w:val="003B0280"/>
    <w:rsid w:val="003B2A67"/>
    <w:rsid w:val="003B3BD7"/>
    <w:rsid w:val="003B4F0A"/>
    <w:rsid w:val="003B5F65"/>
    <w:rsid w:val="003B6348"/>
    <w:rsid w:val="003B6C4D"/>
    <w:rsid w:val="003C1F54"/>
    <w:rsid w:val="003C23F3"/>
    <w:rsid w:val="003C3D06"/>
    <w:rsid w:val="003C4EAB"/>
    <w:rsid w:val="003C5648"/>
    <w:rsid w:val="003C5775"/>
    <w:rsid w:val="003C641B"/>
    <w:rsid w:val="003C65C5"/>
    <w:rsid w:val="003C7AA6"/>
    <w:rsid w:val="003C7F29"/>
    <w:rsid w:val="003D0501"/>
    <w:rsid w:val="003D16CB"/>
    <w:rsid w:val="003D1F8B"/>
    <w:rsid w:val="003D2CCB"/>
    <w:rsid w:val="003D30D3"/>
    <w:rsid w:val="003D4266"/>
    <w:rsid w:val="003D45EA"/>
    <w:rsid w:val="003D475B"/>
    <w:rsid w:val="003D694B"/>
    <w:rsid w:val="003D759F"/>
    <w:rsid w:val="003E081A"/>
    <w:rsid w:val="003E3242"/>
    <w:rsid w:val="003E5713"/>
    <w:rsid w:val="003E5AB0"/>
    <w:rsid w:val="003E736F"/>
    <w:rsid w:val="003E7B33"/>
    <w:rsid w:val="003F10D2"/>
    <w:rsid w:val="003F17F6"/>
    <w:rsid w:val="003F1FA6"/>
    <w:rsid w:val="003F2493"/>
    <w:rsid w:val="003F2696"/>
    <w:rsid w:val="003F2E93"/>
    <w:rsid w:val="003F3182"/>
    <w:rsid w:val="003F36DC"/>
    <w:rsid w:val="003F5017"/>
    <w:rsid w:val="003F5057"/>
    <w:rsid w:val="003F5110"/>
    <w:rsid w:val="003F5802"/>
    <w:rsid w:val="00404EB7"/>
    <w:rsid w:val="004079BC"/>
    <w:rsid w:val="00410AA8"/>
    <w:rsid w:val="004124F3"/>
    <w:rsid w:val="004127FC"/>
    <w:rsid w:val="00413275"/>
    <w:rsid w:val="00417114"/>
    <w:rsid w:val="00417C1F"/>
    <w:rsid w:val="00420B9C"/>
    <w:rsid w:val="00420D4F"/>
    <w:rsid w:val="004233A8"/>
    <w:rsid w:val="00423DA7"/>
    <w:rsid w:val="004253FD"/>
    <w:rsid w:val="00425CA1"/>
    <w:rsid w:val="00425D4E"/>
    <w:rsid w:val="00426F51"/>
    <w:rsid w:val="00427247"/>
    <w:rsid w:val="0042791A"/>
    <w:rsid w:val="00430077"/>
    <w:rsid w:val="00430F35"/>
    <w:rsid w:val="0043126E"/>
    <w:rsid w:val="004334F7"/>
    <w:rsid w:val="0043376B"/>
    <w:rsid w:val="004352A1"/>
    <w:rsid w:val="004377AD"/>
    <w:rsid w:val="0043785C"/>
    <w:rsid w:val="00437E30"/>
    <w:rsid w:val="00437FCB"/>
    <w:rsid w:val="00441BD9"/>
    <w:rsid w:val="00442464"/>
    <w:rsid w:val="00442E56"/>
    <w:rsid w:val="004445DC"/>
    <w:rsid w:val="00444C8E"/>
    <w:rsid w:val="00445062"/>
    <w:rsid w:val="00446CAC"/>
    <w:rsid w:val="004472EB"/>
    <w:rsid w:val="00450E20"/>
    <w:rsid w:val="00450F78"/>
    <w:rsid w:val="00451B32"/>
    <w:rsid w:val="004524FA"/>
    <w:rsid w:val="004526F0"/>
    <w:rsid w:val="00453182"/>
    <w:rsid w:val="004540F1"/>
    <w:rsid w:val="00454935"/>
    <w:rsid w:val="00455D52"/>
    <w:rsid w:val="004567A2"/>
    <w:rsid w:val="00457634"/>
    <w:rsid w:val="004619B1"/>
    <w:rsid w:val="004633E7"/>
    <w:rsid w:val="004637F5"/>
    <w:rsid w:val="00465E9C"/>
    <w:rsid w:val="004668E0"/>
    <w:rsid w:val="00466EB0"/>
    <w:rsid w:val="004678A1"/>
    <w:rsid w:val="004678C7"/>
    <w:rsid w:val="00470B0C"/>
    <w:rsid w:val="0047103B"/>
    <w:rsid w:val="00471102"/>
    <w:rsid w:val="00472506"/>
    <w:rsid w:val="004725DA"/>
    <w:rsid w:val="004738A0"/>
    <w:rsid w:val="00473A32"/>
    <w:rsid w:val="00473FFF"/>
    <w:rsid w:val="0047451D"/>
    <w:rsid w:val="00474A5C"/>
    <w:rsid w:val="00477B3E"/>
    <w:rsid w:val="00481CC2"/>
    <w:rsid w:val="0048275C"/>
    <w:rsid w:val="00482CA6"/>
    <w:rsid w:val="004832B1"/>
    <w:rsid w:val="00483680"/>
    <w:rsid w:val="00483837"/>
    <w:rsid w:val="004841E4"/>
    <w:rsid w:val="00484A1F"/>
    <w:rsid w:val="00486F06"/>
    <w:rsid w:val="00487430"/>
    <w:rsid w:val="004903D5"/>
    <w:rsid w:val="004904A0"/>
    <w:rsid w:val="00490C2F"/>
    <w:rsid w:val="00490DD5"/>
    <w:rsid w:val="004916C7"/>
    <w:rsid w:val="00491E0A"/>
    <w:rsid w:val="0049320A"/>
    <w:rsid w:val="00493B5C"/>
    <w:rsid w:val="00494786"/>
    <w:rsid w:val="0049614F"/>
    <w:rsid w:val="00496906"/>
    <w:rsid w:val="00497BAA"/>
    <w:rsid w:val="00497F7C"/>
    <w:rsid w:val="004A050E"/>
    <w:rsid w:val="004A0C13"/>
    <w:rsid w:val="004A1699"/>
    <w:rsid w:val="004A1713"/>
    <w:rsid w:val="004A260E"/>
    <w:rsid w:val="004A39C9"/>
    <w:rsid w:val="004A6611"/>
    <w:rsid w:val="004A7CD9"/>
    <w:rsid w:val="004A7D40"/>
    <w:rsid w:val="004B0EC0"/>
    <w:rsid w:val="004B0F93"/>
    <w:rsid w:val="004B259D"/>
    <w:rsid w:val="004B272D"/>
    <w:rsid w:val="004B3590"/>
    <w:rsid w:val="004B390E"/>
    <w:rsid w:val="004B392A"/>
    <w:rsid w:val="004B4772"/>
    <w:rsid w:val="004B4D71"/>
    <w:rsid w:val="004B4DD1"/>
    <w:rsid w:val="004B57A1"/>
    <w:rsid w:val="004B6222"/>
    <w:rsid w:val="004B65D8"/>
    <w:rsid w:val="004B676A"/>
    <w:rsid w:val="004B7490"/>
    <w:rsid w:val="004C08D2"/>
    <w:rsid w:val="004C1184"/>
    <w:rsid w:val="004C15B7"/>
    <w:rsid w:val="004C1618"/>
    <w:rsid w:val="004C176F"/>
    <w:rsid w:val="004C1AF7"/>
    <w:rsid w:val="004C2A71"/>
    <w:rsid w:val="004C597A"/>
    <w:rsid w:val="004C5CF1"/>
    <w:rsid w:val="004C6288"/>
    <w:rsid w:val="004C6644"/>
    <w:rsid w:val="004C6CD8"/>
    <w:rsid w:val="004C6DE6"/>
    <w:rsid w:val="004C70C9"/>
    <w:rsid w:val="004C7461"/>
    <w:rsid w:val="004D1242"/>
    <w:rsid w:val="004D1348"/>
    <w:rsid w:val="004D4438"/>
    <w:rsid w:val="004D4DDF"/>
    <w:rsid w:val="004D73C1"/>
    <w:rsid w:val="004D78D1"/>
    <w:rsid w:val="004E010C"/>
    <w:rsid w:val="004E073F"/>
    <w:rsid w:val="004E1862"/>
    <w:rsid w:val="004E204C"/>
    <w:rsid w:val="004E210A"/>
    <w:rsid w:val="004E6EF6"/>
    <w:rsid w:val="004E734B"/>
    <w:rsid w:val="004F0778"/>
    <w:rsid w:val="004F2C28"/>
    <w:rsid w:val="004F40C9"/>
    <w:rsid w:val="004F45B3"/>
    <w:rsid w:val="004F4A7D"/>
    <w:rsid w:val="004F5FE3"/>
    <w:rsid w:val="004F61F2"/>
    <w:rsid w:val="004F66EE"/>
    <w:rsid w:val="00500044"/>
    <w:rsid w:val="005004B3"/>
    <w:rsid w:val="00501899"/>
    <w:rsid w:val="00502FF9"/>
    <w:rsid w:val="005036D5"/>
    <w:rsid w:val="0050405B"/>
    <w:rsid w:val="00504543"/>
    <w:rsid w:val="00504F8C"/>
    <w:rsid w:val="005060F2"/>
    <w:rsid w:val="00506CE6"/>
    <w:rsid w:val="00506FCA"/>
    <w:rsid w:val="00507014"/>
    <w:rsid w:val="0050735B"/>
    <w:rsid w:val="00507ADA"/>
    <w:rsid w:val="00507EBF"/>
    <w:rsid w:val="00507EC2"/>
    <w:rsid w:val="00507F49"/>
    <w:rsid w:val="005114F8"/>
    <w:rsid w:val="00511FFD"/>
    <w:rsid w:val="00512E1E"/>
    <w:rsid w:val="00513222"/>
    <w:rsid w:val="00513371"/>
    <w:rsid w:val="00513C4A"/>
    <w:rsid w:val="00514344"/>
    <w:rsid w:val="00516999"/>
    <w:rsid w:val="005202B0"/>
    <w:rsid w:val="005206EF"/>
    <w:rsid w:val="0052085D"/>
    <w:rsid w:val="005214D0"/>
    <w:rsid w:val="005216CA"/>
    <w:rsid w:val="00521753"/>
    <w:rsid w:val="00523005"/>
    <w:rsid w:val="00523B45"/>
    <w:rsid w:val="0052681F"/>
    <w:rsid w:val="00526A67"/>
    <w:rsid w:val="00526D79"/>
    <w:rsid w:val="005276D5"/>
    <w:rsid w:val="005278C1"/>
    <w:rsid w:val="00527AEF"/>
    <w:rsid w:val="005307B0"/>
    <w:rsid w:val="00531215"/>
    <w:rsid w:val="0053208C"/>
    <w:rsid w:val="005326FC"/>
    <w:rsid w:val="0053316B"/>
    <w:rsid w:val="00533383"/>
    <w:rsid w:val="005336BB"/>
    <w:rsid w:val="00534D5D"/>
    <w:rsid w:val="005376B7"/>
    <w:rsid w:val="005376BA"/>
    <w:rsid w:val="0054002A"/>
    <w:rsid w:val="00541D95"/>
    <w:rsid w:val="0054277C"/>
    <w:rsid w:val="0054357E"/>
    <w:rsid w:val="00543A39"/>
    <w:rsid w:val="00544C44"/>
    <w:rsid w:val="00547E01"/>
    <w:rsid w:val="00550989"/>
    <w:rsid w:val="00552177"/>
    <w:rsid w:val="00552699"/>
    <w:rsid w:val="0055379C"/>
    <w:rsid w:val="005541B2"/>
    <w:rsid w:val="00555452"/>
    <w:rsid w:val="00556621"/>
    <w:rsid w:val="005574F7"/>
    <w:rsid w:val="00557D2F"/>
    <w:rsid w:val="00561C69"/>
    <w:rsid w:val="00561E1C"/>
    <w:rsid w:val="005620C1"/>
    <w:rsid w:val="005624D2"/>
    <w:rsid w:val="00563845"/>
    <w:rsid w:val="00563DA3"/>
    <w:rsid w:val="00565349"/>
    <w:rsid w:val="00566752"/>
    <w:rsid w:val="005670BC"/>
    <w:rsid w:val="005677B8"/>
    <w:rsid w:val="005679E6"/>
    <w:rsid w:val="0057018E"/>
    <w:rsid w:val="005701A7"/>
    <w:rsid w:val="00572059"/>
    <w:rsid w:val="00574685"/>
    <w:rsid w:val="00575524"/>
    <w:rsid w:val="00575BAC"/>
    <w:rsid w:val="00575CFD"/>
    <w:rsid w:val="005773AD"/>
    <w:rsid w:val="00577A33"/>
    <w:rsid w:val="00580281"/>
    <w:rsid w:val="00580481"/>
    <w:rsid w:val="005805A1"/>
    <w:rsid w:val="00580772"/>
    <w:rsid w:val="00581A2F"/>
    <w:rsid w:val="005831D7"/>
    <w:rsid w:val="00583A60"/>
    <w:rsid w:val="00585248"/>
    <w:rsid w:val="005854A2"/>
    <w:rsid w:val="00585E42"/>
    <w:rsid w:val="00585E70"/>
    <w:rsid w:val="0058601D"/>
    <w:rsid w:val="0058708B"/>
    <w:rsid w:val="005878FA"/>
    <w:rsid w:val="0059105E"/>
    <w:rsid w:val="0059386E"/>
    <w:rsid w:val="005950FA"/>
    <w:rsid w:val="005953C4"/>
    <w:rsid w:val="00595DD6"/>
    <w:rsid w:val="00596FDB"/>
    <w:rsid w:val="0059787D"/>
    <w:rsid w:val="005A055A"/>
    <w:rsid w:val="005A05A4"/>
    <w:rsid w:val="005A0B5E"/>
    <w:rsid w:val="005A0F80"/>
    <w:rsid w:val="005A0F9D"/>
    <w:rsid w:val="005A130A"/>
    <w:rsid w:val="005A18CB"/>
    <w:rsid w:val="005A25FC"/>
    <w:rsid w:val="005A36BD"/>
    <w:rsid w:val="005A3A4D"/>
    <w:rsid w:val="005A4816"/>
    <w:rsid w:val="005A53BD"/>
    <w:rsid w:val="005A5E21"/>
    <w:rsid w:val="005A613E"/>
    <w:rsid w:val="005A626E"/>
    <w:rsid w:val="005A6DBD"/>
    <w:rsid w:val="005B2733"/>
    <w:rsid w:val="005B2EE5"/>
    <w:rsid w:val="005B586E"/>
    <w:rsid w:val="005B63D6"/>
    <w:rsid w:val="005B6731"/>
    <w:rsid w:val="005B733E"/>
    <w:rsid w:val="005B75C5"/>
    <w:rsid w:val="005C1259"/>
    <w:rsid w:val="005C1BB1"/>
    <w:rsid w:val="005C22ED"/>
    <w:rsid w:val="005C3539"/>
    <w:rsid w:val="005C358E"/>
    <w:rsid w:val="005C40C9"/>
    <w:rsid w:val="005C412E"/>
    <w:rsid w:val="005C4A10"/>
    <w:rsid w:val="005C518E"/>
    <w:rsid w:val="005C5890"/>
    <w:rsid w:val="005C5E33"/>
    <w:rsid w:val="005C61C5"/>
    <w:rsid w:val="005C65A3"/>
    <w:rsid w:val="005C6CE6"/>
    <w:rsid w:val="005C7C2D"/>
    <w:rsid w:val="005D15C0"/>
    <w:rsid w:val="005D168E"/>
    <w:rsid w:val="005D5EF4"/>
    <w:rsid w:val="005D6484"/>
    <w:rsid w:val="005D672B"/>
    <w:rsid w:val="005E03C0"/>
    <w:rsid w:val="005E09B2"/>
    <w:rsid w:val="005E1C58"/>
    <w:rsid w:val="005E25CF"/>
    <w:rsid w:val="005E2718"/>
    <w:rsid w:val="005E2899"/>
    <w:rsid w:val="005E4A6A"/>
    <w:rsid w:val="005E4EB6"/>
    <w:rsid w:val="005E53CB"/>
    <w:rsid w:val="005E5F4A"/>
    <w:rsid w:val="005E794B"/>
    <w:rsid w:val="005F02FF"/>
    <w:rsid w:val="005F0486"/>
    <w:rsid w:val="005F0B9B"/>
    <w:rsid w:val="005F0C42"/>
    <w:rsid w:val="005F4324"/>
    <w:rsid w:val="005F44E5"/>
    <w:rsid w:val="005F4CB2"/>
    <w:rsid w:val="005F4EBA"/>
    <w:rsid w:val="005F7CFB"/>
    <w:rsid w:val="00600534"/>
    <w:rsid w:val="00600BC9"/>
    <w:rsid w:val="00601B1B"/>
    <w:rsid w:val="00602484"/>
    <w:rsid w:val="00602EAD"/>
    <w:rsid w:val="0060394C"/>
    <w:rsid w:val="0060402C"/>
    <w:rsid w:val="00604060"/>
    <w:rsid w:val="00604116"/>
    <w:rsid w:val="006059F4"/>
    <w:rsid w:val="00610480"/>
    <w:rsid w:val="00610DAF"/>
    <w:rsid w:val="00610FED"/>
    <w:rsid w:val="00611C24"/>
    <w:rsid w:val="00611E7A"/>
    <w:rsid w:val="00613999"/>
    <w:rsid w:val="006159F1"/>
    <w:rsid w:val="00616130"/>
    <w:rsid w:val="00616377"/>
    <w:rsid w:val="006165B1"/>
    <w:rsid w:val="00617F38"/>
    <w:rsid w:val="00620253"/>
    <w:rsid w:val="006204FF"/>
    <w:rsid w:val="00620945"/>
    <w:rsid w:val="006213E7"/>
    <w:rsid w:val="00622508"/>
    <w:rsid w:val="00622538"/>
    <w:rsid w:val="00624D07"/>
    <w:rsid w:val="0062512B"/>
    <w:rsid w:val="006258F6"/>
    <w:rsid w:val="006261F1"/>
    <w:rsid w:val="006278B2"/>
    <w:rsid w:val="00627C98"/>
    <w:rsid w:val="00627EE4"/>
    <w:rsid w:val="006316D1"/>
    <w:rsid w:val="006319B7"/>
    <w:rsid w:val="00631A83"/>
    <w:rsid w:val="00632FD2"/>
    <w:rsid w:val="00633DAB"/>
    <w:rsid w:val="006358D4"/>
    <w:rsid w:val="006358F4"/>
    <w:rsid w:val="00636FCA"/>
    <w:rsid w:val="00637C6F"/>
    <w:rsid w:val="00640403"/>
    <w:rsid w:val="00641FB5"/>
    <w:rsid w:val="006421A9"/>
    <w:rsid w:val="00643909"/>
    <w:rsid w:val="00643AED"/>
    <w:rsid w:val="00644604"/>
    <w:rsid w:val="00647166"/>
    <w:rsid w:val="0064726B"/>
    <w:rsid w:val="00647DC2"/>
    <w:rsid w:val="00650ADB"/>
    <w:rsid w:val="00650B2F"/>
    <w:rsid w:val="00650DF2"/>
    <w:rsid w:val="006524D3"/>
    <w:rsid w:val="006539A7"/>
    <w:rsid w:val="006559B3"/>
    <w:rsid w:val="00655C44"/>
    <w:rsid w:val="006574B8"/>
    <w:rsid w:val="00657B0F"/>
    <w:rsid w:val="006600E2"/>
    <w:rsid w:val="00660864"/>
    <w:rsid w:val="00660BB9"/>
    <w:rsid w:val="00660FB7"/>
    <w:rsid w:val="00662256"/>
    <w:rsid w:val="00662A26"/>
    <w:rsid w:val="00662A62"/>
    <w:rsid w:val="006636F5"/>
    <w:rsid w:val="00663F0E"/>
    <w:rsid w:val="006648D3"/>
    <w:rsid w:val="00665EE8"/>
    <w:rsid w:val="00665F4C"/>
    <w:rsid w:val="00666558"/>
    <w:rsid w:val="00666B11"/>
    <w:rsid w:val="00667835"/>
    <w:rsid w:val="0066795A"/>
    <w:rsid w:val="00671906"/>
    <w:rsid w:val="0067202F"/>
    <w:rsid w:val="00673115"/>
    <w:rsid w:val="006739ED"/>
    <w:rsid w:val="006748CB"/>
    <w:rsid w:val="00674CB9"/>
    <w:rsid w:val="00676A80"/>
    <w:rsid w:val="00676E2D"/>
    <w:rsid w:val="006779BC"/>
    <w:rsid w:val="0068019D"/>
    <w:rsid w:val="006815AB"/>
    <w:rsid w:val="00682BB9"/>
    <w:rsid w:val="00682DBA"/>
    <w:rsid w:val="006832F7"/>
    <w:rsid w:val="00683873"/>
    <w:rsid w:val="006846B8"/>
    <w:rsid w:val="00684C37"/>
    <w:rsid w:val="00685456"/>
    <w:rsid w:val="006854CD"/>
    <w:rsid w:val="00685BFE"/>
    <w:rsid w:val="00690148"/>
    <w:rsid w:val="006918D8"/>
    <w:rsid w:val="006924AA"/>
    <w:rsid w:val="00692F59"/>
    <w:rsid w:val="00694F38"/>
    <w:rsid w:val="00695871"/>
    <w:rsid w:val="00695DA9"/>
    <w:rsid w:val="00696880"/>
    <w:rsid w:val="006A1418"/>
    <w:rsid w:val="006A18A7"/>
    <w:rsid w:val="006A2600"/>
    <w:rsid w:val="006A3703"/>
    <w:rsid w:val="006A5302"/>
    <w:rsid w:val="006A5CAA"/>
    <w:rsid w:val="006A6F6D"/>
    <w:rsid w:val="006A7B21"/>
    <w:rsid w:val="006B212A"/>
    <w:rsid w:val="006B3000"/>
    <w:rsid w:val="006B3521"/>
    <w:rsid w:val="006B45B9"/>
    <w:rsid w:val="006B58F2"/>
    <w:rsid w:val="006B5996"/>
    <w:rsid w:val="006B6BA9"/>
    <w:rsid w:val="006B6BD6"/>
    <w:rsid w:val="006B7292"/>
    <w:rsid w:val="006C0FDA"/>
    <w:rsid w:val="006C1777"/>
    <w:rsid w:val="006C1BFD"/>
    <w:rsid w:val="006C21BF"/>
    <w:rsid w:val="006C372D"/>
    <w:rsid w:val="006C3E45"/>
    <w:rsid w:val="006C406B"/>
    <w:rsid w:val="006C59A3"/>
    <w:rsid w:val="006C609B"/>
    <w:rsid w:val="006C75A4"/>
    <w:rsid w:val="006D033D"/>
    <w:rsid w:val="006D19B9"/>
    <w:rsid w:val="006D2D92"/>
    <w:rsid w:val="006D319F"/>
    <w:rsid w:val="006D3757"/>
    <w:rsid w:val="006D3E73"/>
    <w:rsid w:val="006D3F2D"/>
    <w:rsid w:val="006D5A3D"/>
    <w:rsid w:val="006D6B1A"/>
    <w:rsid w:val="006E0F94"/>
    <w:rsid w:val="006E104A"/>
    <w:rsid w:val="006E225E"/>
    <w:rsid w:val="006E2429"/>
    <w:rsid w:val="006E3732"/>
    <w:rsid w:val="006E3FEC"/>
    <w:rsid w:val="006E4835"/>
    <w:rsid w:val="006E4E07"/>
    <w:rsid w:val="006E5839"/>
    <w:rsid w:val="006E66A3"/>
    <w:rsid w:val="006E68C1"/>
    <w:rsid w:val="006E6FB1"/>
    <w:rsid w:val="006F0EE3"/>
    <w:rsid w:val="006F14C9"/>
    <w:rsid w:val="006F1AA1"/>
    <w:rsid w:val="006F441F"/>
    <w:rsid w:val="006F660A"/>
    <w:rsid w:val="006F6EF8"/>
    <w:rsid w:val="006F7437"/>
    <w:rsid w:val="006F7857"/>
    <w:rsid w:val="00701541"/>
    <w:rsid w:val="007017C6"/>
    <w:rsid w:val="00701CFB"/>
    <w:rsid w:val="007041B2"/>
    <w:rsid w:val="0070492A"/>
    <w:rsid w:val="00705BEC"/>
    <w:rsid w:val="00707F7C"/>
    <w:rsid w:val="007100B8"/>
    <w:rsid w:val="00710AFB"/>
    <w:rsid w:val="007112F9"/>
    <w:rsid w:val="00711B00"/>
    <w:rsid w:val="007131D6"/>
    <w:rsid w:val="00713877"/>
    <w:rsid w:val="00713AA7"/>
    <w:rsid w:val="00713D42"/>
    <w:rsid w:val="00714B15"/>
    <w:rsid w:val="007169F2"/>
    <w:rsid w:val="00716CCF"/>
    <w:rsid w:val="00717138"/>
    <w:rsid w:val="007174C2"/>
    <w:rsid w:val="00717544"/>
    <w:rsid w:val="00722766"/>
    <w:rsid w:val="0072341C"/>
    <w:rsid w:val="00723A95"/>
    <w:rsid w:val="007268E3"/>
    <w:rsid w:val="00727248"/>
    <w:rsid w:val="00727FB2"/>
    <w:rsid w:val="00730CDC"/>
    <w:rsid w:val="00731CCC"/>
    <w:rsid w:val="00731E8D"/>
    <w:rsid w:val="007332C8"/>
    <w:rsid w:val="007334DB"/>
    <w:rsid w:val="00734738"/>
    <w:rsid w:val="007352D2"/>
    <w:rsid w:val="007409D7"/>
    <w:rsid w:val="007412E3"/>
    <w:rsid w:val="00741FE0"/>
    <w:rsid w:val="007425C7"/>
    <w:rsid w:val="0074358B"/>
    <w:rsid w:val="00743785"/>
    <w:rsid w:val="00745511"/>
    <w:rsid w:val="007462CB"/>
    <w:rsid w:val="007477EE"/>
    <w:rsid w:val="007508CF"/>
    <w:rsid w:val="00750FCE"/>
    <w:rsid w:val="007511CB"/>
    <w:rsid w:val="00751A09"/>
    <w:rsid w:val="00751C8A"/>
    <w:rsid w:val="00752908"/>
    <w:rsid w:val="00752A5A"/>
    <w:rsid w:val="007539B1"/>
    <w:rsid w:val="00753E1F"/>
    <w:rsid w:val="00754C7B"/>
    <w:rsid w:val="00757D05"/>
    <w:rsid w:val="00760C6D"/>
    <w:rsid w:val="0076136A"/>
    <w:rsid w:val="00762116"/>
    <w:rsid w:val="0076368C"/>
    <w:rsid w:val="00763AC4"/>
    <w:rsid w:val="00767A5A"/>
    <w:rsid w:val="00771843"/>
    <w:rsid w:val="00771B0E"/>
    <w:rsid w:val="00772850"/>
    <w:rsid w:val="00772D98"/>
    <w:rsid w:val="00772E12"/>
    <w:rsid w:val="00773167"/>
    <w:rsid w:val="00774460"/>
    <w:rsid w:val="007757EE"/>
    <w:rsid w:val="00775EFC"/>
    <w:rsid w:val="0077647F"/>
    <w:rsid w:val="00776CA3"/>
    <w:rsid w:val="00780283"/>
    <w:rsid w:val="00780C18"/>
    <w:rsid w:val="00783193"/>
    <w:rsid w:val="007839A8"/>
    <w:rsid w:val="00783B12"/>
    <w:rsid w:val="00783BA8"/>
    <w:rsid w:val="00784247"/>
    <w:rsid w:val="007858A8"/>
    <w:rsid w:val="00785BD5"/>
    <w:rsid w:val="00787111"/>
    <w:rsid w:val="00787AC3"/>
    <w:rsid w:val="00787C8F"/>
    <w:rsid w:val="0079058C"/>
    <w:rsid w:val="007914C3"/>
    <w:rsid w:val="00791FE6"/>
    <w:rsid w:val="007934D1"/>
    <w:rsid w:val="00793956"/>
    <w:rsid w:val="00794413"/>
    <w:rsid w:val="00794B05"/>
    <w:rsid w:val="00795061"/>
    <w:rsid w:val="007952C1"/>
    <w:rsid w:val="0079570D"/>
    <w:rsid w:val="00795EAE"/>
    <w:rsid w:val="00796062"/>
    <w:rsid w:val="00796A7B"/>
    <w:rsid w:val="00797886"/>
    <w:rsid w:val="007A2379"/>
    <w:rsid w:val="007A38B7"/>
    <w:rsid w:val="007A42BD"/>
    <w:rsid w:val="007A4832"/>
    <w:rsid w:val="007A503E"/>
    <w:rsid w:val="007A5D3A"/>
    <w:rsid w:val="007A6C13"/>
    <w:rsid w:val="007A70DF"/>
    <w:rsid w:val="007A7613"/>
    <w:rsid w:val="007B04A5"/>
    <w:rsid w:val="007B1234"/>
    <w:rsid w:val="007B247E"/>
    <w:rsid w:val="007B34F2"/>
    <w:rsid w:val="007B547C"/>
    <w:rsid w:val="007B689C"/>
    <w:rsid w:val="007B6C37"/>
    <w:rsid w:val="007B73DF"/>
    <w:rsid w:val="007B76E4"/>
    <w:rsid w:val="007B7E25"/>
    <w:rsid w:val="007C0AD0"/>
    <w:rsid w:val="007C131F"/>
    <w:rsid w:val="007C2621"/>
    <w:rsid w:val="007C3CFC"/>
    <w:rsid w:val="007C3F79"/>
    <w:rsid w:val="007C46E9"/>
    <w:rsid w:val="007C4807"/>
    <w:rsid w:val="007C7C2D"/>
    <w:rsid w:val="007D0A40"/>
    <w:rsid w:val="007D4145"/>
    <w:rsid w:val="007D4F69"/>
    <w:rsid w:val="007D5D17"/>
    <w:rsid w:val="007D68E9"/>
    <w:rsid w:val="007D6DD1"/>
    <w:rsid w:val="007E0E93"/>
    <w:rsid w:val="007E1774"/>
    <w:rsid w:val="007E1CD0"/>
    <w:rsid w:val="007E20AE"/>
    <w:rsid w:val="007E30AE"/>
    <w:rsid w:val="007E3C78"/>
    <w:rsid w:val="007E51E4"/>
    <w:rsid w:val="007E59FD"/>
    <w:rsid w:val="007E6ED4"/>
    <w:rsid w:val="007E75E2"/>
    <w:rsid w:val="007F008E"/>
    <w:rsid w:val="007F0478"/>
    <w:rsid w:val="007F099C"/>
    <w:rsid w:val="007F0C35"/>
    <w:rsid w:val="007F1354"/>
    <w:rsid w:val="007F4BA1"/>
    <w:rsid w:val="007F53BE"/>
    <w:rsid w:val="007F5F26"/>
    <w:rsid w:val="007F72A0"/>
    <w:rsid w:val="007F79B8"/>
    <w:rsid w:val="007F79C0"/>
    <w:rsid w:val="008004C1"/>
    <w:rsid w:val="0080079E"/>
    <w:rsid w:val="00800DBD"/>
    <w:rsid w:val="0080201E"/>
    <w:rsid w:val="00802690"/>
    <w:rsid w:val="00802B3F"/>
    <w:rsid w:val="00802D93"/>
    <w:rsid w:val="00802EEF"/>
    <w:rsid w:val="00803D83"/>
    <w:rsid w:val="008063CE"/>
    <w:rsid w:val="00807329"/>
    <w:rsid w:val="00807DC7"/>
    <w:rsid w:val="00811791"/>
    <w:rsid w:val="00812434"/>
    <w:rsid w:val="008135BC"/>
    <w:rsid w:val="00813B7C"/>
    <w:rsid w:val="00815645"/>
    <w:rsid w:val="008161E3"/>
    <w:rsid w:val="00816972"/>
    <w:rsid w:val="00816EBB"/>
    <w:rsid w:val="008171C4"/>
    <w:rsid w:val="008202FB"/>
    <w:rsid w:val="0082197F"/>
    <w:rsid w:val="00821C5C"/>
    <w:rsid w:val="0082246A"/>
    <w:rsid w:val="00822692"/>
    <w:rsid w:val="008241D2"/>
    <w:rsid w:val="00825DA4"/>
    <w:rsid w:val="008264B5"/>
    <w:rsid w:val="00826C4F"/>
    <w:rsid w:val="00827698"/>
    <w:rsid w:val="00827D93"/>
    <w:rsid w:val="00827E98"/>
    <w:rsid w:val="008301A3"/>
    <w:rsid w:val="008316CA"/>
    <w:rsid w:val="00832794"/>
    <w:rsid w:val="00834DB6"/>
    <w:rsid w:val="00836BA1"/>
    <w:rsid w:val="00840267"/>
    <w:rsid w:val="00840929"/>
    <w:rsid w:val="00840BE2"/>
    <w:rsid w:val="00842557"/>
    <w:rsid w:val="0084309D"/>
    <w:rsid w:val="00844682"/>
    <w:rsid w:val="00846438"/>
    <w:rsid w:val="00846C4B"/>
    <w:rsid w:val="008472D3"/>
    <w:rsid w:val="008478AC"/>
    <w:rsid w:val="00847909"/>
    <w:rsid w:val="00847E6F"/>
    <w:rsid w:val="0085127A"/>
    <w:rsid w:val="00851563"/>
    <w:rsid w:val="0085188B"/>
    <w:rsid w:val="0085248A"/>
    <w:rsid w:val="00853308"/>
    <w:rsid w:val="008555A3"/>
    <w:rsid w:val="00856340"/>
    <w:rsid w:val="00861650"/>
    <w:rsid w:val="00862094"/>
    <w:rsid w:val="008626B6"/>
    <w:rsid w:val="00863601"/>
    <w:rsid w:val="008642E8"/>
    <w:rsid w:val="0086510C"/>
    <w:rsid w:val="008656CF"/>
    <w:rsid w:val="00865A9A"/>
    <w:rsid w:val="00867C3E"/>
    <w:rsid w:val="00870072"/>
    <w:rsid w:val="00871ABF"/>
    <w:rsid w:val="008721BD"/>
    <w:rsid w:val="00872332"/>
    <w:rsid w:val="008735D9"/>
    <w:rsid w:val="008736EA"/>
    <w:rsid w:val="00873742"/>
    <w:rsid w:val="008759EB"/>
    <w:rsid w:val="0087695A"/>
    <w:rsid w:val="008777C0"/>
    <w:rsid w:val="00881F35"/>
    <w:rsid w:val="00884A72"/>
    <w:rsid w:val="0088574A"/>
    <w:rsid w:val="00885FB5"/>
    <w:rsid w:val="00886965"/>
    <w:rsid w:val="00887DD8"/>
    <w:rsid w:val="00890FB3"/>
    <w:rsid w:val="008915F0"/>
    <w:rsid w:val="00891E31"/>
    <w:rsid w:val="00892EC7"/>
    <w:rsid w:val="00893696"/>
    <w:rsid w:val="008936CB"/>
    <w:rsid w:val="00893FDA"/>
    <w:rsid w:val="0089457E"/>
    <w:rsid w:val="00895BE2"/>
    <w:rsid w:val="008A0D6D"/>
    <w:rsid w:val="008A0FC1"/>
    <w:rsid w:val="008A1716"/>
    <w:rsid w:val="008A1867"/>
    <w:rsid w:val="008A2B25"/>
    <w:rsid w:val="008A309A"/>
    <w:rsid w:val="008A30CB"/>
    <w:rsid w:val="008A42C0"/>
    <w:rsid w:val="008A45EF"/>
    <w:rsid w:val="008A4716"/>
    <w:rsid w:val="008A4A4C"/>
    <w:rsid w:val="008A4D5C"/>
    <w:rsid w:val="008A593F"/>
    <w:rsid w:val="008A78E5"/>
    <w:rsid w:val="008B0751"/>
    <w:rsid w:val="008B1C1F"/>
    <w:rsid w:val="008B1E8E"/>
    <w:rsid w:val="008B2569"/>
    <w:rsid w:val="008B2F34"/>
    <w:rsid w:val="008B32F7"/>
    <w:rsid w:val="008B3310"/>
    <w:rsid w:val="008B419A"/>
    <w:rsid w:val="008B42BF"/>
    <w:rsid w:val="008B4C7C"/>
    <w:rsid w:val="008B5EF9"/>
    <w:rsid w:val="008B6466"/>
    <w:rsid w:val="008B7121"/>
    <w:rsid w:val="008B7245"/>
    <w:rsid w:val="008C0EEA"/>
    <w:rsid w:val="008C1FB6"/>
    <w:rsid w:val="008C3614"/>
    <w:rsid w:val="008C4705"/>
    <w:rsid w:val="008C5113"/>
    <w:rsid w:val="008C5298"/>
    <w:rsid w:val="008C59D2"/>
    <w:rsid w:val="008C63FE"/>
    <w:rsid w:val="008C6A94"/>
    <w:rsid w:val="008C6D09"/>
    <w:rsid w:val="008D02B8"/>
    <w:rsid w:val="008D0407"/>
    <w:rsid w:val="008D114E"/>
    <w:rsid w:val="008D4B4D"/>
    <w:rsid w:val="008D5E9A"/>
    <w:rsid w:val="008E0016"/>
    <w:rsid w:val="008E02D7"/>
    <w:rsid w:val="008E0FDF"/>
    <w:rsid w:val="008E2A8F"/>
    <w:rsid w:val="008E331E"/>
    <w:rsid w:val="008E3919"/>
    <w:rsid w:val="008E5644"/>
    <w:rsid w:val="008F115B"/>
    <w:rsid w:val="008F2AB1"/>
    <w:rsid w:val="008F2FA9"/>
    <w:rsid w:val="008F3318"/>
    <w:rsid w:val="008F3813"/>
    <w:rsid w:val="008F4BF9"/>
    <w:rsid w:val="008F5506"/>
    <w:rsid w:val="008F6087"/>
    <w:rsid w:val="008F6291"/>
    <w:rsid w:val="008F684D"/>
    <w:rsid w:val="008F72E8"/>
    <w:rsid w:val="008F751E"/>
    <w:rsid w:val="008F7FC9"/>
    <w:rsid w:val="0090145B"/>
    <w:rsid w:val="00901A7D"/>
    <w:rsid w:val="00901BF7"/>
    <w:rsid w:val="00903B71"/>
    <w:rsid w:val="00904A51"/>
    <w:rsid w:val="00905478"/>
    <w:rsid w:val="00905AD9"/>
    <w:rsid w:val="00905C02"/>
    <w:rsid w:val="00906453"/>
    <w:rsid w:val="009078A9"/>
    <w:rsid w:val="00907A5E"/>
    <w:rsid w:val="00907F66"/>
    <w:rsid w:val="009104DD"/>
    <w:rsid w:val="009107DE"/>
    <w:rsid w:val="009112EA"/>
    <w:rsid w:val="00911D9F"/>
    <w:rsid w:val="0091246D"/>
    <w:rsid w:val="00912CD5"/>
    <w:rsid w:val="00913868"/>
    <w:rsid w:val="00913BD0"/>
    <w:rsid w:val="009154DA"/>
    <w:rsid w:val="00915AD2"/>
    <w:rsid w:val="00917606"/>
    <w:rsid w:val="009201CF"/>
    <w:rsid w:val="0092049A"/>
    <w:rsid w:val="00921369"/>
    <w:rsid w:val="00924867"/>
    <w:rsid w:val="009250ED"/>
    <w:rsid w:val="00927344"/>
    <w:rsid w:val="009321D6"/>
    <w:rsid w:val="009324B3"/>
    <w:rsid w:val="009331F4"/>
    <w:rsid w:val="00933803"/>
    <w:rsid w:val="009345E6"/>
    <w:rsid w:val="0093651B"/>
    <w:rsid w:val="00936CB2"/>
    <w:rsid w:val="009371D7"/>
    <w:rsid w:val="00937548"/>
    <w:rsid w:val="00940632"/>
    <w:rsid w:val="00940741"/>
    <w:rsid w:val="0094074E"/>
    <w:rsid w:val="0094143A"/>
    <w:rsid w:val="00941BEA"/>
    <w:rsid w:val="0094258E"/>
    <w:rsid w:val="00942D56"/>
    <w:rsid w:val="00943B63"/>
    <w:rsid w:val="00943C78"/>
    <w:rsid w:val="009440AD"/>
    <w:rsid w:val="009456DA"/>
    <w:rsid w:val="0094679B"/>
    <w:rsid w:val="00947D50"/>
    <w:rsid w:val="00947F74"/>
    <w:rsid w:val="00950FE6"/>
    <w:rsid w:val="0095107D"/>
    <w:rsid w:val="00952280"/>
    <w:rsid w:val="00953E44"/>
    <w:rsid w:val="00953E96"/>
    <w:rsid w:val="00954119"/>
    <w:rsid w:val="00954291"/>
    <w:rsid w:val="009545F3"/>
    <w:rsid w:val="00960A96"/>
    <w:rsid w:val="009620B8"/>
    <w:rsid w:val="00963F67"/>
    <w:rsid w:val="00964124"/>
    <w:rsid w:val="0096447D"/>
    <w:rsid w:val="00964805"/>
    <w:rsid w:val="00964B93"/>
    <w:rsid w:val="00964ED8"/>
    <w:rsid w:val="00965161"/>
    <w:rsid w:val="009655AF"/>
    <w:rsid w:val="00965629"/>
    <w:rsid w:val="00965832"/>
    <w:rsid w:val="00966169"/>
    <w:rsid w:val="00966ABE"/>
    <w:rsid w:val="00967374"/>
    <w:rsid w:val="0097034C"/>
    <w:rsid w:val="00971581"/>
    <w:rsid w:val="009751C2"/>
    <w:rsid w:val="009769EA"/>
    <w:rsid w:val="00976C47"/>
    <w:rsid w:val="00977FC1"/>
    <w:rsid w:val="009816B8"/>
    <w:rsid w:val="00981D88"/>
    <w:rsid w:val="009822A1"/>
    <w:rsid w:val="00982787"/>
    <w:rsid w:val="009828DE"/>
    <w:rsid w:val="0098548A"/>
    <w:rsid w:val="00986DEF"/>
    <w:rsid w:val="0098747A"/>
    <w:rsid w:val="00987961"/>
    <w:rsid w:val="00991E07"/>
    <w:rsid w:val="00993635"/>
    <w:rsid w:val="00993830"/>
    <w:rsid w:val="00993898"/>
    <w:rsid w:val="009939BC"/>
    <w:rsid w:val="009940E3"/>
    <w:rsid w:val="009945C9"/>
    <w:rsid w:val="0099468F"/>
    <w:rsid w:val="0099475C"/>
    <w:rsid w:val="009952E0"/>
    <w:rsid w:val="00997B94"/>
    <w:rsid w:val="009A10D0"/>
    <w:rsid w:val="009A1F21"/>
    <w:rsid w:val="009A278F"/>
    <w:rsid w:val="009A3E5E"/>
    <w:rsid w:val="009B1D90"/>
    <w:rsid w:val="009B230F"/>
    <w:rsid w:val="009B33B9"/>
    <w:rsid w:val="009B3FC8"/>
    <w:rsid w:val="009B4363"/>
    <w:rsid w:val="009B47B2"/>
    <w:rsid w:val="009B5E02"/>
    <w:rsid w:val="009B70D8"/>
    <w:rsid w:val="009B7F15"/>
    <w:rsid w:val="009C1036"/>
    <w:rsid w:val="009C12A5"/>
    <w:rsid w:val="009C1369"/>
    <w:rsid w:val="009C20E4"/>
    <w:rsid w:val="009C3DFD"/>
    <w:rsid w:val="009C46D0"/>
    <w:rsid w:val="009C4B6D"/>
    <w:rsid w:val="009C5270"/>
    <w:rsid w:val="009C5974"/>
    <w:rsid w:val="009C64C3"/>
    <w:rsid w:val="009C6F18"/>
    <w:rsid w:val="009C7CC6"/>
    <w:rsid w:val="009D0880"/>
    <w:rsid w:val="009D09BF"/>
    <w:rsid w:val="009D0CB6"/>
    <w:rsid w:val="009D14B4"/>
    <w:rsid w:val="009D1916"/>
    <w:rsid w:val="009D2EDD"/>
    <w:rsid w:val="009D2EEE"/>
    <w:rsid w:val="009D3365"/>
    <w:rsid w:val="009D4197"/>
    <w:rsid w:val="009D4D77"/>
    <w:rsid w:val="009D590B"/>
    <w:rsid w:val="009D70AC"/>
    <w:rsid w:val="009E1C10"/>
    <w:rsid w:val="009E2B2A"/>
    <w:rsid w:val="009E3C7C"/>
    <w:rsid w:val="009E5611"/>
    <w:rsid w:val="009E5CBC"/>
    <w:rsid w:val="009E6992"/>
    <w:rsid w:val="009E74B6"/>
    <w:rsid w:val="009E7837"/>
    <w:rsid w:val="009F0320"/>
    <w:rsid w:val="009F1ADA"/>
    <w:rsid w:val="009F221F"/>
    <w:rsid w:val="009F2562"/>
    <w:rsid w:val="009F2BC2"/>
    <w:rsid w:val="009F3391"/>
    <w:rsid w:val="009F33AD"/>
    <w:rsid w:val="009F40D5"/>
    <w:rsid w:val="009F4EFA"/>
    <w:rsid w:val="009F5808"/>
    <w:rsid w:val="009F6184"/>
    <w:rsid w:val="009F6E0A"/>
    <w:rsid w:val="00A01658"/>
    <w:rsid w:val="00A01793"/>
    <w:rsid w:val="00A02293"/>
    <w:rsid w:val="00A03679"/>
    <w:rsid w:val="00A04018"/>
    <w:rsid w:val="00A04043"/>
    <w:rsid w:val="00A073F4"/>
    <w:rsid w:val="00A0799A"/>
    <w:rsid w:val="00A07A55"/>
    <w:rsid w:val="00A07E32"/>
    <w:rsid w:val="00A105BC"/>
    <w:rsid w:val="00A114C4"/>
    <w:rsid w:val="00A126F3"/>
    <w:rsid w:val="00A12DA7"/>
    <w:rsid w:val="00A1592D"/>
    <w:rsid w:val="00A16350"/>
    <w:rsid w:val="00A16949"/>
    <w:rsid w:val="00A16D4A"/>
    <w:rsid w:val="00A16E54"/>
    <w:rsid w:val="00A17864"/>
    <w:rsid w:val="00A23AAA"/>
    <w:rsid w:val="00A24E2F"/>
    <w:rsid w:val="00A2508D"/>
    <w:rsid w:val="00A2655D"/>
    <w:rsid w:val="00A268EE"/>
    <w:rsid w:val="00A27165"/>
    <w:rsid w:val="00A31179"/>
    <w:rsid w:val="00A31D24"/>
    <w:rsid w:val="00A32763"/>
    <w:rsid w:val="00A32CC8"/>
    <w:rsid w:val="00A35F01"/>
    <w:rsid w:val="00A36772"/>
    <w:rsid w:val="00A3705B"/>
    <w:rsid w:val="00A402FE"/>
    <w:rsid w:val="00A414D2"/>
    <w:rsid w:val="00A41C7C"/>
    <w:rsid w:val="00A431F6"/>
    <w:rsid w:val="00A4446A"/>
    <w:rsid w:val="00A45315"/>
    <w:rsid w:val="00A470BE"/>
    <w:rsid w:val="00A506E5"/>
    <w:rsid w:val="00A5075D"/>
    <w:rsid w:val="00A50B11"/>
    <w:rsid w:val="00A5142D"/>
    <w:rsid w:val="00A519F3"/>
    <w:rsid w:val="00A5355D"/>
    <w:rsid w:val="00A54345"/>
    <w:rsid w:val="00A5476B"/>
    <w:rsid w:val="00A611DB"/>
    <w:rsid w:val="00A6145F"/>
    <w:rsid w:val="00A61943"/>
    <w:rsid w:val="00A61EAE"/>
    <w:rsid w:val="00A623CD"/>
    <w:rsid w:val="00A63B22"/>
    <w:rsid w:val="00A671E1"/>
    <w:rsid w:val="00A7154B"/>
    <w:rsid w:val="00A7180F"/>
    <w:rsid w:val="00A71FB2"/>
    <w:rsid w:val="00A72042"/>
    <w:rsid w:val="00A73E45"/>
    <w:rsid w:val="00A747A0"/>
    <w:rsid w:val="00A7493A"/>
    <w:rsid w:val="00A75EB8"/>
    <w:rsid w:val="00A80B63"/>
    <w:rsid w:val="00A814FD"/>
    <w:rsid w:val="00A81806"/>
    <w:rsid w:val="00A82268"/>
    <w:rsid w:val="00A823B5"/>
    <w:rsid w:val="00A82C18"/>
    <w:rsid w:val="00A82C40"/>
    <w:rsid w:val="00A82E00"/>
    <w:rsid w:val="00A83021"/>
    <w:rsid w:val="00A83451"/>
    <w:rsid w:val="00A84C98"/>
    <w:rsid w:val="00A84DC3"/>
    <w:rsid w:val="00A85E8B"/>
    <w:rsid w:val="00A86FEF"/>
    <w:rsid w:val="00A8733F"/>
    <w:rsid w:val="00A90062"/>
    <w:rsid w:val="00A901BD"/>
    <w:rsid w:val="00A90E91"/>
    <w:rsid w:val="00A9253D"/>
    <w:rsid w:val="00A92F2F"/>
    <w:rsid w:val="00A93144"/>
    <w:rsid w:val="00A94146"/>
    <w:rsid w:val="00A941DE"/>
    <w:rsid w:val="00AA0AAA"/>
    <w:rsid w:val="00AA164C"/>
    <w:rsid w:val="00AA2AB6"/>
    <w:rsid w:val="00AA2CBE"/>
    <w:rsid w:val="00AA359E"/>
    <w:rsid w:val="00AA386F"/>
    <w:rsid w:val="00AA46C3"/>
    <w:rsid w:val="00AA6839"/>
    <w:rsid w:val="00AB0199"/>
    <w:rsid w:val="00AB0CE0"/>
    <w:rsid w:val="00AB2285"/>
    <w:rsid w:val="00AB3A68"/>
    <w:rsid w:val="00AB40B1"/>
    <w:rsid w:val="00AB4162"/>
    <w:rsid w:val="00AB4AB5"/>
    <w:rsid w:val="00AB5CFE"/>
    <w:rsid w:val="00AB624F"/>
    <w:rsid w:val="00AB648D"/>
    <w:rsid w:val="00AB724C"/>
    <w:rsid w:val="00AB7638"/>
    <w:rsid w:val="00AC0241"/>
    <w:rsid w:val="00AC14AD"/>
    <w:rsid w:val="00AC2275"/>
    <w:rsid w:val="00AC29D6"/>
    <w:rsid w:val="00AC318B"/>
    <w:rsid w:val="00AC43F6"/>
    <w:rsid w:val="00AC4B4A"/>
    <w:rsid w:val="00AC5BC6"/>
    <w:rsid w:val="00AC606B"/>
    <w:rsid w:val="00AC78AB"/>
    <w:rsid w:val="00AD01B0"/>
    <w:rsid w:val="00AD344E"/>
    <w:rsid w:val="00AD3BB0"/>
    <w:rsid w:val="00AD4F16"/>
    <w:rsid w:val="00AD5BC2"/>
    <w:rsid w:val="00AD63D4"/>
    <w:rsid w:val="00AD651D"/>
    <w:rsid w:val="00AD704D"/>
    <w:rsid w:val="00AE01BB"/>
    <w:rsid w:val="00AE1EEC"/>
    <w:rsid w:val="00AE1F18"/>
    <w:rsid w:val="00AE1F98"/>
    <w:rsid w:val="00AE21D1"/>
    <w:rsid w:val="00AE47C6"/>
    <w:rsid w:val="00AE50AB"/>
    <w:rsid w:val="00AE5192"/>
    <w:rsid w:val="00AE7006"/>
    <w:rsid w:val="00AE779C"/>
    <w:rsid w:val="00AE7D2A"/>
    <w:rsid w:val="00AF1521"/>
    <w:rsid w:val="00AF283F"/>
    <w:rsid w:val="00AF5A1D"/>
    <w:rsid w:val="00AF5FB7"/>
    <w:rsid w:val="00AF6295"/>
    <w:rsid w:val="00B00AF5"/>
    <w:rsid w:val="00B00BC5"/>
    <w:rsid w:val="00B02392"/>
    <w:rsid w:val="00B02767"/>
    <w:rsid w:val="00B0377A"/>
    <w:rsid w:val="00B038B4"/>
    <w:rsid w:val="00B03B23"/>
    <w:rsid w:val="00B0421D"/>
    <w:rsid w:val="00B045D0"/>
    <w:rsid w:val="00B05BB0"/>
    <w:rsid w:val="00B06278"/>
    <w:rsid w:val="00B06C9B"/>
    <w:rsid w:val="00B07FEC"/>
    <w:rsid w:val="00B10821"/>
    <w:rsid w:val="00B11050"/>
    <w:rsid w:val="00B11541"/>
    <w:rsid w:val="00B1228D"/>
    <w:rsid w:val="00B126F3"/>
    <w:rsid w:val="00B13356"/>
    <w:rsid w:val="00B13E33"/>
    <w:rsid w:val="00B14D35"/>
    <w:rsid w:val="00B15666"/>
    <w:rsid w:val="00B17400"/>
    <w:rsid w:val="00B1745A"/>
    <w:rsid w:val="00B20FFF"/>
    <w:rsid w:val="00B21086"/>
    <w:rsid w:val="00B21504"/>
    <w:rsid w:val="00B22087"/>
    <w:rsid w:val="00B22112"/>
    <w:rsid w:val="00B2320C"/>
    <w:rsid w:val="00B243BA"/>
    <w:rsid w:val="00B24896"/>
    <w:rsid w:val="00B25BA0"/>
    <w:rsid w:val="00B25DAC"/>
    <w:rsid w:val="00B2718A"/>
    <w:rsid w:val="00B303E8"/>
    <w:rsid w:val="00B309BF"/>
    <w:rsid w:val="00B30FAC"/>
    <w:rsid w:val="00B333DC"/>
    <w:rsid w:val="00B33727"/>
    <w:rsid w:val="00B338EE"/>
    <w:rsid w:val="00B33FDE"/>
    <w:rsid w:val="00B354E0"/>
    <w:rsid w:val="00B35A79"/>
    <w:rsid w:val="00B360FF"/>
    <w:rsid w:val="00B41C1C"/>
    <w:rsid w:val="00B42F04"/>
    <w:rsid w:val="00B43C6B"/>
    <w:rsid w:val="00B4500D"/>
    <w:rsid w:val="00B46171"/>
    <w:rsid w:val="00B46344"/>
    <w:rsid w:val="00B468A9"/>
    <w:rsid w:val="00B53017"/>
    <w:rsid w:val="00B53E63"/>
    <w:rsid w:val="00B54841"/>
    <w:rsid w:val="00B54A0C"/>
    <w:rsid w:val="00B55E39"/>
    <w:rsid w:val="00B566F9"/>
    <w:rsid w:val="00B57D90"/>
    <w:rsid w:val="00B60328"/>
    <w:rsid w:val="00B61778"/>
    <w:rsid w:val="00B61D39"/>
    <w:rsid w:val="00B61F3F"/>
    <w:rsid w:val="00B62578"/>
    <w:rsid w:val="00B62B31"/>
    <w:rsid w:val="00B634F0"/>
    <w:rsid w:val="00B65CF4"/>
    <w:rsid w:val="00B6628F"/>
    <w:rsid w:val="00B6634A"/>
    <w:rsid w:val="00B66FCE"/>
    <w:rsid w:val="00B71744"/>
    <w:rsid w:val="00B72C8D"/>
    <w:rsid w:val="00B735EF"/>
    <w:rsid w:val="00B7388E"/>
    <w:rsid w:val="00B74259"/>
    <w:rsid w:val="00B771CF"/>
    <w:rsid w:val="00B7780F"/>
    <w:rsid w:val="00B77DB1"/>
    <w:rsid w:val="00B802C5"/>
    <w:rsid w:val="00B81A39"/>
    <w:rsid w:val="00B8324B"/>
    <w:rsid w:val="00B83A6D"/>
    <w:rsid w:val="00B8458D"/>
    <w:rsid w:val="00B855E0"/>
    <w:rsid w:val="00B85BAB"/>
    <w:rsid w:val="00B860D5"/>
    <w:rsid w:val="00B8755C"/>
    <w:rsid w:val="00B91141"/>
    <w:rsid w:val="00B9159B"/>
    <w:rsid w:val="00B9392C"/>
    <w:rsid w:val="00B94936"/>
    <w:rsid w:val="00B950D4"/>
    <w:rsid w:val="00B96755"/>
    <w:rsid w:val="00BA0CD8"/>
    <w:rsid w:val="00BA15FE"/>
    <w:rsid w:val="00BA1978"/>
    <w:rsid w:val="00BA2728"/>
    <w:rsid w:val="00BA2BF6"/>
    <w:rsid w:val="00BA326E"/>
    <w:rsid w:val="00BA373C"/>
    <w:rsid w:val="00BA53F7"/>
    <w:rsid w:val="00BA72E0"/>
    <w:rsid w:val="00BB0107"/>
    <w:rsid w:val="00BB0829"/>
    <w:rsid w:val="00BB0CE7"/>
    <w:rsid w:val="00BB144E"/>
    <w:rsid w:val="00BB24A4"/>
    <w:rsid w:val="00BB3A00"/>
    <w:rsid w:val="00BB44BF"/>
    <w:rsid w:val="00BB596A"/>
    <w:rsid w:val="00BB5B58"/>
    <w:rsid w:val="00BB5B8B"/>
    <w:rsid w:val="00BC1D64"/>
    <w:rsid w:val="00BC3385"/>
    <w:rsid w:val="00BC41B8"/>
    <w:rsid w:val="00BC4B3A"/>
    <w:rsid w:val="00BC6D97"/>
    <w:rsid w:val="00BC7403"/>
    <w:rsid w:val="00BC771D"/>
    <w:rsid w:val="00BD063C"/>
    <w:rsid w:val="00BD1DF5"/>
    <w:rsid w:val="00BD478E"/>
    <w:rsid w:val="00BD4AF6"/>
    <w:rsid w:val="00BD551B"/>
    <w:rsid w:val="00BD6385"/>
    <w:rsid w:val="00BD6BBA"/>
    <w:rsid w:val="00BD6C69"/>
    <w:rsid w:val="00BE0A5A"/>
    <w:rsid w:val="00BE29CA"/>
    <w:rsid w:val="00BE2B5E"/>
    <w:rsid w:val="00BE39D4"/>
    <w:rsid w:val="00BE43DC"/>
    <w:rsid w:val="00BE4AE3"/>
    <w:rsid w:val="00BE6D09"/>
    <w:rsid w:val="00BF1205"/>
    <w:rsid w:val="00BF12C7"/>
    <w:rsid w:val="00BF14CE"/>
    <w:rsid w:val="00BF1A08"/>
    <w:rsid w:val="00BF1B0C"/>
    <w:rsid w:val="00BF2230"/>
    <w:rsid w:val="00BF2ADC"/>
    <w:rsid w:val="00BF5288"/>
    <w:rsid w:val="00BF5835"/>
    <w:rsid w:val="00BF6B86"/>
    <w:rsid w:val="00BF7289"/>
    <w:rsid w:val="00BF7EB6"/>
    <w:rsid w:val="00C0037B"/>
    <w:rsid w:val="00C011C4"/>
    <w:rsid w:val="00C01319"/>
    <w:rsid w:val="00C02B3C"/>
    <w:rsid w:val="00C02EE6"/>
    <w:rsid w:val="00C04C40"/>
    <w:rsid w:val="00C04D0F"/>
    <w:rsid w:val="00C06B7C"/>
    <w:rsid w:val="00C06FC2"/>
    <w:rsid w:val="00C07534"/>
    <w:rsid w:val="00C076F5"/>
    <w:rsid w:val="00C078CC"/>
    <w:rsid w:val="00C07ACD"/>
    <w:rsid w:val="00C10695"/>
    <w:rsid w:val="00C106B6"/>
    <w:rsid w:val="00C1091C"/>
    <w:rsid w:val="00C10C68"/>
    <w:rsid w:val="00C1182F"/>
    <w:rsid w:val="00C14662"/>
    <w:rsid w:val="00C152C9"/>
    <w:rsid w:val="00C15DC1"/>
    <w:rsid w:val="00C15E78"/>
    <w:rsid w:val="00C16308"/>
    <w:rsid w:val="00C17051"/>
    <w:rsid w:val="00C17FD9"/>
    <w:rsid w:val="00C206A0"/>
    <w:rsid w:val="00C20732"/>
    <w:rsid w:val="00C21F86"/>
    <w:rsid w:val="00C2243A"/>
    <w:rsid w:val="00C24000"/>
    <w:rsid w:val="00C24523"/>
    <w:rsid w:val="00C26A10"/>
    <w:rsid w:val="00C2783B"/>
    <w:rsid w:val="00C278B7"/>
    <w:rsid w:val="00C27AD3"/>
    <w:rsid w:val="00C302D8"/>
    <w:rsid w:val="00C305A1"/>
    <w:rsid w:val="00C30AE8"/>
    <w:rsid w:val="00C32CBA"/>
    <w:rsid w:val="00C32DB0"/>
    <w:rsid w:val="00C35510"/>
    <w:rsid w:val="00C36448"/>
    <w:rsid w:val="00C36A62"/>
    <w:rsid w:val="00C37089"/>
    <w:rsid w:val="00C375AD"/>
    <w:rsid w:val="00C37839"/>
    <w:rsid w:val="00C4098E"/>
    <w:rsid w:val="00C40AD1"/>
    <w:rsid w:val="00C40ADB"/>
    <w:rsid w:val="00C44401"/>
    <w:rsid w:val="00C45221"/>
    <w:rsid w:val="00C4586B"/>
    <w:rsid w:val="00C45BC8"/>
    <w:rsid w:val="00C46366"/>
    <w:rsid w:val="00C464A1"/>
    <w:rsid w:val="00C46DF7"/>
    <w:rsid w:val="00C4786D"/>
    <w:rsid w:val="00C47DE5"/>
    <w:rsid w:val="00C50F7E"/>
    <w:rsid w:val="00C51725"/>
    <w:rsid w:val="00C52AFC"/>
    <w:rsid w:val="00C53ACA"/>
    <w:rsid w:val="00C53E3A"/>
    <w:rsid w:val="00C54519"/>
    <w:rsid w:val="00C551EC"/>
    <w:rsid w:val="00C552CA"/>
    <w:rsid w:val="00C5540F"/>
    <w:rsid w:val="00C557AD"/>
    <w:rsid w:val="00C557E9"/>
    <w:rsid w:val="00C56487"/>
    <w:rsid w:val="00C57C87"/>
    <w:rsid w:val="00C6079B"/>
    <w:rsid w:val="00C60B50"/>
    <w:rsid w:val="00C62833"/>
    <w:rsid w:val="00C62B7E"/>
    <w:rsid w:val="00C639E3"/>
    <w:rsid w:val="00C649CF"/>
    <w:rsid w:val="00C64EFE"/>
    <w:rsid w:val="00C65212"/>
    <w:rsid w:val="00C67745"/>
    <w:rsid w:val="00C72BA9"/>
    <w:rsid w:val="00C72E97"/>
    <w:rsid w:val="00C742C6"/>
    <w:rsid w:val="00C745DA"/>
    <w:rsid w:val="00C74A24"/>
    <w:rsid w:val="00C75CE6"/>
    <w:rsid w:val="00C807C1"/>
    <w:rsid w:val="00C819F3"/>
    <w:rsid w:val="00C826C4"/>
    <w:rsid w:val="00C827A6"/>
    <w:rsid w:val="00C830CD"/>
    <w:rsid w:val="00C831AA"/>
    <w:rsid w:val="00C837DF"/>
    <w:rsid w:val="00C83B2F"/>
    <w:rsid w:val="00C8401E"/>
    <w:rsid w:val="00C849AC"/>
    <w:rsid w:val="00C85A0D"/>
    <w:rsid w:val="00C86047"/>
    <w:rsid w:val="00C876F5"/>
    <w:rsid w:val="00C87DAC"/>
    <w:rsid w:val="00C9000F"/>
    <w:rsid w:val="00C90C8E"/>
    <w:rsid w:val="00C9204E"/>
    <w:rsid w:val="00C92AC9"/>
    <w:rsid w:val="00C92B52"/>
    <w:rsid w:val="00C92C7F"/>
    <w:rsid w:val="00C93665"/>
    <w:rsid w:val="00C936C2"/>
    <w:rsid w:val="00C96CEE"/>
    <w:rsid w:val="00C97090"/>
    <w:rsid w:val="00C97BE0"/>
    <w:rsid w:val="00CA009B"/>
    <w:rsid w:val="00CA2167"/>
    <w:rsid w:val="00CA323A"/>
    <w:rsid w:val="00CA3FA1"/>
    <w:rsid w:val="00CA4A72"/>
    <w:rsid w:val="00CA4AB6"/>
    <w:rsid w:val="00CA4B20"/>
    <w:rsid w:val="00CA57F8"/>
    <w:rsid w:val="00CA5801"/>
    <w:rsid w:val="00CA5AF9"/>
    <w:rsid w:val="00CA6468"/>
    <w:rsid w:val="00CA6F55"/>
    <w:rsid w:val="00CB17A1"/>
    <w:rsid w:val="00CB2350"/>
    <w:rsid w:val="00CB51EC"/>
    <w:rsid w:val="00CB5544"/>
    <w:rsid w:val="00CB5D5B"/>
    <w:rsid w:val="00CB61E2"/>
    <w:rsid w:val="00CB6778"/>
    <w:rsid w:val="00CB67BC"/>
    <w:rsid w:val="00CB69CA"/>
    <w:rsid w:val="00CB6B3E"/>
    <w:rsid w:val="00CB6D42"/>
    <w:rsid w:val="00CB6DE9"/>
    <w:rsid w:val="00CB77AB"/>
    <w:rsid w:val="00CC0F3D"/>
    <w:rsid w:val="00CC1240"/>
    <w:rsid w:val="00CC2594"/>
    <w:rsid w:val="00CC32DD"/>
    <w:rsid w:val="00CC4C4B"/>
    <w:rsid w:val="00CC5454"/>
    <w:rsid w:val="00CD183A"/>
    <w:rsid w:val="00CD3BC4"/>
    <w:rsid w:val="00CD46D0"/>
    <w:rsid w:val="00CD4F3C"/>
    <w:rsid w:val="00CD4F51"/>
    <w:rsid w:val="00CD55B1"/>
    <w:rsid w:val="00CD691E"/>
    <w:rsid w:val="00CD7D44"/>
    <w:rsid w:val="00CE09E3"/>
    <w:rsid w:val="00CE11B4"/>
    <w:rsid w:val="00CE3104"/>
    <w:rsid w:val="00CE4C72"/>
    <w:rsid w:val="00CE576B"/>
    <w:rsid w:val="00CE64F4"/>
    <w:rsid w:val="00CE683D"/>
    <w:rsid w:val="00CE6A2A"/>
    <w:rsid w:val="00CF041D"/>
    <w:rsid w:val="00CF1063"/>
    <w:rsid w:val="00CF2027"/>
    <w:rsid w:val="00CF3604"/>
    <w:rsid w:val="00CF4A56"/>
    <w:rsid w:val="00CF4E72"/>
    <w:rsid w:val="00CF5A19"/>
    <w:rsid w:val="00CF5E72"/>
    <w:rsid w:val="00CF62F6"/>
    <w:rsid w:val="00CF6834"/>
    <w:rsid w:val="00CF68F8"/>
    <w:rsid w:val="00D000BF"/>
    <w:rsid w:val="00D005C4"/>
    <w:rsid w:val="00D00838"/>
    <w:rsid w:val="00D00C65"/>
    <w:rsid w:val="00D03E49"/>
    <w:rsid w:val="00D0460F"/>
    <w:rsid w:val="00D047B8"/>
    <w:rsid w:val="00D052E5"/>
    <w:rsid w:val="00D06CE3"/>
    <w:rsid w:val="00D114C3"/>
    <w:rsid w:val="00D12760"/>
    <w:rsid w:val="00D133D4"/>
    <w:rsid w:val="00D136F2"/>
    <w:rsid w:val="00D138DB"/>
    <w:rsid w:val="00D1560C"/>
    <w:rsid w:val="00D15628"/>
    <w:rsid w:val="00D16790"/>
    <w:rsid w:val="00D16D1C"/>
    <w:rsid w:val="00D17F9B"/>
    <w:rsid w:val="00D21012"/>
    <w:rsid w:val="00D22A7E"/>
    <w:rsid w:val="00D23817"/>
    <w:rsid w:val="00D23D3B"/>
    <w:rsid w:val="00D242FF"/>
    <w:rsid w:val="00D24936"/>
    <w:rsid w:val="00D26177"/>
    <w:rsid w:val="00D26E42"/>
    <w:rsid w:val="00D26EF4"/>
    <w:rsid w:val="00D30FF1"/>
    <w:rsid w:val="00D32047"/>
    <w:rsid w:val="00D3244E"/>
    <w:rsid w:val="00D33717"/>
    <w:rsid w:val="00D347E2"/>
    <w:rsid w:val="00D34B45"/>
    <w:rsid w:val="00D35889"/>
    <w:rsid w:val="00D362BD"/>
    <w:rsid w:val="00D36DBF"/>
    <w:rsid w:val="00D404FD"/>
    <w:rsid w:val="00D426C2"/>
    <w:rsid w:val="00D45745"/>
    <w:rsid w:val="00D473DB"/>
    <w:rsid w:val="00D50A1D"/>
    <w:rsid w:val="00D50ED7"/>
    <w:rsid w:val="00D51327"/>
    <w:rsid w:val="00D53903"/>
    <w:rsid w:val="00D563DD"/>
    <w:rsid w:val="00D565FC"/>
    <w:rsid w:val="00D57307"/>
    <w:rsid w:val="00D57498"/>
    <w:rsid w:val="00D578F1"/>
    <w:rsid w:val="00D60394"/>
    <w:rsid w:val="00D60E88"/>
    <w:rsid w:val="00D61B53"/>
    <w:rsid w:val="00D61B81"/>
    <w:rsid w:val="00D62F19"/>
    <w:rsid w:val="00D63886"/>
    <w:rsid w:val="00D63E6D"/>
    <w:rsid w:val="00D70071"/>
    <w:rsid w:val="00D700AF"/>
    <w:rsid w:val="00D73E4C"/>
    <w:rsid w:val="00D73F4A"/>
    <w:rsid w:val="00D759A6"/>
    <w:rsid w:val="00D75F49"/>
    <w:rsid w:val="00D768EF"/>
    <w:rsid w:val="00D771A3"/>
    <w:rsid w:val="00D7748F"/>
    <w:rsid w:val="00D800FB"/>
    <w:rsid w:val="00D8037A"/>
    <w:rsid w:val="00D81E10"/>
    <w:rsid w:val="00D828BE"/>
    <w:rsid w:val="00D828D6"/>
    <w:rsid w:val="00D84993"/>
    <w:rsid w:val="00D86E6A"/>
    <w:rsid w:val="00D87488"/>
    <w:rsid w:val="00D90009"/>
    <w:rsid w:val="00D90052"/>
    <w:rsid w:val="00D91FCE"/>
    <w:rsid w:val="00D920D3"/>
    <w:rsid w:val="00D92951"/>
    <w:rsid w:val="00D93BEE"/>
    <w:rsid w:val="00D960D6"/>
    <w:rsid w:val="00D97436"/>
    <w:rsid w:val="00D974E1"/>
    <w:rsid w:val="00DA0424"/>
    <w:rsid w:val="00DA137D"/>
    <w:rsid w:val="00DA1E20"/>
    <w:rsid w:val="00DA2A79"/>
    <w:rsid w:val="00DA2D78"/>
    <w:rsid w:val="00DA5C63"/>
    <w:rsid w:val="00DA5CBD"/>
    <w:rsid w:val="00DA6419"/>
    <w:rsid w:val="00DA7115"/>
    <w:rsid w:val="00DB01E3"/>
    <w:rsid w:val="00DB205B"/>
    <w:rsid w:val="00DB2A84"/>
    <w:rsid w:val="00DB2ABC"/>
    <w:rsid w:val="00DB3072"/>
    <w:rsid w:val="00DB315E"/>
    <w:rsid w:val="00DB3179"/>
    <w:rsid w:val="00DB5550"/>
    <w:rsid w:val="00DC03B0"/>
    <w:rsid w:val="00DC0742"/>
    <w:rsid w:val="00DC1342"/>
    <w:rsid w:val="00DC1703"/>
    <w:rsid w:val="00DC1BC0"/>
    <w:rsid w:val="00DC2F2A"/>
    <w:rsid w:val="00DC3937"/>
    <w:rsid w:val="00DC41A8"/>
    <w:rsid w:val="00DC508E"/>
    <w:rsid w:val="00DC641E"/>
    <w:rsid w:val="00DC7117"/>
    <w:rsid w:val="00DC7640"/>
    <w:rsid w:val="00DC7F5B"/>
    <w:rsid w:val="00DD1411"/>
    <w:rsid w:val="00DD2455"/>
    <w:rsid w:val="00DD3164"/>
    <w:rsid w:val="00DD3317"/>
    <w:rsid w:val="00DD421D"/>
    <w:rsid w:val="00DD48F9"/>
    <w:rsid w:val="00DD559F"/>
    <w:rsid w:val="00DD6091"/>
    <w:rsid w:val="00DD628E"/>
    <w:rsid w:val="00DD6D1E"/>
    <w:rsid w:val="00DD767A"/>
    <w:rsid w:val="00DE0153"/>
    <w:rsid w:val="00DE03CA"/>
    <w:rsid w:val="00DE0DC8"/>
    <w:rsid w:val="00DE1474"/>
    <w:rsid w:val="00DE1A0F"/>
    <w:rsid w:val="00DE286F"/>
    <w:rsid w:val="00DE2A27"/>
    <w:rsid w:val="00DE2E2B"/>
    <w:rsid w:val="00DE3708"/>
    <w:rsid w:val="00DE385C"/>
    <w:rsid w:val="00DE3CE0"/>
    <w:rsid w:val="00DE4083"/>
    <w:rsid w:val="00DE484C"/>
    <w:rsid w:val="00DE5089"/>
    <w:rsid w:val="00DE587B"/>
    <w:rsid w:val="00DE5A57"/>
    <w:rsid w:val="00DE7D2C"/>
    <w:rsid w:val="00DF03C9"/>
    <w:rsid w:val="00DF23B0"/>
    <w:rsid w:val="00DF2572"/>
    <w:rsid w:val="00DF3367"/>
    <w:rsid w:val="00DF3534"/>
    <w:rsid w:val="00DF461D"/>
    <w:rsid w:val="00DF56A2"/>
    <w:rsid w:val="00DF6C8A"/>
    <w:rsid w:val="00DF7664"/>
    <w:rsid w:val="00E0174E"/>
    <w:rsid w:val="00E027EB"/>
    <w:rsid w:val="00E02E35"/>
    <w:rsid w:val="00E02FB3"/>
    <w:rsid w:val="00E034C9"/>
    <w:rsid w:val="00E060E3"/>
    <w:rsid w:val="00E06FC5"/>
    <w:rsid w:val="00E06FF6"/>
    <w:rsid w:val="00E07D96"/>
    <w:rsid w:val="00E104C4"/>
    <w:rsid w:val="00E108CC"/>
    <w:rsid w:val="00E12609"/>
    <w:rsid w:val="00E138F6"/>
    <w:rsid w:val="00E146E3"/>
    <w:rsid w:val="00E14F72"/>
    <w:rsid w:val="00E1529A"/>
    <w:rsid w:val="00E1656F"/>
    <w:rsid w:val="00E16A47"/>
    <w:rsid w:val="00E16E74"/>
    <w:rsid w:val="00E17839"/>
    <w:rsid w:val="00E2031D"/>
    <w:rsid w:val="00E20765"/>
    <w:rsid w:val="00E2157B"/>
    <w:rsid w:val="00E2599D"/>
    <w:rsid w:val="00E266C3"/>
    <w:rsid w:val="00E26824"/>
    <w:rsid w:val="00E30885"/>
    <w:rsid w:val="00E31532"/>
    <w:rsid w:val="00E33E1C"/>
    <w:rsid w:val="00E33FA9"/>
    <w:rsid w:val="00E34128"/>
    <w:rsid w:val="00E404DF"/>
    <w:rsid w:val="00E40E4E"/>
    <w:rsid w:val="00E40F10"/>
    <w:rsid w:val="00E411DF"/>
    <w:rsid w:val="00E426D6"/>
    <w:rsid w:val="00E44184"/>
    <w:rsid w:val="00E449C2"/>
    <w:rsid w:val="00E45175"/>
    <w:rsid w:val="00E45A10"/>
    <w:rsid w:val="00E45E26"/>
    <w:rsid w:val="00E462FA"/>
    <w:rsid w:val="00E46C67"/>
    <w:rsid w:val="00E46E4C"/>
    <w:rsid w:val="00E4764C"/>
    <w:rsid w:val="00E47912"/>
    <w:rsid w:val="00E525D2"/>
    <w:rsid w:val="00E52836"/>
    <w:rsid w:val="00E52A92"/>
    <w:rsid w:val="00E52FEE"/>
    <w:rsid w:val="00E5304E"/>
    <w:rsid w:val="00E551D1"/>
    <w:rsid w:val="00E56D58"/>
    <w:rsid w:val="00E574BE"/>
    <w:rsid w:val="00E576FC"/>
    <w:rsid w:val="00E57CAF"/>
    <w:rsid w:val="00E600A4"/>
    <w:rsid w:val="00E60D28"/>
    <w:rsid w:val="00E61B3D"/>
    <w:rsid w:val="00E62626"/>
    <w:rsid w:val="00E636B4"/>
    <w:rsid w:val="00E6500E"/>
    <w:rsid w:val="00E65FB3"/>
    <w:rsid w:val="00E6628F"/>
    <w:rsid w:val="00E662C2"/>
    <w:rsid w:val="00E6631A"/>
    <w:rsid w:val="00E70086"/>
    <w:rsid w:val="00E712DC"/>
    <w:rsid w:val="00E726A0"/>
    <w:rsid w:val="00E72979"/>
    <w:rsid w:val="00E73912"/>
    <w:rsid w:val="00E73BB0"/>
    <w:rsid w:val="00E74563"/>
    <w:rsid w:val="00E74744"/>
    <w:rsid w:val="00E750C7"/>
    <w:rsid w:val="00E76347"/>
    <w:rsid w:val="00E77CB4"/>
    <w:rsid w:val="00E810EF"/>
    <w:rsid w:val="00E824DC"/>
    <w:rsid w:val="00E82F2A"/>
    <w:rsid w:val="00E84D80"/>
    <w:rsid w:val="00E85073"/>
    <w:rsid w:val="00E9042D"/>
    <w:rsid w:val="00E92500"/>
    <w:rsid w:val="00E929D8"/>
    <w:rsid w:val="00E932DC"/>
    <w:rsid w:val="00E9352E"/>
    <w:rsid w:val="00E9483D"/>
    <w:rsid w:val="00E958CC"/>
    <w:rsid w:val="00E967C1"/>
    <w:rsid w:val="00E96A1B"/>
    <w:rsid w:val="00E97795"/>
    <w:rsid w:val="00EA0C6D"/>
    <w:rsid w:val="00EA22C9"/>
    <w:rsid w:val="00EA25A4"/>
    <w:rsid w:val="00EA4BDF"/>
    <w:rsid w:val="00EA55C4"/>
    <w:rsid w:val="00EA56EE"/>
    <w:rsid w:val="00EA65C7"/>
    <w:rsid w:val="00EA6966"/>
    <w:rsid w:val="00EA6FD9"/>
    <w:rsid w:val="00EA7A8E"/>
    <w:rsid w:val="00EA7BC5"/>
    <w:rsid w:val="00EB0A79"/>
    <w:rsid w:val="00EB124E"/>
    <w:rsid w:val="00EB21F9"/>
    <w:rsid w:val="00EB24F6"/>
    <w:rsid w:val="00EB34B8"/>
    <w:rsid w:val="00EB3A92"/>
    <w:rsid w:val="00EB4F27"/>
    <w:rsid w:val="00EB537E"/>
    <w:rsid w:val="00EC02E6"/>
    <w:rsid w:val="00EC0CA1"/>
    <w:rsid w:val="00EC1617"/>
    <w:rsid w:val="00EC2160"/>
    <w:rsid w:val="00EC343F"/>
    <w:rsid w:val="00EC3916"/>
    <w:rsid w:val="00EC3E4C"/>
    <w:rsid w:val="00EC4279"/>
    <w:rsid w:val="00EC49DF"/>
    <w:rsid w:val="00EC51CC"/>
    <w:rsid w:val="00EC69D3"/>
    <w:rsid w:val="00ED0D15"/>
    <w:rsid w:val="00ED13DF"/>
    <w:rsid w:val="00ED15C4"/>
    <w:rsid w:val="00ED2D00"/>
    <w:rsid w:val="00ED33AF"/>
    <w:rsid w:val="00ED6B30"/>
    <w:rsid w:val="00ED7890"/>
    <w:rsid w:val="00EE35E1"/>
    <w:rsid w:val="00EE37B3"/>
    <w:rsid w:val="00EE42DE"/>
    <w:rsid w:val="00EE52A2"/>
    <w:rsid w:val="00EE55B3"/>
    <w:rsid w:val="00EE5D14"/>
    <w:rsid w:val="00EE6991"/>
    <w:rsid w:val="00EF1C94"/>
    <w:rsid w:val="00EF3061"/>
    <w:rsid w:val="00EF392D"/>
    <w:rsid w:val="00EF4B83"/>
    <w:rsid w:val="00EF4CC2"/>
    <w:rsid w:val="00EF51C7"/>
    <w:rsid w:val="00EF777B"/>
    <w:rsid w:val="00F0115A"/>
    <w:rsid w:val="00F014A3"/>
    <w:rsid w:val="00F0508A"/>
    <w:rsid w:val="00F05E66"/>
    <w:rsid w:val="00F05FE8"/>
    <w:rsid w:val="00F06319"/>
    <w:rsid w:val="00F076D9"/>
    <w:rsid w:val="00F07CB8"/>
    <w:rsid w:val="00F10742"/>
    <w:rsid w:val="00F115A8"/>
    <w:rsid w:val="00F11AE0"/>
    <w:rsid w:val="00F12BBE"/>
    <w:rsid w:val="00F12E57"/>
    <w:rsid w:val="00F1609F"/>
    <w:rsid w:val="00F16313"/>
    <w:rsid w:val="00F16720"/>
    <w:rsid w:val="00F171D1"/>
    <w:rsid w:val="00F20185"/>
    <w:rsid w:val="00F21E77"/>
    <w:rsid w:val="00F2324F"/>
    <w:rsid w:val="00F236D3"/>
    <w:rsid w:val="00F257A1"/>
    <w:rsid w:val="00F25F85"/>
    <w:rsid w:val="00F271E9"/>
    <w:rsid w:val="00F274DE"/>
    <w:rsid w:val="00F30427"/>
    <w:rsid w:val="00F33826"/>
    <w:rsid w:val="00F33C4D"/>
    <w:rsid w:val="00F344A1"/>
    <w:rsid w:val="00F357E9"/>
    <w:rsid w:val="00F36A17"/>
    <w:rsid w:val="00F36F8E"/>
    <w:rsid w:val="00F420A1"/>
    <w:rsid w:val="00F430AC"/>
    <w:rsid w:val="00F43F4C"/>
    <w:rsid w:val="00F4449A"/>
    <w:rsid w:val="00F462A7"/>
    <w:rsid w:val="00F47B8E"/>
    <w:rsid w:val="00F502A1"/>
    <w:rsid w:val="00F528A6"/>
    <w:rsid w:val="00F529C9"/>
    <w:rsid w:val="00F54E9A"/>
    <w:rsid w:val="00F554D2"/>
    <w:rsid w:val="00F61147"/>
    <w:rsid w:val="00F61A2F"/>
    <w:rsid w:val="00F63E93"/>
    <w:rsid w:val="00F6480D"/>
    <w:rsid w:val="00F659E6"/>
    <w:rsid w:val="00F661D9"/>
    <w:rsid w:val="00F70573"/>
    <w:rsid w:val="00F70AC4"/>
    <w:rsid w:val="00F70F4C"/>
    <w:rsid w:val="00F71639"/>
    <w:rsid w:val="00F71A25"/>
    <w:rsid w:val="00F7310F"/>
    <w:rsid w:val="00F74ED9"/>
    <w:rsid w:val="00F75653"/>
    <w:rsid w:val="00F77EB4"/>
    <w:rsid w:val="00F81740"/>
    <w:rsid w:val="00F822C1"/>
    <w:rsid w:val="00F827F1"/>
    <w:rsid w:val="00F833DF"/>
    <w:rsid w:val="00F84698"/>
    <w:rsid w:val="00F84BC2"/>
    <w:rsid w:val="00F859B2"/>
    <w:rsid w:val="00F8693A"/>
    <w:rsid w:val="00F87DC4"/>
    <w:rsid w:val="00F9197B"/>
    <w:rsid w:val="00F91E0A"/>
    <w:rsid w:val="00F939E2"/>
    <w:rsid w:val="00F94D7D"/>
    <w:rsid w:val="00F94E49"/>
    <w:rsid w:val="00F94F0C"/>
    <w:rsid w:val="00F963D3"/>
    <w:rsid w:val="00FA0699"/>
    <w:rsid w:val="00FA1A2A"/>
    <w:rsid w:val="00FA2C07"/>
    <w:rsid w:val="00FA2CC4"/>
    <w:rsid w:val="00FA4343"/>
    <w:rsid w:val="00FA4790"/>
    <w:rsid w:val="00FA5AE2"/>
    <w:rsid w:val="00FA7036"/>
    <w:rsid w:val="00FA73C1"/>
    <w:rsid w:val="00FB0146"/>
    <w:rsid w:val="00FB0420"/>
    <w:rsid w:val="00FB05C6"/>
    <w:rsid w:val="00FB085D"/>
    <w:rsid w:val="00FB1139"/>
    <w:rsid w:val="00FB1AE8"/>
    <w:rsid w:val="00FB22D5"/>
    <w:rsid w:val="00FB4E98"/>
    <w:rsid w:val="00FB5071"/>
    <w:rsid w:val="00FB5435"/>
    <w:rsid w:val="00FC19E9"/>
    <w:rsid w:val="00FC236F"/>
    <w:rsid w:val="00FC301F"/>
    <w:rsid w:val="00FC4728"/>
    <w:rsid w:val="00FC4B09"/>
    <w:rsid w:val="00FC4E3D"/>
    <w:rsid w:val="00FC534A"/>
    <w:rsid w:val="00FC5C8B"/>
    <w:rsid w:val="00FC6EAC"/>
    <w:rsid w:val="00FC7DC8"/>
    <w:rsid w:val="00FD1A0C"/>
    <w:rsid w:val="00FD2D6D"/>
    <w:rsid w:val="00FD3C01"/>
    <w:rsid w:val="00FD54C4"/>
    <w:rsid w:val="00FD559C"/>
    <w:rsid w:val="00FD6120"/>
    <w:rsid w:val="00FD7DD2"/>
    <w:rsid w:val="00FE1582"/>
    <w:rsid w:val="00FE1A47"/>
    <w:rsid w:val="00FE1DAC"/>
    <w:rsid w:val="00FE2643"/>
    <w:rsid w:val="00FE2EAD"/>
    <w:rsid w:val="00FE3510"/>
    <w:rsid w:val="00FE63E6"/>
    <w:rsid w:val="00FE681F"/>
    <w:rsid w:val="00FE6DA3"/>
    <w:rsid w:val="00FF061C"/>
    <w:rsid w:val="00FF0810"/>
    <w:rsid w:val="00FF0D3F"/>
    <w:rsid w:val="00FF1DED"/>
    <w:rsid w:val="00FF2233"/>
    <w:rsid w:val="00FF4B7B"/>
    <w:rsid w:val="00FF565B"/>
    <w:rsid w:val="00FF56FF"/>
    <w:rsid w:val="00FF6732"/>
    <w:rsid w:val="00FF6D98"/>
    <w:rsid w:val="022EF145"/>
    <w:rsid w:val="038ECC2B"/>
    <w:rsid w:val="051FE572"/>
    <w:rsid w:val="07117151"/>
    <w:rsid w:val="095E1F9D"/>
    <w:rsid w:val="0B37F681"/>
    <w:rsid w:val="0C5031F8"/>
    <w:rsid w:val="0CA1EC9D"/>
    <w:rsid w:val="0E2A08DC"/>
    <w:rsid w:val="0E82D3D0"/>
    <w:rsid w:val="0EEF5C23"/>
    <w:rsid w:val="139AED34"/>
    <w:rsid w:val="13C00B00"/>
    <w:rsid w:val="168AB1E8"/>
    <w:rsid w:val="1A050CCF"/>
    <w:rsid w:val="1C5250C9"/>
    <w:rsid w:val="25110A91"/>
    <w:rsid w:val="25379127"/>
    <w:rsid w:val="260D9DAA"/>
    <w:rsid w:val="26E0E232"/>
    <w:rsid w:val="2BAA71E0"/>
    <w:rsid w:val="2CB035A4"/>
    <w:rsid w:val="2D1ABCEA"/>
    <w:rsid w:val="2E8A0C88"/>
    <w:rsid w:val="3125414F"/>
    <w:rsid w:val="3586F8E2"/>
    <w:rsid w:val="366CA466"/>
    <w:rsid w:val="38E52781"/>
    <w:rsid w:val="38F88B89"/>
    <w:rsid w:val="399E5CC5"/>
    <w:rsid w:val="39F88DC1"/>
    <w:rsid w:val="3A6E7C26"/>
    <w:rsid w:val="3B162E39"/>
    <w:rsid w:val="3C165990"/>
    <w:rsid w:val="41EE0A54"/>
    <w:rsid w:val="427CF811"/>
    <w:rsid w:val="43B38C0D"/>
    <w:rsid w:val="445604AC"/>
    <w:rsid w:val="44CA11C7"/>
    <w:rsid w:val="457C0673"/>
    <w:rsid w:val="495FB3B1"/>
    <w:rsid w:val="4A0EC59B"/>
    <w:rsid w:val="4D103950"/>
    <w:rsid w:val="51DC228F"/>
    <w:rsid w:val="5308D0F9"/>
    <w:rsid w:val="54CDBF33"/>
    <w:rsid w:val="57AEEE76"/>
    <w:rsid w:val="58310013"/>
    <w:rsid w:val="593775B3"/>
    <w:rsid w:val="5ACDF1A6"/>
    <w:rsid w:val="5D0C0A1C"/>
    <w:rsid w:val="5D8F9AB7"/>
    <w:rsid w:val="60C37876"/>
    <w:rsid w:val="61EFCDB1"/>
    <w:rsid w:val="68FE1BF0"/>
    <w:rsid w:val="6C96E266"/>
    <w:rsid w:val="6D73B4E1"/>
    <w:rsid w:val="6F52F669"/>
    <w:rsid w:val="6FC1B25A"/>
    <w:rsid w:val="75DC21FA"/>
    <w:rsid w:val="762F8DBE"/>
    <w:rsid w:val="771F163F"/>
    <w:rsid w:val="7BD0D090"/>
    <w:rsid w:val="7DBBABFC"/>
    <w:rsid w:val="7FBAE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07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65A3"/>
    <w:pPr>
      <w:keepNext/>
      <w:spacing w:before="120" w:after="240" w:line="240" w:lineRule="auto"/>
      <w:outlineLvl w:val="0"/>
    </w:pPr>
    <w:rPr>
      <w:rFonts w:ascii="Helvetica" w:eastAsia="Times New Roman" w:hAnsi="Helvetica" w:cs="Times New Roman"/>
      <w:b/>
      <w:caps/>
      <w:kern w:val="28"/>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97"/>
    <w:rPr>
      <w:rFonts w:ascii="Segoe UI" w:hAnsi="Segoe UI" w:cs="Segoe UI"/>
      <w:sz w:val="18"/>
      <w:szCs w:val="18"/>
    </w:rPr>
  </w:style>
  <w:style w:type="paragraph" w:styleId="ListParagraph">
    <w:name w:val="List Paragraph"/>
    <w:basedOn w:val="Normal"/>
    <w:uiPriority w:val="34"/>
    <w:qFormat/>
    <w:rsid w:val="00211797"/>
    <w:pPr>
      <w:ind w:left="720"/>
      <w:contextualSpacing/>
    </w:pPr>
  </w:style>
  <w:style w:type="paragraph" w:customStyle="1" w:styleId="mainex">
    <w:name w:val="mainex"/>
    <w:basedOn w:val="Normal"/>
    <w:rsid w:val="001507CE"/>
    <w:pPr>
      <w:keepNext/>
      <w:spacing w:after="0" w:line="240" w:lineRule="auto"/>
      <w:jc w:val="center"/>
    </w:pPr>
    <w:rPr>
      <w:rFonts w:ascii="Helvetica" w:eastAsia="Times New Roman" w:hAnsi="Helvetica" w:cs="Times New Roman"/>
      <w:b/>
      <w:spacing w:val="120"/>
      <w:sz w:val="26"/>
      <w:szCs w:val="20"/>
    </w:rPr>
  </w:style>
  <w:style w:type="paragraph" w:customStyle="1" w:styleId="titlebar">
    <w:name w:val="title bar"/>
    <w:basedOn w:val="Normal"/>
    <w:rsid w:val="001507CE"/>
    <w:pPr>
      <w:keepNext/>
      <w:suppressAutoHyphens/>
      <w:spacing w:after="0" w:line="240" w:lineRule="auto"/>
      <w:jc w:val="center"/>
    </w:pPr>
    <w:rPr>
      <w:rFonts w:ascii="Helvetica" w:eastAsia="Times New Roman" w:hAnsi="Helvetica" w:cs="Times New Roman"/>
      <w:b/>
      <w:sz w:val="26"/>
      <w:szCs w:val="20"/>
    </w:rPr>
  </w:style>
  <w:style w:type="paragraph" w:customStyle="1" w:styleId="Res-Caption">
    <w:name w:val="Res-Caption"/>
    <w:basedOn w:val="Normal"/>
    <w:rsid w:val="001507CE"/>
    <w:pPr>
      <w:spacing w:after="0" w:line="240" w:lineRule="auto"/>
      <w:ind w:left="720" w:right="720"/>
    </w:pPr>
    <w:rPr>
      <w:rFonts w:ascii="Palatino" w:eastAsia="Times New Roman" w:hAnsi="Palatino" w:cs="Times New Roman"/>
      <w:sz w:val="26"/>
      <w:szCs w:val="20"/>
    </w:rPr>
  </w:style>
  <w:style w:type="character" w:customStyle="1" w:styleId="Heading1Char">
    <w:name w:val="Heading 1 Char"/>
    <w:basedOn w:val="DefaultParagraphFont"/>
    <w:link w:val="Heading1"/>
    <w:rsid w:val="005C65A3"/>
    <w:rPr>
      <w:rFonts w:ascii="Helvetica" w:eastAsia="Times New Roman" w:hAnsi="Helvetica" w:cs="Times New Roman"/>
      <w:b/>
      <w:caps/>
      <w:kern w:val="28"/>
      <w:sz w:val="26"/>
      <w:szCs w:val="20"/>
      <w:u w:val="single"/>
    </w:rPr>
  </w:style>
  <w:style w:type="paragraph" w:styleId="FootnoteText">
    <w:name w:val="footnote text"/>
    <w:basedOn w:val="Normal"/>
    <w:link w:val="FootnoteTextChar"/>
    <w:uiPriority w:val="99"/>
    <w:semiHidden/>
    <w:unhideWhenUsed/>
    <w:rsid w:val="00CA4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B6"/>
    <w:rPr>
      <w:sz w:val="20"/>
      <w:szCs w:val="20"/>
    </w:rPr>
  </w:style>
  <w:style w:type="character" w:styleId="FootnoteReference">
    <w:name w:val="footnote reference"/>
    <w:basedOn w:val="DefaultParagraphFont"/>
    <w:uiPriority w:val="99"/>
    <w:semiHidden/>
    <w:unhideWhenUsed/>
    <w:rsid w:val="00CA4AB6"/>
    <w:rPr>
      <w:vertAlign w:val="superscript"/>
    </w:rPr>
  </w:style>
  <w:style w:type="paragraph" w:styleId="Caption">
    <w:name w:val="caption"/>
    <w:basedOn w:val="Normal"/>
    <w:next w:val="Normal"/>
    <w:uiPriority w:val="35"/>
    <w:semiHidden/>
    <w:unhideWhenUsed/>
    <w:qFormat/>
    <w:rsid w:val="003721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3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8D"/>
  </w:style>
  <w:style w:type="paragraph" w:styleId="Footer">
    <w:name w:val="footer"/>
    <w:basedOn w:val="Normal"/>
    <w:link w:val="FooterChar"/>
    <w:uiPriority w:val="99"/>
    <w:unhideWhenUsed/>
    <w:rsid w:val="0003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8D"/>
  </w:style>
  <w:style w:type="character" w:styleId="CommentReference">
    <w:name w:val="annotation reference"/>
    <w:basedOn w:val="DefaultParagraphFont"/>
    <w:uiPriority w:val="99"/>
    <w:semiHidden/>
    <w:unhideWhenUsed/>
    <w:rsid w:val="006C0FDA"/>
    <w:rPr>
      <w:sz w:val="16"/>
      <w:szCs w:val="16"/>
    </w:rPr>
  </w:style>
  <w:style w:type="paragraph" w:styleId="CommentText">
    <w:name w:val="annotation text"/>
    <w:basedOn w:val="Normal"/>
    <w:link w:val="CommentTextChar"/>
    <w:uiPriority w:val="99"/>
    <w:unhideWhenUsed/>
    <w:rsid w:val="006C0FDA"/>
    <w:pPr>
      <w:spacing w:line="240" w:lineRule="auto"/>
    </w:pPr>
    <w:rPr>
      <w:sz w:val="20"/>
      <w:szCs w:val="20"/>
    </w:rPr>
  </w:style>
  <w:style w:type="character" w:customStyle="1" w:styleId="CommentTextChar">
    <w:name w:val="Comment Text Char"/>
    <w:basedOn w:val="DefaultParagraphFont"/>
    <w:link w:val="CommentText"/>
    <w:uiPriority w:val="99"/>
    <w:rsid w:val="006C0FDA"/>
    <w:rPr>
      <w:sz w:val="20"/>
      <w:szCs w:val="20"/>
    </w:rPr>
  </w:style>
  <w:style w:type="paragraph" w:styleId="CommentSubject">
    <w:name w:val="annotation subject"/>
    <w:basedOn w:val="CommentText"/>
    <w:next w:val="CommentText"/>
    <w:link w:val="CommentSubjectChar"/>
    <w:uiPriority w:val="99"/>
    <w:semiHidden/>
    <w:unhideWhenUsed/>
    <w:rsid w:val="006C0FDA"/>
    <w:rPr>
      <w:b/>
      <w:bCs/>
    </w:rPr>
  </w:style>
  <w:style w:type="character" w:customStyle="1" w:styleId="CommentSubjectChar">
    <w:name w:val="Comment Subject Char"/>
    <w:basedOn w:val="CommentTextChar"/>
    <w:link w:val="CommentSubject"/>
    <w:uiPriority w:val="99"/>
    <w:semiHidden/>
    <w:rsid w:val="006C0FDA"/>
    <w:rPr>
      <w:b/>
      <w:bCs/>
      <w:sz w:val="20"/>
      <w:szCs w:val="20"/>
    </w:rPr>
  </w:style>
  <w:style w:type="character" w:styleId="Hyperlink">
    <w:name w:val="Hyperlink"/>
    <w:basedOn w:val="DefaultParagraphFont"/>
    <w:uiPriority w:val="99"/>
    <w:unhideWhenUsed/>
    <w:rsid w:val="00E73912"/>
    <w:rPr>
      <w:color w:val="0563C1" w:themeColor="hyperlink"/>
      <w:u w:val="single"/>
    </w:rPr>
  </w:style>
  <w:style w:type="character" w:styleId="UnresolvedMention">
    <w:name w:val="Unresolved Mention"/>
    <w:basedOn w:val="DefaultParagraphFont"/>
    <w:uiPriority w:val="99"/>
    <w:semiHidden/>
    <w:unhideWhenUsed/>
    <w:rsid w:val="00E73912"/>
    <w:rPr>
      <w:color w:val="605E5C"/>
      <w:shd w:val="clear" w:color="auto" w:fill="E1DFDD"/>
    </w:rPr>
  </w:style>
  <w:style w:type="paragraph" w:styleId="Revision">
    <w:name w:val="Revision"/>
    <w:hidden/>
    <w:uiPriority w:val="99"/>
    <w:semiHidden/>
    <w:rsid w:val="00C72BA9"/>
    <w:pPr>
      <w:spacing w:after="0" w:line="240" w:lineRule="auto"/>
    </w:pPr>
  </w:style>
  <w:style w:type="character" w:styleId="PageNumber">
    <w:name w:val="page number"/>
    <w:basedOn w:val="DefaultParagraphFont"/>
    <w:rsid w:val="000353F5"/>
  </w:style>
  <w:style w:type="character" w:styleId="Mention">
    <w:name w:val="Mention"/>
    <w:basedOn w:val="DefaultParagraphFont"/>
    <w:uiPriority w:val="99"/>
    <w:unhideWhenUsed/>
    <w:rsid w:val="005333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4334">
      <w:bodyDiv w:val="1"/>
      <w:marLeft w:val="0"/>
      <w:marRight w:val="0"/>
      <w:marTop w:val="0"/>
      <w:marBottom w:val="0"/>
      <w:divBdr>
        <w:top w:val="none" w:sz="0" w:space="0" w:color="auto"/>
        <w:left w:val="none" w:sz="0" w:space="0" w:color="auto"/>
        <w:bottom w:val="none" w:sz="0" w:space="0" w:color="auto"/>
        <w:right w:val="none" w:sz="0" w:space="0" w:color="auto"/>
      </w:divBdr>
    </w:div>
    <w:div w:id="286745294">
      <w:bodyDiv w:val="1"/>
      <w:marLeft w:val="0"/>
      <w:marRight w:val="0"/>
      <w:marTop w:val="0"/>
      <w:marBottom w:val="0"/>
      <w:divBdr>
        <w:top w:val="none" w:sz="0" w:space="0" w:color="auto"/>
        <w:left w:val="none" w:sz="0" w:space="0" w:color="auto"/>
        <w:bottom w:val="none" w:sz="0" w:space="0" w:color="auto"/>
        <w:right w:val="none" w:sz="0" w:space="0" w:color="auto"/>
      </w:divBdr>
    </w:div>
    <w:div w:id="972439266">
      <w:bodyDiv w:val="1"/>
      <w:marLeft w:val="0"/>
      <w:marRight w:val="0"/>
      <w:marTop w:val="0"/>
      <w:marBottom w:val="0"/>
      <w:divBdr>
        <w:top w:val="none" w:sz="0" w:space="0" w:color="auto"/>
        <w:left w:val="none" w:sz="0" w:space="0" w:color="auto"/>
        <w:bottom w:val="none" w:sz="0" w:space="0" w:color="auto"/>
        <w:right w:val="none" w:sz="0" w:space="0" w:color="auto"/>
      </w:divBdr>
    </w:div>
    <w:div w:id="1129086245">
      <w:bodyDiv w:val="1"/>
      <w:marLeft w:val="0"/>
      <w:marRight w:val="0"/>
      <w:marTop w:val="0"/>
      <w:marBottom w:val="0"/>
      <w:divBdr>
        <w:top w:val="none" w:sz="0" w:space="0" w:color="auto"/>
        <w:left w:val="none" w:sz="0" w:space="0" w:color="auto"/>
        <w:bottom w:val="none" w:sz="0" w:space="0" w:color="auto"/>
        <w:right w:val="none" w:sz="0" w:space="0" w:color="auto"/>
      </w:divBdr>
    </w:div>
    <w:div w:id="1152213050">
      <w:bodyDiv w:val="1"/>
      <w:marLeft w:val="0"/>
      <w:marRight w:val="0"/>
      <w:marTop w:val="0"/>
      <w:marBottom w:val="0"/>
      <w:divBdr>
        <w:top w:val="none" w:sz="0" w:space="0" w:color="auto"/>
        <w:left w:val="none" w:sz="0" w:space="0" w:color="auto"/>
        <w:bottom w:val="none" w:sz="0" w:space="0" w:color="auto"/>
        <w:right w:val="none" w:sz="0" w:space="0" w:color="auto"/>
      </w:divBdr>
    </w:div>
    <w:div w:id="1168015231">
      <w:bodyDiv w:val="1"/>
      <w:marLeft w:val="0"/>
      <w:marRight w:val="0"/>
      <w:marTop w:val="0"/>
      <w:marBottom w:val="0"/>
      <w:divBdr>
        <w:top w:val="none" w:sz="0" w:space="0" w:color="auto"/>
        <w:left w:val="none" w:sz="0" w:space="0" w:color="auto"/>
        <w:bottom w:val="none" w:sz="0" w:space="0" w:color="auto"/>
        <w:right w:val="none" w:sz="0" w:space="0" w:color="auto"/>
      </w:divBdr>
    </w:div>
    <w:div w:id="20376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alifornia.maps.arcgis.com/apps/webappviewer/index.html?id=5b34002aaffa4ac08b84d24016bf04ce" TargetMode="External"/><Relationship Id="rId1" Type="http://schemas.openxmlformats.org/officeDocument/2006/relationships/hyperlink" Target="https://www.pge.com/en_US/small-medium-business/energy-alternatives/clean-vehicles/ev-charge-network/electric-vehicle-charging/electric-vehicle-programs-and-resourc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45a637-3cdd-4f4b-b16c-de55dd2e1607" xsi:nil="true"/>
    <lcf76f155ced4ddcb4097134ff3c332f xmlns="520f37f0-40c3-47f1-8332-17031bb3f433">
      <Terms xmlns="http://schemas.microsoft.com/office/infopath/2007/PartnerControls"/>
    </lcf76f155ced4ddcb4097134ff3c332f>
    <SharedWithUsers xmlns="f045a637-3cdd-4f4b-b16c-de55dd2e1607">
      <UserInfo>
        <DisplayName>Kalafut, Jennifer</DisplayName>
        <AccountId>21</AccountId>
        <AccountType/>
      </UserInfo>
      <UserInfo>
        <DisplayName>Truax, Michael L.</DisplayName>
        <AccountId>19</AccountId>
        <AccountType/>
      </UserInfo>
      <UserInfo>
        <DisplayName>Gruendling, Paula</DisplayName>
        <AccountId>309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79EA1C1F202B40AA7A5BF6CB2A61E3" ma:contentTypeVersion="11" ma:contentTypeDescription="Create a new document." ma:contentTypeScope="" ma:versionID="503abfba834869974ebe0b21fcb03a2c">
  <xsd:schema xmlns:xsd="http://www.w3.org/2001/XMLSchema" xmlns:xs="http://www.w3.org/2001/XMLSchema" xmlns:p="http://schemas.microsoft.com/office/2006/metadata/properties" xmlns:ns2="520f37f0-40c3-47f1-8332-17031bb3f433" xmlns:ns3="f045a637-3cdd-4f4b-b16c-de55dd2e1607" targetNamespace="http://schemas.microsoft.com/office/2006/metadata/properties" ma:root="true" ma:fieldsID="6a5dcf2a737d4e41c61b2a20dafffdf8" ns2:_="" ns3:_="">
    <xsd:import namespace="520f37f0-40c3-47f1-8332-17031bb3f433"/>
    <xsd:import namespace="f045a637-3cdd-4f4b-b16c-de55dd2e16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37f0-40c3-47f1-8332-17031bb3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45a637-3cdd-4f4b-b16c-de55dd2e1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53a49c-f3ac-4549-a5a1-e4162537ce55}" ma:internalName="TaxCatchAll" ma:showField="CatchAllData" ma:web="f045a637-3cdd-4f4b-b16c-de55dd2e1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8D7D-9408-4DD6-9EC4-8C5D5782268B}">
  <ds:schemaRefs>
    <ds:schemaRef ds:uri="http://schemas.microsoft.com/office/2006/metadata/properties"/>
    <ds:schemaRef ds:uri="http://schemas.microsoft.com/office/infopath/2007/PartnerControls"/>
    <ds:schemaRef ds:uri="f045a637-3cdd-4f4b-b16c-de55dd2e1607"/>
    <ds:schemaRef ds:uri="520f37f0-40c3-47f1-8332-17031bb3f433"/>
  </ds:schemaRefs>
</ds:datastoreItem>
</file>

<file path=customXml/itemProps2.xml><?xml version="1.0" encoding="utf-8"?>
<ds:datastoreItem xmlns:ds="http://schemas.openxmlformats.org/officeDocument/2006/customXml" ds:itemID="{0B3DD195-1C30-4552-A3AC-1D9FA78F3AB4}">
  <ds:schemaRefs>
    <ds:schemaRef ds:uri="http://schemas.microsoft.com/sharepoint/v3/contenttype/forms"/>
  </ds:schemaRefs>
</ds:datastoreItem>
</file>

<file path=customXml/itemProps3.xml><?xml version="1.0" encoding="utf-8"?>
<ds:datastoreItem xmlns:ds="http://schemas.openxmlformats.org/officeDocument/2006/customXml" ds:itemID="{42A17455-FD38-4019-A727-2B1F7863BEAB}">
  <ds:schemaRefs>
    <ds:schemaRef ds:uri="http://schemas.openxmlformats.org/officeDocument/2006/bibliography"/>
  </ds:schemaRefs>
</ds:datastoreItem>
</file>

<file path=customXml/itemProps4.xml><?xml version="1.0" encoding="utf-8"?>
<ds:datastoreItem xmlns:ds="http://schemas.openxmlformats.org/officeDocument/2006/customXml" ds:itemID="{3DA9A00B-B92C-42AD-92DD-07D55609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37f0-40c3-47f1-8332-17031bb3f433"/>
    <ds:schemaRef ds:uri="f045a637-3cdd-4f4b-b16c-de55dd2e1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9582</ap:Words>
  <ap:Characters>54623</ap:Characters>
  <ap:Application>Microsoft Office Word</ap:Application>
  <ap:DocSecurity>0</ap:DocSecurity>
  <ap:Lines>455</ap:Lines>
  <ap:Paragraphs>128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64077</ap:CharactersWithSpaces>
  <ap:SharedDoc>false</ap:SharedDoc>
  <ap:HLinks>
    <vt:vector baseType="variant" size="12">
      <vt:variant>
        <vt:i4>2818108</vt:i4>
      </vt:variant>
      <vt:variant>
        <vt:i4>3</vt:i4>
      </vt:variant>
      <vt:variant>
        <vt:i4>0</vt:i4>
      </vt:variant>
      <vt:variant>
        <vt:i4>5</vt:i4>
      </vt:variant>
      <vt:variant>
        <vt:lpwstr>https://california.maps.arcgis.com/apps/webappviewer/index.html?id=5b34002aaffa4ac08b84d24016bf04ce</vt:lpwstr>
      </vt:variant>
      <vt:variant>
        <vt:lpwstr/>
      </vt:variant>
      <vt:variant>
        <vt:i4>2359389</vt:i4>
      </vt:variant>
      <vt:variant>
        <vt:i4>0</vt:i4>
      </vt:variant>
      <vt:variant>
        <vt:i4>0</vt:i4>
      </vt:variant>
      <vt:variant>
        <vt:i4>5</vt:i4>
      </vt:variant>
      <vt:variant>
        <vt:lpwstr>https://www.pge.com/en_US/small-medium-business/energy-alternatives/clean-vehicles/ev-charge-network/electric-vehicle-charging/electric-vehicle-programs-and-resources.page</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2022-11-10T10:33:28Z</dcterms:created>
  <dcterms:modified xsi:type="dcterms:W3CDTF">2022-11-10T10:33:28Z</dcterms:modified>
</cp:coreProperties>
</file>