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EB7C9D" w:rsidRDefault="00D4292A" w14:paraId="1CC0AEE8" w14:textId="1242873B">
      <w:pPr>
        <w:tabs>
          <w:tab w:val="center" w:pos="4410"/>
          <w:tab w:val="right" w:pos="9360"/>
        </w:tabs>
        <w:spacing w:line="240" w:lineRule="auto"/>
        <w:ind w:firstLine="0"/>
      </w:pPr>
      <w:r w:rsidRPr="00D4292A">
        <w:t>ALJ/ML2/NIL/</w:t>
      </w:r>
      <w:r w:rsidR="006F3A70">
        <w:t>jnf</w:t>
      </w:r>
      <w:r w:rsidR="002C77C7">
        <w:t>/smt</w:t>
      </w:r>
      <w:r w:rsidR="007E0FEE">
        <w:tab/>
      </w:r>
      <w:r w:rsidR="00B07DE7">
        <w:t xml:space="preserve"> </w:t>
      </w:r>
      <w:r w:rsidR="00DA7B5D">
        <w:tab/>
      </w:r>
      <w:r w:rsidRPr="009E2358" w:rsidR="009E2358">
        <w:rPr>
          <w:b/>
        </w:rPr>
        <w:t>Date of Issuance 11/</w:t>
      </w:r>
      <w:r w:rsidR="009E2358">
        <w:rPr>
          <w:b/>
        </w:rPr>
        <w:t>18</w:t>
      </w:r>
      <w:r w:rsidRPr="009E2358" w:rsidR="009E2358">
        <w:rPr>
          <w:b/>
        </w:rPr>
        <w:t>/2022</w:t>
      </w:r>
    </w:p>
    <w:p w:rsidRPr="009E2358" w:rsidR="00DA7B5D" w:rsidP="009E2358" w:rsidRDefault="00DA7B5D" w14:paraId="2C580295" w14:textId="1D4A9683">
      <w:pPr>
        <w:spacing w:line="240" w:lineRule="auto"/>
        <w:ind w:firstLine="0"/>
        <w:rPr>
          <w:bCs/>
          <w:szCs w:val="26"/>
        </w:rPr>
      </w:pPr>
    </w:p>
    <w:p w:rsidRPr="009E2358" w:rsidR="009E2358" w:rsidP="009E2358" w:rsidRDefault="009E2358" w14:paraId="517CDC48" w14:textId="77777777">
      <w:pPr>
        <w:spacing w:line="240" w:lineRule="auto"/>
        <w:ind w:firstLine="0"/>
        <w:rPr>
          <w:bCs/>
          <w:szCs w:val="26"/>
        </w:rPr>
      </w:pPr>
    </w:p>
    <w:p w:rsidR="00F247A2" w:rsidP="00F247A2" w:rsidRDefault="00DA7B5D" w14:paraId="3BA7CDD9" w14:textId="6176C0C4">
      <w:pPr>
        <w:spacing w:line="240" w:lineRule="auto"/>
        <w:ind w:left="1080" w:hanging="1080"/>
      </w:pPr>
      <w:r>
        <w:t>Decision</w:t>
      </w:r>
      <w:r w:rsidR="009E2358">
        <w:t> 22-11-021  November 17, 2022</w:t>
      </w:r>
    </w:p>
    <w:p w:rsidRPr="009E2358" w:rsidR="009E2358" w:rsidP="009E2358" w:rsidRDefault="009E2358" w14:paraId="23CE1405" w14:textId="77777777">
      <w:pPr>
        <w:spacing w:line="240" w:lineRule="auto"/>
        <w:ind w:left="810" w:hanging="810"/>
      </w:pPr>
    </w:p>
    <w:p w:rsidRPr="009E2358" w:rsidR="00DA7B5D" w:rsidP="009E2358" w:rsidRDefault="00DA7B5D" w14:paraId="755B07DF" w14:textId="77777777">
      <w:pPr>
        <w:spacing w:line="240" w:lineRule="auto"/>
        <w:ind w:left="810" w:hanging="810"/>
        <w:rPr>
          <w:u w:val="single"/>
        </w:rPr>
      </w:pPr>
    </w:p>
    <w:p w:rsidR="00DA7B5D" w:rsidP="00BB0243" w:rsidRDefault="00DA7B5D" w14:paraId="4049E295"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D864F9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860"/>
        <w:gridCol w:w="4500"/>
      </w:tblGrid>
      <w:tr w:rsidR="00DA7B5D" w:rsidTr="00F57A0C" w14:paraId="23D65821" w14:textId="77777777">
        <w:trPr>
          <w:jc w:val="center"/>
        </w:trPr>
        <w:tc>
          <w:tcPr>
            <w:tcW w:w="4860" w:type="dxa"/>
            <w:tcBorders>
              <w:top w:val="nil"/>
              <w:left w:val="nil"/>
              <w:bottom w:val="single" w:color="auto" w:sz="4" w:space="0"/>
              <w:right w:val="single" w:color="auto" w:sz="4" w:space="0"/>
            </w:tcBorders>
          </w:tcPr>
          <w:p w:rsidRPr="00DA7B5D" w:rsidR="00DA7B5D" w:rsidP="00C10B5F" w:rsidRDefault="006F3A70" w14:paraId="54A8F993" w14:textId="4874A5BE">
            <w:pPr>
              <w:spacing w:line="240" w:lineRule="auto"/>
              <w:ind w:firstLine="0"/>
              <w:rPr>
                <w:rFonts w:cs="Arial"/>
                <w:szCs w:val="26"/>
              </w:rPr>
            </w:pPr>
            <w:r w:rsidRPr="006F3A70">
              <w:rPr>
                <w:rFonts w:cs="Arial"/>
                <w:szCs w:val="26"/>
              </w:rPr>
              <w:t>Order Instituting Rulemaking To Continue Implementation and Administration, and Consider Further Development, of California Renewables Portfolio Standard Program</w:t>
            </w:r>
            <w:r w:rsidRPr="00EA783D" w:rsidR="00EA783D">
              <w:rPr>
                <w:rFonts w:cs="Arial"/>
                <w:szCs w:val="26"/>
              </w:rPr>
              <w:t>.</w:t>
            </w:r>
            <w:r w:rsidRPr="00DA7B5D" w:rsidR="00DA7B5D">
              <w:rPr>
                <w:rFonts w:cs="Arial"/>
                <w:szCs w:val="26"/>
              </w:rPr>
              <w:br/>
            </w:r>
          </w:p>
        </w:tc>
        <w:tc>
          <w:tcPr>
            <w:tcW w:w="4500" w:type="dxa"/>
            <w:tcBorders>
              <w:top w:val="nil"/>
              <w:left w:val="single" w:color="auto" w:sz="4" w:space="0"/>
              <w:bottom w:val="nil"/>
              <w:right w:val="nil"/>
            </w:tcBorders>
            <w:vAlign w:val="center"/>
          </w:tcPr>
          <w:p w:rsidRPr="00DA7B5D" w:rsidR="00DA7B5D" w:rsidP="00412C83" w:rsidRDefault="00EA783D" w14:paraId="717B5770" w14:textId="2EA716B9">
            <w:pPr>
              <w:spacing w:line="240" w:lineRule="auto"/>
              <w:ind w:firstLine="0"/>
              <w:jc w:val="center"/>
              <w:rPr>
                <w:rFonts w:cs="Arial"/>
                <w:szCs w:val="26"/>
              </w:rPr>
            </w:pPr>
            <w:r>
              <w:rPr>
                <w:rFonts w:cs="Arial"/>
                <w:szCs w:val="26"/>
              </w:rPr>
              <w:t>Rulemaking 18-07-003</w:t>
            </w:r>
          </w:p>
        </w:tc>
      </w:tr>
    </w:tbl>
    <w:p w:rsidR="00DA7B5D" w:rsidP="008F0116" w:rsidRDefault="00DA7B5D" w14:paraId="70FFA7F4" w14:textId="77777777">
      <w:pPr>
        <w:spacing w:line="240" w:lineRule="auto"/>
        <w:ind w:firstLine="0"/>
        <w:rPr>
          <w:rFonts w:ascii="Arial" w:hAnsi="Arial" w:cs="Arial"/>
          <w:sz w:val="24"/>
          <w:szCs w:val="24"/>
        </w:rPr>
      </w:pPr>
    </w:p>
    <w:p w:rsidR="00DA7B5D" w:rsidP="008F0116" w:rsidRDefault="00DA7B5D" w14:paraId="1ADB1DCD" w14:textId="4A5F7BA5">
      <w:pPr>
        <w:spacing w:line="240" w:lineRule="auto"/>
        <w:ind w:firstLine="0"/>
        <w:rPr>
          <w:rFonts w:ascii="Arial" w:hAnsi="Arial" w:cs="Arial"/>
          <w:sz w:val="24"/>
          <w:szCs w:val="24"/>
        </w:rPr>
      </w:pPr>
    </w:p>
    <w:p w:rsidR="00F92385" w:rsidP="00B3087D" w:rsidRDefault="00C04BDD" w14:paraId="0963BD5A" w14:textId="71AD3C11">
      <w:pPr>
        <w:pStyle w:val="Dummy"/>
        <w:jc w:val="center"/>
      </w:pPr>
      <w:bookmarkStart w:name="_Toc119660137" w:id="0"/>
      <w:r>
        <w:t xml:space="preserve">DECISION APPROVING VOLUNTARY ALLOCATIONS AND </w:t>
      </w:r>
      <w:r w:rsidR="0010047D">
        <w:t>MODIF</w:t>
      </w:r>
      <w:r w:rsidR="006601A7">
        <w:t>YING</w:t>
      </w:r>
      <w:r w:rsidR="0010047D">
        <w:t xml:space="preserve"> MARKET OFFER</w:t>
      </w:r>
      <w:r w:rsidR="00756CCF">
        <w:t xml:space="preserve"> PROCESS </w:t>
      </w:r>
      <w:r w:rsidR="00284C5E">
        <w:t>FOR THE SALE OF</w:t>
      </w:r>
      <w:r w:rsidR="00756CCF">
        <w:t xml:space="preserve"> EXCESS RENE</w:t>
      </w:r>
      <w:r w:rsidR="00284C5E">
        <w:t xml:space="preserve">WABLE RESOURCES </w:t>
      </w:r>
      <w:r w:rsidR="00E43FF5">
        <w:t xml:space="preserve">TO </w:t>
      </w:r>
      <w:r w:rsidR="001F3E33">
        <w:t xml:space="preserve">LOWER </w:t>
      </w:r>
      <w:r w:rsidRPr="00BA588B" w:rsidR="00BA588B">
        <w:t>POWER CHARGE INDIFFERENCE ADJUSTMENT</w:t>
      </w:r>
      <w:r w:rsidR="00233FF2">
        <w:t xml:space="preserve"> </w:t>
      </w:r>
      <w:r w:rsidR="003A06F8">
        <w:t xml:space="preserve">COSTS </w:t>
      </w:r>
      <w:r w:rsidR="006601A7">
        <w:t>PURSUANT TO DECISION 21-05-030</w:t>
      </w:r>
      <w:bookmarkEnd w:id="0"/>
    </w:p>
    <w:p w:rsidR="006F3A70" w:rsidP="006F3A70" w:rsidRDefault="006F3A70" w14:paraId="5E43FF7D" w14:textId="77777777"/>
    <w:p w:rsidRPr="006F3A70" w:rsidR="006F3A70" w:rsidP="006F3A70" w:rsidRDefault="006F3A70" w14:paraId="6312F326" w14:textId="5263EB3A">
      <w:pPr>
        <w:sectPr w:rsidRPr="006F3A70" w:rsidR="006F3A70" w:rsidSect="00BC5754">
          <w:headerReference w:type="first" r:id="rId11"/>
          <w:footerReference w:type="first" r:id="rId12"/>
          <w:pgSz w:w="12240" w:h="15840"/>
          <w:pgMar w:top="1728" w:right="1440" w:bottom="1440" w:left="1440" w:header="720" w:footer="720" w:gutter="0"/>
          <w:pgNumType w:start="1"/>
          <w:cols w:space="720"/>
          <w:titlePg/>
          <w:docGrid w:linePitch="360"/>
        </w:sectPr>
      </w:pPr>
    </w:p>
    <w:p w:rsidRPr="001E2A62" w:rsidR="00D50119" w:rsidP="00F76650" w:rsidRDefault="00D50119" w14:paraId="6906E30D"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4841594A"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9E2358" w:rsidP="009E2358" w:rsidRDefault="008706E7" w14:paraId="1E9E298A" w14:textId="56DF6DC9">
          <w:pPr>
            <w:pStyle w:val="TOC1"/>
            <w:tabs>
              <w:tab w:val="right" w:leader="dot" w:pos="9350"/>
            </w:tabs>
            <w:ind w:left="0" w:firstLine="0"/>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119660137">
            <w:r w:rsidRPr="00593F59" w:rsidR="009E2358">
              <w:rPr>
                <w:rStyle w:val="Hyperlink"/>
                <w:noProof/>
              </w:rPr>
              <w:t>DECISION APPROVING VOLUNTARY ALLOCATIONS AND MODIFYING MARKET OFFER PROCESS FOR THE SALE OF EXCESS RENEWABLE RESOURCES TO LOWER POWER CHARGE INDIFFERENCE ADJUSTMENT COSTS PURSUANT TO DECISION 21-05-030</w:t>
            </w:r>
            <w:r w:rsidR="009E2358">
              <w:rPr>
                <w:noProof/>
                <w:webHidden/>
              </w:rPr>
              <w:tab/>
            </w:r>
            <w:r w:rsidR="009E2358">
              <w:rPr>
                <w:noProof/>
                <w:webHidden/>
              </w:rPr>
              <w:fldChar w:fldCharType="begin"/>
            </w:r>
            <w:r w:rsidR="009E2358">
              <w:rPr>
                <w:noProof/>
                <w:webHidden/>
              </w:rPr>
              <w:instrText xml:space="preserve"> PAGEREF _Toc119660137 \h </w:instrText>
            </w:r>
            <w:r w:rsidR="009E2358">
              <w:rPr>
                <w:noProof/>
                <w:webHidden/>
              </w:rPr>
            </w:r>
            <w:r w:rsidR="009E2358">
              <w:rPr>
                <w:noProof/>
                <w:webHidden/>
              </w:rPr>
              <w:fldChar w:fldCharType="separate"/>
            </w:r>
            <w:r w:rsidR="009E2358">
              <w:rPr>
                <w:noProof/>
                <w:webHidden/>
              </w:rPr>
              <w:t>1</w:t>
            </w:r>
            <w:r w:rsidR="009E2358">
              <w:rPr>
                <w:noProof/>
                <w:webHidden/>
              </w:rPr>
              <w:fldChar w:fldCharType="end"/>
            </w:r>
          </w:hyperlink>
        </w:p>
        <w:p w:rsidR="009E2358" w:rsidRDefault="009E2358" w14:paraId="34AC4CAE" w14:textId="4FA16F7F">
          <w:pPr>
            <w:pStyle w:val="TOC1"/>
            <w:tabs>
              <w:tab w:val="right" w:leader="dot" w:pos="9350"/>
            </w:tabs>
            <w:rPr>
              <w:rFonts w:asciiTheme="minorHAnsi" w:hAnsiTheme="minorHAnsi" w:cstheme="minorBidi"/>
              <w:noProof/>
              <w:sz w:val="22"/>
            </w:rPr>
          </w:pPr>
          <w:hyperlink w:history="1" w:anchor="_Toc119660138">
            <w:r w:rsidRPr="00593F59">
              <w:rPr>
                <w:rStyle w:val="Hyperlink"/>
                <w:noProof/>
              </w:rPr>
              <w:t>Summary</w:t>
            </w:r>
            <w:r>
              <w:rPr>
                <w:noProof/>
                <w:webHidden/>
              </w:rPr>
              <w:tab/>
            </w:r>
            <w:r>
              <w:rPr>
                <w:noProof/>
                <w:webHidden/>
              </w:rPr>
              <w:fldChar w:fldCharType="begin"/>
            </w:r>
            <w:r>
              <w:rPr>
                <w:noProof/>
                <w:webHidden/>
              </w:rPr>
              <w:instrText xml:space="preserve"> PAGEREF _Toc119660138 \h </w:instrText>
            </w:r>
            <w:r>
              <w:rPr>
                <w:noProof/>
                <w:webHidden/>
              </w:rPr>
            </w:r>
            <w:r>
              <w:rPr>
                <w:noProof/>
                <w:webHidden/>
              </w:rPr>
              <w:fldChar w:fldCharType="separate"/>
            </w:r>
            <w:r>
              <w:rPr>
                <w:noProof/>
                <w:webHidden/>
              </w:rPr>
              <w:t>2</w:t>
            </w:r>
            <w:r>
              <w:rPr>
                <w:noProof/>
                <w:webHidden/>
              </w:rPr>
              <w:fldChar w:fldCharType="end"/>
            </w:r>
          </w:hyperlink>
        </w:p>
        <w:p w:rsidR="009E2358" w:rsidRDefault="009E2358" w14:paraId="510675DE" w14:textId="68A51692">
          <w:pPr>
            <w:pStyle w:val="TOC1"/>
            <w:tabs>
              <w:tab w:val="right" w:leader="dot" w:pos="9350"/>
            </w:tabs>
            <w:rPr>
              <w:rFonts w:asciiTheme="minorHAnsi" w:hAnsiTheme="minorHAnsi" w:cstheme="minorBidi"/>
              <w:noProof/>
              <w:sz w:val="22"/>
            </w:rPr>
          </w:pPr>
          <w:hyperlink w:history="1" w:anchor="_Toc119660139">
            <w:r w:rsidRPr="00593F59">
              <w:rPr>
                <w:rStyle w:val="Hyperlink"/>
                <w:noProof/>
              </w:rPr>
              <w:t>1.</w:t>
            </w:r>
            <w:r>
              <w:rPr>
                <w:rFonts w:asciiTheme="minorHAnsi" w:hAnsiTheme="minorHAnsi" w:cstheme="minorBidi"/>
                <w:noProof/>
                <w:sz w:val="22"/>
              </w:rPr>
              <w:tab/>
            </w:r>
            <w:r w:rsidRPr="00593F59">
              <w:rPr>
                <w:rStyle w:val="Hyperlink"/>
                <w:noProof/>
              </w:rPr>
              <w:t>Procedural Background</w:t>
            </w:r>
            <w:r>
              <w:rPr>
                <w:noProof/>
                <w:webHidden/>
              </w:rPr>
              <w:tab/>
            </w:r>
            <w:r>
              <w:rPr>
                <w:noProof/>
                <w:webHidden/>
              </w:rPr>
              <w:fldChar w:fldCharType="begin"/>
            </w:r>
            <w:r>
              <w:rPr>
                <w:noProof/>
                <w:webHidden/>
              </w:rPr>
              <w:instrText xml:space="preserve"> PAGEREF _Toc119660139 \h </w:instrText>
            </w:r>
            <w:r>
              <w:rPr>
                <w:noProof/>
                <w:webHidden/>
              </w:rPr>
            </w:r>
            <w:r>
              <w:rPr>
                <w:noProof/>
                <w:webHidden/>
              </w:rPr>
              <w:fldChar w:fldCharType="separate"/>
            </w:r>
            <w:r>
              <w:rPr>
                <w:noProof/>
                <w:webHidden/>
              </w:rPr>
              <w:t>4</w:t>
            </w:r>
            <w:r>
              <w:rPr>
                <w:noProof/>
                <w:webHidden/>
              </w:rPr>
              <w:fldChar w:fldCharType="end"/>
            </w:r>
          </w:hyperlink>
        </w:p>
        <w:p w:rsidR="009E2358" w:rsidRDefault="009E2358" w14:paraId="7FE4AA80" w14:textId="727A9285">
          <w:pPr>
            <w:pStyle w:val="TOC1"/>
            <w:tabs>
              <w:tab w:val="right" w:leader="dot" w:pos="9350"/>
            </w:tabs>
            <w:rPr>
              <w:rFonts w:asciiTheme="minorHAnsi" w:hAnsiTheme="minorHAnsi" w:cstheme="minorBidi"/>
              <w:noProof/>
              <w:sz w:val="22"/>
            </w:rPr>
          </w:pPr>
          <w:hyperlink w:history="1" w:anchor="_Toc119660140">
            <w:r w:rsidRPr="00593F59">
              <w:rPr>
                <w:rStyle w:val="Hyperlink"/>
                <w:noProof/>
              </w:rPr>
              <w:t>2.</w:t>
            </w:r>
            <w:r>
              <w:rPr>
                <w:rFonts w:asciiTheme="minorHAnsi" w:hAnsiTheme="minorHAnsi" w:cstheme="minorBidi"/>
                <w:noProof/>
                <w:sz w:val="22"/>
              </w:rPr>
              <w:tab/>
            </w:r>
            <w:r w:rsidRPr="00593F59">
              <w:rPr>
                <w:rStyle w:val="Hyperlink"/>
                <w:noProof/>
              </w:rPr>
              <w:t>Issues Before the Commission</w:t>
            </w:r>
            <w:r>
              <w:rPr>
                <w:noProof/>
                <w:webHidden/>
              </w:rPr>
              <w:tab/>
            </w:r>
            <w:r>
              <w:rPr>
                <w:noProof/>
                <w:webHidden/>
              </w:rPr>
              <w:fldChar w:fldCharType="begin"/>
            </w:r>
            <w:r>
              <w:rPr>
                <w:noProof/>
                <w:webHidden/>
              </w:rPr>
              <w:instrText xml:space="preserve"> PAGEREF _Toc119660140 \h </w:instrText>
            </w:r>
            <w:r>
              <w:rPr>
                <w:noProof/>
                <w:webHidden/>
              </w:rPr>
            </w:r>
            <w:r>
              <w:rPr>
                <w:noProof/>
                <w:webHidden/>
              </w:rPr>
              <w:fldChar w:fldCharType="separate"/>
            </w:r>
            <w:r>
              <w:rPr>
                <w:noProof/>
                <w:webHidden/>
              </w:rPr>
              <w:t>6</w:t>
            </w:r>
            <w:r>
              <w:rPr>
                <w:noProof/>
                <w:webHidden/>
              </w:rPr>
              <w:fldChar w:fldCharType="end"/>
            </w:r>
          </w:hyperlink>
        </w:p>
        <w:p w:rsidR="009E2358" w:rsidRDefault="009E2358" w14:paraId="026DDD13" w14:textId="79A89907">
          <w:pPr>
            <w:pStyle w:val="TOC1"/>
            <w:tabs>
              <w:tab w:val="right" w:leader="dot" w:pos="9350"/>
            </w:tabs>
            <w:rPr>
              <w:rFonts w:asciiTheme="minorHAnsi" w:hAnsiTheme="minorHAnsi" w:cstheme="minorBidi"/>
              <w:noProof/>
              <w:sz w:val="22"/>
            </w:rPr>
          </w:pPr>
          <w:hyperlink w:history="1" w:anchor="_Toc119660141">
            <w:r w:rsidRPr="00593F59">
              <w:rPr>
                <w:rStyle w:val="Hyperlink"/>
                <w:noProof/>
              </w:rPr>
              <w:t>3.</w:t>
            </w:r>
            <w:r>
              <w:rPr>
                <w:rFonts w:asciiTheme="minorHAnsi" w:hAnsiTheme="minorHAnsi" w:cstheme="minorBidi"/>
                <w:noProof/>
                <w:sz w:val="22"/>
              </w:rPr>
              <w:tab/>
            </w:r>
            <w:r w:rsidRPr="00593F59">
              <w:rPr>
                <w:rStyle w:val="Hyperlink"/>
                <w:noProof/>
              </w:rPr>
              <w:t>Voluntary Allocation</w:t>
            </w:r>
            <w:r>
              <w:rPr>
                <w:noProof/>
                <w:webHidden/>
              </w:rPr>
              <w:tab/>
            </w:r>
            <w:r>
              <w:rPr>
                <w:noProof/>
                <w:webHidden/>
              </w:rPr>
              <w:fldChar w:fldCharType="begin"/>
            </w:r>
            <w:r>
              <w:rPr>
                <w:noProof/>
                <w:webHidden/>
              </w:rPr>
              <w:instrText xml:space="preserve"> PAGEREF _Toc119660141 \h </w:instrText>
            </w:r>
            <w:r>
              <w:rPr>
                <w:noProof/>
                <w:webHidden/>
              </w:rPr>
            </w:r>
            <w:r>
              <w:rPr>
                <w:noProof/>
                <w:webHidden/>
              </w:rPr>
              <w:fldChar w:fldCharType="separate"/>
            </w:r>
            <w:r>
              <w:rPr>
                <w:noProof/>
                <w:webHidden/>
              </w:rPr>
              <w:t>7</w:t>
            </w:r>
            <w:r>
              <w:rPr>
                <w:noProof/>
                <w:webHidden/>
              </w:rPr>
              <w:fldChar w:fldCharType="end"/>
            </w:r>
          </w:hyperlink>
        </w:p>
        <w:p w:rsidR="009E2358" w:rsidRDefault="009E2358" w14:paraId="4BC6DD05" w14:textId="560DF80C">
          <w:pPr>
            <w:pStyle w:val="TOC1"/>
            <w:tabs>
              <w:tab w:val="right" w:leader="dot" w:pos="9350"/>
            </w:tabs>
            <w:rPr>
              <w:rFonts w:asciiTheme="minorHAnsi" w:hAnsiTheme="minorHAnsi" w:cstheme="minorBidi"/>
              <w:noProof/>
              <w:sz w:val="22"/>
            </w:rPr>
          </w:pPr>
          <w:hyperlink w:history="1" w:anchor="_Toc119660142">
            <w:r w:rsidRPr="00593F59">
              <w:rPr>
                <w:rStyle w:val="Hyperlink"/>
                <w:noProof/>
              </w:rPr>
              <w:t>4.</w:t>
            </w:r>
            <w:r>
              <w:rPr>
                <w:rFonts w:asciiTheme="minorHAnsi" w:hAnsiTheme="minorHAnsi" w:cstheme="minorBidi"/>
                <w:noProof/>
                <w:sz w:val="22"/>
              </w:rPr>
              <w:tab/>
            </w:r>
            <w:r w:rsidRPr="00593F59">
              <w:rPr>
                <w:rStyle w:val="Hyperlink"/>
                <w:noProof/>
              </w:rPr>
              <w:t>Market Offer Proposal</w:t>
            </w:r>
            <w:r>
              <w:rPr>
                <w:noProof/>
                <w:webHidden/>
              </w:rPr>
              <w:tab/>
            </w:r>
            <w:r>
              <w:rPr>
                <w:noProof/>
                <w:webHidden/>
              </w:rPr>
              <w:fldChar w:fldCharType="begin"/>
            </w:r>
            <w:r>
              <w:rPr>
                <w:noProof/>
                <w:webHidden/>
              </w:rPr>
              <w:instrText xml:space="preserve"> PAGEREF _Toc119660142 \h </w:instrText>
            </w:r>
            <w:r>
              <w:rPr>
                <w:noProof/>
                <w:webHidden/>
              </w:rPr>
            </w:r>
            <w:r>
              <w:rPr>
                <w:noProof/>
                <w:webHidden/>
              </w:rPr>
              <w:fldChar w:fldCharType="separate"/>
            </w:r>
            <w:r>
              <w:rPr>
                <w:noProof/>
                <w:webHidden/>
              </w:rPr>
              <w:t>8</w:t>
            </w:r>
            <w:r>
              <w:rPr>
                <w:noProof/>
                <w:webHidden/>
              </w:rPr>
              <w:fldChar w:fldCharType="end"/>
            </w:r>
          </w:hyperlink>
        </w:p>
        <w:p w:rsidR="009E2358" w:rsidRDefault="009E2358" w14:paraId="2719EEB9" w14:textId="4437EBC3">
          <w:pPr>
            <w:pStyle w:val="TOC2"/>
            <w:tabs>
              <w:tab w:val="right" w:leader="dot" w:pos="9350"/>
            </w:tabs>
            <w:rPr>
              <w:rFonts w:asciiTheme="minorHAnsi" w:hAnsiTheme="minorHAnsi" w:cstheme="minorBidi"/>
              <w:noProof/>
              <w:sz w:val="22"/>
            </w:rPr>
          </w:pPr>
          <w:hyperlink w:history="1" w:anchor="_Toc119660143">
            <w:r w:rsidRPr="00593F59">
              <w:rPr>
                <w:rStyle w:val="Hyperlink"/>
                <w:noProof/>
              </w:rPr>
              <w:t>4.1.</w:t>
            </w:r>
            <w:r>
              <w:rPr>
                <w:rFonts w:asciiTheme="minorHAnsi" w:hAnsiTheme="minorHAnsi" w:cstheme="minorBidi"/>
                <w:noProof/>
                <w:sz w:val="22"/>
              </w:rPr>
              <w:tab/>
            </w:r>
            <w:r w:rsidRPr="00593F59">
              <w:rPr>
                <w:rStyle w:val="Hyperlink"/>
                <w:noProof/>
              </w:rPr>
              <w:t>IOU Proposal Summary</w:t>
            </w:r>
            <w:r>
              <w:rPr>
                <w:noProof/>
                <w:webHidden/>
              </w:rPr>
              <w:tab/>
            </w:r>
            <w:r>
              <w:rPr>
                <w:noProof/>
                <w:webHidden/>
              </w:rPr>
              <w:fldChar w:fldCharType="begin"/>
            </w:r>
            <w:r>
              <w:rPr>
                <w:noProof/>
                <w:webHidden/>
              </w:rPr>
              <w:instrText xml:space="preserve"> PAGEREF _Toc119660143 \h </w:instrText>
            </w:r>
            <w:r>
              <w:rPr>
                <w:noProof/>
                <w:webHidden/>
              </w:rPr>
            </w:r>
            <w:r>
              <w:rPr>
                <w:noProof/>
                <w:webHidden/>
              </w:rPr>
              <w:fldChar w:fldCharType="separate"/>
            </w:r>
            <w:r>
              <w:rPr>
                <w:noProof/>
                <w:webHidden/>
              </w:rPr>
              <w:t>8</w:t>
            </w:r>
            <w:r>
              <w:rPr>
                <w:noProof/>
                <w:webHidden/>
              </w:rPr>
              <w:fldChar w:fldCharType="end"/>
            </w:r>
          </w:hyperlink>
        </w:p>
        <w:p w:rsidR="009E2358" w:rsidRDefault="009E2358" w14:paraId="28E7FAE3" w14:textId="66966F89">
          <w:pPr>
            <w:pStyle w:val="TOC2"/>
            <w:tabs>
              <w:tab w:val="right" w:leader="dot" w:pos="9350"/>
            </w:tabs>
            <w:rPr>
              <w:rFonts w:asciiTheme="minorHAnsi" w:hAnsiTheme="minorHAnsi" w:cstheme="minorBidi"/>
              <w:noProof/>
              <w:sz w:val="22"/>
            </w:rPr>
          </w:pPr>
          <w:hyperlink w:history="1" w:anchor="_Toc119660144">
            <w:r w:rsidRPr="00593F59">
              <w:rPr>
                <w:rStyle w:val="Hyperlink"/>
                <w:noProof/>
              </w:rPr>
              <w:t>4.2.</w:t>
            </w:r>
            <w:r>
              <w:rPr>
                <w:rFonts w:asciiTheme="minorHAnsi" w:hAnsiTheme="minorHAnsi" w:cstheme="minorBidi"/>
                <w:noProof/>
                <w:sz w:val="22"/>
              </w:rPr>
              <w:tab/>
            </w:r>
            <w:r w:rsidRPr="00593F59">
              <w:rPr>
                <w:rStyle w:val="Hyperlink"/>
                <w:noProof/>
              </w:rPr>
              <w:t>Parties Comment Summary</w:t>
            </w:r>
            <w:r>
              <w:rPr>
                <w:noProof/>
                <w:webHidden/>
              </w:rPr>
              <w:tab/>
            </w:r>
            <w:r>
              <w:rPr>
                <w:noProof/>
                <w:webHidden/>
              </w:rPr>
              <w:fldChar w:fldCharType="begin"/>
            </w:r>
            <w:r>
              <w:rPr>
                <w:noProof/>
                <w:webHidden/>
              </w:rPr>
              <w:instrText xml:space="preserve"> PAGEREF _Toc119660144 \h </w:instrText>
            </w:r>
            <w:r>
              <w:rPr>
                <w:noProof/>
                <w:webHidden/>
              </w:rPr>
            </w:r>
            <w:r>
              <w:rPr>
                <w:noProof/>
                <w:webHidden/>
              </w:rPr>
              <w:fldChar w:fldCharType="separate"/>
            </w:r>
            <w:r>
              <w:rPr>
                <w:noProof/>
                <w:webHidden/>
              </w:rPr>
              <w:t>10</w:t>
            </w:r>
            <w:r>
              <w:rPr>
                <w:noProof/>
                <w:webHidden/>
              </w:rPr>
              <w:fldChar w:fldCharType="end"/>
            </w:r>
          </w:hyperlink>
        </w:p>
        <w:p w:rsidR="009E2358" w:rsidRDefault="009E2358" w14:paraId="66909B79" w14:textId="1B7A0991">
          <w:pPr>
            <w:pStyle w:val="TOC2"/>
            <w:tabs>
              <w:tab w:val="right" w:leader="dot" w:pos="9350"/>
            </w:tabs>
            <w:rPr>
              <w:rFonts w:asciiTheme="minorHAnsi" w:hAnsiTheme="minorHAnsi" w:cstheme="minorBidi"/>
              <w:noProof/>
              <w:sz w:val="22"/>
            </w:rPr>
          </w:pPr>
          <w:hyperlink w:history="1" w:anchor="_Toc119660145">
            <w:r w:rsidRPr="00593F59">
              <w:rPr>
                <w:rStyle w:val="Hyperlink"/>
                <w:noProof/>
              </w:rPr>
              <w:t>4.3.</w:t>
            </w:r>
            <w:r>
              <w:rPr>
                <w:rFonts w:asciiTheme="minorHAnsi" w:hAnsiTheme="minorHAnsi" w:cstheme="minorBidi"/>
                <w:noProof/>
                <w:sz w:val="22"/>
              </w:rPr>
              <w:tab/>
            </w:r>
            <w:r w:rsidRPr="00593F59">
              <w:rPr>
                <w:rStyle w:val="Hyperlink"/>
                <w:noProof/>
              </w:rPr>
              <w:t>IOUs’ Replies Summary</w:t>
            </w:r>
            <w:r>
              <w:rPr>
                <w:noProof/>
                <w:webHidden/>
              </w:rPr>
              <w:tab/>
            </w:r>
            <w:r>
              <w:rPr>
                <w:noProof/>
                <w:webHidden/>
              </w:rPr>
              <w:fldChar w:fldCharType="begin"/>
            </w:r>
            <w:r>
              <w:rPr>
                <w:noProof/>
                <w:webHidden/>
              </w:rPr>
              <w:instrText xml:space="preserve"> PAGEREF _Toc119660145 \h </w:instrText>
            </w:r>
            <w:r>
              <w:rPr>
                <w:noProof/>
                <w:webHidden/>
              </w:rPr>
            </w:r>
            <w:r>
              <w:rPr>
                <w:noProof/>
                <w:webHidden/>
              </w:rPr>
              <w:fldChar w:fldCharType="separate"/>
            </w:r>
            <w:r>
              <w:rPr>
                <w:noProof/>
                <w:webHidden/>
              </w:rPr>
              <w:t>11</w:t>
            </w:r>
            <w:r>
              <w:rPr>
                <w:noProof/>
                <w:webHidden/>
              </w:rPr>
              <w:fldChar w:fldCharType="end"/>
            </w:r>
          </w:hyperlink>
        </w:p>
        <w:p w:rsidR="009E2358" w:rsidRDefault="009E2358" w14:paraId="54A955F6" w14:textId="01634F66">
          <w:pPr>
            <w:pStyle w:val="TOC1"/>
            <w:tabs>
              <w:tab w:val="right" w:leader="dot" w:pos="9350"/>
            </w:tabs>
            <w:rPr>
              <w:rFonts w:asciiTheme="minorHAnsi" w:hAnsiTheme="minorHAnsi" w:cstheme="minorBidi"/>
              <w:noProof/>
              <w:sz w:val="22"/>
            </w:rPr>
          </w:pPr>
          <w:hyperlink w:history="1" w:anchor="_Toc119660146">
            <w:r w:rsidRPr="00593F59">
              <w:rPr>
                <w:rStyle w:val="Hyperlink"/>
                <w:noProof/>
              </w:rPr>
              <w:t>5.</w:t>
            </w:r>
            <w:r>
              <w:rPr>
                <w:rFonts w:asciiTheme="minorHAnsi" w:hAnsiTheme="minorHAnsi" w:cstheme="minorBidi"/>
                <w:noProof/>
                <w:sz w:val="22"/>
              </w:rPr>
              <w:tab/>
            </w:r>
            <w:r w:rsidRPr="00593F59">
              <w:rPr>
                <w:rStyle w:val="Hyperlink"/>
                <w:noProof/>
              </w:rPr>
              <w:t>Market Offer Process</w:t>
            </w:r>
            <w:r>
              <w:rPr>
                <w:noProof/>
                <w:webHidden/>
              </w:rPr>
              <w:tab/>
            </w:r>
            <w:r>
              <w:rPr>
                <w:noProof/>
                <w:webHidden/>
              </w:rPr>
              <w:fldChar w:fldCharType="begin"/>
            </w:r>
            <w:r>
              <w:rPr>
                <w:noProof/>
                <w:webHidden/>
              </w:rPr>
              <w:instrText xml:space="preserve"> PAGEREF _Toc119660146 \h </w:instrText>
            </w:r>
            <w:r>
              <w:rPr>
                <w:noProof/>
                <w:webHidden/>
              </w:rPr>
            </w:r>
            <w:r>
              <w:rPr>
                <w:noProof/>
                <w:webHidden/>
              </w:rPr>
              <w:fldChar w:fldCharType="separate"/>
            </w:r>
            <w:r>
              <w:rPr>
                <w:noProof/>
                <w:webHidden/>
              </w:rPr>
              <w:t>15</w:t>
            </w:r>
            <w:r>
              <w:rPr>
                <w:noProof/>
                <w:webHidden/>
              </w:rPr>
              <w:fldChar w:fldCharType="end"/>
            </w:r>
          </w:hyperlink>
        </w:p>
        <w:p w:rsidR="009E2358" w:rsidRDefault="009E2358" w14:paraId="7F539282" w14:textId="19137E50">
          <w:pPr>
            <w:pStyle w:val="TOC2"/>
            <w:tabs>
              <w:tab w:val="right" w:leader="dot" w:pos="9350"/>
            </w:tabs>
            <w:rPr>
              <w:rFonts w:asciiTheme="minorHAnsi" w:hAnsiTheme="minorHAnsi" w:cstheme="minorBidi"/>
              <w:noProof/>
              <w:sz w:val="22"/>
            </w:rPr>
          </w:pPr>
          <w:hyperlink w:history="1" w:anchor="_Toc119660147">
            <w:r w:rsidRPr="00593F59">
              <w:rPr>
                <w:rStyle w:val="Hyperlink"/>
                <w:noProof/>
              </w:rPr>
              <w:t>5.1</w:t>
            </w:r>
            <w:r>
              <w:rPr>
                <w:rFonts w:asciiTheme="minorHAnsi" w:hAnsiTheme="minorHAnsi" w:cstheme="minorBidi"/>
                <w:noProof/>
                <w:sz w:val="22"/>
              </w:rPr>
              <w:tab/>
            </w:r>
            <w:r w:rsidRPr="00593F59">
              <w:rPr>
                <w:rStyle w:val="Hyperlink"/>
                <w:noProof/>
              </w:rPr>
              <w:t>Market Offer Solicitation Protocol</w:t>
            </w:r>
            <w:r>
              <w:rPr>
                <w:noProof/>
                <w:webHidden/>
              </w:rPr>
              <w:tab/>
            </w:r>
            <w:r>
              <w:rPr>
                <w:noProof/>
                <w:webHidden/>
              </w:rPr>
              <w:fldChar w:fldCharType="begin"/>
            </w:r>
            <w:r>
              <w:rPr>
                <w:noProof/>
                <w:webHidden/>
              </w:rPr>
              <w:instrText xml:space="preserve"> PAGEREF _Toc119660147 \h </w:instrText>
            </w:r>
            <w:r>
              <w:rPr>
                <w:noProof/>
                <w:webHidden/>
              </w:rPr>
            </w:r>
            <w:r>
              <w:rPr>
                <w:noProof/>
                <w:webHidden/>
              </w:rPr>
              <w:fldChar w:fldCharType="separate"/>
            </w:r>
            <w:r>
              <w:rPr>
                <w:noProof/>
                <w:webHidden/>
              </w:rPr>
              <w:t>15</w:t>
            </w:r>
            <w:r>
              <w:rPr>
                <w:noProof/>
                <w:webHidden/>
              </w:rPr>
              <w:fldChar w:fldCharType="end"/>
            </w:r>
          </w:hyperlink>
        </w:p>
        <w:p w:rsidR="009E2358" w:rsidRDefault="009E2358" w14:paraId="442884C1" w14:textId="67F799D4">
          <w:pPr>
            <w:pStyle w:val="TOC3"/>
            <w:tabs>
              <w:tab w:val="left" w:pos="1296"/>
              <w:tab w:val="right" w:leader="dot" w:pos="9350"/>
            </w:tabs>
            <w:rPr>
              <w:rFonts w:asciiTheme="minorHAnsi" w:hAnsiTheme="minorHAnsi" w:cstheme="minorBidi"/>
              <w:noProof/>
              <w:sz w:val="22"/>
            </w:rPr>
          </w:pPr>
          <w:hyperlink w:history="1" w:anchor="_Toc119660148">
            <w:r w:rsidRPr="00593F59">
              <w:rPr>
                <w:rStyle w:val="Hyperlink"/>
                <w:noProof/>
              </w:rPr>
              <w:t>5.1.1</w:t>
            </w:r>
            <w:r>
              <w:rPr>
                <w:rFonts w:asciiTheme="minorHAnsi" w:hAnsiTheme="minorHAnsi" w:cstheme="minorBidi"/>
                <w:noProof/>
                <w:sz w:val="22"/>
              </w:rPr>
              <w:tab/>
            </w:r>
            <w:r w:rsidRPr="00593F59">
              <w:rPr>
                <w:rStyle w:val="Hyperlink"/>
                <w:noProof/>
              </w:rPr>
              <w:t>Long-term contracts offered in</w:t>
            </w:r>
            <w:r>
              <w:rPr>
                <w:rStyle w:val="Hyperlink"/>
                <w:noProof/>
              </w:rPr>
              <w:br/>
            </w:r>
            <w:r w:rsidRPr="00593F59">
              <w:rPr>
                <w:rStyle w:val="Hyperlink"/>
                <w:noProof/>
              </w:rPr>
              <w:t>the Market Offer Process</w:t>
            </w:r>
            <w:r>
              <w:rPr>
                <w:noProof/>
                <w:webHidden/>
              </w:rPr>
              <w:tab/>
            </w:r>
            <w:r>
              <w:rPr>
                <w:noProof/>
                <w:webHidden/>
              </w:rPr>
              <w:fldChar w:fldCharType="begin"/>
            </w:r>
            <w:r>
              <w:rPr>
                <w:noProof/>
                <w:webHidden/>
              </w:rPr>
              <w:instrText xml:space="preserve"> PAGEREF _Toc119660148 \h </w:instrText>
            </w:r>
            <w:r>
              <w:rPr>
                <w:noProof/>
                <w:webHidden/>
              </w:rPr>
            </w:r>
            <w:r>
              <w:rPr>
                <w:noProof/>
                <w:webHidden/>
              </w:rPr>
              <w:fldChar w:fldCharType="separate"/>
            </w:r>
            <w:r>
              <w:rPr>
                <w:noProof/>
                <w:webHidden/>
              </w:rPr>
              <w:t>16</w:t>
            </w:r>
            <w:r>
              <w:rPr>
                <w:noProof/>
                <w:webHidden/>
              </w:rPr>
              <w:fldChar w:fldCharType="end"/>
            </w:r>
          </w:hyperlink>
        </w:p>
        <w:p w:rsidR="009E2358" w:rsidRDefault="009E2358" w14:paraId="6179BFF2" w14:textId="0BC93892">
          <w:pPr>
            <w:pStyle w:val="TOC3"/>
            <w:tabs>
              <w:tab w:val="left" w:pos="1296"/>
              <w:tab w:val="right" w:leader="dot" w:pos="9350"/>
            </w:tabs>
            <w:rPr>
              <w:rFonts w:asciiTheme="minorHAnsi" w:hAnsiTheme="minorHAnsi" w:cstheme="minorBidi"/>
              <w:noProof/>
              <w:sz w:val="22"/>
            </w:rPr>
          </w:pPr>
          <w:hyperlink w:history="1" w:anchor="_Toc119660149">
            <w:r w:rsidRPr="00593F59">
              <w:rPr>
                <w:rStyle w:val="Hyperlink"/>
                <w:noProof/>
              </w:rPr>
              <w:t>5.1.2</w:t>
            </w:r>
            <w:r>
              <w:rPr>
                <w:rFonts w:asciiTheme="minorHAnsi" w:hAnsiTheme="minorHAnsi" w:cstheme="minorBidi"/>
                <w:noProof/>
                <w:sz w:val="22"/>
              </w:rPr>
              <w:tab/>
            </w:r>
            <w:r w:rsidRPr="00593F59">
              <w:rPr>
                <w:rStyle w:val="Hyperlink"/>
                <w:noProof/>
              </w:rPr>
              <w:t>Incremental slices of RECs in Market Offer</w:t>
            </w:r>
            <w:r>
              <w:rPr>
                <w:noProof/>
                <w:webHidden/>
              </w:rPr>
              <w:tab/>
            </w:r>
            <w:r>
              <w:rPr>
                <w:noProof/>
                <w:webHidden/>
              </w:rPr>
              <w:fldChar w:fldCharType="begin"/>
            </w:r>
            <w:r>
              <w:rPr>
                <w:noProof/>
                <w:webHidden/>
              </w:rPr>
              <w:instrText xml:space="preserve"> PAGEREF _Toc119660149 \h </w:instrText>
            </w:r>
            <w:r>
              <w:rPr>
                <w:noProof/>
                <w:webHidden/>
              </w:rPr>
            </w:r>
            <w:r>
              <w:rPr>
                <w:noProof/>
                <w:webHidden/>
              </w:rPr>
              <w:fldChar w:fldCharType="separate"/>
            </w:r>
            <w:r>
              <w:rPr>
                <w:noProof/>
                <w:webHidden/>
              </w:rPr>
              <w:t>21</w:t>
            </w:r>
            <w:r>
              <w:rPr>
                <w:noProof/>
                <w:webHidden/>
              </w:rPr>
              <w:fldChar w:fldCharType="end"/>
            </w:r>
          </w:hyperlink>
        </w:p>
        <w:p w:rsidR="009E2358" w:rsidRDefault="009E2358" w14:paraId="16C58CF8" w14:textId="3323F154">
          <w:pPr>
            <w:pStyle w:val="TOC3"/>
            <w:tabs>
              <w:tab w:val="left" w:pos="1296"/>
              <w:tab w:val="right" w:leader="dot" w:pos="9350"/>
            </w:tabs>
            <w:rPr>
              <w:rFonts w:asciiTheme="minorHAnsi" w:hAnsiTheme="minorHAnsi" w:cstheme="minorBidi"/>
              <w:noProof/>
              <w:sz w:val="22"/>
            </w:rPr>
          </w:pPr>
          <w:hyperlink w:history="1" w:anchor="_Toc119660150">
            <w:r w:rsidRPr="00593F59">
              <w:rPr>
                <w:rStyle w:val="Hyperlink"/>
                <w:noProof/>
              </w:rPr>
              <w:t>5.1.3</w:t>
            </w:r>
            <w:r>
              <w:rPr>
                <w:rFonts w:asciiTheme="minorHAnsi" w:hAnsiTheme="minorHAnsi" w:cstheme="minorBidi"/>
                <w:noProof/>
                <w:sz w:val="22"/>
              </w:rPr>
              <w:tab/>
            </w:r>
            <w:r w:rsidRPr="00593F59">
              <w:rPr>
                <w:rStyle w:val="Hyperlink"/>
                <w:noProof/>
              </w:rPr>
              <w:t>Revising Market Offer Pro Forma Contract for</w:t>
            </w:r>
            <w:r>
              <w:rPr>
                <w:rStyle w:val="Hyperlink"/>
                <w:noProof/>
              </w:rPr>
              <w:br/>
            </w:r>
            <w:r w:rsidRPr="00593F59">
              <w:rPr>
                <w:rStyle w:val="Hyperlink"/>
                <w:noProof/>
              </w:rPr>
              <w:t>Products Offered, Implementation Process and Timing</w:t>
            </w:r>
            <w:r>
              <w:rPr>
                <w:noProof/>
                <w:webHidden/>
              </w:rPr>
              <w:tab/>
            </w:r>
            <w:r>
              <w:rPr>
                <w:noProof/>
                <w:webHidden/>
              </w:rPr>
              <w:fldChar w:fldCharType="begin"/>
            </w:r>
            <w:r>
              <w:rPr>
                <w:noProof/>
                <w:webHidden/>
              </w:rPr>
              <w:instrText xml:space="preserve"> PAGEREF _Toc119660150 \h </w:instrText>
            </w:r>
            <w:r>
              <w:rPr>
                <w:noProof/>
                <w:webHidden/>
              </w:rPr>
            </w:r>
            <w:r>
              <w:rPr>
                <w:noProof/>
                <w:webHidden/>
              </w:rPr>
              <w:fldChar w:fldCharType="separate"/>
            </w:r>
            <w:r>
              <w:rPr>
                <w:noProof/>
                <w:webHidden/>
              </w:rPr>
              <w:t>23</w:t>
            </w:r>
            <w:r>
              <w:rPr>
                <w:noProof/>
                <w:webHidden/>
              </w:rPr>
              <w:fldChar w:fldCharType="end"/>
            </w:r>
          </w:hyperlink>
        </w:p>
        <w:p w:rsidR="009E2358" w:rsidRDefault="009E2358" w14:paraId="33BDC8B5" w14:textId="25BF8422">
          <w:pPr>
            <w:pStyle w:val="TOC3"/>
            <w:tabs>
              <w:tab w:val="left" w:pos="1296"/>
              <w:tab w:val="right" w:leader="dot" w:pos="9350"/>
            </w:tabs>
            <w:rPr>
              <w:rFonts w:asciiTheme="minorHAnsi" w:hAnsiTheme="minorHAnsi" w:cstheme="minorBidi"/>
              <w:noProof/>
              <w:sz w:val="22"/>
            </w:rPr>
          </w:pPr>
          <w:hyperlink w:history="1" w:anchor="_Toc119660151">
            <w:r w:rsidRPr="00593F59">
              <w:rPr>
                <w:rStyle w:val="Hyperlink"/>
                <w:noProof/>
              </w:rPr>
              <w:t>5.1.4</w:t>
            </w:r>
            <w:r>
              <w:rPr>
                <w:rFonts w:asciiTheme="minorHAnsi" w:hAnsiTheme="minorHAnsi" w:cstheme="minorBidi"/>
                <w:noProof/>
                <w:sz w:val="22"/>
              </w:rPr>
              <w:tab/>
            </w:r>
            <w:r w:rsidRPr="00593F59">
              <w:rPr>
                <w:rStyle w:val="Hyperlink"/>
                <w:noProof/>
              </w:rPr>
              <w:t>Bid Floor</w:t>
            </w:r>
            <w:r>
              <w:rPr>
                <w:noProof/>
                <w:webHidden/>
              </w:rPr>
              <w:tab/>
            </w:r>
            <w:r>
              <w:rPr>
                <w:noProof/>
                <w:webHidden/>
              </w:rPr>
              <w:fldChar w:fldCharType="begin"/>
            </w:r>
            <w:r>
              <w:rPr>
                <w:noProof/>
                <w:webHidden/>
              </w:rPr>
              <w:instrText xml:space="preserve"> PAGEREF _Toc119660151 \h </w:instrText>
            </w:r>
            <w:r>
              <w:rPr>
                <w:noProof/>
                <w:webHidden/>
              </w:rPr>
            </w:r>
            <w:r>
              <w:rPr>
                <w:noProof/>
                <w:webHidden/>
              </w:rPr>
              <w:fldChar w:fldCharType="separate"/>
            </w:r>
            <w:r>
              <w:rPr>
                <w:noProof/>
                <w:webHidden/>
              </w:rPr>
              <w:t>25</w:t>
            </w:r>
            <w:r>
              <w:rPr>
                <w:noProof/>
                <w:webHidden/>
              </w:rPr>
              <w:fldChar w:fldCharType="end"/>
            </w:r>
          </w:hyperlink>
        </w:p>
        <w:p w:rsidR="009E2358" w:rsidRDefault="009E2358" w14:paraId="12C98D97" w14:textId="61A37666">
          <w:pPr>
            <w:pStyle w:val="TOC2"/>
            <w:tabs>
              <w:tab w:val="right" w:leader="dot" w:pos="9350"/>
            </w:tabs>
            <w:rPr>
              <w:rFonts w:asciiTheme="minorHAnsi" w:hAnsiTheme="minorHAnsi" w:cstheme="minorBidi"/>
              <w:noProof/>
              <w:sz w:val="22"/>
            </w:rPr>
          </w:pPr>
          <w:hyperlink w:history="1" w:anchor="_Toc119660152">
            <w:r w:rsidRPr="00593F59">
              <w:rPr>
                <w:rStyle w:val="Hyperlink"/>
                <w:noProof/>
              </w:rPr>
              <w:t>5.2</w:t>
            </w:r>
            <w:r>
              <w:rPr>
                <w:rFonts w:asciiTheme="minorHAnsi" w:hAnsiTheme="minorHAnsi" w:cstheme="minorBidi"/>
                <w:noProof/>
                <w:sz w:val="22"/>
              </w:rPr>
              <w:tab/>
            </w:r>
            <w:r w:rsidRPr="00593F59">
              <w:rPr>
                <w:rStyle w:val="Hyperlink"/>
                <w:noProof/>
              </w:rPr>
              <w:t>Market Offer Process Code of Conduct</w:t>
            </w:r>
            <w:r>
              <w:rPr>
                <w:noProof/>
                <w:webHidden/>
              </w:rPr>
              <w:tab/>
            </w:r>
            <w:r>
              <w:rPr>
                <w:noProof/>
                <w:webHidden/>
              </w:rPr>
              <w:fldChar w:fldCharType="begin"/>
            </w:r>
            <w:r>
              <w:rPr>
                <w:noProof/>
                <w:webHidden/>
              </w:rPr>
              <w:instrText xml:space="preserve"> PAGEREF _Toc119660152 \h </w:instrText>
            </w:r>
            <w:r>
              <w:rPr>
                <w:noProof/>
                <w:webHidden/>
              </w:rPr>
            </w:r>
            <w:r>
              <w:rPr>
                <w:noProof/>
                <w:webHidden/>
              </w:rPr>
              <w:fldChar w:fldCharType="separate"/>
            </w:r>
            <w:r>
              <w:rPr>
                <w:noProof/>
                <w:webHidden/>
              </w:rPr>
              <w:t>27</w:t>
            </w:r>
            <w:r>
              <w:rPr>
                <w:noProof/>
                <w:webHidden/>
              </w:rPr>
              <w:fldChar w:fldCharType="end"/>
            </w:r>
          </w:hyperlink>
        </w:p>
        <w:p w:rsidR="009E2358" w:rsidRDefault="009E2358" w14:paraId="5949986B" w14:textId="50358CF3">
          <w:pPr>
            <w:pStyle w:val="TOC2"/>
            <w:tabs>
              <w:tab w:val="right" w:leader="dot" w:pos="9350"/>
            </w:tabs>
            <w:rPr>
              <w:rFonts w:asciiTheme="minorHAnsi" w:hAnsiTheme="minorHAnsi" w:cstheme="minorBidi"/>
              <w:noProof/>
              <w:sz w:val="22"/>
            </w:rPr>
          </w:pPr>
          <w:hyperlink w:history="1" w:anchor="_Toc119660153">
            <w:r w:rsidRPr="00593F59">
              <w:rPr>
                <w:rStyle w:val="Hyperlink"/>
                <w:noProof/>
              </w:rPr>
              <w:t>5.3</w:t>
            </w:r>
            <w:r>
              <w:rPr>
                <w:rFonts w:asciiTheme="minorHAnsi" w:hAnsiTheme="minorHAnsi" w:cstheme="minorBidi"/>
                <w:noProof/>
                <w:sz w:val="22"/>
              </w:rPr>
              <w:tab/>
            </w:r>
            <w:r w:rsidRPr="00593F59">
              <w:rPr>
                <w:rStyle w:val="Hyperlink"/>
                <w:noProof/>
              </w:rPr>
              <w:t>Remedies for Violation of Market Offer Process</w:t>
            </w:r>
            <w:r>
              <w:rPr>
                <w:noProof/>
                <w:webHidden/>
              </w:rPr>
              <w:tab/>
            </w:r>
            <w:r>
              <w:rPr>
                <w:noProof/>
                <w:webHidden/>
              </w:rPr>
              <w:fldChar w:fldCharType="begin"/>
            </w:r>
            <w:r>
              <w:rPr>
                <w:noProof/>
                <w:webHidden/>
              </w:rPr>
              <w:instrText xml:space="preserve"> PAGEREF _Toc119660153 \h </w:instrText>
            </w:r>
            <w:r>
              <w:rPr>
                <w:noProof/>
                <w:webHidden/>
              </w:rPr>
            </w:r>
            <w:r>
              <w:rPr>
                <w:noProof/>
                <w:webHidden/>
              </w:rPr>
              <w:fldChar w:fldCharType="separate"/>
            </w:r>
            <w:r>
              <w:rPr>
                <w:noProof/>
                <w:webHidden/>
              </w:rPr>
              <w:t>31</w:t>
            </w:r>
            <w:r>
              <w:rPr>
                <w:noProof/>
                <w:webHidden/>
              </w:rPr>
              <w:fldChar w:fldCharType="end"/>
            </w:r>
          </w:hyperlink>
        </w:p>
        <w:p w:rsidR="009E2358" w:rsidRDefault="009E2358" w14:paraId="77693468" w14:textId="37853018">
          <w:pPr>
            <w:pStyle w:val="TOC2"/>
            <w:tabs>
              <w:tab w:val="right" w:leader="dot" w:pos="9350"/>
            </w:tabs>
            <w:rPr>
              <w:rFonts w:asciiTheme="minorHAnsi" w:hAnsiTheme="minorHAnsi" w:cstheme="minorBidi"/>
              <w:noProof/>
              <w:sz w:val="22"/>
            </w:rPr>
          </w:pPr>
          <w:hyperlink w:history="1" w:anchor="_Toc119660154">
            <w:r w:rsidRPr="00593F59">
              <w:rPr>
                <w:rStyle w:val="Hyperlink"/>
                <w:noProof/>
              </w:rPr>
              <w:t>5.4</w:t>
            </w:r>
            <w:r>
              <w:rPr>
                <w:rFonts w:asciiTheme="minorHAnsi" w:hAnsiTheme="minorHAnsi" w:cstheme="minorBidi"/>
                <w:noProof/>
                <w:sz w:val="22"/>
              </w:rPr>
              <w:tab/>
            </w:r>
            <w:r w:rsidRPr="00593F59">
              <w:rPr>
                <w:rStyle w:val="Hyperlink"/>
                <w:noProof/>
              </w:rPr>
              <w:t>Allocation of Sales Revenue and True Up Process for</w:t>
            </w:r>
            <w:r>
              <w:rPr>
                <w:rStyle w:val="Hyperlink"/>
                <w:noProof/>
              </w:rPr>
              <w:br/>
            </w:r>
            <w:r w:rsidRPr="00593F59">
              <w:rPr>
                <w:rStyle w:val="Hyperlink"/>
                <w:noProof/>
              </w:rPr>
              <w:t>ERRA Applications</w:t>
            </w:r>
            <w:r>
              <w:rPr>
                <w:noProof/>
                <w:webHidden/>
              </w:rPr>
              <w:tab/>
            </w:r>
            <w:r>
              <w:rPr>
                <w:noProof/>
                <w:webHidden/>
              </w:rPr>
              <w:fldChar w:fldCharType="begin"/>
            </w:r>
            <w:r>
              <w:rPr>
                <w:noProof/>
                <w:webHidden/>
              </w:rPr>
              <w:instrText xml:space="preserve"> PAGEREF _Toc119660154 \h </w:instrText>
            </w:r>
            <w:r>
              <w:rPr>
                <w:noProof/>
                <w:webHidden/>
              </w:rPr>
            </w:r>
            <w:r>
              <w:rPr>
                <w:noProof/>
                <w:webHidden/>
              </w:rPr>
              <w:fldChar w:fldCharType="separate"/>
            </w:r>
            <w:r>
              <w:rPr>
                <w:noProof/>
                <w:webHidden/>
              </w:rPr>
              <w:t>36</w:t>
            </w:r>
            <w:r>
              <w:rPr>
                <w:noProof/>
                <w:webHidden/>
              </w:rPr>
              <w:fldChar w:fldCharType="end"/>
            </w:r>
          </w:hyperlink>
        </w:p>
        <w:p w:rsidR="009E2358" w:rsidRDefault="009E2358" w14:paraId="1A0C7D6F" w14:textId="1FA3C9A3">
          <w:pPr>
            <w:pStyle w:val="TOC2"/>
            <w:tabs>
              <w:tab w:val="right" w:leader="dot" w:pos="9350"/>
            </w:tabs>
            <w:rPr>
              <w:rFonts w:asciiTheme="minorHAnsi" w:hAnsiTheme="minorHAnsi" w:cstheme="minorBidi"/>
              <w:noProof/>
              <w:sz w:val="22"/>
            </w:rPr>
          </w:pPr>
          <w:hyperlink w:history="1" w:anchor="_Toc119660155">
            <w:r w:rsidRPr="00593F59">
              <w:rPr>
                <w:rStyle w:val="Hyperlink"/>
                <w:noProof/>
              </w:rPr>
              <w:t>5.5</w:t>
            </w:r>
            <w:r>
              <w:rPr>
                <w:rFonts w:asciiTheme="minorHAnsi" w:hAnsiTheme="minorHAnsi" w:cstheme="minorBidi"/>
                <w:noProof/>
                <w:sz w:val="22"/>
              </w:rPr>
              <w:tab/>
            </w:r>
            <w:r w:rsidRPr="00593F59">
              <w:rPr>
                <w:rStyle w:val="Hyperlink"/>
                <w:noProof/>
              </w:rPr>
              <w:t>Proposed Timeline</w:t>
            </w:r>
            <w:r>
              <w:rPr>
                <w:noProof/>
                <w:webHidden/>
              </w:rPr>
              <w:tab/>
            </w:r>
            <w:r>
              <w:rPr>
                <w:noProof/>
                <w:webHidden/>
              </w:rPr>
              <w:fldChar w:fldCharType="begin"/>
            </w:r>
            <w:r>
              <w:rPr>
                <w:noProof/>
                <w:webHidden/>
              </w:rPr>
              <w:instrText xml:space="preserve"> PAGEREF _Toc119660155 \h </w:instrText>
            </w:r>
            <w:r>
              <w:rPr>
                <w:noProof/>
                <w:webHidden/>
              </w:rPr>
            </w:r>
            <w:r>
              <w:rPr>
                <w:noProof/>
                <w:webHidden/>
              </w:rPr>
              <w:fldChar w:fldCharType="separate"/>
            </w:r>
            <w:r>
              <w:rPr>
                <w:noProof/>
                <w:webHidden/>
              </w:rPr>
              <w:t>38</w:t>
            </w:r>
            <w:r>
              <w:rPr>
                <w:noProof/>
                <w:webHidden/>
              </w:rPr>
              <w:fldChar w:fldCharType="end"/>
            </w:r>
          </w:hyperlink>
        </w:p>
        <w:p w:rsidR="009E2358" w:rsidRDefault="009E2358" w14:paraId="6C34C458" w14:textId="65362599">
          <w:pPr>
            <w:pStyle w:val="TOC1"/>
            <w:tabs>
              <w:tab w:val="right" w:leader="dot" w:pos="9350"/>
            </w:tabs>
            <w:rPr>
              <w:rFonts w:asciiTheme="minorHAnsi" w:hAnsiTheme="minorHAnsi" w:cstheme="minorBidi"/>
              <w:noProof/>
              <w:sz w:val="22"/>
            </w:rPr>
          </w:pPr>
          <w:hyperlink w:history="1" w:anchor="_Toc119660156">
            <w:r w:rsidRPr="00593F59">
              <w:rPr>
                <w:rStyle w:val="Hyperlink"/>
                <w:noProof/>
              </w:rPr>
              <w:t>6.</w:t>
            </w:r>
            <w:r>
              <w:rPr>
                <w:rFonts w:asciiTheme="minorHAnsi" w:hAnsiTheme="minorHAnsi" w:cstheme="minorBidi"/>
                <w:noProof/>
                <w:sz w:val="22"/>
              </w:rPr>
              <w:tab/>
            </w:r>
            <w:r w:rsidRPr="00593F59">
              <w:rPr>
                <w:rStyle w:val="Hyperlink"/>
                <w:noProof/>
              </w:rPr>
              <w:t>Comments on Proposed Decision</w:t>
            </w:r>
            <w:r>
              <w:rPr>
                <w:noProof/>
                <w:webHidden/>
              </w:rPr>
              <w:tab/>
            </w:r>
            <w:r>
              <w:rPr>
                <w:noProof/>
                <w:webHidden/>
              </w:rPr>
              <w:fldChar w:fldCharType="begin"/>
            </w:r>
            <w:r>
              <w:rPr>
                <w:noProof/>
                <w:webHidden/>
              </w:rPr>
              <w:instrText xml:space="preserve"> PAGEREF _Toc119660156 \h </w:instrText>
            </w:r>
            <w:r>
              <w:rPr>
                <w:noProof/>
                <w:webHidden/>
              </w:rPr>
            </w:r>
            <w:r>
              <w:rPr>
                <w:noProof/>
                <w:webHidden/>
              </w:rPr>
              <w:fldChar w:fldCharType="separate"/>
            </w:r>
            <w:r>
              <w:rPr>
                <w:noProof/>
                <w:webHidden/>
              </w:rPr>
              <w:t>39</w:t>
            </w:r>
            <w:r>
              <w:rPr>
                <w:noProof/>
                <w:webHidden/>
              </w:rPr>
              <w:fldChar w:fldCharType="end"/>
            </w:r>
          </w:hyperlink>
        </w:p>
        <w:p w:rsidR="009E2358" w:rsidRDefault="009E2358" w14:paraId="3F5D4693" w14:textId="30171B64">
          <w:pPr>
            <w:pStyle w:val="TOC1"/>
            <w:tabs>
              <w:tab w:val="right" w:leader="dot" w:pos="9350"/>
            </w:tabs>
            <w:rPr>
              <w:rFonts w:asciiTheme="minorHAnsi" w:hAnsiTheme="minorHAnsi" w:cstheme="minorBidi"/>
              <w:noProof/>
              <w:sz w:val="22"/>
            </w:rPr>
          </w:pPr>
          <w:hyperlink w:history="1" w:anchor="_Toc119660157">
            <w:r w:rsidRPr="00593F59">
              <w:rPr>
                <w:rStyle w:val="Hyperlink"/>
                <w:noProof/>
              </w:rPr>
              <w:t>7.</w:t>
            </w:r>
            <w:r>
              <w:rPr>
                <w:rFonts w:asciiTheme="minorHAnsi" w:hAnsiTheme="minorHAnsi" w:cstheme="minorBidi"/>
                <w:noProof/>
                <w:sz w:val="22"/>
              </w:rPr>
              <w:tab/>
            </w:r>
            <w:r w:rsidRPr="00593F59">
              <w:rPr>
                <w:rStyle w:val="Hyperlink"/>
                <w:noProof/>
              </w:rPr>
              <w:t>Assignment of Proceeding</w:t>
            </w:r>
            <w:r>
              <w:rPr>
                <w:noProof/>
                <w:webHidden/>
              </w:rPr>
              <w:tab/>
            </w:r>
            <w:r>
              <w:rPr>
                <w:noProof/>
                <w:webHidden/>
              </w:rPr>
              <w:fldChar w:fldCharType="begin"/>
            </w:r>
            <w:r>
              <w:rPr>
                <w:noProof/>
                <w:webHidden/>
              </w:rPr>
              <w:instrText xml:space="preserve"> PAGEREF _Toc119660157 \h </w:instrText>
            </w:r>
            <w:r>
              <w:rPr>
                <w:noProof/>
                <w:webHidden/>
              </w:rPr>
            </w:r>
            <w:r>
              <w:rPr>
                <w:noProof/>
                <w:webHidden/>
              </w:rPr>
              <w:fldChar w:fldCharType="separate"/>
            </w:r>
            <w:r>
              <w:rPr>
                <w:noProof/>
                <w:webHidden/>
              </w:rPr>
              <w:t>43</w:t>
            </w:r>
            <w:r>
              <w:rPr>
                <w:noProof/>
                <w:webHidden/>
              </w:rPr>
              <w:fldChar w:fldCharType="end"/>
            </w:r>
          </w:hyperlink>
        </w:p>
        <w:p w:rsidR="009E2358" w:rsidRDefault="009E2358" w14:paraId="786950BD" w14:textId="5E785A19">
          <w:pPr>
            <w:pStyle w:val="TOC1"/>
            <w:tabs>
              <w:tab w:val="right" w:leader="dot" w:pos="9350"/>
            </w:tabs>
            <w:rPr>
              <w:rFonts w:asciiTheme="minorHAnsi" w:hAnsiTheme="minorHAnsi" w:cstheme="minorBidi"/>
              <w:noProof/>
              <w:sz w:val="22"/>
            </w:rPr>
          </w:pPr>
          <w:hyperlink w:history="1" w:anchor="_Toc119660158">
            <w:r w:rsidRPr="00593F59">
              <w:rPr>
                <w:rStyle w:val="Hyperlink"/>
                <w:noProof/>
              </w:rPr>
              <w:t>Findings of Fact</w:t>
            </w:r>
            <w:r>
              <w:rPr>
                <w:noProof/>
                <w:webHidden/>
              </w:rPr>
              <w:tab/>
            </w:r>
            <w:r>
              <w:rPr>
                <w:noProof/>
                <w:webHidden/>
              </w:rPr>
              <w:fldChar w:fldCharType="begin"/>
            </w:r>
            <w:r>
              <w:rPr>
                <w:noProof/>
                <w:webHidden/>
              </w:rPr>
              <w:instrText xml:space="preserve"> PAGEREF _Toc119660158 \h </w:instrText>
            </w:r>
            <w:r>
              <w:rPr>
                <w:noProof/>
                <w:webHidden/>
              </w:rPr>
            </w:r>
            <w:r>
              <w:rPr>
                <w:noProof/>
                <w:webHidden/>
              </w:rPr>
              <w:fldChar w:fldCharType="separate"/>
            </w:r>
            <w:r>
              <w:rPr>
                <w:noProof/>
                <w:webHidden/>
              </w:rPr>
              <w:t>43</w:t>
            </w:r>
            <w:r>
              <w:rPr>
                <w:noProof/>
                <w:webHidden/>
              </w:rPr>
              <w:fldChar w:fldCharType="end"/>
            </w:r>
          </w:hyperlink>
        </w:p>
        <w:p w:rsidR="009E2358" w:rsidRDefault="009E2358" w14:paraId="7B4B4C9B" w14:textId="2AF0FAC0">
          <w:pPr>
            <w:pStyle w:val="TOC1"/>
            <w:tabs>
              <w:tab w:val="right" w:leader="dot" w:pos="9350"/>
            </w:tabs>
            <w:rPr>
              <w:rFonts w:asciiTheme="minorHAnsi" w:hAnsiTheme="minorHAnsi" w:cstheme="minorBidi"/>
              <w:noProof/>
              <w:sz w:val="22"/>
            </w:rPr>
          </w:pPr>
          <w:hyperlink w:history="1" w:anchor="_Toc119660159">
            <w:r w:rsidRPr="00593F59">
              <w:rPr>
                <w:rStyle w:val="Hyperlink"/>
                <w:noProof/>
              </w:rPr>
              <w:t>Conclusions of Law</w:t>
            </w:r>
            <w:r>
              <w:rPr>
                <w:noProof/>
                <w:webHidden/>
              </w:rPr>
              <w:tab/>
            </w:r>
            <w:r>
              <w:rPr>
                <w:noProof/>
                <w:webHidden/>
              </w:rPr>
              <w:fldChar w:fldCharType="begin"/>
            </w:r>
            <w:r>
              <w:rPr>
                <w:noProof/>
                <w:webHidden/>
              </w:rPr>
              <w:instrText xml:space="preserve"> PAGEREF _Toc119660159 \h </w:instrText>
            </w:r>
            <w:r>
              <w:rPr>
                <w:noProof/>
                <w:webHidden/>
              </w:rPr>
            </w:r>
            <w:r>
              <w:rPr>
                <w:noProof/>
                <w:webHidden/>
              </w:rPr>
              <w:fldChar w:fldCharType="separate"/>
            </w:r>
            <w:r>
              <w:rPr>
                <w:noProof/>
                <w:webHidden/>
              </w:rPr>
              <w:t>46</w:t>
            </w:r>
            <w:r>
              <w:rPr>
                <w:noProof/>
                <w:webHidden/>
              </w:rPr>
              <w:fldChar w:fldCharType="end"/>
            </w:r>
          </w:hyperlink>
        </w:p>
        <w:p w:rsidR="009E2358" w:rsidRDefault="009E2358" w14:paraId="12C6D085" w14:textId="32ECD6FC">
          <w:pPr>
            <w:pStyle w:val="TOC1"/>
            <w:tabs>
              <w:tab w:val="right" w:leader="dot" w:pos="9350"/>
            </w:tabs>
            <w:rPr>
              <w:rFonts w:asciiTheme="minorHAnsi" w:hAnsiTheme="minorHAnsi" w:cstheme="minorBidi"/>
              <w:noProof/>
              <w:sz w:val="22"/>
            </w:rPr>
          </w:pPr>
          <w:hyperlink w:history="1" w:anchor="_Toc119660160">
            <w:r w:rsidRPr="00593F59">
              <w:rPr>
                <w:rStyle w:val="Hyperlink"/>
                <w:noProof/>
              </w:rPr>
              <w:t>ORDER</w:t>
            </w:r>
            <w:r>
              <w:rPr>
                <w:noProof/>
                <w:webHidden/>
              </w:rPr>
              <w:tab/>
            </w:r>
            <w:r>
              <w:rPr>
                <w:noProof/>
                <w:webHidden/>
              </w:rPr>
              <w:fldChar w:fldCharType="begin"/>
            </w:r>
            <w:r>
              <w:rPr>
                <w:noProof/>
                <w:webHidden/>
              </w:rPr>
              <w:instrText xml:space="preserve"> PAGEREF _Toc119660160 \h </w:instrText>
            </w:r>
            <w:r>
              <w:rPr>
                <w:noProof/>
                <w:webHidden/>
              </w:rPr>
            </w:r>
            <w:r>
              <w:rPr>
                <w:noProof/>
                <w:webHidden/>
              </w:rPr>
              <w:fldChar w:fldCharType="separate"/>
            </w:r>
            <w:r>
              <w:rPr>
                <w:noProof/>
                <w:webHidden/>
              </w:rPr>
              <w:t>49</w:t>
            </w:r>
            <w:r>
              <w:rPr>
                <w:noProof/>
                <w:webHidden/>
              </w:rPr>
              <w:fldChar w:fldCharType="end"/>
            </w:r>
          </w:hyperlink>
        </w:p>
        <w:p w:rsidR="00D82A43" w:rsidP="008706E7" w:rsidRDefault="008706E7" w14:paraId="24909B2B" w14:textId="703A3BAE">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5A9D7A2A" w14:textId="69072CD5">
      <w:pPr>
        <w:spacing w:line="240" w:lineRule="auto"/>
        <w:ind w:firstLine="0"/>
        <w:rPr>
          <w:rFonts w:cs="Arial"/>
          <w:szCs w:val="26"/>
        </w:rPr>
      </w:pPr>
      <w:r w:rsidRPr="0098655A">
        <w:rPr>
          <w:rFonts w:cs="Arial"/>
          <w:b/>
          <w:szCs w:val="26"/>
        </w:rPr>
        <w:t>Appendix A</w:t>
      </w:r>
      <w:r w:rsidRPr="0098655A">
        <w:rPr>
          <w:rFonts w:cs="Arial"/>
          <w:szCs w:val="26"/>
        </w:rPr>
        <w:t xml:space="preserve"> –</w:t>
      </w:r>
      <w:r w:rsidR="00E23CBB">
        <w:rPr>
          <w:rFonts w:cs="Arial"/>
          <w:szCs w:val="26"/>
        </w:rPr>
        <w:t xml:space="preserve"> </w:t>
      </w:r>
      <w:r w:rsidR="009B4637">
        <w:rPr>
          <w:rFonts w:cs="Arial"/>
          <w:szCs w:val="26"/>
        </w:rPr>
        <w:t xml:space="preserve">Load Serving Entities </w:t>
      </w:r>
      <w:r w:rsidR="0010092A">
        <w:rPr>
          <w:rFonts w:cs="Arial"/>
          <w:szCs w:val="26"/>
        </w:rPr>
        <w:t>Who Accepted Voluntary Allocations</w:t>
      </w:r>
    </w:p>
    <w:p w:rsidR="00D44DB6" w:rsidP="00D44DB6" w:rsidRDefault="00D44DB6" w14:paraId="05B46884" w14:textId="77777777">
      <w:pPr>
        <w:spacing w:line="240" w:lineRule="auto"/>
        <w:ind w:firstLine="0"/>
        <w:rPr>
          <w:rFonts w:cs="Arial"/>
          <w:szCs w:val="26"/>
        </w:rPr>
      </w:pPr>
    </w:p>
    <w:p w:rsidRPr="00D44DB6" w:rsidR="00D44DB6" w:rsidP="00D44DB6" w:rsidRDefault="00D44DB6" w14:paraId="751A4AFE" w14:textId="76B0DE64">
      <w:pPr>
        <w:spacing w:line="240" w:lineRule="auto"/>
        <w:ind w:firstLine="0"/>
        <w:rPr>
          <w:rFonts w:cs="Arial"/>
          <w:i/>
          <w:szCs w:val="26"/>
        </w:rPr>
        <w:sectPr w:rsidRPr="00D44DB6"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284C5E" w:rsidRDefault="00284C5E" w14:paraId="0CBBF793" w14:textId="2A0F9663">
      <w:pPr>
        <w:pStyle w:val="Main"/>
        <w:spacing w:after="240"/>
      </w:pPr>
      <w:r>
        <w:t xml:space="preserve">DECISION APPROVING VOLUNTARY ALLOCATIONS AND MODIFYING MARKET OFFER PROCESS FOR THE SALE OF EXCESS RENEWABLE RESOURCES </w:t>
      </w:r>
      <w:r w:rsidR="0026026E">
        <w:t xml:space="preserve">TO LOWER </w:t>
      </w:r>
      <w:r w:rsidRPr="0026026E" w:rsidR="0026026E">
        <w:t>Power Charge Indifference Adjustment</w:t>
      </w:r>
      <w:r w:rsidR="0026026E">
        <w:t xml:space="preserve"> </w:t>
      </w:r>
      <w:r w:rsidR="00E8112A">
        <w:t>COST</w:t>
      </w:r>
      <w:r w:rsidR="00E43FF5">
        <w:t xml:space="preserve">s </w:t>
      </w:r>
      <w:r>
        <w:t>PURSUANT TO DECISION 21-05-030</w:t>
      </w:r>
    </w:p>
    <w:p w:rsidR="005A148C" w:rsidP="005A148C" w:rsidRDefault="005A148C" w14:paraId="22157B46" w14:textId="77777777">
      <w:pPr>
        <w:pStyle w:val="Dummy"/>
      </w:pPr>
      <w:bookmarkStart w:name="_Toc8123714" w:id="1"/>
      <w:bookmarkStart w:name="_Toc119660138" w:id="2"/>
      <w:r>
        <w:t>Summary</w:t>
      </w:r>
      <w:bookmarkEnd w:id="1"/>
      <w:bookmarkEnd w:id="2"/>
    </w:p>
    <w:p w:rsidR="00EF73AC" w:rsidP="00AA75AD" w:rsidRDefault="00173568" w14:paraId="12062779" w14:textId="30591FF8">
      <w:pPr>
        <w:pStyle w:val="Standard"/>
      </w:pPr>
      <w:r>
        <w:t xml:space="preserve">This decision </w:t>
      </w:r>
      <w:r w:rsidR="00434A36">
        <w:t>reviews and approves Voluntary Allocations</w:t>
      </w:r>
      <w:r w:rsidR="00181109">
        <w:t xml:space="preserve"> </w:t>
      </w:r>
      <w:r w:rsidR="002F5A7A">
        <w:t xml:space="preserve">and </w:t>
      </w:r>
      <w:r w:rsidR="0044362E">
        <w:t xml:space="preserve">modifies </w:t>
      </w:r>
      <w:r w:rsidR="00332A52">
        <w:t xml:space="preserve">the </w:t>
      </w:r>
      <w:r w:rsidRPr="00E84108" w:rsidR="00B53265">
        <w:t xml:space="preserve">Market Offer </w:t>
      </w:r>
      <w:r w:rsidR="00650BA2">
        <w:t>p</w:t>
      </w:r>
      <w:r w:rsidRPr="00E84108" w:rsidR="00B53265">
        <w:t>rocess</w:t>
      </w:r>
      <w:r w:rsidR="00B53265">
        <w:t xml:space="preserve"> proposals </w:t>
      </w:r>
      <w:r w:rsidR="00A427D9">
        <w:t xml:space="preserve">of the load-serving entities (LSEs) </w:t>
      </w:r>
      <w:r w:rsidR="00B53265">
        <w:t>to sell excess renewable resources</w:t>
      </w:r>
      <w:r w:rsidR="00CA34B0">
        <w:t xml:space="preserve"> </w:t>
      </w:r>
      <w:r w:rsidR="00E26775">
        <w:t>pursuant to</w:t>
      </w:r>
      <w:r w:rsidR="00CA34B0">
        <w:t xml:space="preserve"> Decision (D.)</w:t>
      </w:r>
      <w:r w:rsidR="00681522">
        <w:t> </w:t>
      </w:r>
      <w:r w:rsidR="00CA34B0">
        <w:t>21-05-030</w:t>
      </w:r>
      <w:r w:rsidR="00D643B3">
        <w:t>.</w:t>
      </w:r>
      <w:r w:rsidR="002F7381">
        <w:t xml:space="preserve"> </w:t>
      </w:r>
    </w:p>
    <w:p w:rsidR="00B51B8C" w:rsidP="00EB7C9D" w:rsidRDefault="000F2E10" w14:paraId="042F8AE3" w14:textId="125152DA">
      <w:pPr>
        <w:pStyle w:val="Standard"/>
      </w:pPr>
      <w:r>
        <w:t xml:space="preserve">We approve all Voluntary Allocation offers </w:t>
      </w:r>
      <w:r w:rsidR="00B67A5F">
        <w:t xml:space="preserve">made by the investor-owned utilities </w:t>
      </w:r>
      <w:r w:rsidR="00010958">
        <w:t xml:space="preserve">(IOUs) </w:t>
      </w:r>
      <w:r w:rsidR="00B67A5F">
        <w:t xml:space="preserve">and </w:t>
      </w:r>
      <w:r>
        <w:t>accepted</w:t>
      </w:r>
      <w:r w:rsidR="005A2ECB">
        <w:t xml:space="preserve"> </w:t>
      </w:r>
      <w:r>
        <w:t xml:space="preserve">by the LSEs in this </w:t>
      </w:r>
      <w:r w:rsidR="007F190F">
        <w:t xml:space="preserve">Voluntary Allocation and Market Offer </w:t>
      </w:r>
      <w:r w:rsidR="00E60F9A">
        <w:t>(</w:t>
      </w:r>
      <w:r>
        <w:t>VAMO</w:t>
      </w:r>
      <w:r w:rsidR="00E60F9A">
        <w:t>)</w:t>
      </w:r>
      <w:r>
        <w:t xml:space="preserve"> cycle</w:t>
      </w:r>
      <w:r w:rsidR="00A258A0">
        <w:t>,</w:t>
      </w:r>
      <w:r w:rsidR="000B03D3">
        <w:t xml:space="preserve"> </w:t>
      </w:r>
      <w:r w:rsidR="00592842">
        <w:t>as</w:t>
      </w:r>
      <w:r w:rsidR="00377CB5">
        <w:t xml:space="preserve"> </w:t>
      </w:r>
      <w:r w:rsidR="000B03D3">
        <w:t xml:space="preserve">reported in </w:t>
      </w:r>
      <w:r w:rsidR="00A258A0">
        <w:t>the</w:t>
      </w:r>
      <w:r w:rsidR="000B03D3">
        <w:t xml:space="preserve"> LSEs</w:t>
      </w:r>
      <w:r w:rsidR="00A258A0">
        <w:t>’</w:t>
      </w:r>
      <w:r w:rsidR="000B03D3">
        <w:t xml:space="preserve"> </w:t>
      </w:r>
      <w:r w:rsidR="002138D9">
        <w:t>draft 2022</w:t>
      </w:r>
      <w:r w:rsidR="00097C7F">
        <w:t xml:space="preserve"> Renewables Portfolio Standard (</w:t>
      </w:r>
      <w:r w:rsidR="000B03D3">
        <w:t>RPS</w:t>
      </w:r>
      <w:r w:rsidR="00097C7F">
        <w:t>)</w:t>
      </w:r>
      <w:r w:rsidR="000B03D3">
        <w:t xml:space="preserve"> Plan</w:t>
      </w:r>
      <w:r w:rsidR="00A258A0">
        <w:t>s</w:t>
      </w:r>
      <w:r w:rsidR="002138D9">
        <w:t xml:space="preserve"> f</w:t>
      </w:r>
      <w:r w:rsidR="000F780A">
        <w:t>iled on July</w:t>
      </w:r>
      <w:r w:rsidR="00EB7C9D">
        <w:t> </w:t>
      </w:r>
      <w:r w:rsidR="000F780A">
        <w:t>1,</w:t>
      </w:r>
      <w:r w:rsidR="00EB7C9D">
        <w:t> </w:t>
      </w:r>
      <w:r w:rsidR="000F780A">
        <w:t>2022</w:t>
      </w:r>
      <w:r w:rsidR="00840B77">
        <w:t>,</w:t>
      </w:r>
      <w:r w:rsidR="000B03D3">
        <w:t xml:space="preserve"> or </w:t>
      </w:r>
      <w:r w:rsidR="002E2F55">
        <w:t>u</w:t>
      </w:r>
      <w:r w:rsidR="000B03D3">
        <w:t>pdate</w:t>
      </w:r>
      <w:r w:rsidR="008D631B">
        <w:t>s</w:t>
      </w:r>
      <w:r w:rsidR="002E2F55">
        <w:t xml:space="preserve"> </w:t>
      </w:r>
      <w:r w:rsidR="000F780A">
        <w:t>filed on August</w:t>
      </w:r>
      <w:r w:rsidR="00F57A0C">
        <w:t> </w:t>
      </w:r>
      <w:r w:rsidR="000F780A">
        <w:t>15,</w:t>
      </w:r>
      <w:r w:rsidR="00F57A0C">
        <w:t> </w:t>
      </w:r>
      <w:r w:rsidR="000F780A">
        <w:t>2022</w:t>
      </w:r>
      <w:r>
        <w:t>.</w:t>
      </w:r>
      <w:r w:rsidR="008548C0">
        <w:t xml:space="preserve"> </w:t>
      </w:r>
    </w:p>
    <w:p w:rsidR="00046690" w:rsidP="00046690" w:rsidRDefault="0063480C" w14:paraId="7EFC0080" w14:textId="1FE5D234">
      <w:pPr>
        <w:pStyle w:val="Standard"/>
      </w:pPr>
      <w:bookmarkStart w:name="_Hlk114048991" w:id="3"/>
      <w:r w:rsidRPr="007A32EB">
        <w:t>Pacific Gas and Electric Company, Southern California Edison Company, and San Diego Gas &amp; Electric Company</w:t>
      </w:r>
      <w:r w:rsidR="00A258A0">
        <w:t xml:space="preserve"> must</w:t>
      </w:r>
      <w:r w:rsidR="004A2405">
        <w:t xml:space="preserve"> </w:t>
      </w:r>
      <w:r w:rsidR="00533649">
        <w:t xml:space="preserve">each </w:t>
      </w:r>
      <w:r w:rsidR="004A2405">
        <w:t xml:space="preserve">file a Tier 1 Advice Letter </w:t>
      </w:r>
      <w:r w:rsidR="00B643FA">
        <w:t xml:space="preserve">for short-term </w:t>
      </w:r>
      <w:r w:rsidR="00792C21">
        <w:t xml:space="preserve">proforma </w:t>
      </w:r>
      <w:r w:rsidR="00B643FA">
        <w:t>contract</w:t>
      </w:r>
      <w:r w:rsidR="00462409">
        <w:t xml:space="preserve"> </w:t>
      </w:r>
      <w:r w:rsidR="00741032">
        <w:t>language</w:t>
      </w:r>
      <w:r w:rsidR="00B643FA">
        <w:t xml:space="preserve"> </w:t>
      </w:r>
      <w:r w:rsidR="004A2405">
        <w:t>within 15 days of the issuance</w:t>
      </w:r>
      <w:r w:rsidR="00D9014B">
        <w:t xml:space="preserve"> date</w:t>
      </w:r>
      <w:r w:rsidR="004A2405">
        <w:t xml:space="preserve"> of this decision</w:t>
      </w:r>
      <w:r w:rsidR="00046690">
        <w:t xml:space="preserve"> to include </w:t>
      </w:r>
      <w:r w:rsidR="00C13388">
        <w:t>relevant</w:t>
      </w:r>
      <w:r w:rsidR="00046690">
        <w:t xml:space="preserve"> changes to the Market Offer process ordered below. </w:t>
      </w:r>
    </w:p>
    <w:p w:rsidR="00B643FA" w:rsidP="00046690" w:rsidRDefault="00046690" w14:paraId="1E31E9C6" w14:textId="4E9BF7D9">
      <w:pPr>
        <w:pStyle w:val="Standard"/>
      </w:pPr>
      <w:r>
        <w:t xml:space="preserve">The investor-owned utilities (IOUs) must file </w:t>
      </w:r>
      <w:r w:rsidR="00231466">
        <w:t xml:space="preserve">a Tier 2 Advice Letter for long-term </w:t>
      </w:r>
      <w:r w:rsidRPr="000404B1" w:rsidR="000404B1">
        <w:t xml:space="preserve">proforma </w:t>
      </w:r>
      <w:r w:rsidR="00231466">
        <w:t xml:space="preserve">contracts </w:t>
      </w:r>
      <w:r w:rsidRPr="000404B1" w:rsidR="000404B1">
        <w:t xml:space="preserve">language </w:t>
      </w:r>
      <w:r w:rsidR="00231466">
        <w:t xml:space="preserve">within 30 days of the issuance date of this decision </w:t>
      </w:r>
      <w:r w:rsidR="00BF7513">
        <w:t xml:space="preserve">to </w:t>
      </w:r>
      <w:r w:rsidR="006354C3">
        <w:t>include</w:t>
      </w:r>
      <w:r w:rsidR="009139B7">
        <w:t xml:space="preserve"> </w:t>
      </w:r>
      <w:r w:rsidR="00C13388">
        <w:t xml:space="preserve">relevant </w:t>
      </w:r>
      <w:r w:rsidR="002F3872">
        <w:t xml:space="preserve">changes to the </w:t>
      </w:r>
      <w:r w:rsidRPr="00E84108" w:rsidR="00522A28">
        <w:t xml:space="preserve">Market Offer </w:t>
      </w:r>
      <w:r w:rsidR="005419FF">
        <w:t>p</w:t>
      </w:r>
      <w:r w:rsidRPr="00E84108" w:rsidR="00522A28">
        <w:t>rocess</w:t>
      </w:r>
      <w:r w:rsidR="00E855D8">
        <w:t xml:space="preserve"> </w:t>
      </w:r>
      <w:r w:rsidR="002F3872">
        <w:t xml:space="preserve">ordered </w:t>
      </w:r>
      <w:r w:rsidR="00372DFD">
        <w:t>below</w:t>
      </w:r>
      <w:r w:rsidR="00E855D8">
        <w:t>:</w:t>
      </w:r>
    </w:p>
    <w:p w:rsidR="00CF112B" w:rsidP="00EB7C9D" w:rsidRDefault="00CF112B" w14:paraId="35218DE6" w14:textId="3CA4E930">
      <w:pPr>
        <w:pStyle w:val="Standard"/>
        <w:numPr>
          <w:ilvl w:val="0"/>
          <w:numId w:val="27"/>
        </w:numPr>
        <w:spacing w:after="120" w:line="240" w:lineRule="auto"/>
        <w:ind w:left="1080" w:right="1440"/>
      </w:pPr>
      <w:r>
        <w:t xml:space="preserve">The IOUs shall offer 100 percent of their remaining </w:t>
      </w:r>
      <w:r w:rsidRPr="0058215F">
        <w:t xml:space="preserve">Power Charge Indifference Adjustment </w:t>
      </w:r>
      <w:r>
        <w:t>(PCIA) eligible short-term contracts in the Market Offer.</w:t>
      </w:r>
    </w:p>
    <w:p w:rsidRPr="00255895" w:rsidR="00AA75AD" w:rsidP="00EB7C9D" w:rsidRDefault="00B87F0C" w14:paraId="76FBC81B" w14:textId="41D715AC">
      <w:pPr>
        <w:pStyle w:val="Standard"/>
        <w:numPr>
          <w:ilvl w:val="0"/>
          <w:numId w:val="27"/>
        </w:numPr>
        <w:spacing w:after="120" w:line="240" w:lineRule="auto"/>
        <w:ind w:left="1080" w:right="1440"/>
      </w:pPr>
      <w:r>
        <w:t>The IOUs shall o</w:t>
      </w:r>
      <w:r w:rsidR="00AC3C66">
        <w:t xml:space="preserve">ffer </w:t>
      </w:r>
      <w:r w:rsidR="006949F4">
        <w:t xml:space="preserve">a minimum of </w:t>
      </w:r>
      <w:r>
        <w:rPr>
          <w:rFonts w:cs="Times New Roman"/>
          <w:szCs w:val="26"/>
        </w:rPr>
        <w:t xml:space="preserve">35 </w:t>
      </w:r>
      <w:r w:rsidR="00AC3C66">
        <w:rPr>
          <w:rFonts w:cs="Times New Roman"/>
          <w:szCs w:val="26"/>
        </w:rPr>
        <w:t xml:space="preserve">percent of the remaining </w:t>
      </w:r>
      <w:r w:rsidR="00CF112B">
        <w:rPr>
          <w:rFonts w:cs="Times New Roman"/>
          <w:szCs w:val="26"/>
        </w:rPr>
        <w:t xml:space="preserve">PCIA-eligible </w:t>
      </w:r>
      <w:r w:rsidR="00AC3C66">
        <w:rPr>
          <w:rFonts w:cs="Times New Roman"/>
          <w:szCs w:val="26"/>
        </w:rPr>
        <w:t>long-term contracts</w:t>
      </w:r>
      <w:r w:rsidR="00493C47">
        <w:rPr>
          <w:rFonts w:cs="Times New Roman"/>
          <w:szCs w:val="26"/>
        </w:rPr>
        <w:t xml:space="preserve"> </w:t>
      </w:r>
      <w:r w:rsidR="00664B9C">
        <w:rPr>
          <w:rFonts w:cs="Times New Roman"/>
          <w:szCs w:val="26"/>
        </w:rPr>
        <w:t xml:space="preserve">in the </w:t>
      </w:r>
      <w:r w:rsidR="00987620">
        <w:rPr>
          <w:rFonts w:cs="Times New Roman"/>
          <w:szCs w:val="26"/>
        </w:rPr>
        <w:t>Market Offer</w:t>
      </w:r>
      <w:r w:rsidR="00AF162A">
        <w:t xml:space="preserve"> </w:t>
      </w:r>
      <w:r w:rsidR="006949F4">
        <w:t xml:space="preserve">as long-term </w:t>
      </w:r>
      <w:r w:rsidR="009F17B1">
        <w:t>contracts</w:t>
      </w:r>
      <w:r w:rsidR="006949F4">
        <w:t xml:space="preserve">. </w:t>
      </w:r>
    </w:p>
    <w:p w:rsidRPr="006949F4" w:rsidR="006949F4" w:rsidP="00EB7C9D" w:rsidRDefault="0085245C" w14:paraId="2FBC3429" w14:textId="50802B21">
      <w:pPr>
        <w:pStyle w:val="Standard"/>
        <w:numPr>
          <w:ilvl w:val="0"/>
          <w:numId w:val="27"/>
        </w:numPr>
        <w:spacing w:after="120" w:line="240" w:lineRule="auto"/>
        <w:ind w:left="1080" w:right="1440"/>
      </w:pPr>
      <w:r>
        <w:t xml:space="preserve">The IOUs </w:t>
      </w:r>
      <w:r w:rsidRPr="003564BA" w:rsidR="004F445F">
        <w:t>may</w:t>
      </w:r>
      <w:r>
        <w:t xml:space="preserve"> offer </w:t>
      </w:r>
      <w:r w:rsidRPr="006949F4" w:rsidR="001B21BF">
        <w:rPr>
          <w:rFonts w:cs="Times New Roman"/>
          <w:szCs w:val="26"/>
        </w:rPr>
        <w:t>6</w:t>
      </w:r>
      <w:r w:rsidRPr="006949F4">
        <w:rPr>
          <w:rFonts w:cs="Times New Roman"/>
          <w:szCs w:val="26"/>
        </w:rPr>
        <w:t>5 percent of the remaining PCIA-eligible long-term contracts in the Market Offer as</w:t>
      </w:r>
      <w:r w:rsidR="006949F4">
        <w:rPr>
          <w:rFonts w:cs="Times New Roman"/>
          <w:szCs w:val="26"/>
        </w:rPr>
        <w:t>:</w:t>
      </w:r>
    </w:p>
    <w:p w:rsidR="006949F4" w:rsidP="00EB7C9D" w:rsidRDefault="006949F4" w14:paraId="3782DF38" w14:textId="77777777">
      <w:pPr>
        <w:pStyle w:val="Standard"/>
        <w:numPr>
          <w:ilvl w:val="1"/>
          <w:numId w:val="27"/>
        </w:numPr>
        <w:spacing w:after="120" w:line="240" w:lineRule="auto"/>
        <w:ind w:left="1440" w:right="1440"/>
      </w:pPr>
      <w:r>
        <w:t xml:space="preserve">As long-term product, or </w:t>
      </w:r>
    </w:p>
    <w:p w:rsidR="004E3F8B" w:rsidP="00EB7C9D" w:rsidRDefault="006949F4" w14:paraId="0E973967" w14:textId="60036F06">
      <w:pPr>
        <w:pStyle w:val="Standard"/>
        <w:numPr>
          <w:ilvl w:val="1"/>
          <w:numId w:val="27"/>
        </w:numPr>
        <w:spacing w:after="120" w:line="240" w:lineRule="auto"/>
        <w:ind w:left="1440" w:right="1440"/>
      </w:pPr>
      <w:r>
        <w:t>As both short-term and long-term products subject to a methodology to optimize the value of bids for ratepayers</w:t>
      </w:r>
      <w:r w:rsidRPr="006B0999">
        <w:t>.</w:t>
      </w:r>
      <w:r>
        <w:rPr>
          <w:rFonts w:cs="Times New Roman"/>
          <w:szCs w:val="26"/>
        </w:rPr>
        <w:t xml:space="preserve"> </w:t>
      </w:r>
    </w:p>
    <w:p w:rsidRPr="004E3F8B" w:rsidR="000726B2" w:rsidP="00EB7C9D" w:rsidRDefault="004E3F8B" w14:paraId="3A4B55F0" w14:textId="4CD6D913">
      <w:pPr>
        <w:pStyle w:val="Standard"/>
        <w:numPr>
          <w:ilvl w:val="0"/>
          <w:numId w:val="27"/>
        </w:numPr>
        <w:spacing w:after="120" w:line="240" w:lineRule="auto"/>
        <w:ind w:left="1080" w:right="1440"/>
      </w:pPr>
      <w:r w:rsidRPr="00B643FA">
        <w:t>The</w:t>
      </w:r>
      <w:r w:rsidRPr="00320945">
        <w:t xml:space="preserve"> term for sales</w:t>
      </w:r>
      <w:r w:rsidRPr="00320945">
        <w:rPr>
          <w:rFonts w:cs="Times New Roman"/>
          <w:szCs w:val="26"/>
        </w:rPr>
        <w:t xml:space="preserve"> of the long-term </w:t>
      </w:r>
      <w:r>
        <w:rPr>
          <w:rFonts w:cs="Times New Roman"/>
          <w:szCs w:val="26"/>
        </w:rPr>
        <w:t>renewable energy credit</w:t>
      </w:r>
      <w:r w:rsidRPr="00320945">
        <w:rPr>
          <w:rFonts w:cs="Times New Roman"/>
          <w:szCs w:val="26"/>
        </w:rPr>
        <w:t>s</w:t>
      </w:r>
      <w:r>
        <w:rPr>
          <w:rFonts w:cs="Times New Roman"/>
          <w:szCs w:val="26"/>
        </w:rPr>
        <w:t xml:space="preserve"> (RECs)</w:t>
      </w:r>
      <w:r w:rsidRPr="00320945">
        <w:rPr>
          <w:rFonts w:cs="Times New Roman"/>
          <w:szCs w:val="26"/>
        </w:rPr>
        <w:t xml:space="preserve"> should last through the end of the term of the longest contract in </w:t>
      </w:r>
      <w:r>
        <w:rPr>
          <w:rFonts w:cs="Times New Roman"/>
          <w:szCs w:val="26"/>
        </w:rPr>
        <w:t xml:space="preserve">the IOUs </w:t>
      </w:r>
      <w:r w:rsidRPr="00320945">
        <w:rPr>
          <w:rFonts w:cs="Times New Roman"/>
          <w:szCs w:val="26"/>
        </w:rPr>
        <w:t>PCIA-eligible RPS portfolio.</w:t>
      </w:r>
    </w:p>
    <w:p w:rsidR="00CF112B" w:rsidP="00EB7C9D" w:rsidRDefault="00CF112B" w14:paraId="105F2F89" w14:textId="3BE30EF1">
      <w:pPr>
        <w:pStyle w:val="Standard"/>
        <w:numPr>
          <w:ilvl w:val="0"/>
          <w:numId w:val="27"/>
        </w:numPr>
        <w:spacing w:after="120" w:line="240" w:lineRule="auto"/>
        <w:ind w:left="1080" w:right="1440"/>
        <w:rPr>
          <w:rFonts w:cs="Times New Roman"/>
          <w:szCs w:val="26"/>
        </w:rPr>
      </w:pPr>
      <w:r>
        <w:t>The IOUs shall seek approval of executed short-term Market Offer contracts via Tier 1 Advice Letters and Tier 3 Advice Letters for executed long-term Market Offer contracts.</w:t>
      </w:r>
    </w:p>
    <w:p w:rsidRPr="00EB7C9D" w:rsidR="005041CB" w:rsidP="00EB7C9D" w:rsidRDefault="00705C33" w14:paraId="2257ABB7" w14:textId="04C8318B">
      <w:pPr>
        <w:pStyle w:val="Standard"/>
        <w:numPr>
          <w:ilvl w:val="0"/>
          <w:numId w:val="27"/>
        </w:numPr>
        <w:spacing w:after="120" w:line="240" w:lineRule="auto"/>
        <w:ind w:left="1080" w:right="1440"/>
        <w:rPr>
          <w:rFonts w:cs="Times New Roman"/>
          <w:szCs w:val="26"/>
        </w:rPr>
      </w:pPr>
      <w:r w:rsidRPr="00EB7C9D">
        <w:rPr>
          <w:rFonts w:cs="Times New Roman"/>
          <w:szCs w:val="26"/>
        </w:rPr>
        <w:t xml:space="preserve">The bids in the </w:t>
      </w:r>
      <w:r w:rsidRPr="00EB7C9D" w:rsidR="006E36CC">
        <w:rPr>
          <w:rFonts w:cs="Times New Roman"/>
          <w:szCs w:val="26"/>
        </w:rPr>
        <w:t xml:space="preserve">Market Offer </w:t>
      </w:r>
      <w:r w:rsidRPr="00EB7C9D">
        <w:rPr>
          <w:rFonts w:cs="Times New Roman"/>
          <w:szCs w:val="26"/>
        </w:rPr>
        <w:t>are</w:t>
      </w:r>
      <w:r w:rsidRPr="00EB7C9D" w:rsidR="006E36CC">
        <w:rPr>
          <w:rFonts w:cs="Times New Roman"/>
          <w:szCs w:val="26"/>
        </w:rPr>
        <w:t xml:space="preserve"> not limited to</w:t>
      </w:r>
      <w:r w:rsidR="00EB7C9D">
        <w:rPr>
          <w:rFonts w:cs="Times New Roman"/>
          <w:szCs w:val="26"/>
        </w:rPr>
        <w:t xml:space="preserve"> </w:t>
      </w:r>
      <w:r w:rsidRPr="00EB7C9D" w:rsidR="00471D5A">
        <w:rPr>
          <w:rFonts w:cs="Times New Roman"/>
          <w:szCs w:val="26"/>
        </w:rPr>
        <w:t>10</w:t>
      </w:r>
      <w:r w:rsidR="00EB7C9D">
        <w:rPr>
          <w:rFonts w:cs="Times New Roman"/>
          <w:szCs w:val="26"/>
        </w:rPr>
        <w:t> </w:t>
      </w:r>
      <w:r w:rsidRPr="00EB7C9D" w:rsidR="00471D5A">
        <w:rPr>
          <w:rFonts w:cs="Times New Roman"/>
          <w:szCs w:val="26"/>
        </w:rPr>
        <w:t xml:space="preserve">percent </w:t>
      </w:r>
      <w:r w:rsidRPr="00EB7C9D" w:rsidR="00A60433">
        <w:rPr>
          <w:rFonts w:cs="Times New Roman"/>
          <w:szCs w:val="26"/>
        </w:rPr>
        <w:t>increment</w:t>
      </w:r>
      <w:r w:rsidRPr="00EB7C9D" w:rsidR="00C6623F">
        <w:rPr>
          <w:rFonts w:cs="Times New Roman"/>
          <w:szCs w:val="26"/>
        </w:rPr>
        <w:t>al</w:t>
      </w:r>
      <w:r w:rsidRPr="00EB7C9D" w:rsidR="00A60433">
        <w:rPr>
          <w:rFonts w:cs="Times New Roman"/>
          <w:szCs w:val="26"/>
        </w:rPr>
        <w:t xml:space="preserve"> slices of </w:t>
      </w:r>
      <w:r w:rsidRPr="00EB7C9D" w:rsidR="00E257FB">
        <w:rPr>
          <w:rFonts w:cs="Times New Roman"/>
          <w:szCs w:val="26"/>
        </w:rPr>
        <w:t xml:space="preserve">an IOU’s </w:t>
      </w:r>
      <w:r w:rsidRPr="00EB7C9D" w:rsidR="00372DFD">
        <w:rPr>
          <w:rFonts w:cs="Times New Roman"/>
          <w:szCs w:val="26"/>
        </w:rPr>
        <w:t>RPS</w:t>
      </w:r>
      <w:r w:rsidRPr="00EB7C9D" w:rsidR="00A60433">
        <w:rPr>
          <w:rFonts w:cs="Times New Roman"/>
          <w:szCs w:val="26"/>
        </w:rPr>
        <w:t xml:space="preserve"> </w:t>
      </w:r>
      <w:r w:rsidRPr="00EB7C9D" w:rsidR="00687854">
        <w:rPr>
          <w:rFonts w:cs="Times New Roman"/>
          <w:szCs w:val="26"/>
        </w:rPr>
        <w:t>resources</w:t>
      </w:r>
      <w:r w:rsidRPr="00EB7C9D" w:rsidR="00A60433">
        <w:rPr>
          <w:rFonts w:cs="Times New Roman"/>
          <w:szCs w:val="26"/>
        </w:rPr>
        <w:t xml:space="preserve">. </w:t>
      </w:r>
      <w:r w:rsidRPr="00EB7C9D" w:rsidR="00D1749A">
        <w:rPr>
          <w:rFonts w:cs="Times New Roman"/>
          <w:szCs w:val="26"/>
        </w:rPr>
        <w:t>Bidders</w:t>
      </w:r>
      <w:r w:rsidRPr="00EB7C9D" w:rsidR="00EF3317">
        <w:rPr>
          <w:rFonts w:cs="Times New Roman"/>
          <w:szCs w:val="26"/>
        </w:rPr>
        <w:t xml:space="preserve"> </w:t>
      </w:r>
      <w:r w:rsidRPr="00EB7C9D" w:rsidR="00372DFD">
        <w:rPr>
          <w:rFonts w:cs="Times New Roman"/>
          <w:szCs w:val="26"/>
        </w:rPr>
        <w:t>may</w:t>
      </w:r>
      <w:r w:rsidRPr="00EB7C9D" w:rsidR="00EF3317">
        <w:rPr>
          <w:rFonts w:cs="Times New Roman"/>
          <w:szCs w:val="26"/>
        </w:rPr>
        <w:t xml:space="preserve"> specify any quantity of RPS </w:t>
      </w:r>
      <w:r w:rsidRPr="00EB7C9D" w:rsidR="00320C6B">
        <w:rPr>
          <w:rFonts w:cs="Times New Roman"/>
          <w:szCs w:val="26"/>
        </w:rPr>
        <w:t xml:space="preserve">resources </w:t>
      </w:r>
      <w:r w:rsidRPr="00EB7C9D" w:rsidR="00EF3317">
        <w:rPr>
          <w:rFonts w:cs="Times New Roman"/>
          <w:szCs w:val="26"/>
        </w:rPr>
        <w:t xml:space="preserve">in percentage increments, which must be represented in </w:t>
      </w:r>
      <w:r w:rsidRPr="00EB7C9D" w:rsidR="00DB76AD">
        <w:rPr>
          <w:rFonts w:cs="Times New Roman"/>
          <w:szCs w:val="26"/>
        </w:rPr>
        <w:t>whole numbers</w:t>
      </w:r>
      <w:r w:rsidRPr="00EB7C9D" w:rsidR="00EF3317">
        <w:rPr>
          <w:rFonts w:cs="Times New Roman"/>
          <w:szCs w:val="26"/>
        </w:rPr>
        <w:t>.</w:t>
      </w:r>
      <w:r w:rsidRPr="00EB7C9D" w:rsidR="00806E4B">
        <w:rPr>
          <w:rFonts w:cs="Times New Roman"/>
          <w:szCs w:val="26"/>
        </w:rPr>
        <w:t xml:space="preserve"> </w:t>
      </w:r>
    </w:p>
    <w:p w:rsidRPr="00DB3BDA" w:rsidR="00965040" w:rsidP="00EB7C9D" w:rsidRDefault="00965040" w14:paraId="01030AF7" w14:textId="436D5E85">
      <w:pPr>
        <w:pStyle w:val="Standard"/>
        <w:numPr>
          <w:ilvl w:val="0"/>
          <w:numId w:val="27"/>
        </w:numPr>
        <w:spacing w:after="120" w:line="240" w:lineRule="auto"/>
        <w:ind w:left="1080" w:right="1440"/>
        <w:rPr>
          <w:rFonts w:cs="Times New Roman"/>
        </w:rPr>
      </w:pPr>
      <w:r w:rsidRPr="00A733FD">
        <w:rPr>
          <w:rFonts w:cs="Times New Roman"/>
        </w:rPr>
        <w:t xml:space="preserve">If </w:t>
      </w:r>
      <w:r w:rsidR="004771A8">
        <w:rPr>
          <w:rFonts w:cs="Times New Roman"/>
        </w:rPr>
        <w:t>Southern California Edison Company</w:t>
      </w:r>
      <w:r w:rsidRPr="00A733FD" w:rsidR="004771A8">
        <w:rPr>
          <w:rFonts w:cs="Times New Roman"/>
        </w:rPr>
        <w:t xml:space="preserve"> </w:t>
      </w:r>
      <w:r w:rsidRPr="00A733FD">
        <w:rPr>
          <w:rFonts w:cs="Times New Roman"/>
        </w:rPr>
        <w:t>decides to set bid floors, it must revise its method to follow the bid floor method approved in D.21-01-005 for its 2021 RPS Plan.</w:t>
      </w:r>
    </w:p>
    <w:p w:rsidR="00B105D8" w:rsidP="00EB7C9D" w:rsidRDefault="003B7EDB" w14:paraId="263D8868" w14:textId="10515555">
      <w:pPr>
        <w:pStyle w:val="Standard"/>
        <w:numPr>
          <w:ilvl w:val="0"/>
          <w:numId w:val="27"/>
        </w:numPr>
        <w:spacing w:after="120" w:line="240" w:lineRule="auto"/>
        <w:ind w:left="1080" w:right="1440"/>
      </w:pPr>
      <w:r>
        <w:t xml:space="preserve">The </w:t>
      </w:r>
      <w:r w:rsidR="006E2A93">
        <w:t>IOU code of conduct</w:t>
      </w:r>
      <w:r w:rsidR="004932DE">
        <w:t xml:space="preserve"> shall be modified to include the following</w:t>
      </w:r>
      <w:r w:rsidR="009250C1">
        <w:t xml:space="preserve"> changes</w:t>
      </w:r>
      <w:r w:rsidR="006E2A93">
        <w:t>:</w:t>
      </w:r>
    </w:p>
    <w:bookmarkEnd w:id="3"/>
    <w:p w:rsidRPr="0028257B" w:rsidR="00812056" w:rsidP="00EB7C9D" w:rsidRDefault="00B661CE" w14:paraId="0438F8A2" w14:textId="281D85F3">
      <w:pPr>
        <w:pStyle w:val="Standard"/>
        <w:numPr>
          <w:ilvl w:val="1"/>
          <w:numId w:val="27"/>
        </w:numPr>
        <w:spacing w:after="120" w:line="240" w:lineRule="auto"/>
        <w:ind w:left="1440" w:right="1440"/>
      </w:pPr>
      <w:r>
        <w:rPr>
          <w:rFonts w:cs="Times New Roman"/>
        </w:rPr>
        <w:t xml:space="preserve">Employees of an IOU </w:t>
      </w:r>
      <w:r w:rsidRPr="003564BA">
        <w:rPr>
          <w:rFonts w:cs="Times New Roman"/>
        </w:rPr>
        <w:t xml:space="preserve">are </w:t>
      </w:r>
      <w:r w:rsidRPr="003564BA" w:rsidR="00026676">
        <w:rPr>
          <w:rFonts w:cs="Times New Roman"/>
        </w:rPr>
        <w:t>no</w:t>
      </w:r>
      <w:r w:rsidRPr="003564BA" w:rsidR="000A7118">
        <w:rPr>
          <w:rFonts w:cs="Times New Roman"/>
        </w:rPr>
        <w:t xml:space="preserve">t </w:t>
      </w:r>
      <w:r w:rsidRPr="003564BA">
        <w:rPr>
          <w:rFonts w:cs="Times New Roman"/>
        </w:rPr>
        <w:t xml:space="preserve">allowed to move </w:t>
      </w:r>
      <w:r w:rsidRPr="003564BA" w:rsidR="003564BA">
        <w:rPr>
          <w:rFonts w:cs="Times New Roman"/>
        </w:rPr>
        <w:t xml:space="preserve">between evaluation and bid team </w:t>
      </w:r>
      <w:r w:rsidRPr="003564BA" w:rsidR="00A2689C">
        <w:rPr>
          <w:rFonts w:cs="Times New Roman"/>
        </w:rPr>
        <w:t xml:space="preserve">until </w:t>
      </w:r>
      <w:r w:rsidRPr="003564BA" w:rsidR="007452DF">
        <w:rPr>
          <w:rFonts w:cs="Times New Roman"/>
        </w:rPr>
        <w:t xml:space="preserve">after the </w:t>
      </w:r>
      <w:r w:rsidRPr="003564BA" w:rsidR="008E5634">
        <w:rPr>
          <w:rFonts w:cs="Times New Roman"/>
        </w:rPr>
        <w:t xml:space="preserve">submission of the </w:t>
      </w:r>
      <w:r w:rsidRPr="003564BA" w:rsidR="00652EA5">
        <w:rPr>
          <w:rFonts w:cs="Times New Roman"/>
        </w:rPr>
        <w:t xml:space="preserve">IOU’s </w:t>
      </w:r>
      <w:r>
        <w:t>last Market Offer contract</w:t>
      </w:r>
      <w:r w:rsidR="006A45E9">
        <w:t xml:space="preserve"> </w:t>
      </w:r>
      <w:r w:rsidR="00942657">
        <w:t>for Commission approval</w:t>
      </w:r>
      <w:r w:rsidRPr="3A157B26">
        <w:rPr>
          <w:rFonts w:cs="Times New Roman"/>
        </w:rPr>
        <w:t>.</w:t>
      </w:r>
    </w:p>
    <w:p w:rsidRPr="00755B3A" w:rsidR="00B661CE" w:rsidP="00EB7C9D" w:rsidRDefault="00B661CE" w14:paraId="15E0A62F" w14:textId="4E2BD713">
      <w:pPr>
        <w:pStyle w:val="Standard"/>
        <w:numPr>
          <w:ilvl w:val="1"/>
          <w:numId w:val="27"/>
        </w:numPr>
        <w:spacing w:after="120" w:line="240" w:lineRule="auto"/>
        <w:ind w:left="1440" w:right="1440"/>
      </w:pPr>
      <w:r>
        <w:rPr>
          <w:rFonts w:cs="Times New Roman"/>
        </w:rPr>
        <w:t xml:space="preserve">The code of conduct rules shall remain effective </w:t>
      </w:r>
      <w:r w:rsidR="00DA440E">
        <w:rPr>
          <w:rFonts w:cs="Times New Roman"/>
        </w:rPr>
        <w:t xml:space="preserve">until the submission of </w:t>
      </w:r>
      <w:r w:rsidR="00DA440E">
        <w:t xml:space="preserve">IOU’s </w:t>
      </w:r>
      <w:r>
        <w:t>last Market Offer contract</w:t>
      </w:r>
      <w:r w:rsidR="001410B7">
        <w:t xml:space="preserve"> for Commission approval</w:t>
      </w:r>
      <w:r>
        <w:rPr>
          <w:rFonts w:cs="Times New Roman"/>
          <w:szCs w:val="26"/>
        </w:rPr>
        <w:t>.</w:t>
      </w:r>
    </w:p>
    <w:p w:rsidRPr="00755B3A" w:rsidR="00B661CE" w:rsidP="00EB7C9D" w:rsidRDefault="00B661CE" w14:paraId="6654135E" w14:textId="77777777">
      <w:pPr>
        <w:pStyle w:val="Standard"/>
        <w:numPr>
          <w:ilvl w:val="1"/>
          <w:numId w:val="27"/>
        </w:numPr>
        <w:spacing w:after="120" w:line="240" w:lineRule="auto"/>
        <w:ind w:left="1440" w:right="1440"/>
        <w:rPr>
          <w:rFonts w:cs="Times New Roman"/>
        </w:rPr>
      </w:pPr>
      <w:r>
        <w:rPr>
          <w:rFonts w:cs="Times New Roman"/>
          <w:szCs w:val="26"/>
        </w:rPr>
        <w:t xml:space="preserve">IOU </w:t>
      </w:r>
      <w:r w:rsidRPr="00CE50E7">
        <w:rPr>
          <w:rFonts w:cs="Times New Roman"/>
          <w:szCs w:val="26"/>
        </w:rPr>
        <w:t xml:space="preserve">employees involved in the Market Offer process </w:t>
      </w:r>
      <w:r>
        <w:rPr>
          <w:rFonts w:cs="Times New Roman"/>
          <w:szCs w:val="26"/>
        </w:rPr>
        <w:t>shall</w:t>
      </w:r>
      <w:r w:rsidRPr="00CE50E7">
        <w:rPr>
          <w:rFonts w:cs="Times New Roman"/>
          <w:szCs w:val="26"/>
        </w:rPr>
        <w:t xml:space="preserve"> </w:t>
      </w:r>
      <w:r>
        <w:rPr>
          <w:rFonts w:cs="Times New Roman"/>
          <w:szCs w:val="26"/>
        </w:rPr>
        <w:t>c</w:t>
      </w:r>
      <w:r w:rsidRPr="00CE50E7">
        <w:rPr>
          <w:rFonts w:cs="Times New Roman"/>
          <w:szCs w:val="26"/>
        </w:rPr>
        <w:t>ertif</w:t>
      </w:r>
      <w:r>
        <w:rPr>
          <w:rFonts w:cs="Times New Roman"/>
          <w:szCs w:val="26"/>
        </w:rPr>
        <w:t>y to comply with the Market Offer solicitation code of conduct</w:t>
      </w:r>
      <w:r w:rsidRPr="3A157B26">
        <w:rPr>
          <w:rFonts w:cs="Times New Roman"/>
        </w:rPr>
        <w:t>.</w:t>
      </w:r>
    </w:p>
    <w:p w:rsidRPr="00E3151A" w:rsidR="00B661CE" w:rsidP="00EB7C9D" w:rsidRDefault="00B661CE" w14:paraId="4277E320" w14:textId="6FD71247">
      <w:pPr>
        <w:pStyle w:val="Standard"/>
        <w:numPr>
          <w:ilvl w:val="1"/>
          <w:numId w:val="27"/>
        </w:numPr>
        <w:spacing w:after="120" w:line="240" w:lineRule="auto"/>
        <w:ind w:left="1440" w:right="1440"/>
      </w:pPr>
      <w:r>
        <w:rPr>
          <w:rFonts w:cs="Times New Roman"/>
        </w:rPr>
        <w:t>The IOU is responsible for notifying</w:t>
      </w:r>
      <w:r w:rsidRPr="3A157B26">
        <w:rPr>
          <w:rFonts w:cs="Times New Roman"/>
        </w:rPr>
        <w:t xml:space="preserve"> the </w:t>
      </w:r>
      <w:r>
        <w:rPr>
          <w:rFonts w:cs="Times New Roman"/>
        </w:rPr>
        <w:t>Independent Evaluator</w:t>
      </w:r>
      <w:r w:rsidR="00913407">
        <w:rPr>
          <w:rFonts w:cs="Times New Roman"/>
        </w:rPr>
        <w:t xml:space="preserve"> (IE)</w:t>
      </w:r>
      <w:r>
        <w:rPr>
          <w:rFonts w:cs="Times New Roman"/>
        </w:rPr>
        <w:t xml:space="preserve"> </w:t>
      </w:r>
      <w:r w:rsidR="003350A8">
        <w:rPr>
          <w:rFonts w:cs="Times New Roman"/>
        </w:rPr>
        <w:t xml:space="preserve">and Procurement Review Group (PRG) </w:t>
      </w:r>
      <w:r w:rsidRPr="3A157B26">
        <w:rPr>
          <w:rFonts w:cs="Times New Roman"/>
        </w:rPr>
        <w:t xml:space="preserve">of its offer before submitting </w:t>
      </w:r>
      <w:r>
        <w:rPr>
          <w:rFonts w:cs="Times New Roman"/>
        </w:rPr>
        <w:t>it</w:t>
      </w:r>
      <w:r w:rsidRPr="3A157B26">
        <w:rPr>
          <w:rFonts w:cs="Times New Roman"/>
        </w:rPr>
        <w:t xml:space="preserve"> in the Market Offer solicitation </w:t>
      </w:r>
      <w:r>
        <w:rPr>
          <w:rFonts w:cs="Times New Roman"/>
        </w:rPr>
        <w:t>i</w:t>
      </w:r>
      <w:r w:rsidRPr="3A157B26">
        <w:rPr>
          <w:rFonts w:cs="Times New Roman"/>
        </w:rPr>
        <w:t>f it intends to participate in its Market Offer solicitation.</w:t>
      </w:r>
    </w:p>
    <w:p w:rsidRPr="00C76373" w:rsidR="00B661CE" w:rsidP="00EB7C9D" w:rsidRDefault="00B661CE" w14:paraId="0C5124A2" w14:textId="4CDCB5CC">
      <w:pPr>
        <w:pStyle w:val="Standard"/>
        <w:numPr>
          <w:ilvl w:val="1"/>
          <w:numId w:val="27"/>
        </w:numPr>
        <w:spacing w:after="120" w:line="240" w:lineRule="auto"/>
        <w:ind w:left="1440" w:right="1440"/>
        <w:rPr>
          <w:rFonts w:cs="Times New Roman"/>
        </w:rPr>
      </w:pPr>
      <w:r>
        <w:rPr>
          <w:rFonts w:cs="Times New Roman"/>
        </w:rPr>
        <w:t>T</w:t>
      </w:r>
      <w:r w:rsidRPr="00C46989">
        <w:rPr>
          <w:rFonts w:cs="Times New Roman"/>
        </w:rPr>
        <w:t xml:space="preserve">he </w:t>
      </w:r>
      <w:r>
        <w:rPr>
          <w:rFonts w:cs="Times New Roman"/>
        </w:rPr>
        <w:t>IE</w:t>
      </w:r>
      <w:r w:rsidR="00913407">
        <w:rPr>
          <w:rFonts w:cs="Times New Roman"/>
        </w:rPr>
        <w:t xml:space="preserve"> </w:t>
      </w:r>
      <w:r>
        <w:rPr>
          <w:rFonts w:cs="Times New Roman"/>
        </w:rPr>
        <w:t>shall</w:t>
      </w:r>
      <w:r w:rsidRPr="00C46989">
        <w:rPr>
          <w:rFonts w:cs="Times New Roman"/>
        </w:rPr>
        <w:t xml:space="preserve"> provide the Commission information regarding any code of conduct violation in their IE </w:t>
      </w:r>
      <w:r>
        <w:rPr>
          <w:rFonts w:cs="Times New Roman"/>
        </w:rPr>
        <w:t>R</w:t>
      </w:r>
      <w:r w:rsidRPr="00C46989">
        <w:rPr>
          <w:rFonts w:cs="Times New Roman"/>
        </w:rPr>
        <w:t>eports.</w:t>
      </w:r>
      <w:r w:rsidRPr="00C76373">
        <w:rPr>
          <w:rFonts w:cs="Times New Roman"/>
        </w:rPr>
        <w:t xml:space="preserve"> </w:t>
      </w:r>
    </w:p>
    <w:p w:rsidRPr="002F3872" w:rsidR="002F3872" w:rsidP="00EB7C9D" w:rsidRDefault="003131CF" w14:paraId="039175BB" w14:textId="46335229">
      <w:pPr>
        <w:pStyle w:val="Standard"/>
        <w:numPr>
          <w:ilvl w:val="0"/>
          <w:numId w:val="27"/>
        </w:numPr>
        <w:spacing w:after="120" w:line="240" w:lineRule="auto"/>
        <w:ind w:left="1080" w:right="1440"/>
      </w:pPr>
      <w:r w:rsidRPr="002F3872">
        <w:rPr>
          <w:rFonts w:cs="Times New Roman"/>
          <w:szCs w:val="26"/>
        </w:rPr>
        <w:t xml:space="preserve">The IOUs shall not conduct </w:t>
      </w:r>
      <w:r w:rsidR="00574CD7">
        <w:rPr>
          <w:rFonts w:cs="Times New Roman"/>
          <w:szCs w:val="26"/>
        </w:rPr>
        <w:t>concurrent</w:t>
      </w:r>
      <w:r w:rsidRPr="002F3872">
        <w:rPr>
          <w:rFonts w:cs="Times New Roman"/>
          <w:szCs w:val="26"/>
        </w:rPr>
        <w:t xml:space="preserve"> </w:t>
      </w:r>
      <w:r w:rsidRPr="00CE50E7" w:rsidR="00BB4C71">
        <w:rPr>
          <w:rFonts w:cs="Times New Roman"/>
          <w:szCs w:val="26"/>
        </w:rPr>
        <w:t xml:space="preserve">non-Market Offer solicitations for </w:t>
      </w:r>
      <w:r w:rsidR="001130F6">
        <w:rPr>
          <w:rFonts w:cs="Times New Roman"/>
          <w:szCs w:val="26"/>
        </w:rPr>
        <w:t xml:space="preserve">similar </w:t>
      </w:r>
      <w:r w:rsidR="0090599B">
        <w:rPr>
          <w:rFonts w:cs="Times New Roman"/>
          <w:szCs w:val="26"/>
        </w:rPr>
        <w:t>RPS</w:t>
      </w:r>
      <w:r w:rsidRPr="00CE50E7" w:rsidR="00BB4C71">
        <w:rPr>
          <w:rFonts w:cs="Times New Roman"/>
          <w:szCs w:val="26"/>
        </w:rPr>
        <w:t xml:space="preserve"> products during the</w:t>
      </w:r>
      <w:r w:rsidR="008C1032">
        <w:rPr>
          <w:rFonts w:cs="Times New Roman"/>
          <w:szCs w:val="26"/>
        </w:rPr>
        <w:t xml:space="preserve"> Market Offer</w:t>
      </w:r>
      <w:r w:rsidRPr="00CE50E7" w:rsidR="00BB4C71">
        <w:rPr>
          <w:rFonts w:cs="Times New Roman"/>
          <w:szCs w:val="26"/>
        </w:rPr>
        <w:t xml:space="preserve"> </w:t>
      </w:r>
      <w:r w:rsidR="00CA446B">
        <w:rPr>
          <w:rFonts w:cs="Times New Roman"/>
          <w:szCs w:val="26"/>
        </w:rPr>
        <w:t>solicitation</w:t>
      </w:r>
      <w:r w:rsidRPr="00CE50E7" w:rsidR="00CA446B">
        <w:rPr>
          <w:rFonts w:cs="Times New Roman"/>
          <w:szCs w:val="26"/>
        </w:rPr>
        <w:t xml:space="preserve"> </w:t>
      </w:r>
      <w:r w:rsidRPr="00CE50E7" w:rsidR="00BB4C71">
        <w:rPr>
          <w:rFonts w:cs="Times New Roman"/>
          <w:szCs w:val="26"/>
        </w:rPr>
        <w:t>period</w:t>
      </w:r>
      <w:r w:rsidR="00BB4C71">
        <w:rPr>
          <w:rFonts w:cs="Times New Roman"/>
          <w:szCs w:val="26"/>
        </w:rPr>
        <w:t>.</w:t>
      </w:r>
      <w:r w:rsidRPr="002F3872" w:rsidR="002F3872">
        <w:rPr>
          <w:rFonts w:cs="Times New Roman"/>
          <w:szCs w:val="26"/>
        </w:rPr>
        <w:t xml:space="preserve"> </w:t>
      </w:r>
    </w:p>
    <w:p w:rsidRPr="007A4B5F" w:rsidR="007A4B5F" w:rsidP="00BC5754" w:rsidRDefault="007A4B5F" w14:paraId="27DE877B" w14:textId="1E6537F0">
      <w:pPr>
        <w:pStyle w:val="Standard"/>
        <w:numPr>
          <w:ilvl w:val="0"/>
          <w:numId w:val="27"/>
        </w:numPr>
        <w:spacing w:after="120" w:line="240" w:lineRule="auto"/>
        <w:ind w:left="1080" w:right="1440" w:hanging="450"/>
      </w:pPr>
      <w:r w:rsidRPr="00CE50E7">
        <w:rPr>
          <w:rFonts w:cs="Times New Roman"/>
          <w:szCs w:val="26"/>
        </w:rPr>
        <w:t>Market Offer sales revenue</w:t>
      </w:r>
      <w:r>
        <w:rPr>
          <w:rFonts w:cs="Times New Roman"/>
          <w:szCs w:val="26"/>
        </w:rPr>
        <w:t xml:space="preserve"> </w:t>
      </w:r>
      <w:r w:rsidR="004914DD">
        <w:rPr>
          <w:rFonts w:cs="Times New Roman"/>
          <w:szCs w:val="26"/>
        </w:rPr>
        <w:t>allocation</w:t>
      </w:r>
      <w:r w:rsidR="00D1749A">
        <w:rPr>
          <w:rFonts w:cs="Times New Roman"/>
          <w:szCs w:val="26"/>
        </w:rPr>
        <w:t xml:space="preserve"> and ERRA true-up</w:t>
      </w:r>
      <w:r w:rsidR="004914DD">
        <w:rPr>
          <w:rFonts w:cs="Times New Roman"/>
          <w:szCs w:val="26"/>
        </w:rPr>
        <w:t xml:space="preserve"> </w:t>
      </w:r>
      <w:r w:rsidR="00D1749A">
        <w:rPr>
          <w:rFonts w:cs="Times New Roman"/>
          <w:szCs w:val="26"/>
        </w:rPr>
        <w:t xml:space="preserve">forecast </w:t>
      </w:r>
      <w:r w:rsidR="00FA3E44">
        <w:rPr>
          <w:rFonts w:cs="Times New Roman"/>
          <w:szCs w:val="26"/>
        </w:rPr>
        <w:t>complies</w:t>
      </w:r>
      <w:r>
        <w:rPr>
          <w:rFonts w:cs="Times New Roman"/>
          <w:szCs w:val="26"/>
        </w:rPr>
        <w:t xml:space="preserve"> with </w:t>
      </w:r>
      <w:r w:rsidR="00165686">
        <w:rPr>
          <w:rFonts w:cs="Times New Roman"/>
          <w:szCs w:val="26"/>
        </w:rPr>
        <w:t xml:space="preserve">D.19-10-001 and </w:t>
      </w:r>
      <w:r>
        <w:rPr>
          <w:rFonts w:cs="Times New Roman"/>
          <w:szCs w:val="26"/>
        </w:rPr>
        <w:t>D.21-05-030.</w:t>
      </w:r>
    </w:p>
    <w:p w:rsidRPr="006F1631" w:rsidR="006F1631" w:rsidP="00BC5754" w:rsidRDefault="002F3872" w14:paraId="090C3EC5" w14:textId="5528FC2C">
      <w:pPr>
        <w:pStyle w:val="Standard"/>
        <w:numPr>
          <w:ilvl w:val="0"/>
          <w:numId w:val="27"/>
        </w:numPr>
        <w:spacing w:after="120" w:line="240" w:lineRule="auto"/>
        <w:ind w:left="1080" w:right="1440" w:hanging="450"/>
        <w:rPr>
          <w:rFonts w:cs="Times New Roman"/>
          <w:szCs w:val="26"/>
        </w:rPr>
      </w:pPr>
      <w:r w:rsidRPr="00B643FA">
        <w:rPr>
          <w:rFonts w:cs="Times New Roman"/>
          <w:szCs w:val="26"/>
        </w:rPr>
        <w:t xml:space="preserve">The IOUs shall provide an updated </w:t>
      </w:r>
      <w:r w:rsidRPr="00B643FA" w:rsidR="00CC2FF1">
        <w:rPr>
          <w:rFonts w:cs="Times New Roman"/>
          <w:szCs w:val="26"/>
        </w:rPr>
        <w:t xml:space="preserve">timeline </w:t>
      </w:r>
      <w:r w:rsidRPr="00B643FA" w:rsidR="008C1032">
        <w:rPr>
          <w:rFonts w:cs="Times New Roman"/>
          <w:szCs w:val="26"/>
        </w:rPr>
        <w:t>to implement</w:t>
      </w:r>
      <w:r w:rsidRPr="00B643FA">
        <w:rPr>
          <w:rFonts w:cs="Times New Roman"/>
          <w:szCs w:val="26"/>
        </w:rPr>
        <w:t xml:space="preserve"> the Market Offer</w:t>
      </w:r>
      <w:r w:rsidRPr="00B643FA" w:rsidR="008C1032">
        <w:rPr>
          <w:rFonts w:cs="Times New Roman"/>
          <w:szCs w:val="26"/>
        </w:rPr>
        <w:t xml:space="preserve"> process</w:t>
      </w:r>
      <w:r w:rsidRPr="00B643FA" w:rsidR="00B643FA">
        <w:rPr>
          <w:rFonts w:cs="Times New Roman"/>
          <w:szCs w:val="26"/>
        </w:rPr>
        <w:t xml:space="preserve"> in the Advice Letter filings for</w:t>
      </w:r>
      <w:r w:rsidR="00F5751D">
        <w:rPr>
          <w:rFonts w:cs="Times New Roman"/>
          <w:szCs w:val="26"/>
        </w:rPr>
        <w:t xml:space="preserve"> sale of</w:t>
      </w:r>
      <w:r w:rsidRPr="00B643FA" w:rsidR="00B643FA">
        <w:rPr>
          <w:rFonts w:cs="Times New Roman"/>
          <w:szCs w:val="26"/>
        </w:rPr>
        <w:t xml:space="preserve"> sho</w:t>
      </w:r>
      <w:r w:rsidR="00650231">
        <w:rPr>
          <w:rFonts w:cs="Times New Roman"/>
          <w:szCs w:val="26"/>
        </w:rPr>
        <w:t>rt</w:t>
      </w:r>
      <w:r w:rsidRPr="00B643FA" w:rsidR="00B643FA">
        <w:rPr>
          <w:rFonts w:cs="Times New Roman"/>
          <w:szCs w:val="26"/>
        </w:rPr>
        <w:t>-term and long-term contracts</w:t>
      </w:r>
      <w:r w:rsidRPr="00B643FA">
        <w:rPr>
          <w:rFonts w:cs="Times New Roman"/>
          <w:szCs w:val="26"/>
        </w:rPr>
        <w:t>.</w:t>
      </w:r>
      <w:r w:rsidRPr="00B643FA" w:rsidR="004E3F8B">
        <w:rPr>
          <w:rFonts w:cs="Times New Roman"/>
          <w:szCs w:val="26"/>
        </w:rPr>
        <w:t xml:space="preserve"> </w:t>
      </w:r>
      <w:r w:rsidRPr="00B643FA">
        <w:rPr>
          <w:rFonts w:cs="Times New Roman"/>
          <w:szCs w:val="26"/>
        </w:rPr>
        <w:t xml:space="preserve"> </w:t>
      </w:r>
      <w:r w:rsidR="000804D1">
        <w:rPr>
          <w:rFonts w:cs="Times New Roman"/>
          <w:szCs w:val="26"/>
        </w:rPr>
        <w:t>Market participants</w:t>
      </w:r>
      <w:r w:rsidRPr="006F1631" w:rsidR="006F1631">
        <w:rPr>
          <w:rFonts w:cs="Times New Roman"/>
          <w:szCs w:val="26"/>
        </w:rPr>
        <w:t xml:space="preserve"> are permitted to bid different percentages for 2023 and 2024 for </w:t>
      </w:r>
      <w:r w:rsidR="0030569C">
        <w:rPr>
          <w:rFonts w:cs="Times New Roman"/>
          <w:szCs w:val="26"/>
        </w:rPr>
        <w:t xml:space="preserve">short-term </w:t>
      </w:r>
      <w:r w:rsidRPr="006F1631" w:rsidR="006F1631">
        <w:rPr>
          <w:rFonts w:cs="Times New Roman"/>
          <w:szCs w:val="26"/>
        </w:rPr>
        <w:t>Market Offer contracts.</w:t>
      </w:r>
    </w:p>
    <w:p w:rsidR="0063491C" w:rsidP="00BC5754" w:rsidRDefault="0063491C" w14:paraId="0D596060" w14:textId="77777777">
      <w:pPr>
        <w:pStyle w:val="Heading1"/>
        <w:numPr>
          <w:ilvl w:val="0"/>
          <w:numId w:val="49"/>
        </w:numPr>
        <w:ind w:left="720" w:hanging="720"/>
      </w:pPr>
      <w:bookmarkStart w:name="_Toc8123717" w:id="4"/>
      <w:bookmarkStart w:name="_Toc119660139" w:id="5"/>
      <w:r w:rsidRPr="00EB2D06">
        <w:t>Procedural</w:t>
      </w:r>
      <w:r>
        <w:t xml:space="preserve"> Background</w:t>
      </w:r>
      <w:bookmarkEnd w:id="4"/>
      <w:bookmarkEnd w:id="5"/>
    </w:p>
    <w:p w:rsidRPr="00C4255B" w:rsidR="0058215F" w:rsidP="00EB2D06" w:rsidRDefault="0058215F" w14:paraId="573748B0" w14:textId="00F31E35">
      <w:pPr>
        <w:pStyle w:val="Standard"/>
      </w:pPr>
      <w:r w:rsidRPr="0058215F">
        <w:t>On May 20, 2021, the California Public Utilities Commission (CPUC or Commission) adopted Decision (D.) 21-05-03</w:t>
      </w:r>
      <w:r w:rsidR="004543A4">
        <w:t>0</w:t>
      </w:r>
      <w:r w:rsidRPr="0058215F">
        <w:t xml:space="preserve"> in Rulemaking (R.)</w:t>
      </w:r>
      <w:r w:rsidR="00BC5754">
        <w:t> </w:t>
      </w:r>
      <w:r w:rsidRPr="0058215F">
        <w:t xml:space="preserve">17-06-026, setting rules to implement the Voluntary Allocation, Market Offer, and Request for Information (RFI) processes for Renewables Portfolio Standard (RPS) contracts subject to the Power Charge Indifference Adjustment (PCIA) mechanism. </w:t>
      </w:r>
      <w:r w:rsidR="00921625">
        <w:t>According to</w:t>
      </w:r>
      <w:r w:rsidRPr="0014673E">
        <w:t xml:space="preserve"> D.21-05-030, </w:t>
      </w:r>
      <w:r w:rsidRPr="0014673E" w:rsidR="0027377E">
        <w:t>all</w:t>
      </w:r>
      <w:r w:rsidRPr="0058215F" w:rsidR="0027377E">
        <w:t xml:space="preserve"> </w:t>
      </w:r>
      <w:r w:rsidR="0027377E">
        <w:t>load-serving entities</w:t>
      </w:r>
      <w:r w:rsidRPr="0058215F" w:rsidR="0027377E">
        <w:t xml:space="preserve"> </w:t>
      </w:r>
      <w:r w:rsidR="004D2C17">
        <w:t xml:space="preserve">(LSEs) </w:t>
      </w:r>
      <w:r w:rsidR="0027377E">
        <w:t>must</w:t>
      </w:r>
      <w:r w:rsidRPr="0058215F" w:rsidR="0027377E">
        <w:t xml:space="preserve"> report </w:t>
      </w:r>
      <w:r w:rsidR="0027377E">
        <w:t xml:space="preserve">their Voluntary Allocation and Market Offer (VAMO) </w:t>
      </w:r>
      <w:r w:rsidRPr="000218BE" w:rsidR="0027377E">
        <w:t>participation in their annual RPS Procurement Plans and RPS compliance reports.</w:t>
      </w:r>
      <w:r w:rsidR="0027377E">
        <w:rPr>
          <w:rStyle w:val="FootnoteReference"/>
        </w:rPr>
        <w:footnoteReference w:id="2"/>
      </w:r>
      <w:r w:rsidR="0027377E">
        <w:t xml:space="preserve"> </w:t>
      </w:r>
      <w:r w:rsidRPr="00C4255B" w:rsidR="000D472E">
        <w:t xml:space="preserve">Additionally, </w:t>
      </w:r>
      <w:r w:rsidRPr="00C4255B">
        <w:t>the investor-owned utilities</w:t>
      </w:r>
      <w:r w:rsidRPr="00C4255B" w:rsidR="000D472E">
        <w:t xml:space="preserve"> (IOUs)</w:t>
      </w:r>
      <w:r w:rsidRPr="00C4255B">
        <w:t xml:space="preserve"> </w:t>
      </w:r>
      <w:r w:rsidRPr="00C4255B" w:rsidR="008215A2">
        <w:t>must</w:t>
      </w:r>
      <w:r w:rsidRPr="00C4255B">
        <w:t xml:space="preserve"> file </w:t>
      </w:r>
      <w:r w:rsidRPr="00C4255B" w:rsidR="00955EF4">
        <w:t xml:space="preserve">their </w:t>
      </w:r>
      <w:r w:rsidR="008130EC">
        <w:t xml:space="preserve">proposed </w:t>
      </w:r>
      <w:r w:rsidRPr="00C4255B" w:rsidR="00955EF4">
        <w:t xml:space="preserve">Market Offer </w:t>
      </w:r>
      <w:r w:rsidRPr="00C4255B">
        <w:t>pro</w:t>
      </w:r>
      <w:r w:rsidRPr="00C4255B" w:rsidR="00C669FB">
        <w:t>cess</w:t>
      </w:r>
      <w:r w:rsidRPr="00C4255B">
        <w:t xml:space="preserve"> in their annual RPS Procurement Plans</w:t>
      </w:r>
      <w:r w:rsidRPr="00C4255B" w:rsidR="00EA7F07">
        <w:t>.</w:t>
      </w:r>
      <w:r w:rsidRPr="00C4255B" w:rsidR="000702D9">
        <w:rPr>
          <w:rStyle w:val="FootnoteReference"/>
        </w:rPr>
        <w:footnoteReference w:id="3"/>
      </w:r>
      <w:r w:rsidRPr="00C4255B" w:rsidR="00EA7F07">
        <w:t xml:space="preserve"> </w:t>
      </w:r>
    </w:p>
    <w:p w:rsidR="00EE3060" w:rsidP="006E6574" w:rsidRDefault="00311050" w14:paraId="38D2FDC5" w14:textId="6ED3F273">
      <w:pPr>
        <w:pStyle w:val="Standard"/>
      </w:pPr>
      <w:r w:rsidRPr="00C4255B">
        <w:t>On April 6, 2022</w:t>
      </w:r>
      <w:r w:rsidRPr="00C4255B" w:rsidR="00EA7F07">
        <w:t>,</w:t>
      </w:r>
      <w:r w:rsidRPr="00C4255B">
        <w:t xml:space="preserve"> </w:t>
      </w:r>
      <w:r w:rsidRPr="00C4255B" w:rsidR="00957131">
        <w:t>an Amended Scoping Memo and Ruling</w:t>
      </w:r>
      <w:r w:rsidRPr="00C4255B" w:rsidR="00392A92">
        <w:t xml:space="preserve"> (Sco</w:t>
      </w:r>
      <w:r w:rsidR="00392A92">
        <w:t>ping Memo)</w:t>
      </w:r>
      <w:r w:rsidRPr="00957131" w:rsidR="00957131">
        <w:t xml:space="preserve"> </w:t>
      </w:r>
      <w:r w:rsidRPr="00C732D3" w:rsidR="00C732D3">
        <w:t>expand</w:t>
      </w:r>
      <w:r w:rsidR="00C732D3">
        <w:t>ed</w:t>
      </w:r>
      <w:r w:rsidRPr="00C732D3" w:rsidR="00C732D3">
        <w:t xml:space="preserve"> th</w:t>
      </w:r>
      <w:r w:rsidR="000702D9">
        <w:t>is</w:t>
      </w:r>
      <w:r w:rsidRPr="00C732D3" w:rsidR="00C732D3">
        <w:t xml:space="preserve"> proceeding</w:t>
      </w:r>
      <w:r w:rsidR="000D472E">
        <w:t>’s</w:t>
      </w:r>
      <w:r w:rsidRPr="00C732D3" w:rsidR="00C732D3">
        <w:t xml:space="preserve"> scope to consider issues relevant to implementing the </w:t>
      </w:r>
      <w:r w:rsidR="00392A92">
        <w:t>VAMO</w:t>
      </w:r>
      <w:r w:rsidR="00D37BE0">
        <w:t xml:space="preserve"> </w:t>
      </w:r>
      <w:r w:rsidRPr="00C732D3" w:rsidR="00C732D3">
        <w:t>process</w:t>
      </w:r>
      <w:r w:rsidR="00E506FE">
        <w:t>. The Scoping Memo established</w:t>
      </w:r>
      <w:r w:rsidRPr="00392A92" w:rsidR="00392A92">
        <w:t xml:space="preserve"> parallel tracks to manage the overall proceeding quickly and efficiently.  </w:t>
      </w:r>
    </w:p>
    <w:p w:rsidR="000D7162" w:rsidP="006E6574" w:rsidRDefault="0006119E" w14:paraId="3209CD6D" w14:textId="212112B6">
      <w:pPr>
        <w:pStyle w:val="Standard"/>
      </w:pPr>
      <w:r>
        <w:t xml:space="preserve">On April 11, 2022, </w:t>
      </w:r>
      <w:r w:rsidR="00CD7204">
        <w:t xml:space="preserve">an </w:t>
      </w:r>
      <w:r w:rsidR="006F098C">
        <w:t>a</w:t>
      </w:r>
      <w:r w:rsidR="00306E54">
        <w:t xml:space="preserve">ssigned Commissioner and </w:t>
      </w:r>
      <w:r w:rsidR="0059493E">
        <w:t>Administrative</w:t>
      </w:r>
      <w:r w:rsidR="00FA0563">
        <w:t xml:space="preserve"> Law </w:t>
      </w:r>
      <w:r w:rsidR="0059493E">
        <w:t>Judge’s</w:t>
      </w:r>
      <w:r w:rsidR="00FA0563">
        <w:t xml:space="preserve"> Ruling adopted </w:t>
      </w:r>
      <w:r w:rsidR="0059493E">
        <w:t xml:space="preserve">a procedural schedule </w:t>
      </w:r>
      <w:r w:rsidR="00CD7204">
        <w:t>for the</w:t>
      </w:r>
      <w:r w:rsidR="005C7E5B">
        <w:t xml:space="preserve"> parallel tracks</w:t>
      </w:r>
      <w:r w:rsidR="009542E9">
        <w:t xml:space="preserve"> (Track 1 and 2)</w:t>
      </w:r>
      <w:r w:rsidR="005C7E5B">
        <w:t xml:space="preserve"> to review VAMO information as part of the </w:t>
      </w:r>
      <w:r w:rsidR="00C7649C">
        <w:t xml:space="preserve">2022 </w:t>
      </w:r>
      <w:r w:rsidR="005C7E5B">
        <w:t xml:space="preserve">RPS </w:t>
      </w:r>
      <w:r w:rsidR="00C7649C">
        <w:t xml:space="preserve">Procurement </w:t>
      </w:r>
      <w:r w:rsidR="005C7E5B">
        <w:t>Plans</w:t>
      </w:r>
      <w:r w:rsidR="00416D4C">
        <w:t xml:space="preserve"> (RPS Plans)</w:t>
      </w:r>
      <w:r w:rsidR="005C7E5B">
        <w:t xml:space="preserve">. </w:t>
      </w:r>
    </w:p>
    <w:p w:rsidR="009542E9" w:rsidP="009542E9" w:rsidRDefault="000D7162" w14:paraId="1555E001" w14:textId="1C322AD8">
      <w:pPr>
        <w:pStyle w:val="Standard"/>
      </w:pPr>
      <w:r>
        <w:t xml:space="preserve">On May 2, 2022, </w:t>
      </w:r>
      <w:r w:rsidR="007A32EB">
        <w:t xml:space="preserve">a </w:t>
      </w:r>
      <w:r w:rsidRPr="007A32EB" w:rsidR="007A32EB">
        <w:t xml:space="preserve">Joint </w:t>
      </w:r>
      <w:r w:rsidR="00325751">
        <w:t>Market Offer proposal was</w:t>
      </w:r>
      <w:r w:rsidRPr="007A32EB" w:rsidR="007A32EB">
        <w:t xml:space="preserve"> filed by Pacific Gas and Electric Company</w:t>
      </w:r>
      <w:r w:rsidR="004B1526">
        <w:t xml:space="preserve"> (PG&amp;E)</w:t>
      </w:r>
      <w:r w:rsidRPr="007A32EB" w:rsidR="007A32EB">
        <w:t>, Southern California Edison Company</w:t>
      </w:r>
      <w:r w:rsidR="004B1526">
        <w:t xml:space="preserve"> (SCE)</w:t>
      </w:r>
      <w:r w:rsidRPr="007A32EB" w:rsidR="007A32EB">
        <w:t>, and San</w:t>
      </w:r>
      <w:r w:rsidR="006F098C">
        <w:t> </w:t>
      </w:r>
      <w:r w:rsidRPr="007A32EB" w:rsidR="007A32EB">
        <w:t xml:space="preserve">Diego Gas &amp; Electric </w:t>
      </w:r>
      <w:r w:rsidRPr="007A32EB" w:rsidR="009542E9">
        <w:t>Company</w:t>
      </w:r>
      <w:r w:rsidR="004B1526">
        <w:t xml:space="preserve"> (SDG&amp;E)</w:t>
      </w:r>
      <w:r w:rsidRPr="007A32EB" w:rsidR="009542E9">
        <w:t xml:space="preserve"> </w:t>
      </w:r>
      <w:r w:rsidR="009542E9">
        <w:t>as</w:t>
      </w:r>
      <w:r w:rsidR="006D3894">
        <w:t xml:space="preserve"> </w:t>
      </w:r>
      <w:r w:rsidRPr="00901BE1" w:rsidR="00901BE1">
        <w:t>Track 1</w:t>
      </w:r>
      <w:r w:rsidR="00325751">
        <w:t xml:space="preserve"> </w:t>
      </w:r>
      <w:r w:rsidR="00832001">
        <w:t>of their</w:t>
      </w:r>
      <w:r w:rsidR="00325751">
        <w:t xml:space="preserve"> </w:t>
      </w:r>
      <w:r w:rsidR="00832001">
        <w:t>draft 2022</w:t>
      </w:r>
      <w:r w:rsidR="006F098C">
        <w:t> </w:t>
      </w:r>
      <w:r w:rsidR="00832001">
        <w:t>RPS Plan.</w:t>
      </w:r>
      <w:r w:rsidRPr="009542E9" w:rsidR="009542E9">
        <w:t xml:space="preserve"> </w:t>
      </w:r>
    </w:p>
    <w:p w:rsidR="00B943B0" w:rsidP="006E6574" w:rsidRDefault="005D7475" w14:paraId="661D5530" w14:textId="2261D101">
      <w:pPr>
        <w:pStyle w:val="Standard"/>
      </w:pPr>
      <w:r>
        <w:t xml:space="preserve">On May 16, 2022, </w:t>
      </w:r>
      <w:r w:rsidR="00B943B0">
        <w:t xml:space="preserve">each IOU filed a confidential version of </w:t>
      </w:r>
      <w:r w:rsidR="00DF7E24">
        <w:t xml:space="preserve">Track 1 Draft RPS Plans with </w:t>
      </w:r>
      <w:r w:rsidR="00B943B0">
        <w:t>their Market Offer</w:t>
      </w:r>
      <w:r w:rsidR="000F74CF">
        <w:t xml:space="preserve"> solicitation protocols</w:t>
      </w:r>
      <w:r w:rsidR="00B943B0">
        <w:t xml:space="preserve">. </w:t>
      </w:r>
    </w:p>
    <w:p w:rsidR="0037127B" w:rsidP="00B64991" w:rsidRDefault="0037127B" w14:paraId="53C76AD6" w14:textId="01C4A22D">
      <w:pPr>
        <w:pStyle w:val="Standard"/>
      </w:pPr>
      <w:r>
        <w:t>On July 1, 2022</w:t>
      </w:r>
      <w:r w:rsidR="00091473">
        <w:t>, the following LSEs filed thei</w:t>
      </w:r>
      <w:r w:rsidR="009542E9">
        <w:t>r draft 2022 RPS Plans</w:t>
      </w:r>
      <w:r w:rsidR="00EA600F">
        <w:t>,</w:t>
      </w:r>
      <w:r w:rsidR="009542E9">
        <w:t xml:space="preserve"> </w:t>
      </w:r>
      <w:r w:rsidR="00B943B0">
        <w:t xml:space="preserve">including </w:t>
      </w:r>
      <w:r w:rsidR="00C830BB">
        <w:t xml:space="preserve">the </w:t>
      </w:r>
      <w:r w:rsidR="00066623">
        <w:t xml:space="preserve">best available </w:t>
      </w:r>
      <w:r w:rsidR="00B943B0">
        <w:t>information on their Voluntary Allocation</w:t>
      </w:r>
      <w:r w:rsidR="00B84F5F">
        <w:t>s</w:t>
      </w:r>
      <w:r w:rsidR="00E10AC7">
        <w:t>:</w:t>
      </w:r>
    </w:p>
    <w:p w:rsidR="00A63108" w:rsidP="00EB2D06" w:rsidRDefault="00327EBA" w14:paraId="30539EE3" w14:textId="325EEDCB">
      <w:pPr>
        <w:pStyle w:val="Standard"/>
        <w:rPr>
          <w:rFonts w:ascii="Calibri" w:hAnsi="Calibri"/>
          <w:sz w:val="22"/>
        </w:rPr>
      </w:pPr>
      <w:r>
        <w:t xml:space="preserve">3 </w:t>
      </w:r>
      <w:r w:rsidR="00A63108">
        <w:t>Phases Renewables</w:t>
      </w:r>
      <w:r>
        <w:t xml:space="preserve"> Incorporated (3 Phases Renewables)</w:t>
      </w:r>
      <w:r w:rsidR="00A63108">
        <w:t>, Apple Valley Choice, Bear Valley Electric Company (BVES or Bear Valley), Brookfield Renewable Energy Marketing US LLC, Calpine Energy Solutions, Calpine PowerAmerica-CA, Central Coast Community Energy, City of Palmdale, City</w:t>
      </w:r>
      <w:r w:rsidR="006F098C">
        <w:t> </w:t>
      </w:r>
      <w:r w:rsidR="00A63108">
        <w:t>of</w:t>
      </w:r>
      <w:r w:rsidR="006F098C">
        <w:t> </w:t>
      </w:r>
      <w:r w:rsidR="00A63108">
        <w:t xml:space="preserve">Pomona, City of Santa Barbara, Clean Energy Alliance, Clean Power Alliance, CleanPowerSF, Commercial Energy of California, Constellation NewEnergy, Desert Community Energy, Direct Energy Business, East Bay Community Energy, EDF Industrial Power Services (CA), King City Community Power, Lancaster Choice, Liberty Utilities (CalPeco Electric), LLC (Liberty), Marin Clean Energy, Orange County Power Authority, PG&amp;E, PacifiCorp, d/b/a Pacific Power (PacifiCorp), Peninsula Clean Energy, Pico Rivera Innovative Municipal Energy, Pilot Power Group, Pioneer Community Energy, Rancho Mirage Energy Authority, Redwood Coast Energy Authority, San Diego Community Power, SDG&amp;E, San Jacinto Power, San Jose Community Energy, Shell Energy North America, Silicon Valley Clean Energy, Sonoma Clean Power, SCE, The Regents of the University of California, and Valley Clean Energy Alliance. </w:t>
      </w:r>
    </w:p>
    <w:p w:rsidR="00B943B0" w:rsidP="00EB2D06" w:rsidRDefault="00B943B0" w14:paraId="02B953CC" w14:textId="0BFD070B">
      <w:pPr>
        <w:pStyle w:val="Standard"/>
      </w:pPr>
      <w:r w:rsidRPr="00EB2D06">
        <w:t>On</w:t>
      </w:r>
      <w:r>
        <w:t xml:space="preserve"> August 15, 2022, </w:t>
      </w:r>
      <w:r w:rsidR="003350A8">
        <w:t>most</w:t>
      </w:r>
      <w:r w:rsidR="00B80594">
        <w:t xml:space="preserve"> LSEs filed motions to update their draft RPS Plans, including the status of their Voluntary Allocation. </w:t>
      </w:r>
      <w:r w:rsidR="006E31B8">
        <w:t>On October</w:t>
      </w:r>
      <w:r w:rsidR="006F098C">
        <w:t> </w:t>
      </w:r>
      <w:r w:rsidR="006E31B8">
        <w:t>19,</w:t>
      </w:r>
      <w:r w:rsidR="006F098C">
        <w:t> </w:t>
      </w:r>
      <w:r w:rsidR="006E31B8">
        <w:t>2022, 3</w:t>
      </w:r>
      <w:r w:rsidR="006F098C">
        <w:t> </w:t>
      </w:r>
      <w:r w:rsidR="006E31B8">
        <w:t>Phases Renewables filed their update to their draft RPS Plan.</w:t>
      </w:r>
    </w:p>
    <w:p w:rsidR="005A148C" w:rsidP="00BC5754" w:rsidRDefault="005939A5" w14:paraId="4D735F6E" w14:textId="77777777">
      <w:pPr>
        <w:pStyle w:val="Heading1"/>
        <w:numPr>
          <w:ilvl w:val="0"/>
          <w:numId w:val="49"/>
        </w:numPr>
        <w:ind w:left="720" w:hanging="720"/>
      </w:pPr>
      <w:bookmarkStart w:name="_Toc8123719" w:id="6"/>
      <w:bookmarkStart w:name="_Toc119660140" w:id="7"/>
      <w:r>
        <w:t xml:space="preserve">Issues Before </w:t>
      </w:r>
      <w:r w:rsidRPr="00EB2D06">
        <w:t>the</w:t>
      </w:r>
      <w:r>
        <w:t xml:space="preserve"> Commission</w:t>
      </w:r>
      <w:bookmarkEnd w:id="6"/>
      <w:bookmarkEnd w:id="7"/>
    </w:p>
    <w:p w:rsidRPr="00CE50E7" w:rsidR="00922E33" w:rsidP="00EB2D06" w:rsidRDefault="00642E8A" w14:paraId="7D2DC40F" w14:textId="7ED542EF">
      <w:pPr>
        <w:pStyle w:val="Standard"/>
      </w:pPr>
      <w:r w:rsidRPr="00EB2D06">
        <w:t>In</w:t>
      </w:r>
      <w:r w:rsidRPr="00CE50E7">
        <w:t xml:space="preserve"> this decision, we will review the </w:t>
      </w:r>
      <w:r w:rsidR="00A5358C">
        <w:t xml:space="preserve">Joint </w:t>
      </w:r>
      <w:r w:rsidR="00C830BB">
        <w:t>IOUs’</w:t>
      </w:r>
      <w:r w:rsidR="00A5358C">
        <w:t xml:space="preserve"> </w:t>
      </w:r>
      <w:r w:rsidR="00167A60">
        <w:t xml:space="preserve">proposed </w:t>
      </w:r>
      <w:r w:rsidRPr="00CE50E7">
        <w:t xml:space="preserve">Market Offer </w:t>
      </w:r>
      <w:r w:rsidR="00F555DC">
        <w:t>process</w:t>
      </w:r>
      <w:r>
        <w:t xml:space="preserve"> </w:t>
      </w:r>
      <w:r w:rsidR="006A58A4">
        <w:t xml:space="preserve">filed under </w:t>
      </w:r>
      <w:r w:rsidRPr="00CE50E7">
        <w:t xml:space="preserve">D.21-05-030. </w:t>
      </w:r>
      <w:r w:rsidRPr="00F55FD2" w:rsidR="00BB41E0">
        <w:t xml:space="preserve">To provide certainty regarding what resources must be included in the Market Offer process, we will also review the </w:t>
      </w:r>
      <w:r w:rsidR="00BB41E0">
        <w:t xml:space="preserve">Voluntary Allocation </w:t>
      </w:r>
      <w:r w:rsidRPr="00F55FD2" w:rsidR="00BB41E0">
        <w:t xml:space="preserve">information </w:t>
      </w:r>
      <w:r w:rsidR="009440E7">
        <w:t xml:space="preserve">filed </w:t>
      </w:r>
      <w:r w:rsidR="00AA2DAD">
        <w:t xml:space="preserve">as part of </w:t>
      </w:r>
      <w:r w:rsidR="00904D95">
        <w:t xml:space="preserve">the </w:t>
      </w:r>
      <w:r w:rsidR="00AA2DAD">
        <w:t>draft 2022 RPS Plans</w:t>
      </w:r>
      <w:r w:rsidR="00925E5A">
        <w:t xml:space="preserve"> on July 1, 2022, and updated information filed on August 15, 2022</w:t>
      </w:r>
      <w:r w:rsidR="00904D95">
        <w:t xml:space="preserve">. </w:t>
      </w:r>
    </w:p>
    <w:p w:rsidRPr="0038269E" w:rsidR="007D064E" w:rsidP="006F098C" w:rsidRDefault="007D064E" w14:paraId="25CBC12D" w14:textId="401CDAE1">
      <w:pPr>
        <w:pStyle w:val="Standard"/>
        <w:tabs>
          <w:tab w:val="left" w:pos="720"/>
        </w:tabs>
        <w:ind w:left="720" w:firstLine="0"/>
        <w:rPr>
          <w:rFonts w:cs="Times New Roman"/>
          <w:szCs w:val="26"/>
          <w:u w:val="single"/>
        </w:rPr>
      </w:pPr>
      <w:r w:rsidRPr="0038269E">
        <w:rPr>
          <w:rFonts w:cs="Times New Roman"/>
          <w:szCs w:val="26"/>
          <w:u w:val="single"/>
        </w:rPr>
        <w:t>Issues for Voluntary Allocations:</w:t>
      </w:r>
    </w:p>
    <w:p w:rsidRPr="00B75540" w:rsidR="007D064E" w:rsidP="00B07DE7" w:rsidRDefault="007D064E" w14:paraId="14BE9113" w14:textId="7D32C4A5">
      <w:pPr>
        <w:pStyle w:val="pf0"/>
        <w:numPr>
          <w:ilvl w:val="0"/>
          <w:numId w:val="32"/>
        </w:numPr>
        <w:spacing w:before="0" w:beforeAutospacing="0" w:after="120" w:afterAutospacing="0"/>
        <w:ind w:right="1440"/>
        <w:rPr>
          <w:rFonts w:ascii="Book Antiqua" w:hAnsi="Book Antiqua" w:eastAsiaTheme="minorHAnsi"/>
          <w:sz w:val="26"/>
          <w:szCs w:val="26"/>
        </w:rPr>
      </w:pPr>
      <w:r w:rsidRPr="00B75540">
        <w:rPr>
          <w:rFonts w:ascii="Book Antiqua" w:hAnsi="Book Antiqua" w:eastAsiaTheme="minorHAnsi"/>
          <w:sz w:val="26"/>
          <w:szCs w:val="26"/>
        </w:rPr>
        <w:t xml:space="preserve">Review the outcomes of the IOUs’ Voluntary Allocation process and confirm elections by participating </w:t>
      </w:r>
      <w:r w:rsidRPr="00B75540" w:rsidR="00355110">
        <w:rPr>
          <w:rFonts w:ascii="Book Antiqua" w:hAnsi="Book Antiqua" w:eastAsiaTheme="minorHAnsi"/>
          <w:sz w:val="26"/>
          <w:szCs w:val="26"/>
        </w:rPr>
        <w:t>LSEs</w:t>
      </w:r>
      <w:r w:rsidRPr="00B75540">
        <w:rPr>
          <w:rFonts w:ascii="Book Antiqua" w:hAnsi="Book Antiqua" w:eastAsiaTheme="minorHAnsi"/>
          <w:sz w:val="26"/>
          <w:szCs w:val="26"/>
        </w:rPr>
        <w:t>.</w:t>
      </w:r>
    </w:p>
    <w:p w:rsidR="00B80594" w:rsidP="006F098C" w:rsidRDefault="00CA1746" w14:paraId="2BD87F7A" w14:textId="63253536">
      <w:pPr>
        <w:pStyle w:val="Standard"/>
        <w:tabs>
          <w:tab w:val="left" w:pos="720"/>
        </w:tabs>
        <w:spacing w:before="240" w:after="120" w:line="240" w:lineRule="auto"/>
        <w:ind w:left="720" w:right="1440" w:firstLine="0"/>
        <w:rPr>
          <w:rFonts w:cs="Times New Roman"/>
          <w:szCs w:val="26"/>
          <w:u w:val="single"/>
        </w:rPr>
      </w:pPr>
      <w:r>
        <w:rPr>
          <w:rFonts w:cs="Times New Roman"/>
          <w:szCs w:val="26"/>
          <w:u w:val="single"/>
        </w:rPr>
        <w:t xml:space="preserve">Issues for Market Offer:  </w:t>
      </w:r>
      <w:r w:rsidRPr="002A678F" w:rsidR="002A678F">
        <w:rPr>
          <w:rFonts w:cs="Times New Roman"/>
          <w:szCs w:val="26"/>
          <w:u w:val="single"/>
        </w:rPr>
        <w:t>Under Track 1 of the 2022 RPS Plans, the IOUs jointly propose</w:t>
      </w:r>
      <w:r w:rsidR="002A678F">
        <w:rPr>
          <w:rFonts w:cs="Times New Roman"/>
          <w:szCs w:val="26"/>
          <w:u w:val="single"/>
        </w:rPr>
        <w:t>d</w:t>
      </w:r>
      <w:r w:rsidRPr="002A678F" w:rsidR="002A678F">
        <w:rPr>
          <w:rFonts w:cs="Times New Roman"/>
          <w:szCs w:val="26"/>
          <w:u w:val="single"/>
        </w:rPr>
        <w:t xml:space="preserve"> a process and schedule for Market Offers for energy deliveries beginning in 2023, </w:t>
      </w:r>
      <w:r w:rsidR="00C830BB">
        <w:rPr>
          <w:rFonts w:cs="Times New Roman"/>
          <w:szCs w:val="26"/>
          <w:u w:val="single"/>
        </w:rPr>
        <w:t>according to</w:t>
      </w:r>
      <w:r w:rsidRPr="002A678F" w:rsidR="002A678F">
        <w:rPr>
          <w:rFonts w:cs="Times New Roman"/>
          <w:szCs w:val="26"/>
          <w:u w:val="single"/>
        </w:rPr>
        <w:t xml:space="preserve"> D.21-05-030. The </w:t>
      </w:r>
      <w:r w:rsidR="002A678F">
        <w:rPr>
          <w:rFonts w:cs="Times New Roman"/>
          <w:szCs w:val="26"/>
          <w:u w:val="single"/>
        </w:rPr>
        <w:t xml:space="preserve">issues for our consideration are: </w:t>
      </w:r>
    </w:p>
    <w:p w:rsidRPr="00B75540" w:rsidR="00D40C82" w:rsidP="006F098C" w:rsidRDefault="002A678F" w14:paraId="6784003F" w14:textId="44375A70">
      <w:pPr>
        <w:pStyle w:val="pf0"/>
        <w:numPr>
          <w:ilvl w:val="0"/>
          <w:numId w:val="35"/>
        </w:numPr>
        <w:spacing w:before="0" w:beforeAutospacing="0" w:after="120" w:afterAutospacing="0"/>
        <w:ind w:right="1440"/>
        <w:rPr>
          <w:rFonts w:ascii="Book Antiqua" w:hAnsi="Book Antiqua" w:eastAsiaTheme="minorHAnsi"/>
          <w:sz w:val="26"/>
          <w:szCs w:val="26"/>
        </w:rPr>
      </w:pPr>
      <w:r w:rsidRPr="00B75540">
        <w:rPr>
          <w:rFonts w:ascii="Book Antiqua" w:hAnsi="Book Antiqua" w:eastAsiaTheme="minorHAnsi"/>
          <w:sz w:val="26"/>
          <w:szCs w:val="26"/>
        </w:rPr>
        <w:t xml:space="preserve">Whether the </w:t>
      </w:r>
      <w:r w:rsidRPr="00B75540" w:rsidR="00D40C82">
        <w:rPr>
          <w:rFonts w:ascii="Book Antiqua" w:hAnsi="Book Antiqua" w:eastAsiaTheme="minorHAnsi"/>
          <w:sz w:val="26"/>
          <w:szCs w:val="26"/>
        </w:rPr>
        <w:t xml:space="preserve">proposed </w:t>
      </w:r>
      <w:r w:rsidRPr="00B75540" w:rsidR="001B1A89">
        <w:rPr>
          <w:rFonts w:ascii="Book Antiqua" w:hAnsi="Book Antiqua" w:eastAsiaTheme="minorHAnsi"/>
          <w:sz w:val="26"/>
          <w:szCs w:val="26"/>
        </w:rPr>
        <w:t xml:space="preserve">Market Offer process </w:t>
      </w:r>
      <w:r w:rsidRPr="00B75540" w:rsidR="004568AB">
        <w:rPr>
          <w:rFonts w:ascii="Book Antiqua" w:hAnsi="Book Antiqua" w:eastAsiaTheme="minorHAnsi"/>
          <w:sz w:val="26"/>
          <w:szCs w:val="26"/>
        </w:rPr>
        <w:t xml:space="preserve">is </w:t>
      </w:r>
      <w:r w:rsidRPr="00B75540" w:rsidR="00D40C82">
        <w:rPr>
          <w:rFonts w:ascii="Book Antiqua" w:hAnsi="Book Antiqua" w:eastAsiaTheme="minorHAnsi"/>
          <w:sz w:val="26"/>
          <w:szCs w:val="26"/>
        </w:rPr>
        <w:t>consistent with</w:t>
      </w:r>
      <w:r w:rsidRPr="00B75540" w:rsidR="00642E8A">
        <w:rPr>
          <w:rFonts w:ascii="Book Antiqua" w:hAnsi="Book Antiqua" w:eastAsiaTheme="minorHAnsi"/>
          <w:sz w:val="26"/>
          <w:szCs w:val="26"/>
        </w:rPr>
        <w:t xml:space="preserve"> existing rules and requirements for IOU RPS solicitations,</w:t>
      </w:r>
    </w:p>
    <w:p w:rsidRPr="00B75540" w:rsidR="00642E8A" w:rsidP="00B07DE7" w:rsidRDefault="00D40C82" w14:paraId="143A492A" w14:textId="11F7B973">
      <w:pPr>
        <w:pStyle w:val="pf0"/>
        <w:numPr>
          <w:ilvl w:val="0"/>
          <w:numId w:val="35"/>
        </w:numPr>
        <w:spacing w:after="120" w:afterAutospacing="0"/>
        <w:ind w:right="1440"/>
        <w:rPr>
          <w:rFonts w:ascii="Book Antiqua" w:hAnsi="Book Antiqua" w:eastAsiaTheme="minorHAnsi"/>
          <w:sz w:val="26"/>
          <w:szCs w:val="26"/>
        </w:rPr>
      </w:pPr>
      <w:r w:rsidRPr="00B75540">
        <w:rPr>
          <w:rFonts w:ascii="Book Antiqua" w:hAnsi="Book Antiqua" w:eastAsiaTheme="minorHAnsi"/>
          <w:sz w:val="26"/>
          <w:szCs w:val="26"/>
        </w:rPr>
        <w:t xml:space="preserve">Whether the </w:t>
      </w:r>
      <w:r w:rsidRPr="00B75540" w:rsidR="340B2B38">
        <w:rPr>
          <w:rFonts w:ascii="Book Antiqua" w:hAnsi="Book Antiqua" w:eastAsiaTheme="minorHAnsi"/>
          <w:sz w:val="26"/>
          <w:szCs w:val="26"/>
        </w:rPr>
        <w:t xml:space="preserve">IOUs’ </w:t>
      </w:r>
      <w:r w:rsidRPr="00B75540" w:rsidR="56F1A5C2">
        <w:rPr>
          <w:rFonts w:ascii="Book Antiqua" w:hAnsi="Book Antiqua" w:eastAsiaTheme="minorHAnsi"/>
          <w:sz w:val="26"/>
          <w:szCs w:val="26"/>
        </w:rPr>
        <w:t xml:space="preserve">detailed </w:t>
      </w:r>
      <w:r w:rsidRPr="00B75540" w:rsidR="48745AC7">
        <w:rPr>
          <w:rFonts w:ascii="Book Antiqua" w:hAnsi="Book Antiqua" w:eastAsiaTheme="minorHAnsi"/>
          <w:sz w:val="26"/>
          <w:szCs w:val="26"/>
        </w:rPr>
        <w:t xml:space="preserve">implementation </w:t>
      </w:r>
      <w:r w:rsidRPr="00B75540">
        <w:rPr>
          <w:rFonts w:ascii="Book Antiqua" w:hAnsi="Book Antiqua" w:eastAsiaTheme="minorHAnsi"/>
          <w:sz w:val="26"/>
          <w:szCs w:val="26"/>
        </w:rPr>
        <w:t>prop</w:t>
      </w:r>
      <w:r w:rsidRPr="00B75540" w:rsidR="607F5FAB">
        <w:rPr>
          <w:rFonts w:ascii="Book Antiqua" w:hAnsi="Book Antiqua" w:eastAsiaTheme="minorHAnsi"/>
          <w:sz w:val="26"/>
          <w:szCs w:val="26"/>
        </w:rPr>
        <w:t xml:space="preserve">osals are </w:t>
      </w:r>
      <w:r w:rsidRPr="00B75540" w:rsidR="003C28BE">
        <w:rPr>
          <w:rFonts w:ascii="Book Antiqua" w:hAnsi="Book Antiqua" w:eastAsiaTheme="minorHAnsi"/>
          <w:sz w:val="26"/>
          <w:szCs w:val="26"/>
        </w:rPr>
        <w:t xml:space="preserve">appropriate </w:t>
      </w:r>
      <w:r w:rsidRPr="00B75540" w:rsidR="2B01351F">
        <w:rPr>
          <w:rFonts w:ascii="Book Antiqua" w:hAnsi="Book Antiqua" w:eastAsiaTheme="minorHAnsi"/>
          <w:sz w:val="26"/>
          <w:szCs w:val="26"/>
        </w:rPr>
        <w:t>for</w:t>
      </w:r>
      <w:r w:rsidRPr="00B75540" w:rsidR="003C28BE">
        <w:rPr>
          <w:rFonts w:ascii="Book Antiqua" w:hAnsi="Book Antiqua" w:eastAsiaTheme="minorHAnsi"/>
          <w:sz w:val="26"/>
          <w:szCs w:val="26"/>
        </w:rPr>
        <w:t xml:space="preserve"> implement</w:t>
      </w:r>
      <w:r w:rsidRPr="00B75540" w:rsidR="4C049FDD">
        <w:rPr>
          <w:rFonts w:ascii="Book Antiqua" w:hAnsi="Book Antiqua" w:eastAsiaTheme="minorHAnsi"/>
          <w:sz w:val="26"/>
          <w:szCs w:val="26"/>
        </w:rPr>
        <w:t>ing</w:t>
      </w:r>
      <w:r w:rsidRPr="00B75540" w:rsidR="003C28BE">
        <w:rPr>
          <w:rFonts w:ascii="Book Antiqua" w:hAnsi="Book Antiqua" w:eastAsiaTheme="minorHAnsi"/>
          <w:sz w:val="26"/>
          <w:szCs w:val="26"/>
        </w:rPr>
        <w:t xml:space="preserve"> </w:t>
      </w:r>
      <w:r w:rsidRPr="00B75540" w:rsidR="35560113">
        <w:rPr>
          <w:rFonts w:ascii="Book Antiqua" w:hAnsi="Book Antiqua" w:eastAsiaTheme="minorHAnsi"/>
          <w:sz w:val="26"/>
          <w:szCs w:val="26"/>
        </w:rPr>
        <w:t xml:space="preserve">the Market Offer process established in </w:t>
      </w:r>
      <w:r w:rsidRPr="00B75540" w:rsidR="003C28BE">
        <w:rPr>
          <w:rFonts w:ascii="Book Antiqua" w:hAnsi="Book Antiqua" w:eastAsiaTheme="minorHAnsi"/>
          <w:sz w:val="26"/>
          <w:szCs w:val="26"/>
        </w:rPr>
        <w:t xml:space="preserve">D.21-05-030, </w:t>
      </w:r>
      <w:r w:rsidRPr="00B75540" w:rsidR="00642E8A">
        <w:rPr>
          <w:rFonts w:ascii="Book Antiqua" w:hAnsi="Book Antiqua" w:eastAsiaTheme="minorHAnsi"/>
          <w:sz w:val="26"/>
          <w:szCs w:val="26"/>
        </w:rPr>
        <w:t xml:space="preserve"> </w:t>
      </w:r>
    </w:p>
    <w:p w:rsidRPr="00B75540" w:rsidR="00642E8A" w:rsidP="00B07DE7" w:rsidRDefault="002A678F" w14:paraId="1B158B61" w14:textId="67A35124">
      <w:pPr>
        <w:pStyle w:val="pf0"/>
        <w:numPr>
          <w:ilvl w:val="0"/>
          <w:numId w:val="35"/>
        </w:numPr>
        <w:spacing w:after="120" w:afterAutospacing="0"/>
        <w:ind w:right="1440"/>
        <w:rPr>
          <w:rFonts w:ascii="Book Antiqua" w:hAnsi="Book Antiqua" w:eastAsiaTheme="minorHAnsi"/>
          <w:sz w:val="26"/>
          <w:szCs w:val="26"/>
        </w:rPr>
      </w:pPr>
      <w:r w:rsidRPr="00B75540">
        <w:rPr>
          <w:rFonts w:ascii="Book Antiqua" w:hAnsi="Book Antiqua" w:eastAsiaTheme="minorHAnsi"/>
          <w:sz w:val="26"/>
          <w:szCs w:val="26"/>
        </w:rPr>
        <w:t xml:space="preserve">Whether the proposed </w:t>
      </w:r>
      <w:r w:rsidRPr="00B75540" w:rsidR="0045527F">
        <w:rPr>
          <w:rFonts w:ascii="Book Antiqua" w:hAnsi="Book Antiqua" w:eastAsiaTheme="minorHAnsi"/>
          <w:sz w:val="26"/>
          <w:szCs w:val="26"/>
        </w:rPr>
        <w:t xml:space="preserve">Market Offer process </w:t>
      </w:r>
      <w:r w:rsidRPr="00B75540" w:rsidR="00642E8A">
        <w:rPr>
          <w:rFonts w:ascii="Book Antiqua" w:hAnsi="Book Antiqua" w:eastAsiaTheme="minorHAnsi"/>
          <w:sz w:val="26"/>
          <w:szCs w:val="26"/>
        </w:rPr>
        <w:t>include</w:t>
      </w:r>
      <w:r w:rsidRPr="00B75540">
        <w:rPr>
          <w:rFonts w:ascii="Book Antiqua" w:hAnsi="Book Antiqua" w:eastAsiaTheme="minorHAnsi"/>
          <w:sz w:val="26"/>
          <w:szCs w:val="26"/>
        </w:rPr>
        <w:t>s</w:t>
      </w:r>
      <w:r w:rsidRPr="00B75540" w:rsidR="00642E8A">
        <w:rPr>
          <w:rFonts w:ascii="Book Antiqua" w:hAnsi="Book Antiqua" w:eastAsiaTheme="minorHAnsi"/>
          <w:sz w:val="26"/>
          <w:szCs w:val="26"/>
        </w:rPr>
        <w:t xml:space="preserve"> </w:t>
      </w:r>
      <w:r w:rsidRPr="00B75540" w:rsidR="00D40C82">
        <w:rPr>
          <w:rFonts w:ascii="Book Antiqua" w:hAnsi="Book Antiqua" w:eastAsiaTheme="minorHAnsi"/>
          <w:sz w:val="26"/>
          <w:szCs w:val="26"/>
        </w:rPr>
        <w:t xml:space="preserve">appropriate </w:t>
      </w:r>
      <w:r w:rsidRPr="00B75540" w:rsidR="00642E8A">
        <w:rPr>
          <w:rFonts w:ascii="Book Antiqua" w:hAnsi="Book Antiqua" w:eastAsiaTheme="minorHAnsi"/>
          <w:sz w:val="26"/>
          <w:szCs w:val="26"/>
        </w:rPr>
        <w:t>rules for IOU participation in IOU</w:t>
      </w:r>
      <w:r w:rsidR="006F098C">
        <w:rPr>
          <w:rFonts w:ascii="Book Antiqua" w:hAnsi="Book Antiqua" w:eastAsiaTheme="minorHAnsi"/>
          <w:sz w:val="26"/>
          <w:szCs w:val="26"/>
        </w:rPr>
        <w:noBreakHyphen/>
      </w:r>
      <w:r w:rsidRPr="00B75540" w:rsidR="00642E8A">
        <w:rPr>
          <w:rFonts w:ascii="Book Antiqua" w:hAnsi="Book Antiqua" w:eastAsiaTheme="minorHAnsi"/>
          <w:sz w:val="26"/>
          <w:szCs w:val="26"/>
        </w:rPr>
        <w:t xml:space="preserve">administered solicitations, </w:t>
      </w:r>
    </w:p>
    <w:p w:rsidR="00040724" w:rsidP="00B07DE7" w:rsidRDefault="00C830BB" w14:paraId="2F784E52" w14:textId="0A988C14">
      <w:pPr>
        <w:pStyle w:val="pf0"/>
        <w:numPr>
          <w:ilvl w:val="0"/>
          <w:numId w:val="35"/>
        </w:numPr>
        <w:spacing w:after="120" w:afterAutospacing="0"/>
        <w:ind w:right="1440"/>
        <w:rPr>
          <w:rFonts w:ascii="Book Antiqua" w:hAnsi="Book Antiqua" w:eastAsiaTheme="minorHAnsi"/>
          <w:sz w:val="26"/>
          <w:szCs w:val="26"/>
        </w:rPr>
      </w:pPr>
      <w:r w:rsidRPr="00C830BB">
        <w:rPr>
          <w:rFonts w:ascii="Book Antiqua" w:hAnsi="Book Antiqua" w:eastAsiaTheme="minorHAnsi"/>
          <w:sz w:val="26"/>
          <w:szCs w:val="26"/>
        </w:rPr>
        <w:t xml:space="preserve">Does the proposed Market Offer process include </w:t>
      </w:r>
      <w:r w:rsidRPr="00B75540" w:rsidR="002A5C33">
        <w:rPr>
          <w:rFonts w:ascii="Book Antiqua" w:hAnsi="Book Antiqua" w:eastAsiaTheme="minorHAnsi"/>
          <w:sz w:val="26"/>
          <w:szCs w:val="26"/>
        </w:rPr>
        <w:t>the appropriate methodology to allocate sales revenues</w:t>
      </w:r>
      <w:r w:rsidR="002A5C33">
        <w:rPr>
          <w:rFonts w:ascii="Book Antiqua" w:hAnsi="Book Antiqua" w:eastAsiaTheme="minorHAnsi"/>
          <w:sz w:val="26"/>
          <w:szCs w:val="26"/>
        </w:rPr>
        <w:t>?</w:t>
      </w:r>
    </w:p>
    <w:p w:rsidRPr="00040724" w:rsidR="00B75540" w:rsidP="00B07DE7" w:rsidRDefault="00B75540" w14:paraId="58F62548" w14:textId="6AD8B691">
      <w:pPr>
        <w:pStyle w:val="pf0"/>
        <w:numPr>
          <w:ilvl w:val="0"/>
          <w:numId w:val="35"/>
        </w:numPr>
        <w:spacing w:after="120" w:afterAutospacing="0"/>
        <w:ind w:right="1440"/>
        <w:rPr>
          <w:rFonts w:ascii="Book Antiqua" w:hAnsi="Book Antiqua" w:eastAsiaTheme="minorHAnsi"/>
          <w:sz w:val="26"/>
          <w:szCs w:val="26"/>
        </w:rPr>
      </w:pPr>
      <w:r w:rsidRPr="00B75540">
        <w:rPr>
          <w:rFonts w:ascii="Book Antiqua" w:hAnsi="Book Antiqua" w:eastAsiaTheme="minorHAnsi"/>
          <w:sz w:val="26"/>
          <w:szCs w:val="26"/>
        </w:rPr>
        <w:t xml:space="preserve">Whether the proposed schedule </w:t>
      </w:r>
      <w:r w:rsidR="00C830BB">
        <w:rPr>
          <w:rFonts w:ascii="Book Antiqua" w:hAnsi="Book Antiqua" w:eastAsiaTheme="minorHAnsi"/>
          <w:sz w:val="26"/>
          <w:szCs w:val="26"/>
        </w:rPr>
        <w:t>for implementing</w:t>
      </w:r>
      <w:r w:rsidRPr="00B75540">
        <w:rPr>
          <w:rFonts w:ascii="Book Antiqua" w:hAnsi="Book Antiqua" w:eastAsiaTheme="minorHAnsi"/>
          <w:sz w:val="26"/>
          <w:szCs w:val="26"/>
        </w:rPr>
        <w:t xml:space="preserve"> the Market Offer is reasonable? </w:t>
      </w:r>
    </w:p>
    <w:p w:rsidR="004D72B9" w:rsidP="00BC5754" w:rsidRDefault="004D72B9" w14:paraId="38F795E4" w14:textId="1DC845DD">
      <w:pPr>
        <w:pStyle w:val="Heading1"/>
        <w:numPr>
          <w:ilvl w:val="0"/>
          <w:numId w:val="49"/>
        </w:numPr>
        <w:ind w:left="720" w:hanging="720"/>
      </w:pPr>
      <w:bookmarkStart w:name="_Toc119660141" w:id="8"/>
      <w:r w:rsidRPr="00EB2D06">
        <w:t>Voluntary</w:t>
      </w:r>
      <w:r>
        <w:t xml:space="preserve"> Allocation</w:t>
      </w:r>
      <w:bookmarkEnd w:id="8"/>
    </w:p>
    <w:p w:rsidR="00A35F2B" w:rsidP="00EB2D06" w:rsidRDefault="00B553B9" w14:paraId="62E4A804" w14:textId="7E9BED10">
      <w:pPr>
        <w:pStyle w:val="Standard"/>
      </w:pPr>
      <w:r w:rsidRPr="00EB2D06">
        <w:t>Most</w:t>
      </w:r>
      <w:r w:rsidR="00E20B57">
        <w:t xml:space="preserve"> LSEs have accepted a portion </w:t>
      </w:r>
      <w:r w:rsidRPr="00E20B57" w:rsidR="00E20B57">
        <w:t xml:space="preserve">of </w:t>
      </w:r>
      <w:r w:rsidR="00E20B57">
        <w:t>their</w:t>
      </w:r>
      <w:r w:rsidRPr="00E20B57" w:rsidR="00E20B57">
        <w:t xml:space="preserve"> Voluntary Allocation per D.21</w:t>
      </w:r>
      <w:r w:rsidR="006F098C">
        <w:noBreakHyphen/>
      </w:r>
      <w:r w:rsidRPr="00E20B57" w:rsidR="00E20B57">
        <w:t>05</w:t>
      </w:r>
      <w:r w:rsidR="006F098C">
        <w:t>_</w:t>
      </w:r>
      <w:r w:rsidRPr="00E20B57" w:rsidR="00E20B57">
        <w:t>030</w:t>
      </w:r>
      <w:r w:rsidR="00A51F29">
        <w:t>.</w:t>
      </w:r>
      <w:r w:rsidR="006F098C">
        <w:t xml:space="preserve"> </w:t>
      </w:r>
      <w:r w:rsidRPr="008359D2" w:rsidR="00A51F29">
        <w:t>However, a f</w:t>
      </w:r>
      <w:r w:rsidRPr="008359D2" w:rsidR="00A35F2B">
        <w:t>ew LSEs</w:t>
      </w:r>
      <w:r w:rsidRPr="008359D2" w:rsidR="006F79DE">
        <w:t xml:space="preserve"> </w:t>
      </w:r>
      <w:r w:rsidRPr="008359D2" w:rsidR="00A35F2B">
        <w:t>chose not to participate in the Voluntary Allocation process</w:t>
      </w:r>
      <w:r w:rsidRPr="008359D2" w:rsidR="006F79DE">
        <w:t xml:space="preserve">. </w:t>
      </w:r>
      <w:r w:rsidRPr="008359D2" w:rsidR="00B01664">
        <w:t>A</w:t>
      </w:r>
      <w:r w:rsidR="0010092A">
        <w:t>ppendix</w:t>
      </w:r>
      <w:r w:rsidRPr="008359D2" w:rsidR="00B01664">
        <w:t xml:space="preserve"> A </w:t>
      </w:r>
      <w:r w:rsidRPr="008359D2" w:rsidR="00616062">
        <w:t>lists</w:t>
      </w:r>
      <w:r w:rsidRPr="008359D2" w:rsidR="00B01664">
        <w:t xml:space="preserve"> all LSEs </w:t>
      </w:r>
      <w:r w:rsidRPr="008359D2" w:rsidR="00190CD3">
        <w:t xml:space="preserve">that accepted </w:t>
      </w:r>
      <w:r w:rsidRPr="008359D2" w:rsidR="00616062">
        <w:t>Voluntary Allocation</w:t>
      </w:r>
      <w:r w:rsidRPr="008359D2" w:rsidR="00190CD3">
        <w:t>s</w:t>
      </w:r>
      <w:r w:rsidRPr="008359D2" w:rsidR="00616062">
        <w:t>.</w:t>
      </w:r>
      <w:r w:rsidR="00616062">
        <w:t xml:space="preserve"> </w:t>
      </w:r>
      <w:r w:rsidR="00127323">
        <w:t xml:space="preserve"> </w:t>
      </w:r>
    </w:p>
    <w:p w:rsidR="008C1247" w:rsidP="00EB2D06" w:rsidRDefault="00A51F29" w14:paraId="45AFC77F" w14:textId="13C4DBE5">
      <w:pPr>
        <w:pStyle w:val="Standard"/>
      </w:pPr>
      <w:r w:rsidRPr="00EB2D06">
        <w:t>We</w:t>
      </w:r>
      <w:r>
        <w:t xml:space="preserve"> have reviewed </w:t>
      </w:r>
      <w:r w:rsidR="00F85FB4">
        <w:t xml:space="preserve">the </w:t>
      </w:r>
      <w:r w:rsidR="00AE7D1E">
        <w:t xml:space="preserve">draft RPS Plans filed on July 1, </w:t>
      </w:r>
      <w:r w:rsidR="00B2032D">
        <w:t>2022,</w:t>
      </w:r>
      <w:r w:rsidR="00AE7D1E">
        <w:t xml:space="preserve"> and updated </w:t>
      </w:r>
      <w:r w:rsidR="0010092A">
        <w:t xml:space="preserve">RPS </w:t>
      </w:r>
      <w:r w:rsidR="00A737EB">
        <w:t>Plans filed on August 15, 2022</w:t>
      </w:r>
      <w:r w:rsidR="00692438">
        <w:t xml:space="preserve">. </w:t>
      </w:r>
      <w:r w:rsidR="00593E11">
        <w:t>M</w:t>
      </w:r>
      <w:r w:rsidR="00775888">
        <w:t xml:space="preserve">ost </w:t>
      </w:r>
      <w:r w:rsidR="00791C80">
        <w:t xml:space="preserve">LSEs </w:t>
      </w:r>
      <w:r w:rsidRPr="007625B8" w:rsidR="007625B8">
        <w:t>decided to accept their Voluntary Allocation offers after evaluating</w:t>
      </w:r>
      <w:r w:rsidR="00E2639D">
        <w:t xml:space="preserve"> their respective </w:t>
      </w:r>
      <w:r w:rsidRPr="00791C80" w:rsidR="00791C80">
        <w:t xml:space="preserve">available short and long-term VAMO allocations relative to </w:t>
      </w:r>
      <w:r w:rsidR="00791C80">
        <w:t xml:space="preserve">their </w:t>
      </w:r>
      <w:r w:rsidRPr="00791C80" w:rsidR="00791C80">
        <w:t>current and future RPS needs.</w:t>
      </w:r>
      <w:r w:rsidR="00161DE2">
        <w:t xml:space="preserve"> </w:t>
      </w:r>
      <w:r w:rsidR="00111B89">
        <w:t>We find it reasonable to approve a</w:t>
      </w:r>
      <w:r w:rsidR="008C1247">
        <w:t xml:space="preserve">ll Voluntary Allocation offers accepted by the LSEs. </w:t>
      </w:r>
    </w:p>
    <w:p w:rsidR="00D16AFF" w:rsidP="00EB2D06" w:rsidRDefault="004771A8" w14:paraId="46880D94" w14:textId="2480E601">
      <w:pPr>
        <w:pStyle w:val="Standard"/>
      </w:pPr>
      <w:r>
        <w:rPr>
          <w:color w:val="000000"/>
        </w:rPr>
        <w:t xml:space="preserve">3 </w:t>
      </w:r>
      <w:r w:rsidRPr="00EB2D06" w:rsidR="00BA76EE">
        <w:t>Phases</w:t>
      </w:r>
      <w:r w:rsidR="00BA76EE">
        <w:rPr>
          <w:color w:val="000000"/>
        </w:rPr>
        <w:t xml:space="preserve"> Renewables</w:t>
      </w:r>
      <w:r w:rsidR="003107CA">
        <w:rPr>
          <w:color w:val="000000"/>
        </w:rPr>
        <w:t xml:space="preserve"> </w:t>
      </w:r>
      <w:r w:rsidR="004E27C8">
        <w:t xml:space="preserve">did not file an updated </w:t>
      </w:r>
      <w:r w:rsidR="000D0C1A">
        <w:t xml:space="preserve">draft </w:t>
      </w:r>
      <w:r w:rsidR="009074D9">
        <w:t xml:space="preserve">2022 </w:t>
      </w:r>
      <w:r w:rsidR="000D0C1A">
        <w:t xml:space="preserve">RPS </w:t>
      </w:r>
      <w:r w:rsidR="00AF6036">
        <w:t>P</w:t>
      </w:r>
      <w:r w:rsidR="000D0C1A">
        <w:t xml:space="preserve">lan </w:t>
      </w:r>
      <w:r w:rsidR="004E27C8">
        <w:t xml:space="preserve">on August 15, 2022, as required by </w:t>
      </w:r>
      <w:r w:rsidR="00B07DE7">
        <w:t>A</w:t>
      </w:r>
      <w:r w:rsidR="004E27C8">
        <w:t xml:space="preserve">pril 11, </w:t>
      </w:r>
      <w:r w:rsidR="004568AB">
        <w:t>2022,</w:t>
      </w:r>
      <w:r w:rsidR="004E27C8">
        <w:t xml:space="preserve"> </w:t>
      </w:r>
      <w:r w:rsidR="006F098C">
        <w:t>a</w:t>
      </w:r>
      <w:r w:rsidR="004E27C8">
        <w:t xml:space="preserve">ssigned Commissioner Ruling. </w:t>
      </w:r>
      <w:r w:rsidR="00C621D3">
        <w:t>They filed an updated draft on October 19, 2022</w:t>
      </w:r>
      <w:r w:rsidR="006F098C">
        <w:t>,</w:t>
      </w:r>
      <w:r w:rsidR="00C621D3">
        <w:t xml:space="preserve"> in response to the proposed decision. </w:t>
      </w:r>
      <w:r w:rsidRPr="00EB2D06" w:rsidR="002F0E29">
        <w:t>LSEs</w:t>
      </w:r>
      <w:r w:rsidR="002F0E29">
        <w:t xml:space="preserve"> </w:t>
      </w:r>
      <w:r w:rsidR="00B407A7">
        <w:t xml:space="preserve">have reported </w:t>
      </w:r>
      <w:r w:rsidR="00B02538">
        <w:t>the</w:t>
      </w:r>
      <w:r w:rsidR="000A581B">
        <w:t>ir decisions to</w:t>
      </w:r>
      <w:r w:rsidR="000E341F">
        <w:t xml:space="preserve"> decline</w:t>
      </w:r>
      <w:r w:rsidR="000A581B">
        <w:t>, accept</w:t>
      </w:r>
      <w:r w:rsidR="0010092A">
        <w:t>,</w:t>
      </w:r>
      <w:r w:rsidR="000A581B">
        <w:t xml:space="preserve"> or accept</w:t>
      </w:r>
      <w:r w:rsidR="000C0EE1">
        <w:t>,</w:t>
      </w:r>
      <w:r w:rsidR="000A581B">
        <w:t xml:space="preserve"> in part, their</w:t>
      </w:r>
      <w:r w:rsidR="00E67A29">
        <w:t xml:space="preserve"> </w:t>
      </w:r>
      <w:r w:rsidR="000B098F">
        <w:t>Voluntary</w:t>
      </w:r>
      <w:r w:rsidR="00DF237C">
        <w:t xml:space="preserve"> Allocation</w:t>
      </w:r>
      <w:r w:rsidR="0098381B">
        <w:t>s</w:t>
      </w:r>
      <w:r w:rsidR="000B098F">
        <w:t xml:space="preserve"> </w:t>
      </w:r>
      <w:r w:rsidR="00EE2695">
        <w:t xml:space="preserve">and </w:t>
      </w:r>
      <w:r w:rsidR="00127323">
        <w:t xml:space="preserve">have </w:t>
      </w:r>
      <w:r w:rsidR="0085559B">
        <w:t xml:space="preserve">made reasonable arguments </w:t>
      </w:r>
      <w:r w:rsidR="002827B0">
        <w:t xml:space="preserve">in support of their position. </w:t>
      </w:r>
      <w:r w:rsidRPr="00502E64" w:rsidR="00502E64">
        <w:t xml:space="preserve">The Voluntary Allocation offers </w:t>
      </w:r>
      <w:r w:rsidR="007668C3">
        <w:t>may be</w:t>
      </w:r>
      <w:r w:rsidRPr="00502E64" w:rsidR="00502E64">
        <w:t xml:space="preserve"> provided once per compliance period</w:t>
      </w:r>
      <w:r w:rsidRPr="0001529D" w:rsidR="0001529D">
        <w:t xml:space="preserve">. If the Commission authorizes another round of VAMO, LSEs that chose not to participate in this round can evaluate future </w:t>
      </w:r>
      <w:r w:rsidR="00AC5B68">
        <w:t>proposals</w:t>
      </w:r>
      <w:r w:rsidRPr="0001529D" w:rsidR="0001529D">
        <w:t xml:space="preserve"> and may accept an allocation</w:t>
      </w:r>
      <w:r w:rsidRPr="00502E64" w:rsidR="00502E64">
        <w:t>.</w:t>
      </w:r>
      <w:r w:rsidR="00111B89">
        <w:t xml:space="preserve"> </w:t>
      </w:r>
    </w:p>
    <w:p w:rsidR="00502E64" w:rsidP="00EB2D06" w:rsidRDefault="007625B8" w14:paraId="5C9594BF" w14:textId="41975AEC">
      <w:pPr>
        <w:pStyle w:val="Standard"/>
      </w:pPr>
      <w:r w:rsidRPr="00EB2D06">
        <w:t>According</w:t>
      </w:r>
      <w:r>
        <w:t xml:space="preserve"> to</w:t>
      </w:r>
      <w:r w:rsidR="00395F3A">
        <w:t xml:space="preserve"> D.21-05-030, </w:t>
      </w:r>
      <w:r w:rsidR="00F246A5">
        <w:t>w</w:t>
      </w:r>
      <w:r w:rsidRPr="00F246A5" w:rsidR="00F246A5">
        <w:t xml:space="preserve">ithin 90 days of completing an RPS </w:t>
      </w:r>
      <w:r w:rsidR="00F246A5">
        <w:t>VAMO</w:t>
      </w:r>
      <w:r w:rsidRPr="00F246A5" w:rsidR="00F246A5">
        <w:t xml:space="preserve">, each IOU </w:t>
      </w:r>
      <w:r w:rsidR="00862079">
        <w:t>must</w:t>
      </w:r>
      <w:r w:rsidRPr="00F246A5" w:rsidR="00F246A5">
        <w:t xml:space="preserve"> file and serve in </w:t>
      </w:r>
      <w:r w:rsidR="007B3E47">
        <w:t>R</w:t>
      </w:r>
      <w:r w:rsidR="00FC4AF7">
        <w:t>.17-06-026</w:t>
      </w:r>
      <w:r w:rsidR="00D74290">
        <w:t>, R.18-07-003</w:t>
      </w:r>
      <w:r w:rsidR="00862079">
        <w:t>,</w:t>
      </w:r>
      <w:r w:rsidR="00D74290">
        <w:t xml:space="preserve"> and R.</w:t>
      </w:r>
      <w:r w:rsidR="0011626A">
        <w:t>20-05-003</w:t>
      </w:r>
      <w:r w:rsidR="000C791F">
        <w:t xml:space="preserve"> a</w:t>
      </w:r>
      <w:r w:rsidRPr="00F246A5" w:rsidR="00F246A5">
        <w:t xml:space="preserve"> report on the effectiveness of its </w:t>
      </w:r>
      <w:r w:rsidR="002F1831">
        <w:t>RPS VAMO process and RFI</w:t>
      </w:r>
      <w:r w:rsidR="00525E2C">
        <w:t xml:space="preserve"> and hold a workshop to discuss the </w:t>
      </w:r>
      <w:r w:rsidR="007C2EB1">
        <w:t>findings with other LSEs</w:t>
      </w:r>
      <w:r w:rsidR="002F1831">
        <w:t xml:space="preserve">. </w:t>
      </w:r>
    </w:p>
    <w:p w:rsidR="0073353F" w:rsidP="00BC5754" w:rsidRDefault="00C82F13" w14:paraId="6E5E8653" w14:textId="7FB76055">
      <w:pPr>
        <w:pStyle w:val="Heading1"/>
        <w:numPr>
          <w:ilvl w:val="0"/>
          <w:numId w:val="49"/>
        </w:numPr>
        <w:ind w:left="720" w:hanging="720"/>
      </w:pPr>
      <w:bookmarkStart w:name="_Toc119660142" w:id="9"/>
      <w:r w:rsidRPr="00EB2D06">
        <w:t>Market</w:t>
      </w:r>
      <w:r>
        <w:t xml:space="preserve"> Offer Pr</w:t>
      </w:r>
      <w:r w:rsidR="0014673E">
        <w:t>oposal</w:t>
      </w:r>
      <w:bookmarkEnd w:id="9"/>
    </w:p>
    <w:p w:rsidR="00EA36C6" w:rsidP="00320945" w:rsidRDefault="009614AE" w14:paraId="3B54082D" w14:textId="30037158">
      <w:pPr>
        <w:pStyle w:val="Heading2"/>
        <w:numPr>
          <w:ilvl w:val="1"/>
          <w:numId w:val="52"/>
        </w:numPr>
      </w:pPr>
      <w:bookmarkStart w:name="_Toc119660143" w:id="10"/>
      <w:r>
        <w:t xml:space="preserve">IOU </w:t>
      </w:r>
      <w:r w:rsidRPr="00EB2D06">
        <w:t>Proposal</w:t>
      </w:r>
      <w:r w:rsidR="00C75629">
        <w:t xml:space="preserve"> Summary</w:t>
      </w:r>
      <w:bookmarkEnd w:id="10"/>
      <w:r w:rsidR="0038269E">
        <w:t xml:space="preserve"> </w:t>
      </w:r>
    </w:p>
    <w:p w:rsidR="005B34F6" w:rsidP="00EB2D06" w:rsidRDefault="00B3350D" w14:paraId="4D39D9FB" w14:textId="4A56BE96">
      <w:pPr>
        <w:pStyle w:val="Standard"/>
      </w:pPr>
      <w:r>
        <w:t xml:space="preserve">The </w:t>
      </w:r>
      <w:r w:rsidR="008F5CCB">
        <w:t>Joint IOUs</w:t>
      </w:r>
      <w:r w:rsidR="000A6494">
        <w:t xml:space="preserve"> </w:t>
      </w:r>
      <w:r w:rsidRPr="00CE50E7" w:rsidR="00C16E4D">
        <w:t>state</w:t>
      </w:r>
      <w:r w:rsidR="00C75629">
        <w:t xml:space="preserve"> that the </w:t>
      </w:r>
      <w:r w:rsidR="001B478E">
        <w:t>Market Offer sales</w:t>
      </w:r>
      <w:r w:rsidR="00C75629">
        <w:t xml:space="preserve"> will be</w:t>
      </w:r>
      <w:r w:rsidR="001500B5">
        <w:t xml:space="preserve"> </w:t>
      </w:r>
      <w:r w:rsidRPr="00CE50E7" w:rsidR="00C16E4D">
        <w:t xml:space="preserve">based on </w:t>
      </w:r>
      <w:r w:rsidR="001500B5">
        <w:t>the</w:t>
      </w:r>
      <w:r w:rsidR="00FB0E8D">
        <w:t>ir</w:t>
      </w:r>
      <w:r w:rsidR="003D134D">
        <w:t xml:space="preserve"> renewable energy credit</w:t>
      </w:r>
      <w:r w:rsidR="000B1ADE">
        <w:t xml:space="preserve"> </w:t>
      </w:r>
      <w:r w:rsidR="00C40FFF">
        <w:t>(</w:t>
      </w:r>
      <w:r w:rsidR="000B1ADE">
        <w:t>REC</w:t>
      </w:r>
      <w:r w:rsidR="00C40FFF">
        <w:t>)</w:t>
      </w:r>
      <w:r w:rsidR="000B1ADE">
        <w:t xml:space="preserve"> </w:t>
      </w:r>
      <w:r w:rsidR="0013331F">
        <w:t>s</w:t>
      </w:r>
      <w:r w:rsidR="000B1ADE">
        <w:t>ales</w:t>
      </w:r>
      <w:r w:rsidR="001500B5">
        <w:t xml:space="preserve"> </w:t>
      </w:r>
      <w:r w:rsidR="001B478E">
        <w:t>framework</w:t>
      </w:r>
      <w:r w:rsidR="00FB0E8D">
        <w:t>s</w:t>
      </w:r>
      <w:r w:rsidR="001B478E">
        <w:t xml:space="preserve"> approved in the</w:t>
      </w:r>
      <w:r w:rsidR="00FB0E8D">
        <w:t>ir</w:t>
      </w:r>
      <w:r w:rsidR="001B478E">
        <w:t xml:space="preserve"> </w:t>
      </w:r>
      <w:r w:rsidRPr="00CE50E7" w:rsidR="00C16E4D">
        <w:t>Final 2021</w:t>
      </w:r>
      <w:r w:rsidR="00734C75">
        <w:t> </w:t>
      </w:r>
      <w:r w:rsidRPr="00CE50E7" w:rsidR="00C16E4D">
        <w:t>RPS Procurement Plan</w:t>
      </w:r>
      <w:r w:rsidR="00FB0E8D">
        <w:t>s</w:t>
      </w:r>
      <w:r w:rsidRPr="00CE50E7" w:rsidR="00C16E4D">
        <w:t xml:space="preserve">, with a few exceptions </w:t>
      </w:r>
      <w:r w:rsidR="00F10AF0">
        <w:t>related to</w:t>
      </w:r>
      <w:r w:rsidR="0013331F">
        <w:t xml:space="preserve"> the</w:t>
      </w:r>
      <w:r w:rsidRPr="00CE50E7" w:rsidR="00C16E4D">
        <w:t xml:space="preserve"> </w:t>
      </w:r>
      <w:r w:rsidR="001B478E">
        <w:t>VAMO</w:t>
      </w:r>
      <w:r w:rsidRPr="00CE50E7" w:rsidR="00C16E4D">
        <w:t xml:space="preserve"> structure </w:t>
      </w:r>
      <w:r w:rsidR="001B478E">
        <w:t xml:space="preserve">adopted </w:t>
      </w:r>
      <w:r w:rsidRPr="00CE50E7" w:rsidR="00C16E4D">
        <w:t>in D.21-05-</w:t>
      </w:r>
      <w:r w:rsidRPr="00515750" w:rsidR="00C16E4D">
        <w:t>030.</w:t>
      </w:r>
      <w:r w:rsidRPr="0070151D" w:rsidR="00C16E4D">
        <w:rPr>
          <w:vertAlign w:val="superscript"/>
        </w:rPr>
        <w:footnoteReference w:id="4"/>
      </w:r>
      <w:r w:rsidRPr="00515750" w:rsidR="00C16E4D">
        <w:t xml:space="preserve"> The IOUs propose </w:t>
      </w:r>
      <w:r w:rsidRPr="00515750" w:rsidR="001500B5">
        <w:t>that</w:t>
      </w:r>
      <w:r w:rsidRPr="00515750" w:rsidR="00D2324F">
        <w:t xml:space="preserve"> </w:t>
      </w:r>
      <w:r w:rsidRPr="00515750" w:rsidR="00515750">
        <w:t xml:space="preserve">LSEs </w:t>
      </w:r>
      <w:r w:rsidRPr="00F33567" w:rsidR="00F33567">
        <w:t xml:space="preserve">purchase a slice of each IOU’s RPS portfolio that remains following the Voluntary Allocation and </w:t>
      </w:r>
      <w:r w:rsidRPr="00515750" w:rsidR="00515750">
        <w:t xml:space="preserve">accept whatever output the eligible portfolio generates associated with </w:t>
      </w:r>
      <w:r w:rsidR="00F33567">
        <w:t>that procurement</w:t>
      </w:r>
      <w:r w:rsidRPr="00515750" w:rsidR="00515750">
        <w:t>, but not a fixed number of RECs.</w:t>
      </w:r>
      <w:r w:rsidR="0070151D">
        <w:rPr>
          <w:rStyle w:val="FootnoteReference"/>
          <w:rFonts w:cs="Times New Roman"/>
          <w:szCs w:val="26"/>
        </w:rPr>
        <w:footnoteReference w:id="5"/>
      </w:r>
      <w:r w:rsidR="00FE4468">
        <w:t xml:space="preserve"> </w:t>
      </w:r>
      <w:r w:rsidR="00A778D9">
        <w:t xml:space="preserve">The Joint IOUs state that </w:t>
      </w:r>
      <w:r w:rsidRPr="00CE50E7" w:rsidR="00C16E4D">
        <w:t>sales will only occur through one competitive solicitation</w:t>
      </w:r>
      <w:r w:rsidR="000C0EE1">
        <w:t>,</w:t>
      </w:r>
      <w:r w:rsidR="00135DDB">
        <w:t xml:space="preserve"> and no bilateral contracts will be signed. </w:t>
      </w:r>
      <w:r w:rsidRPr="004B03F2" w:rsidR="00C16E4D">
        <w:t xml:space="preserve">The </w:t>
      </w:r>
      <w:r w:rsidRPr="004B03F2" w:rsidR="005B34F6">
        <w:t xml:space="preserve">Joint </w:t>
      </w:r>
      <w:r w:rsidRPr="004B03F2" w:rsidR="00C16E4D">
        <w:t xml:space="preserve">IOUs </w:t>
      </w:r>
      <w:r w:rsidRPr="004B03F2" w:rsidR="005B34F6">
        <w:t>state</w:t>
      </w:r>
      <w:r w:rsidRPr="004B03F2" w:rsidR="00C16E4D">
        <w:t xml:space="preserve"> </w:t>
      </w:r>
      <w:r w:rsidRPr="004B03F2" w:rsidR="001500B5">
        <w:t xml:space="preserve">that </w:t>
      </w:r>
      <w:r w:rsidRPr="004B03F2" w:rsidR="00C16E4D">
        <w:t xml:space="preserve">the Market Offer process </w:t>
      </w:r>
      <w:r w:rsidR="00236476">
        <w:t>is</w:t>
      </w:r>
      <w:r w:rsidRPr="004B03F2" w:rsidR="00D61A80">
        <w:t xml:space="preserve"> open to all market participants and </w:t>
      </w:r>
      <w:r w:rsidR="003247D6">
        <w:t>offers</w:t>
      </w:r>
      <w:r w:rsidRPr="004B03F2" w:rsidR="00C16E4D">
        <w:t xml:space="preserve"> </w:t>
      </w:r>
      <w:r w:rsidRPr="004B03F2" w:rsidR="005B34F6">
        <w:t>RECs</w:t>
      </w:r>
      <w:r w:rsidRPr="004B03F2" w:rsidR="00C16E4D">
        <w:t xml:space="preserve"> and energy</w:t>
      </w:r>
      <w:r w:rsidR="00236476">
        <w:t xml:space="preserve"> </w:t>
      </w:r>
      <w:r w:rsidRPr="004B03F2" w:rsidR="00C16E4D">
        <w:t xml:space="preserve">remaining for </w:t>
      </w:r>
      <w:r w:rsidRPr="004B03F2" w:rsidR="001500B5">
        <w:t xml:space="preserve">the </w:t>
      </w:r>
      <w:r w:rsidRPr="004B03F2" w:rsidR="00C16E4D">
        <w:t>Compliance Period 2021-2024 after the Voluntary Allocation process.</w:t>
      </w:r>
      <w:r w:rsidRPr="004B03F2" w:rsidR="00C16E4D">
        <w:rPr>
          <w:rStyle w:val="FootnoteReference"/>
          <w:rFonts w:cs="Times New Roman"/>
          <w:szCs w:val="26"/>
        </w:rPr>
        <w:footnoteReference w:id="6"/>
      </w:r>
      <w:r w:rsidRPr="004B03F2" w:rsidR="00C16E4D">
        <w:t xml:space="preserve"> </w:t>
      </w:r>
    </w:p>
    <w:p w:rsidR="00390B57" w:rsidP="00EB2D06" w:rsidRDefault="00C16E4D" w14:paraId="21C27CE3" w14:textId="4734103B">
      <w:pPr>
        <w:pStyle w:val="Standard"/>
      </w:pPr>
      <w:r w:rsidRPr="00CE50E7">
        <w:t xml:space="preserve">PG&amp;E and SCE propose to offer these RECs as short-term </w:t>
      </w:r>
      <w:r w:rsidR="0090381C">
        <w:t>contract</w:t>
      </w:r>
      <w:r w:rsidR="00B21FE7">
        <w:t xml:space="preserve"> </w:t>
      </w:r>
      <w:r w:rsidRPr="00CE50E7">
        <w:t>sales limited to the remaining years of Compliance Period 4, 2023-2024, only.</w:t>
      </w:r>
      <w:r w:rsidRPr="00CE50E7">
        <w:rPr>
          <w:rStyle w:val="FootnoteReference"/>
          <w:rFonts w:cs="Times New Roman"/>
          <w:szCs w:val="26"/>
        </w:rPr>
        <w:footnoteReference w:id="7"/>
      </w:r>
      <w:r w:rsidRPr="00CE50E7">
        <w:t xml:space="preserve"> </w:t>
      </w:r>
      <w:r w:rsidR="00507ECF">
        <w:t>They</w:t>
      </w:r>
      <w:r w:rsidR="00B21FE7">
        <w:t xml:space="preserve"> do not</w:t>
      </w:r>
      <w:r w:rsidR="00507ECF">
        <w:t xml:space="preserve"> propose to offer any sales of long-term </w:t>
      </w:r>
      <w:r w:rsidR="00D42541">
        <w:t>contracts</w:t>
      </w:r>
      <w:r w:rsidR="00507ECF">
        <w:t>.</w:t>
      </w:r>
      <w:r w:rsidR="006F098C">
        <w:t xml:space="preserve"> </w:t>
      </w:r>
      <w:r w:rsidRPr="00CE50E7">
        <w:t xml:space="preserve">SDG&amp;E similarly proposes to </w:t>
      </w:r>
      <w:r w:rsidR="00D61A80">
        <w:t>provide</w:t>
      </w:r>
      <w:r w:rsidRPr="00CE50E7">
        <w:t xml:space="preserve"> short-term RECs limited to the remaining years of Compliance </w:t>
      </w:r>
    </w:p>
    <w:p w:rsidRPr="00CE50E7" w:rsidR="00C16E4D" w:rsidP="00015CC3" w:rsidRDefault="00C16E4D" w14:paraId="28075BDC" w14:textId="59E081A7">
      <w:pPr>
        <w:pStyle w:val="Standard"/>
        <w:ind w:firstLine="0"/>
      </w:pPr>
      <w:r w:rsidRPr="00CE50E7">
        <w:t>Period 4, 2023-2024</w:t>
      </w:r>
      <w:r w:rsidR="000C0EE1">
        <w:t>,</w:t>
      </w:r>
      <w:r w:rsidRPr="00CE50E7">
        <w:t xml:space="preserve"> but states it may offer long-term REC sales, which will last through the end of the term of the longest contract in its PCIA-eligible RPS energy portfolio.</w:t>
      </w:r>
      <w:r w:rsidRPr="00CE50E7">
        <w:rPr>
          <w:rStyle w:val="FootnoteReference"/>
          <w:rFonts w:cs="Times New Roman"/>
          <w:szCs w:val="26"/>
        </w:rPr>
        <w:footnoteReference w:id="8"/>
      </w:r>
      <w:r w:rsidRPr="00CE50E7">
        <w:t xml:space="preserve"> </w:t>
      </w:r>
    </w:p>
    <w:p w:rsidRPr="00CE50E7" w:rsidR="00C16E4D" w:rsidP="00765317" w:rsidRDefault="00C16E4D" w14:paraId="3D5BCB68" w14:textId="704B7EFB">
      <w:pPr>
        <w:pStyle w:val="Standard"/>
      </w:pPr>
      <w:r w:rsidRPr="00CE50E7">
        <w:t xml:space="preserve">SCE and SDG&amp;E state they will offer slices of their PCIA-eligible </w:t>
      </w:r>
      <w:r w:rsidR="00400D72">
        <w:rPr>
          <w:shd w:val="clear" w:color="auto" w:fill="FAF9F8"/>
        </w:rPr>
        <w:t>Portfolio Content Category (</w:t>
      </w:r>
      <w:r w:rsidRPr="00CE50E7">
        <w:t>PCC</w:t>
      </w:r>
      <w:r w:rsidR="00400D72">
        <w:t>)</w:t>
      </w:r>
      <w:r w:rsidRPr="00CE50E7">
        <w:t xml:space="preserve"> 1 and PCC 3 portfolios that remain after the Voluntary Allocation process.</w:t>
      </w:r>
      <w:r w:rsidRPr="00CE50E7">
        <w:rPr>
          <w:rStyle w:val="FootnoteReference"/>
          <w:rFonts w:cs="Times New Roman"/>
          <w:szCs w:val="26"/>
        </w:rPr>
        <w:footnoteReference w:id="9"/>
      </w:r>
      <w:r w:rsidRPr="00CE50E7">
        <w:t xml:space="preserve"> PG&amp;E states it will </w:t>
      </w:r>
      <w:r w:rsidR="00862079">
        <w:t>provide</w:t>
      </w:r>
      <w:r w:rsidRPr="00CE50E7">
        <w:t xml:space="preserve"> for sale slices of its entire PCIA-eligible portfolio—broken up into a PCC 1 product </w:t>
      </w:r>
      <w:r w:rsidR="00624409">
        <w:t>(P</w:t>
      </w:r>
      <w:r w:rsidRPr="00CE50E7">
        <w:t xml:space="preserve">roduct A) and </w:t>
      </w:r>
      <w:r w:rsidR="00C912A4">
        <w:t>a</w:t>
      </w:r>
      <w:r w:rsidRPr="00CE50E7">
        <w:t xml:space="preserve"> non-PCC 1 product (Product B)—that remains after the Voluntary Allocation process.</w:t>
      </w:r>
      <w:r w:rsidRPr="00CE50E7">
        <w:rPr>
          <w:rStyle w:val="FootnoteReference"/>
          <w:rFonts w:cs="Times New Roman"/>
          <w:szCs w:val="26"/>
        </w:rPr>
        <w:footnoteReference w:id="10"/>
      </w:r>
      <w:r w:rsidRPr="00CE50E7">
        <w:t xml:space="preserve"> The IOUs note that all RECs offered through the Market Offer process will be re-sale transactions consistent </w:t>
      </w:r>
      <w:r w:rsidR="00C912A4">
        <w:t xml:space="preserve">with </w:t>
      </w:r>
      <w:r w:rsidRPr="00CE50E7">
        <w:t>D.11-12-052</w:t>
      </w:r>
      <w:r w:rsidR="009455DE">
        <w:t>,</w:t>
      </w:r>
      <w:r w:rsidR="00562AE1">
        <w:t xml:space="preserve"> and</w:t>
      </w:r>
      <w:r w:rsidRPr="00CE50E7">
        <w:t xml:space="preserve"> no PCC 0 RECs are available.</w:t>
      </w:r>
      <w:r w:rsidRPr="00CE50E7">
        <w:rPr>
          <w:rStyle w:val="FootnoteReference"/>
          <w:rFonts w:cs="Times New Roman"/>
          <w:szCs w:val="26"/>
        </w:rPr>
        <w:footnoteReference w:id="11"/>
      </w:r>
      <w:r w:rsidRPr="00CE50E7">
        <w:t xml:space="preserve"> </w:t>
      </w:r>
      <w:r w:rsidR="006F098C">
        <w:t xml:space="preserve"> </w:t>
      </w:r>
      <w:r>
        <w:t>The IOUs state that</w:t>
      </w:r>
      <w:r w:rsidRPr="00CE50E7">
        <w:t xml:space="preserve"> </w:t>
      </w:r>
      <w:r w:rsidRPr="00C912A4" w:rsidR="00C912A4">
        <w:t>the Commission will determine the ultimate PCC category of any RPS-eligible resource utilized for RPS compliance</w:t>
      </w:r>
      <w:r w:rsidRPr="00CE50E7">
        <w:t>.</w:t>
      </w:r>
      <w:r w:rsidRPr="00CE50E7">
        <w:rPr>
          <w:rStyle w:val="FootnoteReference"/>
          <w:rFonts w:cs="Times New Roman"/>
          <w:szCs w:val="26"/>
        </w:rPr>
        <w:footnoteReference w:id="12"/>
      </w:r>
    </w:p>
    <w:p w:rsidRPr="00CE50E7" w:rsidR="00C16E4D" w:rsidP="00765317" w:rsidRDefault="00C16E4D" w14:paraId="05972F60" w14:textId="1A5A9ABF">
      <w:pPr>
        <w:pStyle w:val="Standard"/>
      </w:pPr>
      <w:r w:rsidRPr="00CE50E7">
        <w:t xml:space="preserve">The IOUs propose short-term </w:t>
      </w:r>
      <w:r>
        <w:t xml:space="preserve">contracts to </w:t>
      </w:r>
      <w:r w:rsidRPr="00CE50E7">
        <w:t xml:space="preserve">be approved via a </w:t>
      </w:r>
      <w:r w:rsidR="00BB547E">
        <w:t>T</w:t>
      </w:r>
      <w:r w:rsidRPr="00CE50E7">
        <w:t xml:space="preserve">ier 1 </w:t>
      </w:r>
      <w:r w:rsidR="00BB547E">
        <w:t>A</w:t>
      </w:r>
      <w:r w:rsidRPr="00CE50E7">
        <w:t xml:space="preserve">dvice </w:t>
      </w:r>
      <w:r w:rsidR="00BB547E">
        <w:t>L</w:t>
      </w:r>
      <w:r w:rsidRPr="00CE50E7">
        <w:t>etter process</w:t>
      </w:r>
      <w:r w:rsidR="00494343">
        <w:t>.</w:t>
      </w:r>
      <w:r w:rsidR="006F098C">
        <w:t xml:space="preserve"> </w:t>
      </w:r>
      <w:r w:rsidR="00494343">
        <w:t>SDG</w:t>
      </w:r>
      <w:r w:rsidR="00F9347B">
        <w:t>&amp;E proposes to submit</w:t>
      </w:r>
      <w:r w:rsidRPr="00CE50E7">
        <w:t xml:space="preserve"> long-term contracts through a </w:t>
      </w:r>
      <w:r w:rsidR="00BB547E">
        <w:t>T</w:t>
      </w:r>
      <w:r w:rsidRPr="00CE50E7">
        <w:t xml:space="preserve">ier 3 </w:t>
      </w:r>
      <w:r w:rsidR="00BB547E">
        <w:t>A</w:t>
      </w:r>
      <w:r w:rsidRPr="00CE50E7">
        <w:t xml:space="preserve">dvice </w:t>
      </w:r>
      <w:r w:rsidR="00BB547E">
        <w:t>L</w:t>
      </w:r>
      <w:r w:rsidRPr="00CE50E7">
        <w:t xml:space="preserve">etter process. The IOUs </w:t>
      </w:r>
      <w:r w:rsidR="00EB749B">
        <w:t>submit</w:t>
      </w:r>
      <w:r w:rsidRPr="00CE50E7">
        <w:t xml:space="preserve"> a timeline for completing the Market Offer process </w:t>
      </w:r>
      <w:r w:rsidR="00EB749B">
        <w:t>to allow</w:t>
      </w:r>
      <w:r w:rsidRPr="00CE50E7">
        <w:t xml:space="preserve"> Market Offer contracts to begin deliveries on January</w:t>
      </w:r>
      <w:r w:rsidR="00734C75">
        <w:t> </w:t>
      </w:r>
      <w:r w:rsidRPr="00CE50E7">
        <w:t>1,</w:t>
      </w:r>
      <w:r w:rsidR="00734C75">
        <w:t> </w:t>
      </w:r>
      <w:r w:rsidRPr="00CE50E7">
        <w:t>2023.</w:t>
      </w:r>
      <w:r w:rsidRPr="00CE50E7">
        <w:rPr>
          <w:rStyle w:val="FootnoteReference"/>
          <w:rFonts w:cs="Times New Roman"/>
          <w:szCs w:val="26"/>
        </w:rPr>
        <w:footnoteReference w:id="13"/>
      </w:r>
    </w:p>
    <w:p w:rsidR="00C16E4D" w:rsidP="00765317" w:rsidRDefault="00C75629" w14:paraId="14011A25" w14:textId="20EF55E0">
      <w:pPr>
        <w:pStyle w:val="Standard"/>
      </w:pPr>
      <w:r>
        <w:t xml:space="preserve">Regarding allocation of sales revenue for </w:t>
      </w:r>
      <w:r w:rsidR="00936D74">
        <w:t>Energy Resource Recovery Account (</w:t>
      </w:r>
      <w:r>
        <w:t>ERRA</w:t>
      </w:r>
      <w:r w:rsidR="00936D74">
        <w:t>)</w:t>
      </w:r>
      <w:r>
        <w:t xml:space="preserve"> accounting, the </w:t>
      </w:r>
      <w:r w:rsidRPr="00CE50E7" w:rsidR="00C16E4D">
        <w:t xml:space="preserve">Joint IOUs propose paying for </w:t>
      </w:r>
      <w:r w:rsidR="00EB749B">
        <w:t xml:space="preserve">the </w:t>
      </w:r>
      <w:r w:rsidRPr="00CE50E7" w:rsidR="00C16E4D">
        <w:t xml:space="preserve">Market Offer award as a debit from the </w:t>
      </w:r>
      <w:r w:rsidRPr="00CE50E7" w:rsidR="00C16E4D">
        <w:rPr>
          <w:rFonts w:cs="TimesNewRomanPSMT"/>
        </w:rPr>
        <w:t>ERRA “</w:t>
      </w:r>
      <w:r w:rsidRPr="00CE50E7" w:rsidR="00C16E4D">
        <w:t>balancing account at the transacted price, and a credit to applicable</w:t>
      </w:r>
      <w:r w:rsidR="006C7EEA">
        <w:t xml:space="preserve"> </w:t>
      </w:r>
      <w:r w:rsidRPr="009267D9" w:rsidR="006C7EEA">
        <w:rPr>
          <w:rFonts w:eastAsia="Book Antiqua" w:cs="Book Antiqua"/>
        </w:rPr>
        <w:t>Portfolio Allocation Balancing Account (</w:t>
      </w:r>
      <w:r w:rsidRPr="00CE50E7" w:rsidR="00C16E4D">
        <w:t>PABA</w:t>
      </w:r>
      <w:r w:rsidR="00090981">
        <w:t>)</w:t>
      </w:r>
      <w:r w:rsidRPr="00CE50E7" w:rsidR="00C16E4D">
        <w:t xml:space="preserve"> customer vintages.”</w:t>
      </w:r>
      <w:r w:rsidRPr="00CE50E7" w:rsidR="00C16E4D">
        <w:rPr>
          <w:rStyle w:val="FootnoteReference"/>
          <w:rFonts w:eastAsia="SymbolMT" w:cs="Times New Roman"/>
          <w:szCs w:val="26"/>
        </w:rPr>
        <w:footnoteReference w:id="14"/>
      </w:r>
      <w:r w:rsidRPr="00CE50E7" w:rsidR="00C16E4D">
        <w:rPr>
          <w:rStyle w:val="FootnoteReference"/>
          <w:rFonts w:eastAsia="SymbolMT" w:cs="Times New Roman"/>
          <w:szCs w:val="26"/>
        </w:rPr>
        <w:t xml:space="preserve"> </w:t>
      </w:r>
      <w:r w:rsidRPr="00CE50E7" w:rsidR="00C16E4D">
        <w:t xml:space="preserve"> Revenues from Market Offer sales will be shared across all PCIA customer vintages.</w:t>
      </w:r>
      <w:r w:rsidRPr="00CE50E7" w:rsidR="00C16E4D">
        <w:rPr>
          <w:rStyle w:val="FootnoteReference"/>
          <w:rFonts w:eastAsia="SymbolMT" w:cs="Times New Roman"/>
          <w:szCs w:val="26"/>
        </w:rPr>
        <w:footnoteReference w:id="15"/>
      </w:r>
      <w:r w:rsidRPr="00CE50E7" w:rsidR="00C16E4D">
        <w:t xml:space="preserve"> The IOUs </w:t>
      </w:r>
      <w:r w:rsidR="00862079">
        <w:t>propose</w:t>
      </w:r>
      <w:r w:rsidRPr="00CE50E7" w:rsidR="00C16E4D">
        <w:t xml:space="preserve"> to use the best available information at the time of their ERRA Forecast Applications and to “true up” forecast values to actuals in PABA.</w:t>
      </w:r>
    </w:p>
    <w:p w:rsidR="00543F25" w:rsidP="00765317" w:rsidRDefault="009D4375" w14:paraId="607C2A55" w14:textId="516174B4">
      <w:pPr>
        <w:pStyle w:val="Standard"/>
      </w:pPr>
      <w:r>
        <w:t>On May</w:t>
      </w:r>
      <w:r w:rsidR="00734C75">
        <w:t> </w:t>
      </w:r>
      <w:r>
        <w:t>16,</w:t>
      </w:r>
      <w:r w:rsidR="00734C75">
        <w:t> </w:t>
      </w:r>
      <w:r>
        <w:t xml:space="preserve">2022, the IOUs filed proposed confidential pricing standards </w:t>
      </w:r>
      <w:r w:rsidR="00C75629">
        <w:t>and</w:t>
      </w:r>
      <w:r>
        <w:t xml:space="preserve"> </w:t>
      </w:r>
      <w:r w:rsidR="00C75629">
        <w:t xml:space="preserve">other </w:t>
      </w:r>
      <w:r>
        <w:t xml:space="preserve">commercially sensitive information supporting each </w:t>
      </w:r>
      <w:r w:rsidR="00D735DE">
        <w:t>IOU’s</w:t>
      </w:r>
      <w:r>
        <w:t xml:space="preserve"> Market Offer process.</w:t>
      </w:r>
    </w:p>
    <w:p w:rsidR="00C75629" w:rsidP="00320945" w:rsidRDefault="008A36D7" w14:paraId="0380083C" w14:textId="576F1703">
      <w:pPr>
        <w:pStyle w:val="Heading2"/>
        <w:numPr>
          <w:ilvl w:val="1"/>
          <w:numId w:val="52"/>
        </w:numPr>
      </w:pPr>
      <w:bookmarkStart w:name="_Toc119660144" w:id="11"/>
      <w:r w:rsidRPr="00765317">
        <w:t>Parties</w:t>
      </w:r>
      <w:r w:rsidR="00C75629">
        <w:t xml:space="preserve"> Comment Summary</w:t>
      </w:r>
      <w:bookmarkEnd w:id="11"/>
    </w:p>
    <w:p w:rsidR="005448C6" w:rsidP="00765317" w:rsidRDefault="005448C6" w14:paraId="62A3CDB5" w14:textId="06C205EC">
      <w:pPr>
        <w:pStyle w:val="Standard"/>
      </w:pPr>
      <w:r w:rsidRPr="00CE50E7">
        <w:t xml:space="preserve">In response to the </w:t>
      </w:r>
      <w:r w:rsidR="008A36D7">
        <w:t xml:space="preserve">Joint and confidential </w:t>
      </w:r>
      <w:r w:rsidR="00BA589F">
        <w:t xml:space="preserve">Market Offer </w:t>
      </w:r>
      <w:r w:rsidRPr="00CE50E7">
        <w:t>Proposal</w:t>
      </w:r>
      <w:r w:rsidR="008A36D7">
        <w:t>s</w:t>
      </w:r>
      <w:r w:rsidRPr="00CE50E7">
        <w:t>, CalCCA, Cal Advocates, GPI, AReM</w:t>
      </w:r>
      <w:r w:rsidR="00236476">
        <w:t>,</w:t>
      </w:r>
      <w:r w:rsidRPr="00CE50E7">
        <w:t xml:space="preserve"> and Shell filed opening comments. </w:t>
      </w:r>
    </w:p>
    <w:p w:rsidRPr="00CE50E7" w:rsidR="005448C6" w:rsidP="00765317" w:rsidRDefault="005448C6" w14:paraId="58C1FA7D" w14:textId="35519A0F">
      <w:pPr>
        <w:pStyle w:val="Standard"/>
      </w:pPr>
      <w:r w:rsidRPr="00CE50E7">
        <w:t xml:space="preserve">CalCCA commented on four issues. First, CalCCA states </w:t>
      </w:r>
      <w:r w:rsidRPr="00D735DE" w:rsidR="00D735DE">
        <w:t xml:space="preserve">that if the IOUs use </w:t>
      </w:r>
      <w:r w:rsidR="00BB45EC">
        <w:t>bid floor</w:t>
      </w:r>
      <w:r w:rsidRPr="00D735DE" w:rsidR="00D735DE">
        <w:t>s, it would adversely impact</w:t>
      </w:r>
      <w:r w:rsidRPr="00CE50E7">
        <w:t xml:space="preserve"> the PCIA’s Market Price Benchmark (MPB) and</w:t>
      </w:r>
      <w:r w:rsidR="00D735DE">
        <w:t>,</w:t>
      </w:r>
      <w:r w:rsidRPr="00CE50E7">
        <w:t xml:space="preserve"> therefore</w:t>
      </w:r>
      <w:r w:rsidR="00236476">
        <w:t>,</w:t>
      </w:r>
      <w:r w:rsidRPr="00CE50E7">
        <w:t xml:space="preserve"> should not be allowed.</w:t>
      </w:r>
      <w:r w:rsidRPr="00CE50E7">
        <w:rPr>
          <w:rStyle w:val="FootnoteReference"/>
          <w:rFonts w:cs="Times New Roman"/>
          <w:szCs w:val="26"/>
        </w:rPr>
        <w:footnoteReference w:id="16"/>
      </w:r>
      <w:r w:rsidRPr="00CE50E7">
        <w:t xml:space="preserve"> Second, CalCCA recommends that Commission order the IOUs to modify their </w:t>
      </w:r>
      <w:r w:rsidR="004D13F0">
        <w:t>c</w:t>
      </w:r>
      <w:r w:rsidRPr="00CE50E7">
        <w:t>ode</w:t>
      </w:r>
      <w:r w:rsidR="002F4B86">
        <w:t>s</w:t>
      </w:r>
      <w:r w:rsidRPr="00CE50E7">
        <w:t xml:space="preserve"> of </w:t>
      </w:r>
      <w:r w:rsidR="004D13F0">
        <w:t>c</w:t>
      </w:r>
      <w:r w:rsidRPr="00CE50E7">
        <w:t>onduct to ensure solicitations are conducted fairly.</w:t>
      </w:r>
      <w:r w:rsidRPr="00CE50E7">
        <w:rPr>
          <w:rStyle w:val="FootnoteReference"/>
          <w:rFonts w:eastAsia="Times New Roman" w:cs="Times New Roman"/>
          <w:b/>
          <w:bCs/>
          <w:color w:val="000000"/>
          <w:szCs w:val="26"/>
        </w:rPr>
        <w:footnoteReference w:id="17"/>
      </w:r>
      <w:r w:rsidRPr="00CE50E7">
        <w:t xml:space="preserve"> Third, CalCCA argues </w:t>
      </w:r>
      <w:r w:rsidR="00D735DE">
        <w:t xml:space="preserve">that </w:t>
      </w:r>
      <w:r w:rsidRPr="00CE50E7">
        <w:t>their remedies should not be limited in the event an IOU violates solicitation rules and recommends the possibility of disallowing costs in ERRA.</w:t>
      </w:r>
      <w:r w:rsidRPr="00CE50E7">
        <w:rPr>
          <w:rStyle w:val="FootnoteReference"/>
          <w:rFonts w:cs="Times New Roman"/>
          <w:szCs w:val="26"/>
        </w:rPr>
        <w:footnoteReference w:id="18"/>
      </w:r>
      <w:r w:rsidRPr="00CE50E7">
        <w:t xml:space="preserve"> Fourth, CalCCA requests </w:t>
      </w:r>
      <w:r w:rsidR="00D735DE">
        <w:t xml:space="preserve">that </w:t>
      </w:r>
      <w:r w:rsidRPr="00CE50E7">
        <w:t xml:space="preserve">SDG&amp;E be ordered to make several changes to its Market Offer </w:t>
      </w:r>
      <w:r w:rsidRPr="00CE50E7" w:rsidR="00236476">
        <w:t>process</w:t>
      </w:r>
      <w:r w:rsidRPr="00CE50E7">
        <w:t xml:space="preserve"> and pro forma Market Offer </w:t>
      </w:r>
      <w:r w:rsidR="00BB547E">
        <w:t>A</w:t>
      </w:r>
      <w:r w:rsidRPr="00CE50E7">
        <w:t xml:space="preserve">dvice </w:t>
      </w:r>
      <w:r w:rsidR="00090D5C">
        <w:t>L</w:t>
      </w:r>
      <w:r w:rsidRPr="00CE50E7">
        <w:t>etter.</w:t>
      </w:r>
      <w:r w:rsidRPr="00CE50E7">
        <w:rPr>
          <w:rStyle w:val="FootnoteReference"/>
          <w:rFonts w:cs="Times New Roman"/>
          <w:szCs w:val="26"/>
        </w:rPr>
        <w:footnoteReference w:id="19"/>
      </w:r>
    </w:p>
    <w:p w:rsidR="00BE2BCD" w:rsidP="00765317" w:rsidRDefault="005448C6" w14:paraId="5C955A62" w14:textId="149C3C24">
      <w:pPr>
        <w:pStyle w:val="Standard"/>
      </w:pPr>
      <w:r w:rsidRPr="00CE50E7">
        <w:t xml:space="preserve">Cal Advocates </w:t>
      </w:r>
      <w:r w:rsidR="004771A8">
        <w:t xml:space="preserve">opposed </w:t>
      </w:r>
      <w:r w:rsidRPr="00CE50E7">
        <w:t xml:space="preserve">PG&amp;E’s </w:t>
      </w:r>
      <w:r w:rsidR="00EA6468">
        <w:t xml:space="preserve">confidential </w:t>
      </w:r>
      <w:r w:rsidRPr="00CE50E7">
        <w:t>Market Offer process</w:t>
      </w:r>
      <w:r w:rsidR="00D735DE">
        <w:t>,</w:t>
      </w:r>
      <w:r w:rsidRPr="00CE50E7">
        <w:t xml:space="preserve"> </w:t>
      </w:r>
      <w:r w:rsidR="00BE2BCD">
        <w:t xml:space="preserve">arguing that it </w:t>
      </w:r>
      <w:r w:rsidRPr="00CE50E7">
        <w:t xml:space="preserve">differed from its existing RPS sales methodology, in contrast to </w:t>
      </w:r>
      <w:r w:rsidR="00D735DE">
        <w:t xml:space="preserve">the </w:t>
      </w:r>
      <w:r w:rsidRPr="00CE50E7">
        <w:t>requirements of D.21-05-030.</w:t>
      </w:r>
      <w:r w:rsidRPr="00CE50E7">
        <w:rPr>
          <w:rStyle w:val="FootnoteReference"/>
          <w:rFonts w:cs="Times New Roman"/>
          <w:szCs w:val="26"/>
        </w:rPr>
        <w:footnoteReference w:id="20"/>
      </w:r>
      <w:r w:rsidR="006109A2">
        <w:t xml:space="preserve"> </w:t>
      </w:r>
      <w:r w:rsidR="00EA6468">
        <w:t xml:space="preserve"> </w:t>
      </w:r>
    </w:p>
    <w:p w:rsidRPr="00CE50E7" w:rsidR="005448C6" w:rsidP="00765317" w:rsidRDefault="005448C6" w14:paraId="14D42E29" w14:textId="559279D3">
      <w:pPr>
        <w:pStyle w:val="Standard"/>
      </w:pPr>
      <w:r w:rsidRPr="00CE50E7">
        <w:t>AReM and Shell</w:t>
      </w:r>
      <w:r w:rsidRPr="00CE50E7">
        <w:rPr>
          <w:b/>
          <w:bCs/>
        </w:rPr>
        <w:t xml:space="preserve">, </w:t>
      </w:r>
      <w:r w:rsidRPr="00CE50E7">
        <w:t xml:space="preserve">in a joint comment, request </w:t>
      </w:r>
      <w:r w:rsidR="00256D59">
        <w:t xml:space="preserve">that </w:t>
      </w:r>
      <w:r w:rsidRPr="00CE50E7">
        <w:t>the Commission require IOUs to offer 50</w:t>
      </w:r>
      <w:r w:rsidR="00BE2BCD">
        <w:t xml:space="preserve"> percent </w:t>
      </w:r>
      <w:r w:rsidRPr="00CE50E7">
        <w:t>of their unallocated long-term contracts through the Market Offer process.</w:t>
      </w:r>
      <w:r w:rsidRPr="00CE50E7">
        <w:rPr>
          <w:rStyle w:val="FootnoteReference"/>
          <w:rFonts w:cs="Times New Roman"/>
          <w:szCs w:val="26"/>
        </w:rPr>
        <w:footnoteReference w:id="21"/>
      </w:r>
      <w:r w:rsidRPr="00CE50E7">
        <w:t xml:space="preserve"> In the alternative, they </w:t>
      </w:r>
      <w:r w:rsidR="00256D59">
        <w:t>ask</w:t>
      </w:r>
      <w:r w:rsidRPr="00CE50E7">
        <w:t xml:space="preserve"> that the Commission “allow entities that purchase RECs from long-term contracts</w:t>
      </w:r>
      <w:r w:rsidR="00256D59">
        <w:t>,</w:t>
      </w:r>
      <w:r w:rsidRPr="00CE50E7">
        <w:t>” presumably via short-term portions</w:t>
      </w:r>
      <w:r w:rsidR="00256D59">
        <w:t>,</w:t>
      </w:r>
      <w:r w:rsidRPr="00CE50E7">
        <w:t xml:space="preserve"> “to count those RECs toward their long-term contracting requirements in the current compliance period.”</w:t>
      </w:r>
      <w:r w:rsidRPr="00CE50E7">
        <w:rPr>
          <w:rStyle w:val="FootnoteReference"/>
          <w:rFonts w:cs="Times New Roman"/>
          <w:szCs w:val="26"/>
        </w:rPr>
        <w:footnoteReference w:id="22"/>
      </w:r>
      <w:r w:rsidRPr="00CE50E7">
        <w:t xml:space="preserve"> They state </w:t>
      </w:r>
      <w:r w:rsidR="00256D59">
        <w:t xml:space="preserve">that </w:t>
      </w:r>
      <w:r w:rsidRPr="00CE50E7">
        <w:t xml:space="preserve">some </w:t>
      </w:r>
      <w:r w:rsidR="00BE2BCD">
        <w:t>load-serving entities</w:t>
      </w:r>
      <w:r w:rsidRPr="00CE50E7">
        <w:t xml:space="preserve"> view long-term RPS contracts as a premium product which some will need to satisfy </w:t>
      </w:r>
      <w:r w:rsidR="00893390">
        <w:t xml:space="preserve">the </w:t>
      </w:r>
      <w:r w:rsidRPr="00CE50E7">
        <w:t>2021-2024 compliance period requirements.</w:t>
      </w:r>
      <w:r w:rsidRPr="00CE50E7">
        <w:rPr>
          <w:rStyle w:val="FootnoteReference"/>
          <w:rFonts w:cs="Times New Roman"/>
          <w:szCs w:val="26"/>
        </w:rPr>
        <w:footnoteReference w:id="23"/>
      </w:r>
      <w:r w:rsidRPr="00CE50E7">
        <w:t xml:space="preserve"> </w:t>
      </w:r>
    </w:p>
    <w:p w:rsidR="005448C6" w:rsidP="00765317" w:rsidRDefault="005448C6" w14:paraId="2AFBA633" w14:textId="2CD7AC89">
      <w:pPr>
        <w:pStyle w:val="Standard"/>
      </w:pPr>
      <w:r w:rsidRPr="00CE50E7">
        <w:t>GPI</w:t>
      </w:r>
      <w:r w:rsidRPr="00CE50E7">
        <w:rPr>
          <w:b/>
          <w:bCs/>
        </w:rPr>
        <w:t xml:space="preserve"> </w:t>
      </w:r>
      <w:r w:rsidRPr="00CE50E7">
        <w:t>asserts there are</w:t>
      </w:r>
      <w:r w:rsidRPr="00CE50E7">
        <w:rPr>
          <w:b/>
          <w:bCs/>
        </w:rPr>
        <w:t xml:space="preserve"> </w:t>
      </w:r>
      <w:r w:rsidRPr="00CE50E7">
        <w:t xml:space="preserve">inconsistencies in </w:t>
      </w:r>
      <w:r w:rsidR="00D74F99">
        <w:t xml:space="preserve">the </w:t>
      </w:r>
      <w:r w:rsidRPr="00CE50E7">
        <w:t>IOUs’ joint filing that it recommends should be corrected.</w:t>
      </w:r>
      <w:r w:rsidRPr="00CE50E7">
        <w:rPr>
          <w:rStyle w:val="FootnoteReference"/>
          <w:rFonts w:cs="Times New Roman"/>
          <w:szCs w:val="26"/>
        </w:rPr>
        <w:footnoteReference w:id="24"/>
      </w:r>
      <w:r w:rsidRPr="00CE50E7">
        <w:t xml:space="preserve"> GPI notes several places where the products being sold are referred to </w:t>
      </w:r>
      <w:r w:rsidR="00256D59">
        <w:t xml:space="preserve">as </w:t>
      </w:r>
      <w:r w:rsidRPr="00CE50E7">
        <w:t>REC purchases and offers with undefined product increments but should instead be changed to “RPS eligible products … being offered in 10</w:t>
      </w:r>
      <w:r w:rsidR="00734C75">
        <w:t> </w:t>
      </w:r>
      <w:r w:rsidRPr="00CE50E7">
        <w:t>percent slices that remain under IOU management. . . .”</w:t>
      </w:r>
      <w:r w:rsidRPr="00CE50E7">
        <w:rPr>
          <w:rStyle w:val="FootnoteReference"/>
          <w:rFonts w:cs="Times New Roman"/>
          <w:szCs w:val="26"/>
        </w:rPr>
        <w:footnoteReference w:id="25"/>
      </w:r>
    </w:p>
    <w:p w:rsidR="006E5A71" w:rsidP="00320945" w:rsidRDefault="006D42D8" w14:paraId="526D2195" w14:textId="13E0D3F9">
      <w:pPr>
        <w:pStyle w:val="Heading2"/>
        <w:numPr>
          <w:ilvl w:val="1"/>
          <w:numId w:val="52"/>
        </w:numPr>
      </w:pPr>
      <w:bookmarkStart w:name="_Toc119660145" w:id="12"/>
      <w:r>
        <w:t xml:space="preserve">IOUs’ </w:t>
      </w:r>
      <w:r w:rsidRPr="00765317" w:rsidR="00AA56F6">
        <w:t>Replies</w:t>
      </w:r>
      <w:r w:rsidR="00AA56F6">
        <w:t xml:space="preserve"> </w:t>
      </w:r>
      <w:r w:rsidR="006E5A71">
        <w:t>Summary</w:t>
      </w:r>
      <w:bookmarkEnd w:id="12"/>
    </w:p>
    <w:p w:rsidR="006E5A71" w:rsidP="00765317" w:rsidRDefault="006E5A71" w14:paraId="74CED9A2" w14:textId="7ED72A84">
      <w:pPr>
        <w:pStyle w:val="Standard"/>
      </w:pPr>
      <w:r w:rsidRPr="00CE50E7">
        <w:t xml:space="preserve">PG&amp;E, SDG&amp;E, and SCE replied to eight issues </w:t>
      </w:r>
      <w:r>
        <w:t>raised</w:t>
      </w:r>
      <w:r w:rsidRPr="00CE50E7">
        <w:t xml:space="preserve"> by parties in their opening comments. First, PG&amp;E responded to Cal Advocates and agrees that D.21-05-030 requires </w:t>
      </w:r>
      <w:r w:rsidR="00256D59">
        <w:t>the Market Offer process to</w:t>
      </w:r>
      <w:r w:rsidRPr="00CE50E7">
        <w:t xml:space="preserve"> be consistent with existing REC sales processes.</w:t>
      </w:r>
      <w:r w:rsidRPr="00CE50E7">
        <w:rPr>
          <w:rStyle w:val="FootnoteReference"/>
          <w:rFonts w:cs="Times New Roman"/>
          <w:szCs w:val="26"/>
        </w:rPr>
        <w:footnoteReference w:id="26"/>
      </w:r>
      <w:r w:rsidRPr="00CE50E7">
        <w:t xml:space="preserve"> PG&amp;E argues deviations are warranted because PG&amp;E </w:t>
      </w:r>
      <w:r w:rsidR="00D05648">
        <w:t>offers</w:t>
      </w:r>
      <w:r w:rsidRPr="00CE50E7">
        <w:t xml:space="preserve"> two products (</w:t>
      </w:r>
      <w:r w:rsidR="00624409">
        <w:t xml:space="preserve">PCC 1 </w:t>
      </w:r>
      <w:r w:rsidR="006B2740">
        <w:t>and non-PCC 1</w:t>
      </w:r>
      <w:r w:rsidRPr="00CE50E7">
        <w:t>)</w:t>
      </w:r>
      <w:r w:rsidR="00256D59">
        <w:t>,</w:t>
      </w:r>
      <w:r w:rsidRPr="00CE50E7">
        <w:t xml:space="preserve"> whereas REC sales are for one product.</w:t>
      </w:r>
      <w:r w:rsidRPr="00CE50E7">
        <w:rPr>
          <w:rStyle w:val="FootnoteReference"/>
          <w:rFonts w:cs="Times New Roman"/>
          <w:szCs w:val="26"/>
        </w:rPr>
        <w:footnoteReference w:id="27"/>
      </w:r>
      <w:r w:rsidRPr="00CE50E7">
        <w:t xml:space="preserve"> </w:t>
      </w:r>
    </w:p>
    <w:p w:rsidRPr="00CE50E7" w:rsidR="006E5A71" w:rsidP="00765317" w:rsidRDefault="006E5A71" w14:paraId="3E800893" w14:textId="420DD705">
      <w:pPr>
        <w:pStyle w:val="Standard"/>
      </w:pPr>
      <w:r w:rsidRPr="00CE50E7">
        <w:t xml:space="preserve">Second, the IOUs argue </w:t>
      </w:r>
      <w:r>
        <w:t xml:space="preserve">that </w:t>
      </w:r>
      <w:r w:rsidRPr="00CE50E7">
        <w:t xml:space="preserve">CalCCA’s </w:t>
      </w:r>
      <w:r w:rsidR="003B21B4">
        <w:t xml:space="preserve">proposal to </w:t>
      </w:r>
      <w:r w:rsidRPr="00CE50E7">
        <w:t>disallow ERRA cost</w:t>
      </w:r>
      <w:r w:rsidR="003B21B4">
        <w:t xml:space="preserve"> recovery</w:t>
      </w:r>
      <w:r w:rsidRPr="00CE50E7">
        <w:t xml:space="preserve"> as </w:t>
      </w:r>
      <w:r>
        <w:t xml:space="preserve">a </w:t>
      </w:r>
      <w:r w:rsidR="00EB0B6E">
        <w:t>re</w:t>
      </w:r>
      <w:r w:rsidR="003B21B4">
        <w:t xml:space="preserve">medy for </w:t>
      </w:r>
      <w:r w:rsidR="00EB0B6E">
        <w:t xml:space="preserve">IOU </w:t>
      </w:r>
      <w:r w:rsidR="003B21B4">
        <w:t>noncompliance</w:t>
      </w:r>
      <w:r w:rsidRPr="00CE50E7">
        <w:t xml:space="preserve"> is inconsistent with the ERRA regulatory framework and with D.21-05-030. PG&amp;E and SCE assert </w:t>
      </w:r>
      <w:r w:rsidR="003E2C0C">
        <w:t xml:space="preserve">that </w:t>
      </w:r>
      <w:r w:rsidR="002664AF">
        <w:t>Assembly Bill (</w:t>
      </w:r>
      <w:r w:rsidRPr="00CE50E7">
        <w:t>AB</w:t>
      </w:r>
      <w:r w:rsidR="002664AF">
        <w:t>)</w:t>
      </w:r>
      <w:r w:rsidR="00734C75">
        <w:t> </w:t>
      </w:r>
      <w:r w:rsidRPr="00CE50E7">
        <w:t>57 generally eliminated the need for after-the-fact reasonableness reviews.</w:t>
      </w:r>
      <w:r w:rsidRPr="00CE50E7">
        <w:rPr>
          <w:rStyle w:val="FootnoteReference"/>
          <w:rFonts w:cs="Times New Roman"/>
          <w:szCs w:val="26"/>
        </w:rPr>
        <w:footnoteReference w:id="28"/>
      </w:r>
      <w:r w:rsidRPr="00CE50E7">
        <w:t xml:space="preserve"> The IOUs note that </w:t>
      </w:r>
      <w:r w:rsidR="00555768">
        <w:t>this proposed remedy</w:t>
      </w:r>
      <w:r w:rsidRPr="00CE50E7">
        <w:t xml:space="preserve"> is </w:t>
      </w:r>
      <w:r w:rsidRPr="003E2C0C" w:rsidR="003E2C0C">
        <w:t>unnecessary because the IOUs are subject to several existing rules that act as a deterrent,</w:t>
      </w:r>
      <w:r w:rsidRPr="00CE50E7">
        <w:t xml:space="preserve"> such as the Standards of Conduct.</w:t>
      </w:r>
      <w:r w:rsidRPr="00CE50E7">
        <w:rPr>
          <w:rStyle w:val="FootnoteReference"/>
          <w:rFonts w:cs="Times New Roman"/>
          <w:szCs w:val="26"/>
        </w:rPr>
        <w:footnoteReference w:id="29"/>
      </w:r>
      <w:r w:rsidRPr="00CE50E7">
        <w:t xml:space="preserve"> PG&amp;E and SCE also argue </w:t>
      </w:r>
      <w:r w:rsidR="003E2C0C">
        <w:t xml:space="preserve">that </w:t>
      </w:r>
      <w:r w:rsidRPr="00CE50E7">
        <w:t>CalCCA’s ERRA disallowance proposal is inconsistent with D.21-05-030, as that decision did not adopt a shareholder responsibility mechanism</w:t>
      </w:r>
      <w:r w:rsidR="003E2C0C">
        <w:t>,</w:t>
      </w:r>
      <w:r w:rsidRPr="00CE50E7">
        <w:t xml:space="preserve"> and this proposal is not based on existing rules in the RPS program.</w:t>
      </w:r>
      <w:r w:rsidRPr="00CE50E7">
        <w:rPr>
          <w:rStyle w:val="FootnoteReference"/>
          <w:rFonts w:cs="Times New Roman"/>
          <w:szCs w:val="26"/>
        </w:rPr>
        <w:footnoteReference w:id="30"/>
      </w:r>
      <w:r w:rsidRPr="00CE50E7">
        <w:t xml:space="preserve"> </w:t>
      </w:r>
    </w:p>
    <w:p w:rsidRPr="00CE50E7" w:rsidR="006E5A71" w:rsidP="00765317" w:rsidRDefault="006E5A71" w14:paraId="50D5B875" w14:textId="698FC369">
      <w:pPr>
        <w:pStyle w:val="Standard"/>
      </w:pPr>
      <w:r w:rsidRPr="00CE50E7">
        <w:t xml:space="preserve">Third, the </w:t>
      </w:r>
      <w:r w:rsidR="003E2C0C">
        <w:t>IOUs</w:t>
      </w:r>
      <w:r w:rsidRPr="00CE50E7">
        <w:t xml:space="preserve"> individually respond to various aspects of CalCCA’s </w:t>
      </w:r>
      <w:r w:rsidR="004D13F0">
        <w:t>c</w:t>
      </w:r>
      <w:r w:rsidRPr="00CE50E7">
        <w:t xml:space="preserve">ode of </w:t>
      </w:r>
      <w:r w:rsidR="004D13F0">
        <w:t>c</w:t>
      </w:r>
      <w:r w:rsidRPr="00CE50E7">
        <w:t xml:space="preserve">onduct proposals. PG&amp;E and SDG&amp;E oppose the one-year term for the </w:t>
      </w:r>
      <w:r w:rsidR="004D13F0">
        <w:t>c</w:t>
      </w:r>
      <w:r w:rsidR="00304C7C">
        <w:t xml:space="preserve">ode of </w:t>
      </w:r>
      <w:r w:rsidR="004D13F0">
        <w:t>co</w:t>
      </w:r>
      <w:r w:rsidR="00304C7C">
        <w:t>nduct</w:t>
      </w:r>
      <w:r w:rsidRPr="00CE50E7">
        <w:t xml:space="preserve"> and prohibition on transferring bid and solicitation staff as it will impede ongoing procurement efforts.</w:t>
      </w:r>
      <w:r w:rsidRPr="00CE50E7">
        <w:rPr>
          <w:rStyle w:val="FootnoteReference"/>
          <w:rFonts w:cs="Times New Roman"/>
          <w:szCs w:val="26"/>
        </w:rPr>
        <w:footnoteReference w:id="31"/>
      </w:r>
      <w:r w:rsidRPr="00CE50E7">
        <w:t xml:space="preserve"> SCE offers a clarification on its policy to limit employee transfers.</w:t>
      </w:r>
      <w:r w:rsidRPr="00CE50E7">
        <w:rPr>
          <w:rStyle w:val="FootnoteReference"/>
          <w:rFonts w:cs="Times New Roman"/>
          <w:szCs w:val="26"/>
        </w:rPr>
        <w:footnoteReference w:id="32"/>
      </w:r>
      <w:r w:rsidRPr="00CE50E7">
        <w:t xml:space="preserve"> </w:t>
      </w:r>
    </w:p>
    <w:p w:rsidRPr="00CE50E7" w:rsidR="006E5A71" w:rsidP="00765317" w:rsidRDefault="006E5A71" w14:paraId="32123E2A" w14:textId="6C0C04D5">
      <w:pPr>
        <w:pStyle w:val="Standard"/>
      </w:pPr>
      <w:r w:rsidRPr="00CE50E7">
        <w:t xml:space="preserve">PG&amp;E opposes a prohibition on the </w:t>
      </w:r>
      <w:r w:rsidR="005C3B2D">
        <w:t>concurrent</w:t>
      </w:r>
      <w:r w:rsidRPr="00CE50E7">
        <w:t xml:space="preserve"> non-Market Offer solicitations for the same products during the same delivery period</w:t>
      </w:r>
      <w:r w:rsidR="00530A00">
        <w:t xml:space="preserve"> while the Market Offer solicitation is open</w:t>
      </w:r>
      <w:r w:rsidR="00083887">
        <w:t>. It states that this</w:t>
      </w:r>
      <w:r w:rsidRPr="00CE50E7">
        <w:t xml:space="preserve"> matter should be addressed in a Commission order, not PG&amp;E’s </w:t>
      </w:r>
      <w:r w:rsidR="004D13F0">
        <w:t>c</w:t>
      </w:r>
      <w:r w:rsidR="00304C7C">
        <w:t xml:space="preserve">ode of </w:t>
      </w:r>
      <w:r w:rsidR="004D13F0">
        <w:t>c</w:t>
      </w:r>
      <w:r w:rsidR="00304C7C">
        <w:t>onduct</w:t>
      </w:r>
      <w:r w:rsidRPr="00CE50E7">
        <w:t>.</w:t>
      </w:r>
      <w:r w:rsidRPr="00CE50E7">
        <w:rPr>
          <w:rStyle w:val="FootnoteReference"/>
          <w:rFonts w:cs="Times New Roman"/>
          <w:szCs w:val="26"/>
        </w:rPr>
        <w:footnoteReference w:id="33"/>
      </w:r>
      <w:r w:rsidRPr="00CE50E7">
        <w:t xml:space="preserve"> PG&amp;E also opposes the IE reporting on </w:t>
      </w:r>
      <w:r w:rsidR="004D13F0">
        <w:t>c</w:t>
      </w:r>
      <w:r w:rsidR="00304C7C">
        <w:t xml:space="preserve">ode of </w:t>
      </w:r>
      <w:r w:rsidR="004D13F0">
        <w:t>c</w:t>
      </w:r>
      <w:r w:rsidR="00304C7C">
        <w:t>onduct</w:t>
      </w:r>
      <w:r w:rsidRPr="00CE50E7">
        <w:t xml:space="preserve"> violations as this has not been part of the IE’s purview.</w:t>
      </w:r>
      <w:r w:rsidRPr="00CE50E7">
        <w:rPr>
          <w:rStyle w:val="FootnoteReference"/>
          <w:rFonts w:cs="Times New Roman"/>
          <w:szCs w:val="26"/>
        </w:rPr>
        <w:footnoteReference w:id="34"/>
      </w:r>
    </w:p>
    <w:p w:rsidRPr="00CE50E7" w:rsidR="006E5A71" w:rsidP="00765317" w:rsidRDefault="006E5A71" w14:paraId="00E7AD0D" w14:textId="445E7436">
      <w:pPr>
        <w:pStyle w:val="Standard"/>
      </w:pPr>
      <w:r w:rsidRPr="00CE50E7">
        <w:t xml:space="preserve">SCE agrees to require all employees involved in the Market Offer process to sign the Certification included on the </w:t>
      </w:r>
      <w:r w:rsidR="003360C7">
        <w:t>last</w:t>
      </w:r>
      <w:r w:rsidRPr="00CE50E7">
        <w:t xml:space="preserve"> page of the IOUs’ proposed </w:t>
      </w:r>
      <w:r w:rsidR="00C04BDD">
        <w:t>c</w:t>
      </w:r>
      <w:r w:rsidR="00304C7C">
        <w:t xml:space="preserve">ode of </w:t>
      </w:r>
      <w:r w:rsidR="00C04BDD">
        <w:t>c</w:t>
      </w:r>
      <w:r w:rsidR="00304C7C">
        <w:t>onduct</w:t>
      </w:r>
      <w:r w:rsidRPr="00CE50E7">
        <w:t>.</w:t>
      </w:r>
      <w:r w:rsidRPr="00CE50E7">
        <w:rPr>
          <w:rStyle w:val="FootnoteReference"/>
          <w:rFonts w:cs="Times New Roman"/>
          <w:szCs w:val="26"/>
        </w:rPr>
        <w:footnoteReference w:id="35"/>
      </w:r>
      <w:r w:rsidRPr="00CE50E7">
        <w:t xml:space="preserve"> SDG&amp;E did not </w:t>
      </w:r>
      <w:r w:rsidR="00304C7C">
        <w:t>o</w:t>
      </w:r>
      <w:r w:rsidRPr="00CE50E7">
        <w:t xml:space="preserve">bject to the recommendation that it submit its Market Offer bids to the IE </w:t>
      </w:r>
      <w:r w:rsidR="00CC5F59">
        <w:t>before</w:t>
      </w:r>
      <w:r w:rsidRPr="00CE50E7">
        <w:t xml:space="preserve"> </w:t>
      </w:r>
      <w:r w:rsidR="00081AF9">
        <w:t>third-party bidders</w:t>
      </w:r>
      <w:r w:rsidRPr="00CE50E7">
        <w:t xml:space="preserve"> if it participates.</w:t>
      </w:r>
      <w:r w:rsidRPr="00CE50E7">
        <w:rPr>
          <w:rStyle w:val="FootnoteReference"/>
          <w:rFonts w:cs="Times New Roman"/>
          <w:szCs w:val="26"/>
        </w:rPr>
        <w:footnoteReference w:id="36"/>
      </w:r>
    </w:p>
    <w:p w:rsidRPr="00CE50E7" w:rsidR="006E5A71" w:rsidP="00765317" w:rsidRDefault="006E5A71" w14:paraId="52E66C64" w14:textId="17804B5B">
      <w:pPr>
        <w:pStyle w:val="Standard"/>
      </w:pPr>
      <w:r w:rsidRPr="00CE50E7">
        <w:t xml:space="preserve">Fourth, </w:t>
      </w:r>
      <w:r w:rsidR="00393949">
        <w:t>t</w:t>
      </w:r>
      <w:r w:rsidRPr="00CE50E7" w:rsidR="00393949">
        <w:t xml:space="preserve">he </w:t>
      </w:r>
      <w:r w:rsidRPr="00CE50E7">
        <w:t xml:space="preserve">IOUs urge the commission to reject CalCCA’s request to prohibit bid floors. They note </w:t>
      </w:r>
      <w:r w:rsidR="00CC5F59">
        <w:t xml:space="preserve">that </w:t>
      </w:r>
      <w:r w:rsidRPr="00CE50E7">
        <w:t xml:space="preserve">having the flexibility to adopt a </w:t>
      </w:r>
      <w:r w:rsidR="00BB45EC">
        <w:t>bid floor</w:t>
      </w:r>
      <w:r w:rsidRPr="00CE50E7">
        <w:t xml:space="preserve"> could promote a competitive solicitation and avoid market manipulation to the benefit of ratepayers.</w:t>
      </w:r>
      <w:r w:rsidRPr="00CE50E7">
        <w:rPr>
          <w:rStyle w:val="FootnoteReference"/>
          <w:rFonts w:cs="Times New Roman"/>
          <w:szCs w:val="26"/>
        </w:rPr>
        <w:footnoteReference w:id="37"/>
      </w:r>
    </w:p>
    <w:p w:rsidRPr="00CE50E7" w:rsidR="006E5A71" w:rsidP="00765317" w:rsidRDefault="006E5A71" w14:paraId="6CD919A9" w14:textId="6F521315">
      <w:pPr>
        <w:pStyle w:val="Standard"/>
      </w:pPr>
      <w:r w:rsidRPr="00CE50E7">
        <w:t xml:space="preserve">Fifth, the IOUs opposed AReM and Shell’s request to have the IOUs provide long-term contracts in their Market Offer processes. SCE and SDG&amp;E </w:t>
      </w:r>
      <w:r w:rsidR="00CC5F59">
        <w:t>highlighted</w:t>
      </w:r>
      <w:r w:rsidRPr="00CE50E7">
        <w:t xml:space="preserve"> language in D.21-05-030 that gave them </w:t>
      </w:r>
      <w:r w:rsidR="00CC5F59">
        <w:t xml:space="preserve">the </w:t>
      </w:r>
      <w:r w:rsidRPr="00CE50E7">
        <w:t>flexibility to propose the structure of Market Offer sales and did not “restrict long-term sales to a specific percentage of Market Offer sale</w:t>
      </w:r>
      <w:r w:rsidR="00681654">
        <w:t>[s]</w:t>
      </w:r>
      <w:r w:rsidRPr="00CE50E7">
        <w:t>.”</w:t>
      </w:r>
      <w:r w:rsidRPr="00CE50E7">
        <w:rPr>
          <w:rStyle w:val="FootnoteReference"/>
          <w:rFonts w:cs="Times New Roman"/>
          <w:szCs w:val="26"/>
        </w:rPr>
        <w:footnoteReference w:id="38"/>
      </w:r>
      <w:r w:rsidRPr="00CE50E7">
        <w:t xml:space="preserve"> SCE </w:t>
      </w:r>
      <w:r w:rsidR="00CC5F59">
        <w:t>explains</w:t>
      </w:r>
      <w:r w:rsidRPr="00CE50E7">
        <w:t xml:space="preserve"> its justification for not offering long-term </w:t>
      </w:r>
      <w:r w:rsidR="009F0740">
        <w:t>contracts</w:t>
      </w:r>
      <w:r w:rsidR="00CC5F59">
        <w:t>,</w:t>
      </w:r>
      <w:r w:rsidRPr="00CE50E7">
        <w:t xml:space="preserve"> stating it wants to preserve the right of PCIA-eligible entities to make long-term elections in future VAMO cycles, </w:t>
      </w:r>
      <w:r w:rsidR="00085688">
        <w:t>particularly</w:t>
      </w:r>
      <w:r w:rsidRPr="00CE50E7" w:rsidR="00085688">
        <w:t xml:space="preserve"> </w:t>
      </w:r>
      <w:r w:rsidRPr="00CE50E7">
        <w:t xml:space="preserve">as </w:t>
      </w:r>
      <w:r w:rsidR="00D05648">
        <w:t xml:space="preserve">the </w:t>
      </w:r>
      <w:r w:rsidRPr="00CE50E7">
        <w:t xml:space="preserve">load may shift between </w:t>
      </w:r>
      <w:r w:rsidR="006D42D8">
        <w:t>load-serving entities</w:t>
      </w:r>
      <w:r w:rsidRPr="00CE50E7">
        <w:t>.</w:t>
      </w:r>
      <w:r w:rsidRPr="00CE50E7">
        <w:rPr>
          <w:rStyle w:val="FootnoteReference"/>
          <w:rFonts w:cs="Times New Roman"/>
          <w:szCs w:val="26"/>
        </w:rPr>
        <w:footnoteReference w:id="39"/>
      </w:r>
      <w:r w:rsidRPr="00CE50E7">
        <w:t xml:space="preserve"> SDG&amp;E states </w:t>
      </w:r>
      <w:r w:rsidR="00AC0A02">
        <w:t xml:space="preserve">that </w:t>
      </w:r>
      <w:r w:rsidRPr="00CE50E7">
        <w:t>AReM and Shell’s arguments are merely a “self-serving attempt to rewrite the rules.”</w:t>
      </w:r>
      <w:r w:rsidRPr="00CE50E7">
        <w:rPr>
          <w:rStyle w:val="FootnoteReference"/>
          <w:rFonts w:cs="Times New Roman"/>
          <w:szCs w:val="26"/>
        </w:rPr>
        <w:footnoteReference w:id="40"/>
      </w:r>
      <w:r w:rsidRPr="00CE50E7">
        <w:t xml:space="preserve">Additionally, the IOUs argue that outside of the Market Offer process, </w:t>
      </w:r>
      <w:r w:rsidR="006D42D8">
        <w:t>load-serving entities</w:t>
      </w:r>
      <w:r w:rsidRPr="00CE50E7">
        <w:t xml:space="preserve"> can obtain long-term contracts in the Voluntary Allocation process, Voluntary Allocation resales, and subsequent VAMO cycles.</w:t>
      </w:r>
      <w:r w:rsidRPr="00CE50E7">
        <w:rPr>
          <w:rStyle w:val="FootnoteReference"/>
          <w:rFonts w:cs="Times New Roman"/>
          <w:szCs w:val="26"/>
        </w:rPr>
        <w:footnoteReference w:id="41"/>
      </w:r>
    </w:p>
    <w:p w:rsidRPr="00CE50E7" w:rsidR="006E5A71" w:rsidP="00765317" w:rsidRDefault="006E5A71" w14:paraId="5FBA4BD3" w14:textId="2A6BC08B">
      <w:pPr>
        <w:pStyle w:val="Standard"/>
      </w:pPr>
      <w:r w:rsidRPr="00CE50E7">
        <w:t>Sixth</w:t>
      </w:r>
      <w:r w:rsidR="00AC0A02">
        <w:t>,</w:t>
      </w:r>
      <w:r w:rsidRPr="00CE50E7">
        <w:t xml:space="preserve"> PG&amp;E and SCE oppose AReM and Shell’s alternative scheme to count short-term portions of long-term contracts for RPS compliance purposes. PG&amp;E and SCE </w:t>
      </w:r>
      <w:r w:rsidR="008A31B9">
        <w:t>c</w:t>
      </w:r>
      <w:r w:rsidR="00AC0A02">
        <w:t>ite</w:t>
      </w:r>
      <w:r w:rsidRPr="00CE50E7">
        <w:t xml:space="preserve"> to D.21-05-030, where the Commission recently rejected a similar proposal to permit short-term contracts of long-term </w:t>
      </w:r>
      <w:r w:rsidR="00A2758B">
        <w:t>agreements</w:t>
      </w:r>
      <w:r w:rsidRPr="00CE50E7">
        <w:t xml:space="preserve"> to count towards the long-term contracting requirement.</w:t>
      </w:r>
      <w:r w:rsidRPr="00CE50E7">
        <w:rPr>
          <w:rStyle w:val="FootnoteReference"/>
          <w:rFonts w:cs="Times New Roman"/>
          <w:szCs w:val="26"/>
        </w:rPr>
        <w:footnoteReference w:id="42"/>
      </w:r>
    </w:p>
    <w:p w:rsidRPr="00CE50E7" w:rsidR="006E5A71" w:rsidP="00765317" w:rsidRDefault="009C04FF" w14:paraId="08FBB8FE" w14:textId="546294BC">
      <w:pPr>
        <w:pStyle w:val="Standard"/>
        <w:rPr>
          <w:rFonts w:cs="Times New Roman"/>
          <w:szCs w:val="26"/>
        </w:rPr>
      </w:pPr>
      <w:r>
        <w:rPr>
          <w:shd w:val="clear" w:color="auto" w:fill="FAF9F8"/>
        </w:rPr>
        <w:t xml:space="preserve">Seventh, </w:t>
      </w:r>
      <w:r w:rsidR="00805CCE">
        <w:rPr>
          <w:shd w:val="clear" w:color="auto" w:fill="FAF9F8"/>
        </w:rPr>
        <w:t>SCE states that t</w:t>
      </w:r>
      <w:r>
        <w:rPr>
          <w:shd w:val="clear" w:color="auto" w:fill="FAF9F8"/>
        </w:rPr>
        <w:t>o</w:t>
      </w:r>
      <w:r w:rsidR="00805CCE">
        <w:rPr>
          <w:shd w:val="clear" w:color="auto" w:fill="FAF9F8"/>
        </w:rPr>
        <w:t xml:space="preserve"> better match buyers' needs, increase the pool of buyers and increase their flexibility in bidding, buyers should be able to specify any quantity of </w:t>
      </w:r>
      <w:r w:rsidR="0011702F">
        <w:rPr>
          <w:shd w:val="clear" w:color="auto" w:fill="FAF9F8"/>
        </w:rPr>
        <w:t>RPS resources</w:t>
      </w:r>
      <w:r w:rsidR="00805CCE">
        <w:rPr>
          <w:shd w:val="clear" w:color="auto" w:fill="FAF9F8"/>
        </w:rPr>
        <w:t xml:space="preserve"> in percentage increments, which must be represented in whole numbers</w:t>
      </w:r>
      <w:r w:rsidRPr="00CE50E7" w:rsidR="006E5A71">
        <w:rPr>
          <w:rFonts w:cs="Times New Roman"/>
          <w:szCs w:val="26"/>
        </w:rPr>
        <w:t>.</w:t>
      </w:r>
      <w:r w:rsidRPr="00CE50E7" w:rsidR="006E5A71">
        <w:rPr>
          <w:rStyle w:val="FootnoteReference"/>
          <w:rFonts w:cs="Times New Roman"/>
          <w:szCs w:val="26"/>
        </w:rPr>
        <w:footnoteReference w:id="43"/>
      </w:r>
      <w:r w:rsidRPr="00CE50E7" w:rsidR="006E5A71">
        <w:rPr>
          <w:rFonts w:cs="Times New Roman"/>
          <w:szCs w:val="26"/>
        </w:rPr>
        <w:t xml:space="preserve"> </w:t>
      </w:r>
    </w:p>
    <w:p w:rsidRPr="00CE50E7" w:rsidR="006E5A71" w:rsidP="00765317" w:rsidRDefault="006E5A71" w14:paraId="3BF4ABDC" w14:textId="109C132D">
      <w:pPr>
        <w:pStyle w:val="Standard"/>
        <w:rPr>
          <w:highlight w:val="yellow"/>
        </w:rPr>
      </w:pPr>
      <w:r w:rsidRPr="00CE50E7">
        <w:t>Eighth</w:t>
      </w:r>
      <w:r w:rsidR="009C04FF">
        <w:t>,</w:t>
      </w:r>
      <w:r w:rsidRPr="00CE50E7">
        <w:t xml:space="preserve"> SDG&amp;E agrees to make two changes requested by CalCCA to its Pro Forma contract</w:t>
      </w:r>
      <w:r w:rsidR="00ED1EEB">
        <w:t>, including</w:t>
      </w:r>
      <w:r w:rsidRPr="00CE50E7">
        <w:t xml:space="preserve"> language clarifying modifications to its PCIA</w:t>
      </w:r>
      <w:r w:rsidR="00734C75">
        <w:noBreakHyphen/>
      </w:r>
      <w:r w:rsidRPr="00CE50E7">
        <w:t>eligible RPS Resource Pools.</w:t>
      </w:r>
      <w:r w:rsidRPr="00CE50E7">
        <w:rPr>
          <w:rStyle w:val="FootnoteReference"/>
          <w:rFonts w:cs="Times New Roman"/>
          <w:szCs w:val="26"/>
        </w:rPr>
        <w:footnoteReference w:id="44"/>
      </w:r>
      <w:r w:rsidRPr="00CE50E7">
        <w:t xml:space="preserve"> SDG&amp;E also </w:t>
      </w:r>
      <w:r w:rsidR="00AC0A02">
        <w:t>says</w:t>
      </w:r>
      <w:r w:rsidRPr="00CE50E7">
        <w:t xml:space="preserve"> it “does not object to including conforming EEI language in its Market Offer pro forma contracts” in response to CalCCA’s concern.</w:t>
      </w:r>
      <w:r w:rsidRPr="00CE50E7">
        <w:rPr>
          <w:rStyle w:val="FootnoteReference"/>
          <w:rFonts w:cs="Times New Roman"/>
          <w:szCs w:val="26"/>
        </w:rPr>
        <w:footnoteReference w:id="45"/>
      </w:r>
      <w:r w:rsidRPr="00CE50E7">
        <w:t xml:space="preserve"> However, SDG&amp;E opposes CalCCA’s request to clarify the products it is offering, as SDG&amp;E states it is unclear what issue CalCCA wants clarity on.</w:t>
      </w:r>
      <w:r w:rsidRPr="00CE50E7">
        <w:rPr>
          <w:rStyle w:val="FootnoteReference"/>
          <w:rFonts w:cs="Times New Roman"/>
          <w:szCs w:val="26"/>
        </w:rPr>
        <w:footnoteReference w:id="46"/>
      </w:r>
      <w:r w:rsidRPr="00CE50E7">
        <w:rPr>
          <w:highlight w:val="yellow"/>
        </w:rPr>
        <w:t xml:space="preserve"> </w:t>
      </w:r>
    </w:p>
    <w:p w:rsidR="006E5A71" w:rsidP="00BC5754" w:rsidRDefault="00C55E99" w14:paraId="190BCD47" w14:textId="4BDBABF8">
      <w:pPr>
        <w:pStyle w:val="Heading1"/>
        <w:numPr>
          <w:ilvl w:val="0"/>
          <w:numId w:val="49"/>
        </w:numPr>
        <w:ind w:left="720" w:hanging="720"/>
      </w:pPr>
      <w:bookmarkStart w:name="_Toc119660146" w:id="13"/>
      <w:r w:rsidRPr="00765317">
        <w:t>Market</w:t>
      </w:r>
      <w:r>
        <w:t xml:space="preserve"> Offer Process</w:t>
      </w:r>
      <w:bookmarkEnd w:id="13"/>
    </w:p>
    <w:p w:rsidR="007156B9" w:rsidP="00BC5754" w:rsidRDefault="00FF6A8C" w14:paraId="70C7018E" w14:textId="4532C7B7">
      <w:pPr>
        <w:pStyle w:val="Heading2"/>
        <w:numPr>
          <w:ilvl w:val="1"/>
          <w:numId w:val="49"/>
        </w:numPr>
        <w:ind w:left="1440" w:hanging="1080"/>
      </w:pPr>
      <w:bookmarkStart w:name="_Toc119660147" w:id="14"/>
      <w:r>
        <w:t>Market Offer Solicitation Protocol</w:t>
      </w:r>
      <w:bookmarkEnd w:id="14"/>
    </w:p>
    <w:p w:rsidRPr="00CE50E7" w:rsidR="007B079E" w:rsidP="00765317" w:rsidRDefault="009F4CDB" w14:paraId="443863F9" w14:textId="79C99092">
      <w:pPr>
        <w:pStyle w:val="Standard"/>
      </w:pPr>
      <w:r>
        <w:t xml:space="preserve">The </w:t>
      </w:r>
      <w:r w:rsidRPr="00765317">
        <w:t>following</w:t>
      </w:r>
      <w:r w:rsidR="00920369">
        <w:t xml:space="preserve"> </w:t>
      </w:r>
      <w:r w:rsidR="006109A2">
        <w:t xml:space="preserve">aspects of </w:t>
      </w:r>
      <w:r w:rsidR="00A2758B">
        <w:t xml:space="preserve">the </w:t>
      </w:r>
      <w:r w:rsidR="00920369">
        <w:t xml:space="preserve">REC Sales Framework in </w:t>
      </w:r>
      <w:r w:rsidRPr="00CE50E7" w:rsidR="007B079E">
        <w:t xml:space="preserve">the Joint </w:t>
      </w:r>
      <w:r w:rsidR="003D49BE">
        <w:t xml:space="preserve">Market Offer </w:t>
      </w:r>
      <w:r w:rsidRPr="00CE50E7" w:rsidR="007B079E">
        <w:t xml:space="preserve">Proposal </w:t>
      </w:r>
      <w:r>
        <w:t xml:space="preserve">are </w:t>
      </w:r>
      <w:r w:rsidR="00367684">
        <w:t>uncontested</w:t>
      </w:r>
      <w:r w:rsidRPr="00CE50E7" w:rsidR="007B079E">
        <w:t>:</w:t>
      </w:r>
      <w:r w:rsidRPr="00CE50E7" w:rsidR="007B079E">
        <w:rPr>
          <w:rStyle w:val="FootnoteReference"/>
          <w:rFonts w:cs="Times New Roman"/>
          <w:szCs w:val="26"/>
        </w:rPr>
        <w:footnoteReference w:id="47"/>
      </w:r>
    </w:p>
    <w:p w:rsidRPr="00CE50E7" w:rsidR="007B079E" w:rsidP="00734C75" w:rsidRDefault="007B079E" w14:paraId="4260287D" w14:textId="77777777">
      <w:pPr>
        <w:pStyle w:val="ListParagraph"/>
        <w:numPr>
          <w:ilvl w:val="0"/>
          <w:numId w:val="19"/>
        </w:numPr>
        <w:spacing w:after="120" w:line="240" w:lineRule="auto"/>
        <w:ind w:left="1080" w:right="1440"/>
        <w:contextualSpacing w:val="0"/>
        <w:rPr>
          <w:rFonts w:cs="Times New Roman"/>
          <w:szCs w:val="26"/>
        </w:rPr>
      </w:pPr>
      <w:r w:rsidRPr="00CE50E7">
        <w:rPr>
          <w:rFonts w:cs="Times New Roman"/>
          <w:szCs w:val="26"/>
        </w:rPr>
        <w:t>Tier 1 Advice Letter approval of all signed pro forma short-term Market Offer contracts,</w:t>
      </w:r>
    </w:p>
    <w:p w:rsidRPr="00CE50E7" w:rsidR="007B079E" w:rsidP="00734C75" w:rsidRDefault="00133F6A" w14:paraId="7DFE25DD" w14:textId="39B19156">
      <w:pPr>
        <w:pStyle w:val="ListParagraph"/>
        <w:numPr>
          <w:ilvl w:val="0"/>
          <w:numId w:val="19"/>
        </w:numPr>
        <w:spacing w:after="120" w:line="240" w:lineRule="auto"/>
        <w:ind w:left="1080" w:right="1440"/>
        <w:contextualSpacing w:val="0"/>
        <w:rPr>
          <w:rFonts w:cs="Times New Roman"/>
          <w:szCs w:val="26"/>
        </w:rPr>
      </w:pPr>
      <w:r>
        <w:rPr>
          <w:rFonts w:cs="Times New Roman"/>
          <w:szCs w:val="26"/>
        </w:rPr>
        <w:t xml:space="preserve">For SDG&amp;E - </w:t>
      </w:r>
      <w:r w:rsidRPr="00CE50E7" w:rsidR="007B079E">
        <w:rPr>
          <w:rFonts w:cs="Times New Roman"/>
          <w:szCs w:val="26"/>
        </w:rPr>
        <w:t>Tier 3 Advice Letter approval of all signed pro forma long-term Market Offer contracts,</w:t>
      </w:r>
    </w:p>
    <w:p w:rsidRPr="00CE50E7" w:rsidR="007B079E" w:rsidP="00734C75" w:rsidRDefault="007B079E" w14:paraId="19FF830D" w14:textId="77777777">
      <w:pPr>
        <w:pStyle w:val="ListParagraph"/>
        <w:numPr>
          <w:ilvl w:val="0"/>
          <w:numId w:val="19"/>
        </w:numPr>
        <w:spacing w:after="120" w:line="240" w:lineRule="auto"/>
        <w:ind w:left="1080" w:right="1440"/>
        <w:contextualSpacing w:val="0"/>
        <w:rPr>
          <w:rFonts w:cs="Times New Roman"/>
          <w:szCs w:val="26"/>
        </w:rPr>
      </w:pPr>
      <w:r w:rsidRPr="00CE50E7">
        <w:rPr>
          <w:rFonts w:cs="Times New Roman"/>
          <w:szCs w:val="26"/>
        </w:rPr>
        <w:t>Meet with the Procurement Review Group (PRG) to</w:t>
      </w:r>
      <w:r w:rsidRPr="00CE50E7">
        <w:rPr>
          <w:szCs w:val="26"/>
        </w:rPr>
        <w:t xml:space="preserve"> </w:t>
      </w:r>
      <w:r w:rsidRPr="00CE50E7">
        <w:rPr>
          <w:rFonts w:cs="Times New Roman"/>
          <w:szCs w:val="26"/>
        </w:rPr>
        <w:t xml:space="preserve">review Market Offer activities, including the overall results of the Market Offer and the selected bids, and </w:t>
      </w:r>
    </w:p>
    <w:p w:rsidRPr="00CE50E7" w:rsidR="007B079E" w:rsidP="00734C75" w:rsidRDefault="007B079E" w14:paraId="7A53559F" w14:textId="36717578">
      <w:pPr>
        <w:pStyle w:val="ListParagraph"/>
        <w:numPr>
          <w:ilvl w:val="0"/>
          <w:numId w:val="19"/>
        </w:numPr>
        <w:spacing w:after="120" w:line="240" w:lineRule="auto"/>
        <w:ind w:left="1080" w:right="1440"/>
        <w:contextualSpacing w:val="0"/>
        <w:rPr>
          <w:rFonts w:cs="Times New Roman"/>
          <w:szCs w:val="26"/>
        </w:rPr>
      </w:pPr>
      <w:r w:rsidRPr="00CE50E7">
        <w:rPr>
          <w:rFonts w:cs="Times New Roman"/>
          <w:szCs w:val="26"/>
        </w:rPr>
        <w:t xml:space="preserve">Use an Independent Evaluator (IE) to </w:t>
      </w:r>
      <w:r w:rsidRPr="000A4C05" w:rsidR="000A4C05">
        <w:rPr>
          <w:rFonts w:cs="Times New Roman"/>
          <w:szCs w:val="26"/>
        </w:rPr>
        <w:t xml:space="preserve">evaluate Market Offer solicitations separately </w:t>
      </w:r>
      <w:r w:rsidRPr="00CE50E7">
        <w:rPr>
          <w:rFonts w:cs="Times New Roman"/>
          <w:szCs w:val="26"/>
        </w:rPr>
        <w:t>and report using the standard reporting template for RPS transactions.</w:t>
      </w:r>
    </w:p>
    <w:p w:rsidRPr="00CE50E7" w:rsidR="007B079E" w:rsidP="00765317" w:rsidRDefault="000A4C05" w14:paraId="6A08B509" w14:textId="26BBEE24">
      <w:pPr>
        <w:pStyle w:val="Standard"/>
      </w:pPr>
      <w:r w:rsidRPr="00765317">
        <w:t>These</w:t>
      </w:r>
      <w:r w:rsidRPr="000A4C05">
        <w:t xml:space="preserve"> four uncontested aspects are consistent with existing RPS rules and requirements</w:t>
      </w:r>
      <w:r w:rsidRPr="00656512" w:rsidR="00656512">
        <w:t>, reasonable for the Market Offer process,</w:t>
      </w:r>
      <w:r w:rsidR="00FC303F">
        <w:t xml:space="preserve"> and therefore </w:t>
      </w:r>
      <w:r w:rsidR="001C606D">
        <w:t>accepted</w:t>
      </w:r>
      <w:r w:rsidRPr="00CE50E7" w:rsidR="007B079E">
        <w:t>.</w:t>
      </w:r>
    </w:p>
    <w:p w:rsidRPr="00CE50E7" w:rsidR="00C85713" w:rsidP="00765317" w:rsidRDefault="006109A2" w14:paraId="456B9B58" w14:textId="7C68FDED">
      <w:pPr>
        <w:pStyle w:val="Standard"/>
      </w:pPr>
      <w:r w:rsidRPr="00765317">
        <w:t>The</w:t>
      </w:r>
      <w:r>
        <w:t xml:space="preserve"> </w:t>
      </w:r>
      <w:r w:rsidRPr="00CE50E7" w:rsidR="00C85713">
        <w:t xml:space="preserve">IOUs propose new processes to implement the Market Offer process. The Joint IOU Proposal asserts that certain aspects of the Market Offer process </w:t>
      </w:r>
      <w:r w:rsidR="006B738D">
        <w:t>vary from the</w:t>
      </w:r>
      <w:r w:rsidRPr="00CE50E7" w:rsidR="00C85713">
        <w:t xml:space="preserve"> RPS rules and requirements because of the structure </w:t>
      </w:r>
      <w:r w:rsidR="000A4C05">
        <w:t>set up</w:t>
      </w:r>
      <w:r w:rsidRPr="00CE50E7" w:rsidR="00C85713">
        <w:t xml:space="preserve"> by D.21-05-030. These non-conforming aspects include:</w:t>
      </w:r>
      <w:r w:rsidRPr="00CE50E7" w:rsidR="00C85713">
        <w:rPr>
          <w:rStyle w:val="FootnoteReference"/>
          <w:rFonts w:cs="Times New Roman"/>
          <w:szCs w:val="26"/>
        </w:rPr>
        <w:footnoteReference w:id="48"/>
      </w:r>
    </w:p>
    <w:p w:rsidRPr="00CE50E7" w:rsidR="00C85713" w:rsidP="00734C75" w:rsidRDefault="0025710D" w14:paraId="4C336B8A" w14:textId="0078CFC1">
      <w:pPr>
        <w:pStyle w:val="ListParagraph"/>
        <w:numPr>
          <w:ilvl w:val="0"/>
          <w:numId w:val="18"/>
        </w:numPr>
        <w:autoSpaceDE w:val="0"/>
        <w:autoSpaceDN w:val="0"/>
        <w:adjustRightInd w:val="0"/>
        <w:spacing w:after="120" w:line="240" w:lineRule="auto"/>
        <w:ind w:left="1080" w:right="1440"/>
        <w:contextualSpacing w:val="0"/>
        <w:rPr>
          <w:rFonts w:eastAsia="SymbolMT" w:cs="Times New Roman"/>
          <w:szCs w:val="26"/>
        </w:rPr>
      </w:pPr>
      <w:r>
        <w:rPr>
          <w:rFonts w:cs="Times New Roman"/>
          <w:szCs w:val="26"/>
        </w:rPr>
        <w:t>Pursuant to D.21-05-030, the IOUs shall report</w:t>
      </w:r>
      <w:r w:rsidRPr="00CE50E7" w:rsidR="00C85713">
        <w:rPr>
          <w:rFonts w:cs="Times New Roman"/>
          <w:szCs w:val="26"/>
        </w:rPr>
        <w:t xml:space="preserve"> on the Market Offer process issued within 90 days of completing the initial Voluntary Allocation and Market Offer cycle</w:t>
      </w:r>
      <w:r w:rsidR="000F685D">
        <w:rPr>
          <w:rFonts w:cs="Times New Roman"/>
          <w:szCs w:val="26"/>
        </w:rPr>
        <w:t xml:space="preserve"> and</w:t>
      </w:r>
      <w:r w:rsidR="00B53711">
        <w:rPr>
          <w:rFonts w:cs="Times New Roman"/>
          <w:szCs w:val="26"/>
        </w:rPr>
        <w:t xml:space="preserve"> propose whether </w:t>
      </w:r>
      <w:r w:rsidR="000F685D">
        <w:rPr>
          <w:rFonts w:cs="Times New Roman"/>
          <w:szCs w:val="26"/>
        </w:rPr>
        <w:t xml:space="preserve">and when </w:t>
      </w:r>
      <w:r w:rsidR="007C7D56">
        <w:rPr>
          <w:rFonts w:cs="Times New Roman"/>
          <w:szCs w:val="26"/>
        </w:rPr>
        <w:t xml:space="preserve">there should be a </w:t>
      </w:r>
      <w:r w:rsidR="00B53711">
        <w:rPr>
          <w:rFonts w:cs="Times New Roman"/>
          <w:szCs w:val="26"/>
        </w:rPr>
        <w:t>future VAMO</w:t>
      </w:r>
      <w:r w:rsidR="007C7D56">
        <w:rPr>
          <w:rFonts w:cs="Times New Roman"/>
          <w:szCs w:val="26"/>
        </w:rPr>
        <w:t xml:space="preserve"> process</w:t>
      </w:r>
      <w:r w:rsidR="00734C75">
        <w:rPr>
          <w:rFonts w:cs="Times New Roman"/>
          <w:szCs w:val="26"/>
        </w:rPr>
        <w:t>,</w:t>
      </w:r>
      <w:r w:rsidRPr="00CE50E7" w:rsidR="00C85713">
        <w:rPr>
          <w:rFonts w:cs="Times New Roman"/>
          <w:szCs w:val="26"/>
        </w:rPr>
        <w:t xml:space="preserve"> </w:t>
      </w:r>
    </w:p>
    <w:p w:rsidRPr="00264CB3" w:rsidR="00C85713" w:rsidP="00734C75" w:rsidRDefault="00C85713" w14:paraId="6BB16E8A" w14:textId="262D573B">
      <w:pPr>
        <w:pStyle w:val="ListParagraph"/>
        <w:numPr>
          <w:ilvl w:val="0"/>
          <w:numId w:val="18"/>
        </w:numPr>
        <w:autoSpaceDE w:val="0"/>
        <w:autoSpaceDN w:val="0"/>
        <w:adjustRightInd w:val="0"/>
        <w:spacing w:after="120" w:line="240" w:lineRule="auto"/>
        <w:ind w:left="1080" w:right="1440"/>
        <w:contextualSpacing w:val="0"/>
        <w:rPr>
          <w:rFonts w:eastAsia="SymbolMT" w:cs="Times New Roman"/>
          <w:szCs w:val="26"/>
        </w:rPr>
      </w:pPr>
      <w:r w:rsidRPr="00CE50E7">
        <w:rPr>
          <w:rFonts w:cs="Times New Roman"/>
          <w:szCs w:val="26"/>
        </w:rPr>
        <w:t xml:space="preserve">The </w:t>
      </w:r>
      <w:r w:rsidRPr="00264CB3">
        <w:rPr>
          <w:rFonts w:cs="Times New Roman"/>
          <w:szCs w:val="26"/>
        </w:rPr>
        <w:t xml:space="preserve">sales volume is limited to the forecasted amount of PCIA-eligible RPS energy </w:t>
      </w:r>
      <w:r w:rsidRPr="00264CB3" w:rsidR="000A4C05">
        <w:rPr>
          <w:rFonts w:cs="Times New Roman"/>
          <w:szCs w:val="26"/>
        </w:rPr>
        <w:t>and</w:t>
      </w:r>
      <w:r w:rsidRPr="00264CB3">
        <w:rPr>
          <w:rFonts w:cs="Times New Roman"/>
          <w:szCs w:val="26"/>
        </w:rPr>
        <w:t xml:space="preserve"> RECs remaining after the Voluntary Allocation process,</w:t>
      </w:r>
    </w:p>
    <w:p w:rsidRPr="00CE50E7" w:rsidR="00C85713" w:rsidP="00734C75" w:rsidRDefault="00C85713" w14:paraId="10EA8312" w14:textId="44625CAF">
      <w:pPr>
        <w:pStyle w:val="ListParagraph"/>
        <w:numPr>
          <w:ilvl w:val="0"/>
          <w:numId w:val="18"/>
        </w:numPr>
        <w:autoSpaceDE w:val="0"/>
        <w:autoSpaceDN w:val="0"/>
        <w:adjustRightInd w:val="0"/>
        <w:spacing w:after="120" w:line="240" w:lineRule="auto"/>
        <w:ind w:left="1080" w:right="1440"/>
        <w:contextualSpacing w:val="0"/>
        <w:rPr>
          <w:rFonts w:eastAsia="SymbolMT" w:cs="Times New Roman"/>
          <w:szCs w:val="26"/>
        </w:rPr>
      </w:pPr>
      <w:r w:rsidRPr="00CE50E7">
        <w:rPr>
          <w:rFonts w:cs="Times New Roman"/>
          <w:szCs w:val="26"/>
        </w:rPr>
        <w:t xml:space="preserve">RPS Products </w:t>
      </w:r>
      <w:r w:rsidR="000A4C05">
        <w:rPr>
          <w:rFonts w:cs="Times New Roman"/>
          <w:szCs w:val="26"/>
        </w:rPr>
        <w:t xml:space="preserve">are </w:t>
      </w:r>
      <w:r w:rsidRPr="00CE50E7">
        <w:rPr>
          <w:rFonts w:cs="Times New Roman"/>
          <w:szCs w:val="26"/>
        </w:rPr>
        <w:t xml:space="preserve">offered in the form </w:t>
      </w:r>
      <w:r w:rsidR="000A4C05">
        <w:rPr>
          <w:rFonts w:cs="Times New Roman"/>
          <w:szCs w:val="26"/>
        </w:rPr>
        <w:t xml:space="preserve">of </w:t>
      </w:r>
      <w:r w:rsidRPr="00CE50E7">
        <w:rPr>
          <w:rFonts w:cs="Times New Roman"/>
          <w:szCs w:val="26"/>
        </w:rPr>
        <w:t>slices from the IOUs’ PCIA-eligible portfolios, and</w:t>
      </w:r>
    </w:p>
    <w:p w:rsidRPr="00CE50E7" w:rsidR="00C85713" w:rsidP="00734C75" w:rsidRDefault="00C85713" w14:paraId="0FB3026A" w14:textId="6D71C0A2">
      <w:pPr>
        <w:pStyle w:val="ListParagraph"/>
        <w:numPr>
          <w:ilvl w:val="0"/>
          <w:numId w:val="18"/>
        </w:numPr>
        <w:autoSpaceDE w:val="0"/>
        <w:autoSpaceDN w:val="0"/>
        <w:adjustRightInd w:val="0"/>
        <w:spacing w:after="120" w:line="240" w:lineRule="auto"/>
        <w:ind w:left="1080" w:right="1440"/>
        <w:contextualSpacing w:val="0"/>
        <w:rPr>
          <w:rFonts w:eastAsia="SymbolMT" w:cs="Times New Roman"/>
          <w:szCs w:val="26"/>
        </w:rPr>
      </w:pPr>
      <w:r w:rsidRPr="00CE50E7">
        <w:rPr>
          <w:rFonts w:cs="Times New Roman"/>
          <w:szCs w:val="26"/>
        </w:rPr>
        <w:t xml:space="preserve">Each IOU seeks the option to participate in the Market Offer </w:t>
      </w:r>
      <w:r w:rsidR="00650BA2">
        <w:rPr>
          <w:rFonts w:cs="Times New Roman"/>
          <w:szCs w:val="26"/>
        </w:rPr>
        <w:t>p</w:t>
      </w:r>
      <w:r w:rsidRPr="00CE50E7">
        <w:rPr>
          <w:rFonts w:cs="Times New Roman"/>
          <w:szCs w:val="26"/>
        </w:rPr>
        <w:t xml:space="preserve">rocess subject to </w:t>
      </w:r>
      <w:r w:rsidR="00CF5C26">
        <w:rPr>
          <w:rFonts w:cs="Times New Roman"/>
          <w:szCs w:val="26"/>
        </w:rPr>
        <w:t xml:space="preserve">a </w:t>
      </w:r>
      <w:r w:rsidR="00C04BDD">
        <w:rPr>
          <w:rFonts w:cs="Times New Roman"/>
          <w:szCs w:val="26"/>
        </w:rPr>
        <w:t>c</w:t>
      </w:r>
      <w:r w:rsidRPr="00CE50E7">
        <w:rPr>
          <w:rFonts w:cs="Times New Roman"/>
          <w:szCs w:val="26"/>
        </w:rPr>
        <w:t xml:space="preserve">ode of </w:t>
      </w:r>
      <w:r w:rsidR="00C04BDD">
        <w:rPr>
          <w:rFonts w:cs="Times New Roman"/>
          <w:szCs w:val="26"/>
        </w:rPr>
        <w:t>c</w:t>
      </w:r>
      <w:r w:rsidRPr="00CE50E7">
        <w:rPr>
          <w:rFonts w:cs="Times New Roman"/>
          <w:szCs w:val="26"/>
        </w:rPr>
        <w:t>onduct, as provided by each IOU in Appendix C</w:t>
      </w:r>
      <w:r w:rsidR="001C3DB9">
        <w:rPr>
          <w:rFonts w:cs="Times New Roman"/>
          <w:szCs w:val="26"/>
        </w:rPr>
        <w:t xml:space="preserve"> of the Joint Market Offer Proposal</w:t>
      </w:r>
      <w:r w:rsidRPr="00CE50E7">
        <w:rPr>
          <w:rFonts w:cs="Times New Roman"/>
          <w:szCs w:val="26"/>
        </w:rPr>
        <w:t>.</w:t>
      </w:r>
    </w:p>
    <w:p w:rsidRPr="00264CB3" w:rsidR="00C85713" w:rsidP="00765317" w:rsidRDefault="00C85713" w14:paraId="61704AD0" w14:textId="526D886B">
      <w:pPr>
        <w:pStyle w:val="Standard"/>
      </w:pPr>
      <w:r w:rsidRPr="00CE50E7">
        <w:rPr>
          <w:rFonts w:eastAsia="SymbolMT"/>
        </w:rPr>
        <w:t xml:space="preserve">The first two of these aspects </w:t>
      </w:r>
      <w:r w:rsidR="009F4CDB">
        <w:rPr>
          <w:rFonts w:eastAsia="SymbolMT"/>
        </w:rPr>
        <w:t>are</w:t>
      </w:r>
      <w:r w:rsidRPr="00CE50E7">
        <w:rPr>
          <w:rFonts w:eastAsia="SymbolMT"/>
        </w:rPr>
        <w:t xml:space="preserve"> uncontested, and we a</w:t>
      </w:r>
      <w:r w:rsidR="001815A1">
        <w:rPr>
          <w:rFonts w:eastAsia="SymbolMT"/>
        </w:rPr>
        <w:t>dopt</w:t>
      </w:r>
      <w:r w:rsidRPr="00CE50E7">
        <w:rPr>
          <w:rFonts w:eastAsia="SymbolMT"/>
        </w:rPr>
        <w:t xml:space="preserve"> </w:t>
      </w:r>
      <w:r w:rsidR="0061157C">
        <w:rPr>
          <w:rFonts w:eastAsia="SymbolMT"/>
        </w:rPr>
        <w:t>them</w:t>
      </w:r>
      <w:r w:rsidRPr="00CE50E7">
        <w:rPr>
          <w:rFonts w:eastAsia="SymbolMT"/>
        </w:rPr>
        <w:t xml:space="preserve"> as reasonable </w:t>
      </w:r>
      <w:r w:rsidR="000A4C05">
        <w:rPr>
          <w:rFonts w:eastAsia="SymbolMT"/>
        </w:rPr>
        <w:t>and</w:t>
      </w:r>
      <w:r w:rsidRPr="00CE50E7">
        <w:rPr>
          <w:rFonts w:eastAsia="SymbolMT"/>
        </w:rPr>
        <w:t xml:space="preserve"> consistent with </w:t>
      </w:r>
      <w:r w:rsidRPr="00CE50E7">
        <w:t>D.21-05-030.</w:t>
      </w:r>
      <w:r w:rsidRPr="00CE50E7">
        <w:rPr>
          <w:rStyle w:val="FootnoteReference"/>
          <w:rFonts w:cs="Times New Roman"/>
          <w:szCs w:val="26"/>
        </w:rPr>
        <w:footnoteReference w:id="49"/>
      </w:r>
      <w:r w:rsidRPr="00CE50E7">
        <w:t xml:space="preserve"> </w:t>
      </w:r>
      <w:r w:rsidR="00CF5C26">
        <w:t>The following section</w:t>
      </w:r>
      <w:r w:rsidR="00D137E9">
        <w:t xml:space="preserve"> will </w:t>
      </w:r>
      <w:r w:rsidRPr="00CE50E7">
        <w:t xml:space="preserve">discuss the </w:t>
      </w:r>
      <w:r w:rsidR="00EB2A72">
        <w:t>contested issues re</w:t>
      </w:r>
      <w:r w:rsidR="007860AE">
        <w:t xml:space="preserve">garding </w:t>
      </w:r>
      <w:r w:rsidR="0056455A">
        <w:t>product offerings</w:t>
      </w:r>
      <w:r w:rsidR="00346375">
        <w:t xml:space="preserve"> </w:t>
      </w:r>
      <w:r w:rsidRPr="00CE50E7">
        <w:t xml:space="preserve">and the IOUs’ proposed </w:t>
      </w:r>
      <w:r w:rsidR="0056455A">
        <w:t>c</w:t>
      </w:r>
      <w:r w:rsidRPr="00CE50E7">
        <w:t xml:space="preserve">ode of </w:t>
      </w:r>
      <w:r w:rsidR="0056455A">
        <w:t>c</w:t>
      </w:r>
      <w:r w:rsidRPr="00264CB3">
        <w:t>onduct.</w:t>
      </w:r>
    </w:p>
    <w:p w:rsidRPr="00264CB3" w:rsidR="008E5551" w:rsidP="00BC5754" w:rsidRDefault="008E5551" w14:paraId="53ED2F76" w14:textId="2592B32A">
      <w:pPr>
        <w:pStyle w:val="Heading3"/>
        <w:numPr>
          <w:ilvl w:val="2"/>
          <w:numId w:val="35"/>
        </w:numPr>
        <w:tabs>
          <w:tab w:val="num" w:pos="1656"/>
        </w:tabs>
        <w:ind w:left="1656" w:hanging="936"/>
      </w:pPr>
      <w:bookmarkStart w:name="_Toc119660148" w:id="15"/>
      <w:r w:rsidRPr="00264CB3">
        <w:t>Long-term contracts offered in</w:t>
      </w:r>
      <w:r w:rsidR="00734C75">
        <w:br/>
      </w:r>
      <w:r w:rsidRPr="00264CB3">
        <w:t xml:space="preserve">the Market Offer </w:t>
      </w:r>
      <w:r w:rsidRPr="00765317">
        <w:t>Process</w:t>
      </w:r>
      <w:bookmarkEnd w:id="15"/>
    </w:p>
    <w:p w:rsidR="00CD2467" w:rsidP="00765317" w:rsidRDefault="007509D5" w14:paraId="6DF9F4CA" w14:textId="7CB24FEF">
      <w:pPr>
        <w:pStyle w:val="Standard"/>
      </w:pPr>
      <w:r w:rsidRPr="00264CB3">
        <w:t xml:space="preserve">The </w:t>
      </w:r>
      <w:r w:rsidR="00593930">
        <w:t>V</w:t>
      </w:r>
      <w:r w:rsidRPr="00264CB3" w:rsidR="00CA57A2">
        <w:t xml:space="preserve">oluntary </w:t>
      </w:r>
      <w:r w:rsidR="00593930">
        <w:t>A</w:t>
      </w:r>
      <w:r w:rsidRPr="00264CB3" w:rsidR="00CA57A2">
        <w:t>llocation and sale of</w:t>
      </w:r>
      <w:r w:rsidRPr="00264CB3">
        <w:t xml:space="preserve"> RPS resources via the </w:t>
      </w:r>
      <w:r w:rsidR="000C669E">
        <w:t>Market Offer</w:t>
      </w:r>
      <w:r w:rsidRPr="00264CB3">
        <w:t xml:space="preserve"> </w:t>
      </w:r>
      <w:r w:rsidR="00E435BC">
        <w:t xml:space="preserve">process </w:t>
      </w:r>
      <w:r w:rsidR="0095171D">
        <w:t>aims</w:t>
      </w:r>
      <w:r w:rsidRPr="00264CB3" w:rsidR="00297FE1">
        <w:t xml:space="preserve"> to </w:t>
      </w:r>
      <w:r w:rsidRPr="00264CB3">
        <w:t>redistribut</w:t>
      </w:r>
      <w:r w:rsidR="0095171D">
        <w:t xml:space="preserve">e </w:t>
      </w:r>
      <w:r w:rsidRPr="007509D5">
        <w:t xml:space="preserve">excess </w:t>
      </w:r>
      <w:r w:rsidR="00593930">
        <w:t xml:space="preserve">RPS </w:t>
      </w:r>
      <w:r w:rsidRPr="007509D5">
        <w:t xml:space="preserve">resources in the electric supply portfolios of </w:t>
      </w:r>
      <w:r w:rsidR="00297FE1">
        <w:t>the IOUs.</w:t>
      </w:r>
      <w:r w:rsidR="005C306D">
        <w:rPr>
          <w:rStyle w:val="FootnoteReference"/>
          <w:rFonts w:cs="Times New Roman"/>
          <w:szCs w:val="26"/>
        </w:rPr>
        <w:footnoteReference w:id="50"/>
      </w:r>
      <w:r w:rsidRPr="007509D5">
        <w:t xml:space="preserve"> </w:t>
      </w:r>
      <w:r w:rsidR="00F56ED9">
        <w:rPr>
          <w:shd w:val="clear" w:color="auto" w:fill="FAF9F8"/>
        </w:rPr>
        <w:t>In D.21-05-030,</w:t>
      </w:r>
      <w:r w:rsidR="009D7D77">
        <w:rPr>
          <w:shd w:val="clear" w:color="auto" w:fill="FAF9F8"/>
        </w:rPr>
        <w:t xml:space="preserve"> </w:t>
      </w:r>
      <w:r w:rsidR="00007675">
        <w:rPr>
          <w:shd w:val="clear" w:color="auto" w:fill="FAF9F8"/>
        </w:rPr>
        <w:t xml:space="preserve">we </w:t>
      </w:r>
      <w:r w:rsidR="00350E8E">
        <w:rPr>
          <w:shd w:val="clear" w:color="auto" w:fill="FAF9F8"/>
        </w:rPr>
        <w:t>required th</w:t>
      </w:r>
      <w:r w:rsidR="00593930">
        <w:rPr>
          <w:shd w:val="clear" w:color="auto" w:fill="FAF9F8"/>
        </w:rPr>
        <w:t>e</w:t>
      </w:r>
      <w:r w:rsidR="00350E8E">
        <w:rPr>
          <w:shd w:val="clear" w:color="auto" w:fill="FAF9F8"/>
        </w:rPr>
        <w:t xml:space="preserve"> IOUs </w:t>
      </w:r>
      <w:r w:rsidR="009D7D77">
        <w:rPr>
          <w:shd w:val="clear" w:color="auto" w:fill="FAF9F8"/>
        </w:rPr>
        <w:t xml:space="preserve">to </w:t>
      </w:r>
      <w:r w:rsidR="00350E8E">
        <w:rPr>
          <w:shd w:val="clear" w:color="auto" w:fill="FAF9F8"/>
        </w:rPr>
        <w:t xml:space="preserve">propose </w:t>
      </w:r>
      <w:r w:rsidR="006A123E">
        <w:rPr>
          <w:shd w:val="clear" w:color="auto" w:fill="FAF9F8"/>
        </w:rPr>
        <w:t>a</w:t>
      </w:r>
      <w:r w:rsidR="00350E8E">
        <w:rPr>
          <w:shd w:val="clear" w:color="auto" w:fill="FAF9F8"/>
        </w:rPr>
        <w:t xml:space="preserve"> structure</w:t>
      </w:r>
      <w:r w:rsidR="006A123E">
        <w:rPr>
          <w:shd w:val="clear" w:color="auto" w:fill="FAF9F8"/>
        </w:rPr>
        <w:t xml:space="preserve"> for</w:t>
      </w:r>
      <w:r w:rsidR="00350E8E">
        <w:rPr>
          <w:shd w:val="clear" w:color="auto" w:fill="FAF9F8"/>
        </w:rPr>
        <w:t xml:space="preserve"> long-term sales products and </w:t>
      </w:r>
      <w:r w:rsidR="00865E51">
        <w:rPr>
          <w:shd w:val="clear" w:color="auto" w:fill="FAF9F8"/>
        </w:rPr>
        <w:t>describe</w:t>
      </w:r>
      <w:r w:rsidR="004B417D">
        <w:rPr>
          <w:shd w:val="clear" w:color="auto" w:fill="FAF9F8"/>
        </w:rPr>
        <w:t>d</w:t>
      </w:r>
      <w:r w:rsidR="00865E51">
        <w:rPr>
          <w:shd w:val="clear" w:color="auto" w:fill="FAF9F8"/>
        </w:rPr>
        <w:t xml:space="preserve"> </w:t>
      </w:r>
      <w:r w:rsidR="00350E8E">
        <w:rPr>
          <w:shd w:val="clear" w:color="auto" w:fill="FAF9F8"/>
        </w:rPr>
        <w:t xml:space="preserve">which portion of unallocated shares </w:t>
      </w:r>
      <w:r w:rsidR="004033F7">
        <w:rPr>
          <w:shd w:val="clear" w:color="auto" w:fill="FAF9F8"/>
        </w:rPr>
        <w:t>would be</w:t>
      </w:r>
      <w:r w:rsidR="00350E8E">
        <w:rPr>
          <w:shd w:val="clear" w:color="auto" w:fill="FAF9F8"/>
        </w:rPr>
        <w:t xml:space="preserve"> offer</w:t>
      </w:r>
      <w:r w:rsidR="004033F7">
        <w:rPr>
          <w:shd w:val="clear" w:color="auto" w:fill="FAF9F8"/>
        </w:rPr>
        <w:t>ed</w:t>
      </w:r>
      <w:r w:rsidR="00350E8E">
        <w:rPr>
          <w:shd w:val="clear" w:color="auto" w:fill="FAF9F8"/>
        </w:rPr>
        <w:t xml:space="preserve"> as long-term sales.</w:t>
      </w:r>
      <w:r w:rsidR="00350E8E">
        <w:rPr>
          <w:rStyle w:val="FootnoteReference"/>
          <w:shd w:val="clear" w:color="auto" w:fill="FAF9F8"/>
        </w:rPr>
        <w:footnoteReference w:id="51"/>
      </w:r>
      <w:r w:rsidR="00593962">
        <w:rPr>
          <w:shd w:val="clear" w:color="auto" w:fill="FAF9F8"/>
        </w:rPr>
        <w:t xml:space="preserve"> </w:t>
      </w:r>
    </w:p>
    <w:p w:rsidR="001004E9" w:rsidP="00765317" w:rsidRDefault="00CD2467" w14:paraId="072D0CE3" w14:textId="54BCE96D">
      <w:pPr>
        <w:pStyle w:val="Standard"/>
      </w:pPr>
      <w:r>
        <w:t xml:space="preserve">In </w:t>
      </w:r>
      <w:r w:rsidRPr="002D211E">
        <w:t xml:space="preserve">the Joint </w:t>
      </w:r>
      <w:r w:rsidRPr="002D211E" w:rsidR="00BA589F">
        <w:t>Market Offer</w:t>
      </w:r>
      <w:r w:rsidRPr="002D211E">
        <w:t xml:space="preserve"> Proposal, </w:t>
      </w:r>
      <w:r w:rsidRPr="002D211E" w:rsidR="00FA12A0">
        <w:t>only SDG&amp;E has</w:t>
      </w:r>
      <w:r w:rsidR="00FA12A0">
        <w:t xml:space="preserve"> indicated that </w:t>
      </w:r>
      <w:r w:rsidR="00824758">
        <w:t>it</w:t>
      </w:r>
      <w:r w:rsidR="00FA12A0">
        <w:t xml:space="preserve"> might sell long-term </w:t>
      </w:r>
      <w:r w:rsidR="00457A18">
        <w:t>product</w:t>
      </w:r>
      <w:r w:rsidR="00440FF5">
        <w:t>,</w:t>
      </w:r>
      <w:r w:rsidR="00FA12A0">
        <w:t xml:space="preserve"> </w:t>
      </w:r>
      <w:r w:rsidR="00824758">
        <w:t>while</w:t>
      </w:r>
      <w:r w:rsidR="00FA12A0">
        <w:t xml:space="preserve"> PG&amp;E and SCE </w:t>
      </w:r>
      <w:r w:rsidR="00824758">
        <w:t xml:space="preserve">state that they </w:t>
      </w:r>
      <w:r w:rsidR="00FA12A0">
        <w:t>will offer only short</w:t>
      </w:r>
      <w:r w:rsidR="00734C75">
        <w:noBreakHyphen/>
      </w:r>
      <w:r w:rsidR="00FA12A0">
        <w:t xml:space="preserve">term </w:t>
      </w:r>
      <w:r w:rsidR="00457A18">
        <w:t>product</w:t>
      </w:r>
      <w:r w:rsidR="00FA12A0">
        <w:t xml:space="preserve">. </w:t>
      </w:r>
      <w:r w:rsidR="009F0C6A">
        <w:t xml:space="preserve">PG&amp;E states that </w:t>
      </w:r>
      <w:r w:rsidR="00EF636F">
        <w:rPr>
          <w:shd w:val="clear" w:color="auto" w:fill="FAF9F8"/>
        </w:rPr>
        <w:t>most</w:t>
      </w:r>
      <w:r w:rsidR="009F0C6A">
        <w:rPr>
          <w:shd w:val="clear" w:color="auto" w:fill="FAF9F8"/>
        </w:rPr>
        <w:t xml:space="preserve"> </w:t>
      </w:r>
      <w:r w:rsidRPr="00CF5C26" w:rsidR="00CF5C26">
        <w:rPr>
          <w:shd w:val="clear" w:color="auto" w:fill="FAF9F8"/>
        </w:rPr>
        <w:t xml:space="preserve">long-term resources in PG&amp;E’s RPS portfolio </w:t>
      </w:r>
      <w:r w:rsidR="009F0C6A">
        <w:rPr>
          <w:shd w:val="clear" w:color="auto" w:fill="FAF9F8"/>
        </w:rPr>
        <w:t xml:space="preserve">would stay long-term for </w:t>
      </w:r>
      <w:r w:rsidR="00E435BC">
        <w:rPr>
          <w:shd w:val="clear" w:color="auto" w:fill="FAF9F8"/>
        </w:rPr>
        <w:t xml:space="preserve">a </w:t>
      </w:r>
      <w:r w:rsidR="00D95A3E">
        <w:rPr>
          <w:shd w:val="clear" w:color="auto" w:fill="FAF9F8"/>
        </w:rPr>
        <w:t>subsequent</w:t>
      </w:r>
      <w:r w:rsidR="009F0C6A">
        <w:rPr>
          <w:shd w:val="clear" w:color="auto" w:fill="FAF9F8"/>
        </w:rPr>
        <w:t xml:space="preserve"> VAMO process</w:t>
      </w:r>
      <w:r w:rsidR="003875B2">
        <w:rPr>
          <w:shd w:val="clear" w:color="auto" w:fill="FAF9F8"/>
        </w:rPr>
        <w:t xml:space="preserve">. SCE states that </w:t>
      </w:r>
      <w:r w:rsidR="0028346E">
        <w:rPr>
          <w:shd w:val="clear" w:color="auto" w:fill="FAF9F8"/>
        </w:rPr>
        <w:t>by not offering long-term contracts</w:t>
      </w:r>
      <w:r w:rsidR="0001529D">
        <w:rPr>
          <w:shd w:val="clear" w:color="auto" w:fill="FAF9F8"/>
        </w:rPr>
        <w:t>,</w:t>
      </w:r>
      <w:r w:rsidR="0028346E">
        <w:rPr>
          <w:shd w:val="clear" w:color="auto" w:fill="FAF9F8"/>
        </w:rPr>
        <w:t xml:space="preserve"> LSEs will have </w:t>
      </w:r>
      <w:r w:rsidR="00CF5C26">
        <w:rPr>
          <w:shd w:val="clear" w:color="auto" w:fill="FAF9F8"/>
        </w:rPr>
        <w:t xml:space="preserve">the </w:t>
      </w:r>
      <w:r w:rsidR="0028346E">
        <w:rPr>
          <w:shd w:val="clear" w:color="auto" w:fill="FAF9F8"/>
        </w:rPr>
        <w:t xml:space="preserve">flexibility to elect their long-term volumes in a subsequent VAMO process if it occurs. SCE further states </w:t>
      </w:r>
      <w:r w:rsidR="0019682A">
        <w:rPr>
          <w:shd w:val="clear" w:color="auto" w:fill="FAF9F8"/>
        </w:rPr>
        <w:t xml:space="preserve">that there is uncertainty about portfolio needs beyond 2024, uncertainty about </w:t>
      </w:r>
      <w:r w:rsidR="006A26EF">
        <w:rPr>
          <w:shd w:val="clear" w:color="auto" w:fill="FAF9F8"/>
        </w:rPr>
        <w:t xml:space="preserve">how the </w:t>
      </w:r>
      <w:r w:rsidR="00E92229">
        <w:rPr>
          <w:shd w:val="clear" w:color="auto" w:fill="FAF9F8"/>
        </w:rPr>
        <w:t xml:space="preserve">voluntary allocations </w:t>
      </w:r>
      <w:r w:rsidR="00AD23A6">
        <w:rPr>
          <w:shd w:val="clear" w:color="auto" w:fill="FAF9F8"/>
        </w:rPr>
        <w:t>materialize</w:t>
      </w:r>
      <w:r w:rsidR="00CF5C26">
        <w:rPr>
          <w:shd w:val="clear" w:color="auto" w:fill="FAF9F8"/>
        </w:rPr>
        <w:t>,</w:t>
      </w:r>
      <w:r w:rsidR="00AD23A6">
        <w:rPr>
          <w:shd w:val="clear" w:color="auto" w:fill="FAF9F8"/>
        </w:rPr>
        <w:t xml:space="preserve"> and uncertainty about </w:t>
      </w:r>
      <w:r w:rsidR="002E538A">
        <w:rPr>
          <w:shd w:val="clear" w:color="auto" w:fill="FAF9F8"/>
        </w:rPr>
        <w:t xml:space="preserve">PCC classification for allocated products in the first VAMO process. </w:t>
      </w:r>
    </w:p>
    <w:p w:rsidR="009461DD" w:rsidP="00765317" w:rsidRDefault="00441749" w14:paraId="070F09D3" w14:textId="593FEE91">
      <w:pPr>
        <w:pStyle w:val="Standard"/>
      </w:pPr>
      <w:r>
        <w:t xml:space="preserve">AReM and Shell </w:t>
      </w:r>
      <w:r w:rsidR="00C655F9">
        <w:t>were the only parties to file comments on th</w:t>
      </w:r>
      <w:r w:rsidR="00C931D1">
        <w:t>is issue</w:t>
      </w:r>
      <w:r w:rsidR="00837E5C">
        <w:t xml:space="preserve">. AReM and Shell state that </w:t>
      </w:r>
      <w:r w:rsidR="00C0323E">
        <w:t>REC sales should not be limited to short-term sales only</w:t>
      </w:r>
      <w:r w:rsidR="0035304B">
        <w:t xml:space="preserve"> and </w:t>
      </w:r>
      <w:r w:rsidR="009907BD">
        <w:t>that d</w:t>
      </w:r>
      <w:r w:rsidRPr="009907BD" w:rsidR="009907BD">
        <w:t xml:space="preserve">elaying any long-term sales in this first Market Offer opportunity will significantly reduce the quantity of long-term RECs that could be procured for the RPS compliance period </w:t>
      </w:r>
      <w:r w:rsidR="00A563FF">
        <w:t>ending</w:t>
      </w:r>
      <w:r w:rsidRPr="009907BD" w:rsidR="009907BD">
        <w:t xml:space="preserve"> in 2024.</w:t>
      </w:r>
      <w:r w:rsidR="009907BD">
        <w:t xml:space="preserve"> </w:t>
      </w:r>
      <w:r w:rsidR="00C655F9">
        <w:t>AReM and Shell argue that there is uncertainty in the VAMO process as REC prices will change annually, and the quantity of RECs will vary over time due to load changes.</w:t>
      </w:r>
      <w:r w:rsidR="00F574E9">
        <w:t xml:space="preserve"> AReM and Shell further state that </w:t>
      </w:r>
      <w:r w:rsidR="0051033E">
        <w:t xml:space="preserve">there is </w:t>
      </w:r>
      <w:r w:rsidR="0051033E">
        <w:rPr>
          <w:shd w:val="clear" w:color="auto" w:fill="FAF9F8"/>
        </w:rPr>
        <w:t xml:space="preserve">some merit to the explanations offered by the IOUs and recommend that </w:t>
      </w:r>
      <w:r w:rsidR="005A3008">
        <w:rPr>
          <w:shd w:val="clear" w:color="auto" w:fill="FAF9F8"/>
        </w:rPr>
        <w:t>IOUs provide no less than 50</w:t>
      </w:r>
      <w:r w:rsidR="00EF636F">
        <w:rPr>
          <w:shd w:val="clear" w:color="auto" w:fill="FAF9F8"/>
        </w:rPr>
        <w:t xml:space="preserve"> percent</w:t>
      </w:r>
      <w:r w:rsidR="005A3008">
        <w:rPr>
          <w:shd w:val="clear" w:color="auto" w:fill="FAF9F8"/>
        </w:rPr>
        <w:t xml:space="preserve"> of the unallocated RECs for long-term contracting.</w:t>
      </w:r>
      <w:r w:rsidR="006D7C92">
        <w:rPr>
          <w:rStyle w:val="FootnoteReference"/>
          <w:shd w:val="clear" w:color="auto" w:fill="FAF9F8"/>
        </w:rPr>
        <w:footnoteReference w:id="52"/>
      </w:r>
      <w:r w:rsidR="005A3008">
        <w:rPr>
          <w:shd w:val="clear" w:color="auto" w:fill="FAF9F8"/>
        </w:rPr>
        <w:t xml:space="preserve"> </w:t>
      </w:r>
    </w:p>
    <w:p w:rsidR="006954E1" w:rsidP="005C5BE3" w:rsidRDefault="00A96040" w14:paraId="26BC7A5A" w14:textId="2393E678">
      <w:pPr>
        <w:pStyle w:val="Standard"/>
        <w:rPr>
          <w:shd w:val="clear" w:color="auto" w:fill="FAF9F8"/>
        </w:rPr>
      </w:pPr>
      <w:r>
        <w:rPr>
          <w:rFonts w:cs="Times New Roman"/>
          <w:szCs w:val="26"/>
        </w:rPr>
        <w:t>In its reply</w:t>
      </w:r>
      <w:r w:rsidR="00656512">
        <w:rPr>
          <w:rFonts w:cs="Times New Roman"/>
          <w:szCs w:val="26"/>
        </w:rPr>
        <w:t>,</w:t>
      </w:r>
      <w:r>
        <w:rPr>
          <w:rFonts w:cs="Times New Roman"/>
          <w:szCs w:val="26"/>
        </w:rPr>
        <w:t xml:space="preserve"> PG&amp;E</w:t>
      </w:r>
      <w:r w:rsidR="002B6819">
        <w:rPr>
          <w:rFonts w:cs="Times New Roman"/>
          <w:szCs w:val="26"/>
        </w:rPr>
        <w:t xml:space="preserve"> states that </w:t>
      </w:r>
      <w:r w:rsidR="002B6819">
        <w:t xml:space="preserve">given </w:t>
      </w:r>
      <w:r>
        <w:t xml:space="preserve">the </w:t>
      </w:r>
      <w:r w:rsidR="002B6819">
        <w:t xml:space="preserve">uncertainty </w:t>
      </w:r>
      <w:r w:rsidR="00A25235">
        <w:t>indicated</w:t>
      </w:r>
      <w:r>
        <w:t xml:space="preserve"> by AReM and Shell</w:t>
      </w:r>
      <w:r w:rsidR="003E1F55">
        <w:t>,</w:t>
      </w:r>
      <w:r>
        <w:t xml:space="preserve"> </w:t>
      </w:r>
      <w:r w:rsidR="002B6819">
        <w:t xml:space="preserve">it is favorable for LSEs if long-term RECs are not offered in the first Market Offer. </w:t>
      </w:r>
      <w:r w:rsidR="001C379A">
        <w:t>PG</w:t>
      </w:r>
      <w:r w:rsidR="009B4814">
        <w:t xml:space="preserve">&amp;E argues that LSEs would be able to retain a future opportunity to receive long-term allocations in a subsequent VAMO process should they not receive those RECs in this first VAMO process. </w:t>
      </w:r>
      <w:r w:rsidR="00DF6EB7">
        <w:t>PG&amp;E states that Market Offer is not the only market opportunity or option for LSEs to procure long-term RECs for RPS compliance purposes.</w:t>
      </w:r>
      <w:r>
        <w:t xml:space="preserve"> </w:t>
      </w:r>
      <w:r w:rsidR="00885CE1">
        <w:rPr>
          <w:rFonts w:cs="Times New Roman"/>
          <w:szCs w:val="26"/>
        </w:rPr>
        <w:t>SCE</w:t>
      </w:r>
      <w:r w:rsidR="004C4597">
        <w:rPr>
          <w:rFonts w:cs="Times New Roman"/>
          <w:szCs w:val="26"/>
        </w:rPr>
        <w:t>’s reply to AReM and Shell states</w:t>
      </w:r>
      <w:r w:rsidR="0005032F">
        <w:rPr>
          <w:rFonts w:cs="Times New Roman"/>
          <w:szCs w:val="26"/>
        </w:rPr>
        <w:t xml:space="preserve"> that </w:t>
      </w:r>
      <w:r w:rsidR="00EE6551">
        <w:rPr>
          <w:rFonts w:cs="Times New Roman"/>
          <w:szCs w:val="26"/>
        </w:rPr>
        <w:t xml:space="preserve">by </w:t>
      </w:r>
      <w:r w:rsidR="00EE6551">
        <w:rPr>
          <w:shd w:val="clear" w:color="auto" w:fill="FAF9F8"/>
        </w:rPr>
        <w:t>selling RPS long-term</w:t>
      </w:r>
      <w:r w:rsidR="00971491">
        <w:rPr>
          <w:shd w:val="clear" w:color="auto" w:fill="FAF9F8"/>
        </w:rPr>
        <w:t xml:space="preserve"> contracts</w:t>
      </w:r>
      <w:r w:rsidR="00EE6551">
        <w:rPr>
          <w:shd w:val="clear" w:color="auto" w:fill="FAF9F8"/>
        </w:rPr>
        <w:t>, the IOUs would force LSEs</w:t>
      </w:r>
      <w:r w:rsidR="00357A6B">
        <w:rPr>
          <w:shd w:val="clear" w:color="auto" w:fill="FAF9F8"/>
        </w:rPr>
        <w:t xml:space="preserve"> eligible for Voluntary Allocation</w:t>
      </w:r>
      <w:r w:rsidR="004C4597">
        <w:rPr>
          <w:shd w:val="clear" w:color="auto" w:fill="FAF9F8"/>
        </w:rPr>
        <w:t>s</w:t>
      </w:r>
      <w:r w:rsidR="00481D23">
        <w:rPr>
          <w:shd w:val="clear" w:color="auto" w:fill="FAF9F8"/>
        </w:rPr>
        <w:t xml:space="preserve"> </w:t>
      </w:r>
      <w:r w:rsidR="00357A6B">
        <w:rPr>
          <w:shd w:val="clear" w:color="auto" w:fill="FAF9F8"/>
        </w:rPr>
        <w:t xml:space="preserve">to make decisions they may not be ready to make </w:t>
      </w:r>
      <w:r w:rsidR="00257A5D">
        <w:rPr>
          <w:shd w:val="clear" w:color="auto" w:fill="FAF9F8"/>
        </w:rPr>
        <w:t xml:space="preserve">in </w:t>
      </w:r>
      <w:r w:rsidR="00357A6B">
        <w:rPr>
          <w:shd w:val="clear" w:color="auto" w:fill="FAF9F8"/>
        </w:rPr>
        <w:t>the first time Voluntary Allocation.</w:t>
      </w:r>
      <w:r w:rsidR="00170439">
        <w:rPr>
          <w:rStyle w:val="FootnoteReference"/>
          <w:shd w:val="clear" w:color="auto" w:fill="FAF9F8"/>
        </w:rPr>
        <w:footnoteReference w:id="53"/>
      </w:r>
      <w:r w:rsidR="00971491">
        <w:rPr>
          <w:shd w:val="clear" w:color="auto" w:fill="FAF9F8"/>
        </w:rPr>
        <w:t xml:space="preserve"> </w:t>
      </w:r>
      <w:r w:rsidR="00441749">
        <w:rPr>
          <w:shd w:val="clear" w:color="auto" w:fill="FAF9F8"/>
        </w:rPr>
        <w:t xml:space="preserve">SCE argues </w:t>
      </w:r>
      <w:r w:rsidR="001B3EE8">
        <w:rPr>
          <w:shd w:val="clear" w:color="auto" w:fill="FAF9F8"/>
        </w:rPr>
        <w:t xml:space="preserve">that PCIA customers who </w:t>
      </w:r>
      <w:r w:rsidR="00772B09">
        <w:rPr>
          <w:shd w:val="clear" w:color="auto" w:fill="FAF9F8"/>
        </w:rPr>
        <w:t>must</w:t>
      </w:r>
      <w:r w:rsidR="001B3EE8">
        <w:rPr>
          <w:shd w:val="clear" w:color="auto" w:fill="FAF9F8"/>
        </w:rPr>
        <w:t xml:space="preserve"> share in the above market cost of th</w:t>
      </w:r>
      <w:r w:rsidR="00441749">
        <w:rPr>
          <w:shd w:val="clear" w:color="auto" w:fill="FAF9F8"/>
        </w:rPr>
        <w:t xml:space="preserve">e </w:t>
      </w:r>
      <w:r w:rsidR="001B3EE8">
        <w:rPr>
          <w:shd w:val="clear" w:color="auto" w:fill="FAF9F8"/>
        </w:rPr>
        <w:t>contracts should retain a future opportunity to receive long-term Voluntary</w:t>
      </w:r>
      <w:r w:rsidR="00322A54">
        <w:rPr>
          <w:shd w:val="clear" w:color="auto" w:fill="FAF9F8"/>
        </w:rPr>
        <w:t xml:space="preserve"> Allocations</w:t>
      </w:r>
      <w:r w:rsidR="001B3EE8">
        <w:rPr>
          <w:shd w:val="clear" w:color="auto" w:fill="FAF9F8"/>
        </w:rPr>
        <w:t>.</w:t>
      </w:r>
      <w:r w:rsidR="00441749">
        <w:rPr>
          <w:shd w:val="clear" w:color="auto" w:fill="FAF9F8"/>
        </w:rPr>
        <w:t xml:space="preserve"> </w:t>
      </w:r>
      <w:r w:rsidR="00E35FE1">
        <w:rPr>
          <w:shd w:val="clear" w:color="auto" w:fill="FAF9F8"/>
        </w:rPr>
        <w:t>SDG&amp;E also opposes AReM and Shell’s comments and states t</w:t>
      </w:r>
      <w:r w:rsidR="00FF2A17">
        <w:rPr>
          <w:shd w:val="clear" w:color="auto" w:fill="FAF9F8"/>
        </w:rPr>
        <w:t>hat a 50 percent offer assumes that at least 50</w:t>
      </w:r>
      <w:r w:rsidR="00734C75">
        <w:rPr>
          <w:shd w:val="clear" w:color="auto" w:fill="FAF9F8"/>
        </w:rPr>
        <w:t> </w:t>
      </w:r>
      <w:r w:rsidR="00FF2A17">
        <w:rPr>
          <w:shd w:val="clear" w:color="auto" w:fill="FAF9F8"/>
        </w:rPr>
        <w:t xml:space="preserve">percent of the long-term RECs available to LSEs will not be accepted in the Voluntary Allocation process. SDG&amp;E further states that </w:t>
      </w:r>
      <w:r w:rsidR="00481D23">
        <w:rPr>
          <w:shd w:val="clear" w:color="auto" w:fill="FAF9F8"/>
        </w:rPr>
        <w:t xml:space="preserve">the </w:t>
      </w:r>
      <w:r w:rsidR="00FE6364">
        <w:rPr>
          <w:shd w:val="clear" w:color="auto" w:fill="FAF9F8"/>
        </w:rPr>
        <w:t xml:space="preserve">requirement of </w:t>
      </w:r>
      <w:r w:rsidR="00481D23">
        <w:rPr>
          <w:shd w:val="clear" w:color="auto" w:fill="FAF9F8"/>
        </w:rPr>
        <w:t>a</w:t>
      </w:r>
      <w:r w:rsidR="00772B09">
        <w:rPr>
          <w:shd w:val="clear" w:color="auto" w:fill="FAF9F8"/>
        </w:rPr>
        <w:t xml:space="preserve"> </w:t>
      </w:r>
      <w:r w:rsidR="00FE6364">
        <w:rPr>
          <w:shd w:val="clear" w:color="auto" w:fill="FAF9F8"/>
        </w:rPr>
        <w:t xml:space="preserve">minimum percentage of long-term </w:t>
      </w:r>
      <w:r w:rsidR="00D970FD">
        <w:rPr>
          <w:shd w:val="clear" w:color="auto" w:fill="FAF9F8"/>
        </w:rPr>
        <w:t>contracts</w:t>
      </w:r>
      <w:r w:rsidR="00FE6364">
        <w:rPr>
          <w:shd w:val="clear" w:color="auto" w:fill="FAF9F8"/>
        </w:rPr>
        <w:t xml:space="preserve"> in the Market Offer process contradicts D.21</w:t>
      </w:r>
      <w:r w:rsidR="00734C75">
        <w:rPr>
          <w:shd w:val="clear" w:color="auto" w:fill="FAF9F8"/>
        </w:rPr>
        <w:noBreakHyphen/>
      </w:r>
      <w:r w:rsidR="00FE6364">
        <w:rPr>
          <w:shd w:val="clear" w:color="auto" w:fill="FAF9F8"/>
        </w:rPr>
        <w:t>05</w:t>
      </w:r>
      <w:r w:rsidR="00734C75">
        <w:rPr>
          <w:shd w:val="clear" w:color="auto" w:fill="FAF9F8"/>
        </w:rPr>
        <w:noBreakHyphen/>
      </w:r>
      <w:r w:rsidR="00FE6364">
        <w:rPr>
          <w:shd w:val="clear" w:color="auto" w:fill="FAF9F8"/>
        </w:rPr>
        <w:t xml:space="preserve">030. </w:t>
      </w:r>
    </w:p>
    <w:p w:rsidR="00D05AE6" w:rsidP="00765317" w:rsidRDefault="00801638" w14:paraId="5AC893E0" w14:textId="24C587BF">
      <w:pPr>
        <w:pStyle w:val="Standard"/>
      </w:pPr>
      <w:r>
        <w:t xml:space="preserve">We find that the </w:t>
      </w:r>
      <w:r w:rsidR="00C931D1">
        <w:t>IOUs’ proposal to not offer</w:t>
      </w:r>
      <w:r w:rsidR="00A70566">
        <w:t xml:space="preserve"> </w:t>
      </w:r>
      <w:r w:rsidR="0020286C">
        <w:t xml:space="preserve">any </w:t>
      </w:r>
      <w:r w:rsidR="00A70566">
        <w:t xml:space="preserve">long-term </w:t>
      </w:r>
      <w:r w:rsidR="00457A18">
        <w:t xml:space="preserve">product </w:t>
      </w:r>
      <w:r w:rsidR="0020286C">
        <w:t>in the Market Offer process</w:t>
      </w:r>
      <w:r w:rsidRPr="0073189D" w:rsidR="00A70566">
        <w:t xml:space="preserve"> </w:t>
      </w:r>
      <w:r w:rsidR="00C931D1">
        <w:t>deviates</w:t>
      </w:r>
      <w:r w:rsidR="00A70566">
        <w:t xml:space="preserve"> from the intent of D.21</w:t>
      </w:r>
      <w:r w:rsidR="00734C75">
        <w:noBreakHyphen/>
      </w:r>
      <w:r w:rsidR="00A70566">
        <w:t>05</w:t>
      </w:r>
      <w:r w:rsidR="00734C75">
        <w:noBreakHyphen/>
      </w:r>
      <w:r w:rsidR="00A70566">
        <w:t>030</w:t>
      </w:r>
      <w:r w:rsidR="0020286C">
        <w:t>. In that decision</w:t>
      </w:r>
      <w:r w:rsidR="008F6E18">
        <w:t>, the IOUs</w:t>
      </w:r>
      <w:r w:rsidR="00A70566">
        <w:t xml:space="preserve"> </w:t>
      </w:r>
      <w:r w:rsidR="003B2CE7">
        <w:t xml:space="preserve">were </w:t>
      </w:r>
      <w:r w:rsidR="0020286C">
        <w:t>directed</w:t>
      </w:r>
      <w:r w:rsidR="00BF45D7">
        <w:t xml:space="preserve"> to </w:t>
      </w:r>
      <w:r w:rsidR="00A70566">
        <w:t xml:space="preserve">propose </w:t>
      </w:r>
      <w:r w:rsidR="00A25235">
        <w:rPr>
          <w:shd w:val="clear" w:color="auto" w:fill="FAF9F8"/>
        </w:rPr>
        <w:t>structuring</w:t>
      </w:r>
      <w:r w:rsidR="00A70566">
        <w:rPr>
          <w:shd w:val="clear" w:color="auto" w:fill="FAF9F8"/>
        </w:rPr>
        <w:t xml:space="preserve"> long-term sales products and </w:t>
      </w:r>
      <w:r w:rsidR="00B6653A">
        <w:rPr>
          <w:shd w:val="clear" w:color="auto" w:fill="FAF9F8"/>
        </w:rPr>
        <w:t xml:space="preserve">describe </w:t>
      </w:r>
      <w:r w:rsidR="00A70566">
        <w:rPr>
          <w:shd w:val="clear" w:color="auto" w:fill="FAF9F8"/>
        </w:rPr>
        <w:t>which portion of unallocated shares to offer as long-term sales.</w:t>
      </w:r>
      <w:r w:rsidR="00E5231F">
        <w:rPr>
          <w:shd w:val="clear" w:color="auto" w:fill="FAF9F8"/>
        </w:rPr>
        <w:t xml:space="preserve"> </w:t>
      </w:r>
      <w:r w:rsidR="0020286C">
        <w:rPr>
          <w:shd w:val="clear" w:color="auto" w:fill="FAF9F8"/>
        </w:rPr>
        <w:t>Not</w:t>
      </w:r>
      <w:r w:rsidR="00972FCE">
        <w:rPr>
          <w:shd w:val="clear" w:color="auto" w:fill="FAF9F8"/>
        </w:rPr>
        <w:t xml:space="preserve"> offering any long-term </w:t>
      </w:r>
      <w:r w:rsidR="00457A18">
        <w:rPr>
          <w:shd w:val="clear" w:color="auto" w:fill="FAF9F8"/>
        </w:rPr>
        <w:t>product</w:t>
      </w:r>
      <w:r w:rsidR="00972FCE">
        <w:rPr>
          <w:shd w:val="clear" w:color="auto" w:fill="FAF9F8"/>
        </w:rPr>
        <w:t xml:space="preserve"> in the Market Offer process </w:t>
      </w:r>
      <w:r w:rsidR="0020286C">
        <w:rPr>
          <w:shd w:val="clear" w:color="auto" w:fill="FAF9F8"/>
        </w:rPr>
        <w:t>fails to fully achieve</w:t>
      </w:r>
      <w:r w:rsidR="009C5B6C">
        <w:rPr>
          <w:shd w:val="clear" w:color="auto" w:fill="FAF9F8"/>
        </w:rPr>
        <w:t xml:space="preserve"> the</w:t>
      </w:r>
      <w:r w:rsidRPr="00CE50E7" w:rsidR="00A70566">
        <w:t xml:space="preserve"> goal of the first VAMO cycle</w:t>
      </w:r>
      <w:r w:rsidR="009C5B6C">
        <w:t xml:space="preserve">, </w:t>
      </w:r>
      <w:r w:rsidRPr="003E1F55" w:rsidR="003E1F55">
        <w:t>optimizing value for ratepayers and discovering</w:t>
      </w:r>
      <w:r w:rsidRPr="00CE50E7" w:rsidR="00A70566">
        <w:t xml:space="preserve"> best practices and </w:t>
      </w:r>
      <w:r w:rsidR="00A70566">
        <w:t>lessons learned</w:t>
      </w:r>
      <w:r w:rsidRPr="00CE50E7" w:rsidR="00A70566">
        <w:t>.</w:t>
      </w:r>
      <w:r w:rsidRPr="003A3B78" w:rsidR="00A70566">
        <w:rPr>
          <w:vertAlign w:val="superscript"/>
        </w:rPr>
        <w:footnoteReference w:id="54"/>
      </w:r>
      <w:r w:rsidR="00A70566">
        <w:t xml:space="preserve"> </w:t>
      </w:r>
      <w:r w:rsidR="00B75E5A">
        <w:t>On the contrary</w:t>
      </w:r>
      <w:r w:rsidR="005176C6">
        <w:t>,</w:t>
      </w:r>
      <w:r w:rsidR="00E5231F">
        <w:t xml:space="preserve"> by</w:t>
      </w:r>
      <w:r w:rsidR="00F86F9A">
        <w:t xml:space="preserve"> </w:t>
      </w:r>
      <w:r w:rsidRPr="00CE50E7" w:rsidR="00441749">
        <w:t>support</w:t>
      </w:r>
      <w:r w:rsidR="00F86F9A">
        <w:t>ing</w:t>
      </w:r>
      <w:r w:rsidRPr="00CE50E7" w:rsidR="00441749">
        <w:t xml:space="preserve"> demand for the long-term product</w:t>
      </w:r>
      <w:r w:rsidR="005176C6">
        <w:t>,</w:t>
      </w:r>
      <w:r w:rsidRPr="00CE50E7" w:rsidR="00441749">
        <w:t xml:space="preserve"> </w:t>
      </w:r>
      <w:r w:rsidR="00B75E5A">
        <w:t>the IOUs</w:t>
      </w:r>
      <w:r w:rsidR="00F86F9A">
        <w:t xml:space="preserve"> may</w:t>
      </w:r>
      <w:r w:rsidRPr="00CE50E7" w:rsidR="00441749">
        <w:t xml:space="preserve"> realize bid prices </w:t>
      </w:r>
      <w:r w:rsidR="009C5B6C">
        <w:t xml:space="preserve">for excess RPS resources </w:t>
      </w:r>
      <w:r w:rsidR="001F6C5C">
        <w:t>that</w:t>
      </w:r>
      <w:r w:rsidR="00B75E5A">
        <w:t xml:space="preserve"> could</w:t>
      </w:r>
      <w:r w:rsidR="001F6C5C">
        <w:t xml:space="preserve"> help </w:t>
      </w:r>
      <w:r w:rsidRPr="00CE50E7" w:rsidR="00441749">
        <w:t xml:space="preserve">lower the PCIA </w:t>
      </w:r>
      <w:r w:rsidR="001F6C5C">
        <w:t xml:space="preserve">cost to </w:t>
      </w:r>
      <w:r w:rsidRPr="00CE50E7" w:rsidR="00441749">
        <w:t>ratepayers</w:t>
      </w:r>
      <w:r w:rsidR="0006603C">
        <w:t xml:space="preserve"> in this </w:t>
      </w:r>
      <w:r w:rsidR="00CD3C66">
        <w:t xml:space="preserve">cycle </w:t>
      </w:r>
      <w:r w:rsidR="0006603C">
        <w:t>of VAMO</w:t>
      </w:r>
      <w:r w:rsidRPr="00CE50E7" w:rsidR="00441749">
        <w:t>.</w:t>
      </w:r>
      <w:r w:rsidR="00A87889">
        <w:t xml:space="preserve"> </w:t>
      </w:r>
      <w:r w:rsidR="009079FA">
        <w:t xml:space="preserve">When there is uncertainty about the next VAMO, </w:t>
      </w:r>
      <w:r w:rsidRPr="00CE50E7" w:rsidR="00803D0E">
        <w:t>holding back</w:t>
      </w:r>
      <w:r w:rsidR="00C8447F">
        <w:t xml:space="preserve"> </w:t>
      </w:r>
      <w:r w:rsidRPr="00CE50E7" w:rsidR="00803D0E">
        <w:t xml:space="preserve">long-term volumes until a </w:t>
      </w:r>
      <w:r w:rsidR="005A6A1E">
        <w:t xml:space="preserve">possible </w:t>
      </w:r>
      <w:r w:rsidRPr="00CE50E7" w:rsidR="00803D0E">
        <w:t>future VAMO cycle will not help LSEs satisfy obligations in Compliance Period 2021 to 2024</w:t>
      </w:r>
      <w:r w:rsidR="005176C6">
        <w:t>. It</w:t>
      </w:r>
      <w:r w:rsidR="00F038E5">
        <w:t xml:space="preserve"> will </w:t>
      </w:r>
      <w:r w:rsidR="00605262">
        <w:t xml:space="preserve">unnecessarily </w:t>
      </w:r>
      <w:r w:rsidR="009146A7">
        <w:t>delay cost reductions</w:t>
      </w:r>
      <w:r w:rsidR="00EA1180">
        <w:t xml:space="preserve"> for PCIA customers</w:t>
      </w:r>
      <w:r w:rsidRPr="00CE50E7" w:rsidR="00803D0E">
        <w:t>.</w:t>
      </w:r>
      <w:r w:rsidR="001456E1">
        <w:t xml:space="preserve"> </w:t>
      </w:r>
    </w:p>
    <w:p w:rsidR="00AC4CF3" w:rsidP="00810144" w:rsidRDefault="00A228D0" w14:paraId="55B2129B" w14:textId="48F5613C">
      <w:pPr>
        <w:pStyle w:val="Standard"/>
      </w:pPr>
      <w:r>
        <w:t xml:space="preserve">In its comments on the proposed decision, </w:t>
      </w:r>
      <w:r w:rsidR="00810144">
        <w:t xml:space="preserve">SCE proposes an alternative proposal </w:t>
      </w:r>
      <w:r w:rsidR="006107D7">
        <w:t>to</w:t>
      </w:r>
      <w:r w:rsidRPr="0025142E" w:rsidR="0071287D">
        <w:t xml:space="preserve"> </w:t>
      </w:r>
      <w:r w:rsidR="006107D7">
        <w:t>sell</w:t>
      </w:r>
      <w:r w:rsidRPr="0025142E" w:rsidR="0071287D">
        <w:t xml:space="preserve"> </w:t>
      </w:r>
      <w:r w:rsidRPr="000C0EE1" w:rsidR="000C0EE1">
        <w:t xml:space="preserve">long-term RECs </w:t>
      </w:r>
      <w:r w:rsidR="00422280">
        <w:t>that</w:t>
      </w:r>
      <w:r w:rsidRPr="0025142E" w:rsidR="0071287D">
        <w:t xml:space="preserve"> would </w:t>
      </w:r>
      <w:r w:rsidR="00F23892">
        <w:t xml:space="preserve">lose their </w:t>
      </w:r>
      <w:r w:rsidRPr="0025142E" w:rsidR="0071287D">
        <w:t>long-term</w:t>
      </w:r>
      <w:r w:rsidR="00F23892">
        <w:t xml:space="preserve"> status</w:t>
      </w:r>
      <w:r w:rsidR="00D1749A">
        <w:t xml:space="preserve"> </w:t>
      </w:r>
      <w:r w:rsidRPr="000C0EE1" w:rsidR="00D1749A">
        <w:t>as of the first delivery date</w:t>
      </w:r>
      <w:r w:rsidR="00F23892">
        <w:t xml:space="preserve">, </w:t>
      </w:r>
      <w:r w:rsidRPr="00734C75" w:rsidR="00F23892">
        <w:rPr>
          <w:i/>
          <w:iCs/>
        </w:rPr>
        <w:t>i.e.</w:t>
      </w:r>
      <w:r w:rsidR="00F23892">
        <w:t xml:space="preserve"> have a duration of less than ten years</w:t>
      </w:r>
      <w:r w:rsidRPr="00725A58" w:rsidR="0071287D">
        <w:t xml:space="preserve"> </w:t>
      </w:r>
      <w:r w:rsidRPr="0025142E" w:rsidR="0071287D">
        <w:t xml:space="preserve">when offered in the next VAMO process, prior to </w:t>
      </w:r>
      <w:r w:rsidR="00C94643">
        <w:t>Compliance Period</w:t>
      </w:r>
      <w:r w:rsidRPr="0025142E" w:rsidR="0071287D">
        <w:t xml:space="preserve"> 5</w:t>
      </w:r>
      <w:r w:rsidR="00810144">
        <w:t>.</w:t>
      </w:r>
      <w:r w:rsidR="006107D7">
        <w:t xml:space="preserve"> </w:t>
      </w:r>
      <w:r w:rsidR="00810144">
        <w:t>SCE suggests that based on the alternative approach it</w:t>
      </w:r>
      <w:r w:rsidR="000C0EE1">
        <w:t xml:space="preserve"> could</w:t>
      </w:r>
      <w:r w:rsidR="00255895">
        <w:t xml:space="preserve"> </w:t>
      </w:r>
      <w:r w:rsidR="0070773C">
        <w:t>offer 12</w:t>
      </w:r>
      <w:r w:rsidR="00734C75">
        <w:t> </w:t>
      </w:r>
      <w:r w:rsidR="0070773C">
        <w:t xml:space="preserve">percent of </w:t>
      </w:r>
      <w:r w:rsidRPr="0025142E" w:rsidR="0070773C">
        <w:t>its remaining PCIA-eligible long-term RECs</w:t>
      </w:r>
      <w:r w:rsidR="0070773C">
        <w:t xml:space="preserve"> </w:t>
      </w:r>
      <w:r w:rsidRPr="0025142E" w:rsidR="0070773C">
        <w:t>through the Market Offer process, with terms through 2034, depending on when deliveries start.</w:t>
      </w:r>
      <w:r w:rsidR="002E2C9C">
        <w:t xml:space="preserve"> </w:t>
      </w:r>
    </w:p>
    <w:p w:rsidR="00181CF5" w:rsidP="00181CF5" w:rsidRDefault="007D2A71" w14:paraId="2F6116B4" w14:textId="38848ABE">
      <w:pPr>
        <w:pStyle w:val="Standard"/>
      </w:pPr>
      <w:r>
        <w:t>In its reply comments</w:t>
      </w:r>
      <w:r w:rsidR="00006DE9">
        <w:t xml:space="preserve"> on the proposed decision,</w:t>
      </w:r>
      <w:r>
        <w:t xml:space="preserve"> PG&amp;E states that </w:t>
      </w:r>
      <w:r w:rsidRPr="0025142E">
        <w:t>SCE’s alternative is subject to fundamental timing</w:t>
      </w:r>
      <w:r>
        <w:t xml:space="preserve"> </w:t>
      </w:r>
      <w:r w:rsidRPr="0025142E">
        <w:t xml:space="preserve">challenges, delaying the launch of the Market Offer. </w:t>
      </w:r>
    </w:p>
    <w:p w:rsidR="00A228D0" w:rsidP="0025142E" w:rsidRDefault="00255895" w14:paraId="53699D6E" w14:textId="776906F2">
      <w:pPr>
        <w:pStyle w:val="Standard"/>
      </w:pPr>
      <w:r>
        <w:t xml:space="preserve">We agree with SCE that long-term contracts should be limited to </w:t>
      </w:r>
      <w:r w:rsidR="00C94643">
        <w:t xml:space="preserve">the </w:t>
      </w:r>
      <w:r>
        <w:t xml:space="preserve">sale of RECs deemed long-term at the time of delivery. </w:t>
      </w:r>
      <w:r w:rsidR="00A228D0">
        <w:t>Therefore, t</w:t>
      </w:r>
      <w:r w:rsidRPr="000C0EE1" w:rsidR="00A228D0">
        <w:t xml:space="preserve">he RPS resources that have less than 10 years remaining on their contract terms as of </w:t>
      </w:r>
      <w:r w:rsidR="00A228D0">
        <w:t xml:space="preserve">their first delivery date </w:t>
      </w:r>
      <w:r w:rsidRPr="000C0EE1" w:rsidR="00A228D0">
        <w:t xml:space="preserve">will be placed in the short-term pool. The RPS resources that have 10 or more years remaining on their contract terms as of </w:t>
      </w:r>
      <w:r w:rsidR="00A228D0">
        <w:t>the first date of their delivery</w:t>
      </w:r>
      <w:r w:rsidRPr="000C0EE1" w:rsidR="00A228D0">
        <w:t xml:space="preserve"> will be placed in the long-term pool.</w:t>
      </w:r>
    </w:p>
    <w:p w:rsidRPr="00320945" w:rsidR="00255895" w:rsidP="0025142E" w:rsidRDefault="00255895" w14:paraId="0CC76C0E" w14:textId="08A01324">
      <w:pPr>
        <w:pStyle w:val="Standard"/>
      </w:pPr>
      <w:r>
        <w:t xml:space="preserve">While SCE estimates its long-term pool </w:t>
      </w:r>
      <w:r w:rsidR="0002648A">
        <w:t>is</w:t>
      </w:r>
      <w:r>
        <w:t xml:space="preserve"> </w:t>
      </w:r>
      <w:r w:rsidRPr="000C0EE1" w:rsidR="000C0EE1">
        <w:t xml:space="preserve">12 percent after eliminating contracts that will no longer be long-term during the next VAMO cycle, we </w:t>
      </w:r>
      <w:r w:rsidR="0025142E">
        <w:t xml:space="preserve">don’t want to limit IOUs on an assumption that we will </w:t>
      </w:r>
      <w:r w:rsidR="00A228D0">
        <w:t>hold</w:t>
      </w:r>
      <w:r w:rsidR="0025142E">
        <w:t xml:space="preserve"> a second VAMO. We must consider lowering costs now than lose </w:t>
      </w:r>
      <w:r w:rsidR="00A228D0">
        <w:t xml:space="preserve">the opportunity in anticipation of </w:t>
      </w:r>
      <w:r w:rsidR="0025142E">
        <w:t>a second VAMO cycle</w:t>
      </w:r>
      <w:r w:rsidR="00A228D0">
        <w:t xml:space="preserve">. </w:t>
      </w:r>
      <w:r w:rsidR="0025142E">
        <w:t xml:space="preserve">Additionally, </w:t>
      </w:r>
      <w:r w:rsidRPr="000C0EE1" w:rsidR="000C0EE1">
        <w:t xml:space="preserve">setting a </w:t>
      </w:r>
      <w:r w:rsidR="00A228D0">
        <w:t xml:space="preserve">single </w:t>
      </w:r>
      <w:r w:rsidR="0025142E">
        <w:t>minimum</w:t>
      </w:r>
      <w:r w:rsidRPr="000C0EE1" w:rsidR="000C0EE1">
        <w:t xml:space="preserve"> limit </w:t>
      </w:r>
      <w:r w:rsidR="00C94643">
        <w:t xml:space="preserve">to offer the sale of </w:t>
      </w:r>
      <w:r w:rsidR="00753962">
        <w:t xml:space="preserve">long-term </w:t>
      </w:r>
      <w:r w:rsidR="00C94643">
        <w:t xml:space="preserve">RPS resources </w:t>
      </w:r>
      <w:r w:rsidR="000C0EE1">
        <w:t>will be</w:t>
      </w:r>
      <w:r w:rsidR="00C94643">
        <w:t xml:space="preserve"> administratively easier</w:t>
      </w:r>
      <w:r w:rsidR="000C0EE1">
        <w:t xml:space="preserve"> to monitor and implement</w:t>
      </w:r>
      <w:r w:rsidR="0025142E">
        <w:t xml:space="preserve"> across all IOUs</w:t>
      </w:r>
      <w:r w:rsidR="000C0EE1">
        <w:t>.</w:t>
      </w:r>
    </w:p>
    <w:p w:rsidR="009B1BD3" w:rsidP="004447B0" w:rsidRDefault="00630200" w14:paraId="2FCBC59F" w14:textId="3024891A">
      <w:pPr>
        <w:pStyle w:val="Standard"/>
      </w:pPr>
      <w:r>
        <w:t>Based on our review of</w:t>
      </w:r>
      <w:r w:rsidR="008D2771">
        <w:t xml:space="preserve"> the Voluntary Allocation results</w:t>
      </w:r>
      <w:r w:rsidR="002E1A4F">
        <w:t xml:space="preserve"> and</w:t>
      </w:r>
      <w:r w:rsidR="008D2771">
        <w:t xml:space="preserve"> the </w:t>
      </w:r>
      <w:r w:rsidR="00F74C1E">
        <w:t xml:space="preserve">future RPS needs </w:t>
      </w:r>
      <w:r w:rsidR="00332265">
        <w:t xml:space="preserve">in the draft </w:t>
      </w:r>
      <w:r>
        <w:t xml:space="preserve">2022 </w:t>
      </w:r>
      <w:r w:rsidR="008D2771">
        <w:t>RPS Plans</w:t>
      </w:r>
      <w:r w:rsidR="00C11D64">
        <w:t>,</w:t>
      </w:r>
      <w:r w:rsidR="007A26D5">
        <w:rPr>
          <w:rStyle w:val="FootnoteReference"/>
          <w:rFonts w:cs="Times New Roman"/>
          <w:szCs w:val="26"/>
        </w:rPr>
        <w:footnoteReference w:id="55"/>
      </w:r>
      <w:r>
        <w:t xml:space="preserve"> </w:t>
      </w:r>
      <w:r w:rsidR="006741E2">
        <w:t xml:space="preserve">we find that </w:t>
      </w:r>
      <w:r w:rsidRPr="000C0EBF" w:rsidR="006741E2">
        <w:t>o</w:t>
      </w:r>
      <w:r w:rsidRPr="000C0EBF" w:rsidR="009F1ED1">
        <w:t xml:space="preserve">ffering </w:t>
      </w:r>
      <w:r w:rsidRPr="000C0EBF" w:rsidR="00662FBF">
        <w:t>3</w:t>
      </w:r>
      <w:r w:rsidRPr="000C0EBF" w:rsidR="009E25EE">
        <w:t>5</w:t>
      </w:r>
      <w:r w:rsidRPr="000C0EBF" w:rsidR="004A3C6A">
        <w:t xml:space="preserve"> </w:t>
      </w:r>
      <w:r w:rsidRPr="000C0EBF" w:rsidR="009F1ED1">
        <w:t xml:space="preserve">percent of the remaining </w:t>
      </w:r>
      <w:r w:rsidR="004C7C86">
        <w:t>PCIA-eligible</w:t>
      </w:r>
      <w:r w:rsidR="003C0AD8">
        <w:t xml:space="preserve"> </w:t>
      </w:r>
      <w:r w:rsidRPr="000C0EBF" w:rsidR="009F1ED1">
        <w:t xml:space="preserve">long-term contracts after the Voluntary Allocations </w:t>
      </w:r>
      <w:r w:rsidRPr="000C0EBF" w:rsidR="00332265">
        <w:t xml:space="preserve">is reasonable. </w:t>
      </w:r>
      <w:r w:rsidRPr="000C0EBF" w:rsidR="00317C16">
        <w:t xml:space="preserve">It </w:t>
      </w:r>
      <w:r w:rsidRPr="000C0EBF" w:rsidR="009F1ED1">
        <w:t>will</w:t>
      </w:r>
      <w:r w:rsidRPr="000C0EBF" w:rsidR="00317C16">
        <w:t xml:space="preserve"> a</w:t>
      </w:r>
      <w:r w:rsidRPr="000C0EBF" w:rsidR="009F1ED1">
        <w:t>llow</w:t>
      </w:r>
      <w:r w:rsidRPr="000C0EBF" w:rsidR="00803D0E">
        <w:t xml:space="preserve"> </w:t>
      </w:r>
      <w:r w:rsidRPr="000C0EBF" w:rsidR="007727B4">
        <w:t>PCIA-eligible</w:t>
      </w:r>
      <w:r w:rsidRPr="000C0EBF" w:rsidR="00082A0F">
        <w:t xml:space="preserve"> LSEs</w:t>
      </w:r>
      <w:r w:rsidRPr="000C0EBF" w:rsidR="00803D0E">
        <w:t xml:space="preserve"> </w:t>
      </w:r>
      <w:r w:rsidRPr="000C0EBF" w:rsidR="007513A5">
        <w:t xml:space="preserve">an </w:t>
      </w:r>
      <w:r w:rsidRPr="000C0EBF" w:rsidR="00803D0E">
        <w:t xml:space="preserve">opportunity to acquire </w:t>
      </w:r>
      <w:r w:rsidRPr="000C0EBF" w:rsidR="007513A5">
        <w:t xml:space="preserve">RPS resources that will help meet their long-term </w:t>
      </w:r>
      <w:r w:rsidR="00230B93">
        <w:t>contracting obligation</w:t>
      </w:r>
      <w:r w:rsidRPr="000C0EBF" w:rsidR="00230B93">
        <w:t xml:space="preserve"> </w:t>
      </w:r>
      <w:r w:rsidRPr="000C0EBF" w:rsidR="007513A5">
        <w:t>in compliance period 2021-2024</w:t>
      </w:r>
      <w:r w:rsidRPr="000C0EBF" w:rsidR="00803D0E">
        <w:t xml:space="preserve">, reserve the bulk of </w:t>
      </w:r>
      <w:r w:rsidRPr="000C0EBF" w:rsidR="00B43920">
        <w:t xml:space="preserve">the </w:t>
      </w:r>
      <w:r w:rsidRPr="000C0EBF" w:rsidR="00803D0E">
        <w:t>long-term portfolio for PCIA-eligible ratepayers</w:t>
      </w:r>
      <w:r w:rsidRPr="000C0EBF" w:rsidR="00B43920">
        <w:t xml:space="preserve"> for a future VAMO, if any</w:t>
      </w:r>
      <w:r w:rsidRPr="000C0EBF" w:rsidR="00803D0E">
        <w:t>, and give the Parties insight into the</w:t>
      </w:r>
      <w:r w:rsidR="00CD3272">
        <w:t xml:space="preserve"> demand for and</w:t>
      </w:r>
      <w:r w:rsidRPr="000C0EBF" w:rsidR="00803D0E">
        <w:t xml:space="preserve"> merit of offering long-term contracts to inform future Market Offer solicitations</w:t>
      </w:r>
      <w:r w:rsidR="00AA2C02">
        <w:t xml:space="preserve"> if they occur</w:t>
      </w:r>
      <w:r w:rsidRPr="000C0EBF" w:rsidR="00803D0E">
        <w:t>.</w:t>
      </w:r>
      <w:r w:rsidR="00F3786B">
        <w:t xml:space="preserve"> </w:t>
      </w:r>
      <w:r w:rsidR="006D39E8">
        <w:t xml:space="preserve">It will also balance </w:t>
      </w:r>
      <w:r w:rsidR="000F51CE">
        <w:t xml:space="preserve">concerns the IOUs might have about their unanticipated needs in the future. </w:t>
      </w:r>
    </w:p>
    <w:p w:rsidR="00463720" w:rsidP="00463720" w:rsidRDefault="00F176ED" w14:paraId="658B6577" w14:textId="27030924">
      <w:pPr>
        <w:pStyle w:val="Standard"/>
      </w:pPr>
      <w:r>
        <w:t>SCE</w:t>
      </w:r>
      <w:r w:rsidR="000458FC">
        <w:t xml:space="preserve"> and SDG&amp;E state in their comments on the proposed decision </w:t>
      </w:r>
      <w:r>
        <w:t xml:space="preserve">that by authorizing </w:t>
      </w:r>
      <w:r w:rsidRPr="000C0EBF">
        <w:t xml:space="preserve">35 percent of the remaining </w:t>
      </w:r>
      <w:r>
        <w:t xml:space="preserve">PCIA-eligible </w:t>
      </w:r>
      <w:r w:rsidRPr="000C0EBF">
        <w:t>long-term contracts after the Voluntary Allocations</w:t>
      </w:r>
      <w:r>
        <w:t xml:space="preserve"> we are </w:t>
      </w:r>
      <w:r w:rsidR="000458FC">
        <w:t xml:space="preserve">not authorizing </w:t>
      </w:r>
      <w:r>
        <w:t>65 percent</w:t>
      </w:r>
      <w:r w:rsidR="0082131F">
        <w:t xml:space="preserve"> of RPS resources</w:t>
      </w:r>
      <w:r>
        <w:t xml:space="preserve"> for sale</w:t>
      </w:r>
      <w:r w:rsidR="000458FC">
        <w:t xml:space="preserve">, which could be sold as </w:t>
      </w:r>
      <w:r w:rsidR="00CB5CA8">
        <w:t xml:space="preserve">a </w:t>
      </w:r>
      <w:r w:rsidR="000458FC">
        <w:t xml:space="preserve">short-term </w:t>
      </w:r>
      <w:r w:rsidR="00457A18">
        <w:t>product</w:t>
      </w:r>
      <w:r w:rsidR="000458FC">
        <w:t xml:space="preserve">. </w:t>
      </w:r>
      <w:r w:rsidR="00463720">
        <w:t xml:space="preserve">Additionally, </w:t>
      </w:r>
      <w:r w:rsidRPr="009E4801" w:rsidR="00463720">
        <w:t xml:space="preserve">PG&amp;E suggests that if long-term contracts </w:t>
      </w:r>
      <w:r w:rsidR="00463720">
        <w:t>are authorized</w:t>
      </w:r>
      <w:r w:rsidRPr="009E4801" w:rsidR="00463720">
        <w:t>, the</w:t>
      </w:r>
      <w:r w:rsidR="00463720">
        <w:t xml:space="preserve"> IOUs should be allowed to modify the</w:t>
      </w:r>
      <w:r w:rsidRPr="009E4801" w:rsidR="00463720">
        <w:t xml:space="preserve"> sales protocol </w:t>
      </w:r>
      <w:r w:rsidR="00463720">
        <w:t>to optimize their portfolios and the</w:t>
      </w:r>
      <w:r w:rsidRPr="009E4801" w:rsidR="00463720">
        <w:t xml:space="preserve"> sales volumes from the long-term pool to reduce near-term costs for PCIA-eligible customers.</w:t>
      </w:r>
      <w:r w:rsidR="00463720">
        <w:t xml:space="preserve"> PG&amp;E states that if an IOU </w:t>
      </w:r>
      <w:r w:rsidRPr="000C0EE1" w:rsidR="00463720">
        <w:t>receives short-term bids at higher prices, and long-term bids at lower prices, an IOU’s sales protocol should address whether to sell additional short-term</w:t>
      </w:r>
      <w:r w:rsidR="00463720">
        <w:t xml:space="preserve"> </w:t>
      </w:r>
      <w:r w:rsidRPr="000C0EE1" w:rsidR="00463720">
        <w:t>volumes from the long-term pool to reduce near-term costs for PCIA</w:t>
      </w:r>
      <w:r w:rsidR="00734C75">
        <w:noBreakHyphen/>
      </w:r>
      <w:r w:rsidRPr="000C0EE1" w:rsidR="00463720">
        <w:t>eligible customers.</w:t>
      </w:r>
    </w:p>
    <w:p w:rsidR="00A87666" w:rsidP="00A87666" w:rsidRDefault="00A87666" w14:paraId="5C69A85F" w14:textId="2554A8DA">
      <w:pPr>
        <w:pStyle w:val="Standard"/>
      </w:pPr>
      <w:r>
        <w:t xml:space="preserve">All the above are reasonable arguments. </w:t>
      </w:r>
      <w:r w:rsidR="00CB5CA8">
        <w:t xml:space="preserve">To facilitate the sale of long-term contracts, we agree with PG&amp;E to let the IOUs optimize their portfolios since </w:t>
      </w:r>
      <w:r w:rsidRPr="004C0A30" w:rsidR="00CB5CA8">
        <w:t xml:space="preserve">we are allowing long-term </w:t>
      </w:r>
      <w:r w:rsidR="00CB5CA8">
        <w:t xml:space="preserve">and short-term </w:t>
      </w:r>
      <w:r w:rsidRPr="004C0A30" w:rsidR="00CB5CA8">
        <w:t xml:space="preserve">contracts for sale in the VAMO cycle. </w:t>
      </w:r>
      <w:r w:rsidR="00CB5CA8">
        <w:t>We find it reasonable to let</w:t>
      </w:r>
      <w:r w:rsidRPr="004C0A30" w:rsidR="00CB5CA8">
        <w:t xml:space="preserve"> the IOUs include language </w:t>
      </w:r>
      <w:r w:rsidR="00CB5CA8">
        <w:t xml:space="preserve">and modify </w:t>
      </w:r>
      <w:r w:rsidRPr="004C0A30" w:rsidR="00CB5CA8">
        <w:t xml:space="preserve">the sales protocol to sell additional </w:t>
      </w:r>
      <w:r w:rsidRPr="004447B0" w:rsidR="00CB5CA8">
        <w:t>short-term</w:t>
      </w:r>
      <w:r w:rsidRPr="004C0A30" w:rsidR="00CB5CA8">
        <w:t xml:space="preserve"> volumes from the long-term pool to reduce near</w:t>
      </w:r>
      <w:r w:rsidR="00734C75">
        <w:noBreakHyphen/>
      </w:r>
      <w:r w:rsidRPr="004C0A30" w:rsidR="00CB5CA8">
        <w:t>term costs for PCIA-eligible customers.</w:t>
      </w:r>
      <w:r w:rsidR="00CB5CA8">
        <w:t xml:space="preserve"> To</w:t>
      </w:r>
      <w:r w:rsidRPr="009E4801" w:rsidR="00CB5CA8">
        <w:t xml:space="preserve"> optimize </w:t>
      </w:r>
      <w:r w:rsidR="00CB5CA8">
        <w:t>their portfolios when</w:t>
      </w:r>
      <w:r w:rsidRPr="009E4801" w:rsidR="00CB5CA8">
        <w:t xml:space="preserve"> sell</w:t>
      </w:r>
      <w:r w:rsidR="00CB5CA8">
        <w:t>ing</w:t>
      </w:r>
      <w:r w:rsidRPr="009E4801" w:rsidR="00CB5CA8">
        <w:t xml:space="preserve"> the remaining </w:t>
      </w:r>
      <w:r>
        <w:t>6</w:t>
      </w:r>
      <w:r w:rsidRPr="009E4801" w:rsidR="00CB5CA8">
        <w:t>5 percent of the</w:t>
      </w:r>
      <w:r w:rsidR="00CB5CA8">
        <w:t>ir</w:t>
      </w:r>
      <w:r w:rsidRPr="009E4801" w:rsidR="00CB5CA8">
        <w:t xml:space="preserve"> long-term contracts</w:t>
      </w:r>
      <w:r w:rsidR="00CB5CA8">
        <w:t>, the IOUs may offer to sell them</w:t>
      </w:r>
      <w:r w:rsidRPr="009E4801" w:rsidR="00CB5CA8">
        <w:t xml:space="preserve"> as </w:t>
      </w:r>
      <w:r w:rsidR="00CB5CA8">
        <w:t xml:space="preserve">both </w:t>
      </w:r>
      <w:r w:rsidRPr="009E4801" w:rsidR="00CB5CA8">
        <w:t>short-term or long-term contracts</w:t>
      </w:r>
      <w:r w:rsidR="00CB5CA8">
        <w:t xml:space="preserve"> in the long-term solicitation. If an IOU decides to offer both long-term and short-term offers in the long-term solicitation, they should request approval for their methodology to optimize short-term and long-term bids in the Tier 2 Advice </w:t>
      </w:r>
      <w:r w:rsidRPr="003564BA" w:rsidR="00CB5CA8">
        <w:t>Letter file.</w:t>
      </w:r>
      <w:r w:rsidRPr="009E4801" w:rsidR="00CB5CA8">
        <w:t xml:space="preserve"> </w:t>
      </w:r>
    </w:p>
    <w:p w:rsidR="006C00E4" w:rsidP="006C00E4" w:rsidRDefault="0070773C" w14:paraId="1CBCA70C" w14:textId="611D49C5">
      <w:pPr>
        <w:pStyle w:val="Standard"/>
      </w:pPr>
      <w:r>
        <w:t>Based on SCE’s comments on the proposed decision, we clarify that a</w:t>
      </w:r>
      <w:r w:rsidRPr="005C35A8" w:rsidR="006C00E4">
        <w:t>s with the PCIA long-term Voluntary Allocations, the term for sales of the long-term RECs should last through the end of the term of the longest contract in its PCIA-eligible RPS portfolio.</w:t>
      </w:r>
    </w:p>
    <w:p w:rsidR="004F1079" w:rsidP="004F1079" w:rsidRDefault="00D16B10" w14:paraId="679D0860" w14:textId="66989601">
      <w:pPr>
        <w:pStyle w:val="Standard"/>
      </w:pPr>
      <w:r>
        <w:t xml:space="preserve">As an </w:t>
      </w:r>
      <w:r w:rsidRPr="00CE50E7" w:rsidR="00803D0E">
        <w:t xml:space="preserve">alternative </w:t>
      </w:r>
      <w:r w:rsidR="00FF2307">
        <w:t>to</w:t>
      </w:r>
      <w:r w:rsidRPr="00CE50E7" w:rsidR="00803D0E">
        <w:t xml:space="preserve"> the IOUs’ </w:t>
      </w:r>
      <w:r w:rsidR="00EE33E9">
        <w:t xml:space="preserve">not </w:t>
      </w:r>
      <w:r w:rsidRPr="00CE50E7" w:rsidR="00803D0E">
        <w:t>offering long-term products, AReM and Shell request that the Commission “allow entities that purchase RECs from long</w:t>
      </w:r>
      <w:r w:rsidR="00734C75">
        <w:noBreakHyphen/>
      </w:r>
      <w:r w:rsidRPr="00CE50E7" w:rsidR="00803D0E">
        <w:t>term contracts” presumably via short-term portions “to count those RECs toward their long-term contracting requirements in the current compliance period.”</w:t>
      </w:r>
      <w:r w:rsidRPr="00CE50E7" w:rsidR="00803D0E">
        <w:rPr>
          <w:rStyle w:val="FootnoteReference"/>
          <w:rFonts w:cs="Times New Roman"/>
          <w:szCs w:val="26"/>
        </w:rPr>
        <w:footnoteReference w:id="56"/>
      </w:r>
      <w:r w:rsidRPr="00CE50E7" w:rsidR="00803D0E">
        <w:t xml:space="preserve"> </w:t>
      </w:r>
      <w:r w:rsidR="009F1ED1">
        <w:t xml:space="preserve">We </w:t>
      </w:r>
      <w:r w:rsidR="00977A55">
        <w:t xml:space="preserve">deny this request and agree with </w:t>
      </w:r>
      <w:r w:rsidR="00DD4E40">
        <w:t>PG&amp;E and SCE’s argument that</w:t>
      </w:r>
      <w:r w:rsidR="00977A55">
        <w:t xml:space="preserve"> </w:t>
      </w:r>
      <w:r w:rsidR="005176C6">
        <w:t>under</w:t>
      </w:r>
      <w:r w:rsidRPr="00CE50E7" w:rsidR="00803D0E">
        <w:t xml:space="preserve"> D.21-05-030</w:t>
      </w:r>
      <w:r w:rsidR="00FF2307">
        <w:t>,</w:t>
      </w:r>
      <w:r w:rsidR="00977A55">
        <w:t xml:space="preserve"> </w:t>
      </w:r>
      <w:r w:rsidRPr="00CE50E7" w:rsidR="00803D0E">
        <w:t>short-term contracts</w:t>
      </w:r>
      <w:r w:rsidR="00AC5B68">
        <w:t xml:space="preserve"> carved from </w:t>
      </w:r>
      <w:r w:rsidRPr="00CE50E7" w:rsidR="00803D0E">
        <w:t xml:space="preserve">long-term contracts </w:t>
      </w:r>
      <w:r w:rsidR="00DD4E40">
        <w:t>do not</w:t>
      </w:r>
      <w:r w:rsidRPr="00CE50E7" w:rsidR="00803D0E">
        <w:t xml:space="preserve"> count </w:t>
      </w:r>
      <w:r w:rsidR="00AA2C02">
        <w:t>towards</w:t>
      </w:r>
      <w:r w:rsidRPr="00CE50E7" w:rsidR="00803D0E">
        <w:t xml:space="preserve"> </w:t>
      </w:r>
      <w:r w:rsidR="004C7C86">
        <w:t>RPS’s</w:t>
      </w:r>
      <w:r w:rsidRPr="00CE50E7" w:rsidR="00803D0E">
        <w:t xml:space="preserve"> </w:t>
      </w:r>
      <w:r w:rsidR="00AA2C02">
        <w:t xml:space="preserve">long-term contracting </w:t>
      </w:r>
      <w:r w:rsidRPr="00CE50E7" w:rsidR="00803D0E">
        <w:t>obligations.</w:t>
      </w:r>
      <w:r w:rsidRPr="00CE50E7" w:rsidR="00803D0E">
        <w:rPr>
          <w:rStyle w:val="FootnoteReference"/>
          <w:rFonts w:cs="Times New Roman"/>
          <w:szCs w:val="26"/>
        </w:rPr>
        <w:footnoteReference w:id="57"/>
      </w:r>
      <w:r w:rsidRPr="00CE50E7" w:rsidR="00803D0E">
        <w:t xml:space="preserve"> </w:t>
      </w:r>
    </w:p>
    <w:p w:rsidRPr="00346375" w:rsidR="0061157C" w:rsidP="00BC5754" w:rsidRDefault="0061157C" w14:paraId="0FE0C223" w14:textId="4A808FDE">
      <w:pPr>
        <w:pStyle w:val="Heading3"/>
        <w:numPr>
          <w:ilvl w:val="2"/>
          <w:numId w:val="35"/>
        </w:numPr>
        <w:tabs>
          <w:tab w:val="num" w:pos="1656"/>
        </w:tabs>
        <w:ind w:left="1656" w:hanging="936"/>
      </w:pPr>
      <w:bookmarkStart w:name="_Toc119660149" w:id="16"/>
      <w:r w:rsidRPr="00765317">
        <w:t>Increment</w:t>
      </w:r>
      <w:r w:rsidRPr="00765317" w:rsidR="004927A4">
        <w:t>al</w:t>
      </w:r>
      <w:r w:rsidRPr="00346375">
        <w:t xml:space="preserve"> slices</w:t>
      </w:r>
      <w:r w:rsidRPr="00346375" w:rsidR="007437F4">
        <w:t xml:space="preserve"> of</w:t>
      </w:r>
      <w:r w:rsidR="00734C75">
        <w:br/>
      </w:r>
      <w:r w:rsidRPr="00346375" w:rsidR="007437F4">
        <w:t>RECs in Market Offer</w:t>
      </w:r>
      <w:bookmarkEnd w:id="16"/>
    </w:p>
    <w:p w:rsidR="006B738D" w:rsidP="00765317" w:rsidRDefault="006B738D" w14:paraId="6D6B2143" w14:textId="6F923AA7">
      <w:pPr>
        <w:pStyle w:val="Standard"/>
      </w:pPr>
      <w:r>
        <w:t xml:space="preserve">Under </w:t>
      </w:r>
      <w:r w:rsidRPr="00CE50E7">
        <w:t>D.21-05-030</w:t>
      </w:r>
      <w:r w:rsidR="007727B4">
        <w:t>,</w:t>
      </w:r>
      <w:r w:rsidRPr="00CE50E7">
        <w:t xml:space="preserve"> </w:t>
      </w:r>
      <w:r>
        <w:t>the</w:t>
      </w:r>
      <w:r w:rsidRPr="00CE50E7">
        <w:t xml:space="preserve"> Voluntary Allocation</w:t>
      </w:r>
      <w:r w:rsidR="00101E93">
        <w:t>,</w:t>
      </w:r>
      <w:r w:rsidRPr="00CE50E7">
        <w:t xml:space="preserve"> </w:t>
      </w:r>
      <w:r w:rsidR="00101E93">
        <w:t xml:space="preserve">LSEs were allowed to elect in </w:t>
      </w:r>
      <w:r w:rsidRPr="00101E93" w:rsidR="00101E93">
        <w:t>l0</w:t>
      </w:r>
      <w:r w:rsidR="00734C75">
        <w:t> </w:t>
      </w:r>
      <w:r w:rsidRPr="00101E93" w:rsidR="00101E93">
        <w:t>percent increments of the LSE's forecasted, vintaged</w:t>
      </w:r>
      <w:r w:rsidR="00650BA2">
        <w:t>,</w:t>
      </w:r>
      <w:r w:rsidRPr="00101E93" w:rsidR="00101E93">
        <w:t xml:space="preserve"> annual load share.</w:t>
      </w:r>
      <w:r w:rsidR="00101E93">
        <w:t xml:space="preserve"> H</w:t>
      </w:r>
      <w:r>
        <w:t xml:space="preserve">owever, </w:t>
      </w:r>
      <w:r w:rsidRPr="00CE50E7">
        <w:t xml:space="preserve">no such requirement </w:t>
      </w:r>
      <w:r>
        <w:t xml:space="preserve">was adopted </w:t>
      </w:r>
      <w:r w:rsidRPr="00CE50E7">
        <w:t>for the Market Offer process.</w:t>
      </w:r>
      <w:r w:rsidRPr="00CE50E7">
        <w:rPr>
          <w:rStyle w:val="FootnoteReference"/>
          <w:rFonts w:cs="Times New Roman"/>
          <w:szCs w:val="26"/>
        </w:rPr>
        <w:footnoteReference w:id="58"/>
      </w:r>
      <w:r w:rsidR="00101E93">
        <w:t xml:space="preserve"> </w:t>
      </w:r>
    </w:p>
    <w:p w:rsidR="004E2275" w:rsidP="00765317" w:rsidRDefault="006B738D" w14:paraId="527B9D76" w14:textId="57E11473">
      <w:pPr>
        <w:pStyle w:val="Standard"/>
        <w:rPr>
          <w:rFonts w:cs="Times New Roman"/>
          <w:szCs w:val="26"/>
        </w:rPr>
      </w:pPr>
      <w:r>
        <w:rPr>
          <w:rFonts w:cs="Times New Roman"/>
          <w:szCs w:val="26"/>
        </w:rPr>
        <w:t xml:space="preserve">GPI </w:t>
      </w:r>
      <w:r w:rsidR="009C607E">
        <w:rPr>
          <w:rFonts w:cs="Times New Roman"/>
          <w:szCs w:val="26"/>
        </w:rPr>
        <w:t xml:space="preserve">states that the </w:t>
      </w:r>
      <w:r w:rsidR="0041133B">
        <w:rPr>
          <w:rFonts w:cs="Times New Roman"/>
          <w:szCs w:val="26"/>
        </w:rPr>
        <w:t xml:space="preserve">IOUs’ </w:t>
      </w:r>
      <w:r w:rsidR="00BA589F">
        <w:rPr>
          <w:rFonts w:cs="Times New Roman"/>
          <w:szCs w:val="26"/>
        </w:rPr>
        <w:t>Market Offer</w:t>
      </w:r>
      <w:r w:rsidR="009C607E">
        <w:rPr>
          <w:rFonts w:cs="Times New Roman"/>
          <w:szCs w:val="26"/>
        </w:rPr>
        <w:t xml:space="preserve"> Proposal is inconsistent </w:t>
      </w:r>
      <w:r w:rsidR="00690B69">
        <w:rPr>
          <w:rFonts w:cs="Times New Roman"/>
          <w:szCs w:val="26"/>
        </w:rPr>
        <w:t>regarding</w:t>
      </w:r>
      <w:r w:rsidR="006C35A9">
        <w:rPr>
          <w:rFonts w:cs="Times New Roman"/>
          <w:szCs w:val="26"/>
        </w:rPr>
        <w:t xml:space="preserve"> the process of </w:t>
      </w:r>
      <w:r w:rsidR="007727B4">
        <w:rPr>
          <w:rFonts w:cs="Times New Roman"/>
          <w:szCs w:val="26"/>
        </w:rPr>
        <w:t xml:space="preserve">the </w:t>
      </w:r>
      <w:r w:rsidR="004072DD">
        <w:rPr>
          <w:rFonts w:cs="Times New Roman"/>
          <w:szCs w:val="26"/>
        </w:rPr>
        <w:t xml:space="preserve">sale of </w:t>
      </w:r>
      <w:r w:rsidR="004072DD">
        <w:t>energy and RECs from RPS resources.</w:t>
      </w:r>
      <w:r w:rsidR="00A77F22">
        <w:t xml:space="preserve"> </w:t>
      </w:r>
      <w:r w:rsidR="004072DD">
        <w:t>GPI r</w:t>
      </w:r>
      <w:r w:rsidR="004958B7">
        <w:rPr>
          <w:rFonts w:cs="Times New Roman"/>
          <w:szCs w:val="26"/>
        </w:rPr>
        <w:t>ecommends</w:t>
      </w:r>
      <w:r w:rsidRPr="00CE50E7" w:rsidR="00803D0E">
        <w:rPr>
          <w:rFonts w:cs="Times New Roman"/>
          <w:szCs w:val="26"/>
        </w:rPr>
        <w:t xml:space="preserve"> </w:t>
      </w:r>
      <w:r w:rsidR="004958B7">
        <w:t xml:space="preserve">updating all references to REC purchases and offers to reflect </w:t>
      </w:r>
      <w:r w:rsidR="003E1F55">
        <w:t xml:space="preserve">that </w:t>
      </w:r>
      <w:r w:rsidR="00B67317">
        <w:t>those remaining RPS-eligible products</w:t>
      </w:r>
      <w:r w:rsidR="004958B7">
        <w:t xml:space="preserve"> </w:t>
      </w:r>
      <w:r w:rsidR="009D7A64">
        <w:t>will be offered</w:t>
      </w:r>
      <w:r w:rsidR="004958B7">
        <w:t xml:space="preserve"> in 10 percent slices and that the resultant RECs are subject to the output </w:t>
      </w:r>
      <w:r w:rsidR="007727B4">
        <w:t>of</w:t>
      </w:r>
      <w:r w:rsidR="004958B7">
        <w:t xml:space="preserve"> these products.</w:t>
      </w:r>
      <w:r w:rsidRPr="00CE50E7" w:rsidR="00803D0E">
        <w:rPr>
          <w:rStyle w:val="FootnoteReference"/>
          <w:rFonts w:cs="Times New Roman"/>
          <w:szCs w:val="26"/>
        </w:rPr>
        <w:footnoteReference w:id="59"/>
      </w:r>
      <w:r w:rsidRPr="00CE50E7" w:rsidR="00803D0E">
        <w:rPr>
          <w:rFonts w:cs="Times New Roman"/>
          <w:szCs w:val="26"/>
        </w:rPr>
        <w:t xml:space="preserve"> </w:t>
      </w:r>
    </w:p>
    <w:p w:rsidR="009C607E" w:rsidP="00765317" w:rsidRDefault="00A77F22" w14:paraId="323266B6" w14:textId="59533962">
      <w:pPr>
        <w:pStyle w:val="Standard"/>
      </w:pPr>
      <w:r w:rsidRPr="4D2AE5DA">
        <w:t xml:space="preserve">SCE’s reply comments are limited to GPI’s comments regarding the percentage slices of </w:t>
      </w:r>
      <w:r w:rsidRPr="4D2AE5DA" w:rsidR="007727B4">
        <w:t xml:space="preserve">the </w:t>
      </w:r>
      <w:r w:rsidRPr="4D2AE5DA">
        <w:t xml:space="preserve">RPS Portfolio. SCE states </w:t>
      </w:r>
      <w:r w:rsidRPr="2683D27B" w:rsidR="7240887B">
        <w:t>t</w:t>
      </w:r>
      <w:r w:rsidRPr="4D2AE5DA" w:rsidR="006B1D49">
        <w:t xml:space="preserve">hat </w:t>
      </w:r>
      <w:r w:rsidRPr="2683D27B" w:rsidR="26B81F0A">
        <w:t xml:space="preserve">the </w:t>
      </w:r>
      <w:r w:rsidRPr="4D2AE5DA" w:rsidR="006B1D49">
        <w:t>Market Offer process should not be limited to 10 percent slices</w:t>
      </w:r>
      <w:r w:rsidRPr="4D2AE5DA" w:rsidR="00803D0E">
        <w:t>.</w:t>
      </w:r>
      <w:r w:rsidRPr="4D2AE5DA" w:rsidR="00803D0E">
        <w:rPr>
          <w:rStyle w:val="FootnoteReference"/>
          <w:rFonts w:cs="Times New Roman"/>
        </w:rPr>
        <w:footnoteReference w:id="60"/>
      </w:r>
      <w:r w:rsidRPr="4D2AE5DA" w:rsidR="00803D0E">
        <w:t xml:space="preserve"> </w:t>
      </w:r>
      <w:r w:rsidRPr="4D2AE5DA" w:rsidR="006B1D49">
        <w:t xml:space="preserve">SCE states that 10 percent increments were adopted only for </w:t>
      </w:r>
      <w:r w:rsidRPr="4D2AE5DA" w:rsidR="000679E2">
        <w:t>Voluntary</w:t>
      </w:r>
      <w:r w:rsidRPr="4D2AE5DA" w:rsidR="006B1D49">
        <w:t xml:space="preserve"> Allocations and not Market Offer </w:t>
      </w:r>
      <w:r w:rsidR="00650BA2">
        <w:t>p</w:t>
      </w:r>
      <w:r w:rsidRPr="4D2AE5DA" w:rsidR="006B1D49">
        <w:t>rocess. It argues</w:t>
      </w:r>
      <w:r w:rsidRPr="2683D27B" w:rsidR="6276777D">
        <w:t xml:space="preserve"> </w:t>
      </w:r>
      <w:r w:rsidR="00A34FA4">
        <w:t xml:space="preserve">that </w:t>
      </w:r>
      <w:r w:rsidRPr="2683D27B" w:rsidR="6276777D">
        <w:t>if</w:t>
      </w:r>
      <w:r w:rsidRPr="4D2AE5DA" w:rsidR="006B1D49">
        <w:t xml:space="preserve"> </w:t>
      </w:r>
      <w:r w:rsidRPr="4D2AE5DA" w:rsidR="007727B4">
        <w:t>RPS-eligible</w:t>
      </w:r>
      <w:r w:rsidR="1626AAF2">
        <w:t xml:space="preserve"> </w:t>
      </w:r>
      <w:r w:rsidR="006B1D49">
        <w:t xml:space="preserve">products are only offered in 10 percent slices of what remains after Voluntary Allocations in the Market Offer process, </w:t>
      </w:r>
      <w:r w:rsidR="00DB2235">
        <w:t xml:space="preserve">a </w:t>
      </w:r>
      <w:r w:rsidR="006B1D49">
        <w:t>bidder</w:t>
      </w:r>
      <w:r w:rsidR="00DB2235">
        <w:t>’</w:t>
      </w:r>
      <w:r w:rsidR="006B1D49">
        <w:t xml:space="preserve">s minimum bid volume may be many times greater than the RPS need. SCE recommends </w:t>
      </w:r>
      <w:r w:rsidR="7584793D">
        <w:t>that buyers should be able to specify any quantity of RPS in percentage increments, which must be represented in whole numbers</w:t>
      </w:r>
      <w:r w:rsidR="7F9B7068">
        <w:t>,</w:t>
      </w:r>
      <w:r w:rsidR="7584793D">
        <w:t xml:space="preserve"> </w:t>
      </w:r>
      <w:r w:rsidR="34295E6F">
        <w:t xml:space="preserve">because it would allow better </w:t>
      </w:r>
      <w:r w:rsidR="00C301CE">
        <w:t>matching</w:t>
      </w:r>
      <w:r w:rsidR="006B1D49">
        <w:t xml:space="preserve"> </w:t>
      </w:r>
      <w:r w:rsidR="3A8FF4D3">
        <w:t xml:space="preserve">of </w:t>
      </w:r>
      <w:r w:rsidR="006B1D49">
        <w:t>buyers’ needs, increas</w:t>
      </w:r>
      <w:r w:rsidR="19E2676C">
        <w:t>e</w:t>
      </w:r>
      <w:r w:rsidR="006B1D49">
        <w:t xml:space="preserve"> the pool of buyers and increas</w:t>
      </w:r>
      <w:r w:rsidR="05A8EF5D">
        <w:t>e</w:t>
      </w:r>
      <w:r w:rsidR="006B1D49">
        <w:t xml:space="preserve"> </w:t>
      </w:r>
      <w:r w:rsidR="057DD4AB">
        <w:t>bidding</w:t>
      </w:r>
      <w:r w:rsidR="00F3786B">
        <w:t xml:space="preserve"> </w:t>
      </w:r>
      <w:r w:rsidR="006B1D49">
        <w:t xml:space="preserve">flexibility. </w:t>
      </w:r>
    </w:p>
    <w:p w:rsidRPr="009C607E" w:rsidR="005F11AB" w:rsidP="002921D3" w:rsidRDefault="00803D0E" w14:paraId="424F7487" w14:textId="697CD342">
      <w:pPr>
        <w:pStyle w:val="Standard"/>
      </w:pPr>
      <w:r w:rsidRPr="002921D3">
        <w:t>We</w:t>
      </w:r>
      <w:r w:rsidRPr="4D2AE5DA">
        <w:t xml:space="preserve"> agree with </w:t>
      </w:r>
      <w:r w:rsidRPr="4D2AE5DA" w:rsidR="004072DD">
        <w:t xml:space="preserve">GPI that </w:t>
      </w:r>
      <w:r w:rsidR="00A34FA4">
        <w:t xml:space="preserve">the </w:t>
      </w:r>
      <w:r w:rsidR="00BA589F">
        <w:t>Market Offer</w:t>
      </w:r>
      <w:r w:rsidRPr="4D2AE5DA" w:rsidR="004072DD">
        <w:t xml:space="preserve"> Proposal language should </w:t>
      </w:r>
      <w:r w:rsidR="009D7A64">
        <w:t xml:space="preserve">accurately and </w:t>
      </w:r>
      <w:r w:rsidRPr="4D2AE5DA" w:rsidR="00B60509">
        <w:t>consistently describe</w:t>
      </w:r>
      <w:r w:rsidRPr="4D2AE5DA" w:rsidR="004072DD">
        <w:t xml:space="preserve"> the</w:t>
      </w:r>
      <w:r w:rsidR="00DB6304">
        <w:t xml:space="preserve"> process of </w:t>
      </w:r>
      <w:r w:rsidR="00A34FA4">
        <w:t>selling</w:t>
      </w:r>
      <w:r w:rsidRPr="4D2AE5DA" w:rsidR="004072DD">
        <w:t xml:space="preserve"> RPS energy resources. The M</w:t>
      </w:r>
      <w:r w:rsidR="00BA589F">
        <w:t>arket Offer</w:t>
      </w:r>
      <w:r w:rsidRPr="4D2AE5DA" w:rsidR="004072DD">
        <w:t xml:space="preserve"> Proposal </w:t>
      </w:r>
      <w:r w:rsidR="00573DDC">
        <w:t>should be consistent in its use of terminology.</w:t>
      </w:r>
      <w:r w:rsidRPr="4D2AE5DA" w:rsidR="004072DD">
        <w:t xml:space="preserve"> Regarding </w:t>
      </w:r>
      <w:r w:rsidRPr="4D2AE5DA" w:rsidR="00C301CE">
        <w:t>limiting the sale of the RPS portfolio</w:t>
      </w:r>
      <w:r w:rsidR="00F10606">
        <w:t xml:space="preserve"> to 10</w:t>
      </w:r>
      <w:r w:rsidR="00B07AFD">
        <w:t xml:space="preserve"> percent</w:t>
      </w:r>
      <w:r w:rsidR="00F10606">
        <w:t xml:space="preserve"> increments</w:t>
      </w:r>
      <w:r w:rsidRPr="4D2AE5DA" w:rsidR="004072DD">
        <w:t xml:space="preserve">, we </w:t>
      </w:r>
      <w:r w:rsidRPr="4D2AE5DA" w:rsidR="00FB6608">
        <w:t xml:space="preserve">find merit in </w:t>
      </w:r>
      <w:r w:rsidRPr="4D2AE5DA">
        <w:t xml:space="preserve">SCE’s </w:t>
      </w:r>
      <w:r w:rsidRPr="4D2AE5DA" w:rsidR="00FB6608">
        <w:t>argument</w:t>
      </w:r>
      <w:r w:rsidRPr="4D2AE5DA">
        <w:t xml:space="preserve"> to allow </w:t>
      </w:r>
      <w:r w:rsidRPr="4D2AE5DA" w:rsidR="00C301CE">
        <w:t>any</w:t>
      </w:r>
      <w:r w:rsidRPr="4D2AE5DA">
        <w:t xml:space="preserve"> </w:t>
      </w:r>
      <w:r w:rsidRPr="2683D27B" w:rsidR="538CD854">
        <w:t>percent</w:t>
      </w:r>
      <w:r w:rsidRPr="2683D27B" w:rsidR="02AE5B21">
        <w:t xml:space="preserve"> of the IOU’s offered portfolio</w:t>
      </w:r>
      <w:r w:rsidRPr="2683D27B" w:rsidR="538CD854">
        <w:t xml:space="preserve"> in </w:t>
      </w:r>
      <w:r w:rsidR="00A34FA4">
        <w:t xml:space="preserve">a </w:t>
      </w:r>
      <w:r w:rsidRPr="4D2AE5DA" w:rsidR="00C301CE">
        <w:t xml:space="preserve">whole number </w:t>
      </w:r>
      <w:r w:rsidRPr="2683D27B" w:rsidR="3E2711AD">
        <w:t>(</w:t>
      </w:r>
      <w:r w:rsidRPr="002921D3" w:rsidR="3E2711AD">
        <w:rPr>
          <w:i/>
          <w:iCs/>
        </w:rPr>
        <w:t>e.g.</w:t>
      </w:r>
      <w:r w:rsidRPr="002921D3" w:rsidR="5E8D31BE">
        <w:rPr>
          <w:i/>
          <w:iCs/>
        </w:rPr>
        <w:t>,</w:t>
      </w:r>
      <w:r w:rsidRPr="2683D27B" w:rsidR="3E2711AD">
        <w:t xml:space="preserve"> 1 percent, 3 percent, 20 percent, etc.)</w:t>
      </w:r>
      <w:r w:rsidR="009C6B71">
        <w:t>.</w:t>
      </w:r>
      <w:r w:rsidRPr="4D2AE5DA">
        <w:t xml:space="preserve"> </w:t>
      </w:r>
      <w:r w:rsidR="009C6B71">
        <w:t>T</w:t>
      </w:r>
      <w:r w:rsidRPr="4D2AE5DA">
        <w:t xml:space="preserve">his </w:t>
      </w:r>
      <w:r w:rsidR="00A631C1">
        <w:t>should</w:t>
      </w:r>
      <w:r w:rsidRPr="4D2AE5DA">
        <w:t xml:space="preserve"> increase bidding flexibility and</w:t>
      </w:r>
      <w:r w:rsidRPr="4D2AE5DA" w:rsidR="004958B7">
        <w:t xml:space="preserve"> </w:t>
      </w:r>
      <w:r w:rsidRPr="4D2AE5DA">
        <w:t>increase the pool of interested bidders.</w:t>
      </w:r>
      <w:r w:rsidRPr="4D2AE5DA">
        <w:rPr>
          <w:rStyle w:val="FootnoteReference"/>
          <w:rFonts w:cs="Times New Roman"/>
        </w:rPr>
        <w:footnoteReference w:id="61"/>
      </w:r>
      <w:r w:rsidR="00D32140">
        <w:t xml:space="preserve"> Therefore, we do not </w:t>
      </w:r>
      <w:r w:rsidR="00ED1A1C">
        <w:t xml:space="preserve">adopt </w:t>
      </w:r>
      <w:r w:rsidR="00EA45CC">
        <w:t>10</w:t>
      </w:r>
      <w:r w:rsidR="00783455">
        <w:t xml:space="preserve"> percent</w:t>
      </w:r>
      <w:r w:rsidR="00A34FA4">
        <w:t xml:space="preserve"> incremental limits</w:t>
      </w:r>
      <w:r w:rsidR="00296F94">
        <w:t xml:space="preserve"> on </w:t>
      </w:r>
      <w:r w:rsidR="0097467C">
        <w:t>bidding slices of</w:t>
      </w:r>
      <w:r w:rsidR="00B33169">
        <w:t xml:space="preserve"> RPS portfolios. </w:t>
      </w:r>
    </w:p>
    <w:p w:rsidRPr="00346375" w:rsidR="0022475A" w:rsidP="00BC5754" w:rsidRDefault="00DA7EA5" w14:paraId="271594AE" w14:textId="14A440AE">
      <w:pPr>
        <w:pStyle w:val="Heading3"/>
        <w:numPr>
          <w:ilvl w:val="2"/>
          <w:numId w:val="35"/>
        </w:numPr>
        <w:tabs>
          <w:tab w:val="num" w:pos="1656"/>
        </w:tabs>
        <w:ind w:left="1656" w:hanging="936"/>
      </w:pPr>
      <w:bookmarkStart w:name="_Toc119660150" w:id="17"/>
      <w:r w:rsidRPr="00765317">
        <w:t>Revising</w:t>
      </w:r>
      <w:r w:rsidRPr="00346375">
        <w:t xml:space="preserve"> Market Offer Pro Forma Contract</w:t>
      </w:r>
      <w:r w:rsidRPr="00346375" w:rsidR="001053CD">
        <w:t xml:space="preserve"> </w:t>
      </w:r>
      <w:r w:rsidRPr="002921D3" w:rsidR="001053CD">
        <w:t>for</w:t>
      </w:r>
      <w:r w:rsidRPr="00346375" w:rsidR="001053CD">
        <w:t xml:space="preserve"> Products Offered</w:t>
      </w:r>
      <w:r w:rsidR="00160C3B">
        <w:t xml:space="preserve">, </w:t>
      </w:r>
      <w:r w:rsidR="00454F76">
        <w:t>Implementation Process</w:t>
      </w:r>
      <w:r w:rsidR="00160C3B">
        <w:t xml:space="preserve"> and Timing</w:t>
      </w:r>
      <w:bookmarkEnd w:id="17"/>
    </w:p>
    <w:p w:rsidR="00803D0E" w:rsidP="002921D3" w:rsidRDefault="00803D0E" w14:paraId="3A6517D8" w14:textId="5A4B5FB7">
      <w:pPr>
        <w:pStyle w:val="Standard"/>
      </w:pPr>
      <w:r w:rsidRPr="00CE50E7">
        <w:t xml:space="preserve">CalCCA </w:t>
      </w:r>
      <w:r w:rsidRPr="002921D3">
        <w:t>requests</w:t>
      </w:r>
      <w:r w:rsidRPr="00CE50E7">
        <w:t xml:space="preserve"> that SDG&amp;E specify the product or products to be offered in its Market Offer solicitations through revisions to its Market Offer proposal and its Market Offer Pro Forma contract.</w:t>
      </w:r>
      <w:r w:rsidRPr="00CE50E7">
        <w:rPr>
          <w:rStyle w:val="FootnoteReference"/>
          <w:rFonts w:eastAsiaTheme="minorEastAsia"/>
          <w:szCs w:val="26"/>
        </w:rPr>
        <w:footnoteReference w:id="62"/>
      </w:r>
      <w:r w:rsidRPr="00CE50E7">
        <w:t xml:space="preserve"> </w:t>
      </w:r>
      <w:r w:rsidR="004C1877">
        <w:t xml:space="preserve">CalCCA </w:t>
      </w:r>
      <w:r w:rsidRPr="00CE50E7">
        <w:t>request</w:t>
      </w:r>
      <w:r w:rsidR="004C1877">
        <w:t>s</w:t>
      </w:r>
      <w:r w:rsidRPr="00CE50E7">
        <w:t xml:space="preserve"> that the EEI Agreement and provisions for resource pool changes be included in the Market Offer Pro Forma and proposal</w:t>
      </w:r>
      <w:r w:rsidR="004C1877">
        <w:t xml:space="preserve">. </w:t>
      </w:r>
      <w:r w:rsidRPr="00CE50E7">
        <w:t xml:space="preserve">CalCCA </w:t>
      </w:r>
      <w:r w:rsidR="003E4FD3">
        <w:t xml:space="preserve">notes SDG&amp;E’s lack of clarity </w:t>
      </w:r>
      <w:r w:rsidR="003D3FAD">
        <w:t xml:space="preserve">on whether it will </w:t>
      </w:r>
      <w:r w:rsidR="003E4FD3">
        <w:t xml:space="preserve">offer </w:t>
      </w:r>
      <w:r w:rsidR="003D3FAD">
        <w:t>any long</w:t>
      </w:r>
      <w:r w:rsidR="003E4FD3">
        <w:t xml:space="preserve">-term contract sales, </w:t>
      </w:r>
      <w:r w:rsidRPr="00CE50E7">
        <w:t>stat</w:t>
      </w:r>
      <w:r w:rsidR="003D3FAD">
        <w:t>ing</w:t>
      </w:r>
      <w:r w:rsidR="00B44EEB">
        <w:t>,</w:t>
      </w:r>
      <w:r w:rsidR="00573DDC">
        <w:t xml:space="preserve"> “</w:t>
      </w:r>
      <w:r w:rsidRPr="00CE50E7">
        <w:rPr>
          <w:rFonts w:eastAsia="Times New Roman" w:cs="Times New Roman"/>
        </w:rPr>
        <w:t>SDG&amp;E may offer both long</w:t>
      </w:r>
      <w:r w:rsidR="006F0CC4">
        <w:rPr>
          <w:rFonts w:eastAsia="Times New Roman" w:cs="Times New Roman"/>
        </w:rPr>
        <w:t>-</w:t>
      </w:r>
      <w:r w:rsidRPr="00CE50E7">
        <w:rPr>
          <w:rFonts w:eastAsia="Times New Roman" w:cs="Times New Roman"/>
        </w:rPr>
        <w:t xml:space="preserve"> and short</w:t>
      </w:r>
      <w:r w:rsidR="006F0CC4">
        <w:rPr>
          <w:rFonts w:eastAsia="Times New Roman" w:cs="Times New Roman"/>
        </w:rPr>
        <w:t>-</w:t>
      </w:r>
      <w:r w:rsidRPr="00CE50E7">
        <w:rPr>
          <w:rFonts w:eastAsia="Times New Roman" w:cs="Times New Roman"/>
        </w:rPr>
        <w:t>term sales</w:t>
      </w:r>
      <w:r w:rsidR="00B44EEB">
        <w:rPr>
          <w:rFonts w:eastAsia="Times New Roman" w:cs="Times New Roman"/>
        </w:rPr>
        <w:t>.”</w:t>
      </w:r>
      <w:r w:rsidRPr="00CE50E7">
        <w:rPr>
          <w:rStyle w:val="FootnoteReference"/>
          <w:rFonts w:eastAsiaTheme="minorEastAsia"/>
          <w:szCs w:val="26"/>
        </w:rPr>
        <w:footnoteReference w:id="63"/>
      </w:r>
      <w:r w:rsidRPr="00CE50E7">
        <w:t xml:space="preserve"> </w:t>
      </w:r>
      <w:r w:rsidR="000A6532">
        <w:t>T</w:t>
      </w:r>
      <w:r w:rsidRPr="00CE50E7">
        <w:t xml:space="preserve">his Decision provides clarity as it orders the IOUs to offer long-term products. </w:t>
      </w:r>
      <w:r w:rsidR="00187575">
        <w:t xml:space="preserve">SDG&amp;E should accordingly update its Market Offer pro forma. </w:t>
      </w:r>
    </w:p>
    <w:p w:rsidR="00160C3B" w:rsidP="00B20097" w:rsidRDefault="0090445E" w14:paraId="0FCA85E0" w14:textId="2F3A98CA">
      <w:pPr>
        <w:pStyle w:val="Standard"/>
      </w:pPr>
      <w:r>
        <w:t>In their comments on the proposed decision, regarding submitting pro</w:t>
      </w:r>
      <w:r w:rsidR="003D5B47">
        <w:t xml:space="preserve"> </w:t>
      </w:r>
      <w:r>
        <w:t>forma contracts for Commission approval, both PG&amp;E and SCE recommend submitting a Tier 2 Advice Letter instead of a Tier 1 Advice Letter</w:t>
      </w:r>
      <w:r w:rsidR="00971191">
        <w:t xml:space="preserve"> for </w:t>
      </w:r>
      <w:r w:rsidR="006A2504">
        <w:t xml:space="preserve">review and approval of </w:t>
      </w:r>
      <w:r w:rsidR="00B20097">
        <w:t>long-term pro</w:t>
      </w:r>
      <w:r w:rsidR="003D5B47">
        <w:t xml:space="preserve"> </w:t>
      </w:r>
      <w:r w:rsidR="00B20097">
        <w:t>forma contracts</w:t>
      </w:r>
      <w:r>
        <w:t xml:space="preserve">. PG&amp;E </w:t>
      </w:r>
      <w:r w:rsidR="00160C3B">
        <w:t>states</w:t>
      </w:r>
      <w:r>
        <w:t xml:space="preserve"> that </w:t>
      </w:r>
      <w:r w:rsidRPr="000C0EE1">
        <w:t>Tier 1 Advice filing conflicts with General Order</w:t>
      </w:r>
      <w:r w:rsidR="00734C75">
        <w:t> </w:t>
      </w:r>
      <w:r w:rsidRPr="000C0EE1">
        <w:t>96-B, which specifies that Tier 1 Advice Filings are appropriate for contracts that exactly conform to the Commission’s</w:t>
      </w:r>
      <w:r w:rsidRPr="000C0EE1" w:rsidR="00F80380">
        <w:t xml:space="preserve"> </w:t>
      </w:r>
      <w:r w:rsidRPr="000C0EE1">
        <w:t>Orders.</w:t>
      </w:r>
      <w:r w:rsidRPr="000C0EE1" w:rsidR="00F80380">
        <w:t xml:space="preserve"> </w:t>
      </w:r>
      <w:r w:rsidRPr="000C0EE1" w:rsidR="00B20097">
        <w:t xml:space="preserve"> Before the Market Offer is </w:t>
      </w:r>
      <w:r w:rsidR="003B39F3">
        <w:t>launched</w:t>
      </w:r>
      <w:r w:rsidRPr="00320945" w:rsidR="00B20097">
        <w:t>, the Commission staff must review and approve the pro</w:t>
      </w:r>
      <w:r w:rsidR="003D5B47">
        <w:t xml:space="preserve"> </w:t>
      </w:r>
      <w:r w:rsidRPr="00320945" w:rsidR="00B20097">
        <w:t>forma contracts.</w:t>
      </w:r>
      <w:r w:rsidR="00BE6F93">
        <w:t xml:space="preserve"> </w:t>
      </w:r>
      <w:r w:rsidRPr="00320945" w:rsidR="00B20097">
        <w:t>It is</w:t>
      </w:r>
      <w:r w:rsidR="00FF6A8C">
        <w:t>,</w:t>
      </w:r>
      <w:r w:rsidRPr="00320945" w:rsidR="00B20097">
        <w:t xml:space="preserve"> therefore</w:t>
      </w:r>
      <w:r w:rsidR="00FF6A8C">
        <w:t>,</w:t>
      </w:r>
      <w:r w:rsidRPr="00320945" w:rsidR="00B20097">
        <w:t xml:space="preserve"> reasonable to provide </w:t>
      </w:r>
      <w:r w:rsidR="003B39F3">
        <w:t>a</w:t>
      </w:r>
      <w:r w:rsidRPr="00320945" w:rsidR="00B20097">
        <w:t xml:space="preserve"> Tier</w:t>
      </w:r>
      <w:r w:rsidR="00734C75">
        <w:t> </w:t>
      </w:r>
      <w:r w:rsidRPr="00320945" w:rsidR="00B20097">
        <w:t xml:space="preserve">2 </w:t>
      </w:r>
      <w:r w:rsidR="003B39F3">
        <w:t xml:space="preserve">Advice Letter </w:t>
      </w:r>
      <w:r w:rsidRPr="00320945" w:rsidR="00B20097">
        <w:t>review of the proposed long-term pro</w:t>
      </w:r>
      <w:r w:rsidR="003D5B47">
        <w:t xml:space="preserve"> </w:t>
      </w:r>
      <w:r w:rsidRPr="00320945" w:rsidR="00B20097">
        <w:t>forma to provide stakeholders and Commission staff adequate opportunity to review PG&amp;E’s proposed long-term Market Offer pro forma</w:t>
      </w:r>
      <w:r w:rsidR="000C6BA4">
        <w:t xml:space="preserve"> contract language</w:t>
      </w:r>
      <w:r w:rsidRPr="00320945" w:rsidR="00B20097">
        <w:t xml:space="preserve">. </w:t>
      </w:r>
    </w:p>
    <w:p w:rsidR="00102FEB" w:rsidP="000F2883" w:rsidRDefault="000F2883" w14:paraId="0F5A03A2" w14:textId="6B40060E">
      <w:pPr>
        <w:pStyle w:val="Standard"/>
      </w:pPr>
      <w:r w:rsidRPr="009E4801">
        <w:t>Both SCE and PG&amp;E, in their comments on the proposed decision, state that they do not have long-term pro</w:t>
      </w:r>
      <w:r w:rsidR="003D5B47">
        <w:t xml:space="preserve"> </w:t>
      </w:r>
      <w:r w:rsidRPr="009E4801">
        <w:t>forma contracts and need more than 15</w:t>
      </w:r>
      <w:r w:rsidR="00D321D5">
        <w:t> </w:t>
      </w:r>
      <w:r w:rsidRPr="009E4801">
        <w:t xml:space="preserve">days to get them ready for submission and Commission approval. SCE states that the review of the Tier 2 Advice Letter with the short-term and long-term pro forma Market Offer contracts will slow down the start of the Market Offer process such that even deliveries of short-term RECs will not start until late in 2023. </w:t>
      </w:r>
    </w:p>
    <w:p w:rsidRPr="009E4801" w:rsidR="000F2883" w:rsidP="00102FEB" w:rsidRDefault="00102FEB" w14:paraId="4C4FF732" w14:textId="4EA17F61">
      <w:pPr>
        <w:pStyle w:val="Standard"/>
      </w:pPr>
      <w:r>
        <w:t>As for the concerns shown by SCE and PG&amp;E over not having written long-term pro</w:t>
      </w:r>
      <w:r w:rsidR="003D5B47">
        <w:t xml:space="preserve"> </w:t>
      </w:r>
      <w:r>
        <w:t>forma</w:t>
      </w:r>
      <w:r w:rsidR="003D5B47">
        <w:t>s</w:t>
      </w:r>
      <w:r>
        <w:t xml:space="preserve"> before this VAMO cycle, we find their procedural and timing concerns are overstated. </w:t>
      </w:r>
      <w:r w:rsidR="00576AE6">
        <w:t>The</w:t>
      </w:r>
      <w:r>
        <w:t xml:space="preserve"> IOUs </w:t>
      </w:r>
      <w:r w:rsidR="00F30618">
        <w:t>have over 15 years of RPS contracting experience</w:t>
      </w:r>
      <w:r w:rsidR="00D164CE">
        <w:t xml:space="preserve">, routinely conduct energy </w:t>
      </w:r>
      <w:r w:rsidR="00576AE6">
        <w:t>solicitations</w:t>
      </w:r>
      <w:r w:rsidR="00004862">
        <w:t>,</w:t>
      </w:r>
      <w:r w:rsidR="00576AE6">
        <w:t xml:space="preserve"> and </w:t>
      </w:r>
      <w:r w:rsidR="00FD456E">
        <w:t>in general</w:t>
      </w:r>
      <w:r w:rsidR="00FF6A8C">
        <w:t>,</w:t>
      </w:r>
      <w:r w:rsidR="00FD456E">
        <w:t xml:space="preserve"> </w:t>
      </w:r>
      <w:r>
        <w:t xml:space="preserve">are savvy </w:t>
      </w:r>
      <w:r w:rsidR="00576AE6">
        <w:t xml:space="preserve">at this process. With </w:t>
      </w:r>
      <w:r>
        <w:t>experience conducting complex solicitations</w:t>
      </w:r>
      <w:r w:rsidR="00576AE6">
        <w:t xml:space="preserve"> </w:t>
      </w:r>
      <w:r>
        <w:t xml:space="preserve">they have </w:t>
      </w:r>
      <w:r w:rsidR="00576AE6">
        <w:t xml:space="preserve">past knowledge and </w:t>
      </w:r>
      <w:r>
        <w:t xml:space="preserve">templates to work from. </w:t>
      </w:r>
      <w:r w:rsidR="00576AE6">
        <w:t xml:space="preserve">If SCE and PG&amp;E need initial guidance they can rely on </w:t>
      </w:r>
      <w:r w:rsidRPr="00320945" w:rsidR="00576AE6">
        <w:t xml:space="preserve">SDG&amp;E’s proposed pro forma as a model template because it already accommodates for long-term offers. </w:t>
      </w:r>
      <w:r>
        <w:t xml:space="preserve">There is ample guidance on </w:t>
      </w:r>
      <w:r w:rsidR="00D16286">
        <w:t>appropriate</w:t>
      </w:r>
      <w:r>
        <w:t xml:space="preserve"> RPS </w:t>
      </w:r>
      <w:r w:rsidR="00D16286">
        <w:t>contract terms and</w:t>
      </w:r>
      <w:r>
        <w:t xml:space="preserve"> solicitations, therefore, we don’t think t</w:t>
      </w:r>
      <w:r w:rsidR="00576AE6">
        <w:t>he IOUs</w:t>
      </w:r>
      <w:r>
        <w:t xml:space="preserve"> need 60 days to draft pro</w:t>
      </w:r>
      <w:r w:rsidR="003D5B47">
        <w:t xml:space="preserve"> </w:t>
      </w:r>
      <w:r>
        <w:t xml:space="preserve">forma contract language. </w:t>
      </w:r>
      <w:r w:rsidRPr="009E4801" w:rsidR="000F2883">
        <w:t xml:space="preserve">To </w:t>
      </w:r>
      <w:r w:rsidR="00576AE6">
        <w:t>accommodate</w:t>
      </w:r>
      <w:r w:rsidRPr="009E4801" w:rsidR="000F2883">
        <w:t xml:space="preserve"> this </w:t>
      </w:r>
      <w:r w:rsidRPr="009E4801" w:rsidR="006A2504">
        <w:t>concern,</w:t>
      </w:r>
      <w:r w:rsidRPr="009E4801" w:rsidR="000F2883">
        <w:t xml:space="preserve"> we</w:t>
      </w:r>
      <w:r w:rsidR="000F2883">
        <w:t xml:space="preserve"> authorize the IOUs to</w:t>
      </w:r>
      <w:r w:rsidR="00576AE6">
        <w:t xml:space="preserve"> each</w:t>
      </w:r>
      <w:r w:rsidR="000F2883">
        <w:t xml:space="preserve"> submit Tier 2 Advice Letters</w:t>
      </w:r>
      <w:r w:rsidR="00576AE6">
        <w:t xml:space="preserve"> with long</w:t>
      </w:r>
      <w:r w:rsidR="00D321D5">
        <w:noBreakHyphen/>
      </w:r>
      <w:r w:rsidR="00576AE6">
        <w:t>term pro</w:t>
      </w:r>
      <w:r w:rsidR="003D5B47">
        <w:t xml:space="preserve"> </w:t>
      </w:r>
      <w:r w:rsidR="00576AE6">
        <w:t>forma contract language</w:t>
      </w:r>
      <w:r w:rsidR="000F2883">
        <w:t xml:space="preserve"> within 30 days of the issuance of this decision</w:t>
      </w:r>
      <w:r w:rsidR="00576AE6">
        <w:t xml:space="preserve"> </w:t>
      </w:r>
      <w:r w:rsidR="00ED5565">
        <w:t>as well as</w:t>
      </w:r>
      <w:r w:rsidR="00576AE6">
        <w:t xml:space="preserve"> </w:t>
      </w:r>
      <w:r w:rsidR="00A94CC3">
        <w:t xml:space="preserve">relevant </w:t>
      </w:r>
      <w:r w:rsidR="00187141">
        <w:t xml:space="preserve">modifications to </w:t>
      </w:r>
      <w:r w:rsidR="00576AE6">
        <w:t xml:space="preserve">the </w:t>
      </w:r>
      <w:r w:rsidR="006E2BED">
        <w:t>Market Offer process</w:t>
      </w:r>
      <w:r w:rsidR="00EE43CD">
        <w:t xml:space="preserve"> </w:t>
      </w:r>
      <w:r w:rsidR="00576AE6">
        <w:t>adopted in this decision</w:t>
      </w:r>
      <w:r w:rsidR="000F2883">
        <w:t xml:space="preserve">. </w:t>
      </w:r>
      <w:r w:rsidRPr="009E4801" w:rsidR="000F2883">
        <w:t xml:space="preserve"> </w:t>
      </w:r>
    </w:p>
    <w:p w:rsidR="00D321D5" w:rsidP="00D321D5" w:rsidRDefault="00B20097" w14:paraId="1F9283ED" w14:textId="10BBE413">
      <w:pPr>
        <w:pStyle w:val="Standard"/>
      </w:pPr>
      <w:r w:rsidRPr="00D321D5">
        <w:t>For short</w:t>
      </w:r>
      <w:r w:rsidRPr="00320945">
        <w:t>-term</w:t>
      </w:r>
      <w:r w:rsidR="00A86BC7">
        <w:t xml:space="preserve"> pro</w:t>
      </w:r>
      <w:r w:rsidR="00F029F3">
        <w:t xml:space="preserve"> </w:t>
      </w:r>
      <w:r w:rsidR="00A86BC7">
        <w:t>forma</w:t>
      </w:r>
      <w:r w:rsidRPr="00320945">
        <w:t xml:space="preserve"> contracts, we retain the current Tier 1 Advice Letter filing process</w:t>
      </w:r>
      <w:r w:rsidR="00A86BC7">
        <w:t xml:space="preserve"> because the IOUs have already submitted their pro</w:t>
      </w:r>
      <w:r w:rsidR="00F029F3">
        <w:t xml:space="preserve"> </w:t>
      </w:r>
      <w:r w:rsidR="00A86BC7">
        <w:t>forma contracts for Commission approval</w:t>
      </w:r>
      <w:r w:rsidRPr="00320945">
        <w:t>.</w:t>
      </w:r>
      <w:r w:rsidR="00A86BC7">
        <w:t xml:space="preserve"> There is no merit in modifying the filing category this late in the review process.</w:t>
      </w:r>
      <w:r w:rsidRPr="00320945">
        <w:t xml:space="preserve"> </w:t>
      </w:r>
      <w:r w:rsidR="00A86BC7">
        <w:t>We further c</w:t>
      </w:r>
      <w:r w:rsidR="00160C3B">
        <w:t xml:space="preserve">larify that the Energy Division issued disposition letters </w:t>
      </w:r>
      <w:r w:rsidR="00BE6F93">
        <w:t xml:space="preserve">to the IOUs </w:t>
      </w:r>
      <w:r w:rsidR="00160C3B">
        <w:t xml:space="preserve">on October </w:t>
      </w:r>
      <w:r w:rsidR="00F029F3">
        <w:t>24</w:t>
      </w:r>
      <w:r w:rsidR="00160C3B">
        <w:t>, 2022</w:t>
      </w:r>
      <w:r w:rsidR="00BE6F93">
        <w:t>,</w:t>
      </w:r>
      <w:r w:rsidR="00160C3B">
        <w:t xml:space="preserve"> approving </w:t>
      </w:r>
      <w:r w:rsidR="00BE6F93">
        <w:t xml:space="preserve">Market Offer proforma contracts. </w:t>
      </w:r>
      <w:r w:rsidR="006A2504">
        <w:t>Therefore, w</w:t>
      </w:r>
      <w:r w:rsidR="00BE6F93">
        <w:t>e expect the IOUs to use the approved pro</w:t>
      </w:r>
      <w:r w:rsidR="00F029F3">
        <w:t xml:space="preserve"> </w:t>
      </w:r>
      <w:r w:rsidR="00BE6F93">
        <w:t xml:space="preserve">formas for their short-term contracts in this VAMO cycle. </w:t>
      </w:r>
      <w:r w:rsidR="00F0172C">
        <w:t xml:space="preserve">The IOUs shall </w:t>
      </w:r>
      <w:r w:rsidR="00576AE6">
        <w:t xml:space="preserve">each </w:t>
      </w:r>
      <w:r w:rsidR="00F0172C">
        <w:t xml:space="preserve">submit </w:t>
      </w:r>
      <w:r w:rsidR="0063631C">
        <w:t>a</w:t>
      </w:r>
      <w:r w:rsidR="00F0172C">
        <w:t xml:space="preserve"> Tier 1 Advice Letter within 15 days of the issuance of this decision with updated Market Offer pro</w:t>
      </w:r>
      <w:r w:rsidR="0063631C">
        <w:t xml:space="preserve"> </w:t>
      </w:r>
      <w:r w:rsidR="00F0172C">
        <w:t>forma for short</w:t>
      </w:r>
      <w:r w:rsidR="00FF6A8C">
        <w:t>-</w:t>
      </w:r>
      <w:r w:rsidR="00F0172C">
        <w:t xml:space="preserve">term contracts </w:t>
      </w:r>
      <w:r w:rsidR="00EB0D0B">
        <w:t>as well as relevant</w:t>
      </w:r>
      <w:r w:rsidR="00F0172C">
        <w:t xml:space="preserve"> </w:t>
      </w:r>
      <w:r w:rsidR="00E82DFC">
        <w:t xml:space="preserve">modifications to the </w:t>
      </w:r>
      <w:r w:rsidR="003E7697">
        <w:t xml:space="preserve">Market Offer process </w:t>
      </w:r>
      <w:r w:rsidR="00F0172C">
        <w:t xml:space="preserve">adopted in this decision. </w:t>
      </w:r>
      <w:r w:rsidR="00102FEB">
        <w:t>We expect short-term solicitations to start soon after the approval of the Tier 1 Advice Letter</w:t>
      </w:r>
      <w:r w:rsidR="00576AE6">
        <w:t>s</w:t>
      </w:r>
      <w:r w:rsidR="00102FEB">
        <w:t>. We ask Energy Division to expedite review and approval of these Advice Letters to facilitate Market Offer implementation</w:t>
      </w:r>
      <w:r w:rsidR="000B0BDF">
        <w:t>.</w:t>
      </w:r>
      <w:r w:rsidR="00112B6F">
        <w:t xml:space="preserve"> </w:t>
      </w:r>
      <w:r w:rsidRPr="000C6BA4" w:rsidR="00F0172C">
        <w:t xml:space="preserve">Since we are authorizing different submission timings for short-and long-term proforma contracts we expect that solicitations will also follow different timelines. </w:t>
      </w:r>
      <w:r w:rsidRPr="000C6BA4" w:rsidR="00102FEB">
        <w:t xml:space="preserve">The IOUs should submit their </w:t>
      </w:r>
      <w:r w:rsidRPr="003564BA" w:rsidR="00102FEB">
        <w:t>proposed timeline</w:t>
      </w:r>
      <w:r w:rsidRPr="003564BA" w:rsidR="00041CAE">
        <w:t>s</w:t>
      </w:r>
      <w:r w:rsidRPr="003564BA" w:rsidR="000B0BDF">
        <w:t xml:space="preserve"> as discussed</w:t>
      </w:r>
      <w:r w:rsidRPr="000C6BA4" w:rsidR="000B0BDF">
        <w:t xml:space="preserve"> in </w:t>
      </w:r>
      <w:r w:rsidR="00D321D5">
        <w:t>S</w:t>
      </w:r>
      <w:r w:rsidRPr="000C6BA4" w:rsidR="000B0BDF">
        <w:t>ection</w:t>
      </w:r>
      <w:r w:rsidR="00D321D5">
        <w:t> </w:t>
      </w:r>
      <w:r w:rsidRPr="002E526E" w:rsidR="002E526E">
        <w:rPr>
          <w:bCs/>
        </w:rPr>
        <w:t>5.5</w:t>
      </w:r>
      <w:r w:rsidRPr="002E526E" w:rsidR="000B0BDF">
        <w:rPr>
          <w:bCs/>
        </w:rPr>
        <w:t xml:space="preserve"> of</w:t>
      </w:r>
      <w:r w:rsidRPr="000C6BA4" w:rsidR="000B0BDF">
        <w:t xml:space="preserve"> this </w:t>
      </w:r>
      <w:r w:rsidRPr="000C6BA4" w:rsidR="00F5751D">
        <w:t>decision</w:t>
      </w:r>
      <w:r w:rsidRPr="000C6BA4" w:rsidR="000B0BDF">
        <w:t>.</w:t>
      </w:r>
    </w:p>
    <w:p w:rsidRPr="00B33169" w:rsidR="0081191C" w:rsidP="00681522" w:rsidRDefault="00BB45EC" w14:paraId="6DF0A56A" w14:textId="599E6063">
      <w:pPr>
        <w:pStyle w:val="Heading3"/>
        <w:numPr>
          <w:ilvl w:val="2"/>
          <w:numId w:val="35"/>
        </w:numPr>
        <w:tabs>
          <w:tab w:val="num" w:pos="1656"/>
        </w:tabs>
        <w:ind w:left="1656" w:hanging="936"/>
      </w:pPr>
      <w:bookmarkStart w:name="_Toc119660151" w:id="18"/>
      <w:r w:rsidRPr="002921D3">
        <w:t>Bid</w:t>
      </w:r>
      <w:r w:rsidRPr="00B33169" w:rsidR="0081191C">
        <w:t xml:space="preserve"> Floor</w:t>
      </w:r>
      <w:bookmarkEnd w:id="18"/>
    </w:p>
    <w:p w:rsidR="002E01DD" w:rsidP="002921D3" w:rsidRDefault="00982B97" w14:paraId="4FD58A2C" w14:textId="763AB0E0">
      <w:pPr>
        <w:pStyle w:val="Standard"/>
      </w:pPr>
      <w:r w:rsidRPr="00B33169">
        <w:t xml:space="preserve">D.21-05-030 requires the Market Offer process </w:t>
      </w:r>
      <w:r w:rsidRPr="00B33169" w:rsidR="00C359A0">
        <w:t>to b</w:t>
      </w:r>
      <w:r w:rsidRPr="00B33169">
        <w:t xml:space="preserve">e based upon existing </w:t>
      </w:r>
      <w:r w:rsidRPr="00B33169" w:rsidR="00C05A8A">
        <w:t>procedures</w:t>
      </w:r>
      <w:r w:rsidRPr="00B33169">
        <w:t>, rules, oversight requirements</w:t>
      </w:r>
      <w:r w:rsidRPr="00400D72">
        <w:t>, and reporting requirements for IOU REC solicitations previously approved in the Commission’s RPS proceeding.</w:t>
      </w:r>
      <w:r w:rsidRPr="00400D72">
        <w:rPr>
          <w:rStyle w:val="FootnoteReference"/>
          <w:rFonts w:cs="Times New Roman"/>
        </w:rPr>
        <w:footnoteReference w:id="64"/>
      </w:r>
      <w:r w:rsidRPr="00400D72">
        <w:t xml:space="preserve"> </w:t>
      </w:r>
      <w:r w:rsidRPr="00400D72" w:rsidR="00C91EB0">
        <w:t xml:space="preserve">In </w:t>
      </w:r>
      <w:r w:rsidRPr="00400D72" w:rsidR="00C96EFC">
        <w:t>D</w:t>
      </w:r>
      <w:r w:rsidRPr="00400D72" w:rsidR="00243851">
        <w:t>.19</w:t>
      </w:r>
      <w:r w:rsidR="00D321D5">
        <w:noBreakHyphen/>
      </w:r>
      <w:r w:rsidRPr="00400D72" w:rsidR="00566179">
        <w:t>12</w:t>
      </w:r>
      <w:r w:rsidR="00D321D5">
        <w:noBreakHyphen/>
      </w:r>
      <w:r w:rsidRPr="00400D72" w:rsidR="00566179">
        <w:t>042</w:t>
      </w:r>
      <w:r w:rsidRPr="00400D72" w:rsidR="00243851">
        <w:t xml:space="preserve"> and D.21</w:t>
      </w:r>
      <w:r w:rsidR="00D321D5">
        <w:noBreakHyphen/>
      </w:r>
      <w:r w:rsidRPr="00400D72" w:rsidR="00A00555">
        <w:t>01</w:t>
      </w:r>
      <w:r w:rsidR="00D321D5">
        <w:noBreakHyphen/>
      </w:r>
      <w:r w:rsidRPr="00400D72" w:rsidR="00A00555">
        <w:t>005</w:t>
      </w:r>
      <w:r w:rsidRPr="00400D72" w:rsidR="00B67317">
        <w:t>,</w:t>
      </w:r>
      <w:r w:rsidRPr="00400D72" w:rsidR="00AC1879">
        <w:t xml:space="preserve"> we</w:t>
      </w:r>
      <w:r w:rsidRPr="00400D72" w:rsidR="00243851">
        <w:t xml:space="preserve"> </w:t>
      </w:r>
      <w:r w:rsidRPr="00400D72" w:rsidR="00DD221E">
        <w:t>approved</w:t>
      </w:r>
      <w:r w:rsidRPr="00B6653A" w:rsidR="00FB092A">
        <w:t xml:space="preserve"> </w:t>
      </w:r>
      <w:r w:rsidRPr="00B6653A" w:rsidR="00FF11D0">
        <w:t>RPS sales solicitations</w:t>
      </w:r>
      <w:r w:rsidRPr="00B6653A" w:rsidR="00B67317">
        <w:t xml:space="preserve"> </w:t>
      </w:r>
      <w:r w:rsidRPr="00B6653A" w:rsidR="00FB092A">
        <w:t>to set bid floors to avoid market manipulation.</w:t>
      </w:r>
      <w:r w:rsidRPr="4D2AE5DA" w:rsidR="00FB092A">
        <w:t xml:space="preserve"> </w:t>
      </w:r>
      <w:r w:rsidRPr="4D2AE5DA" w:rsidR="00FF11D0">
        <w:t xml:space="preserve"> </w:t>
      </w:r>
    </w:p>
    <w:p w:rsidRPr="00CE50E7" w:rsidR="00D06D00" w:rsidP="002921D3" w:rsidRDefault="00B62853" w14:paraId="6F7CDDA0" w14:textId="1FCAD2DB">
      <w:pPr>
        <w:pStyle w:val="Standard"/>
      </w:pPr>
      <w:r>
        <w:t>The Market Offer</w:t>
      </w:r>
      <w:r w:rsidRPr="00853017">
        <w:t xml:space="preserve"> </w:t>
      </w:r>
      <w:r w:rsidR="000846DB">
        <w:t>solicitation protocol</w:t>
      </w:r>
      <w:r w:rsidRPr="00853017" w:rsidR="00853017">
        <w:t xml:space="preserve"> </w:t>
      </w:r>
      <w:r w:rsidR="00214A75">
        <w:t xml:space="preserve">proposals </w:t>
      </w:r>
      <w:r w:rsidR="006F3C14">
        <w:t xml:space="preserve">included in the VAMO process </w:t>
      </w:r>
      <w:r w:rsidR="00214A75">
        <w:t>are</w:t>
      </w:r>
      <w:r w:rsidRPr="00853017" w:rsidR="00853017">
        <w:t xml:space="preserve"> marked confidential</w:t>
      </w:r>
      <w:r w:rsidR="00853017">
        <w:t xml:space="preserve"> </w:t>
      </w:r>
      <w:r w:rsidR="002E01DD">
        <w:t xml:space="preserve">by all IOUs. After reviewing the </w:t>
      </w:r>
      <w:r w:rsidR="00B84103">
        <w:t>Market Offer solicitation protocols</w:t>
      </w:r>
      <w:r w:rsidR="00BB45EC">
        <w:t>,</w:t>
      </w:r>
      <w:r w:rsidR="00C53BB6">
        <w:t xml:space="preserve"> w</w:t>
      </w:r>
      <w:r w:rsidR="00D06D00">
        <w:t>e agree with the IOUs that</w:t>
      </w:r>
      <w:r w:rsidRPr="00CE50E7" w:rsidR="00D06D00">
        <w:t xml:space="preserve"> </w:t>
      </w:r>
      <w:r w:rsidR="00FB092A">
        <w:t xml:space="preserve">having the </w:t>
      </w:r>
      <w:r w:rsidR="00214A75">
        <w:t>option</w:t>
      </w:r>
      <w:r w:rsidR="00FB092A">
        <w:t xml:space="preserve"> to set</w:t>
      </w:r>
      <w:r w:rsidRPr="00CE50E7" w:rsidR="00D06D00">
        <w:t xml:space="preserve"> a </w:t>
      </w:r>
      <w:r w:rsidR="00BB45EC">
        <w:t>bid floor</w:t>
      </w:r>
      <w:r w:rsidRPr="00CE50E7" w:rsidR="00D06D00">
        <w:t xml:space="preserve"> will promote </w:t>
      </w:r>
      <w:r w:rsidR="00D06D00">
        <w:t>competitive solicitations</w:t>
      </w:r>
      <w:r w:rsidRPr="00CE50E7" w:rsidR="00D06D00">
        <w:t xml:space="preserve"> and avoid market manipulation, benefitting ratepayers. </w:t>
      </w:r>
    </w:p>
    <w:p w:rsidR="007A2169" w:rsidP="002921D3" w:rsidRDefault="00BB01A3" w14:paraId="1913624D" w14:textId="134CEF6F">
      <w:pPr>
        <w:pStyle w:val="Standard"/>
      </w:pPr>
      <w:r w:rsidRPr="00CE50E7">
        <w:t>CalCCA</w:t>
      </w:r>
      <w:r w:rsidR="004F489E">
        <w:t xml:space="preserve">’s comments are based on </w:t>
      </w:r>
      <w:r w:rsidR="00BB45EC">
        <w:t xml:space="preserve">its review of </w:t>
      </w:r>
      <w:r w:rsidR="004F489E">
        <w:t xml:space="preserve">the redacted version of the </w:t>
      </w:r>
      <w:r w:rsidR="006E3BC2">
        <w:t xml:space="preserve">sales strategies. CalCCA </w:t>
      </w:r>
      <w:r w:rsidDel="000729BF" w:rsidR="00BB45EC">
        <w:t>opposes</w:t>
      </w:r>
      <w:r w:rsidDel="000729BF" w:rsidR="006E3BC2">
        <w:t xml:space="preserve"> </w:t>
      </w:r>
      <w:r w:rsidDel="000729BF" w:rsidR="003737F0">
        <w:t xml:space="preserve">setting a </w:t>
      </w:r>
      <w:r w:rsidDel="000729BF" w:rsidR="00BB45EC">
        <w:t>bid floor</w:t>
      </w:r>
      <w:r w:rsidDel="000729BF" w:rsidR="00D573E3">
        <w:t>,</w:t>
      </w:r>
      <w:r w:rsidDel="000729BF" w:rsidR="003737F0">
        <w:t xml:space="preserve"> and it </w:t>
      </w:r>
      <w:r w:rsidR="00407C62">
        <w:t xml:space="preserve">states </w:t>
      </w:r>
      <w:r>
        <w:t xml:space="preserve">that </w:t>
      </w:r>
      <w:r w:rsidRPr="00CE50E7">
        <w:t xml:space="preserve">the IOUs cannot reasonably set </w:t>
      </w:r>
      <w:r w:rsidR="00BB45EC">
        <w:t>bid floor</w:t>
      </w:r>
      <w:r w:rsidRPr="00CE50E7">
        <w:t>s given there is no pre-existing market for Market Offer transactions.</w:t>
      </w:r>
      <w:r w:rsidRPr="00CE50E7">
        <w:rPr>
          <w:rStyle w:val="FootnoteReference"/>
          <w:rFonts w:cs="Times New Roman"/>
        </w:rPr>
        <w:footnoteReference w:id="65"/>
      </w:r>
      <w:r w:rsidR="006B168D">
        <w:t xml:space="preserve"> </w:t>
      </w:r>
      <w:r w:rsidRPr="00CE50E7" w:rsidR="00390AD2">
        <w:t xml:space="preserve">CalCCA argues </w:t>
      </w:r>
      <w:r w:rsidR="00390AD2">
        <w:t xml:space="preserve">that </w:t>
      </w:r>
      <w:r w:rsidRPr="00CE50E7" w:rsidR="00390AD2">
        <w:t xml:space="preserve">allowing RECs to remain “unsold” because of </w:t>
      </w:r>
      <w:r w:rsidR="00BB45EC">
        <w:t>bid floor</w:t>
      </w:r>
      <w:r w:rsidRPr="00CE50E7" w:rsidR="00390AD2">
        <w:t>s “deprives all customers paying the PCIA from revenue for those lost sales and prevents a potential reduction of the PCIA.”</w:t>
      </w:r>
      <w:r w:rsidRPr="00CE50E7" w:rsidR="00390AD2">
        <w:rPr>
          <w:rStyle w:val="FootnoteReference"/>
          <w:rFonts w:cs="Times New Roman"/>
        </w:rPr>
        <w:footnoteReference w:id="66"/>
      </w:r>
      <w:r w:rsidRPr="00CE50E7" w:rsidR="00390AD2">
        <w:t xml:space="preserve"> </w:t>
      </w:r>
      <w:r w:rsidRPr="00CE50E7" w:rsidR="00FC48BA">
        <w:t xml:space="preserve">CalCCA </w:t>
      </w:r>
      <w:r w:rsidR="00FC48BA">
        <w:t>further states that</w:t>
      </w:r>
      <w:r w:rsidR="00CD5AB2">
        <w:t xml:space="preserve"> by</w:t>
      </w:r>
      <w:r w:rsidR="00FC48BA">
        <w:t xml:space="preserve"> </w:t>
      </w:r>
      <w:r w:rsidRPr="00CE50E7" w:rsidR="00FC48BA">
        <w:t xml:space="preserve">authorizing </w:t>
      </w:r>
      <w:r w:rsidR="00BB45EC">
        <w:t>bid floor</w:t>
      </w:r>
      <w:r w:rsidRPr="00CE50E7" w:rsidR="00FC48BA">
        <w:t xml:space="preserve">s, </w:t>
      </w:r>
      <w:r w:rsidR="006C06C0">
        <w:t>IOUs will have the ability</w:t>
      </w:r>
      <w:r w:rsidRPr="00CE50E7" w:rsidR="00FC48BA">
        <w:t xml:space="preserve">–outside of a </w:t>
      </w:r>
      <w:r w:rsidR="00FC48BA">
        <w:t>market-driven</w:t>
      </w:r>
      <w:r w:rsidRPr="00CE50E7" w:rsidR="00FC48BA">
        <w:t xml:space="preserve"> process—to decide the value </w:t>
      </w:r>
      <w:r w:rsidR="000A677B">
        <w:t>of the RPS</w:t>
      </w:r>
      <w:r w:rsidRPr="00CE50E7" w:rsidR="00FC48BA">
        <w:t xml:space="preserve"> resources </w:t>
      </w:r>
      <w:r w:rsidR="000A677B">
        <w:t xml:space="preserve">they can retain </w:t>
      </w:r>
      <w:r w:rsidRPr="00CE50E7" w:rsidR="00FC48BA">
        <w:t>for their purposes.</w:t>
      </w:r>
      <w:r w:rsidRPr="00CE50E7" w:rsidR="00FC48BA">
        <w:rPr>
          <w:rStyle w:val="FootnoteReference"/>
          <w:rFonts w:cs="Times New Roman"/>
        </w:rPr>
        <w:footnoteReference w:id="67"/>
      </w:r>
      <w:r w:rsidR="00FC48BA">
        <w:t xml:space="preserve"> </w:t>
      </w:r>
    </w:p>
    <w:p w:rsidR="0038691E" w:rsidP="002921D3" w:rsidRDefault="008A7011" w14:paraId="1AF4F7EF" w14:textId="64773282">
      <w:pPr>
        <w:pStyle w:val="Standard"/>
        <w:rPr>
          <w:rFonts w:cs="Times New Roman"/>
          <w:szCs w:val="26"/>
        </w:rPr>
      </w:pPr>
      <w:r>
        <w:t>In its response</w:t>
      </w:r>
      <w:r w:rsidR="00B67317">
        <w:t>,</w:t>
      </w:r>
      <w:r>
        <w:t xml:space="preserve"> </w:t>
      </w:r>
      <w:r w:rsidR="00F550DD">
        <w:t xml:space="preserve">SDG&amp;E states that </w:t>
      </w:r>
      <w:r>
        <w:t xml:space="preserve">VAMO is not intended to supplant an LSE’s procurement efforts </w:t>
      </w:r>
      <w:r w:rsidR="003E1F55">
        <w:t xml:space="preserve">but instead </w:t>
      </w:r>
      <w:r>
        <w:t xml:space="preserve">to equitably allocate the benefits of procurement that </w:t>
      </w:r>
      <w:r w:rsidR="00593489">
        <w:t>have</w:t>
      </w:r>
      <w:r>
        <w:t xml:space="preserve"> </w:t>
      </w:r>
      <w:r w:rsidR="00D718F1">
        <w:t xml:space="preserve">been </w:t>
      </w:r>
      <w:r>
        <w:t>done on behalf of CCA customers to those same CCA customers who pay the above-market costs of the procurement.</w:t>
      </w:r>
      <w:r w:rsidR="00F550DD">
        <w:rPr>
          <w:rStyle w:val="FootnoteReference"/>
        </w:rPr>
        <w:footnoteReference w:id="68"/>
      </w:r>
      <w:r>
        <w:t xml:space="preserve"> </w:t>
      </w:r>
      <w:r w:rsidRPr="00CE50E7" w:rsidR="0038691E">
        <w:rPr>
          <w:rFonts w:cs="Times New Roman"/>
          <w:szCs w:val="26"/>
        </w:rPr>
        <w:t xml:space="preserve">SDG&amp;E </w:t>
      </w:r>
      <w:r w:rsidR="006174E0">
        <w:rPr>
          <w:rFonts w:cs="Times New Roman"/>
          <w:szCs w:val="26"/>
        </w:rPr>
        <w:t>replies</w:t>
      </w:r>
      <w:r w:rsidR="0038691E">
        <w:rPr>
          <w:rFonts w:cs="Times New Roman"/>
          <w:szCs w:val="26"/>
        </w:rPr>
        <w:t xml:space="preserve"> that</w:t>
      </w:r>
      <w:r w:rsidRPr="00CE50E7" w:rsidR="0038691E">
        <w:rPr>
          <w:rFonts w:cs="Times New Roman"/>
          <w:szCs w:val="26"/>
        </w:rPr>
        <w:t xml:space="preserve"> if a bid floor is used, it would be reviewed </w:t>
      </w:r>
      <w:r w:rsidR="0038691E">
        <w:rPr>
          <w:rFonts w:cs="Times New Roman"/>
          <w:szCs w:val="26"/>
        </w:rPr>
        <w:t xml:space="preserve">before </w:t>
      </w:r>
      <w:r w:rsidRPr="00CE50E7" w:rsidR="0038691E">
        <w:rPr>
          <w:rFonts w:cs="Times New Roman"/>
          <w:szCs w:val="26"/>
        </w:rPr>
        <w:t xml:space="preserve">a solicitation by </w:t>
      </w:r>
      <w:r w:rsidR="0038691E">
        <w:rPr>
          <w:rFonts w:cs="Times New Roman"/>
          <w:szCs w:val="26"/>
        </w:rPr>
        <w:t>the</w:t>
      </w:r>
      <w:r w:rsidRPr="00CE50E7" w:rsidR="0038691E">
        <w:rPr>
          <w:rFonts w:cs="Times New Roman"/>
          <w:szCs w:val="26"/>
        </w:rPr>
        <w:t xml:space="preserve"> PRG and IE</w:t>
      </w:r>
      <w:r w:rsidR="0038691E">
        <w:rPr>
          <w:rFonts w:cs="Times New Roman"/>
          <w:szCs w:val="26"/>
        </w:rPr>
        <w:t>, ensuring</w:t>
      </w:r>
      <w:r w:rsidRPr="00CE50E7" w:rsidR="0038691E">
        <w:rPr>
          <w:rFonts w:cs="Times New Roman"/>
          <w:szCs w:val="26"/>
        </w:rPr>
        <w:t xml:space="preserve"> that any </w:t>
      </w:r>
      <w:r w:rsidR="0038691E">
        <w:rPr>
          <w:rFonts w:cs="Times New Roman"/>
          <w:szCs w:val="26"/>
        </w:rPr>
        <w:t>bid floor</w:t>
      </w:r>
      <w:r w:rsidRPr="00CE50E7" w:rsidR="0038691E">
        <w:rPr>
          <w:rFonts w:cs="Times New Roman"/>
          <w:szCs w:val="26"/>
        </w:rPr>
        <w:t xml:space="preserve"> is appropriate.</w:t>
      </w:r>
      <w:r w:rsidRPr="00CE50E7" w:rsidR="0038691E">
        <w:rPr>
          <w:rStyle w:val="FootnoteReference"/>
          <w:rFonts w:cs="Times New Roman"/>
        </w:rPr>
        <w:footnoteReference w:id="69"/>
      </w:r>
      <w:r w:rsidRPr="00CE50E7" w:rsidR="0038691E">
        <w:rPr>
          <w:rFonts w:cs="Times New Roman"/>
          <w:szCs w:val="26"/>
        </w:rPr>
        <w:t xml:space="preserve"> </w:t>
      </w:r>
      <w:r w:rsidR="00B65621">
        <w:rPr>
          <w:rFonts w:cs="Times New Roman"/>
          <w:szCs w:val="26"/>
        </w:rPr>
        <w:t xml:space="preserve">SDG&amp;E contends that </w:t>
      </w:r>
      <w:r w:rsidR="005051CC">
        <w:t>a bid floor would discourage gaming of the VAMO process by requiring participants who might defer all of their procurement to the Market Offer and bid artificially low prices.</w:t>
      </w:r>
      <w:r w:rsidR="00AE31B9">
        <w:rPr>
          <w:rStyle w:val="FootnoteReference"/>
        </w:rPr>
        <w:footnoteReference w:id="70"/>
      </w:r>
      <w:r w:rsidR="005051CC">
        <w:t xml:space="preserve"> </w:t>
      </w:r>
      <w:r w:rsidRPr="00CE50E7" w:rsidR="0038691E">
        <w:rPr>
          <w:rFonts w:cs="Times New Roman"/>
          <w:szCs w:val="26"/>
        </w:rPr>
        <w:t xml:space="preserve">SCE </w:t>
      </w:r>
      <w:r w:rsidR="0038691E">
        <w:rPr>
          <w:rFonts w:cs="Times New Roman"/>
          <w:szCs w:val="26"/>
        </w:rPr>
        <w:t xml:space="preserve">argues that according to </w:t>
      </w:r>
      <w:r w:rsidRPr="00CE50E7" w:rsidR="0038691E">
        <w:rPr>
          <w:rFonts w:cs="Times New Roman"/>
          <w:szCs w:val="26"/>
        </w:rPr>
        <w:t>D.19-10-001</w:t>
      </w:r>
      <w:r w:rsidR="0038691E">
        <w:rPr>
          <w:rFonts w:cs="Times New Roman"/>
          <w:szCs w:val="26"/>
        </w:rPr>
        <w:t>, retained and</w:t>
      </w:r>
      <w:r w:rsidRPr="00CE50E7" w:rsidR="0038691E">
        <w:rPr>
          <w:rFonts w:cs="Times New Roman"/>
          <w:szCs w:val="26"/>
        </w:rPr>
        <w:t xml:space="preserve"> unsold RECs are valued at the relevant </w:t>
      </w:r>
      <w:r w:rsidR="0038691E">
        <w:rPr>
          <w:rFonts w:cs="Times New Roman"/>
          <w:szCs w:val="26"/>
        </w:rPr>
        <w:t>market price benchmark</w:t>
      </w:r>
      <w:r w:rsidRPr="00CE50E7" w:rsidR="0038691E">
        <w:rPr>
          <w:rFonts w:cs="Times New Roman"/>
          <w:szCs w:val="26"/>
        </w:rPr>
        <w:t xml:space="preserve"> for the year when the RECs are used for compliance.</w:t>
      </w:r>
      <w:r w:rsidRPr="00CE50E7" w:rsidR="0038691E">
        <w:rPr>
          <w:rStyle w:val="FootnoteReference"/>
          <w:rFonts w:cs="Times New Roman"/>
        </w:rPr>
        <w:footnoteReference w:id="71"/>
      </w:r>
      <w:r w:rsidR="0038691E">
        <w:rPr>
          <w:rFonts w:cs="Times New Roman"/>
          <w:szCs w:val="26"/>
        </w:rPr>
        <w:t xml:space="preserve"> </w:t>
      </w:r>
    </w:p>
    <w:p w:rsidR="00BD2E58" w:rsidP="002921D3" w:rsidRDefault="00407C62" w14:paraId="766ED720" w14:textId="25CE7488">
      <w:pPr>
        <w:pStyle w:val="Standard"/>
      </w:pPr>
      <w:r w:rsidRPr="23FE48BF">
        <w:t>We disagree with CalCCA and find</w:t>
      </w:r>
      <w:r w:rsidRPr="23FE48BF" w:rsidR="00214A75">
        <w:t xml:space="preserve"> </w:t>
      </w:r>
      <w:r w:rsidR="000E4374">
        <w:t>SDG&amp;E’s and SCE’s</w:t>
      </w:r>
      <w:r w:rsidRPr="23FE48BF" w:rsidR="00214A75">
        <w:t xml:space="preserve"> comments reasonable</w:t>
      </w:r>
      <w:r w:rsidRPr="23FE48BF" w:rsidR="00F5228E">
        <w:t>,</w:t>
      </w:r>
      <w:r w:rsidRPr="23FE48BF" w:rsidR="00214A75">
        <w:t xml:space="preserve"> </w:t>
      </w:r>
      <w:r w:rsidRPr="23FE48BF">
        <w:t xml:space="preserve">that the </w:t>
      </w:r>
      <w:r w:rsidRPr="23FE48BF" w:rsidR="0099291B">
        <w:t xml:space="preserve">RPS markets </w:t>
      </w:r>
      <w:r w:rsidRPr="23FE48BF">
        <w:t xml:space="preserve">and the rules for </w:t>
      </w:r>
      <w:r w:rsidRPr="23FE48BF" w:rsidR="00765C6C">
        <w:t>a</w:t>
      </w:r>
      <w:r w:rsidRPr="23FE48BF" w:rsidR="005A550A">
        <w:t xml:space="preserve">n RPS </w:t>
      </w:r>
      <w:r w:rsidRPr="23FE48BF">
        <w:t xml:space="preserve">sales </w:t>
      </w:r>
      <w:r w:rsidRPr="23FE48BF" w:rsidR="00765C6C">
        <w:t xml:space="preserve">framework </w:t>
      </w:r>
      <w:r w:rsidRPr="23FE48BF" w:rsidR="0099291B">
        <w:t>are well established.</w:t>
      </w:r>
      <w:r w:rsidRPr="23FE48BF" w:rsidR="00B11FA2">
        <w:t xml:space="preserve"> </w:t>
      </w:r>
      <w:r w:rsidRPr="23FE48BF" w:rsidR="00AD6681">
        <w:t>Bid</w:t>
      </w:r>
      <w:r w:rsidRPr="23FE48BF" w:rsidR="00B11FA2">
        <w:t xml:space="preserve"> floors, should they be used, </w:t>
      </w:r>
      <w:r w:rsidR="00CE7D3B">
        <w:t>would avoid market manipulation and</w:t>
      </w:r>
      <w:r w:rsidR="000E4374">
        <w:t xml:space="preserve"> </w:t>
      </w:r>
      <w:r w:rsidR="00B67317">
        <w:t>artificially</w:t>
      </w:r>
      <w:r w:rsidR="00CE7D3B">
        <w:t xml:space="preserve"> </w:t>
      </w:r>
      <w:r w:rsidR="00B045A7">
        <w:t xml:space="preserve">low </w:t>
      </w:r>
      <w:r w:rsidRPr="23FE48BF" w:rsidR="00644DD7">
        <w:t xml:space="preserve">RPS product </w:t>
      </w:r>
      <w:r w:rsidRPr="23FE48BF" w:rsidR="008216E3">
        <w:t>prices</w:t>
      </w:r>
      <w:r w:rsidRPr="23FE48BF" w:rsidR="00A3372D">
        <w:t xml:space="preserve">. </w:t>
      </w:r>
      <w:r w:rsidRPr="23FE48BF" w:rsidR="003737F0">
        <w:t xml:space="preserve">Based on the current </w:t>
      </w:r>
      <w:r w:rsidRPr="23FE48BF" w:rsidR="006C06C0">
        <w:t>regulations</w:t>
      </w:r>
      <w:r w:rsidRPr="23FE48BF" w:rsidR="003737F0">
        <w:t xml:space="preserve">, IOUs will be </w:t>
      </w:r>
      <w:r w:rsidRPr="23FE48BF" w:rsidR="00800CE0">
        <w:t xml:space="preserve">required to </w:t>
      </w:r>
      <w:r w:rsidRPr="23FE48BF" w:rsidR="00037357">
        <w:t xml:space="preserve">vet their </w:t>
      </w:r>
      <w:r w:rsidRPr="23FE48BF" w:rsidR="00BB45EC">
        <w:t>bid floor</w:t>
      </w:r>
      <w:r w:rsidRPr="23FE48BF" w:rsidR="00037357">
        <w:t>s</w:t>
      </w:r>
      <w:r w:rsidRPr="23FE48BF" w:rsidR="00800CE0">
        <w:t xml:space="preserve"> with the PRG and IE</w:t>
      </w:r>
      <w:r w:rsidRPr="23FE48BF" w:rsidR="00037357">
        <w:t xml:space="preserve"> </w:t>
      </w:r>
      <w:r w:rsidRPr="23FE48BF" w:rsidR="006C06C0">
        <w:t>before</w:t>
      </w:r>
      <w:r w:rsidRPr="23FE48BF" w:rsidR="00037357">
        <w:t xml:space="preserve"> the solicitations</w:t>
      </w:r>
      <w:r w:rsidRPr="23FE48BF" w:rsidR="006C06C0">
        <w:t>,</w:t>
      </w:r>
      <w:r w:rsidRPr="23FE48BF" w:rsidR="00037357">
        <w:t xml:space="preserve"> which will help ensure </w:t>
      </w:r>
      <w:r w:rsidR="00893C76">
        <w:t xml:space="preserve">that </w:t>
      </w:r>
      <w:r w:rsidRPr="23FE48BF" w:rsidR="00037357">
        <w:t xml:space="preserve">appropriate </w:t>
      </w:r>
      <w:r w:rsidRPr="23FE48BF" w:rsidR="00BB45EC">
        <w:t>bid floor</w:t>
      </w:r>
      <w:r w:rsidRPr="23FE48BF" w:rsidR="00037357">
        <w:t>s</w:t>
      </w:r>
      <w:r w:rsidRPr="23FE48BF" w:rsidR="00B246A5">
        <w:t xml:space="preserve"> are set</w:t>
      </w:r>
      <w:r w:rsidRPr="23FE48BF" w:rsidR="00037357">
        <w:t>.</w:t>
      </w:r>
      <w:r w:rsidR="00A41FFD">
        <w:t xml:space="preserve"> Therefore</w:t>
      </w:r>
      <w:r w:rsidR="00A34182">
        <w:t>,</w:t>
      </w:r>
      <w:r w:rsidR="00A41FFD">
        <w:t xml:space="preserve"> we decline to adopt </w:t>
      </w:r>
      <w:r w:rsidR="00D0084A">
        <w:t xml:space="preserve">CalCCA’s recommendation to </w:t>
      </w:r>
      <w:r w:rsidR="00BD2E58">
        <w:t xml:space="preserve">eliminate bid floors. </w:t>
      </w:r>
    </w:p>
    <w:p w:rsidR="00AA6677" w:rsidP="002921D3" w:rsidRDefault="003E1529" w14:paraId="6E95A037" w14:textId="0F0BE1E0">
      <w:pPr>
        <w:pStyle w:val="Standard"/>
      </w:pPr>
      <w:r>
        <w:t>Regarding</w:t>
      </w:r>
      <w:r w:rsidRPr="00FF4C53" w:rsidR="00096601">
        <w:t xml:space="preserve"> SCE’s confidential </w:t>
      </w:r>
      <w:r w:rsidR="00D059A9">
        <w:t xml:space="preserve">Market Offer </w:t>
      </w:r>
      <w:r w:rsidR="001D6721">
        <w:t xml:space="preserve">sales </w:t>
      </w:r>
      <w:r w:rsidR="00BD2E58">
        <w:t>framework</w:t>
      </w:r>
      <w:r w:rsidRPr="00FF4C53" w:rsidR="00731A8D">
        <w:t>,</w:t>
      </w:r>
      <w:r w:rsidRPr="00FF4C53" w:rsidR="00A40D18">
        <w:t xml:space="preserve"> we find </w:t>
      </w:r>
      <w:r w:rsidR="00D3492E">
        <w:t>that it deviates from it</w:t>
      </w:r>
      <w:r w:rsidR="00797E08">
        <w:t>s</w:t>
      </w:r>
      <w:r w:rsidR="00D3492E">
        <w:t xml:space="preserve"> earlier approved method in D</w:t>
      </w:r>
      <w:r w:rsidR="005D6483">
        <w:t>.21</w:t>
      </w:r>
      <w:r w:rsidR="00D321D5">
        <w:noBreakHyphen/>
      </w:r>
      <w:r w:rsidR="005D6483">
        <w:t>01</w:t>
      </w:r>
      <w:r w:rsidR="00D321D5">
        <w:noBreakHyphen/>
      </w:r>
      <w:r w:rsidR="008837A7">
        <w:t>005 and</w:t>
      </w:r>
      <w:r w:rsidR="002505A1">
        <w:t xml:space="preserve"> </w:t>
      </w:r>
      <w:r w:rsidRPr="00FF4C53" w:rsidR="00652B06">
        <w:t>cannot</w:t>
      </w:r>
      <w:r w:rsidRPr="00FF4C53" w:rsidR="00037357">
        <w:t xml:space="preserve"> be used </w:t>
      </w:r>
      <w:r w:rsidR="00D53A59">
        <w:t xml:space="preserve">by the Commission to </w:t>
      </w:r>
      <w:r w:rsidR="00797E08">
        <w:t>eval</w:t>
      </w:r>
      <w:r w:rsidR="00CE2E24">
        <w:t>uate</w:t>
      </w:r>
      <w:r w:rsidRPr="00FF4C53" w:rsidR="00037357">
        <w:t xml:space="preserve"> </w:t>
      </w:r>
      <w:r w:rsidR="008837A7">
        <w:t>the fair</w:t>
      </w:r>
      <w:r w:rsidRPr="00FF4C53" w:rsidR="00037357">
        <w:t xml:space="preserve"> treatment of bids. </w:t>
      </w:r>
      <w:r w:rsidR="002505A1">
        <w:t xml:space="preserve">If SCE decides </w:t>
      </w:r>
      <w:r w:rsidR="00CE2E24">
        <w:t xml:space="preserve">to set bid floors, it must revise its method to follow </w:t>
      </w:r>
      <w:r w:rsidR="000A34E5">
        <w:t xml:space="preserve">the bid floor method approved in </w:t>
      </w:r>
      <w:r w:rsidRPr="00FF4C53" w:rsidR="00A40D18">
        <w:t>D.21-01-005 for its</w:t>
      </w:r>
      <w:r w:rsidRPr="00FF4C53" w:rsidR="00037357">
        <w:t xml:space="preserve"> 2021</w:t>
      </w:r>
      <w:r w:rsidR="00D321D5">
        <w:t> </w:t>
      </w:r>
      <w:r w:rsidRPr="4D2AE5DA" w:rsidR="00037357">
        <w:t xml:space="preserve">RPS </w:t>
      </w:r>
      <w:r w:rsidRPr="4D2AE5DA" w:rsidR="00A40D18">
        <w:t>P</w:t>
      </w:r>
      <w:r w:rsidRPr="4D2AE5DA" w:rsidR="00644A3D">
        <w:t>l</w:t>
      </w:r>
      <w:r w:rsidRPr="4D2AE5DA" w:rsidR="00037357">
        <w:t>an.</w:t>
      </w:r>
      <w:r w:rsidRPr="00CE50E7" w:rsidR="00037357">
        <w:rPr>
          <w:rStyle w:val="FootnoteReference"/>
          <w:rFonts w:cs="Times New Roman"/>
        </w:rPr>
        <w:footnoteReference w:id="72"/>
      </w:r>
      <w:r w:rsidRPr="4D2AE5DA" w:rsidR="00037357">
        <w:t xml:space="preserve"> </w:t>
      </w:r>
    </w:p>
    <w:p w:rsidR="00037357" w:rsidP="002921D3" w:rsidRDefault="00037357" w14:paraId="0BA5AA56" w14:textId="64E07BE2">
      <w:pPr>
        <w:pStyle w:val="Standard"/>
      </w:pPr>
      <w:r w:rsidRPr="4D2AE5DA">
        <w:t xml:space="preserve">The IOUs may use </w:t>
      </w:r>
      <w:r w:rsidRPr="4D2AE5DA" w:rsidR="00BB45EC">
        <w:t>bid floor</w:t>
      </w:r>
      <w:r w:rsidRPr="4D2AE5DA">
        <w:t xml:space="preserve">s in their </w:t>
      </w:r>
      <w:r w:rsidRPr="00E962F4">
        <w:t xml:space="preserve">Market Offer </w:t>
      </w:r>
      <w:r w:rsidRPr="00E962F4" w:rsidR="00BB45EC">
        <w:t xml:space="preserve">process </w:t>
      </w:r>
      <w:r w:rsidRPr="00E962F4">
        <w:t xml:space="preserve">and </w:t>
      </w:r>
      <w:r w:rsidRPr="000C319B" w:rsidR="000C319B">
        <w:t xml:space="preserve">update </w:t>
      </w:r>
      <w:r w:rsidR="00A36D31">
        <w:t>their</w:t>
      </w:r>
      <w:r w:rsidRPr="000C319B" w:rsidR="000C319B">
        <w:t xml:space="preserve"> Confidential Proposals to include</w:t>
      </w:r>
      <w:r w:rsidRPr="00E962F4" w:rsidR="796177B3">
        <w:t xml:space="preserve"> short-term and</w:t>
      </w:r>
      <w:r w:rsidRPr="00E962F4">
        <w:t xml:space="preserve"> long-term </w:t>
      </w:r>
      <w:r w:rsidRPr="00E962F4" w:rsidR="00BB45EC">
        <w:t>bid</w:t>
      </w:r>
      <w:r w:rsidR="00EF32D6">
        <w:t xml:space="preserve"> </w:t>
      </w:r>
      <w:r w:rsidR="006559F9">
        <w:t>parameters</w:t>
      </w:r>
      <w:r w:rsidRPr="00E962F4">
        <w:t>.</w:t>
      </w:r>
    </w:p>
    <w:p w:rsidR="00105487" w:rsidP="00681522" w:rsidRDefault="00105487" w14:paraId="57380A50" w14:textId="74C99E6B">
      <w:pPr>
        <w:pStyle w:val="Heading2"/>
        <w:numPr>
          <w:ilvl w:val="1"/>
          <w:numId w:val="49"/>
        </w:numPr>
        <w:ind w:left="1440" w:hanging="1080"/>
      </w:pPr>
      <w:bookmarkStart w:name="_Toc119660152" w:id="19"/>
      <w:r w:rsidRPr="002921D3">
        <w:t>Market</w:t>
      </w:r>
      <w:r>
        <w:t xml:space="preserve"> Offer Process Code of Conduct</w:t>
      </w:r>
      <w:bookmarkEnd w:id="19"/>
    </w:p>
    <w:p w:rsidRPr="00CE50E7" w:rsidR="003D39A9" w:rsidP="002921D3" w:rsidRDefault="003D39A9" w14:paraId="5AC0CB9E" w14:textId="132D1828">
      <w:pPr>
        <w:pStyle w:val="Standard"/>
      </w:pPr>
      <w:r w:rsidRPr="002921D3">
        <w:t>CalCCA</w:t>
      </w:r>
      <w:r w:rsidRPr="00CE50E7">
        <w:t xml:space="preserve"> proposes the following changes to the IOUs’ Code</w:t>
      </w:r>
      <w:r w:rsidR="004838AD">
        <w:t>s</w:t>
      </w:r>
      <w:r w:rsidRPr="00CE50E7">
        <w:t xml:space="preserve"> of Conduct</w:t>
      </w:r>
      <w:r w:rsidR="003F3584">
        <w:t>:</w:t>
      </w: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1439"/>
        <w:gridCol w:w="1357"/>
        <w:gridCol w:w="1527"/>
      </w:tblGrid>
      <w:tr w:rsidRPr="003D39A9" w:rsidR="003D39A9" w:rsidTr="00530D95" w14:paraId="6EC32DEB" w14:textId="77777777">
        <w:trPr>
          <w:trHeight w:val="710"/>
          <w:tblHeader/>
          <w:jc w:val="center"/>
        </w:trPr>
        <w:tc>
          <w:tcPr>
            <w:tcW w:w="5000" w:type="pct"/>
            <w:gridSpan w:val="4"/>
            <w:shd w:val="clear" w:color="auto" w:fill="auto"/>
            <w:noWrap/>
            <w:vAlign w:val="center"/>
          </w:tcPr>
          <w:p w:rsidRPr="00530D95" w:rsidR="003D39A9" w:rsidP="00D321D5" w:rsidRDefault="003D39A9" w14:paraId="31504065" w14:textId="734F3ADE">
            <w:pPr>
              <w:spacing w:line="240" w:lineRule="auto"/>
              <w:jc w:val="center"/>
              <w:rPr>
                <w:rFonts w:eastAsia="Times New Roman" w:cs="Times New Roman"/>
                <w:b/>
                <w:bCs/>
                <w:color w:val="000000"/>
                <w:sz w:val="24"/>
                <w:szCs w:val="24"/>
              </w:rPr>
            </w:pPr>
            <w:r w:rsidRPr="00530D95">
              <w:rPr>
                <w:rFonts w:eastAsia="Times New Roman" w:cs="Times New Roman"/>
                <w:b/>
                <w:bCs/>
                <w:color w:val="000000"/>
                <w:sz w:val="24"/>
                <w:szCs w:val="24"/>
              </w:rPr>
              <w:t xml:space="preserve">Table 2: </w:t>
            </w:r>
            <w:r w:rsidRPr="00530D95" w:rsidR="007E2B4A">
              <w:rPr>
                <w:rFonts w:eastAsia="Times New Roman" w:cs="Times New Roman"/>
                <w:b/>
                <w:bCs/>
                <w:color w:val="000000"/>
                <w:sz w:val="24"/>
                <w:szCs w:val="24"/>
              </w:rPr>
              <w:t xml:space="preserve"> </w:t>
            </w:r>
            <w:r w:rsidRPr="00530D95">
              <w:rPr>
                <w:rFonts w:eastAsia="Times New Roman" w:cs="Times New Roman"/>
                <w:b/>
                <w:bCs/>
                <w:color w:val="000000"/>
                <w:sz w:val="24"/>
                <w:szCs w:val="24"/>
              </w:rPr>
              <w:t xml:space="preserve">CalCCA’s Recommend </w:t>
            </w:r>
            <w:r w:rsidRPr="00530D95" w:rsidR="00881182">
              <w:rPr>
                <w:rFonts w:eastAsia="Times New Roman" w:cs="Times New Roman"/>
                <w:b/>
                <w:bCs/>
                <w:color w:val="000000"/>
                <w:sz w:val="24"/>
                <w:szCs w:val="24"/>
              </w:rPr>
              <w:t>revising the following topics in</w:t>
            </w:r>
            <w:r w:rsidRPr="00530D95" w:rsidR="00D321D5">
              <w:rPr>
                <w:rFonts w:eastAsia="Times New Roman" w:cs="Times New Roman"/>
                <w:b/>
                <w:bCs/>
                <w:color w:val="000000"/>
                <w:sz w:val="24"/>
                <w:szCs w:val="24"/>
              </w:rPr>
              <w:br/>
            </w:r>
            <w:r w:rsidRPr="00530D95" w:rsidR="00881182">
              <w:rPr>
                <w:rFonts w:eastAsia="Times New Roman" w:cs="Times New Roman"/>
                <w:b/>
                <w:bCs/>
                <w:color w:val="000000"/>
                <w:sz w:val="24"/>
                <w:szCs w:val="24"/>
              </w:rPr>
              <w:t xml:space="preserve">the </w:t>
            </w:r>
            <w:r w:rsidRPr="00530D95">
              <w:rPr>
                <w:rFonts w:eastAsia="Times New Roman" w:cs="Times New Roman"/>
                <w:b/>
                <w:bCs/>
                <w:color w:val="000000"/>
                <w:sz w:val="24"/>
                <w:szCs w:val="24"/>
              </w:rPr>
              <w:t>IOU’s Code</w:t>
            </w:r>
            <w:r w:rsidRPr="00530D95" w:rsidR="004838AD">
              <w:rPr>
                <w:rFonts w:eastAsia="Times New Roman" w:cs="Times New Roman"/>
                <w:b/>
                <w:bCs/>
                <w:color w:val="000000"/>
                <w:sz w:val="24"/>
                <w:szCs w:val="24"/>
              </w:rPr>
              <w:t>s</w:t>
            </w:r>
            <w:r w:rsidRPr="00530D95">
              <w:rPr>
                <w:rFonts w:eastAsia="Times New Roman" w:cs="Times New Roman"/>
                <w:b/>
                <w:bCs/>
                <w:color w:val="000000"/>
                <w:sz w:val="24"/>
                <w:szCs w:val="24"/>
              </w:rPr>
              <w:t xml:space="preserve"> of Conduct</w:t>
            </w:r>
            <w:r w:rsidRPr="00530D95">
              <w:rPr>
                <w:rStyle w:val="FootnoteReference"/>
                <w:rFonts w:eastAsia="Times New Roman" w:cs="Times New Roman"/>
                <w:color w:val="000000"/>
                <w:sz w:val="24"/>
                <w:szCs w:val="24"/>
              </w:rPr>
              <w:footnoteReference w:id="73"/>
            </w:r>
          </w:p>
        </w:tc>
      </w:tr>
      <w:tr w:rsidRPr="00595870" w:rsidR="00530D95" w:rsidTr="00530D95" w14:paraId="5266385B" w14:textId="77777777">
        <w:trPr>
          <w:trHeight w:val="300"/>
          <w:tblHeader/>
          <w:jc w:val="center"/>
        </w:trPr>
        <w:tc>
          <w:tcPr>
            <w:tcW w:w="2690" w:type="pct"/>
            <w:shd w:val="clear" w:color="auto" w:fill="auto"/>
            <w:noWrap/>
            <w:vAlign w:val="center"/>
            <w:hideMark/>
          </w:tcPr>
          <w:p w:rsidRPr="00595870" w:rsidR="003D39A9" w:rsidP="00D321D5" w:rsidRDefault="003D39A9" w14:paraId="50C5784C" w14:textId="77777777">
            <w:pPr>
              <w:spacing w:line="240" w:lineRule="auto"/>
              <w:rPr>
                <w:rFonts w:eastAsia="Times New Roman" w:cs="Times New Roman"/>
                <w:sz w:val="22"/>
              </w:rPr>
            </w:pPr>
          </w:p>
        </w:tc>
        <w:tc>
          <w:tcPr>
            <w:tcW w:w="769" w:type="pct"/>
            <w:shd w:val="clear" w:color="auto" w:fill="auto"/>
            <w:noWrap/>
            <w:vAlign w:val="center"/>
            <w:hideMark/>
          </w:tcPr>
          <w:p w:rsidRPr="00530D95" w:rsidR="003D39A9" w:rsidP="00D321D5" w:rsidRDefault="00CB652F" w14:paraId="42A4D30D" w14:textId="14FE4D5E">
            <w:pPr>
              <w:spacing w:line="240" w:lineRule="auto"/>
              <w:ind w:firstLine="0"/>
              <w:jc w:val="center"/>
              <w:rPr>
                <w:rFonts w:eastAsia="Times New Roman" w:cs="Times New Roman"/>
                <w:b/>
                <w:bCs/>
                <w:color w:val="000000"/>
                <w:sz w:val="24"/>
                <w:szCs w:val="24"/>
              </w:rPr>
            </w:pPr>
            <w:r w:rsidRPr="00530D95">
              <w:rPr>
                <w:rFonts w:eastAsia="Times New Roman" w:cs="Times New Roman"/>
                <w:b/>
                <w:bCs/>
                <w:color w:val="000000"/>
                <w:sz w:val="24"/>
                <w:szCs w:val="24"/>
              </w:rPr>
              <w:t>SCE</w:t>
            </w:r>
          </w:p>
        </w:tc>
        <w:tc>
          <w:tcPr>
            <w:tcW w:w="725" w:type="pct"/>
            <w:shd w:val="clear" w:color="auto" w:fill="auto"/>
            <w:noWrap/>
            <w:vAlign w:val="center"/>
            <w:hideMark/>
          </w:tcPr>
          <w:p w:rsidRPr="00530D95" w:rsidR="003D39A9" w:rsidP="00D321D5" w:rsidRDefault="003D39A9" w14:paraId="48417296" w14:textId="77777777">
            <w:pPr>
              <w:spacing w:line="240" w:lineRule="auto"/>
              <w:ind w:firstLine="0"/>
              <w:jc w:val="center"/>
              <w:rPr>
                <w:rFonts w:eastAsia="Times New Roman" w:cs="Times New Roman"/>
                <w:b/>
                <w:bCs/>
                <w:color w:val="000000"/>
                <w:sz w:val="24"/>
                <w:szCs w:val="24"/>
              </w:rPr>
            </w:pPr>
            <w:r w:rsidRPr="00530D95">
              <w:rPr>
                <w:rFonts w:eastAsia="Times New Roman" w:cs="Times New Roman"/>
                <w:b/>
                <w:bCs/>
                <w:color w:val="000000"/>
                <w:sz w:val="24"/>
                <w:szCs w:val="24"/>
              </w:rPr>
              <w:t>PG&amp;E</w:t>
            </w:r>
          </w:p>
        </w:tc>
        <w:tc>
          <w:tcPr>
            <w:tcW w:w="816" w:type="pct"/>
            <w:shd w:val="clear" w:color="auto" w:fill="auto"/>
            <w:noWrap/>
            <w:vAlign w:val="center"/>
            <w:hideMark/>
          </w:tcPr>
          <w:p w:rsidRPr="00530D95" w:rsidR="003D39A9" w:rsidP="00D321D5" w:rsidRDefault="003D39A9" w14:paraId="11D5CEAB" w14:textId="77777777">
            <w:pPr>
              <w:spacing w:line="240" w:lineRule="auto"/>
              <w:ind w:firstLine="0"/>
              <w:jc w:val="center"/>
              <w:rPr>
                <w:rFonts w:eastAsia="Times New Roman" w:cs="Times New Roman"/>
                <w:b/>
                <w:bCs/>
                <w:color w:val="000000"/>
                <w:sz w:val="24"/>
                <w:szCs w:val="24"/>
              </w:rPr>
            </w:pPr>
            <w:r w:rsidRPr="00530D95">
              <w:rPr>
                <w:rFonts w:eastAsia="Times New Roman" w:cs="Times New Roman"/>
                <w:b/>
                <w:bCs/>
                <w:color w:val="000000"/>
                <w:sz w:val="24"/>
                <w:szCs w:val="24"/>
              </w:rPr>
              <w:t>SDG&amp;E</w:t>
            </w:r>
          </w:p>
        </w:tc>
      </w:tr>
      <w:tr w:rsidRPr="00595870" w:rsidR="00530D95" w:rsidTr="00530D95" w14:paraId="022C5039" w14:textId="77777777">
        <w:trPr>
          <w:trHeight w:val="601"/>
          <w:jc w:val="center"/>
        </w:trPr>
        <w:tc>
          <w:tcPr>
            <w:tcW w:w="2690" w:type="pct"/>
            <w:shd w:val="clear" w:color="auto" w:fill="auto"/>
            <w:vAlign w:val="center"/>
            <w:hideMark/>
          </w:tcPr>
          <w:p w:rsidRPr="00530D95" w:rsidR="003D39A9" w:rsidP="00D321D5" w:rsidRDefault="003D39A9" w14:paraId="368CEAC7" w14:textId="59B68112">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No transfers from solicitation to</w:t>
            </w:r>
            <w:r w:rsidR="00530D95">
              <w:rPr>
                <w:rFonts w:eastAsia="Times New Roman" w:cs="Times New Roman"/>
                <w:color w:val="000000"/>
                <w:sz w:val="24"/>
                <w:szCs w:val="24"/>
              </w:rPr>
              <w:br/>
            </w:r>
            <w:r w:rsidRPr="00530D95">
              <w:rPr>
                <w:rFonts w:eastAsia="Times New Roman" w:cs="Times New Roman"/>
                <w:color w:val="000000"/>
                <w:sz w:val="24"/>
                <w:szCs w:val="24"/>
              </w:rPr>
              <w:t>bid team for</w:t>
            </w:r>
            <w:r w:rsidR="00530D95">
              <w:rPr>
                <w:rFonts w:eastAsia="Times New Roman" w:cs="Times New Roman"/>
                <w:color w:val="000000"/>
                <w:sz w:val="24"/>
                <w:szCs w:val="24"/>
              </w:rPr>
              <w:t xml:space="preserve"> </w:t>
            </w:r>
            <w:r w:rsidRPr="00530D95">
              <w:rPr>
                <w:rFonts w:eastAsia="Times New Roman" w:cs="Times New Roman"/>
                <w:color w:val="000000"/>
                <w:sz w:val="24"/>
                <w:szCs w:val="24"/>
              </w:rPr>
              <w:t>one</w:t>
            </w:r>
            <w:r w:rsidRPr="00530D95" w:rsidR="00530D95">
              <w:rPr>
                <w:rFonts w:eastAsia="Times New Roman" w:cs="Times New Roman"/>
                <w:color w:val="000000"/>
                <w:sz w:val="24"/>
                <w:szCs w:val="24"/>
              </w:rPr>
              <w:t> </w:t>
            </w:r>
            <w:r w:rsidRPr="00530D95">
              <w:rPr>
                <w:rFonts w:eastAsia="Times New Roman" w:cs="Times New Roman"/>
                <w:color w:val="000000"/>
                <w:sz w:val="24"/>
                <w:szCs w:val="24"/>
              </w:rPr>
              <w:t>year</w:t>
            </w:r>
          </w:p>
        </w:tc>
        <w:tc>
          <w:tcPr>
            <w:tcW w:w="769" w:type="pct"/>
            <w:shd w:val="clear" w:color="auto" w:fill="auto"/>
            <w:noWrap/>
            <w:vAlign w:val="center"/>
            <w:hideMark/>
          </w:tcPr>
          <w:p w:rsidRPr="00530D95" w:rsidR="003D39A9" w:rsidP="00D321D5" w:rsidRDefault="00EC602E" w14:paraId="5717A776" w14:textId="2C143090">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725" w:type="pct"/>
            <w:shd w:val="clear" w:color="auto" w:fill="auto"/>
            <w:noWrap/>
            <w:vAlign w:val="center"/>
            <w:hideMark/>
          </w:tcPr>
          <w:p w:rsidRPr="00530D95" w:rsidR="003D39A9" w:rsidP="00D321D5" w:rsidRDefault="00EC602E" w14:paraId="41804B89" w14:textId="473F379B">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816" w:type="pct"/>
            <w:shd w:val="clear" w:color="auto" w:fill="auto"/>
            <w:noWrap/>
            <w:vAlign w:val="center"/>
            <w:hideMark/>
          </w:tcPr>
          <w:p w:rsidRPr="00530D95" w:rsidR="003D39A9" w:rsidP="00D321D5" w:rsidRDefault="003D39A9" w14:paraId="71DE8F4C"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r>
      <w:tr w:rsidRPr="00595870" w:rsidR="00530D95" w:rsidTr="00530D95" w14:paraId="11BA517F" w14:textId="77777777">
        <w:trPr>
          <w:trHeight w:val="300"/>
          <w:jc w:val="center"/>
        </w:trPr>
        <w:tc>
          <w:tcPr>
            <w:tcW w:w="2690" w:type="pct"/>
            <w:shd w:val="clear" w:color="auto" w:fill="auto"/>
            <w:vAlign w:val="center"/>
            <w:hideMark/>
          </w:tcPr>
          <w:p w:rsidRPr="00530D95" w:rsidR="003D39A9" w:rsidP="00D321D5" w:rsidRDefault="000B527B" w14:paraId="790E46B0" w14:textId="57D4A514">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 xml:space="preserve">Rules </w:t>
            </w:r>
            <w:r w:rsidRPr="00530D95" w:rsidR="000C319B">
              <w:rPr>
                <w:rFonts w:eastAsia="Times New Roman" w:cs="Times New Roman"/>
                <w:color w:val="000000"/>
                <w:sz w:val="24"/>
                <w:szCs w:val="24"/>
              </w:rPr>
              <w:t>last</w:t>
            </w:r>
            <w:r w:rsidRPr="00530D95" w:rsidR="003D39A9">
              <w:rPr>
                <w:rFonts w:eastAsia="Times New Roman" w:cs="Times New Roman"/>
                <w:color w:val="000000"/>
                <w:sz w:val="24"/>
                <w:szCs w:val="24"/>
              </w:rPr>
              <w:t xml:space="preserve"> </w:t>
            </w:r>
            <w:r w:rsidRPr="00530D95" w:rsidR="00A36D31">
              <w:rPr>
                <w:rFonts w:eastAsia="Times New Roman" w:cs="Times New Roman"/>
                <w:color w:val="000000"/>
                <w:sz w:val="24"/>
                <w:szCs w:val="24"/>
              </w:rPr>
              <w:t>one</w:t>
            </w:r>
            <w:r w:rsidRPr="00530D95" w:rsidR="003D39A9">
              <w:rPr>
                <w:rFonts w:eastAsia="Times New Roman" w:cs="Times New Roman"/>
                <w:color w:val="000000"/>
                <w:sz w:val="24"/>
                <w:szCs w:val="24"/>
              </w:rPr>
              <w:t xml:space="preserve"> year until after </w:t>
            </w:r>
            <w:r w:rsidRPr="00530D95" w:rsidR="000C319B">
              <w:rPr>
                <w:rFonts w:eastAsia="Times New Roman" w:cs="Times New Roman"/>
                <w:color w:val="000000"/>
                <w:sz w:val="24"/>
                <w:szCs w:val="24"/>
              </w:rPr>
              <w:t>the</w:t>
            </w:r>
            <w:r w:rsidR="00530D95">
              <w:rPr>
                <w:rFonts w:eastAsia="Times New Roman" w:cs="Times New Roman"/>
                <w:color w:val="000000"/>
                <w:sz w:val="24"/>
                <w:szCs w:val="24"/>
              </w:rPr>
              <w:br/>
            </w:r>
            <w:r w:rsidRPr="00530D95" w:rsidR="00A36D31">
              <w:rPr>
                <w:rFonts w:eastAsia="Times New Roman" w:cs="Times New Roman"/>
                <w:color w:val="000000"/>
                <w:sz w:val="24"/>
                <w:szCs w:val="24"/>
              </w:rPr>
              <w:t>previous</w:t>
            </w:r>
            <w:r w:rsidRPr="00530D95" w:rsidR="003D39A9">
              <w:rPr>
                <w:rFonts w:eastAsia="Times New Roman" w:cs="Times New Roman"/>
                <w:color w:val="000000"/>
                <w:sz w:val="24"/>
                <w:szCs w:val="24"/>
              </w:rPr>
              <w:t xml:space="preserve"> MO</w:t>
            </w:r>
            <w:r w:rsidRPr="00530D95" w:rsidR="00530D95">
              <w:rPr>
                <w:rFonts w:eastAsia="Times New Roman" w:cs="Times New Roman"/>
                <w:color w:val="000000"/>
                <w:sz w:val="24"/>
                <w:szCs w:val="24"/>
              </w:rPr>
              <w:t> </w:t>
            </w:r>
            <w:r w:rsidRPr="00530D95" w:rsidR="003D39A9">
              <w:rPr>
                <w:rFonts w:eastAsia="Times New Roman" w:cs="Times New Roman"/>
                <w:color w:val="000000"/>
                <w:sz w:val="24"/>
                <w:szCs w:val="24"/>
              </w:rPr>
              <w:t>contract is signed</w:t>
            </w:r>
            <w:r w:rsidRPr="00530D95" w:rsidR="0038678F">
              <w:rPr>
                <w:rFonts w:eastAsia="Times New Roman" w:cs="Times New Roman"/>
                <w:color w:val="000000"/>
                <w:sz w:val="24"/>
                <w:szCs w:val="24"/>
              </w:rPr>
              <w:t>.</w:t>
            </w:r>
          </w:p>
        </w:tc>
        <w:tc>
          <w:tcPr>
            <w:tcW w:w="769" w:type="pct"/>
            <w:shd w:val="clear" w:color="auto" w:fill="auto"/>
            <w:noWrap/>
            <w:vAlign w:val="center"/>
            <w:hideMark/>
          </w:tcPr>
          <w:p w:rsidRPr="00530D95" w:rsidR="003D39A9" w:rsidP="00D321D5" w:rsidRDefault="003D39A9" w14:paraId="33BABFAF" w14:textId="6657AE28">
            <w:pPr>
              <w:spacing w:line="240" w:lineRule="auto"/>
              <w:jc w:val="center"/>
              <w:rPr>
                <w:rFonts w:eastAsia="Times New Roman" w:cs="Times New Roman"/>
                <w:color w:val="000000"/>
                <w:sz w:val="24"/>
                <w:szCs w:val="24"/>
              </w:rPr>
            </w:pPr>
          </w:p>
        </w:tc>
        <w:tc>
          <w:tcPr>
            <w:tcW w:w="725" w:type="pct"/>
            <w:shd w:val="clear" w:color="auto" w:fill="auto"/>
            <w:noWrap/>
            <w:vAlign w:val="center"/>
            <w:hideMark/>
          </w:tcPr>
          <w:p w:rsidRPr="00530D95" w:rsidR="003D39A9" w:rsidP="00D321D5" w:rsidRDefault="00EC602E" w14:paraId="1E585CCA" w14:textId="28B81D00">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816" w:type="pct"/>
            <w:shd w:val="clear" w:color="auto" w:fill="auto"/>
            <w:noWrap/>
            <w:vAlign w:val="center"/>
            <w:hideMark/>
          </w:tcPr>
          <w:p w:rsidRPr="00530D95" w:rsidR="003D39A9" w:rsidP="00D321D5" w:rsidRDefault="003D39A9" w14:paraId="3EEC7E69"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r>
      <w:tr w:rsidRPr="00595870" w:rsidR="00530D95" w:rsidTr="00530D95" w14:paraId="07609B5A" w14:textId="77777777">
        <w:trPr>
          <w:trHeight w:val="300"/>
          <w:jc w:val="center"/>
        </w:trPr>
        <w:tc>
          <w:tcPr>
            <w:tcW w:w="2690" w:type="pct"/>
            <w:shd w:val="clear" w:color="auto" w:fill="auto"/>
            <w:vAlign w:val="center"/>
            <w:hideMark/>
          </w:tcPr>
          <w:p w:rsidRPr="00530D95" w:rsidR="007819C7" w:rsidP="00D321D5" w:rsidRDefault="007819C7" w14:paraId="1C51B54E" w14:textId="4620EA6F">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IOU staff sign a certificate to follow</w:t>
            </w:r>
            <w:r w:rsidRPr="00530D95" w:rsidR="00530D95">
              <w:rPr>
                <w:rFonts w:eastAsia="Times New Roman" w:cs="Times New Roman"/>
                <w:color w:val="000000"/>
                <w:sz w:val="24"/>
                <w:szCs w:val="24"/>
              </w:rPr>
              <w:br/>
            </w:r>
            <w:r w:rsidRPr="00530D95">
              <w:rPr>
                <w:rFonts w:eastAsia="Times New Roman" w:cs="Times New Roman"/>
                <w:color w:val="000000"/>
                <w:sz w:val="24"/>
                <w:szCs w:val="24"/>
              </w:rPr>
              <w:t>solicitation rules</w:t>
            </w:r>
          </w:p>
        </w:tc>
        <w:tc>
          <w:tcPr>
            <w:tcW w:w="769" w:type="pct"/>
            <w:shd w:val="clear" w:color="auto" w:fill="auto"/>
            <w:noWrap/>
            <w:vAlign w:val="center"/>
            <w:hideMark/>
          </w:tcPr>
          <w:p w:rsidRPr="00530D95" w:rsidR="007819C7" w:rsidP="00D321D5" w:rsidRDefault="007819C7" w14:paraId="05A521BE"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725" w:type="pct"/>
            <w:shd w:val="clear" w:color="auto" w:fill="auto"/>
            <w:noWrap/>
            <w:vAlign w:val="center"/>
            <w:hideMark/>
          </w:tcPr>
          <w:p w:rsidRPr="00530D95" w:rsidR="007819C7" w:rsidP="00D321D5" w:rsidRDefault="007819C7" w14:paraId="2B0C368A"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816" w:type="pct"/>
            <w:shd w:val="clear" w:color="auto" w:fill="auto"/>
            <w:noWrap/>
            <w:vAlign w:val="center"/>
            <w:hideMark/>
          </w:tcPr>
          <w:p w:rsidRPr="00530D95" w:rsidR="007819C7" w:rsidP="00D321D5" w:rsidRDefault="007819C7" w14:paraId="0E950EAC" w14:textId="77777777">
            <w:pPr>
              <w:spacing w:line="240" w:lineRule="auto"/>
              <w:ind w:firstLine="0"/>
              <w:jc w:val="center"/>
              <w:rPr>
                <w:rFonts w:eastAsia="Times New Roman" w:cs="Times New Roman"/>
                <w:color w:val="000000"/>
                <w:sz w:val="24"/>
                <w:szCs w:val="24"/>
              </w:rPr>
            </w:pPr>
          </w:p>
        </w:tc>
      </w:tr>
      <w:tr w:rsidRPr="00595870" w:rsidR="00530D95" w:rsidTr="00530D95" w14:paraId="0BCB9667" w14:textId="77777777">
        <w:trPr>
          <w:trHeight w:val="683"/>
          <w:jc w:val="center"/>
        </w:trPr>
        <w:tc>
          <w:tcPr>
            <w:tcW w:w="2690" w:type="pct"/>
            <w:shd w:val="clear" w:color="auto" w:fill="auto"/>
            <w:vAlign w:val="center"/>
            <w:hideMark/>
          </w:tcPr>
          <w:p w:rsidRPr="00530D95" w:rsidR="003D39A9" w:rsidP="00D321D5" w:rsidRDefault="003D39A9" w14:paraId="33D53653" w14:textId="75E054C9">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 xml:space="preserve">Submit bids to IE and PRG </w:t>
            </w:r>
            <w:r w:rsidRPr="00530D95" w:rsidR="000C319B">
              <w:rPr>
                <w:rFonts w:eastAsia="Times New Roman" w:cs="Times New Roman"/>
                <w:color w:val="000000"/>
                <w:sz w:val="24"/>
                <w:szCs w:val="24"/>
              </w:rPr>
              <w:t>before</w:t>
            </w:r>
            <w:r w:rsidR="00530D95">
              <w:rPr>
                <w:rFonts w:eastAsia="Times New Roman" w:cs="Times New Roman"/>
                <w:color w:val="000000"/>
                <w:sz w:val="24"/>
                <w:szCs w:val="24"/>
              </w:rPr>
              <w:br/>
            </w:r>
            <w:r w:rsidRPr="00530D95">
              <w:rPr>
                <w:rFonts w:eastAsia="Times New Roman" w:cs="Times New Roman"/>
                <w:color w:val="000000"/>
                <w:sz w:val="24"/>
                <w:szCs w:val="24"/>
              </w:rPr>
              <w:t>3</w:t>
            </w:r>
            <w:r w:rsidRPr="00530D95">
              <w:rPr>
                <w:rFonts w:eastAsia="Times New Roman" w:cs="Times New Roman"/>
                <w:color w:val="000000"/>
                <w:sz w:val="24"/>
                <w:szCs w:val="24"/>
                <w:vertAlign w:val="superscript"/>
              </w:rPr>
              <w:t>rd</w:t>
            </w:r>
            <w:r w:rsidR="00530D95">
              <w:rPr>
                <w:rFonts w:eastAsia="Times New Roman" w:cs="Times New Roman"/>
                <w:color w:val="000000"/>
                <w:sz w:val="24"/>
                <w:szCs w:val="24"/>
                <w:vertAlign w:val="superscript"/>
              </w:rPr>
              <w:t> </w:t>
            </w:r>
            <w:r w:rsidRPr="00530D95">
              <w:rPr>
                <w:rFonts w:eastAsia="Times New Roman" w:cs="Times New Roman"/>
                <w:color w:val="000000"/>
                <w:sz w:val="24"/>
                <w:szCs w:val="24"/>
              </w:rPr>
              <w:t xml:space="preserve">party bids </w:t>
            </w:r>
            <w:r w:rsidRPr="00530D95" w:rsidR="00A36D31">
              <w:rPr>
                <w:rFonts w:eastAsia="Times New Roman" w:cs="Times New Roman"/>
                <w:color w:val="000000"/>
                <w:sz w:val="24"/>
                <w:szCs w:val="24"/>
              </w:rPr>
              <w:t>are</w:t>
            </w:r>
            <w:r w:rsidRPr="00530D95">
              <w:rPr>
                <w:rFonts w:eastAsia="Times New Roman" w:cs="Times New Roman"/>
                <w:color w:val="000000"/>
                <w:sz w:val="24"/>
                <w:szCs w:val="24"/>
              </w:rPr>
              <w:t xml:space="preserve"> received</w:t>
            </w:r>
          </w:p>
        </w:tc>
        <w:tc>
          <w:tcPr>
            <w:tcW w:w="769" w:type="pct"/>
            <w:shd w:val="clear" w:color="auto" w:fill="auto"/>
            <w:noWrap/>
            <w:vAlign w:val="center"/>
            <w:hideMark/>
          </w:tcPr>
          <w:p w:rsidRPr="00530D95" w:rsidR="003D39A9" w:rsidP="00D321D5" w:rsidRDefault="003D39A9" w14:paraId="1591E90B" w14:textId="77777777">
            <w:pPr>
              <w:spacing w:line="240" w:lineRule="auto"/>
              <w:jc w:val="center"/>
              <w:rPr>
                <w:rFonts w:eastAsia="Times New Roman" w:cs="Times New Roman"/>
                <w:color w:val="000000"/>
                <w:sz w:val="24"/>
                <w:szCs w:val="24"/>
              </w:rPr>
            </w:pPr>
          </w:p>
        </w:tc>
        <w:tc>
          <w:tcPr>
            <w:tcW w:w="725" w:type="pct"/>
            <w:shd w:val="clear" w:color="auto" w:fill="auto"/>
            <w:noWrap/>
            <w:vAlign w:val="center"/>
            <w:hideMark/>
          </w:tcPr>
          <w:p w:rsidRPr="00530D95" w:rsidR="003D39A9" w:rsidP="00D321D5" w:rsidRDefault="00EC602E" w14:paraId="19A60B23" w14:textId="0D4172C5">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816" w:type="pct"/>
            <w:shd w:val="clear" w:color="auto" w:fill="auto"/>
            <w:noWrap/>
            <w:vAlign w:val="center"/>
            <w:hideMark/>
          </w:tcPr>
          <w:p w:rsidRPr="00530D95" w:rsidR="003D39A9" w:rsidP="00D321D5" w:rsidRDefault="003D39A9" w14:paraId="120603C7"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r>
      <w:tr w:rsidRPr="00595870" w:rsidR="00530D95" w:rsidTr="00530D95" w14:paraId="58EE8C7C" w14:textId="77777777">
        <w:trPr>
          <w:trHeight w:val="683"/>
          <w:jc w:val="center"/>
        </w:trPr>
        <w:tc>
          <w:tcPr>
            <w:tcW w:w="2690" w:type="pct"/>
            <w:shd w:val="clear" w:color="auto" w:fill="auto"/>
            <w:vAlign w:val="center"/>
            <w:hideMark/>
          </w:tcPr>
          <w:p w:rsidRPr="00530D95" w:rsidR="003D39A9" w:rsidP="00D321D5" w:rsidRDefault="003D39A9" w14:paraId="1C55AE3C" w14:textId="27356354">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 xml:space="preserve">Prohibit </w:t>
            </w:r>
            <w:r w:rsidRPr="00530D95" w:rsidR="00FA410D">
              <w:rPr>
                <w:rFonts w:eastAsia="Times New Roman" w:cs="Times New Roman"/>
                <w:color w:val="000000"/>
                <w:sz w:val="24"/>
                <w:szCs w:val="24"/>
              </w:rPr>
              <w:t>REC</w:t>
            </w:r>
            <w:r w:rsidRPr="00530D95">
              <w:rPr>
                <w:rFonts w:eastAsia="Times New Roman" w:cs="Times New Roman"/>
                <w:color w:val="000000"/>
                <w:sz w:val="24"/>
                <w:szCs w:val="24"/>
              </w:rPr>
              <w:t xml:space="preserve"> sales for same</w:t>
            </w:r>
            <w:r w:rsidR="00530D95">
              <w:rPr>
                <w:rFonts w:eastAsia="Times New Roman" w:cs="Times New Roman"/>
                <w:color w:val="000000"/>
                <w:sz w:val="24"/>
                <w:szCs w:val="24"/>
              </w:rPr>
              <w:br/>
            </w:r>
            <w:r w:rsidRPr="00530D95">
              <w:rPr>
                <w:rFonts w:eastAsia="Times New Roman" w:cs="Times New Roman"/>
                <w:color w:val="000000"/>
                <w:sz w:val="24"/>
                <w:szCs w:val="24"/>
              </w:rPr>
              <w:t>resources</w:t>
            </w:r>
            <w:r w:rsidRPr="00530D95" w:rsidR="00530D95">
              <w:rPr>
                <w:rFonts w:eastAsia="Times New Roman" w:cs="Times New Roman"/>
                <w:color w:val="000000"/>
                <w:sz w:val="24"/>
                <w:szCs w:val="24"/>
              </w:rPr>
              <w:t xml:space="preserve"> </w:t>
            </w:r>
            <w:r w:rsidRPr="00530D95">
              <w:rPr>
                <w:rFonts w:eastAsia="Times New Roman" w:cs="Times New Roman"/>
                <w:color w:val="000000"/>
                <w:sz w:val="24"/>
                <w:szCs w:val="24"/>
              </w:rPr>
              <w:t>during MO</w:t>
            </w:r>
          </w:p>
        </w:tc>
        <w:tc>
          <w:tcPr>
            <w:tcW w:w="769" w:type="pct"/>
            <w:shd w:val="clear" w:color="auto" w:fill="auto"/>
            <w:noWrap/>
            <w:vAlign w:val="center"/>
            <w:hideMark/>
          </w:tcPr>
          <w:p w:rsidRPr="00530D95" w:rsidR="003D39A9" w:rsidP="00D321D5" w:rsidRDefault="003D39A9" w14:paraId="1E09EBD8" w14:textId="77777777">
            <w:pPr>
              <w:spacing w:line="240" w:lineRule="auto"/>
              <w:jc w:val="center"/>
              <w:rPr>
                <w:rFonts w:eastAsia="Times New Roman" w:cs="Times New Roman"/>
                <w:color w:val="000000"/>
                <w:sz w:val="24"/>
                <w:szCs w:val="24"/>
              </w:rPr>
            </w:pPr>
          </w:p>
        </w:tc>
        <w:tc>
          <w:tcPr>
            <w:tcW w:w="725" w:type="pct"/>
            <w:shd w:val="clear" w:color="auto" w:fill="auto"/>
            <w:noWrap/>
            <w:vAlign w:val="center"/>
            <w:hideMark/>
          </w:tcPr>
          <w:p w:rsidRPr="00530D95" w:rsidR="003D39A9" w:rsidP="00D321D5" w:rsidRDefault="00EC602E" w14:paraId="7DA99236" w14:textId="0636A55C">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816" w:type="pct"/>
            <w:shd w:val="clear" w:color="auto" w:fill="auto"/>
            <w:noWrap/>
            <w:vAlign w:val="center"/>
            <w:hideMark/>
          </w:tcPr>
          <w:p w:rsidRPr="00530D95" w:rsidR="003D39A9" w:rsidP="00D321D5" w:rsidRDefault="003D39A9" w14:paraId="6D5B0C2A"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r>
      <w:tr w:rsidRPr="00595870" w:rsidR="00530D95" w:rsidTr="00530D95" w14:paraId="744E664B" w14:textId="77777777">
        <w:trPr>
          <w:trHeight w:val="300"/>
          <w:jc w:val="center"/>
        </w:trPr>
        <w:tc>
          <w:tcPr>
            <w:tcW w:w="2690" w:type="pct"/>
            <w:shd w:val="clear" w:color="auto" w:fill="auto"/>
            <w:vAlign w:val="center"/>
            <w:hideMark/>
          </w:tcPr>
          <w:p w:rsidRPr="00530D95" w:rsidR="003D39A9" w:rsidP="00D321D5" w:rsidRDefault="003D39A9" w14:paraId="52905A2C" w14:textId="0A7A426C">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IE to monitor MO compliance</w:t>
            </w:r>
          </w:p>
        </w:tc>
        <w:tc>
          <w:tcPr>
            <w:tcW w:w="769" w:type="pct"/>
            <w:shd w:val="clear" w:color="auto" w:fill="auto"/>
            <w:noWrap/>
            <w:vAlign w:val="center"/>
            <w:hideMark/>
          </w:tcPr>
          <w:p w:rsidRPr="00530D95" w:rsidR="003D39A9" w:rsidP="00D321D5" w:rsidRDefault="003D39A9" w14:paraId="06E01DC2" w14:textId="77777777">
            <w:pPr>
              <w:spacing w:line="240" w:lineRule="auto"/>
              <w:jc w:val="center"/>
              <w:rPr>
                <w:rFonts w:eastAsia="Times New Roman" w:cs="Times New Roman"/>
                <w:color w:val="000000"/>
                <w:sz w:val="24"/>
                <w:szCs w:val="24"/>
              </w:rPr>
            </w:pPr>
          </w:p>
        </w:tc>
        <w:tc>
          <w:tcPr>
            <w:tcW w:w="725" w:type="pct"/>
            <w:shd w:val="clear" w:color="auto" w:fill="auto"/>
            <w:noWrap/>
            <w:vAlign w:val="center"/>
            <w:hideMark/>
          </w:tcPr>
          <w:p w:rsidRPr="00530D95" w:rsidR="003D39A9" w:rsidP="00D321D5" w:rsidRDefault="00EC602E" w14:paraId="5EE251CC" w14:textId="3764916A">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816" w:type="pct"/>
            <w:shd w:val="clear" w:color="auto" w:fill="auto"/>
            <w:noWrap/>
            <w:vAlign w:val="center"/>
            <w:hideMark/>
          </w:tcPr>
          <w:p w:rsidRPr="00530D95" w:rsidR="003D39A9" w:rsidP="00D321D5" w:rsidRDefault="003D39A9" w14:paraId="2B68F366" w14:textId="77777777">
            <w:pPr>
              <w:spacing w:line="240" w:lineRule="auto"/>
              <w:ind w:firstLine="0"/>
              <w:jc w:val="center"/>
              <w:rPr>
                <w:rFonts w:eastAsia="Times New Roman" w:cs="Times New Roman"/>
                <w:color w:val="000000"/>
                <w:sz w:val="24"/>
                <w:szCs w:val="24"/>
              </w:rPr>
            </w:pPr>
          </w:p>
        </w:tc>
      </w:tr>
      <w:tr w:rsidRPr="00595870" w:rsidR="00530D95" w:rsidTr="00530D95" w14:paraId="2010A8CC" w14:textId="77777777">
        <w:trPr>
          <w:trHeight w:val="395"/>
          <w:jc w:val="center"/>
        </w:trPr>
        <w:tc>
          <w:tcPr>
            <w:tcW w:w="2690" w:type="pct"/>
            <w:shd w:val="clear" w:color="auto" w:fill="auto"/>
            <w:vAlign w:val="center"/>
            <w:hideMark/>
          </w:tcPr>
          <w:p w:rsidRPr="00530D95" w:rsidR="003D39A9" w:rsidP="00D321D5" w:rsidRDefault="003D39A9" w14:paraId="7EB74E11" w14:textId="6D9C324C">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Violations disclosed in the IE report</w:t>
            </w:r>
            <w:r w:rsidRPr="00530D95" w:rsidR="000C319B">
              <w:rPr>
                <w:rFonts w:eastAsia="Times New Roman" w:cs="Times New Roman"/>
                <w:color w:val="000000"/>
                <w:sz w:val="24"/>
                <w:szCs w:val="24"/>
              </w:rPr>
              <w:t>.</w:t>
            </w:r>
          </w:p>
        </w:tc>
        <w:tc>
          <w:tcPr>
            <w:tcW w:w="769" w:type="pct"/>
            <w:shd w:val="clear" w:color="auto" w:fill="auto"/>
            <w:noWrap/>
            <w:vAlign w:val="center"/>
            <w:hideMark/>
          </w:tcPr>
          <w:p w:rsidRPr="00530D95" w:rsidR="003D39A9" w:rsidP="00D321D5" w:rsidRDefault="003D39A9" w14:paraId="593AE812" w14:textId="77777777">
            <w:pPr>
              <w:spacing w:line="240" w:lineRule="auto"/>
              <w:jc w:val="center"/>
              <w:rPr>
                <w:rFonts w:eastAsia="Times New Roman" w:cs="Times New Roman"/>
                <w:color w:val="000000"/>
                <w:sz w:val="24"/>
                <w:szCs w:val="24"/>
              </w:rPr>
            </w:pPr>
          </w:p>
        </w:tc>
        <w:tc>
          <w:tcPr>
            <w:tcW w:w="725" w:type="pct"/>
            <w:shd w:val="clear" w:color="auto" w:fill="auto"/>
            <w:noWrap/>
            <w:vAlign w:val="center"/>
            <w:hideMark/>
          </w:tcPr>
          <w:p w:rsidRPr="00530D95" w:rsidR="003D39A9" w:rsidP="00D321D5" w:rsidRDefault="00EC602E" w14:paraId="43E5EB28" w14:textId="2497CB74">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c>
          <w:tcPr>
            <w:tcW w:w="816" w:type="pct"/>
            <w:shd w:val="clear" w:color="auto" w:fill="auto"/>
            <w:noWrap/>
            <w:vAlign w:val="center"/>
            <w:hideMark/>
          </w:tcPr>
          <w:p w:rsidRPr="00530D95" w:rsidR="003D39A9" w:rsidP="00D321D5" w:rsidRDefault="003D39A9" w14:paraId="667B3798"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r>
      <w:tr w:rsidRPr="00595870" w:rsidR="00530D95" w:rsidTr="00530D95" w14:paraId="3471E110" w14:textId="77777777">
        <w:trPr>
          <w:trHeight w:val="980"/>
          <w:jc w:val="center"/>
        </w:trPr>
        <w:tc>
          <w:tcPr>
            <w:tcW w:w="2690" w:type="pct"/>
            <w:shd w:val="clear" w:color="auto" w:fill="auto"/>
            <w:vAlign w:val="center"/>
            <w:hideMark/>
          </w:tcPr>
          <w:p w:rsidRPr="00530D95" w:rsidR="003D39A9" w:rsidP="00D321D5" w:rsidRDefault="003D39A9" w14:paraId="3A286723" w14:textId="7795B4EF">
            <w:pPr>
              <w:spacing w:line="240" w:lineRule="auto"/>
              <w:ind w:firstLine="0"/>
              <w:rPr>
                <w:rFonts w:eastAsia="Times New Roman" w:cs="Times New Roman"/>
                <w:color w:val="000000"/>
                <w:sz w:val="24"/>
                <w:szCs w:val="24"/>
              </w:rPr>
            </w:pPr>
            <w:r w:rsidRPr="00530D95">
              <w:rPr>
                <w:rFonts w:eastAsia="Times New Roman" w:cs="Times New Roman"/>
                <w:color w:val="000000"/>
                <w:sz w:val="24"/>
                <w:szCs w:val="24"/>
              </w:rPr>
              <w:t xml:space="preserve">Consequences for violations include disclosure to IE, PRG, and ED. Discuss remedies with </w:t>
            </w:r>
            <w:r w:rsidRPr="00530D95" w:rsidR="000C319B">
              <w:rPr>
                <w:rFonts w:eastAsia="Times New Roman" w:cs="Times New Roman"/>
                <w:color w:val="000000"/>
                <w:sz w:val="24"/>
                <w:szCs w:val="24"/>
              </w:rPr>
              <w:t>those above</w:t>
            </w:r>
            <w:r w:rsidRPr="00530D95">
              <w:rPr>
                <w:rFonts w:eastAsia="Times New Roman" w:cs="Times New Roman"/>
                <w:color w:val="000000"/>
                <w:sz w:val="24"/>
                <w:szCs w:val="24"/>
              </w:rPr>
              <w:t>.</w:t>
            </w:r>
          </w:p>
        </w:tc>
        <w:tc>
          <w:tcPr>
            <w:tcW w:w="769" w:type="pct"/>
            <w:shd w:val="clear" w:color="auto" w:fill="auto"/>
            <w:noWrap/>
            <w:vAlign w:val="center"/>
            <w:hideMark/>
          </w:tcPr>
          <w:p w:rsidRPr="00530D95" w:rsidR="003D39A9" w:rsidP="00D321D5" w:rsidRDefault="003D39A9" w14:paraId="3B097911" w14:textId="77777777">
            <w:pPr>
              <w:spacing w:line="240" w:lineRule="auto"/>
              <w:jc w:val="center"/>
              <w:rPr>
                <w:rFonts w:eastAsia="Times New Roman" w:cs="Times New Roman"/>
                <w:color w:val="000000"/>
                <w:sz w:val="24"/>
                <w:szCs w:val="24"/>
              </w:rPr>
            </w:pPr>
          </w:p>
        </w:tc>
        <w:tc>
          <w:tcPr>
            <w:tcW w:w="725" w:type="pct"/>
            <w:shd w:val="clear" w:color="auto" w:fill="auto"/>
            <w:noWrap/>
            <w:vAlign w:val="center"/>
            <w:hideMark/>
          </w:tcPr>
          <w:p w:rsidRPr="00530D95" w:rsidR="003D39A9" w:rsidP="00D321D5" w:rsidRDefault="003D39A9" w14:paraId="7576425C" w14:textId="77777777">
            <w:pPr>
              <w:spacing w:line="240" w:lineRule="auto"/>
              <w:jc w:val="center"/>
              <w:rPr>
                <w:rFonts w:eastAsia="Times New Roman" w:cs="Times New Roman"/>
                <w:sz w:val="24"/>
                <w:szCs w:val="24"/>
              </w:rPr>
            </w:pPr>
          </w:p>
        </w:tc>
        <w:tc>
          <w:tcPr>
            <w:tcW w:w="816" w:type="pct"/>
            <w:shd w:val="clear" w:color="auto" w:fill="auto"/>
            <w:noWrap/>
            <w:vAlign w:val="center"/>
            <w:hideMark/>
          </w:tcPr>
          <w:p w:rsidRPr="00530D95" w:rsidR="003D39A9" w:rsidP="00D321D5" w:rsidRDefault="003D39A9" w14:paraId="54DCC4AC" w14:textId="77777777">
            <w:pPr>
              <w:spacing w:line="240" w:lineRule="auto"/>
              <w:ind w:firstLine="0"/>
              <w:jc w:val="center"/>
              <w:rPr>
                <w:rFonts w:eastAsia="Times New Roman" w:cs="Times New Roman"/>
                <w:color w:val="000000"/>
                <w:sz w:val="24"/>
                <w:szCs w:val="24"/>
              </w:rPr>
            </w:pPr>
            <w:r w:rsidRPr="00530D95">
              <w:rPr>
                <w:rFonts w:eastAsia="Times New Roman" w:cs="Times New Roman"/>
                <w:color w:val="000000"/>
                <w:sz w:val="24"/>
                <w:szCs w:val="24"/>
              </w:rPr>
              <w:t>X</w:t>
            </w:r>
          </w:p>
        </w:tc>
      </w:tr>
    </w:tbl>
    <w:p w:rsidR="00C2201C" w:rsidP="00015CC3" w:rsidRDefault="003D39A9" w14:paraId="4D7A7C10" w14:textId="5075E240">
      <w:pPr>
        <w:pStyle w:val="Standard"/>
        <w:spacing w:before="120"/>
      </w:pPr>
      <w:r w:rsidRPr="00CE50E7">
        <w:t xml:space="preserve">It would be inappropriate for members of </w:t>
      </w:r>
      <w:r w:rsidR="003F3584">
        <w:t>an</w:t>
      </w:r>
      <w:r w:rsidRPr="00CE50E7">
        <w:t xml:space="preserve"> IOU</w:t>
      </w:r>
      <w:r w:rsidR="003F3584">
        <w:t>’s</w:t>
      </w:r>
      <w:r w:rsidRPr="00CE50E7">
        <w:t xml:space="preserve"> </w:t>
      </w:r>
      <w:r w:rsidR="000C6BA4">
        <w:t>evaluation</w:t>
      </w:r>
      <w:r w:rsidRPr="00CE50E7" w:rsidR="000C6BA4">
        <w:t xml:space="preserve"> </w:t>
      </w:r>
      <w:r w:rsidRPr="00CE50E7">
        <w:t xml:space="preserve">team to move </w:t>
      </w:r>
      <w:r w:rsidR="00CC3C0A">
        <w:t>to</w:t>
      </w:r>
      <w:r w:rsidRPr="00CE50E7">
        <w:t xml:space="preserve"> bid team</w:t>
      </w:r>
      <w:r w:rsidR="00530D95">
        <w:t xml:space="preserve"> </w:t>
      </w:r>
      <w:r w:rsidRPr="00CE50E7">
        <w:t xml:space="preserve">and vice versa when they would possess information that would give the IOU a competitive advantage in solicitations. </w:t>
      </w:r>
    </w:p>
    <w:p w:rsidRPr="00E3416E" w:rsidR="00C2201C" w:rsidP="00103DE3" w:rsidRDefault="00C2201C" w14:paraId="7CCB5990" w14:textId="495ED8CE">
      <w:pPr>
        <w:pStyle w:val="Standard"/>
        <w:spacing w:before="120"/>
      </w:pPr>
      <w:r>
        <w:t xml:space="preserve">In </w:t>
      </w:r>
      <w:r w:rsidR="00103DE3">
        <w:t>their</w:t>
      </w:r>
      <w:r>
        <w:t xml:space="preserve"> comments on the proposed decision, </w:t>
      </w:r>
      <w:r w:rsidR="00103DE3">
        <w:t xml:space="preserve">PG&amp;E and </w:t>
      </w:r>
      <w:r>
        <w:t>SDG&amp;E state</w:t>
      </w:r>
      <w:r w:rsidR="00103DE3">
        <w:t xml:space="preserve"> that</w:t>
      </w:r>
      <w:r>
        <w:t xml:space="preserve"> </w:t>
      </w:r>
      <w:r w:rsidRPr="00E3416E" w:rsidR="00103DE3">
        <w:t>Commission should remove restrictions preventing bid</w:t>
      </w:r>
      <w:r w:rsidR="00103DE3">
        <w:t xml:space="preserve"> </w:t>
      </w:r>
      <w:r w:rsidRPr="00E3416E" w:rsidR="00103DE3">
        <w:t xml:space="preserve">team members from transferring to the evaluation </w:t>
      </w:r>
      <w:r w:rsidR="00F87445">
        <w:t>(or solicitation)</w:t>
      </w:r>
      <w:r w:rsidRPr="00E3416E" w:rsidR="00103DE3">
        <w:t xml:space="preserve"> team. SDG&amp;E states that </w:t>
      </w:r>
      <w:r w:rsidRPr="00E3416E">
        <w:t>once bids are submitted, there is no conceivable market harm or IOU-specific benefit by allowing that “bid-formulating” employee to subsequently transfer to a role involving “bid evaluation” tasks. SDG&amp;E states that this issue arises only in the limited situation in which a utility participates</w:t>
      </w:r>
      <w:r w:rsidRPr="00E3416E" w:rsidR="00103DE3">
        <w:t xml:space="preserve"> </w:t>
      </w:r>
      <w:r w:rsidRPr="00E3416E">
        <w:t>as a bidder in its own Market Offer solicitation</w:t>
      </w:r>
      <w:r w:rsidRPr="00E3416E" w:rsidR="00103DE3">
        <w:t xml:space="preserve">. </w:t>
      </w:r>
    </w:p>
    <w:p w:rsidRPr="00BD0297" w:rsidR="00103DE3" w:rsidP="00530D95" w:rsidRDefault="00103DE3" w14:paraId="7F7BA0DD" w14:textId="345CC8B3">
      <w:pPr>
        <w:pStyle w:val="Standard"/>
      </w:pPr>
      <w:r w:rsidRPr="00E3416E">
        <w:t>In its reply comments</w:t>
      </w:r>
      <w:r w:rsidRPr="00E3416E" w:rsidR="00BD0297">
        <w:t xml:space="preserve"> on the proposed decision</w:t>
      </w:r>
      <w:r w:rsidRPr="00E3416E">
        <w:t xml:space="preserve">, CalCCA opposes SDG&amp;E’s proposal and states after bids are submitted, additional negotiations may occur between the evaluation team and bidders. </w:t>
      </w:r>
      <w:r w:rsidR="00BD0297">
        <w:t>CalCCA further states that a</w:t>
      </w:r>
      <w:r w:rsidRPr="00E3416E">
        <w:t xml:space="preserve">n employee with knowledge of IOU information and strategy concerning the IOU’s bid should not be part of that continuing evaluation and negotiation process. </w:t>
      </w:r>
    </w:p>
    <w:p w:rsidRPr="00E3416E" w:rsidR="00EA2C9C" w:rsidP="00530D95" w:rsidRDefault="00C03240" w14:paraId="534CFA00" w14:textId="39983598">
      <w:pPr>
        <w:pStyle w:val="Standard"/>
      </w:pPr>
      <w:r>
        <w:t>W</w:t>
      </w:r>
      <w:r w:rsidRPr="00CE50E7" w:rsidR="003D39A9">
        <w:t xml:space="preserve">e agree with CalCCA that members of the IOU’s bid and </w:t>
      </w:r>
      <w:r w:rsidR="003A7A85">
        <w:t xml:space="preserve">evaluation </w:t>
      </w:r>
      <w:r w:rsidRPr="00CE50E7" w:rsidR="003D39A9">
        <w:t xml:space="preserve">team should not move teams </w:t>
      </w:r>
      <w:r w:rsidR="00103DE3">
        <w:t xml:space="preserve">when it can impact the results of the solicitation. </w:t>
      </w:r>
      <w:r w:rsidR="0082234F">
        <w:t>However, we also</w:t>
      </w:r>
      <w:r w:rsidR="00B30D18">
        <w:t xml:space="preserve"> find merit in </w:t>
      </w:r>
      <w:r w:rsidR="00BD0297">
        <w:t>the IOUs’ concerns about resource constraints and the impact on other non-RPS solicitation</w:t>
      </w:r>
      <w:r w:rsidR="003A7A85">
        <w:t>s</w:t>
      </w:r>
      <w:r w:rsidR="00F87445">
        <w:t>.</w:t>
      </w:r>
      <w:r w:rsidR="00792798">
        <w:t xml:space="preserve"> </w:t>
      </w:r>
      <w:r w:rsidR="00F87445">
        <w:t>W</w:t>
      </w:r>
      <w:r w:rsidR="00103DE3">
        <w:t xml:space="preserve">e also find merit in SDG&amp;E’s comments </w:t>
      </w:r>
      <w:r w:rsidR="00EA2C9C">
        <w:t xml:space="preserve">that firewall issues arise when the IOU is participating in its own Market Offer solicitation. Therefore, </w:t>
      </w:r>
      <w:r w:rsidR="00103DE3">
        <w:t xml:space="preserve">restricting transfers between evaluation and bid </w:t>
      </w:r>
      <w:r w:rsidRPr="003564BA" w:rsidR="00103DE3">
        <w:t xml:space="preserve">teams </w:t>
      </w:r>
      <w:r w:rsidRPr="003564BA" w:rsidR="005D012A">
        <w:t xml:space="preserve">and vice versa </w:t>
      </w:r>
      <w:r w:rsidRPr="003564BA" w:rsidR="003D39A9">
        <w:t xml:space="preserve">until </w:t>
      </w:r>
      <w:r w:rsidR="0057650D">
        <w:t xml:space="preserve">the last </w:t>
      </w:r>
      <w:r w:rsidR="00623CBA">
        <w:t>Market Offer contract</w:t>
      </w:r>
      <w:r w:rsidR="00103DE3">
        <w:t>s</w:t>
      </w:r>
      <w:r w:rsidR="0011175D">
        <w:t xml:space="preserve">, </w:t>
      </w:r>
      <w:r w:rsidR="00103DE3">
        <w:t>are submitted to the Commission for approval is reasonable</w:t>
      </w:r>
      <w:r w:rsidR="00832ED1">
        <w:t xml:space="preserve"> firewall</w:t>
      </w:r>
      <w:r w:rsidR="00103DE3">
        <w:t xml:space="preserve">. </w:t>
      </w:r>
      <w:r w:rsidR="00EA2C9C">
        <w:t>It is reasonable to</w:t>
      </w:r>
      <w:r w:rsidR="00BD0297">
        <w:t xml:space="preserve"> </w:t>
      </w:r>
      <w:r w:rsidRPr="00E3416E" w:rsidR="00103DE3">
        <w:t>restrict transfers between evaluation</w:t>
      </w:r>
      <w:r w:rsidRPr="00E3416E" w:rsidR="00BD0297">
        <w:t xml:space="preserve"> </w:t>
      </w:r>
      <w:r w:rsidRPr="00E3416E" w:rsidR="00103DE3">
        <w:t xml:space="preserve">team members and the bid teams </w:t>
      </w:r>
      <w:r w:rsidRPr="00E3416E" w:rsidR="00EA2C9C">
        <w:t xml:space="preserve">when the IOU is also a bidder in </w:t>
      </w:r>
      <w:r w:rsidRPr="00E3416E" w:rsidR="00E3416E">
        <w:t>its</w:t>
      </w:r>
      <w:r w:rsidRPr="00E3416E" w:rsidR="00EA2C9C">
        <w:t xml:space="preserve"> own Market Offer solicitation, </w:t>
      </w:r>
      <w:r w:rsidRPr="00E3416E" w:rsidR="00103DE3">
        <w:t xml:space="preserve">for the </w:t>
      </w:r>
      <w:r w:rsidRPr="006920CB" w:rsidR="00103DE3">
        <w:t>duration of the Market Offer process</w:t>
      </w:r>
      <w:r w:rsidRPr="006920CB" w:rsidR="00EA2C9C">
        <w:t xml:space="preserve"> and</w:t>
      </w:r>
      <w:r w:rsidRPr="006920CB" w:rsidR="00103DE3">
        <w:t xml:space="preserve"> until the</w:t>
      </w:r>
      <w:r w:rsidRPr="006920CB" w:rsidR="00BD0297">
        <w:t xml:space="preserve"> </w:t>
      </w:r>
      <w:r w:rsidRPr="006920CB" w:rsidR="00103DE3">
        <w:t>executed agreements have been submitted to the Commission for approval</w:t>
      </w:r>
      <w:r w:rsidRPr="006920CB" w:rsidR="00FC1D2E">
        <w:t xml:space="preserve"> for both</w:t>
      </w:r>
      <w:r w:rsidR="006920CB">
        <w:t xml:space="preserve"> </w:t>
      </w:r>
      <w:r w:rsidRPr="00320945" w:rsidR="006920CB">
        <w:t>short-term and long-term</w:t>
      </w:r>
      <w:r w:rsidRPr="006920CB" w:rsidR="00FC1D2E">
        <w:t xml:space="preserve"> solicitations</w:t>
      </w:r>
      <w:r w:rsidRPr="006920CB" w:rsidR="00103DE3">
        <w:t>.</w:t>
      </w:r>
      <w:r w:rsidRPr="00E3416E" w:rsidR="00EA2C9C">
        <w:t xml:space="preserve"> </w:t>
      </w:r>
    </w:p>
    <w:p w:rsidR="003D39A9" w:rsidP="00530D95" w:rsidRDefault="0039411A" w14:paraId="14B50A38" w14:textId="771E76E9">
      <w:pPr>
        <w:pStyle w:val="Standard"/>
      </w:pPr>
      <w:r>
        <w:t>Similarly, r</w:t>
      </w:r>
      <w:r w:rsidRPr="0039411A" w:rsidR="003D39A9">
        <w:t xml:space="preserve">ules in the </w:t>
      </w:r>
      <w:r w:rsidR="00BC00EB">
        <w:t>c</w:t>
      </w:r>
      <w:r w:rsidRPr="0039411A" w:rsidR="004838AD">
        <w:t>ode</w:t>
      </w:r>
      <w:r w:rsidR="004838AD">
        <w:t>s</w:t>
      </w:r>
      <w:r w:rsidRPr="0039411A" w:rsidR="00684E9C">
        <w:t xml:space="preserve"> of </w:t>
      </w:r>
      <w:r w:rsidR="00BC00EB">
        <w:t>c</w:t>
      </w:r>
      <w:r w:rsidRPr="0039411A" w:rsidR="004838AD">
        <w:t>onduct</w:t>
      </w:r>
      <w:r w:rsidRPr="0039411A" w:rsidR="003D39A9">
        <w:t xml:space="preserve"> to firewall relevant information between the </w:t>
      </w:r>
      <w:r w:rsidRPr="006920CB" w:rsidR="003D39A9">
        <w:t xml:space="preserve">teams should remain in place </w:t>
      </w:r>
      <w:r w:rsidRPr="006920CB" w:rsidR="0070210D">
        <w:t>until the last Market Offer contract</w:t>
      </w:r>
      <w:r w:rsidRPr="006920CB" w:rsidR="00A607B1">
        <w:t xml:space="preserve"> for both</w:t>
      </w:r>
      <w:r w:rsidR="006920CB">
        <w:t xml:space="preserve"> short-term and long-term</w:t>
      </w:r>
      <w:r w:rsidRPr="006920CB" w:rsidR="00A607B1">
        <w:t xml:space="preserve"> </w:t>
      </w:r>
      <w:r w:rsidRPr="00320945" w:rsidR="00A607B1">
        <w:t>solicitations</w:t>
      </w:r>
      <w:r w:rsidR="003A7A85">
        <w:t xml:space="preserve"> </w:t>
      </w:r>
      <w:r w:rsidR="0070210D">
        <w:t>is submitted for</w:t>
      </w:r>
      <w:r w:rsidR="00AB2570">
        <w:t xml:space="preserve"> </w:t>
      </w:r>
      <w:r w:rsidR="00CB652F">
        <w:t xml:space="preserve">CPUC </w:t>
      </w:r>
      <w:r w:rsidR="00185E9D">
        <w:t>approv</w:t>
      </w:r>
      <w:r w:rsidR="0070210D">
        <w:t>al</w:t>
      </w:r>
      <w:r w:rsidR="00E57D5F">
        <w:t xml:space="preserve"> </w:t>
      </w:r>
      <w:r w:rsidR="00CC3C0A">
        <w:t xml:space="preserve">. </w:t>
      </w:r>
      <w:r w:rsidR="0070210D">
        <w:t>G</w:t>
      </w:r>
      <w:r w:rsidRPr="0039411A" w:rsidR="003D39A9">
        <w:t>iven the need for procurement</w:t>
      </w:r>
      <w:r w:rsidRPr="00CE50E7" w:rsidR="003D39A9">
        <w:t xml:space="preserve"> in other programs</w:t>
      </w:r>
      <w:r w:rsidR="000C319B">
        <w:t>,</w:t>
      </w:r>
      <w:r w:rsidR="00B203F4">
        <w:t xml:space="preserve"> </w:t>
      </w:r>
      <w:r w:rsidRPr="002921D3" w:rsidR="0076448D">
        <w:rPr>
          <w:i/>
          <w:iCs/>
        </w:rPr>
        <w:t>e.g</w:t>
      </w:r>
      <w:r w:rsidRPr="00CE50E7" w:rsidR="0076448D">
        <w:t>.,</w:t>
      </w:r>
      <w:r w:rsidRPr="00CE50E7" w:rsidR="009A08DA">
        <w:t xml:space="preserve"> Resource Adequacy and Integrated Resource Planning</w:t>
      </w:r>
      <w:r w:rsidR="000C319B">
        <w:t>,</w:t>
      </w:r>
      <w:r w:rsidR="009A08DA">
        <w:t xml:space="preserve"> </w:t>
      </w:r>
      <w:r w:rsidR="00B203F4">
        <w:t xml:space="preserve">and the small size of teams </w:t>
      </w:r>
      <w:r w:rsidRPr="006920CB" w:rsidR="00B203F4">
        <w:t>as stated by SD</w:t>
      </w:r>
      <w:r w:rsidRPr="006920CB" w:rsidR="00487CC2">
        <w:t>G</w:t>
      </w:r>
      <w:r w:rsidRPr="006920CB" w:rsidR="009A08DA">
        <w:t>&amp;E</w:t>
      </w:r>
      <w:r w:rsidRPr="006920CB" w:rsidR="003D39A9">
        <w:t xml:space="preserve">, we do not see the need to bar staff from moving teams so long as those individuals are not switching between the bid and solicitation teams </w:t>
      </w:r>
      <w:r w:rsidRPr="006920CB" w:rsidR="003B3501">
        <w:t>and vice versa</w:t>
      </w:r>
      <w:r w:rsidRPr="006920CB" w:rsidR="00BD0297">
        <w:t xml:space="preserve"> until the </w:t>
      </w:r>
      <w:r w:rsidRPr="006920CB" w:rsidR="00435C7A">
        <w:t xml:space="preserve">last </w:t>
      </w:r>
      <w:r w:rsidRPr="006920CB" w:rsidR="00BD0297">
        <w:t>contract</w:t>
      </w:r>
      <w:r w:rsidRPr="006920CB" w:rsidR="00435C7A">
        <w:t xml:space="preserve"> for both </w:t>
      </w:r>
      <w:r w:rsidRPr="006920CB" w:rsidR="006920CB">
        <w:t>solicitations</w:t>
      </w:r>
      <w:r w:rsidRPr="006920CB" w:rsidR="00BD0297">
        <w:t xml:space="preserve"> </w:t>
      </w:r>
      <w:r w:rsidRPr="006920CB" w:rsidR="00435C7A">
        <w:t xml:space="preserve">is </w:t>
      </w:r>
      <w:r w:rsidRPr="006920CB" w:rsidR="00BD0297">
        <w:t>submitted</w:t>
      </w:r>
      <w:r w:rsidR="00BD0297">
        <w:t xml:space="preserve"> </w:t>
      </w:r>
      <w:r w:rsidR="00302085">
        <w:t>at the Commission</w:t>
      </w:r>
      <w:r w:rsidRPr="00CE50E7" w:rsidR="003D39A9">
        <w:t xml:space="preserve"> for an RPS sale or RPS Market Offer solicitation</w:t>
      </w:r>
      <w:r w:rsidR="00302085">
        <w:t xml:space="preserve"> approval</w:t>
      </w:r>
      <w:r w:rsidRPr="00CE50E7" w:rsidR="003D39A9">
        <w:t xml:space="preserve">. </w:t>
      </w:r>
    </w:p>
    <w:p w:rsidRPr="00CE50E7" w:rsidR="00985167" w:rsidP="002921D3" w:rsidRDefault="00985167" w14:paraId="0333B256" w14:textId="67C45FC8">
      <w:pPr>
        <w:pStyle w:val="Standard"/>
      </w:pPr>
      <w:r w:rsidRPr="00CE50E7">
        <w:t>CalCCA propose</w:t>
      </w:r>
      <w:r>
        <w:t xml:space="preserve">s a </w:t>
      </w:r>
      <w:r w:rsidRPr="00CE50E7">
        <w:t xml:space="preserve">requirement for all </w:t>
      </w:r>
      <w:r>
        <w:t xml:space="preserve">IOU </w:t>
      </w:r>
      <w:r w:rsidRPr="00CE50E7">
        <w:t xml:space="preserve">employees involved in the Market Offer process to sign the </w:t>
      </w:r>
      <w:r>
        <w:t>c</w:t>
      </w:r>
      <w:r w:rsidRPr="00CE50E7">
        <w:t xml:space="preserve">ertification </w:t>
      </w:r>
      <w:r>
        <w:t xml:space="preserve">to comply with the Market Offer solicitation </w:t>
      </w:r>
      <w:r w:rsidR="00BC00EB">
        <w:t>c</w:t>
      </w:r>
      <w:r w:rsidR="004838AD">
        <w:t>ode</w:t>
      </w:r>
      <w:r w:rsidR="00BC00EB">
        <w:t>s</w:t>
      </w:r>
      <w:r>
        <w:t xml:space="preserve"> of </w:t>
      </w:r>
      <w:r w:rsidR="00BC00EB">
        <w:t>c</w:t>
      </w:r>
      <w:r w:rsidR="004838AD">
        <w:t>onduct</w:t>
      </w:r>
      <w:r>
        <w:t>. SCE states that</w:t>
      </w:r>
      <w:r w:rsidRPr="00EF45BD">
        <w:t xml:space="preserve"> </w:t>
      </w:r>
      <w:r>
        <w:t>t</w:t>
      </w:r>
      <w:r w:rsidRPr="00EF45BD">
        <w:t xml:space="preserve">his was </w:t>
      </w:r>
      <w:r w:rsidR="00B75DCB">
        <w:t>its</w:t>
      </w:r>
      <w:r w:rsidRPr="00EF45BD">
        <w:t xml:space="preserve"> intention</w:t>
      </w:r>
      <w:r w:rsidR="000C319B">
        <w:t>,</w:t>
      </w:r>
      <w:r w:rsidRPr="00EF45BD">
        <w:t xml:space="preserve"> and does not object to such a requirement.</w:t>
      </w:r>
      <w:r>
        <w:t xml:space="preserve"> </w:t>
      </w:r>
      <w:r w:rsidR="00E959FC">
        <w:t xml:space="preserve">We find this </w:t>
      </w:r>
      <w:r w:rsidR="00BB4654">
        <w:t>reasonable and</w:t>
      </w:r>
      <w:r w:rsidR="008B68E9">
        <w:t xml:space="preserve"> </w:t>
      </w:r>
      <w:r w:rsidR="00D63E56">
        <w:t xml:space="preserve">order </w:t>
      </w:r>
      <w:r w:rsidR="0017272F">
        <w:t xml:space="preserve">the </w:t>
      </w:r>
      <w:r>
        <w:t>IOU</w:t>
      </w:r>
      <w:r w:rsidR="00725869">
        <w:t xml:space="preserve">s to require </w:t>
      </w:r>
      <w:r w:rsidR="0017272F">
        <w:t>all</w:t>
      </w:r>
      <w:r w:rsidR="00171945">
        <w:t xml:space="preserve"> employees</w:t>
      </w:r>
      <w:r w:rsidR="008267E0">
        <w:t xml:space="preserve"> involved in the</w:t>
      </w:r>
      <w:r w:rsidR="00DA75C5">
        <w:t>ir</w:t>
      </w:r>
      <w:r w:rsidR="008267E0">
        <w:t xml:space="preserve"> Market Offer process</w:t>
      </w:r>
      <w:r w:rsidR="00DA75C5">
        <w:t>es</w:t>
      </w:r>
      <w:r w:rsidR="008267E0">
        <w:t xml:space="preserve"> </w:t>
      </w:r>
      <w:r w:rsidR="00A772CA">
        <w:t>to sign a</w:t>
      </w:r>
      <w:r w:rsidR="00B45701">
        <w:t xml:space="preserve"> </w:t>
      </w:r>
      <w:r w:rsidR="00A36D31">
        <w:t>compliance certification</w:t>
      </w:r>
      <w:r>
        <w:t xml:space="preserve"> to their respective code</w:t>
      </w:r>
      <w:r w:rsidR="00414E3D">
        <w:t>s</w:t>
      </w:r>
      <w:r>
        <w:t xml:space="preserve"> of conduct. All IOUs shall add a </w:t>
      </w:r>
      <w:r w:rsidR="00A36D31">
        <w:t>compliance certification</w:t>
      </w:r>
      <w:r>
        <w:t xml:space="preserve"> to their </w:t>
      </w:r>
      <w:r w:rsidDel="004838AD">
        <w:t>code</w:t>
      </w:r>
      <w:r w:rsidR="00BB4654">
        <w:t xml:space="preserve">s of conduct. </w:t>
      </w:r>
    </w:p>
    <w:p w:rsidR="00985167" w:rsidP="002921D3" w:rsidRDefault="00985167" w14:paraId="396701B4" w14:textId="77FABA84">
      <w:pPr>
        <w:pStyle w:val="Standard"/>
      </w:pPr>
      <w:r w:rsidRPr="00CE50E7">
        <w:t xml:space="preserve">SDG&amp;E does not object to CalCCA’s recommendation that SDG&amp;E submit its Market Offer bids to the IE </w:t>
      </w:r>
      <w:r w:rsidR="000C319B">
        <w:t>before</w:t>
      </w:r>
      <w:r w:rsidRPr="00CE50E7">
        <w:t xml:space="preserve"> </w:t>
      </w:r>
      <w:r w:rsidR="00081AF9">
        <w:t>third-party bidders</w:t>
      </w:r>
      <w:r w:rsidRPr="00CE50E7">
        <w:t xml:space="preserve">. SDG&amp;E offers to modify its </w:t>
      </w:r>
      <w:r w:rsidR="00593762">
        <w:t xml:space="preserve">code </w:t>
      </w:r>
      <w:r w:rsidR="004D13F0">
        <w:t xml:space="preserve">of </w:t>
      </w:r>
      <w:r w:rsidR="00593762">
        <w:t>c</w:t>
      </w:r>
      <w:r w:rsidR="00CB652F">
        <w:t>onduct</w:t>
      </w:r>
      <w:r w:rsidRPr="00CE50E7" w:rsidR="00CB652F">
        <w:t xml:space="preserve"> </w:t>
      </w:r>
      <w:r w:rsidRPr="00CE50E7">
        <w:t xml:space="preserve">to </w:t>
      </w:r>
      <w:r w:rsidR="00B75DCB">
        <w:t>state that</w:t>
      </w:r>
      <w:r w:rsidRPr="00CE50E7">
        <w:t xml:space="preserve"> “its Front Office team will notify the IE of its offer proposals </w:t>
      </w:r>
      <w:r w:rsidR="000C319B">
        <w:t>before</w:t>
      </w:r>
      <w:r w:rsidR="00CB4897">
        <w:t xml:space="preserve"> s</w:t>
      </w:r>
      <w:r w:rsidRPr="00CE50E7">
        <w:t>ubmitting such in the Market Offer solicitation if it intends to participate in its Market Offer solicitation.”</w:t>
      </w:r>
      <w:r w:rsidRPr="00CE50E7">
        <w:rPr>
          <w:vertAlign w:val="superscript"/>
        </w:rPr>
        <w:footnoteReference w:id="74"/>
      </w:r>
      <w:r w:rsidRPr="00CE50E7">
        <w:t xml:space="preserve"> We find this requirement reasonable and require its similar inclusion in all the IOUs’ </w:t>
      </w:r>
      <w:r w:rsidR="007D66B6">
        <w:t>codes</w:t>
      </w:r>
      <w:r w:rsidR="004D13F0">
        <w:t xml:space="preserve"> of conduct</w:t>
      </w:r>
      <w:r w:rsidRPr="00CE50E7">
        <w:t xml:space="preserve">. </w:t>
      </w:r>
    </w:p>
    <w:p w:rsidRPr="00CE50E7" w:rsidR="0060725E" w:rsidP="002921D3" w:rsidRDefault="0060725E" w14:paraId="00F8E91A" w14:textId="6B705EA1">
      <w:pPr>
        <w:pStyle w:val="Standard"/>
      </w:pPr>
      <w:r>
        <w:t xml:space="preserve">Regarding holding </w:t>
      </w:r>
      <w:r w:rsidR="005C3B2D">
        <w:t>concurrent</w:t>
      </w:r>
      <w:r>
        <w:t xml:space="preserve"> solicitations for RECs</w:t>
      </w:r>
      <w:r w:rsidR="004F13AA">
        <w:t xml:space="preserve"> while Market Offer solicitation is open</w:t>
      </w:r>
      <w:r>
        <w:t xml:space="preserve">, </w:t>
      </w:r>
      <w:r w:rsidRPr="00CE50E7">
        <w:t xml:space="preserve">PG&amp;E opposes CalCCA’s recommendation to </w:t>
      </w:r>
      <w:r w:rsidR="00274BD3">
        <w:t xml:space="preserve">consider </w:t>
      </w:r>
      <w:r w:rsidR="0061331F">
        <w:t xml:space="preserve">it </w:t>
      </w:r>
      <w:r w:rsidR="00AA34E3">
        <w:t>a code of conduct</w:t>
      </w:r>
      <w:r w:rsidR="00274BD3">
        <w:t xml:space="preserve"> issue</w:t>
      </w:r>
      <w:r w:rsidRPr="00CE50E7">
        <w:t>.</w:t>
      </w:r>
      <w:r w:rsidRPr="00CE50E7">
        <w:rPr>
          <w:rStyle w:val="FootnoteReference"/>
          <w:rFonts w:cs="Times New Roman"/>
        </w:rPr>
        <w:footnoteReference w:id="75"/>
      </w:r>
      <w:r w:rsidRPr="00CE50E7">
        <w:t xml:space="preserve"> PG&amp;E states </w:t>
      </w:r>
      <w:r w:rsidR="007D66B6">
        <w:t xml:space="preserve">that </w:t>
      </w:r>
      <w:r w:rsidRPr="00CE50E7">
        <w:t xml:space="preserve">if the Commission were to order this restriction, it should not </w:t>
      </w:r>
      <w:r w:rsidR="007D66B6">
        <w:t>call</w:t>
      </w:r>
      <w:r w:rsidRPr="00CE50E7">
        <w:t xml:space="preserve"> it a change to its </w:t>
      </w:r>
      <w:r w:rsidR="003131CF">
        <w:t>code of conduct</w:t>
      </w:r>
      <w:r w:rsidRPr="00CE50E7">
        <w:t>.</w:t>
      </w:r>
      <w:r w:rsidRPr="00CE50E7">
        <w:rPr>
          <w:rStyle w:val="FootnoteReference"/>
          <w:rFonts w:cs="Times New Roman"/>
        </w:rPr>
        <w:footnoteReference w:id="76"/>
      </w:r>
      <w:r w:rsidRPr="00CE50E7">
        <w:t xml:space="preserve"> </w:t>
      </w:r>
      <w:r>
        <w:t xml:space="preserve">We agree with PG&amp;E and find this is not a code of conduct issue </w:t>
      </w:r>
      <w:r w:rsidR="007D66B6">
        <w:t xml:space="preserve">but </w:t>
      </w:r>
      <w:r>
        <w:t xml:space="preserve">rather </w:t>
      </w:r>
      <w:r w:rsidR="000E77B4">
        <w:t xml:space="preserve">integrity, </w:t>
      </w:r>
      <w:r>
        <w:t xml:space="preserve">operational and policy matter. </w:t>
      </w:r>
      <w:r w:rsidR="00AB10AF">
        <w:t xml:space="preserve">However, there is merit in CalCCA’s concern about holding concurrent solicitations. </w:t>
      </w:r>
      <w:r w:rsidRPr="001B481F" w:rsidR="001B481F">
        <w:t>The IOUs cannot offer concurrent solicitations under the Market Offer process and REC sales for th</w:t>
      </w:r>
      <w:r w:rsidR="000E77B4">
        <w:t xml:space="preserve">is proposed </w:t>
      </w:r>
      <w:r w:rsidRPr="001B481F" w:rsidR="001B481F">
        <w:t>Market Offer process</w:t>
      </w:r>
      <w:r w:rsidRPr="00CE50E7">
        <w:t xml:space="preserve">. </w:t>
      </w:r>
      <w:r w:rsidR="00274B99">
        <w:t>The success</w:t>
      </w:r>
      <w:r>
        <w:t xml:space="preserve"> of the VAMO lies in </w:t>
      </w:r>
      <w:r w:rsidR="00274B99">
        <w:t xml:space="preserve">the </w:t>
      </w:r>
      <w:r>
        <w:t xml:space="preserve">sale of excess RPS energy via the Market Offer process, which </w:t>
      </w:r>
      <w:r w:rsidR="00703678">
        <w:t>should</w:t>
      </w:r>
      <w:r>
        <w:t xml:space="preserve"> help lower costs to PCIA customers. </w:t>
      </w:r>
      <w:r w:rsidR="00950BA7">
        <w:t>I</w:t>
      </w:r>
      <w:r>
        <w:t xml:space="preserve">t is </w:t>
      </w:r>
      <w:r w:rsidR="00694458">
        <w:t>not</w:t>
      </w:r>
      <w:r>
        <w:t xml:space="preserve"> reasonable </w:t>
      </w:r>
      <w:r w:rsidR="00274B99">
        <w:t>to</w:t>
      </w:r>
      <w:r>
        <w:t xml:space="preserve"> allow </w:t>
      </w:r>
      <w:r w:rsidR="005C3B2D">
        <w:t>concurrent</w:t>
      </w:r>
      <w:r>
        <w:t xml:space="preserve"> solicitations for RECs </w:t>
      </w:r>
      <w:r w:rsidR="00694458">
        <w:t>that could</w:t>
      </w:r>
      <w:r>
        <w:t xml:space="preserve"> over-supply the market.</w:t>
      </w:r>
      <w:r w:rsidR="00067261">
        <w:t xml:space="preserve"> </w:t>
      </w:r>
      <w:r w:rsidRPr="00CE50E7">
        <w:t xml:space="preserve">Allowing solicitations that compete with the Market Offer process could put downward pressure on prices, </w:t>
      </w:r>
      <w:r w:rsidR="0038678F">
        <w:t>defeating the VAMO’s purpose</w:t>
      </w:r>
      <w:r w:rsidRPr="00CE50E7">
        <w:t xml:space="preserve">. </w:t>
      </w:r>
      <w:r w:rsidR="00067261">
        <w:t xml:space="preserve">Therefore, IOUs shall not conduct concurrent Market </w:t>
      </w:r>
      <w:r w:rsidR="001B481F">
        <w:t>Offers</w:t>
      </w:r>
      <w:r w:rsidR="00067261">
        <w:t xml:space="preserve"> and REC sales solicitations. </w:t>
      </w:r>
    </w:p>
    <w:p w:rsidR="005A77E7" w:rsidP="002921D3" w:rsidRDefault="003D39A9" w14:paraId="61F7D33E" w14:textId="50EB262C">
      <w:pPr>
        <w:pStyle w:val="Standard"/>
      </w:pPr>
      <w:r w:rsidRPr="00CE50E7">
        <w:t>PG&amp;E oppose</w:t>
      </w:r>
      <w:r w:rsidR="002C706C">
        <w:t>s</w:t>
      </w:r>
      <w:r w:rsidRPr="00CE50E7">
        <w:t xml:space="preserve"> tasking the IE with reporting </w:t>
      </w:r>
      <w:r w:rsidR="004901C3">
        <w:t xml:space="preserve">code of conduct </w:t>
      </w:r>
      <w:r w:rsidRPr="00CE50E7">
        <w:t>violations.</w:t>
      </w:r>
      <w:r w:rsidRPr="00CE50E7">
        <w:rPr>
          <w:rStyle w:val="FootnoteReference"/>
          <w:rFonts w:cs="Times New Roman"/>
        </w:rPr>
        <w:footnoteReference w:id="77"/>
      </w:r>
      <w:r w:rsidRPr="00CE50E7">
        <w:t xml:space="preserve"> PG&amp;E argues </w:t>
      </w:r>
      <w:r w:rsidR="0038678F">
        <w:t xml:space="preserve">that </w:t>
      </w:r>
      <w:r w:rsidRPr="00CE50E7">
        <w:t>the IE’s purpose is to provide technical expertise scrutinizing energy resource solicitations</w:t>
      </w:r>
      <w:r w:rsidR="00274B99">
        <w:t>,</w:t>
      </w:r>
      <w:r w:rsidRPr="00CE50E7">
        <w:t xml:space="preserve"> and CalCCA</w:t>
      </w:r>
      <w:r w:rsidR="00D9014B">
        <w:t>’</w:t>
      </w:r>
      <w:r w:rsidRPr="00CE50E7">
        <w:t>s proposal would be inconsistent with current practice.</w:t>
      </w:r>
      <w:r w:rsidRPr="00CE50E7">
        <w:rPr>
          <w:rStyle w:val="FootnoteReference"/>
          <w:rFonts w:cs="Times New Roman"/>
        </w:rPr>
        <w:footnoteReference w:id="78"/>
      </w:r>
      <w:r w:rsidRPr="00CE50E7">
        <w:t xml:space="preserve"> We agree with CalCCA that the IE should report on any </w:t>
      </w:r>
      <w:r w:rsidR="008C0120">
        <w:t xml:space="preserve">code of conduct </w:t>
      </w:r>
      <w:r w:rsidRPr="00CE50E7">
        <w:t xml:space="preserve">violations it discovers in an IOU’s solicitation. </w:t>
      </w:r>
      <w:r w:rsidR="005A77E7">
        <w:t xml:space="preserve"> </w:t>
      </w:r>
    </w:p>
    <w:p w:rsidR="00F35E55" w:rsidP="002921D3" w:rsidRDefault="0072598A" w14:paraId="3DAAFF0C" w14:textId="7841C4B0">
      <w:pPr>
        <w:pStyle w:val="Standard"/>
      </w:pPr>
      <w:r w:rsidRPr="005A77E7">
        <w:t xml:space="preserve">Pursuant to D.14-11-042 </w:t>
      </w:r>
      <w:r w:rsidRPr="005A77E7" w:rsidR="00C25782">
        <w:t xml:space="preserve">we have authorized </w:t>
      </w:r>
      <w:r w:rsidRPr="005A77E7">
        <w:t xml:space="preserve">Energy Division </w:t>
      </w:r>
      <w:r w:rsidRPr="005A77E7" w:rsidR="00CC296F">
        <w:t xml:space="preserve">to refine an IE’s role </w:t>
      </w:r>
      <w:r w:rsidRPr="005A77E7">
        <w:t>on an on-going basis to ensure that the Independent Evaluator Reports provide useful information that reflects the changing renewable energy markets.</w:t>
      </w:r>
      <w:r w:rsidR="005A77E7">
        <w:t xml:space="preserve"> </w:t>
      </w:r>
      <w:r w:rsidRPr="00CE50E7" w:rsidR="000E77B4">
        <w:t xml:space="preserve">Given </w:t>
      </w:r>
      <w:r w:rsidR="000E77B4">
        <w:t xml:space="preserve">that </w:t>
      </w:r>
      <w:r w:rsidRPr="00CE50E7" w:rsidR="000E77B4">
        <w:t xml:space="preserve">a </w:t>
      </w:r>
      <w:r w:rsidR="000E77B4">
        <w:t>c</w:t>
      </w:r>
      <w:r w:rsidRPr="00CE50E7" w:rsidR="000E77B4">
        <w:t xml:space="preserve">ode of </w:t>
      </w:r>
      <w:r w:rsidR="000E77B4">
        <w:t>c</w:t>
      </w:r>
      <w:r w:rsidRPr="00CE50E7" w:rsidR="000E77B4">
        <w:t xml:space="preserve">onduct is another set of solicitation rules the IOUs must follow, it would be consistent with existing RPS rules and requirements to enable the IE to also report on </w:t>
      </w:r>
      <w:r w:rsidR="000E77B4">
        <w:t>code of conduct</w:t>
      </w:r>
      <w:r w:rsidRPr="00CE50E7" w:rsidR="000E77B4">
        <w:t xml:space="preserve"> violations </w:t>
      </w:r>
      <w:r w:rsidR="000E77B4">
        <w:t xml:space="preserve">to Energy Division and </w:t>
      </w:r>
      <w:r w:rsidRPr="00CE50E7" w:rsidR="000E77B4">
        <w:t xml:space="preserve">in their </w:t>
      </w:r>
      <w:r w:rsidR="000E77B4">
        <w:t xml:space="preserve">IE </w:t>
      </w:r>
      <w:r w:rsidRPr="00CE50E7" w:rsidR="000E77B4">
        <w:t>report</w:t>
      </w:r>
      <w:r w:rsidR="000E77B4">
        <w:t xml:space="preserve"> on the solicitation in sections regarding </w:t>
      </w:r>
      <w:r w:rsidRPr="00CE50E7" w:rsidR="000E77B4">
        <w:t xml:space="preserve">fairness </w:t>
      </w:r>
      <w:r w:rsidR="000E77B4">
        <w:t>of bid evaluation and selection process</w:t>
      </w:r>
      <w:r w:rsidRPr="00CE50E7" w:rsidR="000E77B4">
        <w:t>.</w:t>
      </w:r>
      <w:r w:rsidR="000E77B4">
        <w:t xml:space="preserve"> </w:t>
      </w:r>
      <w:r w:rsidR="00985167">
        <w:t>Therefore, in addition to the</w:t>
      </w:r>
      <w:r w:rsidR="00C255F1">
        <w:t xml:space="preserve"> IOU</w:t>
      </w:r>
      <w:r w:rsidR="00C90F6A">
        <w:t xml:space="preserve"> reporting code of conduct violations, </w:t>
      </w:r>
      <w:r w:rsidRPr="00CE50E7" w:rsidR="003D39A9">
        <w:t xml:space="preserve">IEs </w:t>
      </w:r>
      <w:r w:rsidR="00A04648">
        <w:t>should</w:t>
      </w:r>
      <w:r w:rsidR="005F3785">
        <w:t xml:space="preserve"> </w:t>
      </w:r>
      <w:r w:rsidRPr="00CE50E7" w:rsidR="003D39A9">
        <w:t xml:space="preserve">provide the Commission </w:t>
      </w:r>
      <w:r w:rsidR="00A96D4F">
        <w:t xml:space="preserve">with </w:t>
      </w:r>
      <w:r w:rsidR="005F3785">
        <w:t>information regarding any code of conduct violation</w:t>
      </w:r>
      <w:r w:rsidRPr="00CE50E7" w:rsidR="003D39A9">
        <w:t xml:space="preserve">. </w:t>
      </w:r>
      <w:r w:rsidR="00731934">
        <w:t>It is an IOU’s responsibility to inform the IE ahead of the solicitation about th</w:t>
      </w:r>
      <w:r w:rsidR="00F35E55">
        <w:t xml:space="preserve">e reporting requirement. </w:t>
      </w:r>
    </w:p>
    <w:p w:rsidRPr="00CE50E7" w:rsidR="003D39A9" w:rsidP="002921D3" w:rsidRDefault="00B26579" w14:paraId="4BD1FF05" w14:textId="580268D2">
      <w:pPr>
        <w:pStyle w:val="Standard"/>
      </w:pPr>
      <w:r>
        <w:t>We approve the IOUs’ Codes of Conduct</w:t>
      </w:r>
      <w:r w:rsidR="00E67999">
        <w:t xml:space="preserve"> </w:t>
      </w:r>
      <w:r w:rsidR="00B75DCB">
        <w:t xml:space="preserve">as </w:t>
      </w:r>
      <w:r w:rsidR="00F35E55">
        <w:t>modifi</w:t>
      </w:r>
      <w:r w:rsidR="00B75DCB">
        <w:t>ed</w:t>
      </w:r>
      <w:r w:rsidR="0024212B">
        <w:t xml:space="preserve"> herein</w:t>
      </w:r>
      <w:r w:rsidR="00786367">
        <w:t xml:space="preserve">. </w:t>
      </w:r>
    </w:p>
    <w:p w:rsidRPr="00CE50E7" w:rsidR="00DD6538" w:rsidP="00681522" w:rsidRDefault="008C186D" w14:paraId="25AA2543" w14:textId="3B9FAE43">
      <w:pPr>
        <w:pStyle w:val="Heading2"/>
        <w:numPr>
          <w:ilvl w:val="1"/>
          <w:numId w:val="49"/>
        </w:numPr>
        <w:ind w:left="1440" w:hanging="1080"/>
      </w:pPr>
      <w:bookmarkStart w:name="_Toc119660153" w:id="20"/>
      <w:r w:rsidRPr="002921D3">
        <w:t>Remedies</w:t>
      </w:r>
      <w:r>
        <w:t xml:space="preserve"> for Violation of</w:t>
      </w:r>
      <w:r w:rsidR="00530D95">
        <w:br/>
      </w:r>
      <w:r>
        <w:t>Market Offer Process</w:t>
      </w:r>
      <w:bookmarkEnd w:id="20"/>
    </w:p>
    <w:p w:rsidR="00BB35EC" w:rsidP="002921D3" w:rsidRDefault="00477C24" w14:paraId="3816D6F6" w14:textId="60194C64">
      <w:pPr>
        <w:pStyle w:val="Standard"/>
      </w:pPr>
      <w:r>
        <w:rPr>
          <w:rFonts w:cs="Times New Roman"/>
        </w:rPr>
        <w:t xml:space="preserve">This section addresses </w:t>
      </w:r>
      <w:r w:rsidR="00627147">
        <w:t>SCE’s and PG</w:t>
      </w:r>
      <w:r w:rsidR="00B955EB">
        <w:t>&amp;</w:t>
      </w:r>
      <w:r w:rsidR="00627147">
        <w:t>E’s Market Offer solicitation protocols</w:t>
      </w:r>
      <w:r w:rsidR="00BB35EC">
        <w:t xml:space="preserve"> r</w:t>
      </w:r>
      <w:r w:rsidR="00627147">
        <w:t>egarding “waived claims”</w:t>
      </w:r>
      <w:r w:rsidR="003009F4">
        <w:t xml:space="preserve"> and CalCCA’s</w:t>
      </w:r>
      <w:r w:rsidR="00287C57">
        <w:t xml:space="preserve"> </w:t>
      </w:r>
      <w:r w:rsidR="00E608FA">
        <w:t xml:space="preserve">objections to limited </w:t>
      </w:r>
      <w:r w:rsidR="00287C57">
        <w:t>remedies for</w:t>
      </w:r>
      <w:r w:rsidR="005B6196">
        <w:t xml:space="preserve"> violations</w:t>
      </w:r>
      <w:r w:rsidR="00287C57">
        <w:t>.</w:t>
      </w:r>
      <w:r w:rsidR="00BB35EC">
        <w:t xml:space="preserve"> </w:t>
      </w:r>
    </w:p>
    <w:p w:rsidR="00424863" w:rsidP="002921D3" w:rsidRDefault="00BE0D37" w14:paraId="414B47B2" w14:textId="032001F2">
      <w:pPr>
        <w:pStyle w:val="Standard"/>
      </w:pPr>
      <w:r w:rsidRPr="6056C216">
        <w:t xml:space="preserve">CalCCA argues </w:t>
      </w:r>
      <w:r>
        <w:t xml:space="preserve">that </w:t>
      </w:r>
      <w:r w:rsidRPr="6056C216">
        <w:t xml:space="preserve">market </w:t>
      </w:r>
      <w:r w:rsidRPr="002921D3">
        <w:t>participants</w:t>
      </w:r>
      <w:r w:rsidRPr="6056C216">
        <w:t xml:space="preserve"> should have expanded rights to remedy Market Offer solicitation rule violations by the IOUs</w:t>
      </w:r>
      <w:r w:rsidR="00995F51">
        <w:t xml:space="preserve"> and protests </w:t>
      </w:r>
      <w:r w:rsidR="00D42E3C">
        <w:t xml:space="preserve">PG&amp;E’s and SCE’s </w:t>
      </w:r>
      <w:r w:rsidR="00015AEF">
        <w:t>language regarding “waived claims</w:t>
      </w:r>
      <w:r w:rsidRPr="6056C216">
        <w:t>.</w:t>
      </w:r>
      <w:r w:rsidR="00D42E3C">
        <w:t>”</w:t>
      </w:r>
      <w:r w:rsidRPr="6056C216">
        <w:t xml:space="preserve"> </w:t>
      </w:r>
      <w:r w:rsidR="006F25F4">
        <w:t xml:space="preserve">CalCCA states that any violation of </w:t>
      </w:r>
      <w:r w:rsidR="00E608FA">
        <w:t>Market Offer solicitation protocols</w:t>
      </w:r>
      <w:r w:rsidR="0085695A">
        <w:t>,</w:t>
      </w:r>
      <w:r w:rsidR="006F25F4">
        <w:t xml:space="preserve"> </w:t>
      </w:r>
      <w:r w:rsidR="00F60975">
        <w:t xml:space="preserve">such as </w:t>
      </w:r>
      <w:r w:rsidR="006F25F4">
        <w:t xml:space="preserve">prohibited use of confidential, market-sensitive information, would seriously impact the </w:t>
      </w:r>
      <w:r w:rsidR="00E608FA">
        <w:t>RPS prices</w:t>
      </w:r>
      <w:r w:rsidR="006F25F4">
        <w:t xml:space="preserve"> used to calculate the PCIA. </w:t>
      </w:r>
      <w:r w:rsidRPr="6056C216">
        <w:t xml:space="preserve">CalCCA </w:t>
      </w:r>
      <w:r w:rsidR="00F60975">
        <w:t xml:space="preserve">contends </w:t>
      </w:r>
      <w:r w:rsidRPr="6056C216">
        <w:t xml:space="preserve">that SCE’s and PG&amp;E’s </w:t>
      </w:r>
      <w:r w:rsidRPr="00CE50E7">
        <w:rPr>
          <w:szCs w:val="26"/>
        </w:rPr>
        <w:t xml:space="preserve">Market Offer </w:t>
      </w:r>
      <w:r w:rsidR="001443C8">
        <w:rPr>
          <w:szCs w:val="26"/>
        </w:rPr>
        <w:t>s</w:t>
      </w:r>
      <w:r w:rsidRPr="00CE50E7">
        <w:rPr>
          <w:szCs w:val="26"/>
        </w:rPr>
        <w:t xml:space="preserve">olicitation </w:t>
      </w:r>
      <w:r w:rsidR="001443C8">
        <w:rPr>
          <w:szCs w:val="26"/>
        </w:rPr>
        <w:t>p</w:t>
      </w:r>
      <w:r w:rsidRPr="00CE50E7">
        <w:rPr>
          <w:szCs w:val="26"/>
        </w:rPr>
        <w:t xml:space="preserve">rotocols </w:t>
      </w:r>
      <w:r w:rsidRPr="6056C216">
        <w:t>require market participants to limit their remedies for solicitation violations to just having them rerun the Market Offer solicitations.</w:t>
      </w:r>
      <w:r w:rsidRPr="00CE50E7">
        <w:rPr>
          <w:rStyle w:val="FootnoteReference"/>
          <w:rFonts w:cs="Times New Roman"/>
        </w:rPr>
        <w:footnoteReference w:id="79"/>
      </w:r>
      <w:r w:rsidRPr="6056C216">
        <w:t xml:space="preserve"> </w:t>
      </w:r>
      <w:r>
        <w:t>CalCCA contends that limiting bidders’ claims to Commission dispute resolution or an advice letter protest fails to provide sufficient deterrence against such potentially damaging misconduct. CalCCA further states that because the impacts of a violation will be long-lasting and statewide, all remedies should be available, including a review of potential disallowances in the relevant ERRA Compliance Application.</w:t>
      </w:r>
      <w:r w:rsidRPr="0037321D" w:rsidR="0037321D">
        <w:t xml:space="preserve"> </w:t>
      </w:r>
    </w:p>
    <w:p w:rsidRPr="001D306F" w:rsidR="00B915F7" w:rsidP="006B0999" w:rsidRDefault="00666987" w14:paraId="13DFB933" w14:textId="27486812">
      <w:pPr>
        <w:pStyle w:val="Standard"/>
      </w:pPr>
      <w:r>
        <w:t xml:space="preserve">We will first address PG&amp;E’s and SCE’s Market Offer solicitation protocol proposal </w:t>
      </w:r>
      <w:r w:rsidR="004C6F97">
        <w:t xml:space="preserve">on </w:t>
      </w:r>
      <w:r w:rsidR="000F6255">
        <w:t>“waived claims.”</w:t>
      </w:r>
      <w:r w:rsidR="000F6255">
        <w:rPr>
          <w:rStyle w:val="FootnoteReference"/>
        </w:rPr>
        <w:footnoteReference w:id="80"/>
      </w:r>
      <w:r w:rsidR="0086190D">
        <w:t xml:space="preserve"> </w:t>
      </w:r>
      <w:r w:rsidR="00BE0D37">
        <w:t>PG&amp;E disagrees with CalCCA’s claim that the Commission’s existing penalties associated with improper market behavior are insufficient to deter code of conduct violation behavior were it to occur as baseless. SCE opposes CalCCA’s argument and states that</w:t>
      </w:r>
      <w:r w:rsidR="004D5BF7">
        <w:t xml:space="preserve"> the</w:t>
      </w:r>
      <w:r w:rsidR="00BE0D37">
        <w:t xml:space="preserve"> </w:t>
      </w:r>
      <w:r w:rsidR="00BE0D37">
        <w:rPr>
          <w:shd w:val="clear" w:color="auto" w:fill="FAF9F8"/>
        </w:rPr>
        <w:t>Commission has oversight of the IOU’s activities, as well as retention of an IE, PRG consultation, and an Advice Letter process for review of transactions ensures that there is fair and equitable treatment of all bidders and IOUs conduct themselves following the rules. SCE and PG&amp;E state that an IOU has incentives to preserve the integrity of the Market Offer to protect its own bundled service customers who would pay increased PCIA rates.</w:t>
      </w:r>
    </w:p>
    <w:p w:rsidR="00B275F2" w:rsidP="006B0999" w:rsidRDefault="00ED7A64" w14:paraId="0FF0B7C5" w14:textId="77777777">
      <w:pPr>
        <w:pStyle w:val="Standard"/>
      </w:pPr>
      <w:r>
        <w:t xml:space="preserve">We find </w:t>
      </w:r>
      <w:r w:rsidR="0047733A">
        <w:t xml:space="preserve">SDG&amp;E did not propose language </w:t>
      </w:r>
      <w:r w:rsidR="004B1EED">
        <w:t xml:space="preserve">similar to PG&amp;E’s and SCE’s proposed protocols </w:t>
      </w:r>
      <w:r>
        <w:t>on “waive</w:t>
      </w:r>
      <w:r w:rsidR="001506DD">
        <w:t>d</w:t>
      </w:r>
      <w:r>
        <w:t xml:space="preserve"> claims</w:t>
      </w:r>
      <w:r w:rsidR="0057018B">
        <w:t>,</w:t>
      </w:r>
      <w:r>
        <w:t xml:space="preserve">” </w:t>
      </w:r>
      <w:r w:rsidR="00656807">
        <w:t xml:space="preserve">limiting the </w:t>
      </w:r>
      <w:r w:rsidR="0057018B">
        <w:t>buyer’s</w:t>
      </w:r>
      <w:r w:rsidR="00656807">
        <w:t xml:space="preserve"> rights on remedies </w:t>
      </w:r>
      <w:r w:rsidR="001506DD">
        <w:t>for their Market Offer Proposal</w:t>
      </w:r>
      <w:r>
        <w:t>.</w:t>
      </w:r>
      <w:r w:rsidR="00DC672F">
        <w:t xml:space="preserve"> </w:t>
      </w:r>
      <w:r w:rsidR="00E25D1B">
        <w:t xml:space="preserve"> </w:t>
      </w:r>
    </w:p>
    <w:p w:rsidRPr="000C0EE1" w:rsidR="00B275F2" w:rsidP="005C19DC" w:rsidRDefault="00B275F2" w14:paraId="6294A063" w14:textId="1A286AFA">
      <w:pPr>
        <w:pStyle w:val="Standard"/>
      </w:pPr>
      <w:r>
        <w:t xml:space="preserve">In their comments on the proposed decision, PG&amp;E and SCE state that </w:t>
      </w:r>
      <w:r w:rsidRPr="004C0A30">
        <w:t>bid protocol’s waived claims language is wholly compatible with existing rules, processes, and oversight requirements</w:t>
      </w:r>
      <w:r w:rsidR="00FE73D7">
        <w:t xml:space="preserve"> and should not be removed</w:t>
      </w:r>
      <w:r w:rsidRPr="004C0A30">
        <w:t>. SCE states that the language is consistent with its bid protocols for all solicitations it runs, including in the RPS proceeding</w:t>
      </w:r>
      <w:r w:rsidR="00FE73D7">
        <w:t xml:space="preserve">. SCE contends that the waived claims language in </w:t>
      </w:r>
      <w:r w:rsidRPr="004C0A30">
        <w:t>it</w:t>
      </w:r>
      <w:r w:rsidR="00FE73D7">
        <w:t>s bid protocols are</w:t>
      </w:r>
      <w:r w:rsidRPr="004C0A30">
        <w:t xml:space="preserve"> widely used in the industry, including in the bid protocols used by </w:t>
      </w:r>
      <w:r w:rsidR="00FE73D7">
        <w:t>some</w:t>
      </w:r>
      <w:r w:rsidRPr="004C0A30">
        <w:t xml:space="preserve"> CCAs. SCE further states that compared to </w:t>
      </w:r>
      <w:r w:rsidR="00FE73D7">
        <w:t xml:space="preserve">the </w:t>
      </w:r>
      <w:r w:rsidRPr="004C0A30">
        <w:t xml:space="preserve">heavy oversight the IOUs have for running solicitations and the remedies provided to bidders, California Power Alliance’s </w:t>
      </w:r>
      <w:r w:rsidR="00FE73D7">
        <w:t xml:space="preserve">recent mid-term reliability request for offers </w:t>
      </w:r>
      <w:r w:rsidRPr="004C0A30">
        <w:t>solicitation protocol provides no such recourse</w:t>
      </w:r>
      <w:r w:rsidR="00FE73D7">
        <w:t xml:space="preserve"> and provides no rights or remedies for counterparties</w:t>
      </w:r>
      <w:r w:rsidRPr="004C0A30">
        <w:t xml:space="preserve">. </w:t>
      </w:r>
      <w:r w:rsidRPr="000C0EE1">
        <w:t xml:space="preserve">PG&amp;E states that </w:t>
      </w:r>
      <w:r w:rsidRPr="000C0EE1" w:rsidR="00FE73D7">
        <w:t>the Commission</w:t>
      </w:r>
      <w:r w:rsidRPr="000C0EE1">
        <w:t xml:space="preserve"> should clarify the exclusive use of CPUC processes to resolve a dispute arising from the Market Offer process</w:t>
      </w:r>
      <w:r w:rsidR="00A22CE9">
        <w:t xml:space="preserve">. </w:t>
      </w:r>
      <w:r w:rsidR="005C19DC">
        <w:t xml:space="preserve">PG&amp;E contends that </w:t>
      </w:r>
      <w:r w:rsidRPr="000C0EE1" w:rsidR="005C19DC">
        <w:t>market-sensitive bidding information could be revealed to market participants through discovery</w:t>
      </w:r>
      <w:r w:rsidR="00A22CE9">
        <w:t xml:space="preserve"> </w:t>
      </w:r>
      <w:r w:rsidRPr="000C0EE1" w:rsidR="005C19DC">
        <w:t>processes that differ from the Commission’s processes and could create market manipulation opportunities.</w:t>
      </w:r>
    </w:p>
    <w:p w:rsidR="00EA0F3C" w:rsidP="00EA0F3C" w:rsidRDefault="00B275F2" w14:paraId="2DF5660C" w14:textId="0053AFC4">
      <w:pPr>
        <w:pStyle w:val="Standard"/>
      </w:pPr>
      <w:r w:rsidRPr="000C0EE1">
        <w:t xml:space="preserve">CalCCA’s reply comments on the proposed decision reiterate the same position as its comments on the Joint IOU proposal. </w:t>
      </w:r>
      <w:r w:rsidR="005C19DC">
        <w:t>CalCCA argues that v</w:t>
      </w:r>
      <w:r w:rsidRPr="000C0EE1" w:rsidR="005C19DC">
        <w:t>iolations in bidding or in evaluating bids will seriously impact the market price of RPS used to calculate the PCIA for all ratepayers.</w:t>
      </w:r>
    </w:p>
    <w:p w:rsidR="005C19DC" w:rsidP="00DD2702" w:rsidRDefault="00EA0F3C" w14:paraId="736906EA" w14:textId="5DD74C3A">
      <w:pPr>
        <w:pStyle w:val="Standard"/>
      </w:pPr>
      <w:r>
        <w:t xml:space="preserve">After reviewing comments and reply on the proposed decision, we agree with SCE and PG&amp;E that </w:t>
      </w:r>
      <w:r w:rsidRPr="000C0EE1">
        <w:t xml:space="preserve">that in no event should bidders be granted the right to bypass Commission-overseen processes to directly challenge Market Offer </w:t>
      </w:r>
      <w:r w:rsidR="00A22CE9">
        <w:t xml:space="preserve">request for offer </w:t>
      </w:r>
      <w:r w:rsidRPr="000C0EE1">
        <w:t>results in state or federal court.</w:t>
      </w:r>
      <w:r w:rsidR="00A22CE9">
        <w:t xml:space="preserve"> </w:t>
      </w:r>
      <w:r w:rsidR="003B0514">
        <w:t>T</w:t>
      </w:r>
      <w:r w:rsidRPr="00CE50E7" w:rsidR="003B0514">
        <w:t xml:space="preserve">he Commission takes </w:t>
      </w:r>
      <w:r w:rsidR="003B0514">
        <w:t>the</w:t>
      </w:r>
      <w:r w:rsidRPr="00CE50E7" w:rsidR="003B0514">
        <w:t xml:space="preserve"> risk</w:t>
      </w:r>
      <w:r w:rsidR="003B0514">
        <w:t xml:space="preserve"> associated with an IOU failing to follow Market Offer</w:t>
      </w:r>
      <w:r w:rsidRPr="00CE50E7" w:rsidR="003B0514">
        <w:t xml:space="preserve"> solicitation </w:t>
      </w:r>
      <w:r w:rsidR="003B0514">
        <w:t xml:space="preserve">protocols and the </w:t>
      </w:r>
      <w:r w:rsidRPr="00CE50E7" w:rsidR="003B0514">
        <w:t>need to rerun</w:t>
      </w:r>
      <w:r w:rsidR="003B0514">
        <w:t xml:space="preserve"> the solicitation</w:t>
      </w:r>
      <w:r w:rsidRPr="00CE50E7" w:rsidR="003B0514">
        <w:t xml:space="preserve"> very seriously</w:t>
      </w:r>
      <w:r w:rsidR="003B0514">
        <w:t>,</w:t>
      </w:r>
      <w:r w:rsidRPr="00CE50E7" w:rsidR="003B0514">
        <w:t xml:space="preserve"> given the negative impact a failed Market Offer process could have</w:t>
      </w:r>
      <w:r w:rsidR="003B0514">
        <w:t xml:space="preserve"> on</w:t>
      </w:r>
      <w:r w:rsidRPr="00CE50E7" w:rsidR="003B0514">
        <w:t xml:space="preserve"> ratepayers</w:t>
      </w:r>
      <w:r w:rsidR="003B0514">
        <w:t>.</w:t>
      </w:r>
      <w:r w:rsidR="009C6EB1">
        <w:t xml:space="preserve"> </w:t>
      </w:r>
      <w:r w:rsidRPr="000C0EE1" w:rsidR="005C19DC">
        <w:t xml:space="preserve">Bringing a claim in state or federal court against the IOU before raising it with the Commission may cause the suspension of a solicitation or the overturning of a solicitation and result in years of uncertainty and expensive and time-consuming litigation which would deprive customers of the benefits of monetizing these RECs and brings uncertainty to the </w:t>
      </w:r>
      <w:r w:rsidRPr="00CE50E7" w:rsidR="007F4226">
        <w:t xml:space="preserve">Market Offer </w:t>
      </w:r>
      <w:r w:rsidRPr="000C0EE1" w:rsidR="005C19DC">
        <w:t>process. We agree with SCE and PG&amp;E that the Commission is in the</w:t>
      </w:r>
      <w:r w:rsidR="005C19DC">
        <w:t xml:space="preserve"> </w:t>
      </w:r>
      <w:r w:rsidRPr="000C0EE1" w:rsidR="005C19DC">
        <w:t>best position to determine whether the solicitation was conducted fairly and in accordance with</w:t>
      </w:r>
      <w:r w:rsidR="005C19DC">
        <w:t xml:space="preserve"> </w:t>
      </w:r>
      <w:r w:rsidRPr="000C0EE1" w:rsidR="005C19DC">
        <w:t>the solicitation protocols</w:t>
      </w:r>
      <w:r w:rsidR="00DD2702">
        <w:t xml:space="preserve"> and decide if the IOUs must</w:t>
      </w:r>
      <w:r w:rsidRPr="000C0EE1" w:rsidR="005C19DC">
        <w:t xml:space="preserve"> rerun the</w:t>
      </w:r>
      <w:r w:rsidR="00DD2702">
        <w:t xml:space="preserve"> </w:t>
      </w:r>
      <w:r w:rsidRPr="000C0EE1" w:rsidR="005C19DC">
        <w:t>solicitation.</w:t>
      </w:r>
      <w:r w:rsidR="00C616AC">
        <w:t xml:space="preserve"> </w:t>
      </w:r>
    </w:p>
    <w:p w:rsidR="00593489" w:rsidP="00A22CE9" w:rsidRDefault="00DD2702" w14:paraId="5B34C6BE" w14:textId="1D9AD812">
      <w:pPr>
        <w:pStyle w:val="Standard"/>
      </w:pPr>
      <w:r>
        <w:t>While we</w:t>
      </w:r>
      <w:r w:rsidR="00424863">
        <w:t xml:space="preserve"> agree with CalCCA that Market Offers are not simple RPS transactions where </w:t>
      </w:r>
      <w:r w:rsidRPr="003D766C" w:rsidR="003D766C">
        <w:t>a bidder can lose the contract in the case of a mishandled</w:t>
      </w:r>
      <w:r w:rsidR="00530D95">
        <w:t xml:space="preserve"> </w:t>
      </w:r>
      <w:r w:rsidRPr="003D766C" w:rsidR="003D766C">
        <w:t>solicitation</w:t>
      </w:r>
      <w:r>
        <w:t xml:space="preserve"> we find merit in SCE’s argument that </w:t>
      </w:r>
      <w:r w:rsidRPr="000C0EE1">
        <w:t>Market Offer</w:t>
      </w:r>
      <w:r>
        <w:t xml:space="preserve"> </w:t>
      </w:r>
      <w:r w:rsidRPr="000C0EE1">
        <w:t>process is no</w:t>
      </w:r>
      <w:r w:rsidR="00D31796">
        <w:t xml:space="preserve">t </w:t>
      </w:r>
      <w:r w:rsidR="007C61FE">
        <w:t xml:space="preserve">appreciably different </w:t>
      </w:r>
      <w:r w:rsidR="00010316">
        <w:t xml:space="preserve">from </w:t>
      </w:r>
      <w:r w:rsidR="00D30CA9">
        <w:t xml:space="preserve">REC sale </w:t>
      </w:r>
      <w:r w:rsidR="009D0471">
        <w:t>solicitations</w:t>
      </w:r>
      <w:r w:rsidR="00814EC8">
        <w:t xml:space="preserve"> </w:t>
      </w:r>
      <w:r w:rsidR="007C0556">
        <w:t xml:space="preserve">where the </w:t>
      </w:r>
      <w:r w:rsidRPr="004C0A30" w:rsidR="007C0556">
        <w:t>waived claims language</w:t>
      </w:r>
      <w:r w:rsidR="0059527C">
        <w:t xml:space="preserve"> is utilized</w:t>
      </w:r>
      <w:r w:rsidR="00424863">
        <w:t>.</w:t>
      </w:r>
      <w:r w:rsidR="001B66A5">
        <w:t xml:space="preserve"> </w:t>
      </w:r>
      <w:r>
        <w:t xml:space="preserve">The CCAs </w:t>
      </w:r>
      <w:r w:rsidR="006B1E4C">
        <w:t>should not</w:t>
      </w:r>
      <w:r>
        <w:t xml:space="preserve"> have dual standards limiting remedies in their own solicitations and</w:t>
      </w:r>
      <w:r w:rsidR="00C2201C">
        <w:t xml:space="preserve"> seeking waivers in similar solicitations before the Commission in which </w:t>
      </w:r>
      <w:r>
        <w:t xml:space="preserve">they participate as bidders. </w:t>
      </w:r>
    </w:p>
    <w:p w:rsidRPr="00CE50E7" w:rsidR="006A0425" w:rsidP="006B0999" w:rsidRDefault="005B7627" w14:paraId="3D46B038" w14:textId="48B83FCA">
      <w:pPr>
        <w:pStyle w:val="Standard"/>
      </w:pPr>
      <w:r>
        <w:t>The</w:t>
      </w:r>
      <w:r w:rsidRPr="00CE50E7" w:rsidR="006A0425">
        <w:t xml:space="preserve"> market participants </w:t>
      </w:r>
      <w:r w:rsidR="00C2201C">
        <w:t xml:space="preserve">have </w:t>
      </w:r>
      <w:r w:rsidR="00907152">
        <w:t>the</w:t>
      </w:r>
      <w:r w:rsidR="00C2201C">
        <w:t xml:space="preserve"> option to </w:t>
      </w:r>
      <w:r w:rsidR="000034AE">
        <w:t>protest</w:t>
      </w:r>
      <w:r w:rsidRPr="00CE50E7" w:rsidR="006A0425">
        <w:t xml:space="preserve"> the IOUs’ Market Offer advice letters seeking approval of executed Market Offer contracts or </w:t>
      </w:r>
      <w:r w:rsidR="00E57D5F">
        <w:t xml:space="preserve">file </w:t>
      </w:r>
      <w:r w:rsidRPr="00CE50E7" w:rsidR="006A0425">
        <w:t xml:space="preserve">an </w:t>
      </w:r>
      <w:r w:rsidR="00E57D5F">
        <w:t>O</w:t>
      </w:r>
      <w:r w:rsidRPr="00CE50E7" w:rsidR="006A0425">
        <w:t xml:space="preserve">rder to </w:t>
      </w:r>
      <w:r w:rsidR="00E57D5F">
        <w:t>S</w:t>
      </w:r>
      <w:r w:rsidRPr="00CE50E7" w:rsidR="006A0425">
        <w:t xml:space="preserve">how </w:t>
      </w:r>
      <w:r w:rsidR="00E57D5F">
        <w:t>C</w:t>
      </w:r>
      <w:r w:rsidRPr="00CE50E7" w:rsidR="006A0425">
        <w:t xml:space="preserve">ause </w:t>
      </w:r>
      <w:r w:rsidRPr="00CE50E7" w:rsidR="00E25788">
        <w:t>later</w:t>
      </w:r>
      <w:r w:rsidRPr="00CE50E7" w:rsidR="006A0425">
        <w:t xml:space="preserve"> if they discover impropriety</w:t>
      </w:r>
      <w:r w:rsidR="000E4CFE">
        <w:t xml:space="preserve">. </w:t>
      </w:r>
      <w:r w:rsidR="00BB57FA">
        <w:t xml:space="preserve">At </w:t>
      </w:r>
      <w:r w:rsidRPr="00CE50E7" w:rsidR="00BB57FA">
        <w:t>th</w:t>
      </w:r>
      <w:r w:rsidR="00BB57FA">
        <w:t>e</w:t>
      </w:r>
      <w:r w:rsidRPr="00CE50E7" w:rsidR="00BB57FA">
        <w:t xml:space="preserve"> time</w:t>
      </w:r>
      <w:r w:rsidR="00BB57FA">
        <w:t xml:space="preserve"> </w:t>
      </w:r>
      <w:r w:rsidRPr="00CE50E7" w:rsidR="00BB57FA">
        <w:t>the Commission is notified</w:t>
      </w:r>
      <w:r w:rsidR="00BB57FA">
        <w:t xml:space="preserve">, it </w:t>
      </w:r>
      <w:r w:rsidRPr="00CE50E7" w:rsidR="00BB57FA">
        <w:t xml:space="preserve">will examine the claims and determine an appropriate </w:t>
      </w:r>
      <w:r w:rsidR="00BB57FA">
        <w:t>remedy</w:t>
      </w:r>
      <w:r w:rsidRPr="00CE50E7" w:rsidR="00BB57FA">
        <w:t xml:space="preserve"> in the event a violation </w:t>
      </w:r>
      <w:r w:rsidR="00BB57FA">
        <w:t xml:space="preserve">of a </w:t>
      </w:r>
      <w:r w:rsidRPr="00CE50E7" w:rsidR="00BB57FA">
        <w:t xml:space="preserve">Market Offer </w:t>
      </w:r>
      <w:r w:rsidR="00BB57FA">
        <w:t>solicitation protocol occurs.</w:t>
      </w:r>
      <w:r w:rsidRPr="00D718F1" w:rsidR="00BB57FA">
        <w:t xml:space="preserve"> </w:t>
      </w:r>
      <w:r w:rsidR="00DD2702">
        <w:t xml:space="preserve"> Therefore, </w:t>
      </w:r>
      <w:r w:rsidR="00C2201C">
        <w:t>i</w:t>
      </w:r>
      <w:r w:rsidRPr="00D718F1" w:rsidR="00C2201C">
        <w:t xml:space="preserve">t </w:t>
      </w:r>
      <w:r w:rsidRPr="00D718F1" w:rsidR="00D718F1">
        <w:t xml:space="preserve">is reasonable </w:t>
      </w:r>
      <w:r w:rsidR="00C2201C">
        <w:t xml:space="preserve">not </w:t>
      </w:r>
      <w:r w:rsidRPr="00D718F1" w:rsidR="00D718F1">
        <w:t xml:space="preserve">to require PG&amp;E and SCE to remove </w:t>
      </w:r>
      <w:r w:rsidR="00EE1CA4">
        <w:t xml:space="preserve">the </w:t>
      </w:r>
      <w:r w:rsidRPr="00D718F1" w:rsidR="00D718F1">
        <w:t xml:space="preserve">“waived claims” </w:t>
      </w:r>
      <w:r w:rsidR="00EE1CA4">
        <w:t xml:space="preserve">clause </w:t>
      </w:r>
      <w:r w:rsidRPr="00D718F1" w:rsidR="00D718F1">
        <w:t>from their respective Market Offer solicitation protocols</w:t>
      </w:r>
      <w:r w:rsidR="00D718F1">
        <w:t>.</w:t>
      </w:r>
    </w:p>
    <w:p w:rsidRPr="00530D95" w:rsidR="00AE0364" w:rsidP="006B0999" w:rsidRDefault="006A0425" w14:paraId="31D24EEA" w14:textId="32FA77C6">
      <w:pPr>
        <w:pStyle w:val="Standard"/>
      </w:pPr>
      <w:r w:rsidRPr="00CE50E7">
        <w:t xml:space="preserve">CalCCA also recommends </w:t>
      </w:r>
      <w:r w:rsidR="00D718F1">
        <w:t xml:space="preserve">that </w:t>
      </w:r>
      <w:r w:rsidRPr="00CE50E7">
        <w:t xml:space="preserve">the Commission consider </w:t>
      </w:r>
      <w:r w:rsidR="0024212B">
        <w:t>a</w:t>
      </w:r>
      <w:r w:rsidRPr="00CE50E7">
        <w:t xml:space="preserve"> potential disallowance of ERRA </w:t>
      </w:r>
      <w:r w:rsidRPr="00437F80">
        <w:t xml:space="preserve">cost recovery in the IOUs’ </w:t>
      </w:r>
      <w:r w:rsidRPr="00437F80" w:rsidR="00962E2D">
        <w:t>ERRA compliance</w:t>
      </w:r>
      <w:r w:rsidRPr="00437F80">
        <w:t xml:space="preserve"> applications.</w:t>
      </w:r>
      <w:r w:rsidRPr="00437F80">
        <w:rPr>
          <w:rStyle w:val="FootnoteReference"/>
          <w:rFonts w:cs="Times New Roman"/>
        </w:rPr>
        <w:footnoteReference w:id="81"/>
      </w:r>
      <w:r w:rsidRPr="00437F80">
        <w:t xml:space="preserve"> </w:t>
      </w:r>
      <w:r w:rsidRPr="00437F80" w:rsidR="00656807">
        <w:t>All three IOUs replied to CalCCA’s protest seeking disallowances in SCE’s ERRA Compliance Application.</w:t>
      </w:r>
      <w:r w:rsidRPr="00437F80" w:rsidR="00437F80">
        <w:t xml:space="preserve"> </w:t>
      </w:r>
      <w:r w:rsidRPr="00437F80">
        <w:t xml:space="preserve">The IOUs </w:t>
      </w:r>
      <w:r w:rsidRPr="00CE50E7">
        <w:t xml:space="preserve">argue CalCCA’s disallowance of ERRA costs as a </w:t>
      </w:r>
      <w:r w:rsidR="009262CF">
        <w:t>remed</w:t>
      </w:r>
      <w:r w:rsidR="002A48C9">
        <w:t>y</w:t>
      </w:r>
      <w:r w:rsidR="009262CF">
        <w:t xml:space="preserve"> for alleged violations as </w:t>
      </w:r>
      <w:r w:rsidRPr="00CE50E7">
        <w:t xml:space="preserve">inconsistent with the ERRA regulatory framework and D.21-05-030. PG&amp;E and SCE argue </w:t>
      </w:r>
      <w:r w:rsidR="002A48C9">
        <w:t>that</w:t>
      </w:r>
      <w:r w:rsidR="006D7D26">
        <w:t xml:space="preserve"> disallowance in </w:t>
      </w:r>
      <w:r w:rsidRPr="00CE50E7">
        <w:t xml:space="preserve">ERRA </w:t>
      </w:r>
      <w:r w:rsidR="006D7D26">
        <w:t xml:space="preserve">compliance application </w:t>
      </w:r>
      <w:r w:rsidR="002A48C9">
        <w:t xml:space="preserve">is </w:t>
      </w:r>
      <w:r w:rsidRPr="00CE50E7">
        <w:t>not compatible</w:t>
      </w:r>
      <w:r w:rsidR="00EA2683">
        <w:t xml:space="preserve"> with the</w:t>
      </w:r>
      <w:r w:rsidRPr="00CE50E7">
        <w:t xml:space="preserve"> AB</w:t>
      </w:r>
      <w:r w:rsidR="00530D95">
        <w:t> </w:t>
      </w:r>
      <w:r w:rsidRPr="00CE50E7">
        <w:t>57 regulatory framework.</w:t>
      </w:r>
      <w:r w:rsidRPr="00CE50E7">
        <w:rPr>
          <w:rStyle w:val="FootnoteReference"/>
          <w:rFonts w:cs="Times New Roman"/>
        </w:rPr>
        <w:footnoteReference w:id="82"/>
      </w:r>
      <w:r w:rsidRPr="00CE50E7">
        <w:t xml:space="preserve"> They state</w:t>
      </w:r>
      <w:r w:rsidR="00400C3A">
        <w:t xml:space="preserve"> that</w:t>
      </w:r>
      <w:r w:rsidRPr="00CE50E7">
        <w:t xml:space="preserve"> AB 57 generally eliminated the need for after-the-fact reasonableness reviews, unless an exception applie</w:t>
      </w:r>
      <w:r w:rsidR="00EA2683">
        <w:t>d</w:t>
      </w:r>
      <w:r w:rsidRPr="00CE50E7">
        <w:t>.</w:t>
      </w:r>
      <w:r w:rsidRPr="00CE50E7">
        <w:rPr>
          <w:rStyle w:val="FootnoteReference"/>
          <w:rFonts w:cs="Times New Roman"/>
        </w:rPr>
        <w:footnoteReference w:id="83"/>
      </w:r>
      <w:r w:rsidRPr="00CE50E7">
        <w:t xml:space="preserve"> </w:t>
      </w:r>
      <w:r w:rsidR="00400C3A">
        <w:t xml:space="preserve">They further state that </w:t>
      </w:r>
      <w:r w:rsidRPr="00CE50E7">
        <w:t>AB</w:t>
      </w:r>
      <w:r w:rsidR="00530D95">
        <w:t> </w:t>
      </w:r>
      <w:r w:rsidRPr="00CE50E7">
        <w:t>57 procurement is subject to up-front review, which requires IOUs to comply with achievable standards, does not permit a rate of return on this procurement, and thus ensures pass-through cost-recovery for the IOUs.</w:t>
      </w:r>
      <w:r w:rsidRPr="00CE50E7">
        <w:rPr>
          <w:rStyle w:val="FootnoteReference"/>
          <w:rFonts w:cs="Times New Roman"/>
        </w:rPr>
        <w:footnoteReference w:id="84"/>
      </w:r>
      <w:r w:rsidR="00555D70">
        <w:t xml:space="preserve"> The IOUs</w:t>
      </w:r>
      <w:r w:rsidRPr="00CE50E7">
        <w:t xml:space="preserve"> </w:t>
      </w:r>
      <w:r w:rsidR="00400C3A">
        <w:t xml:space="preserve">contend that </w:t>
      </w:r>
      <w:r w:rsidRPr="00CE50E7">
        <w:t xml:space="preserve">the new ERRA </w:t>
      </w:r>
      <w:r w:rsidR="00400C3A">
        <w:t xml:space="preserve">remedy </w:t>
      </w:r>
      <w:r w:rsidR="006628F7">
        <w:t xml:space="preserve">proposal </w:t>
      </w:r>
      <w:r w:rsidRPr="00CE50E7">
        <w:t>is not necessary because the IOUs are subject to several existing rules that act as a deterrent</w:t>
      </w:r>
      <w:r w:rsidR="00EA2683">
        <w:t>,</w:t>
      </w:r>
      <w:r w:rsidRPr="00CE50E7">
        <w:t xml:space="preserve"> such as </w:t>
      </w:r>
      <w:r w:rsidR="00EA2683">
        <w:t xml:space="preserve">a </w:t>
      </w:r>
      <w:r w:rsidRPr="00CE50E7">
        <w:t>standard of conduct that prohibit</w:t>
      </w:r>
      <w:r w:rsidR="00EA2683">
        <w:t>s</w:t>
      </w:r>
      <w:r w:rsidRPr="00CE50E7">
        <w:t xml:space="preserve"> self-dealing and fraud or abuse in negotiating procurement transactions.</w:t>
      </w:r>
      <w:r w:rsidRPr="00CE50E7">
        <w:rPr>
          <w:rStyle w:val="FootnoteReference"/>
          <w:rFonts w:cs="Times New Roman"/>
        </w:rPr>
        <w:footnoteReference w:id="85"/>
      </w:r>
      <w:r w:rsidRPr="00CE50E7">
        <w:t xml:space="preserve"> PG&amp;E argues the advice letter process will give parties the opportunity to challenge market offer transactions.</w:t>
      </w:r>
      <w:r w:rsidRPr="00CE50E7">
        <w:rPr>
          <w:rStyle w:val="FootnoteReference"/>
          <w:rFonts w:cs="Times New Roman"/>
        </w:rPr>
        <w:footnoteReference w:id="86"/>
      </w:r>
      <w:r w:rsidRPr="00CE50E7">
        <w:t xml:space="preserve"> </w:t>
      </w:r>
      <w:r w:rsidR="00EF4716">
        <w:t xml:space="preserve">Without a record in this proceeding on the kind of violations and </w:t>
      </w:r>
      <w:r w:rsidR="003C36FA">
        <w:t>impact on ratepayers</w:t>
      </w:r>
      <w:r w:rsidR="00EA2683">
        <w:t>,</w:t>
      </w:r>
      <w:r w:rsidR="00EF4716">
        <w:t xml:space="preserve"> we </w:t>
      </w:r>
      <w:r w:rsidRPr="00AE0364" w:rsidR="00F138AD">
        <w:t xml:space="preserve">decline </w:t>
      </w:r>
      <w:r w:rsidR="003B21B4">
        <w:t xml:space="preserve">to adopt </w:t>
      </w:r>
      <w:r w:rsidRPr="00AE0364" w:rsidR="00F138AD">
        <w:t xml:space="preserve">CalCCA’s recommendation </w:t>
      </w:r>
      <w:r w:rsidRPr="00AE0364" w:rsidR="00E31DCA">
        <w:t>to disallow ERRA cost recovery</w:t>
      </w:r>
      <w:r w:rsidRPr="00AE0364" w:rsidR="009D5B44">
        <w:t>.</w:t>
      </w:r>
      <w:r w:rsidRPr="00AE0364" w:rsidR="009963BF">
        <w:t xml:space="preserve"> </w:t>
      </w:r>
      <w:r w:rsidRPr="00AE0364" w:rsidR="00C472E1">
        <w:t xml:space="preserve"> </w:t>
      </w:r>
      <w:r w:rsidR="00CD5D85">
        <w:t xml:space="preserve">Additionally, </w:t>
      </w:r>
      <w:r w:rsidRPr="00CD5D85" w:rsidR="00CD5D85">
        <w:t>we do not see a need to adopt the suggested modification to the existing compliance scheme for IOU solicitations</w:t>
      </w:r>
      <w:r w:rsidR="00EA2683">
        <w:t>,</w:t>
      </w:r>
      <w:r w:rsidRPr="00CD5D85" w:rsidR="00CD5D85">
        <w:t xml:space="preserve"> just for the Market Offer solicitations.</w:t>
      </w:r>
    </w:p>
    <w:p w:rsidRPr="00AE0364" w:rsidR="00DD6538" w:rsidP="00681522" w:rsidRDefault="00DD6538" w14:paraId="4748E4CF" w14:textId="3185C8A6">
      <w:pPr>
        <w:pStyle w:val="Heading2"/>
        <w:numPr>
          <w:ilvl w:val="1"/>
          <w:numId w:val="49"/>
        </w:numPr>
        <w:ind w:left="1440" w:hanging="1080"/>
      </w:pPr>
      <w:bookmarkStart w:name="_Toc119660154" w:id="21"/>
      <w:r w:rsidRPr="006B0999">
        <w:t>Allocation</w:t>
      </w:r>
      <w:r w:rsidRPr="00AE0364">
        <w:t xml:space="preserve"> of </w:t>
      </w:r>
      <w:r w:rsidR="00AE0364">
        <w:t>S</w:t>
      </w:r>
      <w:r w:rsidRPr="00AE0364">
        <w:t xml:space="preserve">ales </w:t>
      </w:r>
      <w:r w:rsidR="00AE0364">
        <w:t>R</w:t>
      </w:r>
      <w:r w:rsidRPr="00AE0364">
        <w:t>evenue</w:t>
      </w:r>
      <w:r w:rsidR="00D435DB">
        <w:t xml:space="preserve"> and</w:t>
      </w:r>
      <w:r w:rsidR="00530D95">
        <w:br/>
      </w:r>
      <w:r w:rsidR="00D435DB">
        <w:t>True Up Process for ERRA Applications</w:t>
      </w:r>
      <w:bookmarkEnd w:id="21"/>
    </w:p>
    <w:p w:rsidR="00EA34FB" w:rsidP="00EA34FB" w:rsidRDefault="007C4FF0" w14:paraId="162946D2" w14:textId="10D19923">
      <w:pPr>
        <w:pStyle w:val="Standard"/>
        <w:rPr>
          <w:rFonts w:eastAsia="Calibri" w:cs="Arial"/>
          <w:szCs w:val="26"/>
        </w:rPr>
      </w:pPr>
      <w:r>
        <w:t xml:space="preserve">Pursuant to </w:t>
      </w:r>
      <w:r w:rsidRPr="53F120B0" w:rsidR="03626A01">
        <w:t>D</w:t>
      </w:r>
      <w:r w:rsidRPr="53F120B0" w:rsidR="58B838C8">
        <w:t>.</w:t>
      </w:r>
      <w:r w:rsidRPr="53F120B0" w:rsidR="03626A01">
        <w:t>21</w:t>
      </w:r>
      <w:r w:rsidRPr="2094603A" w:rsidR="03626A01">
        <w:t xml:space="preserve">-05-030 </w:t>
      </w:r>
      <w:r w:rsidRPr="2094603A" w:rsidR="587918F5">
        <w:t xml:space="preserve">the PCIA </w:t>
      </w:r>
      <w:r w:rsidR="00A60CC4">
        <w:t xml:space="preserve">ratemaking </w:t>
      </w:r>
      <w:r w:rsidRPr="2094603A" w:rsidR="587918F5">
        <w:t>methodology</w:t>
      </w:r>
      <w:r>
        <w:t xml:space="preserve"> was modified</w:t>
      </w:r>
      <w:r w:rsidRPr="2094603A" w:rsidR="587918F5">
        <w:t xml:space="preserve"> </w:t>
      </w:r>
      <w:r w:rsidRPr="70CD369D" w:rsidR="587918F5">
        <w:t xml:space="preserve">to accommodate </w:t>
      </w:r>
      <w:r w:rsidRPr="0F536366" w:rsidR="587918F5">
        <w:t>VAMO transactions</w:t>
      </w:r>
      <w:r w:rsidRPr="4E66C42D" w:rsidR="627B8E73">
        <w:rPr>
          <w:rFonts w:eastAsia="Calibri" w:cs="Arial"/>
          <w:szCs w:val="26"/>
        </w:rPr>
        <w:t>.</w:t>
      </w:r>
      <w:r w:rsidRPr="15C96380" w:rsidR="00DD6538">
        <w:rPr>
          <w:rStyle w:val="FootnoteReference"/>
          <w:rFonts w:eastAsia="Calibri" w:cs="Arial"/>
          <w:szCs w:val="26"/>
        </w:rPr>
        <w:footnoteReference w:id="87"/>
      </w:r>
      <w:r w:rsidR="00D435DB">
        <w:rPr>
          <w:rFonts w:eastAsia="Calibri" w:cs="Arial"/>
          <w:szCs w:val="26"/>
        </w:rPr>
        <w:t xml:space="preserve">  </w:t>
      </w:r>
      <w:r w:rsidR="00EA34FB">
        <w:rPr>
          <w:rFonts w:eastAsia="Calibri" w:cs="Arial"/>
          <w:szCs w:val="26"/>
        </w:rPr>
        <w:t>Specifically, the decision adopted</w:t>
      </w:r>
      <w:r w:rsidR="00A60CC4">
        <w:rPr>
          <w:rFonts w:eastAsia="Calibri" w:cs="Arial"/>
          <w:szCs w:val="26"/>
        </w:rPr>
        <w:t xml:space="preserve"> the following</w:t>
      </w:r>
      <w:r w:rsidR="00EA34FB">
        <w:rPr>
          <w:rFonts w:eastAsia="Calibri" w:cs="Arial"/>
          <w:szCs w:val="26"/>
        </w:rPr>
        <w:t>:</w:t>
      </w:r>
    </w:p>
    <w:p w:rsidR="00EA34FB" w:rsidP="00530D95" w:rsidRDefault="00EA34FB" w14:paraId="0D4E8EFF" w14:textId="05A22654">
      <w:pPr>
        <w:pStyle w:val="Standard"/>
        <w:numPr>
          <w:ilvl w:val="0"/>
          <w:numId w:val="37"/>
        </w:numPr>
        <w:spacing w:after="120" w:line="240" w:lineRule="auto"/>
        <w:ind w:left="1080" w:right="1440"/>
        <w:rPr>
          <w:rFonts w:eastAsia="Calibri" w:cs="Arial"/>
          <w:szCs w:val="26"/>
        </w:rPr>
      </w:pPr>
      <w:r>
        <w:rPr>
          <w:rFonts w:eastAsia="Calibri" w:cs="Arial"/>
          <w:szCs w:val="26"/>
        </w:rPr>
        <w:t>T</w:t>
      </w:r>
      <w:r w:rsidRPr="00EA34FB">
        <w:rPr>
          <w:rFonts w:eastAsia="Calibri" w:cs="Arial"/>
          <w:szCs w:val="26"/>
        </w:rPr>
        <w:t xml:space="preserve">reat </w:t>
      </w:r>
      <w:r>
        <w:rPr>
          <w:rFonts w:eastAsia="Calibri" w:cs="Arial"/>
          <w:szCs w:val="26"/>
        </w:rPr>
        <w:t>RPS</w:t>
      </w:r>
      <w:r w:rsidRPr="00EA34FB">
        <w:rPr>
          <w:rFonts w:eastAsia="Calibri" w:cs="Arial"/>
          <w:szCs w:val="26"/>
        </w:rPr>
        <w:t xml:space="preserve"> Voluntary Allocations as sales at the applicable year’s </w:t>
      </w:r>
      <w:r w:rsidR="00BA2099">
        <w:rPr>
          <w:rFonts w:eastAsia="Calibri" w:cs="Arial"/>
          <w:szCs w:val="26"/>
        </w:rPr>
        <w:t>market-price benchmark</w:t>
      </w:r>
      <w:r w:rsidRPr="00EA34FB">
        <w:rPr>
          <w:rFonts w:eastAsia="Calibri" w:cs="Arial"/>
          <w:szCs w:val="26"/>
        </w:rPr>
        <w:t xml:space="preserve">. </w:t>
      </w:r>
    </w:p>
    <w:p w:rsidR="00EA34FB" w:rsidP="00530D95" w:rsidRDefault="00EA34FB" w14:paraId="042B338A" w14:textId="79AC5490">
      <w:pPr>
        <w:pStyle w:val="Standard"/>
        <w:numPr>
          <w:ilvl w:val="0"/>
          <w:numId w:val="37"/>
        </w:numPr>
        <w:spacing w:after="120" w:line="240" w:lineRule="auto"/>
        <w:ind w:left="1080" w:right="1440"/>
        <w:rPr>
          <w:rFonts w:eastAsia="Calibri" w:cs="Arial"/>
          <w:szCs w:val="26"/>
        </w:rPr>
      </w:pPr>
      <w:r w:rsidRPr="00EA34FB">
        <w:rPr>
          <w:rFonts w:eastAsia="Calibri" w:cs="Arial"/>
          <w:szCs w:val="26"/>
        </w:rPr>
        <w:t xml:space="preserve">LSE payments for Voluntary Allocations will be recorded in the PABA and will offset costs in the PCIA. </w:t>
      </w:r>
    </w:p>
    <w:p w:rsidR="00EA34FB" w:rsidP="00530D95" w:rsidRDefault="00EA34FB" w14:paraId="024A33F2" w14:textId="77777777">
      <w:pPr>
        <w:pStyle w:val="Standard"/>
        <w:numPr>
          <w:ilvl w:val="0"/>
          <w:numId w:val="37"/>
        </w:numPr>
        <w:spacing w:after="120" w:line="240" w:lineRule="auto"/>
        <w:ind w:left="1080" w:right="1440"/>
        <w:rPr>
          <w:rFonts w:eastAsia="Calibri" w:cs="Arial"/>
          <w:szCs w:val="26"/>
        </w:rPr>
      </w:pPr>
      <w:r>
        <w:rPr>
          <w:rFonts w:eastAsia="Calibri" w:cs="Arial"/>
          <w:szCs w:val="26"/>
        </w:rPr>
        <w:t>IOUs</w:t>
      </w:r>
      <w:r w:rsidRPr="00EA34FB">
        <w:rPr>
          <w:rFonts w:eastAsia="Calibri" w:cs="Arial"/>
          <w:szCs w:val="26"/>
        </w:rPr>
        <w:t xml:space="preserve"> will pay for their Voluntary Allocations as a debit from the Energy Resource Recovery Account balancing account and a credit to PABA.  </w:t>
      </w:r>
    </w:p>
    <w:p w:rsidRPr="00CE50E7" w:rsidR="00EA34FB" w:rsidP="00530D95" w:rsidRDefault="00EA34FB" w14:paraId="2279917D" w14:textId="37DE9FE6">
      <w:pPr>
        <w:pStyle w:val="Standard"/>
        <w:numPr>
          <w:ilvl w:val="0"/>
          <w:numId w:val="37"/>
        </w:numPr>
        <w:spacing w:after="120" w:line="240" w:lineRule="auto"/>
        <w:ind w:left="1080" w:right="1440"/>
        <w:rPr>
          <w:rFonts w:eastAsia="Calibri" w:cs="Arial"/>
          <w:szCs w:val="26"/>
        </w:rPr>
      </w:pPr>
      <w:r w:rsidRPr="00EA34FB">
        <w:rPr>
          <w:rFonts w:eastAsia="Calibri" w:cs="Arial"/>
          <w:szCs w:val="26"/>
        </w:rPr>
        <w:t>Record Market Offer sales revenue in PABA</w:t>
      </w:r>
      <w:r w:rsidR="00530D95">
        <w:rPr>
          <w:rFonts w:eastAsia="Calibri" w:cs="Arial"/>
          <w:szCs w:val="26"/>
        </w:rPr>
        <w:t>.</w:t>
      </w:r>
    </w:p>
    <w:p w:rsidR="00D54B32" w:rsidP="00E33DA8" w:rsidRDefault="007C4FF0" w14:paraId="4AD5F35F" w14:textId="5F740CDC">
      <w:pPr>
        <w:pStyle w:val="Standard"/>
      </w:pPr>
      <w:r w:rsidRPr="13660460">
        <w:t xml:space="preserve">The Joint IOUs </w:t>
      </w:r>
      <w:r w:rsidRPr="0D3CE8BB">
        <w:t>propose paying</w:t>
      </w:r>
      <w:r w:rsidRPr="13660460">
        <w:t xml:space="preserve"> for their own Market Offer awards </w:t>
      </w:r>
      <w:r w:rsidRPr="72AC3880">
        <w:t>in the same</w:t>
      </w:r>
      <w:r w:rsidRPr="13660460">
        <w:t xml:space="preserve"> </w:t>
      </w:r>
      <w:r w:rsidRPr="3E1925A5">
        <w:t>manner that they</w:t>
      </w:r>
      <w:r w:rsidRPr="13660460">
        <w:t xml:space="preserve"> pay for their own Voluntary Allocation Awards, pursuant to D.21-05-</w:t>
      </w:r>
      <w:r w:rsidRPr="13660460" w:rsidR="00EA34FB">
        <w:t>0</w:t>
      </w:r>
      <w:r w:rsidR="00EA34FB">
        <w:t>3</w:t>
      </w:r>
      <w:r w:rsidRPr="13660460" w:rsidR="00EA34FB">
        <w:t>0</w:t>
      </w:r>
      <w:r w:rsidRPr="13660460">
        <w:t xml:space="preserve">. </w:t>
      </w:r>
      <w:r w:rsidR="00200B79">
        <w:t xml:space="preserve">Specifically, </w:t>
      </w:r>
      <w:r w:rsidRPr="13660460">
        <w:t xml:space="preserve">the IOUs </w:t>
      </w:r>
      <w:r w:rsidRPr="3E1925A5">
        <w:t>propose</w:t>
      </w:r>
      <w:r w:rsidRPr="13660460">
        <w:t xml:space="preserve"> paying for a “Market Offer award as a debit from the </w:t>
      </w:r>
      <w:r w:rsidRPr="13660460">
        <w:rPr>
          <w:rFonts w:eastAsiaTheme="minorEastAsia"/>
        </w:rPr>
        <w:t>ERRA</w:t>
      </w:r>
      <w:r w:rsidRPr="13660460">
        <w:rPr>
          <w:rFonts w:cs="TimesNewRomanPSMT"/>
        </w:rPr>
        <w:t xml:space="preserve"> </w:t>
      </w:r>
      <w:r w:rsidRPr="13660460">
        <w:t>balancing account at the transacted price, and a credit to applicable PABA customer vintages.”</w:t>
      </w:r>
      <w:r w:rsidRPr="13660460">
        <w:rPr>
          <w:rStyle w:val="FootnoteReference"/>
          <w:rFonts w:eastAsia="SymbolMT" w:cs="Times New Roman"/>
        </w:rPr>
        <w:footnoteReference w:id="88"/>
      </w:r>
      <w:r w:rsidRPr="13660460">
        <w:rPr>
          <w:rStyle w:val="FootnoteReference"/>
          <w:rFonts w:eastAsia="SymbolMT" w:cs="Times New Roman"/>
        </w:rPr>
        <w:t xml:space="preserve"> </w:t>
      </w:r>
      <w:r w:rsidR="00762C13">
        <w:t xml:space="preserve">The Joint IOUs state that </w:t>
      </w:r>
      <w:r w:rsidR="0038678F">
        <w:t xml:space="preserve">all Market Offer sales revenues </w:t>
      </w:r>
      <w:r w:rsidRPr="483D42E6" w:rsidR="00DD6538">
        <w:rPr>
          <w:rFonts w:eastAsia="Times New Roman"/>
        </w:rPr>
        <w:t xml:space="preserve">will be distributed pro-rata across vintages since a slice </w:t>
      </w:r>
      <w:r w:rsidRPr="483D42E6" w:rsidR="005A3634">
        <w:rPr>
          <w:rFonts w:eastAsia="Times New Roman"/>
        </w:rPr>
        <w:t>comprises</w:t>
      </w:r>
      <w:r w:rsidRPr="483D42E6" w:rsidR="00DD6538">
        <w:rPr>
          <w:rFonts w:eastAsia="Times New Roman"/>
        </w:rPr>
        <w:t xml:space="preserve"> the IOU</w:t>
      </w:r>
      <w:r w:rsidRPr="483D42E6" w:rsidR="000806CE">
        <w:rPr>
          <w:rFonts w:eastAsia="Times New Roman"/>
        </w:rPr>
        <w:t>’</w:t>
      </w:r>
      <w:r w:rsidRPr="483D42E6" w:rsidR="00DD6538">
        <w:rPr>
          <w:rFonts w:eastAsia="Times New Roman"/>
        </w:rPr>
        <w:t>s entire portfolio, not a subset of particular vintage resources.</w:t>
      </w:r>
      <w:r w:rsidRPr="00CE50E7" w:rsidR="00DD6538">
        <w:rPr>
          <w:rStyle w:val="FootnoteReference"/>
          <w:rFonts w:eastAsia="SymbolMT" w:cs="Times New Roman"/>
        </w:rPr>
        <w:footnoteReference w:id="89"/>
      </w:r>
      <w:r w:rsidRPr="483D42E6" w:rsidR="00DD6538">
        <w:t xml:space="preserve"> </w:t>
      </w:r>
      <w:r w:rsidR="00BA2099">
        <w:t>As noted above, i</w:t>
      </w:r>
      <w:r w:rsidR="005C5BE3">
        <w:t>n</w:t>
      </w:r>
      <w:r w:rsidR="006F62BE">
        <w:t xml:space="preserve"> D.21-05-030</w:t>
      </w:r>
      <w:r w:rsidR="00D54B32">
        <w:t>,</w:t>
      </w:r>
      <w:r w:rsidR="005C5BE3">
        <w:t xml:space="preserve"> we adopted</w:t>
      </w:r>
      <w:r w:rsidR="006F62BE">
        <w:t xml:space="preserve"> accounting rules for Voluntary Allocations</w:t>
      </w:r>
      <w:r w:rsidR="005C5BE3">
        <w:t xml:space="preserve">, but we </w:t>
      </w:r>
      <w:r w:rsidR="006F62BE">
        <w:t xml:space="preserve">did not </w:t>
      </w:r>
      <w:r w:rsidR="005C5BE3">
        <w:t>specify</w:t>
      </w:r>
      <w:r w:rsidR="006F62BE">
        <w:t xml:space="preserve"> how to account for Market Offer transactions</w:t>
      </w:r>
      <w:r w:rsidR="00BA2099">
        <w:t xml:space="preserve"> other than giving direction on recording Market Offer sales revenue in PABA</w:t>
      </w:r>
      <w:r w:rsidR="006F62BE">
        <w:t xml:space="preserve">. </w:t>
      </w:r>
      <w:r w:rsidR="00A60CC4">
        <w:t>The</w:t>
      </w:r>
      <w:r w:rsidR="006F62BE">
        <w:t xml:space="preserve"> IOU proposal to use the same </w:t>
      </w:r>
      <w:r w:rsidR="00A60CC4">
        <w:t xml:space="preserve">accounting </w:t>
      </w:r>
      <w:r w:rsidR="006F62BE">
        <w:t xml:space="preserve">rules </w:t>
      </w:r>
      <w:r w:rsidR="00A60CC4">
        <w:t xml:space="preserve">as Voluntary Allocations </w:t>
      </w:r>
      <w:r w:rsidR="006F62BE">
        <w:t>is reasonable because it</w:t>
      </w:r>
      <w:r w:rsidR="00EA34FB">
        <w:t xml:space="preserve"> </w:t>
      </w:r>
      <w:r w:rsidR="007C0C88">
        <w:t xml:space="preserve">lends consistency to the process of allocating sales revenue. </w:t>
      </w:r>
      <w:r w:rsidR="0092514B">
        <w:t xml:space="preserve">Additionally, the </w:t>
      </w:r>
      <w:r w:rsidR="00D54B32">
        <w:rPr>
          <w:rFonts w:eastAsia="SymbolMT"/>
        </w:rPr>
        <w:t>Joint Market Offer Proposal</w:t>
      </w:r>
      <w:r w:rsidRPr="00CE50E7" w:rsidR="00D54B32">
        <w:t xml:space="preserve"> for allocating Market Offer sales revenue was uncontested</w:t>
      </w:r>
      <w:r w:rsidR="00D54B32">
        <w:t xml:space="preserve"> and </w:t>
      </w:r>
      <w:r w:rsidRPr="00CE50E7" w:rsidR="00D54B32">
        <w:t xml:space="preserve">is generally consistent with the principles of cost causation and with the guidance </w:t>
      </w:r>
      <w:r w:rsidR="00D54B32">
        <w:t>provided</w:t>
      </w:r>
      <w:r w:rsidRPr="00CE50E7" w:rsidR="00D54B32">
        <w:t xml:space="preserve"> by D.21-05-030</w:t>
      </w:r>
      <w:r w:rsidR="00D54B32">
        <w:t xml:space="preserve"> and D.19-10-001</w:t>
      </w:r>
      <w:r w:rsidRPr="00CE50E7" w:rsidR="00D54B32">
        <w:t>.</w:t>
      </w:r>
      <w:r w:rsidR="00E33DA8">
        <w:t xml:space="preserve"> Therefore, sales revenue from Market Offer transactions should follow the same rules as Voluntary Allocations.</w:t>
      </w:r>
    </w:p>
    <w:p w:rsidR="00DD6538" w:rsidP="00E33DA8" w:rsidRDefault="00E33DA8" w14:paraId="527EB6DC" w14:textId="17BCA5B5">
      <w:pPr>
        <w:pStyle w:val="Standard"/>
      </w:pPr>
      <w:r>
        <w:rPr>
          <w:rFonts w:eastAsia="SymbolMT"/>
        </w:rPr>
        <w:t>Regarding the calculation of</w:t>
      </w:r>
      <w:r w:rsidRPr="004C1EDB">
        <w:rPr>
          <w:rFonts w:eastAsia="SymbolMT"/>
        </w:rPr>
        <w:t xml:space="preserve"> </w:t>
      </w:r>
      <w:r w:rsidR="0092514B">
        <w:rPr>
          <w:rFonts w:eastAsia="SymbolMT"/>
        </w:rPr>
        <w:t xml:space="preserve">the </w:t>
      </w:r>
      <w:r w:rsidRPr="004C1EDB">
        <w:rPr>
          <w:rFonts w:eastAsia="SymbolMT"/>
        </w:rPr>
        <w:t>forecast</w:t>
      </w:r>
      <w:r>
        <w:rPr>
          <w:rFonts w:eastAsia="SymbolMT"/>
        </w:rPr>
        <w:t>ed</w:t>
      </w:r>
      <w:r w:rsidRPr="004C1EDB">
        <w:rPr>
          <w:rFonts w:eastAsia="SymbolMT"/>
        </w:rPr>
        <w:t xml:space="preserve"> RPS value of the PCIA-eligible portfolios in the respective </w:t>
      </w:r>
      <w:r>
        <w:rPr>
          <w:rFonts w:eastAsia="SymbolMT"/>
        </w:rPr>
        <w:t xml:space="preserve">ERRA proceedings, </w:t>
      </w:r>
      <w:r w:rsidR="0092514B">
        <w:rPr>
          <w:rFonts w:eastAsia="SymbolMT"/>
        </w:rPr>
        <w:t xml:space="preserve">the </w:t>
      </w:r>
      <w:r>
        <w:rPr>
          <w:rFonts w:eastAsia="SymbolMT"/>
        </w:rPr>
        <w:t xml:space="preserve">IOUs must determine actual and forecasted price and quantity of RPS sales volume. </w:t>
      </w:r>
      <w:r>
        <w:t>Pursuant to D.19</w:t>
      </w:r>
      <w:r w:rsidR="00FC6955">
        <w:noBreakHyphen/>
      </w:r>
      <w:r>
        <w:t>10</w:t>
      </w:r>
      <w:r w:rsidR="00FC6955">
        <w:noBreakHyphen/>
      </w:r>
      <w:r>
        <w:t>001, the f</w:t>
      </w:r>
      <w:r w:rsidRPr="00C432F5">
        <w:t>orecast RPS Adder is the volume-weighted average of all IOU, CCA, and ESP’s market transactions</w:t>
      </w:r>
      <w:r>
        <w:t>.</w:t>
      </w:r>
      <w:r>
        <w:rPr>
          <w:rStyle w:val="FootnoteReference"/>
        </w:rPr>
        <w:footnoteReference w:id="90"/>
      </w:r>
      <w:r>
        <w:t xml:space="preserve"> </w:t>
      </w:r>
      <w:r w:rsidRPr="483D42E6" w:rsidDel="00A72AC0" w:rsidR="007A588A">
        <w:t>The</w:t>
      </w:r>
      <w:r w:rsidRPr="483D42E6" w:rsidDel="00A72AC0" w:rsidR="00DD6538">
        <w:t xml:space="preserve"> IOUs propose to use the best available information to represent Market Offers at the time of their ERRA Forecast Applications. </w:t>
      </w:r>
      <w:r w:rsidR="0055061E">
        <w:t>The</w:t>
      </w:r>
      <w:r w:rsidRPr="483D42E6" w:rsidDel="00A72AC0" w:rsidR="00B50DD3">
        <w:t xml:space="preserve"> IOUs state that</w:t>
      </w:r>
      <w:r w:rsidRPr="483D42E6" w:rsidDel="00A72AC0" w:rsidR="00DD6538">
        <w:t xml:space="preserve"> once actual market revenues are available</w:t>
      </w:r>
      <w:r w:rsidRPr="483D42E6" w:rsidDel="00A72AC0" w:rsidR="005A3634">
        <w:t>,</w:t>
      </w:r>
      <w:r w:rsidRPr="483D42E6" w:rsidDel="00A72AC0" w:rsidR="00B50DD3">
        <w:t xml:space="preserve"> they will </w:t>
      </w:r>
      <w:r w:rsidRPr="483D42E6" w:rsidDel="00A72AC0" w:rsidR="00DD6538">
        <w:t>“true up” forecast values to actuals “in the annual disposition of the PABA balancing account in rates.</w:t>
      </w:r>
      <w:r w:rsidRPr="00CE50E7" w:rsidDel="00A72AC0" w:rsidR="00DD6538">
        <w:rPr>
          <w:rStyle w:val="FootnoteReference"/>
          <w:rFonts w:eastAsia="SymbolMT" w:cs="Times New Roman"/>
        </w:rPr>
        <w:t xml:space="preserve"> </w:t>
      </w:r>
    </w:p>
    <w:p w:rsidR="0058498C" w:rsidP="006B0999" w:rsidRDefault="00D435DB" w14:paraId="71ACAB80" w14:textId="33DF4637">
      <w:pPr>
        <w:pStyle w:val="Standard"/>
        <w:rPr>
          <w:rFonts w:cs="Times New Roman"/>
          <w:szCs w:val="26"/>
        </w:rPr>
      </w:pPr>
      <w:r>
        <w:rPr>
          <w:rFonts w:eastAsia="SymbolMT"/>
        </w:rPr>
        <w:t xml:space="preserve">In its </w:t>
      </w:r>
      <w:r w:rsidR="00DA078F">
        <w:rPr>
          <w:rFonts w:eastAsia="SymbolMT"/>
        </w:rPr>
        <w:t>opening comments to the proposed decision</w:t>
      </w:r>
      <w:r>
        <w:rPr>
          <w:rFonts w:eastAsia="SymbolMT"/>
        </w:rPr>
        <w:t>, PG&amp;E states that the ratemaking treatment of Market</w:t>
      </w:r>
      <w:r w:rsidRPr="00DA078F">
        <w:rPr>
          <w:rFonts w:eastAsia="SymbolMT"/>
        </w:rPr>
        <w:t xml:space="preserve"> Offer sales revenue</w:t>
      </w:r>
      <w:r>
        <w:rPr>
          <w:rFonts w:eastAsia="SymbolMT"/>
        </w:rPr>
        <w:t xml:space="preserve"> </w:t>
      </w:r>
      <w:r w:rsidR="00DA078F">
        <w:rPr>
          <w:rFonts w:eastAsia="SymbolMT"/>
        </w:rPr>
        <w:t>align</w:t>
      </w:r>
      <w:r w:rsidR="0004087D">
        <w:rPr>
          <w:rFonts w:eastAsia="SymbolMT"/>
        </w:rPr>
        <w:t>s</w:t>
      </w:r>
      <w:r w:rsidR="00DA078F">
        <w:rPr>
          <w:rFonts w:eastAsia="SymbolMT"/>
        </w:rPr>
        <w:t xml:space="preserve"> with the guidance in D.19</w:t>
      </w:r>
      <w:r w:rsidR="00FC6955">
        <w:rPr>
          <w:rFonts w:eastAsia="SymbolMT"/>
        </w:rPr>
        <w:noBreakHyphen/>
      </w:r>
      <w:r w:rsidR="00DA078F">
        <w:rPr>
          <w:rFonts w:eastAsia="SymbolMT"/>
        </w:rPr>
        <w:t>10</w:t>
      </w:r>
      <w:r w:rsidR="00FC6955">
        <w:rPr>
          <w:rFonts w:eastAsia="SymbolMT"/>
        </w:rPr>
        <w:noBreakHyphen/>
      </w:r>
      <w:r w:rsidR="00DA078F">
        <w:rPr>
          <w:rFonts w:eastAsia="SymbolMT"/>
        </w:rPr>
        <w:t>001. PG&amp;E states that o</w:t>
      </w:r>
      <w:r w:rsidRPr="00DA078F" w:rsidR="00DA078F">
        <w:rPr>
          <w:rFonts w:eastAsia="SymbolMT"/>
        </w:rPr>
        <w:t xml:space="preserve">nce executed, </w:t>
      </w:r>
      <w:r w:rsidR="0058498C">
        <w:rPr>
          <w:rFonts w:eastAsia="SymbolMT"/>
        </w:rPr>
        <w:t>the IOUs will have</w:t>
      </w:r>
      <w:r w:rsidR="00C432F5">
        <w:rPr>
          <w:rFonts w:eastAsia="SymbolMT"/>
        </w:rPr>
        <w:t xml:space="preserve"> the</w:t>
      </w:r>
      <w:r w:rsidRPr="00DA078F" w:rsidR="00DA078F">
        <w:rPr>
          <w:rFonts w:eastAsia="SymbolMT"/>
        </w:rPr>
        <w:t xml:space="preserve"> actual sales </w:t>
      </w:r>
      <w:r w:rsidR="004C1EDB">
        <w:rPr>
          <w:rFonts w:eastAsia="SymbolMT"/>
        </w:rPr>
        <w:t xml:space="preserve">and price </w:t>
      </w:r>
      <w:r w:rsidRPr="00DA078F" w:rsidR="00DA078F">
        <w:rPr>
          <w:rFonts w:eastAsia="SymbolMT"/>
        </w:rPr>
        <w:t xml:space="preserve">for RPS attributes of the IOUs’ </w:t>
      </w:r>
      <w:r w:rsidR="00C432F5">
        <w:rPr>
          <w:rFonts w:eastAsia="SymbolMT"/>
        </w:rPr>
        <w:t>PCIA-eligible</w:t>
      </w:r>
      <w:r w:rsidRPr="00DA078F" w:rsidR="00DA078F">
        <w:rPr>
          <w:rFonts w:eastAsia="SymbolMT"/>
        </w:rPr>
        <w:t xml:space="preserve"> portfolio remaining after Voluntary Allocation.  </w:t>
      </w:r>
      <w:r w:rsidR="00BB6561">
        <w:rPr>
          <w:rFonts w:eastAsia="SymbolMT"/>
        </w:rPr>
        <w:t>PG&amp;E argues that Market Offer sales should therefore be categorized as “Actual S</w:t>
      </w:r>
      <w:r w:rsidR="0076632E">
        <w:rPr>
          <w:rFonts w:eastAsia="SymbolMT"/>
        </w:rPr>
        <w:t>old</w:t>
      </w:r>
      <w:r w:rsidR="00BB6561">
        <w:rPr>
          <w:rFonts w:eastAsia="SymbolMT"/>
        </w:rPr>
        <w:t>” (instead of “Forecast S</w:t>
      </w:r>
      <w:r w:rsidR="0076632E">
        <w:rPr>
          <w:rFonts w:eastAsia="SymbolMT"/>
        </w:rPr>
        <w:t>old</w:t>
      </w:r>
      <w:r w:rsidR="00BB6561">
        <w:rPr>
          <w:rFonts w:eastAsia="SymbolMT"/>
        </w:rPr>
        <w:t>”) in the PCIA forecasts once the Market Offer prices are known, and that the IOUs should use the actual Market Offer prices to forecast the value of those transactions, consistent with Attachment B of D.19-10-001. PG&amp;E states that the proposed treatment is also consistent with its current ratemaking practices</w:t>
      </w:r>
      <w:r w:rsidR="00F35417">
        <w:rPr>
          <w:rFonts w:cs="Times New Roman"/>
          <w:szCs w:val="26"/>
        </w:rPr>
        <w:t xml:space="preserve">. </w:t>
      </w:r>
    </w:p>
    <w:p w:rsidR="00BB6561" w:rsidP="00BB6561" w:rsidRDefault="00BB6561" w14:paraId="72732564" w14:textId="1857ACA5">
      <w:pPr>
        <w:pStyle w:val="Standard"/>
        <w:rPr>
          <w:rFonts w:eastAsia="SymbolMT"/>
        </w:rPr>
      </w:pPr>
      <w:r>
        <w:rPr>
          <w:rFonts w:eastAsia="SymbolMT"/>
        </w:rPr>
        <w:t xml:space="preserve">After reviewing PG&amp;E’s clarification, we agree that the IOUs’ proposal to value Market Offer transactions at their actual transacted prices for PCIA forecasting purposes in future ERRA Forecast Applications is appropriate and consistent with D.19-10-001. </w:t>
      </w:r>
      <w:r w:rsidR="002E408C">
        <w:rPr>
          <w:rFonts w:eastAsia="SymbolMT"/>
        </w:rPr>
        <w:t>T</w:t>
      </w:r>
      <w:r>
        <w:rPr>
          <w:rFonts w:eastAsia="SymbolMT"/>
        </w:rPr>
        <w:t xml:space="preserve">he executed Market Offer transactions will be considered “Actual Sold” RPS volumes for PCIA forecasting purposes, instead of being considered “Forecast Sold” RPS volumes for which prices are not yet known (and for which the IOUs use the RPS Market Price Benchmark as a proxy value). </w:t>
      </w:r>
    </w:p>
    <w:p w:rsidR="00BB6561" w:rsidP="00BB6561" w:rsidRDefault="002E408C" w14:paraId="2DEB1184" w14:textId="005D16CE">
      <w:pPr>
        <w:pStyle w:val="Standard"/>
        <w:rPr>
          <w:rFonts w:eastAsia="SymbolMT"/>
        </w:rPr>
      </w:pPr>
      <w:r>
        <w:rPr>
          <w:rFonts w:eastAsia="SymbolMT"/>
        </w:rPr>
        <w:t xml:space="preserve">Pursuant to </w:t>
      </w:r>
      <w:r w:rsidRPr="000C0EE1">
        <w:rPr>
          <w:rFonts w:eastAsia="SymbolMT"/>
        </w:rPr>
        <w:t>D.19</w:t>
      </w:r>
      <w:r w:rsidR="00FC6955">
        <w:rPr>
          <w:rFonts w:eastAsia="SymbolMT"/>
        </w:rPr>
        <w:noBreakHyphen/>
      </w:r>
      <w:r w:rsidRPr="000C0EE1">
        <w:rPr>
          <w:rFonts w:eastAsia="SymbolMT"/>
        </w:rPr>
        <w:t>10</w:t>
      </w:r>
      <w:r w:rsidR="00FC6955">
        <w:rPr>
          <w:rFonts w:eastAsia="SymbolMT"/>
        </w:rPr>
        <w:noBreakHyphen/>
      </w:r>
      <w:r w:rsidRPr="000C0EE1">
        <w:rPr>
          <w:rFonts w:eastAsia="SymbolMT"/>
        </w:rPr>
        <w:t xml:space="preserve">001, </w:t>
      </w:r>
      <w:r>
        <w:rPr>
          <w:rFonts w:eastAsia="SymbolMT"/>
        </w:rPr>
        <w:t xml:space="preserve">the </w:t>
      </w:r>
      <w:r w:rsidRPr="000C0EE1">
        <w:rPr>
          <w:rFonts w:eastAsia="SymbolMT"/>
        </w:rPr>
        <w:t>volumes of RECs eligible for Market Offer and that</w:t>
      </w:r>
      <w:r>
        <w:rPr>
          <w:rFonts w:eastAsia="SymbolMT"/>
        </w:rPr>
        <w:t xml:space="preserve"> </w:t>
      </w:r>
      <w:r w:rsidRPr="000C0EE1">
        <w:rPr>
          <w:rFonts w:eastAsia="SymbolMT"/>
        </w:rPr>
        <w:t>are unsold or not procured by the IOU are valued at zero for the purposes of PCIA</w:t>
      </w:r>
      <w:r>
        <w:rPr>
          <w:rFonts w:eastAsia="SymbolMT"/>
        </w:rPr>
        <w:t xml:space="preserve"> </w:t>
      </w:r>
      <w:r w:rsidRPr="000C0EE1">
        <w:rPr>
          <w:rFonts w:eastAsia="SymbolMT"/>
        </w:rPr>
        <w:t>ratemaking.</w:t>
      </w:r>
      <w:r>
        <w:rPr>
          <w:rFonts w:eastAsia="SymbolMT"/>
        </w:rPr>
        <w:t xml:space="preserve"> The </w:t>
      </w:r>
      <w:r w:rsidR="00BB6561">
        <w:rPr>
          <w:rFonts w:eastAsia="SymbolMT"/>
        </w:rPr>
        <w:t xml:space="preserve">separate proposal by SDG&amp;E to value unsold RPS volumes for compliance purposes is inconsistent with D.19-10-001. As such, we reject that aspect of SDG&amp;E’s Market Offer valuation methodology. SDG&amp;E agreed with our finding regarding this aspect of its methodology in its comments on the </w:t>
      </w:r>
      <w:r>
        <w:rPr>
          <w:rFonts w:eastAsia="SymbolMT"/>
        </w:rPr>
        <w:t>p</w:t>
      </w:r>
      <w:r w:rsidR="00BB6561">
        <w:rPr>
          <w:rFonts w:eastAsia="SymbolMT"/>
        </w:rPr>
        <w:t xml:space="preserve">roposed </w:t>
      </w:r>
      <w:r>
        <w:rPr>
          <w:rFonts w:eastAsia="SymbolMT"/>
        </w:rPr>
        <w:t>d</w:t>
      </w:r>
      <w:r w:rsidR="00BB6561">
        <w:rPr>
          <w:rFonts w:eastAsia="SymbolMT"/>
        </w:rPr>
        <w:t>ecision.</w:t>
      </w:r>
      <w:r w:rsidDel="007C513B" w:rsidR="00BB6561">
        <w:rPr>
          <w:rFonts w:eastAsia="SymbolMT"/>
        </w:rPr>
        <w:t xml:space="preserve"> </w:t>
      </w:r>
    </w:p>
    <w:p w:rsidR="00E57D5F" w:rsidP="00E57D5F" w:rsidRDefault="002E408C" w14:paraId="01F99DAC" w14:textId="6F44CCA6">
      <w:pPr>
        <w:pStyle w:val="Standard"/>
        <w:rPr>
          <w:rFonts w:eastAsia="SymbolMT"/>
        </w:rPr>
      </w:pPr>
      <w:r>
        <w:rPr>
          <w:rFonts w:eastAsia="SymbolMT"/>
        </w:rPr>
        <w:t>Therefore, it is reasonable to approve the IOU methodologies for Market Offer transactions and ERRA forecasting consistent with D.19</w:t>
      </w:r>
      <w:r w:rsidR="00FC6955">
        <w:rPr>
          <w:rFonts w:eastAsia="SymbolMT"/>
        </w:rPr>
        <w:noBreakHyphen/>
      </w:r>
      <w:r>
        <w:rPr>
          <w:rFonts w:eastAsia="SymbolMT"/>
        </w:rPr>
        <w:t>01</w:t>
      </w:r>
      <w:r w:rsidR="00FC6955">
        <w:rPr>
          <w:rFonts w:eastAsia="SymbolMT"/>
        </w:rPr>
        <w:noBreakHyphen/>
      </w:r>
      <w:r>
        <w:rPr>
          <w:rFonts w:eastAsia="SymbolMT"/>
        </w:rPr>
        <w:t xml:space="preserve">001. </w:t>
      </w:r>
    </w:p>
    <w:p w:rsidR="0027155D" w:rsidP="00681522" w:rsidRDefault="003A3385" w14:paraId="108974AF" w14:textId="21383955">
      <w:pPr>
        <w:pStyle w:val="Heading2"/>
        <w:numPr>
          <w:ilvl w:val="1"/>
          <w:numId w:val="49"/>
        </w:numPr>
        <w:ind w:left="1440" w:hanging="1080"/>
      </w:pPr>
      <w:bookmarkStart w:name="_Toc8123721" w:id="22"/>
      <w:bookmarkStart w:name="_Toc119660155" w:id="23"/>
      <w:r w:rsidRPr="006B0999">
        <w:t>Proposed</w:t>
      </w:r>
      <w:r>
        <w:t xml:space="preserve"> Timeline</w:t>
      </w:r>
      <w:bookmarkEnd w:id="23"/>
    </w:p>
    <w:p w:rsidR="006A4B0B" w:rsidP="006B0999" w:rsidRDefault="003746F2" w14:paraId="500D52F5" w14:textId="23C549D1">
      <w:pPr>
        <w:pStyle w:val="Standard"/>
      </w:pPr>
      <w:r w:rsidRPr="006B0999">
        <w:t>The</w:t>
      </w:r>
      <w:r w:rsidRPr="003746F2">
        <w:t xml:space="preserve"> Joint IOUs </w:t>
      </w:r>
      <w:r w:rsidR="006A4B0B">
        <w:t>are</w:t>
      </w:r>
      <w:r w:rsidRPr="003746F2">
        <w:t xml:space="preserve"> aligned on </w:t>
      </w:r>
      <w:r w:rsidR="006A4B0B">
        <w:t>a</w:t>
      </w:r>
      <w:r w:rsidRPr="003746F2">
        <w:t xml:space="preserve"> timeline for the Market Offer. The proposed timeline </w:t>
      </w:r>
      <w:r w:rsidR="001A3D5D">
        <w:t>gives</w:t>
      </w:r>
      <w:r w:rsidRPr="003746F2" w:rsidR="00B869F7">
        <w:t xml:space="preserve"> </w:t>
      </w:r>
      <w:r w:rsidRPr="00847DFF" w:rsidR="00847DFF">
        <w:t>each</w:t>
      </w:r>
      <w:r w:rsidR="001A3D5D">
        <w:t xml:space="preserve"> </w:t>
      </w:r>
      <w:r w:rsidR="009267D9">
        <w:t xml:space="preserve">IOU </w:t>
      </w:r>
      <w:r w:rsidR="001A3D5D">
        <w:t>sufficient time</w:t>
      </w:r>
      <w:r w:rsidRPr="00847DFF" w:rsidR="00847DFF">
        <w:t xml:space="preserve"> to seek CPUC approval of any transactions resulting</w:t>
      </w:r>
      <w:r w:rsidRPr="003746F2">
        <w:t xml:space="preserve"> from the Market Offer</w:t>
      </w:r>
      <w:r w:rsidR="005F4CF2">
        <w:t>. The</w:t>
      </w:r>
      <w:r w:rsidRPr="003746F2">
        <w:t xml:space="preserve"> approval timeframe would assure </w:t>
      </w:r>
      <w:r w:rsidR="00D16C85">
        <w:t xml:space="preserve">the market participants </w:t>
      </w:r>
      <w:r w:rsidRPr="003746F2">
        <w:t xml:space="preserve">that the Market Offer deliveries coincide with Voluntary Allocation deliveries starting in January 2023. At the minimum, each IOU will launch the solicitation and receive bids on the </w:t>
      </w:r>
      <w:r w:rsidR="00847DFF">
        <w:t>exact</w:t>
      </w:r>
      <w:r w:rsidRPr="003746F2">
        <w:t xml:space="preserve"> </w:t>
      </w:r>
      <w:r w:rsidR="00C17E04">
        <w:t xml:space="preserve">same </w:t>
      </w:r>
      <w:r w:rsidRPr="003746F2">
        <w:t xml:space="preserve">dates </w:t>
      </w:r>
      <w:r w:rsidRPr="005A3634" w:rsidR="005A3634">
        <w:t>not to advantage one IOU’s Market Offer over another</w:t>
      </w:r>
      <w:r w:rsidRPr="003746F2">
        <w:t>. Dates are subject to change and dependent upon CPUC approval of the Market Offer process</w:t>
      </w:r>
      <w:r w:rsidR="00E608FA">
        <w:t xml:space="preserve"> and pro formas</w:t>
      </w:r>
      <w:r w:rsidRPr="003746F2">
        <w:t>.</w:t>
      </w:r>
      <w:r w:rsidR="006A4B0B">
        <w:t xml:space="preserve"> </w:t>
      </w:r>
    </w:p>
    <w:p w:rsidR="0092514B" w:rsidP="006B0999" w:rsidRDefault="006A4B0B" w14:paraId="39094139" w14:textId="4577C605">
      <w:pPr>
        <w:pStyle w:val="Standard"/>
      </w:pPr>
      <w:r>
        <w:t xml:space="preserve">We find </w:t>
      </w:r>
      <w:r w:rsidRPr="006B0999">
        <w:t>the</w:t>
      </w:r>
      <w:r w:rsidR="008418F3">
        <w:t xml:space="preserve"> </w:t>
      </w:r>
      <w:r>
        <w:t>proposed timeline reasonable</w:t>
      </w:r>
      <w:r w:rsidR="00EF4DE9">
        <w:t>. However</w:t>
      </w:r>
      <w:r>
        <w:t xml:space="preserve">, we expect </w:t>
      </w:r>
      <w:r w:rsidR="008418F3">
        <w:t xml:space="preserve">changes to the proposed dates from </w:t>
      </w:r>
      <w:r w:rsidR="00EF4DE9">
        <w:t>when</w:t>
      </w:r>
      <w:r w:rsidR="008418F3">
        <w:t xml:space="preserve"> </w:t>
      </w:r>
      <w:r w:rsidR="00B817E3">
        <w:t xml:space="preserve">the Market Offer proposal was </w:t>
      </w:r>
      <w:r w:rsidR="00077363">
        <w:t>filed</w:t>
      </w:r>
      <w:r w:rsidR="00BB55E7">
        <w:t xml:space="preserve"> in May</w:t>
      </w:r>
      <w:r w:rsidR="00FC6955">
        <w:t> </w:t>
      </w:r>
      <w:r w:rsidR="00BB55E7">
        <w:t>2022</w:t>
      </w:r>
      <w:r w:rsidR="00B817E3">
        <w:t xml:space="preserve">. </w:t>
      </w:r>
    </w:p>
    <w:p w:rsidRPr="003746F2" w:rsidR="000C0EE1" w:rsidP="000C0EE1" w:rsidRDefault="00B817E3" w14:paraId="08AA3667" w14:textId="600A787D">
      <w:pPr>
        <w:pStyle w:val="Standard"/>
      </w:pPr>
      <w:r>
        <w:t xml:space="preserve">Therefore, the IOUs shall </w:t>
      </w:r>
      <w:r w:rsidR="00EF4DE9">
        <w:t>submit</w:t>
      </w:r>
      <w:r>
        <w:t xml:space="preserve"> a revised and </w:t>
      </w:r>
      <w:r w:rsidR="00EF4DE9">
        <w:t>up-to-date</w:t>
      </w:r>
      <w:r>
        <w:t xml:space="preserve"> timeline</w:t>
      </w:r>
      <w:r w:rsidR="001E237C">
        <w:t>,</w:t>
      </w:r>
      <w:r>
        <w:t xml:space="preserve"> </w:t>
      </w:r>
      <w:r w:rsidR="00FF6A8C">
        <w:t xml:space="preserve">which </w:t>
      </w:r>
      <w:r w:rsidR="001E237C">
        <w:t xml:space="preserve">will be subject to Energy Division </w:t>
      </w:r>
      <w:r w:rsidR="00C17E04">
        <w:t>review and approval</w:t>
      </w:r>
      <w:r w:rsidR="001E237C">
        <w:t>,</w:t>
      </w:r>
      <w:r>
        <w:t xml:space="preserve"> when they file the</w:t>
      </w:r>
      <w:r w:rsidR="00077363">
        <w:t>ir Tier</w:t>
      </w:r>
      <w:r w:rsidR="00FC6955">
        <w:t> </w:t>
      </w:r>
      <w:r w:rsidR="00077363">
        <w:t xml:space="preserve">1 </w:t>
      </w:r>
      <w:r w:rsidR="000C0EE1">
        <w:t xml:space="preserve">and Tier 2 </w:t>
      </w:r>
      <w:r w:rsidR="00077363">
        <w:t xml:space="preserve">Advice Letter with modifications adopted in this decision. </w:t>
      </w:r>
      <w:r w:rsidR="000C0EE1">
        <w:t>Given the revisions adopted in this decision, the IOUs are best placed to recommend a schedule implementing Market Offer</w:t>
      </w:r>
      <w:r w:rsidR="00E77007">
        <w:t xml:space="preserve">. </w:t>
      </w:r>
      <w:r w:rsidR="000C0EE1">
        <w:t>The</w:t>
      </w:r>
      <w:r w:rsidR="007D6368">
        <w:t xml:space="preserve"> IOUs</w:t>
      </w:r>
      <w:r w:rsidR="000C0EE1">
        <w:t xml:space="preserve"> may </w:t>
      </w:r>
      <w:r w:rsidRPr="000C0EE1" w:rsidR="000C0EE1">
        <w:t xml:space="preserve">jointly propose two schedules, one in their short-term implementation Advice Letter and the other in their Long-Term implementation Advice Letter. </w:t>
      </w:r>
      <w:r w:rsidR="00E77007">
        <w:t>The IOUs must keep in mind the urgency of executing contracts as soon as practicable. We expect minimal delays to launch the short-term solicitations after Tier 1 Advice Letter with short-term contract proforma language is approved.</w:t>
      </w:r>
    </w:p>
    <w:p w:rsidR="005939A5" w:rsidP="003A26D2" w:rsidRDefault="005939A5" w14:paraId="5E891FBD" w14:textId="77777777">
      <w:pPr>
        <w:pStyle w:val="Heading1"/>
        <w:numPr>
          <w:ilvl w:val="0"/>
          <w:numId w:val="49"/>
        </w:numPr>
        <w:ind w:left="720" w:hanging="720"/>
      </w:pPr>
      <w:bookmarkStart w:name="_Toc8123723" w:id="24"/>
      <w:bookmarkStart w:name="_Toc119660156" w:id="25"/>
      <w:bookmarkEnd w:id="22"/>
      <w:r>
        <w:t>Comments on Proposed Decision</w:t>
      </w:r>
      <w:bookmarkEnd w:id="24"/>
      <w:bookmarkEnd w:id="25"/>
    </w:p>
    <w:p w:rsidR="005939A5" w:rsidP="006B0999" w:rsidRDefault="005C58FA" w14:paraId="2E42DAFD" w14:textId="538B28FD">
      <w:pPr>
        <w:pStyle w:val="Standard"/>
      </w:pPr>
      <w:r w:rsidRPr="006B0999">
        <w:t>The</w:t>
      </w:r>
      <w:r w:rsidRPr="00E62D4B">
        <w:t xml:space="preserve"> proposed decision of </w:t>
      </w:r>
      <w:r w:rsidR="006B0999">
        <w:t xml:space="preserve">Administrative Law Judges (ALJs) </w:t>
      </w:r>
      <w:r w:rsidRPr="00E62D4B" w:rsidR="00E62D4B">
        <w:t>Manisha</w:t>
      </w:r>
      <w:r w:rsidR="00FC6955">
        <w:t> </w:t>
      </w:r>
      <w:r w:rsidRPr="00E62D4B" w:rsidR="00E62D4B">
        <w:t>Lakhanpal</w:t>
      </w:r>
      <w:r w:rsidR="006B0999">
        <w:t xml:space="preserve"> and Nilgun Atamturk</w:t>
      </w:r>
      <w:r>
        <w:t xml:space="preserve"> in this matter was mailed to the parties in accordance with Section 311 of the Public Utilities Code</w:t>
      </w:r>
      <w:r w:rsidR="00EF4DE9">
        <w:t>,</w:t>
      </w:r>
      <w:r>
        <w:t xml:space="preserve"> and comments were allowed under Rule 14.3 of the Commission’s Rules of Practice and Procedure. Comments were filed on </w:t>
      </w:r>
      <w:r w:rsidR="0079111A">
        <w:t>October</w:t>
      </w:r>
      <w:r w:rsidR="00FC6955">
        <w:t> </w:t>
      </w:r>
      <w:r w:rsidR="0079111A">
        <w:t>19,</w:t>
      </w:r>
      <w:r w:rsidR="00FC6955">
        <w:t> </w:t>
      </w:r>
      <w:r w:rsidR="0079111A">
        <w:t>2022</w:t>
      </w:r>
      <w:r w:rsidR="00FC6955">
        <w:t xml:space="preserve"> </w:t>
      </w:r>
      <w:r w:rsidR="0079111A">
        <w:t>by 3</w:t>
      </w:r>
      <w:r w:rsidR="00FC6955">
        <w:t> </w:t>
      </w:r>
      <w:r w:rsidR="0079111A">
        <w:t>Phases, CalCCA, PG&amp;E, SCE and SDG&amp;E</w:t>
      </w:r>
      <w:r>
        <w:t xml:space="preserve">, and reply comments were filed on </w:t>
      </w:r>
      <w:r w:rsidR="0079111A">
        <w:t>October</w:t>
      </w:r>
      <w:r w:rsidR="00FC6955">
        <w:t> </w:t>
      </w:r>
      <w:r w:rsidR="0079111A">
        <w:t>24,</w:t>
      </w:r>
      <w:r w:rsidR="00FC6955">
        <w:t> </w:t>
      </w:r>
      <w:r w:rsidR="0079111A">
        <w:t>2022</w:t>
      </w:r>
      <w:r>
        <w:t xml:space="preserve"> by </w:t>
      </w:r>
      <w:r w:rsidR="0079111A">
        <w:t>CalCCA, PG&amp;E, SCE, SDG&amp;E and AReM</w:t>
      </w:r>
      <w:r>
        <w:t>.</w:t>
      </w:r>
      <w:r w:rsidRPr="00C878D5" w:rsidR="00C878D5">
        <w:t xml:space="preserve"> </w:t>
      </w:r>
    </w:p>
    <w:p w:rsidR="003156C4" w:rsidP="00F5751D" w:rsidRDefault="003156C4" w14:paraId="6319B1BC" w14:textId="442ED260">
      <w:pPr>
        <w:pStyle w:val="Standard"/>
      </w:pPr>
      <w:r>
        <w:t>3</w:t>
      </w:r>
      <w:r w:rsidR="00FC6955">
        <w:t> </w:t>
      </w:r>
      <w:r>
        <w:t>Phases Renewable filed its updated 2022 Draft 2022 RPS Plan on October</w:t>
      </w:r>
      <w:r w:rsidR="00FC6955">
        <w:t> </w:t>
      </w:r>
      <w:r>
        <w:t>19,</w:t>
      </w:r>
      <w:r w:rsidR="00FC6955">
        <w:t> </w:t>
      </w:r>
      <w:r>
        <w:t>2022</w:t>
      </w:r>
      <w:r w:rsidR="00B01D27">
        <w:t xml:space="preserve">, </w:t>
      </w:r>
      <w:r w:rsidR="002C6552">
        <w:t xml:space="preserve">and </w:t>
      </w:r>
      <w:r w:rsidR="00B01D27">
        <w:t>the final decision is updated</w:t>
      </w:r>
      <w:r w:rsidR="002C6552">
        <w:t xml:space="preserve"> accordingly</w:t>
      </w:r>
      <w:r w:rsidR="00B01D27">
        <w:t xml:space="preserve"> to reflect their</w:t>
      </w:r>
      <w:r w:rsidR="002C6552">
        <w:t xml:space="preserve"> compliance</w:t>
      </w:r>
      <w:r w:rsidR="00B01D27">
        <w:t xml:space="preserve"> submission.</w:t>
      </w:r>
      <w:r w:rsidR="00E95327">
        <w:t xml:space="preserve"> </w:t>
      </w:r>
    </w:p>
    <w:p w:rsidR="00F5751D" w:rsidP="00F5751D" w:rsidRDefault="00F5751D" w14:paraId="053F6A39" w14:textId="56F80189">
      <w:pPr>
        <w:pStyle w:val="Standard"/>
      </w:pPr>
      <w:r>
        <w:t xml:space="preserve">PG&amp;E and SCE repeated their objection on offering long-term RPS products. CalCCA did not comment on this issue in their comments </w:t>
      </w:r>
      <w:r w:rsidR="0046335F">
        <w:t>or</w:t>
      </w:r>
      <w:r>
        <w:t xml:space="preserve"> reply on the Joint IOU Market Offer proposal</w:t>
      </w:r>
      <w:r w:rsidR="007D4754">
        <w:t xml:space="preserve"> when it was filed</w:t>
      </w:r>
      <w:r>
        <w:t>. However, in comments on the proposed decision, CalCCA does not support implementing long-term contracts</w:t>
      </w:r>
      <w:r w:rsidRPr="004C0A30">
        <w:t xml:space="preserve"> if such a requirement </w:t>
      </w:r>
      <w:r>
        <w:t>causes a</w:t>
      </w:r>
      <w:r w:rsidRPr="004C0A30">
        <w:t xml:space="preserve"> delay in the issuance of the solicitation</w:t>
      </w:r>
      <w:r>
        <w:t xml:space="preserve">. </w:t>
      </w:r>
      <w:r w:rsidR="00512894">
        <w:t>W</w:t>
      </w:r>
      <w:r>
        <w:t>e find it reasonable to authorize the sale of long-term contracts as part of this VAMO cycle</w:t>
      </w:r>
      <w:r w:rsidR="00A550F1">
        <w:t xml:space="preserve"> and </w:t>
      </w:r>
      <w:r w:rsidR="00512894">
        <w:t xml:space="preserve">we </w:t>
      </w:r>
      <w:r w:rsidR="00A550F1">
        <w:t xml:space="preserve">take measures to allow </w:t>
      </w:r>
      <w:r w:rsidR="00E15E27">
        <w:t xml:space="preserve">the </w:t>
      </w:r>
      <w:r w:rsidR="003B4EE9">
        <w:t xml:space="preserve">short-term contract Market Offer </w:t>
      </w:r>
      <w:r w:rsidR="0046335F">
        <w:t xml:space="preserve">solicitation </w:t>
      </w:r>
      <w:r w:rsidR="003B4EE9">
        <w:t>to proceed as planned</w:t>
      </w:r>
      <w:r w:rsidR="00A84EF1">
        <w:t xml:space="preserve"> so that </w:t>
      </w:r>
      <w:r w:rsidR="00A40246">
        <w:t xml:space="preserve">short-term and long-term </w:t>
      </w:r>
      <w:r w:rsidR="00EF1EEB">
        <w:t>contracts</w:t>
      </w:r>
      <w:r w:rsidR="00A40246">
        <w:t xml:space="preserve"> </w:t>
      </w:r>
      <w:r w:rsidR="00EF1EEB">
        <w:t>may be executed as soon as practicable</w:t>
      </w:r>
      <w:r>
        <w:t xml:space="preserve">. </w:t>
      </w:r>
    </w:p>
    <w:p w:rsidR="00FE6AB1" w:rsidP="00FE6AB1" w:rsidRDefault="00F5751D" w14:paraId="30DEA2A8" w14:textId="23E76D80">
      <w:pPr>
        <w:pStyle w:val="Standard"/>
      </w:pPr>
      <w:r w:rsidRPr="00F5751D">
        <w:t>In response to comments, changes have been made to the proposed decision for clarity</w:t>
      </w:r>
      <w:r w:rsidR="00D836C7">
        <w:t xml:space="preserve"> and consistency</w:t>
      </w:r>
      <w:r w:rsidRPr="00F5751D">
        <w:t>, to correct inadvertent errors, and for practical implementation reasons</w:t>
      </w:r>
      <w:r w:rsidR="00323EA5">
        <w:t xml:space="preserve"> after further consideration</w:t>
      </w:r>
      <w:r>
        <w:t xml:space="preserve">. For example, PG&amp;E notes that if long-term contracts are offered then we must consider revising solicitation protocols for portfolio optimization. SCE and SDG&amp;E have noted the need to allow the sale of the remaining 65 percent of long-term contracts. We have addressed concerns about the waived claims clause and made it consistent with the </w:t>
      </w:r>
      <w:r w:rsidR="00E44A31">
        <w:t xml:space="preserve">existing </w:t>
      </w:r>
      <w:r>
        <w:t>language</w:t>
      </w:r>
      <w:r w:rsidR="00E77007">
        <w:t xml:space="preserve"> </w:t>
      </w:r>
      <w:r>
        <w:t>used in Commission approv</w:t>
      </w:r>
      <w:r w:rsidR="0046335F">
        <w:t>ed</w:t>
      </w:r>
      <w:r>
        <w:t xml:space="preserve"> solicitations. </w:t>
      </w:r>
      <w:r w:rsidR="00FE6AB1">
        <w:t>The revisions include implementing code of conduct and firewalls for solicitations that are practical to implement.</w:t>
      </w:r>
    </w:p>
    <w:p w:rsidRPr="000C0EE1" w:rsidR="007E1FD6" w:rsidP="00B742BD" w:rsidRDefault="00B742BD" w14:paraId="065D9001" w14:textId="3319D629">
      <w:pPr>
        <w:pStyle w:val="Standard"/>
        <w:rPr>
          <w:rFonts w:ascii="TimesNewRomanPSMT" w:hAnsi="TimesNewRomanPSMT" w:cs="TimesNewRomanPSMT"/>
          <w:sz w:val="24"/>
          <w:szCs w:val="24"/>
        </w:rPr>
      </w:pPr>
      <w:r>
        <w:t xml:space="preserve">PG&amp;E and </w:t>
      </w:r>
      <w:r w:rsidR="007E1FD6">
        <w:t>SCE seek authority to p</w:t>
      </w:r>
      <w:r w:rsidRPr="000C0EE1" w:rsidR="007E1FD6">
        <w:t>articipate in the other IOUs’ Market Offer Processe</w:t>
      </w:r>
      <w:r w:rsidRPr="000C0EE1">
        <w:t>s</w:t>
      </w:r>
      <w:r w:rsidRPr="000C0EE1" w:rsidR="007E1FD6">
        <w:t xml:space="preserve">. </w:t>
      </w:r>
      <w:r w:rsidRPr="000C0EE1">
        <w:t xml:space="preserve">PG&amp;E states that it should get an equal opportunity to optimize its bundled customer portfolio. PG&amp;E </w:t>
      </w:r>
      <w:r w:rsidR="000C0EE1">
        <w:t>contends</w:t>
      </w:r>
      <w:r w:rsidRPr="000C0EE1">
        <w:t xml:space="preserve"> that it views potential value in buying long-term product now at uniquely competitive prices, contributing to its long-term RPS need and minimizing compliance risk for the future. </w:t>
      </w:r>
      <w:r w:rsidRPr="000C0EE1" w:rsidR="007E1FD6">
        <w:t>SCE states that this will give the IOUs equal footing with other market participants who can optimize their portfolios through participation in the Market Offer process.</w:t>
      </w:r>
      <w:r w:rsidR="007E1FD6">
        <w:t xml:space="preserve"> </w:t>
      </w:r>
      <w:r>
        <w:t xml:space="preserve">SCE </w:t>
      </w:r>
      <w:r w:rsidR="000C0EE1">
        <w:t>argues</w:t>
      </w:r>
      <w:r>
        <w:t xml:space="preserve"> that it did not get an opportunity to request to participate in its 2021</w:t>
      </w:r>
      <w:r w:rsidR="00FC6955">
        <w:t> </w:t>
      </w:r>
      <w:r>
        <w:t xml:space="preserve">RPS Procurement Plans (RPS Plans) because it did not have details on the Market Offer process. </w:t>
      </w:r>
      <w:r w:rsidR="00B14FAE">
        <w:t>No party filed comments on the IO</w:t>
      </w:r>
      <w:r w:rsidR="000C0EE1">
        <w:t>Us</w:t>
      </w:r>
      <w:r w:rsidR="00B14FAE">
        <w:t xml:space="preserve">’ request. </w:t>
      </w:r>
      <w:r>
        <w:t>Authorizing procurement is beyond the scope of this decision</w:t>
      </w:r>
      <w:r w:rsidR="00B14FAE">
        <w:t xml:space="preserve"> and it would be inappropriate to grant authorization here as opposed to the Track 2 decision focused on procurement plans.  </w:t>
      </w:r>
      <w:r>
        <w:t xml:space="preserve"> </w:t>
      </w:r>
    </w:p>
    <w:p w:rsidR="00E77007" w:rsidP="00B07DFC" w:rsidRDefault="00FE6AB1" w14:paraId="5BEF4C2A" w14:textId="6F90A915">
      <w:pPr>
        <w:pStyle w:val="Standard"/>
      </w:pPr>
      <w:r>
        <w:t xml:space="preserve">In addition, </w:t>
      </w:r>
      <w:r w:rsidR="00B20ECC">
        <w:t xml:space="preserve">we address some of </w:t>
      </w:r>
      <w:r>
        <w:t>CalCCA</w:t>
      </w:r>
      <w:r w:rsidR="00B20ECC">
        <w:t xml:space="preserve">’s </w:t>
      </w:r>
      <w:r w:rsidR="00074BA2">
        <w:t xml:space="preserve">comments on the proposed decision in this section. </w:t>
      </w:r>
      <w:r w:rsidR="00B20ECC">
        <w:t xml:space="preserve">CalCCA </w:t>
      </w:r>
      <w:r>
        <w:t xml:space="preserve">states that the Commission should </w:t>
      </w:r>
      <w:r w:rsidRPr="000C0EE1">
        <w:t>allow LSEs to choose different percentages for each year (2023 and 2024), to recognize that the 2023</w:t>
      </w:r>
      <w:r w:rsidR="00FC6955">
        <w:t> </w:t>
      </w:r>
      <w:r w:rsidRPr="000C0EE1">
        <w:t>resources will likely not be available for the full year. CalCCA also requests that in the alternative, the Commission could keep the same percentage factor but require the IOUs to fulfill this obligation (based on a full year’s allocation) over the remaining ten to eleven months of 2023.</w:t>
      </w:r>
      <w:r w:rsidRPr="000C0EE1" w:rsidR="00B20ECC">
        <w:t xml:space="preserve"> The IOUs opposed CalCCA’s alternative recommendation</w:t>
      </w:r>
      <w:r w:rsidRPr="000C0EE1" w:rsidR="00074BA2">
        <w:t xml:space="preserve">. </w:t>
      </w:r>
      <w:r w:rsidRPr="00882DA4" w:rsidR="00074BA2">
        <w:t>PG&amp;E states the request to allow a full year’s allocation is inconsistent with D.21</w:t>
      </w:r>
      <w:r w:rsidR="00FC6955">
        <w:noBreakHyphen/>
      </w:r>
      <w:r w:rsidRPr="00882DA4" w:rsidR="00074BA2">
        <w:t>05</w:t>
      </w:r>
      <w:r w:rsidR="00FC6955">
        <w:noBreakHyphen/>
      </w:r>
      <w:r w:rsidRPr="00882DA4" w:rsidR="00074BA2">
        <w:t>030, OP 8 (a). PG&amp;E and SCE state that if the Market Offer is fully subscribed there will be no volumes available to make up the shortfall due to delay</w:t>
      </w:r>
      <w:r w:rsidR="00D86C48">
        <w:t>.</w:t>
      </w:r>
      <w:r w:rsidDel="00D86C48" w:rsidR="00D86C48">
        <w:rPr>
          <w:rStyle w:val="CommentReference"/>
        </w:rPr>
        <w:t xml:space="preserve"> </w:t>
      </w:r>
    </w:p>
    <w:p w:rsidR="00B07DFC" w:rsidP="00B07DFC" w:rsidRDefault="001446FD" w14:paraId="73C812C4" w14:textId="481E55F5">
      <w:pPr>
        <w:pStyle w:val="Standard"/>
      </w:pPr>
      <w:r>
        <w:t>N</w:t>
      </w:r>
      <w:r w:rsidR="002709E7">
        <w:t>o party opposed</w:t>
      </w:r>
      <w:r w:rsidRPr="00882DA4" w:rsidR="00074BA2">
        <w:t xml:space="preserve"> CalCCA’s proposal to </w:t>
      </w:r>
      <w:r w:rsidRPr="000C0EE1" w:rsidR="002709E7">
        <w:t>allow LSEs to choose different percentages for 2023 and 2024</w:t>
      </w:r>
      <w:r w:rsidR="002709E7">
        <w:t xml:space="preserve">. </w:t>
      </w:r>
      <w:r w:rsidRPr="00882DA4" w:rsidR="00074BA2">
        <w:t xml:space="preserve">SDG&amp;E’s reply comments on the proposed decision </w:t>
      </w:r>
      <w:r w:rsidR="00D86C48">
        <w:t xml:space="preserve">supported </w:t>
      </w:r>
      <w:r w:rsidR="005C001A">
        <w:t xml:space="preserve">CalCCA’s </w:t>
      </w:r>
      <w:r w:rsidRPr="00882DA4" w:rsidR="00074BA2">
        <w:t>proposal</w:t>
      </w:r>
      <w:r w:rsidR="006D6DAE">
        <w:t xml:space="preserve">. </w:t>
      </w:r>
      <w:r w:rsidR="00A27382">
        <w:t>The</w:t>
      </w:r>
      <w:r w:rsidRPr="00882DA4" w:rsidR="00074BA2">
        <w:t xml:space="preserve"> proposal</w:t>
      </w:r>
      <w:r w:rsidR="00A27382">
        <w:t xml:space="preserve"> to bid unique percentages each year</w:t>
      </w:r>
      <w:r w:rsidRPr="00882DA4" w:rsidR="00074BA2">
        <w:t xml:space="preserve"> will</w:t>
      </w:r>
      <w:r w:rsidR="00E77007">
        <w:t xml:space="preserve"> g</w:t>
      </w:r>
      <w:r w:rsidRPr="00882DA4" w:rsidR="00074BA2">
        <w:t xml:space="preserve">ive market participants the opportunity to </w:t>
      </w:r>
      <w:r w:rsidR="005B1B5C">
        <w:t>tailor</w:t>
      </w:r>
      <w:r w:rsidR="00EC6B01">
        <w:t xml:space="preserve"> bids </w:t>
      </w:r>
      <w:r w:rsidR="007E07E2">
        <w:t>for</w:t>
      </w:r>
      <w:r w:rsidRPr="00882DA4" w:rsidR="00074BA2">
        <w:t xml:space="preserve"> </w:t>
      </w:r>
      <w:r w:rsidR="00E9504A">
        <w:t>2023</w:t>
      </w:r>
      <w:r w:rsidR="00FC6955">
        <w:t> </w:t>
      </w:r>
      <w:r w:rsidR="007E07E2">
        <w:t>deliveries</w:t>
      </w:r>
      <w:r w:rsidR="00E9504A">
        <w:t xml:space="preserve"> </w:t>
      </w:r>
      <w:r w:rsidR="00000CDF">
        <w:t xml:space="preserve">with the </w:t>
      </w:r>
      <w:r w:rsidR="004D2699">
        <w:t>expect</w:t>
      </w:r>
      <w:r w:rsidR="00EC6B01">
        <w:t xml:space="preserve">ation </w:t>
      </w:r>
      <w:r w:rsidR="005D1990">
        <w:t>that generation</w:t>
      </w:r>
      <w:r w:rsidR="004D2699">
        <w:t xml:space="preserve"> </w:t>
      </w:r>
      <w:r w:rsidRPr="00882DA4" w:rsidR="00074BA2">
        <w:t xml:space="preserve">volumes </w:t>
      </w:r>
      <w:r w:rsidR="00EC6B01">
        <w:t>will be</w:t>
      </w:r>
      <w:r w:rsidR="005D1990">
        <w:t xml:space="preserve"> for a partial year</w:t>
      </w:r>
      <w:r w:rsidR="00A63235">
        <w:t>,</w:t>
      </w:r>
      <w:r w:rsidR="00120038">
        <w:t xml:space="preserve"> </w:t>
      </w:r>
      <w:r w:rsidR="00A84156">
        <w:t>whereases</w:t>
      </w:r>
      <w:r w:rsidR="00120038">
        <w:t xml:space="preserve"> </w:t>
      </w:r>
      <w:r w:rsidR="00A944F5">
        <w:t xml:space="preserve">the </w:t>
      </w:r>
      <w:r w:rsidR="0052533B">
        <w:t xml:space="preserve">bids for </w:t>
      </w:r>
      <w:r w:rsidR="00120038">
        <w:t>2024</w:t>
      </w:r>
      <w:r w:rsidR="00620CA7">
        <w:t xml:space="preserve"> </w:t>
      </w:r>
      <w:r w:rsidR="0007276B">
        <w:t>deliveries</w:t>
      </w:r>
      <w:r w:rsidR="00120038">
        <w:t xml:space="preserve"> </w:t>
      </w:r>
      <w:r w:rsidR="0007276B">
        <w:t>are</w:t>
      </w:r>
      <w:r w:rsidR="00120038">
        <w:t xml:space="preserve"> expected to </w:t>
      </w:r>
      <w:r w:rsidR="0007276B">
        <w:t>generate volumes for the</w:t>
      </w:r>
      <w:r w:rsidR="00120038">
        <w:t xml:space="preserve"> full year</w:t>
      </w:r>
      <w:r w:rsidRPr="00882DA4" w:rsidR="00074BA2">
        <w:t xml:space="preserve">. </w:t>
      </w:r>
      <w:r w:rsidR="00B07DFC">
        <w:t>Moreover, the</w:t>
      </w:r>
      <w:r w:rsidR="005C001A">
        <w:t xml:space="preserve"> </w:t>
      </w:r>
      <w:r w:rsidRPr="00882DA4" w:rsidR="005C001A">
        <w:t xml:space="preserve">administrative burden of accepting bids by year is not very high and it otherwise addresses CalCCA’s concerns about the delay in </w:t>
      </w:r>
      <w:r w:rsidRPr="006920CB" w:rsidR="005C001A">
        <w:t>implementing Market Offer processes.</w:t>
      </w:r>
      <w:r w:rsidRPr="006920CB" w:rsidR="00511487">
        <w:t xml:space="preserve"> Therefore, </w:t>
      </w:r>
      <w:r w:rsidRPr="006920CB" w:rsidR="00080225">
        <w:t xml:space="preserve">we </w:t>
      </w:r>
      <w:r w:rsidRPr="006920CB" w:rsidR="00F5202D">
        <w:t xml:space="preserve">order </w:t>
      </w:r>
      <w:r w:rsidRPr="006920CB" w:rsidR="00080225">
        <w:t xml:space="preserve">the </w:t>
      </w:r>
      <w:r w:rsidRPr="006920CB" w:rsidR="00F5202D">
        <w:t>IOUs</w:t>
      </w:r>
      <w:r w:rsidRPr="006920CB" w:rsidR="00080225">
        <w:t xml:space="preserve"> </w:t>
      </w:r>
      <w:r w:rsidRPr="006920CB" w:rsidR="00F1471A">
        <w:t xml:space="preserve">to </w:t>
      </w:r>
      <w:r w:rsidRPr="006920CB" w:rsidR="0087325B">
        <w:t xml:space="preserve">include in their </w:t>
      </w:r>
      <w:r w:rsidRPr="00320945" w:rsidR="006920CB">
        <w:t>T</w:t>
      </w:r>
      <w:r w:rsidRPr="006920CB" w:rsidR="007611A8">
        <w:t xml:space="preserve">ier 1 </w:t>
      </w:r>
      <w:r w:rsidRPr="006920CB" w:rsidR="0087325B">
        <w:t>implementation</w:t>
      </w:r>
      <w:r w:rsidR="0087325B">
        <w:t xml:space="preserve"> advice letter</w:t>
      </w:r>
      <w:r w:rsidR="00F1471A">
        <w:t xml:space="preserve"> </w:t>
      </w:r>
      <w:r w:rsidR="0087325B">
        <w:t>modification</w:t>
      </w:r>
      <w:r w:rsidR="000C645F">
        <w:t>s</w:t>
      </w:r>
      <w:r w:rsidR="0087325B">
        <w:t xml:space="preserve"> to permit m</w:t>
      </w:r>
      <w:r w:rsidRPr="00F1471A" w:rsidR="00F1471A">
        <w:t xml:space="preserve">arket </w:t>
      </w:r>
      <w:r w:rsidRPr="006920CB" w:rsidR="00F1471A">
        <w:t xml:space="preserve">participants to bid different percentages </w:t>
      </w:r>
      <w:r w:rsidRPr="006920CB" w:rsidR="000A6B3E">
        <w:t>in</w:t>
      </w:r>
      <w:r w:rsidRPr="006920CB" w:rsidR="00F1471A">
        <w:t xml:space="preserve"> 2023 and 2024 </w:t>
      </w:r>
      <w:r w:rsidRPr="006920CB" w:rsidR="000A6B3E">
        <w:t xml:space="preserve">for </w:t>
      </w:r>
      <w:r w:rsidRPr="006920CB" w:rsidR="00F1471A">
        <w:t xml:space="preserve">short-term Market Offer </w:t>
      </w:r>
      <w:r w:rsidRPr="006920CB" w:rsidR="00F44635">
        <w:t>product</w:t>
      </w:r>
      <w:r w:rsidRPr="006920CB" w:rsidR="00074BA2">
        <w:t>.</w:t>
      </w:r>
    </w:p>
    <w:p w:rsidRPr="00882DA4" w:rsidR="00E871B7" w:rsidP="00E871B7" w:rsidRDefault="00E871B7" w14:paraId="3F3D825A" w14:textId="1BA20A48">
      <w:pPr>
        <w:pStyle w:val="Standard"/>
        <w:rPr>
          <w:rFonts w:eastAsia="SymbolMT"/>
        </w:rPr>
      </w:pPr>
      <w:r w:rsidRPr="00882DA4">
        <w:rPr>
          <w:rFonts w:eastAsia="SymbolMT"/>
        </w:rPr>
        <w:t>CalCCA requests the “solicitation period” include the date the solicitation is posted by the IOU through and including the date the final executed agreement under that solicitation is formally approved by the Commission. A longer period would preclude the IOUs from holding RPS solicitations. SDG&amp;E opposes CalCCA’s recommendation and states that there is no reason to restrict portfolio optimization activities once agreements are filed for Commission approval. Furthermore, SDG&amp;E requests that we should also define the type of solicitations that are restricted and requests that the “solicitations”</w:t>
      </w:r>
      <w:r w:rsidR="00FC6955">
        <w:rPr>
          <w:rFonts w:eastAsia="SymbolMT"/>
        </w:rPr>
        <w:t xml:space="preserve"> </w:t>
      </w:r>
      <w:r w:rsidRPr="00882DA4">
        <w:rPr>
          <w:rFonts w:eastAsia="SymbolMT"/>
        </w:rPr>
        <w:t xml:space="preserve">definition to include sales only and exclude purchases. SCE states it is unreasonable to limit access of excess RECs to the market for such a long period of time. SCE believes a reasonable amount of time for the “solicitation period” is from the date the offers are submitted in the Market Offer until the date Offerors are notified whether their offers have been selected. SCE also opposes CalCCA’s RPS solicitation terminology vs REC sales. </w:t>
      </w:r>
    </w:p>
    <w:p w:rsidRPr="00882DA4" w:rsidR="00B07DFC" w:rsidP="00882DA4" w:rsidRDefault="00B07DFC" w14:paraId="083768B0" w14:textId="6E1365FC">
      <w:pPr>
        <w:pStyle w:val="Standard"/>
        <w:rPr>
          <w:rFonts w:eastAsia="SymbolMT"/>
        </w:rPr>
      </w:pPr>
      <w:r w:rsidRPr="00882DA4">
        <w:rPr>
          <w:rFonts w:eastAsia="SymbolMT"/>
        </w:rPr>
        <w:t>After reviewing CalCCA’s comments and reply on the proposed decision, we find there is a need to clarify and define some terms to avoid unintended consequences due to ambiguity arising from</w:t>
      </w:r>
      <w:r w:rsidR="005C001A">
        <w:rPr>
          <w:rFonts w:eastAsia="SymbolMT"/>
        </w:rPr>
        <w:t xml:space="preserve"> </w:t>
      </w:r>
      <w:r w:rsidRPr="00882DA4" w:rsidR="005C001A">
        <w:rPr>
          <w:rFonts w:eastAsia="SymbolMT"/>
        </w:rPr>
        <w:t>imprecisely using the term RPS solicitation vs REC sales</w:t>
      </w:r>
      <w:r w:rsidRPr="00882DA4">
        <w:rPr>
          <w:rFonts w:eastAsia="SymbolMT"/>
        </w:rPr>
        <w:t>:</w:t>
      </w:r>
    </w:p>
    <w:p w:rsidRPr="00882DA4" w:rsidR="00E871B7" w:rsidP="00FC6955" w:rsidRDefault="00E871B7" w14:paraId="08AE13C0" w14:textId="6EDAB7FB">
      <w:pPr>
        <w:pStyle w:val="ListParagraph"/>
        <w:numPr>
          <w:ilvl w:val="0"/>
          <w:numId w:val="47"/>
        </w:numPr>
        <w:spacing w:after="120" w:line="240" w:lineRule="auto"/>
        <w:ind w:left="1080" w:right="1440"/>
        <w:contextualSpacing w:val="0"/>
        <w:rPr>
          <w:rFonts w:eastAsia="SymbolMT"/>
        </w:rPr>
      </w:pPr>
      <w:r w:rsidRPr="00882DA4">
        <w:rPr>
          <w:rFonts w:eastAsia="SymbolMT"/>
        </w:rPr>
        <w:t>Solicitation period for Market Offers</w:t>
      </w:r>
      <w:r w:rsidR="00AE0B0D">
        <w:rPr>
          <w:rFonts w:eastAsia="SymbolMT"/>
        </w:rPr>
        <w:t>:</w:t>
      </w:r>
      <w:r w:rsidRPr="00882DA4">
        <w:rPr>
          <w:rFonts w:eastAsia="SymbolMT"/>
        </w:rPr>
        <w:t xml:space="preserve"> shall have a start date of when the solicitation is posted on the IOU’s solicitation webpage or publicly notified. The end date </w:t>
      </w:r>
      <w:r w:rsidR="00014E5C">
        <w:rPr>
          <w:rFonts w:eastAsia="SymbolMT"/>
        </w:rPr>
        <w:t>shall</w:t>
      </w:r>
      <w:r w:rsidRPr="00882DA4">
        <w:rPr>
          <w:rFonts w:eastAsia="SymbolMT"/>
        </w:rPr>
        <w:t xml:space="preserve"> be once contracts are submitted for Commission approval.</w:t>
      </w:r>
    </w:p>
    <w:p w:rsidRPr="00882DA4" w:rsidR="00B07DFC" w:rsidP="00FC6955" w:rsidRDefault="00B07DFC" w14:paraId="2ABCEC50" w14:textId="000CDE05">
      <w:pPr>
        <w:pStyle w:val="ListParagraph"/>
        <w:numPr>
          <w:ilvl w:val="0"/>
          <w:numId w:val="47"/>
        </w:numPr>
        <w:spacing w:after="120" w:line="240" w:lineRule="auto"/>
        <w:ind w:left="1080" w:right="1440"/>
        <w:contextualSpacing w:val="0"/>
        <w:rPr>
          <w:rFonts w:eastAsia="SymbolMT"/>
        </w:rPr>
      </w:pPr>
      <w:r w:rsidRPr="00882DA4">
        <w:rPr>
          <w:rFonts w:eastAsia="SymbolMT"/>
        </w:rPr>
        <w:t>Market Offer Sales:  An IOU’s open market sale for “PCIA-eligible RPS energy” in the form of “a ‘slice[s]’ of an IOU’s entire [PCIA]-eligible RPS portfolio” “remaining after a Voluntary Allocation.” D.21-05-030 at OP 2(a), 3(a).</w:t>
      </w:r>
    </w:p>
    <w:p w:rsidRPr="00882DA4" w:rsidR="00B07DFC" w:rsidP="00FC6955" w:rsidRDefault="00B07DFC" w14:paraId="2CC28365" w14:textId="686F7B96">
      <w:pPr>
        <w:pStyle w:val="ListParagraph"/>
        <w:numPr>
          <w:ilvl w:val="0"/>
          <w:numId w:val="47"/>
        </w:numPr>
        <w:spacing w:after="120" w:line="240" w:lineRule="auto"/>
        <w:ind w:left="1080" w:right="1440"/>
        <w:contextualSpacing w:val="0"/>
        <w:rPr>
          <w:rFonts w:eastAsia="SymbolMT"/>
        </w:rPr>
      </w:pPr>
      <w:r w:rsidRPr="00882DA4">
        <w:rPr>
          <w:rFonts w:eastAsia="SymbolMT"/>
        </w:rPr>
        <w:t>REC Sales: An entit</w:t>
      </w:r>
      <w:r w:rsidR="00312F51">
        <w:rPr>
          <w:rFonts w:eastAsia="SymbolMT"/>
        </w:rPr>
        <w:t>y’s</w:t>
      </w:r>
      <w:r w:rsidRPr="00882DA4">
        <w:rPr>
          <w:rFonts w:eastAsia="SymbolMT"/>
        </w:rPr>
        <w:t xml:space="preserve"> sale of fixed volumes of unbundled Renewable Energy Credits (RECs) or bundled RECs and energy to purchasers.</w:t>
      </w:r>
    </w:p>
    <w:p w:rsidRPr="00320945" w:rsidR="00B07DFC" w:rsidP="00FC6955" w:rsidRDefault="00B07DFC" w14:paraId="05F795D8" w14:textId="1CB0465B">
      <w:pPr>
        <w:pStyle w:val="ListParagraph"/>
        <w:numPr>
          <w:ilvl w:val="0"/>
          <w:numId w:val="47"/>
        </w:numPr>
        <w:spacing w:after="120" w:line="240" w:lineRule="auto"/>
        <w:ind w:left="1080" w:right="1440"/>
        <w:contextualSpacing w:val="0"/>
        <w:rPr>
          <w:rFonts w:eastAsia="SymbolMT"/>
        </w:rPr>
      </w:pPr>
      <w:r w:rsidRPr="00882DA4">
        <w:rPr>
          <w:rFonts w:eastAsia="SymbolMT"/>
        </w:rPr>
        <w:t>RPS Solicitation: A general term referring to open market sales processes with bids for either the purchase or sale that include RPS products, typically with right to own RECs resulting from the generation of RPS-eligible resources.</w:t>
      </w:r>
    </w:p>
    <w:p w:rsidR="005939A5" w:rsidP="00FC6955" w:rsidRDefault="005939A5" w14:paraId="55D7F1ED" w14:textId="77777777">
      <w:pPr>
        <w:pStyle w:val="Heading1"/>
        <w:numPr>
          <w:ilvl w:val="0"/>
          <w:numId w:val="49"/>
        </w:numPr>
        <w:ind w:left="720" w:hanging="720"/>
      </w:pPr>
      <w:bookmarkStart w:name="_Toc8123724" w:id="26"/>
      <w:bookmarkStart w:name="_Toc119660157" w:id="27"/>
      <w:r>
        <w:t>Assignment of Proceeding</w:t>
      </w:r>
      <w:bookmarkEnd w:id="26"/>
      <w:bookmarkEnd w:id="27"/>
    </w:p>
    <w:p w:rsidR="005939A5" w:rsidP="006E6574" w:rsidRDefault="005929D8" w14:paraId="5868FF04" w14:textId="30C9162C">
      <w:pPr>
        <w:pStyle w:val="Standard"/>
      </w:pPr>
      <w:r w:rsidRPr="005929D8">
        <w:t xml:space="preserve">Clifford Rechtschaffen is the assigned Commissioner and </w:t>
      </w:r>
      <w:r>
        <w:t>Manisha</w:t>
      </w:r>
      <w:r w:rsidR="00FC6955">
        <w:t> </w:t>
      </w:r>
      <w:r>
        <w:t>Lakhanpal and Nilgun</w:t>
      </w:r>
      <w:r w:rsidR="00FC6955">
        <w:t> </w:t>
      </w:r>
      <w:r>
        <w:t>Atamturk are</w:t>
      </w:r>
      <w:r w:rsidRPr="005929D8">
        <w:t xml:space="preserve"> the assigned ALJ</w:t>
      </w:r>
      <w:r>
        <w:t>s</w:t>
      </w:r>
      <w:r w:rsidRPr="005929D8">
        <w:t xml:space="preserve"> in this proceeding</w:t>
      </w:r>
      <w:r w:rsidR="005939A5">
        <w:t>.</w:t>
      </w:r>
    </w:p>
    <w:p w:rsidR="005939A5" w:rsidP="006B0999" w:rsidRDefault="005939A5" w14:paraId="4F0C2833" w14:textId="77777777">
      <w:pPr>
        <w:pStyle w:val="Dummy"/>
      </w:pPr>
      <w:bookmarkStart w:name="_Toc8123725" w:id="28"/>
      <w:bookmarkStart w:name="_Toc119660158" w:id="29"/>
      <w:r w:rsidRPr="006B0999">
        <w:t>Findings</w:t>
      </w:r>
      <w:r>
        <w:t xml:space="preserve"> of Fact</w:t>
      </w:r>
      <w:bookmarkEnd w:id="28"/>
      <w:bookmarkEnd w:id="29"/>
    </w:p>
    <w:p w:rsidRPr="006B0999" w:rsidR="00433D60" w:rsidP="00320945" w:rsidRDefault="00433D60" w14:paraId="0F1A847E" w14:textId="77777777">
      <w:pPr>
        <w:pStyle w:val="CoL"/>
      </w:pPr>
      <w:r w:rsidRPr="006B0999">
        <w:t>The Voluntary Allocation and sale of RPS resources via the Market Offer aims to redistribute excess RPS resources in the PCIA-eligible electric supply portfolios of the IOUs under D.21-05-030.</w:t>
      </w:r>
    </w:p>
    <w:p w:rsidRPr="006B0999" w:rsidR="00897FC2" w:rsidP="00320945" w:rsidRDefault="0083622D" w14:paraId="24D44C4A" w14:textId="567BEE57">
      <w:pPr>
        <w:pStyle w:val="CoL"/>
      </w:pPr>
      <w:r w:rsidRPr="006B0999">
        <w:t xml:space="preserve">The </w:t>
      </w:r>
      <w:r w:rsidRPr="006B0999" w:rsidR="00EF4DE9">
        <w:t>IOUs</w:t>
      </w:r>
      <w:r w:rsidRPr="006B0999" w:rsidR="00713266">
        <w:t xml:space="preserve"> filed a </w:t>
      </w:r>
      <w:r w:rsidRPr="006B0999" w:rsidR="007800C7">
        <w:t>J</w:t>
      </w:r>
      <w:r w:rsidRPr="006B0999" w:rsidR="00713266">
        <w:t xml:space="preserve">oint Market Offer </w:t>
      </w:r>
      <w:r w:rsidRPr="006B0999" w:rsidR="004F29CB">
        <w:t>proposal</w:t>
      </w:r>
      <w:r w:rsidRPr="006B0999" w:rsidR="000F0763">
        <w:t xml:space="preserve"> to sell excess RPS resources </w:t>
      </w:r>
      <w:r w:rsidRPr="006B0999" w:rsidR="00433D60">
        <w:t>pursuant to D.21-05-030,</w:t>
      </w:r>
      <w:r w:rsidRPr="006B0999" w:rsidR="00713266">
        <w:t xml:space="preserve"> on May</w:t>
      </w:r>
      <w:r w:rsidRPr="006B0999" w:rsidR="008A6293">
        <w:t xml:space="preserve"> 2</w:t>
      </w:r>
      <w:r w:rsidRPr="006B0999" w:rsidR="007361BA">
        <w:t>, 2022.</w:t>
      </w:r>
    </w:p>
    <w:p w:rsidRPr="006B0999" w:rsidR="00D068B8" w:rsidP="00320945" w:rsidRDefault="00897FC2" w14:paraId="734EEC19" w14:textId="1E4DDF64">
      <w:pPr>
        <w:pStyle w:val="CoL"/>
      </w:pPr>
      <w:r w:rsidRPr="006B0999">
        <w:t xml:space="preserve">Each IOU filed a confidential </w:t>
      </w:r>
      <w:r w:rsidRPr="006B0999" w:rsidR="00AE1A3D">
        <w:t xml:space="preserve">Market Offer </w:t>
      </w:r>
      <w:r w:rsidRPr="006B0999" w:rsidR="00433D60">
        <w:t>solicitation protocol/ framework</w:t>
      </w:r>
      <w:r w:rsidRPr="006B0999" w:rsidR="00D068B8">
        <w:t xml:space="preserve"> on May 16, 2022.</w:t>
      </w:r>
    </w:p>
    <w:p w:rsidRPr="006B0999" w:rsidR="00B0400A" w:rsidP="00320945" w:rsidRDefault="00853972" w14:paraId="334EDBDA" w14:textId="43AA0E3C">
      <w:pPr>
        <w:pStyle w:val="CoL"/>
      </w:pPr>
      <w:r w:rsidRPr="006B0999">
        <w:t xml:space="preserve">On July 1, 2022, </w:t>
      </w:r>
      <w:r w:rsidRPr="006B0999" w:rsidR="00C7542E">
        <w:t xml:space="preserve">LSEs </w:t>
      </w:r>
      <w:r w:rsidRPr="006B0999" w:rsidR="00745453">
        <w:t>filed</w:t>
      </w:r>
      <w:r w:rsidRPr="006B0999">
        <w:t xml:space="preserve"> t</w:t>
      </w:r>
      <w:r w:rsidRPr="006B0999" w:rsidR="00C7542E">
        <w:t xml:space="preserve">heir Draft 2022 RPS Procurement Plans with </w:t>
      </w:r>
      <w:r w:rsidRPr="006B0999" w:rsidR="004F29CB">
        <w:t xml:space="preserve">the </w:t>
      </w:r>
      <w:r w:rsidRPr="006B0999" w:rsidR="00E402A6">
        <w:t xml:space="preserve">best available </w:t>
      </w:r>
      <w:r w:rsidRPr="006B0999">
        <w:t>Voluntary Allocation information</w:t>
      </w:r>
      <w:r w:rsidRPr="006B0999" w:rsidR="004F29CB">
        <w:t>,</w:t>
      </w:r>
      <w:r w:rsidRPr="006B0999">
        <w:t xml:space="preserve"> and on August 15, </w:t>
      </w:r>
      <w:r w:rsidRPr="006B0999" w:rsidR="0076448D">
        <w:t>2022,</w:t>
      </w:r>
      <w:r w:rsidRPr="006B0999">
        <w:t xml:space="preserve"> </w:t>
      </w:r>
      <w:r w:rsidRPr="006B0999" w:rsidR="00E402A6">
        <w:t>they filed updated information on Voluntary Allocations.</w:t>
      </w:r>
    </w:p>
    <w:p w:rsidRPr="006B0999" w:rsidR="0083622D" w:rsidP="00320945" w:rsidRDefault="0083622D" w14:paraId="524C1FC8" w14:textId="358B591D">
      <w:pPr>
        <w:pStyle w:val="CoL"/>
      </w:pPr>
      <w:r w:rsidRPr="006B0999">
        <w:t xml:space="preserve">Most LSEs have accepted a portion of their Voluntary Allocation.  </w:t>
      </w:r>
    </w:p>
    <w:p w:rsidRPr="006B0999" w:rsidR="0083622D" w:rsidP="00320945" w:rsidRDefault="0083622D" w14:paraId="4D6C13D9" w14:textId="11650D49">
      <w:pPr>
        <w:pStyle w:val="CoL"/>
      </w:pPr>
      <w:r w:rsidRPr="006B0999">
        <w:t xml:space="preserve">LSEs based their decision to accept their Voluntary Allocation offers </w:t>
      </w:r>
      <w:r w:rsidRPr="006B0999" w:rsidR="00873C73">
        <w:t>on their</w:t>
      </w:r>
      <w:r w:rsidRPr="006B0999">
        <w:t xml:space="preserve"> evaluat</w:t>
      </w:r>
      <w:r w:rsidRPr="006B0999" w:rsidR="00873C73">
        <w:t>ion of</w:t>
      </w:r>
      <w:r w:rsidRPr="006B0999">
        <w:t xml:space="preserve"> their respective available short- and long-term allocations relative to their current and future RPS needs. </w:t>
      </w:r>
    </w:p>
    <w:p w:rsidRPr="006B0999" w:rsidR="0083622D" w:rsidP="00320945" w:rsidRDefault="004E336E" w14:paraId="46423DA7" w14:textId="7FD5B059">
      <w:pPr>
        <w:pStyle w:val="CoL"/>
      </w:pPr>
      <w:r w:rsidRPr="004E336E">
        <w:t>3</w:t>
      </w:r>
      <w:r>
        <w:t xml:space="preserve"> </w:t>
      </w:r>
      <w:r w:rsidRPr="004E336E">
        <w:t>Phases Renewable</w:t>
      </w:r>
      <w:r>
        <w:t>s</w:t>
      </w:r>
      <w:r w:rsidRPr="004E336E">
        <w:t xml:space="preserve"> filed its updated 2022 Draft 2022 RPS Plan on October 19, 2022.</w:t>
      </w:r>
    </w:p>
    <w:p w:rsidRPr="006B0999" w:rsidR="00095891" w:rsidP="00320945" w:rsidRDefault="00095891" w14:paraId="339EC719" w14:textId="3D228CA5">
      <w:pPr>
        <w:pStyle w:val="CoL"/>
      </w:pPr>
      <w:r w:rsidRPr="006B0999">
        <w:t xml:space="preserve">The current RPS sales solicitation rules require Advice Letter approval of all signed pro forma contracts, meeting with the PRG to review </w:t>
      </w:r>
      <w:r w:rsidR="00B53FE6">
        <w:t xml:space="preserve">solicitation </w:t>
      </w:r>
      <w:r w:rsidRPr="006B0999">
        <w:t xml:space="preserve">activities, and using an IE consultation to evaluate solicitations. </w:t>
      </w:r>
    </w:p>
    <w:p w:rsidRPr="006B0999" w:rsidR="0083622D" w:rsidP="00320945" w:rsidRDefault="0083622D" w14:paraId="764416FE" w14:textId="75C8CE49">
      <w:pPr>
        <w:pStyle w:val="CoL"/>
      </w:pPr>
      <w:r w:rsidRPr="006B0999">
        <w:t xml:space="preserve">The Market Offers will only occur through one competitive solicitation, and no bilateral contracts will be signed. </w:t>
      </w:r>
    </w:p>
    <w:p w:rsidRPr="006B0999" w:rsidR="0083622D" w:rsidP="00320945" w:rsidRDefault="0083622D" w14:paraId="4798D7BB" w14:textId="41BD6772">
      <w:pPr>
        <w:pStyle w:val="CoL"/>
      </w:pPr>
      <w:r w:rsidRPr="006B0999">
        <w:t xml:space="preserve">The IOUs were </w:t>
      </w:r>
      <w:r w:rsidRPr="006B0999" w:rsidR="00BF4BC8">
        <w:t>d</w:t>
      </w:r>
      <w:r w:rsidRPr="006B0999" w:rsidR="00CE7CEA">
        <w:t>irected</w:t>
      </w:r>
      <w:r w:rsidRPr="006B0999">
        <w:t xml:space="preserve"> to propose </w:t>
      </w:r>
      <w:r w:rsidRPr="006B0999" w:rsidR="004F29CB">
        <w:t xml:space="preserve">a structure for long-term sales products in their Market Offer proposal </w:t>
      </w:r>
      <w:r w:rsidRPr="006B0999">
        <w:t xml:space="preserve">and to describe which portion of unallocated shares </w:t>
      </w:r>
      <w:r w:rsidRPr="006B0999" w:rsidR="00EA0378">
        <w:t>they propose to</w:t>
      </w:r>
      <w:r w:rsidRPr="006B0999">
        <w:t xml:space="preserve"> offer as long-term sales. </w:t>
      </w:r>
    </w:p>
    <w:p w:rsidR="00231351" w:rsidP="00320945" w:rsidRDefault="00D7075D" w14:paraId="64BAEC49" w14:textId="50C3EAB4">
      <w:pPr>
        <w:pStyle w:val="CoL"/>
      </w:pPr>
      <w:r w:rsidRPr="006B0999">
        <w:t xml:space="preserve">Offering 35 percent of the remaining long-term contracts after the Voluntary Allocations balances the risk of oversupplying long-term contracts and having contracts available for future portfolio optimization. </w:t>
      </w:r>
    </w:p>
    <w:p w:rsidRPr="006B0999" w:rsidR="0070210D" w:rsidP="00320945" w:rsidRDefault="00E97DA0" w14:paraId="62917A09" w14:textId="77AA8420">
      <w:pPr>
        <w:pStyle w:val="CoL"/>
      </w:pPr>
      <w:r>
        <w:t xml:space="preserve">Since we are requiring long-term sales, solicitation materials </w:t>
      </w:r>
      <w:r w:rsidR="00765AAD">
        <w:t>may</w:t>
      </w:r>
      <w:r w:rsidR="00EB34A9">
        <w:t xml:space="preserve"> </w:t>
      </w:r>
      <w:r w:rsidR="00765AAD">
        <w:t xml:space="preserve">include </w:t>
      </w:r>
      <w:r>
        <w:t>revision</w:t>
      </w:r>
      <w:r w:rsidR="00D2292B">
        <w:t>s</w:t>
      </w:r>
      <w:r>
        <w:t xml:space="preserve"> to consider the optimization of bids for long-and short-term products. </w:t>
      </w:r>
    </w:p>
    <w:p w:rsidRPr="006B0999" w:rsidR="00FE2B6A" w:rsidP="00320945" w:rsidRDefault="00FE2B6A" w14:paraId="48A9C707" w14:textId="67494EB6">
      <w:pPr>
        <w:pStyle w:val="CoL"/>
      </w:pPr>
      <w:r w:rsidRPr="006B0999">
        <w:t xml:space="preserve">SDG&amp;E’s Market Offer </w:t>
      </w:r>
      <w:r w:rsidR="0036718B">
        <w:t>proposal</w:t>
      </w:r>
      <w:r w:rsidRPr="006B0999">
        <w:t xml:space="preserve"> is unclear whether it will offer long-term </w:t>
      </w:r>
      <w:r w:rsidR="0036718B">
        <w:t>product</w:t>
      </w:r>
      <w:r w:rsidRPr="006B0999">
        <w:t xml:space="preserve">.  </w:t>
      </w:r>
    </w:p>
    <w:p w:rsidRPr="006B0999" w:rsidR="0083622D" w:rsidP="00320945" w:rsidRDefault="0083622D" w14:paraId="53A44400" w14:textId="29DA5884">
      <w:pPr>
        <w:pStyle w:val="CoL"/>
      </w:pPr>
      <w:r w:rsidRPr="006B0999">
        <w:t xml:space="preserve">At 10 percent incremental volume, a bidder’s minimum bid volume may be many times greater than </w:t>
      </w:r>
      <w:r w:rsidR="00E14C04">
        <w:t>its</w:t>
      </w:r>
      <w:r w:rsidRPr="006B0999">
        <w:t xml:space="preserve"> RPS need.</w:t>
      </w:r>
    </w:p>
    <w:p w:rsidRPr="006B0999" w:rsidR="00B615C3" w:rsidP="00320945" w:rsidRDefault="00B615C3" w14:paraId="29545C8D" w14:textId="77777777">
      <w:pPr>
        <w:pStyle w:val="CoL"/>
      </w:pPr>
      <w:r w:rsidRPr="006B0999">
        <w:t>Market Offer solicitation protocols/framework proposals included in the Joint Market Offer Proposal are marked confidential by all IOUs.</w:t>
      </w:r>
    </w:p>
    <w:p w:rsidRPr="006B0999" w:rsidR="0083622D" w:rsidP="00320945" w:rsidRDefault="0083622D" w14:paraId="07016E59" w14:textId="3153D0F2">
      <w:pPr>
        <w:pStyle w:val="CoL"/>
      </w:pPr>
      <w:r w:rsidRPr="006B0999">
        <w:t xml:space="preserve">Each IOU seeks the option to participate in </w:t>
      </w:r>
      <w:r w:rsidR="00844CFF">
        <w:t>its own</w:t>
      </w:r>
      <w:r w:rsidRPr="006B0999">
        <w:t xml:space="preserve"> Market Offer </w:t>
      </w:r>
      <w:r w:rsidR="00327EBA">
        <w:t>p</w:t>
      </w:r>
      <w:r w:rsidRPr="006B0999" w:rsidR="00327EBA">
        <w:t xml:space="preserve">rocess </w:t>
      </w:r>
      <w:r w:rsidRPr="006B0999">
        <w:t>as a bidder, subject to a code of conduct.</w:t>
      </w:r>
    </w:p>
    <w:p w:rsidR="0095643B" w:rsidP="0095643B" w:rsidRDefault="0095643B" w14:paraId="455CEE57" w14:textId="77777777">
      <w:pPr>
        <w:pStyle w:val="CoL"/>
      </w:pPr>
      <w:r>
        <w:t xml:space="preserve">PG&amp;E’s and SCE’s </w:t>
      </w:r>
      <w:r w:rsidRPr="00882DA4">
        <w:t>“waived claims” language provides participants</w:t>
      </w:r>
      <w:r>
        <w:t xml:space="preserve"> </w:t>
      </w:r>
      <w:r w:rsidRPr="00882DA4">
        <w:t>an opportunity to raise disputes arising from the Market Offer process through</w:t>
      </w:r>
      <w:r>
        <w:t xml:space="preserve"> </w:t>
      </w:r>
      <w:r w:rsidRPr="00882DA4">
        <w:t>Commission processes, including both ADR services and the advice letter protest process.</w:t>
      </w:r>
      <w:r>
        <w:t xml:space="preserve"> </w:t>
      </w:r>
    </w:p>
    <w:p w:rsidRPr="006B0999" w:rsidR="00B615C3" w:rsidP="00320945" w:rsidRDefault="00B615C3" w14:paraId="158779D0" w14:textId="18804236">
      <w:pPr>
        <w:pStyle w:val="CoL"/>
      </w:pPr>
      <w:r w:rsidRPr="006B0999">
        <w:t xml:space="preserve">Under the current RPS process IOUs vet their bid floors with the PRG and IE before the solicitations. </w:t>
      </w:r>
    </w:p>
    <w:p w:rsidR="0083622D" w:rsidP="00320945" w:rsidRDefault="0083622D" w14:paraId="101F8888" w14:textId="4E7287EB">
      <w:pPr>
        <w:pStyle w:val="CoL"/>
      </w:pPr>
      <w:r w:rsidRPr="006B0999">
        <w:t xml:space="preserve">IE reporting on </w:t>
      </w:r>
      <w:r w:rsidRPr="006B0999" w:rsidR="00E426A1">
        <w:t>c</w:t>
      </w:r>
      <w:r w:rsidRPr="006B0999">
        <w:t xml:space="preserve">ode of </w:t>
      </w:r>
      <w:r w:rsidRPr="006B0999" w:rsidR="00E426A1">
        <w:t>c</w:t>
      </w:r>
      <w:r w:rsidRPr="006B0999">
        <w:t>onduct violations</w:t>
      </w:r>
      <w:r w:rsidRPr="006B0999" w:rsidR="003A489C">
        <w:t xml:space="preserve"> </w:t>
      </w:r>
      <w:r w:rsidRPr="006B0999" w:rsidR="003857AE">
        <w:t xml:space="preserve">will allow real-time review of Market Offer solicitation and timely course correction. </w:t>
      </w:r>
    </w:p>
    <w:p w:rsidRPr="006B0999" w:rsidR="0083622D" w:rsidP="00320945" w:rsidRDefault="003A489C" w14:paraId="460D0A84" w14:textId="025D8BEA">
      <w:pPr>
        <w:pStyle w:val="CoL"/>
      </w:pPr>
      <w:r w:rsidRPr="006B0999">
        <w:t>S</w:t>
      </w:r>
      <w:r w:rsidRPr="006B0999" w:rsidR="00A92B4D">
        <w:t>ign</w:t>
      </w:r>
      <w:r w:rsidRPr="006B0999">
        <w:t>ing</w:t>
      </w:r>
      <w:r w:rsidRPr="006B0999" w:rsidR="00A92B4D">
        <w:t xml:space="preserve"> a compliance certification under their </w:t>
      </w:r>
      <w:r w:rsidRPr="006B0999" w:rsidR="0083622D">
        <w:t>respective code of conduct</w:t>
      </w:r>
      <w:r w:rsidRPr="006B0999" w:rsidR="006564E7">
        <w:t xml:space="preserve"> will </w:t>
      </w:r>
      <w:r w:rsidRPr="006B0999" w:rsidR="00D16C85">
        <w:t>ensure that IOU employees</w:t>
      </w:r>
      <w:r w:rsidR="00A04D89">
        <w:t xml:space="preserve"> of an IOU participating as a bidder in its own Market Offer solicitation</w:t>
      </w:r>
      <w:r w:rsidRPr="006B0999" w:rsidR="00D16C85">
        <w:t xml:space="preserve"> </w:t>
      </w:r>
      <w:r w:rsidRPr="006B0999" w:rsidR="00095891">
        <w:t xml:space="preserve">are aware </w:t>
      </w:r>
      <w:r w:rsidRPr="006B0999" w:rsidR="00D7075D">
        <w:t xml:space="preserve">and accountable </w:t>
      </w:r>
      <w:r w:rsidR="00FF6A8C">
        <w:t xml:space="preserve">for </w:t>
      </w:r>
      <w:r w:rsidRPr="006B0999" w:rsidR="00095891">
        <w:t>the</w:t>
      </w:r>
      <w:r w:rsidRPr="006B0999" w:rsidR="00D16C85">
        <w:t xml:space="preserve"> rules of conduct for </w:t>
      </w:r>
      <w:r w:rsidR="00FF6A8C">
        <w:t xml:space="preserve">the </w:t>
      </w:r>
      <w:r w:rsidRPr="006B0999" w:rsidR="00D16C85">
        <w:t>Market Offer proces</w:t>
      </w:r>
      <w:r w:rsidRPr="006B0999" w:rsidR="00095891">
        <w:t>s</w:t>
      </w:r>
      <w:r w:rsidRPr="006B0999" w:rsidR="00D16C85">
        <w:t xml:space="preserve">. </w:t>
      </w:r>
    </w:p>
    <w:p w:rsidRPr="006B0999" w:rsidR="0083622D" w:rsidP="00320945" w:rsidRDefault="00BF230E" w14:paraId="451A6089" w14:textId="16B58214">
      <w:pPr>
        <w:pStyle w:val="CoL"/>
      </w:pPr>
      <w:r w:rsidRPr="006B0999">
        <w:t xml:space="preserve">The current </w:t>
      </w:r>
      <w:r w:rsidRPr="006B0999" w:rsidR="008D3F3D">
        <w:t xml:space="preserve">RPS rules </w:t>
      </w:r>
      <w:r w:rsidRPr="006B0999">
        <w:t xml:space="preserve">do not have provisions for </w:t>
      </w:r>
      <w:r w:rsidRPr="006B0999" w:rsidR="00555768">
        <w:t xml:space="preserve">disallowance of costs in </w:t>
      </w:r>
      <w:r w:rsidRPr="006B0999" w:rsidR="0083622D">
        <w:t xml:space="preserve">ERRA </w:t>
      </w:r>
      <w:r w:rsidRPr="006B0999" w:rsidR="00555768">
        <w:t>proceedings</w:t>
      </w:r>
      <w:r w:rsidRPr="006B0999" w:rsidR="0083622D">
        <w:t xml:space="preserve"> as a </w:t>
      </w:r>
      <w:r w:rsidRPr="006B0999" w:rsidR="00555768">
        <w:t>remedy for noncompliance</w:t>
      </w:r>
      <w:r w:rsidRPr="006B0999" w:rsidR="0083622D">
        <w:t>.</w:t>
      </w:r>
    </w:p>
    <w:p w:rsidRPr="006B0999" w:rsidR="0083622D" w:rsidP="00320945" w:rsidRDefault="00A04D89" w14:paraId="1FF63758" w14:textId="5865883F">
      <w:pPr>
        <w:pStyle w:val="CoL"/>
      </w:pPr>
      <w:r>
        <w:t xml:space="preserve">Consistent with D.19-10-001, actual </w:t>
      </w:r>
      <w:r w:rsidRPr="006B0999" w:rsidR="004560F3">
        <w:t xml:space="preserve">Market Offer </w:t>
      </w:r>
      <w:r>
        <w:t>transactions shall be forecast</w:t>
      </w:r>
      <w:r w:rsidR="002E408C">
        <w:t>ed</w:t>
      </w:r>
      <w:r>
        <w:t xml:space="preserve"> by the IOU based on the actual transacted price and actual transacted volume. </w:t>
      </w:r>
      <w:r w:rsidRPr="006B0999" w:rsidR="0083622D">
        <w:t>.</w:t>
      </w:r>
    </w:p>
    <w:p w:rsidRPr="006B0999" w:rsidR="0083622D" w:rsidP="00320945" w:rsidRDefault="0083622D" w14:paraId="43B60110" w14:textId="77777777">
      <w:pPr>
        <w:pStyle w:val="CoL"/>
      </w:pPr>
      <w:r w:rsidRPr="006B0999">
        <w:t xml:space="preserve">Revenues from Market Offer sales will be shared across all PCIA customer vintages. </w:t>
      </w:r>
    </w:p>
    <w:p w:rsidR="00F85B57" w:rsidP="00320945" w:rsidRDefault="00B93EE3" w14:paraId="084A5ABE" w14:textId="19CA13CD">
      <w:pPr>
        <w:pStyle w:val="CoL"/>
      </w:pPr>
      <w:r w:rsidRPr="006B0999">
        <w:t>The Joint IOUs in their public filing, propose</w:t>
      </w:r>
      <w:r w:rsidR="00A04D89">
        <w:t>d</w:t>
      </w:r>
      <w:r w:rsidRPr="006B0999">
        <w:t xml:space="preserve"> methodologies for valuing RECs in ERRA</w:t>
      </w:r>
      <w:r w:rsidR="00A04D89">
        <w:t xml:space="preserve"> and PABA consistent with D.19-10-001</w:t>
      </w:r>
      <w:r w:rsidRPr="006B0999" w:rsidR="0083622D">
        <w:t>.</w:t>
      </w:r>
    </w:p>
    <w:p w:rsidR="000017D2" w:rsidP="00320945" w:rsidRDefault="000017D2" w14:paraId="45A69CF4" w14:textId="217ED56D">
      <w:pPr>
        <w:pStyle w:val="CoL"/>
      </w:pPr>
      <w:r w:rsidRPr="006B0999">
        <w:t>The Joint Market Offer Proposal regarding Advice Letter approval of all signed pro forma contracts, meeting with the PRG to review Market Offer activities, and using an IE consultation to evaluate Market Offer solicitations are consistent with existing RPS rules and requirements</w:t>
      </w:r>
      <w:r>
        <w:t>.</w:t>
      </w:r>
    </w:p>
    <w:p w:rsidRPr="006B0999" w:rsidR="004B3946" w:rsidP="00320945" w:rsidRDefault="004B3946" w14:paraId="41B87CA9" w14:textId="77777777">
      <w:pPr>
        <w:pStyle w:val="CoL"/>
      </w:pPr>
      <w:r w:rsidRPr="006B0999">
        <w:t xml:space="preserve">By not offering long-term contracts from the unallocated RPS portfolio vintages, the Joint Market Offer proposal deviates from the intent of D.21-05-030. </w:t>
      </w:r>
    </w:p>
    <w:p w:rsidRPr="006B0999" w:rsidR="004B3946" w:rsidP="00320945" w:rsidRDefault="004B3946" w14:paraId="4C4E781B" w14:textId="2528ED71">
      <w:pPr>
        <w:pStyle w:val="CoL"/>
      </w:pPr>
      <w:r w:rsidRPr="006B0999">
        <w:t>Short-term contracts carved from long-term contracts do not count as long</w:t>
      </w:r>
      <w:r w:rsidR="00FC6955">
        <w:noBreakHyphen/>
      </w:r>
      <w:r w:rsidRPr="006B0999">
        <w:t xml:space="preserve">term RPS obligations. </w:t>
      </w:r>
    </w:p>
    <w:p w:rsidRPr="006B0999" w:rsidR="004B3946" w:rsidP="00320945" w:rsidRDefault="004B3946" w14:paraId="07F2BB90" w14:textId="77777777">
      <w:pPr>
        <w:pStyle w:val="CoL"/>
      </w:pPr>
      <w:r w:rsidRPr="006B0999">
        <w:t>Allowing any percent of the IOU offered RPS portfolio in a whole number increment (</w:t>
      </w:r>
      <w:r w:rsidRPr="00FC6955">
        <w:rPr>
          <w:i/>
          <w:iCs/>
        </w:rPr>
        <w:t>e.g</w:t>
      </w:r>
      <w:r w:rsidRPr="006B0999">
        <w:t>., 1 percent, 3 percent, 20 percent, etc.) for the Market Offer process should increase bidding flexibility and increase the pool of interested bidders.</w:t>
      </w:r>
    </w:p>
    <w:p w:rsidRPr="006B0999" w:rsidR="004B3946" w:rsidP="00320945" w:rsidRDefault="004B3946" w14:paraId="6E45D334" w14:textId="77777777">
      <w:pPr>
        <w:pStyle w:val="CoL"/>
      </w:pPr>
      <w:r w:rsidRPr="006B0999">
        <w:t xml:space="preserve">The rules for an RPS solicitations protocols/ framework are well established, and IOUs may set bid floors to avoid market manipulation.  </w:t>
      </w:r>
    </w:p>
    <w:p w:rsidR="004B3946" w:rsidP="00320945" w:rsidRDefault="004B3946" w14:paraId="3312E7B7" w14:textId="57C93361">
      <w:pPr>
        <w:pStyle w:val="CoL"/>
      </w:pPr>
      <w:r w:rsidRPr="006B0999">
        <w:t xml:space="preserve">There is insufficient evidence in this proceeding to adopt disallowances of ERRA costs as a remedy to Market Offer violations. </w:t>
      </w:r>
    </w:p>
    <w:p w:rsidR="00EA2C9C" w:rsidP="00320945" w:rsidRDefault="00EA2C9C" w14:paraId="143D7056" w14:textId="1FA4F569">
      <w:pPr>
        <w:pStyle w:val="CoL"/>
      </w:pPr>
      <w:r>
        <w:t>V</w:t>
      </w:r>
      <w:r w:rsidRPr="006B0999" w:rsidR="004B3946">
        <w:t xml:space="preserve">aluation of retained, sold, and unsold RECs in the IOUs’ Market Offer proposal </w:t>
      </w:r>
      <w:r w:rsidR="00A04D89">
        <w:t xml:space="preserve">is consistent with </w:t>
      </w:r>
      <w:r w:rsidRPr="006B0999" w:rsidR="004B3946">
        <w:t>the established rules in the PCIA proceeding</w:t>
      </w:r>
      <w:r>
        <w:t>.</w:t>
      </w:r>
    </w:p>
    <w:p w:rsidRPr="006B0999" w:rsidR="00790502" w:rsidP="00320945" w:rsidRDefault="00790502" w14:paraId="4208328B" w14:textId="09F6CAEA">
      <w:pPr>
        <w:pStyle w:val="CoL"/>
      </w:pPr>
      <w:r w:rsidRPr="00882DA4">
        <w:t xml:space="preserve">2023 resources will likely not be available for the full </w:t>
      </w:r>
      <w:r w:rsidR="000E4B48">
        <w:t xml:space="preserve">calendar </w:t>
      </w:r>
      <w:r w:rsidRPr="00882DA4">
        <w:t>year</w:t>
      </w:r>
      <w:r>
        <w:t>.</w:t>
      </w:r>
    </w:p>
    <w:p w:rsidR="005939A5" w:rsidP="006B0999" w:rsidRDefault="005939A5" w14:paraId="2D33C01F" w14:textId="77777777">
      <w:pPr>
        <w:pStyle w:val="Dummy"/>
      </w:pPr>
      <w:bookmarkStart w:name="_Toc8123726" w:id="30"/>
      <w:bookmarkStart w:name="_Toc119660159" w:id="31"/>
      <w:r w:rsidRPr="006B0999">
        <w:t>Conclusions</w:t>
      </w:r>
      <w:r>
        <w:t xml:space="preserve"> of Law</w:t>
      </w:r>
      <w:bookmarkEnd w:id="30"/>
      <w:bookmarkEnd w:id="31"/>
    </w:p>
    <w:p w:rsidRPr="006B0999" w:rsidR="00622333" w:rsidP="00EB34A9" w:rsidRDefault="00C437FC" w14:paraId="483D6CA9" w14:textId="50B1A7E6">
      <w:pPr>
        <w:pStyle w:val="CoL"/>
        <w:numPr>
          <w:ilvl w:val="0"/>
          <w:numId w:val="60"/>
        </w:numPr>
      </w:pPr>
      <w:r w:rsidRPr="006B0999">
        <w:t xml:space="preserve">The Voluntary Allocation offers accepted by LSEs </w:t>
      </w:r>
      <w:r w:rsidRPr="006B0999" w:rsidR="0073068B">
        <w:t>are</w:t>
      </w:r>
      <w:r w:rsidRPr="006B0999">
        <w:t xml:space="preserve"> reasonable and should be approved</w:t>
      </w:r>
      <w:r w:rsidRPr="006B0999" w:rsidR="0073068B">
        <w:t xml:space="preserve">. </w:t>
      </w:r>
    </w:p>
    <w:p w:rsidRPr="00320945" w:rsidR="006306E5" w:rsidP="006B0999" w:rsidRDefault="0003035E" w14:paraId="1F5D8693" w14:textId="3A8182A8">
      <w:pPr>
        <w:pStyle w:val="CoL"/>
      </w:pPr>
      <w:r w:rsidRPr="006B0999">
        <w:t>The</w:t>
      </w:r>
      <w:r w:rsidRPr="006B0999" w:rsidR="006306E5">
        <w:t xml:space="preserve"> Joint Market Offer Prop</w:t>
      </w:r>
      <w:r w:rsidRPr="00320945" w:rsidR="006306E5">
        <w:t xml:space="preserve">osal regarding Advice Letter approval of all signed pro forma contracts, meeting with the PRG to review Market Offer activities, and using an IE consultation to evaluate Market Offer solicitations should be approved. </w:t>
      </w:r>
    </w:p>
    <w:p w:rsidRPr="00320945" w:rsidR="006306E5" w:rsidP="006B0999" w:rsidRDefault="006306E5" w14:paraId="6200770A" w14:textId="51535364">
      <w:pPr>
        <w:pStyle w:val="CoL"/>
      </w:pPr>
      <w:r w:rsidRPr="00320945">
        <w:t xml:space="preserve">It is reasonable that certain aspects of the Market Offer process vary from the RPS rules and requirements </w:t>
      </w:r>
      <w:r w:rsidRPr="00320945" w:rsidR="00983C5C">
        <w:t>due to</w:t>
      </w:r>
      <w:r w:rsidRPr="00320945">
        <w:t xml:space="preserve"> the structure set up in D.21-05-030. </w:t>
      </w:r>
    </w:p>
    <w:p w:rsidRPr="00320945" w:rsidR="00F5751D" w:rsidP="00882DA4" w:rsidRDefault="00F5751D" w14:paraId="5BF338BA" w14:textId="1667926A">
      <w:pPr>
        <w:pStyle w:val="CoL"/>
      </w:pPr>
      <w:r w:rsidRPr="00320945">
        <w:t xml:space="preserve">The IOUs should offer </w:t>
      </w:r>
      <w:r w:rsidRPr="00320945" w:rsidR="00F92C54">
        <w:t xml:space="preserve">100 percent of the </w:t>
      </w:r>
      <w:r w:rsidRPr="00320945">
        <w:t xml:space="preserve">remaining PCIA-eligible </w:t>
      </w:r>
      <w:r w:rsidRPr="00320945" w:rsidR="00F92C54">
        <w:t>short</w:t>
      </w:r>
      <w:r w:rsidRPr="00320945">
        <w:t>-term contracts in the Market Offer</w:t>
      </w:r>
      <w:r w:rsidRPr="00320945" w:rsidR="00451A6E">
        <w:t xml:space="preserve"> </w:t>
      </w:r>
      <w:r w:rsidRPr="00320945" w:rsidR="005526E5">
        <w:t xml:space="preserve">as </w:t>
      </w:r>
      <w:r w:rsidRPr="00320945" w:rsidR="00F92C54">
        <w:t>short</w:t>
      </w:r>
      <w:r w:rsidRPr="00320945" w:rsidR="005526E5">
        <w:t xml:space="preserve">-term </w:t>
      </w:r>
      <w:r w:rsidRPr="00320945" w:rsidR="00F44635">
        <w:t>product</w:t>
      </w:r>
      <w:r w:rsidRPr="00320945" w:rsidR="0095643B">
        <w:t>.</w:t>
      </w:r>
    </w:p>
    <w:p w:rsidRPr="00320945" w:rsidR="00F92C54" w:rsidP="00F92C54" w:rsidRDefault="00F92C54" w14:paraId="1DCF15BB" w14:textId="59E7A1AF">
      <w:pPr>
        <w:pStyle w:val="CoL"/>
      </w:pPr>
      <w:r w:rsidRPr="00320945">
        <w:t xml:space="preserve">The IOUs should offer 35 percent of the remaining PCIA-eligible long-term contracts in the Market Offer as long-term </w:t>
      </w:r>
      <w:r w:rsidRPr="00320945" w:rsidR="00F44635">
        <w:t>product</w:t>
      </w:r>
      <w:r w:rsidRPr="00320945">
        <w:t>.</w:t>
      </w:r>
    </w:p>
    <w:p w:rsidRPr="00320945" w:rsidR="00451A6E" w:rsidP="00F92C54" w:rsidRDefault="0084206E" w14:paraId="1620DE5F" w14:textId="1E68BB1C">
      <w:pPr>
        <w:pStyle w:val="CoL"/>
      </w:pPr>
      <w:r w:rsidRPr="00320945">
        <w:t xml:space="preserve">The IOUs </w:t>
      </w:r>
      <w:r w:rsidRPr="00320945" w:rsidR="006920CB">
        <w:t>should have the flexibility to</w:t>
      </w:r>
      <w:r w:rsidRPr="00320945">
        <w:t xml:space="preserve"> offer 65 percent of the remaining PCIA-eligible long-term contracts in the Market Offer </w:t>
      </w:r>
      <w:r w:rsidRPr="00320945" w:rsidR="0095643B">
        <w:t xml:space="preserve">as short-term and long-term </w:t>
      </w:r>
      <w:r w:rsidRPr="00320945" w:rsidR="00F44635">
        <w:t>products</w:t>
      </w:r>
      <w:r w:rsidRPr="00320945" w:rsidR="0095643B">
        <w:t xml:space="preserve"> subject to a methodology to optimize the value of bids for ratepayers.</w:t>
      </w:r>
    </w:p>
    <w:p w:rsidRPr="00320945" w:rsidR="00E97DA0" w:rsidP="00F5751D" w:rsidRDefault="00F5751D" w14:paraId="04B2FFDE" w14:textId="2B7D76E5">
      <w:pPr>
        <w:pStyle w:val="CoL"/>
      </w:pPr>
      <w:r w:rsidRPr="00320945">
        <w:t>The term for sales of the long-term RECs should last through the end of the term of the longest contract in the IOUs PCIA-eligible RPS portfolio.</w:t>
      </w:r>
    </w:p>
    <w:p w:rsidRPr="00320945" w:rsidR="006306E5" w:rsidP="006B0999" w:rsidRDefault="006306E5" w14:paraId="6868E154" w14:textId="04A5B637">
      <w:pPr>
        <w:pStyle w:val="CoL"/>
      </w:pPr>
      <w:r w:rsidRPr="00320945">
        <w:t xml:space="preserve">It is not </w:t>
      </w:r>
      <w:r w:rsidRPr="00320945" w:rsidR="0078078D">
        <w:t xml:space="preserve">reasonable </w:t>
      </w:r>
      <w:r w:rsidRPr="00320945">
        <w:t>to set</w:t>
      </w:r>
      <w:r w:rsidRPr="00320945" w:rsidR="00C24ADD">
        <w:t xml:space="preserve"> 10</w:t>
      </w:r>
      <w:r w:rsidR="00FC6955">
        <w:t> </w:t>
      </w:r>
      <w:r w:rsidRPr="00320945" w:rsidR="00C24ADD">
        <w:t>percent</w:t>
      </w:r>
      <w:r w:rsidRPr="00320945">
        <w:t xml:space="preserve"> increment limits on bidding slices of RPS portfolios in the Market Offer process. </w:t>
      </w:r>
    </w:p>
    <w:p w:rsidRPr="00320945" w:rsidR="006306E5" w:rsidP="006B0999" w:rsidRDefault="00344CD4" w14:paraId="1F2CD9E1" w14:textId="41E1D1E1">
      <w:pPr>
        <w:pStyle w:val="CoL"/>
      </w:pPr>
      <w:r w:rsidRPr="00320945">
        <w:t xml:space="preserve">If </w:t>
      </w:r>
      <w:r w:rsidRPr="00320945" w:rsidR="00F13F56">
        <w:t xml:space="preserve">SCE </w:t>
      </w:r>
      <w:r w:rsidRPr="00320945">
        <w:t xml:space="preserve">uses bid floors it </w:t>
      </w:r>
      <w:r w:rsidRPr="00320945" w:rsidR="00F13F56">
        <w:t xml:space="preserve">should follow </w:t>
      </w:r>
      <w:r w:rsidRPr="00320945" w:rsidR="00FE2B6A">
        <w:t xml:space="preserve">the </w:t>
      </w:r>
      <w:r w:rsidRPr="00320945" w:rsidR="00F13F56">
        <w:t xml:space="preserve">bid floor methodology </w:t>
      </w:r>
      <w:r w:rsidRPr="00320945" w:rsidR="006306E5">
        <w:t>approved in D.21</w:t>
      </w:r>
      <w:r w:rsidR="00FC6955">
        <w:noBreakHyphen/>
      </w:r>
      <w:r w:rsidRPr="00320945" w:rsidR="006306E5">
        <w:t>01</w:t>
      </w:r>
      <w:r w:rsidR="00FC6955">
        <w:noBreakHyphen/>
      </w:r>
      <w:r w:rsidRPr="00320945" w:rsidR="006306E5">
        <w:t>005 for its 2021 RPS Plan.</w:t>
      </w:r>
    </w:p>
    <w:p w:rsidRPr="00320945" w:rsidR="006306E5" w:rsidP="006B0999" w:rsidRDefault="00F64129" w14:paraId="16AF5E1D" w14:textId="7397BD6F">
      <w:pPr>
        <w:pStyle w:val="CoL"/>
      </w:pPr>
      <w:r w:rsidRPr="00320945">
        <w:t>If an IOU chooses to participate in its own Market Offer process as a bidder, m</w:t>
      </w:r>
      <w:r w:rsidRPr="00320945" w:rsidR="006306E5">
        <w:t xml:space="preserve">embers of the IOU’s </w:t>
      </w:r>
      <w:r w:rsidRPr="00320945">
        <w:t>evaluation</w:t>
      </w:r>
      <w:r w:rsidRPr="00320945" w:rsidR="006306E5">
        <w:t xml:space="preserve"> team should not move </w:t>
      </w:r>
      <w:r w:rsidRPr="00320945">
        <w:t>and perform tasks of the assigned to the bid</w:t>
      </w:r>
      <w:r w:rsidRPr="00320945" w:rsidR="006920CB">
        <w:t xml:space="preserve"> </w:t>
      </w:r>
      <w:r w:rsidRPr="00320945" w:rsidR="006306E5">
        <w:t>teams</w:t>
      </w:r>
      <w:r w:rsidRPr="00320945" w:rsidR="006920CB">
        <w:t xml:space="preserve"> and vice versa </w:t>
      </w:r>
      <w:r w:rsidRPr="00320945" w:rsidR="006306E5">
        <w:t xml:space="preserve"> until </w:t>
      </w:r>
      <w:r w:rsidRPr="00320945" w:rsidR="009238C8">
        <w:t xml:space="preserve">after the </w:t>
      </w:r>
      <w:r w:rsidRPr="00320945">
        <w:t xml:space="preserve">submission </w:t>
      </w:r>
      <w:r w:rsidRPr="00320945" w:rsidR="009238C8">
        <w:t>of the last Market Offer contract</w:t>
      </w:r>
      <w:r w:rsidRPr="00320945" w:rsidR="00FC246B">
        <w:t xml:space="preserve"> of </w:t>
      </w:r>
      <w:r w:rsidRPr="00320945" w:rsidR="006920CB">
        <w:t>short-term and long-term</w:t>
      </w:r>
      <w:r w:rsidRPr="00320945" w:rsidR="00FC246B">
        <w:t xml:space="preserve"> </w:t>
      </w:r>
      <w:r w:rsidRPr="00320945" w:rsidR="00877A39">
        <w:t>solicitations</w:t>
      </w:r>
      <w:r w:rsidRPr="00320945" w:rsidR="00EB34A9">
        <w:t xml:space="preserve">. </w:t>
      </w:r>
      <w:r w:rsidRPr="00320945" w:rsidR="006306E5">
        <w:t xml:space="preserve"> </w:t>
      </w:r>
    </w:p>
    <w:p w:rsidRPr="00320945" w:rsidR="006306E5" w:rsidP="006B0999" w:rsidRDefault="00F64129" w14:paraId="60BA3C0D" w14:textId="2380B3AE">
      <w:pPr>
        <w:pStyle w:val="CoL"/>
      </w:pPr>
      <w:r w:rsidRPr="00320945">
        <w:t>If an IOU chooses to participate in its own Market Offer process as a bidder, r</w:t>
      </w:r>
      <w:r w:rsidRPr="00320945" w:rsidR="006306E5">
        <w:t xml:space="preserve">ules in the code of conduct to firewall relevant information between the teams should remain in place </w:t>
      </w:r>
      <w:r w:rsidRPr="00320945">
        <w:t>until the submission</w:t>
      </w:r>
      <w:r w:rsidRPr="00320945" w:rsidR="006306E5">
        <w:t xml:space="preserve"> of the</w:t>
      </w:r>
      <w:r w:rsidRPr="00320945" w:rsidR="005C3C45">
        <w:t xml:space="preserve"> IOU’s</w:t>
      </w:r>
      <w:r w:rsidRPr="00320945" w:rsidR="006306E5">
        <w:t xml:space="preserve"> last Market Offer contract</w:t>
      </w:r>
      <w:r w:rsidRPr="00320945" w:rsidR="00FC246B">
        <w:t xml:space="preserve"> </w:t>
      </w:r>
      <w:r w:rsidRPr="00320945" w:rsidR="002370E0">
        <w:t>for</w:t>
      </w:r>
      <w:r w:rsidRPr="00320945" w:rsidR="00FC246B">
        <w:t xml:space="preserve"> both </w:t>
      </w:r>
      <w:r w:rsidRPr="00320945" w:rsidR="00877A39">
        <w:t>solicitations</w:t>
      </w:r>
      <w:r w:rsidRPr="00320945" w:rsidR="006306E5">
        <w:t xml:space="preserve">. </w:t>
      </w:r>
    </w:p>
    <w:p w:rsidRPr="00320945" w:rsidR="006306E5" w:rsidP="006B0999" w:rsidRDefault="006306E5" w14:paraId="570A7594" w14:textId="0C34871B">
      <w:pPr>
        <w:pStyle w:val="CoL"/>
      </w:pPr>
      <w:r w:rsidRPr="00320945">
        <w:t xml:space="preserve">It is reasonable to require all </w:t>
      </w:r>
      <w:r w:rsidRPr="00320945" w:rsidR="00B62C4A">
        <w:t>IOUs</w:t>
      </w:r>
      <w:r w:rsidRPr="00320945">
        <w:t xml:space="preserve"> to add a compliance certification to their respective code of conduct</w:t>
      </w:r>
      <w:r w:rsidRPr="00320945" w:rsidR="0086214D">
        <w:t xml:space="preserve"> and staff that engage in the Market Offer process to sign it</w:t>
      </w:r>
      <w:r w:rsidRPr="00320945">
        <w:t xml:space="preserve">. </w:t>
      </w:r>
    </w:p>
    <w:p w:rsidRPr="00320945" w:rsidR="006306E5" w:rsidP="006B0999" w:rsidRDefault="00D474F5" w14:paraId="474D88D4" w14:textId="6B9DD3D7">
      <w:pPr>
        <w:pStyle w:val="CoL"/>
      </w:pPr>
      <w:r w:rsidRPr="00320945">
        <w:t>If</w:t>
      </w:r>
      <w:r w:rsidRPr="00320945" w:rsidR="006306E5">
        <w:t xml:space="preserve"> the IOUs participate in the Market Offer process as bidders, it is reasonable to require them to submit their Market Offer bids to the IE before </w:t>
      </w:r>
      <w:r w:rsidRPr="00320945" w:rsidR="00081AF9">
        <w:t xml:space="preserve">third-party </w:t>
      </w:r>
      <w:r w:rsidRPr="00320945" w:rsidR="00F75D7C">
        <w:t>bids are due</w:t>
      </w:r>
      <w:r w:rsidRPr="00320945" w:rsidR="006306E5">
        <w:t xml:space="preserve">. </w:t>
      </w:r>
    </w:p>
    <w:p w:rsidRPr="00320945" w:rsidR="006306E5" w:rsidP="006B0999" w:rsidRDefault="006306E5" w14:paraId="04871399" w14:textId="76BA7D7C">
      <w:pPr>
        <w:pStyle w:val="CoL"/>
      </w:pPr>
      <w:r w:rsidRPr="00320945">
        <w:t xml:space="preserve">It is reasonable to </w:t>
      </w:r>
      <w:r w:rsidRPr="00320945" w:rsidR="00A245EB">
        <w:t xml:space="preserve">not </w:t>
      </w:r>
      <w:r w:rsidRPr="00320945">
        <w:t xml:space="preserve">allow concurrent solicitations of similar RECs under VAMO and non-VAMO </w:t>
      </w:r>
      <w:r w:rsidRPr="00320945" w:rsidR="00B62C4A">
        <w:t>processes</w:t>
      </w:r>
      <w:r w:rsidRPr="00320945">
        <w:t xml:space="preserve"> for the same </w:t>
      </w:r>
      <w:r w:rsidRPr="00320945" w:rsidR="00A245EB">
        <w:t>solicitat</w:t>
      </w:r>
      <w:r w:rsidRPr="00320945" w:rsidR="00C454C5">
        <w:t>i</w:t>
      </w:r>
      <w:r w:rsidRPr="00320945" w:rsidR="00A245EB">
        <w:t xml:space="preserve">on </w:t>
      </w:r>
      <w:r w:rsidRPr="00320945">
        <w:t>period.</w:t>
      </w:r>
    </w:p>
    <w:p w:rsidRPr="00320945" w:rsidR="006306E5" w:rsidP="006B0999" w:rsidRDefault="006306E5" w14:paraId="4D077B3F" w14:textId="4B70A9C4">
      <w:pPr>
        <w:pStyle w:val="CoL"/>
      </w:pPr>
      <w:r w:rsidRPr="00320945">
        <w:t xml:space="preserve">It is reasonable to let the IE report on code of conduct violations in the fairness </w:t>
      </w:r>
      <w:r w:rsidRPr="00320945" w:rsidR="00060BAA">
        <w:t xml:space="preserve">of bid evaluation and selection process </w:t>
      </w:r>
      <w:r w:rsidRPr="00320945">
        <w:t>section of their IE’s procurement report.</w:t>
      </w:r>
    </w:p>
    <w:p w:rsidRPr="00320945" w:rsidR="001A14B3" w:rsidP="006B0999" w:rsidRDefault="006306E5" w14:paraId="7CD82BC7" w14:textId="72E1F03E">
      <w:pPr>
        <w:pStyle w:val="CoL"/>
      </w:pPr>
      <w:r w:rsidRPr="00320945">
        <w:t xml:space="preserve">It is reasonable for LSEs to bring disputes to Energy Division or file protests </w:t>
      </w:r>
      <w:r w:rsidRPr="00320945" w:rsidR="00B62C4A">
        <w:t>against</w:t>
      </w:r>
      <w:r w:rsidRPr="00320945">
        <w:t xml:space="preserve"> the IOUs’ Market Offer advice letters seeking approval of executed Market Offer contracts.</w:t>
      </w:r>
    </w:p>
    <w:p w:rsidRPr="00320945" w:rsidR="001E7828" w:rsidP="006B0999" w:rsidRDefault="001A14B3" w14:paraId="0867056A" w14:textId="4727A775">
      <w:pPr>
        <w:pStyle w:val="CoL"/>
      </w:pPr>
      <w:r w:rsidRPr="00320945">
        <w:t xml:space="preserve">PG&amp;E and SCE should </w:t>
      </w:r>
      <w:r w:rsidRPr="00320945" w:rsidR="00232059">
        <w:t xml:space="preserve">not </w:t>
      </w:r>
      <w:r w:rsidRPr="00320945">
        <w:t xml:space="preserve">remove the “waived claims” clause limiting bidders </w:t>
      </w:r>
      <w:r w:rsidRPr="00320945" w:rsidR="00EE1CA4">
        <w:t>remedies</w:t>
      </w:r>
      <w:r w:rsidRPr="00320945">
        <w:t xml:space="preserve"> from their respective Market Offer solicitation protocols. </w:t>
      </w:r>
    </w:p>
    <w:p w:rsidRPr="00320945" w:rsidR="005C0EC9" w:rsidP="00882DA4" w:rsidRDefault="005C0EC9" w14:paraId="1CBD7F87" w14:textId="6AE48712">
      <w:pPr>
        <w:pStyle w:val="CoL"/>
      </w:pPr>
      <w:r w:rsidRPr="00320945">
        <w:t>It is reasonable for PG&amp;E and SCE’s bid solicitation protocol to maintain Commission-overseen processes as a venue to resolve disputes arising from the Market Offer process before directly challenging Market Offer bid solicitation results in state or federal court.</w:t>
      </w:r>
    </w:p>
    <w:p w:rsidRPr="00320945" w:rsidR="00187AC2" w:rsidP="006B0999" w:rsidRDefault="009D7325" w14:paraId="13A553C0" w14:textId="507ABDEA">
      <w:pPr>
        <w:pStyle w:val="CoL"/>
      </w:pPr>
      <w:r w:rsidRPr="00320945">
        <w:t>It is reasonable for IOUs to allocate Market Offer sales revenue from their Voluntary Allocations as a debit from the ERRA balancing account and a credit to PABA</w:t>
      </w:r>
      <w:r w:rsidRPr="00320945" w:rsidR="0060431D">
        <w:t xml:space="preserve">. </w:t>
      </w:r>
    </w:p>
    <w:p w:rsidRPr="00320945" w:rsidR="00091832" w:rsidP="006B0999" w:rsidRDefault="00091832" w14:paraId="40A8AA84" w14:textId="553CF15A">
      <w:pPr>
        <w:pStyle w:val="CoL"/>
      </w:pPr>
      <w:r w:rsidRPr="00320945">
        <w:t>Changes to the valuation of retained, sold, and</w:t>
      </w:r>
      <w:r w:rsidRPr="00320945" w:rsidR="002B2D4F">
        <w:t xml:space="preserve"> </w:t>
      </w:r>
      <w:r w:rsidRPr="00320945">
        <w:t xml:space="preserve">unsold </w:t>
      </w:r>
      <w:r w:rsidRPr="00320945" w:rsidR="003F45D7">
        <w:t>RECs</w:t>
      </w:r>
      <w:r w:rsidRPr="00320945">
        <w:t xml:space="preserve"> in </w:t>
      </w:r>
      <w:r w:rsidRPr="00320945" w:rsidR="003F45D7">
        <w:t>SDG&amp;E’s confidential</w:t>
      </w:r>
      <w:r w:rsidRPr="00320945" w:rsidR="00B40141">
        <w:t xml:space="preserve"> </w:t>
      </w:r>
      <w:r w:rsidRPr="00320945" w:rsidR="00E14087">
        <w:t>Market Offer proposal</w:t>
      </w:r>
      <w:r w:rsidRPr="00320945">
        <w:t xml:space="preserve"> </w:t>
      </w:r>
      <w:r w:rsidRPr="00320945" w:rsidR="00503A76">
        <w:t>sho</w:t>
      </w:r>
      <w:r w:rsidRPr="00320945" w:rsidR="001251BB">
        <w:t>uld be denied</w:t>
      </w:r>
      <w:r w:rsidRPr="00320945" w:rsidR="0029307F">
        <w:t xml:space="preserve">. </w:t>
      </w:r>
    </w:p>
    <w:p w:rsidRPr="00320945" w:rsidR="005F1F2A" w:rsidP="006B0999" w:rsidRDefault="00BB6561" w14:paraId="2AF9C295" w14:textId="3650536C">
      <w:pPr>
        <w:pStyle w:val="CoL"/>
      </w:pPr>
      <w:r w:rsidRPr="00320945">
        <w:t xml:space="preserve">The </w:t>
      </w:r>
      <w:r w:rsidRPr="00320945" w:rsidR="00056ADD">
        <w:t xml:space="preserve">valuation of </w:t>
      </w:r>
      <w:r w:rsidRPr="00320945">
        <w:t xml:space="preserve">Market Offer transactions </w:t>
      </w:r>
      <w:r w:rsidRPr="00320945" w:rsidR="00056ADD">
        <w:t xml:space="preserve">for PCIA purposes </w:t>
      </w:r>
      <w:r w:rsidRPr="00320945">
        <w:t>sh</w:t>
      </w:r>
      <w:r w:rsidRPr="00320945" w:rsidR="00F92C54">
        <w:t>ould</w:t>
      </w:r>
      <w:r w:rsidRPr="00320945">
        <w:t xml:space="preserve"> follow the methodologies adopted in D.19-01-001.</w:t>
      </w:r>
    </w:p>
    <w:p w:rsidRPr="00320945" w:rsidR="00074BA2" w:rsidP="0095643B" w:rsidRDefault="006306E5" w14:paraId="455A7478" w14:textId="79BE54E4">
      <w:pPr>
        <w:pStyle w:val="CoL"/>
      </w:pPr>
      <w:r w:rsidRPr="00320945">
        <w:t xml:space="preserve">It is reasonable to allow the IOUs to submit a revised and up-to-date timeline </w:t>
      </w:r>
      <w:r w:rsidRPr="00320945" w:rsidR="000E6FFD">
        <w:t>for</w:t>
      </w:r>
      <w:r w:rsidRPr="00320945">
        <w:t xml:space="preserve"> the Market Offer process.</w:t>
      </w:r>
    </w:p>
    <w:p w:rsidRPr="00320945" w:rsidR="006306E5" w:rsidP="001F3B29" w:rsidRDefault="006306E5" w14:paraId="07C83404" w14:textId="0EFD96AF">
      <w:pPr>
        <w:pStyle w:val="CoL"/>
      </w:pPr>
      <w:r w:rsidRPr="00320945">
        <w:t xml:space="preserve">Allowing </w:t>
      </w:r>
      <w:r w:rsidRPr="00320945" w:rsidR="008B053A">
        <w:t xml:space="preserve">each </w:t>
      </w:r>
      <w:r w:rsidRPr="00320945">
        <w:t>IOU</w:t>
      </w:r>
      <w:r w:rsidRPr="00320945" w:rsidR="008B053A">
        <w:t xml:space="preserve"> </w:t>
      </w:r>
      <w:r w:rsidRPr="00320945">
        <w:t xml:space="preserve">to file a Tier 1 Advice Letter </w:t>
      </w:r>
      <w:r w:rsidRPr="00320945" w:rsidR="00790502">
        <w:t xml:space="preserve">for short-term </w:t>
      </w:r>
      <w:r w:rsidRPr="00320945" w:rsidR="00AF1011">
        <w:t xml:space="preserve">pro forma </w:t>
      </w:r>
      <w:r w:rsidRPr="00320945" w:rsidR="00790502">
        <w:t xml:space="preserve">contracts </w:t>
      </w:r>
      <w:r w:rsidRPr="00320945">
        <w:t xml:space="preserve">within 15 days from the date of issuance of this decision incorporating </w:t>
      </w:r>
      <w:r w:rsidRPr="00320945" w:rsidR="008B053A">
        <w:t>modifications</w:t>
      </w:r>
      <w:r w:rsidRPr="00320945">
        <w:t xml:space="preserve"> adopted </w:t>
      </w:r>
      <w:r w:rsidRPr="00320945" w:rsidR="00D9091C">
        <w:t xml:space="preserve">in this decision </w:t>
      </w:r>
      <w:r w:rsidRPr="00320945" w:rsidR="008B053A">
        <w:t xml:space="preserve">is </w:t>
      </w:r>
      <w:r w:rsidRPr="00320945">
        <w:t xml:space="preserve">reasonable. </w:t>
      </w:r>
    </w:p>
    <w:p w:rsidRPr="00320945" w:rsidR="00790502" w:rsidP="00790502" w:rsidRDefault="00790502" w14:paraId="21AFD6B0" w14:textId="75003D58">
      <w:pPr>
        <w:pStyle w:val="CoL"/>
      </w:pPr>
      <w:r w:rsidRPr="00320945">
        <w:t xml:space="preserve">Allowing each IOU to file a Tier 2 Advice Letter for long-term </w:t>
      </w:r>
      <w:r w:rsidRPr="00320945" w:rsidR="00AF1011">
        <w:t xml:space="preserve">pro forma </w:t>
      </w:r>
      <w:r w:rsidRPr="00320945">
        <w:t xml:space="preserve">contracts within 30 days from the date of issuance of this decision incorporating modifications adopted in this decision is reasonable. </w:t>
      </w:r>
    </w:p>
    <w:p w:rsidRPr="00320945" w:rsidR="00790502" w:rsidP="001F3B29" w:rsidRDefault="00790502" w14:paraId="09AB81B4" w14:textId="7B1FFDEE">
      <w:pPr>
        <w:pStyle w:val="CoL"/>
      </w:pPr>
      <w:r w:rsidRPr="00320945">
        <w:t>LSEs should be allowed to choose different Market Offer sales percentages for each year (2023 and 2024), to recognize that the 2023 resources will likely not be available for the full year.</w:t>
      </w:r>
    </w:p>
    <w:p w:rsidRPr="00320945" w:rsidR="00BB0243" w:rsidP="006B0999" w:rsidRDefault="005939A5" w14:paraId="6B419B59" w14:textId="77777777">
      <w:pPr>
        <w:pStyle w:val="Mainex"/>
      </w:pPr>
      <w:bookmarkStart w:name="_Toc119660160" w:id="32"/>
      <w:r w:rsidRPr="00320945">
        <w:t>O</w:t>
      </w:r>
      <w:r w:rsidRPr="00320945" w:rsidR="00722850">
        <w:t>RDER</w:t>
      </w:r>
      <w:bookmarkEnd w:id="32"/>
    </w:p>
    <w:p w:rsidRPr="00320945" w:rsidR="00BB0243" w:rsidP="000A6E05" w:rsidRDefault="00BB0243" w14:paraId="4EF184CA" w14:textId="77777777">
      <w:pPr>
        <w:keepNext/>
      </w:pPr>
      <w:r w:rsidRPr="00320945">
        <w:rPr>
          <w:b/>
        </w:rPr>
        <w:t>IT IS ORDERED</w:t>
      </w:r>
      <w:r w:rsidRPr="00320945">
        <w:t xml:space="preserve"> that:</w:t>
      </w:r>
    </w:p>
    <w:p w:rsidRPr="00320945" w:rsidR="00B67A5F" w:rsidP="006B0999" w:rsidRDefault="004156CB" w14:paraId="3B883034" w14:textId="1E03FFA3">
      <w:pPr>
        <w:pStyle w:val="OP"/>
      </w:pPr>
      <w:r w:rsidRPr="00320945">
        <w:t xml:space="preserve">The </w:t>
      </w:r>
      <w:r w:rsidRPr="00320945" w:rsidR="00AA6681">
        <w:t>Voluntary Allocation</w:t>
      </w:r>
      <w:r w:rsidRPr="00320945" w:rsidR="00EA600F">
        <w:t xml:space="preserve"> offers</w:t>
      </w:r>
      <w:r w:rsidRPr="00320945" w:rsidR="00AA6681">
        <w:t xml:space="preserve"> </w:t>
      </w:r>
      <w:r w:rsidRPr="00320945" w:rsidR="00D06E9D">
        <w:t>accepted by</w:t>
      </w:r>
      <w:r w:rsidRPr="00320945" w:rsidR="004B0A06">
        <w:t xml:space="preserve"> </w:t>
      </w:r>
      <w:r w:rsidRPr="00320945" w:rsidR="00E81F9B">
        <w:t>Apple Valley Choice, City</w:t>
      </w:r>
      <w:r w:rsidR="00FC6955">
        <w:t> </w:t>
      </w:r>
      <w:r w:rsidRPr="00320945" w:rsidR="00E81F9B">
        <w:t>of</w:t>
      </w:r>
      <w:r w:rsidR="00FC6955">
        <w:t> </w:t>
      </w:r>
      <w:r w:rsidRPr="00320945" w:rsidR="00E81F9B">
        <w:t>Palmdale, City of Pomona, City of Santa Barbara, Clean Energy Alliance, Clean Power Alliance, CleanPowerSF, Commercial Energy of California, Desert Community Energy, Direct Energy Business, East Bay Community Energy, Lancaster Choice, Marin Clean Energy, Orange County Power Authority, Pacific Gas and Electric Company, Pico Rivera Innovative Municipal Energy, Pioneer Community Energy, Rancho Mirage Energy Authority, Redwood Coast Energy Authority, San Diego Community Power, San Diego Gas &amp; Electric Company, San Jacinto Power, San Jose Community Energy, Shell Energy North America, Silicon Valley Clean Energy, Southern California Edison Company</w:t>
      </w:r>
      <w:r w:rsidRPr="00320945" w:rsidR="00C32A10">
        <w:t xml:space="preserve"> and 3</w:t>
      </w:r>
      <w:r w:rsidR="00FC6955">
        <w:t> </w:t>
      </w:r>
      <w:r w:rsidRPr="00320945" w:rsidR="00C32A10">
        <w:t>Phases Renewables, Incorporated</w:t>
      </w:r>
      <w:r w:rsidRPr="00320945" w:rsidR="00E81F9B">
        <w:t xml:space="preserve"> </w:t>
      </w:r>
      <w:r w:rsidRPr="00320945" w:rsidR="00D06E9D">
        <w:t>are approved.</w:t>
      </w:r>
    </w:p>
    <w:p w:rsidRPr="00320945" w:rsidR="00131CAA" w:rsidP="006B0999" w:rsidRDefault="00131CAA" w14:paraId="4366A20A" w14:textId="38945A2B">
      <w:pPr>
        <w:pStyle w:val="OP"/>
      </w:pPr>
      <w:r w:rsidRPr="00320945">
        <w:t xml:space="preserve">Pacific Gas and Electric Company, Southern California Edison Company, and San Diego Gas &amp; Electric Company are approved to offer 100 percent of their remaining </w:t>
      </w:r>
      <w:r w:rsidRPr="00320945" w:rsidR="004F54C1">
        <w:t xml:space="preserve">Power Charge Indifference Adjustment </w:t>
      </w:r>
      <w:r w:rsidRPr="00320945" w:rsidR="00276B78">
        <w:t xml:space="preserve">eligible </w:t>
      </w:r>
      <w:r w:rsidRPr="00320945">
        <w:t xml:space="preserve">short-term contracts in the Market Offer. </w:t>
      </w:r>
    </w:p>
    <w:p w:rsidRPr="00320945" w:rsidR="001566C5" w:rsidP="006B0999" w:rsidRDefault="00044942" w14:paraId="0BCF72E5" w14:textId="2A0455D2">
      <w:pPr>
        <w:pStyle w:val="OP"/>
      </w:pPr>
      <w:r w:rsidRPr="00320945">
        <w:t xml:space="preserve">Pacific Gas and Electric Company, Southern California Edison Company, and San Diego Gas &amp; Electric Company shall </w:t>
      </w:r>
      <w:r w:rsidRPr="00320945" w:rsidR="008D6856">
        <w:t xml:space="preserve">offer 35 percent of the remaining </w:t>
      </w:r>
      <w:r w:rsidRPr="00320945" w:rsidR="004F54C1">
        <w:t xml:space="preserve">Power Charge Indifference Adjustment </w:t>
      </w:r>
      <w:r w:rsidRPr="00320945" w:rsidR="00276B78">
        <w:t xml:space="preserve">eligible </w:t>
      </w:r>
      <w:r w:rsidRPr="00320945" w:rsidR="008D6856">
        <w:t>long-term contracts in the Market Offer</w:t>
      </w:r>
      <w:r w:rsidRPr="00320945" w:rsidR="003F7DAD">
        <w:t xml:space="preserve"> as long-term </w:t>
      </w:r>
      <w:r w:rsidRPr="00320945" w:rsidR="0036718B">
        <w:t>produc</w:t>
      </w:r>
      <w:r w:rsidRPr="00320945" w:rsidR="00F92C54">
        <w:t>t</w:t>
      </w:r>
      <w:r w:rsidRPr="00320945" w:rsidR="008D6856">
        <w:t xml:space="preserve">. </w:t>
      </w:r>
    </w:p>
    <w:p w:rsidRPr="00320945" w:rsidR="003203EB" w:rsidP="006B0999" w:rsidRDefault="003203EB" w14:paraId="41B324F6" w14:textId="5DD99FEC">
      <w:pPr>
        <w:pStyle w:val="OP"/>
      </w:pPr>
      <w:r w:rsidRPr="00320945">
        <w:t xml:space="preserve">Pacific Gas and Electric Company, Southern California Edison Company, and San Diego Gas &amp; Electric Company </w:t>
      </w:r>
      <w:r w:rsidRPr="00320945" w:rsidR="003564BA">
        <w:t xml:space="preserve">may </w:t>
      </w:r>
      <w:r w:rsidRPr="00320945">
        <w:t xml:space="preserve">offer 65 percent of the remaining Power Charge Indifference Adjustment eligible long-term contracts in the Market Offer as long-term or short-term </w:t>
      </w:r>
      <w:r w:rsidRPr="00320945" w:rsidR="002D797B">
        <w:t>product</w:t>
      </w:r>
      <w:r w:rsidRPr="00320945" w:rsidR="00F92C54">
        <w:t>, subject to a methodology to optimize the value of bids for ratepayers</w:t>
      </w:r>
      <w:r w:rsidRPr="00320945">
        <w:t>.</w:t>
      </w:r>
    </w:p>
    <w:p w:rsidRPr="00320945" w:rsidR="003203EB" w:rsidP="003203EB" w:rsidRDefault="003203EB" w14:paraId="176AEAF4" w14:textId="3A52A5DE">
      <w:pPr>
        <w:pStyle w:val="OP"/>
      </w:pPr>
      <w:r w:rsidRPr="00320945">
        <w:t xml:space="preserve">The term for sales of the long-term Renewables Portfolio Standard (RPS) contract should last through the end of the term of the longest contract in the investor-owned </w:t>
      </w:r>
      <w:r w:rsidRPr="00320945" w:rsidR="00C32A10">
        <w:t>utility’s</w:t>
      </w:r>
      <w:r w:rsidRPr="00320945">
        <w:t xml:space="preserve"> Power Charge Indifference Adjustment -eligible RPS portfolio.</w:t>
      </w:r>
    </w:p>
    <w:p w:rsidRPr="00320945" w:rsidR="00F4742B" w:rsidP="006B0999" w:rsidRDefault="00F4742B" w14:paraId="4E825CFF" w14:textId="678D55A4">
      <w:pPr>
        <w:pStyle w:val="OP"/>
      </w:pPr>
      <w:r w:rsidRPr="00320945">
        <w:t xml:space="preserve">Pacific Gas and Electric Company, Southern California Edison Company, and San Diego Gas &amp; Electric Company are approved to </w:t>
      </w:r>
      <w:r w:rsidRPr="00320945" w:rsidR="00EE4649">
        <w:t xml:space="preserve">seek </w:t>
      </w:r>
      <w:r w:rsidR="00797E9D">
        <w:t xml:space="preserve">California Public Utilities </w:t>
      </w:r>
      <w:r w:rsidRPr="00320945" w:rsidR="00EE4649">
        <w:t xml:space="preserve">Commission </w:t>
      </w:r>
      <w:r w:rsidR="00797E9D">
        <w:t xml:space="preserve">(CPUC) </w:t>
      </w:r>
      <w:r w:rsidRPr="00320945">
        <w:t>approval of executed short-term Market Offer contracts via Tier 1 Advice Letters and shall request CP</w:t>
      </w:r>
      <w:r w:rsidR="00FC6955">
        <w:t>U</w:t>
      </w:r>
      <w:r w:rsidR="00797E9D">
        <w:t xml:space="preserve">C’s </w:t>
      </w:r>
      <w:r w:rsidRPr="00320945">
        <w:t>approval of executed long-term Market Offer contracts via Tier 3 Advice Letters.</w:t>
      </w:r>
    </w:p>
    <w:p w:rsidRPr="00320945" w:rsidR="00A977E7" w:rsidP="006B0999" w:rsidRDefault="001566C5" w14:paraId="343F5728" w14:textId="6CBCB35A">
      <w:pPr>
        <w:pStyle w:val="OP"/>
      </w:pPr>
      <w:r w:rsidRPr="00320945">
        <w:t>Pacific Gas and Electric Company, Southern California Edison Company, and San Diego Gas &amp; Electric Company shall</w:t>
      </w:r>
      <w:r w:rsidRPr="00320945" w:rsidR="00A25DC8">
        <w:t xml:space="preserve"> allow </w:t>
      </w:r>
      <w:r w:rsidRPr="00320945" w:rsidR="00A977E7">
        <w:t>Market Offer</w:t>
      </w:r>
      <w:r w:rsidRPr="00320945" w:rsidR="002D211E">
        <w:t xml:space="preserve"> bids as</w:t>
      </w:r>
      <w:r w:rsidRPr="00320945" w:rsidR="00A977E7">
        <w:t xml:space="preserve"> a </w:t>
      </w:r>
      <w:r w:rsidRPr="00320945" w:rsidR="008D6856">
        <w:t xml:space="preserve">quantity of </w:t>
      </w:r>
      <w:r w:rsidRPr="00320945" w:rsidR="006B203F">
        <w:t xml:space="preserve">Renewables Portfolio Standard </w:t>
      </w:r>
      <w:r w:rsidRPr="00320945" w:rsidR="00BB2E08">
        <w:t xml:space="preserve">eligible </w:t>
      </w:r>
      <w:r w:rsidRPr="00320945" w:rsidR="00660C32">
        <w:t>resources</w:t>
      </w:r>
      <w:r w:rsidRPr="00320945" w:rsidR="008D6856">
        <w:t xml:space="preserve"> in percentage increments, which must be represented in whole numbers. </w:t>
      </w:r>
    </w:p>
    <w:p w:rsidRPr="00320945" w:rsidR="00A977E7" w:rsidP="006B0999" w:rsidRDefault="006302BB" w14:paraId="6EDCDB8C" w14:textId="341B53D0">
      <w:pPr>
        <w:pStyle w:val="OP"/>
      </w:pPr>
      <w:r w:rsidRPr="00320945">
        <w:t xml:space="preserve">If </w:t>
      </w:r>
      <w:r w:rsidRPr="00320945" w:rsidR="008D6856">
        <w:t>Southern California Edison Company</w:t>
      </w:r>
      <w:r w:rsidRPr="00320945">
        <w:t xml:space="preserve"> decides to use bid floor</w:t>
      </w:r>
      <w:r w:rsidRPr="00320945" w:rsidR="00713628">
        <w:t>s</w:t>
      </w:r>
      <w:r w:rsidRPr="00320945" w:rsidR="00280C81">
        <w:t>,</w:t>
      </w:r>
      <w:r w:rsidRPr="00320945">
        <w:t xml:space="preserve"> it shall </w:t>
      </w:r>
      <w:r w:rsidRPr="00320945" w:rsidR="0089621F">
        <w:t xml:space="preserve">base it </w:t>
      </w:r>
      <w:r w:rsidRPr="00320945" w:rsidR="008D6856">
        <w:t>on the approved method in D</w:t>
      </w:r>
      <w:r w:rsidRPr="00320945" w:rsidR="00A977E7">
        <w:t>ecision</w:t>
      </w:r>
      <w:r w:rsidR="00797E9D">
        <w:t> </w:t>
      </w:r>
      <w:r w:rsidRPr="00320945" w:rsidR="008D6856">
        <w:t>21-01-005.</w:t>
      </w:r>
    </w:p>
    <w:p w:rsidRPr="00320945" w:rsidR="008D6856" w:rsidP="006B0999" w:rsidRDefault="00231466" w14:paraId="6EB7C0E8" w14:textId="57BD4BB4">
      <w:pPr>
        <w:pStyle w:val="OP"/>
      </w:pPr>
      <w:r w:rsidRPr="00320945">
        <w:t xml:space="preserve">If </w:t>
      </w:r>
      <w:r w:rsidRPr="00320945" w:rsidR="00A977E7">
        <w:t>Pacific Gas and Electric Company, Southern California Edison Company, and San Diego Gas &amp; Electric Company</w:t>
      </w:r>
      <w:r w:rsidRPr="00320945">
        <w:t xml:space="preserve"> participate in their own Market Offer Process, they</w:t>
      </w:r>
      <w:r w:rsidRPr="00320945" w:rsidR="008D6856">
        <w:t xml:space="preserve"> </w:t>
      </w:r>
      <w:r w:rsidRPr="00320945" w:rsidR="00CD184A">
        <w:t xml:space="preserve">shall </w:t>
      </w:r>
      <w:r w:rsidRPr="00320945">
        <w:t xml:space="preserve">each </w:t>
      </w:r>
      <w:r w:rsidRPr="00320945" w:rsidR="00CD184A">
        <w:t xml:space="preserve">modify their respective </w:t>
      </w:r>
      <w:r w:rsidRPr="00320945" w:rsidR="008D6856">
        <w:t>code of conduct to include the following changes:</w:t>
      </w:r>
    </w:p>
    <w:p w:rsidRPr="00320945" w:rsidR="008D6856" w:rsidP="00797E9D" w:rsidRDefault="00CC5937" w14:paraId="1A7074C0" w14:textId="024943BA">
      <w:pPr>
        <w:pStyle w:val="Standard"/>
        <w:numPr>
          <w:ilvl w:val="1"/>
          <w:numId w:val="5"/>
        </w:numPr>
        <w:spacing w:after="120" w:line="240" w:lineRule="auto"/>
        <w:ind w:left="1260" w:right="1440" w:hanging="180"/>
      </w:pPr>
      <w:r w:rsidRPr="00320945">
        <w:rPr>
          <w:rFonts w:cs="Times New Roman"/>
        </w:rPr>
        <w:t>Employees of an i</w:t>
      </w:r>
      <w:r w:rsidRPr="00320945" w:rsidR="00CD184A">
        <w:rPr>
          <w:rFonts w:cs="Times New Roman"/>
        </w:rPr>
        <w:t>nvestor-owned utility</w:t>
      </w:r>
      <w:r w:rsidRPr="00320945">
        <w:rPr>
          <w:rFonts w:cs="Times New Roman"/>
        </w:rPr>
        <w:t xml:space="preserve"> (IOU)</w:t>
      </w:r>
      <w:r w:rsidRPr="00320945" w:rsidR="008D6856">
        <w:rPr>
          <w:rFonts w:cs="Times New Roman"/>
        </w:rPr>
        <w:t xml:space="preserve"> are allowed to move</w:t>
      </w:r>
      <w:r w:rsidRPr="00320945" w:rsidR="003203EB">
        <w:rPr>
          <w:rFonts w:cs="Times New Roman"/>
        </w:rPr>
        <w:t xml:space="preserve"> and perform tasks assigned to </w:t>
      </w:r>
      <w:r w:rsidRPr="00320945" w:rsidR="00A34BEB">
        <w:rPr>
          <w:rFonts w:cs="Times New Roman"/>
        </w:rPr>
        <w:t>another team</w:t>
      </w:r>
      <w:r w:rsidRPr="00320945" w:rsidR="008D6856">
        <w:rPr>
          <w:rFonts w:cs="Times New Roman"/>
        </w:rPr>
        <w:t xml:space="preserve"> so long they are not </w:t>
      </w:r>
      <w:r w:rsidRPr="00320945" w:rsidR="00C46989">
        <w:rPr>
          <w:rFonts w:cs="Times New Roman"/>
        </w:rPr>
        <w:t>transferring</w:t>
      </w:r>
      <w:r w:rsidRPr="00320945" w:rsidR="008D6856">
        <w:rPr>
          <w:rFonts w:cs="Times New Roman"/>
        </w:rPr>
        <w:t xml:space="preserve"> between the</w:t>
      </w:r>
      <w:r w:rsidRPr="00320945" w:rsidR="003203EB">
        <w:rPr>
          <w:rFonts w:cs="Times New Roman"/>
        </w:rPr>
        <w:t xml:space="preserve"> evaluation team and</w:t>
      </w:r>
      <w:r w:rsidRPr="00320945" w:rsidR="008D6856">
        <w:rPr>
          <w:rFonts w:cs="Times New Roman"/>
        </w:rPr>
        <w:t xml:space="preserve"> bid </w:t>
      </w:r>
      <w:r w:rsidRPr="00320945" w:rsidR="007A684C">
        <w:rPr>
          <w:rFonts w:cs="Times New Roman"/>
        </w:rPr>
        <w:t xml:space="preserve">and vice versa </w:t>
      </w:r>
      <w:r w:rsidRPr="00320945" w:rsidR="008D6856">
        <w:rPr>
          <w:rFonts w:cs="Times New Roman"/>
        </w:rPr>
        <w:t>team</w:t>
      </w:r>
      <w:r w:rsidRPr="00320945" w:rsidR="003203EB">
        <w:rPr>
          <w:rFonts w:cs="Times New Roman"/>
        </w:rPr>
        <w:t xml:space="preserve"> until </w:t>
      </w:r>
      <w:r w:rsidRPr="00320945" w:rsidR="0070210D">
        <w:rPr>
          <w:rFonts w:cs="Times New Roman"/>
        </w:rPr>
        <w:t xml:space="preserve">after the submission of the </w:t>
      </w:r>
      <w:r w:rsidRPr="00320945" w:rsidR="00FE54DF">
        <w:t xml:space="preserve">IOU’s </w:t>
      </w:r>
      <w:r w:rsidRPr="00320945" w:rsidR="007236EE">
        <w:t>last Market Offer contract</w:t>
      </w:r>
      <w:r w:rsidRPr="00320945" w:rsidR="0070210D">
        <w:t xml:space="preserve"> for Commission approval</w:t>
      </w:r>
      <w:r w:rsidRPr="00320945" w:rsidR="006F461D">
        <w:t xml:space="preserve"> for </w:t>
      </w:r>
      <w:r w:rsidRPr="00320945" w:rsidR="00320945">
        <w:t>short-term and long-term</w:t>
      </w:r>
      <w:r w:rsidRPr="00320945" w:rsidR="006F461D">
        <w:t xml:space="preserve"> solicitations</w:t>
      </w:r>
      <w:r w:rsidRPr="00320945" w:rsidR="008D6856">
        <w:rPr>
          <w:rFonts w:cs="Times New Roman"/>
        </w:rPr>
        <w:t>.</w:t>
      </w:r>
    </w:p>
    <w:p w:rsidRPr="00320945" w:rsidR="008D6856" w:rsidP="00797E9D" w:rsidRDefault="008D6856" w14:paraId="673BB5F3" w14:textId="2A229854">
      <w:pPr>
        <w:pStyle w:val="Standard"/>
        <w:numPr>
          <w:ilvl w:val="1"/>
          <w:numId w:val="5"/>
        </w:numPr>
        <w:spacing w:after="120" w:line="240" w:lineRule="auto"/>
        <w:ind w:left="1260" w:right="1440" w:hanging="180"/>
      </w:pPr>
      <w:r w:rsidRPr="00320945">
        <w:rPr>
          <w:rFonts w:cs="Times New Roman"/>
        </w:rPr>
        <w:t xml:space="preserve">The code of conduct rules shall remain effective </w:t>
      </w:r>
      <w:r w:rsidRPr="00320945" w:rsidR="0070210D">
        <w:rPr>
          <w:rFonts w:cs="Times New Roman"/>
        </w:rPr>
        <w:t xml:space="preserve">until the submission of </w:t>
      </w:r>
      <w:r w:rsidRPr="00320945" w:rsidR="00E56B9D">
        <w:t xml:space="preserve">IOU’s </w:t>
      </w:r>
      <w:r w:rsidRPr="00320945">
        <w:t>last Market Offer contract</w:t>
      </w:r>
      <w:r w:rsidRPr="00320945" w:rsidR="0070210D">
        <w:t xml:space="preserve"> for Commission approval</w:t>
      </w:r>
      <w:r w:rsidRPr="00320945" w:rsidR="006F461D">
        <w:t xml:space="preserve"> for </w:t>
      </w:r>
      <w:r w:rsidRPr="00320945" w:rsidR="00320945">
        <w:t xml:space="preserve">short-term and long-term </w:t>
      </w:r>
      <w:r w:rsidRPr="00320945" w:rsidR="006F461D">
        <w:t>solicitations</w:t>
      </w:r>
      <w:r w:rsidRPr="00320945">
        <w:rPr>
          <w:rFonts w:cs="Times New Roman"/>
          <w:szCs w:val="26"/>
        </w:rPr>
        <w:t>.</w:t>
      </w:r>
    </w:p>
    <w:p w:rsidRPr="00755B3A" w:rsidR="008D6856" w:rsidP="00797E9D" w:rsidRDefault="008D6856" w14:paraId="78C02110" w14:textId="7E0CBB6A">
      <w:pPr>
        <w:pStyle w:val="Standard"/>
        <w:numPr>
          <w:ilvl w:val="1"/>
          <w:numId w:val="5"/>
        </w:numPr>
        <w:spacing w:after="120" w:line="240" w:lineRule="auto"/>
        <w:ind w:left="1260" w:right="1440" w:hanging="180"/>
        <w:rPr>
          <w:rFonts w:cs="Times New Roman"/>
        </w:rPr>
      </w:pPr>
      <w:r w:rsidRPr="00320945">
        <w:rPr>
          <w:rFonts w:cs="Times New Roman"/>
          <w:szCs w:val="26"/>
        </w:rPr>
        <w:t>IOU employees involved in the Market Offer process</w:t>
      </w:r>
      <w:r w:rsidRPr="00CE50E7">
        <w:rPr>
          <w:rFonts w:cs="Times New Roman"/>
          <w:szCs w:val="26"/>
        </w:rPr>
        <w:t xml:space="preserve"> </w:t>
      </w:r>
      <w:r>
        <w:rPr>
          <w:rFonts w:cs="Times New Roman"/>
          <w:szCs w:val="26"/>
        </w:rPr>
        <w:t>shall</w:t>
      </w:r>
      <w:r w:rsidRPr="00CE50E7">
        <w:rPr>
          <w:rFonts w:cs="Times New Roman"/>
          <w:szCs w:val="26"/>
        </w:rPr>
        <w:t xml:space="preserve"> </w:t>
      </w:r>
      <w:r>
        <w:rPr>
          <w:rFonts w:cs="Times New Roman"/>
          <w:szCs w:val="26"/>
        </w:rPr>
        <w:t>c</w:t>
      </w:r>
      <w:r w:rsidRPr="00CE50E7">
        <w:rPr>
          <w:rFonts w:cs="Times New Roman"/>
          <w:szCs w:val="26"/>
        </w:rPr>
        <w:t>ertif</w:t>
      </w:r>
      <w:r w:rsidR="00CC5937">
        <w:rPr>
          <w:rFonts w:cs="Times New Roman"/>
          <w:szCs w:val="26"/>
        </w:rPr>
        <w:t>y to comply</w:t>
      </w:r>
      <w:r>
        <w:rPr>
          <w:rFonts w:cs="Times New Roman"/>
          <w:szCs w:val="26"/>
        </w:rPr>
        <w:t xml:space="preserve"> with the Market Offer solicitation code of conduct</w:t>
      </w:r>
      <w:r w:rsidRPr="3A157B26">
        <w:rPr>
          <w:rFonts w:cs="Times New Roman"/>
        </w:rPr>
        <w:t>.</w:t>
      </w:r>
    </w:p>
    <w:p w:rsidRPr="00E3151A" w:rsidR="008D6856" w:rsidP="00797E9D" w:rsidRDefault="00CE0E7D" w14:paraId="7DC15154" w14:textId="0C3A87B0">
      <w:pPr>
        <w:pStyle w:val="Standard"/>
        <w:numPr>
          <w:ilvl w:val="1"/>
          <w:numId w:val="5"/>
        </w:numPr>
        <w:spacing w:after="120" w:line="240" w:lineRule="auto"/>
        <w:ind w:left="1260" w:right="1440" w:hanging="180"/>
      </w:pPr>
      <w:r>
        <w:rPr>
          <w:rFonts w:cs="Times New Roman"/>
        </w:rPr>
        <w:t>The IOU</w:t>
      </w:r>
      <w:r w:rsidR="00F22749">
        <w:rPr>
          <w:rFonts w:cs="Times New Roman"/>
        </w:rPr>
        <w:t xml:space="preserve"> </w:t>
      </w:r>
      <w:r w:rsidR="002C2E34">
        <w:rPr>
          <w:rFonts w:cs="Times New Roman"/>
        </w:rPr>
        <w:t>is responsible for notifying</w:t>
      </w:r>
      <w:r w:rsidRPr="3A157B26" w:rsidR="008D6856">
        <w:rPr>
          <w:rFonts w:cs="Times New Roman"/>
        </w:rPr>
        <w:t xml:space="preserve"> the </w:t>
      </w:r>
      <w:r w:rsidR="0038420D">
        <w:rPr>
          <w:rFonts w:cs="Times New Roman"/>
        </w:rPr>
        <w:t>Independent Evaluator</w:t>
      </w:r>
      <w:r w:rsidR="003535E4">
        <w:rPr>
          <w:rFonts w:cs="Times New Roman"/>
        </w:rPr>
        <w:t xml:space="preserve"> (IE) and Procurement Review Group (PRG)</w:t>
      </w:r>
      <w:r w:rsidR="0038420D">
        <w:rPr>
          <w:rFonts w:cs="Times New Roman"/>
        </w:rPr>
        <w:t xml:space="preserve"> </w:t>
      </w:r>
      <w:r w:rsidRPr="3A157B26" w:rsidR="008D6856">
        <w:rPr>
          <w:rFonts w:cs="Times New Roman"/>
        </w:rPr>
        <w:t xml:space="preserve">of its </w:t>
      </w:r>
      <w:r w:rsidR="0070210D">
        <w:rPr>
          <w:rFonts w:cs="Times New Roman"/>
        </w:rPr>
        <w:t>bid</w:t>
      </w:r>
      <w:r w:rsidRPr="3A157B26" w:rsidR="0070210D">
        <w:rPr>
          <w:rFonts w:cs="Times New Roman"/>
        </w:rPr>
        <w:t xml:space="preserve"> </w:t>
      </w:r>
      <w:r w:rsidRPr="3A157B26" w:rsidR="008D6856">
        <w:rPr>
          <w:rFonts w:cs="Times New Roman"/>
        </w:rPr>
        <w:t xml:space="preserve">before submitting </w:t>
      </w:r>
      <w:r w:rsidR="000C262A">
        <w:rPr>
          <w:rFonts w:cs="Times New Roman"/>
        </w:rPr>
        <w:t>it</w:t>
      </w:r>
      <w:r w:rsidRPr="3A157B26" w:rsidR="008D6856">
        <w:rPr>
          <w:rFonts w:cs="Times New Roman"/>
        </w:rPr>
        <w:t xml:space="preserve"> in the Market Offer solicitation </w:t>
      </w:r>
      <w:r w:rsidR="008D6856">
        <w:rPr>
          <w:rFonts w:cs="Times New Roman"/>
        </w:rPr>
        <w:t>i</w:t>
      </w:r>
      <w:r w:rsidRPr="3A157B26" w:rsidR="008D6856">
        <w:rPr>
          <w:rFonts w:cs="Times New Roman"/>
        </w:rPr>
        <w:t>f it intends to participate in its Market Offer solicitation.</w:t>
      </w:r>
    </w:p>
    <w:p w:rsidRPr="00C76373" w:rsidR="0016033B" w:rsidP="00797E9D" w:rsidRDefault="005A77E7" w14:paraId="75D1325E" w14:textId="0A75A6E5">
      <w:pPr>
        <w:pStyle w:val="Standard"/>
        <w:numPr>
          <w:ilvl w:val="1"/>
          <w:numId w:val="5"/>
        </w:numPr>
        <w:spacing w:after="120" w:line="240" w:lineRule="auto"/>
        <w:ind w:left="1260" w:right="1440" w:hanging="180"/>
        <w:rPr>
          <w:rFonts w:cs="Times New Roman"/>
        </w:rPr>
      </w:pPr>
      <w:r>
        <w:rPr>
          <w:rFonts w:cs="Times New Roman"/>
        </w:rPr>
        <w:t>T</w:t>
      </w:r>
      <w:r w:rsidRPr="00C46989" w:rsidR="00C76373">
        <w:rPr>
          <w:rFonts w:cs="Times New Roman"/>
        </w:rPr>
        <w:t xml:space="preserve">he </w:t>
      </w:r>
      <w:r w:rsidR="004C5B4D">
        <w:rPr>
          <w:rFonts w:cs="Times New Roman"/>
        </w:rPr>
        <w:t>IE</w:t>
      </w:r>
      <w:r w:rsidR="002012C4">
        <w:rPr>
          <w:rFonts w:cs="Times New Roman"/>
        </w:rPr>
        <w:t xml:space="preserve"> </w:t>
      </w:r>
      <w:r>
        <w:rPr>
          <w:rFonts w:cs="Times New Roman"/>
        </w:rPr>
        <w:t>shall</w:t>
      </w:r>
      <w:r w:rsidRPr="00C46989" w:rsidR="00C76373">
        <w:rPr>
          <w:rFonts w:cs="Times New Roman"/>
        </w:rPr>
        <w:t xml:space="preserve"> provide the Commission information regarding any code of conduct violation</w:t>
      </w:r>
      <w:r w:rsidRPr="00C46989" w:rsidR="008E47E1">
        <w:rPr>
          <w:rFonts w:cs="Times New Roman"/>
        </w:rPr>
        <w:t xml:space="preserve"> in their </w:t>
      </w:r>
      <w:r w:rsidRPr="00C46989" w:rsidR="00801C72">
        <w:rPr>
          <w:rFonts w:cs="Times New Roman"/>
        </w:rPr>
        <w:t xml:space="preserve">IE </w:t>
      </w:r>
      <w:r w:rsidR="00700CDF">
        <w:rPr>
          <w:rFonts w:cs="Times New Roman"/>
        </w:rPr>
        <w:t>R</w:t>
      </w:r>
      <w:r w:rsidRPr="00C46989" w:rsidR="00801C72">
        <w:rPr>
          <w:rFonts w:cs="Times New Roman"/>
        </w:rPr>
        <w:t>eports</w:t>
      </w:r>
      <w:r w:rsidRPr="00C46989" w:rsidR="008D6856">
        <w:rPr>
          <w:rFonts w:cs="Times New Roman"/>
        </w:rPr>
        <w:t>.</w:t>
      </w:r>
      <w:r w:rsidRPr="00C76373" w:rsidR="008D6856">
        <w:rPr>
          <w:rFonts w:cs="Times New Roman"/>
        </w:rPr>
        <w:t xml:space="preserve"> </w:t>
      </w:r>
    </w:p>
    <w:p w:rsidRPr="006B0999" w:rsidR="0016033B" w:rsidP="006B0999" w:rsidRDefault="0016033B" w14:paraId="77BB1181" w14:textId="72DEDE8A">
      <w:pPr>
        <w:pStyle w:val="OP"/>
      </w:pPr>
      <w:r w:rsidRPr="006B0999">
        <w:t xml:space="preserve">Pacific Gas and Electric Company, Southern California Edison Company, and San Diego Gas &amp; Electric Company shall </w:t>
      </w:r>
      <w:r w:rsidRPr="006B0999" w:rsidR="00583489">
        <w:t xml:space="preserve">each </w:t>
      </w:r>
      <w:r w:rsidRPr="006B0999">
        <w:t>not conduct concurrent non</w:t>
      </w:r>
      <w:r w:rsidR="00797E9D">
        <w:noBreakHyphen/>
      </w:r>
      <w:r w:rsidRPr="006B0999">
        <w:t xml:space="preserve">Market Offer solicitations for similar Renewables Portfolio Standard products during the same </w:t>
      </w:r>
      <w:r w:rsidRPr="006B0999" w:rsidR="00583489">
        <w:t xml:space="preserve">solicitation </w:t>
      </w:r>
      <w:r w:rsidRPr="006B0999">
        <w:t xml:space="preserve">period. </w:t>
      </w:r>
    </w:p>
    <w:p w:rsidRPr="006B0999" w:rsidR="0016033B" w:rsidP="006B0999" w:rsidRDefault="0016033B" w14:paraId="5E9B6AC3" w14:textId="548AB220">
      <w:pPr>
        <w:pStyle w:val="OP"/>
      </w:pPr>
      <w:r w:rsidRPr="006B0999">
        <w:t>Pacific Gas and Electric Company, Southern California Edison Company, and San Diego Gas &amp; Electric Company shall update</w:t>
      </w:r>
      <w:r w:rsidRPr="006B0999" w:rsidR="00DA25A7">
        <w:t xml:space="preserve"> the</w:t>
      </w:r>
      <w:r w:rsidRPr="006B0999" w:rsidR="00C55DA2">
        <w:t>ir proposed timeline</w:t>
      </w:r>
      <w:r w:rsidRPr="006B0999" w:rsidR="00A57D1A">
        <w:t xml:space="preserve"> for</w:t>
      </w:r>
      <w:r w:rsidRPr="006B0999" w:rsidR="0053162F">
        <w:t xml:space="preserve"> </w:t>
      </w:r>
      <w:r w:rsidRPr="006B0999">
        <w:t>the Market Offer</w:t>
      </w:r>
      <w:r w:rsidRPr="006B0999" w:rsidR="0053162F">
        <w:t xml:space="preserve"> process.</w:t>
      </w:r>
    </w:p>
    <w:p w:rsidR="0016033B" w:rsidP="006B0999" w:rsidRDefault="0016033B" w14:paraId="30228758" w14:textId="5C0D1DBF">
      <w:pPr>
        <w:pStyle w:val="OP"/>
      </w:pPr>
      <w:r w:rsidRPr="006B0999">
        <w:t xml:space="preserve">Pacific Gas and Electric Company, Southern California Edison Company, and San Diego Gas &amp; Electric Company shall each file a Tier 1 Advice Letter within 15 days of the issuance </w:t>
      </w:r>
      <w:r w:rsidR="00355FC7">
        <w:t xml:space="preserve">date </w:t>
      </w:r>
      <w:r w:rsidRPr="006B0999">
        <w:t xml:space="preserve">of this decision </w:t>
      </w:r>
      <w:r w:rsidR="00804150">
        <w:t xml:space="preserve">for the short-term solicitation </w:t>
      </w:r>
      <w:r w:rsidRPr="006B0999">
        <w:t>with the changes to the Market Offer process</w:t>
      </w:r>
      <w:r w:rsidRPr="006B0999" w:rsidR="003351DF">
        <w:t xml:space="preserve"> and protocols</w:t>
      </w:r>
      <w:r w:rsidRPr="006B0999">
        <w:t xml:space="preserve"> ordered in this decision</w:t>
      </w:r>
      <w:r w:rsidRPr="006B0999" w:rsidR="00B77DEF">
        <w:t xml:space="preserve">, their revised </w:t>
      </w:r>
      <w:r w:rsidRPr="006B0999" w:rsidR="00A57D1A">
        <w:t>timeline for the</w:t>
      </w:r>
      <w:r w:rsidRPr="006B0999" w:rsidR="00B77DEF">
        <w:t xml:space="preserve"> Market Offer </w:t>
      </w:r>
      <w:r w:rsidRPr="006B0999" w:rsidR="000E6FFD">
        <w:t xml:space="preserve">process, and </w:t>
      </w:r>
      <w:r w:rsidRPr="006B0999" w:rsidR="003351DF">
        <w:t xml:space="preserve">any necessary changes to their </w:t>
      </w:r>
      <w:r w:rsidRPr="006B0999" w:rsidR="00B77DEF">
        <w:t xml:space="preserve">Market Offer </w:t>
      </w:r>
      <w:r w:rsidRPr="006B0999" w:rsidR="003351DF">
        <w:t>pro</w:t>
      </w:r>
      <w:r w:rsidR="00D20D3E">
        <w:t xml:space="preserve"> </w:t>
      </w:r>
      <w:r w:rsidRPr="006B0999" w:rsidR="003351DF">
        <w:t>formas to conform to directives of this decision</w:t>
      </w:r>
      <w:r w:rsidRPr="006B0999">
        <w:t xml:space="preserve">. </w:t>
      </w:r>
    </w:p>
    <w:p w:rsidR="00804150" w:rsidP="00250E73" w:rsidRDefault="00804150" w14:paraId="5B9660FE" w14:textId="677CF25C">
      <w:pPr>
        <w:pStyle w:val="OP"/>
      </w:pPr>
      <w:r w:rsidRPr="006B0999">
        <w:t xml:space="preserve">Pacific Gas and Electric Company, Southern California Edison Company, and San Diego Gas &amp; Electric Company shall each file a Tier </w:t>
      </w:r>
      <w:r>
        <w:t>2</w:t>
      </w:r>
      <w:r w:rsidRPr="006B0999">
        <w:t xml:space="preserve"> Advice Letter within </w:t>
      </w:r>
      <w:r>
        <w:t>30</w:t>
      </w:r>
      <w:r w:rsidRPr="006B0999">
        <w:t xml:space="preserve"> days of the issuance </w:t>
      </w:r>
      <w:r>
        <w:t xml:space="preserve">date </w:t>
      </w:r>
      <w:r w:rsidRPr="006B0999">
        <w:t>of this decision</w:t>
      </w:r>
      <w:r>
        <w:t xml:space="preserve"> for the long-term solicitation</w:t>
      </w:r>
      <w:r w:rsidRPr="006B0999">
        <w:t xml:space="preserve"> with the changes to the Market Offer process and protocols ordered in this decision, their revised timeline for the Market Offer process, and any necessary changes to their Market Offer pro</w:t>
      </w:r>
      <w:r w:rsidR="00D20D3E">
        <w:t xml:space="preserve"> </w:t>
      </w:r>
      <w:r w:rsidRPr="006B0999">
        <w:t xml:space="preserve">formas to conform to directives of this decision. </w:t>
      </w:r>
    </w:p>
    <w:p w:rsidRPr="00320945" w:rsidR="00585163" w:rsidP="006B0999" w:rsidRDefault="00585163" w14:paraId="1778B547" w14:textId="0C6826C6">
      <w:pPr>
        <w:pStyle w:val="OP"/>
      </w:pPr>
      <w:r w:rsidRPr="00320945">
        <w:t xml:space="preserve">Load-serving entities are permitted to bid different percentages for 2023 and 2024 for </w:t>
      </w:r>
      <w:r w:rsidRPr="00320945" w:rsidR="00F44635">
        <w:t xml:space="preserve">short-term </w:t>
      </w:r>
      <w:r w:rsidRPr="00320945">
        <w:t xml:space="preserve">Market Offer </w:t>
      </w:r>
      <w:r w:rsidRPr="00320945" w:rsidR="00F44635">
        <w:t>product</w:t>
      </w:r>
      <w:r w:rsidRPr="00320945">
        <w:t>.</w:t>
      </w:r>
    </w:p>
    <w:p w:rsidR="008F0116" w:rsidP="00AA7683" w:rsidRDefault="008F0116" w14:paraId="416B6A73" w14:textId="77777777">
      <w:pPr>
        <w:pStyle w:val="Standard"/>
      </w:pPr>
      <w:r>
        <w:t>This order is effective today.</w:t>
      </w:r>
    </w:p>
    <w:p w:rsidR="00714CF2" w:rsidP="00AA7683" w:rsidRDefault="008F0116" w14:paraId="50DF8EB3" w14:textId="7688C37C">
      <w:pPr>
        <w:pStyle w:val="Standard"/>
      </w:pPr>
      <w:r>
        <w:t xml:space="preserve">Dated </w:t>
      </w:r>
      <w:r w:rsidR="009E2358">
        <w:t>November 17, 2022</w:t>
      </w:r>
      <w:r>
        <w:t xml:space="preserve">, at </w:t>
      </w:r>
      <w:r w:rsidR="006E7A4F">
        <w:t>San Francisco</w:t>
      </w:r>
      <w:r>
        <w:t>, California</w:t>
      </w:r>
      <w:r w:rsidR="00AA7683">
        <w:t>.</w:t>
      </w:r>
    </w:p>
    <w:p w:rsidR="009E2358" w:rsidP="00AA7683" w:rsidRDefault="009E2358" w14:paraId="77C05E16" w14:textId="29E65D84">
      <w:pPr>
        <w:pStyle w:val="Standard"/>
      </w:pPr>
    </w:p>
    <w:p w:rsidRPr="008039A2" w:rsidR="009E2358" w:rsidP="009E2358" w:rsidRDefault="009E2358" w14:paraId="70877C01" w14:textId="77777777">
      <w:pPr>
        <w:keepNext/>
        <w:autoSpaceDE w:val="0"/>
        <w:autoSpaceDN w:val="0"/>
        <w:adjustRightInd w:val="0"/>
        <w:spacing w:line="240" w:lineRule="auto"/>
        <w:ind w:left="5040" w:firstLine="0"/>
        <w:jc w:val="both"/>
        <w:rPr>
          <w:rFonts w:eastAsia="Times New Roman" w:cs="Palatino"/>
          <w:szCs w:val="26"/>
        </w:rPr>
      </w:pPr>
      <w:bookmarkStart w:name="_Hlk17215919" w:id="33"/>
      <w:r w:rsidRPr="008039A2">
        <w:rPr>
          <w:rFonts w:eastAsia="Times New Roman" w:cs="Courier New"/>
          <w:szCs w:val="26"/>
        </w:rPr>
        <w:t>ALICE REYNOLDS</w:t>
      </w:r>
    </w:p>
    <w:p w:rsidRPr="008039A2" w:rsidR="009E2358" w:rsidP="009E2358" w:rsidRDefault="009E2358" w14:paraId="18AD1E43" w14:textId="77777777">
      <w:pPr>
        <w:keepNext/>
        <w:autoSpaceDE w:val="0"/>
        <w:autoSpaceDN w:val="0"/>
        <w:adjustRightInd w:val="0"/>
        <w:spacing w:line="240" w:lineRule="auto"/>
        <w:ind w:left="5040" w:firstLine="0"/>
        <w:jc w:val="both"/>
        <w:rPr>
          <w:rFonts w:eastAsia="Times New Roman" w:cs="Palatino"/>
          <w:szCs w:val="26"/>
        </w:rPr>
      </w:pPr>
      <w:r w:rsidRPr="008039A2">
        <w:rPr>
          <w:rFonts w:eastAsia="Times New Roman" w:cs="Palatino"/>
          <w:szCs w:val="26"/>
        </w:rPr>
        <w:t xml:space="preserve">      President</w:t>
      </w:r>
    </w:p>
    <w:p w:rsidRPr="008039A2" w:rsidR="009E2358" w:rsidP="009E2358" w:rsidRDefault="009E2358" w14:paraId="446EB965" w14:textId="77777777">
      <w:pPr>
        <w:keepNext/>
        <w:autoSpaceDE w:val="0"/>
        <w:autoSpaceDN w:val="0"/>
        <w:adjustRightInd w:val="0"/>
        <w:spacing w:line="240" w:lineRule="auto"/>
        <w:ind w:left="5040" w:firstLine="0"/>
        <w:jc w:val="both"/>
        <w:rPr>
          <w:rFonts w:eastAsia="Times New Roman" w:cs="Times New Roman"/>
          <w:szCs w:val="26"/>
        </w:rPr>
      </w:pPr>
      <w:r w:rsidRPr="008039A2">
        <w:rPr>
          <w:rFonts w:eastAsia="Times New Roman" w:cs="Times New Roman"/>
          <w:szCs w:val="26"/>
        </w:rPr>
        <w:t>CLIFFORD RECHTSCHAFFEN</w:t>
      </w:r>
    </w:p>
    <w:p w:rsidRPr="008039A2" w:rsidR="009E2358" w:rsidP="009E2358" w:rsidRDefault="009E2358" w14:paraId="66CB355A" w14:textId="77777777">
      <w:pPr>
        <w:keepNext/>
        <w:autoSpaceDE w:val="0"/>
        <w:autoSpaceDN w:val="0"/>
        <w:adjustRightInd w:val="0"/>
        <w:spacing w:line="240" w:lineRule="auto"/>
        <w:ind w:left="5040" w:firstLine="0"/>
        <w:jc w:val="both"/>
        <w:rPr>
          <w:rFonts w:eastAsia="Times New Roman" w:cs="Times New Roman"/>
          <w:szCs w:val="26"/>
        </w:rPr>
      </w:pPr>
      <w:r w:rsidRPr="008039A2">
        <w:rPr>
          <w:rFonts w:eastAsia="Times New Roman" w:cs="Times New Roman"/>
          <w:szCs w:val="26"/>
        </w:rPr>
        <w:t>GENEVIEVE SHIROMA</w:t>
      </w:r>
    </w:p>
    <w:p w:rsidRPr="008039A2" w:rsidR="009E2358" w:rsidP="009E2358" w:rsidRDefault="009E2358" w14:paraId="1CCA997C" w14:textId="77777777">
      <w:pPr>
        <w:keepNext/>
        <w:autoSpaceDE w:val="0"/>
        <w:autoSpaceDN w:val="0"/>
        <w:adjustRightInd w:val="0"/>
        <w:spacing w:line="240" w:lineRule="auto"/>
        <w:ind w:left="5040" w:firstLine="0"/>
        <w:jc w:val="both"/>
        <w:rPr>
          <w:rFonts w:eastAsia="Times New Roman" w:cs="Times New Roman"/>
          <w:szCs w:val="26"/>
        </w:rPr>
      </w:pPr>
      <w:r w:rsidRPr="008039A2">
        <w:rPr>
          <w:rFonts w:eastAsia="Times New Roman" w:cs="Times New Roman"/>
          <w:szCs w:val="26"/>
        </w:rPr>
        <w:t>DARCIE L. HOUCK</w:t>
      </w:r>
    </w:p>
    <w:p w:rsidRPr="008039A2" w:rsidR="009E2358" w:rsidP="009E2358" w:rsidRDefault="009E2358" w14:paraId="236EF115" w14:textId="77777777">
      <w:pPr>
        <w:keepNext/>
        <w:autoSpaceDE w:val="0"/>
        <w:autoSpaceDN w:val="0"/>
        <w:adjustRightInd w:val="0"/>
        <w:spacing w:line="240" w:lineRule="auto"/>
        <w:ind w:left="5040" w:firstLine="0"/>
        <w:jc w:val="both"/>
        <w:rPr>
          <w:rFonts w:eastAsia="Times New Roman" w:cs="Times New Roman"/>
          <w:szCs w:val="26"/>
        </w:rPr>
      </w:pPr>
      <w:r w:rsidRPr="008039A2">
        <w:rPr>
          <w:rFonts w:eastAsia="Times New Roman" w:cs="Times New Roman"/>
          <w:szCs w:val="26"/>
        </w:rPr>
        <w:t>JOHN REYNOLDS</w:t>
      </w:r>
    </w:p>
    <w:p w:rsidR="009E2358" w:rsidP="009E2358" w:rsidRDefault="009E2358" w14:paraId="72236D98" w14:textId="0A645EA6">
      <w:pPr>
        <w:keepNext/>
        <w:autoSpaceDE w:val="0"/>
        <w:autoSpaceDN w:val="0"/>
        <w:adjustRightInd w:val="0"/>
        <w:spacing w:line="240" w:lineRule="auto"/>
        <w:ind w:left="5040" w:firstLine="0"/>
        <w:jc w:val="both"/>
        <w:rPr>
          <w:rFonts w:eastAsia="Times New Roman" w:cs="Palatino"/>
          <w:szCs w:val="26"/>
        </w:rPr>
      </w:pPr>
      <w:r w:rsidRPr="008039A2">
        <w:rPr>
          <w:rFonts w:eastAsia="Times New Roman" w:cs="Palatino"/>
          <w:szCs w:val="26"/>
        </w:rPr>
        <w:t xml:space="preserve">         Commissioners</w:t>
      </w:r>
    </w:p>
    <w:p w:rsidRPr="008039A2" w:rsidR="009E2358" w:rsidP="009E2358" w:rsidRDefault="009E2358" w14:paraId="478FAD91" w14:textId="77777777">
      <w:pPr>
        <w:keepNext/>
        <w:autoSpaceDE w:val="0"/>
        <w:autoSpaceDN w:val="0"/>
        <w:adjustRightInd w:val="0"/>
        <w:spacing w:line="240" w:lineRule="auto"/>
        <w:ind w:left="5040" w:firstLine="0"/>
        <w:jc w:val="both"/>
        <w:rPr>
          <w:rFonts w:eastAsia="Times New Roman" w:cs="Palatino"/>
          <w:szCs w:val="26"/>
        </w:rPr>
      </w:pPr>
    </w:p>
    <w:bookmarkEnd w:id="33"/>
    <w:p w:rsidR="00AA7683" w:rsidP="00AA7683" w:rsidRDefault="00AA7683" w14:paraId="6DCDEEB6" w14:textId="104BA22C">
      <w:pPr>
        <w:pStyle w:val="Standard"/>
      </w:pPr>
    </w:p>
    <w:p w:rsidR="00AA7683" w:rsidP="00AA7683" w:rsidRDefault="00AA7683" w14:paraId="47811045" w14:textId="77777777">
      <w:pPr>
        <w:pStyle w:val="Standard"/>
        <w:sectPr w:rsidR="00AA7683" w:rsidSect="00EB2D06">
          <w:headerReference w:type="default" r:id="rId15"/>
          <w:footerReference w:type="default" r:id="rId16"/>
          <w:pgSz w:w="12240" w:h="15840"/>
          <w:pgMar w:top="1728" w:right="1440" w:bottom="1440" w:left="1440" w:header="720" w:footer="720" w:gutter="0"/>
          <w:cols w:space="720"/>
          <w:docGrid w:linePitch="360"/>
        </w:sectPr>
      </w:pPr>
    </w:p>
    <w:p w:rsidR="00AA7683" w:rsidP="00797E9D" w:rsidRDefault="00AA7683" w14:paraId="78F79E45" w14:textId="77777777">
      <w:pPr>
        <w:pStyle w:val="Standard"/>
        <w:ind w:firstLine="0"/>
        <w:jc w:val="center"/>
        <w:rPr>
          <w:sz w:val="48"/>
          <w:szCs w:val="48"/>
        </w:rPr>
      </w:pPr>
    </w:p>
    <w:p w:rsidR="00AA7683" w:rsidP="00797E9D" w:rsidRDefault="00AA7683" w14:paraId="14F198CD" w14:textId="77777777">
      <w:pPr>
        <w:pStyle w:val="Standard"/>
        <w:ind w:firstLine="0"/>
        <w:jc w:val="center"/>
        <w:rPr>
          <w:sz w:val="48"/>
          <w:szCs w:val="48"/>
        </w:rPr>
      </w:pPr>
    </w:p>
    <w:p w:rsidR="00AA7683" w:rsidP="00797E9D" w:rsidRDefault="00AA7683" w14:paraId="229654E4" w14:textId="77777777">
      <w:pPr>
        <w:pStyle w:val="Standard"/>
        <w:ind w:firstLine="0"/>
        <w:jc w:val="center"/>
        <w:rPr>
          <w:sz w:val="48"/>
          <w:szCs w:val="48"/>
        </w:rPr>
      </w:pPr>
    </w:p>
    <w:p w:rsidR="00AA7683" w:rsidP="00797E9D" w:rsidRDefault="00AA7683" w14:paraId="4391944E" w14:textId="77777777">
      <w:pPr>
        <w:pStyle w:val="Standard"/>
        <w:ind w:firstLine="0"/>
        <w:jc w:val="center"/>
        <w:rPr>
          <w:sz w:val="48"/>
          <w:szCs w:val="48"/>
        </w:rPr>
      </w:pPr>
    </w:p>
    <w:p w:rsidR="002D0124" w:rsidP="00797E9D" w:rsidRDefault="002D0124" w14:paraId="45D73A7E" w14:textId="253B9105">
      <w:pPr>
        <w:pStyle w:val="Standard"/>
        <w:ind w:firstLine="0"/>
        <w:jc w:val="center"/>
        <w:rPr>
          <w:sz w:val="48"/>
          <w:szCs w:val="48"/>
        </w:rPr>
      </w:pPr>
    </w:p>
    <w:p w:rsidR="00AA7683" w:rsidP="00725A58" w:rsidRDefault="00AA7683" w14:paraId="409934BF" w14:textId="6A973BB9">
      <w:pPr>
        <w:pStyle w:val="Standard"/>
        <w:spacing w:line="276" w:lineRule="auto"/>
        <w:ind w:firstLine="0"/>
        <w:jc w:val="center"/>
        <w:rPr>
          <w:sz w:val="48"/>
          <w:szCs w:val="48"/>
        </w:rPr>
      </w:pPr>
      <w:r>
        <w:rPr>
          <w:sz w:val="48"/>
          <w:szCs w:val="48"/>
        </w:rPr>
        <w:t>ATTACHMENT A</w:t>
      </w:r>
    </w:p>
    <w:p w:rsidRPr="00725A58" w:rsidR="002D0124" w:rsidP="00725A58" w:rsidRDefault="002D0124" w14:paraId="46DB2ACF" w14:textId="6CB82638">
      <w:pPr>
        <w:pStyle w:val="Standard"/>
        <w:spacing w:line="240" w:lineRule="auto"/>
        <w:ind w:firstLine="0"/>
        <w:jc w:val="center"/>
        <w:rPr>
          <w:sz w:val="32"/>
          <w:szCs w:val="32"/>
        </w:rPr>
      </w:pPr>
      <w:r w:rsidRPr="00725A58">
        <w:rPr>
          <w:rFonts w:cs="Arial"/>
          <w:sz w:val="32"/>
          <w:szCs w:val="32"/>
        </w:rPr>
        <w:t>Load Serving Entities Who Accepted Voluntary Allocations</w:t>
      </w:r>
    </w:p>
    <w:p w:rsidR="00AA7683" w:rsidP="00AA7683" w:rsidRDefault="00AA7683" w14:paraId="695048A6" w14:textId="77777777">
      <w:pPr>
        <w:pStyle w:val="Standard"/>
        <w:jc w:val="center"/>
        <w:rPr>
          <w:szCs w:val="26"/>
        </w:rPr>
        <w:sectPr w:rsidR="00AA7683" w:rsidSect="00EB2D06">
          <w:headerReference w:type="default" r:id="rId17"/>
          <w:footerReference w:type="default" r:id="rId18"/>
          <w:pgSz w:w="12240" w:h="15840"/>
          <w:pgMar w:top="1728" w:right="1440" w:bottom="1440" w:left="1440" w:header="720" w:footer="720" w:gutter="0"/>
          <w:cols w:space="720"/>
          <w:docGrid w:linePitch="360"/>
        </w:sectPr>
      </w:pPr>
    </w:p>
    <w:p w:rsidRPr="00AA7683" w:rsidR="00AA7683" w:rsidP="002D0124" w:rsidRDefault="00AA7683" w14:paraId="5AB63C47" w14:textId="77777777">
      <w:pPr>
        <w:ind w:firstLine="0"/>
        <w:jc w:val="center"/>
        <w:rPr>
          <w:b/>
          <w:bCs/>
        </w:rPr>
      </w:pPr>
      <w:r w:rsidRPr="00AA7683">
        <w:rPr>
          <w:b/>
          <w:bCs/>
        </w:rPr>
        <w:t>Attachment A</w:t>
      </w:r>
    </w:p>
    <w:tbl>
      <w:tblPr>
        <w:tblW w:w="9540" w:type="dxa"/>
        <w:tblLook w:val="04A0" w:firstRow="1" w:lastRow="0" w:firstColumn="1" w:lastColumn="0" w:noHBand="0" w:noVBand="1"/>
      </w:tblPr>
      <w:tblGrid>
        <w:gridCol w:w="9540"/>
      </w:tblGrid>
      <w:tr w:rsidRPr="00AA7683" w:rsidR="00AA7683" w14:paraId="78CA446E" w14:textId="77777777">
        <w:trPr>
          <w:trHeight w:val="900"/>
        </w:trPr>
        <w:tc>
          <w:tcPr>
            <w:tcW w:w="9540" w:type="dxa"/>
            <w:tcBorders>
              <w:top w:val="nil"/>
              <w:left w:val="nil"/>
              <w:bottom w:val="nil"/>
              <w:right w:val="nil"/>
            </w:tcBorders>
            <w:shd w:val="clear" w:color="auto" w:fill="auto"/>
            <w:noWrap/>
            <w:hideMark/>
          </w:tcPr>
          <w:p w:rsidRPr="00AA7683" w:rsidR="00AA7683" w:rsidP="002D0124" w:rsidRDefault="00AA7683" w14:paraId="1C33582C" w14:textId="77777777">
            <w:pPr>
              <w:spacing w:line="240" w:lineRule="auto"/>
              <w:ind w:firstLine="0"/>
              <w:jc w:val="center"/>
              <w:rPr>
                <w:rFonts w:eastAsia="Times New Roman" w:cs="Calibri"/>
                <w:b/>
                <w:bCs/>
                <w:color w:val="000000"/>
              </w:rPr>
            </w:pPr>
            <w:r w:rsidRPr="00AA7683">
              <w:rPr>
                <w:rFonts w:eastAsia="Times New Roman" w:cs="Calibri"/>
                <w:b/>
                <w:bCs/>
                <w:color w:val="000000"/>
              </w:rPr>
              <w:t>Load Serving Entities that Accepted Voluntary Allocations</w:t>
            </w:r>
          </w:p>
        </w:tc>
      </w:tr>
      <w:tr w:rsidRPr="00AA7683" w:rsidR="00AA7683" w14:paraId="3D0F032D"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327EBA" w14:paraId="02B035DD" w14:textId="0AE678B2">
            <w:pPr>
              <w:pStyle w:val="ListParagraph"/>
              <w:numPr>
                <w:ilvl w:val="0"/>
                <w:numId w:val="36"/>
              </w:numPr>
              <w:spacing w:line="240" w:lineRule="auto"/>
              <w:ind w:right="432"/>
              <w:rPr>
                <w:rFonts w:eastAsia="Times New Roman" w:cs="Calibri"/>
                <w:color w:val="000000"/>
              </w:rPr>
            </w:pPr>
            <w:r>
              <w:rPr>
                <w:rFonts w:eastAsia="Times New Roman" w:cs="Calibri"/>
                <w:color w:val="000000"/>
              </w:rPr>
              <w:t>3</w:t>
            </w:r>
            <w:r w:rsidRPr="00AA7683">
              <w:rPr>
                <w:rFonts w:eastAsia="Times New Roman" w:cs="Calibri"/>
                <w:color w:val="000000"/>
              </w:rPr>
              <w:t xml:space="preserve"> </w:t>
            </w:r>
            <w:r w:rsidRPr="00AA7683" w:rsidR="00AA7683">
              <w:rPr>
                <w:rFonts w:eastAsia="Times New Roman" w:cs="Calibri"/>
                <w:color w:val="000000"/>
              </w:rPr>
              <w:t>Phases Renewables</w:t>
            </w:r>
            <w:r>
              <w:rPr>
                <w:rFonts w:eastAsia="Times New Roman" w:cs="Calibri"/>
                <w:color w:val="000000"/>
              </w:rPr>
              <w:t xml:space="preserve"> Incorporated</w:t>
            </w:r>
          </w:p>
        </w:tc>
      </w:tr>
      <w:tr w:rsidRPr="00AA7683" w:rsidR="00AA7683" w14:paraId="1CCB4CBA"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03F9AF6B"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Apple Valley Choice</w:t>
            </w:r>
          </w:p>
        </w:tc>
      </w:tr>
      <w:tr w:rsidRPr="00AA7683" w:rsidR="00AA7683" w14:paraId="67D11494"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3E4B3F88"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City of Palmdale</w:t>
            </w:r>
          </w:p>
        </w:tc>
      </w:tr>
      <w:tr w:rsidRPr="00AA7683" w:rsidR="00AA7683" w14:paraId="76DF7371"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5B0F593E"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City of Pomona</w:t>
            </w:r>
          </w:p>
        </w:tc>
      </w:tr>
      <w:tr w:rsidRPr="00AA7683" w:rsidR="00AA7683" w14:paraId="7D8CD29A"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755CA0AC"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City of Santa Barbra</w:t>
            </w:r>
          </w:p>
        </w:tc>
      </w:tr>
      <w:tr w:rsidRPr="00AA7683" w:rsidR="00AA7683" w14:paraId="0B61A250"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1E786259"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Clean Energy Alliance</w:t>
            </w:r>
          </w:p>
        </w:tc>
      </w:tr>
      <w:tr w:rsidRPr="00AA7683" w:rsidR="00AA7683" w14:paraId="005EB798"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3B9C9075"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Clean Power Alliance</w:t>
            </w:r>
          </w:p>
        </w:tc>
      </w:tr>
      <w:tr w:rsidRPr="00AA7683" w:rsidR="00AA7683" w14:paraId="78C28050"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4CB5E296"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Clean PowerSF</w:t>
            </w:r>
          </w:p>
        </w:tc>
      </w:tr>
      <w:tr w:rsidRPr="00AA7683" w:rsidR="00AA7683" w14:paraId="10881BB2" w14:textId="77777777">
        <w:trPr>
          <w:trHeight w:val="297"/>
        </w:trPr>
        <w:tc>
          <w:tcPr>
            <w:tcW w:w="9540" w:type="dxa"/>
            <w:tcBorders>
              <w:top w:val="nil"/>
              <w:left w:val="nil"/>
              <w:bottom w:val="nil"/>
              <w:right w:val="nil"/>
            </w:tcBorders>
            <w:shd w:val="clear" w:color="auto" w:fill="auto"/>
            <w:noWrap/>
            <w:hideMark/>
          </w:tcPr>
          <w:p w:rsidRPr="00AA7683" w:rsidR="00AA7683" w:rsidP="00AA7683" w:rsidRDefault="00AA7683" w14:paraId="58C173E6"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Commercial Energy of California</w:t>
            </w:r>
          </w:p>
        </w:tc>
      </w:tr>
      <w:tr w:rsidRPr="00AA7683" w:rsidR="00AA7683" w14:paraId="6B27785D"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509B26AC"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Desert Clean Energy</w:t>
            </w:r>
          </w:p>
        </w:tc>
      </w:tr>
      <w:tr w:rsidRPr="00AA7683" w:rsidR="00AA7683" w14:paraId="3C05E064"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6441667E" w14:textId="77777777">
            <w:pPr>
              <w:pStyle w:val="ListParagraph"/>
              <w:numPr>
                <w:ilvl w:val="0"/>
                <w:numId w:val="36"/>
              </w:numPr>
              <w:spacing w:line="240" w:lineRule="auto"/>
              <w:ind w:right="432"/>
              <w:rPr>
                <w:rFonts w:eastAsia="Times New Roman" w:cs="Calibri"/>
              </w:rPr>
            </w:pPr>
            <w:r w:rsidRPr="00AA7683">
              <w:rPr>
                <w:rFonts w:eastAsia="Times New Roman" w:cs="Calibri"/>
              </w:rPr>
              <w:t>Direct Energy</w:t>
            </w:r>
          </w:p>
        </w:tc>
      </w:tr>
      <w:tr w:rsidRPr="00AA7683" w:rsidR="00AA7683" w14:paraId="2CF980E8"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487E3664" w14:textId="77777777">
            <w:pPr>
              <w:pStyle w:val="ListParagraph"/>
              <w:numPr>
                <w:ilvl w:val="0"/>
                <w:numId w:val="36"/>
              </w:numPr>
              <w:spacing w:line="240" w:lineRule="auto"/>
              <w:ind w:right="432"/>
              <w:rPr>
                <w:rFonts w:eastAsia="Times New Roman" w:cs="Calibri"/>
              </w:rPr>
            </w:pPr>
            <w:r w:rsidRPr="00AA7683">
              <w:rPr>
                <w:rFonts w:eastAsia="Times New Roman" w:cs="Calibri"/>
              </w:rPr>
              <w:t>East Bay Community Energy</w:t>
            </w:r>
          </w:p>
        </w:tc>
      </w:tr>
      <w:tr w:rsidRPr="00AA7683" w:rsidR="00AA7683" w14:paraId="0E4BD30D"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7AD3114E"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Lancaster Choice</w:t>
            </w:r>
          </w:p>
        </w:tc>
      </w:tr>
      <w:tr w:rsidRPr="00AA7683" w:rsidR="00AA7683" w14:paraId="3F6B5767"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0DEC5AFD" w14:textId="77777777">
            <w:pPr>
              <w:pStyle w:val="ListParagraph"/>
              <w:numPr>
                <w:ilvl w:val="0"/>
                <w:numId w:val="36"/>
              </w:numPr>
              <w:spacing w:line="240" w:lineRule="auto"/>
              <w:ind w:right="432"/>
              <w:rPr>
                <w:rFonts w:eastAsia="Times New Roman" w:cs="Calibri"/>
              </w:rPr>
            </w:pPr>
            <w:r w:rsidRPr="00AA7683">
              <w:rPr>
                <w:rFonts w:eastAsia="Times New Roman" w:cs="Calibri"/>
              </w:rPr>
              <w:t>Marin Clean Energy</w:t>
            </w:r>
          </w:p>
        </w:tc>
      </w:tr>
      <w:tr w:rsidRPr="00AA7683" w:rsidR="00AA7683" w14:paraId="1BFD3AE8"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1404ECCD"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Orange County Power Authority</w:t>
            </w:r>
          </w:p>
        </w:tc>
      </w:tr>
      <w:tr w:rsidRPr="00AA7683" w:rsidR="00AA7683" w14:paraId="3EFAF801"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5CC9A63A"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Pacific Gas and Electric</w:t>
            </w:r>
          </w:p>
        </w:tc>
      </w:tr>
      <w:tr w:rsidRPr="00AA7683" w:rsidR="00AA7683" w14:paraId="21E98971"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3D091EA6"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Pico Rivera Innovative Municipal Energy</w:t>
            </w:r>
          </w:p>
        </w:tc>
      </w:tr>
      <w:tr w:rsidRPr="00AA7683" w:rsidR="00AA7683" w14:paraId="20C2460E"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174A844D" w14:textId="77777777">
            <w:pPr>
              <w:pStyle w:val="ListParagraph"/>
              <w:numPr>
                <w:ilvl w:val="0"/>
                <w:numId w:val="36"/>
              </w:numPr>
              <w:spacing w:line="240" w:lineRule="auto"/>
              <w:ind w:right="432"/>
              <w:rPr>
                <w:rFonts w:eastAsia="Times New Roman" w:cs="Calibri"/>
              </w:rPr>
            </w:pPr>
            <w:r w:rsidRPr="00AA7683">
              <w:rPr>
                <w:rFonts w:eastAsia="Times New Roman" w:cs="Calibri"/>
              </w:rPr>
              <w:t>Pioneer Community Energy</w:t>
            </w:r>
          </w:p>
        </w:tc>
      </w:tr>
      <w:tr w:rsidRPr="00AA7683" w:rsidR="00AA7683" w14:paraId="0640071A"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580656E2"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Rancho Mirage Energy Authority</w:t>
            </w:r>
          </w:p>
        </w:tc>
      </w:tr>
      <w:tr w:rsidRPr="00AA7683" w:rsidR="00AA7683" w14:paraId="4F6B4D0F"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615D329B" w14:textId="77777777">
            <w:pPr>
              <w:pStyle w:val="ListParagraph"/>
              <w:numPr>
                <w:ilvl w:val="0"/>
                <w:numId w:val="36"/>
              </w:numPr>
              <w:spacing w:line="240" w:lineRule="auto"/>
              <w:ind w:right="432"/>
              <w:rPr>
                <w:rFonts w:eastAsia="Times New Roman" w:cs="Calibri"/>
              </w:rPr>
            </w:pPr>
            <w:r w:rsidRPr="00AA7683">
              <w:rPr>
                <w:rFonts w:eastAsia="Times New Roman" w:cs="Calibri"/>
              </w:rPr>
              <w:t>Redwood Coast Energy Authority</w:t>
            </w:r>
          </w:p>
        </w:tc>
      </w:tr>
      <w:tr w:rsidRPr="00AA7683" w:rsidR="00AA7683" w14:paraId="3300B6F4"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62780FBD"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San Diego Community Power</w:t>
            </w:r>
          </w:p>
        </w:tc>
      </w:tr>
      <w:tr w:rsidRPr="00AA7683" w:rsidR="00AA7683" w14:paraId="2BAAC027"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3D777AB1"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San Diego Gas and Electric</w:t>
            </w:r>
          </w:p>
        </w:tc>
      </w:tr>
      <w:tr w:rsidRPr="00AA7683" w:rsidR="00AA7683" w14:paraId="4EAA58B1"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509A6891"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San Jacinto Power</w:t>
            </w:r>
          </w:p>
        </w:tc>
      </w:tr>
      <w:tr w:rsidRPr="00AA7683" w:rsidR="00AA7683" w14:paraId="02598C18"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78196C38"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San Jose Community Energy</w:t>
            </w:r>
          </w:p>
        </w:tc>
      </w:tr>
      <w:tr w:rsidRPr="00AA7683" w:rsidR="00AA7683" w14:paraId="451DCA63" w14:textId="77777777">
        <w:trPr>
          <w:trHeight w:val="300"/>
        </w:trPr>
        <w:tc>
          <w:tcPr>
            <w:tcW w:w="9540" w:type="dxa"/>
            <w:tcBorders>
              <w:top w:val="nil"/>
              <w:left w:val="nil"/>
              <w:bottom w:val="nil"/>
              <w:right w:val="nil"/>
            </w:tcBorders>
            <w:shd w:val="clear" w:color="auto" w:fill="auto"/>
            <w:noWrap/>
            <w:hideMark/>
          </w:tcPr>
          <w:p w:rsidRPr="00AA7683" w:rsidR="00AA7683" w:rsidP="00AA7683" w:rsidRDefault="00AA7683" w14:paraId="40602FFD"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Shell Energy North America</w:t>
            </w:r>
          </w:p>
        </w:tc>
      </w:tr>
      <w:tr w:rsidRPr="00AA7683" w:rsidR="00AA7683" w14:paraId="0B1E21F7" w14:textId="77777777">
        <w:trPr>
          <w:trHeight w:val="300"/>
        </w:trPr>
        <w:tc>
          <w:tcPr>
            <w:tcW w:w="9540" w:type="dxa"/>
            <w:tcBorders>
              <w:top w:val="nil"/>
              <w:left w:val="nil"/>
              <w:bottom w:val="nil"/>
              <w:right w:val="nil"/>
            </w:tcBorders>
            <w:shd w:val="clear" w:color="auto" w:fill="auto"/>
            <w:noWrap/>
            <w:hideMark/>
          </w:tcPr>
          <w:p w:rsidR="00AA7683" w:rsidP="00AA7683" w:rsidRDefault="00AA7683" w14:paraId="6EB13623" w14:textId="77777777">
            <w:pPr>
              <w:pStyle w:val="ListParagraph"/>
              <w:numPr>
                <w:ilvl w:val="0"/>
                <w:numId w:val="36"/>
              </w:numPr>
              <w:spacing w:line="240" w:lineRule="auto"/>
              <w:ind w:right="432"/>
              <w:rPr>
                <w:rFonts w:eastAsia="Times New Roman" w:cs="Calibri"/>
                <w:color w:val="000000"/>
              </w:rPr>
            </w:pPr>
            <w:r w:rsidRPr="00AA7683">
              <w:rPr>
                <w:rFonts w:eastAsia="Times New Roman" w:cs="Calibri"/>
                <w:color w:val="000000"/>
              </w:rPr>
              <w:t>Silicon Valley Clean Energy</w:t>
            </w:r>
          </w:p>
          <w:p w:rsidRPr="00AA7683" w:rsidR="00225713" w:rsidP="00797E9D" w:rsidRDefault="000F0281" w14:paraId="22EA21C4" w14:textId="5B43CBFC">
            <w:pPr>
              <w:pStyle w:val="ListParagraph"/>
              <w:numPr>
                <w:ilvl w:val="0"/>
                <w:numId w:val="36"/>
              </w:numPr>
              <w:ind w:right="432"/>
              <w:rPr>
                <w:rFonts w:eastAsia="Times New Roman" w:cs="Calibri"/>
                <w:color w:val="000000"/>
              </w:rPr>
            </w:pPr>
            <w:r>
              <w:rPr>
                <w:rFonts w:eastAsia="Times New Roman" w:cs="Calibri"/>
                <w:color w:val="000000"/>
              </w:rPr>
              <w:t>Southern California Edison</w:t>
            </w:r>
          </w:p>
        </w:tc>
      </w:tr>
    </w:tbl>
    <w:p w:rsidRPr="00AA7683" w:rsidR="00AA7683" w:rsidP="00797E9D" w:rsidRDefault="00AA7683" w14:paraId="1E09B854" w14:textId="77777777"/>
    <w:p w:rsidRPr="00AA7683" w:rsidR="00AA7683" w:rsidP="002D0124" w:rsidRDefault="00AA7683" w14:paraId="58E1CBB2" w14:textId="702AC014">
      <w:pPr>
        <w:pStyle w:val="Standard"/>
        <w:ind w:firstLine="0"/>
        <w:jc w:val="center"/>
        <w:rPr>
          <w:b/>
          <w:bCs/>
          <w:szCs w:val="26"/>
        </w:rPr>
      </w:pPr>
      <w:r w:rsidRPr="00AA7683">
        <w:rPr>
          <w:b/>
          <w:bCs/>
          <w:szCs w:val="26"/>
        </w:rPr>
        <w:t xml:space="preserve">(END OF ATTACHMENT A) </w:t>
      </w:r>
    </w:p>
    <w:sectPr w:rsidRPr="00AA7683" w:rsidR="00AA7683" w:rsidSect="00797E9D">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636A" w14:textId="77777777" w:rsidR="005548AD" w:rsidRDefault="005548AD" w:rsidP="0098138E">
      <w:pPr>
        <w:spacing w:line="240" w:lineRule="auto"/>
      </w:pPr>
      <w:r>
        <w:separator/>
      </w:r>
    </w:p>
  </w:endnote>
  <w:endnote w:type="continuationSeparator" w:id="0">
    <w:p w14:paraId="4247D8F6" w14:textId="77777777" w:rsidR="005548AD" w:rsidRDefault="005548AD" w:rsidP="0098138E">
      <w:pPr>
        <w:spacing w:line="240" w:lineRule="auto"/>
      </w:pPr>
      <w:r>
        <w:continuationSeparator/>
      </w:r>
    </w:p>
  </w:endnote>
  <w:endnote w:type="continuationNotice" w:id="1">
    <w:p w14:paraId="1BB00499" w14:textId="77777777" w:rsidR="005548AD" w:rsidRDefault="00554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D636" w14:textId="5CD1D241" w:rsidR="00F247A2" w:rsidRDefault="0069736D" w:rsidP="00EB7C9D">
    <w:pPr>
      <w:tabs>
        <w:tab w:val="center" w:pos="4680"/>
      </w:tabs>
      <w:spacing w:line="240" w:lineRule="auto"/>
      <w:ind w:firstLine="0"/>
      <w:rPr>
        <w:noProof/>
      </w:rPr>
    </w:pPr>
    <w:r w:rsidRPr="0069736D">
      <w:rPr>
        <w:sz w:val="16"/>
        <w:szCs w:val="16"/>
      </w:rPr>
      <w:t>498964626</w:t>
    </w:r>
    <w:sdt>
      <w:sdtPr>
        <w:id w:val="-1978514217"/>
        <w:docPartObj>
          <w:docPartGallery w:val="Page Numbers (Bottom of Page)"/>
          <w:docPartUnique/>
        </w:docPartObj>
      </w:sdtPr>
      <w:sdtEndPr>
        <w:rPr>
          <w:noProof/>
        </w:rPr>
      </w:sdtEndPr>
      <w:sdtContent>
        <w:r w:rsidR="00F247A2" w:rsidRPr="00EB7C9D">
          <w:rPr>
            <w:rFonts w:ascii="Arial" w:hAnsi="Arial" w:cs="Arial"/>
            <w:sz w:val="16"/>
            <w:szCs w:val="16"/>
          </w:rPr>
          <w:tab/>
        </w:r>
        <w:r w:rsidR="00F247A2">
          <w:t xml:space="preserve">- </w:t>
        </w:r>
        <w:r w:rsidR="00F247A2">
          <w:fldChar w:fldCharType="begin"/>
        </w:r>
        <w:r w:rsidR="00F247A2">
          <w:instrText xml:space="preserve"> PAGE   \* MERGEFORMAT </w:instrText>
        </w:r>
        <w:r w:rsidR="00F247A2">
          <w:fldChar w:fldCharType="separate"/>
        </w:r>
        <w:r w:rsidR="00F247A2">
          <w:rPr>
            <w:noProof/>
          </w:rPr>
          <w:t>2</w:t>
        </w:r>
        <w:r w:rsidR="00F247A2">
          <w:rPr>
            <w:noProof/>
          </w:rPr>
          <w:fldChar w:fldCharType="end"/>
        </w:r>
      </w:sdtContent>
    </w:sdt>
    <w:r w:rsidR="00F247A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2681" w14:textId="77777777" w:rsidR="00E23CBB" w:rsidRDefault="00E23CBB" w:rsidP="00EB7C9D">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D509" w14:textId="77777777" w:rsidR="00E23CBB" w:rsidRDefault="00E23CBB" w:rsidP="00EB7C9D">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25B4" w14:textId="793B37A3" w:rsidR="00AA7683" w:rsidRPr="00AA7683" w:rsidRDefault="00AA7683" w:rsidP="00AA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F03E" w14:textId="77777777" w:rsidR="005548AD" w:rsidRDefault="005548AD" w:rsidP="00DF58E7">
      <w:pPr>
        <w:spacing w:line="240" w:lineRule="auto"/>
        <w:ind w:firstLine="0"/>
      </w:pPr>
      <w:r>
        <w:separator/>
      </w:r>
    </w:p>
  </w:footnote>
  <w:footnote w:type="continuationSeparator" w:id="0">
    <w:p w14:paraId="36579127" w14:textId="77777777" w:rsidR="005548AD" w:rsidRDefault="005548AD" w:rsidP="00DF58E7">
      <w:pPr>
        <w:spacing w:line="240" w:lineRule="auto"/>
        <w:ind w:firstLine="0"/>
      </w:pPr>
      <w:r>
        <w:continuationSeparator/>
      </w:r>
    </w:p>
  </w:footnote>
  <w:footnote w:type="continuationNotice" w:id="1">
    <w:p w14:paraId="37C6B940" w14:textId="77777777" w:rsidR="005548AD" w:rsidRPr="00DF58E7" w:rsidRDefault="005548AD" w:rsidP="00DF58E7">
      <w:pPr>
        <w:spacing w:line="240" w:lineRule="auto"/>
        <w:ind w:firstLine="0"/>
        <w:jc w:val="right"/>
        <w:rPr>
          <w:i/>
          <w:sz w:val="22"/>
        </w:rPr>
      </w:pPr>
      <w:r w:rsidRPr="00DF58E7">
        <w:rPr>
          <w:i/>
          <w:sz w:val="22"/>
        </w:rPr>
        <w:t>Footnote continued on next page.</w:t>
      </w:r>
    </w:p>
  </w:footnote>
  <w:footnote w:id="2">
    <w:p w14:paraId="435F9528" w14:textId="38688FE0" w:rsidR="0027377E" w:rsidRPr="00851C8B" w:rsidRDefault="0027377E" w:rsidP="0027377E">
      <w:pPr>
        <w:pStyle w:val="FootnoteText"/>
        <w:rPr>
          <w:lang w:val="en-ZW"/>
        </w:rPr>
      </w:pPr>
      <w:r>
        <w:rPr>
          <w:rStyle w:val="FootnoteReference"/>
        </w:rPr>
        <w:footnoteRef/>
      </w:r>
      <w:r>
        <w:t xml:space="preserve"> </w:t>
      </w:r>
      <w:r w:rsidR="000D472E" w:rsidRPr="00EB2D06">
        <w:rPr>
          <w:i/>
          <w:iCs/>
        </w:rPr>
        <w:t>See</w:t>
      </w:r>
      <w:r w:rsidR="000D472E">
        <w:t xml:space="preserve"> D.21-05-030 at 36.</w:t>
      </w:r>
    </w:p>
  </w:footnote>
  <w:footnote w:id="3">
    <w:p w14:paraId="55C3B3DA" w14:textId="443ECDC3" w:rsidR="000702D9" w:rsidRPr="000702D9" w:rsidRDefault="000702D9">
      <w:pPr>
        <w:pStyle w:val="FootnoteText"/>
        <w:rPr>
          <w:lang w:val="en-ZW"/>
        </w:rPr>
      </w:pPr>
      <w:r>
        <w:rPr>
          <w:rStyle w:val="FootnoteReference"/>
        </w:rPr>
        <w:footnoteRef/>
      </w:r>
      <w:r w:rsidR="000D472E">
        <w:t xml:space="preserve"> </w:t>
      </w:r>
      <w:r w:rsidR="000D472E" w:rsidRPr="00EB2D06">
        <w:rPr>
          <w:i/>
          <w:iCs/>
        </w:rPr>
        <w:t>Id</w:t>
      </w:r>
      <w:r w:rsidR="000D472E">
        <w:t>.</w:t>
      </w:r>
    </w:p>
  </w:footnote>
  <w:footnote w:id="4">
    <w:p w14:paraId="4DEED6EF" w14:textId="44E0BD47" w:rsidR="00C16E4D" w:rsidRPr="00EB2D06" w:rsidRDefault="00C16E4D" w:rsidP="00015CC3">
      <w:pPr>
        <w:pStyle w:val="FootnoteText"/>
        <w:spacing w:before="80" w:after="80"/>
        <w:rPr>
          <w:rFonts w:cs="Times New Roman"/>
          <w:szCs w:val="22"/>
        </w:rPr>
      </w:pPr>
      <w:r w:rsidRPr="00EB2D06">
        <w:rPr>
          <w:rStyle w:val="FootnoteReference"/>
          <w:rFonts w:cs="Times New Roman"/>
          <w:szCs w:val="22"/>
        </w:rPr>
        <w:footnoteRef/>
      </w:r>
      <w:r w:rsidRPr="00EB2D06">
        <w:rPr>
          <w:rFonts w:cs="Times New Roman"/>
          <w:szCs w:val="22"/>
        </w:rPr>
        <w:t xml:space="preserve"> Joint </w:t>
      </w:r>
      <w:r w:rsidR="004D13F0" w:rsidRPr="00EB2D06">
        <w:rPr>
          <w:rFonts w:cs="Times New Roman"/>
          <w:szCs w:val="22"/>
        </w:rPr>
        <w:t>IOU</w:t>
      </w:r>
      <w:r w:rsidRPr="00EB2D06">
        <w:rPr>
          <w:rFonts w:cs="Times New Roman"/>
          <w:szCs w:val="22"/>
        </w:rPr>
        <w:t xml:space="preserve"> Proposal at 4.</w:t>
      </w:r>
    </w:p>
  </w:footnote>
  <w:footnote w:id="5">
    <w:p w14:paraId="63395E0C" w14:textId="3D99B66D" w:rsidR="0070151D" w:rsidRPr="00EB2D06" w:rsidRDefault="0070151D" w:rsidP="00015CC3">
      <w:pPr>
        <w:pStyle w:val="FootnoteText"/>
        <w:spacing w:before="80" w:after="80"/>
        <w:rPr>
          <w:lang w:val="en-ZW"/>
        </w:rPr>
      </w:pPr>
      <w:r w:rsidRPr="00EB2D06">
        <w:rPr>
          <w:rStyle w:val="FootnoteReference"/>
        </w:rPr>
        <w:footnoteRef/>
      </w:r>
      <w:r w:rsidRPr="00EB2D06">
        <w:t xml:space="preserve"> </w:t>
      </w:r>
      <w:r w:rsidRPr="00EB2D06">
        <w:rPr>
          <w:lang w:val="en-ZW"/>
        </w:rPr>
        <w:t xml:space="preserve">Joint </w:t>
      </w:r>
      <w:r w:rsidR="004D13F0" w:rsidRPr="00EB2D06">
        <w:rPr>
          <w:lang w:val="en-ZW"/>
        </w:rPr>
        <w:t>IOU</w:t>
      </w:r>
      <w:r w:rsidRPr="00EB2D06">
        <w:rPr>
          <w:lang w:val="en-ZW"/>
        </w:rPr>
        <w:t xml:space="preserve"> Proposal at 5.</w:t>
      </w:r>
    </w:p>
  </w:footnote>
  <w:footnote w:id="6">
    <w:p w14:paraId="66B04F9B" w14:textId="510BFF67" w:rsidR="00C16E4D" w:rsidRPr="00EB2D06" w:rsidRDefault="00C16E4D" w:rsidP="00015CC3">
      <w:pPr>
        <w:pStyle w:val="FootnoteText"/>
        <w:spacing w:before="80" w:after="80"/>
        <w:rPr>
          <w:rFonts w:cs="Times New Roman"/>
          <w:szCs w:val="22"/>
        </w:rPr>
      </w:pPr>
      <w:r w:rsidRPr="00EB2D06">
        <w:rPr>
          <w:rStyle w:val="FootnoteReference"/>
          <w:rFonts w:cs="Times New Roman"/>
          <w:szCs w:val="22"/>
        </w:rPr>
        <w:footnoteRef/>
      </w:r>
      <w:r w:rsidRPr="00EB2D06">
        <w:rPr>
          <w:rFonts w:cs="Times New Roman"/>
          <w:szCs w:val="22"/>
        </w:rPr>
        <w:t xml:space="preserve"> Joint IOU Proposal at 2.</w:t>
      </w:r>
    </w:p>
  </w:footnote>
  <w:footnote w:id="7">
    <w:p w14:paraId="14EAD011" w14:textId="77777777" w:rsidR="00C16E4D" w:rsidRPr="00EB2D06" w:rsidRDefault="00C16E4D" w:rsidP="00015CC3">
      <w:pPr>
        <w:pStyle w:val="FootnoteText"/>
        <w:spacing w:before="80" w:after="80"/>
        <w:rPr>
          <w:rFonts w:cs="Times New Roman"/>
          <w:szCs w:val="22"/>
        </w:rPr>
      </w:pPr>
      <w:r w:rsidRPr="00EB2D06">
        <w:rPr>
          <w:rStyle w:val="FootnoteReference"/>
          <w:rFonts w:cs="Times New Roman"/>
          <w:szCs w:val="22"/>
        </w:rPr>
        <w:footnoteRef/>
      </w:r>
      <w:r w:rsidRPr="00EB2D06">
        <w:rPr>
          <w:rFonts w:cs="Times New Roman"/>
          <w:szCs w:val="22"/>
        </w:rPr>
        <w:t xml:space="preserve"> Joint IOU Proposal at 5.</w:t>
      </w:r>
    </w:p>
  </w:footnote>
  <w:footnote w:id="8">
    <w:p w14:paraId="0F3CDF17" w14:textId="77777777" w:rsidR="00C16E4D" w:rsidRPr="00EB2D06" w:rsidRDefault="00C16E4D" w:rsidP="00015CC3">
      <w:pPr>
        <w:pStyle w:val="FootnoteText"/>
        <w:spacing w:before="80" w:after="80"/>
        <w:rPr>
          <w:rFonts w:cs="Times New Roman"/>
          <w:szCs w:val="22"/>
        </w:rPr>
      </w:pPr>
      <w:r w:rsidRPr="00EB2D06">
        <w:rPr>
          <w:rStyle w:val="FootnoteReference"/>
          <w:rFonts w:cs="Times New Roman"/>
          <w:szCs w:val="22"/>
        </w:rPr>
        <w:footnoteRef/>
      </w:r>
      <w:r w:rsidRPr="00EB2D06">
        <w:rPr>
          <w:rFonts w:cs="Times New Roman"/>
          <w:szCs w:val="22"/>
        </w:rPr>
        <w:t xml:space="preserve"> Joint IOU Proposal at 6.</w:t>
      </w:r>
    </w:p>
  </w:footnote>
  <w:footnote w:id="9">
    <w:p w14:paraId="2D4730B3" w14:textId="77777777" w:rsidR="00C16E4D" w:rsidRPr="00765317" w:rsidRDefault="00C16E4D"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Joint IOU Proposal at 7.</w:t>
      </w:r>
    </w:p>
  </w:footnote>
  <w:footnote w:id="10">
    <w:p w14:paraId="1F241779" w14:textId="209CFCEA" w:rsidR="00C16E4D" w:rsidRPr="00765317" w:rsidRDefault="00C16E4D"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Joint IOU Proposal at 7, Appendix B.2 - </w:t>
      </w:r>
      <w:r w:rsidR="00765317">
        <w:rPr>
          <w:rFonts w:cs="Times New Roman"/>
          <w:szCs w:val="22"/>
        </w:rPr>
        <w:t>at</w:t>
      </w:r>
      <w:r w:rsidRPr="00765317">
        <w:rPr>
          <w:rFonts w:cs="Times New Roman"/>
          <w:szCs w:val="22"/>
        </w:rPr>
        <w:t xml:space="preserve"> 7</w:t>
      </w:r>
      <w:r w:rsidR="00772E8D">
        <w:rPr>
          <w:rFonts w:cs="Times New Roman"/>
          <w:szCs w:val="22"/>
        </w:rPr>
        <w:t>.</w:t>
      </w:r>
    </w:p>
  </w:footnote>
  <w:footnote w:id="11">
    <w:p w14:paraId="46A54BA2" w14:textId="77777777" w:rsidR="00C16E4D" w:rsidRPr="00765317" w:rsidRDefault="00C16E4D"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Joint IOU Proposal at 6-7.</w:t>
      </w:r>
    </w:p>
  </w:footnote>
  <w:footnote w:id="12">
    <w:p w14:paraId="4E53550D" w14:textId="77777777" w:rsidR="00C16E4D" w:rsidRPr="00765317" w:rsidRDefault="00C16E4D"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Joint IOU Proposal at 7.</w:t>
      </w:r>
    </w:p>
  </w:footnote>
  <w:footnote w:id="13">
    <w:p w14:paraId="11F09F60" w14:textId="77777777" w:rsidR="00C16E4D" w:rsidRPr="00765317" w:rsidRDefault="00C16E4D"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Joint IOU Proposal at 12.</w:t>
      </w:r>
    </w:p>
  </w:footnote>
  <w:footnote w:id="14">
    <w:p w14:paraId="571EE557" w14:textId="77777777" w:rsidR="00C16E4D" w:rsidRPr="00765317" w:rsidRDefault="00C16E4D"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Joint IOU Proposal at 13.</w:t>
      </w:r>
    </w:p>
  </w:footnote>
  <w:footnote w:id="15">
    <w:p w14:paraId="57510EAD" w14:textId="77777777" w:rsidR="00C16E4D" w:rsidRPr="00765317" w:rsidRDefault="00C16E4D" w:rsidP="00015CC3">
      <w:pPr>
        <w:pStyle w:val="FootnoteText"/>
        <w:spacing w:before="80" w:after="80"/>
        <w:rPr>
          <w:rFonts w:eastAsia="Calibri" w:cs="Times New Roman"/>
          <w:szCs w:val="22"/>
        </w:rPr>
      </w:pPr>
      <w:r w:rsidRPr="00765317">
        <w:rPr>
          <w:rStyle w:val="FootnoteReference"/>
          <w:rFonts w:eastAsia="Calibri" w:cs="Times New Roman"/>
          <w:szCs w:val="22"/>
        </w:rPr>
        <w:footnoteRef/>
      </w:r>
      <w:r w:rsidRPr="00765317">
        <w:rPr>
          <w:rFonts w:eastAsia="Calibri" w:cs="Times New Roman"/>
          <w:szCs w:val="22"/>
        </w:rPr>
        <w:t xml:space="preserve"> Joint IOU Proposal at 13.</w:t>
      </w:r>
    </w:p>
  </w:footnote>
  <w:footnote w:id="16">
    <w:p w14:paraId="1323BB10" w14:textId="419F56AA"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CalCCA Opening Comment at 4-5</w:t>
      </w:r>
      <w:r w:rsidR="00772E8D">
        <w:rPr>
          <w:rFonts w:cs="Times New Roman"/>
          <w:szCs w:val="22"/>
        </w:rPr>
        <w:t>.</w:t>
      </w:r>
    </w:p>
  </w:footnote>
  <w:footnote w:id="17">
    <w:p w14:paraId="5CCC01B1" w14:textId="18CC9C0D"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CalCCA Opening Comment at 6-9</w:t>
      </w:r>
      <w:r w:rsidR="00772E8D">
        <w:rPr>
          <w:rFonts w:cs="Times New Roman"/>
          <w:szCs w:val="22"/>
        </w:rPr>
        <w:t>.</w:t>
      </w:r>
    </w:p>
  </w:footnote>
  <w:footnote w:id="18">
    <w:p w14:paraId="1969DBF0" w14:textId="7C8B6A3F"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CalCCA Opening Comment at 11-12</w:t>
      </w:r>
      <w:r w:rsidR="00772E8D">
        <w:rPr>
          <w:rFonts w:cs="Times New Roman"/>
          <w:szCs w:val="22"/>
        </w:rPr>
        <w:t>.</w:t>
      </w:r>
    </w:p>
  </w:footnote>
  <w:footnote w:id="19">
    <w:p w14:paraId="0D274A9A" w14:textId="0B77F6B0"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CalCCA Opening Comment at 12-13</w:t>
      </w:r>
      <w:r w:rsidR="00772E8D">
        <w:rPr>
          <w:rFonts w:cs="Times New Roman"/>
          <w:szCs w:val="22"/>
        </w:rPr>
        <w:t>.</w:t>
      </w:r>
    </w:p>
  </w:footnote>
  <w:footnote w:id="20">
    <w:p w14:paraId="3765A334" w14:textId="77777777"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Cal Advocates Opening Comment at 1-2, </w:t>
      </w:r>
      <w:r w:rsidRPr="00765317">
        <w:rPr>
          <w:rFonts w:cs="Times New Roman"/>
          <w:i/>
          <w:iCs/>
          <w:szCs w:val="22"/>
        </w:rPr>
        <w:t>citing</w:t>
      </w:r>
      <w:r w:rsidRPr="00765317">
        <w:rPr>
          <w:rFonts w:cs="Times New Roman"/>
          <w:szCs w:val="22"/>
        </w:rPr>
        <w:t xml:space="preserve"> D.21-05-030, 64, Ordering Paragraph 3(b). </w:t>
      </w:r>
    </w:p>
  </w:footnote>
  <w:footnote w:id="21">
    <w:p w14:paraId="79CBE9E0" w14:textId="77777777"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AReM and Shell Opening Comments at 4-5.</w:t>
      </w:r>
    </w:p>
  </w:footnote>
  <w:footnote w:id="22">
    <w:p w14:paraId="1ED8403F" w14:textId="77777777"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AReM and Shell Opening Comments at 5.</w:t>
      </w:r>
    </w:p>
  </w:footnote>
  <w:footnote w:id="23">
    <w:p w14:paraId="69256CC1" w14:textId="77777777"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AReM and Shell Opening Comments at 3-4.</w:t>
      </w:r>
    </w:p>
  </w:footnote>
  <w:footnote w:id="24">
    <w:p w14:paraId="5BCA06F9" w14:textId="77777777"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GPI Opening Comment at 1-2.</w:t>
      </w:r>
    </w:p>
  </w:footnote>
  <w:footnote w:id="25">
    <w:p w14:paraId="707A56A5" w14:textId="77777777" w:rsidR="005448C6" w:rsidRPr="00765317" w:rsidRDefault="005448C6"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GPI Opening Comment at 2.</w:t>
      </w:r>
    </w:p>
  </w:footnote>
  <w:footnote w:id="26">
    <w:p w14:paraId="0E6F9F35"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2.</w:t>
      </w:r>
    </w:p>
  </w:footnote>
  <w:footnote w:id="27">
    <w:p w14:paraId="6B3B6E9F" w14:textId="143F84E6"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3</w:t>
      </w:r>
      <w:r w:rsidR="00772E8D">
        <w:rPr>
          <w:rFonts w:cs="Times New Roman"/>
          <w:szCs w:val="22"/>
        </w:rPr>
        <w:t>.</w:t>
      </w:r>
    </w:p>
  </w:footnote>
  <w:footnote w:id="28">
    <w:p w14:paraId="620FB6B5" w14:textId="323B4444" w:rsidR="006E5A71" w:rsidRPr="00765317" w:rsidRDefault="006E5A71" w:rsidP="00015CC3">
      <w:pPr>
        <w:pStyle w:val="FootnoteText"/>
        <w:spacing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5-6; SCE Reply Comment at 5. PG&amp;E notes two exceptions where after-the-fact reasonableness review does apply:</w:t>
      </w:r>
      <w:r w:rsidR="00467370">
        <w:rPr>
          <w:rFonts w:cs="Times New Roman"/>
          <w:szCs w:val="22"/>
        </w:rPr>
        <w:t xml:space="preserve"> </w:t>
      </w:r>
      <w:r w:rsidRPr="00765317">
        <w:rPr>
          <w:rFonts w:cs="Times New Roman"/>
          <w:szCs w:val="22"/>
        </w:rPr>
        <w:t xml:space="preserve"> a.) reviewing compliance with contract terms and b.) for contracts that do not conform with Commission approve bundled procurement plans. PG&amp;E Reply Comment at 6, fn. 10.</w:t>
      </w:r>
    </w:p>
  </w:footnote>
  <w:footnote w:id="29">
    <w:p w14:paraId="0FE11BCB"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4-5; SCE Reply Comment at 4-5; </w:t>
      </w:r>
      <w:r w:rsidRPr="00765317">
        <w:rPr>
          <w:rFonts w:cs="Times New Roman"/>
          <w:i/>
          <w:iCs/>
          <w:szCs w:val="22"/>
        </w:rPr>
        <w:t>see</w:t>
      </w:r>
      <w:r w:rsidRPr="00765317">
        <w:rPr>
          <w:rFonts w:cs="Times New Roman"/>
          <w:szCs w:val="22"/>
        </w:rPr>
        <w:t xml:space="preserve"> SDG&amp;E Reply Comment at 4-5.</w:t>
      </w:r>
    </w:p>
  </w:footnote>
  <w:footnote w:id="30">
    <w:p w14:paraId="49F3ECA6"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6-8; SCE Reply Comment at 4, 6.</w:t>
      </w:r>
    </w:p>
  </w:footnote>
  <w:footnote w:id="31">
    <w:p w14:paraId="2DCA7519"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8-9; SDG&amp;E Reply at 6.</w:t>
      </w:r>
    </w:p>
  </w:footnote>
  <w:footnote w:id="32">
    <w:p w14:paraId="4AFAFCEC"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SCE Reply Comment at 2-3.</w:t>
      </w:r>
    </w:p>
  </w:footnote>
  <w:footnote w:id="33">
    <w:p w14:paraId="19C5D675"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9.</w:t>
      </w:r>
    </w:p>
  </w:footnote>
  <w:footnote w:id="34">
    <w:p w14:paraId="55C10F7C"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9-10.</w:t>
      </w:r>
    </w:p>
  </w:footnote>
  <w:footnote w:id="35">
    <w:p w14:paraId="6A7BDEBD"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SCE Reply Comment at 3.</w:t>
      </w:r>
    </w:p>
  </w:footnote>
  <w:footnote w:id="36">
    <w:p w14:paraId="2D1CD892"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SDG&amp;E Reply Comment at 5.</w:t>
      </w:r>
    </w:p>
  </w:footnote>
  <w:footnote w:id="37">
    <w:p w14:paraId="46AD1FB2" w14:textId="77777777" w:rsidR="006E5A71" w:rsidRPr="00765317" w:rsidRDefault="006E5A71" w:rsidP="00015CC3">
      <w:pPr>
        <w:pStyle w:val="FootnoteText"/>
        <w:spacing w:before="80" w:after="80"/>
        <w:rPr>
          <w:rFonts w:cs="Times New Roman"/>
          <w:szCs w:val="22"/>
        </w:rPr>
      </w:pPr>
      <w:r w:rsidRPr="00765317">
        <w:rPr>
          <w:rStyle w:val="FootnoteReference"/>
          <w:rFonts w:eastAsia="Calibri" w:cs="Times New Roman"/>
          <w:szCs w:val="22"/>
        </w:rPr>
        <w:footnoteRef/>
      </w:r>
      <w:r w:rsidRPr="00765317">
        <w:rPr>
          <w:rFonts w:eastAsia="Calibri" w:cs="Times New Roman"/>
          <w:szCs w:val="22"/>
        </w:rPr>
        <w:t xml:space="preserve"> </w:t>
      </w:r>
      <w:r w:rsidRPr="00765317">
        <w:rPr>
          <w:rFonts w:cs="Times New Roman"/>
          <w:szCs w:val="22"/>
        </w:rPr>
        <w:t xml:space="preserve">PG&amp;E Reply Comment at 10-11, SDG&amp;E Reply Comment at 2; </w:t>
      </w:r>
      <w:r w:rsidRPr="00765317">
        <w:rPr>
          <w:rFonts w:cs="Times New Roman"/>
          <w:i/>
          <w:iCs/>
          <w:szCs w:val="22"/>
        </w:rPr>
        <w:t>see</w:t>
      </w:r>
      <w:r w:rsidRPr="00765317">
        <w:rPr>
          <w:rFonts w:cs="Times New Roman"/>
          <w:szCs w:val="22"/>
        </w:rPr>
        <w:t xml:space="preserve"> SCE Reply Comment at 6.</w:t>
      </w:r>
    </w:p>
  </w:footnote>
  <w:footnote w:id="38">
    <w:p w14:paraId="7AA5D484"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SCE Reply Comment at 8; SDG&amp;E Reply Comment at 9.</w:t>
      </w:r>
    </w:p>
  </w:footnote>
  <w:footnote w:id="39">
    <w:p w14:paraId="46D6B886"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SCE Reply Comment at 8-9.</w:t>
      </w:r>
    </w:p>
  </w:footnote>
  <w:footnote w:id="40">
    <w:p w14:paraId="46FEE0CC"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SDG&amp;E Reply at 9.</w:t>
      </w:r>
    </w:p>
  </w:footnote>
  <w:footnote w:id="41">
    <w:p w14:paraId="3B02CD26" w14:textId="77777777" w:rsidR="006E5A71" w:rsidRPr="00765317" w:rsidRDefault="006E5A71"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PG&amp;E Reply Comment at 11; SDG&amp;E Reply Comment at 9; SCE Reply at 9.</w:t>
      </w:r>
    </w:p>
  </w:footnote>
  <w:footnote w:id="42">
    <w:p w14:paraId="7584F8E1" w14:textId="77777777" w:rsidR="006E5A71" w:rsidRPr="007442D2" w:rsidRDefault="006E5A71" w:rsidP="00015CC3">
      <w:pPr>
        <w:pStyle w:val="FootnoteText"/>
        <w:spacing w:before="80" w:after="80"/>
        <w:rPr>
          <w:rFonts w:ascii="Times New Roman" w:hAnsi="Times New Roman" w:cs="Times New Roman"/>
          <w:szCs w:val="22"/>
        </w:rPr>
      </w:pPr>
      <w:r w:rsidRPr="007442D2">
        <w:rPr>
          <w:rStyle w:val="FootnoteReference"/>
          <w:rFonts w:ascii="Times New Roman" w:hAnsi="Times New Roman" w:cs="Times New Roman"/>
          <w:szCs w:val="22"/>
        </w:rPr>
        <w:footnoteRef/>
      </w:r>
      <w:r w:rsidRPr="007442D2">
        <w:rPr>
          <w:rFonts w:ascii="Times New Roman" w:hAnsi="Times New Roman" w:cs="Times New Roman"/>
          <w:szCs w:val="22"/>
        </w:rPr>
        <w:t xml:space="preserve"> SCE Reply Comment at 10-11 (</w:t>
      </w:r>
      <w:r w:rsidRPr="007442D2">
        <w:rPr>
          <w:rFonts w:ascii="Times New Roman" w:hAnsi="Times New Roman" w:cs="Times New Roman"/>
          <w:i/>
          <w:iCs/>
          <w:szCs w:val="22"/>
        </w:rPr>
        <w:t>Citing</w:t>
      </w:r>
      <w:r w:rsidRPr="007442D2">
        <w:rPr>
          <w:rFonts w:ascii="Times New Roman" w:hAnsi="Times New Roman" w:cs="Times New Roman"/>
          <w:szCs w:val="22"/>
        </w:rPr>
        <w:t xml:space="preserve"> D.21-05-030 at 21-22.); PG&amp;E Reply Comment at 12-13.</w:t>
      </w:r>
    </w:p>
  </w:footnote>
  <w:footnote w:id="43">
    <w:p w14:paraId="094CB3EC" w14:textId="77777777" w:rsidR="006E5A71" w:rsidRPr="007442D2" w:rsidRDefault="006E5A71" w:rsidP="00015CC3">
      <w:pPr>
        <w:pStyle w:val="FootnoteText"/>
        <w:spacing w:before="80" w:after="80"/>
        <w:rPr>
          <w:rFonts w:ascii="Times New Roman" w:hAnsi="Times New Roman" w:cs="Times New Roman"/>
          <w:szCs w:val="22"/>
        </w:rPr>
      </w:pPr>
      <w:r w:rsidRPr="007442D2">
        <w:rPr>
          <w:rStyle w:val="FootnoteReference"/>
          <w:rFonts w:ascii="Times New Roman" w:hAnsi="Times New Roman" w:cs="Times New Roman"/>
          <w:szCs w:val="22"/>
        </w:rPr>
        <w:footnoteRef/>
      </w:r>
      <w:r w:rsidRPr="007442D2">
        <w:rPr>
          <w:rFonts w:ascii="Times New Roman" w:hAnsi="Times New Roman" w:cs="Times New Roman"/>
          <w:szCs w:val="22"/>
        </w:rPr>
        <w:t xml:space="preserve"> SCE Reply Comment at 8.</w:t>
      </w:r>
    </w:p>
  </w:footnote>
  <w:footnote w:id="44">
    <w:p w14:paraId="179BEADD" w14:textId="77777777" w:rsidR="006E5A71" w:rsidRPr="00015CC3" w:rsidRDefault="006E5A71" w:rsidP="006E5A71">
      <w:pPr>
        <w:autoSpaceDE w:val="0"/>
        <w:autoSpaceDN w:val="0"/>
        <w:adjustRightInd w:val="0"/>
        <w:spacing w:line="240" w:lineRule="auto"/>
        <w:ind w:firstLine="0"/>
        <w:contextualSpacing/>
        <w:rPr>
          <w:rFonts w:cs="Times New Roman"/>
          <w:sz w:val="22"/>
        </w:rPr>
      </w:pPr>
      <w:r w:rsidRPr="00015CC3">
        <w:rPr>
          <w:rStyle w:val="FootnoteReference"/>
          <w:rFonts w:cs="Times New Roman"/>
          <w:sz w:val="22"/>
        </w:rPr>
        <w:footnoteRef/>
      </w:r>
      <w:r w:rsidRPr="00015CC3">
        <w:rPr>
          <w:rFonts w:cs="Times New Roman"/>
          <w:sz w:val="22"/>
        </w:rPr>
        <w:t xml:space="preserve"> SDG&amp;E Reply Comment at 6-7, (</w:t>
      </w:r>
      <w:r w:rsidRPr="00015CC3">
        <w:rPr>
          <w:rFonts w:cs="Times New Roman"/>
          <w:i/>
          <w:iCs/>
          <w:sz w:val="22"/>
        </w:rPr>
        <w:t xml:space="preserve">Citing </w:t>
      </w:r>
      <w:r w:rsidRPr="00015CC3">
        <w:rPr>
          <w:rFonts w:cs="Times New Roman"/>
          <w:sz w:val="22"/>
        </w:rPr>
        <w:t xml:space="preserve">Letter from SDG&amp;E, Clay Faber, Director Regulatory Affairs to CPUC, Energy Division Tariff Unit, </w:t>
      </w:r>
      <w:r w:rsidRPr="00015CC3">
        <w:rPr>
          <w:rFonts w:cs="Times New Roman"/>
          <w:i/>
          <w:iCs/>
          <w:sz w:val="22"/>
        </w:rPr>
        <w:t xml:space="preserve">Comments of SDG&amp;E on Draft Resolution E-5216 </w:t>
      </w:r>
      <w:r w:rsidRPr="00015CC3">
        <w:rPr>
          <w:rFonts w:cs="Times New Roman"/>
          <w:sz w:val="22"/>
        </w:rPr>
        <w:t>(June 9, 2022) at 2.)</w:t>
      </w:r>
    </w:p>
  </w:footnote>
  <w:footnote w:id="45">
    <w:p w14:paraId="538DD15D" w14:textId="63DA1F8E" w:rsidR="006E5A71" w:rsidRPr="00015CC3" w:rsidRDefault="006E5A71" w:rsidP="00015CC3">
      <w:pPr>
        <w:pStyle w:val="FootnoteText"/>
        <w:spacing w:before="80" w:after="80"/>
        <w:rPr>
          <w:rFonts w:cs="Times New Roman"/>
          <w:szCs w:val="22"/>
        </w:rPr>
      </w:pPr>
      <w:r w:rsidRPr="00015CC3">
        <w:rPr>
          <w:rStyle w:val="FootnoteReference"/>
          <w:rFonts w:cs="Times New Roman"/>
          <w:szCs w:val="22"/>
        </w:rPr>
        <w:footnoteRef/>
      </w:r>
      <w:r w:rsidRPr="00015CC3">
        <w:rPr>
          <w:rFonts w:cs="Times New Roman"/>
          <w:szCs w:val="22"/>
        </w:rPr>
        <w:t xml:space="preserve"> SDG&amp;E Reply Comment at 7-8</w:t>
      </w:r>
      <w:r w:rsidR="00772E8D">
        <w:rPr>
          <w:rFonts w:cs="Times New Roman"/>
          <w:szCs w:val="22"/>
        </w:rPr>
        <w:t>.</w:t>
      </w:r>
    </w:p>
  </w:footnote>
  <w:footnote w:id="46">
    <w:p w14:paraId="02A5B5A7" w14:textId="41F966AC" w:rsidR="006E5A71" w:rsidRPr="00015CC3" w:rsidRDefault="006E5A71" w:rsidP="00015CC3">
      <w:pPr>
        <w:pStyle w:val="FootnoteText"/>
        <w:spacing w:before="80" w:after="80"/>
        <w:rPr>
          <w:rFonts w:cs="Times New Roman"/>
          <w:szCs w:val="22"/>
        </w:rPr>
      </w:pPr>
      <w:r w:rsidRPr="00015CC3">
        <w:rPr>
          <w:rStyle w:val="FootnoteReference"/>
          <w:rFonts w:cs="Times New Roman"/>
          <w:szCs w:val="22"/>
        </w:rPr>
        <w:footnoteRef/>
      </w:r>
      <w:r w:rsidRPr="00015CC3">
        <w:rPr>
          <w:rFonts w:cs="Times New Roman"/>
          <w:szCs w:val="22"/>
        </w:rPr>
        <w:t xml:space="preserve"> SDG&amp;E Reply Comment at 8</w:t>
      </w:r>
      <w:r w:rsidR="00772E8D">
        <w:rPr>
          <w:rFonts w:cs="Times New Roman"/>
          <w:szCs w:val="22"/>
        </w:rPr>
        <w:t>.</w:t>
      </w:r>
    </w:p>
  </w:footnote>
  <w:footnote w:id="47">
    <w:p w14:paraId="6B161945" w14:textId="17E4B764" w:rsidR="007B079E" w:rsidRPr="00015CC3" w:rsidRDefault="007B079E" w:rsidP="00015CC3">
      <w:pPr>
        <w:pStyle w:val="FootnoteText"/>
        <w:spacing w:before="80" w:after="80"/>
        <w:rPr>
          <w:rFonts w:cs="Times New Roman"/>
          <w:szCs w:val="22"/>
        </w:rPr>
      </w:pPr>
      <w:r w:rsidRPr="00015CC3">
        <w:rPr>
          <w:rStyle w:val="FootnoteReference"/>
          <w:rFonts w:cs="Times New Roman"/>
          <w:szCs w:val="22"/>
        </w:rPr>
        <w:footnoteRef/>
      </w:r>
      <w:r w:rsidRPr="00015CC3">
        <w:rPr>
          <w:rFonts w:cs="Times New Roman"/>
          <w:szCs w:val="22"/>
        </w:rPr>
        <w:t xml:space="preserve"> Joint IOU Proposal at 11-12</w:t>
      </w:r>
      <w:r w:rsidR="00772E8D">
        <w:rPr>
          <w:rFonts w:cs="Times New Roman"/>
          <w:szCs w:val="22"/>
        </w:rPr>
        <w:t>.</w:t>
      </w:r>
    </w:p>
  </w:footnote>
  <w:footnote w:id="48">
    <w:p w14:paraId="1F9BE563" w14:textId="3C5C482D" w:rsidR="00C85713" w:rsidRPr="00734C75" w:rsidRDefault="00C85713" w:rsidP="00015CC3">
      <w:pPr>
        <w:pStyle w:val="FootnoteText"/>
        <w:spacing w:before="80" w:after="80"/>
        <w:rPr>
          <w:rFonts w:cs="Times New Roman"/>
          <w:szCs w:val="22"/>
        </w:rPr>
      </w:pPr>
      <w:r w:rsidRPr="007442D2">
        <w:rPr>
          <w:rStyle w:val="FootnoteReference"/>
          <w:rFonts w:ascii="Times New Roman" w:hAnsi="Times New Roman" w:cs="Times New Roman"/>
          <w:szCs w:val="22"/>
        </w:rPr>
        <w:footnoteRef/>
      </w:r>
      <w:r w:rsidRPr="007442D2">
        <w:rPr>
          <w:rFonts w:ascii="Times New Roman" w:hAnsi="Times New Roman" w:cs="Times New Roman"/>
          <w:szCs w:val="22"/>
        </w:rPr>
        <w:t xml:space="preserve"> </w:t>
      </w:r>
      <w:r w:rsidRPr="00734C75">
        <w:rPr>
          <w:rFonts w:cs="Times New Roman"/>
          <w:szCs w:val="22"/>
        </w:rPr>
        <w:t>Joint IOU Proposal at 4-5</w:t>
      </w:r>
      <w:r w:rsidR="00772E8D">
        <w:rPr>
          <w:rFonts w:cs="Times New Roman"/>
          <w:szCs w:val="22"/>
        </w:rPr>
        <w:t>.</w:t>
      </w:r>
    </w:p>
  </w:footnote>
  <w:footnote w:id="49">
    <w:p w14:paraId="3ABBC1DC" w14:textId="6C1DADB9" w:rsidR="00C85713" w:rsidRPr="00734C75" w:rsidRDefault="00C85713" w:rsidP="00015CC3">
      <w:pPr>
        <w:pStyle w:val="FootnoteText"/>
        <w:spacing w:before="80" w:after="80"/>
        <w:rPr>
          <w:rFonts w:cs="Times New Roman"/>
          <w:szCs w:val="22"/>
        </w:rPr>
      </w:pPr>
      <w:r w:rsidRPr="007442D2">
        <w:rPr>
          <w:rStyle w:val="FootnoteReference"/>
          <w:rFonts w:ascii="Times New Roman" w:hAnsi="Times New Roman" w:cs="Times New Roman"/>
          <w:szCs w:val="22"/>
        </w:rPr>
        <w:footnoteRef/>
      </w:r>
      <w:r w:rsidRPr="007442D2">
        <w:rPr>
          <w:rFonts w:ascii="Times New Roman" w:hAnsi="Times New Roman" w:cs="Times New Roman"/>
          <w:szCs w:val="22"/>
        </w:rPr>
        <w:t xml:space="preserve"> </w:t>
      </w:r>
      <w:r w:rsidRPr="00734C75">
        <w:rPr>
          <w:rFonts w:cs="Times New Roman"/>
          <w:szCs w:val="22"/>
        </w:rPr>
        <w:t>D.21-05-030 at 24, OP 3, 4</w:t>
      </w:r>
      <w:r w:rsidR="0035264F">
        <w:rPr>
          <w:rFonts w:cs="Times New Roman"/>
          <w:szCs w:val="22"/>
        </w:rPr>
        <w:t>.</w:t>
      </w:r>
    </w:p>
  </w:footnote>
  <w:footnote w:id="50">
    <w:p w14:paraId="05420752" w14:textId="39C8903C" w:rsidR="005C306D" w:rsidRPr="005C306D" w:rsidRDefault="005C306D">
      <w:pPr>
        <w:pStyle w:val="FootnoteText"/>
        <w:rPr>
          <w:lang w:val="en-ZW"/>
        </w:rPr>
      </w:pPr>
      <w:r>
        <w:rPr>
          <w:rStyle w:val="FootnoteReference"/>
        </w:rPr>
        <w:footnoteRef/>
      </w:r>
      <w:r>
        <w:t xml:space="preserve"> </w:t>
      </w:r>
      <w:r w:rsidRPr="005C306D">
        <w:t>D.18-10-019 at 3.</w:t>
      </w:r>
    </w:p>
  </w:footnote>
  <w:footnote w:id="51">
    <w:p w14:paraId="5DB01BB8" w14:textId="16468624" w:rsidR="00350E8E" w:rsidRPr="00350E8E" w:rsidRDefault="00350E8E">
      <w:pPr>
        <w:pStyle w:val="FootnoteText"/>
        <w:rPr>
          <w:lang w:val="en-ZW"/>
        </w:rPr>
      </w:pPr>
      <w:r>
        <w:rPr>
          <w:rStyle w:val="FootnoteReference"/>
        </w:rPr>
        <w:footnoteRef/>
      </w:r>
      <w:r>
        <w:t xml:space="preserve"> </w:t>
      </w:r>
      <w:r w:rsidR="000C2363">
        <w:rPr>
          <w:szCs w:val="22"/>
          <w:shd w:val="clear" w:color="auto" w:fill="FAF9F8"/>
        </w:rPr>
        <w:t>D.21-05-030 at 24.</w:t>
      </w:r>
    </w:p>
  </w:footnote>
  <w:footnote w:id="52">
    <w:p w14:paraId="51561BDF" w14:textId="51755C6B" w:rsidR="006D7C92" w:rsidRPr="0043521D" w:rsidRDefault="006D7C92">
      <w:pPr>
        <w:pStyle w:val="FootnoteText"/>
        <w:rPr>
          <w:lang w:val="en-ZW"/>
        </w:rPr>
      </w:pPr>
      <w:r>
        <w:rPr>
          <w:rStyle w:val="FootnoteReference"/>
        </w:rPr>
        <w:footnoteRef/>
      </w:r>
      <w:r>
        <w:t xml:space="preserve"> </w:t>
      </w:r>
      <w:r w:rsidR="009A67E1">
        <w:rPr>
          <w:lang w:val="en-ZW"/>
        </w:rPr>
        <w:t>AReM and Shell Opening Comments at 4.</w:t>
      </w:r>
    </w:p>
  </w:footnote>
  <w:footnote w:id="53">
    <w:p w14:paraId="4E6B5E55" w14:textId="4459FF1C" w:rsidR="00170439" w:rsidRPr="0043521D" w:rsidRDefault="00170439">
      <w:pPr>
        <w:pStyle w:val="FootnoteText"/>
        <w:rPr>
          <w:lang w:val="en-ZW"/>
        </w:rPr>
      </w:pPr>
      <w:r>
        <w:rPr>
          <w:rStyle w:val="FootnoteReference"/>
        </w:rPr>
        <w:footnoteRef/>
      </w:r>
      <w:r>
        <w:t xml:space="preserve"> </w:t>
      </w:r>
      <w:r>
        <w:rPr>
          <w:lang w:val="en-ZW"/>
        </w:rPr>
        <w:t xml:space="preserve">SCE Reply Comments at </w:t>
      </w:r>
      <w:r w:rsidR="006A73DD">
        <w:rPr>
          <w:lang w:val="en-ZW"/>
        </w:rPr>
        <w:t>8-9.</w:t>
      </w:r>
    </w:p>
  </w:footnote>
  <w:footnote w:id="54">
    <w:p w14:paraId="090173D8" w14:textId="427AC0E3" w:rsidR="00A70566" w:rsidRPr="00765317" w:rsidRDefault="00A70566" w:rsidP="00765317">
      <w:pPr>
        <w:pStyle w:val="FootnoteText"/>
        <w:contextualSpacing/>
        <w:rPr>
          <w:rFonts w:cs="Times New Roman"/>
          <w:szCs w:val="22"/>
        </w:rPr>
      </w:pPr>
      <w:r w:rsidRPr="00765317">
        <w:rPr>
          <w:rStyle w:val="FootnoteReference"/>
          <w:rFonts w:cs="Times New Roman"/>
          <w:szCs w:val="22"/>
        </w:rPr>
        <w:footnoteRef/>
      </w:r>
      <w:r w:rsidRPr="00765317">
        <w:rPr>
          <w:rFonts w:cs="Times New Roman"/>
          <w:szCs w:val="22"/>
        </w:rPr>
        <w:t xml:space="preserve"> D.21-05-030 at 10 (</w:t>
      </w:r>
      <w:r w:rsidRPr="00765317">
        <w:rPr>
          <w:rFonts w:cs="Times New Roman"/>
          <w:i/>
          <w:iCs/>
          <w:szCs w:val="22"/>
        </w:rPr>
        <w:t>Citing</w:t>
      </w:r>
      <w:r w:rsidRPr="00765317">
        <w:rPr>
          <w:rFonts w:cs="Times New Roman"/>
          <w:szCs w:val="22"/>
        </w:rPr>
        <w:t xml:space="preserve"> D.18-10-019; February 1, 2019 Scoping Memo (R.17-06-026)), OP 4.</w:t>
      </w:r>
    </w:p>
  </w:footnote>
  <w:footnote w:id="55">
    <w:p w14:paraId="09543EFA" w14:textId="3B49BFD0" w:rsidR="007A26D5" w:rsidRPr="00765317" w:rsidRDefault="007A26D5" w:rsidP="00765317">
      <w:pPr>
        <w:pStyle w:val="NormalWeb"/>
        <w:spacing w:before="0" w:beforeAutospacing="0" w:after="120" w:afterAutospacing="0"/>
        <w:rPr>
          <w:rFonts w:ascii="Book Antiqua" w:hAnsi="Book Antiqua"/>
          <w:sz w:val="22"/>
          <w:szCs w:val="22"/>
          <w:lang w:val="en-ZW"/>
        </w:rPr>
      </w:pPr>
      <w:r w:rsidRPr="00765317">
        <w:rPr>
          <w:rStyle w:val="FootnoteReference"/>
          <w:rFonts w:ascii="Book Antiqua" w:hAnsi="Book Antiqua"/>
          <w:sz w:val="22"/>
          <w:szCs w:val="22"/>
        </w:rPr>
        <w:footnoteRef/>
      </w:r>
      <w:r w:rsidRPr="00765317">
        <w:rPr>
          <w:rFonts w:ascii="Book Antiqua" w:hAnsi="Book Antiqua"/>
          <w:sz w:val="22"/>
          <w:szCs w:val="22"/>
        </w:rPr>
        <w:t xml:space="preserve"> </w:t>
      </w:r>
      <w:r w:rsidR="00CD1483" w:rsidRPr="00765317">
        <w:rPr>
          <w:rFonts w:ascii="Book Antiqua" w:hAnsi="Book Antiqua" w:cs="Segoe UI"/>
          <w:sz w:val="22"/>
          <w:szCs w:val="22"/>
        </w:rPr>
        <w:t>SCE 2022 RPS Plan (7/1) at  37 ("seeks to engage in short-term REC sales"); SDG&amp;E 2022 RPS Plan (7/1) at  5 ("optional authorization to sell RPS volumes in accordance to SDG&amp;E’s RECs Sales Framework"); PG&amp;E 2022 RPS Plan (7/1) at 7, 90 ("a REC sales framework to provide PG&amp;E with the flexibility to sell volumes for 2023 and 2024 deliveries")</w:t>
      </w:r>
      <w:r w:rsidR="00772E8D">
        <w:rPr>
          <w:rFonts w:ascii="Book Antiqua" w:hAnsi="Book Antiqua" w:cs="Segoe UI"/>
          <w:sz w:val="22"/>
          <w:szCs w:val="22"/>
        </w:rPr>
        <w:t>.</w:t>
      </w:r>
    </w:p>
  </w:footnote>
  <w:footnote w:id="56">
    <w:p w14:paraId="7D8E05D2" w14:textId="77777777" w:rsidR="00803D0E" w:rsidRPr="00765317" w:rsidRDefault="00803D0E"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AReM and Shell Opening Comments at 5.</w:t>
      </w:r>
    </w:p>
  </w:footnote>
  <w:footnote w:id="57">
    <w:p w14:paraId="4C823AE1" w14:textId="77777777" w:rsidR="00803D0E" w:rsidRPr="00765317" w:rsidRDefault="00803D0E"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SCE Reply Comment at 10-11 (</w:t>
      </w:r>
      <w:r w:rsidRPr="00765317">
        <w:rPr>
          <w:rFonts w:cs="Times New Roman"/>
          <w:i/>
          <w:iCs/>
          <w:szCs w:val="22"/>
        </w:rPr>
        <w:t>Citing</w:t>
      </w:r>
      <w:r w:rsidRPr="00765317">
        <w:rPr>
          <w:rFonts w:cs="Times New Roman"/>
          <w:szCs w:val="22"/>
        </w:rPr>
        <w:t xml:space="preserve"> D.21-05-030 at 21-22.); PG&amp;E Reply Comment at 12-13.</w:t>
      </w:r>
    </w:p>
  </w:footnote>
  <w:footnote w:id="58">
    <w:p w14:paraId="043C9793" w14:textId="175063C2" w:rsidR="006B738D" w:rsidRPr="00765317" w:rsidRDefault="006B738D" w:rsidP="00015CC3">
      <w:pPr>
        <w:pStyle w:val="FootnoteText"/>
        <w:spacing w:before="80" w:after="80"/>
        <w:rPr>
          <w:rFonts w:cs="Times New Roman"/>
          <w:szCs w:val="22"/>
        </w:rPr>
      </w:pPr>
      <w:r w:rsidRPr="00765317">
        <w:rPr>
          <w:rStyle w:val="FootnoteReference"/>
          <w:rFonts w:cs="Times New Roman"/>
          <w:szCs w:val="22"/>
        </w:rPr>
        <w:footnoteRef/>
      </w:r>
      <w:r w:rsidRPr="00765317">
        <w:rPr>
          <w:rFonts w:cs="Times New Roman"/>
          <w:szCs w:val="22"/>
        </w:rPr>
        <w:t xml:space="preserve"> SCE Reply Comment at 7 (</w:t>
      </w:r>
      <w:r w:rsidRPr="00765317">
        <w:rPr>
          <w:rFonts w:cs="Times New Roman"/>
          <w:i/>
          <w:iCs/>
          <w:szCs w:val="22"/>
        </w:rPr>
        <w:t>Citing</w:t>
      </w:r>
      <w:r w:rsidRPr="00765317">
        <w:rPr>
          <w:rFonts w:cs="Times New Roman"/>
          <w:szCs w:val="22"/>
        </w:rPr>
        <w:t xml:space="preserve"> D.21-05-030 at 18, 24)</w:t>
      </w:r>
      <w:r w:rsidR="00772E8D">
        <w:rPr>
          <w:rFonts w:cs="Times New Roman"/>
          <w:szCs w:val="22"/>
        </w:rPr>
        <w:t>.</w:t>
      </w:r>
    </w:p>
  </w:footnote>
  <w:footnote w:id="59">
    <w:p w14:paraId="63C19E1F" w14:textId="77777777" w:rsidR="00803D0E" w:rsidRPr="00765317" w:rsidRDefault="00803D0E" w:rsidP="00765317">
      <w:pPr>
        <w:pStyle w:val="FootnoteText"/>
        <w:rPr>
          <w:rFonts w:cs="Times New Roman"/>
          <w:szCs w:val="22"/>
        </w:rPr>
      </w:pPr>
      <w:r w:rsidRPr="00765317">
        <w:rPr>
          <w:rStyle w:val="FootnoteReference"/>
          <w:rFonts w:cs="Times New Roman"/>
          <w:szCs w:val="22"/>
        </w:rPr>
        <w:footnoteRef/>
      </w:r>
      <w:r w:rsidRPr="00765317">
        <w:rPr>
          <w:rFonts w:cs="Times New Roman"/>
          <w:szCs w:val="22"/>
        </w:rPr>
        <w:t xml:space="preserve"> GPI Opening Comment at 2.</w:t>
      </w:r>
    </w:p>
  </w:footnote>
  <w:footnote w:id="60">
    <w:p w14:paraId="15DC0386" w14:textId="77777777" w:rsidR="00803D0E" w:rsidRPr="00765317" w:rsidRDefault="00803D0E" w:rsidP="00765317">
      <w:pPr>
        <w:pStyle w:val="FootnoteText"/>
        <w:rPr>
          <w:rFonts w:cs="Times New Roman"/>
          <w:szCs w:val="22"/>
        </w:rPr>
      </w:pPr>
      <w:r w:rsidRPr="00765317">
        <w:rPr>
          <w:rStyle w:val="FootnoteReference"/>
          <w:rFonts w:cs="Times New Roman"/>
          <w:szCs w:val="22"/>
        </w:rPr>
        <w:footnoteRef/>
      </w:r>
      <w:r w:rsidRPr="00765317">
        <w:rPr>
          <w:rFonts w:cs="Times New Roman"/>
          <w:szCs w:val="22"/>
        </w:rPr>
        <w:t xml:space="preserve"> SCE Reply Comment at 8.</w:t>
      </w:r>
    </w:p>
  </w:footnote>
  <w:footnote w:id="61">
    <w:p w14:paraId="2BB18FE6" w14:textId="77777777" w:rsidR="00803D0E" w:rsidRPr="002921D3" w:rsidRDefault="00803D0E" w:rsidP="002921D3">
      <w:pPr>
        <w:pStyle w:val="FootnoteText"/>
        <w:rPr>
          <w:rFonts w:cs="Times New Roman"/>
          <w:szCs w:val="22"/>
        </w:rPr>
      </w:pPr>
      <w:r w:rsidRPr="002921D3">
        <w:rPr>
          <w:rStyle w:val="FootnoteReference"/>
          <w:rFonts w:cs="Times New Roman"/>
          <w:szCs w:val="22"/>
        </w:rPr>
        <w:footnoteRef/>
      </w:r>
      <w:r w:rsidRPr="002921D3">
        <w:rPr>
          <w:rFonts w:cs="Times New Roman"/>
          <w:szCs w:val="22"/>
        </w:rPr>
        <w:t xml:space="preserve"> </w:t>
      </w:r>
      <w:r w:rsidRPr="002921D3">
        <w:rPr>
          <w:rFonts w:cs="Times New Roman"/>
          <w:i/>
          <w:iCs/>
          <w:szCs w:val="22"/>
        </w:rPr>
        <w:t>See</w:t>
      </w:r>
      <w:r w:rsidRPr="002921D3">
        <w:rPr>
          <w:rFonts w:cs="Times New Roman"/>
          <w:szCs w:val="22"/>
        </w:rPr>
        <w:t xml:space="preserve"> SCE Reply Comment at 8.</w:t>
      </w:r>
    </w:p>
  </w:footnote>
  <w:footnote w:id="62">
    <w:p w14:paraId="55EA376E" w14:textId="77777777" w:rsidR="00803D0E" w:rsidRPr="002921D3" w:rsidRDefault="00803D0E" w:rsidP="002921D3">
      <w:pPr>
        <w:pStyle w:val="FootnoteText"/>
        <w:rPr>
          <w:rFonts w:eastAsia="Calibri" w:cs="Times New Roman"/>
          <w:szCs w:val="22"/>
        </w:rPr>
      </w:pPr>
      <w:r w:rsidRPr="002921D3">
        <w:rPr>
          <w:rStyle w:val="FootnoteReference"/>
          <w:rFonts w:eastAsia="Calibri" w:cs="Times New Roman"/>
          <w:szCs w:val="22"/>
        </w:rPr>
        <w:footnoteRef/>
      </w:r>
      <w:r w:rsidRPr="002921D3">
        <w:rPr>
          <w:rFonts w:eastAsia="Calibri" w:cs="Times New Roman"/>
          <w:szCs w:val="22"/>
        </w:rPr>
        <w:t xml:space="preserve"> </w:t>
      </w:r>
      <w:r w:rsidRPr="002921D3">
        <w:rPr>
          <w:rFonts w:cs="Times New Roman"/>
          <w:szCs w:val="22"/>
        </w:rPr>
        <w:t>CalCCA Opening Comment at 13.</w:t>
      </w:r>
    </w:p>
  </w:footnote>
  <w:footnote w:id="63">
    <w:p w14:paraId="3A084217" w14:textId="77777777" w:rsidR="00803D0E" w:rsidRPr="002921D3" w:rsidRDefault="00803D0E" w:rsidP="002921D3">
      <w:pPr>
        <w:pStyle w:val="FootnoteText"/>
        <w:rPr>
          <w:rFonts w:eastAsia="Calibri" w:cs="Times New Roman"/>
          <w:szCs w:val="22"/>
        </w:rPr>
      </w:pPr>
      <w:r w:rsidRPr="002921D3">
        <w:rPr>
          <w:rStyle w:val="FootnoteReference"/>
          <w:rFonts w:eastAsia="Calibri" w:cs="Times New Roman"/>
          <w:szCs w:val="22"/>
        </w:rPr>
        <w:footnoteRef/>
      </w:r>
      <w:r w:rsidRPr="002921D3">
        <w:rPr>
          <w:rFonts w:eastAsia="Calibri" w:cs="Times New Roman"/>
          <w:szCs w:val="22"/>
        </w:rPr>
        <w:t xml:space="preserve"> </w:t>
      </w:r>
      <w:r w:rsidRPr="002921D3">
        <w:rPr>
          <w:rFonts w:cs="Times New Roman"/>
          <w:szCs w:val="22"/>
        </w:rPr>
        <w:t>CalCCA Opening Comment at 13.</w:t>
      </w:r>
    </w:p>
  </w:footnote>
  <w:footnote w:id="64">
    <w:p w14:paraId="01DAFE01" w14:textId="0274418E" w:rsidR="00982B97" w:rsidRPr="002921D3" w:rsidRDefault="00982B97" w:rsidP="002921D3">
      <w:pPr>
        <w:pStyle w:val="FootnoteText"/>
        <w:rPr>
          <w:lang w:val="en-ZW"/>
        </w:rPr>
      </w:pPr>
      <w:r w:rsidRPr="002921D3">
        <w:rPr>
          <w:rStyle w:val="FootnoteReference"/>
        </w:rPr>
        <w:footnoteRef/>
      </w:r>
      <w:r w:rsidRPr="002921D3">
        <w:t xml:space="preserve"> </w:t>
      </w:r>
      <w:r w:rsidRPr="002921D3">
        <w:rPr>
          <w:lang w:val="en-ZW"/>
        </w:rPr>
        <w:t>D.21-05-030 OP</w:t>
      </w:r>
      <w:r w:rsidR="00D06D00" w:rsidRPr="002921D3">
        <w:rPr>
          <w:lang w:val="en-ZW"/>
        </w:rPr>
        <w:t xml:space="preserve"> 3. </w:t>
      </w:r>
    </w:p>
  </w:footnote>
  <w:footnote w:id="65">
    <w:p w14:paraId="213A7D2C" w14:textId="020FD11D" w:rsidR="00BB01A3" w:rsidRPr="002921D3" w:rsidRDefault="00BB01A3" w:rsidP="002921D3">
      <w:pPr>
        <w:pStyle w:val="FootnoteText"/>
        <w:rPr>
          <w:rFonts w:cs="Times New Roman"/>
          <w:szCs w:val="22"/>
        </w:rPr>
      </w:pPr>
      <w:r w:rsidRPr="002921D3">
        <w:rPr>
          <w:rStyle w:val="FootnoteReference"/>
          <w:rFonts w:cs="Times New Roman"/>
          <w:szCs w:val="22"/>
        </w:rPr>
        <w:footnoteRef/>
      </w:r>
      <w:r w:rsidRPr="002921D3">
        <w:rPr>
          <w:rFonts w:cs="Times New Roman"/>
          <w:szCs w:val="22"/>
        </w:rPr>
        <w:t xml:space="preserve"> CalCCA Opening Comment at 5</w:t>
      </w:r>
      <w:r w:rsidR="00772E8D">
        <w:rPr>
          <w:rFonts w:cs="Times New Roman"/>
          <w:szCs w:val="22"/>
        </w:rPr>
        <w:t>.</w:t>
      </w:r>
    </w:p>
  </w:footnote>
  <w:footnote w:id="66">
    <w:p w14:paraId="004DDA1A" w14:textId="33D5EB86" w:rsidR="00390AD2" w:rsidRPr="002921D3" w:rsidRDefault="00390AD2" w:rsidP="00015CC3">
      <w:pPr>
        <w:pStyle w:val="FootnoteText"/>
        <w:spacing w:before="80" w:after="80"/>
        <w:rPr>
          <w:rFonts w:cs="Times New Roman"/>
          <w:szCs w:val="22"/>
        </w:rPr>
      </w:pPr>
      <w:r w:rsidRPr="002921D3">
        <w:rPr>
          <w:rStyle w:val="FootnoteReference"/>
          <w:rFonts w:cs="Times New Roman"/>
          <w:szCs w:val="22"/>
        </w:rPr>
        <w:footnoteRef/>
      </w:r>
      <w:r w:rsidRPr="002921D3">
        <w:rPr>
          <w:rFonts w:cs="Times New Roman"/>
          <w:szCs w:val="22"/>
        </w:rPr>
        <w:t xml:space="preserve"> CalCCA Opening Comment at 5</w:t>
      </w:r>
      <w:r w:rsidR="00772E8D">
        <w:rPr>
          <w:rFonts w:cs="Times New Roman"/>
          <w:szCs w:val="22"/>
        </w:rPr>
        <w:t>.</w:t>
      </w:r>
    </w:p>
  </w:footnote>
  <w:footnote w:id="67">
    <w:p w14:paraId="485D1241" w14:textId="30B9510B" w:rsidR="00FC48BA" w:rsidRPr="002921D3" w:rsidRDefault="00FC48BA" w:rsidP="00015CC3">
      <w:pPr>
        <w:pStyle w:val="FootnoteText"/>
        <w:spacing w:before="80" w:after="80"/>
        <w:rPr>
          <w:rFonts w:cs="Times New Roman"/>
          <w:szCs w:val="22"/>
        </w:rPr>
      </w:pPr>
      <w:r w:rsidRPr="002921D3">
        <w:rPr>
          <w:rStyle w:val="FootnoteReference"/>
          <w:rFonts w:cs="Times New Roman"/>
          <w:szCs w:val="22"/>
        </w:rPr>
        <w:footnoteRef/>
      </w:r>
      <w:r w:rsidRPr="002921D3">
        <w:rPr>
          <w:rFonts w:cs="Times New Roman"/>
          <w:szCs w:val="22"/>
        </w:rPr>
        <w:t xml:space="preserve"> CalCCA Opening Comment at 6</w:t>
      </w:r>
      <w:r w:rsidR="00772E8D">
        <w:rPr>
          <w:rFonts w:cs="Times New Roman"/>
          <w:szCs w:val="22"/>
        </w:rPr>
        <w:t>.</w:t>
      </w:r>
    </w:p>
  </w:footnote>
  <w:footnote w:id="68">
    <w:p w14:paraId="11559E7E" w14:textId="52656FA2" w:rsidR="00F550DD" w:rsidRPr="002921D3" w:rsidRDefault="00F550DD" w:rsidP="00015CC3">
      <w:pPr>
        <w:pStyle w:val="FootnoteText"/>
        <w:spacing w:before="80" w:after="80"/>
        <w:rPr>
          <w:lang w:val="en-ZW"/>
        </w:rPr>
      </w:pPr>
      <w:r w:rsidRPr="002921D3">
        <w:rPr>
          <w:rStyle w:val="FootnoteReference"/>
        </w:rPr>
        <w:footnoteRef/>
      </w:r>
      <w:r w:rsidRPr="002921D3">
        <w:t xml:space="preserve"> </w:t>
      </w:r>
      <w:r w:rsidRPr="002921D3">
        <w:rPr>
          <w:lang w:val="en-ZW"/>
        </w:rPr>
        <w:t>SDG&amp;E Reply</w:t>
      </w:r>
      <w:r w:rsidR="003C3EE9">
        <w:rPr>
          <w:lang w:val="en-ZW"/>
        </w:rPr>
        <w:t xml:space="preserve"> Comment</w:t>
      </w:r>
      <w:r w:rsidRPr="002921D3">
        <w:rPr>
          <w:lang w:val="en-ZW"/>
        </w:rPr>
        <w:t xml:space="preserve"> at 3.</w:t>
      </w:r>
    </w:p>
  </w:footnote>
  <w:footnote w:id="69">
    <w:p w14:paraId="45A5CC8C" w14:textId="086495A2" w:rsidR="0038691E" w:rsidRPr="002921D3" w:rsidRDefault="0038691E" w:rsidP="00015CC3">
      <w:pPr>
        <w:pStyle w:val="FootnoteText"/>
        <w:spacing w:before="80" w:after="80"/>
        <w:rPr>
          <w:rFonts w:cs="Times New Roman"/>
          <w:szCs w:val="22"/>
        </w:rPr>
      </w:pPr>
      <w:r w:rsidRPr="002921D3">
        <w:rPr>
          <w:rStyle w:val="FootnoteReference"/>
          <w:rFonts w:cs="Times New Roman"/>
          <w:szCs w:val="22"/>
        </w:rPr>
        <w:footnoteRef/>
      </w:r>
      <w:r w:rsidRPr="002921D3">
        <w:rPr>
          <w:rFonts w:cs="Times New Roman"/>
          <w:szCs w:val="22"/>
        </w:rPr>
        <w:t xml:space="preserve"> SDG&amp;E Reply Comment at 3</w:t>
      </w:r>
      <w:r w:rsidR="000E4374" w:rsidRPr="002921D3">
        <w:rPr>
          <w:rFonts w:cs="Times New Roman"/>
          <w:szCs w:val="22"/>
        </w:rPr>
        <w:t>.</w:t>
      </w:r>
    </w:p>
  </w:footnote>
  <w:footnote w:id="70">
    <w:p w14:paraId="40DD1A1C" w14:textId="17194DB2" w:rsidR="00AE31B9" w:rsidRPr="002921D3" w:rsidRDefault="00AE31B9" w:rsidP="00015CC3">
      <w:pPr>
        <w:pStyle w:val="FootnoteText"/>
        <w:spacing w:before="80" w:after="80"/>
        <w:rPr>
          <w:lang w:val="en-ZW"/>
        </w:rPr>
      </w:pPr>
      <w:r w:rsidRPr="002921D3">
        <w:rPr>
          <w:rStyle w:val="FootnoteReference"/>
        </w:rPr>
        <w:footnoteRef/>
      </w:r>
      <w:r w:rsidRPr="002921D3">
        <w:t xml:space="preserve"> </w:t>
      </w:r>
      <w:r w:rsidRPr="002921D3">
        <w:rPr>
          <w:i/>
          <w:iCs/>
          <w:lang w:val="en-ZW"/>
        </w:rPr>
        <w:t>Id</w:t>
      </w:r>
      <w:r w:rsidRPr="002921D3">
        <w:rPr>
          <w:lang w:val="en-ZW"/>
        </w:rPr>
        <w:t>.</w:t>
      </w:r>
    </w:p>
  </w:footnote>
  <w:footnote w:id="71">
    <w:p w14:paraId="04A4F2CD" w14:textId="77777777" w:rsidR="0038691E" w:rsidRPr="002921D3" w:rsidRDefault="0038691E" w:rsidP="00015CC3">
      <w:pPr>
        <w:pStyle w:val="FootnoteText"/>
        <w:spacing w:before="80" w:after="80"/>
        <w:rPr>
          <w:rFonts w:cs="Times New Roman"/>
          <w:szCs w:val="22"/>
        </w:rPr>
      </w:pPr>
      <w:r w:rsidRPr="002921D3">
        <w:rPr>
          <w:rStyle w:val="FootnoteReference"/>
          <w:rFonts w:cs="Times New Roman"/>
          <w:szCs w:val="22"/>
        </w:rPr>
        <w:footnoteRef/>
      </w:r>
      <w:r w:rsidRPr="002921D3">
        <w:rPr>
          <w:rFonts w:cs="Times New Roman"/>
          <w:szCs w:val="22"/>
        </w:rPr>
        <w:t xml:space="preserve"> SCE Reply Comment at 6-7.</w:t>
      </w:r>
    </w:p>
  </w:footnote>
  <w:footnote w:id="72">
    <w:p w14:paraId="442D6B09" w14:textId="77777777" w:rsidR="00037357" w:rsidRPr="002921D3" w:rsidRDefault="00037357" w:rsidP="002921D3">
      <w:pPr>
        <w:pStyle w:val="FootnoteText"/>
      </w:pPr>
      <w:r w:rsidRPr="002921D3">
        <w:rPr>
          <w:rStyle w:val="FootnoteReference"/>
        </w:rPr>
        <w:footnoteRef/>
      </w:r>
      <w:r w:rsidRPr="002921D3">
        <w:t xml:space="preserve"> SCE’s Final 2021 RPS Procurement Plan, Appendix E.1 at 3.</w:t>
      </w:r>
    </w:p>
  </w:footnote>
  <w:footnote w:id="73">
    <w:p w14:paraId="3AF68737" w14:textId="5066E9EA" w:rsidR="003D39A9" w:rsidRPr="002921D3" w:rsidRDefault="003D39A9" w:rsidP="002921D3">
      <w:pPr>
        <w:pStyle w:val="FootnoteText"/>
        <w:contextualSpacing/>
        <w:rPr>
          <w:rFonts w:cs="Times New Roman"/>
          <w:szCs w:val="22"/>
        </w:rPr>
      </w:pPr>
      <w:r w:rsidRPr="002921D3">
        <w:rPr>
          <w:rStyle w:val="FootnoteReference"/>
          <w:rFonts w:cs="Times New Roman"/>
          <w:szCs w:val="22"/>
        </w:rPr>
        <w:footnoteRef/>
      </w:r>
      <w:r w:rsidRPr="002921D3">
        <w:rPr>
          <w:rFonts w:cs="Times New Roman"/>
          <w:szCs w:val="22"/>
        </w:rPr>
        <w:t xml:space="preserve"> CalCCA Opening Comment at 6-9</w:t>
      </w:r>
      <w:r w:rsidR="00772E8D">
        <w:rPr>
          <w:rFonts w:cs="Times New Roman"/>
          <w:szCs w:val="22"/>
        </w:rPr>
        <w:t>.</w:t>
      </w:r>
    </w:p>
  </w:footnote>
  <w:footnote w:id="74">
    <w:p w14:paraId="3FB91781" w14:textId="77777777" w:rsidR="00985167" w:rsidRPr="002921D3" w:rsidRDefault="00985167" w:rsidP="00015CC3">
      <w:pPr>
        <w:pStyle w:val="FootnoteText"/>
        <w:spacing w:before="80" w:after="80"/>
        <w:rPr>
          <w:rFonts w:cs="Times New Roman"/>
          <w:szCs w:val="22"/>
        </w:rPr>
      </w:pPr>
      <w:r w:rsidRPr="002921D3">
        <w:rPr>
          <w:rStyle w:val="FootnoteReference"/>
          <w:rFonts w:cs="Times New Roman"/>
          <w:szCs w:val="22"/>
        </w:rPr>
        <w:footnoteRef/>
      </w:r>
      <w:r w:rsidRPr="002921D3">
        <w:rPr>
          <w:rFonts w:cs="Times New Roman"/>
          <w:szCs w:val="22"/>
        </w:rPr>
        <w:t xml:space="preserve"> SDG&amp;E Reply Comment at 5.</w:t>
      </w:r>
    </w:p>
  </w:footnote>
  <w:footnote w:id="75">
    <w:p w14:paraId="5D567743" w14:textId="77777777" w:rsidR="0060725E" w:rsidRPr="002921D3" w:rsidRDefault="0060725E" w:rsidP="00015CC3">
      <w:pPr>
        <w:pStyle w:val="FootnoteText"/>
        <w:spacing w:before="80" w:after="80"/>
        <w:rPr>
          <w:rFonts w:cs="Times New Roman"/>
          <w:szCs w:val="22"/>
        </w:rPr>
      </w:pPr>
      <w:r w:rsidRPr="002921D3">
        <w:rPr>
          <w:rStyle w:val="FootnoteReference"/>
          <w:rFonts w:cs="Times New Roman"/>
          <w:szCs w:val="22"/>
        </w:rPr>
        <w:footnoteRef/>
      </w:r>
      <w:r w:rsidRPr="002921D3">
        <w:rPr>
          <w:rFonts w:cs="Times New Roman"/>
          <w:szCs w:val="22"/>
        </w:rPr>
        <w:t xml:space="preserve"> PG&amp;E Reply Comment at 9-10.</w:t>
      </w:r>
    </w:p>
  </w:footnote>
  <w:footnote w:id="76">
    <w:p w14:paraId="592A3282" w14:textId="77777777" w:rsidR="0060725E" w:rsidRPr="002921D3" w:rsidRDefault="0060725E" w:rsidP="00015CC3">
      <w:pPr>
        <w:pStyle w:val="FootnoteText"/>
        <w:spacing w:before="80" w:after="80"/>
        <w:rPr>
          <w:rFonts w:cs="Times New Roman"/>
          <w:szCs w:val="22"/>
        </w:rPr>
      </w:pPr>
      <w:r w:rsidRPr="002921D3">
        <w:rPr>
          <w:rStyle w:val="FootnoteReference"/>
          <w:rFonts w:cs="Times New Roman"/>
          <w:szCs w:val="22"/>
        </w:rPr>
        <w:footnoteRef/>
      </w:r>
      <w:r w:rsidRPr="002921D3">
        <w:rPr>
          <w:rFonts w:cs="Times New Roman"/>
          <w:szCs w:val="22"/>
        </w:rPr>
        <w:t xml:space="preserve"> PG&amp;E Reply Comment at 9.</w:t>
      </w:r>
    </w:p>
  </w:footnote>
  <w:footnote w:id="77">
    <w:p w14:paraId="6508904C" w14:textId="17288476" w:rsidR="003D39A9" w:rsidRPr="002921D3" w:rsidRDefault="003D39A9" w:rsidP="002921D3">
      <w:pPr>
        <w:pStyle w:val="FootnoteText"/>
        <w:rPr>
          <w:rFonts w:cs="Times New Roman"/>
          <w:szCs w:val="22"/>
        </w:rPr>
      </w:pPr>
      <w:r w:rsidRPr="002921D3">
        <w:rPr>
          <w:rStyle w:val="FootnoteReference"/>
          <w:rFonts w:cs="Times New Roman"/>
          <w:szCs w:val="22"/>
        </w:rPr>
        <w:footnoteRef/>
      </w:r>
      <w:r w:rsidRPr="002921D3">
        <w:rPr>
          <w:rFonts w:cs="Times New Roman"/>
          <w:szCs w:val="22"/>
        </w:rPr>
        <w:t xml:space="preserve"> PG&amp;E Reply Comment at 9-10</w:t>
      </w:r>
      <w:r w:rsidR="00772E8D">
        <w:rPr>
          <w:rFonts w:cs="Times New Roman"/>
          <w:szCs w:val="22"/>
        </w:rPr>
        <w:t>.</w:t>
      </w:r>
    </w:p>
  </w:footnote>
  <w:footnote w:id="78">
    <w:p w14:paraId="149497F1" w14:textId="77777777" w:rsidR="003D39A9" w:rsidRPr="002921D3" w:rsidRDefault="003D39A9" w:rsidP="002921D3">
      <w:pPr>
        <w:pStyle w:val="FootnoteText"/>
        <w:contextualSpacing/>
        <w:rPr>
          <w:rFonts w:cs="Times New Roman"/>
          <w:szCs w:val="22"/>
        </w:rPr>
      </w:pPr>
      <w:r w:rsidRPr="002921D3">
        <w:rPr>
          <w:rStyle w:val="FootnoteReference"/>
          <w:rFonts w:cs="Times New Roman"/>
          <w:szCs w:val="22"/>
        </w:rPr>
        <w:footnoteRef/>
      </w:r>
      <w:r w:rsidRPr="002921D3">
        <w:rPr>
          <w:rFonts w:cs="Times New Roman"/>
          <w:szCs w:val="22"/>
        </w:rPr>
        <w:t xml:space="preserve"> PG&amp;E Reply Comment at 9-10.</w:t>
      </w:r>
    </w:p>
  </w:footnote>
  <w:footnote w:id="79">
    <w:p w14:paraId="61CD2B4B" w14:textId="086E5D2A" w:rsidR="00BE0D37" w:rsidRPr="006B0999" w:rsidRDefault="00BE0D37" w:rsidP="00015CC3">
      <w:pPr>
        <w:pStyle w:val="FootnoteText"/>
        <w:spacing w:before="80" w:after="80"/>
        <w:rPr>
          <w:rFonts w:cs="Times New Roman"/>
          <w:szCs w:val="22"/>
        </w:rPr>
      </w:pPr>
      <w:r w:rsidRPr="006B0999">
        <w:rPr>
          <w:rStyle w:val="FootnoteReference"/>
          <w:rFonts w:cs="Times New Roman"/>
          <w:szCs w:val="22"/>
        </w:rPr>
        <w:footnoteRef/>
      </w:r>
      <w:r w:rsidRPr="006B0999">
        <w:rPr>
          <w:rFonts w:cs="Times New Roman"/>
          <w:szCs w:val="22"/>
        </w:rPr>
        <w:t xml:space="preserve"> CalCCA Opening Comment at 11-12</w:t>
      </w:r>
      <w:r w:rsidR="00772E8D">
        <w:rPr>
          <w:rFonts w:cs="Times New Roman"/>
          <w:szCs w:val="22"/>
        </w:rPr>
        <w:t>.</w:t>
      </w:r>
    </w:p>
  </w:footnote>
  <w:footnote w:id="80">
    <w:p w14:paraId="0F91443E" w14:textId="3AC22113" w:rsidR="000F6255" w:rsidRPr="006B0999" w:rsidRDefault="000F6255" w:rsidP="006B0999">
      <w:pPr>
        <w:pStyle w:val="FootnoteText"/>
        <w:contextualSpacing/>
        <w:rPr>
          <w:lang w:val="en-ZW"/>
        </w:rPr>
      </w:pPr>
      <w:r w:rsidRPr="006B0999">
        <w:rPr>
          <w:rStyle w:val="FootnoteReference"/>
        </w:rPr>
        <w:footnoteRef/>
      </w:r>
      <w:r w:rsidRPr="006B0999">
        <w:t xml:space="preserve"> </w:t>
      </w:r>
      <w:r w:rsidR="00967A14" w:rsidRPr="006B0999">
        <w:rPr>
          <w:lang w:val="en-ZW"/>
        </w:rPr>
        <w:t xml:space="preserve">Joint Proposal </w:t>
      </w:r>
      <w:r w:rsidR="00967A14" w:rsidRPr="006B0999">
        <w:t xml:space="preserve">Appendix B.1 - </w:t>
      </w:r>
      <w:r w:rsidR="006B0999">
        <w:t>at</w:t>
      </w:r>
      <w:r w:rsidR="00967A14" w:rsidRPr="006B0999">
        <w:t xml:space="preserve"> 17</w:t>
      </w:r>
      <w:r w:rsidR="00022E3D" w:rsidRPr="006B0999">
        <w:t xml:space="preserve">, Appendix B.1 </w:t>
      </w:r>
      <w:r w:rsidR="006B0999">
        <w:t>–</w:t>
      </w:r>
      <w:r w:rsidR="00022E3D" w:rsidRPr="006B0999">
        <w:t xml:space="preserve"> </w:t>
      </w:r>
      <w:r w:rsidR="006B0999">
        <w:t xml:space="preserve">at </w:t>
      </w:r>
      <w:r w:rsidR="00022E3D" w:rsidRPr="006B0999">
        <w:t xml:space="preserve">40, </w:t>
      </w:r>
      <w:r w:rsidR="00E014F8" w:rsidRPr="006B0999">
        <w:t xml:space="preserve">Appendix B.2 - </w:t>
      </w:r>
      <w:r w:rsidR="006B0999">
        <w:t>at</w:t>
      </w:r>
      <w:r w:rsidR="00E014F8" w:rsidRPr="006B0999">
        <w:t xml:space="preserve"> 11</w:t>
      </w:r>
      <w:r w:rsidR="0037321D" w:rsidRPr="006B0999">
        <w:t xml:space="preserve"> and Appendix</w:t>
      </w:r>
      <w:r w:rsidR="00530D95">
        <w:t> </w:t>
      </w:r>
      <w:r w:rsidR="0037321D" w:rsidRPr="006B0999">
        <w:t xml:space="preserve">B.2 - </w:t>
      </w:r>
      <w:r w:rsidR="006B0999">
        <w:t>at</w:t>
      </w:r>
      <w:r w:rsidR="0037321D" w:rsidRPr="006B0999">
        <w:t xml:space="preserve"> 27.</w:t>
      </w:r>
      <w:r w:rsidR="00967A14" w:rsidRPr="006B0999">
        <w:t xml:space="preserve"> </w:t>
      </w:r>
      <w:r w:rsidRPr="006B0999">
        <w:rPr>
          <w:lang w:val="en-ZW"/>
        </w:rPr>
        <w:t xml:space="preserve"> </w:t>
      </w:r>
    </w:p>
  </w:footnote>
  <w:footnote w:id="81">
    <w:p w14:paraId="1A4E623D" w14:textId="0CF8D3E0" w:rsidR="006A0425" w:rsidRPr="006B0999" w:rsidRDefault="006A0425" w:rsidP="00015CC3">
      <w:pPr>
        <w:pStyle w:val="FootnoteText"/>
        <w:spacing w:before="80" w:after="80"/>
        <w:rPr>
          <w:rFonts w:cs="Times New Roman"/>
          <w:szCs w:val="22"/>
        </w:rPr>
      </w:pPr>
      <w:r w:rsidRPr="006B0999">
        <w:rPr>
          <w:rStyle w:val="FootnoteReference"/>
          <w:rFonts w:cs="Times New Roman"/>
          <w:szCs w:val="22"/>
        </w:rPr>
        <w:footnoteRef/>
      </w:r>
      <w:r w:rsidRPr="006B0999">
        <w:rPr>
          <w:rFonts w:cs="Times New Roman"/>
          <w:szCs w:val="22"/>
        </w:rPr>
        <w:t xml:space="preserve"> CalCCA Opening Comment at 12</w:t>
      </w:r>
      <w:r w:rsidR="00772E8D">
        <w:rPr>
          <w:rFonts w:cs="Times New Roman"/>
          <w:szCs w:val="22"/>
        </w:rPr>
        <w:t>.</w:t>
      </w:r>
    </w:p>
  </w:footnote>
  <w:footnote w:id="82">
    <w:p w14:paraId="4C1B7322" w14:textId="77777777" w:rsidR="006A0425" w:rsidRPr="006B0999" w:rsidRDefault="006A0425" w:rsidP="00015CC3">
      <w:pPr>
        <w:pStyle w:val="FootnoteText"/>
        <w:spacing w:before="80" w:after="80"/>
        <w:rPr>
          <w:rFonts w:cs="Times New Roman"/>
          <w:szCs w:val="22"/>
        </w:rPr>
      </w:pPr>
      <w:r w:rsidRPr="006B0999">
        <w:rPr>
          <w:rStyle w:val="FootnoteReference"/>
          <w:rFonts w:cs="Times New Roman"/>
          <w:szCs w:val="22"/>
        </w:rPr>
        <w:footnoteRef/>
      </w:r>
      <w:r w:rsidRPr="006B0999">
        <w:rPr>
          <w:rFonts w:cs="Times New Roman"/>
          <w:szCs w:val="22"/>
        </w:rPr>
        <w:t xml:space="preserve"> PG&amp;E Reply Comment at 5-6; SCE Reply Comment at 5.</w:t>
      </w:r>
    </w:p>
  </w:footnote>
  <w:footnote w:id="83">
    <w:p w14:paraId="541CC94D" w14:textId="4060D9E8" w:rsidR="006A0425" w:rsidRPr="006B0999" w:rsidRDefault="006A0425" w:rsidP="00015CC3">
      <w:pPr>
        <w:pStyle w:val="FootnoteText"/>
        <w:spacing w:after="80"/>
        <w:rPr>
          <w:rFonts w:cs="Times New Roman"/>
          <w:szCs w:val="22"/>
        </w:rPr>
      </w:pPr>
      <w:r w:rsidRPr="006B0999">
        <w:rPr>
          <w:rStyle w:val="FootnoteReference"/>
          <w:rFonts w:cs="Times New Roman"/>
          <w:szCs w:val="22"/>
        </w:rPr>
        <w:footnoteRef/>
      </w:r>
      <w:r w:rsidRPr="006B0999">
        <w:rPr>
          <w:rFonts w:cs="Times New Roman"/>
          <w:szCs w:val="22"/>
        </w:rPr>
        <w:t xml:space="preserve"> PG&amp;E Reply Comment at 5-6; SCE Reply Comment at 5. PG&amp;E notes two exceptions where after-the-fact reasonableness review does apply: </w:t>
      </w:r>
      <w:r w:rsidR="007E2B4A">
        <w:rPr>
          <w:rFonts w:cs="Times New Roman"/>
          <w:szCs w:val="22"/>
        </w:rPr>
        <w:t xml:space="preserve"> </w:t>
      </w:r>
      <w:r w:rsidRPr="006B0999">
        <w:rPr>
          <w:rFonts w:cs="Times New Roman"/>
          <w:szCs w:val="22"/>
        </w:rPr>
        <w:t>a.) reviewing compliance with contract terms and b.) for contracts that do not conform with Commission approve bundled procurement plans. PG&amp;E Reply Comment at 6, fn. 10.</w:t>
      </w:r>
    </w:p>
  </w:footnote>
  <w:footnote w:id="84">
    <w:p w14:paraId="6F6362AA" w14:textId="77777777" w:rsidR="006A0425" w:rsidRPr="006B0999" w:rsidRDefault="006A0425" w:rsidP="00015CC3">
      <w:pPr>
        <w:pStyle w:val="FootnoteText"/>
        <w:spacing w:before="80" w:after="80"/>
        <w:rPr>
          <w:rFonts w:cs="Times New Roman"/>
          <w:szCs w:val="22"/>
        </w:rPr>
      </w:pPr>
      <w:r w:rsidRPr="006B0999">
        <w:rPr>
          <w:rStyle w:val="FootnoteReference"/>
          <w:rFonts w:cs="Times New Roman"/>
          <w:szCs w:val="22"/>
        </w:rPr>
        <w:footnoteRef/>
      </w:r>
      <w:r w:rsidRPr="006B0999">
        <w:rPr>
          <w:rFonts w:cs="Times New Roman"/>
          <w:szCs w:val="22"/>
        </w:rPr>
        <w:t xml:space="preserve"> PG&amp;E Reply Comment at 6; </w:t>
      </w:r>
      <w:r w:rsidRPr="006B0999">
        <w:rPr>
          <w:rFonts w:cs="Times New Roman"/>
          <w:i/>
          <w:iCs/>
          <w:szCs w:val="22"/>
        </w:rPr>
        <w:t>see</w:t>
      </w:r>
      <w:r w:rsidRPr="006B0999">
        <w:rPr>
          <w:rFonts w:cs="Times New Roman"/>
          <w:szCs w:val="22"/>
        </w:rPr>
        <w:t xml:space="preserve"> SCE Reply Comments at 5.</w:t>
      </w:r>
    </w:p>
  </w:footnote>
  <w:footnote w:id="85">
    <w:p w14:paraId="52CD0FD7" w14:textId="77777777" w:rsidR="006A0425" w:rsidRPr="006B0999" w:rsidRDefault="006A0425" w:rsidP="00015CC3">
      <w:pPr>
        <w:pStyle w:val="FootnoteText"/>
        <w:spacing w:before="80" w:after="80"/>
        <w:rPr>
          <w:rFonts w:cs="Times New Roman"/>
          <w:szCs w:val="22"/>
        </w:rPr>
      </w:pPr>
      <w:r w:rsidRPr="006B0999">
        <w:rPr>
          <w:rStyle w:val="FootnoteReference"/>
          <w:rFonts w:cs="Times New Roman"/>
          <w:szCs w:val="22"/>
        </w:rPr>
        <w:footnoteRef/>
      </w:r>
      <w:r w:rsidRPr="006B0999">
        <w:rPr>
          <w:rFonts w:cs="Times New Roman"/>
          <w:szCs w:val="22"/>
        </w:rPr>
        <w:t xml:space="preserve"> PG&amp;E Reply Comment at 4-5; SCE Reply Comment at 4-5; </w:t>
      </w:r>
      <w:r w:rsidRPr="006B0999">
        <w:rPr>
          <w:rFonts w:cs="Times New Roman"/>
          <w:i/>
          <w:iCs/>
          <w:szCs w:val="22"/>
        </w:rPr>
        <w:t>see</w:t>
      </w:r>
      <w:r w:rsidRPr="006B0999">
        <w:rPr>
          <w:rFonts w:cs="Times New Roman"/>
          <w:szCs w:val="22"/>
        </w:rPr>
        <w:t xml:space="preserve"> SDG&amp;E Reply Comment at 4-5.</w:t>
      </w:r>
    </w:p>
  </w:footnote>
  <w:footnote w:id="86">
    <w:p w14:paraId="41FF1709" w14:textId="77777777" w:rsidR="006A0425" w:rsidRPr="006B0999" w:rsidRDefault="006A0425" w:rsidP="00015CC3">
      <w:pPr>
        <w:pStyle w:val="FootnoteText"/>
        <w:spacing w:before="80" w:after="80"/>
        <w:rPr>
          <w:rFonts w:cs="Times New Roman"/>
          <w:szCs w:val="22"/>
        </w:rPr>
      </w:pPr>
      <w:r w:rsidRPr="006B0999">
        <w:rPr>
          <w:rStyle w:val="FootnoteReference"/>
          <w:rFonts w:cs="Times New Roman"/>
          <w:szCs w:val="22"/>
        </w:rPr>
        <w:footnoteRef/>
      </w:r>
      <w:r w:rsidRPr="006B0999">
        <w:rPr>
          <w:rFonts w:cs="Times New Roman"/>
          <w:szCs w:val="22"/>
        </w:rPr>
        <w:t xml:space="preserve"> PG&amp;E Reply Comment at 6; </w:t>
      </w:r>
      <w:r w:rsidRPr="006B0999">
        <w:rPr>
          <w:rFonts w:cs="Times New Roman"/>
          <w:i/>
          <w:iCs/>
          <w:szCs w:val="22"/>
        </w:rPr>
        <w:t>see</w:t>
      </w:r>
      <w:r w:rsidRPr="006B0999">
        <w:rPr>
          <w:rFonts w:cs="Times New Roman"/>
          <w:szCs w:val="22"/>
        </w:rPr>
        <w:t xml:space="preserve"> SCE Reply Comment at 5.</w:t>
      </w:r>
    </w:p>
  </w:footnote>
  <w:footnote w:id="87">
    <w:p w14:paraId="27D33243" w14:textId="72EF9D75" w:rsidR="15C96380" w:rsidRPr="006B0999" w:rsidRDefault="15C96380" w:rsidP="00015CC3">
      <w:pPr>
        <w:pStyle w:val="FootnoteText"/>
        <w:spacing w:before="80" w:after="80"/>
        <w:rPr>
          <w:rFonts w:eastAsia="Calibri" w:cs="Arial"/>
        </w:rPr>
      </w:pPr>
      <w:r w:rsidRPr="006B0999">
        <w:rPr>
          <w:rStyle w:val="FootnoteReference"/>
          <w:rFonts w:eastAsia="Calibri" w:cs="Arial"/>
          <w:szCs w:val="22"/>
        </w:rPr>
        <w:footnoteRef/>
      </w:r>
      <w:r w:rsidRPr="006B0999">
        <w:rPr>
          <w:rFonts w:eastAsia="Calibri" w:cs="Arial"/>
          <w:szCs w:val="22"/>
        </w:rPr>
        <w:t xml:space="preserve"> </w:t>
      </w:r>
      <w:r w:rsidR="22A4BF5A" w:rsidRPr="006B0999">
        <w:rPr>
          <w:rFonts w:eastAsia="Calibri" w:cs="Arial"/>
          <w:szCs w:val="22"/>
        </w:rPr>
        <w:t>D</w:t>
      </w:r>
      <w:r w:rsidRPr="006B0999">
        <w:rPr>
          <w:rFonts w:eastAsia="Calibri" w:cs="Arial"/>
          <w:szCs w:val="22"/>
        </w:rPr>
        <w:t>.21-05-030 at OP 5.</w:t>
      </w:r>
    </w:p>
  </w:footnote>
  <w:footnote w:id="88">
    <w:p w14:paraId="4F92EE2F" w14:textId="77777777" w:rsidR="007C4FF0" w:rsidRPr="006B0999" w:rsidRDefault="007C4FF0" w:rsidP="00015CC3">
      <w:pPr>
        <w:pStyle w:val="FootnoteText"/>
        <w:spacing w:before="80" w:after="80"/>
        <w:rPr>
          <w:rFonts w:cs="Times New Roman"/>
        </w:rPr>
      </w:pPr>
      <w:r w:rsidRPr="006B0999">
        <w:rPr>
          <w:rStyle w:val="FootnoteReference"/>
          <w:rFonts w:cs="Times New Roman"/>
        </w:rPr>
        <w:footnoteRef/>
      </w:r>
      <w:r w:rsidRPr="006B0999">
        <w:rPr>
          <w:rFonts w:cs="Times New Roman"/>
        </w:rPr>
        <w:t xml:space="preserve"> Joint IOU Proposal at 13.</w:t>
      </w:r>
    </w:p>
  </w:footnote>
  <w:footnote w:id="89">
    <w:p w14:paraId="35AD1872" w14:textId="77777777" w:rsidR="00DD6538" w:rsidRPr="006B0999" w:rsidRDefault="00DD6538" w:rsidP="00015CC3">
      <w:pPr>
        <w:pStyle w:val="FootnoteText"/>
        <w:spacing w:before="80" w:after="80"/>
        <w:rPr>
          <w:rFonts w:eastAsia="Calibri" w:cs="Times New Roman"/>
          <w:szCs w:val="22"/>
        </w:rPr>
      </w:pPr>
      <w:r w:rsidRPr="006B0999">
        <w:rPr>
          <w:rStyle w:val="FootnoteReference"/>
          <w:rFonts w:eastAsia="Calibri" w:cs="Times New Roman"/>
          <w:szCs w:val="22"/>
        </w:rPr>
        <w:footnoteRef/>
      </w:r>
      <w:r w:rsidRPr="006B0999">
        <w:rPr>
          <w:rFonts w:eastAsia="Calibri" w:cs="Times New Roman"/>
          <w:szCs w:val="22"/>
        </w:rPr>
        <w:t xml:space="preserve"> </w:t>
      </w:r>
      <w:r w:rsidRPr="006B0999">
        <w:rPr>
          <w:rFonts w:eastAsia="Calibri" w:cs="Times New Roman"/>
          <w:i/>
          <w:iCs/>
          <w:szCs w:val="22"/>
        </w:rPr>
        <w:t>See</w:t>
      </w:r>
      <w:r w:rsidRPr="006B0999">
        <w:rPr>
          <w:rFonts w:eastAsia="Calibri" w:cs="Times New Roman"/>
          <w:szCs w:val="22"/>
        </w:rPr>
        <w:t xml:space="preserve"> Joint IOU Proposal at 13; D.21-05-030 at 29.</w:t>
      </w:r>
    </w:p>
  </w:footnote>
  <w:footnote w:id="90">
    <w:p w14:paraId="1D18C7B1" w14:textId="022594CC" w:rsidR="00E33DA8" w:rsidRPr="006E03D2" w:rsidRDefault="00E33DA8" w:rsidP="00E33DA8">
      <w:pPr>
        <w:pStyle w:val="FootnoteText"/>
        <w:rPr>
          <w:lang w:val="en-ZW"/>
        </w:rPr>
      </w:pPr>
      <w:r>
        <w:rPr>
          <w:rStyle w:val="FootnoteReference"/>
        </w:rPr>
        <w:footnoteRef/>
      </w:r>
      <w:r>
        <w:t xml:space="preserve"> </w:t>
      </w:r>
      <w:r w:rsidR="0055061E">
        <w:t>D.19-01-001, OP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64A4" w14:textId="77777777" w:rsidR="002C77C7" w:rsidRPr="00F92385" w:rsidRDefault="002C77C7"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277A" w14:textId="5E2DE8C4" w:rsidR="00E23CBB" w:rsidRDefault="00F247A2" w:rsidP="00EE4315">
    <w:pPr>
      <w:pStyle w:val="Header"/>
      <w:tabs>
        <w:tab w:val="clear" w:pos="4680"/>
      </w:tabs>
      <w:ind w:firstLine="0"/>
      <w:rPr>
        <w:b/>
      </w:rPr>
    </w:pPr>
    <w:r>
      <w:t>R.18-07-003  ALJ/ML2/NIL/jnf</w:t>
    </w:r>
    <w:r w:rsidR="00390B57">
      <w:t>/smt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A25D" w14:textId="2BDAF86C" w:rsidR="00F247A2" w:rsidRDefault="00F247A2" w:rsidP="00F247A2">
    <w:pPr>
      <w:pStyle w:val="Header"/>
      <w:tabs>
        <w:tab w:val="clear" w:pos="4680"/>
      </w:tabs>
      <w:ind w:firstLine="0"/>
      <w:rPr>
        <w:b/>
      </w:rPr>
    </w:pPr>
    <w:r>
      <w:t>R.18-07-003  ALJ/ML2/NIL/jnf</w:t>
    </w:r>
    <w:r w:rsidR="00390B57">
      <w:t>/smt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5A9A" w14:textId="5ECF42EF" w:rsidR="00AA7683" w:rsidRDefault="00AA7683" w:rsidP="00F247A2">
    <w:pPr>
      <w:pStyle w:val="Header"/>
      <w:tabs>
        <w:tab w:val="clear" w:pos="4680"/>
      </w:tabs>
      <w:ind w:firstLine="0"/>
      <w:rPr>
        <w:b/>
      </w:rPr>
    </w:pPr>
    <w:r>
      <w:t>R.18-07-003  ALJ/ML2/NIL/jnf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B02F6"/>
    <w:multiLevelType w:val="multilevel"/>
    <w:tmpl w:val="77BE48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4E7890"/>
    <w:multiLevelType w:val="hybridMultilevel"/>
    <w:tmpl w:val="E124AD08"/>
    <w:lvl w:ilvl="0" w:tplc="FFFFFFFF">
      <w:start w:val="1"/>
      <w:numFmt w:val="decimal"/>
      <w:lvlText w:val="%1)"/>
      <w:lvlJc w:val="left"/>
      <w:pPr>
        <w:ind w:left="720" w:hanging="360"/>
      </w:pPr>
    </w:lvl>
    <w:lvl w:ilvl="1" w:tplc="04090019">
      <w:start w:val="1"/>
      <w:numFmt w:val="lowerLetter"/>
      <w:lvlText w:val="%2."/>
      <w:lvlJc w:val="left"/>
      <w:pPr>
        <w:ind w:left="180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3" w15:restartNumberingAfterBreak="0">
    <w:nsid w:val="0F3E768A"/>
    <w:multiLevelType w:val="hybridMultilevel"/>
    <w:tmpl w:val="97C84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55F1D"/>
    <w:multiLevelType w:val="hybridMultilevel"/>
    <w:tmpl w:val="FEA0DC3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D4F42A2A"/>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9D356A6"/>
    <w:multiLevelType w:val="hybridMultilevel"/>
    <w:tmpl w:val="A6106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3055A2"/>
    <w:multiLevelType w:val="multilevel"/>
    <w:tmpl w:val="77BE48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70038F"/>
    <w:multiLevelType w:val="multilevel"/>
    <w:tmpl w:val="3C526EDE"/>
    <w:numStyleLink w:val="Headings"/>
  </w:abstractNum>
  <w:abstractNum w:abstractNumId="11" w15:restartNumberingAfterBreak="0">
    <w:nsid w:val="1E2242C9"/>
    <w:multiLevelType w:val="multilevel"/>
    <w:tmpl w:val="3C526EDE"/>
    <w:numStyleLink w:val="Headings"/>
  </w:abstractNum>
  <w:abstractNum w:abstractNumId="12" w15:restartNumberingAfterBreak="0">
    <w:nsid w:val="21FB58FE"/>
    <w:multiLevelType w:val="multilevel"/>
    <w:tmpl w:val="3C526EDE"/>
    <w:numStyleLink w:val="Headings"/>
  </w:abstractNum>
  <w:abstractNum w:abstractNumId="13" w15:restartNumberingAfterBreak="0">
    <w:nsid w:val="243663A0"/>
    <w:multiLevelType w:val="multilevel"/>
    <w:tmpl w:val="3C526EDE"/>
    <w:numStyleLink w:val="Headings"/>
  </w:abstractNum>
  <w:abstractNum w:abstractNumId="14" w15:restartNumberingAfterBreak="0">
    <w:nsid w:val="26391ACC"/>
    <w:multiLevelType w:val="hybridMultilevel"/>
    <w:tmpl w:val="71C87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01329A"/>
    <w:multiLevelType w:val="hybridMultilevel"/>
    <w:tmpl w:val="013A6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8124D7"/>
    <w:multiLevelType w:val="multilevel"/>
    <w:tmpl w:val="3C526EDE"/>
    <w:numStyleLink w:val="Headings"/>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9CD2897"/>
    <w:multiLevelType w:val="hybridMultilevel"/>
    <w:tmpl w:val="E624A6D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C2D55B2"/>
    <w:multiLevelType w:val="hybridMultilevel"/>
    <w:tmpl w:val="AF18D3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A95D12"/>
    <w:multiLevelType w:val="hybridMultilevel"/>
    <w:tmpl w:val="ABC63A46"/>
    <w:lvl w:ilvl="0" w:tplc="04090019">
      <w:start w:val="1"/>
      <w:numFmt w:val="lowerLetter"/>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21" w15:restartNumberingAfterBreak="0">
    <w:nsid w:val="45EF298F"/>
    <w:multiLevelType w:val="multilevel"/>
    <w:tmpl w:val="9F14653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531469E8"/>
    <w:multiLevelType w:val="hybridMultilevel"/>
    <w:tmpl w:val="17F6A6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004F74"/>
    <w:multiLevelType w:val="multilevel"/>
    <w:tmpl w:val="596011E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D042D7"/>
    <w:multiLevelType w:val="multilevel"/>
    <w:tmpl w:val="18F4A5AC"/>
    <w:numStyleLink w:val="FoFCoLOP"/>
  </w:abstractNum>
  <w:abstractNum w:abstractNumId="25" w15:restartNumberingAfterBreak="0">
    <w:nsid w:val="59DC0ED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9E2171"/>
    <w:multiLevelType w:val="multilevel"/>
    <w:tmpl w:val="3C526EDE"/>
    <w:numStyleLink w:val="Headings"/>
  </w:abstractNum>
  <w:abstractNum w:abstractNumId="27" w15:restartNumberingAfterBreak="0">
    <w:nsid w:val="5E1C1274"/>
    <w:multiLevelType w:val="hybridMultilevel"/>
    <w:tmpl w:val="4E22BF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F22FAA"/>
    <w:multiLevelType w:val="hybridMultilevel"/>
    <w:tmpl w:val="945CF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25780"/>
    <w:multiLevelType w:val="multilevel"/>
    <w:tmpl w:val="3C526EDE"/>
    <w:numStyleLink w:val="Headings"/>
  </w:abstractNum>
  <w:abstractNum w:abstractNumId="30" w15:restartNumberingAfterBreak="0">
    <w:nsid w:val="61AD04E1"/>
    <w:multiLevelType w:val="multilevel"/>
    <w:tmpl w:val="596011E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09463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ED2B44"/>
    <w:multiLevelType w:val="multilevel"/>
    <w:tmpl w:val="78641F44"/>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Zero"/>
      <w:isLgl/>
      <w:lvlText w:val="%1.%2.%3"/>
      <w:lvlJc w:val="left"/>
      <w:pPr>
        <w:ind w:left="1800" w:hanging="720"/>
      </w:pPr>
      <w:rPr>
        <w:rFonts w:hint="default"/>
      </w:rPr>
    </w:lvl>
    <w:lvl w:ilvl="3">
      <w:start w:val="1"/>
      <w:numFmt w:val="decimalZero"/>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652F051C"/>
    <w:multiLevelType w:val="hybridMultilevel"/>
    <w:tmpl w:val="572CA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4F125B"/>
    <w:multiLevelType w:val="hybridMultilevel"/>
    <w:tmpl w:val="CB3438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844F7"/>
    <w:multiLevelType w:val="hybridMultilevel"/>
    <w:tmpl w:val="11A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F70148"/>
    <w:multiLevelType w:val="hybridMultilevel"/>
    <w:tmpl w:val="BD1EB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9A0AFE"/>
    <w:multiLevelType w:val="multilevel"/>
    <w:tmpl w:val="18F4A5AC"/>
    <w:numStyleLink w:val="FoFCoLOP"/>
  </w:abstractNum>
  <w:abstractNum w:abstractNumId="39" w15:restartNumberingAfterBreak="0">
    <w:nsid w:val="7BEC5331"/>
    <w:multiLevelType w:val="multilevel"/>
    <w:tmpl w:val="596011E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9250F7"/>
    <w:multiLevelType w:val="hybridMultilevel"/>
    <w:tmpl w:val="31666198"/>
    <w:lvl w:ilvl="0" w:tplc="2E689FD4">
      <w:numFmt w:val="bullet"/>
      <w:lvlText w:val="-"/>
      <w:lvlJc w:val="left"/>
      <w:pPr>
        <w:ind w:left="360" w:hanging="360"/>
      </w:pPr>
      <w:rPr>
        <w:rFonts w:ascii="TimesNewRomanPSMT" w:eastAsiaTheme="minorHAnsi" w:hAnsi="TimesNewRomanPSMT" w:cs="TimesNewRom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446100"/>
    <w:multiLevelType w:val="hybridMultilevel"/>
    <w:tmpl w:val="0409001D"/>
    <w:lvl w:ilvl="0" w:tplc="541E7452">
      <w:start w:val="1"/>
      <w:numFmt w:val="decimal"/>
      <w:lvlText w:val="%1)"/>
      <w:lvlJc w:val="left"/>
      <w:pPr>
        <w:ind w:left="360" w:hanging="360"/>
      </w:pPr>
    </w:lvl>
    <w:lvl w:ilvl="1" w:tplc="F76CA6AE">
      <w:start w:val="1"/>
      <w:numFmt w:val="lowerLetter"/>
      <w:lvlText w:val="%2)"/>
      <w:lvlJc w:val="left"/>
      <w:pPr>
        <w:ind w:left="720" w:hanging="360"/>
      </w:pPr>
    </w:lvl>
    <w:lvl w:ilvl="2" w:tplc="00B444BA">
      <w:start w:val="1"/>
      <w:numFmt w:val="lowerRoman"/>
      <w:lvlText w:val="%3)"/>
      <w:lvlJc w:val="left"/>
      <w:pPr>
        <w:ind w:left="1080" w:hanging="360"/>
      </w:pPr>
    </w:lvl>
    <w:lvl w:ilvl="3" w:tplc="265E4BE8">
      <w:start w:val="1"/>
      <w:numFmt w:val="decimal"/>
      <w:lvlText w:val="(%4)"/>
      <w:lvlJc w:val="left"/>
      <w:pPr>
        <w:ind w:left="1440" w:hanging="360"/>
      </w:pPr>
    </w:lvl>
    <w:lvl w:ilvl="4" w:tplc="8F1CC560">
      <w:start w:val="1"/>
      <w:numFmt w:val="lowerLetter"/>
      <w:lvlText w:val="(%5)"/>
      <w:lvlJc w:val="left"/>
      <w:pPr>
        <w:ind w:left="1800" w:hanging="360"/>
      </w:pPr>
    </w:lvl>
    <w:lvl w:ilvl="5" w:tplc="809EA098">
      <w:start w:val="1"/>
      <w:numFmt w:val="lowerRoman"/>
      <w:lvlText w:val="(%6)"/>
      <w:lvlJc w:val="left"/>
      <w:pPr>
        <w:ind w:left="2160" w:hanging="360"/>
      </w:pPr>
    </w:lvl>
    <w:lvl w:ilvl="6" w:tplc="663A5A00">
      <w:start w:val="1"/>
      <w:numFmt w:val="decimal"/>
      <w:lvlText w:val="%7."/>
      <w:lvlJc w:val="left"/>
      <w:pPr>
        <w:ind w:left="2520" w:hanging="360"/>
      </w:pPr>
    </w:lvl>
    <w:lvl w:ilvl="7" w:tplc="3CFA964C">
      <w:start w:val="1"/>
      <w:numFmt w:val="lowerLetter"/>
      <w:lvlText w:val="%8."/>
      <w:lvlJc w:val="left"/>
      <w:pPr>
        <w:ind w:left="2880" w:hanging="360"/>
      </w:pPr>
    </w:lvl>
    <w:lvl w:ilvl="8" w:tplc="76C01BA2">
      <w:start w:val="1"/>
      <w:numFmt w:val="lowerRoman"/>
      <w:lvlText w:val="%9."/>
      <w:lvlJc w:val="left"/>
      <w:pPr>
        <w:ind w:left="3240" w:hanging="360"/>
      </w:pPr>
    </w:lvl>
  </w:abstractNum>
  <w:num w:numId="1" w16cid:durableId="1591044151">
    <w:abstractNumId w:val="26"/>
  </w:num>
  <w:num w:numId="2" w16cid:durableId="1043015295">
    <w:abstractNumId w:val="5"/>
  </w:num>
  <w:num w:numId="3" w16cid:durableId="1442914849">
    <w:abstractNumId w:val="24"/>
  </w:num>
  <w:num w:numId="4" w16cid:durableId="1607227023">
    <w:abstractNumId w:val="6"/>
  </w:num>
  <w:num w:numId="5" w16cid:durableId="1401827785">
    <w:abstractNumId w:val="38"/>
  </w:num>
  <w:num w:numId="6" w16cid:durableId="1574387746">
    <w:abstractNumId w:val="17"/>
  </w:num>
  <w:num w:numId="7" w16cid:durableId="986014738">
    <w:abstractNumId w:val="11"/>
  </w:num>
  <w:num w:numId="8" w16cid:durableId="1065222589">
    <w:abstractNumId w:val="36"/>
  </w:num>
  <w:num w:numId="9" w16cid:durableId="201287070">
    <w:abstractNumId w:val="0"/>
  </w:num>
  <w:num w:numId="10" w16cid:durableId="202907187">
    <w:abstractNumId w:val="10"/>
  </w:num>
  <w:num w:numId="11" w16cid:durableId="489442136">
    <w:abstractNumId w:val="12"/>
  </w:num>
  <w:num w:numId="12" w16cid:durableId="1630239463">
    <w:abstractNumId w:val="9"/>
  </w:num>
  <w:num w:numId="13" w16cid:durableId="297418992">
    <w:abstractNumId w:val="13"/>
  </w:num>
  <w:num w:numId="14" w16cid:durableId="985815236">
    <w:abstractNumId w:val="16"/>
  </w:num>
  <w:num w:numId="15" w16cid:durableId="2077974314">
    <w:abstractNumId w:val="29"/>
  </w:num>
  <w:num w:numId="16" w16cid:durableId="10413985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1104357">
    <w:abstractNumId w:val="29"/>
  </w:num>
  <w:num w:numId="18" w16cid:durableId="1374116615">
    <w:abstractNumId w:val="35"/>
  </w:num>
  <w:num w:numId="19" w16cid:durableId="1385174906">
    <w:abstractNumId w:val="3"/>
  </w:num>
  <w:num w:numId="20" w16cid:durableId="1700079991">
    <w:abstractNumId w:val="40"/>
  </w:num>
  <w:num w:numId="21" w16cid:durableId="324213965">
    <w:abstractNumId w:val="14"/>
  </w:num>
  <w:num w:numId="22" w16cid:durableId="1383484766">
    <w:abstractNumId w:val="27"/>
  </w:num>
  <w:num w:numId="23" w16cid:durableId="758913925">
    <w:abstractNumId w:val="34"/>
  </w:num>
  <w:num w:numId="24" w16cid:durableId="607856867">
    <w:abstractNumId w:val="29"/>
  </w:num>
  <w:num w:numId="25" w16cid:durableId="530529837">
    <w:abstractNumId w:val="29"/>
  </w:num>
  <w:num w:numId="26" w16cid:durableId="1898081498">
    <w:abstractNumId w:val="29"/>
  </w:num>
  <w:num w:numId="27" w16cid:durableId="1374036835">
    <w:abstractNumId w:val="22"/>
  </w:num>
  <w:num w:numId="28" w16cid:durableId="736897292">
    <w:abstractNumId w:val="18"/>
  </w:num>
  <w:num w:numId="29" w16cid:durableId="636841563">
    <w:abstractNumId w:val="24"/>
  </w:num>
  <w:num w:numId="30" w16cid:durableId="1567304773">
    <w:abstractNumId w:val="7"/>
  </w:num>
  <w:num w:numId="31" w16cid:durableId="1655178742">
    <w:abstractNumId w:val="37"/>
  </w:num>
  <w:num w:numId="32" w16cid:durableId="663239276">
    <w:abstractNumId w:val="4"/>
  </w:num>
  <w:num w:numId="33" w16cid:durableId="911156298">
    <w:abstractNumId w:val="38"/>
  </w:num>
  <w:num w:numId="34" w16cid:durableId="485556360">
    <w:abstractNumId w:val="29"/>
  </w:num>
  <w:num w:numId="35" w16cid:durableId="418602576">
    <w:abstractNumId w:val="21"/>
  </w:num>
  <w:num w:numId="36" w16cid:durableId="1368990592">
    <w:abstractNumId w:val="28"/>
  </w:num>
  <w:num w:numId="37" w16cid:durableId="851407820">
    <w:abstractNumId w:val="19"/>
  </w:num>
  <w:num w:numId="38" w16cid:durableId="631985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5156238">
    <w:abstractNumId w:val="6"/>
  </w:num>
  <w:num w:numId="40" w16cid:durableId="1085808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4164834">
    <w:abstractNumId w:val="6"/>
  </w:num>
  <w:num w:numId="42" w16cid:durableId="782847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5821339">
    <w:abstractNumId w:val="6"/>
  </w:num>
  <w:num w:numId="44" w16cid:durableId="34931319">
    <w:abstractNumId w:val="6"/>
  </w:num>
  <w:num w:numId="45" w16cid:durableId="1638991575">
    <w:abstractNumId w:val="41"/>
  </w:num>
  <w:num w:numId="46" w16cid:durableId="2066752706">
    <w:abstractNumId w:val="2"/>
  </w:num>
  <w:num w:numId="47" w16cid:durableId="1041901462">
    <w:abstractNumId w:val="20"/>
  </w:num>
  <w:num w:numId="48" w16cid:durableId="1123770805">
    <w:abstractNumId w:val="15"/>
  </w:num>
  <w:num w:numId="49" w16cid:durableId="1521624472">
    <w:abstractNumId w:val="32"/>
  </w:num>
  <w:num w:numId="50" w16cid:durableId="258104862">
    <w:abstractNumId w:val="31"/>
  </w:num>
  <w:num w:numId="51" w16cid:durableId="401176399">
    <w:abstractNumId w:val="25"/>
  </w:num>
  <w:num w:numId="52" w16cid:durableId="1842234866">
    <w:abstractNumId w:val="8"/>
  </w:num>
  <w:num w:numId="53" w16cid:durableId="1284311997">
    <w:abstractNumId w:val="1"/>
  </w:num>
  <w:num w:numId="54" w16cid:durableId="1126850425">
    <w:abstractNumId w:val="30"/>
  </w:num>
  <w:num w:numId="55" w16cid:durableId="1078751983">
    <w:abstractNumId w:val="39"/>
  </w:num>
  <w:num w:numId="56" w16cid:durableId="1553230618">
    <w:abstractNumId w:val="16"/>
  </w:num>
  <w:num w:numId="57" w16cid:durableId="1794596521">
    <w:abstractNumId w:val="23"/>
  </w:num>
  <w:num w:numId="58" w16cid:durableId="1828132410">
    <w:abstractNumId w:val="33"/>
  </w:num>
  <w:num w:numId="59" w16cid:durableId="516308844">
    <w:abstractNumId w:val="6"/>
  </w:num>
  <w:num w:numId="60" w16cid:durableId="1635793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0B"/>
    <w:rsid w:val="00000CDF"/>
    <w:rsid w:val="00000F6A"/>
    <w:rsid w:val="000011E9"/>
    <w:rsid w:val="00001700"/>
    <w:rsid w:val="000017D2"/>
    <w:rsid w:val="00001CE3"/>
    <w:rsid w:val="00002373"/>
    <w:rsid w:val="000024DB"/>
    <w:rsid w:val="00002577"/>
    <w:rsid w:val="00002985"/>
    <w:rsid w:val="00002AE8"/>
    <w:rsid w:val="00002F14"/>
    <w:rsid w:val="00003085"/>
    <w:rsid w:val="00003167"/>
    <w:rsid w:val="000034AE"/>
    <w:rsid w:val="000035A3"/>
    <w:rsid w:val="00004862"/>
    <w:rsid w:val="00004B1C"/>
    <w:rsid w:val="00005E6D"/>
    <w:rsid w:val="00006DE9"/>
    <w:rsid w:val="00007675"/>
    <w:rsid w:val="00007BAC"/>
    <w:rsid w:val="00007EBA"/>
    <w:rsid w:val="0001019B"/>
    <w:rsid w:val="00010316"/>
    <w:rsid w:val="00010958"/>
    <w:rsid w:val="00010AFC"/>
    <w:rsid w:val="000118FD"/>
    <w:rsid w:val="00011EAC"/>
    <w:rsid w:val="00012995"/>
    <w:rsid w:val="00012B22"/>
    <w:rsid w:val="00012B25"/>
    <w:rsid w:val="00013227"/>
    <w:rsid w:val="00013307"/>
    <w:rsid w:val="00013426"/>
    <w:rsid w:val="000142D0"/>
    <w:rsid w:val="00014398"/>
    <w:rsid w:val="00014BF0"/>
    <w:rsid w:val="00014E5C"/>
    <w:rsid w:val="0001529D"/>
    <w:rsid w:val="00015AEF"/>
    <w:rsid w:val="00015CC3"/>
    <w:rsid w:val="00017142"/>
    <w:rsid w:val="000177B2"/>
    <w:rsid w:val="00017CB4"/>
    <w:rsid w:val="000217D2"/>
    <w:rsid w:val="000218BE"/>
    <w:rsid w:val="00021D13"/>
    <w:rsid w:val="00022AE6"/>
    <w:rsid w:val="00022E3D"/>
    <w:rsid w:val="000235F3"/>
    <w:rsid w:val="00023C40"/>
    <w:rsid w:val="00023E53"/>
    <w:rsid w:val="00024065"/>
    <w:rsid w:val="00024BF2"/>
    <w:rsid w:val="00024CAB"/>
    <w:rsid w:val="00025A2B"/>
    <w:rsid w:val="000261E2"/>
    <w:rsid w:val="0002648A"/>
    <w:rsid w:val="00026676"/>
    <w:rsid w:val="000266FD"/>
    <w:rsid w:val="00026806"/>
    <w:rsid w:val="00027628"/>
    <w:rsid w:val="000278DB"/>
    <w:rsid w:val="0003035E"/>
    <w:rsid w:val="000305B7"/>
    <w:rsid w:val="00030A26"/>
    <w:rsid w:val="00030A60"/>
    <w:rsid w:val="00034486"/>
    <w:rsid w:val="000363B2"/>
    <w:rsid w:val="00036E42"/>
    <w:rsid w:val="00037357"/>
    <w:rsid w:val="000375C5"/>
    <w:rsid w:val="00037BE4"/>
    <w:rsid w:val="000404B1"/>
    <w:rsid w:val="00040724"/>
    <w:rsid w:val="0004087D"/>
    <w:rsid w:val="00041444"/>
    <w:rsid w:val="00041CAE"/>
    <w:rsid w:val="00041E0F"/>
    <w:rsid w:val="00044942"/>
    <w:rsid w:val="000457EB"/>
    <w:rsid w:val="000458FC"/>
    <w:rsid w:val="00046690"/>
    <w:rsid w:val="00046B87"/>
    <w:rsid w:val="00046C27"/>
    <w:rsid w:val="00049B81"/>
    <w:rsid w:val="0005032F"/>
    <w:rsid w:val="00050BB1"/>
    <w:rsid w:val="00052DB1"/>
    <w:rsid w:val="00053740"/>
    <w:rsid w:val="00053E11"/>
    <w:rsid w:val="00054491"/>
    <w:rsid w:val="00054B3A"/>
    <w:rsid w:val="00054B40"/>
    <w:rsid w:val="00054CF4"/>
    <w:rsid w:val="00055747"/>
    <w:rsid w:val="000560C4"/>
    <w:rsid w:val="00056ADD"/>
    <w:rsid w:val="00056EC2"/>
    <w:rsid w:val="0005759D"/>
    <w:rsid w:val="0005EBB2"/>
    <w:rsid w:val="00060A83"/>
    <w:rsid w:val="00060BAA"/>
    <w:rsid w:val="0006119E"/>
    <w:rsid w:val="000615C9"/>
    <w:rsid w:val="00062160"/>
    <w:rsid w:val="00062D9D"/>
    <w:rsid w:val="00064799"/>
    <w:rsid w:val="00064B0F"/>
    <w:rsid w:val="00065477"/>
    <w:rsid w:val="0006566A"/>
    <w:rsid w:val="0006603C"/>
    <w:rsid w:val="00066623"/>
    <w:rsid w:val="00067261"/>
    <w:rsid w:val="000679E2"/>
    <w:rsid w:val="00067E45"/>
    <w:rsid w:val="000702D9"/>
    <w:rsid w:val="00070CDA"/>
    <w:rsid w:val="0007115A"/>
    <w:rsid w:val="000723D0"/>
    <w:rsid w:val="00072484"/>
    <w:rsid w:val="000724B6"/>
    <w:rsid w:val="000726B2"/>
    <w:rsid w:val="0007276B"/>
    <w:rsid w:val="000729BF"/>
    <w:rsid w:val="00072AFD"/>
    <w:rsid w:val="00073EDB"/>
    <w:rsid w:val="00074AEB"/>
    <w:rsid w:val="00074BA2"/>
    <w:rsid w:val="00077363"/>
    <w:rsid w:val="000801D2"/>
    <w:rsid w:val="00080225"/>
    <w:rsid w:val="00080351"/>
    <w:rsid w:val="000804D1"/>
    <w:rsid w:val="000806CE"/>
    <w:rsid w:val="00080904"/>
    <w:rsid w:val="00080C63"/>
    <w:rsid w:val="00081AF9"/>
    <w:rsid w:val="00082031"/>
    <w:rsid w:val="0008206B"/>
    <w:rsid w:val="00082A0F"/>
    <w:rsid w:val="00083887"/>
    <w:rsid w:val="00084039"/>
    <w:rsid w:val="0008464E"/>
    <w:rsid w:val="000846DB"/>
    <w:rsid w:val="0008492D"/>
    <w:rsid w:val="00085688"/>
    <w:rsid w:val="000858CA"/>
    <w:rsid w:val="000874F6"/>
    <w:rsid w:val="000900FD"/>
    <w:rsid w:val="00090981"/>
    <w:rsid w:val="00090A6F"/>
    <w:rsid w:val="00090ADA"/>
    <w:rsid w:val="00090D43"/>
    <w:rsid w:val="00090D5C"/>
    <w:rsid w:val="00091473"/>
    <w:rsid w:val="00091832"/>
    <w:rsid w:val="00091993"/>
    <w:rsid w:val="000921A2"/>
    <w:rsid w:val="00092512"/>
    <w:rsid w:val="00092CCA"/>
    <w:rsid w:val="00093F9D"/>
    <w:rsid w:val="000944EF"/>
    <w:rsid w:val="00095891"/>
    <w:rsid w:val="00095F99"/>
    <w:rsid w:val="0009601E"/>
    <w:rsid w:val="00096601"/>
    <w:rsid w:val="00096C7F"/>
    <w:rsid w:val="00097255"/>
    <w:rsid w:val="000973C8"/>
    <w:rsid w:val="00097C7F"/>
    <w:rsid w:val="00097FBF"/>
    <w:rsid w:val="000A037C"/>
    <w:rsid w:val="000A1672"/>
    <w:rsid w:val="000A253B"/>
    <w:rsid w:val="000A263A"/>
    <w:rsid w:val="000A2A5E"/>
    <w:rsid w:val="000A2AA9"/>
    <w:rsid w:val="000A305B"/>
    <w:rsid w:val="000A34A6"/>
    <w:rsid w:val="000A34E5"/>
    <w:rsid w:val="000A3B1F"/>
    <w:rsid w:val="000A4C05"/>
    <w:rsid w:val="000A56F2"/>
    <w:rsid w:val="000A581B"/>
    <w:rsid w:val="000A5A4B"/>
    <w:rsid w:val="000A6494"/>
    <w:rsid w:val="000A6532"/>
    <w:rsid w:val="000A6756"/>
    <w:rsid w:val="000A677B"/>
    <w:rsid w:val="000A6B3E"/>
    <w:rsid w:val="000A6E05"/>
    <w:rsid w:val="000A6F51"/>
    <w:rsid w:val="000A7118"/>
    <w:rsid w:val="000B01DF"/>
    <w:rsid w:val="000B03D3"/>
    <w:rsid w:val="000B098F"/>
    <w:rsid w:val="000B0BDF"/>
    <w:rsid w:val="000B12FA"/>
    <w:rsid w:val="000B1ADE"/>
    <w:rsid w:val="000B211E"/>
    <w:rsid w:val="000B22D6"/>
    <w:rsid w:val="000B270D"/>
    <w:rsid w:val="000B2842"/>
    <w:rsid w:val="000B2F00"/>
    <w:rsid w:val="000B2F69"/>
    <w:rsid w:val="000B32D3"/>
    <w:rsid w:val="000B362F"/>
    <w:rsid w:val="000B36DF"/>
    <w:rsid w:val="000B3A52"/>
    <w:rsid w:val="000B3B0C"/>
    <w:rsid w:val="000B3FE3"/>
    <w:rsid w:val="000B4847"/>
    <w:rsid w:val="000B4F72"/>
    <w:rsid w:val="000B527B"/>
    <w:rsid w:val="000B6010"/>
    <w:rsid w:val="000B6215"/>
    <w:rsid w:val="000B6EAD"/>
    <w:rsid w:val="000B7DA4"/>
    <w:rsid w:val="000C0278"/>
    <w:rsid w:val="000C08BF"/>
    <w:rsid w:val="000C0989"/>
    <w:rsid w:val="000C0EBF"/>
    <w:rsid w:val="000C0EE1"/>
    <w:rsid w:val="000C1BB3"/>
    <w:rsid w:val="000C2363"/>
    <w:rsid w:val="000C262A"/>
    <w:rsid w:val="000C319B"/>
    <w:rsid w:val="000C33E3"/>
    <w:rsid w:val="000C34D4"/>
    <w:rsid w:val="000C3815"/>
    <w:rsid w:val="000C3B9A"/>
    <w:rsid w:val="000C645F"/>
    <w:rsid w:val="000C669E"/>
    <w:rsid w:val="000C6BA4"/>
    <w:rsid w:val="000C713A"/>
    <w:rsid w:val="000C784A"/>
    <w:rsid w:val="000C791F"/>
    <w:rsid w:val="000C7A0B"/>
    <w:rsid w:val="000D0829"/>
    <w:rsid w:val="000D0C1A"/>
    <w:rsid w:val="000D1114"/>
    <w:rsid w:val="000D1B02"/>
    <w:rsid w:val="000D22BD"/>
    <w:rsid w:val="000D2483"/>
    <w:rsid w:val="000D25A8"/>
    <w:rsid w:val="000D25DF"/>
    <w:rsid w:val="000D3007"/>
    <w:rsid w:val="000D43BF"/>
    <w:rsid w:val="000D472E"/>
    <w:rsid w:val="000D474D"/>
    <w:rsid w:val="000D4B50"/>
    <w:rsid w:val="000D5D58"/>
    <w:rsid w:val="000D60AD"/>
    <w:rsid w:val="000D6222"/>
    <w:rsid w:val="000D7162"/>
    <w:rsid w:val="000D71ED"/>
    <w:rsid w:val="000D7578"/>
    <w:rsid w:val="000E019E"/>
    <w:rsid w:val="000E048F"/>
    <w:rsid w:val="000E06E0"/>
    <w:rsid w:val="000E0832"/>
    <w:rsid w:val="000E1899"/>
    <w:rsid w:val="000E2225"/>
    <w:rsid w:val="000E270A"/>
    <w:rsid w:val="000E286E"/>
    <w:rsid w:val="000E2A47"/>
    <w:rsid w:val="000E2A50"/>
    <w:rsid w:val="000E2AC9"/>
    <w:rsid w:val="000E2FA1"/>
    <w:rsid w:val="000E341F"/>
    <w:rsid w:val="000E39BC"/>
    <w:rsid w:val="000E4374"/>
    <w:rsid w:val="000E444B"/>
    <w:rsid w:val="000E4780"/>
    <w:rsid w:val="000E4B48"/>
    <w:rsid w:val="000E4C53"/>
    <w:rsid w:val="000E4CFE"/>
    <w:rsid w:val="000E55BA"/>
    <w:rsid w:val="000E5B7B"/>
    <w:rsid w:val="000E5E45"/>
    <w:rsid w:val="000E6FFD"/>
    <w:rsid w:val="000E77B4"/>
    <w:rsid w:val="000F0281"/>
    <w:rsid w:val="000F0763"/>
    <w:rsid w:val="000F0F2A"/>
    <w:rsid w:val="000F2073"/>
    <w:rsid w:val="000F2883"/>
    <w:rsid w:val="000F2B23"/>
    <w:rsid w:val="000F2BC9"/>
    <w:rsid w:val="000F2CB8"/>
    <w:rsid w:val="000F2E10"/>
    <w:rsid w:val="000F3552"/>
    <w:rsid w:val="000F3B14"/>
    <w:rsid w:val="000F46FD"/>
    <w:rsid w:val="000F51CE"/>
    <w:rsid w:val="000F5796"/>
    <w:rsid w:val="000F5EAC"/>
    <w:rsid w:val="000F6255"/>
    <w:rsid w:val="000F64E8"/>
    <w:rsid w:val="000F685D"/>
    <w:rsid w:val="000F74CF"/>
    <w:rsid w:val="000F780A"/>
    <w:rsid w:val="000F7B46"/>
    <w:rsid w:val="00100274"/>
    <w:rsid w:val="0010047D"/>
    <w:rsid w:val="001004E9"/>
    <w:rsid w:val="0010092A"/>
    <w:rsid w:val="00100A25"/>
    <w:rsid w:val="00101E93"/>
    <w:rsid w:val="00102801"/>
    <w:rsid w:val="00102FEB"/>
    <w:rsid w:val="00103442"/>
    <w:rsid w:val="00103DE3"/>
    <w:rsid w:val="00104D57"/>
    <w:rsid w:val="001053CD"/>
    <w:rsid w:val="00105487"/>
    <w:rsid w:val="0010580F"/>
    <w:rsid w:val="00106834"/>
    <w:rsid w:val="00106B3B"/>
    <w:rsid w:val="00106E20"/>
    <w:rsid w:val="00107369"/>
    <w:rsid w:val="00107A36"/>
    <w:rsid w:val="0011052C"/>
    <w:rsid w:val="00110876"/>
    <w:rsid w:val="00111186"/>
    <w:rsid w:val="001111E9"/>
    <w:rsid w:val="0011146F"/>
    <w:rsid w:val="0011175D"/>
    <w:rsid w:val="00111950"/>
    <w:rsid w:val="00111B89"/>
    <w:rsid w:val="001122AA"/>
    <w:rsid w:val="00112B6F"/>
    <w:rsid w:val="00112D07"/>
    <w:rsid w:val="001130F6"/>
    <w:rsid w:val="00113308"/>
    <w:rsid w:val="00114E7B"/>
    <w:rsid w:val="001157BC"/>
    <w:rsid w:val="0011626A"/>
    <w:rsid w:val="0011702F"/>
    <w:rsid w:val="0011707A"/>
    <w:rsid w:val="0011734B"/>
    <w:rsid w:val="001175B8"/>
    <w:rsid w:val="00120038"/>
    <w:rsid w:val="0012013F"/>
    <w:rsid w:val="00120CDE"/>
    <w:rsid w:val="00121089"/>
    <w:rsid w:val="001216B4"/>
    <w:rsid w:val="00122748"/>
    <w:rsid w:val="001233E4"/>
    <w:rsid w:val="00124CB7"/>
    <w:rsid w:val="001251BB"/>
    <w:rsid w:val="001252A5"/>
    <w:rsid w:val="00127323"/>
    <w:rsid w:val="0012742C"/>
    <w:rsid w:val="0012759F"/>
    <w:rsid w:val="00127675"/>
    <w:rsid w:val="00131ADE"/>
    <w:rsid w:val="00131BBD"/>
    <w:rsid w:val="00131CAA"/>
    <w:rsid w:val="00132274"/>
    <w:rsid w:val="001328D4"/>
    <w:rsid w:val="0013331F"/>
    <w:rsid w:val="001334AD"/>
    <w:rsid w:val="001336CD"/>
    <w:rsid w:val="00133F6A"/>
    <w:rsid w:val="00134218"/>
    <w:rsid w:val="001345FB"/>
    <w:rsid w:val="00134C9E"/>
    <w:rsid w:val="00134F93"/>
    <w:rsid w:val="00135DDB"/>
    <w:rsid w:val="00136010"/>
    <w:rsid w:val="001367D4"/>
    <w:rsid w:val="00136AB9"/>
    <w:rsid w:val="00136D9C"/>
    <w:rsid w:val="001376EA"/>
    <w:rsid w:val="00140A41"/>
    <w:rsid w:val="001410B7"/>
    <w:rsid w:val="00141218"/>
    <w:rsid w:val="00142587"/>
    <w:rsid w:val="00143100"/>
    <w:rsid w:val="00143143"/>
    <w:rsid w:val="0014418C"/>
    <w:rsid w:val="001443AE"/>
    <w:rsid w:val="001443C8"/>
    <w:rsid w:val="00144519"/>
    <w:rsid w:val="001446FD"/>
    <w:rsid w:val="001456E1"/>
    <w:rsid w:val="00145757"/>
    <w:rsid w:val="0014673E"/>
    <w:rsid w:val="00146B1B"/>
    <w:rsid w:val="00147BC5"/>
    <w:rsid w:val="001500B5"/>
    <w:rsid w:val="001506DD"/>
    <w:rsid w:val="00150845"/>
    <w:rsid w:val="00151089"/>
    <w:rsid w:val="0015178F"/>
    <w:rsid w:val="00151DFF"/>
    <w:rsid w:val="00151EDE"/>
    <w:rsid w:val="00152480"/>
    <w:rsid w:val="001534AC"/>
    <w:rsid w:val="00154964"/>
    <w:rsid w:val="00154AB1"/>
    <w:rsid w:val="00155354"/>
    <w:rsid w:val="001566C5"/>
    <w:rsid w:val="001569DA"/>
    <w:rsid w:val="00156A76"/>
    <w:rsid w:val="00157089"/>
    <w:rsid w:val="00157129"/>
    <w:rsid w:val="0016033B"/>
    <w:rsid w:val="00160C3B"/>
    <w:rsid w:val="0016164C"/>
    <w:rsid w:val="0016198A"/>
    <w:rsid w:val="00161DE2"/>
    <w:rsid w:val="00161FEB"/>
    <w:rsid w:val="00163012"/>
    <w:rsid w:val="00163D58"/>
    <w:rsid w:val="00163E3A"/>
    <w:rsid w:val="00164BE3"/>
    <w:rsid w:val="00164FEC"/>
    <w:rsid w:val="001654ED"/>
    <w:rsid w:val="00165686"/>
    <w:rsid w:val="00165C54"/>
    <w:rsid w:val="00166501"/>
    <w:rsid w:val="0016695A"/>
    <w:rsid w:val="00166988"/>
    <w:rsid w:val="00167A60"/>
    <w:rsid w:val="00170439"/>
    <w:rsid w:val="001708CB"/>
    <w:rsid w:val="00171945"/>
    <w:rsid w:val="0017272F"/>
    <w:rsid w:val="00173568"/>
    <w:rsid w:val="001736EC"/>
    <w:rsid w:val="0017391F"/>
    <w:rsid w:val="00174142"/>
    <w:rsid w:val="00174300"/>
    <w:rsid w:val="00174930"/>
    <w:rsid w:val="00175D47"/>
    <w:rsid w:val="00176927"/>
    <w:rsid w:val="00180B2F"/>
    <w:rsid w:val="00180B51"/>
    <w:rsid w:val="00181109"/>
    <w:rsid w:val="001815A1"/>
    <w:rsid w:val="001815F1"/>
    <w:rsid w:val="00181CF5"/>
    <w:rsid w:val="001826A6"/>
    <w:rsid w:val="00183F98"/>
    <w:rsid w:val="0018462C"/>
    <w:rsid w:val="001848C7"/>
    <w:rsid w:val="001849B6"/>
    <w:rsid w:val="00185E9D"/>
    <w:rsid w:val="0018696F"/>
    <w:rsid w:val="00187141"/>
    <w:rsid w:val="00187575"/>
    <w:rsid w:val="00187AC2"/>
    <w:rsid w:val="00187BFF"/>
    <w:rsid w:val="00190918"/>
    <w:rsid w:val="00190CD3"/>
    <w:rsid w:val="00191AA7"/>
    <w:rsid w:val="001924E1"/>
    <w:rsid w:val="00192961"/>
    <w:rsid w:val="001929F4"/>
    <w:rsid w:val="00192D56"/>
    <w:rsid w:val="00193642"/>
    <w:rsid w:val="0019507E"/>
    <w:rsid w:val="00195D4B"/>
    <w:rsid w:val="001961FF"/>
    <w:rsid w:val="0019682A"/>
    <w:rsid w:val="001974AF"/>
    <w:rsid w:val="00197536"/>
    <w:rsid w:val="0019769E"/>
    <w:rsid w:val="00197F36"/>
    <w:rsid w:val="001A029D"/>
    <w:rsid w:val="001A1140"/>
    <w:rsid w:val="001A146D"/>
    <w:rsid w:val="001A14B3"/>
    <w:rsid w:val="001A1F5F"/>
    <w:rsid w:val="001A23D2"/>
    <w:rsid w:val="001A3D5D"/>
    <w:rsid w:val="001A3FB9"/>
    <w:rsid w:val="001A574A"/>
    <w:rsid w:val="001A5E1F"/>
    <w:rsid w:val="001A654F"/>
    <w:rsid w:val="001A738F"/>
    <w:rsid w:val="001A7400"/>
    <w:rsid w:val="001B023E"/>
    <w:rsid w:val="001B04F8"/>
    <w:rsid w:val="001B07BD"/>
    <w:rsid w:val="001B0C73"/>
    <w:rsid w:val="001B1A2E"/>
    <w:rsid w:val="001B1A89"/>
    <w:rsid w:val="001B21BF"/>
    <w:rsid w:val="001B2993"/>
    <w:rsid w:val="001B39FB"/>
    <w:rsid w:val="001B3EE8"/>
    <w:rsid w:val="001B43B6"/>
    <w:rsid w:val="001B4441"/>
    <w:rsid w:val="001B478E"/>
    <w:rsid w:val="001B481F"/>
    <w:rsid w:val="001B5DFE"/>
    <w:rsid w:val="001B6698"/>
    <w:rsid w:val="001B66A5"/>
    <w:rsid w:val="001B69BC"/>
    <w:rsid w:val="001B6EEC"/>
    <w:rsid w:val="001B733A"/>
    <w:rsid w:val="001B773C"/>
    <w:rsid w:val="001C002B"/>
    <w:rsid w:val="001C0783"/>
    <w:rsid w:val="001C0BC3"/>
    <w:rsid w:val="001C363F"/>
    <w:rsid w:val="001C379A"/>
    <w:rsid w:val="001C3DB9"/>
    <w:rsid w:val="001C41BD"/>
    <w:rsid w:val="001C4790"/>
    <w:rsid w:val="001C47D7"/>
    <w:rsid w:val="001C49D5"/>
    <w:rsid w:val="001C5894"/>
    <w:rsid w:val="001C604B"/>
    <w:rsid w:val="001C606D"/>
    <w:rsid w:val="001C6DB9"/>
    <w:rsid w:val="001D03F2"/>
    <w:rsid w:val="001D0726"/>
    <w:rsid w:val="001D1674"/>
    <w:rsid w:val="001D21E9"/>
    <w:rsid w:val="001D306F"/>
    <w:rsid w:val="001D3497"/>
    <w:rsid w:val="001D3641"/>
    <w:rsid w:val="001D3D22"/>
    <w:rsid w:val="001D4886"/>
    <w:rsid w:val="001D4FB9"/>
    <w:rsid w:val="001D5350"/>
    <w:rsid w:val="001D58CF"/>
    <w:rsid w:val="001D60F9"/>
    <w:rsid w:val="001D661D"/>
    <w:rsid w:val="001D6721"/>
    <w:rsid w:val="001E01B7"/>
    <w:rsid w:val="001E0F04"/>
    <w:rsid w:val="001E1794"/>
    <w:rsid w:val="001E1A03"/>
    <w:rsid w:val="001E237C"/>
    <w:rsid w:val="001E23A3"/>
    <w:rsid w:val="001E2A62"/>
    <w:rsid w:val="001E2CB7"/>
    <w:rsid w:val="001E36CA"/>
    <w:rsid w:val="001E4B96"/>
    <w:rsid w:val="001E4D86"/>
    <w:rsid w:val="001E5B07"/>
    <w:rsid w:val="001E6FAC"/>
    <w:rsid w:val="001E70CB"/>
    <w:rsid w:val="001E70D9"/>
    <w:rsid w:val="001E7254"/>
    <w:rsid w:val="001E726E"/>
    <w:rsid w:val="001E7828"/>
    <w:rsid w:val="001F1D3A"/>
    <w:rsid w:val="001F2819"/>
    <w:rsid w:val="001F38E0"/>
    <w:rsid w:val="001F3B29"/>
    <w:rsid w:val="001F3E33"/>
    <w:rsid w:val="001F49B9"/>
    <w:rsid w:val="001F4BEB"/>
    <w:rsid w:val="001F649A"/>
    <w:rsid w:val="001F6C5C"/>
    <w:rsid w:val="001F70C4"/>
    <w:rsid w:val="001F71EE"/>
    <w:rsid w:val="001F742A"/>
    <w:rsid w:val="001F7788"/>
    <w:rsid w:val="001F7888"/>
    <w:rsid w:val="00200880"/>
    <w:rsid w:val="00200B79"/>
    <w:rsid w:val="002012C4"/>
    <w:rsid w:val="0020143F"/>
    <w:rsid w:val="0020286C"/>
    <w:rsid w:val="00203C60"/>
    <w:rsid w:val="002043EC"/>
    <w:rsid w:val="00204F37"/>
    <w:rsid w:val="00205DB9"/>
    <w:rsid w:val="0020609C"/>
    <w:rsid w:val="00207881"/>
    <w:rsid w:val="00210C4D"/>
    <w:rsid w:val="00210EBE"/>
    <w:rsid w:val="00210F03"/>
    <w:rsid w:val="002111C0"/>
    <w:rsid w:val="002112EA"/>
    <w:rsid w:val="0021152C"/>
    <w:rsid w:val="002117A7"/>
    <w:rsid w:val="002124BB"/>
    <w:rsid w:val="002138D9"/>
    <w:rsid w:val="00213C0D"/>
    <w:rsid w:val="00213CD2"/>
    <w:rsid w:val="00214A75"/>
    <w:rsid w:val="00214B6E"/>
    <w:rsid w:val="00214EF2"/>
    <w:rsid w:val="0021578C"/>
    <w:rsid w:val="002166F6"/>
    <w:rsid w:val="002167CC"/>
    <w:rsid w:val="0021743C"/>
    <w:rsid w:val="00217FDA"/>
    <w:rsid w:val="0022026B"/>
    <w:rsid w:val="0022158A"/>
    <w:rsid w:val="00221E8A"/>
    <w:rsid w:val="00222180"/>
    <w:rsid w:val="00223154"/>
    <w:rsid w:val="00223354"/>
    <w:rsid w:val="002240CF"/>
    <w:rsid w:val="0022456D"/>
    <w:rsid w:val="0022475A"/>
    <w:rsid w:val="00225713"/>
    <w:rsid w:val="00225717"/>
    <w:rsid w:val="00226130"/>
    <w:rsid w:val="00226C60"/>
    <w:rsid w:val="0022704C"/>
    <w:rsid w:val="0022737C"/>
    <w:rsid w:val="002277FB"/>
    <w:rsid w:val="00227F9E"/>
    <w:rsid w:val="00230464"/>
    <w:rsid w:val="0023062B"/>
    <w:rsid w:val="00230AFE"/>
    <w:rsid w:val="00230B93"/>
    <w:rsid w:val="00231351"/>
    <w:rsid w:val="00231466"/>
    <w:rsid w:val="00231DB7"/>
    <w:rsid w:val="00232059"/>
    <w:rsid w:val="00232D76"/>
    <w:rsid w:val="00233FF2"/>
    <w:rsid w:val="0023588A"/>
    <w:rsid w:val="00236027"/>
    <w:rsid w:val="00236476"/>
    <w:rsid w:val="00236D73"/>
    <w:rsid w:val="0023705C"/>
    <w:rsid w:val="002370E0"/>
    <w:rsid w:val="0023751B"/>
    <w:rsid w:val="00237F8E"/>
    <w:rsid w:val="00240226"/>
    <w:rsid w:val="00241FF4"/>
    <w:rsid w:val="0024212B"/>
    <w:rsid w:val="00243851"/>
    <w:rsid w:val="00243B9A"/>
    <w:rsid w:val="00243DC0"/>
    <w:rsid w:val="0024440C"/>
    <w:rsid w:val="00244DE8"/>
    <w:rsid w:val="0024507A"/>
    <w:rsid w:val="00245368"/>
    <w:rsid w:val="00245977"/>
    <w:rsid w:val="00245D00"/>
    <w:rsid w:val="00247477"/>
    <w:rsid w:val="002505A1"/>
    <w:rsid w:val="00250E73"/>
    <w:rsid w:val="0025142E"/>
    <w:rsid w:val="00251A6C"/>
    <w:rsid w:val="00252827"/>
    <w:rsid w:val="002534CB"/>
    <w:rsid w:val="00255422"/>
    <w:rsid w:val="00255895"/>
    <w:rsid w:val="00256D59"/>
    <w:rsid w:val="0025710D"/>
    <w:rsid w:val="002573DD"/>
    <w:rsid w:val="00257716"/>
    <w:rsid w:val="00257A5D"/>
    <w:rsid w:val="0026026E"/>
    <w:rsid w:val="00260801"/>
    <w:rsid w:val="0026273E"/>
    <w:rsid w:val="002628F5"/>
    <w:rsid w:val="00262938"/>
    <w:rsid w:val="00262AF4"/>
    <w:rsid w:val="00262FDA"/>
    <w:rsid w:val="00264CB3"/>
    <w:rsid w:val="00265003"/>
    <w:rsid w:val="002664AF"/>
    <w:rsid w:val="002665A6"/>
    <w:rsid w:val="00266814"/>
    <w:rsid w:val="0026754D"/>
    <w:rsid w:val="00270440"/>
    <w:rsid w:val="00270650"/>
    <w:rsid w:val="002709E7"/>
    <w:rsid w:val="00270BC0"/>
    <w:rsid w:val="002714DF"/>
    <w:rsid w:val="0027155D"/>
    <w:rsid w:val="00271D67"/>
    <w:rsid w:val="00271EBD"/>
    <w:rsid w:val="002730EB"/>
    <w:rsid w:val="00273753"/>
    <w:rsid w:val="0027377E"/>
    <w:rsid w:val="0027384F"/>
    <w:rsid w:val="00273A68"/>
    <w:rsid w:val="002741CF"/>
    <w:rsid w:val="002749F6"/>
    <w:rsid w:val="00274B99"/>
    <w:rsid w:val="00274BD3"/>
    <w:rsid w:val="00274C59"/>
    <w:rsid w:val="002754CD"/>
    <w:rsid w:val="002765F0"/>
    <w:rsid w:val="00276A44"/>
    <w:rsid w:val="00276B78"/>
    <w:rsid w:val="00276C53"/>
    <w:rsid w:val="00277FF0"/>
    <w:rsid w:val="00280C81"/>
    <w:rsid w:val="00281FFB"/>
    <w:rsid w:val="00282065"/>
    <w:rsid w:val="0028244E"/>
    <w:rsid w:val="0028257B"/>
    <w:rsid w:val="002827B0"/>
    <w:rsid w:val="002827CB"/>
    <w:rsid w:val="00282F7F"/>
    <w:rsid w:val="002830AC"/>
    <w:rsid w:val="002830CF"/>
    <w:rsid w:val="0028346E"/>
    <w:rsid w:val="00284BFA"/>
    <w:rsid w:val="00284C5E"/>
    <w:rsid w:val="00284C6E"/>
    <w:rsid w:val="002866A4"/>
    <w:rsid w:val="00286D33"/>
    <w:rsid w:val="00286DB1"/>
    <w:rsid w:val="002872DC"/>
    <w:rsid w:val="00287BC5"/>
    <w:rsid w:val="00287C57"/>
    <w:rsid w:val="0029044E"/>
    <w:rsid w:val="0029141E"/>
    <w:rsid w:val="00291ABB"/>
    <w:rsid w:val="00291EEB"/>
    <w:rsid w:val="002921D3"/>
    <w:rsid w:val="00292414"/>
    <w:rsid w:val="0029268C"/>
    <w:rsid w:val="0029307F"/>
    <w:rsid w:val="00293DEE"/>
    <w:rsid w:val="00293FBF"/>
    <w:rsid w:val="002940AE"/>
    <w:rsid w:val="00294F00"/>
    <w:rsid w:val="00296A4F"/>
    <w:rsid w:val="00296F94"/>
    <w:rsid w:val="00297430"/>
    <w:rsid w:val="002974F1"/>
    <w:rsid w:val="00297F40"/>
    <w:rsid w:val="00297FE1"/>
    <w:rsid w:val="002A003C"/>
    <w:rsid w:val="002A085B"/>
    <w:rsid w:val="002A0B5D"/>
    <w:rsid w:val="002A1BB2"/>
    <w:rsid w:val="002A2096"/>
    <w:rsid w:val="002A48C9"/>
    <w:rsid w:val="002A4BEB"/>
    <w:rsid w:val="002A5C33"/>
    <w:rsid w:val="002A5EB3"/>
    <w:rsid w:val="002A678F"/>
    <w:rsid w:val="002A6B0F"/>
    <w:rsid w:val="002A72B2"/>
    <w:rsid w:val="002A788E"/>
    <w:rsid w:val="002A7D18"/>
    <w:rsid w:val="002B0311"/>
    <w:rsid w:val="002B06E8"/>
    <w:rsid w:val="002B08EF"/>
    <w:rsid w:val="002B1B9C"/>
    <w:rsid w:val="002B22AE"/>
    <w:rsid w:val="002B22D9"/>
    <w:rsid w:val="002B2D4F"/>
    <w:rsid w:val="002B3FBE"/>
    <w:rsid w:val="002B412A"/>
    <w:rsid w:val="002B4818"/>
    <w:rsid w:val="002B49FE"/>
    <w:rsid w:val="002B4CC8"/>
    <w:rsid w:val="002B586D"/>
    <w:rsid w:val="002B58F3"/>
    <w:rsid w:val="002B6819"/>
    <w:rsid w:val="002B6931"/>
    <w:rsid w:val="002B6CED"/>
    <w:rsid w:val="002B72C3"/>
    <w:rsid w:val="002C0600"/>
    <w:rsid w:val="002C0BE4"/>
    <w:rsid w:val="002C0D87"/>
    <w:rsid w:val="002C23F4"/>
    <w:rsid w:val="002C2E34"/>
    <w:rsid w:val="002C3BFC"/>
    <w:rsid w:val="002C5114"/>
    <w:rsid w:val="002C5519"/>
    <w:rsid w:val="002C614E"/>
    <w:rsid w:val="002C6552"/>
    <w:rsid w:val="002C706C"/>
    <w:rsid w:val="002C77C7"/>
    <w:rsid w:val="002C79F2"/>
    <w:rsid w:val="002C7FE9"/>
    <w:rsid w:val="002D0124"/>
    <w:rsid w:val="002D0C13"/>
    <w:rsid w:val="002D0DC5"/>
    <w:rsid w:val="002D16AE"/>
    <w:rsid w:val="002D1888"/>
    <w:rsid w:val="002D211E"/>
    <w:rsid w:val="002D2386"/>
    <w:rsid w:val="002D239A"/>
    <w:rsid w:val="002D2910"/>
    <w:rsid w:val="002D2AFA"/>
    <w:rsid w:val="002D391A"/>
    <w:rsid w:val="002D452A"/>
    <w:rsid w:val="002D4EFD"/>
    <w:rsid w:val="002D6243"/>
    <w:rsid w:val="002D68D7"/>
    <w:rsid w:val="002D797B"/>
    <w:rsid w:val="002E01DD"/>
    <w:rsid w:val="002E03F4"/>
    <w:rsid w:val="002E0560"/>
    <w:rsid w:val="002E19A9"/>
    <w:rsid w:val="002E1A4F"/>
    <w:rsid w:val="002E20A3"/>
    <w:rsid w:val="002E2873"/>
    <w:rsid w:val="002E2B0D"/>
    <w:rsid w:val="002E2C9C"/>
    <w:rsid w:val="002E2F55"/>
    <w:rsid w:val="002E3242"/>
    <w:rsid w:val="002E36A6"/>
    <w:rsid w:val="002E408C"/>
    <w:rsid w:val="002E43FD"/>
    <w:rsid w:val="002E526E"/>
    <w:rsid w:val="002E5374"/>
    <w:rsid w:val="002E538A"/>
    <w:rsid w:val="002E5F25"/>
    <w:rsid w:val="002E7725"/>
    <w:rsid w:val="002E77E0"/>
    <w:rsid w:val="002F0329"/>
    <w:rsid w:val="002F0D04"/>
    <w:rsid w:val="002F0E29"/>
    <w:rsid w:val="002F14AD"/>
    <w:rsid w:val="002F1831"/>
    <w:rsid w:val="002F1B5A"/>
    <w:rsid w:val="002F2C8F"/>
    <w:rsid w:val="002F3872"/>
    <w:rsid w:val="002F467B"/>
    <w:rsid w:val="002F4B86"/>
    <w:rsid w:val="002F5A7A"/>
    <w:rsid w:val="002F6EFB"/>
    <w:rsid w:val="002F7381"/>
    <w:rsid w:val="003009F4"/>
    <w:rsid w:val="00301A24"/>
    <w:rsid w:val="00301A92"/>
    <w:rsid w:val="00301ABB"/>
    <w:rsid w:val="00301D3B"/>
    <w:rsid w:val="00302085"/>
    <w:rsid w:val="0030215F"/>
    <w:rsid w:val="00302F93"/>
    <w:rsid w:val="00303694"/>
    <w:rsid w:val="00303896"/>
    <w:rsid w:val="00303925"/>
    <w:rsid w:val="00303F25"/>
    <w:rsid w:val="0030454B"/>
    <w:rsid w:val="00304C7C"/>
    <w:rsid w:val="00304CBE"/>
    <w:rsid w:val="0030569C"/>
    <w:rsid w:val="00306698"/>
    <w:rsid w:val="00306E54"/>
    <w:rsid w:val="00306F3D"/>
    <w:rsid w:val="003106EF"/>
    <w:rsid w:val="003107CA"/>
    <w:rsid w:val="00310EF0"/>
    <w:rsid w:val="00311050"/>
    <w:rsid w:val="0031162B"/>
    <w:rsid w:val="00311DB7"/>
    <w:rsid w:val="00312F51"/>
    <w:rsid w:val="003131AC"/>
    <w:rsid w:val="003131CF"/>
    <w:rsid w:val="00313330"/>
    <w:rsid w:val="00313DF2"/>
    <w:rsid w:val="003154CD"/>
    <w:rsid w:val="003156C4"/>
    <w:rsid w:val="00315A97"/>
    <w:rsid w:val="00316071"/>
    <w:rsid w:val="0031742D"/>
    <w:rsid w:val="00317507"/>
    <w:rsid w:val="00317C16"/>
    <w:rsid w:val="003200BD"/>
    <w:rsid w:val="003203EB"/>
    <w:rsid w:val="00320945"/>
    <w:rsid w:val="00320C6B"/>
    <w:rsid w:val="00320DC1"/>
    <w:rsid w:val="00321426"/>
    <w:rsid w:val="00322A54"/>
    <w:rsid w:val="00323845"/>
    <w:rsid w:val="00323EA5"/>
    <w:rsid w:val="00324254"/>
    <w:rsid w:val="003247D6"/>
    <w:rsid w:val="003249D2"/>
    <w:rsid w:val="00324E8C"/>
    <w:rsid w:val="00325751"/>
    <w:rsid w:val="00325DA1"/>
    <w:rsid w:val="00325E44"/>
    <w:rsid w:val="00327EBA"/>
    <w:rsid w:val="0033012F"/>
    <w:rsid w:val="00332265"/>
    <w:rsid w:val="00332A52"/>
    <w:rsid w:val="003334AD"/>
    <w:rsid w:val="0033415D"/>
    <w:rsid w:val="00334D58"/>
    <w:rsid w:val="003350A8"/>
    <w:rsid w:val="003351DF"/>
    <w:rsid w:val="00335A71"/>
    <w:rsid w:val="003360C7"/>
    <w:rsid w:val="00337D42"/>
    <w:rsid w:val="00340CC8"/>
    <w:rsid w:val="003436EA"/>
    <w:rsid w:val="00343C73"/>
    <w:rsid w:val="00343E5C"/>
    <w:rsid w:val="00344428"/>
    <w:rsid w:val="00344CD4"/>
    <w:rsid w:val="00344FB8"/>
    <w:rsid w:val="0034621D"/>
    <w:rsid w:val="00346375"/>
    <w:rsid w:val="003465D7"/>
    <w:rsid w:val="00346A19"/>
    <w:rsid w:val="00347579"/>
    <w:rsid w:val="0034763E"/>
    <w:rsid w:val="00350402"/>
    <w:rsid w:val="003509AF"/>
    <w:rsid w:val="00350BA7"/>
    <w:rsid w:val="00350E8E"/>
    <w:rsid w:val="00352464"/>
    <w:rsid w:val="0035264F"/>
    <w:rsid w:val="00352F03"/>
    <w:rsid w:val="0035304B"/>
    <w:rsid w:val="003535E4"/>
    <w:rsid w:val="00353B30"/>
    <w:rsid w:val="00353E0D"/>
    <w:rsid w:val="003540FE"/>
    <w:rsid w:val="0035427B"/>
    <w:rsid w:val="00354E44"/>
    <w:rsid w:val="00355110"/>
    <w:rsid w:val="003556C5"/>
    <w:rsid w:val="00355C60"/>
    <w:rsid w:val="00355FC7"/>
    <w:rsid w:val="003564BA"/>
    <w:rsid w:val="0035701E"/>
    <w:rsid w:val="00357A6B"/>
    <w:rsid w:val="00357ED1"/>
    <w:rsid w:val="00360170"/>
    <w:rsid w:val="0036017B"/>
    <w:rsid w:val="00360E77"/>
    <w:rsid w:val="00361B55"/>
    <w:rsid w:val="00361D62"/>
    <w:rsid w:val="00362362"/>
    <w:rsid w:val="00362755"/>
    <w:rsid w:val="00362BFA"/>
    <w:rsid w:val="00362BFB"/>
    <w:rsid w:val="003630C2"/>
    <w:rsid w:val="0036479F"/>
    <w:rsid w:val="00365A81"/>
    <w:rsid w:val="0036656F"/>
    <w:rsid w:val="0036718B"/>
    <w:rsid w:val="00367684"/>
    <w:rsid w:val="003678E6"/>
    <w:rsid w:val="003679FA"/>
    <w:rsid w:val="00370695"/>
    <w:rsid w:val="0037127B"/>
    <w:rsid w:val="00371C71"/>
    <w:rsid w:val="00372C78"/>
    <w:rsid w:val="00372DFD"/>
    <w:rsid w:val="0037321D"/>
    <w:rsid w:val="00373470"/>
    <w:rsid w:val="003737F0"/>
    <w:rsid w:val="00373B93"/>
    <w:rsid w:val="003743AD"/>
    <w:rsid w:val="003746F2"/>
    <w:rsid w:val="00375291"/>
    <w:rsid w:val="003753FC"/>
    <w:rsid w:val="00375691"/>
    <w:rsid w:val="0037569F"/>
    <w:rsid w:val="003760DC"/>
    <w:rsid w:val="00376402"/>
    <w:rsid w:val="003765F9"/>
    <w:rsid w:val="0037665C"/>
    <w:rsid w:val="0037667C"/>
    <w:rsid w:val="00376940"/>
    <w:rsid w:val="0037725A"/>
    <w:rsid w:val="00377CAF"/>
    <w:rsid w:val="00377CB5"/>
    <w:rsid w:val="003800FD"/>
    <w:rsid w:val="00380CD1"/>
    <w:rsid w:val="0038128D"/>
    <w:rsid w:val="00381449"/>
    <w:rsid w:val="0038269E"/>
    <w:rsid w:val="003837FE"/>
    <w:rsid w:val="0038406B"/>
    <w:rsid w:val="0038420D"/>
    <w:rsid w:val="003842E2"/>
    <w:rsid w:val="00384979"/>
    <w:rsid w:val="00384F04"/>
    <w:rsid w:val="00385027"/>
    <w:rsid w:val="003857AE"/>
    <w:rsid w:val="003861C8"/>
    <w:rsid w:val="003862D0"/>
    <w:rsid w:val="0038678F"/>
    <w:rsid w:val="0038691E"/>
    <w:rsid w:val="003875B2"/>
    <w:rsid w:val="003875F4"/>
    <w:rsid w:val="00387A7B"/>
    <w:rsid w:val="00390AD2"/>
    <w:rsid w:val="00390B57"/>
    <w:rsid w:val="00390F5D"/>
    <w:rsid w:val="00391DAC"/>
    <w:rsid w:val="0039287F"/>
    <w:rsid w:val="00392894"/>
    <w:rsid w:val="00392A92"/>
    <w:rsid w:val="00392FEE"/>
    <w:rsid w:val="0039301E"/>
    <w:rsid w:val="00393949"/>
    <w:rsid w:val="00393AF6"/>
    <w:rsid w:val="0039411A"/>
    <w:rsid w:val="003941EE"/>
    <w:rsid w:val="003942EC"/>
    <w:rsid w:val="00394477"/>
    <w:rsid w:val="00395C92"/>
    <w:rsid w:val="00395F3A"/>
    <w:rsid w:val="0039687C"/>
    <w:rsid w:val="00396976"/>
    <w:rsid w:val="003A02F7"/>
    <w:rsid w:val="003A06F8"/>
    <w:rsid w:val="003A0B32"/>
    <w:rsid w:val="003A1559"/>
    <w:rsid w:val="003A17AE"/>
    <w:rsid w:val="003A1C6B"/>
    <w:rsid w:val="003A1C85"/>
    <w:rsid w:val="003A26D2"/>
    <w:rsid w:val="003A3385"/>
    <w:rsid w:val="003A38F0"/>
    <w:rsid w:val="003A3B78"/>
    <w:rsid w:val="003A489C"/>
    <w:rsid w:val="003A513C"/>
    <w:rsid w:val="003A5CDB"/>
    <w:rsid w:val="003A610C"/>
    <w:rsid w:val="003A6533"/>
    <w:rsid w:val="003A693D"/>
    <w:rsid w:val="003A6A14"/>
    <w:rsid w:val="003A6B1C"/>
    <w:rsid w:val="003A730C"/>
    <w:rsid w:val="003A74D2"/>
    <w:rsid w:val="003A7A85"/>
    <w:rsid w:val="003B0514"/>
    <w:rsid w:val="003B0961"/>
    <w:rsid w:val="003B0B57"/>
    <w:rsid w:val="003B0E95"/>
    <w:rsid w:val="003B21B4"/>
    <w:rsid w:val="003B2CE7"/>
    <w:rsid w:val="003B3501"/>
    <w:rsid w:val="003B39F3"/>
    <w:rsid w:val="003B3DC1"/>
    <w:rsid w:val="003B42BA"/>
    <w:rsid w:val="003B4EE9"/>
    <w:rsid w:val="003B4EF4"/>
    <w:rsid w:val="003B6752"/>
    <w:rsid w:val="003B7439"/>
    <w:rsid w:val="003B7D35"/>
    <w:rsid w:val="003B7EDB"/>
    <w:rsid w:val="003C07A1"/>
    <w:rsid w:val="003C0AD8"/>
    <w:rsid w:val="003C0B4B"/>
    <w:rsid w:val="003C1A71"/>
    <w:rsid w:val="003C1EC6"/>
    <w:rsid w:val="003C1F7B"/>
    <w:rsid w:val="003C267C"/>
    <w:rsid w:val="003C28BE"/>
    <w:rsid w:val="003C34C2"/>
    <w:rsid w:val="003C36FA"/>
    <w:rsid w:val="003C39ED"/>
    <w:rsid w:val="003C3EE9"/>
    <w:rsid w:val="003C42F3"/>
    <w:rsid w:val="003C4C15"/>
    <w:rsid w:val="003C5D22"/>
    <w:rsid w:val="003D01B5"/>
    <w:rsid w:val="003D0B56"/>
    <w:rsid w:val="003D10D1"/>
    <w:rsid w:val="003D116B"/>
    <w:rsid w:val="003D134D"/>
    <w:rsid w:val="003D1428"/>
    <w:rsid w:val="003D1B90"/>
    <w:rsid w:val="003D1E1D"/>
    <w:rsid w:val="003D1EE6"/>
    <w:rsid w:val="003D2CFB"/>
    <w:rsid w:val="003D3310"/>
    <w:rsid w:val="003D3526"/>
    <w:rsid w:val="003D39A9"/>
    <w:rsid w:val="003D3FAD"/>
    <w:rsid w:val="003D49BE"/>
    <w:rsid w:val="003D52B7"/>
    <w:rsid w:val="003D5B47"/>
    <w:rsid w:val="003D5D07"/>
    <w:rsid w:val="003D6976"/>
    <w:rsid w:val="003D74F2"/>
    <w:rsid w:val="003D766C"/>
    <w:rsid w:val="003E04A1"/>
    <w:rsid w:val="003E0762"/>
    <w:rsid w:val="003E0B5B"/>
    <w:rsid w:val="003E1529"/>
    <w:rsid w:val="003E1786"/>
    <w:rsid w:val="003E19C8"/>
    <w:rsid w:val="003E1C0F"/>
    <w:rsid w:val="003E1F55"/>
    <w:rsid w:val="003E2129"/>
    <w:rsid w:val="003E26B9"/>
    <w:rsid w:val="003E2A5E"/>
    <w:rsid w:val="003E2BB4"/>
    <w:rsid w:val="003E2C0C"/>
    <w:rsid w:val="003E49D4"/>
    <w:rsid w:val="003E4EBB"/>
    <w:rsid w:val="003E4FD3"/>
    <w:rsid w:val="003E5E67"/>
    <w:rsid w:val="003E628E"/>
    <w:rsid w:val="003E6674"/>
    <w:rsid w:val="003E6B71"/>
    <w:rsid w:val="003E7697"/>
    <w:rsid w:val="003F02D5"/>
    <w:rsid w:val="003F069A"/>
    <w:rsid w:val="003F0FFF"/>
    <w:rsid w:val="003F1023"/>
    <w:rsid w:val="003F251B"/>
    <w:rsid w:val="003F2CBC"/>
    <w:rsid w:val="003F2F1D"/>
    <w:rsid w:val="003F3508"/>
    <w:rsid w:val="003F3584"/>
    <w:rsid w:val="003F4101"/>
    <w:rsid w:val="003F4329"/>
    <w:rsid w:val="003F45D7"/>
    <w:rsid w:val="003F7DAD"/>
    <w:rsid w:val="00400C3A"/>
    <w:rsid w:val="00400D72"/>
    <w:rsid w:val="00400F71"/>
    <w:rsid w:val="0040252F"/>
    <w:rsid w:val="004026AF"/>
    <w:rsid w:val="00402ABB"/>
    <w:rsid w:val="004033F7"/>
    <w:rsid w:val="00403921"/>
    <w:rsid w:val="00404CAD"/>
    <w:rsid w:val="00405043"/>
    <w:rsid w:val="0040585A"/>
    <w:rsid w:val="00405ACD"/>
    <w:rsid w:val="00406068"/>
    <w:rsid w:val="00406C9B"/>
    <w:rsid w:val="004072DD"/>
    <w:rsid w:val="00407653"/>
    <w:rsid w:val="00407BAE"/>
    <w:rsid w:val="00407C62"/>
    <w:rsid w:val="00407CF9"/>
    <w:rsid w:val="0041133B"/>
    <w:rsid w:val="00411E36"/>
    <w:rsid w:val="004122D8"/>
    <w:rsid w:val="00412534"/>
    <w:rsid w:val="004129BB"/>
    <w:rsid w:val="00412C83"/>
    <w:rsid w:val="00412E4E"/>
    <w:rsid w:val="0041378F"/>
    <w:rsid w:val="00414612"/>
    <w:rsid w:val="00414E3D"/>
    <w:rsid w:val="004156CB"/>
    <w:rsid w:val="00416B87"/>
    <w:rsid w:val="00416D4C"/>
    <w:rsid w:val="0041753A"/>
    <w:rsid w:val="0041791E"/>
    <w:rsid w:val="00420B8B"/>
    <w:rsid w:val="00420C23"/>
    <w:rsid w:val="00422280"/>
    <w:rsid w:val="00422CB8"/>
    <w:rsid w:val="00423485"/>
    <w:rsid w:val="004237C6"/>
    <w:rsid w:val="0042384D"/>
    <w:rsid w:val="00423AE9"/>
    <w:rsid w:val="00423C3C"/>
    <w:rsid w:val="00423C93"/>
    <w:rsid w:val="00424863"/>
    <w:rsid w:val="00424AB5"/>
    <w:rsid w:val="0042530D"/>
    <w:rsid w:val="00425409"/>
    <w:rsid w:val="00425D89"/>
    <w:rsid w:val="00426014"/>
    <w:rsid w:val="004269A4"/>
    <w:rsid w:val="00431A56"/>
    <w:rsid w:val="00432D69"/>
    <w:rsid w:val="0043335C"/>
    <w:rsid w:val="004339F1"/>
    <w:rsid w:val="00433A03"/>
    <w:rsid w:val="00433D60"/>
    <w:rsid w:val="0043428D"/>
    <w:rsid w:val="00434A36"/>
    <w:rsid w:val="00434C5D"/>
    <w:rsid w:val="0043521D"/>
    <w:rsid w:val="0043542F"/>
    <w:rsid w:val="00435C7A"/>
    <w:rsid w:val="00435C83"/>
    <w:rsid w:val="00437741"/>
    <w:rsid w:val="00437F80"/>
    <w:rsid w:val="00440169"/>
    <w:rsid w:val="00440314"/>
    <w:rsid w:val="0044038B"/>
    <w:rsid w:val="00440FF5"/>
    <w:rsid w:val="00441582"/>
    <w:rsid w:val="00441749"/>
    <w:rsid w:val="00442945"/>
    <w:rsid w:val="0044362E"/>
    <w:rsid w:val="004437E2"/>
    <w:rsid w:val="004447B0"/>
    <w:rsid w:val="0044499D"/>
    <w:rsid w:val="004456A6"/>
    <w:rsid w:val="0044617E"/>
    <w:rsid w:val="00450107"/>
    <w:rsid w:val="004502FC"/>
    <w:rsid w:val="004503F1"/>
    <w:rsid w:val="0045086F"/>
    <w:rsid w:val="00450928"/>
    <w:rsid w:val="00450B10"/>
    <w:rsid w:val="0045129C"/>
    <w:rsid w:val="0045141A"/>
    <w:rsid w:val="0045193D"/>
    <w:rsid w:val="00451A6E"/>
    <w:rsid w:val="00452069"/>
    <w:rsid w:val="00452B7D"/>
    <w:rsid w:val="00452F39"/>
    <w:rsid w:val="00453091"/>
    <w:rsid w:val="00453D78"/>
    <w:rsid w:val="004543A4"/>
    <w:rsid w:val="0045440B"/>
    <w:rsid w:val="00454CCF"/>
    <w:rsid w:val="00454F76"/>
    <w:rsid w:val="0045527F"/>
    <w:rsid w:val="0045553B"/>
    <w:rsid w:val="004560F3"/>
    <w:rsid w:val="004561BE"/>
    <w:rsid w:val="004562D5"/>
    <w:rsid w:val="004568AB"/>
    <w:rsid w:val="00457A18"/>
    <w:rsid w:val="00460B7D"/>
    <w:rsid w:val="0046100A"/>
    <w:rsid w:val="00461635"/>
    <w:rsid w:val="004620DF"/>
    <w:rsid w:val="00462409"/>
    <w:rsid w:val="00462BBA"/>
    <w:rsid w:val="0046335F"/>
    <w:rsid w:val="00463720"/>
    <w:rsid w:val="004639A1"/>
    <w:rsid w:val="004639AE"/>
    <w:rsid w:val="00463EDB"/>
    <w:rsid w:val="004646B1"/>
    <w:rsid w:val="00466677"/>
    <w:rsid w:val="00466908"/>
    <w:rsid w:val="00467370"/>
    <w:rsid w:val="00467C46"/>
    <w:rsid w:val="00470AF7"/>
    <w:rsid w:val="00470BF2"/>
    <w:rsid w:val="004717AD"/>
    <w:rsid w:val="00471D5A"/>
    <w:rsid w:val="00471E79"/>
    <w:rsid w:val="00471E97"/>
    <w:rsid w:val="0047232F"/>
    <w:rsid w:val="00472FCE"/>
    <w:rsid w:val="00473F25"/>
    <w:rsid w:val="00475934"/>
    <w:rsid w:val="00476EB0"/>
    <w:rsid w:val="004771A8"/>
    <w:rsid w:val="0047733A"/>
    <w:rsid w:val="00477482"/>
    <w:rsid w:val="00477752"/>
    <w:rsid w:val="004779FD"/>
    <w:rsid w:val="00477A80"/>
    <w:rsid w:val="00477C24"/>
    <w:rsid w:val="004802D7"/>
    <w:rsid w:val="00480CB0"/>
    <w:rsid w:val="0048123D"/>
    <w:rsid w:val="00481592"/>
    <w:rsid w:val="00481D23"/>
    <w:rsid w:val="00482568"/>
    <w:rsid w:val="004828F6"/>
    <w:rsid w:val="00482D03"/>
    <w:rsid w:val="004838AD"/>
    <w:rsid w:val="004840A3"/>
    <w:rsid w:val="00484367"/>
    <w:rsid w:val="00486014"/>
    <w:rsid w:val="00487420"/>
    <w:rsid w:val="004875F7"/>
    <w:rsid w:val="00487CC2"/>
    <w:rsid w:val="00487F30"/>
    <w:rsid w:val="004901C3"/>
    <w:rsid w:val="00490292"/>
    <w:rsid w:val="00491185"/>
    <w:rsid w:val="004914DD"/>
    <w:rsid w:val="00491632"/>
    <w:rsid w:val="004927A4"/>
    <w:rsid w:val="00492CF8"/>
    <w:rsid w:val="00492F3A"/>
    <w:rsid w:val="004932DE"/>
    <w:rsid w:val="004933F4"/>
    <w:rsid w:val="00493C47"/>
    <w:rsid w:val="00493CEA"/>
    <w:rsid w:val="00494343"/>
    <w:rsid w:val="00494475"/>
    <w:rsid w:val="00494B7D"/>
    <w:rsid w:val="004958B7"/>
    <w:rsid w:val="00495991"/>
    <w:rsid w:val="00496105"/>
    <w:rsid w:val="00496510"/>
    <w:rsid w:val="00496A31"/>
    <w:rsid w:val="004A0FD7"/>
    <w:rsid w:val="004A14AE"/>
    <w:rsid w:val="004A16EA"/>
    <w:rsid w:val="004A18A8"/>
    <w:rsid w:val="004A19E9"/>
    <w:rsid w:val="004A2343"/>
    <w:rsid w:val="004A2405"/>
    <w:rsid w:val="004A3313"/>
    <w:rsid w:val="004A3C6A"/>
    <w:rsid w:val="004A6176"/>
    <w:rsid w:val="004A705A"/>
    <w:rsid w:val="004A716C"/>
    <w:rsid w:val="004B03F2"/>
    <w:rsid w:val="004B0439"/>
    <w:rsid w:val="004B0A06"/>
    <w:rsid w:val="004B1526"/>
    <w:rsid w:val="004B1EED"/>
    <w:rsid w:val="004B2694"/>
    <w:rsid w:val="004B34EA"/>
    <w:rsid w:val="004B3946"/>
    <w:rsid w:val="004B417D"/>
    <w:rsid w:val="004B5494"/>
    <w:rsid w:val="004B56AE"/>
    <w:rsid w:val="004B5F17"/>
    <w:rsid w:val="004B607E"/>
    <w:rsid w:val="004B683B"/>
    <w:rsid w:val="004B6AF2"/>
    <w:rsid w:val="004B6EDD"/>
    <w:rsid w:val="004B74F5"/>
    <w:rsid w:val="004B7AFC"/>
    <w:rsid w:val="004C0A30"/>
    <w:rsid w:val="004C1508"/>
    <w:rsid w:val="004C1877"/>
    <w:rsid w:val="004C1EDB"/>
    <w:rsid w:val="004C2246"/>
    <w:rsid w:val="004C2723"/>
    <w:rsid w:val="004C2728"/>
    <w:rsid w:val="004C2A8C"/>
    <w:rsid w:val="004C2B9D"/>
    <w:rsid w:val="004C2C72"/>
    <w:rsid w:val="004C32E6"/>
    <w:rsid w:val="004C4597"/>
    <w:rsid w:val="004C5B4D"/>
    <w:rsid w:val="004C5FE7"/>
    <w:rsid w:val="004C6F97"/>
    <w:rsid w:val="004C7A2B"/>
    <w:rsid w:val="004C7C86"/>
    <w:rsid w:val="004C7D3A"/>
    <w:rsid w:val="004C7EB9"/>
    <w:rsid w:val="004D13F0"/>
    <w:rsid w:val="004D1E18"/>
    <w:rsid w:val="004D2699"/>
    <w:rsid w:val="004D2741"/>
    <w:rsid w:val="004D285B"/>
    <w:rsid w:val="004D2C17"/>
    <w:rsid w:val="004D3181"/>
    <w:rsid w:val="004D3894"/>
    <w:rsid w:val="004D5BF7"/>
    <w:rsid w:val="004D6AAD"/>
    <w:rsid w:val="004D6D02"/>
    <w:rsid w:val="004D72B9"/>
    <w:rsid w:val="004D7796"/>
    <w:rsid w:val="004D7C02"/>
    <w:rsid w:val="004E018E"/>
    <w:rsid w:val="004E054B"/>
    <w:rsid w:val="004E080C"/>
    <w:rsid w:val="004E157E"/>
    <w:rsid w:val="004E177A"/>
    <w:rsid w:val="004E1A1E"/>
    <w:rsid w:val="004E1EDB"/>
    <w:rsid w:val="004E2175"/>
    <w:rsid w:val="004E21B7"/>
    <w:rsid w:val="004E2275"/>
    <w:rsid w:val="004E27C8"/>
    <w:rsid w:val="004E336E"/>
    <w:rsid w:val="004E3F8B"/>
    <w:rsid w:val="004E40BA"/>
    <w:rsid w:val="004E528A"/>
    <w:rsid w:val="004E6356"/>
    <w:rsid w:val="004E6506"/>
    <w:rsid w:val="004E6AA3"/>
    <w:rsid w:val="004E7016"/>
    <w:rsid w:val="004E73A7"/>
    <w:rsid w:val="004E7DD7"/>
    <w:rsid w:val="004F0BAF"/>
    <w:rsid w:val="004F1079"/>
    <w:rsid w:val="004F12D4"/>
    <w:rsid w:val="004F13AA"/>
    <w:rsid w:val="004F1D82"/>
    <w:rsid w:val="004F20FE"/>
    <w:rsid w:val="004F29CB"/>
    <w:rsid w:val="004F2B92"/>
    <w:rsid w:val="004F2EB0"/>
    <w:rsid w:val="004F344F"/>
    <w:rsid w:val="004F3D2A"/>
    <w:rsid w:val="004F42FD"/>
    <w:rsid w:val="004F445F"/>
    <w:rsid w:val="004F4684"/>
    <w:rsid w:val="004F489E"/>
    <w:rsid w:val="004F4B14"/>
    <w:rsid w:val="004F54C1"/>
    <w:rsid w:val="004F562C"/>
    <w:rsid w:val="004F5AD2"/>
    <w:rsid w:val="004F5B01"/>
    <w:rsid w:val="004F5C1F"/>
    <w:rsid w:val="004F63AA"/>
    <w:rsid w:val="004F68AC"/>
    <w:rsid w:val="00500B19"/>
    <w:rsid w:val="00500D83"/>
    <w:rsid w:val="00500E41"/>
    <w:rsid w:val="005018A8"/>
    <w:rsid w:val="00501E44"/>
    <w:rsid w:val="00502C60"/>
    <w:rsid w:val="00502E64"/>
    <w:rsid w:val="0050343D"/>
    <w:rsid w:val="00503A76"/>
    <w:rsid w:val="005040B9"/>
    <w:rsid w:val="005041AF"/>
    <w:rsid w:val="005041CB"/>
    <w:rsid w:val="0050420F"/>
    <w:rsid w:val="00504954"/>
    <w:rsid w:val="00504A08"/>
    <w:rsid w:val="00504CF5"/>
    <w:rsid w:val="005051CC"/>
    <w:rsid w:val="00505A39"/>
    <w:rsid w:val="00505B49"/>
    <w:rsid w:val="0050625E"/>
    <w:rsid w:val="00506798"/>
    <w:rsid w:val="00507256"/>
    <w:rsid w:val="00507375"/>
    <w:rsid w:val="005077E5"/>
    <w:rsid w:val="00507817"/>
    <w:rsid w:val="00507ECF"/>
    <w:rsid w:val="005101A4"/>
    <w:rsid w:val="0051033E"/>
    <w:rsid w:val="0051094F"/>
    <w:rsid w:val="005111D3"/>
    <w:rsid w:val="00511337"/>
    <w:rsid w:val="00511487"/>
    <w:rsid w:val="005117CD"/>
    <w:rsid w:val="00512894"/>
    <w:rsid w:val="005140B8"/>
    <w:rsid w:val="00514D7B"/>
    <w:rsid w:val="00514E03"/>
    <w:rsid w:val="005151BF"/>
    <w:rsid w:val="00515750"/>
    <w:rsid w:val="005158F9"/>
    <w:rsid w:val="00515A53"/>
    <w:rsid w:val="00515FEC"/>
    <w:rsid w:val="00516734"/>
    <w:rsid w:val="00516832"/>
    <w:rsid w:val="00517370"/>
    <w:rsid w:val="005176C6"/>
    <w:rsid w:val="00517ACD"/>
    <w:rsid w:val="00520273"/>
    <w:rsid w:val="0052174C"/>
    <w:rsid w:val="005220C4"/>
    <w:rsid w:val="005221AB"/>
    <w:rsid w:val="005221FB"/>
    <w:rsid w:val="00522261"/>
    <w:rsid w:val="00522966"/>
    <w:rsid w:val="00522A28"/>
    <w:rsid w:val="005240BF"/>
    <w:rsid w:val="0052533B"/>
    <w:rsid w:val="00525E2C"/>
    <w:rsid w:val="00525F7B"/>
    <w:rsid w:val="005266EC"/>
    <w:rsid w:val="00527515"/>
    <w:rsid w:val="005275CD"/>
    <w:rsid w:val="0053025B"/>
    <w:rsid w:val="0053096A"/>
    <w:rsid w:val="00530A00"/>
    <w:rsid w:val="00530BB4"/>
    <w:rsid w:val="00530D95"/>
    <w:rsid w:val="00530EEB"/>
    <w:rsid w:val="005314A1"/>
    <w:rsid w:val="0053150A"/>
    <w:rsid w:val="0053162F"/>
    <w:rsid w:val="0053217B"/>
    <w:rsid w:val="005321D7"/>
    <w:rsid w:val="00533649"/>
    <w:rsid w:val="00533FE0"/>
    <w:rsid w:val="0053416B"/>
    <w:rsid w:val="005368F4"/>
    <w:rsid w:val="00540868"/>
    <w:rsid w:val="005419FF"/>
    <w:rsid w:val="0054233E"/>
    <w:rsid w:val="00542614"/>
    <w:rsid w:val="005429AF"/>
    <w:rsid w:val="00543F25"/>
    <w:rsid w:val="00543F5B"/>
    <w:rsid w:val="005443F3"/>
    <w:rsid w:val="005444A8"/>
    <w:rsid w:val="005448C6"/>
    <w:rsid w:val="00545AD4"/>
    <w:rsid w:val="00547441"/>
    <w:rsid w:val="005477D5"/>
    <w:rsid w:val="00547D3F"/>
    <w:rsid w:val="0055061E"/>
    <w:rsid w:val="00551C6E"/>
    <w:rsid w:val="005521FD"/>
    <w:rsid w:val="005526E5"/>
    <w:rsid w:val="0055361E"/>
    <w:rsid w:val="005548AD"/>
    <w:rsid w:val="00555768"/>
    <w:rsid w:val="00555D70"/>
    <w:rsid w:val="00556498"/>
    <w:rsid w:val="005578E1"/>
    <w:rsid w:val="00557C80"/>
    <w:rsid w:val="0056056E"/>
    <w:rsid w:val="00560E4C"/>
    <w:rsid w:val="00561267"/>
    <w:rsid w:val="00561C0D"/>
    <w:rsid w:val="005627BA"/>
    <w:rsid w:val="00562AE1"/>
    <w:rsid w:val="00563F29"/>
    <w:rsid w:val="0056455A"/>
    <w:rsid w:val="00566179"/>
    <w:rsid w:val="00566968"/>
    <w:rsid w:val="0056759F"/>
    <w:rsid w:val="0057018B"/>
    <w:rsid w:val="00570A84"/>
    <w:rsid w:val="00571726"/>
    <w:rsid w:val="0057183D"/>
    <w:rsid w:val="00572EDC"/>
    <w:rsid w:val="0057332C"/>
    <w:rsid w:val="00573904"/>
    <w:rsid w:val="00573DDC"/>
    <w:rsid w:val="00574CD7"/>
    <w:rsid w:val="005755B5"/>
    <w:rsid w:val="00575649"/>
    <w:rsid w:val="005759BA"/>
    <w:rsid w:val="0057610D"/>
    <w:rsid w:val="0057650D"/>
    <w:rsid w:val="005765E9"/>
    <w:rsid w:val="00576A9A"/>
    <w:rsid w:val="00576AE6"/>
    <w:rsid w:val="00577A06"/>
    <w:rsid w:val="00580226"/>
    <w:rsid w:val="005808EE"/>
    <w:rsid w:val="00580C72"/>
    <w:rsid w:val="00580F57"/>
    <w:rsid w:val="0058211C"/>
    <w:rsid w:val="0058215F"/>
    <w:rsid w:val="0058250D"/>
    <w:rsid w:val="005828DA"/>
    <w:rsid w:val="00583489"/>
    <w:rsid w:val="005834FC"/>
    <w:rsid w:val="0058498C"/>
    <w:rsid w:val="00585163"/>
    <w:rsid w:val="00585390"/>
    <w:rsid w:val="0058579F"/>
    <w:rsid w:val="005857E8"/>
    <w:rsid w:val="00586875"/>
    <w:rsid w:val="00586904"/>
    <w:rsid w:val="005871E7"/>
    <w:rsid w:val="00587EB7"/>
    <w:rsid w:val="005904F7"/>
    <w:rsid w:val="0059063E"/>
    <w:rsid w:val="00590B98"/>
    <w:rsid w:val="00590C1A"/>
    <w:rsid w:val="005910CB"/>
    <w:rsid w:val="005917ED"/>
    <w:rsid w:val="0059260B"/>
    <w:rsid w:val="00592842"/>
    <w:rsid w:val="005929D8"/>
    <w:rsid w:val="00592DFD"/>
    <w:rsid w:val="00593489"/>
    <w:rsid w:val="00593495"/>
    <w:rsid w:val="005934D4"/>
    <w:rsid w:val="00593762"/>
    <w:rsid w:val="00593930"/>
    <w:rsid w:val="00593962"/>
    <w:rsid w:val="005939A5"/>
    <w:rsid w:val="00593E11"/>
    <w:rsid w:val="00593E22"/>
    <w:rsid w:val="00593FF5"/>
    <w:rsid w:val="00594488"/>
    <w:rsid w:val="0059493E"/>
    <w:rsid w:val="0059527C"/>
    <w:rsid w:val="00595870"/>
    <w:rsid w:val="00595EE9"/>
    <w:rsid w:val="00596CBE"/>
    <w:rsid w:val="0059739E"/>
    <w:rsid w:val="00597F7A"/>
    <w:rsid w:val="005A0E15"/>
    <w:rsid w:val="005A0E25"/>
    <w:rsid w:val="005A132C"/>
    <w:rsid w:val="005A148C"/>
    <w:rsid w:val="005A14F3"/>
    <w:rsid w:val="005A165B"/>
    <w:rsid w:val="005A1972"/>
    <w:rsid w:val="005A261D"/>
    <w:rsid w:val="005A2ECB"/>
    <w:rsid w:val="005A3008"/>
    <w:rsid w:val="005A3634"/>
    <w:rsid w:val="005A3A90"/>
    <w:rsid w:val="005A432F"/>
    <w:rsid w:val="005A4B15"/>
    <w:rsid w:val="005A51AF"/>
    <w:rsid w:val="005A550A"/>
    <w:rsid w:val="005A5F66"/>
    <w:rsid w:val="005A6A1E"/>
    <w:rsid w:val="005A749E"/>
    <w:rsid w:val="005A77E7"/>
    <w:rsid w:val="005A7871"/>
    <w:rsid w:val="005A7DB5"/>
    <w:rsid w:val="005B00F4"/>
    <w:rsid w:val="005B0A64"/>
    <w:rsid w:val="005B0AF1"/>
    <w:rsid w:val="005B0BF7"/>
    <w:rsid w:val="005B1828"/>
    <w:rsid w:val="005B1B5C"/>
    <w:rsid w:val="005B2208"/>
    <w:rsid w:val="005B34F6"/>
    <w:rsid w:val="005B3D5A"/>
    <w:rsid w:val="005B5188"/>
    <w:rsid w:val="005B614E"/>
    <w:rsid w:val="005B6196"/>
    <w:rsid w:val="005B61C0"/>
    <w:rsid w:val="005B64AE"/>
    <w:rsid w:val="005B64C4"/>
    <w:rsid w:val="005B6D89"/>
    <w:rsid w:val="005B75E9"/>
    <w:rsid w:val="005B7627"/>
    <w:rsid w:val="005B7737"/>
    <w:rsid w:val="005B7B71"/>
    <w:rsid w:val="005C001A"/>
    <w:rsid w:val="005C0490"/>
    <w:rsid w:val="005C0EC9"/>
    <w:rsid w:val="005C0FB4"/>
    <w:rsid w:val="005C12D6"/>
    <w:rsid w:val="005C13D8"/>
    <w:rsid w:val="005C17CC"/>
    <w:rsid w:val="005C19DC"/>
    <w:rsid w:val="005C306D"/>
    <w:rsid w:val="005C3B2D"/>
    <w:rsid w:val="005C3C45"/>
    <w:rsid w:val="005C4FC2"/>
    <w:rsid w:val="005C56AA"/>
    <w:rsid w:val="005C58FA"/>
    <w:rsid w:val="005C5BE3"/>
    <w:rsid w:val="005C5E1A"/>
    <w:rsid w:val="005C6077"/>
    <w:rsid w:val="005C6514"/>
    <w:rsid w:val="005C6561"/>
    <w:rsid w:val="005C68EE"/>
    <w:rsid w:val="005C6BD8"/>
    <w:rsid w:val="005C7E5B"/>
    <w:rsid w:val="005D012A"/>
    <w:rsid w:val="005D0E55"/>
    <w:rsid w:val="005D111B"/>
    <w:rsid w:val="005D1990"/>
    <w:rsid w:val="005D2798"/>
    <w:rsid w:val="005D285F"/>
    <w:rsid w:val="005D2BB9"/>
    <w:rsid w:val="005D5EF3"/>
    <w:rsid w:val="005D6483"/>
    <w:rsid w:val="005D6E1C"/>
    <w:rsid w:val="005D7475"/>
    <w:rsid w:val="005D757B"/>
    <w:rsid w:val="005D783F"/>
    <w:rsid w:val="005D7976"/>
    <w:rsid w:val="005D7ADB"/>
    <w:rsid w:val="005D7CD2"/>
    <w:rsid w:val="005E1BE3"/>
    <w:rsid w:val="005E2015"/>
    <w:rsid w:val="005E2780"/>
    <w:rsid w:val="005E2E70"/>
    <w:rsid w:val="005E3A07"/>
    <w:rsid w:val="005E4335"/>
    <w:rsid w:val="005E49B6"/>
    <w:rsid w:val="005E4D3C"/>
    <w:rsid w:val="005E5305"/>
    <w:rsid w:val="005E624C"/>
    <w:rsid w:val="005E74F1"/>
    <w:rsid w:val="005F0B76"/>
    <w:rsid w:val="005F11AB"/>
    <w:rsid w:val="005F1A69"/>
    <w:rsid w:val="005F1F2A"/>
    <w:rsid w:val="005F3069"/>
    <w:rsid w:val="005F3785"/>
    <w:rsid w:val="005F3940"/>
    <w:rsid w:val="005F4CF2"/>
    <w:rsid w:val="005F6141"/>
    <w:rsid w:val="005F64D1"/>
    <w:rsid w:val="005F6F20"/>
    <w:rsid w:val="005F7890"/>
    <w:rsid w:val="0060009B"/>
    <w:rsid w:val="0060018A"/>
    <w:rsid w:val="00600341"/>
    <w:rsid w:val="00600E57"/>
    <w:rsid w:val="00601070"/>
    <w:rsid w:val="00601AAB"/>
    <w:rsid w:val="0060278C"/>
    <w:rsid w:val="0060374E"/>
    <w:rsid w:val="00603811"/>
    <w:rsid w:val="00603CEA"/>
    <w:rsid w:val="00603F27"/>
    <w:rsid w:val="0060431D"/>
    <w:rsid w:val="00604B72"/>
    <w:rsid w:val="00604BBD"/>
    <w:rsid w:val="00605165"/>
    <w:rsid w:val="00605262"/>
    <w:rsid w:val="006062E4"/>
    <w:rsid w:val="00606545"/>
    <w:rsid w:val="00606A4B"/>
    <w:rsid w:val="00606B86"/>
    <w:rsid w:val="0060725E"/>
    <w:rsid w:val="00607283"/>
    <w:rsid w:val="00610476"/>
    <w:rsid w:val="006107D7"/>
    <w:rsid w:val="006109A2"/>
    <w:rsid w:val="00610DAE"/>
    <w:rsid w:val="0061157C"/>
    <w:rsid w:val="00611FA5"/>
    <w:rsid w:val="006127FE"/>
    <w:rsid w:val="00612EC8"/>
    <w:rsid w:val="0061331F"/>
    <w:rsid w:val="0061348C"/>
    <w:rsid w:val="00614302"/>
    <w:rsid w:val="00615408"/>
    <w:rsid w:val="00615911"/>
    <w:rsid w:val="00615BE5"/>
    <w:rsid w:val="00616062"/>
    <w:rsid w:val="006160C5"/>
    <w:rsid w:val="006172CA"/>
    <w:rsid w:val="006174E0"/>
    <w:rsid w:val="00620A55"/>
    <w:rsid w:val="00620CA7"/>
    <w:rsid w:val="0062118B"/>
    <w:rsid w:val="006218D5"/>
    <w:rsid w:val="00621A96"/>
    <w:rsid w:val="00621CBE"/>
    <w:rsid w:val="00621E14"/>
    <w:rsid w:val="006220FB"/>
    <w:rsid w:val="00622333"/>
    <w:rsid w:val="006223AE"/>
    <w:rsid w:val="00622A53"/>
    <w:rsid w:val="0062351A"/>
    <w:rsid w:val="00623CBA"/>
    <w:rsid w:val="00624032"/>
    <w:rsid w:val="00624409"/>
    <w:rsid w:val="00625DD4"/>
    <w:rsid w:val="00625EC7"/>
    <w:rsid w:val="00626584"/>
    <w:rsid w:val="0062676B"/>
    <w:rsid w:val="00627147"/>
    <w:rsid w:val="0062739C"/>
    <w:rsid w:val="00627F29"/>
    <w:rsid w:val="006300D4"/>
    <w:rsid w:val="00630200"/>
    <w:rsid w:val="006302BB"/>
    <w:rsid w:val="006303F4"/>
    <w:rsid w:val="006305C8"/>
    <w:rsid w:val="006306E5"/>
    <w:rsid w:val="00630CFF"/>
    <w:rsid w:val="00631686"/>
    <w:rsid w:val="00631DB3"/>
    <w:rsid w:val="00632207"/>
    <w:rsid w:val="00632C43"/>
    <w:rsid w:val="0063480C"/>
    <w:rsid w:val="0063491C"/>
    <w:rsid w:val="00634D17"/>
    <w:rsid w:val="006354C3"/>
    <w:rsid w:val="0063631C"/>
    <w:rsid w:val="00637AF3"/>
    <w:rsid w:val="0064073D"/>
    <w:rsid w:val="00642E8A"/>
    <w:rsid w:val="00644A3D"/>
    <w:rsid w:val="00644DD7"/>
    <w:rsid w:val="0064507F"/>
    <w:rsid w:val="00645CF5"/>
    <w:rsid w:val="006465C1"/>
    <w:rsid w:val="00646FBD"/>
    <w:rsid w:val="0064701B"/>
    <w:rsid w:val="006500E5"/>
    <w:rsid w:val="00650231"/>
    <w:rsid w:val="00650BA2"/>
    <w:rsid w:val="006529BF"/>
    <w:rsid w:val="00652B06"/>
    <w:rsid w:val="00652CAC"/>
    <w:rsid w:val="00652EA5"/>
    <w:rsid w:val="00653115"/>
    <w:rsid w:val="0065338E"/>
    <w:rsid w:val="0065384E"/>
    <w:rsid w:val="00653D0C"/>
    <w:rsid w:val="00654149"/>
    <w:rsid w:val="00655753"/>
    <w:rsid w:val="006559F9"/>
    <w:rsid w:val="00655DE1"/>
    <w:rsid w:val="006564E7"/>
    <w:rsid w:val="00656512"/>
    <w:rsid w:val="0065663F"/>
    <w:rsid w:val="00656807"/>
    <w:rsid w:val="006572D5"/>
    <w:rsid w:val="006572FF"/>
    <w:rsid w:val="00657593"/>
    <w:rsid w:val="006579C9"/>
    <w:rsid w:val="006601A7"/>
    <w:rsid w:val="00660C32"/>
    <w:rsid w:val="006610B1"/>
    <w:rsid w:val="00661AFE"/>
    <w:rsid w:val="0066215B"/>
    <w:rsid w:val="006628F7"/>
    <w:rsid w:val="00662BDF"/>
    <w:rsid w:val="00662FBF"/>
    <w:rsid w:val="00663731"/>
    <w:rsid w:val="0066458B"/>
    <w:rsid w:val="00664B9C"/>
    <w:rsid w:val="00665BA0"/>
    <w:rsid w:val="0066692B"/>
    <w:rsid w:val="00666987"/>
    <w:rsid w:val="00666B2F"/>
    <w:rsid w:val="00666D51"/>
    <w:rsid w:val="00666FF6"/>
    <w:rsid w:val="006677B3"/>
    <w:rsid w:val="00670952"/>
    <w:rsid w:val="00670B5E"/>
    <w:rsid w:val="00671D37"/>
    <w:rsid w:val="00673327"/>
    <w:rsid w:val="006741E2"/>
    <w:rsid w:val="00674660"/>
    <w:rsid w:val="006777AC"/>
    <w:rsid w:val="00677B49"/>
    <w:rsid w:val="00680189"/>
    <w:rsid w:val="00680F19"/>
    <w:rsid w:val="0068137B"/>
    <w:rsid w:val="00681384"/>
    <w:rsid w:val="006814AB"/>
    <w:rsid w:val="00681522"/>
    <w:rsid w:val="00681654"/>
    <w:rsid w:val="006819F9"/>
    <w:rsid w:val="00682EEF"/>
    <w:rsid w:val="0068328F"/>
    <w:rsid w:val="00684BD5"/>
    <w:rsid w:val="00684E9C"/>
    <w:rsid w:val="0068618B"/>
    <w:rsid w:val="0068652D"/>
    <w:rsid w:val="00687762"/>
    <w:rsid w:val="00687854"/>
    <w:rsid w:val="00687B33"/>
    <w:rsid w:val="00690003"/>
    <w:rsid w:val="00690B2A"/>
    <w:rsid w:val="00690B69"/>
    <w:rsid w:val="00690B8B"/>
    <w:rsid w:val="00691C5C"/>
    <w:rsid w:val="006920CB"/>
    <w:rsid w:val="00692142"/>
    <w:rsid w:val="006921D5"/>
    <w:rsid w:val="00692236"/>
    <w:rsid w:val="00692438"/>
    <w:rsid w:val="00692C71"/>
    <w:rsid w:val="00694113"/>
    <w:rsid w:val="00694215"/>
    <w:rsid w:val="00694458"/>
    <w:rsid w:val="006949F4"/>
    <w:rsid w:val="00695066"/>
    <w:rsid w:val="006954E1"/>
    <w:rsid w:val="0069585E"/>
    <w:rsid w:val="0069736D"/>
    <w:rsid w:val="006978A0"/>
    <w:rsid w:val="006A01A8"/>
    <w:rsid w:val="006A01CB"/>
    <w:rsid w:val="006A0335"/>
    <w:rsid w:val="006A0425"/>
    <w:rsid w:val="006A123E"/>
    <w:rsid w:val="006A12F1"/>
    <w:rsid w:val="006A1734"/>
    <w:rsid w:val="006A1832"/>
    <w:rsid w:val="006A2504"/>
    <w:rsid w:val="006A26EF"/>
    <w:rsid w:val="006A2B7F"/>
    <w:rsid w:val="006A2C7D"/>
    <w:rsid w:val="006A2D3E"/>
    <w:rsid w:val="006A300D"/>
    <w:rsid w:val="006A3675"/>
    <w:rsid w:val="006A45E9"/>
    <w:rsid w:val="006A4698"/>
    <w:rsid w:val="006A47C6"/>
    <w:rsid w:val="006A4B0B"/>
    <w:rsid w:val="006A556D"/>
    <w:rsid w:val="006A58A4"/>
    <w:rsid w:val="006A73DD"/>
    <w:rsid w:val="006B0999"/>
    <w:rsid w:val="006B168D"/>
    <w:rsid w:val="006B19B9"/>
    <w:rsid w:val="006B1D49"/>
    <w:rsid w:val="006B1E4C"/>
    <w:rsid w:val="006B203F"/>
    <w:rsid w:val="006B211F"/>
    <w:rsid w:val="006B2740"/>
    <w:rsid w:val="006B27B0"/>
    <w:rsid w:val="006B3382"/>
    <w:rsid w:val="006B49C8"/>
    <w:rsid w:val="006B4C1D"/>
    <w:rsid w:val="006B5453"/>
    <w:rsid w:val="006B604C"/>
    <w:rsid w:val="006B738D"/>
    <w:rsid w:val="006B73D9"/>
    <w:rsid w:val="006B7D37"/>
    <w:rsid w:val="006B7FB4"/>
    <w:rsid w:val="006C00E4"/>
    <w:rsid w:val="006C06C0"/>
    <w:rsid w:val="006C0B28"/>
    <w:rsid w:val="006C0BFA"/>
    <w:rsid w:val="006C102D"/>
    <w:rsid w:val="006C1F10"/>
    <w:rsid w:val="006C260F"/>
    <w:rsid w:val="006C35A9"/>
    <w:rsid w:val="006C5E11"/>
    <w:rsid w:val="006C5E91"/>
    <w:rsid w:val="006C6F38"/>
    <w:rsid w:val="006C70B8"/>
    <w:rsid w:val="006C771E"/>
    <w:rsid w:val="006C78D7"/>
    <w:rsid w:val="006C7EEA"/>
    <w:rsid w:val="006D0850"/>
    <w:rsid w:val="006D1A9A"/>
    <w:rsid w:val="006D1EF0"/>
    <w:rsid w:val="006D26E7"/>
    <w:rsid w:val="006D339C"/>
    <w:rsid w:val="006D3894"/>
    <w:rsid w:val="006D39E8"/>
    <w:rsid w:val="006D3D30"/>
    <w:rsid w:val="006D42D8"/>
    <w:rsid w:val="006D453D"/>
    <w:rsid w:val="006D67F7"/>
    <w:rsid w:val="006D6DAE"/>
    <w:rsid w:val="006D6E78"/>
    <w:rsid w:val="006D7C92"/>
    <w:rsid w:val="006D7D26"/>
    <w:rsid w:val="006E07C1"/>
    <w:rsid w:val="006E0AA0"/>
    <w:rsid w:val="006E0B3F"/>
    <w:rsid w:val="006E1B7B"/>
    <w:rsid w:val="006E233A"/>
    <w:rsid w:val="006E2A93"/>
    <w:rsid w:val="006E2BED"/>
    <w:rsid w:val="006E31B8"/>
    <w:rsid w:val="006E36CC"/>
    <w:rsid w:val="006E3BC2"/>
    <w:rsid w:val="006E4F9E"/>
    <w:rsid w:val="006E57B1"/>
    <w:rsid w:val="006E5A71"/>
    <w:rsid w:val="006E5E28"/>
    <w:rsid w:val="006E647E"/>
    <w:rsid w:val="006E6574"/>
    <w:rsid w:val="006E742C"/>
    <w:rsid w:val="006E744B"/>
    <w:rsid w:val="006E7A4F"/>
    <w:rsid w:val="006E7A55"/>
    <w:rsid w:val="006F098C"/>
    <w:rsid w:val="006F0BC3"/>
    <w:rsid w:val="006F0CC4"/>
    <w:rsid w:val="006F1631"/>
    <w:rsid w:val="006F18FD"/>
    <w:rsid w:val="006F25F4"/>
    <w:rsid w:val="006F33EF"/>
    <w:rsid w:val="006F3A70"/>
    <w:rsid w:val="006F3C14"/>
    <w:rsid w:val="006F3C74"/>
    <w:rsid w:val="006F3D30"/>
    <w:rsid w:val="006F461D"/>
    <w:rsid w:val="006F48AB"/>
    <w:rsid w:val="006F62BE"/>
    <w:rsid w:val="006F642F"/>
    <w:rsid w:val="006F6C89"/>
    <w:rsid w:val="006F6D88"/>
    <w:rsid w:val="006F72DB"/>
    <w:rsid w:val="006F73F2"/>
    <w:rsid w:val="006F79DE"/>
    <w:rsid w:val="0070051F"/>
    <w:rsid w:val="00700CDF"/>
    <w:rsid w:val="007014E0"/>
    <w:rsid w:val="0070151D"/>
    <w:rsid w:val="007016A7"/>
    <w:rsid w:val="00701B94"/>
    <w:rsid w:val="00701D7D"/>
    <w:rsid w:val="0070210D"/>
    <w:rsid w:val="0070228B"/>
    <w:rsid w:val="00703678"/>
    <w:rsid w:val="00703938"/>
    <w:rsid w:val="00703AF7"/>
    <w:rsid w:val="007040D7"/>
    <w:rsid w:val="00705C33"/>
    <w:rsid w:val="00706368"/>
    <w:rsid w:val="0070661C"/>
    <w:rsid w:val="007068D1"/>
    <w:rsid w:val="00706D82"/>
    <w:rsid w:val="007072BF"/>
    <w:rsid w:val="00707646"/>
    <w:rsid w:val="0070773C"/>
    <w:rsid w:val="00707E40"/>
    <w:rsid w:val="00710C2B"/>
    <w:rsid w:val="007111CF"/>
    <w:rsid w:val="007111E1"/>
    <w:rsid w:val="007120D0"/>
    <w:rsid w:val="0071287D"/>
    <w:rsid w:val="00713076"/>
    <w:rsid w:val="00713254"/>
    <w:rsid w:val="00713266"/>
    <w:rsid w:val="00713628"/>
    <w:rsid w:val="007138E0"/>
    <w:rsid w:val="00714534"/>
    <w:rsid w:val="00714CF2"/>
    <w:rsid w:val="00715653"/>
    <w:rsid w:val="007156B9"/>
    <w:rsid w:val="00716863"/>
    <w:rsid w:val="00717819"/>
    <w:rsid w:val="00717B04"/>
    <w:rsid w:val="007201EC"/>
    <w:rsid w:val="00720446"/>
    <w:rsid w:val="0072052D"/>
    <w:rsid w:val="00720817"/>
    <w:rsid w:val="0072106A"/>
    <w:rsid w:val="007211A3"/>
    <w:rsid w:val="00722850"/>
    <w:rsid w:val="00722FC7"/>
    <w:rsid w:val="007236EE"/>
    <w:rsid w:val="00723C2A"/>
    <w:rsid w:val="0072463C"/>
    <w:rsid w:val="00725869"/>
    <w:rsid w:val="0072598A"/>
    <w:rsid w:val="00725A58"/>
    <w:rsid w:val="00725B64"/>
    <w:rsid w:val="0072607B"/>
    <w:rsid w:val="0072607F"/>
    <w:rsid w:val="00727B43"/>
    <w:rsid w:val="00727EE6"/>
    <w:rsid w:val="0073068B"/>
    <w:rsid w:val="00730E44"/>
    <w:rsid w:val="007312FA"/>
    <w:rsid w:val="007316C4"/>
    <w:rsid w:val="0073189D"/>
    <w:rsid w:val="00731934"/>
    <w:rsid w:val="00731A8D"/>
    <w:rsid w:val="00732A61"/>
    <w:rsid w:val="0073353F"/>
    <w:rsid w:val="00733D92"/>
    <w:rsid w:val="007340E2"/>
    <w:rsid w:val="00734C75"/>
    <w:rsid w:val="00734D96"/>
    <w:rsid w:val="00735A91"/>
    <w:rsid w:val="00735E7F"/>
    <w:rsid w:val="00736097"/>
    <w:rsid w:val="007361BA"/>
    <w:rsid w:val="00736882"/>
    <w:rsid w:val="007378B7"/>
    <w:rsid w:val="007400E2"/>
    <w:rsid w:val="00741032"/>
    <w:rsid w:val="007414CB"/>
    <w:rsid w:val="007419C4"/>
    <w:rsid w:val="00742E45"/>
    <w:rsid w:val="00742F06"/>
    <w:rsid w:val="007437F4"/>
    <w:rsid w:val="00743C75"/>
    <w:rsid w:val="007447AF"/>
    <w:rsid w:val="007448F8"/>
    <w:rsid w:val="007452DF"/>
    <w:rsid w:val="00745453"/>
    <w:rsid w:val="0074605D"/>
    <w:rsid w:val="00746577"/>
    <w:rsid w:val="00746656"/>
    <w:rsid w:val="00747D05"/>
    <w:rsid w:val="00750816"/>
    <w:rsid w:val="007509D5"/>
    <w:rsid w:val="00750B06"/>
    <w:rsid w:val="00750F9A"/>
    <w:rsid w:val="007513A5"/>
    <w:rsid w:val="007517E1"/>
    <w:rsid w:val="00752313"/>
    <w:rsid w:val="00752422"/>
    <w:rsid w:val="00752DAB"/>
    <w:rsid w:val="007530BA"/>
    <w:rsid w:val="00753313"/>
    <w:rsid w:val="00753354"/>
    <w:rsid w:val="00753962"/>
    <w:rsid w:val="00753E6E"/>
    <w:rsid w:val="00754872"/>
    <w:rsid w:val="007552C1"/>
    <w:rsid w:val="007553BA"/>
    <w:rsid w:val="00755B3A"/>
    <w:rsid w:val="00756CCF"/>
    <w:rsid w:val="007606B6"/>
    <w:rsid w:val="007606DF"/>
    <w:rsid w:val="007611A8"/>
    <w:rsid w:val="00761503"/>
    <w:rsid w:val="007615ED"/>
    <w:rsid w:val="0076238F"/>
    <w:rsid w:val="007625B8"/>
    <w:rsid w:val="00762C13"/>
    <w:rsid w:val="00763635"/>
    <w:rsid w:val="00763770"/>
    <w:rsid w:val="0076381F"/>
    <w:rsid w:val="00763B89"/>
    <w:rsid w:val="00763C3B"/>
    <w:rsid w:val="00763C3C"/>
    <w:rsid w:val="0076448D"/>
    <w:rsid w:val="00764543"/>
    <w:rsid w:val="00764885"/>
    <w:rsid w:val="0076523D"/>
    <w:rsid w:val="00765317"/>
    <w:rsid w:val="007657C1"/>
    <w:rsid w:val="00765AAD"/>
    <w:rsid w:val="00765C6C"/>
    <w:rsid w:val="00765FE7"/>
    <w:rsid w:val="0076632E"/>
    <w:rsid w:val="007668BE"/>
    <w:rsid w:val="007668C3"/>
    <w:rsid w:val="007678AB"/>
    <w:rsid w:val="00767B87"/>
    <w:rsid w:val="00770318"/>
    <w:rsid w:val="007711E7"/>
    <w:rsid w:val="0077270C"/>
    <w:rsid w:val="007727B4"/>
    <w:rsid w:val="007729D3"/>
    <w:rsid w:val="00772B09"/>
    <w:rsid w:val="00772E8D"/>
    <w:rsid w:val="00773A09"/>
    <w:rsid w:val="00773D08"/>
    <w:rsid w:val="00775888"/>
    <w:rsid w:val="00775D49"/>
    <w:rsid w:val="0077646E"/>
    <w:rsid w:val="007766AB"/>
    <w:rsid w:val="0077734A"/>
    <w:rsid w:val="0077755F"/>
    <w:rsid w:val="007800C7"/>
    <w:rsid w:val="0078078D"/>
    <w:rsid w:val="007819C7"/>
    <w:rsid w:val="0078236D"/>
    <w:rsid w:val="007830FC"/>
    <w:rsid w:val="00783455"/>
    <w:rsid w:val="00783C5F"/>
    <w:rsid w:val="00784324"/>
    <w:rsid w:val="00785459"/>
    <w:rsid w:val="0078601D"/>
    <w:rsid w:val="007860AE"/>
    <w:rsid w:val="00786228"/>
    <w:rsid w:val="00786367"/>
    <w:rsid w:val="00786644"/>
    <w:rsid w:val="00786D46"/>
    <w:rsid w:val="0078703E"/>
    <w:rsid w:val="00790502"/>
    <w:rsid w:val="00790D2B"/>
    <w:rsid w:val="0079111A"/>
    <w:rsid w:val="00791C80"/>
    <w:rsid w:val="00792798"/>
    <w:rsid w:val="00792B9C"/>
    <w:rsid w:val="00792C21"/>
    <w:rsid w:val="00793625"/>
    <w:rsid w:val="00794093"/>
    <w:rsid w:val="00794506"/>
    <w:rsid w:val="00794F00"/>
    <w:rsid w:val="0079538E"/>
    <w:rsid w:val="00796E41"/>
    <w:rsid w:val="00796EBB"/>
    <w:rsid w:val="00796F7B"/>
    <w:rsid w:val="00797E08"/>
    <w:rsid w:val="00797E9D"/>
    <w:rsid w:val="007A11A3"/>
    <w:rsid w:val="007A11B5"/>
    <w:rsid w:val="007A137B"/>
    <w:rsid w:val="007A178A"/>
    <w:rsid w:val="007A2169"/>
    <w:rsid w:val="007A26D5"/>
    <w:rsid w:val="007A32EB"/>
    <w:rsid w:val="007A406D"/>
    <w:rsid w:val="007A4B5F"/>
    <w:rsid w:val="007A4C38"/>
    <w:rsid w:val="007A588A"/>
    <w:rsid w:val="007A62B0"/>
    <w:rsid w:val="007A66FD"/>
    <w:rsid w:val="007A684C"/>
    <w:rsid w:val="007A702B"/>
    <w:rsid w:val="007A7E2B"/>
    <w:rsid w:val="007B079E"/>
    <w:rsid w:val="007B0D86"/>
    <w:rsid w:val="007B1827"/>
    <w:rsid w:val="007B1F70"/>
    <w:rsid w:val="007B24ED"/>
    <w:rsid w:val="007B2B25"/>
    <w:rsid w:val="007B2DC8"/>
    <w:rsid w:val="007B37E8"/>
    <w:rsid w:val="007B3873"/>
    <w:rsid w:val="007B3A53"/>
    <w:rsid w:val="007B3E47"/>
    <w:rsid w:val="007B3F37"/>
    <w:rsid w:val="007B4AF0"/>
    <w:rsid w:val="007B56BF"/>
    <w:rsid w:val="007B5785"/>
    <w:rsid w:val="007B5BA1"/>
    <w:rsid w:val="007B6173"/>
    <w:rsid w:val="007B6811"/>
    <w:rsid w:val="007B77D7"/>
    <w:rsid w:val="007C0387"/>
    <w:rsid w:val="007C0556"/>
    <w:rsid w:val="007C0C88"/>
    <w:rsid w:val="007C0F47"/>
    <w:rsid w:val="007C2049"/>
    <w:rsid w:val="007C2262"/>
    <w:rsid w:val="007C22F2"/>
    <w:rsid w:val="007C24E1"/>
    <w:rsid w:val="007C2EB1"/>
    <w:rsid w:val="007C35FC"/>
    <w:rsid w:val="007C3839"/>
    <w:rsid w:val="007C3FD0"/>
    <w:rsid w:val="007C4480"/>
    <w:rsid w:val="007C473A"/>
    <w:rsid w:val="007C4C59"/>
    <w:rsid w:val="007C4FF0"/>
    <w:rsid w:val="007C5A0C"/>
    <w:rsid w:val="007C5AF5"/>
    <w:rsid w:val="007C5E99"/>
    <w:rsid w:val="007C5EAA"/>
    <w:rsid w:val="007C61FE"/>
    <w:rsid w:val="007C6A98"/>
    <w:rsid w:val="007C6EF6"/>
    <w:rsid w:val="007C75DC"/>
    <w:rsid w:val="007C784B"/>
    <w:rsid w:val="007C7CCA"/>
    <w:rsid w:val="007C7D56"/>
    <w:rsid w:val="007C7E38"/>
    <w:rsid w:val="007D064E"/>
    <w:rsid w:val="007D0DB6"/>
    <w:rsid w:val="007D1211"/>
    <w:rsid w:val="007D12FE"/>
    <w:rsid w:val="007D2A71"/>
    <w:rsid w:val="007D4754"/>
    <w:rsid w:val="007D4A07"/>
    <w:rsid w:val="007D58FB"/>
    <w:rsid w:val="007D6368"/>
    <w:rsid w:val="007D66B6"/>
    <w:rsid w:val="007D69B8"/>
    <w:rsid w:val="007D6E5C"/>
    <w:rsid w:val="007D732D"/>
    <w:rsid w:val="007E07E2"/>
    <w:rsid w:val="007E0FEE"/>
    <w:rsid w:val="007E1FD6"/>
    <w:rsid w:val="007E20D3"/>
    <w:rsid w:val="007E232E"/>
    <w:rsid w:val="007E27B2"/>
    <w:rsid w:val="007E2B4A"/>
    <w:rsid w:val="007E3677"/>
    <w:rsid w:val="007E3CB4"/>
    <w:rsid w:val="007E3D31"/>
    <w:rsid w:val="007E4B0B"/>
    <w:rsid w:val="007E4B62"/>
    <w:rsid w:val="007E54AD"/>
    <w:rsid w:val="007E5D71"/>
    <w:rsid w:val="007E67AB"/>
    <w:rsid w:val="007E7639"/>
    <w:rsid w:val="007F015C"/>
    <w:rsid w:val="007F0A31"/>
    <w:rsid w:val="007F190F"/>
    <w:rsid w:val="007F2017"/>
    <w:rsid w:val="007F2D92"/>
    <w:rsid w:val="007F401F"/>
    <w:rsid w:val="007F4226"/>
    <w:rsid w:val="007F5445"/>
    <w:rsid w:val="007F60F9"/>
    <w:rsid w:val="007F7FB4"/>
    <w:rsid w:val="00800CE0"/>
    <w:rsid w:val="008014CB"/>
    <w:rsid w:val="00801638"/>
    <w:rsid w:val="00801C72"/>
    <w:rsid w:val="008026ED"/>
    <w:rsid w:val="00802810"/>
    <w:rsid w:val="00802BAF"/>
    <w:rsid w:val="00803D0E"/>
    <w:rsid w:val="00803F96"/>
    <w:rsid w:val="00804150"/>
    <w:rsid w:val="008045F2"/>
    <w:rsid w:val="00805CCE"/>
    <w:rsid w:val="00805D41"/>
    <w:rsid w:val="0080683E"/>
    <w:rsid w:val="00806E4B"/>
    <w:rsid w:val="008075F0"/>
    <w:rsid w:val="00810144"/>
    <w:rsid w:val="00810483"/>
    <w:rsid w:val="0081161F"/>
    <w:rsid w:val="0081191C"/>
    <w:rsid w:val="00812056"/>
    <w:rsid w:val="00812192"/>
    <w:rsid w:val="008130EC"/>
    <w:rsid w:val="0081337F"/>
    <w:rsid w:val="00813E95"/>
    <w:rsid w:val="00814EC8"/>
    <w:rsid w:val="008159CF"/>
    <w:rsid w:val="00816902"/>
    <w:rsid w:val="00816C84"/>
    <w:rsid w:val="00816E05"/>
    <w:rsid w:val="00817367"/>
    <w:rsid w:val="00817510"/>
    <w:rsid w:val="00820182"/>
    <w:rsid w:val="008206E2"/>
    <w:rsid w:val="0082116C"/>
    <w:rsid w:val="0082131F"/>
    <w:rsid w:val="008215A2"/>
    <w:rsid w:val="008216E3"/>
    <w:rsid w:val="0082201D"/>
    <w:rsid w:val="0082234F"/>
    <w:rsid w:val="00822488"/>
    <w:rsid w:val="00822492"/>
    <w:rsid w:val="008232AA"/>
    <w:rsid w:val="008233DA"/>
    <w:rsid w:val="00823B3A"/>
    <w:rsid w:val="008245B4"/>
    <w:rsid w:val="00824690"/>
    <w:rsid w:val="00824758"/>
    <w:rsid w:val="008249E4"/>
    <w:rsid w:val="00824CBC"/>
    <w:rsid w:val="00825F3D"/>
    <w:rsid w:val="0082658B"/>
    <w:rsid w:val="008267E0"/>
    <w:rsid w:val="00826F47"/>
    <w:rsid w:val="008278FE"/>
    <w:rsid w:val="008308E5"/>
    <w:rsid w:val="008316CB"/>
    <w:rsid w:val="00831AD1"/>
    <w:rsid w:val="00832001"/>
    <w:rsid w:val="0083238F"/>
    <w:rsid w:val="008325A8"/>
    <w:rsid w:val="008328EF"/>
    <w:rsid w:val="00832ED1"/>
    <w:rsid w:val="008339BB"/>
    <w:rsid w:val="00834135"/>
    <w:rsid w:val="008353FE"/>
    <w:rsid w:val="008359D2"/>
    <w:rsid w:val="0083622D"/>
    <w:rsid w:val="00836C35"/>
    <w:rsid w:val="00836EDE"/>
    <w:rsid w:val="00837259"/>
    <w:rsid w:val="008379E5"/>
    <w:rsid w:val="00837E5C"/>
    <w:rsid w:val="0084060B"/>
    <w:rsid w:val="00840A5D"/>
    <w:rsid w:val="00840B77"/>
    <w:rsid w:val="00840E5A"/>
    <w:rsid w:val="008411CC"/>
    <w:rsid w:val="008418F3"/>
    <w:rsid w:val="00841D69"/>
    <w:rsid w:val="0084206E"/>
    <w:rsid w:val="0084327A"/>
    <w:rsid w:val="00844169"/>
    <w:rsid w:val="00844CFF"/>
    <w:rsid w:val="0084640F"/>
    <w:rsid w:val="00846F29"/>
    <w:rsid w:val="00847DFF"/>
    <w:rsid w:val="00850D19"/>
    <w:rsid w:val="00851355"/>
    <w:rsid w:val="00851C8B"/>
    <w:rsid w:val="00852075"/>
    <w:rsid w:val="0085245C"/>
    <w:rsid w:val="00852A01"/>
    <w:rsid w:val="00852AB8"/>
    <w:rsid w:val="00853017"/>
    <w:rsid w:val="008530A8"/>
    <w:rsid w:val="008537D9"/>
    <w:rsid w:val="00853972"/>
    <w:rsid w:val="00853C2B"/>
    <w:rsid w:val="00853F61"/>
    <w:rsid w:val="008547FE"/>
    <w:rsid w:val="008548C0"/>
    <w:rsid w:val="0085532C"/>
    <w:rsid w:val="0085559B"/>
    <w:rsid w:val="0085695A"/>
    <w:rsid w:val="008571A3"/>
    <w:rsid w:val="00860090"/>
    <w:rsid w:val="008602DD"/>
    <w:rsid w:val="00860365"/>
    <w:rsid w:val="008612AF"/>
    <w:rsid w:val="0086190D"/>
    <w:rsid w:val="00862079"/>
    <w:rsid w:val="0086214D"/>
    <w:rsid w:val="008621BF"/>
    <w:rsid w:val="00862239"/>
    <w:rsid w:val="00862601"/>
    <w:rsid w:val="00863073"/>
    <w:rsid w:val="00863754"/>
    <w:rsid w:val="008639AD"/>
    <w:rsid w:val="0086419A"/>
    <w:rsid w:val="0086508D"/>
    <w:rsid w:val="00865682"/>
    <w:rsid w:val="00865712"/>
    <w:rsid w:val="00865739"/>
    <w:rsid w:val="00865E51"/>
    <w:rsid w:val="00866089"/>
    <w:rsid w:val="008660FA"/>
    <w:rsid w:val="00866210"/>
    <w:rsid w:val="0086663B"/>
    <w:rsid w:val="0086671B"/>
    <w:rsid w:val="0086673D"/>
    <w:rsid w:val="00866FD4"/>
    <w:rsid w:val="008673F8"/>
    <w:rsid w:val="0087023B"/>
    <w:rsid w:val="00870553"/>
    <w:rsid w:val="008706E7"/>
    <w:rsid w:val="00870772"/>
    <w:rsid w:val="008710DC"/>
    <w:rsid w:val="0087325B"/>
    <w:rsid w:val="00873873"/>
    <w:rsid w:val="00873C73"/>
    <w:rsid w:val="0087495D"/>
    <w:rsid w:val="00875EFD"/>
    <w:rsid w:val="00877A39"/>
    <w:rsid w:val="00877ED9"/>
    <w:rsid w:val="008802D9"/>
    <w:rsid w:val="00880CF2"/>
    <w:rsid w:val="00880DCD"/>
    <w:rsid w:val="00881182"/>
    <w:rsid w:val="008811E6"/>
    <w:rsid w:val="00881524"/>
    <w:rsid w:val="0088226B"/>
    <w:rsid w:val="00882442"/>
    <w:rsid w:val="00882DA4"/>
    <w:rsid w:val="00882EC7"/>
    <w:rsid w:val="0088355F"/>
    <w:rsid w:val="008837A7"/>
    <w:rsid w:val="00883BD5"/>
    <w:rsid w:val="008844B7"/>
    <w:rsid w:val="00884878"/>
    <w:rsid w:val="00885CE1"/>
    <w:rsid w:val="0088770D"/>
    <w:rsid w:val="008877E1"/>
    <w:rsid w:val="00890391"/>
    <w:rsid w:val="008915BE"/>
    <w:rsid w:val="00891844"/>
    <w:rsid w:val="00891C4A"/>
    <w:rsid w:val="00892141"/>
    <w:rsid w:val="00892319"/>
    <w:rsid w:val="00892771"/>
    <w:rsid w:val="00892805"/>
    <w:rsid w:val="008928AD"/>
    <w:rsid w:val="00893033"/>
    <w:rsid w:val="00893390"/>
    <w:rsid w:val="0089349F"/>
    <w:rsid w:val="00893B15"/>
    <w:rsid w:val="00893C76"/>
    <w:rsid w:val="00895883"/>
    <w:rsid w:val="0089621F"/>
    <w:rsid w:val="00896CC9"/>
    <w:rsid w:val="008972D1"/>
    <w:rsid w:val="00897FC2"/>
    <w:rsid w:val="008A0618"/>
    <w:rsid w:val="008A13CB"/>
    <w:rsid w:val="008A179F"/>
    <w:rsid w:val="008A1EEF"/>
    <w:rsid w:val="008A22DC"/>
    <w:rsid w:val="008A31B9"/>
    <w:rsid w:val="008A36D7"/>
    <w:rsid w:val="008A4365"/>
    <w:rsid w:val="008A59D6"/>
    <w:rsid w:val="008A6293"/>
    <w:rsid w:val="008A7011"/>
    <w:rsid w:val="008A77BD"/>
    <w:rsid w:val="008ACBBD"/>
    <w:rsid w:val="008B00A4"/>
    <w:rsid w:val="008B00AF"/>
    <w:rsid w:val="008B053A"/>
    <w:rsid w:val="008B0864"/>
    <w:rsid w:val="008B10FE"/>
    <w:rsid w:val="008B2BCE"/>
    <w:rsid w:val="008B41B7"/>
    <w:rsid w:val="008B44E1"/>
    <w:rsid w:val="008B53FE"/>
    <w:rsid w:val="008B637D"/>
    <w:rsid w:val="008B68E9"/>
    <w:rsid w:val="008B746C"/>
    <w:rsid w:val="008B7A5B"/>
    <w:rsid w:val="008B7BAE"/>
    <w:rsid w:val="008C0120"/>
    <w:rsid w:val="008C03E7"/>
    <w:rsid w:val="008C057E"/>
    <w:rsid w:val="008C088F"/>
    <w:rsid w:val="008C0D87"/>
    <w:rsid w:val="008C1032"/>
    <w:rsid w:val="008C1078"/>
    <w:rsid w:val="008C1247"/>
    <w:rsid w:val="008C181B"/>
    <w:rsid w:val="008C186D"/>
    <w:rsid w:val="008C1935"/>
    <w:rsid w:val="008C1E7C"/>
    <w:rsid w:val="008C27CC"/>
    <w:rsid w:val="008C2ED3"/>
    <w:rsid w:val="008C33EC"/>
    <w:rsid w:val="008C3504"/>
    <w:rsid w:val="008C4135"/>
    <w:rsid w:val="008C4610"/>
    <w:rsid w:val="008C4A64"/>
    <w:rsid w:val="008C4C20"/>
    <w:rsid w:val="008C5880"/>
    <w:rsid w:val="008C6BF4"/>
    <w:rsid w:val="008C7413"/>
    <w:rsid w:val="008C7BF8"/>
    <w:rsid w:val="008D063E"/>
    <w:rsid w:val="008D1044"/>
    <w:rsid w:val="008D1478"/>
    <w:rsid w:val="008D16B7"/>
    <w:rsid w:val="008D2771"/>
    <w:rsid w:val="008D321B"/>
    <w:rsid w:val="008D3F3D"/>
    <w:rsid w:val="008D5699"/>
    <w:rsid w:val="008D5864"/>
    <w:rsid w:val="008D631B"/>
    <w:rsid w:val="008D6561"/>
    <w:rsid w:val="008D6856"/>
    <w:rsid w:val="008D7359"/>
    <w:rsid w:val="008E13B9"/>
    <w:rsid w:val="008E1579"/>
    <w:rsid w:val="008E1C2E"/>
    <w:rsid w:val="008E2D10"/>
    <w:rsid w:val="008E385E"/>
    <w:rsid w:val="008E3FB5"/>
    <w:rsid w:val="008E43D3"/>
    <w:rsid w:val="008E45E8"/>
    <w:rsid w:val="008E47E1"/>
    <w:rsid w:val="008E5551"/>
    <w:rsid w:val="008E5634"/>
    <w:rsid w:val="008E5D22"/>
    <w:rsid w:val="008E5E4E"/>
    <w:rsid w:val="008E62D5"/>
    <w:rsid w:val="008E6AE6"/>
    <w:rsid w:val="008F0116"/>
    <w:rsid w:val="008F017C"/>
    <w:rsid w:val="008F09DB"/>
    <w:rsid w:val="008F115C"/>
    <w:rsid w:val="008F143D"/>
    <w:rsid w:val="008F252A"/>
    <w:rsid w:val="008F388F"/>
    <w:rsid w:val="008F3DEE"/>
    <w:rsid w:val="008F5161"/>
    <w:rsid w:val="008F5368"/>
    <w:rsid w:val="008F5CCB"/>
    <w:rsid w:val="008F6E18"/>
    <w:rsid w:val="008F75C5"/>
    <w:rsid w:val="009008D0"/>
    <w:rsid w:val="0090123A"/>
    <w:rsid w:val="0090179A"/>
    <w:rsid w:val="00901BE1"/>
    <w:rsid w:val="00901FE7"/>
    <w:rsid w:val="009024C5"/>
    <w:rsid w:val="009024D8"/>
    <w:rsid w:val="009025CF"/>
    <w:rsid w:val="00902FB0"/>
    <w:rsid w:val="0090381C"/>
    <w:rsid w:val="00903827"/>
    <w:rsid w:val="0090416B"/>
    <w:rsid w:val="0090445E"/>
    <w:rsid w:val="009046A6"/>
    <w:rsid w:val="00904D95"/>
    <w:rsid w:val="0090538F"/>
    <w:rsid w:val="0090570E"/>
    <w:rsid w:val="0090599B"/>
    <w:rsid w:val="00906A3B"/>
    <w:rsid w:val="00907152"/>
    <w:rsid w:val="009074D9"/>
    <w:rsid w:val="009079FA"/>
    <w:rsid w:val="00910E1B"/>
    <w:rsid w:val="0091111F"/>
    <w:rsid w:val="0091114B"/>
    <w:rsid w:val="0091280F"/>
    <w:rsid w:val="00912B8F"/>
    <w:rsid w:val="009131BC"/>
    <w:rsid w:val="00913407"/>
    <w:rsid w:val="00913842"/>
    <w:rsid w:val="009139B7"/>
    <w:rsid w:val="00913D09"/>
    <w:rsid w:val="00914363"/>
    <w:rsid w:val="009144C7"/>
    <w:rsid w:val="009146A7"/>
    <w:rsid w:val="00917A03"/>
    <w:rsid w:val="00920369"/>
    <w:rsid w:val="0092056F"/>
    <w:rsid w:val="00921625"/>
    <w:rsid w:val="0092242C"/>
    <w:rsid w:val="00922E33"/>
    <w:rsid w:val="00923886"/>
    <w:rsid w:val="009238C8"/>
    <w:rsid w:val="0092396E"/>
    <w:rsid w:val="009240F3"/>
    <w:rsid w:val="0092504E"/>
    <w:rsid w:val="009250C1"/>
    <w:rsid w:val="0092514B"/>
    <w:rsid w:val="00925523"/>
    <w:rsid w:val="0092598F"/>
    <w:rsid w:val="00925E5A"/>
    <w:rsid w:val="00925EB3"/>
    <w:rsid w:val="009262CF"/>
    <w:rsid w:val="00926620"/>
    <w:rsid w:val="009267D9"/>
    <w:rsid w:val="00926A9D"/>
    <w:rsid w:val="00926EF9"/>
    <w:rsid w:val="00927318"/>
    <w:rsid w:val="00930388"/>
    <w:rsid w:val="0093054E"/>
    <w:rsid w:val="00930953"/>
    <w:rsid w:val="00930AD5"/>
    <w:rsid w:val="00930F50"/>
    <w:rsid w:val="00931548"/>
    <w:rsid w:val="00932865"/>
    <w:rsid w:val="00933C07"/>
    <w:rsid w:val="00934102"/>
    <w:rsid w:val="0093454B"/>
    <w:rsid w:val="00934A83"/>
    <w:rsid w:val="009350EA"/>
    <w:rsid w:val="009351B5"/>
    <w:rsid w:val="00936081"/>
    <w:rsid w:val="00936240"/>
    <w:rsid w:val="0093661D"/>
    <w:rsid w:val="00936D74"/>
    <w:rsid w:val="0093785B"/>
    <w:rsid w:val="00941248"/>
    <w:rsid w:val="00941433"/>
    <w:rsid w:val="00941B4D"/>
    <w:rsid w:val="00942657"/>
    <w:rsid w:val="00942CF6"/>
    <w:rsid w:val="009430DC"/>
    <w:rsid w:val="009437B5"/>
    <w:rsid w:val="009440E7"/>
    <w:rsid w:val="00944D27"/>
    <w:rsid w:val="009454CF"/>
    <w:rsid w:val="009455DE"/>
    <w:rsid w:val="0094572E"/>
    <w:rsid w:val="0094588A"/>
    <w:rsid w:val="0094613A"/>
    <w:rsid w:val="009461DD"/>
    <w:rsid w:val="009470D2"/>
    <w:rsid w:val="009479B5"/>
    <w:rsid w:val="00950967"/>
    <w:rsid w:val="00950976"/>
    <w:rsid w:val="00950BA7"/>
    <w:rsid w:val="00950CCF"/>
    <w:rsid w:val="00950DF1"/>
    <w:rsid w:val="00951691"/>
    <w:rsid w:val="0095171D"/>
    <w:rsid w:val="00951A0B"/>
    <w:rsid w:val="00952C78"/>
    <w:rsid w:val="00953A86"/>
    <w:rsid w:val="00953B9B"/>
    <w:rsid w:val="009542E9"/>
    <w:rsid w:val="0095572D"/>
    <w:rsid w:val="00955DF2"/>
    <w:rsid w:val="00955EC0"/>
    <w:rsid w:val="00955EF4"/>
    <w:rsid w:val="0095643B"/>
    <w:rsid w:val="0095675A"/>
    <w:rsid w:val="00956DE7"/>
    <w:rsid w:val="00957131"/>
    <w:rsid w:val="009614AE"/>
    <w:rsid w:val="0096253E"/>
    <w:rsid w:val="00962E2D"/>
    <w:rsid w:val="00962F66"/>
    <w:rsid w:val="00964597"/>
    <w:rsid w:val="00965040"/>
    <w:rsid w:val="00965697"/>
    <w:rsid w:val="0096577E"/>
    <w:rsid w:val="00966E0E"/>
    <w:rsid w:val="00967A14"/>
    <w:rsid w:val="00970A14"/>
    <w:rsid w:val="00970F31"/>
    <w:rsid w:val="00971191"/>
    <w:rsid w:val="009713D1"/>
    <w:rsid w:val="00971491"/>
    <w:rsid w:val="0097288E"/>
    <w:rsid w:val="0097289C"/>
    <w:rsid w:val="00972958"/>
    <w:rsid w:val="00972BC5"/>
    <w:rsid w:val="00972E25"/>
    <w:rsid w:val="00972FCE"/>
    <w:rsid w:val="009730DE"/>
    <w:rsid w:val="009735EE"/>
    <w:rsid w:val="0097467C"/>
    <w:rsid w:val="00974733"/>
    <w:rsid w:val="00974E6D"/>
    <w:rsid w:val="00976474"/>
    <w:rsid w:val="0097683A"/>
    <w:rsid w:val="0097724A"/>
    <w:rsid w:val="00977434"/>
    <w:rsid w:val="00977A55"/>
    <w:rsid w:val="0098138E"/>
    <w:rsid w:val="0098166D"/>
    <w:rsid w:val="009824F4"/>
    <w:rsid w:val="00982B97"/>
    <w:rsid w:val="009835B3"/>
    <w:rsid w:val="0098381B"/>
    <w:rsid w:val="0098397D"/>
    <w:rsid w:val="00983C5C"/>
    <w:rsid w:val="00984109"/>
    <w:rsid w:val="0098497F"/>
    <w:rsid w:val="00985167"/>
    <w:rsid w:val="0098583B"/>
    <w:rsid w:val="0098655A"/>
    <w:rsid w:val="00986581"/>
    <w:rsid w:val="00986A45"/>
    <w:rsid w:val="00987620"/>
    <w:rsid w:val="009907BD"/>
    <w:rsid w:val="00990E50"/>
    <w:rsid w:val="0099108A"/>
    <w:rsid w:val="009922C6"/>
    <w:rsid w:val="00992335"/>
    <w:rsid w:val="0099291B"/>
    <w:rsid w:val="00992A2E"/>
    <w:rsid w:val="00994EB6"/>
    <w:rsid w:val="00995F51"/>
    <w:rsid w:val="009963BF"/>
    <w:rsid w:val="00997823"/>
    <w:rsid w:val="00997956"/>
    <w:rsid w:val="00997E8B"/>
    <w:rsid w:val="009A0436"/>
    <w:rsid w:val="009A08DA"/>
    <w:rsid w:val="009A0B50"/>
    <w:rsid w:val="009A1626"/>
    <w:rsid w:val="009A1AB1"/>
    <w:rsid w:val="009A1C54"/>
    <w:rsid w:val="009A1EAB"/>
    <w:rsid w:val="009A339E"/>
    <w:rsid w:val="009A45EE"/>
    <w:rsid w:val="009A5D48"/>
    <w:rsid w:val="009A60EC"/>
    <w:rsid w:val="009A67E1"/>
    <w:rsid w:val="009A680B"/>
    <w:rsid w:val="009A6E36"/>
    <w:rsid w:val="009A7845"/>
    <w:rsid w:val="009A7F2D"/>
    <w:rsid w:val="009B0359"/>
    <w:rsid w:val="009B0661"/>
    <w:rsid w:val="009B118A"/>
    <w:rsid w:val="009B118D"/>
    <w:rsid w:val="009B1BD3"/>
    <w:rsid w:val="009B2364"/>
    <w:rsid w:val="009B2924"/>
    <w:rsid w:val="009B2C79"/>
    <w:rsid w:val="009B33C5"/>
    <w:rsid w:val="009B4323"/>
    <w:rsid w:val="009B4637"/>
    <w:rsid w:val="009B4814"/>
    <w:rsid w:val="009B4A8D"/>
    <w:rsid w:val="009C04FF"/>
    <w:rsid w:val="009C103B"/>
    <w:rsid w:val="009C117F"/>
    <w:rsid w:val="009C2460"/>
    <w:rsid w:val="009C371F"/>
    <w:rsid w:val="009C4073"/>
    <w:rsid w:val="009C461E"/>
    <w:rsid w:val="009C582A"/>
    <w:rsid w:val="009C5B6C"/>
    <w:rsid w:val="009C607E"/>
    <w:rsid w:val="009C6B71"/>
    <w:rsid w:val="009C6EB1"/>
    <w:rsid w:val="009C7067"/>
    <w:rsid w:val="009D0471"/>
    <w:rsid w:val="009D0C69"/>
    <w:rsid w:val="009D1AC3"/>
    <w:rsid w:val="009D205F"/>
    <w:rsid w:val="009D2254"/>
    <w:rsid w:val="009D310C"/>
    <w:rsid w:val="009D32E2"/>
    <w:rsid w:val="009D3C95"/>
    <w:rsid w:val="009D3EEA"/>
    <w:rsid w:val="009D4375"/>
    <w:rsid w:val="009D43DE"/>
    <w:rsid w:val="009D4770"/>
    <w:rsid w:val="009D4E4F"/>
    <w:rsid w:val="009D4E6A"/>
    <w:rsid w:val="009D5136"/>
    <w:rsid w:val="009D5B44"/>
    <w:rsid w:val="009D5FAF"/>
    <w:rsid w:val="009D681C"/>
    <w:rsid w:val="009D6A64"/>
    <w:rsid w:val="009D6A75"/>
    <w:rsid w:val="009D6AAA"/>
    <w:rsid w:val="009D7325"/>
    <w:rsid w:val="009D7A64"/>
    <w:rsid w:val="009D7BCD"/>
    <w:rsid w:val="009D7C06"/>
    <w:rsid w:val="009D7D77"/>
    <w:rsid w:val="009E0710"/>
    <w:rsid w:val="009E2358"/>
    <w:rsid w:val="009E242E"/>
    <w:rsid w:val="009E251F"/>
    <w:rsid w:val="009E25EE"/>
    <w:rsid w:val="009E3237"/>
    <w:rsid w:val="009E37BE"/>
    <w:rsid w:val="009E3E59"/>
    <w:rsid w:val="009E4801"/>
    <w:rsid w:val="009E48C4"/>
    <w:rsid w:val="009E4A58"/>
    <w:rsid w:val="009E5C58"/>
    <w:rsid w:val="009E6052"/>
    <w:rsid w:val="009E67AD"/>
    <w:rsid w:val="009E7C7F"/>
    <w:rsid w:val="009F02FF"/>
    <w:rsid w:val="009F0740"/>
    <w:rsid w:val="009F0B78"/>
    <w:rsid w:val="009F0C6A"/>
    <w:rsid w:val="009F0E35"/>
    <w:rsid w:val="009F17B1"/>
    <w:rsid w:val="009F1ED1"/>
    <w:rsid w:val="009F289F"/>
    <w:rsid w:val="009F2942"/>
    <w:rsid w:val="009F3135"/>
    <w:rsid w:val="009F4CDB"/>
    <w:rsid w:val="009F56B4"/>
    <w:rsid w:val="009F6147"/>
    <w:rsid w:val="009F6D92"/>
    <w:rsid w:val="009F74D0"/>
    <w:rsid w:val="009F77CD"/>
    <w:rsid w:val="00A00555"/>
    <w:rsid w:val="00A005B6"/>
    <w:rsid w:val="00A01DDB"/>
    <w:rsid w:val="00A0223B"/>
    <w:rsid w:val="00A02756"/>
    <w:rsid w:val="00A0348F"/>
    <w:rsid w:val="00A04648"/>
    <w:rsid w:val="00A04D89"/>
    <w:rsid w:val="00A05187"/>
    <w:rsid w:val="00A06E69"/>
    <w:rsid w:val="00A07250"/>
    <w:rsid w:val="00A073E0"/>
    <w:rsid w:val="00A1003D"/>
    <w:rsid w:val="00A101B4"/>
    <w:rsid w:val="00A128BE"/>
    <w:rsid w:val="00A12E66"/>
    <w:rsid w:val="00A13268"/>
    <w:rsid w:val="00A13D18"/>
    <w:rsid w:val="00A1425D"/>
    <w:rsid w:val="00A15051"/>
    <w:rsid w:val="00A15ABC"/>
    <w:rsid w:val="00A15E84"/>
    <w:rsid w:val="00A165B1"/>
    <w:rsid w:val="00A16EDF"/>
    <w:rsid w:val="00A17CE0"/>
    <w:rsid w:val="00A203C5"/>
    <w:rsid w:val="00A21A67"/>
    <w:rsid w:val="00A21EDD"/>
    <w:rsid w:val="00A228D0"/>
    <w:rsid w:val="00A22CE9"/>
    <w:rsid w:val="00A22F2D"/>
    <w:rsid w:val="00A23D48"/>
    <w:rsid w:val="00A245EB"/>
    <w:rsid w:val="00A25214"/>
    <w:rsid w:val="00A25235"/>
    <w:rsid w:val="00A255FB"/>
    <w:rsid w:val="00A258A0"/>
    <w:rsid w:val="00A25991"/>
    <w:rsid w:val="00A25DC8"/>
    <w:rsid w:val="00A2689C"/>
    <w:rsid w:val="00A2690A"/>
    <w:rsid w:val="00A26ADB"/>
    <w:rsid w:val="00A26E3D"/>
    <w:rsid w:val="00A26F0B"/>
    <w:rsid w:val="00A27382"/>
    <w:rsid w:val="00A27385"/>
    <w:rsid w:val="00A2758B"/>
    <w:rsid w:val="00A27E5A"/>
    <w:rsid w:val="00A3065E"/>
    <w:rsid w:val="00A30796"/>
    <w:rsid w:val="00A308F0"/>
    <w:rsid w:val="00A31B6F"/>
    <w:rsid w:val="00A32C3B"/>
    <w:rsid w:val="00A3372D"/>
    <w:rsid w:val="00A33D66"/>
    <w:rsid w:val="00A34182"/>
    <w:rsid w:val="00A341FD"/>
    <w:rsid w:val="00A34233"/>
    <w:rsid w:val="00A349A9"/>
    <w:rsid w:val="00A34BEB"/>
    <w:rsid w:val="00A34C87"/>
    <w:rsid w:val="00A34FA4"/>
    <w:rsid w:val="00A34FDD"/>
    <w:rsid w:val="00A356EA"/>
    <w:rsid w:val="00A359A0"/>
    <w:rsid w:val="00A35F2B"/>
    <w:rsid w:val="00A36D31"/>
    <w:rsid w:val="00A37BB5"/>
    <w:rsid w:val="00A37DED"/>
    <w:rsid w:val="00A37F21"/>
    <w:rsid w:val="00A40246"/>
    <w:rsid w:val="00A407AE"/>
    <w:rsid w:val="00A40D18"/>
    <w:rsid w:val="00A41567"/>
    <w:rsid w:val="00A41FFD"/>
    <w:rsid w:val="00A42306"/>
    <w:rsid w:val="00A427D9"/>
    <w:rsid w:val="00A44B80"/>
    <w:rsid w:val="00A44E8D"/>
    <w:rsid w:val="00A4546B"/>
    <w:rsid w:val="00A45C04"/>
    <w:rsid w:val="00A46EA8"/>
    <w:rsid w:val="00A4789F"/>
    <w:rsid w:val="00A47DE8"/>
    <w:rsid w:val="00A519B8"/>
    <w:rsid w:val="00A51F29"/>
    <w:rsid w:val="00A51FB4"/>
    <w:rsid w:val="00A53032"/>
    <w:rsid w:val="00A5358C"/>
    <w:rsid w:val="00A53D6D"/>
    <w:rsid w:val="00A54A45"/>
    <w:rsid w:val="00A54A8F"/>
    <w:rsid w:val="00A550F1"/>
    <w:rsid w:val="00A55522"/>
    <w:rsid w:val="00A55ACD"/>
    <w:rsid w:val="00A5615C"/>
    <w:rsid w:val="00A563FF"/>
    <w:rsid w:val="00A57910"/>
    <w:rsid w:val="00A57D1A"/>
    <w:rsid w:val="00A57DB2"/>
    <w:rsid w:val="00A60433"/>
    <w:rsid w:val="00A607B1"/>
    <w:rsid w:val="00A60B47"/>
    <w:rsid w:val="00A60CC4"/>
    <w:rsid w:val="00A6139F"/>
    <w:rsid w:val="00A61648"/>
    <w:rsid w:val="00A626B2"/>
    <w:rsid w:val="00A630FC"/>
    <w:rsid w:val="00A63108"/>
    <w:rsid w:val="00A6317F"/>
    <w:rsid w:val="00A631C1"/>
    <w:rsid w:val="00A63235"/>
    <w:rsid w:val="00A63345"/>
    <w:rsid w:val="00A63939"/>
    <w:rsid w:val="00A643ED"/>
    <w:rsid w:val="00A64BDF"/>
    <w:rsid w:val="00A6549A"/>
    <w:rsid w:val="00A6616D"/>
    <w:rsid w:val="00A66D1C"/>
    <w:rsid w:val="00A6701C"/>
    <w:rsid w:val="00A70566"/>
    <w:rsid w:val="00A70CBD"/>
    <w:rsid w:val="00A71427"/>
    <w:rsid w:val="00A71F6B"/>
    <w:rsid w:val="00A72324"/>
    <w:rsid w:val="00A72AC0"/>
    <w:rsid w:val="00A733FD"/>
    <w:rsid w:val="00A737EB"/>
    <w:rsid w:val="00A73FFA"/>
    <w:rsid w:val="00A74062"/>
    <w:rsid w:val="00A741F8"/>
    <w:rsid w:val="00A7454C"/>
    <w:rsid w:val="00A74E91"/>
    <w:rsid w:val="00A772CA"/>
    <w:rsid w:val="00A778D9"/>
    <w:rsid w:val="00A77F22"/>
    <w:rsid w:val="00A81858"/>
    <w:rsid w:val="00A83901"/>
    <w:rsid w:val="00A83E35"/>
    <w:rsid w:val="00A84156"/>
    <w:rsid w:val="00A84D62"/>
    <w:rsid w:val="00A84EF1"/>
    <w:rsid w:val="00A85D27"/>
    <w:rsid w:val="00A860B8"/>
    <w:rsid w:val="00A86BC7"/>
    <w:rsid w:val="00A86D68"/>
    <w:rsid w:val="00A871AB"/>
    <w:rsid w:val="00A871EB"/>
    <w:rsid w:val="00A87666"/>
    <w:rsid w:val="00A87792"/>
    <w:rsid w:val="00A87889"/>
    <w:rsid w:val="00A90CE1"/>
    <w:rsid w:val="00A9138B"/>
    <w:rsid w:val="00A915DA"/>
    <w:rsid w:val="00A91E63"/>
    <w:rsid w:val="00A92B4D"/>
    <w:rsid w:val="00A92E07"/>
    <w:rsid w:val="00A935D0"/>
    <w:rsid w:val="00A94346"/>
    <w:rsid w:val="00A944F5"/>
    <w:rsid w:val="00A94CC3"/>
    <w:rsid w:val="00A954CC"/>
    <w:rsid w:val="00A95B05"/>
    <w:rsid w:val="00A96040"/>
    <w:rsid w:val="00A96A41"/>
    <w:rsid w:val="00A96D4F"/>
    <w:rsid w:val="00A9740B"/>
    <w:rsid w:val="00A977E7"/>
    <w:rsid w:val="00AA0FCB"/>
    <w:rsid w:val="00AA136F"/>
    <w:rsid w:val="00AA140A"/>
    <w:rsid w:val="00AA27D5"/>
    <w:rsid w:val="00AA2C02"/>
    <w:rsid w:val="00AA2C46"/>
    <w:rsid w:val="00AA2DAD"/>
    <w:rsid w:val="00AA34E3"/>
    <w:rsid w:val="00AA513F"/>
    <w:rsid w:val="00AA56F6"/>
    <w:rsid w:val="00AA58FC"/>
    <w:rsid w:val="00AA5A99"/>
    <w:rsid w:val="00AA60FE"/>
    <w:rsid w:val="00AA6677"/>
    <w:rsid w:val="00AA6681"/>
    <w:rsid w:val="00AA66D0"/>
    <w:rsid w:val="00AA6F9E"/>
    <w:rsid w:val="00AA75AD"/>
    <w:rsid w:val="00AA7683"/>
    <w:rsid w:val="00AB0D9A"/>
    <w:rsid w:val="00AB10AF"/>
    <w:rsid w:val="00AB117E"/>
    <w:rsid w:val="00AB1181"/>
    <w:rsid w:val="00AB183C"/>
    <w:rsid w:val="00AB1954"/>
    <w:rsid w:val="00AB2570"/>
    <w:rsid w:val="00AB2BE7"/>
    <w:rsid w:val="00AB2E11"/>
    <w:rsid w:val="00AB3D46"/>
    <w:rsid w:val="00AB52CE"/>
    <w:rsid w:val="00AB5B05"/>
    <w:rsid w:val="00AB7675"/>
    <w:rsid w:val="00AB7875"/>
    <w:rsid w:val="00AC026F"/>
    <w:rsid w:val="00AC0A02"/>
    <w:rsid w:val="00AC1879"/>
    <w:rsid w:val="00AC1DB6"/>
    <w:rsid w:val="00AC2954"/>
    <w:rsid w:val="00AC367C"/>
    <w:rsid w:val="00AC3C66"/>
    <w:rsid w:val="00AC40E6"/>
    <w:rsid w:val="00AC42E6"/>
    <w:rsid w:val="00AC4821"/>
    <w:rsid w:val="00AC4A15"/>
    <w:rsid w:val="00AC4CC1"/>
    <w:rsid w:val="00AC4CF3"/>
    <w:rsid w:val="00AC5737"/>
    <w:rsid w:val="00AC5B68"/>
    <w:rsid w:val="00AC6417"/>
    <w:rsid w:val="00AC68EE"/>
    <w:rsid w:val="00AC6974"/>
    <w:rsid w:val="00AC702E"/>
    <w:rsid w:val="00AC756A"/>
    <w:rsid w:val="00AD23A6"/>
    <w:rsid w:val="00AD3B08"/>
    <w:rsid w:val="00AD3B1A"/>
    <w:rsid w:val="00AD3E7B"/>
    <w:rsid w:val="00AD3E7E"/>
    <w:rsid w:val="00AD4D4F"/>
    <w:rsid w:val="00AD5EC7"/>
    <w:rsid w:val="00AD65C4"/>
    <w:rsid w:val="00AD6681"/>
    <w:rsid w:val="00AD74C5"/>
    <w:rsid w:val="00AD74DF"/>
    <w:rsid w:val="00AD7B10"/>
    <w:rsid w:val="00AD7B6C"/>
    <w:rsid w:val="00AE0364"/>
    <w:rsid w:val="00AE0B0D"/>
    <w:rsid w:val="00AE1A3D"/>
    <w:rsid w:val="00AE257D"/>
    <w:rsid w:val="00AE2EA2"/>
    <w:rsid w:val="00AE31B9"/>
    <w:rsid w:val="00AE3375"/>
    <w:rsid w:val="00AE3805"/>
    <w:rsid w:val="00AE3A8A"/>
    <w:rsid w:val="00AE46D8"/>
    <w:rsid w:val="00AE4A2C"/>
    <w:rsid w:val="00AE5622"/>
    <w:rsid w:val="00AE5C0C"/>
    <w:rsid w:val="00AE6B03"/>
    <w:rsid w:val="00AE79BD"/>
    <w:rsid w:val="00AE7D1E"/>
    <w:rsid w:val="00AF033F"/>
    <w:rsid w:val="00AF1011"/>
    <w:rsid w:val="00AF162A"/>
    <w:rsid w:val="00AF22A1"/>
    <w:rsid w:val="00AF39E3"/>
    <w:rsid w:val="00AF49D5"/>
    <w:rsid w:val="00AF4B29"/>
    <w:rsid w:val="00AF54F7"/>
    <w:rsid w:val="00AF5900"/>
    <w:rsid w:val="00AF5F89"/>
    <w:rsid w:val="00AF6036"/>
    <w:rsid w:val="00AF613B"/>
    <w:rsid w:val="00AF641E"/>
    <w:rsid w:val="00AF656D"/>
    <w:rsid w:val="00AF6772"/>
    <w:rsid w:val="00AF6E11"/>
    <w:rsid w:val="00B01022"/>
    <w:rsid w:val="00B01664"/>
    <w:rsid w:val="00B01D27"/>
    <w:rsid w:val="00B01F7E"/>
    <w:rsid w:val="00B01F83"/>
    <w:rsid w:val="00B02538"/>
    <w:rsid w:val="00B02F79"/>
    <w:rsid w:val="00B0381C"/>
    <w:rsid w:val="00B0400A"/>
    <w:rsid w:val="00B04095"/>
    <w:rsid w:val="00B045A7"/>
    <w:rsid w:val="00B04C8C"/>
    <w:rsid w:val="00B05DB1"/>
    <w:rsid w:val="00B06872"/>
    <w:rsid w:val="00B07729"/>
    <w:rsid w:val="00B0773F"/>
    <w:rsid w:val="00B07AFD"/>
    <w:rsid w:val="00B07DE7"/>
    <w:rsid w:val="00B07DFC"/>
    <w:rsid w:val="00B10363"/>
    <w:rsid w:val="00B105D8"/>
    <w:rsid w:val="00B10B0E"/>
    <w:rsid w:val="00B10BE7"/>
    <w:rsid w:val="00B11052"/>
    <w:rsid w:val="00B115CE"/>
    <w:rsid w:val="00B11F1D"/>
    <w:rsid w:val="00B11FA2"/>
    <w:rsid w:val="00B127A3"/>
    <w:rsid w:val="00B1301C"/>
    <w:rsid w:val="00B14DA5"/>
    <w:rsid w:val="00B14FAE"/>
    <w:rsid w:val="00B1571B"/>
    <w:rsid w:val="00B1678A"/>
    <w:rsid w:val="00B16C2A"/>
    <w:rsid w:val="00B20097"/>
    <w:rsid w:val="00B2032D"/>
    <w:rsid w:val="00B203F4"/>
    <w:rsid w:val="00B20ECC"/>
    <w:rsid w:val="00B21F9B"/>
    <w:rsid w:val="00B21FE7"/>
    <w:rsid w:val="00B227CA"/>
    <w:rsid w:val="00B23067"/>
    <w:rsid w:val="00B2339A"/>
    <w:rsid w:val="00B233E1"/>
    <w:rsid w:val="00B238A1"/>
    <w:rsid w:val="00B246A5"/>
    <w:rsid w:val="00B26579"/>
    <w:rsid w:val="00B26BDF"/>
    <w:rsid w:val="00B275F2"/>
    <w:rsid w:val="00B306A9"/>
    <w:rsid w:val="00B3087D"/>
    <w:rsid w:val="00B30D18"/>
    <w:rsid w:val="00B30DE7"/>
    <w:rsid w:val="00B315AD"/>
    <w:rsid w:val="00B31934"/>
    <w:rsid w:val="00B321A0"/>
    <w:rsid w:val="00B33169"/>
    <w:rsid w:val="00B3350D"/>
    <w:rsid w:val="00B33F5A"/>
    <w:rsid w:val="00B345E7"/>
    <w:rsid w:val="00B34794"/>
    <w:rsid w:val="00B347D8"/>
    <w:rsid w:val="00B35728"/>
    <w:rsid w:val="00B36985"/>
    <w:rsid w:val="00B377A5"/>
    <w:rsid w:val="00B377DE"/>
    <w:rsid w:val="00B3784D"/>
    <w:rsid w:val="00B37882"/>
    <w:rsid w:val="00B37957"/>
    <w:rsid w:val="00B40141"/>
    <w:rsid w:val="00B407A7"/>
    <w:rsid w:val="00B40DF7"/>
    <w:rsid w:val="00B41949"/>
    <w:rsid w:val="00B4236E"/>
    <w:rsid w:val="00B43920"/>
    <w:rsid w:val="00B44201"/>
    <w:rsid w:val="00B44EEB"/>
    <w:rsid w:val="00B45701"/>
    <w:rsid w:val="00B47DF5"/>
    <w:rsid w:val="00B47E9D"/>
    <w:rsid w:val="00B5012A"/>
    <w:rsid w:val="00B50DD3"/>
    <w:rsid w:val="00B514F9"/>
    <w:rsid w:val="00B51B8C"/>
    <w:rsid w:val="00B51FC8"/>
    <w:rsid w:val="00B5239F"/>
    <w:rsid w:val="00B52D87"/>
    <w:rsid w:val="00B53265"/>
    <w:rsid w:val="00B53648"/>
    <w:rsid w:val="00B53711"/>
    <w:rsid w:val="00B53FE6"/>
    <w:rsid w:val="00B545E6"/>
    <w:rsid w:val="00B54DAE"/>
    <w:rsid w:val="00B5503F"/>
    <w:rsid w:val="00B552F5"/>
    <w:rsid w:val="00B553B9"/>
    <w:rsid w:val="00B56097"/>
    <w:rsid w:val="00B5616D"/>
    <w:rsid w:val="00B567DF"/>
    <w:rsid w:val="00B57A7B"/>
    <w:rsid w:val="00B60421"/>
    <w:rsid w:val="00B60509"/>
    <w:rsid w:val="00B615C3"/>
    <w:rsid w:val="00B618F4"/>
    <w:rsid w:val="00B62853"/>
    <w:rsid w:val="00B62B54"/>
    <w:rsid w:val="00B62C4A"/>
    <w:rsid w:val="00B63407"/>
    <w:rsid w:val="00B643FA"/>
    <w:rsid w:val="00B64991"/>
    <w:rsid w:val="00B65621"/>
    <w:rsid w:val="00B65BEB"/>
    <w:rsid w:val="00B661CE"/>
    <w:rsid w:val="00B6653A"/>
    <w:rsid w:val="00B67317"/>
    <w:rsid w:val="00B67897"/>
    <w:rsid w:val="00B67899"/>
    <w:rsid w:val="00B67A5F"/>
    <w:rsid w:val="00B702C8"/>
    <w:rsid w:val="00B707D8"/>
    <w:rsid w:val="00B70D28"/>
    <w:rsid w:val="00B72680"/>
    <w:rsid w:val="00B72C62"/>
    <w:rsid w:val="00B739A0"/>
    <w:rsid w:val="00B742BD"/>
    <w:rsid w:val="00B74E05"/>
    <w:rsid w:val="00B75540"/>
    <w:rsid w:val="00B75B61"/>
    <w:rsid w:val="00B75DCB"/>
    <w:rsid w:val="00B75E5A"/>
    <w:rsid w:val="00B76FB9"/>
    <w:rsid w:val="00B77229"/>
    <w:rsid w:val="00B7737D"/>
    <w:rsid w:val="00B77877"/>
    <w:rsid w:val="00B77B36"/>
    <w:rsid w:val="00B77DEF"/>
    <w:rsid w:val="00B80594"/>
    <w:rsid w:val="00B80ED7"/>
    <w:rsid w:val="00B81326"/>
    <w:rsid w:val="00B817E3"/>
    <w:rsid w:val="00B81EB6"/>
    <w:rsid w:val="00B8304A"/>
    <w:rsid w:val="00B83119"/>
    <w:rsid w:val="00B837AB"/>
    <w:rsid w:val="00B84103"/>
    <w:rsid w:val="00B84F5F"/>
    <w:rsid w:val="00B858D8"/>
    <w:rsid w:val="00B869F7"/>
    <w:rsid w:val="00B87F0C"/>
    <w:rsid w:val="00B913DF"/>
    <w:rsid w:val="00B915F7"/>
    <w:rsid w:val="00B91F3E"/>
    <w:rsid w:val="00B920FD"/>
    <w:rsid w:val="00B9282A"/>
    <w:rsid w:val="00B93EE3"/>
    <w:rsid w:val="00B941C7"/>
    <w:rsid w:val="00B9439F"/>
    <w:rsid w:val="00B943B0"/>
    <w:rsid w:val="00B947DF"/>
    <w:rsid w:val="00B9508D"/>
    <w:rsid w:val="00B955EB"/>
    <w:rsid w:val="00B960F9"/>
    <w:rsid w:val="00B96307"/>
    <w:rsid w:val="00B97689"/>
    <w:rsid w:val="00B976F3"/>
    <w:rsid w:val="00B97BE8"/>
    <w:rsid w:val="00B97BF7"/>
    <w:rsid w:val="00BA0B7C"/>
    <w:rsid w:val="00BA0B8E"/>
    <w:rsid w:val="00BA1DE6"/>
    <w:rsid w:val="00BA2099"/>
    <w:rsid w:val="00BA2600"/>
    <w:rsid w:val="00BA5345"/>
    <w:rsid w:val="00BA588B"/>
    <w:rsid w:val="00BA589F"/>
    <w:rsid w:val="00BA5A2E"/>
    <w:rsid w:val="00BA71F3"/>
    <w:rsid w:val="00BA76EE"/>
    <w:rsid w:val="00BB01A3"/>
    <w:rsid w:val="00BB0243"/>
    <w:rsid w:val="00BB1934"/>
    <w:rsid w:val="00BB243D"/>
    <w:rsid w:val="00BB256D"/>
    <w:rsid w:val="00BB27A3"/>
    <w:rsid w:val="00BB2B95"/>
    <w:rsid w:val="00BB2E08"/>
    <w:rsid w:val="00BB343F"/>
    <w:rsid w:val="00BB35EC"/>
    <w:rsid w:val="00BB41E0"/>
    <w:rsid w:val="00BB45EC"/>
    <w:rsid w:val="00BB4654"/>
    <w:rsid w:val="00BB4C71"/>
    <w:rsid w:val="00BB547E"/>
    <w:rsid w:val="00BB55E7"/>
    <w:rsid w:val="00BB5690"/>
    <w:rsid w:val="00BB57FA"/>
    <w:rsid w:val="00BB5BF7"/>
    <w:rsid w:val="00BB6561"/>
    <w:rsid w:val="00BB68EC"/>
    <w:rsid w:val="00BB7AB7"/>
    <w:rsid w:val="00BC00EB"/>
    <w:rsid w:val="00BC2333"/>
    <w:rsid w:val="00BC2B76"/>
    <w:rsid w:val="00BC34ED"/>
    <w:rsid w:val="00BC4EAE"/>
    <w:rsid w:val="00BC5754"/>
    <w:rsid w:val="00BC604F"/>
    <w:rsid w:val="00BC745A"/>
    <w:rsid w:val="00BD0297"/>
    <w:rsid w:val="00BD042B"/>
    <w:rsid w:val="00BD0DCD"/>
    <w:rsid w:val="00BD1427"/>
    <w:rsid w:val="00BD16F7"/>
    <w:rsid w:val="00BD22C3"/>
    <w:rsid w:val="00BD2E58"/>
    <w:rsid w:val="00BD4226"/>
    <w:rsid w:val="00BD5E7A"/>
    <w:rsid w:val="00BD5F12"/>
    <w:rsid w:val="00BD60F5"/>
    <w:rsid w:val="00BD610D"/>
    <w:rsid w:val="00BD6115"/>
    <w:rsid w:val="00BD7726"/>
    <w:rsid w:val="00BD78BC"/>
    <w:rsid w:val="00BE0619"/>
    <w:rsid w:val="00BE0868"/>
    <w:rsid w:val="00BE0D37"/>
    <w:rsid w:val="00BE0F5D"/>
    <w:rsid w:val="00BE1890"/>
    <w:rsid w:val="00BE288A"/>
    <w:rsid w:val="00BE2BCD"/>
    <w:rsid w:val="00BE36AB"/>
    <w:rsid w:val="00BE592B"/>
    <w:rsid w:val="00BE59E3"/>
    <w:rsid w:val="00BE65FC"/>
    <w:rsid w:val="00BE6F93"/>
    <w:rsid w:val="00BE7772"/>
    <w:rsid w:val="00BF0411"/>
    <w:rsid w:val="00BF1333"/>
    <w:rsid w:val="00BF1A28"/>
    <w:rsid w:val="00BF1D67"/>
    <w:rsid w:val="00BF230E"/>
    <w:rsid w:val="00BF2A39"/>
    <w:rsid w:val="00BF3D68"/>
    <w:rsid w:val="00BF3F7E"/>
    <w:rsid w:val="00BF45D7"/>
    <w:rsid w:val="00BF4BC8"/>
    <w:rsid w:val="00BF7106"/>
    <w:rsid w:val="00BF7513"/>
    <w:rsid w:val="00C00331"/>
    <w:rsid w:val="00C003E7"/>
    <w:rsid w:val="00C0067D"/>
    <w:rsid w:val="00C01672"/>
    <w:rsid w:val="00C01ABB"/>
    <w:rsid w:val="00C027AC"/>
    <w:rsid w:val="00C0323E"/>
    <w:rsid w:val="00C03240"/>
    <w:rsid w:val="00C038E4"/>
    <w:rsid w:val="00C04BDD"/>
    <w:rsid w:val="00C05117"/>
    <w:rsid w:val="00C055B7"/>
    <w:rsid w:val="00C05A8A"/>
    <w:rsid w:val="00C062D4"/>
    <w:rsid w:val="00C065C2"/>
    <w:rsid w:val="00C10B5F"/>
    <w:rsid w:val="00C10FB9"/>
    <w:rsid w:val="00C11D64"/>
    <w:rsid w:val="00C128BD"/>
    <w:rsid w:val="00C13388"/>
    <w:rsid w:val="00C13C3A"/>
    <w:rsid w:val="00C1405E"/>
    <w:rsid w:val="00C15B4F"/>
    <w:rsid w:val="00C15F7C"/>
    <w:rsid w:val="00C16E4D"/>
    <w:rsid w:val="00C17066"/>
    <w:rsid w:val="00C17129"/>
    <w:rsid w:val="00C17975"/>
    <w:rsid w:val="00C17E04"/>
    <w:rsid w:val="00C20585"/>
    <w:rsid w:val="00C21A45"/>
    <w:rsid w:val="00C2201C"/>
    <w:rsid w:val="00C223FE"/>
    <w:rsid w:val="00C22A78"/>
    <w:rsid w:val="00C22D6D"/>
    <w:rsid w:val="00C2377A"/>
    <w:rsid w:val="00C24717"/>
    <w:rsid w:val="00C24868"/>
    <w:rsid w:val="00C24ADD"/>
    <w:rsid w:val="00C25346"/>
    <w:rsid w:val="00C2535D"/>
    <w:rsid w:val="00C255F1"/>
    <w:rsid w:val="00C2568F"/>
    <w:rsid w:val="00C25782"/>
    <w:rsid w:val="00C257EE"/>
    <w:rsid w:val="00C26ED8"/>
    <w:rsid w:val="00C26FE2"/>
    <w:rsid w:val="00C27123"/>
    <w:rsid w:val="00C301CE"/>
    <w:rsid w:val="00C304F6"/>
    <w:rsid w:val="00C30FC5"/>
    <w:rsid w:val="00C31035"/>
    <w:rsid w:val="00C31851"/>
    <w:rsid w:val="00C31D22"/>
    <w:rsid w:val="00C32A10"/>
    <w:rsid w:val="00C32C95"/>
    <w:rsid w:val="00C3377D"/>
    <w:rsid w:val="00C346E1"/>
    <w:rsid w:val="00C359A0"/>
    <w:rsid w:val="00C37F3C"/>
    <w:rsid w:val="00C40122"/>
    <w:rsid w:val="00C40253"/>
    <w:rsid w:val="00C40F11"/>
    <w:rsid w:val="00C40FFF"/>
    <w:rsid w:val="00C4255B"/>
    <w:rsid w:val="00C426D2"/>
    <w:rsid w:val="00C42968"/>
    <w:rsid w:val="00C432F5"/>
    <w:rsid w:val="00C437FC"/>
    <w:rsid w:val="00C440B6"/>
    <w:rsid w:val="00C44CA5"/>
    <w:rsid w:val="00C44F8E"/>
    <w:rsid w:val="00C451D7"/>
    <w:rsid w:val="00C45382"/>
    <w:rsid w:val="00C454C5"/>
    <w:rsid w:val="00C45653"/>
    <w:rsid w:val="00C464B4"/>
    <w:rsid w:val="00C466D9"/>
    <w:rsid w:val="00C46989"/>
    <w:rsid w:val="00C46CD9"/>
    <w:rsid w:val="00C46E95"/>
    <w:rsid w:val="00C472E1"/>
    <w:rsid w:val="00C47B3D"/>
    <w:rsid w:val="00C50BA5"/>
    <w:rsid w:val="00C50C67"/>
    <w:rsid w:val="00C515D6"/>
    <w:rsid w:val="00C53928"/>
    <w:rsid w:val="00C53BB6"/>
    <w:rsid w:val="00C54788"/>
    <w:rsid w:val="00C54A10"/>
    <w:rsid w:val="00C55267"/>
    <w:rsid w:val="00C55DA2"/>
    <w:rsid w:val="00C55E99"/>
    <w:rsid w:val="00C56D1C"/>
    <w:rsid w:val="00C57DC9"/>
    <w:rsid w:val="00C60F5D"/>
    <w:rsid w:val="00C6109A"/>
    <w:rsid w:val="00C61318"/>
    <w:rsid w:val="00C616AC"/>
    <w:rsid w:val="00C61DA3"/>
    <w:rsid w:val="00C620A2"/>
    <w:rsid w:val="00C621D3"/>
    <w:rsid w:val="00C628E6"/>
    <w:rsid w:val="00C62A32"/>
    <w:rsid w:val="00C62EF2"/>
    <w:rsid w:val="00C645F2"/>
    <w:rsid w:val="00C64D73"/>
    <w:rsid w:val="00C655F9"/>
    <w:rsid w:val="00C6623F"/>
    <w:rsid w:val="00C669FB"/>
    <w:rsid w:val="00C703AD"/>
    <w:rsid w:val="00C70E3D"/>
    <w:rsid w:val="00C71768"/>
    <w:rsid w:val="00C72489"/>
    <w:rsid w:val="00C732D3"/>
    <w:rsid w:val="00C74090"/>
    <w:rsid w:val="00C7416B"/>
    <w:rsid w:val="00C7542E"/>
    <w:rsid w:val="00C75629"/>
    <w:rsid w:val="00C76373"/>
    <w:rsid w:val="00C7649C"/>
    <w:rsid w:val="00C764C9"/>
    <w:rsid w:val="00C764D7"/>
    <w:rsid w:val="00C802FD"/>
    <w:rsid w:val="00C81D86"/>
    <w:rsid w:val="00C82F13"/>
    <w:rsid w:val="00C830BB"/>
    <w:rsid w:val="00C8447F"/>
    <w:rsid w:val="00C84D8B"/>
    <w:rsid w:val="00C84EB8"/>
    <w:rsid w:val="00C856F1"/>
    <w:rsid w:val="00C85713"/>
    <w:rsid w:val="00C858D1"/>
    <w:rsid w:val="00C87467"/>
    <w:rsid w:val="00C874EE"/>
    <w:rsid w:val="00C878D5"/>
    <w:rsid w:val="00C87FB7"/>
    <w:rsid w:val="00C9033B"/>
    <w:rsid w:val="00C90A74"/>
    <w:rsid w:val="00C90F6A"/>
    <w:rsid w:val="00C912A4"/>
    <w:rsid w:val="00C913A1"/>
    <w:rsid w:val="00C91910"/>
    <w:rsid w:val="00C91EB0"/>
    <w:rsid w:val="00C924D9"/>
    <w:rsid w:val="00C92794"/>
    <w:rsid w:val="00C931D1"/>
    <w:rsid w:val="00C9334C"/>
    <w:rsid w:val="00C94643"/>
    <w:rsid w:val="00C946B0"/>
    <w:rsid w:val="00C94B8B"/>
    <w:rsid w:val="00C94CB7"/>
    <w:rsid w:val="00C94D9B"/>
    <w:rsid w:val="00C94DE5"/>
    <w:rsid w:val="00C95CE2"/>
    <w:rsid w:val="00C95EEC"/>
    <w:rsid w:val="00C9632F"/>
    <w:rsid w:val="00C96464"/>
    <w:rsid w:val="00C96EFC"/>
    <w:rsid w:val="00C97337"/>
    <w:rsid w:val="00CA0949"/>
    <w:rsid w:val="00CA1488"/>
    <w:rsid w:val="00CA157B"/>
    <w:rsid w:val="00CA1746"/>
    <w:rsid w:val="00CA20CA"/>
    <w:rsid w:val="00CA238A"/>
    <w:rsid w:val="00CA23C4"/>
    <w:rsid w:val="00CA34B0"/>
    <w:rsid w:val="00CA446B"/>
    <w:rsid w:val="00CA4B97"/>
    <w:rsid w:val="00CA57A2"/>
    <w:rsid w:val="00CA6121"/>
    <w:rsid w:val="00CA6E33"/>
    <w:rsid w:val="00CA7ABC"/>
    <w:rsid w:val="00CB116E"/>
    <w:rsid w:val="00CB11BA"/>
    <w:rsid w:val="00CB1ED5"/>
    <w:rsid w:val="00CB3522"/>
    <w:rsid w:val="00CB3890"/>
    <w:rsid w:val="00CB4897"/>
    <w:rsid w:val="00CB5629"/>
    <w:rsid w:val="00CB593F"/>
    <w:rsid w:val="00CB5CA8"/>
    <w:rsid w:val="00CB5EC1"/>
    <w:rsid w:val="00CB652F"/>
    <w:rsid w:val="00CB76BA"/>
    <w:rsid w:val="00CC1933"/>
    <w:rsid w:val="00CC1AF1"/>
    <w:rsid w:val="00CC1C42"/>
    <w:rsid w:val="00CC1F45"/>
    <w:rsid w:val="00CC296F"/>
    <w:rsid w:val="00CC2FF1"/>
    <w:rsid w:val="00CC3C0A"/>
    <w:rsid w:val="00CC4397"/>
    <w:rsid w:val="00CC4D14"/>
    <w:rsid w:val="00CC5937"/>
    <w:rsid w:val="00CC5F59"/>
    <w:rsid w:val="00CC6A68"/>
    <w:rsid w:val="00CC6A99"/>
    <w:rsid w:val="00CC6BCC"/>
    <w:rsid w:val="00CD1154"/>
    <w:rsid w:val="00CD144B"/>
    <w:rsid w:val="00CD1483"/>
    <w:rsid w:val="00CD184A"/>
    <w:rsid w:val="00CD2467"/>
    <w:rsid w:val="00CD2848"/>
    <w:rsid w:val="00CD3272"/>
    <w:rsid w:val="00CD3531"/>
    <w:rsid w:val="00CD3B82"/>
    <w:rsid w:val="00CD3C66"/>
    <w:rsid w:val="00CD5597"/>
    <w:rsid w:val="00CD59AD"/>
    <w:rsid w:val="00CD5AB2"/>
    <w:rsid w:val="00CD5BEB"/>
    <w:rsid w:val="00CD5D85"/>
    <w:rsid w:val="00CD66CD"/>
    <w:rsid w:val="00CD694A"/>
    <w:rsid w:val="00CD7204"/>
    <w:rsid w:val="00CD737A"/>
    <w:rsid w:val="00CD788E"/>
    <w:rsid w:val="00CD7F9C"/>
    <w:rsid w:val="00CE02C0"/>
    <w:rsid w:val="00CE0E7D"/>
    <w:rsid w:val="00CE12D2"/>
    <w:rsid w:val="00CE1D68"/>
    <w:rsid w:val="00CE2E24"/>
    <w:rsid w:val="00CE32B0"/>
    <w:rsid w:val="00CE341D"/>
    <w:rsid w:val="00CE3EFF"/>
    <w:rsid w:val="00CE46F5"/>
    <w:rsid w:val="00CE4881"/>
    <w:rsid w:val="00CE50E7"/>
    <w:rsid w:val="00CE54E9"/>
    <w:rsid w:val="00CE6857"/>
    <w:rsid w:val="00CE7BA8"/>
    <w:rsid w:val="00CE7CEA"/>
    <w:rsid w:val="00CE7D3B"/>
    <w:rsid w:val="00CF082D"/>
    <w:rsid w:val="00CF0F98"/>
    <w:rsid w:val="00CF112B"/>
    <w:rsid w:val="00CF11C2"/>
    <w:rsid w:val="00CF1BD9"/>
    <w:rsid w:val="00CF21D2"/>
    <w:rsid w:val="00CF3983"/>
    <w:rsid w:val="00CF50C0"/>
    <w:rsid w:val="00CF53DE"/>
    <w:rsid w:val="00CF59B5"/>
    <w:rsid w:val="00CF5C26"/>
    <w:rsid w:val="00CF5CFD"/>
    <w:rsid w:val="00CF6105"/>
    <w:rsid w:val="00CF66F6"/>
    <w:rsid w:val="00CF69C7"/>
    <w:rsid w:val="00CF7024"/>
    <w:rsid w:val="00CF795B"/>
    <w:rsid w:val="00CF7F9D"/>
    <w:rsid w:val="00D0084A"/>
    <w:rsid w:val="00D00AA3"/>
    <w:rsid w:val="00D0109A"/>
    <w:rsid w:val="00D012DD"/>
    <w:rsid w:val="00D01A16"/>
    <w:rsid w:val="00D01A8A"/>
    <w:rsid w:val="00D01C8D"/>
    <w:rsid w:val="00D01EC4"/>
    <w:rsid w:val="00D0221B"/>
    <w:rsid w:val="00D02466"/>
    <w:rsid w:val="00D0372D"/>
    <w:rsid w:val="00D03CE5"/>
    <w:rsid w:val="00D03E7D"/>
    <w:rsid w:val="00D04EC7"/>
    <w:rsid w:val="00D04F00"/>
    <w:rsid w:val="00D0504E"/>
    <w:rsid w:val="00D0557E"/>
    <w:rsid w:val="00D05648"/>
    <w:rsid w:val="00D059A9"/>
    <w:rsid w:val="00D05AE6"/>
    <w:rsid w:val="00D068B8"/>
    <w:rsid w:val="00D06D00"/>
    <w:rsid w:val="00D06E9D"/>
    <w:rsid w:val="00D07250"/>
    <w:rsid w:val="00D0766E"/>
    <w:rsid w:val="00D076AC"/>
    <w:rsid w:val="00D07EDD"/>
    <w:rsid w:val="00D07F73"/>
    <w:rsid w:val="00D111B2"/>
    <w:rsid w:val="00D137E9"/>
    <w:rsid w:val="00D14081"/>
    <w:rsid w:val="00D14844"/>
    <w:rsid w:val="00D14A39"/>
    <w:rsid w:val="00D15B1B"/>
    <w:rsid w:val="00D16286"/>
    <w:rsid w:val="00D164CE"/>
    <w:rsid w:val="00D16AFF"/>
    <w:rsid w:val="00D16B10"/>
    <w:rsid w:val="00D16C85"/>
    <w:rsid w:val="00D1749A"/>
    <w:rsid w:val="00D17A3B"/>
    <w:rsid w:val="00D2041C"/>
    <w:rsid w:val="00D204F0"/>
    <w:rsid w:val="00D20728"/>
    <w:rsid w:val="00D20D3E"/>
    <w:rsid w:val="00D22626"/>
    <w:rsid w:val="00D2292B"/>
    <w:rsid w:val="00D22D36"/>
    <w:rsid w:val="00D2324F"/>
    <w:rsid w:val="00D23354"/>
    <w:rsid w:val="00D24475"/>
    <w:rsid w:val="00D24A39"/>
    <w:rsid w:val="00D25ADE"/>
    <w:rsid w:val="00D25D9B"/>
    <w:rsid w:val="00D2656C"/>
    <w:rsid w:val="00D2793B"/>
    <w:rsid w:val="00D30CA9"/>
    <w:rsid w:val="00D30D40"/>
    <w:rsid w:val="00D31796"/>
    <w:rsid w:val="00D320E0"/>
    <w:rsid w:val="00D32140"/>
    <w:rsid w:val="00D321D5"/>
    <w:rsid w:val="00D32A45"/>
    <w:rsid w:val="00D32F3E"/>
    <w:rsid w:val="00D33CF8"/>
    <w:rsid w:val="00D344D2"/>
    <w:rsid w:val="00D3492E"/>
    <w:rsid w:val="00D37BE0"/>
    <w:rsid w:val="00D37E45"/>
    <w:rsid w:val="00D4026D"/>
    <w:rsid w:val="00D40322"/>
    <w:rsid w:val="00D40C82"/>
    <w:rsid w:val="00D42541"/>
    <w:rsid w:val="00D4292A"/>
    <w:rsid w:val="00D4295E"/>
    <w:rsid w:val="00D42E3C"/>
    <w:rsid w:val="00D43297"/>
    <w:rsid w:val="00D435DB"/>
    <w:rsid w:val="00D44D4D"/>
    <w:rsid w:val="00D44DB6"/>
    <w:rsid w:val="00D4697E"/>
    <w:rsid w:val="00D46CA0"/>
    <w:rsid w:val="00D46D77"/>
    <w:rsid w:val="00D474F5"/>
    <w:rsid w:val="00D47C89"/>
    <w:rsid w:val="00D50119"/>
    <w:rsid w:val="00D50912"/>
    <w:rsid w:val="00D50DFC"/>
    <w:rsid w:val="00D518AC"/>
    <w:rsid w:val="00D5215A"/>
    <w:rsid w:val="00D52588"/>
    <w:rsid w:val="00D52841"/>
    <w:rsid w:val="00D53A59"/>
    <w:rsid w:val="00D53C9F"/>
    <w:rsid w:val="00D5414D"/>
    <w:rsid w:val="00D54B32"/>
    <w:rsid w:val="00D55BF0"/>
    <w:rsid w:val="00D5646D"/>
    <w:rsid w:val="00D5682C"/>
    <w:rsid w:val="00D573E3"/>
    <w:rsid w:val="00D5763F"/>
    <w:rsid w:val="00D57DA9"/>
    <w:rsid w:val="00D57FA3"/>
    <w:rsid w:val="00D600E5"/>
    <w:rsid w:val="00D61A80"/>
    <w:rsid w:val="00D6201A"/>
    <w:rsid w:val="00D62260"/>
    <w:rsid w:val="00D62608"/>
    <w:rsid w:val="00D62EA0"/>
    <w:rsid w:val="00D63E56"/>
    <w:rsid w:val="00D643B3"/>
    <w:rsid w:val="00D66A99"/>
    <w:rsid w:val="00D67F49"/>
    <w:rsid w:val="00D7075D"/>
    <w:rsid w:val="00D718F1"/>
    <w:rsid w:val="00D71FDE"/>
    <w:rsid w:val="00D7218D"/>
    <w:rsid w:val="00D732F3"/>
    <w:rsid w:val="00D735DE"/>
    <w:rsid w:val="00D74290"/>
    <w:rsid w:val="00D745F5"/>
    <w:rsid w:val="00D74679"/>
    <w:rsid w:val="00D747F7"/>
    <w:rsid w:val="00D7485A"/>
    <w:rsid w:val="00D74F99"/>
    <w:rsid w:val="00D757B2"/>
    <w:rsid w:val="00D76CBE"/>
    <w:rsid w:val="00D76E5E"/>
    <w:rsid w:val="00D772D9"/>
    <w:rsid w:val="00D811D5"/>
    <w:rsid w:val="00D81843"/>
    <w:rsid w:val="00D8233D"/>
    <w:rsid w:val="00D82841"/>
    <w:rsid w:val="00D82A43"/>
    <w:rsid w:val="00D82BD5"/>
    <w:rsid w:val="00D836C7"/>
    <w:rsid w:val="00D839A1"/>
    <w:rsid w:val="00D8456C"/>
    <w:rsid w:val="00D846EF"/>
    <w:rsid w:val="00D849CA"/>
    <w:rsid w:val="00D84D42"/>
    <w:rsid w:val="00D84F96"/>
    <w:rsid w:val="00D858A1"/>
    <w:rsid w:val="00D85EF0"/>
    <w:rsid w:val="00D86156"/>
    <w:rsid w:val="00D86655"/>
    <w:rsid w:val="00D867AB"/>
    <w:rsid w:val="00D86C48"/>
    <w:rsid w:val="00D86F40"/>
    <w:rsid w:val="00D87192"/>
    <w:rsid w:val="00D87DAB"/>
    <w:rsid w:val="00D9014B"/>
    <w:rsid w:val="00D9091C"/>
    <w:rsid w:val="00D90BB2"/>
    <w:rsid w:val="00D9158C"/>
    <w:rsid w:val="00D91A23"/>
    <w:rsid w:val="00D91A60"/>
    <w:rsid w:val="00D93FC1"/>
    <w:rsid w:val="00D9417C"/>
    <w:rsid w:val="00D943CB"/>
    <w:rsid w:val="00D94C91"/>
    <w:rsid w:val="00D95086"/>
    <w:rsid w:val="00D95A3E"/>
    <w:rsid w:val="00D96321"/>
    <w:rsid w:val="00D970FD"/>
    <w:rsid w:val="00D97D8D"/>
    <w:rsid w:val="00DA06D1"/>
    <w:rsid w:val="00DA0785"/>
    <w:rsid w:val="00DA078F"/>
    <w:rsid w:val="00DA22F1"/>
    <w:rsid w:val="00DA2381"/>
    <w:rsid w:val="00DA25A7"/>
    <w:rsid w:val="00DA31BB"/>
    <w:rsid w:val="00DA346B"/>
    <w:rsid w:val="00DA359F"/>
    <w:rsid w:val="00DA440E"/>
    <w:rsid w:val="00DA4835"/>
    <w:rsid w:val="00DA53E4"/>
    <w:rsid w:val="00DA6D72"/>
    <w:rsid w:val="00DA71C4"/>
    <w:rsid w:val="00DA75C5"/>
    <w:rsid w:val="00DA780B"/>
    <w:rsid w:val="00DA7B5D"/>
    <w:rsid w:val="00DA7EA5"/>
    <w:rsid w:val="00DB0F76"/>
    <w:rsid w:val="00DB1646"/>
    <w:rsid w:val="00DB1C14"/>
    <w:rsid w:val="00DB213D"/>
    <w:rsid w:val="00DB2235"/>
    <w:rsid w:val="00DB2870"/>
    <w:rsid w:val="00DB2EDD"/>
    <w:rsid w:val="00DB3BDA"/>
    <w:rsid w:val="00DB3CE6"/>
    <w:rsid w:val="00DB42DB"/>
    <w:rsid w:val="00DB52A4"/>
    <w:rsid w:val="00DB6304"/>
    <w:rsid w:val="00DB6EE4"/>
    <w:rsid w:val="00DB7485"/>
    <w:rsid w:val="00DB76AD"/>
    <w:rsid w:val="00DC1163"/>
    <w:rsid w:val="00DC14BF"/>
    <w:rsid w:val="00DC17E9"/>
    <w:rsid w:val="00DC237F"/>
    <w:rsid w:val="00DC5863"/>
    <w:rsid w:val="00DC58E3"/>
    <w:rsid w:val="00DC59E7"/>
    <w:rsid w:val="00DC5F39"/>
    <w:rsid w:val="00DC64D0"/>
    <w:rsid w:val="00DC672F"/>
    <w:rsid w:val="00DC6923"/>
    <w:rsid w:val="00DC7650"/>
    <w:rsid w:val="00DC7F4E"/>
    <w:rsid w:val="00DD221E"/>
    <w:rsid w:val="00DD2702"/>
    <w:rsid w:val="00DD3AAD"/>
    <w:rsid w:val="00DD40EC"/>
    <w:rsid w:val="00DD4D98"/>
    <w:rsid w:val="00DD4E40"/>
    <w:rsid w:val="00DD5123"/>
    <w:rsid w:val="00DD5282"/>
    <w:rsid w:val="00DD556B"/>
    <w:rsid w:val="00DD60AF"/>
    <w:rsid w:val="00DD6538"/>
    <w:rsid w:val="00DD7114"/>
    <w:rsid w:val="00DD72E3"/>
    <w:rsid w:val="00DD74DD"/>
    <w:rsid w:val="00DD77BC"/>
    <w:rsid w:val="00DE0B1D"/>
    <w:rsid w:val="00DE1694"/>
    <w:rsid w:val="00DE230D"/>
    <w:rsid w:val="00DE2D86"/>
    <w:rsid w:val="00DE3B46"/>
    <w:rsid w:val="00DE3C21"/>
    <w:rsid w:val="00DE3D20"/>
    <w:rsid w:val="00DE53D7"/>
    <w:rsid w:val="00DE551A"/>
    <w:rsid w:val="00DE60EB"/>
    <w:rsid w:val="00DE76BF"/>
    <w:rsid w:val="00DE791B"/>
    <w:rsid w:val="00DE7A42"/>
    <w:rsid w:val="00DE7AAE"/>
    <w:rsid w:val="00DE7E34"/>
    <w:rsid w:val="00DE7FD2"/>
    <w:rsid w:val="00DF08CF"/>
    <w:rsid w:val="00DF0E27"/>
    <w:rsid w:val="00DF1E2B"/>
    <w:rsid w:val="00DF237C"/>
    <w:rsid w:val="00DF27E4"/>
    <w:rsid w:val="00DF2D06"/>
    <w:rsid w:val="00DF31FC"/>
    <w:rsid w:val="00DF39EB"/>
    <w:rsid w:val="00DF3ECF"/>
    <w:rsid w:val="00DF43AD"/>
    <w:rsid w:val="00DF4900"/>
    <w:rsid w:val="00DF4EC8"/>
    <w:rsid w:val="00DF5443"/>
    <w:rsid w:val="00DF58E7"/>
    <w:rsid w:val="00DF6EB7"/>
    <w:rsid w:val="00DF75B5"/>
    <w:rsid w:val="00DF781A"/>
    <w:rsid w:val="00DF7BAA"/>
    <w:rsid w:val="00DF7E24"/>
    <w:rsid w:val="00E00A6F"/>
    <w:rsid w:val="00E014F8"/>
    <w:rsid w:val="00E0157E"/>
    <w:rsid w:val="00E01E2D"/>
    <w:rsid w:val="00E0340A"/>
    <w:rsid w:val="00E03A8C"/>
    <w:rsid w:val="00E049DE"/>
    <w:rsid w:val="00E04D44"/>
    <w:rsid w:val="00E10AC7"/>
    <w:rsid w:val="00E11876"/>
    <w:rsid w:val="00E12539"/>
    <w:rsid w:val="00E13AB5"/>
    <w:rsid w:val="00E13E07"/>
    <w:rsid w:val="00E14087"/>
    <w:rsid w:val="00E145B8"/>
    <w:rsid w:val="00E147C2"/>
    <w:rsid w:val="00E1498D"/>
    <w:rsid w:val="00E14C04"/>
    <w:rsid w:val="00E15E27"/>
    <w:rsid w:val="00E16F56"/>
    <w:rsid w:val="00E171CE"/>
    <w:rsid w:val="00E17D87"/>
    <w:rsid w:val="00E20037"/>
    <w:rsid w:val="00E2091E"/>
    <w:rsid w:val="00E20B57"/>
    <w:rsid w:val="00E20F86"/>
    <w:rsid w:val="00E210EB"/>
    <w:rsid w:val="00E21E33"/>
    <w:rsid w:val="00E22389"/>
    <w:rsid w:val="00E23CBB"/>
    <w:rsid w:val="00E242B7"/>
    <w:rsid w:val="00E24C55"/>
    <w:rsid w:val="00E25151"/>
    <w:rsid w:val="00E25693"/>
    <w:rsid w:val="00E25788"/>
    <w:rsid w:val="00E257FB"/>
    <w:rsid w:val="00E2580E"/>
    <w:rsid w:val="00E25D1B"/>
    <w:rsid w:val="00E25D3A"/>
    <w:rsid w:val="00E260B1"/>
    <w:rsid w:val="00E261CC"/>
    <w:rsid w:val="00E26237"/>
    <w:rsid w:val="00E262E0"/>
    <w:rsid w:val="00E2639D"/>
    <w:rsid w:val="00E26775"/>
    <w:rsid w:val="00E268D2"/>
    <w:rsid w:val="00E26A55"/>
    <w:rsid w:val="00E3034B"/>
    <w:rsid w:val="00E30A7A"/>
    <w:rsid w:val="00E30C79"/>
    <w:rsid w:val="00E30C9C"/>
    <w:rsid w:val="00E3137A"/>
    <w:rsid w:val="00E3151A"/>
    <w:rsid w:val="00E31DCA"/>
    <w:rsid w:val="00E3277E"/>
    <w:rsid w:val="00E32CAB"/>
    <w:rsid w:val="00E33117"/>
    <w:rsid w:val="00E33DA8"/>
    <w:rsid w:val="00E3416E"/>
    <w:rsid w:val="00E34EB6"/>
    <w:rsid w:val="00E35FE1"/>
    <w:rsid w:val="00E36280"/>
    <w:rsid w:val="00E37962"/>
    <w:rsid w:val="00E37B59"/>
    <w:rsid w:val="00E401BD"/>
    <w:rsid w:val="00E402A6"/>
    <w:rsid w:val="00E407A3"/>
    <w:rsid w:val="00E4082C"/>
    <w:rsid w:val="00E40A0F"/>
    <w:rsid w:val="00E40CFF"/>
    <w:rsid w:val="00E40D65"/>
    <w:rsid w:val="00E40FEB"/>
    <w:rsid w:val="00E41D03"/>
    <w:rsid w:val="00E4222B"/>
    <w:rsid w:val="00E4230B"/>
    <w:rsid w:val="00E426A1"/>
    <w:rsid w:val="00E429B9"/>
    <w:rsid w:val="00E435BC"/>
    <w:rsid w:val="00E43FF5"/>
    <w:rsid w:val="00E44A31"/>
    <w:rsid w:val="00E44D5D"/>
    <w:rsid w:val="00E45810"/>
    <w:rsid w:val="00E4584F"/>
    <w:rsid w:val="00E46CD0"/>
    <w:rsid w:val="00E475F5"/>
    <w:rsid w:val="00E47FF5"/>
    <w:rsid w:val="00E506FE"/>
    <w:rsid w:val="00E50ECC"/>
    <w:rsid w:val="00E51601"/>
    <w:rsid w:val="00E519EE"/>
    <w:rsid w:val="00E5231F"/>
    <w:rsid w:val="00E524DB"/>
    <w:rsid w:val="00E53438"/>
    <w:rsid w:val="00E53618"/>
    <w:rsid w:val="00E542DD"/>
    <w:rsid w:val="00E56018"/>
    <w:rsid w:val="00E56B9D"/>
    <w:rsid w:val="00E57D5F"/>
    <w:rsid w:val="00E603E2"/>
    <w:rsid w:val="00E608FA"/>
    <w:rsid w:val="00E60F9A"/>
    <w:rsid w:val="00E612E0"/>
    <w:rsid w:val="00E618DB"/>
    <w:rsid w:val="00E62AB8"/>
    <w:rsid w:val="00E62D4B"/>
    <w:rsid w:val="00E63732"/>
    <w:rsid w:val="00E642D0"/>
    <w:rsid w:val="00E64BDE"/>
    <w:rsid w:val="00E656F4"/>
    <w:rsid w:val="00E65F1C"/>
    <w:rsid w:val="00E66560"/>
    <w:rsid w:val="00E6757F"/>
    <w:rsid w:val="00E67999"/>
    <w:rsid w:val="00E67A29"/>
    <w:rsid w:val="00E700CE"/>
    <w:rsid w:val="00E7151C"/>
    <w:rsid w:val="00E7153D"/>
    <w:rsid w:val="00E723FD"/>
    <w:rsid w:val="00E724DC"/>
    <w:rsid w:val="00E725F1"/>
    <w:rsid w:val="00E725FC"/>
    <w:rsid w:val="00E728CA"/>
    <w:rsid w:val="00E729B6"/>
    <w:rsid w:val="00E730DC"/>
    <w:rsid w:val="00E7368F"/>
    <w:rsid w:val="00E74B64"/>
    <w:rsid w:val="00E75A43"/>
    <w:rsid w:val="00E75A6A"/>
    <w:rsid w:val="00E75A8F"/>
    <w:rsid w:val="00E75CB5"/>
    <w:rsid w:val="00E77007"/>
    <w:rsid w:val="00E802C3"/>
    <w:rsid w:val="00E8112A"/>
    <w:rsid w:val="00E811EF"/>
    <w:rsid w:val="00E812A2"/>
    <w:rsid w:val="00E81DD1"/>
    <w:rsid w:val="00E81F9B"/>
    <w:rsid w:val="00E82099"/>
    <w:rsid w:val="00E82DFC"/>
    <w:rsid w:val="00E833EC"/>
    <w:rsid w:val="00E84108"/>
    <w:rsid w:val="00E84561"/>
    <w:rsid w:val="00E845D3"/>
    <w:rsid w:val="00E855AF"/>
    <w:rsid w:val="00E855D8"/>
    <w:rsid w:val="00E866B3"/>
    <w:rsid w:val="00E86708"/>
    <w:rsid w:val="00E871B7"/>
    <w:rsid w:val="00E87603"/>
    <w:rsid w:val="00E87D4C"/>
    <w:rsid w:val="00E87E52"/>
    <w:rsid w:val="00E92229"/>
    <w:rsid w:val="00E9228D"/>
    <w:rsid w:val="00E9283E"/>
    <w:rsid w:val="00E929BC"/>
    <w:rsid w:val="00E92BD6"/>
    <w:rsid w:val="00E93288"/>
    <w:rsid w:val="00E935E3"/>
    <w:rsid w:val="00E9378E"/>
    <w:rsid w:val="00E93E9E"/>
    <w:rsid w:val="00E94B56"/>
    <w:rsid w:val="00E94D25"/>
    <w:rsid w:val="00E94E7B"/>
    <w:rsid w:val="00E9504A"/>
    <w:rsid w:val="00E95327"/>
    <w:rsid w:val="00E959FC"/>
    <w:rsid w:val="00E962F4"/>
    <w:rsid w:val="00E969FE"/>
    <w:rsid w:val="00E96C7B"/>
    <w:rsid w:val="00E96E12"/>
    <w:rsid w:val="00E972CE"/>
    <w:rsid w:val="00E97DA0"/>
    <w:rsid w:val="00EA00DD"/>
    <w:rsid w:val="00EA0378"/>
    <w:rsid w:val="00EA0F3C"/>
    <w:rsid w:val="00EA1180"/>
    <w:rsid w:val="00EA144F"/>
    <w:rsid w:val="00EA1C4D"/>
    <w:rsid w:val="00EA1FF9"/>
    <w:rsid w:val="00EA2558"/>
    <w:rsid w:val="00EA2683"/>
    <w:rsid w:val="00EA2C9C"/>
    <w:rsid w:val="00EA3461"/>
    <w:rsid w:val="00EA34FB"/>
    <w:rsid w:val="00EA36C6"/>
    <w:rsid w:val="00EA3949"/>
    <w:rsid w:val="00EA45CC"/>
    <w:rsid w:val="00EA5E65"/>
    <w:rsid w:val="00EA600F"/>
    <w:rsid w:val="00EA6463"/>
    <w:rsid w:val="00EA6468"/>
    <w:rsid w:val="00EA6DF1"/>
    <w:rsid w:val="00EA6E60"/>
    <w:rsid w:val="00EA74DB"/>
    <w:rsid w:val="00EA783D"/>
    <w:rsid w:val="00EA79F3"/>
    <w:rsid w:val="00EA7F07"/>
    <w:rsid w:val="00EB0641"/>
    <w:rsid w:val="00EB07AE"/>
    <w:rsid w:val="00EB0B6E"/>
    <w:rsid w:val="00EB0D0B"/>
    <w:rsid w:val="00EB1382"/>
    <w:rsid w:val="00EB225E"/>
    <w:rsid w:val="00EB2A72"/>
    <w:rsid w:val="00EB2CF9"/>
    <w:rsid w:val="00EB2D06"/>
    <w:rsid w:val="00EB2D19"/>
    <w:rsid w:val="00EB30AD"/>
    <w:rsid w:val="00EB34A9"/>
    <w:rsid w:val="00EB35D9"/>
    <w:rsid w:val="00EB4D4D"/>
    <w:rsid w:val="00EB528F"/>
    <w:rsid w:val="00EB617D"/>
    <w:rsid w:val="00EB740B"/>
    <w:rsid w:val="00EB749B"/>
    <w:rsid w:val="00EB7A02"/>
    <w:rsid w:val="00EB7C9D"/>
    <w:rsid w:val="00EB7DAE"/>
    <w:rsid w:val="00EC0029"/>
    <w:rsid w:val="00EC0388"/>
    <w:rsid w:val="00EC148D"/>
    <w:rsid w:val="00EC1737"/>
    <w:rsid w:val="00EC1E81"/>
    <w:rsid w:val="00EC2576"/>
    <w:rsid w:val="00EC30F9"/>
    <w:rsid w:val="00EC3F05"/>
    <w:rsid w:val="00EC48A6"/>
    <w:rsid w:val="00EC5861"/>
    <w:rsid w:val="00EC602E"/>
    <w:rsid w:val="00EC6A34"/>
    <w:rsid w:val="00EC6B01"/>
    <w:rsid w:val="00ED020B"/>
    <w:rsid w:val="00ED06F2"/>
    <w:rsid w:val="00ED0E19"/>
    <w:rsid w:val="00ED1514"/>
    <w:rsid w:val="00ED1920"/>
    <w:rsid w:val="00ED1A1C"/>
    <w:rsid w:val="00ED1EEB"/>
    <w:rsid w:val="00ED2643"/>
    <w:rsid w:val="00ED2B63"/>
    <w:rsid w:val="00ED379E"/>
    <w:rsid w:val="00ED3E68"/>
    <w:rsid w:val="00ED3F6A"/>
    <w:rsid w:val="00ED41B9"/>
    <w:rsid w:val="00ED44B8"/>
    <w:rsid w:val="00ED5459"/>
    <w:rsid w:val="00ED5565"/>
    <w:rsid w:val="00ED5725"/>
    <w:rsid w:val="00ED57C3"/>
    <w:rsid w:val="00ED5A9A"/>
    <w:rsid w:val="00ED7031"/>
    <w:rsid w:val="00ED7466"/>
    <w:rsid w:val="00ED77B7"/>
    <w:rsid w:val="00ED7A64"/>
    <w:rsid w:val="00ED7D88"/>
    <w:rsid w:val="00EE078E"/>
    <w:rsid w:val="00EE1CA4"/>
    <w:rsid w:val="00EE1CA6"/>
    <w:rsid w:val="00EE25CA"/>
    <w:rsid w:val="00EE2695"/>
    <w:rsid w:val="00EE2D2C"/>
    <w:rsid w:val="00EE3060"/>
    <w:rsid w:val="00EE33E9"/>
    <w:rsid w:val="00EE35BD"/>
    <w:rsid w:val="00EE4149"/>
    <w:rsid w:val="00EE4315"/>
    <w:rsid w:val="00EE43CD"/>
    <w:rsid w:val="00EE44B6"/>
    <w:rsid w:val="00EE4626"/>
    <w:rsid w:val="00EE4649"/>
    <w:rsid w:val="00EE4E49"/>
    <w:rsid w:val="00EE5940"/>
    <w:rsid w:val="00EE6551"/>
    <w:rsid w:val="00EF013A"/>
    <w:rsid w:val="00EF0585"/>
    <w:rsid w:val="00EF142A"/>
    <w:rsid w:val="00EF1B2C"/>
    <w:rsid w:val="00EF1EEB"/>
    <w:rsid w:val="00EF251D"/>
    <w:rsid w:val="00EF2A9E"/>
    <w:rsid w:val="00EF2ED8"/>
    <w:rsid w:val="00EF32D6"/>
    <w:rsid w:val="00EF3317"/>
    <w:rsid w:val="00EF419D"/>
    <w:rsid w:val="00EF45BD"/>
    <w:rsid w:val="00EF4716"/>
    <w:rsid w:val="00EF4C96"/>
    <w:rsid w:val="00EF4DE9"/>
    <w:rsid w:val="00EF58AB"/>
    <w:rsid w:val="00EF636F"/>
    <w:rsid w:val="00EF6925"/>
    <w:rsid w:val="00EF6ED1"/>
    <w:rsid w:val="00EF73AC"/>
    <w:rsid w:val="00EF73CF"/>
    <w:rsid w:val="00EF743D"/>
    <w:rsid w:val="00EF7725"/>
    <w:rsid w:val="00EF7945"/>
    <w:rsid w:val="00F0073A"/>
    <w:rsid w:val="00F00FB2"/>
    <w:rsid w:val="00F0165B"/>
    <w:rsid w:val="00F0172C"/>
    <w:rsid w:val="00F029F3"/>
    <w:rsid w:val="00F038E5"/>
    <w:rsid w:val="00F05EFB"/>
    <w:rsid w:val="00F06F37"/>
    <w:rsid w:val="00F07E69"/>
    <w:rsid w:val="00F07ECF"/>
    <w:rsid w:val="00F10375"/>
    <w:rsid w:val="00F10606"/>
    <w:rsid w:val="00F10AF0"/>
    <w:rsid w:val="00F11553"/>
    <w:rsid w:val="00F11803"/>
    <w:rsid w:val="00F11E9B"/>
    <w:rsid w:val="00F1209E"/>
    <w:rsid w:val="00F1227E"/>
    <w:rsid w:val="00F129B4"/>
    <w:rsid w:val="00F138AD"/>
    <w:rsid w:val="00F13C7E"/>
    <w:rsid w:val="00F13D8D"/>
    <w:rsid w:val="00F13F56"/>
    <w:rsid w:val="00F1471A"/>
    <w:rsid w:val="00F15B0F"/>
    <w:rsid w:val="00F15FE6"/>
    <w:rsid w:val="00F176ED"/>
    <w:rsid w:val="00F22749"/>
    <w:rsid w:val="00F227E2"/>
    <w:rsid w:val="00F22EB1"/>
    <w:rsid w:val="00F232E3"/>
    <w:rsid w:val="00F23892"/>
    <w:rsid w:val="00F242A0"/>
    <w:rsid w:val="00F246A5"/>
    <w:rsid w:val="00F247A2"/>
    <w:rsid w:val="00F24B43"/>
    <w:rsid w:val="00F24EA9"/>
    <w:rsid w:val="00F2536D"/>
    <w:rsid w:val="00F256EF"/>
    <w:rsid w:val="00F25A50"/>
    <w:rsid w:val="00F26ED3"/>
    <w:rsid w:val="00F279A6"/>
    <w:rsid w:val="00F30618"/>
    <w:rsid w:val="00F30A2C"/>
    <w:rsid w:val="00F33567"/>
    <w:rsid w:val="00F33AE9"/>
    <w:rsid w:val="00F342CE"/>
    <w:rsid w:val="00F34529"/>
    <w:rsid w:val="00F34B2F"/>
    <w:rsid w:val="00F34EB4"/>
    <w:rsid w:val="00F35417"/>
    <w:rsid w:val="00F35E55"/>
    <w:rsid w:val="00F36045"/>
    <w:rsid w:val="00F36885"/>
    <w:rsid w:val="00F36AB8"/>
    <w:rsid w:val="00F3786B"/>
    <w:rsid w:val="00F37BFD"/>
    <w:rsid w:val="00F4071F"/>
    <w:rsid w:val="00F41DEE"/>
    <w:rsid w:val="00F42B3F"/>
    <w:rsid w:val="00F44635"/>
    <w:rsid w:val="00F45E63"/>
    <w:rsid w:val="00F4739D"/>
    <w:rsid w:val="00F4742B"/>
    <w:rsid w:val="00F5202D"/>
    <w:rsid w:val="00F5228E"/>
    <w:rsid w:val="00F52703"/>
    <w:rsid w:val="00F53451"/>
    <w:rsid w:val="00F53BED"/>
    <w:rsid w:val="00F54D59"/>
    <w:rsid w:val="00F550DD"/>
    <w:rsid w:val="00F55408"/>
    <w:rsid w:val="00F555DC"/>
    <w:rsid w:val="00F55F30"/>
    <w:rsid w:val="00F55FD2"/>
    <w:rsid w:val="00F56ED9"/>
    <w:rsid w:val="00F56EE3"/>
    <w:rsid w:val="00F57427"/>
    <w:rsid w:val="00F574E9"/>
    <w:rsid w:val="00F5751D"/>
    <w:rsid w:val="00F57A0C"/>
    <w:rsid w:val="00F6012F"/>
    <w:rsid w:val="00F60975"/>
    <w:rsid w:val="00F62B7A"/>
    <w:rsid w:val="00F62DDE"/>
    <w:rsid w:val="00F6397D"/>
    <w:rsid w:val="00F64129"/>
    <w:rsid w:val="00F643A9"/>
    <w:rsid w:val="00F64ECD"/>
    <w:rsid w:val="00F6589D"/>
    <w:rsid w:val="00F662E5"/>
    <w:rsid w:val="00F66BE8"/>
    <w:rsid w:val="00F70257"/>
    <w:rsid w:val="00F70A11"/>
    <w:rsid w:val="00F70A9B"/>
    <w:rsid w:val="00F70F80"/>
    <w:rsid w:val="00F7293E"/>
    <w:rsid w:val="00F72B73"/>
    <w:rsid w:val="00F73119"/>
    <w:rsid w:val="00F7356E"/>
    <w:rsid w:val="00F73649"/>
    <w:rsid w:val="00F74C1E"/>
    <w:rsid w:val="00F750C2"/>
    <w:rsid w:val="00F75951"/>
    <w:rsid w:val="00F75D7C"/>
    <w:rsid w:val="00F75FC2"/>
    <w:rsid w:val="00F76650"/>
    <w:rsid w:val="00F76DB8"/>
    <w:rsid w:val="00F76FB5"/>
    <w:rsid w:val="00F77C62"/>
    <w:rsid w:val="00F77F85"/>
    <w:rsid w:val="00F77FF7"/>
    <w:rsid w:val="00F80380"/>
    <w:rsid w:val="00F81453"/>
    <w:rsid w:val="00F82797"/>
    <w:rsid w:val="00F82B0D"/>
    <w:rsid w:val="00F83F43"/>
    <w:rsid w:val="00F848FB"/>
    <w:rsid w:val="00F8499A"/>
    <w:rsid w:val="00F84CAE"/>
    <w:rsid w:val="00F85B57"/>
    <w:rsid w:val="00F85F46"/>
    <w:rsid w:val="00F85FB4"/>
    <w:rsid w:val="00F86F9A"/>
    <w:rsid w:val="00F87445"/>
    <w:rsid w:val="00F90170"/>
    <w:rsid w:val="00F9053C"/>
    <w:rsid w:val="00F906BB"/>
    <w:rsid w:val="00F90E92"/>
    <w:rsid w:val="00F9187B"/>
    <w:rsid w:val="00F92385"/>
    <w:rsid w:val="00F9264E"/>
    <w:rsid w:val="00F92C54"/>
    <w:rsid w:val="00F9347B"/>
    <w:rsid w:val="00F936BE"/>
    <w:rsid w:val="00F93BF2"/>
    <w:rsid w:val="00F93FEA"/>
    <w:rsid w:val="00F9445A"/>
    <w:rsid w:val="00F94A8D"/>
    <w:rsid w:val="00F95147"/>
    <w:rsid w:val="00F9634F"/>
    <w:rsid w:val="00F963AA"/>
    <w:rsid w:val="00F97183"/>
    <w:rsid w:val="00F975A6"/>
    <w:rsid w:val="00FA044D"/>
    <w:rsid w:val="00FA0563"/>
    <w:rsid w:val="00FA12A0"/>
    <w:rsid w:val="00FA1B4F"/>
    <w:rsid w:val="00FA22B7"/>
    <w:rsid w:val="00FA272D"/>
    <w:rsid w:val="00FA317C"/>
    <w:rsid w:val="00FA3DE3"/>
    <w:rsid w:val="00FA3E44"/>
    <w:rsid w:val="00FA410D"/>
    <w:rsid w:val="00FA413F"/>
    <w:rsid w:val="00FA510E"/>
    <w:rsid w:val="00FA5A56"/>
    <w:rsid w:val="00FA64EB"/>
    <w:rsid w:val="00FA7317"/>
    <w:rsid w:val="00FA78A0"/>
    <w:rsid w:val="00FA7A51"/>
    <w:rsid w:val="00FB07B7"/>
    <w:rsid w:val="00FB092A"/>
    <w:rsid w:val="00FB0B50"/>
    <w:rsid w:val="00FB0DEE"/>
    <w:rsid w:val="00FB0E30"/>
    <w:rsid w:val="00FB0E8D"/>
    <w:rsid w:val="00FB15BB"/>
    <w:rsid w:val="00FB26CF"/>
    <w:rsid w:val="00FB2B9C"/>
    <w:rsid w:val="00FB33D6"/>
    <w:rsid w:val="00FB40BE"/>
    <w:rsid w:val="00FB4A08"/>
    <w:rsid w:val="00FB6608"/>
    <w:rsid w:val="00FB6E09"/>
    <w:rsid w:val="00FB719B"/>
    <w:rsid w:val="00FB71C2"/>
    <w:rsid w:val="00FB735E"/>
    <w:rsid w:val="00FB7CB6"/>
    <w:rsid w:val="00FC0057"/>
    <w:rsid w:val="00FC012D"/>
    <w:rsid w:val="00FC087A"/>
    <w:rsid w:val="00FC1D2E"/>
    <w:rsid w:val="00FC1F75"/>
    <w:rsid w:val="00FC246B"/>
    <w:rsid w:val="00FC2853"/>
    <w:rsid w:val="00FC303F"/>
    <w:rsid w:val="00FC42E0"/>
    <w:rsid w:val="00FC47F9"/>
    <w:rsid w:val="00FC48BA"/>
    <w:rsid w:val="00FC4A88"/>
    <w:rsid w:val="00FC4AF7"/>
    <w:rsid w:val="00FC4FF5"/>
    <w:rsid w:val="00FC5117"/>
    <w:rsid w:val="00FC5302"/>
    <w:rsid w:val="00FC6955"/>
    <w:rsid w:val="00FC77F1"/>
    <w:rsid w:val="00FC79C3"/>
    <w:rsid w:val="00FD0153"/>
    <w:rsid w:val="00FD0164"/>
    <w:rsid w:val="00FD03AD"/>
    <w:rsid w:val="00FD0EE2"/>
    <w:rsid w:val="00FD10A2"/>
    <w:rsid w:val="00FD139C"/>
    <w:rsid w:val="00FD14A2"/>
    <w:rsid w:val="00FD2253"/>
    <w:rsid w:val="00FD3893"/>
    <w:rsid w:val="00FD3898"/>
    <w:rsid w:val="00FD3A4B"/>
    <w:rsid w:val="00FD402D"/>
    <w:rsid w:val="00FD4401"/>
    <w:rsid w:val="00FD456E"/>
    <w:rsid w:val="00FD4BAC"/>
    <w:rsid w:val="00FD67CF"/>
    <w:rsid w:val="00FD6BA0"/>
    <w:rsid w:val="00FD7B3E"/>
    <w:rsid w:val="00FD7D02"/>
    <w:rsid w:val="00FE03AC"/>
    <w:rsid w:val="00FE074B"/>
    <w:rsid w:val="00FE07DA"/>
    <w:rsid w:val="00FE0952"/>
    <w:rsid w:val="00FE0A05"/>
    <w:rsid w:val="00FE0EA7"/>
    <w:rsid w:val="00FE1236"/>
    <w:rsid w:val="00FE171C"/>
    <w:rsid w:val="00FE1FF7"/>
    <w:rsid w:val="00FE2283"/>
    <w:rsid w:val="00FE2351"/>
    <w:rsid w:val="00FE2B6A"/>
    <w:rsid w:val="00FE337D"/>
    <w:rsid w:val="00FE372D"/>
    <w:rsid w:val="00FE372F"/>
    <w:rsid w:val="00FE37B4"/>
    <w:rsid w:val="00FE41FD"/>
    <w:rsid w:val="00FE4468"/>
    <w:rsid w:val="00FE452B"/>
    <w:rsid w:val="00FE50A3"/>
    <w:rsid w:val="00FE5197"/>
    <w:rsid w:val="00FE54DF"/>
    <w:rsid w:val="00FE5580"/>
    <w:rsid w:val="00FE5C72"/>
    <w:rsid w:val="00FE6364"/>
    <w:rsid w:val="00FE6AB1"/>
    <w:rsid w:val="00FE73D7"/>
    <w:rsid w:val="00FE76DE"/>
    <w:rsid w:val="00FF110C"/>
    <w:rsid w:val="00FF11D0"/>
    <w:rsid w:val="00FF1372"/>
    <w:rsid w:val="00FF2307"/>
    <w:rsid w:val="00FF2A17"/>
    <w:rsid w:val="00FF3402"/>
    <w:rsid w:val="00FF4C53"/>
    <w:rsid w:val="00FF4C9A"/>
    <w:rsid w:val="00FF4D93"/>
    <w:rsid w:val="00FF66D0"/>
    <w:rsid w:val="00FF6A8C"/>
    <w:rsid w:val="00FF7109"/>
    <w:rsid w:val="00FF739F"/>
    <w:rsid w:val="00FF7858"/>
    <w:rsid w:val="00FF79F9"/>
    <w:rsid w:val="011FCD54"/>
    <w:rsid w:val="0138785A"/>
    <w:rsid w:val="0140882D"/>
    <w:rsid w:val="01561883"/>
    <w:rsid w:val="016E2A87"/>
    <w:rsid w:val="01A1E433"/>
    <w:rsid w:val="01B1C74B"/>
    <w:rsid w:val="01BBE31B"/>
    <w:rsid w:val="01C87429"/>
    <w:rsid w:val="01D85A4A"/>
    <w:rsid w:val="01E5C5AB"/>
    <w:rsid w:val="01FBEB1E"/>
    <w:rsid w:val="01FDFF52"/>
    <w:rsid w:val="02279DC7"/>
    <w:rsid w:val="023B30F4"/>
    <w:rsid w:val="02AE5B21"/>
    <w:rsid w:val="02B3071E"/>
    <w:rsid w:val="02E38ADC"/>
    <w:rsid w:val="03493405"/>
    <w:rsid w:val="0349EBAA"/>
    <w:rsid w:val="03626A01"/>
    <w:rsid w:val="03CD1B91"/>
    <w:rsid w:val="03CE6ABE"/>
    <w:rsid w:val="03E4E22D"/>
    <w:rsid w:val="04121280"/>
    <w:rsid w:val="043BF4CC"/>
    <w:rsid w:val="04A1480B"/>
    <w:rsid w:val="04B10444"/>
    <w:rsid w:val="04C4A13B"/>
    <w:rsid w:val="04E84C60"/>
    <w:rsid w:val="04F10DCC"/>
    <w:rsid w:val="04FEB97F"/>
    <w:rsid w:val="05151711"/>
    <w:rsid w:val="051978C2"/>
    <w:rsid w:val="053DB439"/>
    <w:rsid w:val="057DD4AB"/>
    <w:rsid w:val="05A03878"/>
    <w:rsid w:val="05A8EF5D"/>
    <w:rsid w:val="05C39F6D"/>
    <w:rsid w:val="05DABDAD"/>
    <w:rsid w:val="05ECBD4A"/>
    <w:rsid w:val="05FF5BB1"/>
    <w:rsid w:val="06337784"/>
    <w:rsid w:val="06653D80"/>
    <w:rsid w:val="067B862A"/>
    <w:rsid w:val="06925D63"/>
    <w:rsid w:val="069F35E3"/>
    <w:rsid w:val="06A279BA"/>
    <w:rsid w:val="06D39B84"/>
    <w:rsid w:val="06D9849A"/>
    <w:rsid w:val="06EF20C6"/>
    <w:rsid w:val="0766F6F0"/>
    <w:rsid w:val="077EF05D"/>
    <w:rsid w:val="07920EC8"/>
    <w:rsid w:val="07B046E1"/>
    <w:rsid w:val="07C5980F"/>
    <w:rsid w:val="07CC3BC1"/>
    <w:rsid w:val="07DA5EBB"/>
    <w:rsid w:val="07F7FD5A"/>
    <w:rsid w:val="0804F907"/>
    <w:rsid w:val="082A5E26"/>
    <w:rsid w:val="084E3F2E"/>
    <w:rsid w:val="08C595C6"/>
    <w:rsid w:val="08C9FE61"/>
    <w:rsid w:val="08D28264"/>
    <w:rsid w:val="09407B99"/>
    <w:rsid w:val="096D9885"/>
    <w:rsid w:val="099A117F"/>
    <w:rsid w:val="099C6F03"/>
    <w:rsid w:val="09BF272F"/>
    <w:rsid w:val="09D2ED03"/>
    <w:rsid w:val="09E62B4F"/>
    <w:rsid w:val="0A11255C"/>
    <w:rsid w:val="0A7102B8"/>
    <w:rsid w:val="0A7A6E30"/>
    <w:rsid w:val="0AB1AB85"/>
    <w:rsid w:val="0AB4B5AD"/>
    <w:rsid w:val="0AB79FD2"/>
    <w:rsid w:val="0B560333"/>
    <w:rsid w:val="0BAAF5C5"/>
    <w:rsid w:val="0BAFC37B"/>
    <w:rsid w:val="0BEF9A03"/>
    <w:rsid w:val="0BF94CF6"/>
    <w:rsid w:val="0C547FAA"/>
    <w:rsid w:val="0C6CF55F"/>
    <w:rsid w:val="0C8E815E"/>
    <w:rsid w:val="0CD83DAA"/>
    <w:rsid w:val="0CF16568"/>
    <w:rsid w:val="0D3CE8BB"/>
    <w:rsid w:val="0D49D610"/>
    <w:rsid w:val="0D6C808B"/>
    <w:rsid w:val="0D6D7CAA"/>
    <w:rsid w:val="0D817A08"/>
    <w:rsid w:val="0D878252"/>
    <w:rsid w:val="0DB44A1E"/>
    <w:rsid w:val="0DEFAFD3"/>
    <w:rsid w:val="0EE1AC5E"/>
    <w:rsid w:val="0EEB5F51"/>
    <w:rsid w:val="0F0358BE"/>
    <w:rsid w:val="0F1A167E"/>
    <w:rsid w:val="0F536366"/>
    <w:rsid w:val="0F838911"/>
    <w:rsid w:val="0F87238D"/>
    <w:rsid w:val="0F8C4A7D"/>
    <w:rsid w:val="0FA0CDDF"/>
    <w:rsid w:val="0FCE07AA"/>
    <w:rsid w:val="1040562A"/>
    <w:rsid w:val="106457F7"/>
    <w:rsid w:val="10768C53"/>
    <w:rsid w:val="1087F9FB"/>
    <w:rsid w:val="115F2FFA"/>
    <w:rsid w:val="11A4D098"/>
    <w:rsid w:val="11A78E69"/>
    <w:rsid w:val="11B6B217"/>
    <w:rsid w:val="121BDDD1"/>
    <w:rsid w:val="122EFE52"/>
    <w:rsid w:val="125DA1FF"/>
    <w:rsid w:val="12697DA3"/>
    <w:rsid w:val="1272A614"/>
    <w:rsid w:val="12B3DE5D"/>
    <w:rsid w:val="12C29D98"/>
    <w:rsid w:val="12D09B2E"/>
    <w:rsid w:val="12F5400E"/>
    <w:rsid w:val="12F61E05"/>
    <w:rsid w:val="132B2082"/>
    <w:rsid w:val="13340EB0"/>
    <w:rsid w:val="13660460"/>
    <w:rsid w:val="143AF0CB"/>
    <w:rsid w:val="150AF03C"/>
    <w:rsid w:val="154376A1"/>
    <w:rsid w:val="1587DD40"/>
    <w:rsid w:val="15B3F9C9"/>
    <w:rsid w:val="15C96380"/>
    <w:rsid w:val="15D9157D"/>
    <w:rsid w:val="15E507DB"/>
    <w:rsid w:val="1612567E"/>
    <w:rsid w:val="1626AAF2"/>
    <w:rsid w:val="163889F2"/>
    <w:rsid w:val="1642DFD5"/>
    <w:rsid w:val="165816BB"/>
    <w:rsid w:val="16E6164D"/>
    <w:rsid w:val="17298B3E"/>
    <w:rsid w:val="172A91F5"/>
    <w:rsid w:val="175FBA8D"/>
    <w:rsid w:val="177CCE19"/>
    <w:rsid w:val="177E022F"/>
    <w:rsid w:val="17CC7940"/>
    <w:rsid w:val="18013986"/>
    <w:rsid w:val="1844EEDE"/>
    <w:rsid w:val="188F2C54"/>
    <w:rsid w:val="18A98DBC"/>
    <w:rsid w:val="1901E417"/>
    <w:rsid w:val="19036222"/>
    <w:rsid w:val="190468D9"/>
    <w:rsid w:val="19622283"/>
    <w:rsid w:val="19752E5A"/>
    <w:rsid w:val="19758771"/>
    <w:rsid w:val="19E2676C"/>
    <w:rsid w:val="1A001857"/>
    <w:rsid w:val="1A5A2B48"/>
    <w:rsid w:val="1A5D08B3"/>
    <w:rsid w:val="1A607448"/>
    <w:rsid w:val="1AEAE00C"/>
    <w:rsid w:val="1AF20A4A"/>
    <w:rsid w:val="1B0A03B7"/>
    <w:rsid w:val="1B448802"/>
    <w:rsid w:val="1B609154"/>
    <w:rsid w:val="1C526F71"/>
    <w:rsid w:val="1C683638"/>
    <w:rsid w:val="1C933780"/>
    <w:rsid w:val="1CF8DEB0"/>
    <w:rsid w:val="1D0A241F"/>
    <w:rsid w:val="1D11AEC0"/>
    <w:rsid w:val="1D27383F"/>
    <w:rsid w:val="1D88AE47"/>
    <w:rsid w:val="1D8B5B29"/>
    <w:rsid w:val="1DCC2338"/>
    <w:rsid w:val="1EB02F9A"/>
    <w:rsid w:val="1EDBBF66"/>
    <w:rsid w:val="1F4481CC"/>
    <w:rsid w:val="1F4A8BBE"/>
    <w:rsid w:val="1F4D38A0"/>
    <w:rsid w:val="1F6135FE"/>
    <w:rsid w:val="1F6254A2"/>
    <w:rsid w:val="1FA62CED"/>
    <w:rsid w:val="1FADB678"/>
    <w:rsid w:val="1FBC9155"/>
    <w:rsid w:val="20412D69"/>
    <w:rsid w:val="20527A9A"/>
    <w:rsid w:val="2065EF5E"/>
    <w:rsid w:val="2094603A"/>
    <w:rsid w:val="20BDD0EC"/>
    <w:rsid w:val="20C15DBC"/>
    <w:rsid w:val="20C873A2"/>
    <w:rsid w:val="20DB7C84"/>
    <w:rsid w:val="212462A2"/>
    <w:rsid w:val="213AC5D0"/>
    <w:rsid w:val="215BFE0E"/>
    <w:rsid w:val="2167A4C2"/>
    <w:rsid w:val="216CCFC1"/>
    <w:rsid w:val="21748A76"/>
    <w:rsid w:val="2184C92E"/>
    <w:rsid w:val="21B460FE"/>
    <w:rsid w:val="21D9CC04"/>
    <w:rsid w:val="21E80232"/>
    <w:rsid w:val="21F7A72A"/>
    <w:rsid w:val="2206AA08"/>
    <w:rsid w:val="22341639"/>
    <w:rsid w:val="227C8735"/>
    <w:rsid w:val="22A4BF5A"/>
    <w:rsid w:val="22B04E5A"/>
    <w:rsid w:val="231C7642"/>
    <w:rsid w:val="23FD5F34"/>
    <w:rsid w:val="23FE48BF"/>
    <w:rsid w:val="24106B0B"/>
    <w:rsid w:val="2472EA12"/>
    <w:rsid w:val="24ABF853"/>
    <w:rsid w:val="25308970"/>
    <w:rsid w:val="2546A9E1"/>
    <w:rsid w:val="2547E693"/>
    <w:rsid w:val="2548500C"/>
    <w:rsid w:val="256A0704"/>
    <w:rsid w:val="258D46FB"/>
    <w:rsid w:val="25A2244B"/>
    <w:rsid w:val="264BBA3F"/>
    <w:rsid w:val="265D5504"/>
    <w:rsid w:val="2683D27B"/>
    <w:rsid w:val="2691B7E5"/>
    <w:rsid w:val="26B81F0A"/>
    <w:rsid w:val="26DB89D6"/>
    <w:rsid w:val="26F20103"/>
    <w:rsid w:val="2736F834"/>
    <w:rsid w:val="2770F9E7"/>
    <w:rsid w:val="2789060E"/>
    <w:rsid w:val="278D6763"/>
    <w:rsid w:val="2793E890"/>
    <w:rsid w:val="279DE5F1"/>
    <w:rsid w:val="27A46FA5"/>
    <w:rsid w:val="27E93D99"/>
    <w:rsid w:val="27EA57BF"/>
    <w:rsid w:val="27F8D856"/>
    <w:rsid w:val="286B8EC9"/>
    <w:rsid w:val="288F9C78"/>
    <w:rsid w:val="28E5FC22"/>
    <w:rsid w:val="2910CF18"/>
    <w:rsid w:val="292C2C7D"/>
    <w:rsid w:val="293DCC9A"/>
    <w:rsid w:val="295A04AE"/>
    <w:rsid w:val="295A8B64"/>
    <w:rsid w:val="2987BBB7"/>
    <w:rsid w:val="29F48FC1"/>
    <w:rsid w:val="29FF9581"/>
    <w:rsid w:val="2A21289C"/>
    <w:rsid w:val="2A25B18B"/>
    <w:rsid w:val="2A4136CD"/>
    <w:rsid w:val="2A9C608E"/>
    <w:rsid w:val="2AB30305"/>
    <w:rsid w:val="2B01351F"/>
    <w:rsid w:val="2B14AE26"/>
    <w:rsid w:val="2BA66151"/>
    <w:rsid w:val="2BD47097"/>
    <w:rsid w:val="2C1E9816"/>
    <w:rsid w:val="2C63CD3F"/>
    <w:rsid w:val="2D064BA6"/>
    <w:rsid w:val="2D384156"/>
    <w:rsid w:val="2DB52617"/>
    <w:rsid w:val="2DB8D197"/>
    <w:rsid w:val="2DC318BF"/>
    <w:rsid w:val="2DCC8437"/>
    <w:rsid w:val="2DFF9DA0"/>
    <w:rsid w:val="2E09B5D9"/>
    <w:rsid w:val="2E0C16F9"/>
    <w:rsid w:val="2E4FB37F"/>
    <w:rsid w:val="2EE119F0"/>
    <w:rsid w:val="2F12183A"/>
    <w:rsid w:val="2F84F636"/>
    <w:rsid w:val="2FEC4E29"/>
    <w:rsid w:val="3009F67F"/>
    <w:rsid w:val="302A53B1"/>
    <w:rsid w:val="30410B0F"/>
    <w:rsid w:val="304B3624"/>
    <w:rsid w:val="307CEA51"/>
    <w:rsid w:val="307EC00A"/>
    <w:rsid w:val="309DE66D"/>
    <w:rsid w:val="309F0AA9"/>
    <w:rsid w:val="30FBD2CC"/>
    <w:rsid w:val="31881353"/>
    <w:rsid w:val="31BA3B78"/>
    <w:rsid w:val="31CAF029"/>
    <w:rsid w:val="31E70629"/>
    <w:rsid w:val="3228A414"/>
    <w:rsid w:val="3254E201"/>
    <w:rsid w:val="328F01FE"/>
    <w:rsid w:val="32E207D2"/>
    <w:rsid w:val="32F739AB"/>
    <w:rsid w:val="334A1C76"/>
    <w:rsid w:val="33701B88"/>
    <w:rsid w:val="3371B43C"/>
    <w:rsid w:val="33E5568C"/>
    <w:rsid w:val="33F39078"/>
    <w:rsid w:val="340B2B38"/>
    <w:rsid w:val="34295E6F"/>
    <w:rsid w:val="343A07D2"/>
    <w:rsid w:val="3471AEA4"/>
    <w:rsid w:val="347A6FF9"/>
    <w:rsid w:val="3485C9B8"/>
    <w:rsid w:val="34930998"/>
    <w:rsid w:val="34E95E2C"/>
    <w:rsid w:val="34F5D4D7"/>
    <w:rsid w:val="34F63CF0"/>
    <w:rsid w:val="35560113"/>
    <w:rsid w:val="357B4399"/>
    <w:rsid w:val="359CB6C7"/>
    <w:rsid w:val="35A4717C"/>
    <w:rsid w:val="35AFB806"/>
    <w:rsid w:val="35E57527"/>
    <w:rsid w:val="3608EE5F"/>
    <w:rsid w:val="36221936"/>
    <w:rsid w:val="36554D3E"/>
    <w:rsid w:val="368624B7"/>
    <w:rsid w:val="36A2E381"/>
    <w:rsid w:val="36BC2C1B"/>
    <w:rsid w:val="36D591D3"/>
    <w:rsid w:val="36F71C6A"/>
    <w:rsid w:val="3721B1EB"/>
    <w:rsid w:val="3730CD6E"/>
    <w:rsid w:val="375C9168"/>
    <w:rsid w:val="377162AC"/>
    <w:rsid w:val="37768DAB"/>
    <w:rsid w:val="378B69F4"/>
    <w:rsid w:val="378B77D7"/>
    <w:rsid w:val="37B30097"/>
    <w:rsid w:val="37E84F4B"/>
    <w:rsid w:val="383F68ED"/>
    <w:rsid w:val="3865F8C9"/>
    <w:rsid w:val="39060FD0"/>
    <w:rsid w:val="39B826A3"/>
    <w:rsid w:val="39BE34B8"/>
    <w:rsid w:val="39C41941"/>
    <w:rsid w:val="3A0806A9"/>
    <w:rsid w:val="3A157B26"/>
    <w:rsid w:val="3A22DFC9"/>
    <w:rsid w:val="3A536920"/>
    <w:rsid w:val="3A7BA145"/>
    <w:rsid w:val="3A8FF4D3"/>
    <w:rsid w:val="3A9C5C1E"/>
    <w:rsid w:val="3AB6B270"/>
    <w:rsid w:val="3AD0AFAE"/>
    <w:rsid w:val="3AF79291"/>
    <w:rsid w:val="3AFFF862"/>
    <w:rsid w:val="3B4F189E"/>
    <w:rsid w:val="3B9704E5"/>
    <w:rsid w:val="3C557829"/>
    <w:rsid w:val="3C585E10"/>
    <w:rsid w:val="3CA9A871"/>
    <w:rsid w:val="3CB4388A"/>
    <w:rsid w:val="3CCD4E53"/>
    <w:rsid w:val="3CD6BB89"/>
    <w:rsid w:val="3D148B61"/>
    <w:rsid w:val="3D2F6BF6"/>
    <w:rsid w:val="3D4C261D"/>
    <w:rsid w:val="3D6DE671"/>
    <w:rsid w:val="3D97254D"/>
    <w:rsid w:val="3DBD54E8"/>
    <w:rsid w:val="3DEDBBBA"/>
    <w:rsid w:val="3E1925A5"/>
    <w:rsid w:val="3E2711AD"/>
    <w:rsid w:val="3E5C19BE"/>
    <w:rsid w:val="3E61E5BF"/>
    <w:rsid w:val="3E6794DE"/>
    <w:rsid w:val="3EBF1EA4"/>
    <w:rsid w:val="3F1A8D02"/>
    <w:rsid w:val="3F374BCC"/>
    <w:rsid w:val="3F62A243"/>
    <w:rsid w:val="3F9CA9BF"/>
    <w:rsid w:val="3FB22943"/>
    <w:rsid w:val="401DF735"/>
    <w:rsid w:val="402523DB"/>
    <w:rsid w:val="40977E22"/>
    <w:rsid w:val="40A08245"/>
    <w:rsid w:val="40C2CAE1"/>
    <w:rsid w:val="413632AC"/>
    <w:rsid w:val="413EF418"/>
    <w:rsid w:val="414DF9A4"/>
    <w:rsid w:val="4191B314"/>
    <w:rsid w:val="41B130FF"/>
    <w:rsid w:val="421E6713"/>
    <w:rsid w:val="4225D252"/>
    <w:rsid w:val="423D6600"/>
    <w:rsid w:val="4257AAD6"/>
    <w:rsid w:val="429697D3"/>
    <w:rsid w:val="429CA1C5"/>
    <w:rsid w:val="429F4EA7"/>
    <w:rsid w:val="42F81023"/>
    <w:rsid w:val="43089FCF"/>
    <w:rsid w:val="4317CEDD"/>
    <w:rsid w:val="432A981E"/>
    <w:rsid w:val="4341FF40"/>
    <w:rsid w:val="43514249"/>
    <w:rsid w:val="435C8863"/>
    <w:rsid w:val="4374BF39"/>
    <w:rsid w:val="43B80565"/>
    <w:rsid w:val="43BB2F30"/>
    <w:rsid w:val="43CCD6A9"/>
    <w:rsid w:val="43E67641"/>
    <w:rsid w:val="441373C3"/>
    <w:rsid w:val="445D62E0"/>
    <w:rsid w:val="446FD901"/>
    <w:rsid w:val="44706EB7"/>
    <w:rsid w:val="44859A66"/>
    <w:rsid w:val="4496ADA3"/>
    <w:rsid w:val="44F2A1E0"/>
    <w:rsid w:val="45255CCF"/>
    <w:rsid w:val="452BE20B"/>
    <w:rsid w:val="45522C8A"/>
    <w:rsid w:val="457B9561"/>
    <w:rsid w:val="45DA084C"/>
    <w:rsid w:val="45F573FA"/>
    <w:rsid w:val="46041ABD"/>
    <w:rsid w:val="460733B1"/>
    <w:rsid w:val="460EC459"/>
    <w:rsid w:val="4613942B"/>
    <w:rsid w:val="46947301"/>
    <w:rsid w:val="46ABC883"/>
    <w:rsid w:val="47314AEC"/>
    <w:rsid w:val="47688B04"/>
    <w:rsid w:val="479555B5"/>
    <w:rsid w:val="47C5E32B"/>
    <w:rsid w:val="48002A01"/>
    <w:rsid w:val="483D42E6"/>
    <w:rsid w:val="483D804F"/>
    <w:rsid w:val="48473342"/>
    <w:rsid w:val="484CD4ED"/>
    <w:rsid w:val="4850723D"/>
    <w:rsid w:val="48745AC7"/>
    <w:rsid w:val="48973E46"/>
    <w:rsid w:val="48B51C53"/>
    <w:rsid w:val="48DF679A"/>
    <w:rsid w:val="48F3C150"/>
    <w:rsid w:val="498578F4"/>
    <w:rsid w:val="499DD046"/>
    <w:rsid w:val="49E3CDEC"/>
    <w:rsid w:val="4A6B0828"/>
    <w:rsid w:val="4AFF318C"/>
    <w:rsid w:val="4B1910A3"/>
    <w:rsid w:val="4B1A41FD"/>
    <w:rsid w:val="4B3C6DC6"/>
    <w:rsid w:val="4B9539DA"/>
    <w:rsid w:val="4B9DF0AE"/>
    <w:rsid w:val="4B9F5A3F"/>
    <w:rsid w:val="4B9FBCF7"/>
    <w:rsid w:val="4BCE7A05"/>
    <w:rsid w:val="4C049FDD"/>
    <w:rsid w:val="4C27CC99"/>
    <w:rsid w:val="4C6DF094"/>
    <w:rsid w:val="4C8FE2A1"/>
    <w:rsid w:val="4CC2E981"/>
    <w:rsid w:val="4CE235E7"/>
    <w:rsid w:val="4D18E635"/>
    <w:rsid w:val="4D1FB238"/>
    <w:rsid w:val="4D2AE5DA"/>
    <w:rsid w:val="4D62C30C"/>
    <w:rsid w:val="4DE9E856"/>
    <w:rsid w:val="4E05190C"/>
    <w:rsid w:val="4E66C42D"/>
    <w:rsid w:val="4E7E8AC9"/>
    <w:rsid w:val="4F6E2A6F"/>
    <w:rsid w:val="4FC748CF"/>
    <w:rsid w:val="5018301B"/>
    <w:rsid w:val="501AC7D4"/>
    <w:rsid w:val="502D6701"/>
    <w:rsid w:val="5074BDC0"/>
    <w:rsid w:val="507CF0B8"/>
    <w:rsid w:val="50855F2F"/>
    <w:rsid w:val="508665E6"/>
    <w:rsid w:val="513F2503"/>
    <w:rsid w:val="51A1C986"/>
    <w:rsid w:val="51C22C12"/>
    <w:rsid w:val="51FF6489"/>
    <w:rsid w:val="521749CC"/>
    <w:rsid w:val="5223C9DE"/>
    <w:rsid w:val="52295860"/>
    <w:rsid w:val="524709D5"/>
    <w:rsid w:val="525F3613"/>
    <w:rsid w:val="52BDF674"/>
    <w:rsid w:val="52D1024B"/>
    <w:rsid w:val="52D5BD10"/>
    <w:rsid w:val="52FA6960"/>
    <w:rsid w:val="53626D75"/>
    <w:rsid w:val="538CD854"/>
    <w:rsid w:val="539782D2"/>
    <w:rsid w:val="53C6EC7F"/>
    <w:rsid w:val="53F120B0"/>
    <w:rsid w:val="53F26FDD"/>
    <w:rsid w:val="542A9E44"/>
    <w:rsid w:val="544DE8D3"/>
    <w:rsid w:val="550C517F"/>
    <w:rsid w:val="557DAED4"/>
    <w:rsid w:val="56547FD0"/>
    <w:rsid w:val="56557186"/>
    <w:rsid w:val="56F1A5C2"/>
    <w:rsid w:val="57A2F57C"/>
    <w:rsid w:val="57A4A63F"/>
    <w:rsid w:val="580393BF"/>
    <w:rsid w:val="5833D60E"/>
    <w:rsid w:val="584B1AF1"/>
    <w:rsid w:val="587918F5"/>
    <w:rsid w:val="58B3D5C4"/>
    <w:rsid w:val="58B54F96"/>
    <w:rsid w:val="58B838C8"/>
    <w:rsid w:val="58BB0AA3"/>
    <w:rsid w:val="58D457E7"/>
    <w:rsid w:val="58D4D08B"/>
    <w:rsid w:val="58F27FC6"/>
    <w:rsid w:val="5916D222"/>
    <w:rsid w:val="594475EB"/>
    <w:rsid w:val="5956FB1E"/>
    <w:rsid w:val="59687560"/>
    <w:rsid w:val="598FB3AB"/>
    <w:rsid w:val="59A21175"/>
    <w:rsid w:val="59D54566"/>
    <w:rsid w:val="59F0342B"/>
    <w:rsid w:val="5A803693"/>
    <w:rsid w:val="5ADBA4F1"/>
    <w:rsid w:val="5AF07635"/>
    <w:rsid w:val="5AF3E865"/>
    <w:rsid w:val="5B19EC24"/>
    <w:rsid w:val="5B92DFE8"/>
    <w:rsid w:val="5BC6E2E6"/>
    <w:rsid w:val="5C97FEAF"/>
    <w:rsid w:val="5D104ABF"/>
    <w:rsid w:val="5D454B6C"/>
    <w:rsid w:val="5D50AF22"/>
    <w:rsid w:val="5DA6D77C"/>
    <w:rsid w:val="5DCDEA1D"/>
    <w:rsid w:val="5DCEBE03"/>
    <w:rsid w:val="5E72D500"/>
    <w:rsid w:val="5E8D31BE"/>
    <w:rsid w:val="5EA2B0A3"/>
    <w:rsid w:val="5EABE94A"/>
    <w:rsid w:val="5EACE569"/>
    <w:rsid w:val="5ED49F14"/>
    <w:rsid w:val="5EE91AEC"/>
    <w:rsid w:val="5EF2A5A6"/>
    <w:rsid w:val="5F1F88E0"/>
    <w:rsid w:val="5F6A5C8E"/>
    <w:rsid w:val="5F6D13DE"/>
    <w:rsid w:val="60048924"/>
    <w:rsid w:val="601F645A"/>
    <w:rsid w:val="604A937D"/>
    <w:rsid w:val="6056C216"/>
    <w:rsid w:val="607F5FAB"/>
    <w:rsid w:val="6092CC25"/>
    <w:rsid w:val="60ABA3BC"/>
    <w:rsid w:val="6108E43F"/>
    <w:rsid w:val="61701668"/>
    <w:rsid w:val="61A4F8B3"/>
    <w:rsid w:val="61C30109"/>
    <w:rsid w:val="6227CAD8"/>
    <w:rsid w:val="6237482F"/>
    <w:rsid w:val="625A5695"/>
    <w:rsid w:val="626B3D52"/>
    <w:rsid w:val="6276777D"/>
    <w:rsid w:val="627B8E73"/>
    <w:rsid w:val="62DCCC5F"/>
    <w:rsid w:val="62F56E51"/>
    <w:rsid w:val="63132778"/>
    <w:rsid w:val="63451290"/>
    <w:rsid w:val="634CCD45"/>
    <w:rsid w:val="636E6711"/>
    <w:rsid w:val="637393D9"/>
    <w:rsid w:val="6381857C"/>
    <w:rsid w:val="638353C2"/>
    <w:rsid w:val="63A459DA"/>
    <w:rsid w:val="63B6D430"/>
    <w:rsid w:val="643FF8C0"/>
    <w:rsid w:val="6454CA04"/>
    <w:rsid w:val="6487A4C5"/>
    <w:rsid w:val="648848B3"/>
    <w:rsid w:val="64B97515"/>
    <w:rsid w:val="64C76325"/>
    <w:rsid w:val="65034706"/>
    <w:rsid w:val="6573AEEB"/>
    <w:rsid w:val="6581909F"/>
    <w:rsid w:val="65AB71A0"/>
    <w:rsid w:val="65CF8086"/>
    <w:rsid w:val="65D4FEA4"/>
    <w:rsid w:val="65E14FD7"/>
    <w:rsid w:val="65EEB7CC"/>
    <w:rsid w:val="65F164AE"/>
    <w:rsid w:val="65F22DFC"/>
    <w:rsid w:val="663724EB"/>
    <w:rsid w:val="664699B6"/>
    <w:rsid w:val="664A262A"/>
    <w:rsid w:val="66621F97"/>
    <w:rsid w:val="667397D7"/>
    <w:rsid w:val="668F1D19"/>
    <w:rsid w:val="66941547"/>
    <w:rsid w:val="66AF6814"/>
    <w:rsid w:val="673522F8"/>
    <w:rsid w:val="676589CA"/>
    <w:rsid w:val="6765F7FF"/>
    <w:rsid w:val="68BF305B"/>
    <w:rsid w:val="68D0F359"/>
    <w:rsid w:val="68F74196"/>
    <w:rsid w:val="69031FF4"/>
    <w:rsid w:val="6930F1FB"/>
    <w:rsid w:val="6947E412"/>
    <w:rsid w:val="697E6CED"/>
    <w:rsid w:val="69E0838F"/>
    <w:rsid w:val="69FADE9A"/>
    <w:rsid w:val="69FDDE8A"/>
    <w:rsid w:val="6A0B136E"/>
    <w:rsid w:val="6A1276B3"/>
    <w:rsid w:val="6A43D198"/>
    <w:rsid w:val="6A4B9799"/>
    <w:rsid w:val="6A4C559B"/>
    <w:rsid w:val="6A6B9A07"/>
    <w:rsid w:val="6AB49719"/>
    <w:rsid w:val="6B4D99DF"/>
    <w:rsid w:val="6B52F686"/>
    <w:rsid w:val="6B8F9656"/>
    <w:rsid w:val="6BB142B6"/>
    <w:rsid w:val="6BC7CF64"/>
    <w:rsid w:val="6C2E7DB1"/>
    <w:rsid w:val="6C317DA1"/>
    <w:rsid w:val="6C3AC0B6"/>
    <w:rsid w:val="6C4E099A"/>
    <w:rsid w:val="6C9328C2"/>
    <w:rsid w:val="6CB2B4AB"/>
    <w:rsid w:val="6CB6D6D6"/>
    <w:rsid w:val="6CE4E2E7"/>
    <w:rsid w:val="6CEFE64D"/>
    <w:rsid w:val="6CF1E4C1"/>
    <w:rsid w:val="6D35E3F3"/>
    <w:rsid w:val="6DDB2442"/>
    <w:rsid w:val="6DDEA972"/>
    <w:rsid w:val="6DE04F41"/>
    <w:rsid w:val="6DEF8752"/>
    <w:rsid w:val="6EFAAFCB"/>
    <w:rsid w:val="6F0FBAD7"/>
    <w:rsid w:val="6F41935B"/>
    <w:rsid w:val="6F883B0D"/>
    <w:rsid w:val="6FB4FB26"/>
    <w:rsid w:val="6FDA3857"/>
    <w:rsid w:val="702BE7C5"/>
    <w:rsid w:val="70CD369D"/>
    <w:rsid w:val="70D2619C"/>
    <w:rsid w:val="70E66992"/>
    <w:rsid w:val="71D8661D"/>
    <w:rsid w:val="71F5228B"/>
    <w:rsid w:val="72029680"/>
    <w:rsid w:val="72151030"/>
    <w:rsid w:val="7240887B"/>
    <w:rsid w:val="72880160"/>
    <w:rsid w:val="72AC3880"/>
    <w:rsid w:val="72F218FA"/>
    <w:rsid w:val="731DFA20"/>
    <w:rsid w:val="737EB3BA"/>
    <w:rsid w:val="73BBEFF4"/>
    <w:rsid w:val="74961B4B"/>
    <w:rsid w:val="74A29B5D"/>
    <w:rsid w:val="74F1E74F"/>
    <w:rsid w:val="75069EAA"/>
    <w:rsid w:val="75695FD3"/>
    <w:rsid w:val="756AAF00"/>
    <w:rsid w:val="7584793D"/>
    <w:rsid w:val="75991FDC"/>
    <w:rsid w:val="75B14C1A"/>
    <w:rsid w:val="75F7BE8C"/>
    <w:rsid w:val="76250AC2"/>
    <w:rsid w:val="76292244"/>
    <w:rsid w:val="7652B286"/>
    <w:rsid w:val="77253594"/>
    <w:rsid w:val="7753A537"/>
    <w:rsid w:val="77599BEE"/>
    <w:rsid w:val="7775C9A6"/>
    <w:rsid w:val="7786F9FC"/>
    <w:rsid w:val="778B2D96"/>
    <w:rsid w:val="779FFEDA"/>
    <w:rsid w:val="77B7EDAF"/>
    <w:rsid w:val="781AF295"/>
    <w:rsid w:val="7838BA5E"/>
    <w:rsid w:val="7841E625"/>
    <w:rsid w:val="784E5BD4"/>
    <w:rsid w:val="785E721E"/>
    <w:rsid w:val="787660F3"/>
    <w:rsid w:val="7893F242"/>
    <w:rsid w:val="796177B3"/>
    <w:rsid w:val="798604F3"/>
    <w:rsid w:val="79F3FA8A"/>
    <w:rsid w:val="7A36983F"/>
    <w:rsid w:val="7AE08C1D"/>
    <w:rsid w:val="7AF50B83"/>
    <w:rsid w:val="7AF6BC46"/>
    <w:rsid w:val="7B58052E"/>
    <w:rsid w:val="7B5FD5A1"/>
    <w:rsid w:val="7B623DDC"/>
    <w:rsid w:val="7B837082"/>
    <w:rsid w:val="7BF875B6"/>
    <w:rsid w:val="7C106F23"/>
    <w:rsid w:val="7C24E803"/>
    <w:rsid w:val="7C26E692"/>
    <w:rsid w:val="7CA5C3A1"/>
    <w:rsid w:val="7CAA2072"/>
    <w:rsid w:val="7CCBF6DE"/>
    <w:rsid w:val="7CD8CA73"/>
    <w:rsid w:val="7D545111"/>
    <w:rsid w:val="7D62F502"/>
    <w:rsid w:val="7DBD6F7A"/>
    <w:rsid w:val="7DD4F97C"/>
    <w:rsid w:val="7DE8CEA1"/>
    <w:rsid w:val="7E77AA15"/>
    <w:rsid w:val="7E87B5FC"/>
    <w:rsid w:val="7E8C7B59"/>
    <w:rsid w:val="7F0BECF6"/>
    <w:rsid w:val="7F0CE915"/>
    <w:rsid w:val="7F231B7B"/>
    <w:rsid w:val="7F9B7068"/>
    <w:rsid w:val="7FF3CA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33890"/>
  <w15:chartTrackingRefBased/>
  <w15:docId w15:val="{646F3F32-F09F-4558-9490-ED23ED3A3A6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0"/>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3"/>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9"/>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CommentReference">
    <w:name w:val="annotation reference"/>
    <w:basedOn w:val="DefaultParagraphFont"/>
    <w:uiPriority w:val="99"/>
    <w:semiHidden/>
    <w:unhideWhenUsed/>
    <w:rsid w:val="00C16E4D"/>
    <w:rPr>
      <w:sz w:val="16"/>
      <w:szCs w:val="16"/>
    </w:rPr>
  </w:style>
  <w:style w:type="paragraph" w:styleId="CommentText">
    <w:name w:val="annotation text"/>
    <w:basedOn w:val="Normal"/>
    <w:link w:val="CommentTextChar"/>
    <w:uiPriority w:val="99"/>
    <w:unhideWhenUsed/>
    <w:rsid w:val="00C16E4D"/>
    <w:pPr>
      <w:spacing w:line="240" w:lineRule="auto"/>
    </w:pPr>
    <w:rPr>
      <w:sz w:val="20"/>
      <w:szCs w:val="20"/>
    </w:rPr>
  </w:style>
  <w:style w:type="character" w:customStyle="1" w:styleId="CommentTextChar">
    <w:name w:val="Comment Text Char"/>
    <w:basedOn w:val="DefaultParagraphFont"/>
    <w:link w:val="CommentText"/>
    <w:uiPriority w:val="99"/>
    <w:rsid w:val="00C16E4D"/>
    <w:rPr>
      <w:rFonts w:ascii="Book Antiqua" w:hAnsi="Book Antiqua"/>
      <w:sz w:val="20"/>
      <w:szCs w:val="20"/>
    </w:rPr>
  </w:style>
  <w:style w:type="paragraph" w:styleId="ListParagraph">
    <w:name w:val="List Paragraph"/>
    <w:basedOn w:val="Normal"/>
    <w:uiPriority w:val="34"/>
    <w:qFormat/>
    <w:rsid w:val="00C85713"/>
    <w:pPr>
      <w:ind w:left="720"/>
      <w:contextualSpacing/>
    </w:pPr>
  </w:style>
  <w:style w:type="character" w:styleId="Mention">
    <w:name w:val="Mention"/>
    <w:basedOn w:val="DefaultParagraphFont"/>
    <w:uiPriority w:val="99"/>
    <w:unhideWhenUsed/>
    <w:rsid w:val="0003735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6754D"/>
    <w:rPr>
      <w:b/>
      <w:bCs/>
    </w:rPr>
  </w:style>
  <w:style w:type="character" w:customStyle="1" w:styleId="CommentSubjectChar">
    <w:name w:val="Comment Subject Char"/>
    <w:basedOn w:val="CommentTextChar"/>
    <w:link w:val="CommentSubject"/>
    <w:uiPriority w:val="99"/>
    <w:semiHidden/>
    <w:rsid w:val="0026754D"/>
    <w:rPr>
      <w:rFonts w:ascii="Book Antiqua" w:hAnsi="Book Antiqua"/>
      <w:b/>
      <w:bCs/>
      <w:sz w:val="20"/>
      <w:szCs w:val="20"/>
    </w:rPr>
  </w:style>
  <w:style w:type="paragraph" w:customStyle="1" w:styleId="TableParagraph">
    <w:name w:val="Table Paragraph"/>
    <w:basedOn w:val="Normal"/>
    <w:uiPriority w:val="1"/>
    <w:qFormat/>
    <w:rsid w:val="00DD6538"/>
    <w:pPr>
      <w:widowControl w:val="0"/>
      <w:autoSpaceDE w:val="0"/>
      <w:autoSpaceDN w:val="0"/>
      <w:spacing w:line="255" w:lineRule="exact"/>
      <w:ind w:left="107" w:firstLine="0"/>
    </w:pPr>
    <w:rPr>
      <w:rFonts w:ascii="Times New Roman" w:eastAsia="Times New Roman" w:hAnsi="Times New Roman" w:cs="Times New Roman"/>
      <w:sz w:val="22"/>
    </w:rPr>
  </w:style>
  <w:style w:type="paragraph" w:customStyle="1" w:styleId="Default">
    <w:name w:val="Default"/>
    <w:rsid w:val="00DD653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D1483"/>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Revision">
    <w:name w:val="Revision"/>
    <w:hidden/>
    <w:uiPriority w:val="99"/>
    <w:semiHidden/>
    <w:rsid w:val="000D4B50"/>
    <w:pPr>
      <w:spacing w:after="0" w:line="240" w:lineRule="auto"/>
    </w:pPr>
    <w:rPr>
      <w:rFonts w:ascii="Book Antiqua" w:hAnsi="Book Antiqua"/>
      <w:sz w:val="26"/>
    </w:rPr>
  </w:style>
  <w:style w:type="character" w:customStyle="1" w:styleId="cf01">
    <w:name w:val="cf01"/>
    <w:basedOn w:val="DefaultParagraphFont"/>
    <w:rsid w:val="00BB41E0"/>
    <w:rPr>
      <w:rFonts w:ascii="Segoe UI" w:hAnsi="Segoe UI" w:cs="Segoe UI" w:hint="default"/>
      <w:sz w:val="18"/>
      <w:szCs w:val="18"/>
    </w:rPr>
  </w:style>
  <w:style w:type="paragraph" w:customStyle="1" w:styleId="pf0">
    <w:name w:val="pf0"/>
    <w:basedOn w:val="Normal"/>
    <w:rsid w:val="002A5C33"/>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134599">
      <w:bodyDiv w:val="1"/>
      <w:marLeft w:val="0"/>
      <w:marRight w:val="0"/>
      <w:marTop w:val="0"/>
      <w:marBottom w:val="0"/>
      <w:divBdr>
        <w:top w:val="none" w:sz="0" w:space="0" w:color="auto"/>
        <w:left w:val="none" w:sz="0" w:space="0" w:color="auto"/>
        <w:bottom w:val="none" w:sz="0" w:space="0" w:color="auto"/>
        <w:right w:val="none" w:sz="0" w:space="0" w:color="auto"/>
      </w:divBdr>
    </w:div>
    <w:div w:id="794907293">
      <w:bodyDiv w:val="1"/>
      <w:marLeft w:val="0"/>
      <w:marRight w:val="0"/>
      <w:marTop w:val="0"/>
      <w:marBottom w:val="0"/>
      <w:divBdr>
        <w:top w:val="none" w:sz="0" w:space="0" w:color="auto"/>
        <w:left w:val="none" w:sz="0" w:space="0" w:color="auto"/>
        <w:bottom w:val="none" w:sz="0" w:space="0" w:color="auto"/>
        <w:right w:val="none" w:sz="0" w:space="0" w:color="auto"/>
      </w:divBdr>
    </w:div>
    <w:div w:id="1122959761">
      <w:bodyDiv w:val="1"/>
      <w:marLeft w:val="0"/>
      <w:marRight w:val="0"/>
      <w:marTop w:val="0"/>
      <w:marBottom w:val="0"/>
      <w:divBdr>
        <w:top w:val="none" w:sz="0" w:space="0" w:color="auto"/>
        <w:left w:val="none" w:sz="0" w:space="0" w:color="auto"/>
        <w:bottom w:val="none" w:sz="0" w:space="0" w:color="auto"/>
        <w:right w:val="none" w:sz="0" w:space="0" w:color="auto"/>
      </w:divBdr>
    </w:div>
    <w:div w:id="1187913951">
      <w:bodyDiv w:val="1"/>
      <w:marLeft w:val="0"/>
      <w:marRight w:val="0"/>
      <w:marTop w:val="0"/>
      <w:marBottom w:val="0"/>
      <w:divBdr>
        <w:top w:val="none" w:sz="0" w:space="0" w:color="auto"/>
        <w:left w:val="none" w:sz="0" w:space="0" w:color="auto"/>
        <w:bottom w:val="none" w:sz="0" w:space="0" w:color="auto"/>
        <w:right w:val="none" w:sz="0" w:space="0" w:color="auto"/>
      </w:divBdr>
      <w:divsChild>
        <w:div w:id="470757081">
          <w:marLeft w:val="0"/>
          <w:marRight w:val="0"/>
          <w:marTop w:val="0"/>
          <w:marBottom w:val="120"/>
          <w:divBdr>
            <w:top w:val="none" w:sz="0" w:space="0" w:color="auto"/>
            <w:left w:val="none" w:sz="0" w:space="0" w:color="auto"/>
            <w:bottom w:val="none" w:sz="0" w:space="0" w:color="auto"/>
            <w:right w:val="none" w:sz="0" w:space="0" w:color="auto"/>
          </w:divBdr>
          <w:divsChild>
            <w:div w:id="370304678">
              <w:marLeft w:val="0"/>
              <w:marRight w:val="0"/>
              <w:marTop w:val="0"/>
              <w:marBottom w:val="0"/>
              <w:divBdr>
                <w:top w:val="none" w:sz="0" w:space="0" w:color="auto"/>
                <w:left w:val="none" w:sz="0" w:space="0" w:color="auto"/>
                <w:bottom w:val="none" w:sz="0" w:space="0" w:color="auto"/>
                <w:right w:val="none" w:sz="0" w:space="0" w:color="auto"/>
              </w:divBdr>
            </w:div>
          </w:divsChild>
        </w:div>
        <w:div w:id="1274634774">
          <w:marLeft w:val="0"/>
          <w:marRight w:val="0"/>
          <w:marTop w:val="0"/>
          <w:marBottom w:val="120"/>
          <w:divBdr>
            <w:top w:val="none" w:sz="0" w:space="0" w:color="auto"/>
            <w:left w:val="none" w:sz="0" w:space="0" w:color="auto"/>
            <w:bottom w:val="none" w:sz="0" w:space="0" w:color="auto"/>
            <w:right w:val="none" w:sz="0" w:space="0" w:color="auto"/>
          </w:divBdr>
          <w:divsChild>
            <w:div w:id="10508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37853">
      <w:bodyDiv w:val="1"/>
      <w:marLeft w:val="0"/>
      <w:marRight w:val="0"/>
      <w:marTop w:val="0"/>
      <w:marBottom w:val="0"/>
      <w:divBdr>
        <w:top w:val="none" w:sz="0" w:space="0" w:color="auto"/>
        <w:left w:val="none" w:sz="0" w:space="0" w:color="auto"/>
        <w:bottom w:val="none" w:sz="0" w:space="0" w:color="auto"/>
        <w:right w:val="none" w:sz="0" w:space="0" w:color="auto"/>
      </w:divBdr>
      <w:divsChild>
        <w:div w:id="84421357">
          <w:marLeft w:val="0"/>
          <w:marRight w:val="0"/>
          <w:marTop w:val="0"/>
          <w:marBottom w:val="120"/>
          <w:divBdr>
            <w:top w:val="none" w:sz="0" w:space="0" w:color="auto"/>
            <w:left w:val="none" w:sz="0" w:space="0" w:color="auto"/>
            <w:bottom w:val="none" w:sz="0" w:space="0" w:color="auto"/>
            <w:right w:val="none" w:sz="0" w:space="0" w:color="auto"/>
          </w:divBdr>
          <w:divsChild>
            <w:div w:id="61099083">
              <w:marLeft w:val="0"/>
              <w:marRight w:val="0"/>
              <w:marTop w:val="0"/>
              <w:marBottom w:val="0"/>
              <w:divBdr>
                <w:top w:val="none" w:sz="0" w:space="0" w:color="auto"/>
                <w:left w:val="none" w:sz="0" w:space="0" w:color="auto"/>
                <w:bottom w:val="none" w:sz="0" w:space="0" w:color="auto"/>
                <w:right w:val="none" w:sz="0" w:space="0" w:color="auto"/>
              </w:divBdr>
            </w:div>
          </w:divsChild>
        </w:div>
        <w:div w:id="1290042717">
          <w:marLeft w:val="0"/>
          <w:marRight w:val="0"/>
          <w:marTop w:val="0"/>
          <w:marBottom w:val="120"/>
          <w:divBdr>
            <w:top w:val="none" w:sz="0" w:space="0" w:color="auto"/>
            <w:left w:val="none" w:sz="0" w:space="0" w:color="auto"/>
            <w:bottom w:val="none" w:sz="0" w:space="0" w:color="auto"/>
            <w:right w:val="none" w:sz="0" w:space="0" w:color="auto"/>
          </w:divBdr>
          <w:divsChild>
            <w:div w:id="11795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68543">
      <w:bodyDiv w:val="1"/>
      <w:marLeft w:val="0"/>
      <w:marRight w:val="0"/>
      <w:marTop w:val="0"/>
      <w:marBottom w:val="0"/>
      <w:divBdr>
        <w:top w:val="none" w:sz="0" w:space="0" w:color="auto"/>
        <w:left w:val="none" w:sz="0" w:space="0" w:color="auto"/>
        <w:bottom w:val="none" w:sz="0" w:space="0" w:color="auto"/>
        <w:right w:val="none" w:sz="0" w:space="0" w:color="auto"/>
      </w:divBdr>
    </w:div>
    <w:div w:id="1433158893">
      <w:bodyDiv w:val="1"/>
      <w:marLeft w:val="0"/>
      <w:marRight w:val="0"/>
      <w:marTop w:val="0"/>
      <w:marBottom w:val="0"/>
      <w:divBdr>
        <w:top w:val="none" w:sz="0" w:space="0" w:color="auto"/>
        <w:left w:val="none" w:sz="0" w:space="0" w:color="auto"/>
        <w:bottom w:val="none" w:sz="0" w:space="0" w:color="auto"/>
        <w:right w:val="none" w:sz="0" w:space="0" w:color="auto"/>
      </w:divBdr>
    </w:div>
    <w:div w:id="1613239914">
      <w:bodyDiv w:val="1"/>
      <w:marLeft w:val="0"/>
      <w:marRight w:val="0"/>
      <w:marTop w:val="0"/>
      <w:marBottom w:val="0"/>
      <w:divBdr>
        <w:top w:val="none" w:sz="0" w:space="0" w:color="auto"/>
        <w:left w:val="none" w:sz="0" w:space="0" w:color="auto"/>
        <w:bottom w:val="none" w:sz="0" w:space="0" w:color="auto"/>
        <w:right w:val="none" w:sz="0" w:space="0" w:color="auto"/>
      </w:divBdr>
    </w:div>
    <w:div w:id="1759711933">
      <w:bodyDiv w:val="1"/>
      <w:marLeft w:val="0"/>
      <w:marRight w:val="0"/>
      <w:marTop w:val="0"/>
      <w:marBottom w:val="0"/>
      <w:divBdr>
        <w:top w:val="none" w:sz="0" w:space="0" w:color="auto"/>
        <w:left w:val="none" w:sz="0" w:space="0" w:color="auto"/>
        <w:bottom w:val="none" w:sz="0" w:space="0" w:color="auto"/>
        <w:right w:val="none" w:sz="0" w:space="0" w:color="auto"/>
      </w:divBdr>
    </w:div>
    <w:div w:id="198242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81E45EC7-CD5E-47EC-8819-A97A70248C59}">
    <t:Anchor>
      <t:Comment id="149951197"/>
    </t:Anchor>
    <t:History>
      <t:Event id="{01AAB71C-BB54-44A9-812E-A37E6CCA1C11}" time="2022-09-20T21:54:24.779Z">
        <t:Attribution userId="S::nick.dahlberg@cpuc.ca.gov::05ff526c-032d-4b1d-b308-684ae67413ba" userProvider="AD" userName="Dahlberg, Nick"/>
        <t:Anchor>
          <t:Comment id="149951197"/>
        </t:Anchor>
        <t:Create/>
      </t:Event>
      <t:Event id="{FD92A96C-265F-4877-8D88-8A6EB679544E}" time="2022-09-20T21:54:24.779Z">
        <t:Attribution userId="S::nick.dahlberg@cpuc.ca.gov::05ff526c-032d-4b1d-b308-684ae67413ba" userProvider="AD" userName="Dahlberg, Nick"/>
        <t:Anchor>
          <t:Comment id="149951197"/>
        </t:Anchor>
        <t:Assign userId="S::Manisha.Lakhanpal@cpuc.ca.gov::b6ecd085-2f95-4bd8-bbef-25429f54be68" userProvider="AD" userName="Lakhanpal, Manisha"/>
      </t:Event>
      <t:Event id="{2126489A-E470-4A64-897D-175A807DB0CF}" time="2022-09-20T21:54:24.779Z">
        <t:Attribution userId="S::nick.dahlberg@cpuc.ca.gov::05ff526c-032d-4b1d-b308-684ae67413ba" userProvider="AD" userName="Dahlberg, Nick"/>
        <t:Anchor>
          <t:Comment id="149951197"/>
        </t:Anchor>
        <t:SetTitle title="@Lakhanpal, Manisha Judge Lakhanpal, are the changes I made here (and the slight, related changes I made in Section 5.4.1) what you were looking for? I haven't made any changes to COL or FOF.  FYI @Gerstle, Brandon T. @Mackin, Dina 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06f322-3aa4-452a-acdd-a6e6b535267d">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SharedWithUsers>
    <lcf76f155ced4ddcb4097134ff3c332f xmlns="8e5901ec-b161-45b4-a2b9-e2fec7e53931">
      <Terms xmlns="http://schemas.microsoft.com/office/infopath/2007/PartnerControls"/>
    </lcf76f155ced4ddcb4097134ff3c332f>
    <TaxCatchAll xmlns="9906f322-3aa4-452a-acdd-a6e6b53526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3DC6CF16686B4BA2933CFE51EE0CE7" ma:contentTypeVersion="16" ma:contentTypeDescription="Create a new document." ma:contentTypeScope="" ma:versionID="ddaff8b455f2b2eb192f17e2b9c2fc9a">
  <xsd:schema xmlns:xsd="http://www.w3.org/2001/XMLSchema" xmlns:xs="http://www.w3.org/2001/XMLSchema" xmlns:p="http://schemas.microsoft.com/office/2006/metadata/properties" xmlns:ns2="8e5901ec-b161-45b4-a2b9-e2fec7e53931" xmlns:ns3="9906f322-3aa4-452a-acdd-a6e6b535267d" targetNamespace="http://schemas.microsoft.com/office/2006/metadata/properties" ma:root="true" ma:fieldsID="8fdcf9ab4b86c1976a280f112f357892" ns2:_="" ns3:_="">
    <xsd:import namespace="8e5901ec-b161-45b4-a2b9-e2fec7e53931"/>
    <xsd:import namespace="9906f322-3aa4-452a-acdd-a6e6b53526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901ec-b161-45b4-a2b9-e2fec7e53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06f322-3aa4-452a-acdd-a6e6b53526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3fc96-ae02-4939-ae84-adebc40aa377}" ma:internalName="TaxCatchAll" ma:showField="CatchAllData" ma:web="9906f322-3aa4-452a-acdd-a6e6b5352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9906f322-3aa4-452a-acdd-a6e6b535267d"/>
    <ds:schemaRef ds:uri="8e5901ec-b161-45b4-a2b9-e2fec7e53931"/>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1ED24C5-9250-4CB5-9087-F7F2E503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901ec-b161-45b4-a2b9-e2fec7e53931"/>
    <ds:schemaRef ds:uri="9906f322-3aa4-452a-acdd-a6e6b5352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55</ap:Pages>
  <ap:Words>12785</ap:Words>
  <ap:Characters>72877</ap:Characters>
  <ap:Application>Microsoft Office Word</ap:Application>
  <ap:DocSecurity>0</ap:DocSecurity>
  <ap:Lines>607</ap:Lines>
  <ap:Paragraphs>170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85492</ap:CharactersWithSpaces>
  <ap:SharedDoc>false</ap:SharedDoc>
  <ap:HLinks>
    <vt:vector baseType="variant" size="144">
      <vt:variant>
        <vt:i4>1703989</vt:i4>
      </vt:variant>
      <vt:variant>
        <vt:i4>140</vt:i4>
      </vt:variant>
      <vt:variant>
        <vt:i4>0</vt:i4>
      </vt:variant>
      <vt:variant>
        <vt:i4>5</vt:i4>
      </vt:variant>
      <vt:variant>
        <vt:lpwstr/>
      </vt:variant>
      <vt:variant>
        <vt:lpwstr>_Toc114826221</vt:lpwstr>
      </vt:variant>
      <vt:variant>
        <vt:i4>1703989</vt:i4>
      </vt:variant>
      <vt:variant>
        <vt:i4>134</vt:i4>
      </vt:variant>
      <vt:variant>
        <vt:i4>0</vt:i4>
      </vt:variant>
      <vt:variant>
        <vt:i4>5</vt:i4>
      </vt:variant>
      <vt:variant>
        <vt:lpwstr/>
      </vt:variant>
      <vt:variant>
        <vt:lpwstr>_Toc114826220</vt:lpwstr>
      </vt:variant>
      <vt:variant>
        <vt:i4>1638453</vt:i4>
      </vt:variant>
      <vt:variant>
        <vt:i4>128</vt:i4>
      </vt:variant>
      <vt:variant>
        <vt:i4>0</vt:i4>
      </vt:variant>
      <vt:variant>
        <vt:i4>5</vt:i4>
      </vt:variant>
      <vt:variant>
        <vt:lpwstr/>
      </vt:variant>
      <vt:variant>
        <vt:lpwstr>_Toc114826219</vt:lpwstr>
      </vt:variant>
      <vt:variant>
        <vt:i4>1638453</vt:i4>
      </vt:variant>
      <vt:variant>
        <vt:i4>122</vt:i4>
      </vt:variant>
      <vt:variant>
        <vt:i4>0</vt:i4>
      </vt:variant>
      <vt:variant>
        <vt:i4>5</vt:i4>
      </vt:variant>
      <vt:variant>
        <vt:lpwstr/>
      </vt:variant>
      <vt:variant>
        <vt:lpwstr>_Toc114826218</vt:lpwstr>
      </vt:variant>
      <vt:variant>
        <vt:i4>1638453</vt:i4>
      </vt:variant>
      <vt:variant>
        <vt:i4>116</vt:i4>
      </vt:variant>
      <vt:variant>
        <vt:i4>0</vt:i4>
      </vt:variant>
      <vt:variant>
        <vt:i4>5</vt:i4>
      </vt:variant>
      <vt:variant>
        <vt:lpwstr/>
      </vt:variant>
      <vt:variant>
        <vt:lpwstr>_Toc114826217</vt:lpwstr>
      </vt:variant>
      <vt:variant>
        <vt:i4>1638453</vt:i4>
      </vt:variant>
      <vt:variant>
        <vt:i4>110</vt:i4>
      </vt:variant>
      <vt:variant>
        <vt:i4>0</vt:i4>
      </vt:variant>
      <vt:variant>
        <vt:i4>5</vt:i4>
      </vt:variant>
      <vt:variant>
        <vt:lpwstr/>
      </vt:variant>
      <vt:variant>
        <vt:lpwstr>_Toc114826216</vt:lpwstr>
      </vt:variant>
      <vt:variant>
        <vt:i4>1638453</vt:i4>
      </vt:variant>
      <vt:variant>
        <vt:i4>104</vt:i4>
      </vt:variant>
      <vt:variant>
        <vt:i4>0</vt:i4>
      </vt:variant>
      <vt:variant>
        <vt:i4>5</vt:i4>
      </vt:variant>
      <vt:variant>
        <vt:lpwstr/>
      </vt:variant>
      <vt:variant>
        <vt:lpwstr>_Toc114826215</vt:lpwstr>
      </vt:variant>
      <vt:variant>
        <vt:i4>1638453</vt:i4>
      </vt:variant>
      <vt:variant>
        <vt:i4>98</vt:i4>
      </vt:variant>
      <vt:variant>
        <vt:i4>0</vt:i4>
      </vt:variant>
      <vt:variant>
        <vt:i4>5</vt:i4>
      </vt:variant>
      <vt:variant>
        <vt:lpwstr/>
      </vt:variant>
      <vt:variant>
        <vt:lpwstr>_Toc114826214</vt:lpwstr>
      </vt:variant>
      <vt:variant>
        <vt:i4>1638453</vt:i4>
      </vt:variant>
      <vt:variant>
        <vt:i4>92</vt:i4>
      </vt:variant>
      <vt:variant>
        <vt:i4>0</vt:i4>
      </vt:variant>
      <vt:variant>
        <vt:i4>5</vt:i4>
      </vt:variant>
      <vt:variant>
        <vt:lpwstr/>
      </vt:variant>
      <vt:variant>
        <vt:lpwstr>_Toc114826213</vt:lpwstr>
      </vt:variant>
      <vt:variant>
        <vt:i4>1638453</vt:i4>
      </vt:variant>
      <vt:variant>
        <vt:i4>86</vt:i4>
      </vt:variant>
      <vt:variant>
        <vt:i4>0</vt:i4>
      </vt:variant>
      <vt:variant>
        <vt:i4>5</vt:i4>
      </vt:variant>
      <vt:variant>
        <vt:lpwstr/>
      </vt:variant>
      <vt:variant>
        <vt:lpwstr>_Toc114826212</vt:lpwstr>
      </vt:variant>
      <vt:variant>
        <vt:i4>1638453</vt:i4>
      </vt:variant>
      <vt:variant>
        <vt:i4>80</vt:i4>
      </vt:variant>
      <vt:variant>
        <vt:i4>0</vt:i4>
      </vt:variant>
      <vt:variant>
        <vt:i4>5</vt:i4>
      </vt:variant>
      <vt:variant>
        <vt:lpwstr/>
      </vt:variant>
      <vt:variant>
        <vt:lpwstr>_Toc114826211</vt:lpwstr>
      </vt:variant>
      <vt:variant>
        <vt:i4>1638453</vt:i4>
      </vt:variant>
      <vt:variant>
        <vt:i4>74</vt:i4>
      </vt:variant>
      <vt:variant>
        <vt:i4>0</vt:i4>
      </vt:variant>
      <vt:variant>
        <vt:i4>5</vt:i4>
      </vt:variant>
      <vt:variant>
        <vt:lpwstr/>
      </vt:variant>
      <vt:variant>
        <vt:lpwstr>_Toc114826210</vt:lpwstr>
      </vt:variant>
      <vt:variant>
        <vt:i4>1572917</vt:i4>
      </vt:variant>
      <vt:variant>
        <vt:i4>68</vt:i4>
      </vt:variant>
      <vt:variant>
        <vt:i4>0</vt:i4>
      </vt:variant>
      <vt:variant>
        <vt:i4>5</vt:i4>
      </vt:variant>
      <vt:variant>
        <vt:lpwstr/>
      </vt:variant>
      <vt:variant>
        <vt:lpwstr>_Toc114826209</vt:lpwstr>
      </vt:variant>
      <vt:variant>
        <vt:i4>1572917</vt:i4>
      </vt:variant>
      <vt:variant>
        <vt:i4>62</vt:i4>
      </vt:variant>
      <vt:variant>
        <vt:i4>0</vt:i4>
      </vt:variant>
      <vt:variant>
        <vt:i4>5</vt:i4>
      </vt:variant>
      <vt:variant>
        <vt:lpwstr/>
      </vt:variant>
      <vt:variant>
        <vt:lpwstr>_Toc114826208</vt:lpwstr>
      </vt:variant>
      <vt:variant>
        <vt:i4>1572917</vt:i4>
      </vt:variant>
      <vt:variant>
        <vt:i4>56</vt:i4>
      </vt:variant>
      <vt:variant>
        <vt:i4>0</vt:i4>
      </vt:variant>
      <vt:variant>
        <vt:i4>5</vt:i4>
      </vt:variant>
      <vt:variant>
        <vt:lpwstr/>
      </vt:variant>
      <vt:variant>
        <vt:lpwstr>_Toc114826207</vt:lpwstr>
      </vt:variant>
      <vt:variant>
        <vt:i4>1572917</vt:i4>
      </vt:variant>
      <vt:variant>
        <vt:i4>50</vt:i4>
      </vt:variant>
      <vt:variant>
        <vt:i4>0</vt:i4>
      </vt:variant>
      <vt:variant>
        <vt:i4>5</vt:i4>
      </vt:variant>
      <vt:variant>
        <vt:lpwstr/>
      </vt:variant>
      <vt:variant>
        <vt:lpwstr>_Toc114826206</vt:lpwstr>
      </vt:variant>
      <vt:variant>
        <vt:i4>1572917</vt:i4>
      </vt:variant>
      <vt:variant>
        <vt:i4>44</vt:i4>
      </vt:variant>
      <vt:variant>
        <vt:i4>0</vt:i4>
      </vt:variant>
      <vt:variant>
        <vt:i4>5</vt:i4>
      </vt:variant>
      <vt:variant>
        <vt:lpwstr/>
      </vt:variant>
      <vt:variant>
        <vt:lpwstr>_Toc114826205</vt:lpwstr>
      </vt:variant>
      <vt:variant>
        <vt:i4>1572917</vt:i4>
      </vt:variant>
      <vt:variant>
        <vt:i4>38</vt:i4>
      </vt:variant>
      <vt:variant>
        <vt:i4>0</vt:i4>
      </vt:variant>
      <vt:variant>
        <vt:i4>5</vt:i4>
      </vt:variant>
      <vt:variant>
        <vt:lpwstr/>
      </vt:variant>
      <vt:variant>
        <vt:lpwstr>_Toc114826204</vt:lpwstr>
      </vt:variant>
      <vt:variant>
        <vt:i4>1572917</vt:i4>
      </vt:variant>
      <vt:variant>
        <vt:i4>32</vt:i4>
      </vt:variant>
      <vt:variant>
        <vt:i4>0</vt:i4>
      </vt:variant>
      <vt:variant>
        <vt:i4>5</vt:i4>
      </vt:variant>
      <vt:variant>
        <vt:lpwstr/>
      </vt:variant>
      <vt:variant>
        <vt:lpwstr>_Toc114826203</vt:lpwstr>
      </vt:variant>
      <vt:variant>
        <vt:i4>1572917</vt:i4>
      </vt:variant>
      <vt:variant>
        <vt:i4>26</vt:i4>
      </vt:variant>
      <vt:variant>
        <vt:i4>0</vt:i4>
      </vt:variant>
      <vt:variant>
        <vt:i4>5</vt:i4>
      </vt:variant>
      <vt:variant>
        <vt:lpwstr/>
      </vt:variant>
      <vt:variant>
        <vt:lpwstr>_Toc114826202</vt:lpwstr>
      </vt:variant>
      <vt:variant>
        <vt:i4>1572917</vt:i4>
      </vt:variant>
      <vt:variant>
        <vt:i4>20</vt:i4>
      </vt:variant>
      <vt:variant>
        <vt:i4>0</vt:i4>
      </vt:variant>
      <vt:variant>
        <vt:i4>5</vt:i4>
      </vt:variant>
      <vt:variant>
        <vt:lpwstr/>
      </vt:variant>
      <vt:variant>
        <vt:lpwstr>_Toc114826201</vt:lpwstr>
      </vt:variant>
      <vt:variant>
        <vt:i4>1572917</vt:i4>
      </vt:variant>
      <vt:variant>
        <vt:i4>14</vt:i4>
      </vt:variant>
      <vt:variant>
        <vt:i4>0</vt:i4>
      </vt:variant>
      <vt:variant>
        <vt:i4>5</vt:i4>
      </vt:variant>
      <vt:variant>
        <vt:lpwstr/>
      </vt:variant>
      <vt:variant>
        <vt:lpwstr>_Toc114826200</vt:lpwstr>
      </vt:variant>
      <vt:variant>
        <vt:i4>1114166</vt:i4>
      </vt:variant>
      <vt:variant>
        <vt:i4>8</vt:i4>
      </vt:variant>
      <vt:variant>
        <vt:i4>0</vt:i4>
      </vt:variant>
      <vt:variant>
        <vt:i4>5</vt:i4>
      </vt:variant>
      <vt:variant>
        <vt:lpwstr/>
      </vt:variant>
      <vt:variant>
        <vt:lpwstr>_Toc114826199</vt:lpwstr>
      </vt:variant>
      <vt:variant>
        <vt:i4>1114166</vt:i4>
      </vt:variant>
      <vt:variant>
        <vt:i4>2</vt:i4>
      </vt:variant>
      <vt:variant>
        <vt:i4>0</vt:i4>
      </vt:variant>
      <vt:variant>
        <vt:i4>5</vt:i4>
      </vt:variant>
      <vt:variant>
        <vt:lpwstr/>
      </vt:variant>
      <vt:variant>
        <vt:lpwstr>_Toc114826198</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2022-11-16T17:44:00Z</cp:lastPrinted>
  <dcterms:created xsi:type="dcterms:W3CDTF">2022-11-18T10:42:02Z</dcterms:created>
  <dcterms:modified xsi:type="dcterms:W3CDTF">2022-11-18T10:42:02Z</dcterms:modified>
</cp:coreProperties>
</file>