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25B7" w:rsidR="00CF17DE" w:rsidP="0DEDA953" w:rsidRDefault="00CF17DE" w14:paraId="70BEAF91" w14:textId="77777777">
      <w:pPr>
        <w:pStyle w:val="titlebar"/>
        <w:ind w:firstLine="720"/>
        <w:rPr>
          <w:rFonts w:ascii="Times New Roman" w:hAnsi="Times New Roman"/>
          <w:szCs w:val="26"/>
        </w:rPr>
      </w:pPr>
      <w:r w:rsidRPr="005525B7">
        <w:rPr>
          <w:rFonts w:ascii="Times New Roman" w:hAnsi="Times New Roman"/>
          <w:szCs w:val="26"/>
        </w:rPr>
        <w:t>PUBLIC UTILITIES COMMISSION OF THE STATE OF CALIFORNIA</w:t>
      </w:r>
    </w:p>
    <w:p w:rsidRPr="005525B7" w:rsidR="00CF17DE" w:rsidRDefault="00CF17DE" w14:paraId="5E624470" w14:textId="77777777">
      <w:pPr>
        <w:suppressAutoHyphens/>
        <w:rPr>
          <w:rFonts w:ascii="Times New Roman" w:hAnsi="Times New Roman"/>
          <w:szCs w:val="26"/>
        </w:rPr>
      </w:pPr>
    </w:p>
    <w:p w:rsidRPr="005525B7" w:rsidR="00CF17DE" w:rsidRDefault="00A42CA3" w14:paraId="7AE852C7" w14:textId="3EB2FD01">
      <w:pPr>
        <w:rPr>
          <w:rFonts w:ascii="Times New Roman" w:hAnsi="Times New Roman"/>
          <w:b/>
          <w:szCs w:val="26"/>
        </w:rPr>
      </w:pPr>
      <w:r w:rsidRPr="005525B7">
        <w:rPr>
          <w:rFonts w:ascii="Times New Roman" w:hAnsi="Times New Roman"/>
          <w:b/>
          <w:szCs w:val="26"/>
        </w:rPr>
        <w:t>Executive Division</w:t>
      </w:r>
      <w:r w:rsidRPr="005525B7" w:rsidR="00593807">
        <w:rPr>
          <w:rFonts w:ascii="Times New Roman" w:hAnsi="Times New Roman"/>
          <w:b/>
          <w:szCs w:val="26"/>
        </w:rPr>
        <w:tab/>
      </w:r>
      <w:r w:rsidRPr="005525B7" w:rsidR="00593807">
        <w:rPr>
          <w:rFonts w:ascii="Times New Roman" w:hAnsi="Times New Roman"/>
          <w:b/>
          <w:szCs w:val="26"/>
        </w:rPr>
        <w:tab/>
      </w:r>
      <w:r w:rsidRPr="005525B7" w:rsidR="00593807">
        <w:rPr>
          <w:rFonts w:ascii="Times New Roman" w:hAnsi="Times New Roman"/>
          <w:b/>
          <w:szCs w:val="26"/>
        </w:rPr>
        <w:tab/>
      </w:r>
      <w:r w:rsidRPr="005525B7" w:rsidR="00593807">
        <w:rPr>
          <w:rFonts w:ascii="Times New Roman" w:hAnsi="Times New Roman"/>
          <w:b/>
          <w:szCs w:val="26"/>
        </w:rPr>
        <w:tab/>
      </w:r>
      <w:r w:rsidRPr="005525B7" w:rsidR="00593807">
        <w:rPr>
          <w:rFonts w:ascii="Times New Roman" w:hAnsi="Times New Roman"/>
          <w:b/>
          <w:szCs w:val="26"/>
        </w:rPr>
        <w:tab/>
      </w:r>
      <w:r w:rsidRPr="005525B7" w:rsidR="006D077E">
        <w:rPr>
          <w:rFonts w:ascii="Times New Roman" w:hAnsi="Times New Roman"/>
          <w:b/>
          <w:szCs w:val="26"/>
        </w:rPr>
        <w:tab/>
      </w:r>
      <w:r w:rsidRPr="005525B7" w:rsidR="006D077E">
        <w:rPr>
          <w:rFonts w:ascii="Times New Roman" w:hAnsi="Times New Roman"/>
          <w:b/>
          <w:szCs w:val="26"/>
        </w:rPr>
        <w:tab/>
      </w:r>
      <w:r w:rsidRPr="005525B7" w:rsidR="00CF17DE">
        <w:rPr>
          <w:rFonts w:ascii="Times New Roman" w:hAnsi="Times New Roman"/>
          <w:b/>
          <w:szCs w:val="26"/>
        </w:rPr>
        <w:t xml:space="preserve">RESOLUTION </w:t>
      </w:r>
      <w:r w:rsidRPr="005525B7" w:rsidR="00E76BF3">
        <w:rPr>
          <w:rFonts w:ascii="Times New Roman" w:hAnsi="Times New Roman"/>
          <w:b/>
          <w:szCs w:val="26"/>
        </w:rPr>
        <w:t>M-4864</w:t>
      </w:r>
    </w:p>
    <w:p w:rsidRPr="005525B7" w:rsidR="00CF17DE" w:rsidRDefault="00CF17DE" w14:paraId="061A7957" w14:textId="133E0C0E">
      <w:pPr>
        <w:tabs>
          <w:tab w:val="right" w:pos="8910"/>
        </w:tabs>
        <w:ind w:left="1440" w:firstLine="720"/>
        <w:rPr>
          <w:rFonts w:ascii="Times New Roman" w:hAnsi="Times New Roman"/>
          <w:b/>
          <w:szCs w:val="26"/>
        </w:rPr>
      </w:pPr>
      <w:r w:rsidRPr="005525B7">
        <w:rPr>
          <w:rFonts w:ascii="Times New Roman" w:hAnsi="Times New Roman"/>
          <w:b/>
          <w:szCs w:val="26"/>
        </w:rPr>
        <w:tab/>
      </w:r>
      <w:r w:rsidR="008E4EC6">
        <w:rPr>
          <w:rFonts w:ascii="Times New Roman" w:hAnsi="Times New Roman"/>
          <w:b/>
          <w:szCs w:val="26"/>
        </w:rPr>
        <w:t>December 1</w:t>
      </w:r>
      <w:r w:rsidRPr="005525B7" w:rsidR="006D077E">
        <w:rPr>
          <w:rFonts w:ascii="Times New Roman" w:hAnsi="Times New Roman"/>
          <w:b/>
          <w:szCs w:val="26"/>
        </w:rPr>
        <w:t>, 2022</w:t>
      </w:r>
    </w:p>
    <w:p w:rsidRPr="005525B7" w:rsidR="006D077E" w:rsidP="006D077E" w:rsidRDefault="006D077E" w14:paraId="0A8763FC" w14:textId="77777777">
      <w:pPr>
        <w:tabs>
          <w:tab w:val="right" w:pos="8910"/>
        </w:tabs>
        <w:rPr>
          <w:rFonts w:ascii="Times New Roman" w:hAnsi="Times New Roman"/>
          <w:b/>
          <w:szCs w:val="26"/>
        </w:rPr>
      </w:pPr>
    </w:p>
    <w:p w:rsidRPr="005525B7" w:rsidR="00CF17DE" w:rsidRDefault="00CF17DE" w14:paraId="40ADBA19" w14:textId="1235F9D9">
      <w:pPr>
        <w:pStyle w:val="mainex"/>
        <w:rPr>
          <w:rFonts w:ascii="Times New Roman" w:hAnsi="Times New Roman"/>
          <w:szCs w:val="26"/>
          <w:u w:val="single"/>
        </w:rPr>
      </w:pPr>
      <w:bookmarkStart w:name="_Ref404993683" w:id="0"/>
      <w:r w:rsidRPr="005525B7">
        <w:rPr>
          <w:rFonts w:ascii="Times New Roman" w:hAnsi="Times New Roman"/>
          <w:szCs w:val="26"/>
          <w:u w:val="single"/>
        </w:rPr>
        <w:t>RESOLUTION</w:t>
      </w:r>
    </w:p>
    <w:p w:rsidRPr="005525B7" w:rsidR="00CF17DE" w:rsidRDefault="00CF17DE" w14:paraId="63C93376" w14:textId="77777777">
      <w:pPr>
        <w:rPr>
          <w:rFonts w:ascii="Times New Roman" w:hAnsi="Times New Roman"/>
          <w:szCs w:val="26"/>
        </w:rPr>
      </w:pPr>
    </w:p>
    <w:p w:rsidRPr="005525B7" w:rsidR="009E5EA2" w:rsidP="009E5EA2" w:rsidRDefault="004B0824" w14:paraId="038C5719" w14:textId="07A5C31A">
      <w:pPr>
        <w:pStyle w:val="Res-Caption"/>
        <w:ind w:right="810"/>
        <w:rPr>
          <w:rFonts w:ascii="Times New Roman" w:hAnsi="Times New Roman"/>
          <w:b/>
          <w:bCs/>
          <w:szCs w:val="26"/>
        </w:rPr>
      </w:pPr>
      <w:r w:rsidRPr="005525B7">
        <w:rPr>
          <w:rFonts w:ascii="Times New Roman" w:hAnsi="Times New Roman"/>
          <w:b/>
          <w:bCs/>
          <w:szCs w:val="26"/>
        </w:rPr>
        <w:t>RESOLUTION M-</w:t>
      </w:r>
      <w:r w:rsidRPr="005525B7" w:rsidR="00E76BF3">
        <w:rPr>
          <w:rFonts w:ascii="Times New Roman" w:hAnsi="Times New Roman"/>
          <w:b/>
          <w:bCs/>
          <w:szCs w:val="26"/>
        </w:rPr>
        <w:t>4864</w:t>
      </w:r>
      <w:r w:rsidRPr="005525B7">
        <w:rPr>
          <w:rFonts w:ascii="Times New Roman" w:hAnsi="Times New Roman"/>
          <w:b/>
          <w:bCs/>
          <w:szCs w:val="26"/>
        </w:rPr>
        <w:t>: AUTHORIZING PACIFIC GAS AND ELECTRIC COMPANY TO EXIT STEP 1 OF THE “ENHANCED OVERSIGHT AND ENFORCEMENT PROCESS” ADOPTED IN DECISION 20-05-053</w:t>
      </w:r>
      <w:r w:rsidRPr="005525B7" w:rsidR="009E5EA2">
        <w:rPr>
          <w:rFonts w:ascii="Times New Roman" w:hAnsi="Times New Roman"/>
          <w:b/>
          <w:bCs/>
          <w:szCs w:val="26"/>
        </w:rPr>
        <w:t xml:space="preserve">. </w:t>
      </w:r>
    </w:p>
    <w:p w:rsidRPr="00FF457C" w:rsidR="00B927B5" w:rsidP="00FF457C" w:rsidRDefault="00B927B5" w14:paraId="38C822AA" w14:textId="2891DB11">
      <w:pPr>
        <w:pStyle w:val="Res-Caption"/>
        <w:pBdr>
          <w:bottom w:val="single" w:color="auto" w:sz="4" w:space="1"/>
        </w:pBdr>
        <w:rPr>
          <w:rFonts w:ascii="Times New Roman" w:hAnsi="Times New Roman"/>
          <w:szCs w:val="26"/>
        </w:rPr>
      </w:pPr>
    </w:p>
    <w:p w:rsidR="00801D70" w:rsidRDefault="00801D70" w14:paraId="70E6A3B4" w14:textId="70FA5FB5">
      <w:pPr>
        <w:pStyle w:val="Res-Caption"/>
        <w:rPr>
          <w:rFonts w:ascii="Times New Roman" w:hAnsi="Times New Roman"/>
          <w:szCs w:val="26"/>
        </w:rPr>
      </w:pPr>
    </w:p>
    <w:p w:rsidRPr="005525B7" w:rsidR="00FF457C" w:rsidRDefault="00FF457C" w14:paraId="5036A8E0" w14:textId="77777777">
      <w:pPr>
        <w:pStyle w:val="Res-Caption"/>
        <w:rPr>
          <w:rFonts w:ascii="Times New Roman" w:hAnsi="Times New Roman"/>
          <w:szCs w:val="26"/>
        </w:rPr>
      </w:pPr>
    </w:p>
    <w:p w:rsidRPr="005525B7" w:rsidR="00DF35CC" w:rsidP="00DF35CC" w:rsidRDefault="00801D70" w14:paraId="5B232953" w14:textId="77777777">
      <w:pPr>
        <w:pStyle w:val="Res-Caption"/>
        <w:rPr>
          <w:rFonts w:ascii="Times New Roman" w:hAnsi="Times New Roman"/>
          <w:szCs w:val="26"/>
        </w:rPr>
      </w:pPr>
      <w:r w:rsidRPr="005525B7">
        <w:rPr>
          <w:rFonts w:ascii="Times New Roman" w:hAnsi="Times New Roman"/>
          <w:szCs w:val="26"/>
        </w:rPr>
        <w:t>PROPOSED OUTCOME:</w:t>
      </w:r>
      <w:r w:rsidRPr="005525B7" w:rsidR="00142FB8">
        <w:rPr>
          <w:rFonts w:ascii="Times New Roman" w:hAnsi="Times New Roman"/>
          <w:szCs w:val="26"/>
        </w:rPr>
        <w:t xml:space="preserve"> </w:t>
      </w:r>
    </w:p>
    <w:p w:rsidRPr="005525B7" w:rsidR="00F02E51" w:rsidP="00CB4976" w:rsidRDefault="00E7206C" w14:paraId="212EE99F" w14:textId="2FF54779">
      <w:pPr>
        <w:pStyle w:val="Res-Caption"/>
        <w:numPr>
          <w:ilvl w:val="0"/>
          <w:numId w:val="7"/>
        </w:numPr>
        <w:ind w:left="1080" w:right="1440"/>
        <w:rPr>
          <w:rFonts w:ascii="Times New Roman" w:hAnsi="Times New Roman"/>
          <w:szCs w:val="26"/>
        </w:rPr>
      </w:pPr>
      <w:r w:rsidRPr="005525B7">
        <w:rPr>
          <w:rFonts w:ascii="Times New Roman" w:hAnsi="Times New Roman"/>
          <w:szCs w:val="26"/>
        </w:rPr>
        <w:t>Authorizes</w:t>
      </w:r>
      <w:r w:rsidRPr="005525B7" w:rsidR="00045F88">
        <w:rPr>
          <w:rFonts w:ascii="Times New Roman" w:hAnsi="Times New Roman"/>
          <w:szCs w:val="26"/>
        </w:rPr>
        <w:t xml:space="preserve"> Pacific </w:t>
      </w:r>
      <w:r w:rsidRPr="005525B7" w:rsidR="008B6838">
        <w:rPr>
          <w:rFonts w:ascii="Times New Roman" w:hAnsi="Times New Roman"/>
          <w:szCs w:val="26"/>
        </w:rPr>
        <w:t>Gas and Electric (PG&amp;E)</w:t>
      </w:r>
      <w:r w:rsidRPr="005525B7" w:rsidR="00045F88">
        <w:rPr>
          <w:rFonts w:ascii="Times New Roman" w:hAnsi="Times New Roman"/>
          <w:szCs w:val="26"/>
        </w:rPr>
        <w:t xml:space="preserve"> exit from </w:t>
      </w:r>
      <w:r w:rsidRPr="005525B7" w:rsidR="00F03E6D">
        <w:rPr>
          <w:rFonts w:ascii="Times New Roman" w:hAnsi="Times New Roman"/>
          <w:szCs w:val="26"/>
        </w:rPr>
        <w:t xml:space="preserve">Step 1 </w:t>
      </w:r>
      <w:r w:rsidRPr="005525B7" w:rsidR="006E02D7">
        <w:rPr>
          <w:rFonts w:ascii="Times New Roman" w:hAnsi="Times New Roman"/>
          <w:szCs w:val="26"/>
        </w:rPr>
        <w:t xml:space="preserve">of the </w:t>
      </w:r>
      <w:r w:rsidRPr="005525B7" w:rsidR="00C14CA8">
        <w:rPr>
          <w:rFonts w:ascii="Times New Roman" w:hAnsi="Times New Roman"/>
          <w:szCs w:val="26"/>
        </w:rPr>
        <w:t>Enhanced Oversight and Enforcement</w:t>
      </w:r>
      <w:r w:rsidRPr="005525B7" w:rsidR="00AD3C95">
        <w:rPr>
          <w:rFonts w:ascii="Times New Roman" w:hAnsi="Times New Roman"/>
          <w:szCs w:val="26"/>
        </w:rPr>
        <w:t xml:space="preserve"> </w:t>
      </w:r>
      <w:r w:rsidRPr="005525B7" w:rsidR="001A0B38">
        <w:rPr>
          <w:rFonts w:ascii="Times New Roman" w:hAnsi="Times New Roman"/>
          <w:szCs w:val="26"/>
        </w:rPr>
        <w:t xml:space="preserve">Process </w:t>
      </w:r>
      <w:r w:rsidRPr="005525B7" w:rsidR="00AD3C95">
        <w:rPr>
          <w:rFonts w:ascii="Times New Roman" w:hAnsi="Times New Roman"/>
          <w:szCs w:val="26"/>
        </w:rPr>
        <w:t xml:space="preserve">as specified </w:t>
      </w:r>
      <w:r w:rsidRPr="005525B7" w:rsidR="00D14C50">
        <w:rPr>
          <w:rFonts w:ascii="Times New Roman" w:hAnsi="Times New Roman"/>
          <w:szCs w:val="26"/>
        </w:rPr>
        <w:t>i</w:t>
      </w:r>
      <w:r w:rsidRPr="005525B7" w:rsidR="00AD3C95">
        <w:rPr>
          <w:rFonts w:ascii="Times New Roman" w:hAnsi="Times New Roman"/>
          <w:szCs w:val="26"/>
        </w:rPr>
        <w:t>n Resolution M-</w:t>
      </w:r>
      <w:r w:rsidRPr="005525B7" w:rsidR="00D14C50">
        <w:rPr>
          <w:rFonts w:ascii="Times New Roman" w:hAnsi="Times New Roman"/>
          <w:szCs w:val="26"/>
        </w:rPr>
        <w:t>4852</w:t>
      </w:r>
      <w:r w:rsidRPr="005525B7" w:rsidR="00C36CA2">
        <w:rPr>
          <w:rFonts w:ascii="Times New Roman" w:hAnsi="Times New Roman"/>
          <w:szCs w:val="26"/>
        </w:rPr>
        <w:t xml:space="preserve"> </w:t>
      </w:r>
      <w:r w:rsidRPr="005525B7" w:rsidR="00C36CA2">
        <w:rPr>
          <w:rStyle w:val="normaltextrun"/>
          <w:rFonts w:ascii="Times New Roman" w:hAnsi="Times New Roman"/>
          <w:color w:val="000000"/>
          <w:szCs w:val="26"/>
          <w:shd w:val="clear" w:color="auto" w:fill="FFFFFF"/>
        </w:rPr>
        <w:t>in accordance with Commission Decision (D.) 20-05-053</w:t>
      </w:r>
      <w:r w:rsidRPr="005525B7" w:rsidR="00D44F5F">
        <w:rPr>
          <w:rFonts w:ascii="Times New Roman" w:hAnsi="Times New Roman"/>
          <w:szCs w:val="26"/>
        </w:rPr>
        <w:t>.</w:t>
      </w:r>
    </w:p>
    <w:p w:rsidRPr="005525B7" w:rsidR="00F51F8B" w:rsidRDefault="00F51F8B" w14:paraId="65BE5ED4" w14:textId="77777777">
      <w:pPr>
        <w:pStyle w:val="Res-Caption"/>
        <w:rPr>
          <w:rFonts w:ascii="Times New Roman" w:hAnsi="Times New Roman"/>
          <w:szCs w:val="26"/>
        </w:rPr>
      </w:pPr>
    </w:p>
    <w:p w:rsidRPr="005525B7" w:rsidR="00F51F8B" w:rsidRDefault="00F51F8B" w14:paraId="5348E825" w14:textId="77777777">
      <w:pPr>
        <w:pStyle w:val="Res-Caption"/>
        <w:rPr>
          <w:rFonts w:ascii="Times New Roman" w:hAnsi="Times New Roman"/>
          <w:szCs w:val="26"/>
        </w:rPr>
      </w:pPr>
      <w:r w:rsidRPr="005525B7">
        <w:rPr>
          <w:rFonts w:ascii="Times New Roman" w:hAnsi="Times New Roman"/>
          <w:szCs w:val="26"/>
        </w:rPr>
        <w:t>SAFETY CONSIDERATIONS:</w:t>
      </w:r>
    </w:p>
    <w:p w:rsidRPr="005525B7" w:rsidR="00142FB8" w:rsidP="00CB4976" w:rsidRDefault="00A32EDD" w14:paraId="2EFEBA52" w14:textId="01FD0DBD">
      <w:pPr>
        <w:pStyle w:val="Res-Caption"/>
        <w:numPr>
          <w:ilvl w:val="0"/>
          <w:numId w:val="6"/>
        </w:numPr>
        <w:ind w:left="1080" w:right="1440"/>
        <w:rPr>
          <w:rFonts w:ascii="Times New Roman" w:hAnsi="Times New Roman"/>
          <w:szCs w:val="26"/>
        </w:rPr>
      </w:pPr>
      <w:r w:rsidRPr="005525B7">
        <w:rPr>
          <w:rFonts w:ascii="Times New Roman" w:hAnsi="Times New Roman"/>
          <w:szCs w:val="26"/>
        </w:rPr>
        <w:t xml:space="preserve">Proper vegetation management focused on mitigating the highest </w:t>
      </w:r>
      <w:r w:rsidRPr="005525B7" w:rsidR="005F434E">
        <w:rPr>
          <w:rFonts w:ascii="Times New Roman" w:hAnsi="Times New Roman"/>
          <w:szCs w:val="26"/>
        </w:rPr>
        <w:t>wildfire risk first is essential to public safety and mi</w:t>
      </w:r>
      <w:r w:rsidRPr="005525B7" w:rsidR="0088687F">
        <w:rPr>
          <w:rFonts w:ascii="Times New Roman" w:hAnsi="Times New Roman"/>
          <w:szCs w:val="26"/>
        </w:rPr>
        <w:t>ti</w:t>
      </w:r>
      <w:r w:rsidRPr="005525B7" w:rsidR="005F434E">
        <w:rPr>
          <w:rFonts w:ascii="Times New Roman" w:hAnsi="Times New Roman"/>
          <w:szCs w:val="26"/>
        </w:rPr>
        <w:t>gation of catastrophic wildfire.</w:t>
      </w:r>
      <w:r w:rsidRPr="005525B7" w:rsidR="003F6E5A">
        <w:rPr>
          <w:rFonts w:ascii="Times New Roman" w:hAnsi="Times New Roman"/>
          <w:szCs w:val="26"/>
        </w:rPr>
        <w:t xml:space="preserve"> </w:t>
      </w:r>
    </w:p>
    <w:p w:rsidRPr="005525B7" w:rsidR="00801D70" w:rsidRDefault="00801D70" w14:paraId="664CBB61" w14:textId="77777777">
      <w:pPr>
        <w:pStyle w:val="Res-Caption"/>
        <w:rPr>
          <w:rFonts w:ascii="Times New Roman" w:hAnsi="Times New Roman"/>
          <w:szCs w:val="26"/>
        </w:rPr>
      </w:pPr>
    </w:p>
    <w:p w:rsidRPr="005525B7" w:rsidR="00801D70" w:rsidRDefault="00801D70" w14:paraId="28BD615D" w14:textId="77777777">
      <w:pPr>
        <w:pStyle w:val="Res-Caption"/>
        <w:rPr>
          <w:rFonts w:ascii="Times New Roman" w:hAnsi="Times New Roman"/>
          <w:szCs w:val="26"/>
        </w:rPr>
      </w:pPr>
      <w:r w:rsidRPr="005525B7">
        <w:rPr>
          <w:rFonts w:ascii="Times New Roman" w:hAnsi="Times New Roman"/>
          <w:szCs w:val="26"/>
        </w:rPr>
        <w:t xml:space="preserve">ESTIMATED COST:  </w:t>
      </w:r>
    </w:p>
    <w:p w:rsidRPr="005525B7" w:rsidR="00F035F2" w:rsidP="00CB4976" w:rsidRDefault="002473A2" w14:paraId="07CA9765" w14:textId="77777777">
      <w:pPr>
        <w:pStyle w:val="Res-Caption"/>
        <w:numPr>
          <w:ilvl w:val="0"/>
          <w:numId w:val="6"/>
        </w:numPr>
        <w:ind w:left="1080"/>
        <w:rPr>
          <w:rFonts w:ascii="Times New Roman" w:hAnsi="Times New Roman"/>
          <w:szCs w:val="26"/>
        </w:rPr>
      </w:pPr>
      <w:r w:rsidRPr="005525B7">
        <w:rPr>
          <w:rFonts w:ascii="Times New Roman" w:hAnsi="Times New Roman"/>
          <w:szCs w:val="26"/>
        </w:rPr>
        <w:t xml:space="preserve">There are no costs associated with this resolution. </w:t>
      </w:r>
    </w:p>
    <w:p w:rsidRPr="005525B7" w:rsidR="00CF17DE" w:rsidRDefault="00CF17DE" w14:paraId="414B5F5B" w14:textId="77777777">
      <w:pPr>
        <w:pStyle w:val="Res-Caption"/>
        <w:rPr>
          <w:rFonts w:ascii="Times New Roman" w:hAnsi="Times New Roman"/>
          <w:szCs w:val="26"/>
        </w:rPr>
      </w:pPr>
    </w:p>
    <w:p w:rsidRPr="00FF457C" w:rsidR="00FF457C" w:rsidP="00FF457C" w:rsidRDefault="00FF457C" w14:paraId="74282AE0" w14:textId="77777777"/>
    <w:p w:rsidRPr="005525B7" w:rsidR="00CF17DE" w:rsidRDefault="00CF17DE" w14:paraId="2C49E15C" w14:textId="605D3E34">
      <w:pPr>
        <w:pStyle w:val="Heading1"/>
        <w:rPr>
          <w:rFonts w:ascii="Times New Roman" w:hAnsi="Times New Roman"/>
          <w:szCs w:val="26"/>
        </w:rPr>
      </w:pPr>
      <w:r w:rsidRPr="005525B7">
        <w:rPr>
          <w:rFonts w:ascii="Times New Roman" w:hAnsi="Times New Roman"/>
          <w:szCs w:val="26"/>
        </w:rPr>
        <w:t>Summary</w:t>
      </w:r>
      <w:bookmarkEnd w:id="0"/>
    </w:p>
    <w:p w:rsidRPr="005525B7" w:rsidR="009F2855" w:rsidP="009F2855" w:rsidRDefault="00200E45" w14:paraId="3C25CAA8" w14:textId="07293F58">
      <w:pPr>
        <w:rPr>
          <w:rFonts w:ascii="Times New Roman" w:hAnsi="Times New Roman"/>
          <w:szCs w:val="26"/>
        </w:rPr>
      </w:pPr>
      <w:r w:rsidRPr="005525B7">
        <w:rPr>
          <w:rStyle w:val="cf01"/>
          <w:rFonts w:ascii="Times New Roman" w:hAnsi="Times New Roman" w:cs="Times New Roman"/>
          <w:sz w:val="26"/>
          <w:szCs w:val="26"/>
        </w:rPr>
        <w:t xml:space="preserve">This Resolution addresses safety in </w:t>
      </w:r>
      <w:r w:rsidRPr="005525B7" w:rsidR="00C31ED1">
        <w:rPr>
          <w:rFonts w:ascii="Times New Roman" w:hAnsi="Times New Roman"/>
          <w:szCs w:val="26"/>
        </w:rPr>
        <w:t xml:space="preserve">Pacific Gas and Electric Company’s (PG&amp;E) </w:t>
      </w:r>
      <w:r w:rsidRPr="005525B7">
        <w:rPr>
          <w:rStyle w:val="cf01"/>
          <w:rFonts w:ascii="Times New Roman" w:hAnsi="Times New Roman" w:cs="Times New Roman"/>
          <w:sz w:val="26"/>
          <w:szCs w:val="26"/>
        </w:rPr>
        <w:t xml:space="preserve">operations and the </w:t>
      </w:r>
      <w:r w:rsidRPr="005525B7" w:rsidR="00EC0E9E">
        <w:rPr>
          <w:rFonts w:ascii="Times New Roman" w:hAnsi="Times New Roman"/>
          <w:szCs w:val="26"/>
        </w:rPr>
        <w:t>California Public Utilities Commission</w:t>
      </w:r>
      <w:r w:rsidRPr="005525B7" w:rsidR="00F35EFB">
        <w:rPr>
          <w:rFonts w:ascii="Times New Roman" w:hAnsi="Times New Roman"/>
          <w:szCs w:val="26"/>
        </w:rPr>
        <w:t>’s</w:t>
      </w:r>
      <w:r w:rsidRPr="005525B7" w:rsidR="00EC0E9E">
        <w:rPr>
          <w:rFonts w:ascii="Times New Roman" w:hAnsi="Times New Roman"/>
          <w:szCs w:val="26"/>
        </w:rPr>
        <w:t xml:space="preserve"> (CPUC or Commission)</w:t>
      </w:r>
      <w:r w:rsidRPr="005525B7">
        <w:rPr>
          <w:rStyle w:val="cf01"/>
          <w:rFonts w:ascii="Times New Roman" w:hAnsi="Times New Roman" w:cs="Times New Roman"/>
          <w:sz w:val="26"/>
          <w:szCs w:val="26"/>
        </w:rPr>
        <w:t xml:space="preserve"> and </w:t>
      </w:r>
      <w:r w:rsidRPr="005525B7" w:rsidR="00F35EFB">
        <w:rPr>
          <w:rStyle w:val="cf01"/>
          <w:rFonts w:ascii="Times New Roman" w:hAnsi="Times New Roman" w:cs="Times New Roman"/>
          <w:sz w:val="26"/>
          <w:szCs w:val="26"/>
        </w:rPr>
        <w:t xml:space="preserve">the Office of Energy Infrastructure Safety’s </w:t>
      </w:r>
      <w:r w:rsidRPr="005525B7" w:rsidR="00A079EB">
        <w:rPr>
          <w:rStyle w:val="cf01"/>
          <w:rFonts w:ascii="Times New Roman" w:hAnsi="Times New Roman" w:cs="Times New Roman"/>
          <w:sz w:val="26"/>
          <w:szCs w:val="26"/>
        </w:rPr>
        <w:t>(</w:t>
      </w:r>
      <w:r w:rsidRPr="005525B7" w:rsidR="005E60EB">
        <w:rPr>
          <w:rStyle w:val="cf01"/>
          <w:rFonts w:ascii="Times New Roman" w:hAnsi="Times New Roman" w:cs="Times New Roman"/>
          <w:sz w:val="26"/>
          <w:szCs w:val="26"/>
        </w:rPr>
        <w:t>Energy Safety</w:t>
      </w:r>
      <w:r w:rsidRPr="005525B7" w:rsidR="00A079EB">
        <w:rPr>
          <w:rStyle w:val="cf01"/>
          <w:rFonts w:ascii="Times New Roman" w:hAnsi="Times New Roman" w:cs="Times New Roman"/>
          <w:sz w:val="26"/>
          <w:szCs w:val="26"/>
        </w:rPr>
        <w:t>)</w:t>
      </w:r>
      <w:r w:rsidRPr="005525B7" w:rsidR="002C363E">
        <w:rPr>
          <w:rStyle w:val="StyleFootnoteReferenceofrStyle3o1o2o3o4o5o6o11o21o7"/>
          <w:szCs w:val="26"/>
        </w:rPr>
        <w:footnoteReference w:id="2"/>
      </w:r>
      <w:r w:rsidRPr="005525B7">
        <w:rPr>
          <w:rStyle w:val="cf01"/>
          <w:rFonts w:ascii="Times New Roman" w:hAnsi="Times New Roman" w:cs="Times New Roman"/>
          <w:sz w:val="26"/>
          <w:szCs w:val="26"/>
        </w:rPr>
        <w:t xml:space="preserve"> joint enhanced oversight of PG&amp;E's operations in </w:t>
      </w:r>
      <w:r w:rsidRPr="005525B7" w:rsidR="00EE3451">
        <w:rPr>
          <w:rStyle w:val="cf01"/>
          <w:rFonts w:ascii="Times New Roman" w:hAnsi="Times New Roman" w:cs="Times New Roman"/>
          <w:sz w:val="26"/>
          <w:szCs w:val="26"/>
        </w:rPr>
        <w:t xml:space="preserve">California’s </w:t>
      </w:r>
      <w:r w:rsidRPr="005525B7">
        <w:rPr>
          <w:rStyle w:val="cf01"/>
          <w:rFonts w:ascii="Times New Roman" w:hAnsi="Times New Roman" w:cs="Times New Roman"/>
          <w:sz w:val="26"/>
          <w:szCs w:val="26"/>
        </w:rPr>
        <w:t>high-wildfire-threat areas in 2021 and 2022.</w:t>
      </w:r>
      <w:r w:rsidRPr="005525B7" w:rsidR="008A446F">
        <w:rPr>
          <w:rStyle w:val="cf01"/>
          <w:rFonts w:ascii="Times New Roman" w:hAnsi="Times New Roman" w:cs="Times New Roman"/>
          <w:sz w:val="26"/>
          <w:szCs w:val="26"/>
        </w:rPr>
        <w:t xml:space="preserve">  </w:t>
      </w:r>
      <w:r w:rsidRPr="005525B7" w:rsidR="009F2855">
        <w:rPr>
          <w:rFonts w:ascii="Times New Roman" w:hAnsi="Times New Roman"/>
          <w:szCs w:val="26"/>
        </w:rPr>
        <w:t xml:space="preserve">This Resolution is issued to PG&amp;E in accordance with </w:t>
      </w:r>
      <w:r w:rsidRPr="005525B7" w:rsidR="006C2FDC">
        <w:rPr>
          <w:rFonts w:ascii="Times New Roman" w:hAnsi="Times New Roman"/>
          <w:szCs w:val="26"/>
        </w:rPr>
        <w:t xml:space="preserve">Commission </w:t>
      </w:r>
      <w:r w:rsidRPr="005525B7" w:rsidR="009F2855">
        <w:rPr>
          <w:rFonts w:ascii="Times New Roman" w:hAnsi="Times New Roman"/>
          <w:szCs w:val="26"/>
        </w:rPr>
        <w:t>Decision (D.) 20-05-053</w:t>
      </w:r>
      <w:r w:rsidRPr="005525B7" w:rsidR="00034CDF">
        <w:rPr>
          <w:rFonts w:ascii="Times New Roman" w:hAnsi="Times New Roman"/>
          <w:szCs w:val="26"/>
        </w:rPr>
        <w:t xml:space="preserve"> approving </w:t>
      </w:r>
      <w:r w:rsidRPr="005525B7" w:rsidR="009F2855">
        <w:rPr>
          <w:rFonts w:ascii="Times New Roman" w:hAnsi="Times New Roman"/>
          <w:szCs w:val="26"/>
        </w:rPr>
        <w:t>PG&amp;E’s bankruptcy plan of reorganization with conditions and modifications</w:t>
      </w:r>
      <w:r w:rsidRPr="005525B7" w:rsidR="003B6C34">
        <w:rPr>
          <w:rFonts w:ascii="Times New Roman" w:hAnsi="Times New Roman"/>
          <w:szCs w:val="26"/>
        </w:rPr>
        <w:t>.</w:t>
      </w:r>
      <w:r w:rsidRPr="005525B7" w:rsidR="009F2855">
        <w:rPr>
          <w:rFonts w:ascii="Times New Roman" w:hAnsi="Times New Roman"/>
          <w:szCs w:val="26"/>
        </w:rPr>
        <w:t xml:space="preserve">  The decision established </w:t>
      </w:r>
      <w:r w:rsidRPr="005525B7" w:rsidR="00F678F0">
        <w:rPr>
          <w:rFonts w:ascii="Times New Roman" w:hAnsi="Times New Roman"/>
          <w:szCs w:val="26"/>
        </w:rPr>
        <w:t xml:space="preserve">a new </w:t>
      </w:r>
      <w:r w:rsidRPr="005525B7" w:rsidR="009F2855">
        <w:rPr>
          <w:rFonts w:ascii="Times New Roman" w:hAnsi="Times New Roman"/>
          <w:szCs w:val="26"/>
        </w:rPr>
        <w:t xml:space="preserve">Enhanced Oversight and Enforcement </w:t>
      </w:r>
      <w:r w:rsidRPr="005525B7" w:rsidR="002242AB">
        <w:rPr>
          <w:rFonts w:ascii="Times New Roman" w:hAnsi="Times New Roman"/>
          <w:szCs w:val="26"/>
        </w:rPr>
        <w:t xml:space="preserve">(EOE) </w:t>
      </w:r>
      <w:r w:rsidRPr="005525B7" w:rsidR="009F2855">
        <w:rPr>
          <w:rFonts w:ascii="Times New Roman" w:hAnsi="Times New Roman"/>
          <w:szCs w:val="26"/>
        </w:rPr>
        <w:t>Process</w:t>
      </w:r>
      <w:r w:rsidRPr="005525B7" w:rsidR="00CD37E0">
        <w:rPr>
          <w:rFonts w:ascii="Times New Roman" w:hAnsi="Times New Roman"/>
          <w:szCs w:val="26"/>
        </w:rPr>
        <w:t xml:space="preserve"> that</w:t>
      </w:r>
      <w:r w:rsidRPr="005525B7" w:rsidR="009163B9">
        <w:rPr>
          <w:rFonts w:ascii="Times New Roman" w:hAnsi="Times New Roman"/>
          <w:szCs w:val="26"/>
        </w:rPr>
        <w:t xml:space="preserve"> </w:t>
      </w:r>
      <w:r w:rsidRPr="005525B7" w:rsidR="00774289">
        <w:rPr>
          <w:rFonts w:ascii="Times New Roman" w:hAnsi="Times New Roman"/>
          <w:szCs w:val="26"/>
        </w:rPr>
        <w:lastRenderedPageBreak/>
        <w:t>facilit</w:t>
      </w:r>
      <w:r w:rsidRPr="005525B7" w:rsidR="008821DA">
        <w:rPr>
          <w:rFonts w:ascii="Times New Roman" w:hAnsi="Times New Roman"/>
          <w:szCs w:val="26"/>
        </w:rPr>
        <w:t>at</w:t>
      </w:r>
      <w:r w:rsidRPr="005525B7" w:rsidR="00CD37E0">
        <w:rPr>
          <w:rFonts w:ascii="Times New Roman" w:hAnsi="Times New Roman"/>
          <w:szCs w:val="26"/>
        </w:rPr>
        <w:t>es</w:t>
      </w:r>
      <w:r w:rsidRPr="005525B7" w:rsidR="00774289">
        <w:rPr>
          <w:rFonts w:ascii="Times New Roman" w:hAnsi="Times New Roman"/>
          <w:szCs w:val="26"/>
        </w:rPr>
        <w:t xml:space="preserve"> </w:t>
      </w:r>
      <w:r w:rsidRPr="005525B7" w:rsidR="009F2855">
        <w:rPr>
          <w:rFonts w:ascii="Times New Roman" w:hAnsi="Times New Roman"/>
          <w:szCs w:val="26"/>
        </w:rPr>
        <w:t>the Commission</w:t>
      </w:r>
      <w:r w:rsidRPr="005525B7" w:rsidR="00774289">
        <w:rPr>
          <w:rFonts w:ascii="Times New Roman" w:hAnsi="Times New Roman"/>
          <w:szCs w:val="26"/>
        </w:rPr>
        <w:t xml:space="preserve">’s ability to </w:t>
      </w:r>
      <w:r w:rsidRPr="005525B7" w:rsidR="00597886">
        <w:rPr>
          <w:rFonts w:ascii="Times New Roman" w:hAnsi="Times New Roman"/>
          <w:szCs w:val="26"/>
        </w:rPr>
        <w:t>respond quickly</w:t>
      </w:r>
      <w:r w:rsidRPr="005525B7" w:rsidR="00DC37FC">
        <w:rPr>
          <w:rFonts w:ascii="Times New Roman" w:hAnsi="Times New Roman"/>
          <w:szCs w:val="26"/>
        </w:rPr>
        <w:t xml:space="preserve"> </w:t>
      </w:r>
      <w:r w:rsidRPr="005525B7" w:rsidR="00CE166F">
        <w:rPr>
          <w:rFonts w:ascii="Times New Roman" w:hAnsi="Times New Roman"/>
          <w:szCs w:val="26"/>
        </w:rPr>
        <w:t xml:space="preserve">and </w:t>
      </w:r>
      <w:r w:rsidRPr="005525B7" w:rsidR="0038098E">
        <w:rPr>
          <w:rFonts w:ascii="Times New Roman" w:hAnsi="Times New Roman"/>
          <w:szCs w:val="26"/>
        </w:rPr>
        <w:t xml:space="preserve">effectively </w:t>
      </w:r>
      <w:r w:rsidRPr="005525B7" w:rsidR="002611DE">
        <w:rPr>
          <w:rFonts w:ascii="Times New Roman" w:hAnsi="Times New Roman"/>
          <w:szCs w:val="26"/>
        </w:rPr>
        <w:t xml:space="preserve">to </w:t>
      </w:r>
      <w:r w:rsidRPr="005525B7" w:rsidR="008821DA">
        <w:rPr>
          <w:rFonts w:ascii="Times New Roman" w:hAnsi="Times New Roman"/>
          <w:szCs w:val="26"/>
        </w:rPr>
        <w:t xml:space="preserve">safety performance </w:t>
      </w:r>
      <w:r w:rsidRPr="005525B7" w:rsidR="00AB4576">
        <w:rPr>
          <w:rFonts w:ascii="Times New Roman" w:hAnsi="Times New Roman"/>
          <w:szCs w:val="26"/>
        </w:rPr>
        <w:t>problems at PG&amp;E</w:t>
      </w:r>
      <w:r w:rsidRPr="005525B7" w:rsidR="002611DE">
        <w:rPr>
          <w:rFonts w:ascii="Times New Roman" w:hAnsi="Times New Roman"/>
          <w:szCs w:val="26"/>
        </w:rPr>
        <w:t>.</w:t>
      </w:r>
      <w:r w:rsidRPr="005525B7" w:rsidR="009163B9">
        <w:rPr>
          <w:rStyle w:val="StyleFootnoteReferenceofrStyle3o1o2o3o4o5o6o11o21o7"/>
          <w:szCs w:val="26"/>
        </w:rPr>
        <w:footnoteReference w:id="3"/>
      </w:r>
    </w:p>
    <w:p w:rsidRPr="005525B7" w:rsidR="009F2855" w:rsidP="009F2855" w:rsidRDefault="009F2855" w14:paraId="10DC75B0" w14:textId="77777777">
      <w:pPr>
        <w:rPr>
          <w:rFonts w:ascii="Times New Roman" w:hAnsi="Times New Roman"/>
          <w:szCs w:val="26"/>
        </w:rPr>
      </w:pPr>
    </w:p>
    <w:p w:rsidRPr="005525B7" w:rsidR="009F2855" w:rsidP="009F2855" w:rsidRDefault="008B1309" w14:paraId="66E9CE33" w14:textId="1C1D4446">
      <w:pPr>
        <w:pStyle w:val="ListParagraph"/>
        <w:ind w:left="0"/>
        <w:rPr>
          <w:rFonts w:ascii="Times New Roman" w:hAnsi="Times New Roman"/>
          <w:szCs w:val="26"/>
        </w:rPr>
      </w:pPr>
      <w:r w:rsidRPr="005525B7">
        <w:rPr>
          <w:rFonts w:ascii="Times New Roman" w:hAnsi="Times New Roman"/>
          <w:szCs w:val="26"/>
        </w:rPr>
        <w:t xml:space="preserve">The Commission issued </w:t>
      </w:r>
      <w:r w:rsidRPr="005525B7" w:rsidR="009F2855">
        <w:rPr>
          <w:rFonts w:ascii="Times New Roman" w:hAnsi="Times New Roman"/>
          <w:szCs w:val="26"/>
        </w:rPr>
        <w:t>Resolution</w:t>
      </w:r>
      <w:r w:rsidRPr="005525B7" w:rsidR="006F6237">
        <w:rPr>
          <w:rFonts w:ascii="Times New Roman" w:hAnsi="Times New Roman"/>
          <w:szCs w:val="26"/>
        </w:rPr>
        <w:t xml:space="preserve"> M-4852</w:t>
      </w:r>
      <w:r w:rsidRPr="005525B7" w:rsidR="009F2855">
        <w:rPr>
          <w:rFonts w:ascii="Times New Roman" w:hAnsi="Times New Roman"/>
          <w:szCs w:val="26"/>
        </w:rPr>
        <w:t xml:space="preserve"> </w:t>
      </w:r>
      <w:r w:rsidRPr="005525B7">
        <w:rPr>
          <w:rFonts w:ascii="Times New Roman" w:hAnsi="Times New Roman"/>
          <w:szCs w:val="26"/>
        </w:rPr>
        <w:t>on April 15, 2021</w:t>
      </w:r>
      <w:r w:rsidRPr="005525B7" w:rsidR="00F51942">
        <w:rPr>
          <w:rFonts w:ascii="Times New Roman" w:hAnsi="Times New Roman"/>
          <w:szCs w:val="26"/>
        </w:rPr>
        <w:t>,</w:t>
      </w:r>
      <w:r w:rsidRPr="005525B7" w:rsidR="004121D4">
        <w:rPr>
          <w:rFonts w:ascii="Times New Roman" w:hAnsi="Times New Roman"/>
          <w:szCs w:val="26"/>
        </w:rPr>
        <w:t xml:space="preserve"> </w:t>
      </w:r>
      <w:r w:rsidRPr="005525B7" w:rsidR="0016684C">
        <w:rPr>
          <w:rFonts w:ascii="Times New Roman" w:hAnsi="Times New Roman"/>
          <w:szCs w:val="26"/>
        </w:rPr>
        <w:t xml:space="preserve">placing PG&amp;E into </w:t>
      </w:r>
      <w:r w:rsidRPr="005525B7" w:rsidR="009F2855">
        <w:rPr>
          <w:rFonts w:ascii="Times New Roman" w:hAnsi="Times New Roman"/>
          <w:szCs w:val="26"/>
        </w:rPr>
        <w:t>Step 1</w:t>
      </w:r>
      <w:r w:rsidRPr="005525B7" w:rsidR="008A446F">
        <w:rPr>
          <w:rFonts w:ascii="Times New Roman" w:hAnsi="Times New Roman"/>
          <w:szCs w:val="26"/>
        </w:rPr>
        <w:t xml:space="preserve"> of the EOE Process</w:t>
      </w:r>
      <w:r w:rsidRPr="005525B7" w:rsidR="009F2855">
        <w:rPr>
          <w:rFonts w:ascii="Times New Roman" w:hAnsi="Times New Roman"/>
          <w:szCs w:val="26"/>
        </w:rPr>
        <w:t xml:space="preserve">, </w:t>
      </w:r>
      <w:r w:rsidRPr="005525B7" w:rsidR="0016684C">
        <w:rPr>
          <w:rFonts w:ascii="Times New Roman" w:hAnsi="Times New Roman"/>
          <w:szCs w:val="26"/>
        </w:rPr>
        <w:t>based on finding</w:t>
      </w:r>
      <w:r w:rsidRPr="005525B7" w:rsidR="00785737">
        <w:rPr>
          <w:rFonts w:ascii="Times New Roman" w:hAnsi="Times New Roman"/>
          <w:szCs w:val="26"/>
        </w:rPr>
        <w:t>s</w:t>
      </w:r>
      <w:r w:rsidRPr="005525B7" w:rsidR="0016684C">
        <w:rPr>
          <w:rFonts w:ascii="Times New Roman" w:hAnsi="Times New Roman"/>
          <w:szCs w:val="26"/>
        </w:rPr>
        <w:t xml:space="preserve"> that </w:t>
      </w:r>
      <w:r w:rsidRPr="005525B7" w:rsidR="009F2855">
        <w:rPr>
          <w:rFonts w:ascii="Times New Roman" w:hAnsi="Times New Roman"/>
          <w:szCs w:val="26"/>
        </w:rPr>
        <w:t>PG&amp;E</w:t>
      </w:r>
      <w:r w:rsidRPr="005525B7" w:rsidR="0016684C">
        <w:rPr>
          <w:rFonts w:ascii="Times New Roman" w:hAnsi="Times New Roman"/>
          <w:szCs w:val="26"/>
        </w:rPr>
        <w:t xml:space="preserve"> made</w:t>
      </w:r>
      <w:r w:rsidRPr="005525B7" w:rsidR="009F2855">
        <w:rPr>
          <w:rFonts w:ascii="Times New Roman" w:hAnsi="Times New Roman"/>
          <w:szCs w:val="26"/>
        </w:rPr>
        <w:t xml:space="preserve"> insufficient progress with </w:t>
      </w:r>
      <w:r w:rsidRPr="005525B7" w:rsidR="00C62128">
        <w:rPr>
          <w:rFonts w:ascii="Times New Roman" w:hAnsi="Times New Roman"/>
          <w:szCs w:val="26"/>
        </w:rPr>
        <w:t xml:space="preserve">regards to </w:t>
      </w:r>
      <w:r w:rsidRPr="005525B7" w:rsidR="009F2855">
        <w:rPr>
          <w:rFonts w:ascii="Times New Roman" w:hAnsi="Times New Roman"/>
          <w:szCs w:val="26"/>
        </w:rPr>
        <w:t>risk-driven wildfire mitigation efforts</w:t>
      </w:r>
      <w:r w:rsidRPr="005525B7" w:rsidR="00C972A2">
        <w:rPr>
          <w:rFonts w:ascii="Times New Roman" w:hAnsi="Times New Roman"/>
          <w:szCs w:val="26"/>
        </w:rPr>
        <w:t xml:space="preserve">, </w:t>
      </w:r>
      <w:r w:rsidRPr="005525B7" w:rsidR="002635B9">
        <w:rPr>
          <w:rFonts w:ascii="Times New Roman" w:hAnsi="Times New Roman"/>
          <w:szCs w:val="26"/>
        </w:rPr>
        <w:t xml:space="preserve">meeting the threshold for </w:t>
      </w:r>
      <w:r w:rsidRPr="005525B7" w:rsidR="002C084A">
        <w:rPr>
          <w:rFonts w:ascii="Times New Roman" w:hAnsi="Times New Roman"/>
          <w:szCs w:val="26"/>
        </w:rPr>
        <w:t xml:space="preserve">a Step 1 </w:t>
      </w:r>
      <w:r w:rsidRPr="005525B7" w:rsidR="002635B9">
        <w:rPr>
          <w:rFonts w:ascii="Times New Roman" w:hAnsi="Times New Roman"/>
          <w:szCs w:val="26"/>
        </w:rPr>
        <w:t>Triggering Ev</w:t>
      </w:r>
      <w:r w:rsidRPr="005525B7" w:rsidR="002C084A">
        <w:rPr>
          <w:rFonts w:ascii="Times New Roman" w:hAnsi="Times New Roman"/>
          <w:szCs w:val="26"/>
        </w:rPr>
        <w:t>ent</w:t>
      </w:r>
      <w:r w:rsidRPr="005525B7" w:rsidR="003B659B">
        <w:rPr>
          <w:rFonts w:ascii="Times New Roman" w:hAnsi="Times New Roman"/>
          <w:szCs w:val="26"/>
        </w:rPr>
        <w:t xml:space="preserve">. </w:t>
      </w:r>
      <w:bookmarkStart w:name="_Hlk65144524" w:id="1"/>
      <w:r w:rsidRPr="005525B7" w:rsidR="008A446F">
        <w:rPr>
          <w:rFonts w:ascii="Times New Roman" w:hAnsi="Times New Roman"/>
          <w:szCs w:val="26"/>
        </w:rPr>
        <w:t xml:space="preserve"> </w:t>
      </w:r>
      <w:r w:rsidRPr="005525B7" w:rsidR="009F2855">
        <w:rPr>
          <w:rFonts w:ascii="Times New Roman" w:hAnsi="Times New Roman"/>
          <w:szCs w:val="26"/>
        </w:rPr>
        <w:t>The</w:t>
      </w:r>
      <w:r w:rsidRPr="005525B7" w:rsidDel="00D93443" w:rsidR="009F2855">
        <w:rPr>
          <w:rFonts w:ascii="Times New Roman" w:hAnsi="Times New Roman"/>
          <w:szCs w:val="26"/>
        </w:rPr>
        <w:t xml:space="preserve"> </w:t>
      </w:r>
      <w:r w:rsidRPr="005525B7" w:rsidR="009F2855">
        <w:rPr>
          <w:rFonts w:ascii="Times New Roman" w:hAnsi="Times New Roman"/>
          <w:szCs w:val="26"/>
        </w:rPr>
        <w:t xml:space="preserve">findings </w:t>
      </w:r>
      <w:r w:rsidRPr="005525B7" w:rsidR="00F853BD">
        <w:rPr>
          <w:rFonts w:ascii="Times New Roman" w:hAnsi="Times New Roman"/>
          <w:szCs w:val="26"/>
        </w:rPr>
        <w:t xml:space="preserve">that </w:t>
      </w:r>
      <w:r w:rsidRPr="005525B7" w:rsidR="009F2855">
        <w:rPr>
          <w:rFonts w:ascii="Times New Roman" w:hAnsi="Times New Roman"/>
          <w:szCs w:val="26"/>
        </w:rPr>
        <w:t>support</w:t>
      </w:r>
      <w:r w:rsidRPr="005525B7" w:rsidR="00F853BD">
        <w:rPr>
          <w:rFonts w:ascii="Times New Roman" w:hAnsi="Times New Roman"/>
          <w:szCs w:val="26"/>
        </w:rPr>
        <w:t>ed</w:t>
      </w:r>
      <w:r w:rsidRPr="005525B7" w:rsidR="009F2855">
        <w:rPr>
          <w:rFonts w:ascii="Times New Roman" w:hAnsi="Times New Roman"/>
          <w:szCs w:val="26"/>
        </w:rPr>
        <w:t xml:space="preserve"> this Triggering Event include</w:t>
      </w:r>
      <w:r w:rsidRPr="005525B7" w:rsidR="005C5E58">
        <w:rPr>
          <w:rFonts w:ascii="Times New Roman" w:hAnsi="Times New Roman"/>
          <w:szCs w:val="26"/>
        </w:rPr>
        <w:t>d</w:t>
      </w:r>
      <w:r w:rsidRPr="005525B7" w:rsidR="009F2855">
        <w:rPr>
          <w:rFonts w:ascii="Times New Roman" w:hAnsi="Times New Roman"/>
          <w:szCs w:val="26"/>
        </w:rPr>
        <w:t xml:space="preserve"> the following:</w:t>
      </w:r>
    </w:p>
    <w:p w:rsidRPr="005525B7" w:rsidR="009F2855" w:rsidP="009F2855" w:rsidRDefault="009F2855" w14:paraId="32986A65" w14:textId="77777777">
      <w:pPr>
        <w:pStyle w:val="ListParagraph"/>
        <w:ind w:left="0"/>
        <w:rPr>
          <w:rFonts w:ascii="Times New Roman" w:hAnsi="Times New Roman"/>
          <w:szCs w:val="26"/>
        </w:rPr>
      </w:pPr>
    </w:p>
    <w:p w:rsidRPr="005525B7" w:rsidR="009F2855" w:rsidP="009F2855" w:rsidRDefault="009F2855" w14:paraId="1C3685CD" w14:textId="77777777">
      <w:pPr>
        <w:ind w:left="720" w:right="1440"/>
        <w:rPr>
          <w:rFonts w:ascii="Times New Roman" w:hAnsi="Times New Roman"/>
          <w:szCs w:val="26"/>
        </w:rPr>
      </w:pPr>
      <w:r w:rsidRPr="005525B7">
        <w:rPr>
          <w:rFonts w:ascii="Times New Roman" w:hAnsi="Times New Roman"/>
          <w:szCs w:val="26"/>
        </w:rPr>
        <w:t xml:space="preserve">PG&amp;E is not sufficiently prioritizing its Enhanced Vegetation Management (EVM) based on risk.  PG&amp;E ranks its power line circuits by wildfire risk, but the work performed in 2020 demonstrates that PG&amp;E is not making risk-driven investments.  PG&amp;E is not doing the majority of EVM work – or even a significant portion of work – on the highest risk lines. </w:t>
      </w:r>
    </w:p>
    <w:bookmarkEnd w:id="1"/>
    <w:p w:rsidRPr="005525B7" w:rsidR="009F2855" w:rsidP="009F2855" w:rsidRDefault="009F2855" w14:paraId="72B7CC88" w14:textId="77777777">
      <w:pPr>
        <w:pStyle w:val="ListParagraph"/>
        <w:ind w:right="1440"/>
        <w:rPr>
          <w:rFonts w:ascii="Times New Roman" w:hAnsi="Times New Roman"/>
          <w:szCs w:val="26"/>
        </w:rPr>
      </w:pPr>
    </w:p>
    <w:p w:rsidRPr="005525B7" w:rsidR="009F2855" w:rsidP="009F2855" w:rsidRDefault="009F2855" w14:paraId="102E6D0D" w14:textId="77777777">
      <w:pPr>
        <w:ind w:left="720" w:right="1440"/>
        <w:rPr>
          <w:rFonts w:ascii="Times New Roman" w:hAnsi="Times New Roman"/>
          <w:szCs w:val="26"/>
        </w:rPr>
      </w:pPr>
      <w:r w:rsidRPr="005525B7">
        <w:rPr>
          <w:rFonts w:ascii="Times New Roman" w:hAnsi="Times New Roman"/>
          <w:szCs w:val="26"/>
        </w:rPr>
        <w:t xml:space="preserve">In 2020, PG&amp;E conducted more work in 2020 on lower risk power lines than high risk lines if one examines the 161 power lines on which PG&amp;E performed EVM.  Less than five percent of the EVM work PG&amp;E completed was on the 20 highest risk power lines according to PG&amp;E’s own risk rankings. </w:t>
      </w:r>
    </w:p>
    <w:p w:rsidRPr="005525B7" w:rsidR="009F2855" w:rsidP="009F2855" w:rsidRDefault="009F2855" w14:paraId="601A5813" w14:textId="77777777">
      <w:pPr>
        <w:rPr>
          <w:rFonts w:ascii="Times New Roman" w:hAnsi="Times New Roman"/>
          <w:szCs w:val="26"/>
        </w:rPr>
      </w:pPr>
    </w:p>
    <w:p w:rsidRPr="005525B7" w:rsidR="00264817" w:rsidP="002974A0" w:rsidRDefault="00E45310" w14:paraId="58301DED" w14:textId="250F0048">
      <w:pPr>
        <w:rPr>
          <w:rFonts w:ascii="Times New Roman" w:hAnsi="Times New Roman"/>
          <w:szCs w:val="26"/>
        </w:rPr>
      </w:pPr>
      <w:r w:rsidRPr="005525B7">
        <w:rPr>
          <w:rFonts w:ascii="Times New Roman" w:hAnsi="Times New Roman"/>
          <w:szCs w:val="26"/>
        </w:rPr>
        <w:t xml:space="preserve">Resolution </w:t>
      </w:r>
      <w:r w:rsidRPr="005525B7" w:rsidR="005B4D53">
        <w:rPr>
          <w:rFonts w:ascii="Times New Roman" w:hAnsi="Times New Roman"/>
          <w:szCs w:val="26"/>
        </w:rPr>
        <w:t>M-</w:t>
      </w:r>
      <w:r w:rsidRPr="005525B7" w:rsidR="002F0063">
        <w:rPr>
          <w:rFonts w:ascii="Times New Roman" w:hAnsi="Times New Roman"/>
          <w:szCs w:val="26"/>
        </w:rPr>
        <w:t>4852</w:t>
      </w:r>
      <w:r w:rsidRPr="005525B7" w:rsidR="00387898">
        <w:rPr>
          <w:rFonts w:ascii="Times New Roman" w:hAnsi="Times New Roman"/>
          <w:szCs w:val="26"/>
        </w:rPr>
        <w:t xml:space="preserve"> ordered </w:t>
      </w:r>
      <w:r w:rsidRPr="005525B7" w:rsidR="000C4EAC">
        <w:rPr>
          <w:rFonts w:ascii="Times New Roman" w:hAnsi="Times New Roman"/>
          <w:szCs w:val="26"/>
        </w:rPr>
        <w:t>PG&amp;E to</w:t>
      </w:r>
      <w:r w:rsidRPr="005525B7" w:rsidR="009F2855">
        <w:rPr>
          <w:rFonts w:ascii="Times New Roman" w:hAnsi="Times New Roman"/>
          <w:szCs w:val="26"/>
        </w:rPr>
        <w:t xml:space="preserve"> submit a Corrective Action Plan </w:t>
      </w:r>
      <w:r w:rsidRPr="005525B7" w:rsidR="00541414">
        <w:rPr>
          <w:rFonts w:ascii="Times New Roman" w:hAnsi="Times New Roman"/>
          <w:szCs w:val="26"/>
        </w:rPr>
        <w:t xml:space="preserve">(CAP) </w:t>
      </w:r>
      <w:r w:rsidRPr="005525B7" w:rsidR="001F2C1C">
        <w:rPr>
          <w:rFonts w:ascii="Times New Roman" w:hAnsi="Times New Roman"/>
          <w:szCs w:val="26"/>
        </w:rPr>
        <w:t xml:space="preserve">within 20 days, and every 90 days thereafter, </w:t>
      </w:r>
      <w:r w:rsidRPr="005525B7" w:rsidR="00A16838">
        <w:rPr>
          <w:rFonts w:ascii="Times New Roman" w:hAnsi="Times New Roman"/>
          <w:szCs w:val="26"/>
        </w:rPr>
        <w:t>t</w:t>
      </w:r>
      <w:r w:rsidRPr="005525B7" w:rsidR="00A16838">
        <w:rPr>
          <w:rFonts w:ascii="Times New Roman" w:hAnsi="Times New Roman" w:eastAsia="Book Antiqua"/>
          <w:szCs w:val="26"/>
        </w:rPr>
        <w:t xml:space="preserve">o </w:t>
      </w:r>
      <w:r w:rsidRPr="005525B7" w:rsidR="002B34C3">
        <w:rPr>
          <w:rFonts w:ascii="Times New Roman" w:hAnsi="Times New Roman" w:eastAsia="Book Antiqua"/>
          <w:szCs w:val="26"/>
        </w:rPr>
        <w:t xml:space="preserve">explain in detail how it will both perform risk modeling and use the results of risk modeling to ensure the highest risk power lines are prioritized for vegetation management under its </w:t>
      </w:r>
      <w:r w:rsidRPr="005525B7" w:rsidR="008E67F2">
        <w:rPr>
          <w:rFonts w:ascii="Times New Roman" w:hAnsi="Times New Roman" w:eastAsia="Book Antiqua"/>
          <w:szCs w:val="26"/>
        </w:rPr>
        <w:t xml:space="preserve">2021 </w:t>
      </w:r>
      <w:r w:rsidRPr="005525B7" w:rsidR="002B34C3">
        <w:rPr>
          <w:rFonts w:ascii="Times New Roman" w:hAnsi="Times New Roman" w:eastAsia="Book Antiqua"/>
          <w:szCs w:val="26"/>
        </w:rPr>
        <w:t xml:space="preserve">EVM program before working lower risk lines.  </w:t>
      </w:r>
      <w:r w:rsidRPr="005525B7" w:rsidR="00296F90">
        <w:rPr>
          <w:rFonts w:ascii="Times New Roman" w:hAnsi="Times New Roman" w:eastAsia="Book Antiqua"/>
          <w:szCs w:val="26"/>
        </w:rPr>
        <w:t>The resolution also required PG&amp;E to</w:t>
      </w:r>
      <w:r w:rsidRPr="005525B7" w:rsidR="002B34C3">
        <w:rPr>
          <w:rFonts w:ascii="Times New Roman" w:hAnsi="Times New Roman" w:eastAsia="Book Antiqua"/>
          <w:szCs w:val="26"/>
        </w:rPr>
        <w:t xml:space="preserve"> </w:t>
      </w:r>
      <w:r w:rsidRPr="005525B7" w:rsidR="00FA1610">
        <w:rPr>
          <w:rFonts w:ascii="Times New Roman" w:hAnsi="Times New Roman" w:eastAsia="Book Antiqua"/>
          <w:szCs w:val="26"/>
        </w:rPr>
        <w:t>proactively</w:t>
      </w:r>
      <w:r w:rsidRPr="005525B7" w:rsidR="008442BD">
        <w:rPr>
          <w:rFonts w:ascii="Times New Roman" w:hAnsi="Times New Roman" w:eastAsia="Book Antiqua"/>
          <w:szCs w:val="26"/>
        </w:rPr>
        <w:t xml:space="preserve"> </w:t>
      </w:r>
      <w:r w:rsidRPr="005525B7" w:rsidR="00A221EC">
        <w:rPr>
          <w:rFonts w:ascii="Times New Roman" w:hAnsi="Times New Roman" w:eastAsia="Book Antiqua"/>
          <w:szCs w:val="26"/>
        </w:rPr>
        <w:t xml:space="preserve">and accurately </w:t>
      </w:r>
      <w:r w:rsidRPr="005525B7" w:rsidR="002B34C3">
        <w:rPr>
          <w:rFonts w:ascii="Times New Roman" w:hAnsi="Times New Roman" w:eastAsia="Book Antiqua"/>
          <w:szCs w:val="26"/>
        </w:rPr>
        <w:t xml:space="preserve">report </w:t>
      </w:r>
      <w:r w:rsidRPr="005525B7" w:rsidR="00E62305">
        <w:rPr>
          <w:rFonts w:ascii="Times New Roman" w:hAnsi="Times New Roman" w:eastAsia="Book Antiqua"/>
          <w:szCs w:val="26"/>
        </w:rPr>
        <w:t xml:space="preserve">to the Commission </w:t>
      </w:r>
      <w:r w:rsidRPr="005525B7" w:rsidR="002B34C3">
        <w:rPr>
          <w:rFonts w:ascii="Times New Roman" w:hAnsi="Times New Roman" w:eastAsia="Book Antiqua"/>
          <w:szCs w:val="26"/>
        </w:rPr>
        <w:t>changes to its risk modeling</w:t>
      </w:r>
      <w:r w:rsidRPr="005525B7" w:rsidR="00915798">
        <w:rPr>
          <w:rFonts w:ascii="Times New Roman" w:hAnsi="Times New Roman" w:eastAsia="Book Antiqua"/>
          <w:szCs w:val="26"/>
        </w:rPr>
        <w:t>,</w:t>
      </w:r>
      <w:r w:rsidRPr="005525B7" w:rsidR="002B34C3">
        <w:rPr>
          <w:rFonts w:ascii="Times New Roman" w:hAnsi="Times New Roman" w:eastAsia="Book Antiqua"/>
          <w:szCs w:val="26"/>
        </w:rPr>
        <w:t xml:space="preserve"> report the location </w:t>
      </w:r>
      <w:r w:rsidRPr="005525B7" w:rsidR="00AE3A72">
        <w:rPr>
          <w:rFonts w:ascii="Times New Roman" w:hAnsi="Times New Roman" w:eastAsia="Book Antiqua"/>
          <w:szCs w:val="26"/>
        </w:rPr>
        <w:t xml:space="preserve">of </w:t>
      </w:r>
      <w:r w:rsidRPr="005525B7" w:rsidR="002B34C3">
        <w:rPr>
          <w:rFonts w:ascii="Times New Roman" w:hAnsi="Times New Roman" w:eastAsia="Book Antiqua"/>
          <w:szCs w:val="26"/>
        </w:rPr>
        <w:t>where it intends to engage in EVM</w:t>
      </w:r>
      <w:r w:rsidRPr="005525B7" w:rsidR="00FD1151">
        <w:rPr>
          <w:rFonts w:ascii="Times New Roman" w:hAnsi="Times New Roman" w:eastAsia="Book Antiqua"/>
          <w:szCs w:val="26"/>
        </w:rPr>
        <w:t>,</w:t>
      </w:r>
      <w:r w:rsidRPr="005525B7" w:rsidR="002B34C3">
        <w:rPr>
          <w:rFonts w:ascii="Times New Roman" w:hAnsi="Times New Roman" w:eastAsia="Book Antiqua"/>
          <w:szCs w:val="26"/>
        </w:rPr>
        <w:t xml:space="preserve"> and demonstrate that it is prioritizing high risk power lines for EVM work.</w:t>
      </w:r>
      <w:r w:rsidRPr="005525B7" w:rsidR="009F2855">
        <w:rPr>
          <w:rFonts w:ascii="Times New Roman" w:hAnsi="Times New Roman" w:eastAsia="Book Antiqua"/>
          <w:szCs w:val="26"/>
        </w:rPr>
        <w:t xml:space="preserve"> </w:t>
      </w:r>
      <w:r w:rsidRPr="005525B7" w:rsidR="00705776">
        <w:rPr>
          <w:rFonts w:ascii="Times New Roman" w:hAnsi="Times New Roman" w:eastAsia="Book Antiqua"/>
          <w:szCs w:val="26"/>
        </w:rPr>
        <w:t xml:space="preserve"> </w:t>
      </w:r>
    </w:p>
    <w:p w:rsidRPr="005525B7" w:rsidR="00264817" w:rsidP="002974A0" w:rsidRDefault="00264817" w14:paraId="2FA3B66E" w14:textId="77777777">
      <w:pPr>
        <w:rPr>
          <w:rFonts w:ascii="Times New Roman" w:hAnsi="Times New Roman"/>
          <w:szCs w:val="26"/>
        </w:rPr>
      </w:pPr>
    </w:p>
    <w:p w:rsidRPr="005525B7" w:rsidR="002974A0" w:rsidP="002974A0" w:rsidRDefault="002974A0" w14:paraId="26245D5E" w14:textId="0B030F02">
      <w:pPr>
        <w:rPr>
          <w:rFonts w:ascii="Times New Roman" w:hAnsi="Times New Roman"/>
          <w:szCs w:val="26"/>
        </w:rPr>
      </w:pPr>
      <w:r w:rsidRPr="005525B7">
        <w:rPr>
          <w:rFonts w:ascii="Times New Roman" w:hAnsi="Times New Roman"/>
          <w:szCs w:val="26"/>
        </w:rPr>
        <w:t>We find that PG&amp;E has met the Commission</w:t>
      </w:r>
      <w:r w:rsidRPr="005525B7" w:rsidR="00DC5E41">
        <w:rPr>
          <w:rFonts w:ascii="Times New Roman" w:hAnsi="Times New Roman"/>
          <w:szCs w:val="26"/>
        </w:rPr>
        <w:t>’s</w:t>
      </w:r>
      <w:r w:rsidRPr="005525B7">
        <w:rPr>
          <w:rFonts w:ascii="Times New Roman" w:hAnsi="Times New Roman"/>
          <w:szCs w:val="26"/>
        </w:rPr>
        <w:t xml:space="preserve"> requirements for </w:t>
      </w:r>
      <w:r w:rsidRPr="005525B7" w:rsidR="00B36248">
        <w:rPr>
          <w:rFonts w:ascii="Times New Roman" w:hAnsi="Times New Roman"/>
          <w:szCs w:val="26"/>
        </w:rPr>
        <w:t xml:space="preserve">the 14 </w:t>
      </w:r>
      <w:r w:rsidRPr="005525B7" w:rsidR="00F9022E">
        <w:rPr>
          <w:rFonts w:ascii="Times New Roman" w:hAnsi="Times New Roman"/>
          <w:szCs w:val="26"/>
        </w:rPr>
        <w:t>Corrective Action Plan Elements (CAP Elements)</w:t>
      </w:r>
      <w:r w:rsidRPr="005525B7" w:rsidR="00264817">
        <w:rPr>
          <w:rFonts w:ascii="Times New Roman" w:hAnsi="Times New Roman"/>
          <w:szCs w:val="26"/>
        </w:rPr>
        <w:t xml:space="preserve">, has </w:t>
      </w:r>
      <w:r w:rsidRPr="005525B7" w:rsidR="00B36248">
        <w:rPr>
          <w:rFonts w:ascii="Times New Roman" w:hAnsi="Times New Roman"/>
          <w:szCs w:val="26"/>
        </w:rPr>
        <w:t>demonstrated that in 2021 and 2022 it is prioritizing high-</w:t>
      </w:r>
      <w:r w:rsidRPr="005525B7" w:rsidR="00DF6F50">
        <w:rPr>
          <w:rFonts w:ascii="Times New Roman" w:hAnsi="Times New Roman"/>
          <w:szCs w:val="26"/>
        </w:rPr>
        <w:t xml:space="preserve">risk distribution lines for </w:t>
      </w:r>
      <w:r w:rsidRPr="005525B7" w:rsidR="00B63C14">
        <w:rPr>
          <w:rFonts w:ascii="Times New Roman" w:hAnsi="Times New Roman"/>
          <w:szCs w:val="26"/>
        </w:rPr>
        <w:t>EVM</w:t>
      </w:r>
      <w:r w:rsidRPr="005525B7" w:rsidR="00DF6F50">
        <w:rPr>
          <w:rFonts w:ascii="Times New Roman" w:hAnsi="Times New Roman"/>
          <w:szCs w:val="26"/>
        </w:rPr>
        <w:t xml:space="preserve">, </w:t>
      </w:r>
      <w:r w:rsidRPr="005525B7" w:rsidR="00CF27E5">
        <w:rPr>
          <w:rFonts w:ascii="Times New Roman" w:hAnsi="Times New Roman"/>
          <w:szCs w:val="26"/>
        </w:rPr>
        <w:t>is meeting all of the Step 1 conditions imposed by Resolution M-4852,</w:t>
      </w:r>
      <w:r w:rsidRPr="005525B7">
        <w:rPr>
          <w:rFonts w:ascii="Times New Roman" w:hAnsi="Times New Roman"/>
          <w:szCs w:val="26"/>
        </w:rPr>
        <w:t xml:space="preserve"> and is authorized to exit Step 1 of the EOE Process.  </w:t>
      </w:r>
    </w:p>
    <w:p w:rsidRPr="005525B7" w:rsidR="00E05C71" w:rsidP="00E05C71" w:rsidRDefault="00E05C71" w14:paraId="506C0BD0" w14:textId="77777777">
      <w:pPr>
        <w:spacing w:after="160" w:line="259" w:lineRule="auto"/>
        <w:rPr>
          <w:rFonts w:ascii="Times New Roman" w:hAnsi="Times New Roman"/>
          <w:szCs w:val="26"/>
        </w:rPr>
      </w:pPr>
    </w:p>
    <w:p w:rsidRPr="005525B7" w:rsidR="00B325D2" w:rsidP="00B852F4" w:rsidRDefault="007403EA" w14:paraId="2471433C" w14:textId="0B372348">
      <w:pPr>
        <w:spacing w:after="160" w:line="259" w:lineRule="auto"/>
        <w:rPr>
          <w:rFonts w:ascii="Times New Roman" w:hAnsi="Times New Roman"/>
          <w:b/>
          <w:bCs/>
          <w:szCs w:val="26"/>
        </w:rPr>
      </w:pPr>
      <w:r w:rsidRPr="005525B7">
        <w:rPr>
          <w:rFonts w:ascii="Times New Roman" w:hAnsi="Times New Roman"/>
          <w:szCs w:val="26"/>
        </w:rPr>
        <w:lastRenderedPageBreak/>
        <w:t>T</w:t>
      </w:r>
      <w:r w:rsidRPr="005525B7" w:rsidR="00DD36B9">
        <w:rPr>
          <w:rFonts w:ascii="Times New Roman" w:hAnsi="Times New Roman"/>
          <w:szCs w:val="26"/>
        </w:rPr>
        <w:t xml:space="preserve">he Commission led </w:t>
      </w:r>
      <w:r w:rsidRPr="005525B7" w:rsidR="004026F2">
        <w:rPr>
          <w:rFonts w:ascii="Times New Roman" w:hAnsi="Times New Roman"/>
          <w:szCs w:val="26"/>
        </w:rPr>
        <w:t>the</w:t>
      </w:r>
      <w:r w:rsidRPr="005525B7" w:rsidR="00FA7367">
        <w:rPr>
          <w:rStyle w:val="cf01"/>
          <w:rFonts w:ascii="Times New Roman" w:hAnsi="Times New Roman" w:cs="Times New Roman"/>
          <w:sz w:val="26"/>
          <w:szCs w:val="26"/>
        </w:rPr>
        <w:t xml:space="preserve"> joint enhanced oversight of PG&amp;E's operations in California’s high-wildfire-threat areas in 2021 and 2022</w:t>
      </w:r>
      <w:r w:rsidRPr="005525B7" w:rsidR="008B7E4C">
        <w:rPr>
          <w:rStyle w:val="cf01"/>
          <w:rFonts w:ascii="Times New Roman" w:hAnsi="Times New Roman" w:cs="Times New Roman"/>
          <w:sz w:val="26"/>
          <w:szCs w:val="26"/>
        </w:rPr>
        <w:t>.</w:t>
      </w:r>
      <w:r w:rsidRPr="005525B7" w:rsidR="008A446F">
        <w:rPr>
          <w:rStyle w:val="cf01"/>
          <w:rFonts w:ascii="Times New Roman" w:hAnsi="Times New Roman" w:cs="Times New Roman"/>
          <w:sz w:val="26"/>
          <w:szCs w:val="26"/>
        </w:rPr>
        <w:t xml:space="preserve"> </w:t>
      </w:r>
      <w:r w:rsidRPr="005525B7" w:rsidR="008B7E4C">
        <w:rPr>
          <w:rStyle w:val="cf01"/>
          <w:rFonts w:ascii="Times New Roman" w:hAnsi="Times New Roman" w:cs="Times New Roman"/>
          <w:sz w:val="26"/>
          <w:szCs w:val="26"/>
        </w:rPr>
        <w:t xml:space="preserve"> </w:t>
      </w:r>
      <w:r w:rsidRPr="005525B7" w:rsidR="00774D28">
        <w:rPr>
          <w:rFonts w:ascii="Times New Roman" w:hAnsi="Times New Roman"/>
          <w:szCs w:val="26"/>
        </w:rPr>
        <w:t xml:space="preserve">Energy Safety </w:t>
      </w:r>
      <w:r w:rsidRPr="005525B7" w:rsidDel="00E33748" w:rsidR="00774D28">
        <w:rPr>
          <w:rFonts w:ascii="Times New Roman" w:hAnsi="Times New Roman"/>
          <w:szCs w:val="26"/>
        </w:rPr>
        <w:t>assess</w:t>
      </w:r>
      <w:r w:rsidRPr="005525B7" w:rsidR="0065208B">
        <w:rPr>
          <w:rFonts w:ascii="Times New Roman" w:hAnsi="Times New Roman"/>
          <w:szCs w:val="26"/>
        </w:rPr>
        <w:t>es</w:t>
      </w:r>
      <w:r w:rsidRPr="005525B7" w:rsidDel="00E33748" w:rsidR="00774D28">
        <w:rPr>
          <w:rFonts w:ascii="Times New Roman" w:hAnsi="Times New Roman"/>
          <w:szCs w:val="26"/>
        </w:rPr>
        <w:t xml:space="preserve"> PG&amp;E’s EVM program</w:t>
      </w:r>
      <w:r w:rsidRPr="005525B7" w:rsidR="00774D28">
        <w:rPr>
          <w:rFonts w:ascii="Times New Roman" w:hAnsi="Times New Roman"/>
          <w:szCs w:val="26"/>
        </w:rPr>
        <w:t xml:space="preserve"> and prioritization issues and will continue </w:t>
      </w:r>
      <w:r w:rsidRPr="005525B7" w:rsidDel="0003648A" w:rsidR="00774D28">
        <w:rPr>
          <w:rFonts w:ascii="Times New Roman" w:hAnsi="Times New Roman"/>
          <w:szCs w:val="26"/>
        </w:rPr>
        <w:t>its established monitoring of</w:t>
      </w:r>
      <w:r w:rsidRPr="005525B7" w:rsidR="00774D28">
        <w:rPr>
          <w:rFonts w:ascii="Times New Roman" w:hAnsi="Times New Roman"/>
          <w:szCs w:val="26"/>
        </w:rPr>
        <w:t xml:space="preserve"> PG&amp;E’s EVM work progress when the Commission removes PG&amp;E from Step 1 of Enhanced Oversight and Enforcement. </w:t>
      </w:r>
      <w:r w:rsidRPr="005525B7" w:rsidR="00DB6ACE">
        <w:rPr>
          <w:rFonts w:ascii="Times New Roman" w:hAnsi="Times New Roman"/>
          <w:szCs w:val="26"/>
        </w:rPr>
        <w:t xml:space="preserve"> </w:t>
      </w:r>
    </w:p>
    <w:p w:rsidRPr="005525B7" w:rsidR="00E35FC2" w:rsidP="00813C05" w:rsidRDefault="00E35FC2" w14:paraId="2EADD8A9" w14:textId="5A20DFD3">
      <w:pPr>
        <w:rPr>
          <w:rFonts w:ascii="Times New Roman" w:hAnsi="Times New Roman" w:eastAsia="Book Antiqua"/>
          <w:b/>
          <w:szCs w:val="26"/>
          <w:u w:val="single"/>
        </w:rPr>
      </w:pPr>
      <w:r w:rsidRPr="005525B7">
        <w:rPr>
          <w:rFonts w:ascii="Times New Roman" w:hAnsi="Times New Roman" w:eastAsia="Book Antiqua"/>
          <w:b/>
          <w:szCs w:val="26"/>
          <w:u w:val="single"/>
        </w:rPr>
        <w:t xml:space="preserve">BACKGROUND </w:t>
      </w:r>
    </w:p>
    <w:p w:rsidRPr="005525B7" w:rsidR="00E35FC2" w:rsidP="00813C05" w:rsidRDefault="00E35FC2" w14:paraId="78A91401" w14:textId="77777777">
      <w:pPr>
        <w:rPr>
          <w:rFonts w:ascii="Times New Roman" w:hAnsi="Times New Roman" w:eastAsia="Book Antiqua"/>
          <w:szCs w:val="26"/>
        </w:rPr>
      </w:pPr>
    </w:p>
    <w:p w:rsidRPr="005525B7" w:rsidR="00963917" w:rsidP="00813C05" w:rsidRDefault="00CA20E6" w14:paraId="2C21DD04" w14:textId="79FA0048">
      <w:pPr>
        <w:rPr>
          <w:rFonts w:ascii="Times New Roman" w:hAnsi="Times New Roman" w:eastAsia="Book Antiqua"/>
          <w:szCs w:val="26"/>
        </w:rPr>
      </w:pPr>
      <w:r w:rsidRPr="005525B7">
        <w:rPr>
          <w:rFonts w:ascii="Times New Roman" w:hAnsi="Times New Roman" w:eastAsia="Book Antiqua"/>
          <w:szCs w:val="26"/>
        </w:rPr>
        <w:t xml:space="preserve">PG&amp;E </w:t>
      </w:r>
      <w:r w:rsidRPr="005525B7" w:rsidR="30DADAFB">
        <w:rPr>
          <w:rFonts w:ascii="Times New Roman" w:hAnsi="Times New Roman" w:eastAsia="Book Antiqua"/>
          <w:szCs w:val="26"/>
        </w:rPr>
        <w:t xml:space="preserve">served </w:t>
      </w:r>
      <w:r w:rsidRPr="005525B7" w:rsidR="4DC2480C">
        <w:rPr>
          <w:rFonts w:ascii="Times New Roman" w:hAnsi="Times New Roman" w:eastAsia="Book Antiqua"/>
          <w:szCs w:val="26"/>
        </w:rPr>
        <w:t xml:space="preserve">on the service lists of Investigation </w:t>
      </w:r>
      <w:r w:rsidRPr="005525B7" w:rsidR="00347129">
        <w:rPr>
          <w:rFonts w:ascii="Times New Roman" w:hAnsi="Times New Roman" w:eastAsia="Book Antiqua"/>
          <w:szCs w:val="26"/>
        </w:rPr>
        <w:t xml:space="preserve">(I.) </w:t>
      </w:r>
      <w:r w:rsidRPr="005525B7" w:rsidR="4DC2480C">
        <w:rPr>
          <w:rFonts w:ascii="Times New Roman" w:hAnsi="Times New Roman" w:eastAsia="Book Antiqua"/>
          <w:szCs w:val="26"/>
        </w:rPr>
        <w:t>19-09-016 (the proceeding resulting in D</w:t>
      </w:r>
      <w:r w:rsidRPr="005525B7" w:rsidR="00B723E1">
        <w:rPr>
          <w:rFonts w:ascii="Times New Roman" w:hAnsi="Times New Roman" w:eastAsia="Book Antiqua"/>
          <w:szCs w:val="26"/>
        </w:rPr>
        <w:t>.</w:t>
      </w:r>
      <w:r w:rsidRPr="005525B7" w:rsidR="4DC2480C">
        <w:rPr>
          <w:rFonts w:ascii="Times New Roman" w:hAnsi="Times New Roman" w:eastAsia="Book Antiqua"/>
          <w:szCs w:val="26"/>
        </w:rPr>
        <w:t xml:space="preserve">20-05-053), Rulemaking </w:t>
      </w:r>
      <w:r w:rsidRPr="005525B7" w:rsidR="00A9633C">
        <w:rPr>
          <w:rFonts w:ascii="Times New Roman" w:hAnsi="Times New Roman" w:eastAsia="Book Antiqua"/>
          <w:szCs w:val="26"/>
        </w:rPr>
        <w:t xml:space="preserve">(R.) </w:t>
      </w:r>
      <w:r w:rsidRPr="005525B7" w:rsidR="4DC2480C">
        <w:rPr>
          <w:rFonts w:ascii="Times New Roman" w:hAnsi="Times New Roman" w:eastAsia="Book Antiqua"/>
          <w:szCs w:val="26"/>
        </w:rPr>
        <w:t xml:space="preserve">18-10-007 (a formal wildfire-related proceeding), </w:t>
      </w:r>
      <w:r w:rsidRPr="005525B7" w:rsidR="7FCFDE38">
        <w:rPr>
          <w:rFonts w:ascii="Times New Roman" w:hAnsi="Times New Roman" w:eastAsia="Book Antiqua"/>
          <w:szCs w:val="26"/>
        </w:rPr>
        <w:t xml:space="preserve">the Wildfire Safety Division (now </w:t>
      </w:r>
      <w:r w:rsidRPr="005525B7" w:rsidR="00917D91">
        <w:rPr>
          <w:rFonts w:ascii="Times New Roman" w:hAnsi="Times New Roman" w:eastAsia="Book Antiqua"/>
          <w:szCs w:val="26"/>
        </w:rPr>
        <w:t xml:space="preserve">Energy </w:t>
      </w:r>
      <w:r w:rsidRPr="005525B7" w:rsidDel="00F22734" w:rsidR="7FCFDE38">
        <w:rPr>
          <w:rFonts w:ascii="Times New Roman" w:hAnsi="Times New Roman" w:eastAsia="Book Antiqua"/>
          <w:szCs w:val="26"/>
        </w:rPr>
        <w:t>Safety</w:t>
      </w:r>
      <w:r w:rsidRPr="005525B7" w:rsidR="6CB293F1">
        <w:rPr>
          <w:rFonts w:ascii="Times New Roman" w:hAnsi="Times New Roman" w:eastAsia="Book Antiqua"/>
          <w:szCs w:val="26"/>
        </w:rPr>
        <w:t>)</w:t>
      </w:r>
      <w:r w:rsidRPr="005525B7" w:rsidR="7FCFDE38">
        <w:rPr>
          <w:rFonts w:ascii="Times New Roman" w:hAnsi="Times New Roman" w:eastAsia="Book Antiqua"/>
          <w:szCs w:val="26"/>
        </w:rPr>
        <w:t xml:space="preserve">, </w:t>
      </w:r>
      <w:r w:rsidRPr="005525B7" w:rsidR="4DC2480C">
        <w:rPr>
          <w:rFonts w:ascii="Times New Roman" w:hAnsi="Times New Roman" w:eastAsia="Book Antiqua"/>
          <w:szCs w:val="26"/>
        </w:rPr>
        <w:t>the Safety and</w:t>
      </w:r>
      <w:r w:rsidRPr="005525B7" w:rsidR="224F5D44">
        <w:rPr>
          <w:rFonts w:ascii="Times New Roman" w:hAnsi="Times New Roman" w:eastAsia="Book Antiqua"/>
          <w:szCs w:val="26"/>
        </w:rPr>
        <w:t xml:space="preserve"> Enforcement Division</w:t>
      </w:r>
      <w:r w:rsidRPr="005525B7" w:rsidR="00CA775E">
        <w:rPr>
          <w:rFonts w:ascii="Times New Roman" w:hAnsi="Times New Roman" w:eastAsia="Book Antiqua"/>
          <w:szCs w:val="26"/>
        </w:rPr>
        <w:t xml:space="preserve"> (SED)</w:t>
      </w:r>
      <w:r w:rsidRPr="005525B7" w:rsidR="4DC2480C">
        <w:rPr>
          <w:rFonts w:ascii="Times New Roman" w:hAnsi="Times New Roman" w:eastAsia="Book Antiqua"/>
          <w:szCs w:val="26"/>
        </w:rPr>
        <w:t xml:space="preserve">, </w:t>
      </w:r>
      <w:r w:rsidRPr="005525B7" w:rsidR="7E33E4D1">
        <w:rPr>
          <w:rFonts w:ascii="Times New Roman" w:hAnsi="Times New Roman" w:eastAsia="Book Antiqua"/>
          <w:szCs w:val="26"/>
        </w:rPr>
        <w:t xml:space="preserve">and </w:t>
      </w:r>
      <w:r w:rsidRPr="005525B7" w:rsidR="4DC2480C">
        <w:rPr>
          <w:rFonts w:ascii="Times New Roman" w:hAnsi="Times New Roman" w:eastAsia="Book Antiqua"/>
          <w:szCs w:val="26"/>
        </w:rPr>
        <w:t xml:space="preserve">the Commission’s Executive Director </w:t>
      </w:r>
      <w:r w:rsidRPr="005525B7" w:rsidR="00607FED">
        <w:rPr>
          <w:rFonts w:ascii="Times New Roman" w:hAnsi="Times New Roman" w:eastAsia="Book Antiqua"/>
          <w:szCs w:val="26"/>
        </w:rPr>
        <w:t xml:space="preserve">its first </w:t>
      </w:r>
      <w:r w:rsidRPr="005525B7" w:rsidR="00016824">
        <w:rPr>
          <w:rFonts w:ascii="Times New Roman" w:hAnsi="Times New Roman" w:eastAsia="Book Antiqua"/>
          <w:szCs w:val="26"/>
        </w:rPr>
        <w:t>CAP</w:t>
      </w:r>
      <w:r w:rsidRPr="005525B7">
        <w:rPr>
          <w:rFonts w:ascii="Times New Roman" w:hAnsi="Times New Roman" w:eastAsia="Book Antiqua"/>
          <w:szCs w:val="26"/>
        </w:rPr>
        <w:t xml:space="preserve"> on May 6, 2021 and updates every 90 days </w:t>
      </w:r>
      <w:r w:rsidRPr="005525B7" w:rsidR="004367EC">
        <w:rPr>
          <w:rFonts w:ascii="Times New Roman" w:hAnsi="Times New Roman" w:eastAsia="Book Antiqua"/>
          <w:szCs w:val="26"/>
        </w:rPr>
        <w:t xml:space="preserve">thereafter, </w:t>
      </w:r>
      <w:r w:rsidRPr="005525B7" w:rsidR="00223BB0">
        <w:rPr>
          <w:rFonts w:ascii="Times New Roman" w:hAnsi="Times New Roman" w:eastAsia="Book Antiqua"/>
          <w:szCs w:val="26"/>
        </w:rPr>
        <w:t>in accordance with</w:t>
      </w:r>
      <w:r w:rsidRPr="005525B7">
        <w:rPr>
          <w:rFonts w:ascii="Times New Roman" w:hAnsi="Times New Roman" w:eastAsia="Book Antiqua"/>
          <w:szCs w:val="26"/>
        </w:rPr>
        <w:t xml:space="preserve"> Resolution M-4852.</w:t>
      </w:r>
      <w:r w:rsidRPr="005525B7" w:rsidR="000645DE">
        <w:rPr>
          <w:rFonts w:ascii="Times New Roman" w:hAnsi="Times New Roman" w:eastAsia="Book Antiqua"/>
          <w:szCs w:val="26"/>
        </w:rPr>
        <w:t xml:space="preserve">  Resolution </w:t>
      </w:r>
      <w:r w:rsidRPr="005525B7" w:rsidR="00CB4976">
        <w:rPr>
          <w:rFonts w:ascii="Times New Roman" w:hAnsi="Times New Roman" w:eastAsia="Book Antiqua"/>
          <w:szCs w:val="26"/>
        </w:rPr>
        <w:br/>
      </w:r>
      <w:r w:rsidRPr="005525B7" w:rsidR="000645DE">
        <w:rPr>
          <w:rFonts w:ascii="Times New Roman" w:hAnsi="Times New Roman" w:eastAsia="Book Antiqua"/>
          <w:szCs w:val="26"/>
        </w:rPr>
        <w:t>M-4852</w:t>
      </w:r>
      <w:r w:rsidRPr="005525B7" w:rsidR="00D12FD9">
        <w:rPr>
          <w:rFonts w:ascii="Times New Roman" w:hAnsi="Times New Roman" w:eastAsia="Book Antiqua"/>
          <w:szCs w:val="26"/>
        </w:rPr>
        <w:t xml:space="preserve"> directed </w:t>
      </w:r>
      <w:r w:rsidRPr="005525B7" w:rsidR="000645DE">
        <w:rPr>
          <w:rFonts w:ascii="Times New Roman" w:hAnsi="Times New Roman" w:eastAsia="Book Antiqua"/>
          <w:szCs w:val="26"/>
        </w:rPr>
        <w:t xml:space="preserve">PG&amp;E’s </w:t>
      </w:r>
      <w:r w:rsidRPr="005525B7" w:rsidR="00016824">
        <w:rPr>
          <w:rFonts w:ascii="Times New Roman" w:hAnsi="Times New Roman" w:eastAsia="Book Antiqua"/>
          <w:szCs w:val="26"/>
        </w:rPr>
        <w:t>CAP</w:t>
      </w:r>
      <w:r w:rsidRPr="005525B7" w:rsidR="00D12FD9">
        <w:rPr>
          <w:rFonts w:ascii="Times New Roman" w:hAnsi="Times New Roman" w:eastAsia="Book Antiqua"/>
          <w:szCs w:val="26"/>
        </w:rPr>
        <w:t xml:space="preserve"> </w:t>
      </w:r>
      <w:r w:rsidRPr="005525B7" w:rsidR="00963917">
        <w:rPr>
          <w:rFonts w:ascii="Times New Roman" w:hAnsi="Times New Roman" w:eastAsia="Book Antiqua"/>
          <w:szCs w:val="26"/>
        </w:rPr>
        <w:t xml:space="preserve">reporting </w:t>
      </w:r>
      <w:r w:rsidRPr="005525B7" w:rsidR="00D12FD9">
        <w:rPr>
          <w:rFonts w:ascii="Times New Roman" w:hAnsi="Times New Roman" w:eastAsia="Book Antiqua"/>
          <w:szCs w:val="26"/>
        </w:rPr>
        <w:t>to include information</w:t>
      </w:r>
      <w:r w:rsidRPr="005525B7" w:rsidR="00963917">
        <w:rPr>
          <w:rFonts w:ascii="Times New Roman" w:hAnsi="Times New Roman" w:eastAsia="Book Antiqua"/>
          <w:szCs w:val="26"/>
        </w:rPr>
        <w:t xml:space="preserve"> </w:t>
      </w:r>
      <w:r w:rsidRPr="005525B7" w:rsidR="006C350F">
        <w:rPr>
          <w:rFonts w:ascii="Times New Roman" w:hAnsi="Times New Roman" w:eastAsia="Book Antiqua"/>
          <w:szCs w:val="26"/>
        </w:rPr>
        <w:t>under fourteen specific categories, as follows</w:t>
      </w:r>
      <w:r w:rsidRPr="005525B7" w:rsidR="00963917">
        <w:rPr>
          <w:rFonts w:ascii="Times New Roman" w:hAnsi="Times New Roman" w:eastAsia="Book Antiqua"/>
          <w:szCs w:val="26"/>
        </w:rPr>
        <w:t xml:space="preserve">: </w:t>
      </w:r>
    </w:p>
    <w:p w:rsidRPr="005525B7" w:rsidR="00963917" w:rsidP="00813C05" w:rsidRDefault="00963917" w14:paraId="2E105C10" w14:textId="77777777">
      <w:pPr>
        <w:rPr>
          <w:rFonts w:ascii="Times New Roman" w:hAnsi="Times New Roman" w:eastAsia="Book Antiqua"/>
          <w:szCs w:val="26"/>
        </w:rPr>
      </w:pPr>
    </w:p>
    <w:p w:rsidRPr="005525B7" w:rsidR="00963917" w:rsidP="006D077E" w:rsidRDefault="00963917" w14:paraId="62B2AEA1" w14:textId="77777777">
      <w:pPr>
        <w:numPr>
          <w:ilvl w:val="0"/>
          <w:numId w:val="29"/>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detailed description of the circumstances that contributed to PG&amp;E’s failure to adequately prioritize the highest risk lines, as described in this Resolution and the WSD’s EVM Audit, in its EVM in 2020;   </w:t>
      </w:r>
    </w:p>
    <w:p w:rsidRPr="005525B7" w:rsidR="00963917" w:rsidP="006D077E" w:rsidRDefault="00963917" w14:paraId="7BE24468" w14:textId="77777777">
      <w:pPr>
        <w:numPr>
          <w:ilvl w:val="0"/>
          <w:numId w:val="30"/>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detailed description of its risk model(s) for determining where to target EVM in the next 90 days, including the specific data sets and vegetation management records PG&amp;E is using as inputs to the risk model, and the data modeling program(s) that make up PG&amp;E’s risk model;  </w:t>
      </w:r>
    </w:p>
    <w:p w:rsidRPr="005525B7" w:rsidR="00963917" w:rsidP="006D077E" w:rsidRDefault="00963917" w14:paraId="32673588" w14:textId="77777777">
      <w:pPr>
        <w:numPr>
          <w:ilvl w:val="0"/>
          <w:numId w:val="31"/>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detailed list of the EVM projects for the calendar year of the reporting date and the EVM plan for the subsequent calendar year, when available;  </w:t>
      </w:r>
    </w:p>
    <w:p w:rsidRPr="005525B7" w:rsidR="00963917" w:rsidP="006D077E" w:rsidRDefault="00963917" w14:paraId="3C7D5DAD" w14:textId="77777777">
      <w:pPr>
        <w:numPr>
          <w:ilvl w:val="0"/>
          <w:numId w:val="32"/>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description of how the list in item 3 above ensures PG&amp;E is prioritizing the power lines with highest risk first; </w:t>
      </w:r>
    </w:p>
    <w:p w:rsidRPr="005525B7" w:rsidR="00963917" w:rsidP="006D077E" w:rsidRDefault="00963917" w14:paraId="307F8353" w14:textId="77777777">
      <w:pPr>
        <w:numPr>
          <w:ilvl w:val="0"/>
          <w:numId w:val="33"/>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description of PG&amp;E’s decision-making that leads to the list in item 3: how the list is developed, evaluated, revised in terms of projects that are added to or dropped from the list, finalized, and communicated to EVM work crews, and PG&amp;E’s internal documentation of the decision-making process; </w:t>
      </w:r>
    </w:p>
    <w:p w:rsidRPr="005525B7" w:rsidR="00963917" w:rsidP="006D077E" w:rsidRDefault="00963917" w14:paraId="26DDD9F3" w14:textId="77777777">
      <w:pPr>
        <w:numPr>
          <w:ilvl w:val="0"/>
          <w:numId w:val="34"/>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An explanation of the rationale for any planned EVM work that does not target the power lines with highest risk first; </w:t>
      </w:r>
    </w:p>
    <w:p w:rsidRPr="005525B7" w:rsidR="00963917" w:rsidP="006D077E" w:rsidRDefault="00963917" w14:paraId="27FF0E1B" w14:textId="77777777">
      <w:pPr>
        <w:numPr>
          <w:ilvl w:val="0"/>
          <w:numId w:val="35"/>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Any changes to the 2021 Wildfire Distribution Risk Model, the Wildfire Consequence Model, or the Vegetation Risk Model occurring over the prior 90 days or planned for the subsequent 90 days; </w:t>
      </w:r>
    </w:p>
    <w:p w:rsidRPr="005525B7" w:rsidR="00963917" w:rsidP="006D077E" w:rsidRDefault="00963917" w14:paraId="7ECCD894" w14:textId="77777777">
      <w:pPr>
        <w:numPr>
          <w:ilvl w:val="0"/>
          <w:numId w:val="36"/>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lastRenderedPageBreak/>
        <w:t>A detailed description of the circumstances that contributed to PG&amp;E management’s inconsistent reporting on the details of its risk modeling and risk ranking lists;   </w:t>
      </w:r>
    </w:p>
    <w:p w:rsidRPr="005525B7" w:rsidR="00963917" w:rsidP="006D077E" w:rsidRDefault="00963917" w14:paraId="139D9D81" w14:textId="77777777">
      <w:pPr>
        <w:numPr>
          <w:ilvl w:val="0"/>
          <w:numId w:val="37"/>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Verification by a senior officer of PG&amp;E that the risk model, including underlying data sets and vegetation management records, it is using to prioritize EVM is as set forth in its report; </w:t>
      </w:r>
    </w:p>
    <w:p w:rsidRPr="005525B7" w:rsidR="00963917" w:rsidP="006D077E" w:rsidRDefault="00963917" w14:paraId="20B01B88" w14:textId="77777777">
      <w:pPr>
        <w:numPr>
          <w:ilvl w:val="0"/>
          <w:numId w:val="38"/>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Verification by a senior officer of PG&amp;E that it will target a substantial majority of EVM to the highest risk circuit protection zones first, as shown by its risk model or other ranking, in the next 90 days for EVM; </w:t>
      </w:r>
    </w:p>
    <w:p w:rsidRPr="005525B7" w:rsidR="00963917" w:rsidP="006D077E" w:rsidRDefault="00963917" w14:paraId="1F1CF6B1" w14:textId="77777777">
      <w:pPr>
        <w:numPr>
          <w:ilvl w:val="0"/>
          <w:numId w:val="39"/>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Verification by a senior officer of PG&amp;E that it targeted a substantial majority of EVM to the highest risk circuit protection zones first, as shown by its risk model or other ranking, in the prior 90 days; </w:t>
      </w:r>
    </w:p>
    <w:p w:rsidRPr="005525B7" w:rsidR="00963917" w:rsidP="006D077E" w:rsidRDefault="00963917" w14:paraId="3530A650" w14:textId="77777777">
      <w:pPr>
        <w:numPr>
          <w:ilvl w:val="0"/>
          <w:numId w:val="40"/>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Verification by a senior officer of PG&amp;E that the company has communicated information and internal decisions in items 3, 4 and 9 above to personnel of PG&amp;E’s EVM programs and that such personnel is aware of where to target EVM in the subsequent 90 days. </w:t>
      </w:r>
    </w:p>
    <w:p w:rsidRPr="005525B7" w:rsidR="00963917" w:rsidP="006D077E" w:rsidRDefault="00963917" w14:paraId="266925E1" w14:textId="77777777">
      <w:pPr>
        <w:numPr>
          <w:ilvl w:val="0"/>
          <w:numId w:val="41"/>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proposed timeline for ending the required reporting, with a detailed explanation of why the proposal ensures PG&amp;E is in compliance with the requirement that it prioritize high risk circuits in its EVM work.  The timeline shall include milestone goals for June 1, 2021, September 1. 2021, and December 31, 2021.  These goals shall include a targeted percentage of high risk power line circuits to be completed by those dates. </w:t>
      </w:r>
    </w:p>
    <w:p w:rsidRPr="005525B7" w:rsidR="00963917" w:rsidP="006D077E" w:rsidRDefault="00963917" w14:paraId="2ADEE1E9" w14:textId="77777777">
      <w:pPr>
        <w:numPr>
          <w:ilvl w:val="0"/>
          <w:numId w:val="42"/>
        </w:numPr>
        <w:tabs>
          <w:tab w:val="clear" w:pos="720"/>
        </w:tabs>
        <w:spacing w:after="120"/>
        <w:ind w:left="1260" w:right="1440" w:hanging="540"/>
        <w:rPr>
          <w:rFonts w:ascii="Times New Roman" w:hAnsi="Times New Roman" w:eastAsia="Book Antiqua"/>
          <w:szCs w:val="26"/>
        </w:rPr>
      </w:pPr>
      <w:r w:rsidRPr="005525B7">
        <w:rPr>
          <w:rFonts w:ascii="Times New Roman" w:hAnsi="Times New Roman" w:eastAsia="Book Antiqua"/>
          <w:szCs w:val="26"/>
        </w:rPr>
        <w:t>A description of how the Corrective Action Plan proposed in response to this Resolution will complement and not undermine PG&amp;E’s compliance activities ordered in D.20-05-019.</w:t>
      </w:r>
      <w:r w:rsidRPr="005525B7">
        <w:rPr>
          <w:rFonts w:ascii="Times New Roman" w:hAnsi="Times New Roman" w:eastAsia="Book Antiqua"/>
          <w:b/>
          <w:bCs/>
          <w:szCs w:val="26"/>
          <w:u w:val="single"/>
          <w:vertAlign w:val="superscript"/>
        </w:rPr>
        <w:footnoteReference w:id="4"/>
      </w:r>
      <w:r w:rsidRPr="005525B7">
        <w:rPr>
          <w:rFonts w:ascii="Times New Roman" w:hAnsi="Times New Roman" w:eastAsia="Book Antiqua"/>
          <w:szCs w:val="26"/>
        </w:rPr>
        <w:t>  </w:t>
      </w:r>
    </w:p>
    <w:p w:rsidR="00FF457C" w:rsidP="008420F5" w:rsidRDefault="00FF457C" w14:paraId="39902047" w14:textId="77777777">
      <w:pPr>
        <w:pStyle w:val="Default"/>
        <w:rPr>
          <w:sz w:val="26"/>
          <w:szCs w:val="26"/>
        </w:rPr>
      </w:pPr>
    </w:p>
    <w:p w:rsidRPr="005525B7" w:rsidR="008420F5" w:rsidP="008420F5" w:rsidRDefault="0038577F" w14:paraId="3288C731" w14:textId="020CA12E">
      <w:pPr>
        <w:pStyle w:val="Default"/>
        <w:rPr>
          <w:sz w:val="26"/>
          <w:szCs w:val="26"/>
        </w:rPr>
      </w:pPr>
      <w:r w:rsidRPr="005525B7">
        <w:rPr>
          <w:sz w:val="26"/>
          <w:szCs w:val="26"/>
        </w:rPr>
        <w:lastRenderedPageBreak/>
        <w:t xml:space="preserve">On November 1, 2021, the Executive Director of the </w:t>
      </w:r>
      <w:r w:rsidRPr="005525B7" w:rsidR="00E55783">
        <w:rPr>
          <w:sz w:val="26"/>
          <w:szCs w:val="26"/>
        </w:rPr>
        <w:t>Commission</w:t>
      </w:r>
      <w:r w:rsidRPr="005525B7">
        <w:rPr>
          <w:sz w:val="26"/>
          <w:szCs w:val="26"/>
        </w:rPr>
        <w:t xml:space="preserve"> </w:t>
      </w:r>
      <w:r w:rsidRPr="005525B7" w:rsidR="00B170C9">
        <w:rPr>
          <w:sz w:val="26"/>
          <w:szCs w:val="26"/>
        </w:rPr>
        <w:t xml:space="preserve">issued a letter </w:t>
      </w:r>
      <w:r w:rsidRPr="005525B7" w:rsidR="00DA39C9">
        <w:rPr>
          <w:sz w:val="26"/>
          <w:szCs w:val="26"/>
        </w:rPr>
        <w:t>to</w:t>
      </w:r>
    </w:p>
    <w:p w:rsidRPr="005525B7" w:rsidR="003960EF" w:rsidP="005528CE" w:rsidRDefault="008420F5" w14:paraId="473DA824" w14:textId="365A604A">
      <w:pPr>
        <w:autoSpaceDE w:val="0"/>
        <w:autoSpaceDN w:val="0"/>
        <w:adjustRightInd w:val="0"/>
        <w:rPr>
          <w:rFonts w:ascii="Times New Roman" w:hAnsi="Times New Roman"/>
          <w:color w:val="000000"/>
          <w:szCs w:val="26"/>
        </w:rPr>
      </w:pPr>
      <w:r w:rsidRPr="005525B7">
        <w:rPr>
          <w:rFonts w:ascii="Times New Roman" w:hAnsi="Times New Roman"/>
          <w:color w:val="000000"/>
          <w:szCs w:val="26"/>
        </w:rPr>
        <w:t xml:space="preserve">PG&amp;E </w:t>
      </w:r>
      <w:r w:rsidRPr="005525B7" w:rsidR="001D382E">
        <w:rPr>
          <w:rFonts w:ascii="Times New Roman" w:hAnsi="Times New Roman"/>
          <w:color w:val="000000"/>
          <w:szCs w:val="26"/>
        </w:rPr>
        <w:t xml:space="preserve">stating that </w:t>
      </w:r>
      <w:r w:rsidRPr="005525B7" w:rsidR="00A74D37">
        <w:rPr>
          <w:rFonts w:ascii="Times New Roman" w:hAnsi="Times New Roman"/>
          <w:color w:val="000000"/>
          <w:szCs w:val="26"/>
        </w:rPr>
        <w:t>it</w:t>
      </w:r>
      <w:r w:rsidRPr="005525B7" w:rsidR="001D382E">
        <w:rPr>
          <w:rFonts w:ascii="Times New Roman" w:hAnsi="Times New Roman"/>
          <w:color w:val="000000"/>
          <w:szCs w:val="26"/>
        </w:rPr>
        <w:t xml:space="preserve"> had</w:t>
      </w:r>
      <w:r w:rsidRPr="005525B7">
        <w:rPr>
          <w:rFonts w:ascii="Times New Roman" w:hAnsi="Times New Roman"/>
          <w:color w:val="000000"/>
          <w:szCs w:val="26"/>
        </w:rPr>
        <w:t xml:space="preserve"> complied with M-4852 by:</w:t>
      </w:r>
    </w:p>
    <w:p w:rsidRPr="005525B7" w:rsidR="0041531C" w:rsidP="005528CE" w:rsidRDefault="0041531C" w14:paraId="09897FFC" w14:textId="77777777">
      <w:pPr>
        <w:autoSpaceDE w:val="0"/>
        <w:autoSpaceDN w:val="0"/>
        <w:adjustRightInd w:val="0"/>
        <w:rPr>
          <w:rFonts w:ascii="Times New Roman" w:hAnsi="Times New Roman"/>
          <w:color w:val="000000"/>
          <w:szCs w:val="26"/>
        </w:rPr>
      </w:pPr>
    </w:p>
    <w:p w:rsidRPr="005525B7" w:rsidR="00C17148" w:rsidP="006D077E" w:rsidRDefault="001B3653" w14:paraId="2AE89910" w14:textId="1F527D82">
      <w:pPr>
        <w:pStyle w:val="ListParagraph"/>
        <w:numPr>
          <w:ilvl w:val="0"/>
          <w:numId w:val="6"/>
        </w:numPr>
        <w:autoSpaceDE w:val="0"/>
        <w:autoSpaceDN w:val="0"/>
        <w:adjustRightInd w:val="0"/>
        <w:spacing w:after="120"/>
        <w:ind w:left="720" w:right="1440"/>
        <w:contextualSpacing w:val="0"/>
        <w:rPr>
          <w:rFonts w:ascii="Times New Roman" w:hAnsi="Times New Roman"/>
          <w:color w:val="000000"/>
          <w:szCs w:val="26"/>
        </w:rPr>
      </w:pPr>
      <w:r w:rsidRPr="005525B7">
        <w:rPr>
          <w:rFonts w:ascii="Times New Roman" w:hAnsi="Times New Roman"/>
          <w:color w:val="000000"/>
          <w:szCs w:val="26"/>
        </w:rPr>
        <w:t>S</w:t>
      </w:r>
      <w:r w:rsidRPr="005525B7" w:rsidR="008420F5">
        <w:rPr>
          <w:rFonts w:ascii="Times New Roman" w:hAnsi="Times New Roman"/>
          <w:color w:val="000000"/>
          <w:szCs w:val="26"/>
        </w:rPr>
        <w:t>ubmitt</w:t>
      </w:r>
      <w:r w:rsidRPr="005525B7" w:rsidR="00E136B4">
        <w:rPr>
          <w:rFonts w:ascii="Times New Roman" w:hAnsi="Times New Roman"/>
          <w:color w:val="000000"/>
          <w:szCs w:val="26"/>
        </w:rPr>
        <w:t>ing</w:t>
      </w:r>
      <w:r w:rsidRPr="005525B7" w:rsidR="008420F5">
        <w:rPr>
          <w:rFonts w:ascii="Times New Roman" w:hAnsi="Times New Roman"/>
          <w:color w:val="000000"/>
          <w:szCs w:val="26"/>
        </w:rPr>
        <w:t xml:space="preserve"> its </w:t>
      </w:r>
      <w:r w:rsidRPr="005525B7" w:rsidR="00292B3F">
        <w:rPr>
          <w:rFonts w:ascii="Times New Roman" w:hAnsi="Times New Roman"/>
          <w:color w:val="000000"/>
          <w:szCs w:val="26"/>
        </w:rPr>
        <w:t>CAP</w:t>
      </w:r>
      <w:r w:rsidRPr="005525B7" w:rsidR="008420F5">
        <w:rPr>
          <w:rFonts w:ascii="Times New Roman" w:hAnsi="Times New Roman"/>
          <w:color w:val="000000"/>
          <w:szCs w:val="26"/>
        </w:rPr>
        <w:t xml:space="preserve"> on May 6, 2021. </w:t>
      </w:r>
    </w:p>
    <w:p w:rsidRPr="005525B7" w:rsidR="00E46415" w:rsidP="006D077E" w:rsidRDefault="001B3653" w14:paraId="20A099D1" w14:textId="3AA5AACF">
      <w:pPr>
        <w:pStyle w:val="ListParagraph"/>
        <w:numPr>
          <w:ilvl w:val="0"/>
          <w:numId w:val="6"/>
        </w:numPr>
        <w:autoSpaceDE w:val="0"/>
        <w:autoSpaceDN w:val="0"/>
        <w:adjustRightInd w:val="0"/>
        <w:spacing w:after="120"/>
        <w:ind w:left="720" w:right="1440"/>
        <w:contextualSpacing w:val="0"/>
        <w:rPr>
          <w:rFonts w:ascii="Times New Roman" w:hAnsi="Times New Roman"/>
          <w:color w:val="000000"/>
          <w:szCs w:val="26"/>
        </w:rPr>
      </w:pPr>
      <w:r w:rsidRPr="005525B7">
        <w:rPr>
          <w:rFonts w:ascii="Times New Roman" w:hAnsi="Times New Roman"/>
          <w:color w:val="000000"/>
          <w:szCs w:val="26"/>
        </w:rPr>
        <w:t>P</w:t>
      </w:r>
      <w:r w:rsidRPr="005525B7" w:rsidR="008420F5">
        <w:rPr>
          <w:rFonts w:ascii="Times New Roman" w:hAnsi="Times New Roman"/>
          <w:color w:val="000000"/>
          <w:szCs w:val="26"/>
        </w:rPr>
        <w:t>resent</w:t>
      </w:r>
      <w:r w:rsidRPr="005525B7" w:rsidR="00E136B4">
        <w:rPr>
          <w:rFonts w:ascii="Times New Roman" w:hAnsi="Times New Roman"/>
          <w:color w:val="000000"/>
          <w:szCs w:val="26"/>
        </w:rPr>
        <w:t>ing</w:t>
      </w:r>
      <w:r w:rsidRPr="005525B7" w:rsidR="008420F5">
        <w:rPr>
          <w:rFonts w:ascii="Times New Roman" w:hAnsi="Times New Roman"/>
          <w:color w:val="000000"/>
          <w:szCs w:val="26"/>
        </w:rPr>
        <w:t xml:space="preserve"> its </w:t>
      </w:r>
      <w:r w:rsidRPr="005525B7" w:rsidR="008606D5">
        <w:rPr>
          <w:rFonts w:ascii="Times New Roman" w:hAnsi="Times New Roman"/>
          <w:color w:val="000000"/>
          <w:szCs w:val="26"/>
        </w:rPr>
        <w:t>CAP</w:t>
      </w:r>
      <w:r w:rsidRPr="005525B7" w:rsidR="008420F5">
        <w:rPr>
          <w:rFonts w:ascii="Times New Roman" w:hAnsi="Times New Roman"/>
          <w:color w:val="000000"/>
          <w:szCs w:val="26"/>
        </w:rPr>
        <w:t xml:space="preserve"> to CPUC Commissioners, the California Governor’s Office of Emergency Services (Cal OES), the California Department of Forestry and Fire Protection (CAL FIRE), and the public on June 23, 2021. </w:t>
      </w:r>
    </w:p>
    <w:p w:rsidRPr="005525B7" w:rsidR="00E46415" w:rsidP="006D077E" w:rsidRDefault="001B3653" w14:paraId="6ACA048D" w14:textId="454F4EF5">
      <w:pPr>
        <w:pStyle w:val="ListParagraph"/>
        <w:numPr>
          <w:ilvl w:val="0"/>
          <w:numId w:val="6"/>
        </w:numPr>
        <w:autoSpaceDE w:val="0"/>
        <w:autoSpaceDN w:val="0"/>
        <w:adjustRightInd w:val="0"/>
        <w:spacing w:after="120"/>
        <w:ind w:left="720" w:right="1440"/>
        <w:contextualSpacing w:val="0"/>
        <w:rPr>
          <w:rFonts w:ascii="Times New Roman" w:hAnsi="Times New Roman"/>
          <w:szCs w:val="26"/>
        </w:rPr>
      </w:pPr>
      <w:r w:rsidRPr="005525B7">
        <w:rPr>
          <w:rFonts w:ascii="Times New Roman" w:hAnsi="Times New Roman"/>
          <w:szCs w:val="26"/>
        </w:rPr>
        <w:t>S</w:t>
      </w:r>
      <w:r w:rsidRPr="005525B7" w:rsidR="008420F5">
        <w:rPr>
          <w:rFonts w:ascii="Times New Roman" w:hAnsi="Times New Roman"/>
          <w:szCs w:val="26"/>
        </w:rPr>
        <w:t>ubmitt</w:t>
      </w:r>
      <w:r w:rsidRPr="005525B7" w:rsidR="008E3F44">
        <w:rPr>
          <w:rFonts w:ascii="Times New Roman" w:hAnsi="Times New Roman"/>
          <w:szCs w:val="26"/>
        </w:rPr>
        <w:t>ing</w:t>
      </w:r>
      <w:r w:rsidRPr="005525B7" w:rsidR="008420F5">
        <w:rPr>
          <w:rFonts w:ascii="Times New Roman" w:hAnsi="Times New Roman"/>
          <w:szCs w:val="26"/>
        </w:rPr>
        <w:t xml:space="preserve"> its first 90-Day Report on August 4, 2021. </w:t>
      </w:r>
    </w:p>
    <w:p w:rsidRPr="005525B7" w:rsidR="00E46415" w:rsidP="006D077E" w:rsidRDefault="00DF42D8" w14:paraId="71D0D4A9" w14:textId="7D13B011">
      <w:pPr>
        <w:pStyle w:val="ListParagraph"/>
        <w:numPr>
          <w:ilvl w:val="0"/>
          <w:numId w:val="6"/>
        </w:numPr>
        <w:autoSpaceDE w:val="0"/>
        <w:autoSpaceDN w:val="0"/>
        <w:adjustRightInd w:val="0"/>
        <w:spacing w:after="120"/>
        <w:ind w:left="720" w:right="1440"/>
        <w:contextualSpacing w:val="0"/>
        <w:rPr>
          <w:rFonts w:ascii="Times New Roman" w:hAnsi="Times New Roman"/>
          <w:szCs w:val="26"/>
        </w:rPr>
      </w:pPr>
      <w:r w:rsidRPr="005525B7">
        <w:rPr>
          <w:rFonts w:ascii="Times New Roman" w:hAnsi="Times New Roman"/>
          <w:szCs w:val="26"/>
        </w:rPr>
        <w:t>Provid</w:t>
      </w:r>
      <w:r w:rsidRPr="005525B7" w:rsidR="008E3F44">
        <w:rPr>
          <w:rFonts w:ascii="Times New Roman" w:hAnsi="Times New Roman"/>
          <w:szCs w:val="26"/>
        </w:rPr>
        <w:t>ing</w:t>
      </w:r>
      <w:r w:rsidRPr="005525B7">
        <w:rPr>
          <w:rFonts w:ascii="Times New Roman" w:hAnsi="Times New Roman"/>
          <w:szCs w:val="26"/>
        </w:rPr>
        <w:t xml:space="preserve"> </w:t>
      </w:r>
      <w:r w:rsidRPr="005525B7" w:rsidR="006C211F">
        <w:rPr>
          <w:rFonts w:ascii="Times New Roman" w:hAnsi="Times New Roman"/>
          <w:szCs w:val="26"/>
        </w:rPr>
        <w:t>an</w:t>
      </w:r>
      <w:r w:rsidRPr="005525B7" w:rsidR="00AA3F47">
        <w:rPr>
          <w:rFonts w:ascii="Times New Roman" w:hAnsi="Times New Roman"/>
          <w:szCs w:val="26"/>
        </w:rPr>
        <w:t xml:space="preserve"> update </w:t>
      </w:r>
      <w:r w:rsidRPr="005525B7" w:rsidR="006C211F">
        <w:rPr>
          <w:rFonts w:ascii="Times New Roman" w:hAnsi="Times New Roman"/>
          <w:szCs w:val="26"/>
        </w:rPr>
        <w:t xml:space="preserve">during a </w:t>
      </w:r>
      <w:r w:rsidRPr="005525B7" w:rsidR="00AE6E32">
        <w:rPr>
          <w:rFonts w:ascii="Times New Roman" w:hAnsi="Times New Roman"/>
          <w:szCs w:val="26"/>
        </w:rPr>
        <w:t>Commission</w:t>
      </w:r>
      <w:r w:rsidRPr="005525B7" w:rsidR="006C211F">
        <w:rPr>
          <w:rFonts w:ascii="Times New Roman" w:hAnsi="Times New Roman"/>
          <w:szCs w:val="26"/>
        </w:rPr>
        <w:t xml:space="preserve"> workshop on November 8, 2021 </w:t>
      </w:r>
      <w:r w:rsidRPr="005525B7" w:rsidR="00AA3F47">
        <w:rPr>
          <w:rFonts w:ascii="Times New Roman" w:hAnsi="Times New Roman"/>
          <w:szCs w:val="26"/>
        </w:rPr>
        <w:t>on its progress under the CAP</w:t>
      </w:r>
      <w:r w:rsidRPr="005525B7" w:rsidR="006C211F">
        <w:rPr>
          <w:rFonts w:ascii="Times New Roman" w:hAnsi="Times New Roman"/>
          <w:szCs w:val="26"/>
        </w:rPr>
        <w:t>. P</w:t>
      </w:r>
      <w:r w:rsidRPr="005525B7" w:rsidR="00AA3F47">
        <w:rPr>
          <w:rFonts w:ascii="Times New Roman" w:hAnsi="Times New Roman"/>
          <w:szCs w:val="26"/>
        </w:rPr>
        <w:t>articularly</w:t>
      </w:r>
      <w:r w:rsidRPr="005525B7" w:rsidR="006C211F">
        <w:rPr>
          <w:rFonts w:ascii="Times New Roman" w:hAnsi="Times New Roman"/>
          <w:szCs w:val="26"/>
        </w:rPr>
        <w:t>, PG&amp;E detailed its</w:t>
      </w:r>
      <w:r w:rsidRPr="005525B7" w:rsidR="00AA3F47">
        <w:rPr>
          <w:rFonts w:ascii="Times New Roman" w:hAnsi="Times New Roman"/>
          <w:szCs w:val="26"/>
        </w:rPr>
        <w:t xml:space="preserve"> progress toward its December 31, 2021 risk-driven EVM target of treating 1,800 distribution line miles</w:t>
      </w:r>
      <w:r w:rsidRPr="005525B7" w:rsidR="008420F5">
        <w:rPr>
          <w:rFonts w:ascii="Times New Roman" w:hAnsi="Times New Roman"/>
          <w:szCs w:val="26"/>
        </w:rPr>
        <w:t>.</w:t>
      </w:r>
      <w:r w:rsidRPr="005525B7" w:rsidR="008A1310">
        <w:rPr>
          <w:rStyle w:val="FootnoteReference"/>
          <w:rFonts w:ascii="Times New Roman" w:hAnsi="Times New Roman"/>
          <w:b/>
          <w:bCs/>
          <w:szCs w:val="26"/>
          <w:u w:val="single"/>
        </w:rPr>
        <w:footnoteReference w:id="5"/>
      </w:r>
      <w:r w:rsidRPr="005525B7" w:rsidR="008420F5">
        <w:rPr>
          <w:rFonts w:ascii="Times New Roman" w:hAnsi="Times New Roman"/>
          <w:szCs w:val="26"/>
        </w:rPr>
        <w:t xml:space="preserve"> </w:t>
      </w:r>
    </w:p>
    <w:p w:rsidRPr="005525B7" w:rsidR="007B5EBA" w:rsidP="006D077E" w:rsidRDefault="007B5EBA" w14:paraId="1D44B71F" w14:textId="77777777">
      <w:pPr>
        <w:spacing w:after="120"/>
        <w:ind w:right="1440"/>
        <w:rPr>
          <w:rFonts w:ascii="Times New Roman" w:hAnsi="Times New Roman" w:eastAsia="Book Antiqua"/>
          <w:szCs w:val="26"/>
        </w:rPr>
      </w:pPr>
    </w:p>
    <w:p w:rsidRPr="005525B7" w:rsidR="00813C05" w:rsidP="00813C05" w:rsidRDefault="00CA20E6" w14:paraId="13176C65" w14:textId="6AA8FE8A">
      <w:pPr>
        <w:rPr>
          <w:rFonts w:ascii="Times New Roman" w:hAnsi="Times New Roman"/>
          <w:szCs w:val="26"/>
        </w:rPr>
      </w:pPr>
      <w:r w:rsidRPr="005525B7">
        <w:rPr>
          <w:rFonts w:ascii="Times New Roman" w:hAnsi="Times New Roman" w:eastAsia="Book Antiqua"/>
          <w:szCs w:val="26"/>
        </w:rPr>
        <w:t xml:space="preserve">Commission staff, in consultation with </w:t>
      </w:r>
      <w:r w:rsidRPr="005525B7" w:rsidR="004A1CFC">
        <w:rPr>
          <w:rFonts w:ascii="Times New Roman" w:hAnsi="Times New Roman"/>
          <w:szCs w:val="26"/>
        </w:rPr>
        <w:t>Energy Safety</w:t>
      </w:r>
      <w:r w:rsidRPr="005525B7" w:rsidR="009C675D">
        <w:rPr>
          <w:rFonts w:ascii="Times New Roman" w:hAnsi="Times New Roman"/>
          <w:szCs w:val="26"/>
        </w:rPr>
        <w:t>,</w:t>
      </w:r>
      <w:r w:rsidRPr="005525B7" w:rsidR="00A82828">
        <w:rPr>
          <w:rFonts w:ascii="Times New Roman" w:hAnsi="Times New Roman"/>
          <w:szCs w:val="26"/>
        </w:rPr>
        <w:t xml:space="preserve"> </w:t>
      </w:r>
      <w:r w:rsidRPr="005525B7">
        <w:rPr>
          <w:rFonts w:ascii="Times New Roman" w:hAnsi="Times New Roman"/>
          <w:szCs w:val="26"/>
        </w:rPr>
        <w:t xml:space="preserve">reviewed PG&amp;E’s </w:t>
      </w:r>
      <w:r w:rsidRPr="005525B7" w:rsidR="00016824">
        <w:rPr>
          <w:rFonts w:ascii="Times New Roman" w:hAnsi="Times New Roman"/>
          <w:szCs w:val="26"/>
        </w:rPr>
        <w:t>CAP</w:t>
      </w:r>
      <w:r w:rsidRPr="005525B7">
        <w:rPr>
          <w:rFonts w:ascii="Times New Roman" w:hAnsi="Times New Roman"/>
          <w:szCs w:val="26"/>
        </w:rPr>
        <w:t xml:space="preserve">, the subsequent 90-day updates, </w:t>
      </w:r>
      <w:r w:rsidRPr="005525B7" w:rsidR="00C43F33">
        <w:rPr>
          <w:rFonts w:ascii="Times New Roman" w:hAnsi="Times New Roman"/>
          <w:szCs w:val="26"/>
        </w:rPr>
        <w:t xml:space="preserve">each of which included </w:t>
      </w:r>
      <w:r w:rsidRPr="005525B7" w:rsidR="7DC14544">
        <w:rPr>
          <w:rFonts w:ascii="Times New Roman" w:hAnsi="Times New Roman"/>
          <w:szCs w:val="26"/>
        </w:rPr>
        <w:t>t</w:t>
      </w:r>
      <w:r w:rsidRPr="005525B7">
        <w:rPr>
          <w:rFonts w:ascii="Times New Roman" w:hAnsi="Times New Roman"/>
          <w:szCs w:val="26"/>
        </w:rPr>
        <w:t xml:space="preserve">he 14 Corrective Action Plan Elements (CAP Elements), and provided feedback. </w:t>
      </w:r>
      <w:r w:rsidRPr="005525B7" w:rsidR="00AB08A9">
        <w:rPr>
          <w:rFonts w:ascii="Times New Roman" w:hAnsi="Times New Roman"/>
          <w:szCs w:val="26"/>
        </w:rPr>
        <w:t xml:space="preserve"> </w:t>
      </w:r>
      <w:r w:rsidRPr="005525B7" w:rsidR="00476F41">
        <w:rPr>
          <w:rFonts w:ascii="Times New Roman" w:hAnsi="Times New Roman"/>
          <w:szCs w:val="26"/>
        </w:rPr>
        <w:t>T</w:t>
      </w:r>
      <w:r w:rsidRPr="005525B7">
        <w:rPr>
          <w:rFonts w:ascii="Times New Roman" w:hAnsi="Times New Roman" w:eastAsia="Book Antiqua"/>
          <w:szCs w:val="26"/>
        </w:rPr>
        <w:t xml:space="preserve">he Commission held </w:t>
      </w:r>
      <w:r w:rsidRPr="005525B7">
        <w:rPr>
          <w:rFonts w:ascii="Times New Roman" w:hAnsi="Times New Roman"/>
          <w:szCs w:val="26"/>
        </w:rPr>
        <w:t xml:space="preserve">two workshops (on June 23, 2021 and November 8, 2021) to discuss and obtain public feedback on PG&amp;E’s </w:t>
      </w:r>
      <w:r w:rsidRPr="005525B7" w:rsidR="008606D5">
        <w:rPr>
          <w:rFonts w:ascii="Times New Roman" w:hAnsi="Times New Roman" w:eastAsia="Book Antiqua"/>
          <w:szCs w:val="26"/>
        </w:rPr>
        <w:t>CAP</w:t>
      </w:r>
      <w:r w:rsidRPr="005525B7" w:rsidR="00E26ABA">
        <w:rPr>
          <w:rFonts w:ascii="Times New Roman" w:hAnsi="Times New Roman" w:eastAsia="Book Antiqua"/>
          <w:szCs w:val="26"/>
        </w:rPr>
        <w:t xml:space="preserve"> and the subsequent 90</w:t>
      </w:r>
      <w:r w:rsidRPr="005525B7" w:rsidR="00CA2F63">
        <w:rPr>
          <w:rFonts w:ascii="Times New Roman" w:hAnsi="Times New Roman" w:eastAsia="Book Antiqua"/>
          <w:szCs w:val="26"/>
        </w:rPr>
        <w:t>-day updates</w:t>
      </w:r>
      <w:r w:rsidRPr="005525B7">
        <w:rPr>
          <w:rFonts w:ascii="Times New Roman" w:hAnsi="Times New Roman"/>
          <w:szCs w:val="26"/>
          <w:lang w:val="en-ZW"/>
        </w:rPr>
        <w:t xml:space="preserve">. </w:t>
      </w:r>
      <w:r w:rsidRPr="005525B7" w:rsidR="00AB08A9">
        <w:rPr>
          <w:rFonts w:ascii="Times New Roman" w:hAnsi="Times New Roman"/>
          <w:szCs w:val="26"/>
          <w:lang w:val="en-ZW"/>
        </w:rPr>
        <w:t xml:space="preserve"> </w:t>
      </w:r>
      <w:r w:rsidRPr="005525B7" w:rsidR="00757462">
        <w:rPr>
          <w:rFonts w:ascii="Times New Roman" w:hAnsi="Times New Roman"/>
          <w:szCs w:val="26"/>
        </w:rPr>
        <w:t>Commission s</w:t>
      </w:r>
      <w:r w:rsidRPr="005525B7">
        <w:rPr>
          <w:rFonts w:ascii="Times New Roman" w:hAnsi="Times New Roman"/>
          <w:szCs w:val="26"/>
        </w:rPr>
        <w:t xml:space="preserve">taff submitted 12 data requests </w:t>
      </w:r>
      <w:r w:rsidRPr="005525B7" w:rsidR="00A60554">
        <w:rPr>
          <w:rFonts w:ascii="Times New Roman" w:hAnsi="Times New Roman"/>
          <w:szCs w:val="26"/>
        </w:rPr>
        <w:t xml:space="preserve">and analyzed PG&amp;E’s responses, </w:t>
      </w:r>
      <w:r w:rsidRPr="005525B7">
        <w:rPr>
          <w:rFonts w:ascii="Times New Roman" w:hAnsi="Times New Roman"/>
          <w:szCs w:val="26"/>
        </w:rPr>
        <w:t xml:space="preserve">and conducted a field visit to PG&amp;E’s EVM and Wildfire Command Center. </w:t>
      </w:r>
      <w:r w:rsidRPr="005525B7" w:rsidR="00AB08A9">
        <w:rPr>
          <w:rFonts w:ascii="Times New Roman" w:hAnsi="Times New Roman"/>
          <w:szCs w:val="26"/>
        </w:rPr>
        <w:t xml:space="preserve"> </w:t>
      </w:r>
      <w:r w:rsidRPr="005525B7" w:rsidR="009A4B82">
        <w:rPr>
          <w:rFonts w:ascii="Times New Roman" w:hAnsi="Times New Roman"/>
          <w:szCs w:val="26"/>
        </w:rPr>
        <w:t>Commission</w:t>
      </w:r>
      <w:r w:rsidRPr="005525B7">
        <w:rPr>
          <w:rFonts w:ascii="Times New Roman" w:hAnsi="Times New Roman"/>
          <w:szCs w:val="26"/>
        </w:rPr>
        <w:t xml:space="preserve"> and </w:t>
      </w:r>
      <w:r w:rsidRPr="005525B7">
        <w:rPr>
          <w:rFonts w:ascii="Times New Roman" w:hAnsi="Times New Roman"/>
          <w:szCs w:val="26"/>
          <w:lang w:val="en-ZW"/>
        </w:rPr>
        <w:t xml:space="preserve">Energy Safety </w:t>
      </w:r>
      <w:r w:rsidRPr="005525B7" w:rsidR="007F3682">
        <w:rPr>
          <w:rFonts w:ascii="Times New Roman" w:hAnsi="Times New Roman"/>
          <w:szCs w:val="26"/>
          <w:lang w:val="en-ZW"/>
        </w:rPr>
        <w:t>s</w:t>
      </w:r>
      <w:r w:rsidRPr="005525B7">
        <w:rPr>
          <w:rFonts w:ascii="Times New Roman" w:hAnsi="Times New Roman"/>
          <w:szCs w:val="26"/>
          <w:lang w:val="en-ZW"/>
        </w:rPr>
        <w:t xml:space="preserve">taff also interviewed </w:t>
      </w:r>
      <w:r w:rsidRPr="005525B7" w:rsidR="00EE4E68">
        <w:rPr>
          <w:rFonts w:ascii="Times New Roman" w:hAnsi="Times New Roman"/>
          <w:szCs w:val="26"/>
          <w:lang w:val="en-ZW"/>
        </w:rPr>
        <w:t xml:space="preserve">managers from </w:t>
      </w:r>
      <w:r w:rsidRPr="005525B7">
        <w:rPr>
          <w:rFonts w:ascii="Times New Roman" w:hAnsi="Times New Roman"/>
          <w:szCs w:val="26"/>
          <w:lang w:val="en-ZW"/>
        </w:rPr>
        <w:t>PG&amp;E</w:t>
      </w:r>
      <w:r w:rsidRPr="005525B7" w:rsidR="006F1894">
        <w:rPr>
          <w:rFonts w:ascii="Times New Roman" w:hAnsi="Times New Roman"/>
          <w:szCs w:val="26"/>
          <w:lang w:val="en-ZW"/>
        </w:rPr>
        <w:t>’s</w:t>
      </w:r>
      <w:r w:rsidRPr="005525B7">
        <w:rPr>
          <w:rFonts w:ascii="Times New Roman" w:hAnsi="Times New Roman"/>
          <w:szCs w:val="26"/>
          <w:lang w:val="en-ZW"/>
        </w:rPr>
        <w:t xml:space="preserve"> </w:t>
      </w:r>
      <w:r w:rsidRPr="005525B7" w:rsidR="00AB08A9">
        <w:rPr>
          <w:rFonts w:ascii="Times New Roman" w:hAnsi="Times New Roman"/>
          <w:szCs w:val="26"/>
          <w:lang w:val="en-ZW"/>
        </w:rPr>
        <w:t>v</w:t>
      </w:r>
      <w:r w:rsidRPr="005525B7">
        <w:rPr>
          <w:rFonts w:ascii="Times New Roman" w:hAnsi="Times New Roman"/>
          <w:szCs w:val="26"/>
          <w:lang w:val="en-ZW"/>
        </w:rPr>
        <w:t xml:space="preserve">egetation </w:t>
      </w:r>
      <w:r w:rsidRPr="005525B7" w:rsidR="00AB08A9">
        <w:rPr>
          <w:rFonts w:ascii="Times New Roman" w:hAnsi="Times New Roman"/>
          <w:szCs w:val="26"/>
          <w:lang w:val="en-ZW"/>
        </w:rPr>
        <w:t>m</w:t>
      </w:r>
      <w:r w:rsidRPr="005525B7">
        <w:rPr>
          <w:rFonts w:ascii="Times New Roman" w:hAnsi="Times New Roman"/>
          <w:szCs w:val="26"/>
          <w:lang w:val="en-ZW"/>
        </w:rPr>
        <w:t>anagement</w:t>
      </w:r>
      <w:r w:rsidRPr="005525B7" w:rsidR="00AB08A9">
        <w:rPr>
          <w:rFonts w:ascii="Times New Roman" w:hAnsi="Times New Roman"/>
          <w:szCs w:val="26"/>
          <w:lang w:val="en-ZW"/>
        </w:rPr>
        <w:t xml:space="preserve"> </w:t>
      </w:r>
      <w:r w:rsidRPr="005525B7" w:rsidR="00EE4E68">
        <w:rPr>
          <w:rFonts w:ascii="Times New Roman" w:hAnsi="Times New Roman"/>
          <w:szCs w:val="26"/>
          <w:lang w:val="en-ZW"/>
        </w:rPr>
        <w:t>program</w:t>
      </w:r>
      <w:r w:rsidRPr="005525B7">
        <w:rPr>
          <w:rFonts w:ascii="Times New Roman" w:hAnsi="Times New Roman"/>
          <w:szCs w:val="26"/>
          <w:lang w:val="en-ZW"/>
        </w:rPr>
        <w:t xml:space="preserve">, EVM </w:t>
      </w:r>
      <w:r w:rsidRPr="005525B7" w:rsidR="007F3682">
        <w:rPr>
          <w:rFonts w:ascii="Times New Roman" w:hAnsi="Times New Roman"/>
          <w:szCs w:val="26"/>
          <w:lang w:val="en-ZW"/>
        </w:rPr>
        <w:t>s</w:t>
      </w:r>
      <w:r w:rsidRPr="005525B7">
        <w:rPr>
          <w:rFonts w:ascii="Times New Roman" w:hAnsi="Times New Roman"/>
          <w:szCs w:val="26"/>
          <w:lang w:val="en-ZW"/>
        </w:rPr>
        <w:t>taff, and contractors</w:t>
      </w:r>
      <w:r w:rsidRPr="005525B7">
        <w:rPr>
          <w:rFonts w:ascii="Times New Roman" w:hAnsi="Times New Roman"/>
          <w:szCs w:val="26"/>
        </w:rPr>
        <w:t xml:space="preserve"> to understand how PG&amp;E schedules, assigns work, and communicates priorities to EVM work crews. </w:t>
      </w:r>
      <w:r w:rsidRPr="005525B7" w:rsidR="00AB08A9">
        <w:rPr>
          <w:rFonts w:ascii="Times New Roman" w:hAnsi="Times New Roman"/>
          <w:szCs w:val="26"/>
        </w:rPr>
        <w:t xml:space="preserve"> </w:t>
      </w:r>
      <w:r w:rsidRPr="005525B7" w:rsidR="00632F8A">
        <w:rPr>
          <w:rFonts w:ascii="Times New Roman" w:hAnsi="Times New Roman"/>
          <w:szCs w:val="26"/>
        </w:rPr>
        <w:t>Commission</w:t>
      </w:r>
      <w:r w:rsidRPr="005525B7">
        <w:rPr>
          <w:rFonts w:ascii="Times New Roman" w:hAnsi="Times New Roman"/>
          <w:szCs w:val="26"/>
        </w:rPr>
        <w:t xml:space="preserve"> and Energy Safety </w:t>
      </w:r>
      <w:r w:rsidRPr="005525B7" w:rsidR="007F3682">
        <w:rPr>
          <w:rFonts w:ascii="Times New Roman" w:hAnsi="Times New Roman"/>
          <w:szCs w:val="26"/>
        </w:rPr>
        <w:t>s</w:t>
      </w:r>
      <w:r w:rsidRPr="005525B7">
        <w:rPr>
          <w:rFonts w:ascii="Times New Roman" w:hAnsi="Times New Roman"/>
          <w:szCs w:val="26"/>
        </w:rPr>
        <w:t>taff also attended PG&amp;E’s Daily Operating Reviews between EVM contract</w:t>
      </w:r>
      <w:r w:rsidRPr="005525B7" w:rsidR="00AB08A9">
        <w:rPr>
          <w:rFonts w:ascii="Times New Roman" w:hAnsi="Times New Roman"/>
          <w:szCs w:val="26"/>
        </w:rPr>
        <w:t>ors</w:t>
      </w:r>
      <w:r w:rsidRPr="005525B7">
        <w:rPr>
          <w:rFonts w:ascii="Times New Roman" w:hAnsi="Times New Roman"/>
          <w:szCs w:val="26"/>
        </w:rPr>
        <w:t xml:space="preserve"> and PG&amp;E staff to assess how PG&amp;E tracked EVM work progress, targets, and set schedules for work</w:t>
      </w:r>
      <w:r w:rsidRPr="005525B7" w:rsidR="00267CF4">
        <w:rPr>
          <w:rFonts w:ascii="Times New Roman" w:hAnsi="Times New Roman"/>
          <w:szCs w:val="26"/>
        </w:rPr>
        <w:t xml:space="preserve">. </w:t>
      </w:r>
    </w:p>
    <w:p w:rsidRPr="005525B7" w:rsidR="009C71FA" w:rsidP="00813C05" w:rsidRDefault="009C71FA" w14:paraId="63A3B5E2" w14:textId="77777777">
      <w:pPr>
        <w:rPr>
          <w:rFonts w:ascii="Times New Roman" w:hAnsi="Times New Roman"/>
          <w:szCs w:val="26"/>
        </w:rPr>
      </w:pPr>
    </w:p>
    <w:p w:rsidRPr="005525B7" w:rsidR="00851838" w:rsidP="00851838" w:rsidRDefault="00851838" w14:paraId="7E91CC72" w14:textId="77777777">
      <w:pPr>
        <w:rPr>
          <w:rFonts w:ascii="Times New Roman" w:hAnsi="Times New Roman"/>
          <w:szCs w:val="26"/>
        </w:rPr>
      </w:pPr>
      <w:r w:rsidRPr="005525B7">
        <w:rPr>
          <w:rFonts w:ascii="Times New Roman" w:hAnsi="Times New Roman"/>
          <w:szCs w:val="26"/>
        </w:rPr>
        <w:t xml:space="preserve">As noted in Resolution M-4852, D.20-05-053 provides: </w:t>
      </w:r>
    </w:p>
    <w:p w:rsidRPr="005525B7" w:rsidR="00851838" w:rsidP="00851838" w:rsidRDefault="00851838" w14:paraId="3A5D27BA" w14:textId="77777777">
      <w:pPr>
        <w:rPr>
          <w:rFonts w:ascii="Times New Roman" w:hAnsi="Times New Roman"/>
          <w:szCs w:val="26"/>
        </w:rPr>
      </w:pPr>
      <w:r w:rsidRPr="005525B7">
        <w:rPr>
          <w:rFonts w:ascii="Times New Roman" w:hAnsi="Times New Roman"/>
          <w:szCs w:val="26"/>
        </w:rPr>
        <w:t xml:space="preserve"> </w:t>
      </w:r>
    </w:p>
    <w:p w:rsidRPr="005525B7" w:rsidR="00851838" w:rsidP="000A57B0" w:rsidRDefault="00851838" w14:paraId="35386E3C" w14:textId="589A689F">
      <w:pPr>
        <w:ind w:left="720" w:right="720"/>
        <w:rPr>
          <w:rFonts w:ascii="Times New Roman" w:hAnsi="Times New Roman"/>
          <w:szCs w:val="26"/>
        </w:rPr>
      </w:pPr>
      <w:r w:rsidRPr="005525B7">
        <w:rPr>
          <w:rFonts w:ascii="Times New Roman" w:hAnsi="Times New Roman"/>
          <w:szCs w:val="26"/>
        </w:rPr>
        <w:t>PG&amp;E shall exit from Step 1 of the Process upon issuance of a Commission Resolution finding that PG&amp;E has met the conditions of its Corrective Action Plan within the required timeframe.</w:t>
      </w:r>
      <w:r w:rsidRPr="005525B7" w:rsidR="00C4145E">
        <w:rPr>
          <w:rStyle w:val="FootnoteReference"/>
          <w:rFonts w:ascii="Times New Roman" w:hAnsi="Times New Roman"/>
          <w:b/>
          <w:bCs/>
          <w:szCs w:val="26"/>
          <w:u w:val="single"/>
        </w:rPr>
        <w:footnoteReference w:id="6"/>
      </w:r>
      <w:r w:rsidRPr="005525B7">
        <w:rPr>
          <w:rFonts w:ascii="Times New Roman" w:hAnsi="Times New Roman"/>
          <w:szCs w:val="26"/>
        </w:rPr>
        <w:t xml:space="preserve">   </w:t>
      </w:r>
    </w:p>
    <w:p w:rsidRPr="005525B7" w:rsidR="00A54DDD" w:rsidP="00813C05" w:rsidRDefault="00A54DDD" w14:paraId="04B573EA" w14:textId="77777777">
      <w:pPr>
        <w:rPr>
          <w:rFonts w:ascii="Times New Roman" w:hAnsi="Times New Roman"/>
          <w:szCs w:val="26"/>
        </w:rPr>
      </w:pPr>
    </w:p>
    <w:p w:rsidRPr="005525B7" w:rsidR="00813C05" w:rsidP="00813C05" w:rsidRDefault="007B13FD" w14:paraId="04A61671" w14:textId="6A483C44">
      <w:pPr>
        <w:rPr>
          <w:rFonts w:ascii="Times New Roman" w:hAnsi="Times New Roman" w:eastAsia="Book Antiqua"/>
          <w:szCs w:val="26"/>
        </w:rPr>
      </w:pPr>
      <w:r w:rsidRPr="005525B7">
        <w:rPr>
          <w:rFonts w:ascii="Times New Roman" w:hAnsi="Times New Roman"/>
          <w:szCs w:val="26"/>
        </w:rPr>
        <w:lastRenderedPageBreak/>
        <w:t>T</w:t>
      </w:r>
      <w:r w:rsidRPr="005525B7" w:rsidR="00A1281A">
        <w:rPr>
          <w:rFonts w:ascii="Times New Roman" w:hAnsi="Times New Roman"/>
          <w:szCs w:val="26"/>
        </w:rPr>
        <w:t xml:space="preserve">he Commission finds that </w:t>
      </w:r>
      <w:r w:rsidRPr="005525B7" w:rsidR="008108EC">
        <w:rPr>
          <w:rFonts w:ascii="Times New Roman" w:hAnsi="Times New Roman"/>
          <w:szCs w:val="26"/>
        </w:rPr>
        <w:t>PG&amp;E</w:t>
      </w:r>
      <w:r w:rsidRPr="005525B7" w:rsidR="000D6F87">
        <w:rPr>
          <w:rFonts w:ascii="Times New Roman" w:hAnsi="Times New Roman"/>
          <w:szCs w:val="26"/>
        </w:rPr>
        <w:t xml:space="preserve"> has </w:t>
      </w:r>
      <w:r w:rsidRPr="005525B7" w:rsidR="0048072D">
        <w:rPr>
          <w:rFonts w:ascii="Times New Roman" w:hAnsi="Times New Roman"/>
          <w:szCs w:val="26"/>
        </w:rPr>
        <w:t xml:space="preserve">met the requirements </w:t>
      </w:r>
      <w:r w:rsidRPr="005525B7" w:rsidR="00E24157">
        <w:rPr>
          <w:rFonts w:ascii="Times New Roman" w:hAnsi="Times New Roman"/>
          <w:szCs w:val="26"/>
        </w:rPr>
        <w:t xml:space="preserve">of the CAP approved by the Executive Director, as </w:t>
      </w:r>
      <w:r w:rsidRPr="005525B7" w:rsidR="0048072D">
        <w:rPr>
          <w:rFonts w:ascii="Times New Roman" w:hAnsi="Times New Roman"/>
          <w:szCs w:val="26"/>
        </w:rPr>
        <w:t xml:space="preserve">set forth in </w:t>
      </w:r>
      <w:r w:rsidRPr="005525B7" w:rsidR="00AB08A9">
        <w:rPr>
          <w:rFonts w:ascii="Times New Roman" w:hAnsi="Times New Roman"/>
          <w:szCs w:val="26"/>
        </w:rPr>
        <w:t xml:space="preserve">Resolution </w:t>
      </w:r>
      <w:r w:rsidRPr="005525B7" w:rsidR="0048072D">
        <w:rPr>
          <w:rFonts w:ascii="Times New Roman" w:hAnsi="Times New Roman"/>
          <w:szCs w:val="26"/>
        </w:rPr>
        <w:t>M-4852.</w:t>
      </w:r>
      <w:r w:rsidRPr="005525B7" w:rsidR="00813C05">
        <w:rPr>
          <w:rFonts w:ascii="Times New Roman" w:hAnsi="Times New Roman"/>
          <w:szCs w:val="26"/>
        </w:rPr>
        <w:t xml:space="preserve"> </w:t>
      </w:r>
      <w:r w:rsidRPr="005525B7" w:rsidR="00AB08A9">
        <w:rPr>
          <w:rFonts w:ascii="Times New Roman" w:hAnsi="Times New Roman"/>
          <w:szCs w:val="26"/>
        </w:rPr>
        <w:t xml:space="preserve"> </w:t>
      </w:r>
      <w:r w:rsidRPr="005525B7" w:rsidR="00F4762B">
        <w:rPr>
          <w:rFonts w:ascii="Times New Roman" w:hAnsi="Times New Roman"/>
          <w:szCs w:val="26"/>
        </w:rPr>
        <w:t>T</w:t>
      </w:r>
      <w:r w:rsidRPr="005525B7" w:rsidR="00813C05">
        <w:rPr>
          <w:rFonts w:ascii="Times New Roman" w:hAnsi="Times New Roman"/>
          <w:szCs w:val="26"/>
        </w:rPr>
        <w:t xml:space="preserve">he Commission </w:t>
      </w:r>
      <w:r w:rsidRPr="005525B7" w:rsidR="0059268D">
        <w:rPr>
          <w:rFonts w:ascii="Times New Roman" w:hAnsi="Times New Roman"/>
          <w:szCs w:val="26"/>
        </w:rPr>
        <w:t xml:space="preserve">accordingly </w:t>
      </w:r>
      <w:r w:rsidRPr="005525B7" w:rsidR="00813C05">
        <w:rPr>
          <w:rFonts w:ascii="Times New Roman" w:hAnsi="Times New Roman"/>
          <w:szCs w:val="26"/>
        </w:rPr>
        <w:t>authorize</w:t>
      </w:r>
      <w:r w:rsidRPr="005525B7" w:rsidR="00810792">
        <w:rPr>
          <w:rFonts w:ascii="Times New Roman" w:hAnsi="Times New Roman"/>
          <w:szCs w:val="26"/>
        </w:rPr>
        <w:t>s PG&amp;E</w:t>
      </w:r>
      <w:r w:rsidRPr="005525B7" w:rsidR="00813C05">
        <w:rPr>
          <w:rFonts w:ascii="Times New Roman" w:hAnsi="Times New Roman"/>
          <w:szCs w:val="26"/>
        </w:rPr>
        <w:t xml:space="preserve"> to exit Step 1 of the EOE Process.  </w:t>
      </w:r>
      <w:r w:rsidRPr="005525B7" w:rsidR="00F43CD0">
        <w:rPr>
          <w:rFonts w:ascii="Times New Roman" w:hAnsi="Times New Roman"/>
          <w:szCs w:val="26"/>
        </w:rPr>
        <w:t xml:space="preserve">This </w:t>
      </w:r>
      <w:r w:rsidRPr="005525B7" w:rsidR="004A0AD9">
        <w:rPr>
          <w:rFonts w:ascii="Times New Roman" w:hAnsi="Times New Roman"/>
          <w:szCs w:val="26"/>
        </w:rPr>
        <w:t>R</w:t>
      </w:r>
      <w:r w:rsidRPr="005525B7" w:rsidR="00F43CD0">
        <w:rPr>
          <w:rFonts w:ascii="Times New Roman" w:hAnsi="Times New Roman"/>
          <w:szCs w:val="26"/>
        </w:rPr>
        <w:t xml:space="preserve">esolution does not </w:t>
      </w:r>
      <w:r w:rsidRPr="005525B7" w:rsidR="00C45E31">
        <w:rPr>
          <w:rFonts w:ascii="Times New Roman" w:hAnsi="Times New Roman"/>
          <w:szCs w:val="26"/>
        </w:rPr>
        <w:t xml:space="preserve">affect </w:t>
      </w:r>
      <w:r w:rsidRPr="005525B7" w:rsidR="00F43CD0">
        <w:rPr>
          <w:rFonts w:ascii="Times New Roman" w:hAnsi="Times New Roman"/>
          <w:szCs w:val="26"/>
        </w:rPr>
        <w:t>the Commission’s existing compliance or enforcement authority.</w:t>
      </w:r>
    </w:p>
    <w:p w:rsidRPr="005525B7" w:rsidR="001E7AE5" w:rsidP="00494A4D" w:rsidRDefault="001E7AE5" w14:paraId="7EDE4638" w14:textId="77777777">
      <w:pPr>
        <w:rPr>
          <w:rFonts w:ascii="Times New Roman" w:hAnsi="Times New Roman" w:eastAsia="Book Antiqua"/>
          <w:b/>
          <w:szCs w:val="26"/>
        </w:rPr>
      </w:pPr>
    </w:p>
    <w:p w:rsidRPr="005525B7" w:rsidR="00851838" w:rsidP="00494A4D" w:rsidRDefault="00851838" w14:paraId="49D0BDF4" w14:textId="55B0E8C2">
      <w:pPr>
        <w:rPr>
          <w:rFonts w:ascii="Times New Roman" w:hAnsi="Times New Roman" w:eastAsia="Book Antiqua"/>
          <w:b/>
          <w:bCs/>
          <w:szCs w:val="26"/>
          <w:u w:val="single"/>
        </w:rPr>
      </w:pPr>
      <w:r w:rsidRPr="005525B7">
        <w:rPr>
          <w:rFonts w:ascii="Times New Roman" w:hAnsi="Times New Roman" w:eastAsia="Book Antiqua"/>
          <w:b/>
          <w:bCs/>
          <w:szCs w:val="26"/>
          <w:u w:val="single"/>
        </w:rPr>
        <w:t>DISCUSSION</w:t>
      </w:r>
    </w:p>
    <w:p w:rsidRPr="005525B7" w:rsidR="00851838" w:rsidP="00494A4D" w:rsidRDefault="00851838" w14:paraId="6499CB41" w14:textId="77777777">
      <w:pPr>
        <w:rPr>
          <w:rFonts w:ascii="Times New Roman" w:hAnsi="Times New Roman" w:eastAsia="Book Antiqua"/>
          <w:b/>
          <w:bCs/>
          <w:szCs w:val="26"/>
        </w:rPr>
      </w:pPr>
    </w:p>
    <w:p w:rsidRPr="005525B7" w:rsidR="00AF28AD" w:rsidP="00494A4D" w:rsidRDefault="00AF28AD" w14:paraId="41DBFBF2" w14:textId="33584DEF">
      <w:pPr>
        <w:rPr>
          <w:rFonts w:ascii="Times New Roman" w:hAnsi="Times New Roman" w:eastAsia="Book Antiqua"/>
          <w:b/>
          <w:bCs/>
          <w:szCs w:val="26"/>
        </w:rPr>
      </w:pPr>
      <w:r w:rsidRPr="005525B7">
        <w:rPr>
          <w:rFonts w:ascii="Times New Roman" w:hAnsi="Times New Roman" w:eastAsia="Book Antiqua"/>
          <w:b/>
          <w:bCs/>
          <w:szCs w:val="26"/>
        </w:rPr>
        <w:t xml:space="preserve">Summary of </w:t>
      </w:r>
      <w:r w:rsidRPr="005525B7" w:rsidR="00851838">
        <w:rPr>
          <w:rFonts w:ascii="Times New Roman" w:hAnsi="Times New Roman" w:eastAsia="Book Antiqua"/>
          <w:b/>
          <w:bCs/>
          <w:szCs w:val="26"/>
        </w:rPr>
        <w:t>PG&amp;E’s CAP Reporting</w:t>
      </w:r>
    </w:p>
    <w:p w:rsidRPr="005525B7" w:rsidR="003E3594" w:rsidP="00457090" w:rsidRDefault="003E3594" w14:paraId="24BC1B2D" w14:textId="77777777">
      <w:pPr>
        <w:widowControl w:val="0"/>
        <w:tabs>
          <w:tab w:val="left" w:pos="863"/>
        </w:tabs>
        <w:kinsoku w:val="0"/>
        <w:overflowPunct w:val="0"/>
        <w:autoSpaceDE w:val="0"/>
        <w:autoSpaceDN w:val="0"/>
        <w:adjustRightInd w:val="0"/>
        <w:spacing w:before="4"/>
        <w:ind w:right="195"/>
        <w:rPr>
          <w:rFonts w:ascii="Times New Roman" w:hAnsi="Times New Roman"/>
          <w:szCs w:val="26"/>
        </w:rPr>
      </w:pPr>
    </w:p>
    <w:p w:rsidRPr="005525B7" w:rsidR="003E3594" w:rsidP="00457090" w:rsidRDefault="00D52D01" w14:paraId="19D9A00F" w14:textId="7526B50C">
      <w:pPr>
        <w:widowControl w:val="0"/>
        <w:tabs>
          <w:tab w:val="left" w:pos="863"/>
        </w:tabs>
        <w:kinsoku w:val="0"/>
        <w:overflowPunct w:val="0"/>
        <w:autoSpaceDE w:val="0"/>
        <w:autoSpaceDN w:val="0"/>
        <w:adjustRightInd w:val="0"/>
        <w:spacing w:before="4"/>
        <w:ind w:right="195"/>
        <w:rPr>
          <w:rFonts w:ascii="Times New Roman" w:hAnsi="Times New Roman"/>
          <w:szCs w:val="26"/>
        </w:rPr>
      </w:pPr>
      <w:r w:rsidRPr="005525B7">
        <w:rPr>
          <w:rFonts w:ascii="Times New Roman" w:hAnsi="Times New Roman"/>
          <w:szCs w:val="26"/>
        </w:rPr>
        <w:t xml:space="preserve">Of PG&amp;E’s 99,000 circuit miles of electric distribution and transmission system approximately 25,500 distribution circuit miles are </w:t>
      </w:r>
      <w:r w:rsidRPr="005525B7" w:rsidR="00DF724B">
        <w:rPr>
          <w:rFonts w:ascii="Times New Roman" w:hAnsi="Times New Roman"/>
          <w:szCs w:val="26"/>
        </w:rPr>
        <w:t>located</w:t>
      </w:r>
      <w:r w:rsidRPr="005525B7">
        <w:rPr>
          <w:rFonts w:ascii="Times New Roman" w:hAnsi="Times New Roman"/>
          <w:szCs w:val="26"/>
        </w:rPr>
        <w:t xml:space="preserve"> within </w:t>
      </w:r>
      <w:r w:rsidRPr="005525B7" w:rsidR="00E22C03">
        <w:rPr>
          <w:rFonts w:ascii="Times New Roman" w:hAnsi="Times New Roman"/>
          <w:szCs w:val="26"/>
        </w:rPr>
        <w:t>Commission</w:t>
      </w:r>
      <w:r w:rsidRPr="005525B7">
        <w:rPr>
          <w:rFonts w:ascii="Times New Roman" w:hAnsi="Times New Roman"/>
          <w:szCs w:val="26"/>
        </w:rPr>
        <w:t xml:space="preserve"> designated </w:t>
      </w:r>
      <w:r w:rsidRPr="005525B7" w:rsidR="007C1660">
        <w:rPr>
          <w:rFonts w:ascii="Times New Roman" w:hAnsi="Times New Roman"/>
          <w:szCs w:val="26"/>
        </w:rPr>
        <w:t>High Fire Threat Districts</w:t>
      </w:r>
      <w:r w:rsidRPr="005525B7" w:rsidR="00AE03CD">
        <w:rPr>
          <w:rFonts w:ascii="Times New Roman" w:hAnsi="Times New Roman"/>
          <w:szCs w:val="26"/>
        </w:rPr>
        <w:t>.</w:t>
      </w:r>
      <w:r w:rsidRPr="005525B7">
        <w:rPr>
          <w:rStyle w:val="StyleFootnoteReferenceofrStyle3o1o2o3o4o5o6o11o21o7"/>
          <w:szCs w:val="26"/>
        </w:rPr>
        <w:footnoteReference w:id="7"/>
      </w:r>
      <w:r w:rsidRPr="005525B7">
        <w:rPr>
          <w:rFonts w:ascii="Times New Roman" w:hAnsi="Times New Roman"/>
          <w:szCs w:val="26"/>
        </w:rPr>
        <w:t xml:space="preserve"> </w:t>
      </w:r>
      <w:r w:rsidRPr="005525B7" w:rsidR="00CF10AB">
        <w:rPr>
          <w:rFonts w:ascii="Times New Roman" w:hAnsi="Times New Roman"/>
          <w:szCs w:val="26"/>
        </w:rPr>
        <w:t xml:space="preserve"> </w:t>
      </w:r>
      <w:r w:rsidRPr="005525B7" w:rsidR="003E3594">
        <w:rPr>
          <w:rFonts w:ascii="Times New Roman" w:hAnsi="Times New Roman"/>
          <w:szCs w:val="26"/>
        </w:rPr>
        <w:t>The EVM program</w:t>
      </w:r>
      <w:r w:rsidRPr="005525B7" w:rsidR="00B4792D">
        <w:rPr>
          <w:rFonts w:ascii="Times New Roman" w:hAnsi="Times New Roman"/>
          <w:szCs w:val="26"/>
        </w:rPr>
        <w:t xml:space="preserve"> is one of </w:t>
      </w:r>
      <w:r w:rsidRPr="005525B7" w:rsidR="00960575">
        <w:rPr>
          <w:rFonts w:ascii="Times New Roman" w:hAnsi="Times New Roman"/>
          <w:szCs w:val="26"/>
        </w:rPr>
        <w:t>PG&amp;E’s</w:t>
      </w:r>
      <w:r w:rsidRPr="005525B7" w:rsidR="002F274E">
        <w:rPr>
          <w:rFonts w:ascii="Times New Roman" w:hAnsi="Times New Roman"/>
          <w:szCs w:val="26"/>
        </w:rPr>
        <w:t xml:space="preserve"> major</w:t>
      </w:r>
      <w:r w:rsidRPr="005525B7" w:rsidR="00960575">
        <w:rPr>
          <w:rFonts w:ascii="Times New Roman" w:hAnsi="Times New Roman"/>
          <w:szCs w:val="26"/>
        </w:rPr>
        <w:t xml:space="preserve"> strategies in mitigating</w:t>
      </w:r>
      <w:r w:rsidRPr="005525B7" w:rsidR="00F52A84">
        <w:rPr>
          <w:rFonts w:ascii="Times New Roman" w:hAnsi="Times New Roman"/>
          <w:szCs w:val="26"/>
        </w:rPr>
        <w:t xml:space="preserve"> wildfire risks attributed to</w:t>
      </w:r>
      <w:r w:rsidRPr="005525B7" w:rsidR="00960575">
        <w:rPr>
          <w:rFonts w:ascii="Times New Roman" w:hAnsi="Times New Roman"/>
          <w:szCs w:val="26"/>
        </w:rPr>
        <w:t xml:space="preserve"> overhead distribution </w:t>
      </w:r>
      <w:r w:rsidRPr="005525B7" w:rsidR="00B105C6">
        <w:rPr>
          <w:rFonts w:ascii="Times New Roman" w:hAnsi="Times New Roman"/>
          <w:szCs w:val="26"/>
        </w:rPr>
        <w:t>equipment</w:t>
      </w:r>
      <w:r w:rsidRPr="005525B7" w:rsidR="003C1BF5">
        <w:rPr>
          <w:rFonts w:ascii="Times New Roman" w:hAnsi="Times New Roman"/>
          <w:szCs w:val="26"/>
        </w:rPr>
        <w:t xml:space="preserve"> in PG&amp;E’s </w:t>
      </w:r>
      <w:r w:rsidRPr="005525B7" w:rsidR="00A5133A">
        <w:rPr>
          <w:rFonts w:ascii="Times New Roman" w:hAnsi="Times New Roman"/>
          <w:szCs w:val="26"/>
        </w:rPr>
        <w:t>High Fire Threat Districts</w:t>
      </w:r>
      <w:r w:rsidRPr="005525B7" w:rsidR="007C1660">
        <w:rPr>
          <w:rFonts w:ascii="Times New Roman" w:hAnsi="Times New Roman"/>
          <w:szCs w:val="26"/>
        </w:rPr>
        <w:t xml:space="preserve"> areas</w:t>
      </w:r>
      <w:r w:rsidRPr="005525B7" w:rsidR="00627E0F">
        <w:rPr>
          <w:rStyle w:val="StyleFootnoteReferenceofrStyle3o1o2o3o4o5o6o11o21o7"/>
          <w:szCs w:val="26"/>
        </w:rPr>
        <w:footnoteReference w:id="8"/>
      </w:r>
      <w:r w:rsidRPr="005525B7" w:rsidR="00604AEC">
        <w:rPr>
          <w:rFonts w:ascii="Times New Roman" w:hAnsi="Times New Roman"/>
          <w:szCs w:val="26"/>
        </w:rPr>
        <w:t xml:space="preserve"> and t</w:t>
      </w:r>
      <w:r w:rsidRPr="005525B7" w:rsidR="007E63DF">
        <w:rPr>
          <w:rFonts w:ascii="Times New Roman" w:hAnsi="Times New Roman"/>
          <w:szCs w:val="26"/>
        </w:rPr>
        <w:t xml:space="preserve">he goal of completing 1,800 </w:t>
      </w:r>
      <w:r w:rsidRPr="005525B7" w:rsidR="00AB06FD">
        <w:rPr>
          <w:rFonts w:ascii="Times New Roman" w:hAnsi="Times New Roman"/>
          <w:szCs w:val="26"/>
        </w:rPr>
        <w:t xml:space="preserve">high-risk </w:t>
      </w:r>
      <w:r w:rsidRPr="005525B7" w:rsidR="008B224E">
        <w:rPr>
          <w:rFonts w:ascii="Times New Roman" w:hAnsi="Times New Roman"/>
          <w:szCs w:val="26"/>
        </w:rPr>
        <w:t xml:space="preserve">circuit </w:t>
      </w:r>
      <w:r w:rsidRPr="005525B7" w:rsidR="00AB06FD">
        <w:rPr>
          <w:rFonts w:ascii="Times New Roman" w:hAnsi="Times New Roman"/>
          <w:szCs w:val="26"/>
        </w:rPr>
        <w:t>miles</w:t>
      </w:r>
      <w:r w:rsidRPr="005525B7" w:rsidR="00604AEC">
        <w:rPr>
          <w:rFonts w:ascii="Times New Roman" w:hAnsi="Times New Roman"/>
          <w:szCs w:val="26"/>
        </w:rPr>
        <w:t xml:space="preserve"> represents one of PG&amp;E’s commitments in its 2021 WMP</w:t>
      </w:r>
      <w:r w:rsidRPr="005525B7" w:rsidR="00CE0FDF">
        <w:rPr>
          <w:rFonts w:ascii="Times New Roman" w:hAnsi="Times New Roman"/>
          <w:szCs w:val="26"/>
        </w:rPr>
        <w:t>.</w:t>
      </w:r>
      <w:r w:rsidRPr="005525B7" w:rsidR="00590F59">
        <w:rPr>
          <w:rStyle w:val="StyleFootnoteReferenceofrStyle3o1o2o3o4o5o6o11o21o7"/>
          <w:szCs w:val="26"/>
        </w:rPr>
        <w:footnoteReference w:id="9"/>
      </w:r>
      <w:r w:rsidRPr="005525B7" w:rsidR="00074837">
        <w:rPr>
          <w:rFonts w:ascii="Times New Roman" w:hAnsi="Times New Roman"/>
          <w:szCs w:val="26"/>
        </w:rPr>
        <w:t xml:space="preserve"> </w:t>
      </w:r>
    </w:p>
    <w:p w:rsidRPr="005525B7" w:rsidR="00663766" w:rsidP="00494A4D" w:rsidRDefault="00663766" w14:paraId="6D605F62" w14:textId="2226EFE2">
      <w:pPr>
        <w:rPr>
          <w:rFonts w:ascii="Times New Roman" w:hAnsi="Times New Roman"/>
          <w:szCs w:val="26"/>
        </w:rPr>
      </w:pPr>
    </w:p>
    <w:p w:rsidRPr="005525B7" w:rsidR="003966A6" w:rsidP="003966A6" w:rsidRDefault="008E47F4" w14:paraId="607ED060" w14:textId="7C085238">
      <w:pPr>
        <w:rPr>
          <w:rFonts w:ascii="Times New Roman" w:hAnsi="Times New Roman"/>
          <w:szCs w:val="26"/>
        </w:rPr>
      </w:pPr>
      <w:r w:rsidRPr="005525B7">
        <w:rPr>
          <w:rFonts w:ascii="Times New Roman" w:hAnsi="Times New Roman"/>
          <w:szCs w:val="26"/>
          <w:lang w:val="en-ZW"/>
        </w:rPr>
        <w:t>PG&amp;E</w:t>
      </w:r>
      <w:r w:rsidRPr="005525B7" w:rsidR="00F91458">
        <w:rPr>
          <w:rFonts w:ascii="Times New Roman" w:hAnsi="Times New Roman"/>
          <w:szCs w:val="26"/>
          <w:lang w:val="en-ZW"/>
        </w:rPr>
        <w:t xml:space="preserve">’s </w:t>
      </w:r>
      <w:r w:rsidRPr="005525B7" w:rsidR="00880589">
        <w:rPr>
          <w:rFonts w:ascii="Times New Roman" w:hAnsi="Times New Roman"/>
          <w:szCs w:val="26"/>
          <w:lang w:val="en-ZW"/>
        </w:rPr>
        <w:t>goal</w:t>
      </w:r>
      <w:r w:rsidRPr="005525B7" w:rsidR="00F91458">
        <w:rPr>
          <w:rFonts w:ascii="Times New Roman" w:hAnsi="Times New Roman"/>
          <w:szCs w:val="26"/>
          <w:lang w:val="en-ZW"/>
        </w:rPr>
        <w:t xml:space="preserve"> was</w:t>
      </w:r>
      <w:r w:rsidRPr="005525B7" w:rsidR="00880589">
        <w:rPr>
          <w:rFonts w:ascii="Times New Roman" w:hAnsi="Times New Roman"/>
          <w:szCs w:val="26"/>
          <w:lang w:val="en-ZW"/>
        </w:rPr>
        <w:t xml:space="preserve"> </w:t>
      </w:r>
      <w:r w:rsidRPr="005525B7" w:rsidR="00A6041F">
        <w:rPr>
          <w:rFonts w:ascii="Times New Roman" w:hAnsi="Times New Roman"/>
          <w:szCs w:val="26"/>
          <w:lang w:val="en-ZW"/>
        </w:rPr>
        <w:t>to</w:t>
      </w:r>
      <w:r w:rsidRPr="005525B7" w:rsidR="003A175A">
        <w:rPr>
          <w:rFonts w:ascii="Times New Roman" w:hAnsi="Times New Roman"/>
          <w:szCs w:val="26"/>
        </w:rPr>
        <w:t xml:space="preserve"> perform more than 80 percent of its EVM work in the top 20 percent highest risk Circuit Protection Zones</w:t>
      </w:r>
      <w:r w:rsidRPr="005525B7" w:rsidR="008B2E57">
        <w:rPr>
          <w:rStyle w:val="StyleFootnoteReferenceofrStyle3o1o2o3o4o5o6o11o21o7"/>
          <w:szCs w:val="26"/>
        </w:rPr>
        <w:footnoteReference w:id="10"/>
      </w:r>
      <w:r w:rsidRPr="005525B7" w:rsidR="00A6041F">
        <w:rPr>
          <w:rFonts w:ascii="Times New Roman" w:hAnsi="Times New Roman"/>
          <w:szCs w:val="26"/>
        </w:rPr>
        <w:t xml:space="preserve"> in 2021.</w:t>
      </w:r>
      <w:r w:rsidRPr="005525B7" w:rsidR="003A175A">
        <w:rPr>
          <w:rFonts w:ascii="Times New Roman" w:hAnsi="Times New Roman"/>
          <w:szCs w:val="26"/>
          <w:lang w:val="en-ZW"/>
        </w:rPr>
        <w:t xml:space="preserve"> </w:t>
      </w:r>
      <w:r w:rsidRPr="005525B7" w:rsidR="00424A95">
        <w:rPr>
          <w:rFonts w:ascii="Times New Roman" w:hAnsi="Times New Roman"/>
          <w:szCs w:val="26"/>
          <w:lang w:val="en-ZW"/>
        </w:rPr>
        <w:t xml:space="preserve"> </w:t>
      </w:r>
      <w:r w:rsidRPr="005525B7" w:rsidR="00537E4D">
        <w:rPr>
          <w:rFonts w:ascii="Times New Roman" w:hAnsi="Times New Roman"/>
          <w:szCs w:val="26"/>
          <w:lang w:val="en-ZW"/>
        </w:rPr>
        <w:t xml:space="preserve">Table 1 </w:t>
      </w:r>
      <w:r w:rsidRPr="005525B7" w:rsidR="00DA590D">
        <w:rPr>
          <w:rFonts w:ascii="Times New Roman" w:hAnsi="Times New Roman"/>
          <w:szCs w:val="26"/>
          <w:lang w:val="en-ZW"/>
        </w:rPr>
        <w:t xml:space="preserve">below </w:t>
      </w:r>
      <w:r w:rsidRPr="005525B7" w:rsidR="00537E4D">
        <w:rPr>
          <w:rFonts w:ascii="Times New Roman" w:hAnsi="Times New Roman"/>
          <w:szCs w:val="26"/>
          <w:lang w:val="en-ZW"/>
        </w:rPr>
        <w:t xml:space="preserve">shows that </w:t>
      </w:r>
      <w:r w:rsidRPr="005525B7" w:rsidR="00F7666A">
        <w:rPr>
          <w:rFonts w:ascii="Times New Roman" w:hAnsi="Times New Roman"/>
          <w:szCs w:val="26"/>
          <w:lang w:val="en-ZW"/>
        </w:rPr>
        <w:t xml:space="preserve">in 2021 </w:t>
      </w:r>
      <w:r w:rsidRPr="005525B7" w:rsidR="003966A6">
        <w:rPr>
          <w:rFonts w:ascii="Times New Roman" w:hAnsi="Times New Roman"/>
          <w:szCs w:val="26"/>
        </w:rPr>
        <w:t>PG&amp;E</w:t>
      </w:r>
      <w:r w:rsidRPr="005525B7" w:rsidR="00300367">
        <w:rPr>
          <w:rFonts w:ascii="Times New Roman" w:hAnsi="Times New Roman"/>
          <w:szCs w:val="26"/>
        </w:rPr>
        <w:t xml:space="preserve"> </w:t>
      </w:r>
      <w:r w:rsidRPr="005525B7" w:rsidR="003966A6">
        <w:rPr>
          <w:rFonts w:ascii="Times New Roman" w:hAnsi="Times New Roman"/>
          <w:szCs w:val="26"/>
        </w:rPr>
        <w:t xml:space="preserve">completed </w:t>
      </w:r>
      <w:r w:rsidRPr="005525B7" w:rsidR="00790391">
        <w:rPr>
          <w:rFonts w:ascii="Times New Roman" w:hAnsi="Times New Roman"/>
          <w:szCs w:val="26"/>
          <w:lang w:val="en-ZW"/>
        </w:rPr>
        <w:t xml:space="preserve">98 percent of its 2021 EVM work in the </w:t>
      </w:r>
      <w:r w:rsidRPr="005525B7" w:rsidR="00C05956">
        <w:rPr>
          <w:rFonts w:ascii="Times New Roman" w:hAnsi="Times New Roman"/>
          <w:szCs w:val="26"/>
        </w:rPr>
        <w:t>top 20 percent highest risk Circuit Protection Zones</w:t>
      </w:r>
      <w:r w:rsidRPr="005525B7" w:rsidR="00CE6A1A">
        <w:rPr>
          <w:rFonts w:ascii="Times New Roman" w:hAnsi="Times New Roman"/>
          <w:szCs w:val="26"/>
        </w:rPr>
        <w:t xml:space="preserve"> </w:t>
      </w:r>
      <w:r w:rsidRPr="005525B7" w:rsidR="009D22F3">
        <w:rPr>
          <w:rFonts w:ascii="Times New Roman" w:hAnsi="Times New Roman"/>
          <w:szCs w:val="26"/>
          <w:lang w:val="en-ZW"/>
        </w:rPr>
        <w:t>and m</w:t>
      </w:r>
      <w:r w:rsidRPr="005525B7" w:rsidR="003966A6">
        <w:rPr>
          <w:rFonts w:ascii="Times New Roman" w:hAnsi="Times New Roman"/>
          <w:szCs w:val="26"/>
        </w:rPr>
        <w:t xml:space="preserve">et its quarterly target. </w:t>
      </w:r>
    </w:p>
    <w:p w:rsidRPr="005525B7" w:rsidR="006D077E" w:rsidRDefault="006D077E" w14:paraId="4813A616" w14:textId="134F0B6D">
      <w:pPr>
        <w:rPr>
          <w:rFonts w:ascii="Times New Roman" w:hAnsi="Times New Roman"/>
          <w:szCs w:val="26"/>
        </w:rPr>
      </w:pPr>
      <w:r w:rsidRPr="005525B7">
        <w:rPr>
          <w:rFonts w:ascii="Times New Roman" w:hAnsi="Times New Roman"/>
          <w:szCs w:val="26"/>
        </w:rPr>
        <w:br w:type="page"/>
      </w:r>
    </w:p>
    <w:p w:rsidRPr="005525B7" w:rsidR="00080CE4" w:rsidP="00080CE4" w:rsidRDefault="00080CE4" w14:paraId="76A02156" w14:textId="5036FEF5">
      <w:pPr>
        <w:spacing w:before="80"/>
        <w:ind w:left="1328" w:right="1227"/>
        <w:jc w:val="center"/>
        <w:rPr>
          <w:rFonts w:ascii="Times New Roman" w:hAnsi="Times New Roman"/>
          <w:b/>
          <w:szCs w:val="26"/>
        </w:rPr>
      </w:pPr>
      <w:r w:rsidRPr="005525B7">
        <w:rPr>
          <w:rFonts w:ascii="Times New Roman" w:hAnsi="Times New Roman"/>
          <w:b/>
          <w:szCs w:val="26"/>
        </w:rPr>
        <w:lastRenderedPageBreak/>
        <w:t>Table</w:t>
      </w:r>
      <w:r w:rsidRPr="005525B7">
        <w:rPr>
          <w:rFonts w:ascii="Times New Roman" w:hAnsi="Times New Roman"/>
          <w:b/>
          <w:spacing w:val="-5"/>
          <w:szCs w:val="26"/>
        </w:rPr>
        <w:t xml:space="preserve"> </w:t>
      </w:r>
      <w:r w:rsidRPr="005525B7">
        <w:rPr>
          <w:rFonts w:ascii="Times New Roman" w:hAnsi="Times New Roman"/>
          <w:b/>
          <w:szCs w:val="26"/>
        </w:rPr>
        <w:t>1:</w:t>
      </w:r>
      <w:r w:rsidRPr="005525B7">
        <w:rPr>
          <w:rFonts w:ascii="Times New Roman" w:hAnsi="Times New Roman"/>
          <w:b/>
          <w:spacing w:val="46"/>
          <w:szCs w:val="26"/>
        </w:rPr>
        <w:t xml:space="preserve"> </w:t>
      </w:r>
      <w:r w:rsidRPr="005525B7">
        <w:rPr>
          <w:rFonts w:ascii="Times New Roman" w:hAnsi="Times New Roman"/>
          <w:b/>
          <w:szCs w:val="26"/>
        </w:rPr>
        <w:t>EVM</w:t>
      </w:r>
      <w:r w:rsidRPr="005525B7">
        <w:rPr>
          <w:rFonts w:ascii="Times New Roman" w:hAnsi="Times New Roman"/>
          <w:b/>
          <w:spacing w:val="-5"/>
          <w:szCs w:val="26"/>
        </w:rPr>
        <w:t xml:space="preserve"> </w:t>
      </w:r>
      <w:r w:rsidRPr="005525B7">
        <w:rPr>
          <w:rFonts w:ascii="Times New Roman" w:hAnsi="Times New Roman"/>
          <w:b/>
          <w:szCs w:val="26"/>
        </w:rPr>
        <w:t>Progress</w:t>
      </w:r>
      <w:r w:rsidRPr="005525B7">
        <w:rPr>
          <w:rFonts w:ascii="Times New Roman" w:hAnsi="Times New Roman"/>
          <w:b/>
          <w:spacing w:val="-3"/>
          <w:szCs w:val="26"/>
        </w:rPr>
        <w:t xml:space="preserve"> </w:t>
      </w:r>
      <w:r w:rsidRPr="005525B7">
        <w:rPr>
          <w:rFonts w:ascii="Times New Roman" w:hAnsi="Times New Roman"/>
          <w:b/>
          <w:szCs w:val="26"/>
        </w:rPr>
        <w:t>Through</w:t>
      </w:r>
      <w:r w:rsidRPr="005525B7">
        <w:rPr>
          <w:rFonts w:ascii="Times New Roman" w:hAnsi="Times New Roman"/>
          <w:b/>
          <w:spacing w:val="-5"/>
          <w:szCs w:val="26"/>
        </w:rPr>
        <w:t xml:space="preserve"> </w:t>
      </w:r>
      <w:r w:rsidRPr="005525B7">
        <w:rPr>
          <w:rFonts w:ascii="Times New Roman" w:hAnsi="Times New Roman"/>
          <w:b/>
          <w:szCs w:val="26"/>
        </w:rPr>
        <w:t>December</w:t>
      </w:r>
      <w:r w:rsidRPr="005525B7">
        <w:rPr>
          <w:rFonts w:ascii="Times New Roman" w:hAnsi="Times New Roman"/>
          <w:b/>
          <w:spacing w:val="-4"/>
          <w:szCs w:val="26"/>
        </w:rPr>
        <w:t xml:space="preserve"> </w:t>
      </w:r>
      <w:r w:rsidRPr="005525B7">
        <w:rPr>
          <w:rFonts w:ascii="Times New Roman" w:hAnsi="Times New Roman"/>
          <w:b/>
          <w:szCs w:val="26"/>
        </w:rPr>
        <w:t>31,</w:t>
      </w:r>
      <w:r w:rsidRPr="005525B7">
        <w:rPr>
          <w:rFonts w:ascii="Times New Roman" w:hAnsi="Times New Roman"/>
          <w:b/>
          <w:spacing w:val="-5"/>
          <w:szCs w:val="26"/>
        </w:rPr>
        <w:t xml:space="preserve"> </w:t>
      </w:r>
      <w:r w:rsidRPr="005525B7">
        <w:rPr>
          <w:rFonts w:ascii="Times New Roman" w:hAnsi="Times New Roman"/>
          <w:b/>
          <w:spacing w:val="-4"/>
          <w:szCs w:val="26"/>
        </w:rPr>
        <w:t>2021</w:t>
      </w:r>
    </w:p>
    <w:tbl>
      <w:tblPr>
        <w:tblW w:w="0" w:type="auto"/>
        <w:tblCellSpacing w:w="9" w:type="dxa"/>
        <w:tblInd w:w="236" w:type="dxa"/>
        <w:tblLayout w:type="fixed"/>
        <w:tblCellMar>
          <w:left w:w="0" w:type="dxa"/>
          <w:right w:w="0" w:type="dxa"/>
        </w:tblCellMar>
        <w:tblLook w:val="01E0" w:firstRow="1" w:lastRow="1" w:firstColumn="1" w:lastColumn="1" w:noHBand="0" w:noVBand="0"/>
      </w:tblPr>
      <w:tblGrid>
        <w:gridCol w:w="2888"/>
        <w:gridCol w:w="3348"/>
        <w:gridCol w:w="3347"/>
      </w:tblGrid>
      <w:tr w:rsidRPr="005525B7" w:rsidR="00080CE4" w14:paraId="589125CE" w14:textId="77777777">
        <w:trPr>
          <w:trHeight w:val="508"/>
          <w:tblCellSpacing w:w="9" w:type="dxa"/>
        </w:trPr>
        <w:tc>
          <w:tcPr>
            <w:tcW w:w="2861" w:type="dxa"/>
            <w:tcBorders>
              <w:top w:val="nil"/>
              <w:left w:val="nil"/>
            </w:tcBorders>
            <w:shd w:val="clear" w:color="auto" w:fill="0089C4"/>
          </w:tcPr>
          <w:p w:rsidRPr="005525B7" w:rsidR="00080CE4" w:rsidRDefault="00080CE4" w14:paraId="43490A06" w14:textId="77777777">
            <w:pPr>
              <w:pStyle w:val="TableParagraph"/>
              <w:spacing w:before="135" w:line="240" w:lineRule="auto"/>
              <w:ind w:left="640"/>
              <w:jc w:val="left"/>
              <w:rPr>
                <w:rFonts w:ascii="Times New Roman" w:hAnsi="Times New Roman" w:cs="Times New Roman"/>
                <w:b/>
                <w:sz w:val="26"/>
                <w:szCs w:val="26"/>
              </w:rPr>
            </w:pPr>
            <w:r w:rsidRPr="005525B7">
              <w:rPr>
                <w:rFonts w:ascii="Times New Roman" w:hAnsi="Times New Roman" w:cs="Times New Roman"/>
                <w:b/>
                <w:sz w:val="26"/>
                <w:szCs w:val="26"/>
              </w:rPr>
              <w:t>Risk</w:t>
            </w:r>
            <w:r w:rsidRPr="005525B7">
              <w:rPr>
                <w:rFonts w:ascii="Times New Roman" w:hAnsi="Times New Roman" w:cs="Times New Roman"/>
                <w:b/>
                <w:spacing w:val="-8"/>
                <w:sz w:val="26"/>
                <w:szCs w:val="26"/>
              </w:rPr>
              <w:t xml:space="preserve"> </w:t>
            </w:r>
            <w:r w:rsidRPr="005525B7">
              <w:rPr>
                <w:rFonts w:ascii="Times New Roman" w:hAnsi="Times New Roman" w:cs="Times New Roman"/>
                <w:b/>
                <w:spacing w:val="-2"/>
                <w:sz w:val="26"/>
                <w:szCs w:val="26"/>
              </w:rPr>
              <w:t>Tranche</w:t>
            </w:r>
          </w:p>
        </w:tc>
        <w:tc>
          <w:tcPr>
            <w:tcW w:w="3330" w:type="dxa"/>
            <w:tcBorders>
              <w:top w:val="nil"/>
            </w:tcBorders>
            <w:shd w:val="clear" w:color="auto" w:fill="0089C4"/>
          </w:tcPr>
          <w:p w:rsidRPr="005525B7" w:rsidR="00080CE4" w:rsidP="00FB3B78" w:rsidRDefault="00080CE4" w14:paraId="64126B9C" w14:textId="2AB98339">
            <w:pPr>
              <w:pStyle w:val="TableParagraph"/>
              <w:spacing w:before="135" w:line="240" w:lineRule="auto"/>
              <w:ind w:left="395"/>
              <w:jc w:val="center"/>
              <w:rPr>
                <w:rFonts w:ascii="Times New Roman" w:hAnsi="Times New Roman" w:cs="Times New Roman"/>
                <w:b/>
                <w:sz w:val="26"/>
                <w:szCs w:val="26"/>
              </w:rPr>
            </w:pPr>
            <w:r w:rsidRPr="005525B7">
              <w:rPr>
                <w:rFonts w:ascii="Times New Roman" w:hAnsi="Times New Roman" w:cs="Times New Roman"/>
                <w:b/>
                <w:sz w:val="26"/>
                <w:szCs w:val="26"/>
              </w:rPr>
              <w:t>Work</w:t>
            </w:r>
            <w:r w:rsidRPr="005525B7">
              <w:rPr>
                <w:rFonts w:ascii="Times New Roman" w:hAnsi="Times New Roman" w:cs="Times New Roman"/>
                <w:b/>
                <w:spacing w:val="-6"/>
                <w:sz w:val="26"/>
                <w:szCs w:val="26"/>
              </w:rPr>
              <w:t xml:space="preserve"> </w:t>
            </w:r>
            <w:r w:rsidRPr="005525B7">
              <w:rPr>
                <w:rFonts w:ascii="Times New Roman" w:hAnsi="Times New Roman" w:cs="Times New Roman"/>
                <w:b/>
                <w:sz w:val="26"/>
                <w:szCs w:val="26"/>
              </w:rPr>
              <w:t>Verified</w:t>
            </w:r>
            <w:r w:rsidRPr="005525B7">
              <w:rPr>
                <w:rFonts w:ascii="Times New Roman" w:hAnsi="Times New Roman" w:cs="Times New Roman"/>
                <w:b/>
                <w:spacing w:val="-6"/>
                <w:sz w:val="26"/>
                <w:szCs w:val="26"/>
              </w:rPr>
              <w:t xml:space="preserve"> </w:t>
            </w:r>
            <w:r w:rsidRPr="005525B7">
              <w:rPr>
                <w:rFonts w:ascii="Times New Roman" w:hAnsi="Times New Roman" w:cs="Times New Roman"/>
                <w:b/>
                <w:spacing w:val="-2"/>
                <w:sz w:val="26"/>
                <w:szCs w:val="26"/>
              </w:rPr>
              <w:t>Miles</w:t>
            </w:r>
            <w:r w:rsidRPr="005525B7" w:rsidR="000B5BC9">
              <w:rPr>
                <w:rStyle w:val="FootnoteReference"/>
                <w:rFonts w:ascii="Times New Roman" w:hAnsi="Times New Roman" w:cs="Times New Roman"/>
                <w:b/>
                <w:spacing w:val="-2"/>
                <w:sz w:val="26"/>
                <w:szCs w:val="26"/>
              </w:rPr>
              <w:footnoteReference w:id="11"/>
            </w:r>
          </w:p>
        </w:tc>
        <w:tc>
          <w:tcPr>
            <w:tcW w:w="3320" w:type="dxa"/>
            <w:tcBorders>
              <w:top w:val="nil"/>
              <w:right w:val="nil"/>
            </w:tcBorders>
            <w:shd w:val="clear" w:color="auto" w:fill="0089C4"/>
          </w:tcPr>
          <w:p w:rsidRPr="005525B7" w:rsidR="00080CE4" w:rsidRDefault="00080CE4" w14:paraId="31B71AF0" w14:textId="59A5C37E">
            <w:pPr>
              <w:pStyle w:val="TableParagraph"/>
              <w:spacing w:before="135" w:line="240" w:lineRule="auto"/>
              <w:ind w:left="777"/>
              <w:jc w:val="left"/>
              <w:rPr>
                <w:rFonts w:ascii="Times New Roman" w:hAnsi="Times New Roman" w:cs="Times New Roman"/>
                <w:b/>
                <w:sz w:val="26"/>
                <w:szCs w:val="26"/>
              </w:rPr>
            </w:pPr>
            <w:r w:rsidRPr="005525B7">
              <w:rPr>
                <w:rFonts w:ascii="Times New Roman" w:hAnsi="Times New Roman" w:cs="Times New Roman"/>
                <w:b/>
                <w:sz w:val="26"/>
                <w:szCs w:val="26"/>
              </w:rPr>
              <w:t>%</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of</w:t>
            </w:r>
            <w:r w:rsidRPr="005525B7">
              <w:rPr>
                <w:rFonts w:ascii="Times New Roman" w:hAnsi="Times New Roman" w:cs="Times New Roman"/>
                <w:b/>
                <w:spacing w:val="-3"/>
                <w:sz w:val="26"/>
                <w:szCs w:val="26"/>
              </w:rPr>
              <w:t xml:space="preserve"> </w:t>
            </w:r>
            <w:r w:rsidRPr="005525B7">
              <w:rPr>
                <w:rFonts w:ascii="Times New Roman" w:hAnsi="Times New Roman" w:cs="Times New Roman"/>
                <w:b/>
                <w:sz w:val="26"/>
                <w:szCs w:val="26"/>
              </w:rPr>
              <w:t>Total</w:t>
            </w:r>
            <w:r w:rsidRPr="005525B7">
              <w:rPr>
                <w:rFonts w:ascii="Times New Roman" w:hAnsi="Times New Roman" w:cs="Times New Roman"/>
                <w:b/>
                <w:spacing w:val="-4"/>
                <w:sz w:val="26"/>
                <w:szCs w:val="26"/>
              </w:rPr>
              <w:t xml:space="preserve"> </w:t>
            </w:r>
            <w:r w:rsidRPr="005525B7" w:rsidR="008D7FE1">
              <w:rPr>
                <w:rFonts w:ascii="Times New Roman" w:hAnsi="Times New Roman" w:cs="Times New Roman"/>
                <w:b/>
                <w:sz w:val="26"/>
                <w:szCs w:val="26"/>
              </w:rPr>
              <w:t>Work</w:t>
            </w:r>
            <w:r w:rsidRPr="005525B7" w:rsidR="008D7FE1">
              <w:rPr>
                <w:rFonts w:ascii="Times New Roman" w:hAnsi="Times New Roman" w:cs="Times New Roman"/>
                <w:b/>
                <w:spacing w:val="-6"/>
                <w:sz w:val="26"/>
                <w:szCs w:val="26"/>
              </w:rPr>
              <w:t xml:space="preserve"> </w:t>
            </w:r>
            <w:r w:rsidRPr="005525B7" w:rsidR="008D7FE1">
              <w:rPr>
                <w:rFonts w:ascii="Times New Roman" w:hAnsi="Times New Roman" w:cs="Times New Roman"/>
                <w:b/>
                <w:sz w:val="26"/>
                <w:szCs w:val="26"/>
              </w:rPr>
              <w:t>Verified</w:t>
            </w:r>
            <w:r w:rsidRPr="005525B7" w:rsidR="008D7FE1">
              <w:rPr>
                <w:rFonts w:ascii="Times New Roman" w:hAnsi="Times New Roman" w:cs="Times New Roman"/>
                <w:b/>
                <w:spacing w:val="-6"/>
                <w:sz w:val="26"/>
                <w:szCs w:val="26"/>
              </w:rPr>
              <w:t xml:space="preserve"> </w:t>
            </w:r>
            <w:r w:rsidRPr="005525B7">
              <w:rPr>
                <w:rFonts w:ascii="Times New Roman" w:hAnsi="Times New Roman" w:cs="Times New Roman"/>
                <w:b/>
                <w:spacing w:val="-2"/>
                <w:sz w:val="26"/>
                <w:szCs w:val="26"/>
              </w:rPr>
              <w:t>Miles</w:t>
            </w:r>
          </w:p>
        </w:tc>
      </w:tr>
      <w:tr w:rsidRPr="005525B7" w:rsidR="00080CE4" w14:paraId="543BBE81" w14:textId="77777777">
        <w:trPr>
          <w:trHeight w:val="507"/>
          <w:tblCellSpacing w:w="9" w:type="dxa"/>
        </w:trPr>
        <w:tc>
          <w:tcPr>
            <w:tcW w:w="2861" w:type="dxa"/>
            <w:tcBorders>
              <w:left w:val="nil"/>
            </w:tcBorders>
            <w:shd w:val="clear" w:color="auto" w:fill="D9D9D9"/>
          </w:tcPr>
          <w:p w:rsidRPr="005525B7" w:rsidR="00080CE4" w:rsidRDefault="00080CE4" w14:paraId="536427A7" w14:textId="77777777">
            <w:pPr>
              <w:pStyle w:val="TableParagraph"/>
              <w:spacing w:before="135" w:line="240" w:lineRule="auto"/>
              <w:ind w:left="878"/>
              <w:jc w:val="left"/>
              <w:rPr>
                <w:rFonts w:ascii="Times New Roman" w:hAnsi="Times New Roman" w:cs="Times New Roman"/>
                <w:b/>
                <w:sz w:val="26"/>
                <w:szCs w:val="26"/>
              </w:rPr>
            </w:pPr>
            <w:r w:rsidRPr="005525B7">
              <w:rPr>
                <w:rFonts w:ascii="Times New Roman" w:hAnsi="Times New Roman" w:cs="Times New Roman"/>
                <w:b/>
                <w:sz w:val="26"/>
                <w:szCs w:val="26"/>
              </w:rPr>
              <w:t>&lt;</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w:t>
            </w:r>
            <w:r w:rsidRPr="005525B7">
              <w:rPr>
                <w:rFonts w:ascii="Times New Roman" w:hAnsi="Times New Roman" w:cs="Times New Roman"/>
                <w:b/>
                <w:spacing w:val="-1"/>
                <w:sz w:val="26"/>
                <w:szCs w:val="26"/>
              </w:rPr>
              <w:t xml:space="preserve"> </w:t>
            </w:r>
            <w:r w:rsidRPr="005525B7">
              <w:rPr>
                <w:rFonts w:ascii="Times New Roman" w:hAnsi="Times New Roman" w:cs="Times New Roman"/>
                <w:b/>
                <w:spacing w:val="-5"/>
                <w:sz w:val="26"/>
                <w:szCs w:val="26"/>
              </w:rPr>
              <w:t>10%</w:t>
            </w:r>
          </w:p>
        </w:tc>
        <w:tc>
          <w:tcPr>
            <w:tcW w:w="3330" w:type="dxa"/>
            <w:shd w:val="clear" w:color="auto" w:fill="F1F1F1"/>
          </w:tcPr>
          <w:p w:rsidRPr="005525B7" w:rsidR="00080CE4" w:rsidRDefault="00080CE4" w14:paraId="44520703" w14:textId="77777777">
            <w:pPr>
              <w:pStyle w:val="TableParagraph"/>
              <w:spacing w:before="135" w:line="240" w:lineRule="auto"/>
              <w:ind w:left="1377" w:right="1428"/>
              <w:jc w:val="center"/>
              <w:rPr>
                <w:rFonts w:ascii="Times New Roman" w:hAnsi="Times New Roman" w:cs="Times New Roman"/>
                <w:sz w:val="26"/>
                <w:szCs w:val="26"/>
              </w:rPr>
            </w:pPr>
            <w:r w:rsidRPr="005525B7">
              <w:rPr>
                <w:rFonts w:ascii="Times New Roman" w:hAnsi="Times New Roman" w:cs="Times New Roman"/>
                <w:spacing w:val="-2"/>
                <w:sz w:val="26"/>
                <w:szCs w:val="26"/>
              </w:rPr>
              <w:t>1,910</w:t>
            </w:r>
          </w:p>
        </w:tc>
        <w:tc>
          <w:tcPr>
            <w:tcW w:w="3320" w:type="dxa"/>
            <w:tcBorders>
              <w:right w:val="nil"/>
            </w:tcBorders>
            <w:shd w:val="clear" w:color="auto" w:fill="F1F1F1"/>
          </w:tcPr>
          <w:p w:rsidRPr="005525B7" w:rsidR="00080CE4" w:rsidRDefault="00080CE4" w14:paraId="19E3D3A9" w14:textId="77777777">
            <w:pPr>
              <w:pStyle w:val="TableParagraph"/>
              <w:spacing w:before="135" w:line="240" w:lineRule="auto"/>
              <w:ind w:left="1356" w:right="1220"/>
              <w:jc w:val="center"/>
              <w:rPr>
                <w:rFonts w:ascii="Times New Roman" w:hAnsi="Times New Roman" w:cs="Times New Roman"/>
                <w:sz w:val="26"/>
                <w:szCs w:val="26"/>
              </w:rPr>
            </w:pPr>
            <w:r w:rsidRPr="005525B7">
              <w:rPr>
                <w:rFonts w:ascii="Times New Roman" w:hAnsi="Times New Roman" w:cs="Times New Roman"/>
                <w:spacing w:val="-5"/>
                <w:sz w:val="26"/>
                <w:szCs w:val="26"/>
              </w:rPr>
              <w:t>96%</w:t>
            </w:r>
          </w:p>
        </w:tc>
      </w:tr>
      <w:tr w:rsidRPr="005525B7" w:rsidR="00080CE4" w14:paraId="3ADCBEAD" w14:textId="77777777">
        <w:trPr>
          <w:trHeight w:val="508"/>
          <w:tblCellSpacing w:w="9" w:type="dxa"/>
        </w:trPr>
        <w:tc>
          <w:tcPr>
            <w:tcW w:w="2861" w:type="dxa"/>
            <w:tcBorders>
              <w:left w:val="nil"/>
            </w:tcBorders>
            <w:shd w:val="clear" w:color="auto" w:fill="D9D9D9"/>
          </w:tcPr>
          <w:p w:rsidRPr="005525B7" w:rsidR="00080CE4" w:rsidRDefault="00080CE4" w14:paraId="130838FA" w14:textId="77777777">
            <w:pPr>
              <w:pStyle w:val="TableParagraph"/>
              <w:spacing w:before="135" w:line="240" w:lineRule="auto"/>
              <w:ind w:left="748"/>
              <w:jc w:val="left"/>
              <w:rPr>
                <w:rFonts w:ascii="Times New Roman" w:hAnsi="Times New Roman" w:cs="Times New Roman"/>
                <w:b/>
                <w:sz w:val="26"/>
                <w:szCs w:val="26"/>
              </w:rPr>
            </w:pPr>
            <w:r w:rsidRPr="005525B7">
              <w:rPr>
                <w:rFonts w:ascii="Times New Roman" w:hAnsi="Times New Roman" w:cs="Times New Roman"/>
                <w:b/>
                <w:sz w:val="26"/>
                <w:szCs w:val="26"/>
              </w:rPr>
              <w:t>&gt;</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10</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w:t>
            </w:r>
            <w:r w:rsidRPr="005525B7">
              <w:rPr>
                <w:rFonts w:ascii="Times New Roman" w:hAnsi="Times New Roman" w:cs="Times New Roman"/>
                <w:b/>
                <w:spacing w:val="-1"/>
                <w:sz w:val="26"/>
                <w:szCs w:val="26"/>
              </w:rPr>
              <w:t xml:space="preserve"> </w:t>
            </w:r>
            <w:r w:rsidRPr="005525B7">
              <w:rPr>
                <w:rFonts w:ascii="Times New Roman" w:hAnsi="Times New Roman" w:cs="Times New Roman"/>
                <w:b/>
                <w:spacing w:val="-5"/>
                <w:sz w:val="26"/>
                <w:szCs w:val="26"/>
              </w:rPr>
              <w:t>20%</w:t>
            </w:r>
          </w:p>
        </w:tc>
        <w:tc>
          <w:tcPr>
            <w:tcW w:w="3330" w:type="dxa"/>
            <w:shd w:val="clear" w:color="auto" w:fill="F1F1F1"/>
          </w:tcPr>
          <w:p w:rsidRPr="005525B7" w:rsidR="00080CE4" w:rsidRDefault="00080CE4" w14:paraId="3D7E87B1" w14:textId="77777777">
            <w:pPr>
              <w:pStyle w:val="TableParagraph"/>
              <w:spacing w:before="135" w:line="240" w:lineRule="auto"/>
              <w:ind w:left="1376" w:right="1428"/>
              <w:jc w:val="center"/>
              <w:rPr>
                <w:rFonts w:ascii="Times New Roman" w:hAnsi="Times New Roman" w:cs="Times New Roman"/>
                <w:sz w:val="26"/>
                <w:szCs w:val="26"/>
              </w:rPr>
            </w:pPr>
            <w:r w:rsidRPr="005525B7">
              <w:rPr>
                <w:rFonts w:ascii="Times New Roman" w:hAnsi="Times New Roman" w:cs="Times New Roman"/>
                <w:spacing w:val="-5"/>
                <w:sz w:val="26"/>
                <w:szCs w:val="26"/>
              </w:rPr>
              <w:t>31</w:t>
            </w:r>
          </w:p>
        </w:tc>
        <w:tc>
          <w:tcPr>
            <w:tcW w:w="3320" w:type="dxa"/>
            <w:tcBorders>
              <w:right w:val="nil"/>
            </w:tcBorders>
            <w:shd w:val="clear" w:color="auto" w:fill="F1F1F1"/>
          </w:tcPr>
          <w:p w:rsidRPr="005525B7" w:rsidR="00080CE4" w:rsidRDefault="00080CE4" w14:paraId="3A2865F8" w14:textId="77777777">
            <w:pPr>
              <w:pStyle w:val="TableParagraph"/>
              <w:spacing w:before="135" w:line="240" w:lineRule="auto"/>
              <w:ind w:left="1356" w:right="1220"/>
              <w:jc w:val="center"/>
              <w:rPr>
                <w:rFonts w:ascii="Times New Roman" w:hAnsi="Times New Roman" w:cs="Times New Roman"/>
                <w:sz w:val="26"/>
                <w:szCs w:val="26"/>
              </w:rPr>
            </w:pPr>
            <w:r w:rsidRPr="005525B7">
              <w:rPr>
                <w:rFonts w:ascii="Times New Roman" w:hAnsi="Times New Roman" w:cs="Times New Roman"/>
                <w:spacing w:val="-5"/>
                <w:sz w:val="26"/>
                <w:szCs w:val="26"/>
              </w:rPr>
              <w:t>2%</w:t>
            </w:r>
          </w:p>
        </w:tc>
      </w:tr>
      <w:tr w:rsidRPr="005525B7" w:rsidR="00080CE4" w14:paraId="565D8CCA" w14:textId="77777777">
        <w:trPr>
          <w:trHeight w:val="507"/>
          <w:tblCellSpacing w:w="9" w:type="dxa"/>
        </w:trPr>
        <w:tc>
          <w:tcPr>
            <w:tcW w:w="2861" w:type="dxa"/>
            <w:tcBorders>
              <w:left w:val="nil"/>
            </w:tcBorders>
            <w:shd w:val="clear" w:color="auto" w:fill="D9D9D9"/>
          </w:tcPr>
          <w:p w:rsidRPr="005525B7" w:rsidR="00080CE4" w:rsidRDefault="00080CE4" w14:paraId="418BB5AF" w14:textId="77777777">
            <w:pPr>
              <w:pStyle w:val="TableParagraph"/>
              <w:spacing w:before="135" w:line="240" w:lineRule="auto"/>
              <w:ind w:left="748"/>
              <w:jc w:val="left"/>
              <w:rPr>
                <w:rFonts w:ascii="Times New Roman" w:hAnsi="Times New Roman" w:cs="Times New Roman"/>
                <w:b/>
                <w:sz w:val="26"/>
                <w:szCs w:val="26"/>
              </w:rPr>
            </w:pPr>
            <w:r w:rsidRPr="005525B7">
              <w:rPr>
                <w:rFonts w:ascii="Times New Roman" w:hAnsi="Times New Roman" w:cs="Times New Roman"/>
                <w:b/>
                <w:sz w:val="26"/>
                <w:szCs w:val="26"/>
              </w:rPr>
              <w:t>&gt;</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20</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w:t>
            </w:r>
            <w:r w:rsidRPr="005525B7">
              <w:rPr>
                <w:rFonts w:ascii="Times New Roman" w:hAnsi="Times New Roman" w:cs="Times New Roman"/>
                <w:b/>
                <w:spacing w:val="-1"/>
                <w:sz w:val="26"/>
                <w:szCs w:val="26"/>
              </w:rPr>
              <w:t xml:space="preserve"> </w:t>
            </w:r>
            <w:r w:rsidRPr="005525B7">
              <w:rPr>
                <w:rFonts w:ascii="Times New Roman" w:hAnsi="Times New Roman" w:cs="Times New Roman"/>
                <w:b/>
                <w:spacing w:val="-5"/>
                <w:sz w:val="26"/>
                <w:szCs w:val="26"/>
              </w:rPr>
              <w:t>30%</w:t>
            </w:r>
          </w:p>
        </w:tc>
        <w:tc>
          <w:tcPr>
            <w:tcW w:w="3330" w:type="dxa"/>
            <w:shd w:val="clear" w:color="auto" w:fill="F1F1F1"/>
          </w:tcPr>
          <w:p w:rsidRPr="005525B7" w:rsidR="00080CE4" w:rsidRDefault="00080CE4" w14:paraId="27C5D550" w14:textId="77777777">
            <w:pPr>
              <w:pStyle w:val="TableParagraph"/>
              <w:spacing w:before="135" w:line="240" w:lineRule="auto"/>
              <w:ind w:left="1376" w:right="1428"/>
              <w:jc w:val="center"/>
              <w:rPr>
                <w:rFonts w:ascii="Times New Roman" w:hAnsi="Times New Roman" w:cs="Times New Roman"/>
                <w:sz w:val="26"/>
                <w:szCs w:val="26"/>
              </w:rPr>
            </w:pPr>
            <w:r w:rsidRPr="005525B7">
              <w:rPr>
                <w:rFonts w:ascii="Times New Roman" w:hAnsi="Times New Roman" w:cs="Times New Roman"/>
                <w:spacing w:val="-5"/>
                <w:sz w:val="26"/>
                <w:szCs w:val="26"/>
              </w:rPr>
              <w:t>21</w:t>
            </w:r>
          </w:p>
        </w:tc>
        <w:tc>
          <w:tcPr>
            <w:tcW w:w="3320" w:type="dxa"/>
            <w:tcBorders>
              <w:right w:val="nil"/>
            </w:tcBorders>
            <w:shd w:val="clear" w:color="auto" w:fill="F1F1F1"/>
          </w:tcPr>
          <w:p w:rsidRPr="005525B7" w:rsidR="00080CE4" w:rsidRDefault="00080CE4" w14:paraId="6B9536A0" w14:textId="77777777">
            <w:pPr>
              <w:pStyle w:val="TableParagraph"/>
              <w:spacing w:before="135" w:line="240" w:lineRule="auto"/>
              <w:ind w:left="1356" w:right="1220"/>
              <w:jc w:val="center"/>
              <w:rPr>
                <w:rFonts w:ascii="Times New Roman" w:hAnsi="Times New Roman" w:cs="Times New Roman"/>
                <w:sz w:val="26"/>
                <w:szCs w:val="26"/>
              </w:rPr>
            </w:pPr>
            <w:r w:rsidRPr="005525B7">
              <w:rPr>
                <w:rFonts w:ascii="Times New Roman" w:hAnsi="Times New Roman" w:cs="Times New Roman"/>
                <w:spacing w:val="-5"/>
                <w:sz w:val="26"/>
                <w:szCs w:val="26"/>
              </w:rPr>
              <w:t>1%</w:t>
            </w:r>
          </w:p>
        </w:tc>
      </w:tr>
      <w:tr w:rsidRPr="005525B7" w:rsidR="00080CE4" w14:paraId="661238A7" w14:textId="77777777">
        <w:trPr>
          <w:trHeight w:val="508"/>
          <w:tblCellSpacing w:w="9" w:type="dxa"/>
        </w:trPr>
        <w:tc>
          <w:tcPr>
            <w:tcW w:w="2861" w:type="dxa"/>
            <w:tcBorders>
              <w:left w:val="nil"/>
            </w:tcBorders>
            <w:shd w:val="clear" w:color="auto" w:fill="D9D9D9"/>
          </w:tcPr>
          <w:p w:rsidRPr="005525B7" w:rsidR="00080CE4" w:rsidRDefault="00080CE4" w14:paraId="5DEEF42D" w14:textId="77777777">
            <w:pPr>
              <w:pStyle w:val="TableParagraph"/>
              <w:spacing w:before="135" w:line="240" w:lineRule="auto"/>
              <w:ind w:left="748"/>
              <w:jc w:val="left"/>
              <w:rPr>
                <w:rFonts w:ascii="Times New Roman" w:hAnsi="Times New Roman" w:cs="Times New Roman"/>
                <w:b/>
                <w:sz w:val="26"/>
                <w:szCs w:val="26"/>
              </w:rPr>
            </w:pPr>
            <w:r w:rsidRPr="005525B7">
              <w:rPr>
                <w:rFonts w:ascii="Times New Roman" w:hAnsi="Times New Roman" w:cs="Times New Roman"/>
                <w:b/>
                <w:sz w:val="26"/>
                <w:szCs w:val="26"/>
              </w:rPr>
              <w:t>&gt;</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30</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w:t>
            </w:r>
            <w:r w:rsidRPr="005525B7">
              <w:rPr>
                <w:rFonts w:ascii="Times New Roman" w:hAnsi="Times New Roman" w:cs="Times New Roman"/>
                <w:b/>
                <w:spacing w:val="-1"/>
                <w:sz w:val="26"/>
                <w:szCs w:val="26"/>
              </w:rPr>
              <w:t xml:space="preserve"> </w:t>
            </w:r>
            <w:r w:rsidRPr="005525B7">
              <w:rPr>
                <w:rFonts w:ascii="Times New Roman" w:hAnsi="Times New Roman" w:cs="Times New Roman"/>
                <w:b/>
                <w:spacing w:val="-5"/>
                <w:sz w:val="26"/>
                <w:szCs w:val="26"/>
              </w:rPr>
              <w:t>40%</w:t>
            </w:r>
          </w:p>
        </w:tc>
        <w:tc>
          <w:tcPr>
            <w:tcW w:w="3330" w:type="dxa"/>
            <w:shd w:val="clear" w:color="auto" w:fill="F1F1F1"/>
          </w:tcPr>
          <w:p w:rsidRPr="005525B7" w:rsidR="00080CE4" w:rsidRDefault="00080CE4" w14:paraId="331A5789" w14:textId="77777777">
            <w:pPr>
              <w:pStyle w:val="TableParagraph"/>
              <w:spacing w:before="135" w:line="240" w:lineRule="auto"/>
              <w:ind w:right="54"/>
              <w:jc w:val="center"/>
              <w:rPr>
                <w:rFonts w:ascii="Times New Roman" w:hAnsi="Times New Roman" w:cs="Times New Roman"/>
                <w:sz w:val="26"/>
                <w:szCs w:val="26"/>
              </w:rPr>
            </w:pPr>
            <w:r w:rsidRPr="005525B7">
              <w:rPr>
                <w:rFonts w:ascii="Times New Roman" w:hAnsi="Times New Roman" w:cs="Times New Roman"/>
                <w:w w:val="99"/>
                <w:sz w:val="26"/>
                <w:szCs w:val="26"/>
              </w:rPr>
              <w:t>6</w:t>
            </w:r>
          </w:p>
        </w:tc>
        <w:tc>
          <w:tcPr>
            <w:tcW w:w="3320" w:type="dxa"/>
            <w:tcBorders>
              <w:right w:val="nil"/>
            </w:tcBorders>
            <w:shd w:val="clear" w:color="auto" w:fill="F1F1F1"/>
          </w:tcPr>
          <w:p w:rsidRPr="005525B7" w:rsidR="00080CE4" w:rsidRDefault="00080CE4" w14:paraId="149CFFE9" w14:textId="77777777">
            <w:pPr>
              <w:pStyle w:val="TableParagraph"/>
              <w:spacing w:before="135" w:line="240" w:lineRule="auto"/>
              <w:ind w:left="1356" w:right="1220"/>
              <w:jc w:val="center"/>
              <w:rPr>
                <w:rFonts w:ascii="Times New Roman" w:hAnsi="Times New Roman" w:cs="Times New Roman"/>
                <w:sz w:val="26"/>
                <w:szCs w:val="26"/>
              </w:rPr>
            </w:pPr>
            <w:r w:rsidRPr="005525B7">
              <w:rPr>
                <w:rFonts w:ascii="Times New Roman" w:hAnsi="Times New Roman" w:cs="Times New Roman"/>
                <w:spacing w:val="-4"/>
                <w:sz w:val="26"/>
                <w:szCs w:val="26"/>
              </w:rPr>
              <w:t>0.3%</w:t>
            </w:r>
          </w:p>
        </w:tc>
      </w:tr>
      <w:tr w:rsidRPr="005525B7" w:rsidR="00080CE4" w14:paraId="7BCFE162" w14:textId="77777777">
        <w:trPr>
          <w:trHeight w:val="508"/>
          <w:tblCellSpacing w:w="9" w:type="dxa"/>
        </w:trPr>
        <w:tc>
          <w:tcPr>
            <w:tcW w:w="2861" w:type="dxa"/>
            <w:tcBorders>
              <w:left w:val="nil"/>
            </w:tcBorders>
            <w:shd w:val="clear" w:color="auto" w:fill="D9D9D9"/>
          </w:tcPr>
          <w:p w:rsidRPr="005525B7" w:rsidR="00080CE4" w:rsidRDefault="00080CE4" w14:paraId="6414428C" w14:textId="77777777">
            <w:pPr>
              <w:pStyle w:val="TableParagraph"/>
              <w:spacing w:before="135" w:line="240" w:lineRule="auto"/>
              <w:ind w:left="748"/>
              <w:jc w:val="left"/>
              <w:rPr>
                <w:rFonts w:ascii="Times New Roman" w:hAnsi="Times New Roman" w:cs="Times New Roman"/>
                <w:b/>
                <w:sz w:val="26"/>
                <w:szCs w:val="26"/>
              </w:rPr>
            </w:pPr>
            <w:r w:rsidRPr="005525B7">
              <w:rPr>
                <w:rFonts w:ascii="Times New Roman" w:hAnsi="Times New Roman" w:cs="Times New Roman"/>
                <w:b/>
                <w:sz w:val="26"/>
                <w:szCs w:val="26"/>
              </w:rPr>
              <w:t>&gt;</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40</w:t>
            </w:r>
            <w:r w:rsidRPr="005525B7">
              <w:rPr>
                <w:rFonts w:ascii="Times New Roman" w:hAnsi="Times New Roman" w:cs="Times New Roman"/>
                <w:b/>
                <w:spacing w:val="-2"/>
                <w:sz w:val="26"/>
                <w:szCs w:val="26"/>
              </w:rPr>
              <w:t xml:space="preserve"> </w:t>
            </w:r>
            <w:r w:rsidRPr="005525B7">
              <w:rPr>
                <w:rFonts w:ascii="Times New Roman" w:hAnsi="Times New Roman" w:cs="Times New Roman"/>
                <w:b/>
                <w:sz w:val="26"/>
                <w:szCs w:val="26"/>
              </w:rPr>
              <w:t>–</w:t>
            </w:r>
            <w:r w:rsidRPr="005525B7">
              <w:rPr>
                <w:rFonts w:ascii="Times New Roman" w:hAnsi="Times New Roman" w:cs="Times New Roman"/>
                <w:b/>
                <w:spacing w:val="-1"/>
                <w:sz w:val="26"/>
                <w:szCs w:val="26"/>
              </w:rPr>
              <w:t xml:space="preserve"> </w:t>
            </w:r>
            <w:r w:rsidRPr="005525B7">
              <w:rPr>
                <w:rFonts w:ascii="Times New Roman" w:hAnsi="Times New Roman" w:cs="Times New Roman"/>
                <w:b/>
                <w:spacing w:val="-5"/>
                <w:sz w:val="26"/>
                <w:szCs w:val="26"/>
              </w:rPr>
              <w:t>50%</w:t>
            </w:r>
          </w:p>
        </w:tc>
        <w:tc>
          <w:tcPr>
            <w:tcW w:w="3330" w:type="dxa"/>
            <w:shd w:val="clear" w:color="auto" w:fill="F1F1F1"/>
          </w:tcPr>
          <w:p w:rsidRPr="005525B7" w:rsidR="00080CE4" w:rsidRDefault="00080CE4" w14:paraId="7849D391" w14:textId="77777777">
            <w:pPr>
              <w:pStyle w:val="TableParagraph"/>
              <w:spacing w:before="135" w:line="240" w:lineRule="auto"/>
              <w:ind w:right="54"/>
              <w:jc w:val="center"/>
              <w:rPr>
                <w:rFonts w:ascii="Times New Roman" w:hAnsi="Times New Roman" w:cs="Times New Roman"/>
                <w:sz w:val="26"/>
                <w:szCs w:val="26"/>
              </w:rPr>
            </w:pPr>
            <w:r w:rsidRPr="005525B7">
              <w:rPr>
                <w:rFonts w:ascii="Times New Roman" w:hAnsi="Times New Roman" w:cs="Times New Roman"/>
                <w:w w:val="99"/>
                <w:sz w:val="26"/>
                <w:szCs w:val="26"/>
              </w:rPr>
              <w:t>9</w:t>
            </w:r>
          </w:p>
        </w:tc>
        <w:tc>
          <w:tcPr>
            <w:tcW w:w="3320" w:type="dxa"/>
            <w:tcBorders>
              <w:right w:val="nil"/>
            </w:tcBorders>
            <w:shd w:val="clear" w:color="auto" w:fill="F1F1F1"/>
          </w:tcPr>
          <w:p w:rsidRPr="005525B7" w:rsidR="00080CE4" w:rsidRDefault="00080CE4" w14:paraId="4346524B" w14:textId="77777777">
            <w:pPr>
              <w:pStyle w:val="TableParagraph"/>
              <w:spacing w:before="135" w:line="240" w:lineRule="auto"/>
              <w:ind w:left="1356" w:right="1220"/>
              <w:jc w:val="center"/>
              <w:rPr>
                <w:rFonts w:ascii="Times New Roman" w:hAnsi="Times New Roman" w:cs="Times New Roman"/>
                <w:sz w:val="26"/>
                <w:szCs w:val="26"/>
              </w:rPr>
            </w:pPr>
            <w:r w:rsidRPr="005525B7">
              <w:rPr>
                <w:rFonts w:ascii="Times New Roman" w:hAnsi="Times New Roman" w:cs="Times New Roman"/>
                <w:spacing w:val="-4"/>
                <w:sz w:val="26"/>
                <w:szCs w:val="26"/>
              </w:rPr>
              <w:t>0.4%</w:t>
            </w:r>
          </w:p>
        </w:tc>
      </w:tr>
      <w:tr w:rsidRPr="005525B7" w:rsidR="00080CE4" w14:paraId="0D6DFCCA" w14:textId="77777777">
        <w:trPr>
          <w:trHeight w:val="507"/>
          <w:tblCellSpacing w:w="9" w:type="dxa"/>
        </w:trPr>
        <w:tc>
          <w:tcPr>
            <w:tcW w:w="2861" w:type="dxa"/>
            <w:tcBorders>
              <w:left w:val="nil"/>
            </w:tcBorders>
            <w:shd w:val="clear" w:color="auto" w:fill="D9D9D9"/>
          </w:tcPr>
          <w:p w:rsidRPr="005525B7" w:rsidR="00080CE4" w:rsidRDefault="00080CE4" w14:paraId="71065A25" w14:textId="77777777">
            <w:pPr>
              <w:pStyle w:val="TableParagraph"/>
              <w:spacing w:before="135" w:line="240" w:lineRule="auto"/>
              <w:ind w:left="967" w:right="1249"/>
              <w:jc w:val="center"/>
              <w:rPr>
                <w:rFonts w:ascii="Times New Roman" w:hAnsi="Times New Roman" w:cs="Times New Roman"/>
                <w:b/>
                <w:sz w:val="26"/>
                <w:szCs w:val="26"/>
              </w:rPr>
            </w:pPr>
            <w:r w:rsidRPr="005525B7">
              <w:rPr>
                <w:rFonts w:ascii="Times New Roman" w:hAnsi="Times New Roman" w:cs="Times New Roman"/>
                <w:b/>
                <w:sz w:val="26"/>
                <w:szCs w:val="26"/>
              </w:rPr>
              <w:t>&gt;</w:t>
            </w:r>
            <w:r w:rsidRPr="005525B7">
              <w:rPr>
                <w:rFonts w:ascii="Times New Roman" w:hAnsi="Times New Roman" w:cs="Times New Roman"/>
                <w:b/>
                <w:spacing w:val="-2"/>
                <w:sz w:val="26"/>
                <w:szCs w:val="26"/>
              </w:rPr>
              <w:t xml:space="preserve"> </w:t>
            </w:r>
            <w:r w:rsidRPr="005525B7">
              <w:rPr>
                <w:rFonts w:ascii="Times New Roman" w:hAnsi="Times New Roman" w:cs="Times New Roman"/>
                <w:b/>
                <w:spacing w:val="-5"/>
                <w:sz w:val="26"/>
                <w:szCs w:val="26"/>
              </w:rPr>
              <w:t>50%</w:t>
            </w:r>
          </w:p>
        </w:tc>
        <w:tc>
          <w:tcPr>
            <w:tcW w:w="3330" w:type="dxa"/>
            <w:shd w:val="clear" w:color="auto" w:fill="F1F1F1"/>
          </w:tcPr>
          <w:p w:rsidRPr="005525B7" w:rsidR="00080CE4" w:rsidRDefault="00080CE4" w14:paraId="1BBD2CDD" w14:textId="77777777">
            <w:pPr>
              <w:pStyle w:val="TableParagraph"/>
              <w:spacing w:before="135" w:line="240" w:lineRule="auto"/>
              <w:ind w:right="54"/>
              <w:jc w:val="center"/>
              <w:rPr>
                <w:rFonts w:ascii="Times New Roman" w:hAnsi="Times New Roman" w:cs="Times New Roman"/>
                <w:sz w:val="26"/>
                <w:szCs w:val="26"/>
              </w:rPr>
            </w:pPr>
            <w:r w:rsidRPr="005525B7">
              <w:rPr>
                <w:rFonts w:ascii="Times New Roman" w:hAnsi="Times New Roman" w:cs="Times New Roman"/>
                <w:w w:val="99"/>
                <w:sz w:val="26"/>
                <w:szCs w:val="26"/>
              </w:rPr>
              <w:t>7</w:t>
            </w:r>
          </w:p>
        </w:tc>
        <w:tc>
          <w:tcPr>
            <w:tcW w:w="3320" w:type="dxa"/>
            <w:tcBorders>
              <w:right w:val="nil"/>
            </w:tcBorders>
            <w:shd w:val="clear" w:color="auto" w:fill="F1F1F1"/>
          </w:tcPr>
          <w:p w:rsidRPr="005525B7" w:rsidR="00080CE4" w:rsidRDefault="00080CE4" w14:paraId="436ED1A8" w14:textId="77777777">
            <w:pPr>
              <w:pStyle w:val="TableParagraph"/>
              <w:spacing w:before="135" w:line="240" w:lineRule="auto"/>
              <w:ind w:left="1356" w:right="1220"/>
              <w:jc w:val="center"/>
              <w:rPr>
                <w:rFonts w:ascii="Times New Roman" w:hAnsi="Times New Roman" w:cs="Times New Roman"/>
                <w:sz w:val="26"/>
                <w:szCs w:val="26"/>
              </w:rPr>
            </w:pPr>
            <w:r w:rsidRPr="005525B7">
              <w:rPr>
                <w:rFonts w:ascii="Times New Roman" w:hAnsi="Times New Roman" w:cs="Times New Roman"/>
                <w:spacing w:val="-4"/>
                <w:sz w:val="26"/>
                <w:szCs w:val="26"/>
              </w:rPr>
              <w:t>0.3%</w:t>
            </w:r>
          </w:p>
        </w:tc>
      </w:tr>
      <w:tr w:rsidRPr="005525B7" w:rsidR="00080CE4" w14:paraId="3C5B3DAB" w14:textId="77777777">
        <w:trPr>
          <w:trHeight w:val="508"/>
          <w:tblCellSpacing w:w="9" w:type="dxa"/>
        </w:trPr>
        <w:tc>
          <w:tcPr>
            <w:tcW w:w="2861" w:type="dxa"/>
            <w:tcBorders>
              <w:left w:val="nil"/>
              <w:bottom w:val="nil"/>
            </w:tcBorders>
            <w:shd w:val="clear" w:color="auto" w:fill="0089C4"/>
          </w:tcPr>
          <w:p w:rsidRPr="005525B7" w:rsidR="00080CE4" w:rsidRDefault="00080CE4" w14:paraId="4F87944B" w14:textId="77777777">
            <w:pPr>
              <w:pStyle w:val="TableParagraph"/>
              <w:spacing w:before="135" w:line="240" w:lineRule="auto"/>
              <w:ind w:left="967" w:right="1248"/>
              <w:jc w:val="center"/>
              <w:rPr>
                <w:rFonts w:ascii="Times New Roman" w:hAnsi="Times New Roman" w:cs="Times New Roman"/>
                <w:b/>
                <w:sz w:val="26"/>
                <w:szCs w:val="26"/>
              </w:rPr>
            </w:pPr>
            <w:r w:rsidRPr="005525B7">
              <w:rPr>
                <w:rFonts w:ascii="Times New Roman" w:hAnsi="Times New Roman" w:cs="Times New Roman"/>
                <w:b/>
                <w:spacing w:val="-2"/>
                <w:sz w:val="26"/>
                <w:szCs w:val="26"/>
              </w:rPr>
              <w:t>Total</w:t>
            </w:r>
          </w:p>
        </w:tc>
        <w:tc>
          <w:tcPr>
            <w:tcW w:w="3330" w:type="dxa"/>
            <w:tcBorders>
              <w:bottom w:val="nil"/>
            </w:tcBorders>
            <w:shd w:val="clear" w:color="auto" w:fill="0089C4"/>
          </w:tcPr>
          <w:p w:rsidRPr="005525B7" w:rsidR="00080CE4" w:rsidRDefault="00080CE4" w14:paraId="1F50E2F4" w14:textId="77777777">
            <w:pPr>
              <w:pStyle w:val="TableParagraph"/>
              <w:spacing w:before="135" w:line="240" w:lineRule="auto"/>
              <w:ind w:left="1377" w:right="1428"/>
              <w:jc w:val="center"/>
              <w:rPr>
                <w:rFonts w:ascii="Times New Roman" w:hAnsi="Times New Roman" w:cs="Times New Roman"/>
                <w:b/>
                <w:sz w:val="26"/>
                <w:szCs w:val="26"/>
              </w:rPr>
            </w:pPr>
            <w:r w:rsidRPr="005525B7">
              <w:rPr>
                <w:rFonts w:ascii="Times New Roman" w:hAnsi="Times New Roman" w:cs="Times New Roman"/>
                <w:b/>
                <w:spacing w:val="-2"/>
                <w:sz w:val="26"/>
                <w:szCs w:val="26"/>
              </w:rPr>
              <w:t>1,983</w:t>
            </w:r>
          </w:p>
        </w:tc>
        <w:tc>
          <w:tcPr>
            <w:tcW w:w="3320" w:type="dxa"/>
            <w:tcBorders>
              <w:bottom w:val="nil"/>
              <w:right w:val="nil"/>
            </w:tcBorders>
            <w:shd w:val="clear" w:color="auto" w:fill="0089C4"/>
          </w:tcPr>
          <w:p w:rsidRPr="005525B7" w:rsidR="00080CE4" w:rsidRDefault="00080CE4" w14:paraId="7D1F7F15" w14:textId="77777777">
            <w:pPr>
              <w:pStyle w:val="TableParagraph"/>
              <w:spacing w:before="135" w:line="240" w:lineRule="auto"/>
              <w:ind w:left="1356" w:right="1220"/>
              <w:jc w:val="center"/>
              <w:rPr>
                <w:rFonts w:ascii="Times New Roman" w:hAnsi="Times New Roman" w:cs="Times New Roman"/>
                <w:b/>
                <w:sz w:val="26"/>
                <w:szCs w:val="26"/>
              </w:rPr>
            </w:pPr>
            <w:r w:rsidRPr="005525B7">
              <w:rPr>
                <w:rFonts w:ascii="Times New Roman" w:hAnsi="Times New Roman" w:cs="Times New Roman"/>
                <w:b/>
                <w:spacing w:val="-2"/>
                <w:sz w:val="26"/>
                <w:szCs w:val="26"/>
              </w:rPr>
              <w:t>100.0%</w:t>
            </w:r>
          </w:p>
        </w:tc>
      </w:tr>
    </w:tbl>
    <w:p w:rsidRPr="005525B7" w:rsidR="00080CE4" w:rsidP="00080CE4" w:rsidRDefault="00080CE4" w14:paraId="13599879" w14:textId="47499995">
      <w:pPr>
        <w:pStyle w:val="BodyText"/>
        <w:rPr>
          <w:rFonts w:ascii="Times New Roman" w:hAnsi="Times New Roman" w:cs="Times New Roman"/>
          <w:b/>
          <w:sz w:val="26"/>
          <w:szCs w:val="26"/>
        </w:rPr>
      </w:pPr>
      <w:r w:rsidRPr="005525B7">
        <w:rPr>
          <w:rFonts w:ascii="Times New Roman" w:hAnsi="Times New Roman" w:cs="Times New Roman"/>
          <w:b/>
          <w:sz w:val="26"/>
          <w:szCs w:val="26"/>
        </w:rPr>
        <w:t xml:space="preserve">Source: </w:t>
      </w:r>
      <w:r w:rsidRPr="005525B7" w:rsidR="00471B86">
        <w:rPr>
          <w:rFonts w:ascii="Times New Roman" w:hAnsi="Times New Roman" w:cs="Times New Roman"/>
          <w:bCs/>
          <w:sz w:val="26"/>
          <w:szCs w:val="26"/>
        </w:rPr>
        <w:t xml:space="preserve">PG&amp;E, </w:t>
      </w:r>
      <w:r w:rsidRPr="005525B7" w:rsidR="006019EF">
        <w:rPr>
          <w:rFonts w:ascii="Times New Roman" w:hAnsi="Times New Roman" w:cs="Times New Roman"/>
          <w:sz w:val="26"/>
          <w:szCs w:val="26"/>
          <w:lang w:val="en-ZW"/>
        </w:rPr>
        <w:t xml:space="preserve">February 2, 2022 </w:t>
      </w:r>
      <w:r w:rsidRPr="005525B7" w:rsidR="000F7AFF">
        <w:rPr>
          <w:rFonts w:ascii="Times New Roman" w:hAnsi="Times New Roman" w:cs="Times New Roman"/>
          <w:sz w:val="26"/>
          <w:szCs w:val="26"/>
          <w:lang w:val="en-ZW"/>
        </w:rPr>
        <w:t>CAP</w:t>
      </w:r>
      <w:r w:rsidRPr="005525B7" w:rsidR="001561BE">
        <w:rPr>
          <w:rFonts w:ascii="Times New Roman" w:hAnsi="Times New Roman" w:cs="Times New Roman"/>
          <w:sz w:val="26"/>
          <w:szCs w:val="26"/>
          <w:lang w:val="en-ZW"/>
        </w:rPr>
        <w:t xml:space="preserve"> </w:t>
      </w:r>
      <w:r w:rsidRPr="005525B7" w:rsidR="006019EF">
        <w:rPr>
          <w:rFonts w:ascii="Times New Roman" w:hAnsi="Times New Roman" w:cs="Times New Roman"/>
          <w:sz w:val="26"/>
          <w:szCs w:val="26"/>
          <w:lang w:val="en-ZW"/>
        </w:rPr>
        <w:t>Update</w:t>
      </w:r>
      <w:r w:rsidRPr="005525B7" w:rsidR="006019EF">
        <w:rPr>
          <w:rFonts w:ascii="Times New Roman" w:hAnsi="Times New Roman" w:cs="Times New Roman"/>
          <w:b/>
          <w:sz w:val="26"/>
          <w:szCs w:val="26"/>
        </w:rPr>
        <w:t xml:space="preserve"> </w:t>
      </w:r>
      <w:r w:rsidRPr="005525B7" w:rsidR="00EE1DC2">
        <w:rPr>
          <w:rFonts w:ascii="Times New Roman" w:hAnsi="Times New Roman" w:cs="Times New Roman"/>
          <w:b/>
          <w:sz w:val="26"/>
          <w:szCs w:val="26"/>
        </w:rPr>
        <w:t xml:space="preserve"> </w:t>
      </w:r>
    </w:p>
    <w:p w:rsidRPr="005525B7" w:rsidR="009A53FB" w:rsidP="008301BF" w:rsidRDefault="009A53FB" w14:paraId="7A05F7D8" w14:textId="77777777">
      <w:pPr>
        <w:rPr>
          <w:rFonts w:ascii="Times New Roman" w:hAnsi="Times New Roman"/>
          <w:szCs w:val="26"/>
        </w:rPr>
      </w:pPr>
    </w:p>
    <w:p w:rsidRPr="005525B7" w:rsidR="00C4679B" w:rsidP="000333F7" w:rsidRDefault="009360E6" w14:paraId="6612EEBF" w14:textId="614C30EF">
      <w:pPr>
        <w:rPr>
          <w:rFonts w:ascii="Times New Roman" w:hAnsi="Times New Roman"/>
          <w:szCs w:val="26"/>
        </w:rPr>
      </w:pPr>
      <w:r w:rsidRPr="005525B7">
        <w:rPr>
          <w:rFonts w:ascii="Times New Roman" w:hAnsi="Times New Roman"/>
          <w:szCs w:val="26"/>
        </w:rPr>
        <w:t xml:space="preserve">Table </w:t>
      </w:r>
      <w:r w:rsidRPr="005525B7" w:rsidR="005C5254">
        <w:rPr>
          <w:rFonts w:ascii="Times New Roman" w:hAnsi="Times New Roman"/>
          <w:szCs w:val="26"/>
        </w:rPr>
        <w:t>2</w:t>
      </w:r>
      <w:r w:rsidRPr="005525B7">
        <w:rPr>
          <w:rFonts w:ascii="Times New Roman" w:hAnsi="Times New Roman"/>
          <w:szCs w:val="26"/>
        </w:rPr>
        <w:t xml:space="preserve"> below shows that PG&amp;E completed 99.</w:t>
      </w:r>
      <w:r w:rsidRPr="005525B7" w:rsidR="00B534EB">
        <w:rPr>
          <w:rFonts w:ascii="Times New Roman" w:hAnsi="Times New Roman"/>
          <w:szCs w:val="26"/>
        </w:rPr>
        <w:t>9</w:t>
      </w:r>
      <w:r w:rsidRPr="005525B7">
        <w:rPr>
          <w:rFonts w:ascii="Times New Roman" w:hAnsi="Times New Roman"/>
          <w:szCs w:val="26"/>
        </w:rPr>
        <w:t xml:space="preserve"> percent of its EVM work in the top 20 percent highest risk Circuit Protection Zones by June 30, 2022.</w:t>
      </w:r>
    </w:p>
    <w:p w:rsidRPr="005525B7" w:rsidR="00CB4976" w:rsidRDefault="00CB4976" w14:paraId="786FFC41" w14:textId="507E0EC2">
      <w:pPr>
        <w:rPr>
          <w:rFonts w:ascii="Times New Roman" w:hAnsi="Times New Roman"/>
          <w:szCs w:val="26"/>
        </w:rPr>
      </w:pPr>
      <w:r w:rsidRPr="005525B7">
        <w:rPr>
          <w:rFonts w:ascii="Times New Roman" w:hAnsi="Times New Roman"/>
          <w:szCs w:val="26"/>
        </w:rPr>
        <w:br w:type="page"/>
      </w:r>
    </w:p>
    <w:p w:rsidRPr="005525B7" w:rsidR="00B346CD" w:rsidP="00B346CD" w:rsidRDefault="00B346CD" w14:paraId="57FD2F36" w14:textId="69C43ADE">
      <w:pPr>
        <w:spacing w:before="240"/>
        <w:ind w:left="1375" w:right="1376"/>
        <w:jc w:val="center"/>
        <w:rPr>
          <w:rFonts w:ascii="Times New Roman" w:hAnsi="Times New Roman"/>
          <w:b/>
          <w:szCs w:val="26"/>
        </w:rPr>
      </w:pPr>
      <w:r w:rsidRPr="005525B7">
        <w:rPr>
          <w:rFonts w:ascii="Times New Roman" w:hAnsi="Times New Roman"/>
          <w:b/>
          <w:szCs w:val="26"/>
        </w:rPr>
        <w:lastRenderedPageBreak/>
        <w:t>Table</w:t>
      </w:r>
      <w:r w:rsidRPr="005525B7">
        <w:rPr>
          <w:rFonts w:ascii="Times New Roman" w:hAnsi="Times New Roman"/>
          <w:b/>
          <w:spacing w:val="-5"/>
          <w:szCs w:val="26"/>
        </w:rPr>
        <w:t xml:space="preserve"> </w:t>
      </w:r>
      <w:r w:rsidRPr="005525B7" w:rsidR="00901440">
        <w:rPr>
          <w:rFonts w:ascii="Times New Roman" w:hAnsi="Times New Roman"/>
          <w:b/>
          <w:spacing w:val="-5"/>
          <w:szCs w:val="26"/>
        </w:rPr>
        <w:t>2</w:t>
      </w:r>
      <w:r w:rsidRPr="005525B7">
        <w:rPr>
          <w:rFonts w:ascii="Times New Roman" w:hAnsi="Times New Roman"/>
          <w:b/>
          <w:szCs w:val="26"/>
        </w:rPr>
        <w:t>:</w:t>
      </w:r>
      <w:r w:rsidRPr="005525B7">
        <w:rPr>
          <w:rFonts w:ascii="Times New Roman" w:hAnsi="Times New Roman"/>
          <w:b/>
          <w:spacing w:val="46"/>
          <w:szCs w:val="26"/>
        </w:rPr>
        <w:t xml:space="preserve"> </w:t>
      </w:r>
      <w:r w:rsidRPr="005525B7">
        <w:rPr>
          <w:rFonts w:ascii="Times New Roman" w:hAnsi="Times New Roman"/>
          <w:b/>
          <w:szCs w:val="26"/>
        </w:rPr>
        <w:t>EVM</w:t>
      </w:r>
      <w:r w:rsidRPr="005525B7">
        <w:rPr>
          <w:rFonts w:ascii="Times New Roman" w:hAnsi="Times New Roman"/>
          <w:b/>
          <w:spacing w:val="-4"/>
          <w:szCs w:val="26"/>
        </w:rPr>
        <w:t xml:space="preserve"> </w:t>
      </w:r>
      <w:r w:rsidRPr="005525B7">
        <w:rPr>
          <w:rFonts w:ascii="Times New Roman" w:hAnsi="Times New Roman"/>
          <w:b/>
          <w:szCs w:val="26"/>
        </w:rPr>
        <w:t>Progress</w:t>
      </w:r>
      <w:r w:rsidRPr="005525B7">
        <w:rPr>
          <w:rFonts w:ascii="Times New Roman" w:hAnsi="Times New Roman"/>
          <w:b/>
          <w:spacing w:val="-4"/>
          <w:szCs w:val="26"/>
        </w:rPr>
        <w:t xml:space="preserve"> </w:t>
      </w:r>
      <w:r w:rsidRPr="005525B7">
        <w:rPr>
          <w:rFonts w:ascii="Times New Roman" w:hAnsi="Times New Roman"/>
          <w:b/>
          <w:szCs w:val="26"/>
        </w:rPr>
        <w:t>Through</w:t>
      </w:r>
      <w:r w:rsidRPr="005525B7">
        <w:rPr>
          <w:rFonts w:ascii="Times New Roman" w:hAnsi="Times New Roman"/>
          <w:b/>
          <w:spacing w:val="-5"/>
          <w:szCs w:val="26"/>
        </w:rPr>
        <w:t xml:space="preserve"> </w:t>
      </w:r>
      <w:r w:rsidRPr="005525B7">
        <w:rPr>
          <w:rFonts w:ascii="Times New Roman" w:hAnsi="Times New Roman"/>
          <w:b/>
          <w:szCs w:val="26"/>
        </w:rPr>
        <w:t>June</w:t>
      </w:r>
      <w:r w:rsidRPr="005525B7">
        <w:rPr>
          <w:rFonts w:ascii="Times New Roman" w:hAnsi="Times New Roman"/>
          <w:b/>
          <w:spacing w:val="-4"/>
          <w:szCs w:val="26"/>
        </w:rPr>
        <w:t xml:space="preserve"> </w:t>
      </w:r>
      <w:r w:rsidRPr="005525B7">
        <w:rPr>
          <w:rFonts w:ascii="Times New Roman" w:hAnsi="Times New Roman"/>
          <w:b/>
          <w:szCs w:val="26"/>
        </w:rPr>
        <w:t>30,</w:t>
      </w:r>
      <w:r w:rsidRPr="005525B7">
        <w:rPr>
          <w:rFonts w:ascii="Times New Roman" w:hAnsi="Times New Roman"/>
          <w:b/>
          <w:spacing w:val="-5"/>
          <w:szCs w:val="26"/>
        </w:rPr>
        <w:t xml:space="preserve"> </w:t>
      </w:r>
      <w:r w:rsidRPr="005525B7">
        <w:rPr>
          <w:rFonts w:ascii="Times New Roman" w:hAnsi="Times New Roman"/>
          <w:b/>
          <w:szCs w:val="26"/>
        </w:rPr>
        <w:t>2022</w:t>
      </w:r>
      <w:r w:rsidRPr="005525B7">
        <w:rPr>
          <w:rFonts w:ascii="Times New Roman" w:hAnsi="Times New Roman"/>
          <w:b/>
          <w:spacing w:val="-4"/>
          <w:szCs w:val="26"/>
        </w:rPr>
        <w:t xml:space="preserve"> </w:t>
      </w:r>
    </w:p>
    <w:tbl>
      <w:tblPr>
        <w:tblW w:w="9583" w:type="dxa"/>
        <w:tblCellSpacing w:w="9" w:type="dxa"/>
        <w:tblInd w:w="156" w:type="dxa"/>
        <w:tblLayout w:type="fixed"/>
        <w:tblCellMar>
          <w:left w:w="0" w:type="dxa"/>
          <w:right w:w="0" w:type="dxa"/>
        </w:tblCellMar>
        <w:tblLook w:val="01E0" w:firstRow="1" w:lastRow="1" w:firstColumn="1" w:lastColumn="1" w:noHBand="0" w:noVBand="0"/>
      </w:tblPr>
      <w:tblGrid>
        <w:gridCol w:w="2888"/>
        <w:gridCol w:w="3348"/>
        <w:gridCol w:w="3347"/>
      </w:tblGrid>
      <w:tr w:rsidRPr="005525B7" w:rsidR="00B346CD" w:rsidTr="00BA2555" w14:paraId="4A5CA4BD" w14:textId="77777777">
        <w:trPr>
          <w:trHeight w:val="508"/>
          <w:tblCellSpacing w:w="9" w:type="dxa"/>
        </w:trPr>
        <w:tc>
          <w:tcPr>
            <w:tcW w:w="2861" w:type="dxa"/>
            <w:tcBorders>
              <w:top w:val="nil"/>
              <w:left w:val="nil"/>
            </w:tcBorders>
            <w:shd w:val="clear" w:color="auto" w:fill="0089C4"/>
          </w:tcPr>
          <w:p w:rsidRPr="005525B7" w:rsidR="00B346CD" w:rsidRDefault="00B346CD" w14:paraId="22FC4BA6" w14:textId="77777777">
            <w:pPr>
              <w:pStyle w:val="TableParagraph"/>
              <w:spacing w:before="135" w:line="240" w:lineRule="auto"/>
              <w:ind w:left="640"/>
              <w:jc w:val="left"/>
              <w:rPr>
                <w:rFonts w:ascii="Times New Roman" w:hAnsi="Times New Roman" w:cs="Times New Roman"/>
                <w:b/>
                <w:sz w:val="26"/>
                <w:szCs w:val="26"/>
              </w:rPr>
            </w:pPr>
            <w:r w:rsidRPr="005525B7">
              <w:rPr>
                <w:rFonts w:ascii="Times New Roman" w:hAnsi="Times New Roman" w:cs="Times New Roman"/>
                <w:b/>
                <w:sz w:val="26"/>
                <w:szCs w:val="26"/>
              </w:rPr>
              <w:t>Risk</w:t>
            </w:r>
            <w:r w:rsidRPr="005525B7">
              <w:rPr>
                <w:rFonts w:ascii="Times New Roman" w:hAnsi="Times New Roman" w:cs="Times New Roman"/>
                <w:b/>
                <w:spacing w:val="-8"/>
                <w:sz w:val="26"/>
                <w:szCs w:val="26"/>
              </w:rPr>
              <w:t xml:space="preserve"> </w:t>
            </w:r>
            <w:r w:rsidRPr="005525B7">
              <w:rPr>
                <w:rFonts w:ascii="Times New Roman" w:hAnsi="Times New Roman" w:cs="Times New Roman"/>
                <w:b/>
                <w:spacing w:val="-2"/>
                <w:sz w:val="26"/>
                <w:szCs w:val="26"/>
              </w:rPr>
              <w:t>Tranche</w:t>
            </w:r>
          </w:p>
        </w:tc>
        <w:tc>
          <w:tcPr>
            <w:tcW w:w="3330" w:type="dxa"/>
            <w:tcBorders>
              <w:top w:val="nil"/>
            </w:tcBorders>
            <w:shd w:val="clear" w:color="auto" w:fill="0089C4"/>
          </w:tcPr>
          <w:p w:rsidRPr="005525B7" w:rsidR="00B346CD" w:rsidRDefault="00B346CD" w14:paraId="43EEDE8B" w14:textId="238E0AFA">
            <w:pPr>
              <w:pStyle w:val="TableParagraph"/>
              <w:spacing w:before="135" w:line="240" w:lineRule="auto"/>
              <w:ind w:left="395"/>
              <w:jc w:val="left"/>
              <w:rPr>
                <w:rFonts w:ascii="Times New Roman" w:hAnsi="Times New Roman" w:cs="Times New Roman"/>
                <w:b/>
                <w:sz w:val="26"/>
                <w:szCs w:val="26"/>
              </w:rPr>
            </w:pPr>
            <w:r w:rsidRPr="005525B7">
              <w:rPr>
                <w:rFonts w:ascii="Times New Roman" w:hAnsi="Times New Roman" w:cs="Times New Roman"/>
                <w:b/>
                <w:sz w:val="26"/>
                <w:szCs w:val="26"/>
              </w:rPr>
              <w:t>Work</w:t>
            </w:r>
            <w:r w:rsidRPr="005525B7">
              <w:rPr>
                <w:rFonts w:ascii="Times New Roman" w:hAnsi="Times New Roman" w:cs="Times New Roman"/>
                <w:b/>
                <w:spacing w:val="-6"/>
                <w:sz w:val="26"/>
                <w:szCs w:val="26"/>
              </w:rPr>
              <w:t xml:space="preserve"> </w:t>
            </w:r>
            <w:r w:rsidRPr="005525B7">
              <w:rPr>
                <w:rFonts w:ascii="Times New Roman" w:hAnsi="Times New Roman" w:cs="Times New Roman"/>
                <w:b/>
                <w:sz w:val="26"/>
                <w:szCs w:val="26"/>
              </w:rPr>
              <w:t>Verified</w:t>
            </w:r>
            <w:r w:rsidRPr="005525B7">
              <w:rPr>
                <w:rFonts w:ascii="Times New Roman" w:hAnsi="Times New Roman" w:cs="Times New Roman"/>
                <w:b/>
                <w:spacing w:val="-6"/>
                <w:sz w:val="26"/>
                <w:szCs w:val="26"/>
              </w:rPr>
              <w:t xml:space="preserve"> </w:t>
            </w:r>
            <w:r w:rsidRPr="005525B7">
              <w:rPr>
                <w:rFonts w:ascii="Times New Roman" w:hAnsi="Times New Roman" w:cs="Times New Roman"/>
                <w:b/>
                <w:spacing w:val="-2"/>
                <w:sz w:val="26"/>
                <w:szCs w:val="26"/>
              </w:rPr>
              <w:t>Miles</w:t>
            </w:r>
          </w:p>
        </w:tc>
        <w:tc>
          <w:tcPr>
            <w:tcW w:w="3320" w:type="dxa"/>
            <w:tcBorders>
              <w:top w:val="nil"/>
              <w:right w:val="nil"/>
            </w:tcBorders>
            <w:shd w:val="clear" w:color="auto" w:fill="0089C4"/>
          </w:tcPr>
          <w:p w:rsidRPr="005525B7" w:rsidR="00B346CD" w:rsidRDefault="00B346CD" w14:paraId="3DDC6006" w14:textId="1B47E3AD">
            <w:pPr>
              <w:pStyle w:val="TableParagraph"/>
              <w:spacing w:before="75" w:line="240" w:lineRule="auto"/>
              <w:ind w:left="777"/>
              <w:jc w:val="left"/>
              <w:rPr>
                <w:rFonts w:ascii="Times New Roman" w:hAnsi="Times New Roman" w:cs="Times New Roman"/>
                <w:b/>
                <w:sz w:val="26"/>
                <w:szCs w:val="26"/>
              </w:rPr>
            </w:pPr>
            <w:r w:rsidRPr="005525B7">
              <w:rPr>
                <w:rFonts w:ascii="Times New Roman" w:hAnsi="Times New Roman" w:cs="Times New Roman"/>
                <w:b/>
                <w:sz w:val="26"/>
                <w:szCs w:val="26"/>
              </w:rPr>
              <w:t>%</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of</w:t>
            </w:r>
            <w:r w:rsidRPr="005525B7">
              <w:rPr>
                <w:rFonts w:ascii="Times New Roman" w:hAnsi="Times New Roman" w:cs="Times New Roman"/>
                <w:b/>
                <w:spacing w:val="-3"/>
                <w:sz w:val="26"/>
                <w:szCs w:val="26"/>
              </w:rPr>
              <w:t xml:space="preserve"> </w:t>
            </w:r>
            <w:r w:rsidRPr="005525B7">
              <w:rPr>
                <w:rFonts w:ascii="Times New Roman" w:hAnsi="Times New Roman" w:cs="Times New Roman"/>
                <w:b/>
                <w:sz w:val="26"/>
                <w:szCs w:val="26"/>
              </w:rPr>
              <w:t>Total</w:t>
            </w:r>
            <w:r w:rsidRPr="005525B7">
              <w:rPr>
                <w:rFonts w:ascii="Times New Roman" w:hAnsi="Times New Roman" w:cs="Times New Roman"/>
                <w:b/>
                <w:spacing w:val="-4"/>
                <w:sz w:val="26"/>
                <w:szCs w:val="26"/>
              </w:rPr>
              <w:t xml:space="preserve"> </w:t>
            </w:r>
            <w:r w:rsidRPr="005525B7" w:rsidR="00AB6929">
              <w:rPr>
                <w:rFonts w:ascii="Times New Roman" w:hAnsi="Times New Roman" w:cs="Times New Roman"/>
                <w:b/>
                <w:sz w:val="26"/>
                <w:szCs w:val="26"/>
              </w:rPr>
              <w:t>Work</w:t>
            </w:r>
            <w:r w:rsidRPr="005525B7" w:rsidR="00AB6929">
              <w:rPr>
                <w:rFonts w:ascii="Times New Roman" w:hAnsi="Times New Roman" w:cs="Times New Roman"/>
                <w:b/>
                <w:spacing w:val="-6"/>
                <w:sz w:val="26"/>
                <w:szCs w:val="26"/>
              </w:rPr>
              <w:t xml:space="preserve"> </w:t>
            </w:r>
            <w:r w:rsidRPr="005525B7" w:rsidR="00AB6929">
              <w:rPr>
                <w:rFonts w:ascii="Times New Roman" w:hAnsi="Times New Roman" w:cs="Times New Roman"/>
                <w:b/>
                <w:sz w:val="26"/>
                <w:szCs w:val="26"/>
              </w:rPr>
              <w:t>Verified</w:t>
            </w:r>
            <w:r w:rsidRPr="005525B7">
              <w:rPr>
                <w:rFonts w:ascii="Times New Roman" w:hAnsi="Times New Roman" w:cs="Times New Roman"/>
                <w:b/>
                <w:spacing w:val="-3"/>
                <w:sz w:val="26"/>
                <w:szCs w:val="26"/>
              </w:rPr>
              <w:t xml:space="preserve"> </w:t>
            </w:r>
            <w:r w:rsidRPr="005525B7">
              <w:rPr>
                <w:rFonts w:ascii="Times New Roman" w:hAnsi="Times New Roman" w:cs="Times New Roman"/>
                <w:b/>
                <w:spacing w:val="-2"/>
                <w:sz w:val="26"/>
                <w:szCs w:val="26"/>
              </w:rPr>
              <w:t>Miles</w:t>
            </w:r>
          </w:p>
        </w:tc>
      </w:tr>
      <w:tr w:rsidRPr="005525B7" w:rsidR="00B346CD" w:rsidTr="00BA2555" w14:paraId="3709F607" w14:textId="77777777">
        <w:trPr>
          <w:trHeight w:val="508"/>
          <w:tblCellSpacing w:w="9" w:type="dxa"/>
        </w:trPr>
        <w:tc>
          <w:tcPr>
            <w:tcW w:w="2861" w:type="dxa"/>
            <w:tcBorders>
              <w:left w:val="nil"/>
            </w:tcBorders>
            <w:shd w:val="clear" w:color="auto" w:fill="D9D9D9"/>
          </w:tcPr>
          <w:p w:rsidRPr="005525B7" w:rsidR="00B346CD" w:rsidRDefault="00B346CD" w14:paraId="5F28C957" w14:textId="77777777">
            <w:pPr>
              <w:pStyle w:val="TableParagraph"/>
              <w:spacing w:before="135" w:line="240" w:lineRule="auto"/>
              <w:ind w:left="670"/>
              <w:jc w:val="left"/>
              <w:rPr>
                <w:rFonts w:ascii="Times New Roman" w:hAnsi="Times New Roman" w:cs="Times New Roman"/>
                <w:b/>
                <w:sz w:val="26"/>
                <w:szCs w:val="26"/>
              </w:rPr>
            </w:pPr>
            <w:r w:rsidRPr="005525B7">
              <w:rPr>
                <w:rFonts w:ascii="Times New Roman" w:hAnsi="Times New Roman" w:cs="Times New Roman"/>
                <w:b/>
                <w:sz w:val="26"/>
                <w:szCs w:val="26"/>
              </w:rPr>
              <w:t>Highest</w:t>
            </w:r>
            <w:r w:rsidRPr="005525B7">
              <w:rPr>
                <w:rFonts w:ascii="Times New Roman" w:hAnsi="Times New Roman" w:cs="Times New Roman"/>
                <w:b/>
                <w:spacing w:val="-8"/>
                <w:sz w:val="26"/>
                <w:szCs w:val="26"/>
              </w:rPr>
              <w:t xml:space="preserve"> </w:t>
            </w:r>
            <w:r w:rsidRPr="005525B7">
              <w:rPr>
                <w:rFonts w:ascii="Times New Roman" w:hAnsi="Times New Roman" w:cs="Times New Roman"/>
                <w:b/>
                <w:spacing w:val="-5"/>
                <w:sz w:val="26"/>
                <w:szCs w:val="26"/>
              </w:rPr>
              <w:t>10%</w:t>
            </w:r>
          </w:p>
        </w:tc>
        <w:tc>
          <w:tcPr>
            <w:tcW w:w="3330" w:type="dxa"/>
            <w:shd w:val="clear" w:color="auto" w:fill="F1F1F1"/>
          </w:tcPr>
          <w:p w:rsidRPr="005525B7" w:rsidR="00B346CD" w:rsidRDefault="00B346CD" w14:paraId="3AC0F0E9" w14:textId="77777777">
            <w:pPr>
              <w:pStyle w:val="TableParagraph"/>
              <w:spacing w:before="135" w:line="240" w:lineRule="auto"/>
              <w:ind w:left="1323" w:right="1374"/>
              <w:jc w:val="center"/>
              <w:rPr>
                <w:rFonts w:ascii="Times New Roman" w:hAnsi="Times New Roman" w:cs="Times New Roman"/>
                <w:sz w:val="26"/>
                <w:szCs w:val="26"/>
              </w:rPr>
            </w:pPr>
            <w:r w:rsidRPr="005525B7">
              <w:rPr>
                <w:rFonts w:ascii="Times New Roman" w:hAnsi="Times New Roman" w:cs="Times New Roman"/>
                <w:spacing w:val="-2"/>
                <w:sz w:val="26"/>
                <w:szCs w:val="26"/>
              </w:rPr>
              <w:t>905.57</w:t>
            </w:r>
          </w:p>
        </w:tc>
        <w:tc>
          <w:tcPr>
            <w:tcW w:w="3320" w:type="dxa"/>
            <w:tcBorders>
              <w:right w:val="nil"/>
            </w:tcBorders>
            <w:shd w:val="clear" w:color="auto" w:fill="F1F1F1"/>
          </w:tcPr>
          <w:p w:rsidRPr="005525B7" w:rsidR="00B346CD" w:rsidRDefault="00B346CD" w14:paraId="16E7007A" w14:textId="77777777">
            <w:pPr>
              <w:pStyle w:val="TableParagraph"/>
              <w:spacing w:before="75" w:line="240" w:lineRule="auto"/>
              <w:ind w:left="1373" w:right="1239"/>
              <w:jc w:val="center"/>
              <w:rPr>
                <w:rFonts w:ascii="Times New Roman" w:hAnsi="Times New Roman" w:cs="Times New Roman"/>
                <w:sz w:val="26"/>
                <w:szCs w:val="26"/>
              </w:rPr>
            </w:pPr>
            <w:r w:rsidRPr="005525B7">
              <w:rPr>
                <w:rFonts w:ascii="Times New Roman" w:hAnsi="Times New Roman" w:cs="Times New Roman"/>
                <w:spacing w:val="-2"/>
                <w:sz w:val="26"/>
                <w:szCs w:val="26"/>
              </w:rPr>
              <w:t>96.97%</w:t>
            </w:r>
          </w:p>
        </w:tc>
      </w:tr>
      <w:tr w:rsidRPr="005525B7" w:rsidR="00B346CD" w:rsidTr="00BA2555" w14:paraId="14E92CD6" w14:textId="77777777">
        <w:trPr>
          <w:trHeight w:val="507"/>
          <w:tblCellSpacing w:w="9" w:type="dxa"/>
        </w:trPr>
        <w:tc>
          <w:tcPr>
            <w:tcW w:w="2861" w:type="dxa"/>
            <w:tcBorders>
              <w:left w:val="nil"/>
            </w:tcBorders>
            <w:shd w:val="clear" w:color="auto" w:fill="D9D9D9"/>
          </w:tcPr>
          <w:p w:rsidRPr="005525B7" w:rsidR="00B346CD" w:rsidRDefault="00B346CD" w14:paraId="14303CBE" w14:textId="77777777">
            <w:pPr>
              <w:pStyle w:val="TableParagraph"/>
              <w:spacing w:before="135" w:line="240" w:lineRule="auto"/>
              <w:ind w:left="629"/>
              <w:jc w:val="left"/>
              <w:rPr>
                <w:rFonts w:ascii="Times New Roman" w:hAnsi="Times New Roman" w:cs="Times New Roman"/>
                <w:b/>
                <w:sz w:val="26"/>
                <w:szCs w:val="26"/>
              </w:rPr>
            </w:pPr>
            <w:r w:rsidRPr="005525B7">
              <w:rPr>
                <w:rFonts w:ascii="Times New Roman" w:hAnsi="Times New Roman" w:cs="Times New Roman"/>
                <w:b/>
                <w:sz w:val="26"/>
                <w:szCs w:val="26"/>
              </w:rPr>
              <w:t>&gt;10%</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to</w:t>
            </w:r>
            <w:r w:rsidRPr="005525B7">
              <w:rPr>
                <w:rFonts w:ascii="Times New Roman" w:hAnsi="Times New Roman" w:cs="Times New Roman"/>
                <w:b/>
                <w:spacing w:val="-4"/>
                <w:sz w:val="26"/>
                <w:szCs w:val="26"/>
              </w:rPr>
              <w:t xml:space="preserve"> </w:t>
            </w:r>
            <w:r w:rsidRPr="005525B7">
              <w:rPr>
                <w:rFonts w:ascii="Times New Roman" w:hAnsi="Times New Roman" w:cs="Times New Roman"/>
                <w:b/>
                <w:spacing w:val="-5"/>
                <w:sz w:val="26"/>
                <w:szCs w:val="26"/>
              </w:rPr>
              <w:t>20%</w:t>
            </w:r>
          </w:p>
        </w:tc>
        <w:tc>
          <w:tcPr>
            <w:tcW w:w="3330" w:type="dxa"/>
            <w:shd w:val="clear" w:color="auto" w:fill="F1F1F1"/>
          </w:tcPr>
          <w:p w:rsidRPr="005525B7" w:rsidR="00B346CD" w:rsidRDefault="00B346CD" w14:paraId="19970278" w14:textId="77777777">
            <w:pPr>
              <w:pStyle w:val="TableParagraph"/>
              <w:spacing w:before="135" w:line="240" w:lineRule="auto"/>
              <w:ind w:left="1323" w:right="1374"/>
              <w:jc w:val="center"/>
              <w:rPr>
                <w:rFonts w:ascii="Times New Roman" w:hAnsi="Times New Roman" w:cs="Times New Roman"/>
                <w:sz w:val="26"/>
                <w:szCs w:val="26"/>
              </w:rPr>
            </w:pPr>
            <w:r w:rsidRPr="005525B7">
              <w:rPr>
                <w:rFonts w:ascii="Times New Roman" w:hAnsi="Times New Roman" w:cs="Times New Roman"/>
                <w:spacing w:val="-2"/>
                <w:sz w:val="26"/>
                <w:szCs w:val="26"/>
              </w:rPr>
              <w:t>27.07</w:t>
            </w:r>
          </w:p>
        </w:tc>
        <w:tc>
          <w:tcPr>
            <w:tcW w:w="3320" w:type="dxa"/>
            <w:tcBorders>
              <w:right w:val="nil"/>
            </w:tcBorders>
            <w:shd w:val="clear" w:color="auto" w:fill="F1F1F1"/>
          </w:tcPr>
          <w:p w:rsidRPr="005525B7" w:rsidR="00B346CD" w:rsidRDefault="00B346CD" w14:paraId="514666F9" w14:textId="77777777">
            <w:pPr>
              <w:pStyle w:val="TableParagraph"/>
              <w:spacing w:before="75" w:line="240" w:lineRule="auto"/>
              <w:ind w:left="1373" w:right="1237"/>
              <w:jc w:val="center"/>
              <w:rPr>
                <w:rFonts w:ascii="Times New Roman" w:hAnsi="Times New Roman" w:cs="Times New Roman"/>
                <w:sz w:val="26"/>
                <w:szCs w:val="26"/>
              </w:rPr>
            </w:pPr>
            <w:r w:rsidRPr="005525B7">
              <w:rPr>
                <w:rFonts w:ascii="Times New Roman" w:hAnsi="Times New Roman" w:cs="Times New Roman"/>
                <w:spacing w:val="-4"/>
                <w:sz w:val="26"/>
                <w:szCs w:val="26"/>
              </w:rPr>
              <w:t>2.9%</w:t>
            </w:r>
          </w:p>
        </w:tc>
      </w:tr>
      <w:tr w:rsidRPr="005525B7" w:rsidR="00B346CD" w:rsidTr="00BA2555" w14:paraId="61C12149" w14:textId="77777777">
        <w:trPr>
          <w:trHeight w:val="508"/>
          <w:tblCellSpacing w:w="9" w:type="dxa"/>
        </w:trPr>
        <w:tc>
          <w:tcPr>
            <w:tcW w:w="2861" w:type="dxa"/>
            <w:tcBorders>
              <w:left w:val="nil"/>
            </w:tcBorders>
            <w:shd w:val="clear" w:color="auto" w:fill="D9D9D9"/>
          </w:tcPr>
          <w:p w:rsidRPr="005525B7" w:rsidR="00B346CD" w:rsidRDefault="00B346CD" w14:paraId="5069C111" w14:textId="77777777">
            <w:pPr>
              <w:pStyle w:val="TableParagraph"/>
              <w:spacing w:before="135" w:line="240" w:lineRule="auto"/>
              <w:ind w:left="629"/>
              <w:jc w:val="left"/>
              <w:rPr>
                <w:rFonts w:ascii="Times New Roman" w:hAnsi="Times New Roman" w:cs="Times New Roman"/>
                <w:b/>
                <w:sz w:val="26"/>
                <w:szCs w:val="26"/>
              </w:rPr>
            </w:pPr>
            <w:r w:rsidRPr="005525B7">
              <w:rPr>
                <w:rFonts w:ascii="Times New Roman" w:hAnsi="Times New Roman" w:cs="Times New Roman"/>
                <w:b/>
                <w:sz w:val="26"/>
                <w:szCs w:val="26"/>
              </w:rPr>
              <w:t>&gt;20%</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to</w:t>
            </w:r>
            <w:r w:rsidRPr="005525B7">
              <w:rPr>
                <w:rFonts w:ascii="Times New Roman" w:hAnsi="Times New Roman" w:cs="Times New Roman"/>
                <w:b/>
                <w:spacing w:val="-4"/>
                <w:sz w:val="26"/>
                <w:szCs w:val="26"/>
              </w:rPr>
              <w:t xml:space="preserve"> </w:t>
            </w:r>
            <w:r w:rsidRPr="005525B7">
              <w:rPr>
                <w:rFonts w:ascii="Times New Roman" w:hAnsi="Times New Roman" w:cs="Times New Roman"/>
                <w:b/>
                <w:spacing w:val="-5"/>
                <w:sz w:val="26"/>
                <w:szCs w:val="26"/>
              </w:rPr>
              <w:t>30%</w:t>
            </w:r>
          </w:p>
        </w:tc>
        <w:tc>
          <w:tcPr>
            <w:tcW w:w="3330" w:type="dxa"/>
            <w:shd w:val="clear" w:color="auto" w:fill="F1F1F1"/>
          </w:tcPr>
          <w:p w:rsidRPr="005525B7" w:rsidR="00B346CD" w:rsidRDefault="00B346CD" w14:paraId="04209347" w14:textId="77777777">
            <w:pPr>
              <w:pStyle w:val="TableParagraph"/>
              <w:spacing w:before="135" w:line="240" w:lineRule="auto"/>
              <w:ind w:left="1322" w:right="1374"/>
              <w:jc w:val="center"/>
              <w:rPr>
                <w:rFonts w:ascii="Times New Roman" w:hAnsi="Times New Roman" w:cs="Times New Roman"/>
                <w:sz w:val="26"/>
                <w:szCs w:val="26"/>
              </w:rPr>
            </w:pPr>
            <w:r w:rsidRPr="005525B7">
              <w:rPr>
                <w:rFonts w:ascii="Times New Roman" w:hAnsi="Times New Roman" w:cs="Times New Roman"/>
                <w:spacing w:val="-5"/>
                <w:sz w:val="26"/>
                <w:szCs w:val="26"/>
              </w:rPr>
              <w:t>0.5</w:t>
            </w:r>
          </w:p>
        </w:tc>
        <w:tc>
          <w:tcPr>
            <w:tcW w:w="3320" w:type="dxa"/>
            <w:tcBorders>
              <w:right w:val="nil"/>
            </w:tcBorders>
            <w:shd w:val="clear" w:color="auto" w:fill="F1F1F1"/>
          </w:tcPr>
          <w:p w:rsidRPr="005525B7" w:rsidR="00B346CD" w:rsidRDefault="00B346CD" w14:paraId="70BEC60F" w14:textId="77777777">
            <w:pPr>
              <w:pStyle w:val="TableParagraph"/>
              <w:spacing w:before="75" w:line="240" w:lineRule="auto"/>
              <w:ind w:left="1373" w:right="1237"/>
              <w:jc w:val="center"/>
              <w:rPr>
                <w:rFonts w:ascii="Times New Roman" w:hAnsi="Times New Roman" w:cs="Times New Roman"/>
                <w:sz w:val="26"/>
                <w:szCs w:val="26"/>
              </w:rPr>
            </w:pPr>
            <w:r w:rsidRPr="005525B7">
              <w:rPr>
                <w:rFonts w:ascii="Times New Roman" w:hAnsi="Times New Roman" w:cs="Times New Roman"/>
                <w:spacing w:val="-2"/>
                <w:sz w:val="26"/>
                <w:szCs w:val="26"/>
              </w:rPr>
              <w:t>0.05%</w:t>
            </w:r>
          </w:p>
        </w:tc>
      </w:tr>
      <w:tr w:rsidRPr="005525B7" w:rsidR="00B346CD" w:rsidTr="00BA2555" w14:paraId="19B695A3" w14:textId="77777777">
        <w:trPr>
          <w:trHeight w:val="507"/>
          <w:tblCellSpacing w:w="9" w:type="dxa"/>
        </w:trPr>
        <w:tc>
          <w:tcPr>
            <w:tcW w:w="2861" w:type="dxa"/>
            <w:tcBorders>
              <w:left w:val="nil"/>
            </w:tcBorders>
            <w:shd w:val="clear" w:color="auto" w:fill="D9D9D9"/>
          </w:tcPr>
          <w:p w:rsidRPr="005525B7" w:rsidR="00B346CD" w:rsidRDefault="00B346CD" w14:paraId="4926E6D4" w14:textId="77777777">
            <w:pPr>
              <w:pStyle w:val="TableParagraph"/>
              <w:spacing w:before="135" w:line="240" w:lineRule="auto"/>
              <w:ind w:left="629"/>
              <w:jc w:val="left"/>
              <w:rPr>
                <w:rFonts w:ascii="Times New Roman" w:hAnsi="Times New Roman" w:cs="Times New Roman"/>
                <w:b/>
                <w:sz w:val="26"/>
                <w:szCs w:val="26"/>
              </w:rPr>
            </w:pPr>
            <w:r w:rsidRPr="005525B7">
              <w:rPr>
                <w:rFonts w:ascii="Times New Roman" w:hAnsi="Times New Roman" w:cs="Times New Roman"/>
                <w:b/>
                <w:sz w:val="26"/>
                <w:szCs w:val="26"/>
              </w:rPr>
              <w:t>&gt;30%</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to</w:t>
            </w:r>
            <w:r w:rsidRPr="005525B7">
              <w:rPr>
                <w:rFonts w:ascii="Times New Roman" w:hAnsi="Times New Roman" w:cs="Times New Roman"/>
                <w:b/>
                <w:spacing w:val="-4"/>
                <w:sz w:val="26"/>
                <w:szCs w:val="26"/>
              </w:rPr>
              <w:t xml:space="preserve"> </w:t>
            </w:r>
            <w:r w:rsidRPr="005525B7">
              <w:rPr>
                <w:rFonts w:ascii="Times New Roman" w:hAnsi="Times New Roman" w:cs="Times New Roman"/>
                <w:b/>
                <w:spacing w:val="-5"/>
                <w:sz w:val="26"/>
                <w:szCs w:val="26"/>
              </w:rPr>
              <w:t>40%</w:t>
            </w:r>
          </w:p>
        </w:tc>
        <w:tc>
          <w:tcPr>
            <w:tcW w:w="3330" w:type="dxa"/>
            <w:shd w:val="clear" w:color="auto" w:fill="F1F1F1"/>
          </w:tcPr>
          <w:p w:rsidRPr="005525B7" w:rsidR="00B346CD" w:rsidRDefault="00B346CD" w14:paraId="74722FC6" w14:textId="77777777">
            <w:pPr>
              <w:pStyle w:val="TableParagraph"/>
              <w:spacing w:before="135" w:line="240" w:lineRule="auto"/>
              <w:ind w:right="54"/>
              <w:jc w:val="center"/>
              <w:rPr>
                <w:rFonts w:ascii="Times New Roman" w:hAnsi="Times New Roman" w:cs="Times New Roman"/>
                <w:sz w:val="26"/>
                <w:szCs w:val="26"/>
              </w:rPr>
            </w:pPr>
            <w:r w:rsidRPr="005525B7">
              <w:rPr>
                <w:rFonts w:ascii="Times New Roman" w:hAnsi="Times New Roman" w:cs="Times New Roman"/>
                <w:w w:val="99"/>
                <w:sz w:val="26"/>
                <w:szCs w:val="26"/>
              </w:rPr>
              <w:t>0</w:t>
            </w:r>
          </w:p>
        </w:tc>
        <w:tc>
          <w:tcPr>
            <w:tcW w:w="3320" w:type="dxa"/>
            <w:tcBorders>
              <w:right w:val="nil"/>
            </w:tcBorders>
            <w:shd w:val="clear" w:color="auto" w:fill="F1F1F1"/>
          </w:tcPr>
          <w:p w:rsidRPr="005525B7" w:rsidR="00B346CD" w:rsidRDefault="00B346CD" w14:paraId="5B9FBA2F" w14:textId="77777777">
            <w:pPr>
              <w:pStyle w:val="TableParagraph"/>
              <w:spacing w:before="75" w:line="240" w:lineRule="auto"/>
              <w:ind w:left="1373" w:right="1237"/>
              <w:jc w:val="center"/>
              <w:rPr>
                <w:rFonts w:ascii="Times New Roman" w:hAnsi="Times New Roman" w:cs="Times New Roman"/>
                <w:sz w:val="26"/>
                <w:szCs w:val="26"/>
              </w:rPr>
            </w:pPr>
            <w:r w:rsidRPr="005525B7">
              <w:rPr>
                <w:rFonts w:ascii="Times New Roman" w:hAnsi="Times New Roman" w:cs="Times New Roman"/>
                <w:spacing w:val="-5"/>
                <w:sz w:val="26"/>
                <w:szCs w:val="26"/>
              </w:rPr>
              <w:t>0%</w:t>
            </w:r>
          </w:p>
        </w:tc>
      </w:tr>
      <w:tr w:rsidRPr="005525B7" w:rsidR="00B346CD" w:rsidTr="00BA2555" w14:paraId="67FC7706" w14:textId="77777777">
        <w:trPr>
          <w:trHeight w:val="508"/>
          <w:tblCellSpacing w:w="9" w:type="dxa"/>
        </w:trPr>
        <w:tc>
          <w:tcPr>
            <w:tcW w:w="2861" w:type="dxa"/>
            <w:tcBorders>
              <w:left w:val="nil"/>
            </w:tcBorders>
            <w:shd w:val="clear" w:color="auto" w:fill="D9D9D9"/>
          </w:tcPr>
          <w:p w:rsidRPr="005525B7" w:rsidR="00B346CD" w:rsidRDefault="00B346CD" w14:paraId="0C974BA9" w14:textId="77777777">
            <w:pPr>
              <w:pStyle w:val="TableParagraph"/>
              <w:spacing w:before="135" w:line="240" w:lineRule="auto"/>
              <w:ind w:left="629"/>
              <w:jc w:val="left"/>
              <w:rPr>
                <w:rFonts w:ascii="Times New Roman" w:hAnsi="Times New Roman" w:cs="Times New Roman"/>
                <w:b/>
                <w:sz w:val="26"/>
                <w:szCs w:val="26"/>
              </w:rPr>
            </w:pPr>
            <w:r w:rsidRPr="005525B7">
              <w:rPr>
                <w:rFonts w:ascii="Times New Roman" w:hAnsi="Times New Roman" w:cs="Times New Roman"/>
                <w:b/>
                <w:sz w:val="26"/>
                <w:szCs w:val="26"/>
              </w:rPr>
              <w:t>&gt;40%</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to</w:t>
            </w:r>
            <w:r w:rsidRPr="005525B7">
              <w:rPr>
                <w:rFonts w:ascii="Times New Roman" w:hAnsi="Times New Roman" w:cs="Times New Roman"/>
                <w:b/>
                <w:spacing w:val="-4"/>
                <w:sz w:val="26"/>
                <w:szCs w:val="26"/>
              </w:rPr>
              <w:t xml:space="preserve"> </w:t>
            </w:r>
            <w:r w:rsidRPr="005525B7">
              <w:rPr>
                <w:rFonts w:ascii="Times New Roman" w:hAnsi="Times New Roman" w:cs="Times New Roman"/>
                <w:b/>
                <w:spacing w:val="-5"/>
                <w:sz w:val="26"/>
                <w:szCs w:val="26"/>
              </w:rPr>
              <w:t>50%</w:t>
            </w:r>
          </w:p>
        </w:tc>
        <w:tc>
          <w:tcPr>
            <w:tcW w:w="3330" w:type="dxa"/>
            <w:shd w:val="clear" w:color="auto" w:fill="F1F1F1"/>
          </w:tcPr>
          <w:p w:rsidRPr="005525B7" w:rsidR="00B346CD" w:rsidRDefault="00B346CD" w14:paraId="233E43C6" w14:textId="77777777">
            <w:pPr>
              <w:pStyle w:val="TableParagraph"/>
              <w:spacing w:before="135" w:line="240" w:lineRule="auto"/>
              <w:ind w:left="1322" w:right="1374"/>
              <w:jc w:val="center"/>
              <w:rPr>
                <w:rFonts w:ascii="Times New Roman" w:hAnsi="Times New Roman" w:cs="Times New Roman"/>
                <w:sz w:val="26"/>
                <w:szCs w:val="26"/>
              </w:rPr>
            </w:pPr>
            <w:r w:rsidRPr="005525B7">
              <w:rPr>
                <w:rFonts w:ascii="Times New Roman" w:hAnsi="Times New Roman" w:cs="Times New Roman"/>
                <w:spacing w:val="-4"/>
                <w:sz w:val="26"/>
                <w:szCs w:val="26"/>
              </w:rPr>
              <w:t>0.51</w:t>
            </w:r>
          </w:p>
        </w:tc>
        <w:tc>
          <w:tcPr>
            <w:tcW w:w="3320" w:type="dxa"/>
            <w:tcBorders>
              <w:right w:val="nil"/>
            </w:tcBorders>
            <w:shd w:val="clear" w:color="auto" w:fill="F1F1F1"/>
          </w:tcPr>
          <w:p w:rsidRPr="005525B7" w:rsidR="00B346CD" w:rsidRDefault="00B346CD" w14:paraId="26BAD14E" w14:textId="77777777">
            <w:pPr>
              <w:pStyle w:val="TableParagraph"/>
              <w:spacing w:before="75" w:line="240" w:lineRule="auto"/>
              <w:ind w:left="1373" w:right="1237"/>
              <w:jc w:val="center"/>
              <w:rPr>
                <w:rFonts w:ascii="Times New Roman" w:hAnsi="Times New Roman" w:cs="Times New Roman"/>
                <w:sz w:val="26"/>
                <w:szCs w:val="26"/>
              </w:rPr>
            </w:pPr>
            <w:r w:rsidRPr="005525B7">
              <w:rPr>
                <w:rFonts w:ascii="Times New Roman" w:hAnsi="Times New Roman" w:cs="Times New Roman"/>
                <w:spacing w:val="-2"/>
                <w:sz w:val="26"/>
                <w:szCs w:val="26"/>
              </w:rPr>
              <w:t>0.05%</w:t>
            </w:r>
          </w:p>
        </w:tc>
      </w:tr>
      <w:tr w:rsidRPr="005525B7" w:rsidR="00B346CD" w:rsidTr="00BA2555" w14:paraId="404306B3" w14:textId="77777777">
        <w:trPr>
          <w:trHeight w:val="507"/>
          <w:tblCellSpacing w:w="9" w:type="dxa"/>
        </w:trPr>
        <w:tc>
          <w:tcPr>
            <w:tcW w:w="2861" w:type="dxa"/>
            <w:tcBorders>
              <w:left w:val="nil"/>
            </w:tcBorders>
            <w:shd w:val="clear" w:color="auto" w:fill="D9D9D9"/>
          </w:tcPr>
          <w:p w:rsidRPr="005525B7" w:rsidR="00B346CD" w:rsidRDefault="00B346CD" w14:paraId="5B6F0B47" w14:textId="77777777">
            <w:pPr>
              <w:pStyle w:val="TableParagraph"/>
              <w:spacing w:before="135" w:line="240" w:lineRule="auto"/>
              <w:ind w:left="574"/>
              <w:jc w:val="left"/>
              <w:rPr>
                <w:rFonts w:ascii="Times New Roman" w:hAnsi="Times New Roman" w:cs="Times New Roman"/>
                <w:b/>
                <w:sz w:val="26"/>
                <w:szCs w:val="26"/>
              </w:rPr>
            </w:pPr>
            <w:r w:rsidRPr="005525B7">
              <w:rPr>
                <w:rFonts w:ascii="Times New Roman" w:hAnsi="Times New Roman" w:cs="Times New Roman"/>
                <w:b/>
                <w:sz w:val="26"/>
                <w:szCs w:val="26"/>
              </w:rPr>
              <w:t>&gt;50%</w:t>
            </w:r>
            <w:r w:rsidRPr="005525B7">
              <w:rPr>
                <w:rFonts w:ascii="Times New Roman" w:hAnsi="Times New Roman" w:cs="Times New Roman"/>
                <w:b/>
                <w:spacing w:val="-4"/>
                <w:sz w:val="26"/>
                <w:szCs w:val="26"/>
              </w:rPr>
              <w:t xml:space="preserve"> </w:t>
            </w:r>
            <w:r w:rsidRPr="005525B7">
              <w:rPr>
                <w:rFonts w:ascii="Times New Roman" w:hAnsi="Times New Roman" w:cs="Times New Roman"/>
                <w:b/>
                <w:sz w:val="26"/>
                <w:szCs w:val="26"/>
              </w:rPr>
              <w:t>to</w:t>
            </w:r>
            <w:r w:rsidRPr="005525B7">
              <w:rPr>
                <w:rFonts w:ascii="Times New Roman" w:hAnsi="Times New Roman" w:cs="Times New Roman"/>
                <w:b/>
                <w:spacing w:val="-4"/>
                <w:sz w:val="26"/>
                <w:szCs w:val="26"/>
              </w:rPr>
              <w:t xml:space="preserve"> 100%</w:t>
            </w:r>
          </w:p>
        </w:tc>
        <w:tc>
          <w:tcPr>
            <w:tcW w:w="3330" w:type="dxa"/>
            <w:shd w:val="clear" w:color="auto" w:fill="F1F1F1"/>
          </w:tcPr>
          <w:p w:rsidRPr="005525B7" w:rsidR="00B346CD" w:rsidRDefault="00B346CD" w14:paraId="4E10846D" w14:textId="77777777">
            <w:pPr>
              <w:pStyle w:val="TableParagraph"/>
              <w:spacing w:before="135" w:line="240" w:lineRule="auto"/>
              <w:ind w:left="1322" w:right="1374"/>
              <w:jc w:val="center"/>
              <w:rPr>
                <w:rFonts w:ascii="Times New Roman" w:hAnsi="Times New Roman" w:cs="Times New Roman"/>
                <w:sz w:val="26"/>
                <w:szCs w:val="26"/>
              </w:rPr>
            </w:pPr>
            <w:r w:rsidRPr="005525B7">
              <w:rPr>
                <w:rFonts w:ascii="Times New Roman" w:hAnsi="Times New Roman" w:cs="Times New Roman"/>
                <w:spacing w:val="-4"/>
                <w:sz w:val="26"/>
                <w:szCs w:val="26"/>
              </w:rPr>
              <w:t>0.22</w:t>
            </w:r>
          </w:p>
        </w:tc>
        <w:tc>
          <w:tcPr>
            <w:tcW w:w="3320" w:type="dxa"/>
            <w:tcBorders>
              <w:right w:val="nil"/>
            </w:tcBorders>
            <w:shd w:val="clear" w:color="auto" w:fill="F1F1F1"/>
          </w:tcPr>
          <w:p w:rsidRPr="005525B7" w:rsidR="00B346CD" w:rsidRDefault="00B346CD" w14:paraId="6AB51712" w14:textId="77777777">
            <w:pPr>
              <w:pStyle w:val="TableParagraph"/>
              <w:spacing w:before="75" w:line="240" w:lineRule="auto"/>
              <w:ind w:left="1373" w:right="1237"/>
              <w:jc w:val="center"/>
              <w:rPr>
                <w:rFonts w:ascii="Times New Roman" w:hAnsi="Times New Roman" w:cs="Times New Roman"/>
                <w:sz w:val="26"/>
                <w:szCs w:val="26"/>
              </w:rPr>
            </w:pPr>
            <w:r w:rsidRPr="005525B7">
              <w:rPr>
                <w:rFonts w:ascii="Times New Roman" w:hAnsi="Times New Roman" w:cs="Times New Roman"/>
                <w:spacing w:val="-2"/>
                <w:sz w:val="26"/>
                <w:szCs w:val="26"/>
              </w:rPr>
              <w:t>0.02%</w:t>
            </w:r>
          </w:p>
        </w:tc>
      </w:tr>
      <w:tr w:rsidRPr="005525B7" w:rsidR="00B346CD" w:rsidTr="00BA2555" w14:paraId="094AE422" w14:textId="77777777">
        <w:trPr>
          <w:trHeight w:val="508"/>
          <w:tblCellSpacing w:w="9" w:type="dxa"/>
        </w:trPr>
        <w:tc>
          <w:tcPr>
            <w:tcW w:w="2861" w:type="dxa"/>
            <w:tcBorders>
              <w:left w:val="nil"/>
              <w:bottom w:val="nil"/>
            </w:tcBorders>
            <w:shd w:val="clear" w:color="auto" w:fill="0089C4"/>
          </w:tcPr>
          <w:p w:rsidRPr="005525B7" w:rsidR="00B346CD" w:rsidRDefault="00B346CD" w14:paraId="6664CFDA" w14:textId="77777777">
            <w:pPr>
              <w:pStyle w:val="TableParagraph"/>
              <w:spacing w:before="135" w:line="240" w:lineRule="auto"/>
              <w:ind w:left="1024" w:right="1305"/>
              <w:jc w:val="center"/>
              <w:rPr>
                <w:rFonts w:ascii="Times New Roman" w:hAnsi="Times New Roman" w:cs="Times New Roman"/>
                <w:b/>
                <w:sz w:val="26"/>
                <w:szCs w:val="26"/>
              </w:rPr>
            </w:pPr>
            <w:r w:rsidRPr="005525B7">
              <w:rPr>
                <w:rFonts w:ascii="Times New Roman" w:hAnsi="Times New Roman" w:cs="Times New Roman"/>
                <w:b/>
                <w:spacing w:val="-2"/>
                <w:sz w:val="26"/>
                <w:szCs w:val="26"/>
              </w:rPr>
              <w:t>Total</w:t>
            </w:r>
          </w:p>
        </w:tc>
        <w:tc>
          <w:tcPr>
            <w:tcW w:w="3330" w:type="dxa"/>
            <w:tcBorders>
              <w:bottom w:val="nil"/>
            </w:tcBorders>
            <w:shd w:val="clear" w:color="auto" w:fill="0089C4"/>
          </w:tcPr>
          <w:p w:rsidRPr="005525B7" w:rsidR="00B346CD" w:rsidRDefault="00B346CD" w14:paraId="4486BB55" w14:textId="77777777">
            <w:pPr>
              <w:pStyle w:val="TableParagraph"/>
              <w:spacing w:before="135" w:line="240" w:lineRule="auto"/>
              <w:ind w:left="1323" w:right="1374"/>
              <w:jc w:val="center"/>
              <w:rPr>
                <w:rFonts w:ascii="Times New Roman" w:hAnsi="Times New Roman" w:cs="Times New Roman"/>
                <w:sz w:val="26"/>
                <w:szCs w:val="26"/>
              </w:rPr>
            </w:pPr>
            <w:r w:rsidRPr="005525B7">
              <w:rPr>
                <w:rFonts w:ascii="Times New Roman" w:hAnsi="Times New Roman" w:cs="Times New Roman"/>
                <w:spacing w:val="-2"/>
                <w:sz w:val="26"/>
                <w:szCs w:val="26"/>
              </w:rPr>
              <w:t>933.87</w:t>
            </w:r>
          </w:p>
        </w:tc>
        <w:tc>
          <w:tcPr>
            <w:tcW w:w="3320" w:type="dxa"/>
            <w:tcBorders>
              <w:bottom w:val="nil"/>
              <w:right w:val="nil"/>
            </w:tcBorders>
            <w:shd w:val="clear" w:color="auto" w:fill="0089C4"/>
          </w:tcPr>
          <w:p w:rsidRPr="005525B7" w:rsidR="00B346CD" w:rsidRDefault="00B346CD" w14:paraId="7FCD7D3F" w14:textId="77777777">
            <w:pPr>
              <w:pStyle w:val="TableParagraph"/>
              <w:spacing w:before="75" w:line="240" w:lineRule="auto"/>
              <w:ind w:left="1373" w:right="1237"/>
              <w:jc w:val="center"/>
              <w:rPr>
                <w:rFonts w:ascii="Times New Roman" w:hAnsi="Times New Roman" w:cs="Times New Roman"/>
                <w:sz w:val="26"/>
                <w:szCs w:val="26"/>
              </w:rPr>
            </w:pPr>
            <w:r w:rsidRPr="005525B7">
              <w:rPr>
                <w:rFonts w:ascii="Times New Roman" w:hAnsi="Times New Roman" w:cs="Times New Roman"/>
                <w:spacing w:val="-4"/>
                <w:sz w:val="26"/>
                <w:szCs w:val="26"/>
              </w:rPr>
              <w:t>100%</w:t>
            </w:r>
          </w:p>
        </w:tc>
      </w:tr>
    </w:tbl>
    <w:p w:rsidRPr="005525B7" w:rsidR="00B346CD" w:rsidP="00B346CD" w:rsidRDefault="00BA2555" w14:paraId="191EA4C6" w14:textId="118D1E70">
      <w:pPr>
        <w:pStyle w:val="BodyText"/>
        <w:spacing w:before="9"/>
        <w:rPr>
          <w:rFonts w:ascii="Times New Roman" w:hAnsi="Times New Roman" w:cs="Times New Roman"/>
          <w:b/>
          <w:sz w:val="26"/>
          <w:szCs w:val="26"/>
        </w:rPr>
      </w:pPr>
      <w:r w:rsidRPr="005525B7">
        <w:rPr>
          <w:rFonts w:ascii="Times New Roman" w:hAnsi="Times New Roman" w:cs="Times New Roman"/>
          <w:b/>
          <w:sz w:val="26"/>
          <w:szCs w:val="26"/>
        </w:rPr>
        <w:t xml:space="preserve">Source: </w:t>
      </w:r>
      <w:r w:rsidRPr="005525B7">
        <w:rPr>
          <w:rFonts w:ascii="Times New Roman" w:hAnsi="Times New Roman" w:cs="Times New Roman"/>
          <w:bCs/>
          <w:sz w:val="26"/>
          <w:szCs w:val="26"/>
        </w:rPr>
        <w:t xml:space="preserve">PG&amp;E, </w:t>
      </w:r>
      <w:r w:rsidRPr="005525B7">
        <w:rPr>
          <w:rFonts w:ascii="Times New Roman" w:hAnsi="Times New Roman" w:cs="Times New Roman"/>
          <w:sz w:val="26"/>
          <w:szCs w:val="26"/>
          <w:lang w:val="en-ZW"/>
        </w:rPr>
        <w:t xml:space="preserve">August 1, 2022 </w:t>
      </w:r>
      <w:r w:rsidRPr="005525B7" w:rsidR="000F7AFF">
        <w:rPr>
          <w:rFonts w:ascii="Times New Roman" w:hAnsi="Times New Roman" w:cs="Times New Roman"/>
          <w:sz w:val="26"/>
          <w:szCs w:val="26"/>
          <w:lang w:val="en-ZW"/>
        </w:rPr>
        <w:t>CAP</w:t>
      </w:r>
      <w:r w:rsidRPr="005525B7">
        <w:rPr>
          <w:rFonts w:ascii="Times New Roman" w:hAnsi="Times New Roman" w:cs="Times New Roman"/>
          <w:sz w:val="26"/>
          <w:szCs w:val="26"/>
          <w:lang w:val="en-ZW"/>
        </w:rPr>
        <w:t xml:space="preserve"> Update</w:t>
      </w:r>
    </w:p>
    <w:p w:rsidRPr="005525B7" w:rsidR="00C4679B" w:rsidP="000333F7" w:rsidRDefault="00C4679B" w14:paraId="3A15F0FC" w14:textId="77777777">
      <w:pPr>
        <w:rPr>
          <w:rFonts w:ascii="Times New Roman" w:hAnsi="Times New Roman"/>
          <w:szCs w:val="26"/>
        </w:rPr>
      </w:pPr>
    </w:p>
    <w:p w:rsidRPr="005525B7" w:rsidR="000333F7" w:rsidP="000333F7" w:rsidRDefault="003966A6" w14:paraId="34D61E21" w14:textId="3D257240">
      <w:pPr>
        <w:rPr>
          <w:rFonts w:ascii="Times New Roman" w:hAnsi="Times New Roman"/>
          <w:szCs w:val="26"/>
        </w:rPr>
      </w:pPr>
      <w:r w:rsidRPr="005525B7">
        <w:rPr>
          <w:rFonts w:ascii="Times New Roman" w:hAnsi="Times New Roman"/>
          <w:szCs w:val="26"/>
        </w:rPr>
        <w:t>Based on PG&amp;E’s progress in 2021</w:t>
      </w:r>
      <w:r w:rsidRPr="005525B7" w:rsidR="00502405">
        <w:rPr>
          <w:rFonts w:ascii="Times New Roman" w:hAnsi="Times New Roman"/>
          <w:szCs w:val="26"/>
        </w:rPr>
        <w:t xml:space="preserve">, information provided in the </w:t>
      </w:r>
      <w:r w:rsidRPr="005525B7" w:rsidR="000C0E8B">
        <w:rPr>
          <w:rFonts w:ascii="Times New Roman" w:hAnsi="Times New Roman" w:eastAsia="Book Antiqua"/>
          <w:szCs w:val="26"/>
        </w:rPr>
        <w:t xml:space="preserve">August 1, </w:t>
      </w:r>
      <w:r w:rsidRPr="005525B7" w:rsidR="001460AF">
        <w:rPr>
          <w:rFonts w:ascii="Times New Roman" w:hAnsi="Times New Roman" w:eastAsia="Book Antiqua"/>
          <w:szCs w:val="26"/>
        </w:rPr>
        <w:t xml:space="preserve">2022, </w:t>
      </w:r>
      <w:r w:rsidRPr="005525B7" w:rsidR="000F7AFF">
        <w:rPr>
          <w:rFonts w:ascii="Times New Roman" w:hAnsi="Times New Roman" w:eastAsia="Book Antiqua"/>
          <w:szCs w:val="26"/>
        </w:rPr>
        <w:t>CAP</w:t>
      </w:r>
      <w:r w:rsidRPr="005525B7" w:rsidR="001460AF">
        <w:rPr>
          <w:rFonts w:ascii="Times New Roman" w:hAnsi="Times New Roman" w:eastAsia="Book Antiqua"/>
          <w:szCs w:val="26"/>
        </w:rPr>
        <w:t xml:space="preserve"> Update</w:t>
      </w:r>
      <w:r w:rsidRPr="005525B7">
        <w:rPr>
          <w:rFonts w:ascii="Times New Roman" w:hAnsi="Times New Roman"/>
          <w:szCs w:val="26"/>
        </w:rPr>
        <w:t xml:space="preserve">, </w:t>
      </w:r>
      <w:r w:rsidRPr="005525B7" w:rsidR="008A15A2">
        <w:rPr>
          <w:rFonts w:ascii="Times New Roman" w:hAnsi="Times New Roman"/>
          <w:szCs w:val="26"/>
        </w:rPr>
        <w:t xml:space="preserve">and information </w:t>
      </w:r>
      <w:r w:rsidRPr="005525B7" w:rsidR="00CF55F3">
        <w:rPr>
          <w:rFonts w:ascii="Times New Roman" w:hAnsi="Times New Roman"/>
          <w:szCs w:val="26"/>
        </w:rPr>
        <w:t xml:space="preserve">submitted during data requests, interviews, and field </w:t>
      </w:r>
      <w:r w:rsidRPr="005525B7" w:rsidR="006606EB">
        <w:rPr>
          <w:rFonts w:ascii="Times New Roman" w:hAnsi="Times New Roman"/>
          <w:szCs w:val="26"/>
        </w:rPr>
        <w:t xml:space="preserve">visits, </w:t>
      </w:r>
      <w:r w:rsidRPr="005525B7">
        <w:rPr>
          <w:rFonts w:ascii="Times New Roman" w:hAnsi="Times New Roman"/>
          <w:szCs w:val="26"/>
        </w:rPr>
        <w:t>PG&amp;E</w:t>
      </w:r>
      <w:r w:rsidRPr="005525B7" w:rsidR="00FA2BE9">
        <w:rPr>
          <w:rFonts w:ascii="Times New Roman" w:hAnsi="Times New Roman"/>
          <w:szCs w:val="26"/>
        </w:rPr>
        <w:t xml:space="preserve"> </w:t>
      </w:r>
      <w:r w:rsidRPr="005525B7">
        <w:rPr>
          <w:rFonts w:ascii="Times New Roman" w:hAnsi="Times New Roman"/>
          <w:szCs w:val="26"/>
        </w:rPr>
        <w:t xml:space="preserve">demonstrated that it sufficiently improved its risk-based prioritization of EVM work in 2021 and met its </w:t>
      </w:r>
      <w:r w:rsidRPr="005525B7" w:rsidR="000F7AFF">
        <w:rPr>
          <w:rFonts w:ascii="Times New Roman" w:hAnsi="Times New Roman"/>
          <w:szCs w:val="26"/>
        </w:rPr>
        <w:t>CAP</w:t>
      </w:r>
      <w:r w:rsidRPr="005525B7">
        <w:rPr>
          <w:rFonts w:ascii="Times New Roman" w:hAnsi="Times New Roman"/>
          <w:szCs w:val="26"/>
        </w:rPr>
        <w:t xml:space="preserve"> goals.</w:t>
      </w:r>
      <w:r w:rsidRPr="005525B7" w:rsidR="00424A95">
        <w:rPr>
          <w:rFonts w:ascii="Times New Roman" w:hAnsi="Times New Roman"/>
          <w:szCs w:val="26"/>
        </w:rPr>
        <w:t xml:space="preserve"> </w:t>
      </w:r>
      <w:r w:rsidRPr="005525B7" w:rsidR="002A59DD">
        <w:rPr>
          <w:rFonts w:ascii="Times New Roman" w:hAnsi="Times New Roman"/>
          <w:szCs w:val="26"/>
        </w:rPr>
        <w:t xml:space="preserve"> </w:t>
      </w:r>
      <w:r w:rsidRPr="005525B7" w:rsidR="00391CEE">
        <w:rPr>
          <w:rFonts w:ascii="Times New Roman" w:hAnsi="Times New Roman"/>
          <w:szCs w:val="26"/>
        </w:rPr>
        <w:t xml:space="preserve">PG&amp;E has also demonstrated progress in establishing communication channels between its contractors and PG&amp;E staff.  PG&amp;E utilizes Daily Operating Reviews, which are bottom-up cascading meetings between PG&amp;E vegetation management staff and PG&amp;E </w:t>
      </w:r>
      <w:r w:rsidRPr="005525B7" w:rsidR="001668D5">
        <w:rPr>
          <w:rFonts w:ascii="Times New Roman" w:hAnsi="Times New Roman"/>
          <w:szCs w:val="26"/>
        </w:rPr>
        <w:t xml:space="preserve">executive </w:t>
      </w:r>
      <w:r w:rsidRPr="005525B7" w:rsidR="00391CEE">
        <w:rPr>
          <w:rFonts w:ascii="Times New Roman" w:hAnsi="Times New Roman"/>
          <w:szCs w:val="26"/>
        </w:rPr>
        <w:t>management to monitor EVM progress and targets and produce associated reports.</w:t>
      </w:r>
      <w:r w:rsidRPr="005525B7" w:rsidR="00E025A3">
        <w:rPr>
          <w:rStyle w:val="StyleFootnoteReferenceofrStyle3o1o2o3o4o5o6o11o21o7"/>
          <w:szCs w:val="26"/>
        </w:rPr>
        <w:footnoteReference w:id="12"/>
      </w:r>
      <w:r w:rsidRPr="005525B7" w:rsidR="00391CEE">
        <w:rPr>
          <w:rFonts w:ascii="Times New Roman" w:hAnsi="Times New Roman"/>
          <w:szCs w:val="26"/>
        </w:rPr>
        <w:t xml:space="preserve"> PG&amp;E documents EVM decision-making under its Wildfire Risk Governance Steering Committee and change control processes approved by the Vegetation Management Board</w:t>
      </w:r>
      <w:r w:rsidRPr="005525B7" w:rsidR="002578BD">
        <w:rPr>
          <w:rFonts w:ascii="Times New Roman" w:hAnsi="Times New Roman"/>
          <w:szCs w:val="26"/>
        </w:rPr>
        <w:t>.</w:t>
      </w:r>
      <w:r w:rsidRPr="005525B7" w:rsidR="00405189">
        <w:rPr>
          <w:rStyle w:val="StyleFootnoteReferenceofrStyle3o1o2o3o4o5o6o11o21o7"/>
          <w:szCs w:val="26"/>
        </w:rPr>
        <w:footnoteReference w:id="13"/>
      </w:r>
      <w:r w:rsidRPr="005525B7" w:rsidDel="001A4E2E" w:rsidR="000333F7">
        <w:rPr>
          <w:rFonts w:ascii="Times New Roman" w:hAnsi="Times New Roman"/>
          <w:szCs w:val="26"/>
        </w:rPr>
        <w:t xml:space="preserve"> </w:t>
      </w:r>
      <w:r w:rsidRPr="005525B7" w:rsidDel="000333F7">
        <w:rPr>
          <w:rStyle w:val="StyleFootnoteReferenceofrStyle3o1o2o3o4o5o6o11o21o7"/>
          <w:szCs w:val="26"/>
        </w:rPr>
        <w:t xml:space="preserve"> </w:t>
      </w:r>
    </w:p>
    <w:p w:rsidRPr="005525B7" w:rsidR="00075ABD" w:rsidP="003B378B" w:rsidRDefault="00075ABD" w14:paraId="1608602A" w14:textId="77777777">
      <w:pPr>
        <w:rPr>
          <w:rFonts w:ascii="Times New Roman" w:hAnsi="Times New Roman"/>
          <w:szCs w:val="26"/>
        </w:rPr>
      </w:pPr>
    </w:p>
    <w:p w:rsidRPr="005525B7" w:rsidR="00D61192" w:rsidP="00D61192" w:rsidRDefault="003E08B5" w14:paraId="671930C1" w14:textId="1982C159">
      <w:pPr>
        <w:rPr>
          <w:rFonts w:ascii="Times New Roman" w:hAnsi="Times New Roman"/>
          <w:szCs w:val="26"/>
        </w:rPr>
      </w:pPr>
      <w:r w:rsidRPr="005525B7">
        <w:rPr>
          <w:rFonts w:ascii="Times New Roman" w:hAnsi="Times New Roman"/>
          <w:szCs w:val="26"/>
        </w:rPr>
        <w:t xml:space="preserve">Based on the May 6, 2021 </w:t>
      </w:r>
      <w:r w:rsidRPr="005525B7" w:rsidR="000F7AFF">
        <w:rPr>
          <w:rFonts w:ascii="Times New Roman" w:hAnsi="Times New Roman"/>
          <w:szCs w:val="26"/>
        </w:rPr>
        <w:t>CAP</w:t>
      </w:r>
      <w:r w:rsidRPr="005525B7">
        <w:rPr>
          <w:rFonts w:ascii="Times New Roman" w:hAnsi="Times New Roman"/>
          <w:szCs w:val="26"/>
        </w:rPr>
        <w:t xml:space="preserve"> and the subsequent 90-day updates, and the information gathered during Commission workshops, data requests, field visits, </w:t>
      </w:r>
      <w:r w:rsidRPr="005525B7" w:rsidR="004D7EB3">
        <w:rPr>
          <w:rFonts w:ascii="Times New Roman" w:hAnsi="Times New Roman"/>
          <w:szCs w:val="26"/>
        </w:rPr>
        <w:t xml:space="preserve">and </w:t>
      </w:r>
      <w:r w:rsidRPr="005525B7">
        <w:rPr>
          <w:rFonts w:ascii="Times New Roman" w:hAnsi="Times New Roman"/>
          <w:szCs w:val="26"/>
        </w:rPr>
        <w:t xml:space="preserve">interviews, PG&amp;E has met the requirements set forth in </w:t>
      </w:r>
      <w:r w:rsidRPr="005525B7" w:rsidR="004D7EB3">
        <w:rPr>
          <w:rFonts w:ascii="Times New Roman" w:hAnsi="Times New Roman"/>
          <w:szCs w:val="26"/>
        </w:rPr>
        <w:t xml:space="preserve">Resolution </w:t>
      </w:r>
      <w:r w:rsidRPr="005525B7">
        <w:rPr>
          <w:rFonts w:ascii="Times New Roman" w:hAnsi="Times New Roman"/>
          <w:szCs w:val="26"/>
        </w:rPr>
        <w:t xml:space="preserve">M-4852. </w:t>
      </w:r>
    </w:p>
    <w:p w:rsidRPr="005525B7" w:rsidR="00CF17DE" w:rsidRDefault="00CF17DE" w14:paraId="30C5808A" w14:textId="77777777">
      <w:pPr>
        <w:rPr>
          <w:rFonts w:ascii="Times New Roman" w:hAnsi="Times New Roman"/>
          <w:szCs w:val="26"/>
        </w:rPr>
      </w:pPr>
    </w:p>
    <w:p w:rsidRPr="005525B7" w:rsidR="00CB4976" w:rsidRDefault="00CB4976" w14:paraId="6CF76DD3" w14:textId="77777777">
      <w:pPr>
        <w:rPr>
          <w:rFonts w:ascii="Times New Roman" w:hAnsi="Times New Roman"/>
          <w:b/>
          <w:i/>
          <w:szCs w:val="26"/>
        </w:rPr>
      </w:pPr>
      <w:r w:rsidRPr="005525B7">
        <w:rPr>
          <w:rFonts w:ascii="Times New Roman" w:hAnsi="Times New Roman"/>
          <w:b/>
          <w:i/>
          <w:szCs w:val="26"/>
        </w:rPr>
        <w:br w:type="page"/>
      </w:r>
    </w:p>
    <w:p w:rsidRPr="005525B7" w:rsidR="00851838" w:rsidRDefault="00851838" w14:paraId="6E4C8453" w14:textId="6665DDB6">
      <w:pPr>
        <w:rPr>
          <w:rFonts w:ascii="Times New Roman" w:hAnsi="Times New Roman"/>
          <w:b/>
          <w:i/>
          <w:szCs w:val="26"/>
        </w:rPr>
      </w:pPr>
      <w:r w:rsidRPr="005525B7">
        <w:rPr>
          <w:rFonts w:ascii="Times New Roman" w:hAnsi="Times New Roman"/>
          <w:b/>
          <w:i/>
          <w:szCs w:val="26"/>
        </w:rPr>
        <w:lastRenderedPageBreak/>
        <w:t>Assessment of the Fourteen CAP Elements</w:t>
      </w:r>
    </w:p>
    <w:p w:rsidRPr="005525B7" w:rsidR="00851838" w:rsidRDefault="00851838" w14:paraId="1BD847C2" w14:textId="77777777">
      <w:pPr>
        <w:rPr>
          <w:rFonts w:ascii="Times New Roman" w:hAnsi="Times New Roman"/>
          <w:szCs w:val="26"/>
        </w:rPr>
      </w:pPr>
    </w:p>
    <w:p w:rsidRPr="005525B7" w:rsidR="003E2F42" w:rsidP="00972AB6" w:rsidRDefault="00137209" w14:paraId="3DB33F7A" w14:textId="294B2D45">
      <w:pPr>
        <w:pStyle w:val="paragraph"/>
        <w:spacing w:before="0" w:beforeAutospacing="0" w:after="0" w:afterAutospacing="0"/>
        <w:textAlignment w:val="baseline"/>
        <w:rPr>
          <w:rStyle w:val="eop"/>
          <w:sz w:val="26"/>
          <w:szCs w:val="26"/>
        </w:rPr>
      </w:pPr>
      <w:r w:rsidRPr="005525B7">
        <w:rPr>
          <w:b/>
          <w:bCs/>
          <w:sz w:val="26"/>
          <w:szCs w:val="26"/>
        </w:rPr>
        <w:t>CAP Element 1:</w:t>
      </w:r>
      <w:r w:rsidRPr="005525B7" w:rsidR="00D94189">
        <w:rPr>
          <w:b/>
          <w:bCs/>
          <w:sz w:val="26"/>
          <w:szCs w:val="26"/>
        </w:rPr>
        <w:t xml:space="preserve"> </w:t>
      </w:r>
      <w:r w:rsidRPr="005525B7" w:rsidR="00A82CB4">
        <w:rPr>
          <w:rStyle w:val="normaltextrun"/>
          <w:b/>
          <w:bCs/>
          <w:sz w:val="26"/>
          <w:szCs w:val="26"/>
        </w:rPr>
        <w:t>A d</w:t>
      </w:r>
      <w:r w:rsidRPr="005525B7" w:rsidR="003E2F42">
        <w:rPr>
          <w:rStyle w:val="normaltextrun"/>
          <w:b/>
          <w:bCs/>
          <w:sz w:val="26"/>
          <w:szCs w:val="26"/>
        </w:rPr>
        <w:t xml:space="preserve">etailed </w:t>
      </w:r>
      <w:r w:rsidRPr="005525B7" w:rsidR="00A6579B">
        <w:rPr>
          <w:rStyle w:val="normaltextrun"/>
          <w:b/>
          <w:bCs/>
          <w:sz w:val="26"/>
          <w:szCs w:val="26"/>
        </w:rPr>
        <w:t>description</w:t>
      </w:r>
      <w:r w:rsidRPr="005525B7" w:rsidR="003E2F42">
        <w:rPr>
          <w:rStyle w:val="normaltextrun"/>
          <w:b/>
          <w:bCs/>
          <w:sz w:val="26"/>
          <w:szCs w:val="26"/>
        </w:rPr>
        <w:t xml:space="preserve"> of the circumstances that contributed to PG&amp;E’s failure to adequately prioritize the highest risk lines, as described in this Resolution and the WSD’s EVM Audit, in its EVM in 2020</w:t>
      </w:r>
      <w:r w:rsidRPr="005525B7">
        <w:rPr>
          <w:rStyle w:val="normaltextrun"/>
          <w:sz w:val="26"/>
          <w:szCs w:val="26"/>
        </w:rPr>
        <w:t>.</w:t>
      </w:r>
      <w:r w:rsidRPr="005525B7" w:rsidR="003E2F42">
        <w:rPr>
          <w:rStyle w:val="normaltextrun"/>
          <w:sz w:val="26"/>
          <w:szCs w:val="26"/>
        </w:rPr>
        <w:t>  </w:t>
      </w:r>
      <w:r w:rsidRPr="005525B7" w:rsidR="003E2F42">
        <w:rPr>
          <w:rStyle w:val="eop"/>
          <w:sz w:val="26"/>
          <w:szCs w:val="26"/>
        </w:rPr>
        <w:t> </w:t>
      </w:r>
    </w:p>
    <w:p w:rsidRPr="005525B7" w:rsidR="00137209" w:rsidP="00972AB6" w:rsidRDefault="00137209" w14:paraId="09C8B4AB" w14:textId="053C28D7">
      <w:pPr>
        <w:pStyle w:val="paragraph"/>
        <w:spacing w:before="0" w:beforeAutospacing="0" w:after="0" w:afterAutospacing="0"/>
        <w:textAlignment w:val="baseline"/>
        <w:rPr>
          <w:rStyle w:val="eop"/>
          <w:sz w:val="26"/>
          <w:szCs w:val="26"/>
        </w:rPr>
      </w:pPr>
    </w:p>
    <w:p w:rsidRPr="005525B7" w:rsidR="005E13D4" w:rsidP="00DD1F1C" w:rsidRDefault="00DD1F1C" w14:paraId="520DFEE2" w14:textId="641CF6D4">
      <w:pPr>
        <w:pStyle w:val="BodyText"/>
        <w:kinsoku w:val="0"/>
        <w:overflowPunct w:val="0"/>
        <w:ind w:right="154"/>
        <w:rPr>
          <w:rFonts w:ascii="Times New Roman" w:hAnsi="Times New Roman" w:cs="Times New Roman"/>
          <w:sz w:val="26"/>
          <w:szCs w:val="26"/>
        </w:rPr>
      </w:pPr>
      <w:r w:rsidRPr="005525B7">
        <w:rPr>
          <w:rFonts w:ascii="Times New Roman" w:hAnsi="Times New Roman" w:cs="Times New Roman"/>
          <w:sz w:val="26"/>
          <w:szCs w:val="26"/>
        </w:rPr>
        <w:t>PG&amp;E</w:t>
      </w:r>
      <w:r w:rsidRPr="005525B7" w:rsidR="00CA2DBB">
        <w:rPr>
          <w:rFonts w:ascii="Times New Roman" w:hAnsi="Times New Roman" w:cs="Times New Roman"/>
          <w:sz w:val="26"/>
          <w:szCs w:val="26"/>
        </w:rPr>
        <w:t xml:space="preserve">’s May 6, 2021 </w:t>
      </w:r>
      <w:r w:rsidRPr="005525B7" w:rsidR="000F7AFF">
        <w:rPr>
          <w:rFonts w:ascii="Times New Roman" w:hAnsi="Times New Roman" w:cs="Times New Roman"/>
          <w:sz w:val="26"/>
          <w:szCs w:val="26"/>
        </w:rPr>
        <w:t>CAP</w:t>
      </w:r>
      <w:r w:rsidRPr="005525B7" w:rsidR="00CA2DBB">
        <w:rPr>
          <w:rFonts w:ascii="Times New Roman" w:hAnsi="Times New Roman" w:cs="Times New Roman"/>
          <w:sz w:val="26"/>
          <w:szCs w:val="26"/>
        </w:rPr>
        <w:t xml:space="preserve"> </w:t>
      </w:r>
      <w:r w:rsidRPr="005525B7" w:rsidR="00AC2521">
        <w:rPr>
          <w:rFonts w:ascii="Times New Roman" w:hAnsi="Times New Roman" w:cs="Times New Roman"/>
          <w:sz w:val="26"/>
          <w:szCs w:val="26"/>
        </w:rPr>
        <w:t>described</w:t>
      </w:r>
      <w:r w:rsidRPr="005525B7" w:rsidR="00CA2DBB">
        <w:rPr>
          <w:rFonts w:ascii="Times New Roman" w:hAnsi="Times New Roman" w:cs="Times New Roman"/>
          <w:sz w:val="26"/>
          <w:szCs w:val="26"/>
        </w:rPr>
        <w:t xml:space="preserve"> </w:t>
      </w:r>
      <w:r w:rsidRPr="005525B7" w:rsidR="00FF4C6C">
        <w:rPr>
          <w:rFonts w:ascii="Times New Roman" w:hAnsi="Times New Roman" w:cs="Times New Roman"/>
          <w:sz w:val="26"/>
          <w:szCs w:val="26"/>
        </w:rPr>
        <w:t xml:space="preserve">three primary reasons </w:t>
      </w:r>
      <w:r w:rsidRPr="005525B7" w:rsidR="008D7A4C">
        <w:rPr>
          <w:rFonts w:ascii="Times New Roman" w:hAnsi="Times New Roman" w:cs="Times New Roman"/>
          <w:sz w:val="26"/>
          <w:szCs w:val="26"/>
        </w:rPr>
        <w:t>for why it did not adequately prioritize the highest risk distribution lines for EVM work in 2020</w:t>
      </w:r>
      <w:r w:rsidRPr="005525B7" w:rsidR="00587726">
        <w:rPr>
          <w:rFonts w:ascii="Times New Roman" w:hAnsi="Times New Roman" w:cs="Times New Roman"/>
          <w:sz w:val="26"/>
          <w:szCs w:val="26"/>
        </w:rPr>
        <w:t>,</w:t>
      </w:r>
      <w:r w:rsidRPr="005525B7" w:rsidR="008D7A4C">
        <w:rPr>
          <w:rFonts w:ascii="Times New Roman" w:hAnsi="Times New Roman" w:cs="Times New Roman"/>
          <w:sz w:val="26"/>
          <w:szCs w:val="26"/>
        </w:rPr>
        <w:t xml:space="preserve"> </w:t>
      </w:r>
      <w:r w:rsidRPr="005525B7">
        <w:rPr>
          <w:rFonts w:ascii="Times New Roman" w:hAnsi="Times New Roman" w:cs="Times New Roman"/>
          <w:sz w:val="26"/>
          <w:szCs w:val="26"/>
        </w:rPr>
        <w:t>includ</w:t>
      </w:r>
      <w:r w:rsidRPr="005525B7" w:rsidR="00F7317F">
        <w:rPr>
          <w:rFonts w:ascii="Times New Roman" w:hAnsi="Times New Roman" w:cs="Times New Roman"/>
          <w:sz w:val="26"/>
          <w:szCs w:val="26"/>
        </w:rPr>
        <w:t>ing</w:t>
      </w:r>
      <w:r w:rsidRPr="005525B7" w:rsidR="77137453">
        <w:rPr>
          <w:rFonts w:ascii="Times New Roman" w:hAnsi="Times New Roman" w:cs="Times New Roman"/>
          <w:sz w:val="26"/>
          <w:szCs w:val="26"/>
        </w:rPr>
        <w:t xml:space="preserve"> addressing</w:t>
      </w:r>
      <w:r w:rsidRPr="005525B7">
        <w:rPr>
          <w:rFonts w:ascii="Times New Roman" w:hAnsi="Times New Roman" w:cs="Times New Roman"/>
          <w:sz w:val="26"/>
          <w:szCs w:val="26"/>
        </w:rPr>
        <w:t xml:space="preserve"> carry-over work</w:t>
      </w:r>
      <w:r w:rsidRPr="005525B7" w:rsidR="1DC7DC5F">
        <w:rPr>
          <w:rFonts w:ascii="Times New Roman" w:hAnsi="Times New Roman" w:cs="Times New Roman"/>
          <w:sz w:val="26"/>
          <w:szCs w:val="26"/>
        </w:rPr>
        <w:t xml:space="preserve"> from </w:t>
      </w:r>
      <w:r w:rsidRPr="005525B7" w:rsidR="00FE312E">
        <w:rPr>
          <w:rFonts w:ascii="Times New Roman" w:hAnsi="Times New Roman" w:cs="Times New Roman"/>
          <w:sz w:val="26"/>
          <w:szCs w:val="26"/>
        </w:rPr>
        <w:t>2019</w:t>
      </w:r>
      <w:r w:rsidRPr="005525B7">
        <w:rPr>
          <w:rFonts w:ascii="Times New Roman" w:hAnsi="Times New Roman" w:cs="Times New Roman"/>
          <w:sz w:val="26"/>
          <w:szCs w:val="26"/>
        </w:rPr>
        <w:t xml:space="preserve">, </w:t>
      </w:r>
      <w:r w:rsidRPr="005525B7" w:rsidR="57233F92">
        <w:rPr>
          <w:rFonts w:ascii="Times New Roman" w:hAnsi="Times New Roman" w:cs="Times New Roman"/>
          <w:sz w:val="26"/>
          <w:szCs w:val="26"/>
        </w:rPr>
        <w:t xml:space="preserve">using </w:t>
      </w:r>
      <w:r w:rsidRPr="005525B7">
        <w:rPr>
          <w:rFonts w:ascii="Times New Roman" w:hAnsi="Times New Roman" w:cs="Times New Roman"/>
          <w:sz w:val="26"/>
          <w:szCs w:val="26"/>
        </w:rPr>
        <w:t>the Risk Value Overlay model, and PG&amp;E’s goal of performing 50 percent of its work on the highest 50 percent risk of its circuits</w:t>
      </w:r>
      <w:r w:rsidRPr="005525B7" w:rsidR="29278188">
        <w:rPr>
          <w:rFonts w:ascii="Times New Roman" w:hAnsi="Times New Roman" w:cs="Times New Roman"/>
          <w:sz w:val="26"/>
          <w:szCs w:val="26"/>
        </w:rPr>
        <w:t xml:space="preserve"> </w:t>
      </w:r>
      <w:r w:rsidRPr="005525B7" w:rsidR="7CEE5220">
        <w:rPr>
          <w:rFonts w:ascii="Times New Roman" w:hAnsi="Times New Roman" w:cs="Times New Roman"/>
          <w:sz w:val="26"/>
          <w:szCs w:val="26"/>
        </w:rPr>
        <w:t>did not result in PG&amp;E sufficiently addressing the highest risk circuits</w:t>
      </w:r>
      <w:r w:rsidRPr="005525B7" w:rsidR="05587A38">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B4323E">
        <w:rPr>
          <w:rFonts w:ascii="Times New Roman" w:hAnsi="Times New Roman" w:cs="Times New Roman"/>
          <w:sz w:val="26"/>
          <w:szCs w:val="26"/>
        </w:rPr>
        <w:t xml:space="preserve">First, PG&amp;E explained that when it </w:t>
      </w:r>
      <w:r w:rsidRPr="005525B7" w:rsidR="00684314">
        <w:rPr>
          <w:rFonts w:ascii="Times New Roman" w:hAnsi="Times New Roman" w:cs="Times New Roman"/>
          <w:sz w:val="26"/>
          <w:szCs w:val="26"/>
        </w:rPr>
        <w:t>entered</w:t>
      </w:r>
      <w:r w:rsidRPr="005525B7" w:rsidR="00B4323E">
        <w:rPr>
          <w:rFonts w:ascii="Times New Roman" w:hAnsi="Times New Roman" w:cs="Times New Roman"/>
          <w:sz w:val="26"/>
          <w:szCs w:val="26"/>
        </w:rPr>
        <w:t xml:space="preserve"> 2020 there was </w:t>
      </w:r>
      <w:r w:rsidRPr="005525B7" w:rsidR="00BF593F">
        <w:rPr>
          <w:rFonts w:ascii="Times New Roman" w:hAnsi="Times New Roman" w:cs="Times New Roman"/>
          <w:sz w:val="26"/>
          <w:szCs w:val="26"/>
        </w:rPr>
        <w:t xml:space="preserve">a </w:t>
      </w:r>
      <w:r w:rsidRPr="005525B7" w:rsidR="00B4323E">
        <w:rPr>
          <w:rFonts w:ascii="Times New Roman" w:hAnsi="Times New Roman" w:cs="Times New Roman"/>
          <w:sz w:val="26"/>
          <w:szCs w:val="26"/>
        </w:rPr>
        <w:t xml:space="preserve">substantial amount of EVM work </w:t>
      </w:r>
      <w:r w:rsidRPr="005525B7" w:rsidR="006B4609">
        <w:rPr>
          <w:rFonts w:ascii="Times New Roman" w:hAnsi="Times New Roman" w:cs="Times New Roman"/>
          <w:sz w:val="26"/>
          <w:szCs w:val="26"/>
        </w:rPr>
        <w:t xml:space="preserve">that was </w:t>
      </w:r>
      <w:r w:rsidRPr="005525B7" w:rsidR="00EE1CA9">
        <w:rPr>
          <w:rFonts w:ascii="Times New Roman" w:hAnsi="Times New Roman" w:cs="Times New Roman"/>
          <w:sz w:val="26"/>
          <w:szCs w:val="26"/>
        </w:rPr>
        <w:t xml:space="preserve">in progress as carry-over from 2019. </w:t>
      </w:r>
      <w:r w:rsidRPr="005525B7" w:rsidR="00B41BA2">
        <w:rPr>
          <w:rFonts w:ascii="Times New Roman" w:hAnsi="Times New Roman" w:cs="Times New Roman"/>
          <w:sz w:val="26"/>
          <w:szCs w:val="26"/>
        </w:rPr>
        <w:t xml:space="preserve"> </w:t>
      </w:r>
      <w:r w:rsidRPr="005525B7" w:rsidR="00681921">
        <w:rPr>
          <w:rFonts w:ascii="Times New Roman" w:hAnsi="Times New Roman" w:cs="Times New Roman"/>
          <w:sz w:val="26"/>
          <w:szCs w:val="26"/>
        </w:rPr>
        <w:t xml:space="preserve">By the time the </w:t>
      </w:r>
      <w:r w:rsidRPr="005525B7" w:rsidR="00283DD1">
        <w:rPr>
          <w:rFonts w:ascii="Times New Roman" w:hAnsi="Times New Roman" w:cs="Times New Roman"/>
          <w:sz w:val="26"/>
          <w:szCs w:val="26"/>
        </w:rPr>
        <w:t xml:space="preserve">2020 EVM workplan </w:t>
      </w:r>
      <w:r w:rsidRPr="005525B7" w:rsidR="00681921">
        <w:rPr>
          <w:rFonts w:ascii="Times New Roman" w:hAnsi="Times New Roman" w:cs="Times New Roman"/>
          <w:sz w:val="26"/>
          <w:szCs w:val="26"/>
        </w:rPr>
        <w:t>was finalized in</w:t>
      </w:r>
      <w:r w:rsidRPr="005525B7" w:rsidR="00283DD1">
        <w:rPr>
          <w:rFonts w:ascii="Times New Roman" w:hAnsi="Times New Roman" w:cs="Times New Roman"/>
          <w:sz w:val="26"/>
          <w:szCs w:val="26"/>
        </w:rPr>
        <w:t xml:space="preserve"> April 202</w:t>
      </w:r>
      <w:r w:rsidRPr="005525B7" w:rsidR="00E723CF">
        <w:rPr>
          <w:rFonts w:ascii="Times New Roman" w:hAnsi="Times New Roman" w:cs="Times New Roman"/>
          <w:sz w:val="26"/>
          <w:szCs w:val="26"/>
        </w:rPr>
        <w:t>0</w:t>
      </w:r>
      <w:r w:rsidRPr="005525B7" w:rsidR="00681921">
        <w:rPr>
          <w:rFonts w:ascii="Times New Roman" w:hAnsi="Times New Roman" w:cs="Times New Roman"/>
          <w:sz w:val="26"/>
          <w:szCs w:val="26"/>
        </w:rPr>
        <w:t xml:space="preserve">, </w:t>
      </w:r>
      <w:r w:rsidRPr="005525B7" w:rsidR="00D77D08">
        <w:rPr>
          <w:rFonts w:ascii="Times New Roman" w:hAnsi="Times New Roman" w:cs="Times New Roman"/>
          <w:sz w:val="26"/>
          <w:szCs w:val="26"/>
        </w:rPr>
        <w:t xml:space="preserve">a substantial amount of the 2019 </w:t>
      </w:r>
      <w:r w:rsidRPr="005525B7" w:rsidR="009C4432">
        <w:rPr>
          <w:rFonts w:ascii="Times New Roman" w:hAnsi="Times New Roman" w:cs="Times New Roman"/>
          <w:sz w:val="26"/>
          <w:szCs w:val="26"/>
        </w:rPr>
        <w:t xml:space="preserve">carry-over work </w:t>
      </w:r>
      <w:r w:rsidRPr="005525B7" w:rsidR="00BB7ABD">
        <w:rPr>
          <w:rFonts w:ascii="Times New Roman" w:hAnsi="Times New Roman" w:cs="Times New Roman"/>
          <w:sz w:val="26"/>
          <w:szCs w:val="26"/>
        </w:rPr>
        <w:t>had been done</w:t>
      </w:r>
      <w:r w:rsidRPr="005525B7" w:rsidR="00D06FED">
        <w:rPr>
          <w:rFonts w:ascii="Times New Roman" w:hAnsi="Times New Roman" w:cs="Times New Roman"/>
          <w:sz w:val="26"/>
          <w:szCs w:val="26"/>
        </w:rPr>
        <w:t xml:space="preserve"> and was not exclusively risk focused. </w:t>
      </w:r>
      <w:r w:rsidRPr="005525B7" w:rsidR="00B41BA2">
        <w:rPr>
          <w:rFonts w:ascii="Times New Roman" w:hAnsi="Times New Roman" w:cs="Times New Roman"/>
          <w:sz w:val="26"/>
          <w:szCs w:val="26"/>
        </w:rPr>
        <w:t xml:space="preserve"> </w:t>
      </w:r>
      <w:r w:rsidRPr="005525B7" w:rsidR="00184C61">
        <w:rPr>
          <w:rFonts w:ascii="Times New Roman" w:hAnsi="Times New Roman" w:cs="Times New Roman"/>
          <w:sz w:val="26"/>
          <w:szCs w:val="26"/>
        </w:rPr>
        <w:t xml:space="preserve">Second, </w:t>
      </w:r>
      <w:r w:rsidRPr="005525B7" w:rsidR="000A44C8">
        <w:rPr>
          <w:rFonts w:ascii="Times New Roman" w:hAnsi="Times New Roman" w:cs="Times New Roman"/>
          <w:sz w:val="26"/>
          <w:szCs w:val="26"/>
        </w:rPr>
        <w:t xml:space="preserve">the 2020 EVM </w:t>
      </w:r>
      <w:r w:rsidRPr="005525B7" w:rsidR="00C66ED8">
        <w:rPr>
          <w:rFonts w:ascii="Times New Roman" w:hAnsi="Times New Roman" w:cs="Times New Roman"/>
          <w:sz w:val="26"/>
          <w:szCs w:val="26"/>
        </w:rPr>
        <w:t>workplan</w:t>
      </w:r>
      <w:r w:rsidRPr="005525B7" w:rsidR="000A44C8">
        <w:rPr>
          <w:rFonts w:ascii="Times New Roman" w:hAnsi="Times New Roman" w:cs="Times New Roman"/>
          <w:sz w:val="26"/>
          <w:szCs w:val="26"/>
        </w:rPr>
        <w:t xml:space="preserve"> was based on the Risk Value Overlay</w:t>
      </w:r>
      <w:r w:rsidRPr="005525B7" w:rsidR="009D79F7">
        <w:rPr>
          <w:rFonts w:ascii="Times New Roman" w:hAnsi="Times New Roman" w:cs="Times New Roman"/>
          <w:sz w:val="26"/>
          <w:szCs w:val="26"/>
        </w:rPr>
        <w:t>, which cons</w:t>
      </w:r>
      <w:r w:rsidRPr="005525B7" w:rsidR="007668BB">
        <w:rPr>
          <w:rFonts w:ascii="Times New Roman" w:hAnsi="Times New Roman" w:cs="Times New Roman"/>
          <w:sz w:val="26"/>
          <w:szCs w:val="26"/>
        </w:rPr>
        <w:t xml:space="preserve">idered five factors: wildfire, capacity, reliability, </w:t>
      </w:r>
      <w:r w:rsidRPr="005525B7" w:rsidR="008B6DD2">
        <w:rPr>
          <w:rFonts w:ascii="Times New Roman" w:hAnsi="Times New Roman" w:cs="Times New Roman"/>
          <w:sz w:val="26"/>
          <w:szCs w:val="26"/>
        </w:rPr>
        <w:t xml:space="preserve">public power safety shutoff, and safety. </w:t>
      </w:r>
      <w:r w:rsidRPr="005525B7" w:rsidR="00B41BA2">
        <w:rPr>
          <w:rFonts w:ascii="Times New Roman" w:hAnsi="Times New Roman" w:cs="Times New Roman"/>
          <w:sz w:val="26"/>
          <w:szCs w:val="26"/>
        </w:rPr>
        <w:t xml:space="preserve"> </w:t>
      </w:r>
      <w:r w:rsidRPr="005525B7" w:rsidR="004D03EB">
        <w:rPr>
          <w:rFonts w:ascii="Times New Roman" w:hAnsi="Times New Roman" w:cs="Times New Roman"/>
          <w:sz w:val="26"/>
          <w:szCs w:val="26"/>
        </w:rPr>
        <w:t>As a</w:t>
      </w:r>
      <w:r w:rsidRPr="005525B7" w:rsidR="001B68D2">
        <w:rPr>
          <w:rFonts w:ascii="Times New Roman" w:hAnsi="Times New Roman" w:cs="Times New Roman"/>
          <w:sz w:val="26"/>
          <w:szCs w:val="26"/>
        </w:rPr>
        <w:t xml:space="preserve"> re</w:t>
      </w:r>
      <w:r w:rsidRPr="005525B7" w:rsidR="001B231E">
        <w:rPr>
          <w:rFonts w:ascii="Times New Roman" w:hAnsi="Times New Roman" w:cs="Times New Roman"/>
          <w:sz w:val="26"/>
          <w:szCs w:val="26"/>
        </w:rPr>
        <w:t xml:space="preserve">sult of equally weighing </w:t>
      </w:r>
      <w:r w:rsidRPr="005525B7" w:rsidR="00E119D9">
        <w:rPr>
          <w:rFonts w:ascii="Times New Roman" w:hAnsi="Times New Roman" w:cs="Times New Roman"/>
          <w:sz w:val="26"/>
          <w:szCs w:val="26"/>
        </w:rPr>
        <w:t>these five factors</w:t>
      </w:r>
      <w:r w:rsidRPr="005525B7" w:rsidR="00023869">
        <w:rPr>
          <w:rFonts w:ascii="Times New Roman" w:hAnsi="Times New Roman" w:cs="Times New Roman"/>
          <w:sz w:val="26"/>
          <w:szCs w:val="26"/>
        </w:rPr>
        <w:t>,</w:t>
      </w:r>
      <w:r w:rsidRPr="005525B7" w:rsidR="00E119D9">
        <w:rPr>
          <w:rFonts w:ascii="Times New Roman" w:hAnsi="Times New Roman" w:cs="Times New Roman"/>
          <w:sz w:val="26"/>
          <w:szCs w:val="26"/>
        </w:rPr>
        <w:t xml:space="preserve"> </w:t>
      </w:r>
      <w:r w:rsidRPr="005525B7" w:rsidR="00DB41F3">
        <w:rPr>
          <w:rFonts w:ascii="Times New Roman" w:hAnsi="Times New Roman" w:cs="Times New Roman"/>
          <w:sz w:val="26"/>
          <w:szCs w:val="26"/>
        </w:rPr>
        <w:t>the Risk Value Overlay</w:t>
      </w:r>
      <w:r w:rsidRPr="005525B7" w:rsidR="004D03EB">
        <w:rPr>
          <w:rFonts w:ascii="Times New Roman" w:hAnsi="Times New Roman" w:cs="Times New Roman"/>
          <w:sz w:val="26"/>
          <w:szCs w:val="26"/>
        </w:rPr>
        <w:t xml:space="preserve"> did not exclusively focus on wildfire risk as the basis for determining where EVM work was to be performed in 2020. </w:t>
      </w:r>
      <w:r w:rsidRPr="005525B7" w:rsidR="00B41BA2">
        <w:rPr>
          <w:rFonts w:ascii="Times New Roman" w:hAnsi="Times New Roman" w:cs="Times New Roman"/>
          <w:sz w:val="26"/>
          <w:szCs w:val="26"/>
        </w:rPr>
        <w:t xml:space="preserve"> </w:t>
      </w:r>
      <w:r w:rsidRPr="005525B7" w:rsidR="002A6C20">
        <w:rPr>
          <w:rFonts w:ascii="Times New Roman" w:hAnsi="Times New Roman" w:cs="Times New Roman"/>
          <w:sz w:val="26"/>
          <w:szCs w:val="26"/>
        </w:rPr>
        <w:t xml:space="preserve">PG&amp;E noted that it no longer </w:t>
      </w:r>
      <w:r w:rsidRPr="005525B7" w:rsidR="00567B10">
        <w:rPr>
          <w:rFonts w:ascii="Times New Roman" w:hAnsi="Times New Roman" w:cs="Times New Roman"/>
          <w:sz w:val="26"/>
          <w:szCs w:val="26"/>
        </w:rPr>
        <w:t>uses</w:t>
      </w:r>
      <w:r w:rsidRPr="005525B7" w:rsidR="002A6C20">
        <w:rPr>
          <w:rFonts w:ascii="Times New Roman" w:hAnsi="Times New Roman" w:cs="Times New Roman"/>
          <w:sz w:val="26"/>
          <w:szCs w:val="26"/>
        </w:rPr>
        <w:t xml:space="preserve"> the Risk Value Overlay</w:t>
      </w:r>
      <w:r w:rsidRPr="005525B7" w:rsidR="004B307C">
        <w:rPr>
          <w:rFonts w:ascii="Times New Roman" w:hAnsi="Times New Roman" w:cs="Times New Roman"/>
          <w:sz w:val="26"/>
          <w:szCs w:val="26"/>
        </w:rPr>
        <w:t>.</w:t>
      </w:r>
      <w:r w:rsidRPr="005525B7" w:rsidR="004B307C">
        <w:rPr>
          <w:rStyle w:val="StyleFootnoteReferenceofrStyle3o1o2o3o4o5o6o11o21o7"/>
          <w:rFonts w:cs="Times New Roman"/>
          <w:sz w:val="26"/>
          <w:szCs w:val="26"/>
        </w:rPr>
        <w:footnoteReference w:id="14"/>
      </w:r>
      <w:r w:rsidRPr="005525B7" w:rsidR="004B307C">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4D03EB">
        <w:rPr>
          <w:rFonts w:ascii="Times New Roman" w:hAnsi="Times New Roman" w:cs="Times New Roman"/>
          <w:sz w:val="26"/>
          <w:szCs w:val="26"/>
        </w:rPr>
        <w:t xml:space="preserve">Third, </w:t>
      </w:r>
      <w:r w:rsidRPr="005525B7" w:rsidR="00343712">
        <w:rPr>
          <w:rFonts w:ascii="Times New Roman" w:hAnsi="Times New Roman" w:cs="Times New Roman"/>
          <w:sz w:val="26"/>
          <w:szCs w:val="26"/>
        </w:rPr>
        <w:t>PG&amp;E’s</w:t>
      </w:r>
      <w:r w:rsidRPr="005525B7" w:rsidR="005C1548">
        <w:rPr>
          <w:rFonts w:ascii="Times New Roman" w:hAnsi="Times New Roman" w:cs="Times New Roman"/>
          <w:sz w:val="26"/>
          <w:szCs w:val="26"/>
        </w:rPr>
        <w:t xml:space="preserve"> EVM work</w:t>
      </w:r>
      <w:r w:rsidRPr="005525B7" w:rsidR="00343712">
        <w:rPr>
          <w:rFonts w:ascii="Times New Roman" w:hAnsi="Times New Roman" w:cs="Times New Roman"/>
          <w:sz w:val="26"/>
          <w:szCs w:val="26"/>
        </w:rPr>
        <w:t xml:space="preserve"> goal </w:t>
      </w:r>
      <w:r w:rsidRPr="005525B7" w:rsidR="005C1548">
        <w:rPr>
          <w:rFonts w:ascii="Times New Roman" w:hAnsi="Times New Roman" w:cs="Times New Roman"/>
          <w:sz w:val="26"/>
          <w:szCs w:val="26"/>
        </w:rPr>
        <w:t>was to perform 50 percent of the work on the top 50 percent of the highest risk circuits.</w:t>
      </w:r>
      <w:r w:rsidRPr="005525B7" w:rsidR="00945D2E">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391E1F">
        <w:rPr>
          <w:rFonts w:ascii="Times New Roman" w:hAnsi="Times New Roman" w:cs="Times New Roman"/>
          <w:sz w:val="26"/>
          <w:szCs w:val="26"/>
        </w:rPr>
        <w:t xml:space="preserve">PG&amp;E noted that it </w:t>
      </w:r>
      <w:r w:rsidRPr="005525B7" w:rsidR="00D55722">
        <w:rPr>
          <w:rFonts w:ascii="Times New Roman" w:hAnsi="Times New Roman" w:cs="Times New Roman"/>
          <w:sz w:val="26"/>
          <w:szCs w:val="26"/>
        </w:rPr>
        <w:t>redefined it</w:t>
      </w:r>
      <w:r w:rsidRPr="005525B7" w:rsidR="005C1A55">
        <w:rPr>
          <w:rFonts w:ascii="Times New Roman" w:hAnsi="Times New Roman" w:cs="Times New Roman"/>
          <w:sz w:val="26"/>
          <w:szCs w:val="26"/>
        </w:rPr>
        <w:t>s</w:t>
      </w:r>
      <w:r w:rsidRPr="005525B7" w:rsidR="00D55722">
        <w:rPr>
          <w:rFonts w:ascii="Times New Roman" w:hAnsi="Times New Roman" w:cs="Times New Roman"/>
          <w:sz w:val="26"/>
          <w:szCs w:val="26"/>
        </w:rPr>
        <w:t xml:space="preserve"> 2021 goals </w:t>
      </w:r>
      <w:r w:rsidRPr="005525B7" w:rsidR="001A7692">
        <w:rPr>
          <w:rFonts w:ascii="Times New Roman" w:hAnsi="Times New Roman" w:cs="Times New Roman"/>
          <w:sz w:val="26"/>
          <w:szCs w:val="26"/>
        </w:rPr>
        <w:t>to</w:t>
      </w:r>
      <w:r w:rsidRPr="005525B7" w:rsidR="003C0920">
        <w:rPr>
          <w:rFonts w:ascii="Times New Roman" w:hAnsi="Times New Roman" w:cs="Times New Roman"/>
          <w:sz w:val="26"/>
          <w:szCs w:val="26"/>
        </w:rPr>
        <w:t xml:space="preserve"> </w:t>
      </w:r>
      <w:r w:rsidRPr="005525B7" w:rsidR="00000ACE">
        <w:rPr>
          <w:rFonts w:ascii="Times New Roman" w:hAnsi="Times New Roman" w:cs="Times New Roman"/>
          <w:sz w:val="26"/>
          <w:szCs w:val="26"/>
        </w:rPr>
        <w:t>focus 80 percent of its EVM work on the top 20 percent</w:t>
      </w:r>
      <w:r w:rsidRPr="005525B7" w:rsidR="00805997">
        <w:rPr>
          <w:rFonts w:ascii="Times New Roman" w:hAnsi="Times New Roman" w:cs="Times New Roman"/>
          <w:sz w:val="26"/>
          <w:szCs w:val="26"/>
        </w:rPr>
        <w:t xml:space="preserve"> of the highest risk Circuit Protection Zones</w:t>
      </w:r>
      <w:r w:rsidRPr="005525B7" w:rsidR="0090528F">
        <w:rPr>
          <w:rFonts w:ascii="Times New Roman" w:hAnsi="Times New Roman" w:cs="Times New Roman"/>
          <w:sz w:val="26"/>
          <w:szCs w:val="26"/>
        </w:rPr>
        <w:t xml:space="preserve"> rather than 50 percent of the work in the top 50 percent of the highest risk lines.</w:t>
      </w:r>
      <w:r w:rsidRPr="005525B7" w:rsidR="006B2D5B">
        <w:rPr>
          <w:rStyle w:val="StyleFootnoteReferenceofrStyle3o1o2o3o4o5o6o11o21o7"/>
          <w:rFonts w:cs="Times New Roman"/>
          <w:sz w:val="26"/>
          <w:szCs w:val="26"/>
        </w:rPr>
        <w:footnoteReference w:id="15"/>
      </w:r>
      <w:r w:rsidRPr="005525B7" w:rsidR="0090528F">
        <w:rPr>
          <w:rFonts w:ascii="Times New Roman" w:hAnsi="Times New Roman" w:cs="Times New Roman"/>
          <w:sz w:val="26"/>
          <w:szCs w:val="26"/>
        </w:rPr>
        <w:t xml:space="preserve"> </w:t>
      </w:r>
      <w:r w:rsidRPr="005525B7" w:rsidR="00B4323E">
        <w:rPr>
          <w:rFonts w:ascii="Times New Roman" w:hAnsi="Times New Roman" w:cs="Times New Roman"/>
          <w:sz w:val="26"/>
          <w:szCs w:val="26"/>
        </w:rPr>
        <w:t xml:space="preserve"> </w:t>
      </w:r>
      <w:r w:rsidRPr="005525B7" w:rsidR="002E1791">
        <w:rPr>
          <w:rFonts w:ascii="Times New Roman" w:hAnsi="Times New Roman" w:cs="Times New Roman"/>
          <w:sz w:val="26"/>
          <w:szCs w:val="26"/>
        </w:rPr>
        <w:t xml:space="preserve"> </w:t>
      </w:r>
    </w:p>
    <w:p w:rsidRPr="005525B7" w:rsidR="005E13D4" w:rsidP="00DD1F1C" w:rsidRDefault="005E13D4" w14:paraId="31ACEBFF" w14:textId="77777777">
      <w:pPr>
        <w:pStyle w:val="BodyText"/>
        <w:kinsoku w:val="0"/>
        <w:overflowPunct w:val="0"/>
        <w:ind w:right="154"/>
        <w:rPr>
          <w:rFonts w:ascii="Times New Roman" w:hAnsi="Times New Roman" w:cs="Times New Roman"/>
          <w:sz w:val="26"/>
          <w:szCs w:val="26"/>
        </w:rPr>
      </w:pPr>
    </w:p>
    <w:p w:rsidRPr="005525B7" w:rsidR="00DD1F1C" w:rsidP="00DD1F1C" w:rsidRDefault="001B647C" w14:paraId="21DF8781" w14:textId="28D4F5C6">
      <w:pPr>
        <w:pStyle w:val="BodyText"/>
        <w:kinsoku w:val="0"/>
        <w:overflowPunct w:val="0"/>
        <w:ind w:right="154"/>
        <w:rPr>
          <w:rFonts w:ascii="Times New Roman" w:hAnsi="Times New Roman" w:cs="Times New Roman"/>
          <w:sz w:val="26"/>
          <w:szCs w:val="26"/>
        </w:rPr>
      </w:pPr>
      <w:r w:rsidRPr="005525B7">
        <w:rPr>
          <w:rFonts w:ascii="Times New Roman" w:hAnsi="Times New Roman" w:cs="Times New Roman"/>
          <w:sz w:val="26"/>
          <w:szCs w:val="26"/>
        </w:rPr>
        <w:t xml:space="preserve">Based on the </w:t>
      </w:r>
      <w:r w:rsidRPr="005525B7" w:rsidR="001E20EE">
        <w:rPr>
          <w:rFonts w:ascii="Times New Roman" w:hAnsi="Times New Roman" w:cs="Times New Roman"/>
          <w:sz w:val="26"/>
          <w:szCs w:val="26"/>
        </w:rPr>
        <w:t xml:space="preserve">information </w:t>
      </w:r>
      <w:r w:rsidRPr="005525B7" w:rsidR="005E1DAC">
        <w:rPr>
          <w:rFonts w:ascii="Times New Roman" w:hAnsi="Times New Roman" w:cs="Times New Roman"/>
          <w:sz w:val="26"/>
          <w:szCs w:val="26"/>
        </w:rPr>
        <w:t>PG&amp;E</w:t>
      </w:r>
      <w:r w:rsidRPr="005525B7" w:rsidR="001E20EE">
        <w:rPr>
          <w:rFonts w:ascii="Times New Roman" w:hAnsi="Times New Roman" w:cs="Times New Roman"/>
          <w:sz w:val="26"/>
          <w:szCs w:val="26"/>
        </w:rPr>
        <w:t xml:space="preserve"> pro</w:t>
      </w:r>
      <w:r w:rsidRPr="005525B7" w:rsidR="00572C7B">
        <w:rPr>
          <w:rFonts w:ascii="Times New Roman" w:hAnsi="Times New Roman" w:cs="Times New Roman"/>
          <w:sz w:val="26"/>
          <w:szCs w:val="26"/>
        </w:rPr>
        <w:t>vided</w:t>
      </w:r>
      <w:r w:rsidRPr="005525B7">
        <w:rPr>
          <w:rFonts w:ascii="Times New Roman" w:hAnsi="Times New Roman" w:cs="Times New Roman"/>
          <w:sz w:val="26"/>
          <w:szCs w:val="26"/>
        </w:rPr>
        <w:t xml:space="preserve">, </w:t>
      </w:r>
      <w:r w:rsidRPr="005525B7" w:rsidR="006F4340">
        <w:rPr>
          <w:rFonts w:ascii="Times New Roman" w:hAnsi="Times New Roman" w:cs="Times New Roman"/>
          <w:sz w:val="26"/>
          <w:szCs w:val="26"/>
        </w:rPr>
        <w:t xml:space="preserve">the Commission </w:t>
      </w:r>
      <w:r w:rsidRPr="005525B7" w:rsidR="00B52E3E">
        <w:rPr>
          <w:rFonts w:ascii="Times New Roman" w:hAnsi="Times New Roman" w:cs="Times New Roman"/>
          <w:sz w:val="26"/>
          <w:szCs w:val="26"/>
        </w:rPr>
        <w:t>finds</w:t>
      </w:r>
      <w:r w:rsidRPr="005525B7" w:rsidR="006F4340">
        <w:rPr>
          <w:rFonts w:ascii="Times New Roman" w:hAnsi="Times New Roman" w:cs="Times New Roman"/>
          <w:sz w:val="26"/>
          <w:szCs w:val="26"/>
        </w:rPr>
        <w:t xml:space="preserve"> that </w:t>
      </w:r>
      <w:r w:rsidRPr="005525B7">
        <w:rPr>
          <w:rStyle w:val="normaltextrun"/>
          <w:rFonts w:ascii="Times New Roman" w:hAnsi="Times New Roman" w:cs="Times New Roman"/>
          <w:sz w:val="26"/>
          <w:szCs w:val="26"/>
        </w:rPr>
        <w:t xml:space="preserve">PG&amp;E </w:t>
      </w:r>
      <w:r w:rsidRPr="005525B7" w:rsidR="00572C7B">
        <w:rPr>
          <w:rStyle w:val="normaltextrun"/>
          <w:rFonts w:ascii="Times New Roman" w:hAnsi="Times New Roman" w:cs="Times New Roman"/>
          <w:sz w:val="26"/>
          <w:szCs w:val="26"/>
        </w:rPr>
        <w:t>has</w:t>
      </w:r>
      <w:r w:rsidRPr="005525B7" w:rsidR="00112CC8">
        <w:rPr>
          <w:rStyle w:val="normaltextrun"/>
          <w:rFonts w:ascii="Times New Roman" w:hAnsi="Times New Roman" w:cs="Times New Roman"/>
          <w:sz w:val="26"/>
          <w:szCs w:val="26"/>
        </w:rPr>
        <w:t xml:space="preserve"> </w:t>
      </w:r>
      <w:r w:rsidRPr="005525B7">
        <w:rPr>
          <w:rStyle w:val="normaltextrun"/>
          <w:rFonts w:ascii="Times New Roman" w:hAnsi="Times New Roman" w:cs="Times New Roman"/>
          <w:sz w:val="26"/>
          <w:szCs w:val="26"/>
        </w:rPr>
        <w:t xml:space="preserve">provided sufficient information to satisfy CAP Element </w:t>
      </w:r>
      <w:r w:rsidRPr="005525B7" w:rsidR="005E13D4">
        <w:rPr>
          <w:rFonts w:ascii="Times New Roman" w:hAnsi="Times New Roman" w:cs="Times New Roman"/>
          <w:sz w:val="26"/>
          <w:szCs w:val="26"/>
        </w:rPr>
        <w:t>1.</w:t>
      </w:r>
    </w:p>
    <w:p w:rsidRPr="005525B7" w:rsidR="00DD1F1C" w:rsidP="00DD1F1C" w:rsidRDefault="00DD1F1C" w14:paraId="2D305476" w14:textId="77777777">
      <w:pPr>
        <w:pStyle w:val="paragraph"/>
        <w:spacing w:before="0" w:beforeAutospacing="0" w:after="0" w:afterAutospacing="0"/>
        <w:textAlignment w:val="baseline"/>
        <w:rPr>
          <w:sz w:val="26"/>
          <w:szCs w:val="26"/>
        </w:rPr>
      </w:pPr>
    </w:p>
    <w:p w:rsidRPr="005525B7" w:rsidR="006E5769" w:rsidP="001A7842" w:rsidRDefault="001A7842" w14:paraId="471CE546" w14:textId="1FAA89C0">
      <w:pPr>
        <w:pStyle w:val="paragraph"/>
        <w:spacing w:before="0" w:beforeAutospacing="0" w:after="0" w:afterAutospacing="0"/>
        <w:textAlignment w:val="baseline"/>
        <w:rPr>
          <w:sz w:val="26"/>
          <w:szCs w:val="26"/>
        </w:rPr>
      </w:pPr>
      <w:r w:rsidRPr="005525B7">
        <w:rPr>
          <w:b/>
          <w:bCs/>
          <w:sz w:val="26"/>
          <w:szCs w:val="26"/>
        </w:rPr>
        <w:t xml:space="preserve">CAP Element 2: </w:t>
      </w:r>
      <w:r w:rsidRPr="005525B7" w:rsidR="00BD6963">
        <w:rPr>
          <w:b/>
          <w:bCs/>
          <w:sz w:val="26"/>
          <w:szCs w:val="26"/>
        </w:rPr>
        <w:t xml:space="preserve">A detailed description of its risk model(s) for determining where to target EVM in the next 90 days, including the specific data sets and vegetation management records PG&amp;E is using as inputs to the risk model, and the data modeling program(s) that make up PG&amp;E’s risk model. </w:t>
      </w:r>
    </w:p>
    <w:p w:rsidRPr="005525B7" w:rsidR="007965A2" w:rsidRDefault="007965A2" w14:paraId="04DEE027" w14:textId="6B3D2844">
      <w:pPr>
        <w:rPr>
          <w:rFonts w:ascii="Times New Roman" w:hAnsi="Times New Roman"/>
          <w:b/>
          <w:bCs/>
          <w:szCs w:val="26"/>
        </w:rPr>
      </w:pPr>
    </w:p>
    <w:p w:rsidRPr="005525B7" w:rsidR="00FB2081" w:rsidP="005E735E" w:rsidRDefault="005E13D4" w14:paraId="07CADBDA" w14:textId="6A131E56">
      <w:pPr>
        <w:pStyle w:val="BodyText"/>
        <w:kinsoku w:val="0"/>
        <w:overflowPunct w:val="0"/>
        <w:ind w:right="173"/>
        <w:rPr>
          <w:rFonts w:ascii="Times New Roman" w:hAnsi="Times New Roman" w:cs="Times New Roman"/>
          <w:sz w:val="26"/>
          <w:szCs w:val="26"/>
        </w:rPr>
      </w:pPr>
      <w:r w:rsidRPr="005525B7">
        <w:rPr>
          <w:rFonts w:ascii="Times New Roman" w:hAnsi="Times New Roman" w:cs="Times New Roman"/>
          <w:sz w:val="26"/>
          <w:szCs w:val="26"/>
        </w:rPr>
        <w:t>PG&amp;E</w:t>
      </w:r>
      <w:r w:rsidRPr="005525B7" w:rsidR="00B8509E">
        <w:rPr>
          <w:rFonts w:ascii="Times New Roman" w:hAnsi="Times New Roman" w:cs="Times New Roman"/>
          <w:sz w:val="26"/>
          <w:szCs w:val="26"/>
        </w:rPr>
        <w:t xml:space="preserve">’s May 6, 2021 </w:t>
      </w:r>
      <w:r w:rsidRPr="005525B7" w:rsidR="000F7AFF">
        <w:rPr>
          <w:rFonts w:ascii="Times New Roman" w:hAnsi="Times New Roman" w:cs="Times New Roman"/>
          <w:sz w:val="26"/>
          <w:szCs w:val="26"/>
        </w:rPr>
        <w:t>CAP</w:t>
      </w:r>
      <w:r w:rsidRPr="005525B7">
        <w:rPr>
          <w:rFonts w:ascii="Times New Roman" w:hAnsi="Times New Roman" w:cs="Times New Roman"/>
          <w:sz w:val="26"/>
          <w:szCs w:val="26"/>
        </w:rPr>
        <w:t xml:space="preserve"> </w:t>
      </w:r>
      <w:r w:rsidRPr="005525B7" w:rsidR="00D77540">
        <w:rPr>
          <w:rFonts w:ascii="Times New Roman" w:hAnsi="Times New Roman" w:cs="Times New Roman"/>
          <w:sz w:val="26"/>
          <w:szCs w:val="26"/>
        </w:rPr>
        <w:t>provided</w:t>
      </w:r>
      <w:r w:rsidRPr="005525B7">
        <w:rPr>
          <w:rFonts w:ascii="Times New Roman" w:hAnsi="Times New Roman" w:cs="Times New Roman"/>
          <w:sz w:val="26"/>
          <w:szCs w:val="26"/>
        </w:rPr>
        <w:t xml:space="preserve"> </w:t>
      </w:r>
      <w:r w:rsidRPr="005525B7" w:rsidR="00854EA6">
        <w:rPr>
          <w:rFonts w:ascii="Times New Roman" w:hAnsi="Times New Roman" w:cs="Times New Roman"/>
          <w:sz w:val="26"/>
          <w:szCs w:val="26"/>
        </w:rPr>
        <w:t>a description of</w:t>
      </w:r>
      <w:r w:rsidRPr="005525B7" w:rsidR="008B7688">
        <w:rPr>
          <w:rFonts w:ascii="Times New Roman" w:hAnsi="Times New Roman" w:cs="Times New Roman"/>
          <w:sz w:val="26"/>
          <w:szCs w:val="26"/>
        </w:rPr>
        <w:t xml:space="preserve"> how </w:t>
      </w:r>
      <w:r w:rsidRPr="005525B7">
        <w:rPr>
          <w:rFonts w:ascii="Times New Roman" w:hAnsi="Times New Roman" w:cs="Times New Roman"/>
          <w:sz w:val="26"/>
          <w:szCs w:val="26"/>
        </w:rPr>
        <w:t xml:space="preserve">it </w:t>
      </w:r>
      <w:r w:rsidRPr="005525B7" w:rsidR="00F82C4B">
        <w:rPr>
          <w:rFonts w:ascii="Times New Roman" w:hAnsi="Times New Roman" w:cs="Times New Roman"/>
          <w:sz w:val="26"/>
          <w:szCs w:val="26"/>
        </w:rPr>
        <w:t>ta</w:t>
      </w:r>
      <w:r w:rsidRPr="005525B7" w:rsidR="00951BFA">
        <w:rPr>
          <w:rFonts w:ascii="Times New Roman" w:hAnsi="Times New Roman" w:cs="Times New Roman"/>
          <w:sz w:val="26"/>
          <w:szCs w:val="26"/>
        </w:rPr>
        <w:t>rgeted</w:t>
      </w:r>
      <w:r w:rsidRPr="005525B7" w:rsidR="00470590">
        <w:rPr>
          <w:rFonts w:ascii="Times New Roman" w:hAnsi="Times New Roman" w:cs="Times New Roman"/>
          <w:sz w:val="26"/>
          <w:szCs w:val="26"/>
        </w:rPr>
        <w:t xml:space="preserve"> EVM for the next 90 days</w:t>
      </w:r>
      <w:r w:rsidRPr="005525B7" w:rsidR="000105EF">
        <w:rPr>
          <w:rFonts w:ascii="Times New Roman" w:hAnsi="Times New Roman" w:cs="Times New Roman"/>
          <w:sz w:val="26"/>
          <w:szCs w:val="26"/>
        </w:rPr>
        <w:t>.</w:t>
      </w:r>
      <w:r w:rsidRPr="005525B7" w:rsidR="007D2107">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DF49FE">
        <w:rPr>
          <w:rFonts w:ascii="Times New Roman" w:hAnsi="Times New Roman" w:cs="Times New Roman"/>
          <w:sz w:val="26"/>
          <w:szCs w:val="26"/>
        </w:rPr>
        <w:t xml:space="preserve">PG&amp;E </w:t>
      </w:r>
      <w:r w:rsidRPr="005525B7" w:rsidR="005603FA">
        <w:rPr>
          <w:rFonts w:ascii="Times New Roman" w:hAnsi="Times New Roman" w:cs="Times New Roman"/>
          <w:sz w:val="26"/>
          <w:szCs w:val="26"/>
        </w:rPr>
        <w:t>explained that</w:t>
      </w:r>
      <w:r w:rsidRPr="005525B7" w:rsidR="00DF49FE">
        <w:rPr>
          <w:rFonts w:ascii="Times New Roman" w:hAnsi="Times New Roman" w:cs="Times New Roman"/>
          <w:sz w:val="26"/>
          <w:szCs w:val="26"/>
        </w:rPr>
        <w:t xml:space="preserve"> its Tree-Weighted Prioritization List,</w:t>
      </w:r>
      <w:r w:rsidRPr="005525B7" w:rsidR="00183F0E">
        <w:rPr>
          <w:rStyle w:val="StyleFootnoteReferenceofrStyle3o1o2o3o4o5o6o11o21o7"/>
          <w:rFonts w:cs="Times New Roman"/>
          <w:sz w:val="26"/>
          <w:szCs w:val="26"/>
        </w:rPr>
        <w:footnoteReference w:id="16"/>
      </w:r>
      <w:r w:rsidRPr="005525B7" w:rsidR="00DF49FE">
        <w:rPr>
          <w:rFonts w:ascii="Times New Roman" w:hAnsi="Times New Roman" w:cs="Times New Roman"/>
          <w:sz w:val="26"/>
          <w:szCs w:val="26"/>
        </w:rPr>
        <w:t xml:space="preserve"> </w:t>
      </w:r>
      <w:r w:rsidRPr="005525B7" w:rsidR="00932537">
        <w:rPr>
          <w:rFonts w:ascii="Times New Roman" w:hAnsi="Times New Roman" w:cs="Times New Roman"/>
          <w:sz w:val="26"/>
          <w:szCs w:val="26"/>
        </w:rPr>
        <w:t>forms the basis of</w:t>
      </w:r>
      <w:r w:rsidRPr="005525B7" w:rsidR="00DF49FE">
        <w:rPr>
          <w:rFonts w:ascii="Times New Roman" w:hAnsi="Times New Roman" w:cs="Times New Roman"/>
          <w:sz w:val="26"/>
          <w:szCs w:val="26"/>
        </w:rPr>
        <w:t xml:space="preserve"> </w:t>
      </w:r>
      <w:r w:rsidRPr="005525B7" w:rsidR="00B90F69">
        <w:rPr>
          <w:rFonts w:ascii="Times New Roman" w:hAnsi="Times New Roman" w:cs="Times New Roman"/>
          <w:sz w:val="26"/>
          <w:szCs w:val="26"/>
        </w:rPr>
        <w:t>its</w:t>
      </w:r>
      <w:r w:rsidRPr="005525B7" w:rsidR="00DF49FE">
        <w:rPr>
          <w:rFonts w:ascii="Times New Roman" w:hAnsi="Times New Roman" w:cs="Times New Roman"/>
          <w:sz w:val="26"/>
          <w:szCs w:val="26"/>
        </w:rPr>
        <w:t xml:space="preserve"> 2021 EVM Scope of Work (i.e., work to be completed through December 31, </w:t>
      </w:r>
      <w:r w:rsidRPr="005525B7" w:rsidR="00DF49FE">
        <w:rPr>
          <w:rFonts w:ascii="Times New Roman" w:hAnsi="Times New Roman" w:cs="Times New Roman"/>
          <w:sz w:val="26"/>
          <w:szCs w:val="26"/>
        </w:rPr>
        <w:lastRenderedPageBreak/>
        <w:t>2021)</w:t>
      </w:r>
      <w:r w:rsidRPr="005525B7" w:rsidR="00660757">
        <w:rPr>
          <w:rFonts w:ascii="Times New Roman" w:hAnsi="Times New Roman" w:cs="Times New Roman"/>
          <w:sz w:val="26"/>
          <w:szCs w:val="26"/>
        </w:rPr>
        <w:t>.</w:t>
      </w:r>
      <w:r w:rsidRPr="005525B7" w:rsidR="00DF49FE">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B42FEA">
        <w:rPr>
          <w:rFonts w:ascii="Times New Roman" w:hAnsi="Times New Roman" w:cs="Times New Roman"/>
          <w:sz w:val="26"/>
          <w:szCs w:val="26"/>
        </w:rPr>
        <w:t xml:space="preserve">PG&amp;E </w:t>
      </w:r>
      <w:r w:rsidRPr="005525B7" w:rsidR="00087D9E">
        <w:rPr>
          <w:rFonts w:ascii="Times New Roman" w:hAnsi="Times New Roman" w:cs="Times New Roman"/>
          <w:sz w:val="26"/>
          <w:szCs w:val="26"/>
        </w:rPr>
        <w:t xml:space="preserve">described </w:t>
      </w:r>
      <w:r w:rsidRPr="005525B7" w:rsidR="004D63AC">
        <w:rPr>
          <w:rFonts w:ascii="Times New Roman" w:hAnsi="Times New Roman" w:cs="Times New Roman"/>
          <w:sz w:val="26"/>
          <w:szCs w:val="26"/>
        </w:rPr>
        <w:t>that</w:t>
      </w:r>
      <w:r w:rsidRPr="005525B7" w:rsidR="00087D9E">
        <w:rPr>
          <w:rFonts w:ascii="Times New Roman" w:hAnsi="Times New Roman" w:cs="Times New Roman"/>
          <w:sz w:val="26"/>
          <w:szCs w:val="26"/>
        </w:rPr>
        <w:t xml:space="preserve"> it</w:t>
      </w:r>
      <w:r w:rsidRPr="005525B7" w:rsidR="00B42FEA">
        <w:rPr>
          <w:rFonts w:ascii="Times New Roman" w:hAnsi="Times New Roman" w:cs="Times New Roman"/>
          <w:sz w:val="26"/>
          <w:szCs w:val="26"/>
        </w:rPr>
        <w:t xml:space="preserve"> develops its </w:t>
      </w:r>
      <w:r w:rsidRPr="005525B7" w:rsidR="00A3169C">
        <w:rPr>
          <w:rFonts w:ascii="Times New Roman" w:hAnsi="Times New Roman" w:cs="Times New Roman"/>
          <w:sz w:val="26"/>
          <w:szCs w:val="26"/>
        </w:rPr>
        <w:t>Tree-Weighted Prioritization List by applying</w:t>
      </w:r>
      <w:r w:rsidRPr="005525B7" w:rsidR="00DF49FE">
        <w:rPr>
          <w:rFonts w:ascii="Times New Roman" w:hAnsi="Times New Roman" w:cs="Times New Roman"/>
          <w:sz w:val="26"/>
          <w:szCs w:val="26"/>
        </w:rPr>
        <w:t xml:space="preserve"> </w:t>
      </w:r>
      <w:r w:rsidRPr="005525B7" w:rsidR="00B42FEA">
        <w:rPr>
          <w:rFonts w:ascii="Times New Roman" w:hAnsi="Times New Roman" w:cs="Times New Roman"/>
          <w:sz w:val="26"/>
          <w:szCs w:val="26"/>
        </w:rPr>
        <w:t xml:space="preserve">a </w:t>
      </w:r>
      <w:r w:rsidRPr="005525B7" w:rsidR="00DF49FE">
        <w:rPr>
          <w:rFonts w:ascii="Times New Roman" w:hAnsi="Times New Roman" w:cs="Times New Roman"/>
          <w:sz w:val="26"/>
          <w:szCs w:val="26"/>
        </w:rPr>
        <w:t xml:space="preserve">tree-weighted factor, which accounts for tree density, to </w:t>
      </w:r>
      <w:r w:rsidRPr="005525B7" w:rsidR="00331955">
        <w:rPr>
          <w:rFonts w:ascii="Times New Roman" w:hAnsi="Times New Roman" w:cs="Times New Roman"/>
          <w:sz w:val="26"/>
          <w:szCs w:val="26"/>
        </w:rPr>
        <w:t xml:space="preserve">its </w:t>
      </w:r>
      <w:r w:rsidRPr="005525B7" w:rsidR="00DF49FE">
        <w:rPr>
          <w:rFonts w:ascii="Times New Roman" w:hAnsi="Times New Roman" w:cs="Times New Roman"/>
          <w:sz w:val="26"/>
          <w:szCs w:val="26"/>
        </w:rPr>
        <w:t>Wildfire Distribution Risk Model</w:t>
      </w:r>
      <w:r w:rsidRPr="005525B7" w:rsidR="00B42FEA">
        <w:rPr>
          <w:rFonts w:ascii="Times New Roman" w:hAnsi="Times New Roman" w:cs="Times New Roman"/>
          <w:sz w:val="26"/>
          <w:szCs w:val="26"/>
        </w:rPr>
        <w:t>.</w:t>
      </w:r>
      <w:r w:rsidRPr="005525B7" w:rsidR="00DF49FE">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DF49FE">
        <w:rPr>
          <w:rFonts w:ascii="Times New Roman" w:hAnsi="Times New Roman" w:cs="Times New Roman"/>
          <w:sz w:val="26"/>
          <w:szCs w:val="26"/>
        </w:rPr>
        <w:t xml:space="preserve">EVM staff </w:t>
      </w:r>
      <w:r w:rsidRPr="005525B7" w:rsidR="000239FC">
        <w:rPr>
          <w:rFonts w:ascii="Times New Roman" w:hAnsi="Times New Roman" w:cs="Times New Roman"/>
          <w:sz w:val="26"/>
          <w:szCs w:val="26"/>
        </w:rPr>
        <w:t>use</w:t>
      </w:r>
      <w:r w:rsidRPr="005525B7" w:rsidR="00DF49FE">
        <w:rPr>
          <w:rFonts w:ascii="Times New Roman" w:hAnsi="Times New Roman" w:cs="Times New Roman"/>
          <w:sz w:val="26"/>
          <w:szCs w:val="26"/>
        </w:rPr>
        <w:t xml:space="preserve"> the annual Tree-Weighted Prioritization List to schedule pre-inspection</w:t>
      </w:r>
      <w:r w:rsidRPr="005525B7" w:rsidDel="00F24A59" w:rsidR="00DF49FE">
        <w:rPr>
          <w:rFonts w:ascii="Times New Roman" w:hAnsi="Times New Roman" w:cs="Times New Roman"/>
          <w:sz w:val="26"/>
          <w:szCs w:val="26"/>
        </w:rPr>
        <w:t>,</w:t>
      </w:r>
      <w:r w:rsidRPr="005525B7" w:rsidR="00DF49FE">
        <w:rPr>
          <w:rFonts w:ascii="Times New Roman" w:hAnsi="Times New Roman" w:cs="Times New Roman"/>
          <w:sz w:val="26"/>
          <w:szCs w:val="26"/>
        </w:rPr>
        <w:t xml:space="preserve"> tree work, and work verification</w:t>
      </w:r>
      <w:r w:rsidRPr="005525B7" w:rsidR="00195BBE">
        <w:rPr>
          <w:rFonts w:ascii="Times New Roman" w:hAnsi="Times New Roman" w:cs="Times New Roman"/>
          <w:sz w:val="26"/>
          <w:szCs w:val="26"/>
        </w:rPr>
        <w:t xml:space="preserve"> on each listed Circuit Protection Zone</w:t>
      </w:r>
      <w:r w:rsidRPr="005525B7" w:rsidR="00DF49FE">
        <w:rPr>
          <w:rFonts w:ascii="Times New Roman" w:hAnsi="Times New Roman" w:cs="Times New Roman"/>
          <w:sz w:val="26"/>
          <w:szCs w:val="26"/>
        </w:rPr>
        <w:t>.</w:t>
      </w:r>
      <w:r w:rsidRPr="005525B7" w:rsidR="001B76FF">
        <w:rPr>
          <w:rFonts w:ascii="Times New Roman" w:hAnsi="Times New Roman" w:cs="Times New Roman"/>
          <w:sz w:val="26"/>
          <w:szCs w:val="26"/>
        </w:rPr>
        <w:t xml:space="preserve"> </w:t>
      </w:r>
      <w:r w:rsidRPr="005525B7" w:rsidR="00B41BA2">
        <w:rPr>
          <w:rFonts w:ascii="Times New Roman" w:hAnsi="Times New Roman" w:cs="Times New Roman"/>
          <w:sz w:val="26"/>
          <w:szCs w:val="26"/>
        </w:rPr>
        <w:t xml:space="preserve"> </w:t>
      </w:r>
      <w:r w:rsidRPr="005525B7" w:rsidR="00574C76">
        <w:rPr>
          <w:rFonts w:ascii="Times New Roman" w:hAnsi="Times New Roman" w:cs="Times New Roman"/>
          <w:sz w:val="26"/>
          <w:szCs w:val="26"/>
        </w:rPr>
        <w:t xml:space="preserve">In 2021, </w:t>
      </w:r>
      <w:r w:rsidRPr="005525B7" w:rsidR="18580AD5">
        <w:rPr>
          <w:rFonts w:ascii="Times New Roman" w:hAnsi="Times New Roman" w:cs="Times New Roman"/>
          <w:sz w:val="26"/>
          <w:szCs w:val="26"/>
        </w:rPr>
        <w:t>PG&amp;E’s 90-day work plan</w:t>
      </w:r>
      <w:r w:rsidRPr="005525B7" w:rsidR="00574C76">
        <w:rPr>
          <w:rFonts w:ascii="Times New Roman" w:hAnsi="Times New Roman" w:cs="Times New Roman"/>
          <w:sz w:val="26"/>
          <w:szCs w:val="26"/>
        </w:rPr>
        <w:t>s</w:t>
      </w:r>
      <w:r w:rsidRPr="005525B7" w:rsidR="18580AD5">
        <w:rPr>
          <w:rFonts w:ascii="Times New Roman" w:hAnsi="Times New Roman" w:cs="Times New Roman"/>
          <w:sz w:val="26"/>
          <w:szCs w:val="26"/>
        </w:rPr>
        <w:t xml:space="preserve"> </w:t>
      </w:r>
      <w:r w:rsidRPr="005525B7" w:rsidR="00BA74FF">
        <w:rPr>
          <w:rFonts w:ascii="Times New Roman" w:hAnsi="Times New Roman" w:cs="Times New Roman"/>
          <w:sz w:val="26"/>
          <w:szCs w:val="26"/>
        </w:rPr>
        <w:t xml:space="preserve">confirmed </w:t>
      </w:r>
      <w:r w:rsidRPr="005525B7" w:rsidR="18580AD5">
        <w:rPr>
          <w:rFonts w:ascii="Times New Roman" w:hAnsi="Times New Roman" w:cs="Times New Roman"/>
          <w:sz w:val="26"/>
          <w:szCs w:val="26"/>
        </w:rPr>
        <w:t xml:space="preserve">that PG&amp;E </w:t>
      </w:r>
      <w:r w:rsidRPr="005525B7" w:rsidR="00BA74FF">
        <w:rPr>
          <w:rFonts w:ascii="Times New Roman" w:hAnsi="Times New Roman" w:cs="Times New Roman"/>
          <w:sz w:val="26"/>
          <w:szCs w:val="26"/>
        </w:rPr>
        <w:t xml:space="preserve">prioritized </w:t>
      </w:r>
      <w:r w:rsidRPr="005525B7" w:rsidR="18580AD5">
        <w:rPr>
          <w:rFonts w:ascii="Times New Roman" w:hAnsi="Times New Roman" w:cs="Times New Roman"/>
          <w:sz w:val="26"/>
          <w:szCs w:val="26"/>
        </w:rPr>
        <w:t xml:space="preserve">the highest risk </w:t>
      </w:r>
      <w:r w:rsidRPr="005525B7" w:rsidR="00054E4D">
        <w:rPr>
          <w:rFonts w:ascii="Times New Roman" w:hAnsi="Times New Roman" w:cs="Times New Roman"/>
          <w:sz w:val="26"/>
          <w:szCs w:val="26"/>
          <w:lang w:val="en-ZW"/>
        </w:rPr>
        <w:t>Circuit Protection Zones</w:t>
      </w:r>
      <w:r w:rsidRPr="005525B7" w:rsidR="18580AD5">
        <w:rPr>
          <w:rFonts w:ascii="Times New Roman" w:hAnsi="Times New Roman" w:cs="Times New Roman"/>
          <w:sz w:val="26"/>
          <w:szCs w:val="26"/>
        </w:rPr>
        <w:t xml:space="preserve"> on an annual basis as it </w:t>
      </w:r>
      <w:r w:rsidRPr="005525B7" w:rsidR="00BA74FF">
        <w:rPr>
          <w:rFonts w:ascii="Times New Roman" w:hAnsi="Times New Roman" w:cs="Times New Roman"/>
          <w:sz w:val="26"/>
          <w:szCs w:val="26"/>
        </w:rPr>
        <w:t xml:space="preserve">worked </w:t>
      </w:r>
      <w:r w:rsidRPr="005525B7" w:rsidR="18580AD5">
        <w:rPr>
          <w:rFonts w:ascii="Times New Roman" w:hAnsi="Times New Roman" w:cs="Times New Roman"/>
          <w:sz w:val="26"/>
          <w:szCs w:val="26"/>
        </w:rPr>
        <w:t xml:space="preserve">from the 2021 EVM Scope of Work. </w:t>
      </w:r>
    </w:p>
    <w:p w:rsidRPr="005525B7" w:rsidR="002C6614" w:rsidP="005E735E" w:rsidRDefault="002C6614" w14:paraId="352DEA27" w14:textId="77777777">
      <w:pPr>
        <w:pStyle w:val="BodyText"/>
        <w:kinsoku w:val="0"/>
        <w:overflowPunct w:val="0"/>
        <w:ind w:right="173"/>
        <w:rPr>
          <w:rFonts w:ascii="Times New Roman" w:hAnsi="Times New Roman" w:cs="Times New Roman"/>
          <w:sz w:val="26"/>
          <w:szCs w:val="26"/>
        </w:rPr>
      </w:pPr>
    </w:p>
    <w:p w:rsidRPr="005525B7" w:rsidR="4FB37251" w:rsidP="005E735E" w:rsidRDefault="18580AD5" w14:paraId="461BF982" w14:textId="5587D1F1">
      <w:pPr>
        <w:pStyle w:val="BodyText"/>
        <w:kinsoku w:val="0"/>
        <w:overflowPunct w:val="0"/>
        <w:ind w:right="173"/>
        <w:rPr>
          <w:rFonts w:ascii="Times New Roman" w:hAnsi="Times New Roman" w:cs="Times New Roman"/>
          <w:sz w:val="26"/>
          <w:szCs w:val="26"/>
        </w:rPr>
      </w:pPr>
      <w:r w:rsidRPr="005525B7">
        <w:rPr>
          <w:rFonts w:ascii="Times New Roman" w:hAnsi="Times New Roman" w:cs="Times New Roman"/>
          <w:sz w:val="26"/>
          <w:szCs w:val="26"/>
        </w:rPr>
        <w:t xml:space="preserve">PG&amp;E’s work-priority process allows PG&amp;E to retain a year-round workforce.  Energy Safety </w:t>
      </w:r>
      <w:r w:rsidRPr="005525B7" w:rsidDel="00E33748">
        <w:rPr>
          <w:rFonts w:ascii="Times New Roman" w:hAnsi="Times New Roman" w:cs="Times New Roman"/>
          <w:sz w:val="26"/>
          <w:szCs w:val="26"/>
        </w:rPr>
        <w:t>assesses PG&amp;E’s EVM program</w:t>
      </w:r>
      <w:r w:rsidRPr="005525B7" w:rsidR="009A7D85">
        <w:rPr>
          <w:rFonts w:ascii="Times New Roman" w:hAnsi="Times New Roman" w:cs="Times New Roman"/>
          <w:sz w:val="26"/>
          <w:szCs w:val="26"/>
        </w:rPr>
        <w:t xml:space="preserve">, </w:t>
      </w:r>
      <w:r w:rsidRPr="005525B7">
        <w:rPr>
          <w:rFonts w:ascii="Times New Roman" w:hAnsi="Times New Roman" w:cs="Times New Roman"/>
          <w:sz w:val="26"/>
          <w:szCs w:val="26"/>
        </w:rPr>
        <w:t xml:space="preserve">prioritization </w:t>
      </w:r>
      <w:r w:rsidRPr="005525B7" w:rsidR="004B1413">
        <w:rPr>
          <w:rFonts w:ascii="Times New Roman" w:hAnsi="Times New Roman" w:cs="Times New Roman"/>
          <w:sz w:val="26"/>
          <w:szCs w:val="26"/>
        </w:rPr>
        <w:t>issues</w:t>
      </w:r>
      <w:r w:rsidRPr="005525B7" w:rsidR="009A7D85">
        <w:rPr>
          <w:rFonts w:ascii="Times New Roman" w:hAnsi="Times New Roman" w:cs="Times New Roman"/>
          <w:sz w:val="26"/>
          <w:szCs w:val="26"/>
        </w:rPr>
        <w:t>,</w:t>
      </w:r>
      <w:r w:rsidRPr="005525B7" w:rsidR="004B1413">
        <w:rPr>
          <w:rFonts w:ascii="Times New Roman" w:hAnsi="Times New Roman" w:cs="Times New Roman"/>
          <w:sz w:val="26"/>
          <w:szCs w:val="26"/>
        </w:rPr>
        <w:t xml:space="preserve"> </w:t>
      </w:r>
      <w:r w:rsidRPr="005525B7">
        <w:rPr>
          <w:rFonts w:ascii="Times New Roman" w:hAnsi="Times New Roman" w:cs="Times New Roman"/>
          <w:sz w:val="26"/>
          <w:szCs w:val="26"/>
        </w:rPr>
        <w:t xml:space="preserve">and will continue </w:t>
      </w:r>
      <w:r w:rsidRPr="005525B7" w:rsidDel="0003648A">
        <w:rPr>
          <w:rFonts w:ascii="Times New Roman" w:hAnsi="Times New Roman" w:cs="Times New Roman"/>
          <w:sz w:val="26"/>
          <w:szCs w:val="26"/>
        </w:rPr>
        <w:t>its established monitoring of</w:t>
      </w:r>
      <w:r w:rsidRPr="005525B7">
        <w:rPr>
          <w:rFonts w:ascii="Times New Roman" w:hAnsi="Times New Roman" w:cs="Times New Roman"/>
          <w:sz w:val="26"/>
          <w:szCs w:val="26"/>
        </w:rPr>
        <w:t xml:space="preserve"> PG&amp;E’s EVM work progress when the Commission removes PG&amp;E from Step 1 of Enhanced Oversight and Enforcement.</w:t>
      </w:r>
      <w:r w:rsidRPr="005525B7" w:rsidR="00C14C22">
        <w:rPr>
          <w:rFonts w:ascii="Times New Roman" w:hAnsi="Times New Roman" w:cs="Times New Roman"/>
          <w:sz w:val="26"/>
          <w:szCs w:val="26"/>
        </w:rPr>
        <w:t xml:space="preserve"> </w:t>
      </w:r>
    </w:p>
    <w:p w:rsidRPr="005525B7" w:rsidR="006D544B" w:rsidP="006E461F" w:rsidRDefault="006D544B" w14:paraId="3E9C1FAC" w14:textId="77777777">
      <w:pPr>
        <w:pStyle w:val="BodyText"/>
        <w:kinsoku w:val="0"/>
        <w:overflowPunct w:val="0"/>
        <w:spacing w:before="89"/>
        <w:ind w:right="169"/>
        <w:rPr>
          <w:rFonts w:ascii="Times New Roman" w:hAnsi="Times New Roman" w:cs="Times New Roman"/>
          <w:sz w:val="26"/>
          <w:szCs w:val="26"/>
        </w:rPr>
      </w:pPr>
    </w:p>
    <w:p w:rsidRPr="005525B7" w:rsidR="006E461F" w:rsidP="00F41737" w:rsidRDefault="005E6F99" w14:paraId="7DF219BC" w14:textId="57482E9E">
      <w:pPr>
        <w:pStyle w:val="BodyText"/>
        <w:kinsoku w:val="0"/>
        <w:overflowPunct w:val="0"/>
        <w:ind w:right="173"/>
        <w:rPr>
          <w:rFonts w:ascii="Times New Roman" w:hAnsi="Times New Roman" w:cs="Times New Roman"/>
          <w:sz w:val="26"/>
          <w:szCs w:val="26"/>
        </w:rPr>
      </w:pPr>
      <w:r w:rsidRPr="005525B7">
        <w:rPr>
          <w:rFonts w:ascii="Times New Roman" w:hAnsi="Times New Roman" w:cs="Times New Roman"/>
          <w:sz w:val="26"/>
          <w:szCs w:val="26"/>
        </w:rPr>
        <w:t xml:space="preserve">PG&amp;E also provided data sets, vegetation management records it uses as inputs to the risk model, and the data modeling program that make up </w:t>
      </w:r>
      <w:r w:rsidRPr="005525B7" w:rsidR="00C539A4">
        <w:rPr>
          <w:rFonts w:ascii="Times New Roman" w:hAnsi="Times New Roman" w:cs="Times New Roman"/>
          <w:sz w:val="26"/>
          <w:szCs w:val="26"/>
        </w:rPr>
        <w:t>its</w:t>
      </w:r>
      <w:r w:rsidRPr="005525B7">
        <w:rPr>
          <w:rFonts w:ascii="Times New Roman" w:hAnsi="Times New Roman" w:cs="Times New Roman"/>
          <w:sz w:val="26"/>
          <w:szCs w:val="26"/>
        </w:rPr>
        <w:t xml:space="preserve"> risk model</w:t>
      </w:r>
      <w:r w:rsidRPr="005525B7" w:rsidR="00C539A4">
        <w:rPr>
          <w:rFonts w:ascii="Times New Roman" w:hAnsi="Times New Roman" w:cs="Times New Roman"/>
          <w:sz w:val="26"/>
          <w:szCs w:val="26"/>
        </w:rPr>
        <w:t>.</w:t>
      </w:r>
      <w:r w:rsidRPr="005525B7" w:rsidR="00FF4EB8">
        <w:rPr>
          <w:rFonts w:ascii="Times New Roman" w:hAnsi="Times New Roman" w:cs="Times New Roman"/>
          <w:sz w:val="26"/>
          <w:szCs w:val="26"/>
        </w:rPr>
        <w:t xml:space="preserve"> </w:t>
      </w:r>
      <w:r w:rsidRPr="005525B7" w:rsidR="006E461F">
        <w:rPr>
          <w:rFonts w:ascii="Times New Roman" w:hAnsi="Times New Roman" w:cs="Times New Roman"/>
          <w:sz w:val="26"/>
          <w:szCs w:val="26"/>
        </w:rPr>
        <w:t>E3 Consulting,</w:t>
      </w:r>
      <w:r w:rsidRPr="005525B7" w:rsidR="0002691C">
        <w:rPr>
          <w:rStyle w:val="StyleFootnoteReferenceofrStyle3o1o2o3o4o5o6o11o21o7"/>
          <w:rFonts w:cs="Times New Roman"/>
          <w:sz w:val="26"/>
          <w:szCs w:val="26"/>
        </w:rPr>
        <w:footnoteReference w:id="17"/>
      </w:r>
      <w:r w:rsidRPr="005525B7" w:rsidR="006E461F">
        <w:rPr>
          <w:rFonts w:ascii="Times New Roman" w:hAnsi="Times New Roman" w:cs="Times New Roman"/>
          <w:sz w:val="26"/>
          <w:szCs w:val="26"/>
        </w:rPr>
        <w:t xml:space="preserve"> in its evaluation of PG&amp;E’s 2021 Wildfire Distribution Risk Model, requested that PG&amp;E compare geographic targeting in the new versus </w:t>
      </w:r>
      <w:r w:rsidRPr="005525B7" w:rsidR="00377133">
        <w:rPr>
          <w:rFonts w:ascii="Times New Roman" w:hAnsi="Times New Roman" w:cs="Times New Roman"/>
          <w:sz w:val="26"/>
          <w:szCs w:val="26"/>
        </w:rPr>
        <w:t xml:space="preserve">the </w:t>
      </w:r>
      <w:r w:rsidRPr="005525B7" w:rsidR="006E461F">
        <w:rPr>
          <w:rFonts w:ascii="Times New Roman" w:hAnsi="Times New Roman" w:cs="Times New Roman"/>
          <w:sz w:val="26"/>
          <w:szCs w:val="26"/>
        </w:rPr>
        <w:t xml:space="preserve">old model to show evidence of improvements in situational awareness. </w:t>
      </w:r>
      <w:r w:rsidRPr="005525B7" w:rsidR="00FF4EB8">
        <w:rPr>
          <w:rFonts w:ascii="Times New Roman" w:hAnsi="Times New Roman" w:cs="Times New Roman"/>
          <w:sz w:val="26"/>
          <w:szCs w:val="26"/>
        </w:rPr>
        <w:t xml:space="preserve"> </w:t>
      </w:r>
      <w:r w:rsidRPr="005525B7" w:rsidR="00AB7BBD">
        <w:rPr>
          <w:rFonts w:ascii="Times New Roman" w:hAnsi="Times New Roman" w:cs="Times New Roman"/>
          <w:sz w:val="26"/>
          <w:szCs w:val="26"/>
        </w:rPr>
        <w:t xml:space="preserve">Although </w:t>
      </w:r>
      <w:r w:rsidRPr="005525B7" w:rsidR="006E461F">
        <w:rPr>
          <w:rFonts w:ascii="Times New Roman" w:hAnsi="Times New Roman" w:cs="Times New Roman"/>
          <w:sz w:val="26"/>
          <w:szCs w:val="26"/>
        </w:rPr>
        <w:t xml:space="preserve">E3 </w:t>
      </w:r>
      <w:r w:rsidRPr="005525B7" w:rsidR="00BF3C25">
        <w:rPr>
          <w:rFonts w:ascii="Times New Roman" w:hAnsi="Times New Roman" w:cs="Times New Roman"/>
          <w:sz w:val="26"/>
          <w:szCs w:val="26"/>
        </w:rPr>
        <w:t>observed</w:t>
      </w:r>
      <w:r w:rsidRPr="005525B7" w:rsidR="006E461F">
        <w:rPr>
          <w:rFonts w:ascii="Times New Roman" w:hAnsi="Times New Roman" w:cs="Times New Roman"/>
          <w:sz w:val="26"/>
          <w:szCs w:val="26"/>
        </w:rPr>
        <w:t xml:space="preserve"> that PG&amp;E did not demonstrate and compare model impact after EVM work completion</w:t>
      </w:r>
      <w:r w:rsidRPr="005525B7" w:rsidR="00AB7BBD">
        <w:rPr>
          <w:rFonts w:ascii="Times New Roman" w:hAnsi="Times New Roman" w:cs="Times New Roman"/>
          <w:sz w:val="26"/>
          <w:szCs w:val="26"/>
        </w:rPr>
        <w:t>,</w:t>
      </w:r>
      <w:r w:rsidRPr="005525B7" w:rsidR="006E461F">
        <w:rPr>
          <w:rFonts w:ascii="Times New Roman" w:hAnsi="Times New Roman" w:cs="Times New Roman"/>
          <w:sz w:val="26"/>
          <w:szCs w:val="26"/>
        </w:rPr>
        <w:t xml:space="preserve"> E3 was satisfied with PG&amp;E’s description of its implementation of the model process for the 2021 Wildfire Distribution Risk Model Version 2.</w:t>
      </w:r>
      <w:r w:rsidRPr="005525B7" w:rsidR="006E461F">
        <w:rPr>
          <w:rStyle w:val="StyleFootnoteReferenceofrStyle3o1o2o3o4o5o6o11o21o7"/>
          <w:rFonts w:cs="Times New Roman"/>
          <w:sz w:val="26"/>
          <w:szCs w:val="26"/>
        </w:rPr>
        <w:footnoteReference w:id="18"/>
      </w:r>
      <w:r w:rsidRPr="005525B7" w:rsidR="00681C6F">
        <w:rPr>
          <w:rFonts w:ascii="Times New Roman" w:hAnsi="Times New Roman" w:cs="Times New Roman"/>
          <w:sz w:val="26"/>
          <w:szCs w:val="26"/>
        </w:rPr>
        <w:t xml:space="preserve"> </w:t>
      </w:r>
      <w:r w:rsidRPr="005525B7" w:rsidR="007F78FE">
        <w:rPr>
          <w:rFonts w:ascii="Times New Roman" w:hAnsi="Times New Roman" w:cs="Times New Roman"/>
          <w:sz w:val="26"/>
          <w:szCs w:val="26"/>
        </w:rPr>
        <w:t xml:space="preserve"> </w:t>
      </w:r>
      <w:r w:rsidRPr="005525B7" w:rsidR="00836701">
        <w:rPr>
          <w:rFonts w:ascii="Times New Roman" w:hAnsi="Times New Roman" w:cs="Times New Roman"/>
          <w:sz w:val="26"/>
          <w:szCs w:val="26"/>
        </w:rPr>
        <w:t xml:space="preserve">Similarly, </w:t>
      </w:r>
      <w:r w:rsidRPr="005525B7" w:rsidR="001E73F6">
        <w:rPr>
          <w:rFonts w:ascii="Times New Roman" w:hAnsi="Times New Roman" w:cs="Times New Roman"/>
          <w:sz w:val="26"/>
          <w:szCs w:val="26"/>
        </w:rPr>
        <w:t xml:space="preserve">while </w:t>
      </w:r>
      <w:r w:rsidRPr="005525B7" w:rsidR="00836701">
        <w:rPr>
          <w:rFonts w:ascii="Times New Roman" w:hAnsi="Times New Roman" w:cs="Times New Roman"/>
          <w:sz w:val="26"/>
          <w:szCs w:val="26"/>
        </w:rPr>
        <w:t>SED staff found that PG&amp;E did not document and compare the Wildfire Distribution Risk Model output before and after 2021 EVM work was completed to show evidence of improvements of the 2021 EVM work in reducing wildfire ris</w:t>
      </w:r>
      <w:r w:rsidRPr="005525B7" w:rsidR="004B3D86">
        <w:rPr>
          <w:rFonts w:ascii="Times New Roman" w:hAnsi="Times New Roman" w:cs="Times New Roman"/>
          <w:sz w:val="26"/>
          <w:szCs w:val="26"/>
        </w:rPr>
        <w:t>k</w:t>
      </w:r>
      <w:r w:rsidRPr="005525B7" w:rsidR="001E73F6">
        <w:rPr>
          <w:rFonts w:ascii="Times New Roman" w:hAnsi="Times New Roman" w:cs="Times New Roman"/>
          <w:sz w:val="26"/>
          <w:szCs w:val="26"/>
        </w:rPr>
        <w:t>, SED</w:t>
      </w:r>
      <w:r w:rsidRPr="005525B7" w:rsidR="00DE257D">
        <w:rPr>
          <w:rFonts w:ascii="Times New Roman" w:hAnsi="Times New Roman" w:cs="Times New Roman"/>
          <w:sz w:val="26"/>
          <w:szCs w:val="26"/>
        </w:rPr>
        <w:t xml:space="preserve"> also found that </w:t>
      </w:r>
      <w:r w:rsidRPr="005525B7" w:rsidR="00836701">
        <w:rPr>
          <w:rFonts w:ascii="Times New Roman" w:hAnsi="Times New Roman" w:cs="Times New Roman"/>
          <w:sz w:val="26"/>
          <w:szCs w:val="26"/>
        </w:rPr>
        <w:t>PG&amp;E adequately describes the risk model</w:t>
      </w:r>
      <w:r w:rsidRPr="005525B7" w:rsidR="00B96AF8">
        <w:rPr>
          <w:rFonts w:ascii="Times New Roman" w:hAnsi="Times New Roman" w:cs="Times New Roman"/>
          <w:sz w:val="26"/>
          <w:szCs w:val="26"/>
        </w:rPr>
        <w:t>.</w:t>
      </w:r>
      <w:r w:rsidRPr="005525B7" w:rsidR="00836701">
        <w:rPr>
          <w:rFonts w:ascii="Times New Roman" w:hAnsi="Times New Roman" w:cs="Times New Roman"/>
          <w:sz w:val="26"/>
          <w:szCs w:val="26"/>
        </w:rPr>
        <w:t xml:space="preserve"> </w:t>
      </w:r>
    </w:p>
    <w:p w:rsidRPr="005525B7" w:rsidR="00257886" w:rsidP="00F41737" w:rsidRDefault="00257886" w14:paraId="3A5A1257" w14:textId="77777777">
      <w:pPr>
        <w:pStyle w:val="BodyText"/>
        <w:kinsoku w:val="0"/>
        <w:overflowPunct w:val="0"/>
        <w:ind w:right="173"/>
        <w:rPr>
          <w:rFonts w:ascii="Times New Roman" w:hAnsi="Times New Roman" w:cs="Times New Roman"/>
          <w:sz w:val="26"/>
          <w:szCs w:val="26"/>
        </w:rPr>
      </w:pPr>
    </w:p>
    <w:p w:rsidRPr="005525B7" w:rsidR="00DB79F0" w:rsidP="00F41737" w:rsidRDefault="00AF3FEF" w14:paraId="6EB98102" w14:textId="432F091C">
      <w:pPr>
        <w:pStyle w:val="BodyText"/>
        <w:kinsoku w:val="0"/>
        <w:overflowPunct w:val="0"/>
        <w:ind w:right="173"/>
        <w:rPr>
          <w:rFonts w:ascii="Times New Roman" w:hAnsi="Times New Roman" w:cs="Times New Roman"/>
          <w:sz w:val="26"/>
          <w:szCs w:val="26"/>
        </w:rPr>
      </w:pPr>
      <w:r w:rsidRPr="005525B7">
        <w:rPr>
          <w:rFonts w:ascii="Times New Roman" w:hAnsi="Times New Roman" w:cs="Times New Roman"/>
          <w:sz w:val="26"/>
          <w:szCs w:val="26"/>
        </w:rPr>
        <w:t xml:space="preserve">PG&amp;E </w:t>
      </w:r>
      <w:r w:rsidRPr="005525B7" w:rsidR="00B26566">
        <w:rPr>
          <w:rFonts w:ascii="Times New Roman" w:hAnsi="Times New Roman" w:cs="Times New Roman"/>
          <w:sz w:val="26"/>
          <w:szCs w:val="26"/>
        </w:rPr>
        <w:t xml:space="preserve">has been </w:t>
      </w:r>
      <w:r w:rsidRPr="005525B7">
        <w:rPr>
          <w:rFonts w:ascii="Times New Roman" w:hAnsi="Times New Roman" w:cs="Times New Roman"/>
          <w:sz w:val="26"/>
          <w:szCs w:val="26"/>
        </w:rPr>
        <w:t>us</w:t>
      </w:r>
      <w:r w:rsidRPr="005525B7" w:rsidR="00B26566">
        <w:rPr>
          <w:rFonts w:ascii="Times New Roman" w:hAnsi="Times New Roman" w:cs="Times New Roman"/>
          <w:sz w:val="26"/>
          <w:szCs w:val="26"/>
        </w:rPr>
        <w:t>ing</w:t>
      </w:r>
      <w:r w:rsidRPr="005525B7">
        <w:rPr>
          <w:rFonts w:ascii="Times New Roman" w:hAnsi="Times New Roman" w:cs="Times New Roman"/>
          <w:sz w:val="26"/>
          <w:szCs w:val="26"/>
        </w:rPr>
        <w:t xml:space="preserve"> the same Wildfire Distribution Risk Model and Tree-Weighted Prioritization List from 2021 </w:t>
      </w:r>
      <w:r w:rsidRPr="005525B7" w:rsidR="5BEFEAF0">
        <w:rPr>
          <w:rFonts w:ascii="Times New Roman" w:hAnsi="Times New Roman" w:cs="Times New Roman"/>
          <w:sz w:val="26"/>
          <w:szCs w:val="26"/>
        </w:rPr>
        <w:t>in implementing</w:t>
      </w:r>
      <w:r w:rsidRPr="005525B7">
        <w:rPr>
          <w:rFonts w:ascii="Times New Roman" w:hAnsi="Times New Roman" w:cs="Times New Roman"/>
          <w:sz w:val="26"/>
          <w:szCs w:val="26"/>
        </w:rPr>
        <w:t xml:space="preserve"> </w:t>
      </w:r>
      <w:r w:rsidRPr="005525B7" w:rsidR="004B03E6">
        <w:rPr>
          <w:rFonts w:ascii="Times New Roman" w:hAnsi="Times New Roman" w:cs="Times New Roman"/>
          <w:sz w:val="26"/>
          <w:szCs w:val="26"/>
        </w:rPr>
        <w:t xml:space="preserve">its </w:t>
      </w:r>
      <w:r w:rsidRPr="005525B7">
        <w:rPr>
          <w:rFonts w:ascii="Times New Roman" w:hAnsi="Times New Roman" w:cs="Times New Roman"/>
          <w:sz w:val="26"/>
          <w:szCs w:val="26"/>
        </w:rPr>
        <w:t xml:space="preserve">2022 EVM Scope of Work.  For 2022, PG&amp;E </w:t>
      </w:r>
      <w:r w:rsidRPr="005525B7" w:rsidR="00BF544A">
        <w:rPr>
          <w:rFonts w:ascii="Times New Roman" w:hAnsi="Times New Roman" w:cs="Times New Roman"/>
          <w:sz w:val="26"/>
          <w:szCs w:val="26"/>
        </w:rPr>
        <w:t xml:space="preserve">has been using </w:t>
      </w:r>
      <w:r w:rsidRPr="005525B7">
        <w:rPr>
          <w:rFonts w:ascii="Times New Roman" w:hAnsi="Times New Roman" w:cs="Times New Roman"/>
          <w:sz w:val="26"/>
          <w:szCs w:val="26"/>
        </w:rPr>
        <w:t xml:space="preserve">the subsequent risk-ranked set of Circuit Protection Zones from 101 – 253 from the 2021 Tree-Weighted Prioritization List as the 2022 EVM Scope of Work. </w:t>
      </w:r>
      <w:r w:rsidRPr="005525B7" w:rsidR="00FF4EB8">
        <w:rPr>
          <w:rFonts w:ascii="Times New Roman" w:hAnsi="Times New Roman" w:cs="Times New Roman"/>
          <w:sz w:val="26"/>
          <w:szCs w:val="26"/>
        </w:rPr>
        <w:t xml:space="preserve"> </w:t>
      </w:r>
      <w:r w:rsidRPr="005525B7" w:rsidR="00024AA6">
        <w:rPr>
          <w:rFonts w:ascii="Times New Roman" w:hAnsi="Times New Roman" w:cs="Times New Roman"/>
          <w:sz w:val="26"/>
          <w:szCs w:val="26"/>
        </w:rPr>
        <w:t xml:space="preserve"> </w:t>
      </w:r>
    </w:p>
    <w:p w:rsidRPr="005525B7" w:rsidR="007049DC" w:rsidP="007049DC" w:rsidRDefault="007049DC" w14:paraId="2CCA0744" w14:textId="77777777">
      <w:pPr>
        <w:pStyle w:val="ListParagraph"/>
        <w:tabs>
          <w:tab w:val="left" w:pos="863"/>
        </w:tabs>
        <w:kinsoku w:val="0"/>
        <w:overflowPunct w:val="0"/>
        <w:ind w:right="262"/>
        <w:rPr>
          <w:rFonts w:ascii="Times New Roman" w:hAnsi="Times New Roman"/>
          <w:szCs w:val="26"/>
        </w:rPr>
      </w:pPr>
    </w:p>
    <w:p w:rsidRPr="005525B7" w:rsidR="00155AAF" w:rsidP="009F3AA7" w:rsidRDefault="00155AAF" w14:paraId="636B2FCB" w14:textId="410A0A9E">
      <w:pPr>
        <w:widowControl w:val="0"/>
        <w:tabs>
          <w:tab w:val="left" w:pos="863"/>
        </w:tabs>
        <w:kinsoku w:val="0"/>
        <w:overflowPunct w:val="0"/>
        <w:autoSpaceDE w:val="0"/>
        <w:autoSpaceDN w:val="0"/>
        <w:adjustRightInd w:val="0"/>
        <w:ind w:right="262"/>
        <w:rPr>
          <w:rFonts w:ascii="Times New Roman" w:hAnsi="Times New Roman"/>
          <w:b/>
          <w:szCs w:val="26"/>
        </w:rPr>
      </w:pPr>
      <w:r w:rsidRPr="005525B7">
        <w:rPr>
          <w:rFonts w:ascii="Times New Roman" w:hAnsi="Times New Roman"/>
          <w:szCs w:val="26"/>
        </w:rPr>
        <w:t xml:space="preserve">Based on the information it provided, the Commission finds that </w:t>
      </w:r>
      <w:r w:rsidRPr="005525B7">
        <w:rPr>
          <w:rStyle w:val="normaltextrun"/>
          <w:rFonts w:ascii="Times New Roman" w:hAnsi="Times New Roman"/>
          <w:szCs w:val="26"/>
        </w:rPr>
        <w:t xml:space="preserve">PG&amp;E provided sufficient information to satisfy CAP Element </w:t>
      </w:r>
      <w:r w:rsidRPr="005525B7" w:rsidR="00750036">
        <w:rPr>
          <w:rStyle w:val="normaltextrun"/>
          <w:rFonts w:ascii="Times New Roman" w:hAnsi="Times New Roman"/>
          <w:szCs w:val="26"/>
        </w:rPr>
        <w:t>2</w:t>
      </w:r>
      <w:r w:rsidRPr="005525B7">
        <w:rPr>
          <w:rStyle w:val="normaltextrun"/>
          <w:rFonts w:ascii="Times New Roman" w:hAnsi="Times New Roman"/>
          <w:szCs w:val="26"/>
        </w:rPr>
        <w:t>.</w:t>
      </w:r>
    </w:p>
    <w:p w:rsidRPr="005525B7" w:rsidR="000A65DE" w:rsidP="009F3AA7" w:rsidRDefault="000A65DE" w14:paraId="7549982F" w14:textId="77777777">
      <w:pPr>
        <w:widowControl w:val="0"/>
        <w:tabs>
          <w:tab w:val="left" w:pos="863"/>
        </w:tabs>
        <w:kinsoku w:val="0"/>
        <w:overflowPunct w:val="0"/>
        <w:autoSpaceDE w:val="0"/>
        <w:autoSpaceDN w:val="0"/>
        <w:adjustRightInd w:val="0"/>
        <w:ind w:right="262"/>
        <w:rPr>
          <w:rFonts w:ascii="Times New Roman" w:hAnsi="Times New Roman"/>
          <w:b/>
          <w:szCs w:val="26"/>
        </w:rPr>
      </w:pPr>
    </w:p>
    <w:p w:rsidRPr="005525B7" w:rsidR="00F116EF" w:rsidP="00A2349C" w:rsidRDefault="00F116EF" w14:paraId="14FDF89C" w14:textId="77777777">
      <w:pPr>
        <w:pStyle w:val="BodyText"/>
        <w:kinsoku w:val="0"/>
        <w:overflowPunct w:val="0"/>
        <w:spacing w:line="237" w:lineRule="auto"/>
        <w:ind w:right="538"/>
        <w:rPr>
          <w:rFonts w:ascii="Times New Roman" w:hAnsi="Times New Roman" w:cs="Times New Roman"/>
          <w:b/>
          <w:bCs/>
          <w:sz w:val="26"/>
          <w:szCs w:val="26"/>
        </w:rPr>
      </w:pPr>
    </w:p>
    <w:p w:rsidRPr="005525B7" w:rsidR="00F116EF" w:rsidP="00A2349C" w:rsidRDefault="00F116EF" w14:paraId="03118F63" w14:textId="77777777">
      <w:pPr>
        <w:pStyle w:val="BodyText"/>
        <w:kinsoku w:val="0"/>
        <w:overflowPunct w:val="0"/>
        <w:spacing w:line="237" w:lineRule="auto"/>
        <w:ind w:right="538"/>
        <w:rPr>
          <w:rFonts w:ascii="Times New Roman" w:hAnsi="Times New Roman" w:cs="Times New Roman"/>
          <w:b/>
          <w:bCs/>
          <w:sz w:val="26"/>
          <w:szCs w:val="26"/>
        </w:rPr>
      </w:pPr>
    </w:p>
    <w:p w:rsidRPr="005525B7" w:rsidR="00F116EF" w:rsidP="00A2349C" w:rsidRDefault="00F116EF" w14:paraId="758D2B8B" w14:textId="77777777">
      <w:pPr>
        <w:pStyle w:val="BodyText"/>
        <w:kinsoku w:val="0"/>
        <w:overflowPunct w:val="0"/>
        <w:spacing w:line="237" w:lineRule="auto"/>
        <w:ind w:right="538"/>
        <w:rPr>
          <w:rFonts w:ascii="Times New Roman" w:hAnsi="Times New Roman" w:cs="Times New Roman"/>
          <w:b/>
          <w:bCs/>
          <w:sz w:val="26"/>
          <w:szCs w:val="26"/>
        </w:rPr>
      </w:pPr>
    </w:p>
    <w:p w:rsidRPr="005525B7" w:rsidR="00AB359A" w:rsidP="00A2349C" w:rsidRDefault="000F5FDD" w14:paraId="044403BC" w14:textId="2FE4BF57">
      <w:pPr>
        <w:pStyle w:val="BodyText"/>
        <w:kinsoku w:val="0"/>
        <w:overflowPunct w:val="0"/>
        <w:spacing w:line="237" w:lineRule="auto"/>
        <w:ind w:right="538"/>
        <w:rPr>
          <w:rStyle w:val="normaltextrun"/>
          <w:rFonts w:ascii="Times New Roman" w:hAnsi="Times New Roman" w:cs="Times New Roman"/>
          <w:sz w:val="26"/>
          <w:szCs w:val="26"/>
        </w:rPr>
      </w:pPr>
      <w:r w:rsidRPr="005525B7">
        <w:rPr>
          <w:rFonts w:ascii="Times New Roman" w:hAnsi="Times New Roman" w:cs="Times New Roman"/>
          <w:b/>
          <w:bCs/>
          <w:sz w:val="26"/>
          <w:szCs w:val="26"/>
        </w:rPr>
        <w:lastRenderedPageBreak/>
        <w:t xml:space="preserve">CAP Element 3: </w:t>
      </w:r>
      <w:r w:rsidRPr="005525B7" w:rsidR="00040933">
        <w:rPr>
          <w:rStyle w:val="normaltextrun"/>
          <w:rFonts w:ascii="Times New Roman" w:hAnsi="Times New Roman" w:cs="Times New Roman"/>
          <w:b/>
          <w:bCs/>
          <w:sz w:val="26"/>
          <w:szCs w:val="26"/>
        </w:rPr>
        <w:t>A detailed list of the EVM projects for the calendar year of the reporting date and the EVM plan for the subsequent calendar year, when available</w:t>
      </w:r>
      <w:r w:rsidRPr="005525B7" w:rsidR="00040933">
        <w:rPr>
          <w:rStyle w:val="normaltextrun"/>
          <w:rFonts w:ascii="Times New Roman" w:hAnsi="Times New Roman" w:cs="Times New Roman"/>
          <w:sz w:val="26"/>
          <w:szCs w:val="26"/>
        </w:rPr>
        <w:t>. </w:t>
      </w:r>
    </w:p>
    <w:p w:rsidRPr="005525B7" w:rsidR="00F116EF" w:rsidP="00A2349C" w:rsidRDefault="00F116EF" w14:paraId="20B9AFB6" w14:textId="77777777">
      <w:pPr>
        <w:pStyle w:val="BodyText"/>
        <w:kinsoku w:val="0"/>
        <w:overflowPunct w:val="0"/>
        <w:spacing w:line="237" w:lineRule="auto"/>
        <w:ind w:right="538"/>
        <w:rPr>
          <w:rStyle w:val="normaltextrun"/>
          <w:rFonts w:ascii="Times New Roman" w:hAnsi="Times New Roman" w:cs="Times New Roman"/>
          <w:sz w:val="26"/>
          <w:szCs w:val="26"/>
        </w:rPr>
      </w:pPr>
    </w:p>
    <w:p w:rsidRPr="005525B7" w:rsidR="00A2349C" w:rsidP="00A2349C" w:rsidRDefault="09CBBE8F" w14:paraId="4AF593D4" w14:textId="4B09E080">
      <w:pPr>
        <w:pStyle w:val="BodyText"/>
        <w:kinsoku w:val="0"/>
        <w:overflowPunct w:val="0"/>
        <w:spacing w:line="237" w:lineRule="auto"/>
        <w:ind w:right="538"/>
        <w:rPr>
          <w:rFonts w:ascii="Times New Roman" w:hAnsi="Times New Roman" w:cs="Times New Roman"/>
          <w:sz w:val="26"/>
          <w:szCs w:val="26"/>
        </w:rPr>
      </w:pPr>
      <w:r w:rsidRPr="005525B7">
        <w:rPr>
          <w:rFonts w:ascii="Times New Roman" w:hAnsi="Times New Roman" w:cs="Times New Roman"/>
          <w:sz w:val="26"/>
          <w:szCs w:val="26"/>
        </w:rPr>
        <w:t xml:space="preserve">In its </w:t>
      </w:r>
      <w:r w:rsidRPr="005525B7" w:rsidR="19A4A61F">
        <w:rPr>
          <w:rFonts w:ascii="Times New Roman" w:hAnsi="Times New Roman" w:cs="Times New Roman"/>
          <w:sz w:val="26"/>
          <w:szCs w:val="26"/>
        </w:rPr>
        <w:t>May 6, 2021</w:t>
      </w:r>
      <w:r w:rsidRPr="005525B7">
        <w:rPr>
          <w:rFonts w:ascii="Times New Roman" w:hAnsi="Times New Roman" w:cs="Times New Roman"/>
          <w:sz w:val="26"/>
          <w:szCs w:val="26"/>
        </w:rPr>
        <w:t xml:space="preserve"> </w:t>
      </w:r>
      <w:r w:rsidRPr="005525B7" w:rsidR="000F7AFF">
        <w:rPr>
          <w:rFonts w:ascii="Times New Roman" w:hAnsi="Times New Roman" w:cs="Times New Roman"/>
          <w:sz w:val="26"/>
          <w:szCs w:val="26"/>
        </w:rPr>
        <w:t>CAP</w:t>
      </w:r>
      <w:r w:rsidRPr="005525B7" w:rsidR="00AB28EB">
        <w:rPr>
          <w:rFonts w:ascii="Times New Roman" w:hAnsi="Times New Roman" w:cs="Times New Roman"/>
          <w:sz w:val="26"/>
          <w:szCs w:val="26"/>
        </w:rPr>
        <w:t xml:space="preserve"> </w:t>
      </w:r>
      <w:r w:rsidRPr="005525B7">
        <w:rPr>
          <w:rFonts w:ascii="Times New Roman" w:hAnsi="Times New Roman" w:cs="Times New Roman"/>
          <w:sz w:val="26"/>
          <w:szCs w:val="26"/>
        </w:rPr>
        <w:t xml:space="preserve">and the </w:t>
      </w:r>
      <w:r w:rsidRPr="005525B7" w:rsidR="00A4211A">
        <w:rPr>
          <w:rFonts w:ascii="Times New Roman" w:hAnsi="Times New Roman" w:cs="Times New Roman"/>
          <w:sz w:val="26"/>
          <w:szCs w:val="26"/>
        </w:rPr>
        <w:t xml:space="preserve">subsequent </w:t>
      </w:r>
      <w:r w:rsidRPr="005525B7">
        <w:rPr>
          <w:rFonts w:ascii="Times New Roman" w:hAnsi="Times New Roman" w:cs="Times New Roman"/>
          <w:sz w:val="26"/>
          <w:szCs w:val="26"/>
        </w:rPr>
        <w:t>90-day updates</w:t>
      </w:r>
      <w:r w:rsidRPr="005525B7" w:rsidR="009F6227">
        <w:rPr>
          <w:rFonts w:ascii="Times New Roman" w:hAnsi="Times New Roman" w:cs="Times New Roman"/>
          <w:sz w:val="26"/>
          <w:szCs w:val="26"/>
        </w:rPr>
        <w:t xml:space="preserve">, PG&amp;E provided a detailed </w:t>
      </w:r>
      <w:r w:rsidRPr="005525B7" w:rsidR="00B16CA2">
        <w:rPr>
          <w:rFonts w:ascii="Times New Roman" w:hAnsi="Times New Roman" w:cs="Times New Roman"/>
          <w:sz w:val="26"/>
          <w:szCs w:val="26"/>
        </w:rPr>
        <w:t xml:space="preserve">list </w:t>
      </w:r>
      <w:r w:rsidRPr="005525B7" w:rsidR="009F6227">
        <w:rPr>
          <w:rFonts w:ascii="Times New Roman" w:hAnsi="Times New Roman" w:cs="Times New Roman"/>
          <w:sz w:val="26"/>
          <w:szCs w:val="26"/>
        </w:rPr>
        <w:t xml:space="preserve">of the </w:t>
      </w:r>
      <w:r w:rsidRPr="005525B7" w:rsidR="007F7394">
        <w:rPr>
          <w:rFonts w:ascii="Times New Roman" w:hAnsi="Times New Roman" w:cs="Times New Roman"/>
          <w:sz w:val="26"/>
          <w:szCs w:val="26"/>
        </w:rPr>
        <w:t xml:space="preserve">EVM </w:t>
      </w:r>
      <w:r w:rsidRPr="005525B7" w:rsidR="009F6227">
        <w:rPr>
          <w:rFonts w:ascii="Times New Roman" w:hAnsi="Times New Roman" w:cs="Times New Roman"/>
          <w:sz w:val="26"/>
          <w:szCs w:val="26"/>
        </w:rPr>
        <w:t xml:space="preserve">projects </w:t>
      </w:r>
      <w:r w:rsidRPr="005525B7" w:rsidR="00A94B45">
        <w:rPr>
          <w:rFonts w:ascii="Times New Roman" w:hAnsi="Times New Roman" w:cs="Times New Roman"/>
          <w:sz w:val="26"/>
          <w:szCs w:val="26"/>
        </w:rPr>
        <w:t xml:space="preserve">targeted for </w:t>
      </w:r>
      <w:r w:rsidRPr="005525B7" w:rsidR="00FF0DB4">
        <w:rPr>
          <w:rFonts w:ascii="Times New Roman" w:hAnsi="Times New Roman" w:cs="Times New Roman"/>
          <w:sz w:val="26"/>
          <w:szCs w:val="26"/>
        </w:rPr>
        <w:t>2021</w:t>
      </w:r>
      <w:r w:rsidRPr="005525B7" w:rsidR="002A40A6">
        <w:rPr>
          <w:rFonts w:ascii="Times New Roman" w:hAnsi="Times New Roman" w:cs="Times New Roman"/>
          <w:sz w:val="26"/>
          <w:szCs w:val="26"/>
        </w:rPr>
        <w:t>.</w:t>
      </w:r>
      <w:r w:rsidRPr="005525B7" w:rsidR="00183482">
        <w:rPr>
          <w:rStyle w:val="StyleFootnoteReferenceofrStyle3o1o2o3o4o5o6o11o21o7"/>
          <w:rFonts w:cs="Times New Roman"/>
          <w:sz w:val="26"/>
          <w:szCs w:val="26"/>
        </w:rPr>
        <w:footnoteReference w:id="19"/>
      </w:r>
      <w:r w:rsidRPr="005525B7" w:rsidR="009F6227">
        <w:rPr>
          <w:rFonts w:ascii="Times New Roman" w:hAnsi="Times New Roman" w:cs="Times New Roman"/>
          <w:sz w:val="26"/>
          <w:szCs w:val="26"/>
        </w:rPr>
        <w:t xml:space="preserve"> </w:t>
      </w:r>
      <w:r w:rsidRPr="005525B7" w:rsidR="00FF4EB8">
        <w:rPr>
          <w:rFonts w:ascii="Times New Roman" w:hAnsi="Times New Roman" w:cs="Times New Roman"/>
          <w:sz w:val="26"/>
          <w:szCs w:val="26"/>
        </w:rPr>
        <w:t xml:space="preserve"> </w:t>
      </w:r>
      <w:r w:rsidRPr="005525B7" w:rsidR="00A2349C">
        <w:rPr>
          <w:rFonts w:ascii="Times New Roman" w:hAnsi="Times New Roman" w:cs="Times New Roman"/>
          <w:sz w:val="26"/>
          <w:szCs w:val="26"/>
        </w:rPr>
        <w:t>PG&amp;E provided the 2022 EVM Scope of Work in its February 2</w:t>
      </w:r>
      <w:r w:rsidRPr="005525B7" w:rsidR="00DB6CF9">
        <w:rPr>
          <w:rFonts w:ascii="Times New Roman" w:hAnsi="Times New Roman" w:cs="Times New Roman"/>
          <w:sz w:val="26"/>
          <w:szCs w:val="26"/>
        </w:rPr>
        <w:t>,</w:t>
      </w:r>
      <w:r w:rsidRPr="005525B7" w:rsidR="00DB6CF9">
        <w:rPr>
          <w:rFonts w:ascii="Times New Roman" w:hAnsi="Times New Roman" w:cs="Times New Roman"/>
          <w:sz w:val="26"/>
          <w:szCs w:val="26"/>
          <w:vertAlign w:val="superscript"/>
        </w:rPr>
        <w:t xml:space="preserve"> </w:t>
      </w:r>
      <w:r w:rsidRPr="005525B7" w:rsidR="00DB6CF9">
        <w:rPr>
          <w:rFonts w:ascii="Times New Roman" w:hAnsi="Times New Roman" w:cs="Times New Roman"/>
          <w:sz w:val="26"/>
          <w:szCs w:val="26"/>
        </w:rPr>
        <w:t>2022</w:t>
      </w:r>
      <w:r w:rsidRPr="005525B7" w:rsidDel="008440F4" w:rsidR="00DB6CF9">
        <w:rPr>
          <w:rFonts w:ascii="Times New Roman" w:hAnsi="Times New Roman" w:cs="Times New Roman"/>
          <w:sz w:val="26"/>
          <w:szCs w:val="26"/>
        </w:rPr>
        <w:t xml:space="preserve"> </w:t>
      </w:r>
      <w:r w:rsidRPr="005525B7" w:rsidR="000F7AFF">
        <w:rPr>
          <w:rFonts w:ascii="Times New Roman" w:hAnsi="Times New Roman" w:cs="Times New Roman"/>
          <w:sz w:val="26"/>
          <w:szCs w:val="26"/>
        </w:rPr>
        <w:t>CAP</w:t>
      </w:r>
      <w:r w:rsidRPr="005525B7" w:rsidR="00927293">
        <w:rPr>
          <w:rFonts w:ascii="Times New Roman" w:hAnsi="Times New Roman" w:cs="Times New Roman"/>
          <w:sz w:val="26"/>
          <w:szCs w:val="26"/>
        </w:rPr>
        <w:t xml:space="preserve"> Plan </w:t>
      </w:r>
      <w:r w:rsidRPr="005525B7" w:rsidR="00652336">
        <w:rPr>
          <w:rFonts w:ascii="Times New Roman" w:hAnsi="Times New Roman" w:cs="Times New Roman"/>
          <w:sz w:val="26"/>
          <w:szCs w:val="26"/>
        </w:rPr>
        <w:t>U</w:t>
      </w:r>
      <w:r w:rsidRPr="005525B7" w:rsidR="00A2349C">
        <w:rPr>
          <w:rFonts w:ascii="Times New Roman" w:hAnsi="Times New Roman" w:cs="Times New Roman"/>
          <w:sz w:val="26"/>
          <w:szCs w:val="26"/>
        </w:rPr>
        <w:t>pdate</w:t>
      </w:r>
      <w:r w:rsidRPr="005525B7" w:rsidR="008440F4">
        <w:rPr>
          <w:rFonts w:ascii="Times New Roman" w:hAnsi="Times New Roman" w:cs="Times New Roman"/>
          <w:sz w:val="26"/>
          <w:szCs w:val="26"/>
        </w:rPr>
        <w:t xml:space="preserve">. </w:t>
      </w:r>
      <w:r w:rsidRPr="005525B7" w:rsidR="00FF4EB8">
        <w:rPr>
          <w:rFonts w:ascii="Times New Roman" w:hAnsi="Times New Roman" w:cs="Times New Roman"/>
          <w:sz w:val="26"/>
          <w:szCs w:val="26"/>
        </w:rPr>
        <w:t xml:space="preserve"> </w:t>
      </w:r>
      <w:r w:rsidRPr="005525B7" w:rsidR="008440F4">
        <w:rPr>
          <w:rFonts w:ascii="Times New Roman" w:hAnsi="Times New Roman" w:cs="Times New Roman"/>
          <w:sz w:val="26"/>
          <w:szCs w:val="26"/>
        </w:rPr>
        <w:t xml:space="preserve">PG&amp;E indicated it would </w:t>
      </w:r>
      <w:r w:rsidRPr="005525B7" w:rsidR="00EC4A4D">
        <w:rPr>
          <w:rFonts w:ascii="Times New Roman" w:hAnsi="Times New Roman" w:cs="Times New Roman"/>
          <w:sz w:val="26"/>
          <w:szCs w:val="26"/>
        </w:rPr>
        <w:t>target</w:t>
      </w:r>
      <w:r w:rsidRPr="005525B7" w:rsidR="00A2349C">
        <w:rPr>
          <w:rFonts w:ascii="Times New Roman" w:hAnsi="Times New Roman" w:cs="Times New Roman"/>
          <w:sz w:val="26"/>
          <w:szCs w:val="26"/>
        </w:rPr>
        <w:t xml:space="preserve"> </w:t>
      </w:r>
      <w:r w:rsidRPr="005525B7" w:rsidR="00F65DC8">
        <w:rPr>
          <w:rFonts w:ascii="Times New Roman" w:hAnsi="Times New Roman" w:cs="Times New Roman"/>
          <w:sz w:val="26"/>
          <w:szCs w:val="26"/>
        </w:rPr>
        <w:t>Circuit Protection Zone</w:t>
      </w:r>
      <w:r w:rsidRPr="005525B7" w:rsidR="008440F4">
        <w:rPr>
          <w:rFonts w:ascii="Times New Roman" w:hAnsi="Times New Roman" w:cs="Times New Roman"/>
          <w:sz w:val="26"/>
          <w:szCs w:val="26"/>
        </w:rPr>
        <w:t>s</w:t>
      </w:r>
      <w:r w:rsidRPr="005525B7" w:rsidR="00A2349C">
        <w:rPr>
          <w:rFonts w:ascii="Times New Roman" w:hAnsi="Times New Roman" w:cs="Times New Roman"/>
          <w:sz w:val="26"/>
          <w:szCs w:val="26"/>
        </w:rPr>
        <w:t xml:space="preserve"> 101 – 253 from the </w:t>
      </w:r>
      <w:r w:rsidRPr="005525B7" w:rsidR="008440F4">
        <w:rPr>
          <w:rFonts w:ascii="Times New Roman" w:hAnsi="Times New Roman" w:cs="Times New Roman"/>
          <w:sz w:val="26"/>
          <w:szCs w:val="26"/>
        </w:rPr>
        <w:t>2021 Tree-Weighted Prioritization List</w:t>
      </w:r>
      <w:r w:rsidRPr="005525B7" w:rsidR="003D55E4">
        <w:rPr>
          <w:rFonts w:ascii="Times New Roman" w:hAnsi="Times New Roman" w:cs="Times New Roman"/>
          <w:sz w:val="26"/>
          <w:szCs w:val="26"/>
        </w:rPr>
        <w:t>,</w:t>
      </w:r>
      <w:r w:rsidRPr="005525B7" w:rsidR="00A2349C">
        <w:rPr>
          <w:rFonts w:ascii="Times New Roman" w:hAnsi="Times New Roman" w:cs="Times New Roman"/>
          <w:sz w:val="26"/>
          <w:szCs w:val="26"/>
        </w:rPr>
        <w:t xml:space="preserve"> </w:t>
      </w:r>
      <w:r w:rsidRPr="005525B7" w:rsidR="00596677">
        <w:rPr>
          <w:rFonts w:ascii="Times New Roman" w:hAnsi="Times New Roman" w:cs="Times New Roman"/>
          <w:sz w:val="26"/>
          <w:szCs w:val="26"/>
        </w:rPr>
        <w:t xml:space="preserve">covering an additional </w:t>
      </w:r>
      <w:r w:rsidRPr="005525B7" w:rsidR="00A2349C">
        <w:rPr>
          <w:rFonts w:ascii="Times New Roman" w:hAnsi="Times New Roman" w:cs="Times New Roman"/>
          <w:sz w:val="26"/>
          <w:szCs w:val="26"/>
        </w:rPr>
        <w:t>2,635 miles</w:t>
      </w:r>
      <w:r w:rsidRPr="005525B7" w:rsidR="00596677">
        <w:rPr>
          <w:rFonts w:ascii="Times New Roman" w:hAnsi="Times New Roman" w:cs="Times New Roman"/>
          <w:sz w:val="26"/>
          <w:szCs w:val="26"/>
        </w:rPr>
        <w:t>.</w:t>
      </w:r>
      <w:r w:rsidRPr="005525B7" w:rsidR="00584765">
        <w:rPr>
          <w:rFonts w:ascii="Times New Roman" w:hAnsi="Times New Roman" w:cs="Times New Roman"/>
          <w:sz w:val="26"/>
          <w:szCs w:val="26"/>
        </w:rPr>
        <w:t xml:space="preserve"> </w:t>
      </w:r>
      <w:r w:rsidRPr="005525B7" w:rsidR="00FF4EB8">
        <w:rPr>
          <w:rFonts w:ascii="Times New Roman" w:hAnsi="Times New Roman" w:cs="Times New Roman"/>
          <w:sz w:val="26"/>
          <w:szCs w:val="26"/>
        </w:rPr>
        <w:t xml:space="preserve"> </w:t>
      </w:r>
      <w:r w:rsidRPr="005525B7" w:rsidR="00B134C9">
        <w:rPr>
          <w:rFonts w:ascii="Times New Roman" w:hAnsi="Times New Roman" w:cs="Times New Roman"/>
          <w:sz w:val="26"/>
          <w:szCs w:val="26"/>
        </w:rPr>
        <w:t xml:space="preserve">The </w:t>
      </w:r>
      <w:r w:rsidRPr="005525B7" w:rsidR="00B134C9">
        <w:rPr>
          <w:rFonts w:ascii="Times New Roman" w:hAnsi="Times New Roman" w:cs="Times New Roman"/>
          <w:sz w:val="26"/>
          <w:szCs w:val="26"/>
          <w:lang w:val="en-ZW"/>
        </w:rPr>
        <w:t xml:space="preserve">February 2, 2022 </w:t>
      </w:r>
      <w:r w:rsidRPr="005525B7" w:rsidR="000F7AFF">
        <w:rPr>
          <w:rFonts w:ascii="Times New Roman" w:hAnsi="Times New Roman" w:cs="Times New Roman"/>
          <w:sz w:val="26"/>
          <w:szCs w:val="26"/>
          <w:lang w:val="en-ZW"/>
        </w:rPr>
        <w:t>CAP</w:t>
      </w:r>
      <w:r w:rsidRPr="005525B7" w:rsidR="00B134C9">
        <w:rPr>
          <w:rFonts w:ascii="Times New Roman" w:hAnsi="Times New Roman" w:cs="Times New Roman"/>
          <w:sz w:val="26"/>
          <w:szCs w:val="26"/>
          <w:lang w:val="en-ZW"/>
        </w:rPr>
        <w:t xml:space="preserve"> Update</w:t>
      </w:r>
      <w:r w:rsidRPr="005525B7" w:rsidR="00A2349C">
        <w:rPr>
          <w:rFonts w:ascii="Times New Roman" w:hAnsi="Times New Roman" w:cs="Times New Roman"/>
          <w:sz w:val="26"/>
          <w:szCs w:val="26"/>
        </w:rPr>
        <w:t xml:space="preserve"> </w:t>
      </w:r>
      <w:r w:rsidRPr="005525B7" w:rsidR="00DD75B1">
        <w:rPr>
          <w:rFonts w:ascii="Times New Roman" w:hAnsi="Times New Roman" w:cs="Times New Roman"/>
          <w:sz w:val="26"/>
          <w:szCs w:val="26"/>
        </w:rPr>
        <w:t xml:space="preserve">also </w:t>
      </w:r>
      <w:r w:rsidRPr="005525B7" w:rsidR="00A2349C">
        <w:rPr>
          <w:rFonts w:ascii="Times New Roman" w:hAnsi="Times New Roman" w:cs="Times New Roman"/>
          <w:sz w:val="26"/>
          <w:szCs w:val="26"/>
        </w:rPr>
        <w:t xml:space="preserve">stated that </w:t>
      </w:r>
      <w:r w:rsidRPr="005525B7" w:rsidR="00B134C9">
        <w:rPr>
          <w:rFonts w:ascii="Times New Roman" w:hAnsi="Times New Roman" w:cs="Times New Roman"/>
          <w:sz w:val="26"/>
          <w:szCs w:val="26"/>
        </w:rPr>
        <w:t>PG&amp;E</w:t>
      </w:r>
      <w:r w:rsidRPr="005525B7" w:rsidR="00A2349C">
        <w:rPr>
          <w:rFonts w:ascii="Times New Roman" w:hAnsi="Times New Roman" w:cs="Times New Roman"/>
          <w:sz w:val="26"/>
          <w:szCs w:val="26"/>
        </w:rPr>
        <w:t xml:space="preserve"> </w:t>
      </w:r>
      <w:r w:rsidRPr="005525B7" w:rsidR="002A2D8F">
        <w:rPr>
          <w:rFonts w:ascii="Times New Roman" w:hAnsi="Times New Roman" w:cs="Times New Roman"/>
          <w:sz w:val="26"/>
          <w:szCs w:val="26"/>
        </w:rPr>
        <w:t>would</w:t>
      </w:r>
      <w:r w:rsidRPr="005525B7" w:rsidR="00A2349C">
        <w:rPr>
          <w:rFonts w:ascii="Times New Roman" w:hAnsi="Times New Roman" w:cs="Times New Roman"/>
          <w:sz w:val="26"/>
          <w:szCs w:val="26"/>
        </w:rPr>
        <w:t xml:space="preserve"> continue to work on uncompleted segments </w:t>
      </w:r>
      <w:r w:rsidRPr="005525B7" w:rsidR="00B134C9">
        <w:rPr>
          <w:rFonts w:ascii="Times New Roman" w:hAnsi="Times New Roman" w:cs="Times New Roman"/>
          <w:sz w:val="26"/>
          <w:szCs w:val="26"/>
        </w:rPr>
        <w:t>f</w:t>
      </w:r>
      <w:r w:rsidRPr="005525B7" w:rsidR="00F65DC8">
        <w:rPr>
          <w:rFonts w:ascii="Times New Roman" w:hAnsi="Times New Roman" w:cs="Times New Roman"/>
          <w:sz w:val="26"/>
          <w:szCs w:val="26"/>
        </w:rPr>
        <w:t xml:space="preserve">rom Circuit Protection Zone </w:t>
      </w:r>
      <w:r w:rsidRPr="005525B7" w:rsidR="00A2349C">
        <w:rPr>
          <w:rFonts w:ascii="Times New Roman" w:hAnsi="Times New Roman" w:cs="Times New Roman"/>
          <w:sz w:val="26"/>
          <w:szCs w:val="26"/>
        </w:rPr>
        <w:t>1 – 100 from the 2021 EVM Scope of Work.</w:t>
      </w:r>
      <w:r w:rsidRPr="005525B7" w:rsidR="00A2349C">
        <w:rPr>
          <w:rStyle w:val="StyleFootnoteReferenceofrStyle3o1o2o3o4o5o6o11o21o7"/>
          <w:rFonts w:cs="Times New Roman"/>
          <w:sz w:val="26"/>
          <w:szCs w:val="26"/>
        </w:rPr>
        <w:footnoteReference w:id="20"/>
      </w:r>
      <w:r w:rsidRPr="005525B7" w:rsidR="00A2349C">
        <w:rPr>
          <w:rFonts w:ascii="Times New Roman" w:hAnsi="Times New Roman" w:cs="Times New Roman"/>
          <w:sz w:val="26"/>
          <w:szCs w:val="26"/>
        </w:rPr>
        <w:t xml:space="preserve">  </w:t>
      </w:r>
    </w:p>
    <w:p w:rsidRPr="005525B7" w:rsidR="005E13D4" w:rsidP="000F5FDD" w:rsidRDefault="005E13D4" w14:paraId="270F7561" w14:textId="1056D7E4">
      <w:pPr>
        <w:pStyle w:val="paragraph"/>
        <w:spacing w:before="0" w:beforeAutospacing="0" w:after="0" w:afterAutospacing="0"/>
        <w:textAlignment w:val="baseline"/>
        <w:rPr>
          <w:rStyle w:val="eop"/>
          <w:sz w:val="26"/>
          <w:szCs w:val="26"/>
        </w:rPr>
      </w:pPr>
    </w:p>
    <w:p w:rsidRPr="005525B7" w:rsidR="00750036" w:rsidP="008D37D3" w:rsidRDefault="00750036" w14:paraId="2111F61C" w14:textId="4078BB4A">
      <w:pPr>
        <w:widowControl w:val="0"/>
        <w:tabs>
          <w:tab w:val="left" w:pos="863"/>
        </w:tabs>
        <w:kinsoku w:val="0"/>
        <w:overflowPunct w:val="0"/>
        <w:autoSpaceDE w:val="0"/>
        <w:autoSpaceDN w:val="0"/>
        <w:adjustRightInd w:val="0"/>
        <w:ind w:right="262"/>
        <w:rPr>
          <w:rFonts w:ascii="Times New Roman" w:hAnsi="Times New Roman"/>
          <w:b/>
          <w:szCs w:val="26"/>
        </w:rPr>
      </w:pPr>
      <w:r w:rsidRPr="005525B7">
        <w:rPr>
          <w:rFonts w:ascii="Times New Roman" w:hAnsi="Times New Roman"/>
          <w:szCs w:val="26"/>
        </w:rPr>
        <w:t xml:space="preserve">Based on the information it provided, the Commission finds that </w:t>
      </w:r>
      <w:r w:rsidRPr="005525B7">
        <w:rPr>
          <w:rStyle w:val="normaltextrun"/>
          <w:rFonts w:ascii="Times New Roman" w:hAnsi="Times New Roman"/>
          <w:szCs w:val="26"/>
        </w:rPr>
        <w:t>PG&amp;E provided sufficient information to satisfy CAP Element 3.</w:t>
      </w:r>
    </w:p>
    <w:p w:rsidRPr="005525B7" w:rsidR="00A2349C" w:rsidP="000F5FDD" w:rsidRDefault="00A2349C" w14:paraId="6EA4FA93" w14:textId="77777777">
      <w:pPr>
        <w:pStyle w:val="paragraph"/>
        <w:spacing w:before="0" w:beforeAutospacing="0" w:after="0" w:afterAutospacing="0"/>
        <w:textAlignment w:val="baseline"/>
        <w:rPr>
          <w:rStyle w:val="eop"/>
          <w:sz w:val="26"/>
          <w:szCs w:val="26"/>
        </w:rPr>
      </w:pPr>
    </w:p>
    <w:p w:rsidRPr="005525B7" w:rsidR="006E5769" w:rsidP="000F5FDD" w:rsidRDefault="000F5FDD" w14:paraId="70E03DDB" w14:textId="1131648E">
      <w:pPr>
        <w:pStyle w:val="paragraph"/>
        <w:spacing w:before="0" w:beforeAutospacing="0" w:after="0" w:afterAutospacing="0"/>
        <w:textAlignment w:val="baseline"/>
        <w:rPr>
          <w:rStyle w:val="eop"/>
          <w:sz w:val="26"/>
          <w:szCs w:val="26"/>
        </w:rPr>
      </w:pPr>
      <w:r w:rsidRPr="005525B7">
        <w:rPr>
          <w:b/>
          <w:bCs/>
          <w:sz w:val="26"/>
          <w:szCs w:val="26"/>
        </w:rPr>
        <w:t xml:space="preserve">CAP Element 4: </w:t>
      </w:r>
      <w:r w:rsidRPr="005525B7" w:rsidR="00D72ACF">
        <w:rPr>
          <w:b/>
          <w:bCs/>
          <w:sz w:val="26"/>
          <w:szCs w:val="26"/>
        </w:rPr>
        <w:t xml:space="preserve">A description of how the list in item 3 above ensures PG&amp;E is prioritizing the power lines with highest risk first.  </w:t>
      </w:r>
    </w:p>
    <w:p w:rsidRPr="005525B7" w:rsidR="00B357DF" w:rsidP="000F5FDD" w:rsidRDefault="00B357DF" w14:paraId="44B679B1" w14:textId="77777777">
      <w:pPr>
        <w:pStyle w:val="paragraph"/>
        <w:spacing w:before="0" w:beforeAutospacing="0" w:after="0" w:afterAutospacing="0"/>
        <w:textAlignment w:val="baseline"/>
        <w:rPr>
          <w:rStyle w:val="eop"/>
          <w:sz w:val="26"/>
          <w:szCs w:val="26"/>
        </w:rPr>
      </w:pPr>
    </w:p>
    <w:p w:rsidRPr="005525B7" w:rsidR="00AD0285" w:rsidP="00B357DF" w:rsidRDefault="00F714F3" w14:paraId="158E30F8" w14:textId="1DE1997F">
      <w:pPr>
        <w:pStyle w:val="BodyText"/>
        <w:kinsoku w:val="0"/>
        <w:overflowPunct w:val="0"/>
        <w:ind w:right="174"/>
        <w:rPr>
          <w:rFonts w:ascii="Times New Roman" w:hAnsi="Times New Roman" w:cs="Times New Roman"/>
          <w:sz w:val="26"/>
          <w:szCs w:val="26"/>
        </w:rPr>
      </w:pPr>
      <w:r w:rsidRPr="005525B7">
        <w:rPr>
          <w:rFonts w:ascii="Times New Roman" w:hAnsi="Times New Roman" w:cs="Times New Roman"/>
          <w:sz w:val="26"/>
          <w:szCs w:val="26"/>
        </w:rPr>
        <w:t xml:space="preserve">PG&amp;E’s May 6, 2021 </w:t>
      </w:r>
      <w:r w:rsidRPr="005525B7" w:rsidR="000F7AFF">
        <w:rPr>
          <w:rFonts w:ascii="Times New Roman" w:hAnsi="Times New Roman" w:cs="Times New Roman"/>
          <w:sz w:val="26"/>
          <w:szCs w:val="26"/>
        </w:rPr>
        <w:t>CAP</w:t>
      </w:r>
      <w:r w:rsidRPr="005525B7">
        <w:rPr>
          <w:rFonts w:ascii="Times New Roman" w:hAnsi="Times New Roman" w:cs="Times New Roman"/>
          <w:sz w:val="26"/>
          <w:szCs w:val="26"/>
        </w:rPr>
        <w:t xml:space="preserve"> </w:t>
      </w:r>
      <w:r w:rsidRPr="005525B7" w:rsidR="00C71465">
        <w:rPr>
          <w:rFonts w:ascii="Times New Roman" w:hAnsi="Times New Roman" w:cs="Times New Roman"/>
          <w:sz w:val="26"/>
          <w:szCs w:val="26"/>
        </w:rPr>
        <w:t>states that o</w:t>
      </w:r>
      <w:r w:rsidRPr="005525B7" w:rsidR="00B357DF">
        <w:rPr>
          <w:rFonts w:ascii="Times New Roman" w:hAnsi="Times New Roman" w:cs="Times New Roman"/>
          <w:sz w:val="26"/>
          <w:szCs w:val="26"/>
        </w:rPr>
        <w:t xml:space="preserve">n an annual basis PG&amp;E prioritizes its work on the highest risk </w:t>
      </w:r>
      <w:r w:rsidRPr="005525B7" w:rsidR="0068526C">
        <w:rPr>
          <w:rFonts w:ascii="Times New Roman" w:hAnsi="Times New Roman" w:cs="Times New Roman"/>
          <w:sz w:val="26"/>
          <w:szCs w:val="26"/>
        </w:rPr>
        <w:t>Circuit Protection Zones</w:t>
      </w:r>
      <w:r w:rsidRPr="005525B7" w:rsidR="00B357DF">
        <w:rPr>
          <w:rFonts w:ascii="Times New Roman" w:hAnsi="Times New Roman" w:cs="Times New Roman"/>
          <w:sz w:val="26"/>
          <w:szCs w:val="26"/>
        </w:rPr>
        <w:t xml:space="preserve"> as it works from the 2021 EVM Scope of Work</w:t>
      </w:r>
      <w:r w:rsidRPr="005525B7" w:rsidR="00130652">
        <w:rPr>
          <w:rFonts w:ascii="Times New Roman" w:hAnsi="Times New Roman" w:cs="Times New Roman"/>
          <w:sz w:val="26"/>
          <w:szCs w:val="26"/>
        </w:rPr>
        <w:t>,</w:t>
      </w:r>
      <w:r w:rsidRPr="005525B7" w:rsidR="00B357DF">
        <w:rPr>
          <w:rFonts w:ascii="Times New Roman" w:hAnsi="Times New Roman" w:cs="Times New Roman"/>
          <w:sz w:val="26"/>
          <w:szCs w:val="26"/>
        </w:rPr>
        <w:t xml:space="preserve"> which is developed from the </w:t>
      </w:r>
      <w:r w:rsidRPr="005525B7" w:rsidR="007B65CC">
        <w:rPr>
          <w:rFonts w:ascii="Times New Roman" w:hAnsi="Times New Roman" w:cs="Times New Roman"/>
          <w:sz w:val="26"/>
          <w:szCs w:val="26"/>
        </w:rPr>
        <w:t>Wildfire Distribution Risk Model</w:t>
      </w:r>
      <w:r w:rsidRPr="005525B7" w:rsidR="00B357DF">
        <w:rPr>
          <w:rFonts w:ascii="Times New Roman" w:hAnsi="Times New Roman" w:cs="Times New Roman"/>
          <w:sz w:val="26"/>
          <w:szCs w:val="26"/>
        </w:rPr>
        <w:t xml:space="preserve"> and the tree-weighted risk factor.</w:t>
      </w:r>
      <w:r w:rsidRPr="005525B7" w:rsidR="002373B5">
        <w:rPr>
          <w:rStyle w:val="StyleFootnoteReferenceofrStyle3o1o2o3o4o5o6o11o21o7"/>
          <w:rFonts w:cs="Times New Roman"/>
          <w:sz w:val="26"/>
          <w:szCs w:val="26"/>
        </w:rPr>
        <w:footnoteReference w:id="21"/>
      </w:r>
      <w:r w:rsidRPr="005525B7" w:rsidR="00B357DF">
        <w:rPr>
          <w:rFonts w:ascii="Times New Roman" w:hAnsi="Times New Roman" w:cs="Times New Roman"/>
          <w:sz w:val="26"/>
          <w:szCs w:val="26"/>
        </w:rPr>
        <w:t xml:space="preserve"> </w:t>
      </w:r>
      <w:r w:rsidRPr="005525B7" w:rsidR="00211F02">
        <w:rPr>
          <w:rFonts w:ascii="Times New Roman" w:hAnsi="Times New Roman" w:cs="Times New Roman"/>
          <w:sz w:val="26"/>
          <w:szCs w:val="26"/>
        </w:rPr>
        <w:t xml:space="preserve"> </w:t>
      </w:r>
      <w:r w:rsidRPr="005525B7" w:rsidR="00DE7B64">
        <w:rPr>
          <w:rFonts w:ascii="Times New Roman" w:hAnsi="Times New Roman" w:cs="Times New Roman"/>
          <w:sz w:val="26"/>
          <w:szCs w:val="26"/>
        </w:rPr>
        <w:t>T</w:t>
      </w:r>
      <w:r w:rsidRPr="005525B7" w:rsidDel="005A2F6B" w:rsidR="00FE5C35">
        <w:rPr>
          <w:rFonts w:ascii="Times New Roman" w:hAnsi="Times New Roman" w:cs="Times New Roman"/>
          <w:sz w:val="26"/>
          <w:szCs w:val="26"/>
        </w:rPr>
        <w:t>he Tree-Weighted Prioritization List indicates the highest risk Circuit Protection Zones in the High Fire Threat Districts</w:t>
      </w:r>
      <w:r w:rsidRPr="005525B7" w:rsidR="00DE7B64">
        <w:rPr>
          <w:rFonts w:ascii="Times New Roman" w:hAnsi="Times New Roman" w:cs="Times New Roman"/>
          <w:sz w:val="26"/>
          <w:szCs w:val="26"/>
        </w:rPr>
        <w:t>.</w:t>
      </w:r>
      <w:r w:rsidRPr="005525B7" w:rsidDel="001654F1" w:rsidR="00FE5C35">
        <w:rPr>
          <w:rFonts w:ascii="Times New Roman" w:hAnsi="Times New Roman" w:cs="Times New Roman"/>
          <w:sz w:val="26"/>
          <w:szCs w:val="26"/>
        </w:rPr>
        <w:t xml:space="preserve"> </w:t>
      </w:r>
      <w:r w:rsidRPr="005525B7" w:rsidR="00FF4EB8">
        <w:rPr>
          <w:rFonts w:ascii="Times New Roman" w:hAnsi="Times New Roman" w:cs="Times New Roman"/>
          <w:sz w:val="26"/>
          <w:szCs w:val="26"/>
        </w:rPr>
        <w:t xml:space="preserve"> </w:t>
      </w:r>
      <w:r w:rsidRPr="005525B7" w:rsidDel="005A2F6B" w:rsidR="00FE5C35">
        <w:rPr>
          <w:rFonts w:ascii="Times New Roman" w:hAnsi="Times New Roman" w:cs="Times New Roman"/>
          <w:sz w:val="26"/>
          <w:szCs w:val="26"/>
        </w:rPr>
        <w:t xml:space="preserve">PG&amp;E’s use of the list to conduct EVM </w:t>
      </w:r>
      <w:r w:rsidRPr="005525B7" w:rsidR="00E24351">
        <w:rPr>
          <w:rFonts w:ascii="Times New Roman" w:hAnsi="Times New Roman" w:cs="Times New Roman"/>
          <w:sz w:val="26"/>
          <w:szCs w:val="26"/>
        </w:rPr>
        <w:t xml:space="preserve">work </w:t>
      </w:r>
      <w:r w:rsidRPr="005525B7" w:rsidDel="005A2F6B" w:rsidR="00FE5C35">
        <w:rPr>
          <w:rFonts w:ascii="Times New Roman" w:hAnsi="Times New Roman" w:cs="Times New Roman"/>
          <w:sz w:val="26"/>
          <w:szCs w:val="26"/>
        </w:rPr>
        <w:t xml:space="preserve">ensures that </w:t>
      </w:r>
      <w:r w:rsidRPr="005525B7" w:rsidR="00E24351">
        <w:rPr>
          <w:rFonts w:ascii="Times New Roman" w:hAnsi="Times New Roman" w:cs="Times New Roman"/>
          <w:sz w:val="26"/>
          <w:szCs w:val="26"/>
        </w:rPr>
        <w:t>it</w:t>
      </w:r>
      <w:r w:rsidRPr="005525B7" w:rsidDel="005A2F6B" w:rsidR="00FE5C35">
        <w:rPr>
          <w:rFonts w:ascii="Times New Roman" w:hAnsi="Times New Roman" w:cs="Times New Roman"/>
          <w:sz w:val="26"/>
          <w:szCs w:val="26"/>
        </w:rPr>
        <w:t xml:space="preserve"> is prioritizing work within the highest risk areas. </w:t>
      </w:r>
      <w:r w:rsidRPr="005525B7" w:rsidR="00AD0285">
        <w:rPr>
          <w:rFonts w:ascii="Times New Roman" w:hAnsi="Times New Roman" w:cs="Times New Roman"/>
          <w:sz w:val="26"/>
          <w:szCs w:val="26"/>
        </w:rPr>
        <w:t xml:space="preserve"> </w:t>
      </w:r>
    </w:p>
    <w:p w:rsidRPr="005525B7" w:rsidR="00AD0285" w:rsidP="00B357DF" w:rsidRDefault="00AD0285" w14:paraId="043736A7" w14:textId="77777777">
      <w:pPr>
        <w:pStyle w:val="BodyText"/>
        <w:kinsoku w:val="0"/>
        <w:overflowPunct w:val="0"/>
        <w:ind w:right="174"/>
        <w:rPr>
          <w:rFonts w:ascii="Times New Roman" w:hAnsi="Times New Roman" w:cs="Times New Roman"/>
          <w:sz w:val="26"/>
          <w:szCs w:val="26"/>
        </w:rPr>
      </w:pPr>
    </w:p>
    <w:p w:rsidRPr="005525B7" w:rsidR="00B357DF" w:rsidP="00B357DF" w:rsidRDefault="00B357DF" w14:paraId="77D035F1" w14:textId="06176FAB">
      <w:pPr>
        <w:pStyle w:val="BodyText"/>
        <w:kinsoku w:val="0"/>
        <w:overflowPunct w:val="0"/>
        <w:ind w:right="174"/>
        <w:rPr>
          <w:rFonts w:ascii="Times New Roman" w:hAnsi="Times New Roman" w:cs="Times New Roman"/>
          <w:sz w:val="26"/>
          <w:szCs w:val="26"/>
        </w:rPr>
      </w:pPr>
      <w:r w:rsidRPr="005525B7">
        <w:rPr>
          <w:rFonts w:ascii="Times New Roman" w:hAnsi="Times New Roman" w:cs="Times New Roman"/>
          <w:sz w:val="26"/>
          <w:szCs w:val="26"/>
        </w:rPr>
        <w:t xml:space="preserve">The tree-weighted risk ranked 2021 EVM Scope </w:t>
      </w:r>
      <w:r w:rsidRPr="005525B7" w:rsidR="00C47AAE">
        <w:rPr>
          <w:rFonts w:ascii="Times New Roman" w:hAnsi="Times New Roman" w:cs="Times New Roman"/>
          <w:sz w:val="26"/>
          <w:szCs w:val="26"/>
        </w:rPr>
        <w:t>of Work</w:t>
      </w:r>
      <w:r w:rsidRPr="005525B7">
        <w:rPr>
          <w:rFonts w:ascii="Times New Roman" w:hAnsi="Times New Roman" w:cs="Times New Roman"/>
          <w:sz w:val="26"/>
          <w:szCs w:val="26"/>
        </w:rPr>
        <w:t xml:space="preserve"> is based on the risk-based </w:t>
      </w:r>
      <w:r w:rsidRPr="005525B7" w:rsidR="00805564">
        <w:rPr>
          <w:rFonts w:ascii="Times New Roman" w:hAnsi="Times New Roman" w:cs="Times New Roman"/>
          <w:sz w:val="26"/>
          <w:szCs w:val="26"/>
        </w:rPr>
        <w:t>Wildfire Distribution Risk Model</w:t>
      </w:r>
      <w:r w:rsidRPr="005525B7">
        <w:rPr>
          <w:rFonts w:ascii="Times New Roman" w:hAnsi="Times New Roman" w:cs="Times New Roman"/>
          <w:sz w:val="26"/>
          <w:szCs w:val="26"/>
        </w:rPr>
        <w:t xml:space="preserve"> output</w:t>
      </w:r>
      <w:r w:rsidRPr="005525B7" w:rsidR="00BF7695">
        <w:rPr>
          <w:rFonts w:ascii="Times New Roman" w:hAnsi="Times New Roman" w:cs="Times New Roman"/>
          <w:sz w:val="26"/>
          <w:szCs w:val="26"/>
        </w:rPr>
        <w:t xml:space="preserve"> </w:t>
      </w:r>
      <w:r w:rsidRPr="005525B7" w:rsidR="008B6A96">
        <w:rPr>
          <w:rFonts w:ascii="Times New Roman" w:hAnsi="Times New Roman" w:cs="Times New Roman"/>
          <w:sz w:val="26"/>
          <w:szCs w:val="26"/>
        </w:rPr>
        <w:t>and</w:t>
      </w:r>
      <w:r w:rsidRPr="005525B7">
        <w:rPr>
          <w:rFonts w:ascii="Times New Roman" w:hAnsi="Times New Roman" w:cs="Times New Roman"/>
          <w:sz w:val="26"/>
          <w:szCs w:val="26"/>
        </w:rPr>
        <w:t xml:space="preserve"> is modified by a tree-weighted factor</w:t>
      </w:r>
      <w:r w:rsidRPr="005525B7" w:rsidR="00975515">
        <w:rPr>
          <w:rFonts w:ascii="Times New Roman" w:hAnsi="Times New Roman" w:cs="Times New Roman"/>
          <w:sz w:val="26"/>
          <w:szCs w:val="26"/>
        </w:rPr>
        <w:t>.</w:t>
      </w:r>
      <w:r w:rsidRPr="005525B7">
        <w:rPr>
          <w:rFonts w:ascii="Times New Roman" w:hAnsi="Times New Roman" w:cs="Times New Roman"/>
          <w:sz w:val="26"/>
          <w:szCs w:val="26"/>
        </w:rPr>
        <w:t xml:space="preserve"> (</w:t>
      </w:r>
      <w:r w:rsidRPr="005525B7" w:rsidR="00975515">
        <w:rPr>
          <w:rFonts w:ascii="Times New Roman" w:hAnsi="Times New Roman" w:cs="Times New Roman"/>
          <w:sz w:val="26"/>
          <w:szCs w:val="26"/>
        </w:rPr>
        <w:t xml:space="preserve">PG&amp;E uses </w:t>
      </w:r>
      <w:r w:rsidRPr="005525B7" w:rsidR="00CD5923">
        <w:rPr>
          <w:rFonts w:ascii="Times New Roman" w:hAnsi="Times New Roman" w:cs="Times New Roman"/>
          <w:sz w:val="26"/>
          <w:szCs w:val="26"/>
        </w:rPr>
        <w:t>Light Detection and Ranging (LiDAR)</w:t>
      </w:r>
      <w:r w:rsidRPr="005525B7">
        <w:rPr>
          <w:rFonts w:ascii="Times New Roman" w:hAnsi="Times New Roman" w:cs="Times New Roman"/>
          <w:sz w:val="26"/>
          <w:szCs w:val="26"/>
        </w:rPr>
        <w:t xml:space="preserve"> and inspection data to count trees in work areas).</w:t>
      </w:r>
      <w:r w:rsidRPr="005525B7" w:rsidR="007915B5">
        <w:rPr>
          <w:rStyle w:val="StyleFootnoteReferenceofrStyle3o1o2o3o4o5o6o11o21o7"/>
          <w:rFonts w:cs="Times New Roman"/>
          <w:sz w:val="26"/>
          <w:szCs w:val="26"/>
        </w:rPr>
        <w:footnoteReference w:id="22"/>
      </w:r>
      <w:r w:rsidRPr="005525B7" w:rsidR="007915B5">
        <w:rPr>
          <w:rFonts w:ascii="Times New Roman" w:hAnsi="Times New Roman" w:cs="Times New Roman"/>
          <w:sz w:val="26"/>
          <w:szCs w:val="26"/>
        </w:rPr>
        <w:t xml:space="preserve"> </w:t>
      </w:r>
      <w:r w:rsidRPr="005525B7" w:rsidR="00FF4EB8">
        <w:rPr>
          <w:rFonts w:ascii="Times New Roman" w:hAnsi="Times New Roman" w:cs="Times New Roman"/>
          <w:sz w:val="26"/>
          <w:szCs w:val="26"/>
        </w:rPr>
        <w:t xml:space="preserve"> </w:t>
      </w:r>
      <w:r w:rsidRPr="005525B7">
        <w:rPr>
          <w:rFonts w:ascii="Times New Roman" w:hAnsi="Times New Roman" w:cs="Times New Roman"/>
          <w:sz w:val="26"/>
          <w:szCs w:val="26"/>
        </w:rPr>
        <w:t>Thus, PG&amp;E is aligning the output of the risk model with areas with a high density of trees.</w:t>
      </w:r>
      <w:r w:rsidRPr="005525B7" w:rsidR="00174453">
        <w:rPr>
          <w:rFonts w:ascii="Times New Roman" w:hAnsi="Times New Roman" w:cs="Times New Roman"/>
          <w:sz w:val="26"/>
          <w:szCs w:val="26"/>
        </w:rPr>
        <w:t xml:space="preserve"> </w:t>
      </w:r>
      <w:r w:rsidRPr="005525B7" w:rsidR="00E73B01">
        <w:rPr>
          <w:rFonts w:ascii="Times New Roman" w:hAnsi="Times New Roman" w:cs="Times New Roman"/>
          <w:sz w:val="26"/>
          <w:szCs w:val="26"/>
        </w:rPr>
        <w:t xml:space="preserve"> </w:t>
      </w:r>
    </w:p>
    <w:p w:rsidRPr="005525B7" w:rsidR="00547EAC" w:rsidP="00B357DF" w:rsidRDefault="00547EAC" w14:paraId="33DC93C7" w14:textId="301DFF47">
      <w:pPr>
        <w:pStyle w:val="BodyText"/>
        <w:kinsoku w:val="0"/>
        <w:overflowPunct w:val="0"/>
        <w:ind w:right="174"/>
        <w:rPr>
          <w:rFonts w:ascii="Times New Roman" w:hAnsi="Times New Roman" w:cs="Times New Roman"/>
          <w:sz w:val="26"/>
          <w:szCs w:val="26"/>
        </w:rPr>
      </w:pPr>
    </w:p>
    <w:p w:rsidRPr="005525B7" w:rsidR="00547EAC" w:rsidP="00B357DF" w:rsidRDefault="00D05B42" w14:paraId="09D7134C" w14:textId="24742A64">
      <w:pPr>
        <w:pStyle w:val="BodyText"/>
        <w:kinsoku w:val="0"/>
        <w:overflowPunct w:val="0"/>
        <w:ind w:right="174"/>
        <w:rPr>
          <w:rFonts w:ascii="Times New Roman" w:hAnsi="Times New Roman" w:cs="Times New Roman"/>
          <w:sz w:val="26"/>
          <w:szCs w:val="26"/>
        </w:rPr>
      </w:pPr>
      <w:r w:rsidRPr="005525B7">
        <w:rPr>
          <w:rFonts w:ascii="Times New Roman" w:hAnsi="Times New Roman" w:cs="Times New Roman"/>
          <w:sz w:val="26"/>
          <w:szCs w:val="26"/>
        </w:rPr>
        <w:lastRenderedPageBreak/>
        <w:t xml:space="preserve">Based on the information it provided, the Commission </w:t>
      </w:r>
      <w:r w:rsidRPr="005525B7" w:rsidR="001E4739">
        <w:rPr>
          <w:rFonts w:ascii="Times New Roman" w:hAnsi="Times New Roman" w:cs="Times New Roman"/>
          <w:sz w:val="26"/>
          <w:szCs w:val="26"/>
        </w:rPr>
        <w:t xml:space="preserve">finds </w:t>
      </w:r>
      <w:r w:rsidRPr="005525B7">
        <w:rPr>
          <w:rFonts w:ascii="Times New Roman" w:hAnsi="Times New Roman" w:cs="Times New Roman"/>
          <w:sz w:val="26"/>
          <w:szCs w:val="26"/>
        </w:rPr>
        <w:t xml:space="preserve">that </w:t>
      </w:r>
      <w:r w:rsidRPr="005525B7" w:rsidR="00355757">
        <w:rPr>
          <w:rStyle w:val="normaltextrun"/>
          <w:rFonts w:ascii="Times New Roman" w:hAnsi="Times New Roman" w:cs="Times New Roman"/>
          <w:sz w:val="26"/>
          <w:szCs w:val="26"/>
        </w:rPr>
        <w:t xml:space="preserve">PG&amp;E provided sufficient information to satisfy CAP Element </w:t>
      </w:r>
      <w:r w:rsidRPr="005525B7" w:rsidR="00D33A0C">
        <w:rPr>
          <w:rFonts w:ascii="Times New Roman" w:hAnsi="Times New Roman" w:cs="Times New Roman"/>
          <w:sz w:val="26"/>
          <w:szCs w:val="26"/>
        </w:rPr>
        <w:t>4.</w:t>
      </w:r>
      <w:r w:rsidRPr="005525B7" w:rsidR="00302B20">
        <w:rPr>
          <w:rFonts w:ascii="Times New Roman" w:hAnsi="Times New Roman" w:cs="Times New Roman"/>
          <w:sz w:val="26"/>
          <w:szCs w:val="26"/>
        </w:rPr>
        <w:t xml:space="preserve">   </w:t>
      </w:r>
    </w:p>
    <w:p w:rsidRPr="005525B7" w:rsidR="00E42D2D" w:rsidP="00C83E2E" w:rsidRDefault="00E42D2D" w14:paraId="18DADFF8" w14:textId="77777777">
      <w:pPr>
        <w:pStyle w:val="paragraph"/>
        <w:spacing w:before="0" w:beforeAutospacing="0" w:after="0" w:afterAutospacing="0"/>
        <w:textAlignment w:val="baseline"/>
        <w:rPr>
          <w:b/>
          <w:bCs/>
          <w:sz w:val="26"/>
          <w:szCs w:val="26"/>
        </w:rPr>
      </w:pPr>
    </w:p>
    <w:p w:rsidRPr="005525B7" w:rsidR="006E5769" w:rsidP="00C83E2E" w:rsidRDefault="00C83E2E" w14:paraId="65B1E016" w14:textId="01510850">
      <w:pPr>
        <w:pStyle w:val="paragraph"/>
        <w:spacing w:before="0" w:beforeAutospacing="0" w:after="0" w:afterAutospacing="0"/>
        <w:textAlignment w:val="baseline"/>
        <w:rPr>
          <w:rStyle w:val="eop"/>
          <w:sz w:val="26"/>
          <w:szCs w:val="26"/>
        </w:rPr>
      </w:pPr>
      <w:r w:rsidRPr="005525B7">
        <w:rPr>
          <w:b/>
          <w:bCs/>
          <w:sz w:val="26"/>
          <w:szCs w:val="26"/>
        </w:rPr>
        <w:t xml:space="preserve">CAP Element 5: </w:t>
      </w:r>
      <w:r w:rsidRPr="005525B7" w:rsidR="00C34EB1">
        <w:rPr>
          <w:b/>
          <w:bCs/>
          <w:sz w:val="26"/>
          <w:szCs w:val="26"/>
        </w:rPr>
        <w:t>A description of PG&amp;E’s decision-making that leads to the list in item 3: how the list is developed, evaluated, revised in terms of projects that are added to or dropped from the list, finalized, and communicated to EVM work crews, and PG&amp;E’s internal documentation of the decision-making process.</w:t>
      </w:r>
      <w:r w:rsidRPr="005525B7" w:rsidR="00C34EB1">
        <w:rPr>
          <w:sz w:val="26"/>
          <w:szCs w:val="26"/>
        </w:rPr>
        <w:t xml:space="preserve">  </w:t>
      </w:r>
    </w:p>
    <w:p w:rsidRPr="005525B7" w:rsidR="006E26FE" w:rsidP="006E26FE" w:rsidRDefault="006E26FE" w14:paraId="63B7A081" w14:textId="16955DEA">
      <w:pPr>
        <w:pStyle w:val="paragraph"/>
        <w:spacing w:before="0" w:beforeAutospacing="0" w:after="0" w:afterAutospacing="0"/>
        <w:textAlignment w:val="baseline"/>
        <w:rPr>
          <w:rStyle w:val="eop"/>
          <w:sz w:val="26"/>
          <w:szCs w:val="26"/>
        </w:rPr>
      </w:pPr>
    </w:p>
    <w:p w:rsidRPr="005525B7" w:rsidR="006E26FE" w:rsidP="006E26FE" w:rsidRDefault="00991BA3" w14:paraId="5E9DB999" w14:textId="67B8FFA3">
      <w:pPr>
        <w:pStyle w:val="BodyText"/>
        <w:kinsoku w:val="0"/>
        <w:overflowPunct w:val="0"/>
        <w:ind w:right="177"/>
        <w:rPr>
          <w:rFonts w:ascii="Times New Roman" w:hAnsi="Times New Roman" w:cs="Times New Roman"/>
          <w:sz w:val="26"/>
          <w:szCs w:val="26"/>
        </w:rPr>
      </w:pPr>
      <w:r w:rsidRPr="005525B7">
        <w:rPr>
          <w:rFonts w:ascii="Times New Roman" w:hAnsi="Times New Roman" w:cs="Times New Roman"/>
          <w:sz w:val="26"/>
          <w:szCs w:val="26"/>
        </w:rPr>
        <w:t>PG&amp;</w:t>
      </w:r>
      <w:r w:rsidRPr="005525B7" w:rsidR="007270A7">
        <w:rPr>
          <w:rFonts w:ascii="Times New Roman" w:hAnsi="Times New Roman" w:cs="Times New Roman"/>
          <w:sz w:val="26"/>
          <w:szCs w:val="26"/>
        </w:rPr>
        <w:t xml:space="preserve">E’s </w:t>
      </w:r>
      <w:r w:rsidRPr="005525B7" w:rsidR="00804A26">
        <w:rPr>
          <w:rFonts w:ascii="Times New Roman" w:hAnsi="Times New Roman" w:cs="Times New Roman"/>
          <w:sz w:val="26"/>
          <w:szCs w:val="26"/>
        </w:rPr>
        <w:t xml:space="preserve">May 6, 2021 </w:t>
      </w:r>
      <w:r w:rsidRPr="005525B7" w:rsidR="000F7AFF">
        <w:rPr>
          <w:rFonts w:ascii="Times New Roman" w:hAnsi="Times New Roman" w:cs="Times New Roman"/>
          <w:sz w:val="26"/>
          <w:szCs w:val="26"/>
        </w:rPr>
        <w:t>CAP</w:t>
      </w:r>
      <w:r w:rsidRPr="005525B7" w:rsidR="00804A26">
        <w:rPr>
          <w:rFonts w:ascii="Times New Roman" w:hAnsi="Times New Roman" w:cs="Times New Roman"/>
          <w:sz w:val="26"/>
          <w:szCs w:val="26"/>
        </w:rPr>
        <w:t xml:space="preserve"> </w:t>
      </w:r>
      <w:r w:rsidRPr="005525B7" w:rsidR="007270A7">
        <w:rPr>
          <w:rFonts w:ascii="Times New Roman" w:hAnsi="Times New Roman" w:cs="Times New Roman"/>
          <w:sz w:val="26"/>
          <w:szCs w:val="26"/>
        </w:rPr>
        <w:t>provides a description of</w:t>
      </w:r>
      <w:r w:rsidRPr="005525B7">
        <w:rPr>
          <w:rFonts w:ascii="Times New Roman" w:hAnsi="Times New Roman" w:cs="Times New Roman"/>
          <w:sz w:val="26"/>
          <w:szCs w:val="26"/>
        </w:rPr>
        <w:t xml:space="preserve"> the decision-making </w:t>
      </w:r>
      <w:r w:rsidRPr="005525B7" w:rsidR="005835C5">
        <w:rPr>
          <w:rFonts w:ascii="Times New Roman" w:hAnsi="Times New Roman" w:cs="Times New Roman"/>
          <w:sz w:val="26"/>
          <w:szCs w:val="26"/>
        </w:rPr>
        <w:t xml:space="preserve">process </w:t>
      </w:r>
      <w:r w:rsidRPr="005525B7">
        <w:rPr>
          <w:rFonts w:ascii="Times New Roman" w:hAnsi="Times New Roman" w:cs="Times New Roman"/>
          <w:sz w:val="26"/>
          <w:szCs w:val="26"/>
        </w:rPr>
        <w:t>that leads to its Tree-Weighted Prioritization List</w:t>
      </w:r>
      <w:r w:rsidRPr="005525B7" w:rsidR="007A06A9">
        <w:rPr>
          <w:rFonts w:ascii="Times New Roman" w:hAnsi="Times New Roman" w:cs="Times New Roman"/>
          <w:sz w:val="26"/>
          <w:szCs w:val="26"/>
        </w:rPr>
        <w:t>.</w:t>
      </w:r>
      <w:r w:rsidRPr="005525B7" w:rsidR="00596216">
        <w:rPr>
          <w:rStyle w:val="StyleFootnoteReferenceofrStyle3o1o2o3o4o5o6o11o21o7"/>
          <w:rFonts w:cs="Times New Roman"/>
          <w:sz w:val="26"/>
          <w:szCs w:val="26"/>
        </w:rPr>
        <w:footnoteReference w:id="23"/>
      </w:r>
      <w:r w:rsidRPr="005525B7" w:rsidR="00461611">
        <w:rPr>
          <w:rFonts w:ascii="Times New Roman" w:hAnsi="Times New Roman" w:cs="Times New Roman"/>
          <w:sz w:val="26"/>
          <w:szCs w:val="26"/>
        </w:rPr>
        <w:t xml:space="preserve"> </w:t>
      </w:r>
      <w:r w:rsidRPr="005525B7" w:rsidR="006E26FE">
        <w:rPr>
          <w:rFonts w:ascii="Times New Roman" w:hAnsi="Times New Roman" w:cs="Times New Roman"/>
          <w:sz w:val="26"/>
          <w:szCs w:val="26"/>
        </w:rPr>
        <w:t>PG&amp;E</w:t>
      </w:r>
      <w:r w:rsidRPr="005525B7" w:rsidR="00DE3F3F">
        <w:rPr>
          <w:rFonts w:ascii="Times New Roman" w:hAnsi="Times New Roman" w:cs="Times New Roman"/>
          <w:sz w:val="26"/>
          <w:szCs w:val="26"/>
        </w:rPr>
        <w:t xml:space="preserve"> </w:t>
      </w:r>
      <w:r w:rsidRPr="005525B7" w:rsidR="006E26FE">
        <w:rPr>
          <w:rFonts w:ascii="Times New Roman" w:hAnsi="Times New Roman" w:cs="Times New Roman"/>
          <w:sz w:val="26"/>
          <w:szCs w:val="26"/>
        </w:rPr>
        <w:t xml:space="preserve">’s Tree-Weighted Prioritization </w:t>
      </w:r>
      <w:r w:rsidRPr="005525B7" w:rsidR="00A00C97">
        <w:rPr>
          <w:rFonts w:ascii="Times New Roman" w:hAnsi="Times New Roman" w:cs="Times New Roman"/>
          <w:sz w:val="26"/>
          <w:szCs w:val="26"/>
        </w:rPr>
        <w:t xml:space="preserve">List </w:t>
      </w:r>
      <w:r w:rsidRPr="005525B7" w:rsidR="00942A33">
        <w:rPr>
          <w:rFonts w:ascii="Times New Roman" w:hAnsi="Times New Roman" w:cs="Times New Roman"/>
          <w:sz w:val="26"/>
          <w:szCs w:val="26"/>
        </w:rPr>
        <w:t>is</w:t>
      </w:r>
      <w:r w:rsidRPr="005525B7" w:rsidR="006E26FE">
        <w:rPr>
          <w:rFonts w:ascii="Times New Roman" w:hAnsi="Times New Roman" w:cs="Times New Roman"/>
          <w:sz w:val="26"/>
          <w:szCs w:val="26"/>
        </w:rPr>
        <w:t xml:space="preserve"> </w:t>
      </w:r>
      <w:r w:rsidRPr="005525B7" w:rsidR="00D51288">
        <w:rPr>
          <w:rFonts w:ascii="Times New Roman" w:hAnsi="Times New Roman" w:cs="Times New Roman"/>
          <w:sz w:val="26"/>
          <w:szCs w:val="26"/>
        </w:rPr>
        <w:t xml:space="preserve">developed by using the output from </w:t>
      </w:r>
      <w:r w:rsidRPr="005525B7" w:rsidR="006E26FE">
        <w:rPr>
          <w:rFonts w:ascii="Times New Roman" w:hAnsi="Times New Roman" w:cs="Times New Roman"/>
          <w:sz w:val="26"/>
          <w:szCs w:val="26"/>
        </w:rPr>
        <w:t xml:space="preserve">the </w:t>
      </w:r>
      <w:r w:rsidRPr="005525B7" w:rsidR="001972B2">
        <w:rPr>
          <w:rFonts w:ascii="Times New Roman" w:hAnsi="Times New Roman" w:cs="Times New Roman"/>
          <w:sz w:val="26"/>
          <w:szCs w:val="26"/>
        </w:rPr>
        <w:t>Wildfire Distribution Risk Model</w:t>
      </w:r>
      <w:r w:rsidRPr="005525B7" w:rsidR="006E26FE">
        <w:rPr>
          <w:rFonts w:ascii="Times New Roman" w:hAnsi="Times New Roman" w:cs="Times New Roman"/>
          <w:sz w:val="26"/>
          <w:szCs w:val="26"/>
        </w:rPr>
        <w:t xml:space="preserve"> and </w:t>
      </w:r>
      <w:r w:rsidRPr="005525B7" w:rsidR="00D51288">
        <w:rPr>
          <w:rFonts w:ascii="Times New Roman" w:hAnsi="Times New Roman" w:cs="Times New Roman"/>
          <w:sz w:val="26"/>
          <w:szCs w:val="26"/>
        </w:rPr>
        <w:t xml:space="preserve">applying </w:t>
      </w:r>
      <w:r w:rsidRPr="005525B7" w:rsidR="006E26FE">
        <w:rPr>
          <w:rFonts w:ascii="Times New Roman" w:hAnsi="Times New Roman" w:cs="Times New Roman"/>
          <w:sz w:val="26"/>
          <w:szCs w:val="26"/>
        </w:rPr>
        <w:t>the tree-weighted factor</w:t>
      </w:r>
      <w:r w:rsidRPr="005525B7" w:rsidR="00D96E7B">
        <w:rPr>
          <w:rFonts w:ascii="Times New Roman" w:hAnsi="Times New Roman" w:cs="Times New Roman"/>
          <w:sz w:val="26"/>
          <w:szCs w:val="26"/>
        </w:rPr>
        <w:t>.</w:t>
      </w:r>
      <w:r w:rsidRPr="005525B7" w:rsidDel="00D96E7B" w:rsidR="00942A33">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4C64F1">
        <w:rPr>
          <w:rFonts w:ascii="Times New Roman" w:hAnsi="Times New Roman" w:cs="Times New Roman"/>
          <w:sz w:val="26"/>
          <w:szCs w:val="26"/>
        </w:rPr>
        <w:t>PG&amp;E’s Vegetation Management Board evaluates it</w:t>
      </w:r>
      <w:r w:rsidRPr="005525B7" w:rsidR="00B001B6">
        <w:rPr>
          <w:rFonts w:ascii="Times New Roman" w:hAnsi="Times New Roman" w:cs="Times New Roman"/>
          <w:sz w:val="26"/>
          <w:szCs w:val="26"/>
        </w:rPr>
        <w:t>s</w:t>
      </w:r>
      <w:r w:rsidRPr="005525B7" w:rsidR="00C73D23">
        <w:rPr>
          <w:rFonts w:ascii="Times New Roman" w:hAnsi="Times New Roman" w:cs="Times New Roman"/>
          <w:sz w:val="26"/>
          <w:szCs w:val="26"/>
        </w:rPr>
        <w:t xml:space="preserve"> Tree-Weighted Prioritization List</w:t>
      </w:r>
      <w:r w:rsidRPr="005525B7" w:rsidR="00AC3FDC">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AC3FDC">
        <w:rPr>
          <w:rFonts w:ascii="Times New Roman" w:hAnsi="Times New Roman" w:cs="Times New Roman"/>
          <w:sz w:val="26"/>
          <w:szCs w:val="26"/>
        </w:rPr>
        <w:t>The</w:t>
      </w:r>
      <w:r w:rsidRPr="005525B7" w:rsidR="00C77D26">
        <w:rPr>
          <w:rFonts w:ascii="Times New Roman" w:hAnsi="Times New Roman" w:cs="Times New Roman"/>
          <w:sz w:val="26"/>
          <w:szCs w:val="26"/>
        </w:rPr>
        <w:t xml:space="preserve"> Wildfire Risk Distribution Model</w:t>
      </w:r>
      <w:r w:rsidRPr="005525B7" w:rsidR="008F599A">
        <w:rPr>
          <w:rFonts w:ascii="Times New Roman" w:hAnsi="Times New Roman" w:cs="Times New Roman"/>
          <w:sz w:val="26"/>
          <w:szCs w:val="26"/>
        </w:rPr>
        <w:t xml:space="preserve"> underlying the Tree-Weighted Prioritization Lis</w:t>
      </w:r>
      <w:r w:rsidRPr="005525B7" w:rsidR="00166F5D">
        <w:rPr>
          <w:rFonts w:ascii="Times New Roman" w:hAnsi="Times New Roman" w:cs="Times New Roman"/>
          <w:sz w:val="26"/>
          <w:szCs w:val="26"/>
        </w:rPr>
        <w:t xml:space="preserve">t and the </w:t>
      </w:r>
      <w:r w:rsidRPr="005525B7" w:rsidR="008B2CA0">
        <w:rPr>
          <w:rFonts w:ascii="Times New Roman" w:hAnsi="Times New Roman" w:cs="Times New Roman"/>
          <w:sz w:val="26"/>
          <w:szCs w:val="26"/>
        </w:rPr>
        <w:t xml:space="preserve">EVM </w:t>
      </w:r>
      <w:r w:rsidRPr="005525B7" w:rsidR="00802CF0">
        <w:rPr>
          <w:rFonts w:ascii="Times New Roman" w:hAnsi="Times New Roman" w:cs="Times New Roman"/>
          <w:sz w:val="26"/>
          <w:szCs w:val="26"/>
        </w:rPr>
        <w:t>S</w:t>
      </w:r>
      <w:r w:rsidRPr="005525B7" w:rsidR="008B2CA0">
        <w:rPr>
          <w:rFonts w:ascii="Times New Roman" w:hAnsi="Times New Roman" w:cs="Times New Roman"/>
          <w:sz w:val="26"/>
          <w:szCs w:val="26"/>
        </w:rPr>
        <w:t xml:space="preserve">cope of </w:t>
      </w:r>
      <w:r w:rsidRPr="005525B7" w:rsidR="00802CF0">
        <w:rPr>
          <w:rFonts w:ascii="Times New Roman" w:hAnsi="Times New Roman" w:cs="Times New Roman"/>
          <w:sz w:val="26"/>
          <w:szCs w:val="26"/>
        </w:rPr>
        <w:t>W</w:t>
      </w:r>
      <w:r w:rsidRPr="005525B7" w:rsidR="008B2CA0">
        <w:rPr>
          <w:rFonts w:ascii="Times New Roman" w:hAnsi="Times New Roman" w:cs="Times New Roman"/>
          <w:sz w:val="26"/>
          <w:szCs w:val="26"/>
        </w:rPr>
        <w:t>ork</w:t>
      </w:r>
      <w:r w:rsidRPr="005525B7" w:rsidR="00B6281D">
        <w:rPr>
          <w:rFonts w:ascii="Times New Roman" w:hAnsi="Times New Roman" w:cs="Times New Roman"/>
          <w:sz w:val="26"/>
          <w:szCs w:val="26"/>
        </w:rPr>
        <w:t xml:space="preserve"> is evaluated </w:t>
      </w:r>
      <w:r w:rsidRPr="005525B7" w:rsidR="00F06663">
        <w:rPr>
          <w:rFonts w:ascii="Times New Roman" w:hAnsi="Times New Roman" w:cs="Times New Roman"/>
          <w:sz w:val="26"/>
          <w:szCs w:val="26"/>
        </w:rPr>
        <w:t xml:space="preserve">and approved </w:t>
      </w:r>
      <w:r w:rsidRPr="005525B7" w:rsidR="00B6281D">
        <w:rPr>
          <w:rFonts w:ascii="Times New Roman" w:hAnsi="Times New Roman" w:cs="Times New Roman"/>
          <w:sz w:val="26"/>
          <w:szCs w:val="26"/>
        </w:rPr>
        <w:t>by the W</w:t>
      </w:r>
      <w:r w:rsidRPr="005525B7" w:rsidR="00451CFA">
        <w:rPr>
          <w:rFonts w:ascii="Times New Roman" w:hAnsi="Times New Roman" w:cs="Times New Roman"/>
          <w:sz w:val="26"/>
          <w:szCs w:val="26"/>
        </w:rPr>
        <w:t>ildfire Risk Governance Steering Committee, which is chaired by</w:t>
      </w:r>
      <w:r w:rsidRPr="005525B7" w:rsidR="00DE4F37">
        <w:rPr>
          <w:rFonts w:ascii="Times New Roman" w:hAnsi="Times New Roman" w:cs="Times New Roman"/>
          <w:sz w:val="26"/>
          <w:szCs w:val="26"/>
        </w:rPr>
        <w:t xml:space="preserve"> PG&amp;E’s Chief Risk </w:t>
      </w:r>
      <w:r w:rsidRPr="005525B7" w:rsidR="00856AD5">
        <w:rPr>
          <w:rFonts w:ascii="Times New Roman" w:hAnsi="Times New Roman" w:cs="Times New Roman"/>
          <w:sz w:val="26"/>
          <w:szCs w:val="26"/>
        </w:rPr>
        <w:t>Officer</w:t>
      </w:r>
      <w:r w:rsidRPr="005525B7" w:rsidR="003636E8">
        <w:rPr>
          <w:rFonts w:ascii="Times New Roman" w:hAnsi="Times New Roman" w:cs="Times New Roman"/>
          <w:sz w:val="26"/>
          <w:szCs w:val="26"/>
        </w:rPr>
        <w:t xml:space="preserve"> and includes management from PG&amp;E’s Electric Operations, Risk, and Internal Audit.</w:t>
      </w:r>
      <w:r w:rsidRPr="005525B7" w:rsidR="003636E8">
        <w:rPr>
          <w:rStyle w:val="StyleFootnoteReferenceofrStyle3o1o2o3o4o5o6o11o21o7"/>
          <w:rFonts w:cs="Times New Roman"/>
          <w:sz w:val="26"/>
          <w:szCs w:val="26"/>
        </w:rPr>
        <w:footnoteReference w:id="24"/>
      </w:r>
      <w:r w:rsidRPr="005525B7" w:rsidR="003636E8">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2E1EA4">
        <w:rPr>
          <w:rFonts w:ascii="Times New Roman" w:hAnsi="Times New Roman" w:cs="Times New Roman"/>
          <w:sz w:val="26"/>
          <w:szCs w:val="26"/>
        </w:rPr>
        <w:t>The EVM Scope of Work and any revisions must also be approved by the Wildfire Risk Governance Steering Committee.</w:t>
      </w:r>
      <w:r w:rsidRPr="005525B7" w:rsidR="00CE4694">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6E26FE">
        <w:rPr>
          <w:rFonts w:ascii="Times New Roman" w:hAnsi="Times New Roman" w:cs="Times New Roman"/>
          <w:sz w:val="26"/>
          <w:szCs w:val="26"/>
        </w:rPr>
        <w:t xml:space="preserve">PG&amp;E’s change control process can be initiated by Vegetation Management stakeholders through PG&amp;E’s </w:t>
      </w:r>
      <w:r w:rsidRPr="005525B7" w:rsidR="005A6394">
        <w:rPr>
          <w:rFonts w:ascii="Times New Roman" w:hAnsi="Times New Roman" w:cs="Times New Roman"/>
          <w:sz w:val="26"/>
          <w:szCs w:val="26"/>
        </w:rPr>
        <w:t>Vegetation Management</w:t>
      </w:r>
      <w:r w:rsidRPr="005525B7" w:rsidR="006E26FE">
        <w:rPr>
          <w:rFonts w:ascii="Times New Roman" w:hAnsi="Times New Roman" w:cs="Times New Roman"/>
          <w:sz w:val="26"/>
          <w:szCs w:val="26"/>
        </w:rPr>
        <w:t xml:space="preserve"> organization for approval by the </w:t>
      </w:r>
      <w:r w:rsidRPr="005525B7" w:rsidR="005A6394">
        <w:rPr>
          <w:rFonts w:ascii="Times New Roman" w:hAnsi="Times New Roman" w:cs="Times New Roman"/>
          <w:sz w:val="26"/>
          <w:szCs w:val="26"/>
        </w:rPr>
        <w:t>Vegetation Management</w:t>
      </w:r>
      <w:r w:rsidRPr="005525B7" w:rsidR="006E26FE">
        <w:rPr>
          <w:rFonts w:ascii="Times New Roman" w:hAnsi="Times New Roman" w:cs="Times New Roman"/>
          <w:sz w:val="26"/>
          <w:szCs w:val="26"/>
        </w:rPr>
        <w:t xml:space="preserve"> Board.</w:t>
      </w:r>
      <w:r w:rsidRPr="005525B7" w:rsidR="006E26FE">
        <w:rPr>
          <w:rStyle w:val="StyleFootnoteReferenceofrStyle3o1o2o3o4o5o6o11o21o7"/>
          <w:rFonts w:cs="Times New Roman"/>
          <w:sz w:val="26"/>
          <w:szCs w:val="26"/>
        </w:rPr>
        <w:footnoteReference w:id="25"/>
      </w:r>
      <w:r w:rsidRPr="005525B7" w:rsidR="006E26FE">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5D2414">
        <w:rPr>
          <w:rFonts w:ascii="Times New Roman" w:hAnsi="Times New Roman" w:cs="Times New Roman"/>
          <w:sz w:val="26"/>
          <w:szCs w:val="26"/>
        </w:rPr>
        <w:t xml:space="preserve">PG&amp;E documents </w:t>
      </w:r>
      <w:r w:rsidRPr="005525B7" w:rsidR="0017419C">
        <w:rPr>
          <w:rFonts w:ascii="Times New Roman" w:hAnsi="Times New Roman" w:cs="Times New Roman"/>
          <w:sz w:val="26"/>
          <w:szCs w:val="26"/>
        </w:rPr>
        <w:t xml:space="preserve">the </w:t>
      </w:r>
      <w:r w:rsidRPr="005525B7" w:rsidR="00FB57E9">
        <w:rPr>
          <w:rFonts w:ascii="Times New Roman" w:hAnsi="Times New Roman" w:cs="Times New Roman"/>
          <w:sz w:val="26"/>
          <w:szCs w:val="26"/>
        </w:rPr>
        <w:t xml:space="preserve">EVM program </w:t>
      </w:r>
      <w:r w:rsidRPr="005525B7" w:rsidR="00920650">
        <w:rPr>
          <w:rFonts w:ascii="Times New Roman" w:hAnsi="Times New Roman" w:cs="Times New Roman"/>
          <w:sz w:val="26"/>
          <w:szCs w:val="26"/>
        </w:rPr>
        <w:t>decision-making through</w:t>
      </w:r>
      <w:r w:rsidRPr="005525B7" w:rsidR="000E4C45">
        <w:rPr>
          <w:rFonts w:ascii="Times New Roman" w:hAnsi="Times New Roman" w:cs="Times New Roman"/>
          <w:sz w:val="26"/>
          <w:szCs w:val="26"/>
        </w:rPr>
        <w:t xml:space="preserve"> </w:t>
      </w:r>
      <w:r w:rsidRPr="005525B7" w:rsidR="00AF4646">
        <w:rPr>
          <w:rFonts w:ascii="Times New Roman" w:hAnsi="Times New Roman" w:cs="Times New Roman"/>
          <w:sz w:val="26"/>
          <w:szCs w:val="26"/>
        </w:rPr>
        <w:t>the</w:t>
      </w:r>
      <w:r w:rsidRPr="005525B7" w:rsidR="006E26FE">
        <w:rPr>
          <w:rFonts w:ascii="Times New Roman" w:hAnsi="Times New Roman" w:cs="Times New Roman"/>
          <w:sz w:val="26"/>
          <w:szCs w:val="26"/>
        </w:rPr>
        <w:t xml:space="preserve"> </w:t>
      </w:r>
      <w:r w:rsidRPr="005525B7" w:rsidR="00531280">
        <w:rPr>
          <w:rFonts w:ascii="Times New Roman" w:hAnsi="Times New Roman" w:cs="Times New Roman"/>
          <w:sz w:val="26"/>
          <w:szCs w:val="26"/>
        </w:rPr>
        <w:t xml:space="preserve">Vegetation Management Board’s approval of the </w:t>
      </w:r>
      <w:r w:rsidRPr="005525B7" w:rsidR="006E26FE">
        <w:rPr>
          <w:rFonts w:ascii="Times New Roman" w:hAnsi="Times New Roman" w:cs="Times New Roman"/>
          <w:sz w:val="26"/>
          <w:szCs w:val="26"/>
        </w:rPr>
        <w:t xml:space="preserve">change control process and the Wildfire Risk Governance Steering </w:t>
      </w:r>
      <w:r w:rsidRPr="005525B7" w:rsidR="005A6394">
        <w:rPr>
          <w:rFonts w:ascii="Times New Roman" w:hAnsi="Times New Roman" w:cs="Times New Roman"/>
          <w:sz w:val="26"/>
          <w:szCs w:val="26"/>
        </w:rPr>
        <w:t>Committee</w:t>
      </w:r>
      <w:r w:rsidRPr="005525B7" w:rsidR="00D81562">
        <w:rPr>
          <w:rFonts w:ascii="Times New Roman" w:hAnsi="Times New Roman" w:cs="Times New Roman"/>
          <w:sz w:val="26"/>
          <w:szCs w:val="26"/>
        </w:rPr>
        <w:t>’s</w:t>
      </w:r>
      <w:r w:rsidRPr="005525B7" w:rsidR="006E26FE">
        <w:rPr>
          <w:rFonts w:ascii="Times New Roman" w:hAnsi="Times New Roman" w:cs="Times New Roman"/>
          <w:sz w:val="26"/>
          <w:szCs w:val="26"/>
        </w:rPr>
        <w:t xml:space="preserve"> minutes of meetings </w:t>
      </w:r>
      <w:r w:rsidRPr="005525B7" w:rsidR="0094568C">
        <w:rPr>
          <w:rFonts w:ascii="Times New Roman" w:hAnsi="Times New Roman" w:cs="Times New Roman"/>
          <w:sz w:val="26"/>
          <w:szCs w:val="26"/>
        </w:rPr>
        <w:t>and decisions</w:t>
      </w:r>
      <w:r w:rsidRPr="005525B7" w:rsidR="006E26FE">
        <w:rPr>
          <w:rFonts w:ascii="Times New Roman" w:hAnsi="Times New Roman" w:cs="Times New Roman"/>
          <w:sz w:val="26"/>
          <w:szCs w:val="26"/>
        </w:rPr>
        <w:t xml:space="preserve">. </w:t>
      </w:r>
    </w:p>
    <w:p w:rsidRPr="005525B7" w:rsidR="006E26FE" w:rsidP="006E26FE" w:rsidRDefault="006E26FE" w14:paraId="7E93757A" w14:textId="77777777">
      <w:pPr>
        <w:pStyle w:val="BodyText"/>
        <w:kinsoku w:val="0"/>
        <w:overflowPunct w:val="0"/>
        <w:ind w:right="177"/>
        <w:rPr>
          <w:rFonts w:ascii="Times New Roman" w:hAnsi="Times New Roman" w:cs="Times New Roman"/>
          <w:sz w:val="26"/>
          <w:szCs w:val="26"/>
        </w:rPr>
      </w:pPr>
    </w:p>
    <w:p w:rsidRPr="005525B7" w:rsidR="006E26FE" w:rsidP="006E26FE" w:rsidRDefault="006E26FE" w14:paraId="7A0EC074" w14:textId="479DF620">
      <w:pPr>
        <w:pStyle w:val="BodyText"/>
        <w:kinsoku w:val="0"/>
        <w:overflowPunct w:val="0"/>
        <w:ind w:right="177"/>
        <w:rPr>
          <w:rFonts w:ascii="Times New Roman" w:hAnsi="Times New Roman" w:cs="Times New Roman"/>
          <w:sz w:val="26"/>
          <w:szCs w:val="26"/>
        </w:rPr>
      </w:pPr>
      <w:r w:rsidRPr="005525B7">
        <w:rPr>
          <w:rFonts w:ascii="Times New Roman" w:hAnsi="Times New Roman" w:cs="Times New Roman"/>
          <w:sz w:val="26"/>
          <w:szCs w:val="26"/>
        </w:rPr>
        <w:t xml:space="preserve">PG&amp;E </w:t>
      </w:r>
      <w:r w:rsidRPr="005525B7" w:rsidR="00B833DC">
        <w:rPr>
          <w:rFonts w:ascii="Times New Roman" w:hAnsi="Times New Roman" w:cs="Times New Roman"/>
          <w:sz w:val="26"/>
          <w:szCs w:val="26"/>
        </w:rPr>
        <w:t>describes its</w:t>
      </w:r>
      <w:r w:rsidRPr="005525B7">
        <w:rPr>
          <w:rFonts w:ascii="Times New Roman" w:hAnsi="Times New Roman" w:cs="Times New Roman"/>
          <w:sz w:val="26"/>
          <w:szCs w:val="26"/>
        </w:rPr>
        <w:t xml:space="preserve"> communication with EVM contract work crews</w:t>
      </w:r>
      <w:r w:rsidRPr="005525B7" w:rsidR="00736301">
        <w:rPr>
          <w:rFonts w:ascii="Times New Roman" w:hAnsi="Times New Roman" w:cs="Times New Roman"/>
          <w:sz w:val="26"/>
          <w:szCs w:val="26"/>
        </w:rPr>
        <w:t xml:space="preserve"> in its November 4, 2021 </w:t>
      </w:r>
      <w:r w:rsidRPr="005525B7" w:rsidR="00ED7514">
        <w:rPr>
          <w:rFonts w:ascii="Times New Roman" w:hAnsi="Times New Roman" w:cs="Times New Roman"/>
          <w:sz w:val="26"/>
          <w:szCs w:val="26"/>
        </w:rPr>
        <w:t>and</w:t>
      </w:r>
      <w:r w:rsidRPr="005525B7" w:rsidR="00736301">
        <w:rPr>
          <w:rFonts w:ascii="Times New Roman" w:hAnsi="Times New Roman" w:cs="Times New Roman"/>
          <w:sz w:val="26"/>
          <w:szCs w:val="26"/>
        </w:rPr>
        <w:t xml:space="preserve"> February 2, 2022 </w:t>
      </w:r>
      <w:r w:rsidRPr="005525B7" w:rsidR="00EB1161">
        <w:rPr>
          <w:rFonts w:ascii="Times New Roman" w:hAnsi="Times New Roman" w:cs="Times New Roman"/>
          <w:sz w:val="26"/>
          <w:szCs w:val="26"/>
        </w:rPr>
        <w:t>CAP</w:t>
      </w:r>
      <w:r w:rsidRPr="005525B7" w:rsidR="00736301">
        <w:rPr>
          <w:rFonts w:ascii="Times New Roman" w:hAnsi="Times New Roman" w:cs="Times New Roman"/>
          <w:sz w:val="26"/>
          <w:szCs w:val="26"/>
        </w:rPr>
        <w:t xml:space="preserve"> Update</w:t>
      </w:r>
      <w:r w:rsidRPr="005525B7" w:rsidR="00065613">
        <w:rPr>
          <w:rFonts w:ascii="Times New Roman" w:hAnsi="Times New Roman" w:cs="Times New Roman"/>
          <w:sz w:val="26"/>
          <w:szCs w:val="26"/>
        </w:rPr>
        <w:t>s</w:t>
      </w:r>
      <w:r w:rsidRPr="005525B7" w:rsidDel="00065613">
        <w:rPr>
          <w:rFonts w:ascii="Times New Roman" w:hAnsi="Times New Roman" w:cs="Times New Roman"/>
          <w:sz w:val="26"/>
          <w:szCs w:val="26"/>
        </w:rPr>
        <w:t>.</w:t>
      </w:r>
      <w:r w:rsidRPr="005525B7">
        <w:rPr>
          <w:rFonts w:ascii="Times New Roman" w:hAnsi="Times New Roman" w:cs="Times New Roman"/>
          <w:sz w:val="26"/>
          <w:szCs w:val="26"/>
        </w:rPr>
        <w:t xml:space="preserve">  PG&amp;E </w:t>
      </w:r>
      <w:r w:rsidRPr="005525B7" w:rsidR="006D5AC5">
        <w:rPr>
          <w:rFonts w:ascii="Times New Roman" w:hAnsi="Times New Roman" w:cs="Times New Roman"/>
          <w:sz w:val="26"/>
          <w:szCs w:val="26"/>
        </w:rPr>
        <w:t xml:space="preserve">communicates the information in its Tree-Weighted </w:t>
      </w:r>
      <w:r w:rsidRPr="005525B7" w:rsidR="00F446A1">
        <w:rPr>
          <w:rFonts w:ascii="Times New Roman" w:hAnsi="Times New Roman" w:cs="Times New Roman"/>
          <w:sz w:val="26"/>
          <w:szCs w:val="26"/>
        </w:rPr>
        <w:t>Prioritization</w:t>
      </w:r>
      <w:r w:rsidRPr="005525B7" w:rsidR="006D5AC5">
        <w:rPr>
          <w:rFonts w:ascii="Times New Roman" w:hAnsi="Times New Roman" w:cs="Times New Roman"/>
          <w:sz w:val="26"/>
          <w:szCs w:val="26"/>
        </w:rPr>
        <w:t xml:space="preserve"> </w:t>
      </w:r>
      <w:r w:rsidRPr="005525B7" w:rsidR="00F446A1">
        <w:rPr>
          <w:rFonts w:ascii="Times New Roman" w:hAnsi="Times New Roman" w:cs="Times New Roman"/>
          <w:sz w:val="26"/>
          <w:szCs w:val="26"/>
        </w:rPr>
        <w:t>L</w:t>
      </w:r>
      <w:r w:rsidRPr="005525B7" w:rsidR="006D5AC5">
        <w:rPr>
          <w:rFonts w:ascii="Times New Roman" w:hAnsi="Times New Roman" w:cs="Times New Roman"/>
          <w:sz w:val="26"/>
          <w:szCs w:val="26"/>
        </w:rPr>
        <w:t xml:space="preserve">ist to work crews </w:t>
      </w:r>
      <w:r w:rsidRPr="005525B7" w:rsidR="00222583">
        <w:rPr>
          <w:rFonts w:ascii="Times New Roman" w:hAnsi="Times New Roman" w:cs="Times New Roman"/>
          <w:sz w:val="26"/>
          <w:szCs w:val="26"/>
        </w:rPr>
        <w:t>du</w:t>
      </w:r>
      <w:r w:rsidRPr="005525B7" w:rsidR="002C2BE2">
        <w:rPr>
          <w:rFonts w:ascii="Times New Roman" w:hAnsi="Times New Roman" w:cs="Times New Roman"/>
          <w:sz w:val="26"/>
          <w:szCs w:val="26"/>
        </w:rPr>
        <w:t>r</w:t>
      </w:r>
      <w:r w:rsidRPr="005525B7" w:rsidR="00222583">
        <w:rPr>
          <w:rFonts w:ascii="Times New Roman" w:hAnsi="Times New Roman" w:cs="Times New Roman"/>
          <w:sz w:val="26"/>
          <w:szCs w:val="26"/>
        </w:rPr>
        <w:t>ing</w:t>
      </w:r>
      <w:r w:rsidRPr="005525B7">
        <w:rPr>
          <w:rFonts w:ascii="Times New Roman" w:hAnsi="Times New Roman" w:cs="Times New Roman"/>
          <w:sz w:val="26"/>
          <w:szCs w:val="26"/>
        </w:rPr>
        <w:t xml:space="preserve"> </w:t>
      </w:r>
      <w:r w:rsidRPr="005525B7" w:rsidR="008C3E9A">
        <w:rPr>
          <w:rFonts w:ascii="Times New Roman" w:hAnsi="Times New Roman" w:cs="Times New Roman"/>
          <w:sz w:val="26"/>
          <w:szCs w:val="26"/>
        </w:rPr>
        <w:t>D</w:t>
      </w:r>
      <w:r w:rsidRPr="005525B7">
        <w:rPr>
          <w:rFonts w:ascii="Times New Roman" w:hAnsi="Times New Roman" w:cs="Times New Roman"/>
          <w:sz w:val="26"/>
          <w:szCs w:val="26"/>
        </w:rPr>
        <w:t xml:space="preserve">aily </w:t>
      </w:r>
      <w:r w:rsidRPr="005525B7" w:rsidR="008C3E9A">
        <w:rPr>
          <w:rFonts w:ascii="Times New Roman" w:hAnsi="Times New Roman" w:cs="Times New Roman"/>
          <w:sz w:val="26"/>
          <w:szCs w:val="26"/>
        </w:rPr>
        <w:t>O</w:t>
      </w:r>
      <w:r w:rsidRPr="005525B7">
        <w:rPr>
          <w:rFonts w:ascii="Times New Roman" w:hAnsi="Times New Roman" w:cs="Times New Roman"/>
          <w:sz w:val="26"/>
          <w:szCs w:val="26"/>
        </w:rPr>
        <w:t xml:space="preserve">perating </w:t>
      </w:r>
      <w:r w:rsidRPr="005525B7" w:rsidR="008C3E9A">
        <w:rPr>
          <w:rFonts w:ascii="Times New Roman" w:hAnsi="Times New Roman" w:cs="Times New Roman"/>
          <w:sz w:val="26"/>
          <w:szCs w:val="26"/>
        </w:rPr>
        <w:t>R</w:t>
      </w:r>
      <w:r w:rsidRPr="005525B7">
        <w:rPr>
          <w:rFonts w:ascii="Times New Roman" w:hAnsi="Times New Roman" w:cs="Times New Roman"/>
          <w:sz w:val="26"/>
          <w:szCs w:val="26"/>
        </w:rPr>
        <w:t xml:space="preserve">eviews that occur between </w:t>
      </w:r>
      <w:r w:rsidRPr="005525B7" w:rsidR="6D4F68D0">
        <w:rPr>
          <w:rFonts w:ascii="Times New Roman" w:hAnsi="Times New Roman" w:cs="Times New Roman"/>
          <w:sz w:val="26"/>
          <w:szCs w:val="26"/>
        </w:rPr>
        <w:t xml:space="preserve">contractors, </w:t>
      </w:r>
      <w:r w:rsidRPr="005525B7">
        <w:rPr>
          <w:rFonts w:ascii="Times New Roman" w:hAnsi="Times New Roman" w:cs="Times New Roman"/>
          <w:sz w:val="26"/>
          <w:szCs w:val="26"/>
        </w:rPr>
        <w:t>senior management</w:t>
      </w:r>
      <w:r w:rsidRPr="005525B7" w:rsidR="6C99969F">
        <w:rPr>
          <w:rFonts w:ascii="Times New Roman" w:hAnsi="Times New Roman" w:cs="Times New Roman"/>
          <w:sz w:val="26"/>
          <w:szCs w:val="26"/>
        </w:rPr>
        <w:t>,</w:t>
      </w:r>
      <w:r w:rsidRPr="005525B7">
        <w:rPr>
          <w:rFonts w:ascii="Times New Roman" w:hAnsi="Times New Roman" w:cs="Times New Roman"/>
          <w:sz w:val="26"/>
          <w:szCs w:val="26"/>
        </w:rPr>
        <w:t xml:space="preserve"> and PG&amp;E </w:t>
      </w:r>
      <w:r w:rsidRPr="005525B7" w:rsidR="005A6394">
        <w:rPr>
          <w:rFonts w:ascii="Times New Roman" w:hAnsi="Times New Roman" w:cs="Times New Roman"/>
          <w:sz w:val="26"/>
          <w:szCs w:val="26"/>
        </w:rPr>
        <w:t>Vegetation Management</w:t>
      </w:r>
      <w:r w:rsidRPr="005525B7">
        <w:rPr>
          <w:rFonts w:ascii="Times New Roman" w:hAnsi="Times New Roman" w:cs="Times New Roman"/>
          <w:sz w:val="26"/>
          <w:szCs w:val="26"/>
        </w:rPr>
        <w:t xml:space="preserve"> staff. </w:t>
      </w:r>
      <w:r w:rsidRPr="005525B7" w:rsidR="00764DF7">
        <w:rPr>
          <w:rFonts w:ascii="Times New Roman" w:hAnsi="Times New Roman" w:cs="Times New Roman"/>
          <w:sz w:val="26"/>
          <w:szCs w:val="26"/>
        </w:rPr>
        <w:t xml:space="preserve"> </w:t>
      </w:r>
      <w:r w:rsidRPr="005525B7">
        <w:rPr>
          <w:rFonts w:ascii="Times New Roman" w:hAnsi="Times New Roman" w:cs="Times New Roman"/>
          <w:sz w:val="26"/>
          <w:szCs w:val="26"/>
        </w:rPr>
        <w:t xml:space="preserve">SED and Energy Safety </w:t>
      </w:r>
      <w:r w:rsidRPr="005525B7" w:rsidR="00D02BC1">
        <w:rPr>
          <w:rFonts w:ascii="Times New Roman" w:hAnsi="Times New Roman" w:cs="Times New Roman"/>
          <w:sz w:val="26"/>
          <w:szCs w:val="26"/>
        </w:rPr>
        <w:t>s</w:t>
      </w:r>
      <w:r w:rsidRPr="005525B7">
        <w:rPr>
          <w:rFonts w:ascii="Times New Roman" w:hAnsi="Times New Roman" w:cs="Times New Roman"/>
          <w:sz w:val="26"/>
          <w:szCs w:val="26"/>
        </w:rPr>
        <w:t>taff also attended Daily Operating Reviews to assess how PG&amp;E tracked EVM work progress and targets and set schedules for work.</w:t>
      </w:r>
      <w:r w:rsidRPr="005525B7" w:rsidR="00026355">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1A1866">
        <w:rPr>
          <w:rFonts w:ascii="Times New Roman" w:hAnsi="Times New Roman" w:cs="Times New Roman"/>
          <w:sz w:val="26"/>
          <w:szCs w:val="26"/>
        </w:rPr>
        <w:t xml:space="preserve">PG&amp;E </w:t>
      </w:r>
      <w:r w:rsidRPr="005525B7" w:rsidR="00D62C8D">
        <w:rPr>
          <w:rFonts w:ascii="Times New Roman" w:hAnsi="Times New Roman" w:cs="Times New Roman"/>
          <w:sz w:val="26"/>
          <w:szCs w:val="26"/>
        </w:rPr>
        <w:t>also</w:t>
      </w:r>
      <w:r w:rsidRPr="005525B7" w:rsidR="001A1866">
        <w:rPr>
          <w:rFonts w:ascii="Times New Roman" w:hAnsi="Times New Roman" w:cs="Times New Roman"/>
          <w:sz w:val="26"/>
          <w:szCs w:val="26"/>
        </w:rPr>
        <w:t xml:space="preserve"> </w:t>
      </w:r>
      <w:r w:rsidRPr="005525B7" w:rsidR="00DA3527">
        <w:rPr>
          <w:rFonts w:ascii="Times New Roman" w:hAnsi="Times New Roman" w:cs="Times New Roman"/>
          <w:sz w:val="26"/>
          <w:szCs w:val="26"/>
        </w:rPr>
        <w:t xml:space="preserve">provides </w:t>
      </w:r>
      <w:r w:rsidRPr="005525B7" w:rsidR="00D62C8D">
        <w:rPr>
          <w:rFonts w:ascii="Times New Roman" w:hAnsi="Times New Roman" w:cs="Times New Roman"/>
          <w:sz w:val="26"/>
          <w:szCs w:val="26"/>
        </w:rPr>
        <w:t xml:space="preserve">work </w:t>
      </w:r>
      <w:r w:rsidRPr="005525B7" w:rsidR="00DA3527">
        <w:rPr>
          <w:rFonts w:ascii="Times New Roman" w:hAnsi="Times New Roman" w:cs="Times New Roman"/>
          <w:sz w:val="26"/>
          <w:szCs w:val="26"/>
        </w:rPr>
        <w:t>instructions</w:t>
      </w:r>
      <w:r w:rsidRPr="005525B7" w:rsidR="00BB0966">
        <w:rPr>
          <w:rFonts w:ascii="Times New Roman" w:hAnsi="Times New Roman" w:cs="Times New Roman"/>
          <w:sz w:val="26"/>
          <w:szCs w:val="26"/>
        </w:rPr>
        <w:t xml:space="preserve"> to </w:t>
      </w:r>
      <w:r w:rsidRPr="005525B7" w:rsidR="00D62C8D">
        <w:rPr>
          <w:rFonts w:ascii="Times New Roman" w:hAnsi="Times New Roman" w:cs="Times New Roman"/>
          <w:sz w:val="26"/>
          <w:szCs w:val="26"/>
        </w:rPr>
        <w:t xml:space="preserve">work </w:t>
      </w:r>
      <w:r w:rsidRPr="005525B7" w:rsidR="00BB0966">
        <w:rPr>
          <w:rFonts w:ascii="Times New Roman" w:hAnsi="Times New Roman" w:cs="Times New Roman"/>
          <w:sz w:val="26"/>
          <w:szCs w:val="26"/>
        </w:rPr>
        <w:t xml:space="preserve">crews </w:t>
      </w:r>
      <w:r w:rsidRPr="005525B7" w:rsidR="00483DF4">
        <w:rPr>
          <w:rFonts w:ascii="Times New Roman" w:hAnsi="Times New Roman" w:cs="Times New Roman"/>
          <w:sz w:val="26"/>
          <w:szCs w:val="26"/>
        </w:rPr>
        <w:t xml:space="preserve">via </w:t>
      </w:r>
      <w:r w:rsidRPr="005525B7" w:rsidR="00BE5F03">
        <w:rPr>
          <w:rFonts w:ascii="Times New Roman" w:hAnsi="Times New Roman" w:cs="Times New Roman"/>
          <w:sz w:val="26"/>
          <w:szCs w:val="26"/>
        </w:rPr>
        <w:t>Arc</w:t>
      </w:r>
      <w:r w:rsidRPr="005525B7" w:rsidR="008B3DDF">
        <w:rPr>
          <w:rFonts w:ascii="Times New Roman" w:hAnsi="Times New Roman" w:cs="Times New Roman"/>
          <w:sz w:val="26"/>
          <w:szCs w:val="26"/>
        </w:rPr>
        <w:t xml:space="preserve">GIS </w:t>
      </w:r>
      <w:r w:rsidRPr="005525B7" w:rsidR="00BE5F03">
        <w:rPr>
          <w:rFonts w:ascii="Times New Roman" w:hAnsi="Times New Roman" w:cs="Times New Roman"/>
          <w:sz w:val="26"/>
          <w:szCs w:val="26"/>
        </w:rPr>
        <w:t>Collecto</w:t>
      </w:r>
      <w:r w:rsidRPr="005525B7" w:rsidR="00F7788F">
        <w:rPr>
          <w:rFonts w:ascii="Times New Roman" w:hAnsi="Times New Roman" w:cs="Times New Roman"/>
          <w:sz w:val="26"/>
          <w:szCs w:val="26"/>
        </w:rPr>
        <w:t>r</w:t>
      </w:r>
      <w:r w:rsidRPr="005525B7" w:rsidR="00BB0966">
        <w:rPr>
          <w:rFonts w:ascii="Times New Roman" w:hAnsi="Times New Roman" w:cs="Times New Roman"/>
          <w:sz w:val="26"/>
          <w:szCs w:val="26"/>
        </w:rPr>
        <w:t xml:space="preserve"> software</w:t>
      </w:r>
      <w:r w:rsidRPr="005525B7" w:rsidR="00FC0281">
        <w:rPr>
          <w:rFonts w:ascii="Times New Roman" w:hAnsi="Times New Roman" w:cs="Times New Roman"/>
          <w:sz w:val="26"/>
          <w:szCs w:val="26"/>
        </w:rPr>
        <w:t>,</w:t>
      </w:r>
      <w:r w:rsidRPr="005525B7" w:rsidR="00BB0966">
        <w:rPr>
          <w:rFonts w:ascii="Times New Roman" w:hAnsi="Times New Roman" w:cs="Times New Roman"/>
          <w:sz w:val="26"/>
          <w:szCs w:val="26"/>
        </w:rPr>
        <w:t xml:space="preserve"> which schedules, assigns, and tracks EVM work</w:t>
      </w:r>
      <w:r w:rsidRPr="005525B7" w:rsidR="00BE5F03">
        <w:rPr>
          <w:rFonts w:ascii="Times New Roman" w:hAnsi="Times New Roman" w:cs="Times New Roman"/>
          <w:sz w:val="26"/>
          <w:szCs w:val="26"/>
        </w:rPr>
        <w:t>.</w:t>
      </w:r>
    </w:p>
    <w:p w:rsidRPr="005525B7" w:rsidR="003E104D" w:rsidP="003E104D" w:rsidRDefault="003E104D" w14:paraId="2E9E40AC" w14:textId="6068D1CB">
      <w:pPr>
        <w:pStyle w:val="BodyText"/>
        <w:kinsoku w:val="0"/>
        <w:overflowPunct w:val="0"/>
        <w:ind w:left="862" w:right="177"/>
        <w:rPr>
          <w:rFonts w:ascii="Times New Roman" w:hAnsi="Times New Roman" w:cs="Times New Roman"/>
          <w:sz w:val="26"/>
          <w:szCs w:val="26"/>
        </w:rPr>
      </w:pPr>
    </w:p>
    <w:p w:rsidRPr="005525B7" w:rsidR="006E26FE" w:rsidP="00C83E2E" w:rsidRDefault="00D05B42" w14:paraId="7B40A6CE" w14:textId="7C59EFE8">
      <w:pPr>
        <w:pStyle w:val="paragraph"/>
        <w:spacing w:before="0" w:beforeAutospacing="0" w:after="0" w:afterAutospacing="0"/>
        <w:textAlignment w:val="baseline"/>
        <w:rPr>
          <w:rStyle w:val="eop"/>
          <w:b/>
          <w:bCs/>
          <w:sz w:val="26"/>
          <w:szCs w:val="26"/>
        </w:rPr>
      </w:pPr>
      <w:r w:rsidRPr="005525B7">
        <w:rPr>
          <w:sz w:val="26"/>
          <w:szCs w:val="26"/>
        </w:rPr>
        <w:t xml:space="preserve">Based on the information it provided, the Commission </w:t>
      </w:r>
      <w:r w:rsidRPr="005525B7" w:rsidR="00B15EC2">
        <w:rPr>
          <w:sz w:val="26"/>
          <w:szCs w:val="26"/>
        </w:rPr>
        <w:t>finds</w:t>
      </w:r>
      <w:r w:rsidRPr="005525B7">
        <w:rPr>
          <w:sz w:val="26"/>
          <w:szCs w:val="26"/>
        </w:rPr>
        <w:t xml:space="preserve"> that </w:t>
      </w:r>
      <w:r w:rsidRPr="005525B7" w:rsidR="00BC0B66">
        <w:rPr>
          <w:rStyle w:val="normaltextrun"/>
          <w:sz w:val="26"/>
          <w:szCs w:val="26"/>
        </w:rPr>
        <w:t xml:space="preserve">PG&amp;E provided sufficient information to satisfy </w:t>
      </w:r>
      <w:r w:rsidRPr="005525B7" w:rsidR="005B3D6C">
        <w:rPr>
          <w:rStyle w:val="normaltextrun"/>
          <w:sz w:val="26"/>
          <w:szCs w:val="26"/>
        </w:rPr>
        <w:t>CAP Element 5</w:t>
      </w:r>
      <w:r w:rsidRPr="005525B7" w:rsidR="00D27AA0">
        <w:rPr>
          <w:rStyle w:val="normaltextrun"/>
          <w:sz w:val="26"/>
          <w:szCs w:val="26"/>
        </w:rPr>
        <w:t>.</w:t>
      </w:r>
    </w:p>
    <w:p w:rsidRPr="005525B7" w:rsidR="00CB4976" w:rsidRDefault="00CB4976" w14:paraId="0905E6C7" w14:textId="7368AB2C">
      <w:pPr>
        <w:rPr>
          <w:rStyle w:val="eop"/>
          <w:rFonts w:ascii="Times New Roman" w:hAnsi="Times New Roman"/>
          <w:szCs w:val="26"/>
        </w:rPr>
      </w:pPr>
      <w:r w:rsidRPr="005525B7">
        <w:rPr>
          <w:rStyle w:val="eop"/>
          <w:rFonts w:ascii="Times New Roman" w:hAnsi="Times New Roman"/>
          <w:szCs w:val="26"/>
        </w:rPr>
        <w:br w:type="page"/>
      </w:r>
    </w:p>
    <w:p w:rsidRPr="005525B7" w:rsidR="006E5769" w:rsidP="00E25973" w:rsidRDefault="00E25973" w14:paraId="73EE8AA0" w14:textId="0CAA1282">
      <w:pPr>
        <w:pStyle w:val="paragraph"/>
        <w:spacing w:before="0" w:beforeAutospacing="0" w:after="0" w:afterAutospacing="0"/>
        <w:textAlignment w:val="baseline"/>
        <w:rPr>
          <w:rStyle w:val="eop"/>
          <w:sz w:val="26"/>
          <w:szCs w:val="26"/>
        </w:rPr>
      </w:pPr>
      <w:r w:rsidRPr="005525B7">
        <w:rPr>
          <w:b/>
          <w:bCs/>
          <w:sz w:val="26"/>
          <w:szCs w:val="26"/>
        </w:rPr>
        <w:lastRenderedPageBreak/>
        <w:t xml:space="preserve">CAP Element 6: </w:t>
      </w:r>
      <w:r w:rsidRPr="005525B7" w:rsidR="008D2A19">
        <w:rPr>
          <w:b/>
          <w:sz w:val="26"/>
          <w:szCs w:val="26"/>
        </w:rPr>
        <w:t>An explanation of the rationale for any planned EVM work that does not target the power lines with highest risk first.</w:t>
      </w:r>
      <w:r w:rsidRPr="005525B7" w:rsidR="008D2A19">
        <w:rPr>
          <w:rStyle w:val="normaltextrun"/>
          <w:b/>
          <w:bCs/>
          <w:sz w:val="26"/>
          <w:szCs w:val="26"/>
        </w:rPr>
        <w:t xml:space="preserve"> </w:t>
      </w:r>
    </w:p>
    <w:p w:rsidRPr="005525B7" w:rsidR="00505F2A" w:rsidP="00E25973" w:rsidRDefault="00505F2A" w14:paraId="4CEF6AB4" w14:textId="086C23A2">
      <w:pPr>
        <w:pStyle w:val="paragraph"/>
        <w:spacing w:before="0" w:beforeAutospacing="0" w:after="0" w:afterAutospacing="0"/>
        <w:textAlignment w:val="baseline"/>
        <w:rPr>
          <w:rStyle w:val="eop"/>
          <w:sz w:val="26"/>
          <w:szCs w:val="26"/>
        </w:rPr>
      </w:pPr>
    </w:p>
    <w:p w:rsidRPr="005525B7" w:rsidR="00981209" w:rsidP="006E26FE" w:rsidRDefault="00B54807" w14:paraId="6CE583AA" w14:textId="3A247E41">
      <w:pPr>
        <w:pStyle w:val="BodyText"/>
        <w:kinsoku w:val="0"/>
        <w:overflowPunct w:val="0"/>
        <w:ind w:right="532"/>
        <w:rPr>
          <w:rFonts w:ascii="Times New Roman" w:hAnsi="Times New Roman" w:cs="Times New Roman"/>
          <w:sz w:val="26"/>
          <w:szCs w:val="26"/>
        </w:rPr>
      </w:pPr>
      <w:r w:rsidRPr="005525B7">
        <w:rPr>
          <w:rFonts w:ascii="Times New Roman" w:hAnsi="Times New Roman" w:cs="Times New Roman"/>
          <w:sz w:val="26"/>
          <w:szCs w:val="26"/>
        </w:rPr>
        <w:t>PG&amp;E</w:t>
      </w:r>
      <w:r w:rsidRPr="005525B7" w:rsidR="00133A06">
        <w:rPr>
          <w:rFonts w:ascii="Times New Roman" w:hAnsi="Times New Roman" w:cs="Times New Roman"/>
          <w:sz w:val="26"/>
          <w:szCs w:val="26"/>
        </w:rPr>
        <w:t xml:space="preserve"> </w:t>
      </w:r>
      <w:r w:rsidRPr="005525B7" w:rsidR="00975FBD">
        <w:rPr>
          <w:rFonts w:ascii="Times New Roman" w:hAnsi="Times New Roman" w:cs="Times New Roman"/>
          <w:sz w:val="26"/>
          <w:szCs w:val="26"/>
        </w:rPr>
        <w:t>provides explanations</w:t>
      </w:r>
      <w:r w:rsidRPr="005525B7" w:rsidR="00211E1D">
        <w:rPr>
          <w:rFonts w:ascii="Times New Roman" w:hAnsi="Times New Roman" w:cs="Times New Roman"/>
          <w:sz w:val="26"/>
          <w:szCs w:val="26"/>
        </w:rPr>
        <w:t xml:space="preserve"> of its rationale for planning </w:t>
      </w:r>
      <w:r w:rsidRPr="005525B7" w:rsidR="00BA1AAA">
        <w:rPr>
          <w:rFonts w:ascii="Times New Roman" w:hAnsi="Times New Roman" w:cs="Times New Roman"/>
          <w:sz w:val="26"/>
          <w:szCs w:val="26"/>
        </w:rPr>
        <w:t xml:space="preserve">EVM work outside of the highest-ranked Circuit Protection Zones </w:t>
      </w:r>
      <w:r w:rsidRPr="005525B7" w:rsidR="00211E1D">
        <w:rPr>
          <w:rFonts w:ascii="Times New Roman" w:hAnsi="Times New Roman" w:cs="Times New Roman"/>
          <w:sz w:val="26"/>
          <w:szCs w:val="26"/>
        </w:rPr>
        <w:t xml:space="preserve">in </w:t>
      </w:r>
      <w:r w:rsidRPr="005525B7" w:rsidR="00C63992">
        <w:rPr>
          <w:rFonts w:ascii="Times New Roman" w:hAnsi="Times New Roman" w:cs="Times New Roman"/>
          <w:sz w:val="26"/>
          <w:szCs w:val="26"/>
        </w:rPr>
        <w:t xml:space="preserve">several </w:t>
      </w:r>
      <w:r w:rsidRPr="005525B7" w:rsidR="000F7AFF">
        <w:rPr>
          <w:rFonts w:ascii="Times New Roman" w:hAnsi="Times New Roman" w:cs="Times New Roman"/>
          <w:sz w:val="26"/>
          <w:szCs w:val="26"/>
        </w:rPr>
        <w:t>CAP</w:t>
      </w:r>
      <w:r w:rsidRPr="005525B7" w:rsidR="00C63992">
        <w:rPr>
          <w:rFonts w:ascii="Times New Roman" w:hAnsi="Times New Roman" w:cs="Times New Roman"/>
          <w:sz w:val="26"/>
          <w:szCs w:val="26"/>
        </w:rPr>
        <w:t xml:space="preserve"> Updates. </w:t>
      </w:r>
      <w:r w:rsidRPr="005525B7" w:rsidR="00764DF7">
        <w:rPr>
          <w:rFonts w:ascii="Times New Roman" w:hAnsi="Times New Roman" w:cs="Times New Roman"/>
          <w:sz w:val="26"/>
          <w:szCs w:val="26"/>
        </w:rPr>
        <w:t xml:space="preserve"> </w:t>
      </w:r>
      <w:r w:rsidRPr="005525B7" w:rsidR="00C63992">
        <w:rPr>
          <w:rFonts w:ascii="Times New Roman" w:hAnsi="Times New Roman" w:cs="Times New Roman"/>
          <w:sz w:val="26"/>
          <w:szCs w:val="26"/>
        </w:rPr>
        <w:t>These explanations</w:t>
      </w:r>
      <w:r w:rsidRPr="005525B7" w:rsidR="008C7850">
        <w:rPr>
          <w:rFonts w:ascii="Times New Roman" w:hAnsi="Times New Roman" w:cs="Times New Roman"/>
          <w:sz w:val="26"/>
          <w:szCs w:val="26"/>
        </w:rPr>
        <w:t xml:space="preserve"> include</w:t>
      </w:r>
      <w:r w:rsidRPr="005525B7" w:rsidR="008073FA">
        <w:rPr>
          <w:rFonts w:ascii="Times New Roman" w:hAnsi="Times New Roman" w:cs="Times New Roman"/>
          <w:sz w:val="26"/>
          <w:szCs w:val="26"/>
        </w:rPr>
        <w:t xml:space="preserve">: 1) </w:t>
      </w:r>
      <w:r w:rsidRPr="005525B7" w:rsidR="0017181E">
        <w:rPr>
          <w:rFonts w:ascii="Times New Roman" w:hAnsi="Times New Roman" w:cs="Times New Roman"/>
          <w:sz w:val="26"/>
          <w:szCs w:val="26"/>
        </w:rPr>
        <w:t>carryover work from the previous year</w:t>
      </w:r>
      <w:r w:rsidRPr="005525B7" w:rsidR="007A78F8">
        <w:rPr>
          <w:rFonts w:ascii="Times New Roman" w:hAnsi="Times New Roman" w:cs="Times New Roman"/>
          <w:sz w:val="26"/>
          <w:szCs w:val="26"/>
        </w:rPr>
        <w:t>,</w:t>
      </w:r>
      <w:r w:rsidRPr="005525B7" w:rsidR="0017181E">
        <w:rPr>
          <w:rFonts w:ascii="Times New Roman" w:hAnsi="Times New Roman" w:cs="Times New Roman"/>
          <w:sz w:val="26"/>
          <w:szCs w:val="26"/>
        </w:rPr>
        <w:t xml:space="preserve"> 2) </w:t>
      </w:r>
      <w:r w:rsidRPr="005525B7" w:rsidR="00005812">
        <w:rPr>
          <w:rFonts w:ascii="Times New Roman" w:hAnsi="Times New Roman" w:cs="Times New Roman"/>
          <w:sz w:val="26"/>
          <w:szCs w:val="26"/>
        </w:rPr>
        <w:t>community commitments</w:t>
      </w:r>
      <w:r w:rsidRPr="005525B7" w:rsidR="007A78F8">
        <w:rPr>
          <w:rFonts w:ascii="Times New Roman" w:hAnsi="Times New Roman" w:cs="Times New Roman"/>
          <w:sz w:val="26"/>
          <w:szCs w:val="26"/>
        </w:rPr>
        <w:t>,</w:t>
      </w:r>
      <w:r w:rsidRPr="005525B7" w:rsidR="00421BA4">
        <w:rPr>
          <w:rFonts w:ascii="Times New Roman" w:hAnsi="Times New Roman" w:cs="Times New Roman"/>
          <w:sz w:val="26"/>
          <w:szCs w:val="26"/>
        </w:rPr>
        <w:t xml:space="preserve"> 3)</w:t>
      </w:r>
      <w:r w:rsidRPr="005525B7" w:rsidR="00F06C5A">
        <w:rPr>
          <w:rFonts w:ascii="Times New Roman" w:hAnsi="Times New Roman" w:cs="Times New Roman"/>
          <w:sz w:val="26"/>
          <w:szCs w:val="26"/>
        </w:rPr>
        <w:t xml:space="preserve"> </w:t>
      </w:r>
      <w:r w:rsidRPr="005525B7" w:rsidR="009A531C">
        <w:rPr>
          <w:rFonts w:ascii="Times New Roman" w:hAnsi="Times New Roman" w:cs="Times New Roman"/>
          <w:sz w:val="26"/>
          <w:szCs w:val="26"/>
        </w:rPr>
        <w:t>address</w:t>
      </w:r>
      <w:r w:rsidRPr="005525B7" w:rsidR="001B4AF3">
        <w:rPr>
          <w:rFonts w:ascii="Times New Roman" w:hAnsi="Times New Roman" w:cs="Times New Roman"/>
          <w:sz w:val="26"/>
          <w:szCs w:val="26"/>
        </w:rPr>
        <w:t>ing</w:t>
      </w:r>
      <w:r w:rsidRPr="005525B7" w:rsidR="009A531C">
        <w:rPr>
          <w:rFonts w:ascii="Times New Roman" w:hAnsi="Times New Roman" w:cs="Times New Roman"/>
          <w:sz w:val="26"/>
          <w:szCs w:val="26"/>
        </w:rPr>
        <w:t xml:space="preserve"> ignition risk</w:t>
      </w:r>
      <w:r w:rsidRPr="005525B7" w:rsidR="007A78F8">
        <w:rPr>
          <w:rFonts w:ascii="Times New Roman" w:hAnsi="Times New Roman" w:cs="Times New Roman"/>
          <w:sz w:val="26"/>
          <w:szCs w:val="26"/>
        </w:rPr>
        <w:t>,</w:t>
      </w:r>
      <w:r w:rsidRPr="005525B7" w:rsidR="00E604F9">
        <w:rPr>
          <w:rFonts w:ascii="Times New Roman" w:hAnsi="Times New Roman" w:cs="Times New Roman"/>
          <w:sz w:val="26"/>
          <w:szCs w:val="26"/>
        </w:rPr>
        <w:t xml:space="preserve"> and 4)</w:t>
      </w:r>
      <w:r w:rsidRPr="005525B7" w:rsidR="007A78F8">
        <w:rPr>
          <w:rFonts w:ascii="Times New Roman" w:hAnsi="Times New Roman" w:cs="Times New Roman"/>
          <w:sz w:val="26"/>
          <w:szCs w:val="26"/>
        </w:rPr>
        <w:t xml:space="preserve"> </w:t>
      </w:r>
      <w:r w:rsidRPr="005525B7" w:rsidR="007261EE">
        <w:rPr>
          <w:rFonts w:ascii="Times New Roman" w:hAnsi="Times New Roman" w:cs="Times New Roman"/>
          <w:sz w:val="26"/>
          <w:szCs w:val="26"/>
        </w:rPr>
        <w:t xml:space="preserve">a </w:t>
      </w:r>
      <w:r w:rsidRPr="005525B7" w:rsidR="00757BB3">
        <w:rPr>
          <w:rFonts w:ascii="Times New Roman" w:hAnsi="Times New Roman" w:cs="Times New Roman"/>
          <w:sz w:val="26"/>
          <w:szCs w:val="26"/>
        </w:rPr>
        <w:t>Circuit Protect</w:t>
      </w:r>
      <w:r w:rsidRPr="005525B7" w:rsidR="007A32F9">
        <w:rPr>
          <w:rFonts w:ascii="Times New Roman" w:hAnsi="Times New Roman" w:cs="Times New Roman"/>
          <w:sz w:val="26"/>
          <w:szCs w:val="26"/>
        </w:rPr>
        <w:t>i</w:t>
      </w:r>
      <w:r w:rsidRPr="005525B7" w:rsidR="00757BB3">
        <w:rPr>
          <w:rFonts w:ascii="Times New Roman" w:hAnsi="Times New Roman" w:cs="Times New Roman"/>
          <w:sz w:val="26"/>
          <w:szCs w:val="26"/>
        </w:rPr>
        <w:t xml:space="preserve">on Zone </w:t>
      </w:r>
      <w:r w:rsidRPr="005525B7" w:rsidR="007A32F9">
        <w:rPr>
          <w:rFonts w:ascii="Times New Roman" w:hAnsi="Times New Roman" w:cs="Times New Roman"/>
          <w:sz w:val="26"/>
          <w:szCs w:val="26"/>
        </w:rPr>
        <w:t xml:space="preserve">in the </w:t>
      </w:r>
      <w:r w:rsidRPr="005525B7" w:rsidR="009D5732">
        <w:rPr>
          <w:rFonts w:ascii="Times New Roman" w:hAnsi="Times New Roman" w:cs="Times New Roman"/>
          <w:sz w:val="26"/>
          <w:szCs w:val="26"/>
        </w:rPr>
        <w:t>t</w:t>
      </w:r>
      <w:r w:rsidRPr="005525B7" w:rsidR="007A32F9">
        <w:rPr>
          <w:rFonts w:ascii="Times New Roman" w:hAnsi="Times New Roman" w:cs="Times New Roman"/>
          <w:sz w:val="26"/>
          <w:szCs w:val="26"/>
        </w:rPr>
        <w:t>op 10</w:t>
      </w:r>
      <w:r w:rsidRPr="005525B7" w:rsidR="00332502">
        <w:rPr>
          <w:rFonts w:ascii="Times New Roman" w:hAnsi="Times New Roman" w:cs="Times New Roman"/>
          <w:sz w:val="26"/>
          <w:szCs w:val="26"/>
        </w:rPr>
        <w:t xml:space="preserve"> percent</w:t>
      </w:r>
      <w:r w:rsidRPr="005525B7" w:rsidR="007A32F9">
        <w:rPr>
          <w:rFonts w:ascii="Times New Roman" w:hAnsi="Times New Roman" w:cs="Times New Roman"/>
          <w:sz w:val="26"/>
          <w:szCs w:val="26"/>
        </w:rPr>
        <w:t xml:space="preserve"> risk tranche</w:t>
      </w:r>
      <w:r w:rsidRPr="005525B7" w:rsidR="00757BB3">
        <w:rPr>
          <w:rFonts w:ascii="Times New Roman" w:hAnsi="Times New Roman" w:cs="Times New Roman"/>
          <w:sz w:val="26"/>
          <w:szCs w:val="26"/>
        </w:rPr>
        <w:t xml:space="preserve"> </w:t>
      </w:r>
      <w:r w:rsidRPr="005525B7" w:rsidR="008F09F3">
        <w:rPr>
          <w:rFonts w:ascii="Times New Roman" w:hAnsi="Times New Roman" w:cs="Times New Roman"/>
          <w:sz w:val="26"/>
          <w:szCs w:val="26"/>
        </w:rPr>
        <w:t xml:space="preserve">that </w:t>
      </w:r>
      <w:r w:rsidRPr="005525B7" w:rsidR="007D024D">
        <w:rPr>
          <w:rFonts w:ascii="Times New Roman" w:hAnsi="Times New Roman" w:cs="Times New Roman"/>
          <w:sz w:val="26"/>
          <w:szCs w:val="26"/>
        </w:rPr>
        <w:t>was initially missed due to a nomenclature issue</w:t>
      </w:r>
      <w:r w:rsidRPr="005525B7" w:rsidR="009D5732">
        <w:rPr>
          <w:rFonts w:ascii="Times New Roman" w:hAnsi="Times New Roman" w:cs="Times New Roman"/>
          <w:sz w:val="26"/>
          <w:szCs w:val="26"/>
        </w:rPr>
        <w:t>.</w:t>
      </w:r>
      <w:r w:rsidRPr="005525B7" w:rsidR="000F5880">
        <w:rPr>
          <w:rStyle w:val="StyleFootnoteReferenceofrStyle3o1o2o3o4o5o6o11o21o7"/>
          <w:rFonts w:cs="Times New Roman"/>
          <w:sz w:val="26"/>
          <w:szCs w:val="26"/>
        </w:rPr>
        <w:footnoteReference w:id="26"/>
      </w:r>
    </w:p>
    <w:p w:rsidRPr="005525B7" w:rsidR="00981209" w:rsidP="006E26FE" w:rsidRDefault="00981209" w14:paraId="5A353FE8" w14:textId="77777777">
      <w:pPr>
        <w:pStyle w:val="BodyText"/>
        <w:kinsoku w:val="0"/>
        <w:overflowPunct w:val="0"/>
        <w:ind w:right="532"/>
        <w:rPr>
          <w:rFonts w:ascii="Times New Roman" w:hAnsi="Times New Roman" w:cs="Times New Roman"/>
          <w:sz w:val="26"/>
          <w:szCs w:val="26"/>
        </w:rPr>
      </w:pPr>
    </w:p>
    <w:p w:rsidRPr="005525B7" w:rsidR="006E26FE" w:rsidP="007B5EF3" w:rsidRDefault="00986F32" w14:paraId="4B8DAB15" w14:textId="573C9D60">
      <w:pPr>
        <w:autoSpaceDE w:val="0"/>
        <w:autoSpaceDN w:val="0"/>
        <w:adjustRightInd w:val="0"/>
        <w:rPr>
          <w:rFonts w:ascii="Times New Roman" w:hAnsi="Times New Roman"/>
          <w:szCs w:val="26"/>
        </w:rPr>
      </w:pPr>
      <w:r w:rsidRPr="005525B7">
        <w:rPr>
          <w:rFonts w:ascii="Times New Roman" w:hAnsi="Times New Roman"/>
          <w:szCs w:val="26"/>
        </w:rPr>
        <w:t xml:space="preserve">First, </w:t>
      </w:r>
      <w:r w:rsidRPr="005525B7" w:rsidR="0088349C">
        <w:rPr>
          <w:rFonts w:ascii="Times New Roman" w:hAnsi="Times New Roman"/>
          <w:szCs w:val="26"/>
        </w:rPr>
        <w:t>i</w:t>
      </w:r>
      <w:r w:rsidRPr="005525B7" w:rsidR="00E87534">
        <w:rPr>
          <w:rFonts w:ascii="Times New Roman" w:hAnsi="Times New Roman"/>
          <w:szCs w:val="26"/>
        </w:rPr>
        <w:t>n 2021, PG&amp;E planned to complete carryover work on 88 miles from the 2020 Scope of Work that were outside of the 2021’s EVM Scope of Work.</w:t>
      </w:r>
      <w:r w:rsidRPr="005525B7" w:rsidR="00E87534">
        <w:rPr>
          <w:rStyle w:val="StyleFootnoteReferenceofrStyle3o1o2o3o4o5o6o11o21o7"/>
          <w:szCs w:val="26"/>
        </w:rPr>
        <w:footnoteReference w:id="27"/>
      </w:r>
      <w:r w:rsidRPr="005525B7" w:rsidR="00E87534">
        <w:rPr>
          <w:rFonts w:ascii="Times New Roman" w:hAnsi="Times New Roman"/>
          <w:szCs w:val="26"/>
        </w:rPr>
        <w:t xml:space="preserve"> </w:t>
      </w:r>
      <w:r w:rsidRPr="005525B7" w:rsidR="00764DF7">
        <w:rPr>
          <w:rFonts w:ascii="Times New Roman" w:hAnsi="Times New Roman"/>
          <w:szCs w:val="26"/>
        </w:rPr>
        <w:t xml:space="preserve"> </w:t>
      </w:r>
      <w:r w:rsidRPr="005525B7" w:rsidR="007B23E2">
        <w:rPr>
          <w:rFonts w:ascii="Times New Roman" w:hAnsi="Times New Roman"/>
          <w:szCs w:val="26"/>
        </w:rPr>
        <w:t>Second</w:t>
      </w:r>
      <w:r w:rsidRPr="005525B7" w:rsidR="00A03790">
        <w:rPr>
          <w:rFonts w:ascii="Times New Roman" w:hAnsi="Times New Roman"/>
          <w:szCs w:val="26"/>
        </w:rPr>
        <w:t xml:space="preserve">, </w:t>
      </w:r>
      <w:r w:rsidRPr="005525B7" w:rsidR="00947BBC">
        <w:rPr>
          <w:rFonts w:ascii="Times New Roman" w:hAnsi="Times New Roman"/>
          <w:szCs w:val="26"/>
        </w:rPr>
        <w:t>PG&amp;E</w:t>
      </w:r>
      <w:r w:rsidRPr="005525B7" w:rsidR="00E764CB">
        <w:rPr>
          <w:rFonts w:ascii="Times New Roman" w:hAnsi="Times New Roman"/>
          <w:szCs w:val="26"/>
        </w:rPr>
        <w:t xml:space="preserve"> </w:t>
      </w:r>
      <w:r w:rsidRPr="005525B7" w:rsidR="00644BAB">
        <w:rPr>
          <w:rFonts w:ascii="Times New Roman" w:hAnsi="Times New Roman"/>
          <w:szCs w:val="26"/>
        </w:rPr>
        <w:t xml:space="preserve">explained that </w:t>
      </w:r>
      <w:r w:rsidRPr="005525B7" w:rsidR="00B71955">
        <w:rPr>
          <w:rFonts w:ascii="Times New Roman" w:hAnsi="Times New Roman"/>
          <w:szCs w:val="26"/>
        </w:rPr>
        <w:t xml:space="preserve">between the submission of the May 6, 2021 </w:t>
      </w:r>
      <w:r w:rsidRPr="005525B7" w:rsidR="000F7AFF">
        <w:rPr>
          <w:rFonts w:ascii="Times New Roman" w:hAnsi="Times New Roman"/>
          <w:szCs w:val="26"/>
        </w:rPr>
        <w:t>CAP</w:t>
      </w:r>
      <w:r w:rsidRPr="005525B7" w:rsidR="00B71955">
        <w:rPr>
          <w:rFonts w:ascii="Times New Roman" w:hAnsi="Times New Roman"/>
          <w:szCs w:val="26"/>
        </w:rPr>
        <w:t xml:space="preserve"> and the August </w:t>
      </w:r>
      <w:r w:rsidRPr="005525B7" w:rsidR="00CA57E9">
        <w:rPr>
          <w:rFonts w:ascii="Times New Roman" w:hAnsi="Times New Roman"/>
          <w:szCs w:val="26"/>
        </w:rPr>
        <w:t>4,</w:t>
      </w:r>
      <w:r w:rsidRPr="005525B7" w:rsidR="00B71955">
        <w:rPr>
          <w:rFonts w:ascii="Times New Roman" w:hAnsi="Times New Roman"/>
          <w:szCs w:val="26"/>
        </w:rPr>
        <w:t xml:space="preserve"> </w:t>
      </w:r>
      <w:r w:rsidRPr="005525B7" w:rsidR="00CC531D">
        <w:rPr>
          <w:rFonts w:ascii="Times New Roman" w:hAnsi="Times New Roman"/>
          <w:szCs w:val="26"/>
        </w:rPr>
        <w:t xml:space="preserve">2021 </w:t>
      </w:r>
      <w:r w:rsidRPr="005525B7" w:rsidR="000F7AFF">
        <w:rPr>
          <w:rFonts w:ascii="Times New Roman" w:hAnsi="Times New Roman"/>
          <w:szCs w:val="26"/>
        </w:rPr>
        <w:t xml:space="preserve">CAP </w:t>
      </w:r>
      <w:r w:rsidRPr="005525B7" w:rsidR="00CC531D">
        <w:rPr>
          <w:rFonts w:ascii="Times New Roman" w:hAnsi="Times New Roman"/>
          <w:szCs w:val="26"/>
        </w:rPr>
        <w:t xml:space="preserve">Update </w:t>
      </w:r>
      <w:r w:rsidRPr="005525B7" w:rsidR="00B11BEC">
        <w:rPr>
          <w:rFonts w:ascii="Times New Roman" w:hAnsi="Times New Roman"/>
          <w:szCs w:val="26"/>
        </w:rPr>
        <w:t xml:space="preserve">it added four Circuit Protection Zones </w:t>
      </w:r>
      <w:r w:rsidRPr="005525B7" w:rsidR="00750C33">
        <w:rPr>
          <w:rFonts w:ascii="Times New Roman" w:hAnsi="Times New Roman"/>
          <w:szCs w:val="26"/>
        </w:rPr>
        <w:t xml:space="preserve">related to </w:t>
      </w:r>
      <w:r w:rsidRPr="005525B7" w:rsidR="00893D6E">
        <w:rPr>
          <w:rFonts w:ascii="Times New Roman" w:hAnsi="Times New Roman"/>
          <w:szCs w:val="26"/>
        </w:rPr>
        <w:t>community commitments</w:t>
      </w:r>
      <w:r w:rsidRPr="005525B7" w:rsidR="002355FD">
        <w:rPr>
          <w:rFonts w:ascii="Times New Roman" w:hAnsi="Times New Roman"/>
          <w:szCs w:val="26"/>
        </w:rPr>
        <w:t xml:space="preserve"> and permits</w:t>
      </w:r>
      <w:r w:rsidRPr="005525B7" w:rsidR="00750C33">
        <w:rPr>
          <w:rFonts w:ascii="Times New Roman" w:hAnsi="Times New Roman"/>
          <w:szCs w:val="26"/>
        </w:rPr>
        <w:t xml:space="preserve"> </w:t>
      </w:r>
      <w:r w:rsidRPr="005525B7" w:rsidR="00DB192D">
        <w:rPr>
          <w:rFonts w:ascii="Times New Roman" w:hAnsi="Times New Roman"/>
          <w:szCs w:val="26"/>
        </w:rPr>
        <w:t>added to the 2021 EVM Scope of Work.</w:t>
      </w:r>
      <w:r w:rsidRPr="005525B7" w:rsidR="00D727F3">
        <w:rPr>
          <w:rStyle w:val="StyleFootnoteReferenceofrStyle3o1o2o3o4o5o6o11o21o7"/>
          <w:szCs w:val="26"/>
        </w:rPr>
        <w:footnoteReference w:id="28"/>
      </w:r>
      <w:r w:rsidRPr="005525B7" w:rsidR="00DB192D">
        <w:rPr>
          <w:rFonts w:ascii="Times New Roman" w:hAnsi="Times New Roman"/>
          <w:szCs w:val="26"/>
        </w:rPr>
        <w:t xml:space="preserve"> </w:t>
      </w:r>
      <w:r w:rsidRPr="005525B7" w:rsidR="00764DF7">
        <w:rPr>
          <w:rFonts w:ascii="Times New Roman" w:hAnsi="Times New Roman"/>
          <w:szCs w:val="26"/>
        </w:rPr>
        <w:t xml:space="preserve"> </w:t>
      </w:r>
      <w:r w:rsidRPr="005525B7" w:rsidR="007F1BEE">
        <w:rPr>
          <w:rFonts w:ascii="Times New Roman" w:hAnsi="Times New Roman"/>
          <w:szCs w:val="26"/>
        </w:rPr>
        <w:t>Third</w:t>
      </w:r>
      <w:r w:rsidRPr="005525B7" w:rsidR="00497979">
        <w:rPr>
          <w:rFonts w:ascii="Times New Roman" w:hAnsi="Times New Roman"/>
          <w:szCs w:val="26"/>
        </w:rPr>
        <w:t xml:space="preserve">, </w:t>
      </w:r>
      <w:r w:rsidRPr="005525B7" w:rsidR="00322067">
        <w:rPr>
          <w:rFonts w:ascii="Times New Roman" w:hAnsi="Times New Roman"/>
          <w:szCs w:val="26"/>
        </w:rPr>
        <w:t xml:space="preserve">between the August </w:t>
      </w:r>
      <w:r w:rsidRPr="005525B7" w:rsidR="00CA57E9">
        <w:rPr>
          <w:rFonts w:ascii="Times New Roman" w:hAnsi="Times New Roman"/>
          <w:szCs w:val="26"/>
        </w:rPr>
        <w:t xml:space="preserve">4, </w:t>
      </w:r>
      <w:r w:rsidRPr="005525B7" w:rsidR="00322067">
        <w:rPr>
          <w:rFonts w:ascii="Times New Roman" w:hAnsi="Times New Roman"/>
          <w:szCs w:val="26"/>
        </w:rPr>
        <w:t xml:space="preserve">2021 </w:t>
      </w:r>
      <w:r w:rsidRPr="005525B7" w:rsidR="000F7AFF">
        <w:rPr>
          <w:rFonts w:ascii="Times New Roman" w:hAnsi="Times New Roman"/>
          <w:szCs w:val="26"/>
        </w:rPr>
        <w:t xml:space="preserve">CAP </w:t>
      </w:r>
      <w:r w:rsidRPr="005525B7" w:rsidR="00322067">
        <w:rPr>
          <w:rFonts w:ascii="Times New Roman" w:hAnsi="Times New Roman"/>
          <w:szCs w:val="26"/>
        </w:rPr>
        <w:t xml:space="preserve">Update and the November </w:t>
      </w:r>
      <w:r w:rsidRPr="005525B7" w:rsidR="00CA57E9">
        <w:rPr>
          <w:rFonts w:ascii="Times New Roman" w:hAnsi="Times New Roman"/>
          <w:szCs w:val="26"/>
        </w:rPr>
        <w:t>4,</w:t>
      </w:r>
      <w:r w:rsidRPr="005525B7" w:rsidR="00322067">
        <w:rPr>
          <w:rFonts w:ascii="Times New Roman" w:hAnsi="Times New Roman"/>
          <w:szCs w:val="26"/>
        </w:rPr>
        <w:t xml:space="preserve"> 2021 </w:t>
      </w:r>
      <w:r w:rsidRPr="005525B7" w:rsidR="000F7AFF">
        <w:rPr>
          <w:rFonts w:ascii="Times New Roman" w:hAnsi="Times New Roman"/>
          <w:szCs w:val="26"/>
        </w:rPr>
        <w:t xml:space="preserve">CAP </w:t>
      </w:r>
      <w:r w:rsidRPr="005525B7" w:rsidR="00322067">
        <w:rPr>
          <w:rFonts w:ascii="Times New Roman" w:hAnsi="Times New Roman"/>
          <w:szCs w:val="26"/>
        </w:rPr>
        <w:t xml:space="preserve">Update, </w:t>
      </w:r>
      <w:r w:rsidRPr="005525B7" w:rsidR="00FF605C">
        <w:rPr>
          <w:rFonts w:ascii="Times New Roman" w:hAnsi="Times New Roman"/>
          <w:szCs w:val="26"/>
        </w:rPr>
        <w:t xml:space="preserve">PG&amp;E added five Circuit Protection Zones </w:t>
      </w:r>
      <w:r w:rsidRPr="005525B7" w:rsidR="008D3904">
        <w:rPr>
          <w:rFonts w:ascii="Times New Roman" w:hAnsi="Times New Roman"/>
          <w:szCs w:val="26"/>
        </w:rPr>
        <w:t xml:space="preserve">where </w:t>
      </w:r>
      <w:r w:rsidRPr="005525B7" w:rsidR="006F7A20">
        <w:rPr>
          <w:rFonts w:ascii="Times New Roman" w:hAnsi="Times New Roman"/>
          <w:szCs w:val="26"/>
        </w:rPr>
        <w:t>vegetation ignitions occurred in 2021</w:t>
      </w:r>
      <w:r w:rsidRPr="005525B7" w:rsidR="002257C7">
        <w:rPr>
          <w:rFonts w:ascii="Times New Roman" w:hAnsi="Times New Roman"/>
          <w:szCs w:val="26"/>
        </w:rPr>
        <w:t>,</w:t>
      </w:r>
      <w:r w:rsidRPr="005525B7" w:rsidR="00322067">
        <w:rPr>
          <w:rFonts w:ascii="Times New Roman" w:hAnsi="Times New Roman"/>
          <w:szCs w:val="26"/>
        </w:rPr>
        <w:t xml:space="preserve"> which </w:t>
      </w:r>
      <w:r w:rsidRPr="005525B7" w:rsidR="002530DD">
        <w:rPr>
          <w:rFonts w:ascii="Times New Roman" w:hAnsi="Times New Roman"/>
          <w:szCs w:val="26"/>
        </w:rPr>
        <w:t xml:space="preserve">fell within the top 20 percent of risk-ranked Circuit Protection Zones but were outside of the </w:t>
      </w:r>
      <w:r w:rsidRPr="005525B7" w:rsidR="007072A8">
        <w:rPr>
          <w:rFonts w:ascii="Times New Roman" w:hAnsi="Times New Roman"/>
          <w:szCs w:val="26"/>
        </w:rPr>
        <w:t>2021 EVM scope.</w:t>
      </w:r>
      <w:r w:rsidRPr="005525B7" w:rsidR="005A1571">
        <w:rPr>
          <w:rStyle w:val="StyleFootnoteReferenceofrStyle3o1o2o3o4o5o6o11o21o7"/>
          <w:szCs w:val="26"/>
        </w:rPr>
        <w:footnoteReference w:id="29"/>
      </w:r>
      <w:r w:rsidRPr="005525B7" w:rsidR="007072A8">
        <w:rPr>
          <w:rFonts w:ascii="Times New Roman" w:hAnsi="Times New Roman"/>
          <w:szCs w:val="26"/>
        </w:rPr>
        <w:t xml:space="preserve"> </w:t>
      </w:r>
      <w:r w:rsidRPr="005525B7" w:rsidR="0046309C">
        <w:rPr>
          <w:rFonts w:ascii="Times New Roman" w:hAnsi="Times New Roman"/>
          <w:szCs w:val="26"/>
        </w:rPr>
        <w:t>Finally, durin</w:t>
      </w:r>
      <w:r w:rsidRPr="005525B7" w:rsidR="008A6396">
        <w:rPr>
          <w:rFonts w:ascii="Times New Roman" w:hAnsi="Times New Roman"/>
          <w:szCs w:val="26"/>
        </w:rPr>
        <w:t xml:space="preserve">g the November 8, 2021 Commission Workshop, PG&amp;E </w:t>
      </w:r>
      <w:r w:rsidRPr="005525B7" w:rsidR="00697B49">
        <w:rPr>
          <w:rFonts w:ascii="Times New Roman" w:hAnsi="Times New Roman"/>
          <w:szCs w:val="26"/>
        </w:rPr>
        <w:t xml:space="preserve">explained that it added </w:t>
      </w:r>
      <w:r w:rsidRPr="005525B7" w:rsidR="00820C18">
        <w:rPr>
          <w:rFonts w:ascii="Times New Roman" w:hAnsi="Times New Roman"/>
          <w:szCs w:val="26"/>
        </w:rPr>
        <w:t xml:space="preserve">a Circuit Protection Zone that </w:t>
      </w:r>
      <w:r w:rsidRPr="005525B7" w:rsidR="009D6F85">
        <w:rPr>
          <w:rFonts w:ascii="Times New Roman" w:hAnsi="Times New Roman"/>
          <w:szCs w:val="26"/>
        </w:rPr>
        <w:t xml:space="preserve">was ranked in the </w:t>
      </w:r>
      <w:r w:rsidRPr="005525B7" w:rsidR="00B973DD">
        <w:rPr>
          <w:rFonts w:ascii="Times New Roman" w:hAnsi="Times New Roman"/>
          <w:szCs w:val="26"/>
        </w:rPr>
        <w:t>t</w:t>
      </w:r>
      <w:r w:rsidRPr="005525B7" w:rsidR="009D6F85">
        <w:rPr>
          <w:rFonts w:ascii="Times New Roman" w:hAnsi="Times New Roman"/>
          <w:szCs w:val="26"/>
        </w:rPr>
        <w:t>op 10</w:t>
      </w:r>
      <w:r w:rsidRPr="005525B7" w:rsidR="00B973DD">
        <w:rPr>
          <w:rFonts w:ascii="Times New Roman" w:hAnsi="Times New Roman"/>
          <w:szCs w:val="26"/>
        </w:rPr>
        <w:t xml:space="preserve"> percent </w:t>
      </w:r>
      <w:r w:rsidRPr="005525B7" w:rsidR="00D7036A">
        <w:rPr>
          <w:rFonts w:ascii="Times New Roman" w:hAnsi="Times New Roman"/>
          <w:szCs w:val="26"/>
        </w:rPr>
        <w:t xml:space="preserve">that was previously missed due to </w:t>
      </w:r>
      <w:r w:rsidRPr="005525B7" w:rsidR="00A96D77">
        <w:rPr>
          <w:rFonts w:ascii="Times New Roman" w:hAnsi="Times New Roman"/>
          <w:szCs w:val="26"/>
        </w:rPr>
        <w:t>a nomenclature error.</w:t>
      </w:r>
      <w:r w:rsidRPr="005525B7" w:rsidR="00A96D77">
        <w:rPr>
          <w:rStyle w:val="StyleFootnoteReferenceofrStyle3o1o2o3o4o5o6o11o21o7"/>
          <w:szCs w:val="26"/>
        </w:rPr>
        <w:footnoteReference w:id="30"/>
      </w:r>
      <w:r w:rsidRPr="005525B7" w:rsidR="00754F42">
        <w:rPr>
          <w:rFonts w:ascii="Times New Roman" w:hAnsi="Times New Roman"/>
          <w:szCs w:val="26"/>
        </w:rPr>
        <w:t xml:space="preserve"> </w:t>
      </w:r>
      <w:r w:rsidRPr="005525B7" w:rsidR="00754F42">
        <w:rPr>
          <w:rFonts w:ascii="Times New Roman" w:hAnsi="Times New Roman"/>
          <w:szCs w:val="26"/>
          <w:lang w:val="en-ZW"/>
        </w:rPr>
        <w:t>PG&amp;E explained that the San Joaquin#2 1103 circuit breaker Circuit Protection Zone was previously missed due to a nomenclature error.</w:t>
      </w:r>
    </w:p>
    <w:p w:rsidRPr="005525B7" w:rsidR="006E26FE" w:rsidP="006E26FE" w:rsidRDefault="006E26FE" w14:paraId="350D3271" w14:textId="77777777">
      <w:pPr>
        <w:pStyle w:val="BodyText"/>
        <w:kinsoku w:val="0"/>
        <w:overflowPunct w:val="0"/>
        <w:ind w:right="532"/>
        <w:rPr>
          <w:rFonts w:ascii="Times New Roman" w:hAnsi="Times New Roman" w:cs="Times New Roman"/>
          <w:sz w:val="26"/>
          <w:szCs w:val="26"/>
          <w:vertAlign w:val="superscript"/>
        </w:rPr>
      </w:pPr>
    </w:p>
    <w:p w:rsidRPr="005525B7" w:rsidR="00E54B24" w:rsidP="00E25973" w:rsidRDefault="00D05B42" w14:paraId="04122586" w14:textId="48A7E456">
      <w:pPr>
        <w:pStyle w:val="paragraph"/>
        <w:spacing w:before="0" w:beforeAutospacing="0" w:after="0" w:afterAutospacing="0"/>
        <w:textAlignment w:val="baseline"/>
        <w:rPr>
          <w:rStyle w:val="eop"/>
          <w:b/>
          <w:bCs/>
          <w:sz w:val="26"/>
          <w:szCs w:val="26"/>
        </w:rPr>
      </w:pPr>
      <w:r w:rsidRPr="005525B7">
        <w:rPr>
          <w:sz w:val="26"/>
          <w:szCs w:val="26"/>
        </w:rPr>
        <w:t xml:space="preserve">Based on the information it provided, the Commission </w:t>
      </w:r>
      <w:r w:rsidRPr="005525B7" w:rsidR="00597471">
        <w:rPr>
          <w:sz w:val="26"/>
          <w:szCs w:val="26"/>
        </w:rPr>
        <w:t>finds</w:t>
      </w:r>
      <w:r w:rsidRPr="005525B7">
        <w:rPr>
          <w:sz w:val="26"/>
          <w:szCs w:val="26"/>
        </w:rPr>
        <w:t xml:space="preserve"> that </w:t>
      </w:r>
      <w:r w:rsidRPr="005525B7" w:rsidR="00753208">
        <w:rPr>
          <w:sz w:val="26"/>
          <w:szCs w:val="26"/>
        </w:rPr>
        <w:t xml:space="preserve">PG&amp;E </w:t>
      </w:r>
      <w:r w:rsidRPr="005525B7" w:rsidR="00597471">
        <w:rPr>
          <w:rStyle w:val="normaltextrun"/>
          <w:sz w:val="26"/>
          <w:szCs w:val="26"/>
        </w:rPr>
        <w:t xml:space="preserve">provided sufficient information to satisfy </w:t>
      </w:r>
      <w:r w:rsidRPr="005525B7" w:rsidR="00753208">
        <w:rPr>
          <w:sz w:val="26"/>
          <w:szCs w:val="26"/>
        </w:rPr>
        <w:t>CAP Element 6.</w:t>
      </w:r>
    </w:p>
    <w:p w:rsidRPr="005525B7" w:rsidR="00CB4976" w:rsidRDefault="00CB4976" w14:paraId="41532EF9" w14:textId="4FD3D958">
      <w:pPr>
        <w:rPr>
          <w:rFonts w:ascii="Times New Roman" w:hAnsi="Times New Roman"/>
          <w:szCs w:val="26"/>
        </w:rPr>
      </w:pPr>
      <w:r w:rsidRPr="005525B7">
        <w:rPr>
          <w:rFonts w:ascii="Times New Roman" w:hAnsi="Times New Roman"/>
          <w:szCs w:val="26"/>
        </w:rPr>
        <w:br w:type="page"/>
      </w:r>
    </w:p>
    <w:p w:rsidRPr="005525B7" w:rsidR="00944D6F" w:rsidP="00944D6F" w:rsidRDefault="00944D6F" w14:paraId="255AB1D6" w14:textId="66559A4C">
      <w:pPr>
        <w:pStyle w:val="paragraph"/>
        <w:spacing w:before="0" w:beforeAutospacing="0" w:after="0" w:afterAutospacing="0"/>
        <w:textAlignment w:val="baseline"/>
        <w:rPr>
          <w:rStyle w:val="normaltextrun"/>
          <w:sz w:val="26"/>
          <w:szCs w:val="26"/>
        </w:rPr>
      </w:pPr>
      <w:r w:rsidRPr="005525B7">
        <w:rPr>
          <w:b/>
          <w:bCs/>
          <w:sz w:val="26"/>
          <w:szCs w:val="26"/>
        </w:rPr>
        <w:lastRenderedPageBreak/>
        <w:t xml:space="preserve">CAP Element 7: </w:t>
      </w:r>
      <w:r w:rsidRPr="005525B7" w:rsidR="00EE0FAD">
        <w:rPr>
          <w:b/>
          <w:bCs/>
          <w:sz w:val="26"/>
          <w:szCs w:val="26"/>
        </w:rPr>
        <w:t>Any changes to the 2021 Wildfire Distribution Risk Model, the Wildfire Consequence Model, or the Vegetation Risk Model occurring over the prior 90 days or planned for the subsequent 90 days</w:t>
      </w:r>
      <w:r w:rsidRPr="005525B7" w:rsidR="00EE0FAD">
        <w:rPr>
          <w:sz w:val="26"/>
          <w:szCs w:val="26"/>
        </w:rPr>
        <w:t>.</w:t>
      </w:r>
    </w:p>
    <w:p w:rsidRPr="005525B7" w:rsidR="004C45A8" w:rsidP="00944D6F" w:rsidRDefault="004C45A8" w14:paraId="631D92E8" w14:textId="0099B397">
      <w:pPr>
        <w:pStyle w:val="paragraph"/>
        <w:spacing w:before="0" w:beforeAutospacing="0" w:after="0" w:afterAutospacing="0"/>
        <w:textAlignment w:val="baseline"/>
        <w:rPr>
          <w:rStyle w:val="normaltextrun"/>
          <w:sz w:val="26"/>
          <w:szCs w:val="26"/>
        </w:rPr>
      </w:pPr>
    </w:p>
    <w:p w:rsidRPr="005525B7" w:rsidR="00F92456" w:rsidP="00D573AC" w:rsidRDefault="00F92456" w14:paraId="30102D76" w14:textId="5FC5F70A">
      <w:pPr>
        <w:pStyle w:val="BodyText"/>
        <w:kinsoku w:val="0"/>
        <w:overflowPunct w:val="0"/>
        <w:ind w:right="269"/>
        <w:rPr>
          <w:rFonts w:ascii="Times New Roman" w:hAnsi="Times New Roman" w:cs="Times New Roman"/>
          <w:sz w:val="26"/>
          <w:szCs w:val="26"/>
        </w:rPr>
      </w:pPr>
      <w:r w:rsidRPr="005525B7">
        <w:rPr>
          <w:rFonts w:ascii="Times New Roman" w:hAnsi="Times New Roman" w:cs="Times New Roman"/>
          <w:sz w:val="26"/>
          <w:szCs w:val="26"/>
        </w:rPr>
        <w:t xml:space="preserve">PG&amp;E reported changes to the 2021 Wildfire Distribution Risk model in </w:t>
      </w:r>
      <w:r w:rsidRPr="005525B7" w:rsidR="0013448D">
        <w:rPr>
          <w:rFonts w:ascii="Times New Roman" w:hAnsi="Times New Roman" w:cs="Times New Roman"/>
          <w:sz w:val="26"/>
          <w:szCs w:val="26"/>
        </w:rPr>
        <w:t>the 90 days prior to</w:t>
      </w:r>
      <w:r w:rsidRPr="005525B7" w:rsidR="00DF55BE">
        <w:rPr>
          <w:rFonts w:ascii="Times New Roman" w:hAnsi="Times New Roman" w:cs="Times New Roman"/>
          <w:sz w:val="26"/>
          <w:szCs w:val="26"/>
        </w:rPr>
        <w:t xml:space="preserve"> submitting the</w:t>
      </w:r>
      <w:r w:rsidRPr="005525B7" w:rsidR="005B36BC">
        <w:rPr>
          <w:rFonts w:ascii="Times New Roman" w:hAnsi="Times New Roman" w:cs="Times New Roman"/>
          <w:sz w:val="26"/>
          <w:szCs w:val="26"/>
        </w:rPr>
        <w:t xml:space="preserve"> </w:t>
      </w:r>
      <w:r w:rsidRPr="005525B7" w:rsidR="00ED78AD">
        <w:rPr>
          <w:rFonts w:ascii="Times New Roman" w:hAnsi="Times New Roman" w:cs="Times New Roman"/>
          <w:sz w:val="26"/>
          <w:szCs w:val="26"/>
        </w:rPr>
        <w:t xml:space="preserve">May </w:t>
      </w:r>
      <w:r w:rsidRPr="005525B7" w:rsidR="00F97A84">
        <w:rPr>
          <w:rFonts w:ascii="Times New Roman" w:hAnsi="Times New Roman" w:cs="Times New Roman"/>
          <w:sz w:val="26"/>
          <w:szCs w:val="26"/>
        </w:rPr>
        <w:t>6,</w:t>
      </w:r>
      <w:r w:rsidRPr="005525B7" w:rsidR="00ED78AD">
        <w:rPr>
          <w:rFonts w:ascii="Times New Roman" w:hAnsi="Times New Roman" w:cs="Times New Roman"/>
          <w:sz w:val="26"/>
          <w:szCs w:val="26"/>
        </w:rPr>
        <w:t xml:space="preserve"> </w:t>
      </w:r>
      <w:r w:rsidRPr="005525B7" w:rsidR="006B5394">
        <w:rPr>
          <w:rFonts w:ascii="Times New Roman" w:hAnsi="Times New Roman" w:cs="Times New Roman"/>
          <w:sz w:val="26"/>
          <w:szCs w:val="26"/>
        </w:rPr>
        <w:t xml:space="preserve">2021 </w:t>
      </w:r>
      <w:r w:rsidRPr="005525B7" w:rsidR="000F7AFF">
        <w:rPr>
          <w:rFonts w:ascii="Times New Roman" w:hAnsi="Times New Roman" w:cs="Times New Roman"/>
          <w:sz w:val="26"/>
          <w:szCs w:val="26"/>
        </w:rPr>
        <w:t>CAP</w:t>
      </w:r>
      <w:r w:rsidRPr="005525B7" w:rsidR="006B5394">
        <w:rPr>
          <w:rFonts w:ascii="Times New Roman" w:hAnsi="Times New Roman" w:cs="Times New Roman"/>
          <w:sz w:val="26"/>
          <w:szCs w:val="26"/>
        </w:rPr>
        <w:t>.</w:t>
      </w:r>
      <w:r w:rsidRPr="005525B7" w:rsidR="008711F9">
        <w:rPr>
          <w:rStyle w:val="StyleFootnoteReferenceofrStyle3o1o2o3o4o5o6o11o21o7"/>
          <w:rFonts w:cs="Times New Roman"/>
          <w:sz w:val="26"/>
          <w:szCs w:val="26"/>
        </w:rPr>
        <w:footnoteReference w:id="31"/>
      </w:r>
      <w:r w:rsidRPr="005525B7" w:rsidR="007C3978">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3C155B">
        <w:rPr>
          <w:rFonts w:ascii="Times New Roman" w:hAnsi="Times New Roman" w:cs="Times New Roman"/>
          <w:sz w:val="26"/>
          <w:szCs w:val="26"/>
        </w:rPr>
        <w:t xml:space="preserve">PG&amp;E </w:t>
      </w:r>
      <w:r w:rsidRPr="005525B7" w:rsidR="0097377B">
        <w:rPr>
          <w:rFonts w:ascii="Times New Roman" w:hAnsi="Times New Roman" w:cs="Times New Roman"/>
          <w:sz w:val="26"/>
          <w:szCs w:val="26"/>
        </w:rPr>
        <w:t xml:space="preserve">explained that </w:t>
      </w:r>
      <w:r w:rsidRPr="005525B7" w:rsidR="006D2F02">
        <w:rPr>
          <w:rFonts w:ascii="Times New Roman" w:hAnsi="Times New Roman" w:cs="Times New Roman"/>
          <w:sz w:val="26"/>
          <w:szCs w:val="26"/>
        </w:rPr>
        <w:t xml:space="preserve">it revised </w:t>
      </w:r>
      <w:r w:rsidRPr="005525B7" w:rsidR="004C2542">
        <w:rPr>
          <w:rFonts w:ascii="Times New Roman" w:hAnsi="Times New Roman" w:cs="Times New Roman"/>
          <w:sz w:val="26"/>
          <w:szCs w:val="26"/>
        </w:rPr>
        <w:t xml:space="preserve">the methodology to develop the </w:t>
      </w:r>
      <w:r w:rsidRPr="005525B7" w:rsidR="000549C5">
        <w:rPr>
          <w:rFonts w:ascii="Times New Roman" w:hAnsi="Times New Roman" w:cs="Times New Roman"/>
          <w:sz w:val="26"/>
          <w:szCs w:val="26"/>
        </w:rPr>
        <w:t>Tree-</w:t>
      </w:r>
      <w:r w:rsidRPr="005525B7" w:rsidR="00E95EA0">
        <w:rPr>
          <w:rFonts w:ascii="Times New Roman" w:hAnsi="Times New Roman" w:cs="Times New Roman"/>
          <w:sz w:val="26"/>
          <w:szCs w:val="26"/>
        </w:rPr>
        <w:t>W</w:t>
      </w:r>
      <w:r w:rsidRPr="005525B7" w:rsidR="000549C5">
        <w:rPr>
          <w:rFonts w:ascii="Times New Roman" w:hAnsi="Times New Roman" w:cs="Times New Roman"/>
          <w:sz w:val="26"/>
          <w:szCs w:val="26"/>
        </w:rPr>
        <w:t xml:space="preserve">eighted Prioritization List </w:t>
      </w:r>
      <w:r w:rsidRPr="005525B7" w:rsidR="00987B5E">
        <w:rPr>
          <w:rFonts w:ascii="Times New Roman" w:hAnsi="Times New Roman" w:cs="Times New Roman"/>
          <w:sz w:val="26"/>
          <w:szCs w:val="26"/>
        </w:rPr>
        <w:t xml:space="preserve">from March 2021 </w:t>
      </w:r>
      <w:r w:rsidRPr="005525B7" w:rsidR="000348CA">
        <w:rPr>
          <w:rFonts w:ascii="Times New Roman" w:hAnsi="Times New Roman" w:cs="Times New Roman"/>
          <w:sz w:val="26"/>
          <w:szCs w:val="26"/>
        </w:rPr>
        <w:t>by</w:t>
      </w:r>
      <w:r w:rsidRPr="005525B7" w:rsidR="00263931">
        <w:rPr>
          <w:rFonts w:ascii="Times New Roman" w:hAnsi="Times New Roman" w:cs="Times New Roman"/>
          <w:sz w:val="26"/>
          <w:szCs w:val="26"/>
        </w:rPr>
        <w:t xml:space="preserve"> updating </w:t>
      </w:r>
      <w:r w:rsidRPr="005525B7" w:rsidR="003F3AE6">
        <w:rPr>
          <w:rFonts w:ascii="Times New Roman" w:hAnsi="Times New Roman" w:cs="Times New Roman"/>
          <w:sz w:val="26"/>
          <w:szCs w:val="26"/>
        </w:rPr>
        <w:t>a</w:t>
      </w:r>
      <w:r w:rsidRPr="005525B7" w:rsidR="00263931">
        <w:rPr>
          <w:rFonts w:ascii="Times New Roman" w:hAnsi="Times New Roman" w:cs="Times New Roman"/>
          <w:sz w:val="26"/>
          <w:szCs w:val="26"/>
        </w:rPr>
        <w:t xml:space="preserve"> </w:t>
      </w:r>
      <w:r w:rsidRPr="005525B7" w:rsidR="006E7B32">
        <w:rPr>
          <w:rFonts w:ascii="Times New Roman" w:hAnsi="Times New Roman" w:cs="Times New Roman"/>
          <w:sz w:val="26"/>
          <w:szCs w:val="26"/>
        </w:rPr>
        <w:t>LiDAR</w:t>
      </w:r>
      <w:r w:rsidRPr="005525B7" w:rsidR="00263931">
        <w:rPr>
          <w:rFonts w:ascii="Times New Roman" w:hAnsi="Times New Roman" w:cs="Times New Roman"/>
          <w:sz w:val="26"/>
          <w:szCs w:val="26"/>
        </w:rPr>
        <w:t xml:space="preserve"> </w:t>
      </w:r>
      <w:r w:rsidRPr="005525B7" w:rsidR="003F3AE6">
        <w:rPr>
          <w:rFonts w:ascii="Times New Roman" w:hAnsi="Times New Roman" w:cs="Times New Roman"/>
          <w:sz w:val="26"/>
          <w:szCs w:val="26"/>
        </w:rPr>
        <w:t xml:space="preserve">source </w:t>
      </w:r>
      <w:r w:rsidRPr="005525B7" w:rsidR="00263931">
        <w:rPr>
          <w:rFonts w:ascii="Times New Roman" w:hAnsi="Times New Roman" w:cs="Times New Roman"/>
          <w:sz w:val="26"/>
          <w:szCs w:val="26"/>
        </w:rPr>
        <w:t xml:space="preserve">data </w:t>
      </w:r>
      <w:r w:rsidRPr="005525B7" w:rsidR="003F3AE6">
        <w:rPr>
          <w:rFonts w:ascii="Times New Roman" w:hAnsi="Times New Roman" w:cs="Times New Roman"/>
          <w:sz w:val="26"/>
          <w:szCs w:val="26"/>
        </w:rPr>
        <w:t xml:space="preserve">snapshot </w:t>
      </w:r>
      <w:r w:rsidRPr="005525B7" w:rsidR="002E632B">
        <w:rPr>
          <w:rFonts w:ascii="Times New Roman" w:hAnsi="Times New Roman" w:cs="Times New Roman"/>
          <w:sz w:val="26"/>
          <w:szCs w:val="26"/>
        </w:rPr>
        <w:t>and</w:t>
      </w:r>
      <w:r w:rsidRPr="005525B7" w:rsidR="003F3AE6">
        <w:rPr>
          <w:rFonts w:ascii="Times New Roman" w:hAnsi="Times New Roman" w:cs="Times New Roman"/>
          <w:sz w:val="26"/>
          <w:szCs w:val="26"/>
        </w:rPr>
        <w:t xml:space="preserve"> </w:t>
      </w:r>
      <w:r w:rsidRPr="005525B7" w:rsidR="008221F7">
        <w:rPr>
          <w:rFonts w:ascii="Times New Roman" w:hAnsi="Times New Roman" w:cs="Times New Roman"/>
          <w:sz w:val="26"/>
          <w:szCs w:val="26"/>
        </w:rPr>
        <w:t>utilizing the Tree-</w:t>
      </w:r>
      <w:r w:rsidRPr="005525B7" w:rsidR="00E95EA0">
        <w:rPr>
          <w:rFonts w:ascii="Times New Roman" w:hAnsi="Times New Roman" w:cs="Times New Roman"/>
          <w:sz w:val="26"/>
          <w:szCs w:val="26"/>
        </w:rPr>
        <w:t>W</w:t>
      </w:r>
      <w:r w:rsidRPr="005525B7" w:rsidR="008221F7">
        <w:rPr>
          <w:rFonts w:ascii="Times New Roman" w:hAnsi="Times New Roman" w:cs="Times New Roman"/>
          <w:sz w:val="26"/>
          <w:szCs w:val="26"/>
        </w:rPr>
        <w:t>eighted Prioritization List, rather than multiple lists.</w:t>
      </w:r>
      <w:r w:rsidRPr="005525B7" w:rsidR="00C16195">
        <w:rPr>
          <w:rStyle w:val="StyleFootnoteReferenceofrStyle3o1o2o3o4o5o6o11o21o7"/>
          <w:rFonts w:cs="Times New Roman"/>
          <w:sz w:val="26"/>
          <w:szCs w:val="26"/>
        </w:rPr>
        <w:footnoteReference w:id="32"/>
      </w:r>
    </w:p>
    <w:p w:rsidRPr="005525B7" w:rsidR="001C24CE" w:rsidP="00D573AC" w:rsidRDefault="001C24CE" w14:paraId="0354793B" w14:textId="77777777">
      <w:pPr>
        <w:pStyle w:val="BodyText"/>
        <w:kinsoku w:val="0"/>
        <w:overflowPunct w:val="0"/>
        <w:ind w:right="269"/>
        <w:rPr>
          <w:rFonts w:ascii="Times New Roman" w:hAnsi="Times New Roman" w:cs="Times New Roman"/>
          <w:sz w:val="26"/>
          <w:szCs w:val="26"/>
        </w:rPr>
      </w:pPr>
    </w:p>
    <w:p w:rsidRPr="005525B7" w:rsidR="00365EED" w:rsidP="00D573AC" w:rsidRDefault="00365EED" w14:paraId="42866DFD" w14:textId="46A8F221">
      <w:pPr>
        <w:pStyle w:val="BodyText"/>
        <w:kinsoku w:val="0"/>
        <w:overflowPunct w:val="0"/>
        <w:ind w:right="269"/>
        <w:rPr>
          <w:rFonts w:ascii="Times New Roman" w:hAnsi="Times New Roman" w:cs="Times New Roman"/>
          <w:sz w:val="26"/>
          <w:szCs w:val="26"/>
        </w:rPr>
      </w:pPr>
      <w:r w:rsidRPr="005525B7">
        <w:rPr>
          <w:rFonts w:ascii="Times New Roman" w:hAnsi="Times New Roman" w:cs="Times New Roman"/>
          <w:sz w:val="26"/>
          <w:szCs w:val="26"/>
        </w:rPr>
        <w:t xml:space="preserve">Although </w:t>
      </w:r>
      <w:r w:rsidRPr="005525B7" w:rsidR="00F958C4">
        <w:rPr>
          <w:rFonts w:ascii="Times New Roman" w:hAnsi="Times New Roman" w:cs="Times New Roman"/>
          <w:sz w:val="26"/>
          <w:szCs w:val="26"/>
        </w:rPr>
        <w:t xml:space="preserve">PG&amp;E reported planned changes to the Wildfire Distribution Model in its May 3, 2022 </w:t>
      </w:r>
      <w:r w:rsidRPr="005525B7" w:rsidR="00F1080B">
        <w:rPr>
          <w:rFonts w:ascii="Times New Roman" w:hAnsi="Times New Roman" w:cs="Times New Roman"/>
          <w:sz w:val="26"/>
          <w:szCs w:val="26"/>
        </w:rPr>
        <w:t xml:space="preserve">CAP </w:t>
      </w:r>
      <w:r w:rsidRPr="005525B7" w:rsidR="00F958C4">
        <w:rPr>
          <w:rFonts w:ascii="Times New Roman" w:hAnsi="Times New Roman" w:cs="Times New Roman"/>
          <w:sz w:val="26"/>
          <w:szCs w:val="26"/>
        </w:rPr>
        <w:t xml:space="preserve">Update, </w:t>
      </w:r>
      <w:r w:rsidRPr="005525B7" w:rsidR="0061636E">
        <w:rPr>
          <w:rFonts w:ascii="Times New Roman" w:hAnsi="Times New Roman" w:cs="Times New Roman"/>
          <w:sz w:val="26"/>
          <w:szCs w:val="26"/>
        </w:rPr>
        <w:t>those changes</w:t>
      </w:r>
      <w:r w:rsidRPr="005525B7" w:rsidR="00CF030D">
        <w:rPr>
          <w:rFonts w:ascii="Times New Roman" w:hAnsi="Times New Roman" w:cs="Times New Roman"/>
          <w:sz w:val="26"/>
          <w:szCs w:val="26"/>
        </w:rPr>
        <w:t xml:space="preserve"> did not affect its planned EVM </w:t>
      </w:r>
      <w:r w:rsidRPr="005525B7" w:rsidR="00A8520B">
        <w:rPr>
          <w:rFonts w:ascii="Times New Roman" w:hAnsi="Times New Roman" w:cs="Times New Roman"/>
          <w:sz w:val="26"/>
          <w:szCs w:val="26"/>
        </w:rPr>
        <w:t>S</w:t>
      </w:r>
      <w:r w:rsidRPr="005525B7" w:rsidR="00CF030D">
        <w:rPr>
          <w:rFonts w:ascii="Times New Roman" w:hAnsi="Times New Roman" w:cs="Times New Roman"/>
          <w:sz w:val="26"/>
          <w:szCs w:val="26"/>
        </w:rPr>
        <w:t xml:space="preserve">cope of </w:t>
      </w:r>
      <w:r w:rsidRPr="005525B7" w:rsidR="00A8520B">
        <w:rPr>
          <w:rFonts w:ascii="Times New Roman" w:hAnsi="Times New Roman" w:cs="Times New Roman"/>
          <w:sz w:val="26"/>
          <w:szCs w:val="26"/>
        </w:rPr>
        <w:t>W</w:t>
      </w:r>
      <w:r w:rsidRPr="005525B7" w:rsidR="00CF030D">
        <w:rPr>
          <w:rFonts w:ascii="Times New Roman" w:hAnsi="Times New Roman" w:cs="Times New Roman"/>
          <w:sz w:val="26"/>
          <w:szCs w:val="26"/>
        </w:rPr>
        <w:t>ork for the subsequent 90 days.</w:t>
      </w:r>
      <w:r w:rsidRPr="005525B7" w:rsidR="00855F60">
        <w:rPr>
          <w:rFonts w:ascii="Times New Roman" w:hAnsi="Times New Roman" w:cs="Times New Roman"/>
          <w:sz w:val="26"/>
          <w:szCs w:val="26"/>
        </w:rPr>
        <w:t xml:space="preserve"> </w:t>
      </w:r>
      <w:r w:rsidRPr="005525B7" w:rsidR="00764DF7">
        <w:rPr>
          <w:rFonts w:ascii="Times New Roman" w:hAnsi="Times New Roman" w:cs="Times New Roman"/>
          <w:sz w:val="26"/>
          <w:szCs w:val="26"/>
        </w:rPr>
        <w:t xml:space="preserve"> </w:t>
      </w:r>
      <w:r w:rsidRPr="005525B7" w:rsidR="00855F60">
        <w:rPr>
          <w:rFonts w:ascii="Times New Roman" w:hAnsi="Times New Roman" w:cs="Times New Roman"/>
          <w:sz w:val="26"/>
          <w:szCs w:val="26"/>
        </w:rPr>
        <w:t xml:space="preserve">Instead, </w:t>
      </w:r>
      <w:r w:rsidRPr="005525B7" w:rsidR="00BC4161">
        <w:rPr>
          <w:rFonts w:ascii="Times New Roman" w:hAnsi="Times New Roman" w:cs="Times New Roman"/>
          <w:sz w:val="26"/>
          <w:szCs w:val="26"/>
        </w:rPr>
        <w:t>PG&amp;E continues to use the 2021 Tree-Weighted Prioritization List</w:t>
      </w:r>
      <w:r w:rsidRPr="005525B7" w:rsidR="00CA57A4">
        <w:rPr>
          <w:rFonts w:ascii="Times New Roman" w:hAnsi="Times New Roman" w:cs="Times New Roman"/>
          <w:sz w:val="26"/>
          <w:szCs w:val="26"/>
        </w:rPr>
        <w:t xml:space="preserve"> </w:t>
      </w:r>
      <w:r w:rsidRPr="005525B7" w:rsidR="00A851D4">
        <w:rPr>
          <w:rFonts w:ascii="Times New Roman" w:hAnsi="Times New Roman" w:cs="Times New Roman"/>
          <w:sz w:val="26"/>
          <w:szCs w:val="26"/>
        </w:rPr>
        <w:t>in 2022</w:t>
      </w:r>
      <w:r w:rsidRPr="005525B7" w:rsidR="00BC4161">
        <w:rPr>
          <w:rFonts w:ascii="Times New Roman" w:hAnsi="Times New Roman" w:cs="Times New Roman"/>
          <w:sz w:val="26"/>
          <w:szCs w:val="26"/>
        </w:rPr>
        <w:t xml:space="preserve"> but </w:t>
      </w:r>
      <w:r w:rsidRPr="005525B7" w:rsidR="00CC4836">
        <w:rPr>
          <w:rFonts w:ascii="Times New Roman" w:hAnsi="Times New Roman" w:cs="Times New Roman"/>
          <w:sz w:val="26"/>
          <w:szCs w:val="26"/>
        </w:rPr>
        <w:t xml:space="preserve">it </w:t>
      </w:r>
      <w:r w:rsidRPr="005525B7" w:rsidR="00BC4161">
        <w:rPr>
          <w:rFonts w:ascii="Times New Roman" w:hAnsi="Times New Roman" w:cs="Times New Roman"/>
          <w:sz w:val="26"/>
          <w:szCs w:val="26"/>
        </w:rPr>
        <w:t>is now targeting Circuit Protection Zones 101-253.</w:t>
      </w:r>
      <w:r w:rsidRPr="005525B7" w:rsidR="00CC6DFB">
        <w:rPr>
          <w:rFonts w:ascii="Times New Roman" w:hAnsi="Times New Roman" w:cs="Times New Roman"/>
          <w:sz w:val="26"/>
          <w:szCs w:val="26"/>
        </w:rPr>
        <w:t xml:space="preserve"> </w:t>
      </w:r>
    </w:p>
    <w:p w:rsidRPr="005525B7" w:rsidR="004C45A8" w:rsidP="007B5EF3" w:rsidRDefault="004C45A8" w14:paraId="2F174014" w14:textId="333A6045">
      <w:pPr>
        <w:pStyle w:val="BodyText"/>
        <w:kinsoku w:val="0"/>
        <w:overflowPunct w:val="0"/>
        <w:ind w:right="269"/>
        <w:rPr>
          <w:rFonts w:ascii="Times New Roman" w:hAnsi="Times New Roman" w:cs="Times New Roman"/>
          <w:sz w:val="26"/>
          <w:szCs w:val="26"/>
        </w:rPr>
      </w:pPr>
    </w:p>
    <w:p w:rsidRPr="005525B7" w:rsidR="0042530A" w:rsidRDefault="00055931" w14:paraId="17D6962A" w14:textId="518A4B6D">
      <w:pPr>
        <w:pStyle w:val="BodyText"/>
        <w:kinsoku w:val="0"/>
        <w:overflowPunct w:val="0"/>
        <w:ind w:right="269"/>
        <w:rPr>
          <w:rFonts w:ascii="Times New Roman" w:hAnsi="Times New Roman" w:cs="Times New Roman"/>
          <w:sz w:val="26"/>
          <w:szCs w:val="26"/>
        </w:rPr>
      </w:pPr>
      <w:r w:rsidRPr="005525B7">
        <w:rPr>
          <w:rFonts w:ascii="Times New Roman" w:hAnsi="Times New Roman" w:cs="Times New Roman"/>
          <w:sz w:val="26"/>
          <w:szCs w:val="26"/>
        </w:rPr>
        <w:t xml:space="preserve">The Vegetation Management Board and the Wildfire Risk Governance Steering Committee will continue to evaluate </w:t>
      </w:r>
      <w:r w:rsidRPr="005525B7" w:rsidR="00E45708">
        <w:rPr>
          <w:rFonts w:ascii="Times New Roman" w:hAnsi="Times New Roman" w:cs="Times New Roman"/>
          <w:sz w:val="26"/>
          <w:szCs w:val="26"/>
        </w:rPr>
        <w:t xml:space="preserve">PG&amp;E’s </w:t>
      </w:r>
      <w:r w:rsidRPr="005525B7" w:rsidR="00315776">
        <w:rPr>
          <w:rFonts w:ascii="Times New Roman" w:hAnsi="Times New Roman" w:cs="Times New Roman"/>
          <w:sz w:val="26"/>
          <w:szCs w:val="26"/>
        </w:rPr>
        <w:t xml:space="preserve">planned changes to the Wildfire Distribution Risk Model through </w:t>
      </w:r>
      <w:r w:rsidRPr="005525B7">
        <w:rPr>
          <w:rFonts w:ascii="Times New Roman" w:hAnsi="Times New Roman" w:cs="Times New Roman"/>
          <w:sz w:val="26"/>
          <w:szCs w:val="26"/>
        </w:rPr>
        <w:t>its</w:t>
      </w:r>
      <w:r w:rsidRPr="005525B7" w:rsidR="00315776">
        <w:rPr>
          <w:rFonts w:ascii="Times New Roman" w:hAnsi="Times New Roman" w:cs="Times New Roman"/>
          <w:sz w:val="26"/>
          <w:szCs w:val="26"/>
        </w:rPr>
        <w:t xml:space="preserve"> EVM work</w:t>
      </w:r>
      <w:r w:rsidRPr="005525B7" w:rsidR="00724512">
        <w:rPr>
          <w:rFonts w:ascii="Times New Roman" w:hAnsi="Times New Roman" w:cs="Times New Roman"/>
          <w:sz w:val="26"/>
          <w:szCs w:val="26"/>
        </w:rPr>
        <w:t xml:space="preserve"> process</w:t>
      </w:r>
      <w:r w:rsidRPr="005525B7" w:rsidR="00315776">
        <w:rPr>
          <w:rFonts w:ascii="Times New Roman" w:hAnsi="Times New Roman" w:cs="Times New Roman"/>
          <w:sz w:val="26"/>
          <w:szCs w:val="26"/>
        </w:rPr>
        <w:t xml:space="preserve"> </w:t>
      </w:r>
      <w:r w:rsidRPr="005525B7" w:rsidR="005B4099">
        <w:rPr>
          <w:rFonts w:ascii="Times New Roman" w:hAnsi="Times New Roman" w:cs="Times New Roman"/>
          <w:sz w:val="26"/>
          <w:szCs w:val="26"/>
        </w:rPr>
        <w:t>and</w:t>
      </w:r>
      <w:r w:rsidRPr="005525B7" w:rsidR="00315776">
        <w:rPr>
          <w:rFonts w:ascii="Times New Roman" w:hAnsi="Times New Roman" w:cs="Times New Roman"/>
          <w:sz w:val="26"/>
          <w:szCs w:val="26"/>
        </w:rPr>
        <w:t xml:space="preserve"> </w:t>
      </w:r>
      <w:r w:rsidRPr="005525B7" w:rsidR="006516BB">
        <w:rPr>
          <w:rFonts w:ascii="Times New Roman" w:hAnsi="Times New Roman" w:cs="Times New Roman"/>
          <w:sz w:val="26"/>
          <w:szCs w:val="26"/>
        </w:rPr>
        <w:t>decision-making</w:t>
      </w:r>
      <w:r w:rsidRPr="005525B7" w:rsidR="00694230">
        <w:rPr>
          <w:rFonts w:ascii="Times New Roman" w:hAnsi="Times New Roman" w:cs="Times New Roman"/>
          <w:sz w:val="26"/>
          <w:szCs w:val="26"/>
        </w:rPr>
        <w:t>,</w:t>
      </w:r>
      <w:r w:rsidRPr="005525B7" w:rsidR="00E1439F">
        <w:rPr>
          <w:rFonts w:ascii="Times New Roman" w:hAnsi="Times New Roman" w:cs="Times New Roman"/>
          <w:sz w:val="26"/>
          <w:szCs w:val="26"/>
        </w:rPr>
        <w:t xml:space="preserve"> </w:t>
      </w:r>
      <w:r w:rsidRPr="005525B7" w:rsidR="003C473F">
        <w:rPr>
          <w:rFonts w:ascii="Times New Roman" w:hAnsi="Times New Roman" w:cs="Times New Roman"/>
          <w:sz w:val="26"/>
          <w:szCs w:val="26"/>
        </w:rPr>
        <w:t xml:space="preserve">which is </w:t>
      </w:r>
      <w:r w:rsidRPr="005525B7" w:rsidR="007630F8">
        <w:rPr>
          <w:rFonts w:ascii="Times New Roman" w:hAnsi="Times New Roman" w:cs="Times New Roman"/>
          <w:sz w:val="26"/>
          <w:szCs w:val="26"/>
        </w:rPr>
        <w:t>similar</w:t>
      </w:r>
      <w:r w:rsidRPr="005525B7" w:rsidR="00E1439F">
        <w:rPr>
          <w:rFonts w:ascii="Times New Roman" w:hAnsi="Times New Roman" w:cs="Times New Roman"/>
          <w:sz w:val="26"/>
          <w:szCs w:val="26"/>
        </w:rPr>
        <w:t xml:space="preserve"> to</w:t>
      </w:r>
      <w:r w:rsidRPr="005525B7" w:rsidR="005E152A">
        <w:rPr>
          <w:rFonts w:ascii="Times New Roman" w:hAnsi="Times New Roman" w:cs="Times New Roman"/>
          <w:sz w:val="26"/>
          <w:szCs w:val="26"/>
        </w:rPr>
        <w:t xml:space="preserve"> </w:t>
      </w:r>
      <w:r w:rsidRPr="005525B7" w:rsidR="00E16123">
        <w:rPr>
          <w:rFonts w:ascii="Times New Roman" w:hAnsi="Times New Roman" w:cs="Times New Roman"/>
          <w:sz w:val="26"/>
          <w:szCs w:val="26"/>
        </w:rPr>
        <w:t xml:space="preserve">PG&amp;E’s process in 2021 and 2022. </w:t>
      </w:r>
      <w:r w:rsidRPr="005525B7" w:rsidR="00764DF7">
        <w:rPr>
          <w:rFonts w:ascii="Times New Roman" w:hAnsi="Times New Roman" w:cs="Times New Roman"/>
          <w:sz w:val="26"/>
          <w:szCs w:val="26"/>
        </w:rPr>
        <w:t xml:space="preserve"> </w:t>
      </w:r>
      <w:r w:rsidRPr="005525B7" w:rsidR="00DD3C06">
        <w:rPr>
          <w:rFonts w:ascii="Times New Roman" w:hAnsi="Times New Roman" w:cs="Times New Roman"/>
          <w:sz w:val="26"/>
          <w:szCs w:val="26"/>
        </w:rPr>
        <w:t xml:space="preserve">PG&amp;E also provides the status of its EVM work and goals in bi-weekly compliance check-ins with Energy Safety on </w:t>
      </w:r>
      <w:r w:rsidRPr="005525B7" w:rsidR="009279A5">
        <w:rPr>
          <w:rFonts w:ascii="Times New Roman" w:hAnsi="Times New Roman" w:cs="Times New Roman"/>
          <w:sz w:val="26"/>
          <w:szCs w:val="26"/>
        </w:rPr>
        <w:t xml:space="preserve">the </w:t>
      </w:r>
      <w:r w:rsidRPr="005525B7" w:rsidR="00DD3C06">
        <w:rPr>
          <w:rFonts w:ascii="Times New Roman" w:hAnsi="Times New Roman" w:cs="Times New Roman"/>
          <w:sz w:val="26"/>
          <w:szCs w:val="26"/>
        </w:rPr>
        <w:t>implementation of its WMP.</w:t>
      </w:r>
      <w:r w:rsidRPr="005525B7" w:rsidR="00315776">
        <w:rPr>
          <w:rFonts w:ascii="Times New Roman" w:hAnsi="Times New Roman" w:cs="Times New Roman"/>
          <w:sz w:val="26"/>
          <w:szCs w:val="26"/>
        </w:rPr>
        <w:t xml:space="preserve"> </w:t>
      </w:r>
    </w:p>
    <w:p w:rsidRPr="005525B7" w:rsidR="0042530A" w:rsidRDefault="0042530A" w14:paraId="5395E6B5" w14:textId="77777777">
      <w:pPr>
        <w:pStyle w:val="BodyText"/>
        <w:kinsoku w:val="0"/>
        <w:overflowPunct w:val="0"/>
        <w:ind w:right="269"/>
        <w:rPr>
          <w:rFonts w:ascii="Times New Roman" w:hAnsi="Times New Roman" w:cs="Times New Roman"/>
          <w:sz w:val="26"/>
          <w:szCs w:val="26"/>
        </w:rPr>
      </w:pPr>
    </w:p>
    <w:p w:rsidRPr="005525B7" w:rsidR="00DD6226" w:rsidP="007B5EF3" w:rsidRDefault="00146BC9" w14:paraId="559C0D05" w14:textId="049141CC">
      <w:pPr>
        <w:pStyle w:val="BodyText"/>
        <w:kinsoku w:val="0"/>
        <w:overflowPunct w:val="0"/>
        <w:ind w:right="269"/>
        <w:rPr>
          <w:rFonts w:ascii="Times New Roman" w:hAnsi="Times New Roman" w:cs="Times New Roman"/>
          <w:b/>
          <w:sz w:val="26"/>
          <w:szCs w:val="26"/>
        </w:rPr>
      </w:pPr>
      <w:r w:rsidRPr="005525B7">
        <w:rPr>
          <w:rFonts w:ascii="Times New Roman" w:hAnsi="Times New Roman" w:cs="Times New Roman"/>
          <w:sz w:val="26"/>
          <w:szCs w:val="26"/>
        </w:rPr>
        <w:t xml:space="preserve">Based on the information it provided, the Commission finds that </w:t>
      </w:r>
      <w:r w:rsidRPr="005525B7">
        <w:rPr>
          <w:rStyle w:val="normaltextrun"/>
          <w:rFonts w:ascii="Times New Roman" w:hAnsi="Times New Roman" w:cs="Times New Roman"/>
          <w:sz w:val="26"/>
          <w:szCs w:val="26"/>
        </w:rPr>
        <w:t>PG&amp;E provided sufficient information to satisfy CAP Element 7.</w:t>
      </w:r>
    </w:p>
    <w:p w:rsidRPr="005525B7" w:rsidR="00D05B42" w:rsidP="00FC55FF" w:rsidRDefault="00D05B42" w14:paraId="64B2F065" w14:textId="77777777">
      <w:pPr>
        <w:pStyle w:val="paragraph"/>
        <w:spacing w:before="0" w:beforeAutospacing="0" w:after="0" w:afterAutospacing="0"/>
        <w:textAlignment w:val="baseline"/>
        <w:rPr>
          <w:b/>
          <w:bCs/>
          <w:sz w:val="26"/>
          <w:szCs w:val="26"/>
        </w:rPr>
      </w:pPr>
    </w:p>
    <w:p w:rsidRPr="005525B7" w:rsidR="006E5769" w:rsidP="00FC55FF" w:rsidRDefault="00FC55FF" w14:paraId="096F5B45" w14:textId="43CE8436">
      <w:pPr>
        <w:pStyle w:val="paragraph"/>
        <w:spacing w:before="0" w:beforeAutospacing="0" w:after="0" w:afterAutospacing="0"/>
        <w:textAlignment w:val="baseline"/>
        <w:rPr>
          <w:rStyle w:val="eop"/>
          <w:sz w:val="26"/>
          <w:szCs w:val="26"/>
        </w:rPr>
      </w:pPr>
      <w:r w:rsidRPr="005525B7">
        <w:rPr>
          <w:b/>
          <w:bCs/>
          <w:sz w:val="26"/>
          <w:szCs w:val="26"/>
        </w:rPr>
        <w:t>CAP Element 8:</w:t>
      </w:r>
      <w:r w:rsidRPr="005525B7" w:rsidR="00183C05">
        <w:rPr>
          <w:b/>
          <w:bCs/>
          <w:sz w:val="26"/>
          <w:szCs w:val="26"/>
        </w:rPr>
        <w:t xml:space="preserve"> A detailed description of the circumstances that contributed to PG&amp;E management’s inconsistent reporting on the details of its risk modeling and risk ranking lists.</w:t>
      </w:r>
      <w:r w:rsidRPr="005525B7">
        <w:rPr>
          <w:rStyle w:val="normaltextrun"/>
          <w:sz w:val="26"/>
          <w:szCs w:val="26"/>
        </w:rPr>
        <w:t xml:space="preserve"> </w:t>
      </w:r>
      <w:r w:rsidRPr="005525B7" w:rsidR="006E5769">
        <w:rPr>
          <w:rStyle w:val="eop"/>
          <w:sz w:val="26"/>
          <w:szCs w:val="26"/>
        </w:rPr>
        <w:t> </w:t>
      </w:r>
    </w:p>
    <w:p w:rsidRPr="005525B7" w:rsidR="00FC55FF" w:rsidP="00FC55FF" w:rsidRDefault="00FC55FF" w14:paraId="775B99D7" w14:textId="294E6348">
      <w:pPr>
        <w:pStyle w:val="paragraph"/>
        <w:spacing w:before="0" w:beforeAutospacing="0" w:after="0" w:afterAutospacing="0"/>
        <w:textAlignment w:val="baseline"/>
        <w:rPr>
          <w:rStyle w:val="eop"/>
          <w:sz w:val="26"/>
          <w:szCs w:val="26"/>
        </w:rPr>
      </w:pPr>
    </w:p>
    <w:p w:rsidRPr="005525B7" w:rsidR="00D05B42" w:rsidP="0014076A" w:rsidRDefault="00A431D0" w14:paraId="59257AC6" w14:textId="59432A1B">
      <w:pPr>
        <w:pStyle w:val="BodyText"/>
        <w:kinsoku w:val="0"/>
        <w:overflowPunct w:val="0"/>
        <w:ind w:right="416"/>
        <w:rPr>
          <w:rFonts w:ascii="Times New Roman" w:hAnsi="Times New Roman" w:cs="Times New Roman"/>
          <w:sz w:val="26"/>
          <w:szCs w:val="26"/>
        </w:rPr>
      </w:pPr>
      <w:r w:rsidRPr="005525B7">
        <w:rPr>
          <w:rFonts w:ascii="Times New Roman" w:hAnsi="Times New Roman" w:cs="Times New Roman"/>
          <w:sz w:val="26"/>
          <w:szCs w:val="26"/>
        </w:rPr>
        <w:t xml:space="preserve">In </w:t>
      </w:r>
      <w:r w:rsidRPr="005525B7" w:rsidR="00C9292A">
        <w:rPr>
          <w:rFonts w:ascii="Times New Roman" w:hAnsi="Times New Roman" w:cs="Times New Roman"/>
          <w:sz w:val="26"/>
          <w:szCs w:val="26"/>
        </w:rPr>
        <w:t xml:space="preserve">the </w:t>
      </w:r>
      <w:r w:rsidRPr="005525B7">
        <w:rPr>
          <w:rFonts w:ascii="Times New Roman" w:hAnsi="Times New Roman" w:cs="Times New Roman"/>
          <w:sz w:val="26"/>
          <w:szCs w:val="26"/>
        </w:rPr>
        <w:t xml:space="preserve">May </w:t>
      </w:r>
      <w:r w:rsidRPr="005525B7" w:rsidR="00AA1FF9">
        <w:rPr>
          <w:rFonts w:ascii="Times New Roman" w:hAnsi="Times New Roman" w:cs="Times New Roman"/>
          <w:sz w:val="26"/>
          <w:szCs w:val="26"/>
        </w:rPr>
        <w:t>6,</w:t>
      </w:r>
      <w:r w:rsidRPr="005525B7">
        <w:rPr>
          <w:rFonts w:ascii="Times New Roman" w:hAnsi="Times New Roman" w:cs="Times New Roman"/>
          <w:sz w:val="26"/>
          <w:szCs w:val="26"/>
        </w:rPr>
        <w:t xml:space="preserve"> 2021</w:t>
      </w:r>
      <w:r w:rsidRPr="005525B7" w:rsidR="00C9292A">
        <w:rPr>
          <w:rFonts w:ascii="Times New Roman" w:hAnsi="Times New Roman" w:cs="Times New Roman"/>
          <w:sz w:val="26"/>
          <w:szCs w:val="26"/>
        </w:rPr>
        <w:t xml:space="preserve"> </w:t>
      </w:r>
      <w:r w:rsidRPr="005525B7" w:rsidR="00F1080B">
        <w:rPr>
          <w:rFonts w:ascii="Times New Roman" w:hAnsi="Times New Roman" w:cs="Times New Roman"/>
          <w:sz w:val="26"/>
          <w:szCs w:val="26"/>
        </w:rPr>
        <w:t>CAP</w:t>
      </w:r>
      <w:r w:rsidRPr="005525B7">
        <w:rPr>
          <w:rFonts w:ascii="Times New Roman" w:hAnsi="Times New Roman" w:cs="Times New Roman"/>
          <w:sz w:val="26"/>
          <w:szCs w:val="26"/>
        </w:rPr>
        <w:t xml:space="preserve">, PG&amp;E provided the timeline of its communications with Wildfire Safety Division </w:t>
      </w:r>
      <w:r w:rsidRPr="005525B7" w:rsidR="00B77B81">
        <w:rPr>
          <w:rFonts w:ascii="Times New Roman" w:hAnsi="Times New Roman" w:cs="Times New Roman"/>
          <w:sz w:val="26"/>
          <w:szCs w:val="26"/>
        </w:rPr>
        <w:t xml:space="preserve">(from </w:t>
      </w:r>
      <w:r w:rsidRPr="005525B7" w:rsidR="009B00EF">
        <w:rPr>
          <w:rFonts w:ascii="Times New Roman" w:hAnsi="Times New Roman" w:cs="Times New Roman"/>
          <w:sz w:val="26"/>
          <w:szCs w:val="26"/>
        </w:rPr>
        <w:t>April 6, 2020</w:t>
      </w:r>
      <w:r w:rsidRPr="005525B7" w:rsidR="00317F77">
        <w:rPr>
          <w:rFonts w:ascii="Times New Roman" w:hAnsi="Times New Roman" w:cs="Times New Roman"/>
          <w:sz w:val="26"/>
          <w:szCs w:val="26"/>
        </w:rPr>
        <w:t xml:space="preserve"> – </w:t>
      </w:r>
      <w:r w:rsidRPr="005525B7" w:rsidR="009B00EF">
        <w:rPr>
          <w:rFonts w:ascii="Times New Roman" w:hAnsi="Times New Roman" w:cs="Times New Roman"/>
          <w:sz w:val="26"/>
          <w:szCs w:val="26"/>
        </w:rPr>
        <w:t>December 4, 2020)</w:t>
      </w:r>
      <w:r w:rsidRPr="005525B7">
        <w:rPr>
          <w:rFonts w:ascii="Times New Roman" w:hAnsi="Times New Roman" w:cs="Times New Roman"/>
          <w:sz w:val="26"/>
          <w:szCs w:val="26"/>
        </w:rPr>
        <w:t xml:space="preserve"> that resulted in the inconsistent reporting of its risk modeling. </w:t>
      </w:r>
      <w:r w:rsidRPr="005525B7" w:rsidR="00E64AD0">
        <w:rPr>
          <w:rFonts w:ascii="Times New Roman" w:hAnsi="Times New Roman" w:cs="Times New Roman"/>
          <w:sz w:val="26"/>
          <w:szCs w:val="26"/>
        </w:rPr>
        <w:t xml:space="preserve"> </w:t>
      </w:r>
      <w:r w:rsidRPr="005525B7" w:rsidR="00D94EA8">
        <w:rPr>
          <w:rFonts w:ascii="Times New Roman" w:hAnsi="Times New Roman" w:cs="Times New Roman"/>
          <w:sz w:val="26"/>
          <w:szCs w:val="26"/>
        </w:rPr>
        <w:t xml:space="preserve">PG&amp;E acknowledged that it </w:t>
      </w:r>
      <w:r w:rsidRPr="005525B7" w:rsidR="00CE0278">
        <w:rPr>
          <w:rFonts w:ascii="Times New Roman" w:hAnsi="Times New Roman" w:cs="Times New Roman"/>
          <w:sz w:val="26"/>
          <w:szCs w:val="26"/>
        </w:rPr>
        <w:t xml:space="preserve">too narrowly answered the </w:t>
      </w:r>
      <w:r w:rsidRPr="005525B7" w:rsidR="00AC1532">
        <w:rPr>
          <w:rFonts w:ascii="Times New Roman" w:hAnsi="Times New Roman" w:cs="Times New Roman"/>
          <w:sz w:val="26"/>
          <w:szCs w:val="26"/>
        </w:rPr>
        <w:t xml:space="preserve">Wildfire Safety Division’s </w:t>
      </w:r>
      <w:r w:rsidRPr="005525B7" w:rsidR="00CE0278">
        <w:rPr>
          <w:rFonts w:ascii="Times New Roman" w:hAnsi="Times New Roman" w:cs="Times New Roman"/>
          <w:sz w:val="26"/>
          <w:szCs w:val="26"/>
        </w:rPr>
        <w:t>questions</w:t>
      </w:r>
      <w:r w:rsidRPr="005525B7" w:rsidR="00B80C4C">
        <w:rPr>
          <w:rFonts w:ascii="Times New Roman" w:hAnsi="Times New Roman" w:cs="Times New Roman"/>
          <w:sz w:val="26"/>
          <w:szCs w:val="26"/>
        </w:rPr>
        <w:t xml:space="preserve"> and failed to </w:t>
      </w:r>
      <w:r w:rsidRPr="005525B7" w:rsidR="008E3FF3">
        <w:rPr>
          <w:rFonts w:ascii="Times New Roman" w:hAnsi="Times New Roman" w:cs="Times New Roman"/>
          <w:sz w:val="26"/>
          <w:szCs w:val="26"/>
        </w:rPr>
        <w:t xml:space="preserve">communicate </w:t>
      </w:r>
      <w:r w:rsidRPr="005525B7" w:rsidR="001E3B18">
        <w:rPr>
          <w:rFonts w:ascii="Times New Roman" w:hAnsi="Times New Roman" w:cs="Times New Roman"/>
          <w:sz w:val="26"/>
          <w:szCs w:val="26"/>
        </w:rPr>
        <w:t xml:space="preserve">the use of the 2019-2020 Wildfire Risk Model, the Risk Value Overlay, </w:t>
      </w:r>
      <w:r w:rsidRPr="005525B7" w:rsidR="00EA4D05">
        <w:rPr>
          <w:rFonts w:ascii="Times New Roman" w:hAnsi="Times New Roman" w:cs="Times New Roman"/>
          <w:sz w:val="26"/>
          <w:szCs w:val="26"/>
        </w:rPr>
        <w:t xml:space="preserve">and how both informed </w:t>
      </w:r>
      <w:r w:rsidRPr="005525B7" w:rsidR="007C1AA5">
        <w:rPr>
          <w:rFonts w:ascii="Times New Roman" w:hAnsi="Times New Roman" w:cs="Times New Roman"/>
          <w:sz w:val="26"/>
          <w:szCs w:val="26"/>
        </w:rPr>
        <w:t>i</w:t>
      </w:r>
      <w:r w:rsidRPr="005525B7" w:rsidR="00EA4D05">
        <w:rPr>
          <w:rFonts w:ascii="Times New Roman" w:hAnsi="Times New Roman" w:cs="Times New Roman"/>
          <w:sz w:val="26"/>
          <w:szCs w:val="26"/>
        </w:rPr>
        <w:t>t</w:t>
      </w:r>
      <w:r w:rsidRPr="005525B7" w:rsidR="007C1AA5">
        <w:rPr>
          <w:rFonts w:ascii="Times New Roman" w:hAnsi="Times New Roman" w:cs="Times New Roman"/>
          <w:sz w:val="26"/>
          <w:szCs w:val="26"/>
        </w:rPr>
        <w:t>s</w:t>
      </w:r>
      <w:r w:rsidRPr="005525B7" w:rsidR="00EA4D05">
        <w:rPr>
          <w:rFonts w:ascii="Times New Roman" w:hAnsi="Times New Roman" w:cs="Times New Roman"/>
          <w:sz w:val="26"/>
          <w:szCs w:val="26"/>
        </w:rPr>
        <w:t xml:space="preserve"> 2020 EVM</w:t>
      </w:r>
      <w:r w:rsidRPr="005525B7" w:rsidR="00F57C38">
        <w:rPr>
          <w:rFonts w:ascii="Times New Roman" w:hAnsi="Times New Roman" w:cs="Times New Roman"/>
          <w:sz w:val="26"/>
          <w:szCs w:val="26"/>
        </w:rPr>
        <w:t xml:space="preserve"> work. </w:t>
      </w:r>
      <w:r w:rsidRPr="005525B7" w:rsidR="00E64AD0">
        <w:rPr>
          <w:rFonts w:ascii="Times New Roman" w:hAnsi="Times New Roman" w:cs="Times New Roman"/>
          <w:sz w:val="26"/>
          <w:szCs w:val="26"/>
        </w:rPr>
        <w:t xml:space="preserve"> </w:t>
      </w:r>
      <w:r w:rsidRPr="005525B7" w:rsidR="00321D8F">
        <w:rPr>
          <w:rFonts w:ascii="Times New Roman" w:hAnsi="Times New Roman" w:cs="Times New Roman"/>
          <w:sz w:val="26"/>
          <w:szCs w:val="26"/>
        </w:rPr>
        <w:t xml:space="preserve">PG&amp;E also acknowledged that it failed to provide the proper </w:t>
      </w:r>
      <w:r w:rsidRPr="005525B7" w:rsidR="00060099">
        <w:rPr>
          <w:rFonts w:ascii="Times New Roman" w:hAnsi="Times New Roman" w:cs="Times New Roman"/>
          <w:sz w:val="26"/>
          <w:szCs w:val="26"/>
        </w:rPr>
        <w:t>context</w:t>
      </w:r>
      <w:r w:rsidRPr="005525B7" w:rsidR="00321D8F">
        <w:rPr>
          <w:rFonts w:ascii="Times New Roman" w:hAnsi="Times New Roman" w:cs="Times New Roman"/>
          <w:sz w:val="26"/>
          <w:szCs w:val="26"/>
        </w:rPr>
        <w:t xml:space="preserve"> alongside each piece of information being shared in each response </w:t>
      </w:r>
      <w:r w:rsidRPr="005525B7" w:rsidR="00060099">
        <w:rPr>
          <w:rFonts w:ascii="Times New Roman" w:hAnsi="Times New Roman" w:cs="Times New Roman"/>
          <w:sz w:val="26"/>
          <w:szCs w:val="26"/>
        </w:rPr>
        <w:t xml:space="preserve">and respond in a timely manner. </w:t>
      </w:r>
      <w:r w:rsidRPr="005525B7" w:rsidR="000126E9">
        <w:rPr>
          <w:rFonts w:ascii="Times New Roman" w:hAnsi="Times New Roman" w:cs="Times New Roman"/>
          <w:sz w:val="26"/>
          <w:szCs w:val="26"/>
        </w:rPr>
        <w:t xml:space="preserve"> </w:t>
      </w:r>
    </w:p>
    <w:p w:rsidRPr="005525B7" w:rsidR="00D30268" w:rsidP="0014076A" w:rsidRDefault="00D05B42" w14:paraId="15673086" w14:textId="3F2A51E4">
      <w:pPr>
        <w:pStyle w:val="BodyText"/>
        <w:kinsoku w:val="0"/>
        <w:overflowPunct w:val="0"/>
        <w:ind w:right="416"/>
        <w:rPr>
          <w:rFonts w:ascii="Times New Roman" w:hAnsi="Times New Roman" w:cs="Times New Roman"/>
          <w:sz w:val="26"/>
          <w:szCs w:val="26"/>
        </w:rPr>
      </w:pPr>
      <w:r w:rsidRPr="005525B7">
        <w:rPr>
          <w:rFonts w:ascii="Times New Roman" w:hAnsi="Times New Roman" w:cs="Times New Roman"/>
          <w:sz w:val="26"/>
          <w:szCs w:val="26"/>
        </w:rPr>
        <w:lastRenderedPageBreak/>
        <w:t xml:space="preserve">Based on the information it provided, the Commission </w:t>
      </w:r>
      <w:r w:rsidRPr="005525B7" w:rsidR="007F7668">
        <w:rPr>
          <w:rFonts w:ascii="Times New Roman" w:hAnsi="Times New Roman" w:cs="Times New Roman"/>
          <w:sz w:val="26"/>
          <w:szCs w:val="26"/>
        </w:rPr>
        <w:t>finds</w:t>
      </w:r>
      <w:r w:rsidRPr="005525B7">
        <w:rPr>
          <w:rFonts w:ascii="Times New Roman" w:hAnsi="Times New Roman" w:cs="Times New Roman"/>
          <w:sz w:val="26"/>
          <w:szCs w:val="26"/>
        </w:rPr>
        <w:t xml:space="preserve"> that </w:t>
      </w:r>
      <w:r w:rsidRPr="005525B7" w:rsidR="00D30268">
        <w:rPr>
          <w:rFonts w:ascii="Times New Roman" w:hAnsi="Times New Roman" w:cs="Times New Roman"/>
          <w:sz w:val="26"/>
          <w:szCs w:val="26"/>
        </w:rPr>
        <w:t xml:space="preserve">PG&amp;E has </w:t>
      </w:r>
      <w:r w:rsidRPr="005525B7" w:rsidR="007F7668">
        <w:rPr>
          <w:rFonts w:ascii="Times New Roman" w:hAnsi="Times New Roman" w:cs="Times New Roman"/>
          <w:sz w:val="26"/>
          <w:szCs w:val="26"/>
        </w:rPr>
        <w:t xml:space="preserve">provided sufficient information to </w:t>
      </w:r>
      <w:r w:rsidRPr="005525B7" w:rsidR="0009420C">
        <w:rPr>
          <w:rFonts w:ascii="Times New Roman" w:hAnsi="Times New Roman" w:cs="Times New Roman"/>
          <w:sz w:val="26"/>
          <w:szCs w:val="26"/>
        </w:rPr>
        <w:t>satisfy</w:t>
      </w:r>
      <w:r w:rsidRPr="005525B7" w:rsidR="00D30268">
        <w:rPr>
          <w:rFonts w:ascii="Times New Roman" w:hAnsi="Times New Roman" w:cs="Times New Roman"/>
          <w:sz w:val="26"/>
          <w:szCs w:val="26"/>
        </w:rPr>
        <w:t xml:space="preserve"> CAP Element 8.</w:t>
      </w:r>
      <w:r w:rsidRPr="005525B7" w:rsidR="0001377D">
        <w:rPr>
          <w:rFonts w:ascii="Times New Roman" w:hAnsi="Times New Roman" w:cs="Times New Roman"/>
          <w:sz w:val="26"/>
          <w:szCs w:val="26"/>
        </w:rPr>
        <w:t xml:space="preserve">  </w:t>
      </w:r>
    </w:p>
    <w:p w:rsidRPr="005525B7" w:rsidR="00E64AD0" w:rsidP="0014076A" w:rsidRDefault="00E64AD0" w14:paraId="559463CE" w14:textId="77777777">
      <w:pPr>
        <w:pStyle w:val="BodyText"/>
        <w:kinsoku w:val="0"/>
        <w:overflowPunct w:val="0"/>
        <w:ind w:right="416"/>
        <w:rPr>
          <w:rFonts w:ascii="Times New Roman" w:hAnsi="Times New Roman" w:cs="Times New Roman"/>
          <w:sz w:val="26"/>
          <w:szCs w:val="26"/>
        </w:rPr>
      </w:pPr>
    </w:p>
    <w:p w:rsidRPr="005525B7" w:rsidR="006E5769" w:rsidP="00FC55FF" w:rsidRDefault="00FC55FF" w14:paraId="100D0D7B" w14:textId="16A261D8">
      <w:pPr>
        <w:pStyle w:val="paragraph"/>
        <w:spacing w:before="0" w:beforeAutospacing="0" w:after="0" w:afterAutospacing="0"/>
        <w:textAlignment w:val="baseline"/>
        <w:rPr>
          <w:rStyle w:val="eop"/>
          <w:b/>
          <w:bCs/>
          <w:sz w:val="26"/>
          <w:szCs w:val="26"/>
        </w:rPr>
      </w:pPr>
      <w:r w:rsidRPr="005525B7">
        <w:rPr>
          <w:b/>
          <w:bCs/>
          <w:sz w:val="26"/>
          <w:szCs w:val="26"/>
        </w:rPr>
        <w:t xml:space="preserve">CAP Element 9: </w:t>
      </w:r>
      <w:r w:rsidRPr="005525B7" w:rsidR="00661259">
        <w:rPr>
          <w:rStyle w:val="normaltextrun"/>
          <w:b/>
          <w:bCs/>
          <w:sz w:val="26"/>
          <w:szCs w:val="26"/>
        </w:rPr>
        <w:t>Verification by a senior officer of PG&amp;E that the risk model, including underlying data sets and vegetation management records, it is using to prioritize EVM is as set forth in its report.</w:t>
      </w:r>
      <w:r w:rsidRPr="005525B7" w:rsidR="006E5769">
        <w:rPr>
          <w:rStyle w:val="normaltextrun"/>
          <w:b/>
          <w:bCs/>
          <w:sz w:val="26"/>
          <w:szCs w:val="26"/>
        </w:rPr>
        <w:t> </w:t>
      </w:r>
      <w:r w:rsidRPr="005525B7" w:rsidR="006E5769">
        <w:rPr>
          <w:rStyle w:val="eop"/>
          <w:b/>
          <w:bCs/>
          <w:sz w:val="26"/>
          <w:szCs w:val="26"/>
        </w:rPr>
        <w:t> </w:t>
      </w:r>
    </w:p>
    <w:p w:rsidRPr="005525B7" w:rsidR="005250E0" w:rsidP="00FC55FF" w:rsidRDefault="005250E0" w14:paraId="5E50384C" w14:textId="468C9C1E">
      <w:pPr>
        <w:pStyle w:val="paragraph"/>
        <w:spacing w:before="0" w:beforeAutospacing="0" w:after="0" w:afterAutospacing="0"/>
        <w:textAlignment w:val="baseline"/>
        <w:rPr>
          <w:rStyle w:val="eop"/>
          <w:b/>
          <w:bCs/>
          <w:sz w:val="26"/>
          <w:szCs w:val="26"/>
        </w:rPr>
      </w:pPr>
    </w:p>
    <w:p w:rsidRPr="005525B7" w:rsidR="005250E0" w:rsidP="00FC55FF" w:rsidRDefault="005250E0" w14:paraId="1B4E02F1" w14:textId="00B342DA">
      <w:pPr>
        <w:pStyle w:val="paragraph"/>
        <w:spacing w:before="0" w:beforeAutospacing="0" w:after="0" w:afterAutospacing="0"/>
        <w:textAlignment w:val="baseline"/>
        <w:rPr>
          <w:b/>
          <w:bCs/>
          <w:sz w:val="26"/>
          <w:szCs w:val="26"/>
        </w:rPr>
      </w:pPr>
      <w:r w:rsidRPr="005525B7">
        <w:rPr>
          <w:sz w:val="26"/>
          <w:szCs w:val="26"/>
        </w:rPr>
        <w:t xml:space="preserve">In </w:t>
      </w:r>
      <w:r w:rsidRPr="005525B7" w:rsidR="006E123E">
        <w:rPr>
          <w:sz w:val="26"/>
          <w:szCs w:val="26"/>
        </w:rPr>
        <w:t xml:space="preserve">the May 6, 2021 </w:t>
      </w:r>
      <w:r w:rsidRPr="005525B7" w:rsidR="00AC12F2">
        <w:rPr>
          <w:sz w:val="26"/>
          <w:szCs w:val="26"/>
        </w:rPr>
        <w:t>CAP</w:t>
      </w:r>
      <w:r w:rsidRPr="005525B7" w:rsidR="00553CA8">
        <w:rPr>
          <w:sz w:val="26"/>
          <w:szCs w:val="26"/>
        </w:rPr>
        <w:t>,</w:t>
      </w:r>
      <w:r w:rsidRPr="005525B7" w:rsidDel="00D436AA">
        <w:rPr>
          <w:sz w:val="26"/>
          <w:szCs w:val="26"/>
        </w:rPr>
        <w:t xml:space="preserve"> </w:t>
      </w:r>
      <w:r w:rsidRPr="005525B7" w:rsidR="00D436AA">
        <w:rPr>
          <w:sz w:val="26"/>
          <w:szCs w:val="26"/>
        </w:rPr>
        <w:t xml:space="preserve">PG&amp;E’s </w:t>
      </w:r>
      <w:r w:rsidRPr="005525B7">
        <w:rPr>
          <w:sz w:val="26"/>
          <w:szCs w:val="26"/>
        </w:rPr>
        <w:t xml:space="preserve">Chief Risk Officer verifies that </w:t>
      </w:r>
      <w:r w:rsidRPr="005525B7" w:rsidR="00301447">
        <w:rPr>
          <w:sz w:val="26"/>
          <w:szCs w:val="26"/>
        </w:rPr>
        <w:t xml:space="preserve">the risk model, </w:t>
      </w:r>
      <w:r w:rsidRPr="005525B7" w:rsidR="00B67B8C">
        <w:rPr>
          <w:sz w:val="26"/>
          <w:szCs w:val="26"/>
        </w:rPr>
        <w:t xml:space="preserve">data sets, and vegetation management records </w:t>
      </w:r>
      <w:r w:rsidRPr="005525B7" w:rsidR="00D436AA">
        <w:rPr>
          <w:sz w:val="26"/>
          <w:szCs w:val="26"/>
        </w:rPr>
        <w:t xml:space="preserve">that PG&amp;E reports </w:t>
      </w:r>
      <w:r w:rsidRPr="005525B7" w:rsidR="00B67B8C">
        <w:rPr>
          <w:sz w:val="26"/>
          <w:szCs w:val="26"/>
        </w:rPr>
        <w:t>us</w:t>
      </w:r>
      <w:r w:rsidRPr="005525B7" w:rsidR="00D436AA">
        <w:rPr>
          <w:sz w:val="26"/>
          <w:szCs w:val="26"/>
        </w:rPr>
        <w:t>ing</w:t>
      </w:r>
      <w:r w:rsidRPr="005525B7" w:rsidR="00B67B8C">
        <w:rPr>
          <w:sz w:val="26"/>
          <w:szCs w:val="26"/>
        </w:rPr>
        <w:t xml:space="preserve"> to prioritize its 2021 EVM Scope of Work </w:t>
      </w:r>
      <w:r w:rsidRPr="005525B7" w:rsidR="00D436AA">
        <w:rPr>
          <w:sz w:val="26"/>
          <w:szCs w:val="26"/>
        </w:rPr>
        <w:t xml:space="preserve">are </w:t>
      </w:r>
      <w:r w:rsidRPr="005525B7" w:rsidR="006255C1">
        <w:rPr>
          <w:sz w:val="26"/>
          <w:szCs w:val="26"/>
        </w:rPr>
        <w:t>accurate.</w:t>
      </w:r>
      <w:r w:rsidRPr="005525B7" w:rsidR="007F3E01">
        <w:rPr>
          <w:rStyle w:val="StyleFootnoteReferenceofrStyle3o1o2o3o4o5o6o11o21o7"/>
          <w:sz w:val="26"/>
          <w:szCs w:val="26"/>
        </w:rPr>
        <w:footnoteReference w:id="33"/>
      </w:r>
      <w:r w:rsidRPr="005525B7">
        <w:rPr>
          <w:sz w:val="26"/>
          <w:szCs w:val="26"/>
        </w:rPr>
        <w:t xml:space="preserve"> </w:t>
      </w:r>
    </w:p>
    <w:p w:rsidRPr="005525B7" w:rsidR="00EE0881" w:rsidRDefault="00EE0881" w14:paraId="438E20EE" w14:textId="412987C9">
      <w:pPr>
        <w:pStyle w:val="BodyText"/>
        <w:kinsoku w:val="0"/>
        <w:overflowPunct w:val="0"/>
        <w:ind w:right="191"/>
        <w:rPr>
          <w:rFonts w:ascii="Times New Roman" w:hAnsi="Times New Roman" w:cs="Times New Roman"/>
          <w:sz w:val="26"/>
          <w:szCs w:val="26"/>
        </w:rPr>
      </w:pPr>
    </w:p>
    <w:p w:rsidRPr="005525B7" w:rsidR="00EE0881" w:rsidRDefault="00EE0881" w14:paraId="653A062E" w14:textId="3EB92EAA">
      <w:pPr>
        <w:pStyle w:val="BodyText"/>
        <w:kinsoku w:val="0"/>
        <w:overflowPunct w:val="0"/>
        <w:ind w:right="191"/>
        <w:rPr>
          <w:rFonts w:ascii="Times New Roman" w:hAnsi="Times New Roman" w:cs="Times New Roman"/>
          <w:sz w:val="26"/>
          <w:szCs w:val="26"/>
        </w:rPr>
      </w:pPr>
      <w:r w:rsidRPr="005525B7">
        <w:rPr>
          <w:rFonts w:ascii="Times New Roman" w:hAnsi="Times New Roman" w:cs="Times New Roman"/>
          <w:sz w:val="26"/>
          <w:szCs w:val="26"/>
        </w:rPr>
        <w:t>Based on the information it provided, the Commission finds that PG&amp;E has provided sufficient information to satisfy CAP Element 9.</w:t>
      </w:r>
    </w:p>
    <w:p w:rsidRPr="005525B7" w:rsidR="0001377D" w:rsidRDefault="0001377D" w14:paraId="2A48085A" w14:textId="77777777">
      <w:pPr>
        <w:pStyle w:val="BodyText"/>
        <w:kinsoku w:val="0"/>
        <w:overflowPunct w:val="0"/>
        <w:ind w:right="191"/>
        <w:rPr>
          <w:rFonts w:ascii="Times New Roman" w:hAnsi="Times New Roman" w:cs="Times New Roman"/>
          <w:b/>
          <w:sz w:val="26"/>
          <w:szCs w:val="26"/>
        </w:rPr>
      </w:pPr>
    </w:p>
    <w:p w:rsidRPr="005525B7" w:rsidR="00FC55FF" w:rsidP="00FC55FF" w:rsidRDefault="00FC55FF" w14:paraId="6C785DBD" w14:textId="06431811">
      <w:pPr>
        <w:pStyle w:val="paragraph"/>
        <w:spacing w:before="0" w:beforeAutospacing="0" w:after="0" w:afterAutospacing="0"/>
        <w:textAlignment w:val="baseline"/>
        <w:rPr>
          <w:rStyle w:val="normaltextrun"/>
          <w:b/>
          <w:bCs/>
          <w:sz w:val="26"/>
          <w:szCs w:val="26"/>
        </w:rPr>
      </w:pPr>
      <w:r w:rsidRPr="005525B7">
        <w:rPr>
          <w:b/>
          <w:bCs/>
          <w:sz w:val="26"/>
          <w:szCs w:val="26"/>
        </w:rPr>
        <w:t xml:space="preserve">CAP Element 10: </w:t>
      </w:r>
      <w:r w:rsidRPr="005525B7" w:rsidR="0016719B">
        <w:rPr>
          <w:rStyle w:val="normaltextrun"/>
          <w:b/>
          <w:bCs/>
          <w:sz w:val="26"/>
          <w:szCs w:val="26"/>
        </w:rPr>
        <w:t>Verification by a senior officer of PG&amp;E that it will target a substantial majority of EVM to the highest risk circuit protection zones first, as shown by its risk model or other ranking, in the next 90 days for EVM.</w:t>
      </w:r>
    </w:p>
    <w:p w:rsidRPr="005525B7" w:rsidR="003900CF" w:rsidP="00FC55FF" w:rsidRDefault="003900CF" w14:paraId="5DBD0B23" w14:textId="77777777">
      <w:pPr>
        <w:pStyle w:val="paragraph"/>
        <w:spacing w:before="0" w:beforeAutospacing="0" w:after="0" w:afterAutospacing="0"/>
        <w:textAlignment w:val="baseline"/>
        <w:rPr>
          <w:rStyle w:val="normaltextrun"/>
          <w:b/>
          <w:bCs/>
          <w:sz w:val="26"/>
          <w:szCs w:val="26"/>
        </w:rPr>
      </w:pPr>
    </w:p>
    <w:p w:rsidRPr="005525B7" w:rsidR="00E73228" w:rsidP="007B5EF3" w:rsidRDefault="001A32EA" w14:paraId="3F547720" w14:textId="73AE76FC">
      <w:pPr>
        <w:pStyle w:val="paragraph"/>
        <w:spacing w:before="0" w:beforeAutospacing="0" w:after="0" w:afterAutospacing="0"/>
        <w:textAlignment w:val="baseline"/>
        <w:rPr>
          <w:sz w:val="26"/>
          <w:szCs w:val="26"/>
        </w:rPr>
      </w:pPr>
      <w:r w:rsidRPr="005525B7">
        <w:rPr>
          <w:sz w:val="26"/>
          <w:szCs w:val="26"/>
        </w:rPr>
        <w:t>CAP Element</w:t>
      </w:r>
      <w:r w:rsidRPr="005525B7" w:rsidR="001E2178">
        <w:rPr>
          <w:sz w:val="26"/>
          <w:szCs w:val="26"/>
        </w:rPr>
        <w:t>s</w:t>
      </w:r>
      <w:r w:rsidRPr="005525B7">
        <w:rPr>
          <w:sz w:val="26"/>
          <w:szCs w:val="26"/>
        </w:rPr>
        <w:t xml:space="preserve"> 2</w:t>
      </w:r>
      <w:r w:rsidRPr="005525B7" w:rsidR="00142BF8">
        <w:rPr>
          <w:sz w:val="26"/>
          <w:szCs w:val="26"/>
        </w:rPr>
        <w:t xml:space="preserve"> and 4</w:t>
      </w:r>
      <w:r w:rsidRPr="005525B7" w:rsidR="00877D01">
        <w:rPr>
          <w:sz w:val="26"/>
          <w:szCs w:val="26"/>
        </w:rPr>
        <w:t xml:space="preserve"> </w:t>
      </w:r>
      <w:r w:rsidRPr="005525B7" w:rsidR="00FB3E9F">
        <w:rPr>
          <w:sz w:val="26"/>
          <w:szCs w:val="26"/>
        </w:rPr>
        <w:t>describe</w:t>
      </w:r>
      <w:r w:rsidRPr="005525B7" w:rsidR="00C34532">
        <w:rPr>
          <w:sz w:val="26"/>
          <w:szCs w:val="26"/>
        </w:rPr>
        <w:t xml:space="preserve"> how </w:t>
      </w:r>
      <w:r w:rsidRPr="005525B7" w:rsidR="006E1869">
        <w:rPr>
          <w:sz w:val="26"/>
          <w:szCs w:val="26"/>
        </w:rPr>
        <w:t>PG&amp;E</w:t>
      </w:r>
      <w:r w:rsidRPr="005525B7" w:rsidR="001101A2">
        <w:rPr>
          <w:sz w:val="26"/>
          <w:szCs w:val="26"/>
        </w:rPr>
        <w:t xml:space="preserve"> uses the </w:t>
      </w:r>
      <w:r w:rsidRPr="005525B7" w:rsidR="00C34532">
        <w:rPr>
          <w:sz w:val="26"/>
          <w:szCs w:val="26"/>
        </w:rPr>
        <w:t>Tree-Weighted Prioritization List to conduct EVM</w:t>
      </w:r>
      <w:r w:rsidRPr="005525B7" w:rsidR="006E52DA">
        <w:rPr>
          <w:sz w:val="26"/>
          <w:szCs w:val="26"/>
        </w:rPr>
        <w:t>,</w:t>
      </w:r>
      <w:r w:rsidRPr="005525B7" w:rsidR="000D7E94">
        <w:rPr>
          <w:sz w:val="26"/>
          <w:szCs w:val="26"/>
        </w:rPr>
        <w:t xml:space="preserve"> and </w:t>
      </w:r>
      <w:r w:rsidRPr="005525B7" w:rsidR="009F5374">
        <w:rPr>
          <w:sz w:val="26"/>
          <w:szCs w:val="26"/>
        </w:rPr>
        <w:t xml:space="preserve">by adhering to the </w:t>
      </w:r>
      <w:r w:rsidRPr="005525B7" w:rsidR="002C5DCA">
        <w:rPr>
          <w:sz w:val="26"/>
          <w:szCs w:val="26"/>
        </w:rPr>
        <w:t>list</w:t>
      </w:r>
      <w:r w:rsidRPr="005525B7" w:rsidR="006E52DA">
        <w:rPr>
          <w:sz w:val="26"/>
          <w:szCs w:val="26"/>
        </w:rPr>
        <w:t>,</w:t>
      </w:r>
      <w:r w:rsidRPr="005525B7" w:rsidR="002C5DCA">
        <w:rPr>
          <w:sz w:val="26"/>
          <w:szCs w:val="26"/>
        </w:rPr>
        <w:t xml:space="preserve"> </w:t>
      </w:r>
      <w:r w:rsidRPr="005525B7" w:rsidR="001101A2">
        <w:rPr>
          <w:sz w:val="26"/>
          <w:szCs w:val="26"/>
        </w:rPr>
        <w:t xml:space="preserve">PG&amp;E </w:t>
      </w:r>
      <w:r w:rsidRPr="005525B7" w:rsidR="000D7E94">
        <w:rPr>
          <w:sz w:val="26"/>
          <w:szCs w:val="26"/>
        </w:rPr>
        <w:t xml:space="preserve">ensures </w:t>
      </w:r>
      <w:r w:rsidRPr="005525B7" w:rsidR="001101A2">
        <w:rPr>
          <w:sz w:val="26"/>
          <w:szCs w:val="26"/>
        </w:rPr>
        <w:t xml:space="preserve">that its </w:t>
      </w:r>
      <w:r w:rsidRPr="005525B7" w:rsidR="00982347">
        <w:rPr>
          <w:sz w:val="26"/>
          <w:szCs w:val="26"/>
        </w:rPr>
        <w:t xml:space="preserve">EVM </w:t>
      </w:r>
      <w:r w:rsidRPr="005525B7" w:rsidR="00826E6E">
        <w:rPr>
          <w:sz w:val="26"/>
          <w:szCs w:val="26"/>
        </w:rPr>
        <w:t xml:space="preserve">work </w:t>
      </w:r>
      <w:r w:rsidRPr="005525B7" w:rsidR="00982347">
        <w:rPr>
          <w:sz w:val="26"/>
          <w:szCs w:val="26"/>
        </w:rPr>
        <w:t xml:space="preserve">is performed </w:t>
      </w:r>
      <w:r w:rsidRPr="005525B7" w:rsidR="009F0AC4">
        <w:rPr>
          <w:sz w:val="26"/>
          <w:szCs w:val="26"/>
        </w:rPr>
        <w:t xml:space="preserve">within </w:t>
      </w:r>
      <w:r w:rsidRPr="005525B7" w:rsidR="00945E85">
        <w:rPr>
          <w:sz w:val="26"/>
          <w:szCs w:val="26"/>
        </w:rPr>
        <w:t xml:space="preserve">the highest </w:t>
      </w:r>
      <w:r w:rsidRPr="005525B7" w:rsidR="00441D4A">
        <w:rPr>
          <w:sz w:val="26"/>
          <w:szCs w:val="26"/>
        </w:rPr>
        <w:t xml:space="preserve">risk </w:t>
      </w:r>
      <w:r w:rsidRPr="005525B7" w:rsidR="006E52DA">
        <w:rPr>
          <w:sz w:val="26"/>
          <w:szCs w:val="26"/>
        </w:rPr>
        <w:t>Circuit Protection Zones</w:t>
      </w:r>
      <w:r w:rsidRPr="005525B7" w:rsidR="007220EB">
        <w:rPr>
          <w:sz w:val="26"/>
          <w:szCs w:val="26"/>
        </w:rPr>
        <w:t>.</w:t>
      </w:r>
      <w:r w:rsidRPr="005525B7" w:rsidR="00441D4A">
        <w:rPr>
          <w:sz w:val="26"/>
          <w:szCs w:val="26"/>
        </w:rPr>
        <w:t xml:space="preserve"> </w:t>
      </w:r>
      <w:r w:rsidRPr="005525B7" w:rsidR="00E64AD0">
        <w:rPr>
          <w:sz w:val="26"/>
          <w:szCs w:val="26"/>
        </w:rPr>
        <w:t xml:space="preserve"> </w:t>
      </w:r>
      <w:r w:rsidRPr="005525B7" w:rsidR="0095074D">
        <w:rPr>
          <w:sz w:val="26"/>
          <w:szCs w:val="26"/>
        </w:rPr>
        <w:t>PG&amp;E</w:t>
      </w:r>
      <w:r w:rsidRPr="005525B7" w:rsidR="006519A2">
        <w:rPr>
          <w:sz w:val="26"/>
          <w:szCs w:val="26"/>
        </w:rPr>
        <w:t xml:space="preserve">’s </w:t>
      </w:r>
      <w:r w:rsidRPr="005525B7" w:rsidR="00235AA9">
        <w:rPr>
          <w:sz w:val="26"/>
          <w:szCs w:val="26"/>
        </w:rPr>
        <w:t>August 1, 2022</w:t>
      </w:r>
      <w:r w:rsidRPr="005525B7" w:rsidR="005A3277">
        <w:rPr>
          <w:sz w:val="26"/>
          <w:szCs w:val="26"/>
        </w:rPr>
        <w:t xml:space="preserve"> </w:t>
      </w:r>
      <w:r w:rsidRPr="005525B7" w:rsidR="00AC12F2">
        <w:rPr>
          <w:sz w:val="26"/>
          <w:szCs w:val="26"/>
        </w:rPr>
        <w:t>CAP</w:t>
      </w:r>
      <w:r w:rsidRPr="005525B7" w:rsidR="009C2A20">
        <w:rPr>
          <w:sz w:val="26"/>
          <w:szCs w:val="26"/>
        </w:rPr>
        <w:t xml:space="preserve"> Update</w:t>
      </w:r>
      <w:r w:rsidRPr="005525B7" w:rsidR="0095074D">
        <w:rPr>
          <w:sz w:val="26"/>
          <w:szCs w:val="26"/>
        </w:rPr>
        <w:t xml:space="preserve"> provides a verification from its senior officer that attests</w:t>
      </w:r>
      <w:r w:rsidRPr="005525B7" w:rsidR="00870122">
        <w:rPr>
          <w:sz w:val="26"/>
          <w:szCs w:val="26"/>
        </w:rPr>
        <w:t xml:space="preserve"> that PG&amp;E will use </w:t>
      </w:r>
      <w:r w:rsidRPr="005525B7" w:rsidR="00FF3D60">
        <w:rPr>
          <w:sz w:val="26"/>
          <w:szCs w:val="26"/>
        </w:rPr>
        <w:t xml:space="preserve">the 2022 EVM Scope of Work </w:t>
      </w:r>
      <w:r w:rsidRPr="005525B7" w:rsidR="00C522B5">
        <w:rPr>
          <w:sz w:val="26"/>
          <w:szCs w:val="26"/>
        </w:rPr>
        <w:t>to perform work i</w:t>
      </w:r>
      <w:r w:rsidRPr="005525B7" w:rsidR="0095074D">
        <w:rPr>
          <w:sz w:val="26"/>
          <w:szCs w:val="26"/>
        </w:rPr>
        <w:t>n the next 90</w:t>
      </w:r>
      <w:r w:rsidRPr="005525B7" w:rsidR="00C522B5">
        <w:rPr>
          <w:sz w:val="26"/>
          <w:szCs w:val="26"/>
        </w:rPr>
        <w:t xml:space="preserve"> </w:t>
      </w:r>
      <w:r w:rsidRPr="005525B7" w:rsidR="0095074D">
        <w:rPr>
          <w:sz w:val="26"/>
          <w:szCs w:val="26"/>
        </w:rPr>
        <w:t xml:space="preserve">days, </w:t>
      </w:r>
      <w:r w:rsidRPr="005525B7" w:rsidR="00972E0F">
        <w:rPr>
          <w:sz w:val="26"/>
          <w:szCs w:val="26"/>
        </w:rPr>
        <w:t>which ensures that PG&amp;E</w:t>
      </w:r>
      <w:r w:rsidRPr="005525B7" w:rsidR="0095074D">
        <w:rPr>
          <w:sz w:val="26"/>
          <w:szCs w:val="26"/>
        </w:rPr>
        <w:t xml:space="preserve"> prioritize</w:t>
      </w:r>
      <w:r w:rsidRPr="005525B7" w:rsidR="00972E0F">
        <w:rPr>
          <w:sz w:val="26"/>
          <w:szCs w:val="26"/>
        </w:rPr>
        <w:t>s</w:t>
      </w:r>
      <w:r w:rsidRPr="005525B7" w:rsidR="0095074D">
        <w:rPr>
          <w:sz w:val="26"/>
          <w:szCs w:val="26"/>
        </w:rPr>
        <w:t xml:space="preserve"> the highest risk </w:t>
      </w:r>
      <w:r w:rsidRPr="005525B7" w:rsidR="006E52DA">
        <w:rPr>
          <w:sz w:val="26"/>
          <w:szCs w:val="26"/>
        </w:rPr>
        <w:t>Circuit Protection Zones</w:t>
      </w:r>
      <w:r w:rsidRPr="005525B7" w:rsidR="0095074D">
        <w:rPr>
          <w:sz w:val="26"/>
          <w:szCs w:val="26"/>
        </w:rPr>
        <w:t xml:space="preserve"> </w:t>
      </w:r>
      <w:r w:rsidRPr="005525B7" w:rsidR="006F48A6">
        <w:rPr>
          <w:sz w:val="26"/>
          <w:szCs w:val="26"/>
        </w:rPr>
        <w:t xml:space="preserve">first </w:t>
      </w:r>
      <w:r w:rsidRPr="005525B7" w:rsidR="000D5A6F">
        <w:rPr>
          <w:sz w:val="26"/>
          <w:szCs w:val="26"/>
        </w:rPr>
        <w:t>by</w:t>
      </w:r>
      <w:r w:rsidRPr="005525B7" w:rsidR="007F1AB9">
        <w:rPr>
          <w:sz w:val="26"/>
          <w:szCs w:val="26"/>
        </w:rPr>
        <w:t xml:space="preserve"> </w:t>
      </w:r>
      <w:r w:rsidRPr="005525B7" w:rsidR="0095074D">
        <w:rPr>
          <w:sz w:val="26"/>
          <w:szCs w:val="26"/>
        </w:rPr>
        <w:t>perform</w:t>
      </w:r>
      <w:r w:rsidRPr="005525B7" w:rsidR="000D5A6F">
        <w:rPr>
          <w:sz w:val="26"/>
          <w:szCs w:val="26"/>
        </w:rPr>
        <w:t>ing</w:t>
      </w:r>
      <w:r w:rsidRPr="005525B7" w:rsidR="0095074D">
        <w:rPr>
          <w:sz w:val="26"/>
          <w:szCs w:val="26"/>
        </w:rPr>
        <w:t xml:space="preserve"> </w:t>
      </w:r>
      <w:r w:rsidRPr="005525B7" w:rsidR="00480CF0">
        <w:rPr>
          <w:sz w:val="26"/>
          <w:szCs w:val="26"/>
        </w:rPr>
        <w:t xml:space="preserve">the majority of its EVM </w:t>
      </w:r>
      <w:r w:rsidRPr="005525B7" w:rsidR="0095074D">
        <w:rPr>
          <w:sz w:val="26"/>
          <w:szCs w:val="26"/>
        </w:rPr>
        <w:t>work on the</w:t>
      </w:r>
      <w:r w:rsidRPr="005525B7" w:rsidR="00972E0F">
        <w:rPr>
          <w:sz w:val="26"/>
          <w:szCs w:val="26"/>
        </w:rPr>
        <w:t xml:space="preserve"> </w:t>
      </w:r>
      <w:r w:rsidRPr="005525B7" w:rsidR="005A3277">
        <w:rPr>
          <w:sz w:val="26"/>
          <w:szCs w:val="26"/>
        </w:rPr>
        <w:t>Circuit Protection Zones</w:t>
      </w:r>
      <w:r w:rsidRPr="005525B7" w:rsidR="00972E0F">
        <w:rPr>
          <w:sz w:val="26"/>
          <w:szCs w:val="26"/>
        </w:rPr>
        <w:t xml:space="preserve"> </w:t>
      </w:r>
      <w:r w:rsidRPr="005525B7" w:rsidR="003A00F6">
        <w:rPr>
          <w:sz w:val="26"/>
          <w:szCs w:val="26"/>
        </w:rPr>
        <w:t xml:space="preserve">from the Tree-Weighted Prioritization </w:t>
      </w:r>
      <w:r w:rsidRPr="005525B7" w:rsidR="00E95EA0">
        <w:rPr>
          <w:sz w:val="26"/>
          <w:szCs w:val="26"/>
        </w:rPr>
        <w:t>L</w:t>
      </w:r>
      <w:r w:rsidRPr="005525B7" w:rsidR="003A00F6">
        <w:rPr>
          <w:sz w:val="26"/>
          <w:szCs w:val="26"/>
        </w:rPr>
        <w:t xml:space="preserve">ist </w:t>
      </w:r>
      <w:r w:rsidRPr="005525B7" w:rsidR="006F48A6">
        <w:rPr>
          <w:sz w:val="26"/>
          <w:szCs w:val="26"/>
        </w:rPr>
        <w:t>(2022 EVM Scope of Work)</w:t>
      </w:r>
      <w:r w:rsidRPr="005525B7" w:rsidR="00972E0F">
        <w:rPr>
          <w:sz w:val="26"/>
          <w:szCs w:val="26"/>
        </w:rPr>
        <w:t>.</w:t>
      </w:r>
      <w:r w:rsidRPr="005525B7" w:rsidR="00CD0B70">
        <w:rPr>
          <w:rStyle w:val="StyleFootnoteReferenceofrStyle3o1o2o3o4o5o6o11o21o7"/>
          <w:sz w:val="26"/>
          <w:szCs w:val="26"/>
        </w:rPr>
        <w:footnoteReference w:id="34"/>
      </w:r>
      <w:r w:rsidRPr="005525B7" w:rsidR="00CD0B70">
        <w:rPr>
          <w:sz w:val="26"/>
          <w:szCs w:val="26"/>
        </w:rPr>
        <w:t xml:space="preserve"> </w:t>
      </w:r>
    </w:p>
    <w:p w:rsidRPr="005525B7" w:rsidR="00E73228" w:rsidP="00FC55FF" w:rsidRDefault="00E73228" w14:paraId="04897110" w14:textId="27C314C2">
      <w:pPr>
        <w:pStyle w:val="paragraph"/>
        <w:spacing w:before="0" w:beforeAutospacing="0" w:after="0" w:afterAutospacing="0"/>
        <w:textAlignment w:val="baseline"/>
        <w:rPr>
          <w:sz w:val="26"/>
          <w:szCs w:val="26"/>
        </w:rPr>
      </w:pPr>
    </w:p>
    <w:p w:rsidRPr="005525B7" w:rsidR="00DD4A8C" w:rsidP="00FC55FF" w:rsidRDefault="00D05B42" w14:paraId="50FAFF27" w14:textId="208450B6">
      <w:pPr>
        <w:pStyle w:val="paragraph"/>
        <w:spacing w:before="0" w:beforeAutospacing="0" w:after="0" w:afterAutospacing="0"/>
        <w:textAlignment w:val="baseline"/>
        <w:rPr>
          <w:rStyle w:val="eop"/>
          <w:sz w:val="26"/>
          <w:szCs w:val="26"/>
        </w:rPr>
      </w:pPr>
      <w:r w:rsidRPr="005525B7">
        <w:rPr>
          <w:sz w:val="26"/>
          <w:szCs w:val="26"/>
        </w:rPr>
        <w:t xml:space="preserve">Based on the information it provided, the Commission </w:t>
      </w:r>
      <w:r w:rsidRPr="005525B7" w:rsidR="00C20E79">
        <w:rPr>
          <w:sz w:val="26"/>
          <w:szCs w:val="26"/>
        </w:rPr>
        <w:t>finds</w:t>
      </w:r>
      <w:r w:rsidRPr="005525B7">
        <w:rPr>
          <w:sz w:val="26"/>
          <w:szCs w:val="26"/>
        </w:rPr>
        <w:t xml:space="preserve"> that </w:t>
      </w:r>
      <w:r w:rsidRPr="005525B7" w:rsidR="00D30268">
        <w:rPr>
          <w:sz w:val="26"/>
          <w:szCs w:val="26"/>
        </w:rPr>
        <w:t xml:space="preserve">PG&amp;E has </w:t>
      </w:r>
      <w:r w:rsidRPr="005525B7" w:rsidR="00C20E79">
        <w:rPr>
          <w:sz w:val="26"/>
          <w:szCs w:val="26"/>
        </w:rPr>
        <w:t>provided sufficient information to satisfy</w:t>
      </w:r>
      <w:r w:rsidRPr="005525B7" w:rsidR="00D30268">
        <w:rPr>
          <w:sz w:val="26"/>
          <w:szCs w:val="26"/>
        </w:rPr>
        <w:t xml:space="preserve"> CAP Element 10.</w:t>
      </w:r>
    </w:p>
    <w:p w:rsidRPr="005525B7" w:rsidR="00CB4976" w:rsidRDefault="00CB4976" w14:paraId="5FCAEFFD" w14:textId="4AF1EED9">
      <w:pPr>
        <w:rPr>
          <w:rFonts w:ascii="Times New Roman" w:hAnsi="Times New Roman"/>
          <w:szCs w:val="26"/>
        </w:rPr>
      </w:pPr>
      <w:r w:rsidRPr="005525B7">
        <w:rPr>
          <w:rFonts w:ascii="Times New Roman" w:hAnsi="Times New Roman"/>
          <w:szCs w:val="26"/>
        </w:rPr>
        <w:br w:type="page"/>
      </w:r>
    </w:p>
    <w:p w:rsidRPr="005525B7" w:rsidR="003A6C1B" w:rsidP="003A6C1B" w:rsidRDefault="00FC55FF" w14:paraId="6EF7BB70" w14:textId="26DCA52F">
      <w:pPr>
        <w:pStyle w:val="Default"/>
        <w:rPr>
          <w:rStyle w:val="normaltextrun"/>
          <w:b/>
          <w:bCs/>
          <w:sz w:val="26"/>
          <w:szCs w:val="26"/>
        </w:rPr>
      </w:pPr>
      <w:r w:rsidRPr="005525B7">
        <w:rPr>
          <w:b/>
          <w:bCs/>
          <w:sz w:val="26"/>
          <w:szCs w:val="26"/>
        </w:rPr>
        <w:lastRenderedPageBreak/>
        <w:t xml:space="preserve">CAP Element 11: </w:t>
      </w:r>
      <w:r w:rsidRPr="005525B7" w:rsidR="003A6C1B">
        <w:rPr>
          <w:rStyle w:val="normaltextrun"/>
          <w:b/>
          <w:bCs/>
          <w:sz w:val="26"/>
          <w:szCs w:val="26"/>
        </w:rPr>
        <w:t>Verification by a senior officer of PG&amp;E that it targeted a substantial majority of EVM to the highest risk circuit protection zones first, as shown by its risk model or other ranking, in the prior 90 days.</w:t>
      </w:r>
    </w:p>
    <w:p w:rsidRPr="005525B7" w:rsidR="00287D9E" w:rsidP="00FC55FF" w:rsidRDefault="00287D9E" w14:paraId="2ACEE4C2" w14:textId="77777777">
      <w:pPr>
        <w:pStyle w:val="paragraph"/>
        <w:spacing w:before="0" w:beforeAutospacing="0" w:after="0" w:afterAutospacing="0"/>
        <w:textAlignment w:val="baseline"/>
        <w:rPr>
          <w:sz w:val="26"/>
          <w:szCs w:val="26"/>
        </w:rPr>
      </w:pPr>
    </w:p>
    <w:p w:rsidRPr="005525B7" w:rsidR="00FC55FF" w:rsidP="00FC55FF" w:rsidRDefault="00706205" w14:paraId="71CBF4B1" w14:textId="2C8623E3">
      <w:pPr>
        <w:pStyle w:val="paragraph"/>
        <w:spacing w:before="0" w:beforeAutospacing="0" w:after="0" w:afterAutospacing="0"/>
        <w:textAlignment w:val="baseline"/>
        <w:rPr>
          <w:sz w:val="26"/>
          <w:szCs w:val="26"/>
        </w:rPr>
      </w:pPr>
      <w:r w:rsidRPr="005525B7">
        <w:rPr>
          <w:sz w:val="26"/>
          <w:szCs w:val="26"/>
        </w:rPr>
        <w:t xml:space="preserve">In the August </w:t>
      </w:r>
      <w:r w:rsidRPr="005525B7" w:rsidR="008F271A">
        <w:rPr>
          <w:sz w:val="26"/>
          <w:szCs w:val="26"/>
        </w:rPr>
        <w:t xml:space="preserve">1, 2022 </w:t>
      </w:r>
      <w:r w:rsidRPr="005525B7" w:rsidR="00AC12F2">
        <w:rPr>
          <w:sz w:val="26"/>
          <w:szCs w:val="26"/>
        </w:rPr>
        <w:t xml:space="preserve">CAP </w:t>
      </w:r>
      <w:r w:rsidRPr="005525B7" w:rsidR="00F20250">
        <w:rPr>
          <w:sz w:val="26"/>
          <w:szCs w:val="26"/>
        </w:rPr>
        <w:t>Update</w:t>
      </w:r>
      <w:r w:rsidRPr="005525B7" w:rsidR="008F271A">
        <w:rPr>
          <w:sz w:val="26"/>
          <w:szCs w:val="26"/>
        </w:rPr>
        <w:t xml:space="preserve">, </w:t>
      </w:r>
      <w:r w:rsidRPr="005525B7" w:rsidR="00433F6A">
        <w:rPr>
          <w:sz w:val="26"/>
          <w:szCs w:val="26"/>
        </w:rPr>
        <w:t xml:space="preserve">PG&amp;E provides a verification from its senior officer that attests that </w:t>
      </w:r>
      <w:r w:rsidRPr="005525B7" w:rsidR="007F2139">
        <w:rPr>
          <w:sz w:val="26"/>
          <w:szCs w:val="26"/>
        </w:rPr>
        <w:t>99</w:t>
      </w:r>
      <w:r w:rsidRPr="005525B7" w:rsidR="00134D86">
        <w:rPr>
          <w:sz w:val="26"/>
          <w:szCs w:val="26"/>
        </w:rPr>
        <w:t xml:space="preserve"> percent</w:t>
      </w:r>
      <w:r w:rsidRPr="005525B7" w:rsidR="007F2139">
        <w:rPr>
          <w:sz w:val="26"/>
          <w:szCs w:val="26"/>
        </w:rPr>
        <w:t xml:space="preserve"> of the EVM work through June 30, 2022 was performed on the top 20</w:t>
      </w:r>
      <w:r w:rsidRPr="005525B7" w:rsidR="00134D86">
        <w:rPr>
          <w:sz w:val="26"/>
          <w:szCs w:val="26"/>
        </w:rPr>
        <w:t xml:space="preserve"> percent</w:t>
      </w:r>
      <w:r w:rsidRPr="005525B7" w:rsidR="007F2139">
        <w:rPr>
          <w:sz w:val="26"/>
          <w:szCs w:val="26"/>
        </w:rPr>
        <w:t xml:space="preserve"> of risk ranked circuits, per the 2022 EVM Scope of Work</w:t>
      </w:r>
      <w:r w:rsidRPr="005525B7" w:rsidR="00A34FF7">
        <w:rPr>
          <w:sz w:val="26"/>
          <w:szCs w:val="26"/>
        </w:rPr>
        <w:t>.</w:t>
      </w:r>
      <w:r w:rsidRPr="005525B7" w:rsidR="00B93CB6">
        <w:rPr>
          <w:rStyle w:val="StyleFootnoteReferenceofrStyle3o1o2o3o4o5o6o11o21o7"/>
          <w:sz w:val="26"/>
          <w:szCs w:val="26"/>
        </w:rPr>
        <w:footnoteReference w:id="35"/>
      </w:r>
    </w:p>
    <w:p w:rsidRPr="005525B7" w:rsidR="00E73228" w:rsidP="00FC55FF" w:rsidRDefault="00E73228" w14:paraId="5495AAEE" w14:textId="0CCB3F2F">
      <w:pPr>
        <w:pStyle w:val="paragraph"/>
        <w:spacing w:before="0" w:beforeAutospacing="0" w:after="0" w:afterAutospacing="0"/>
        <w:textAlignment w:val="baseline"/>
        <w:rPr>
          <w:rStyle w:val="normaltextrun"/>
          <w:b/>
          <w:bCs/>
          <w:sz w:val="26"/>
          <w:szCs w:val="26"/>
        </w:rPr>
      </w:pPr>
    </w:p>
    <w:p w:rsidRPr="005525B7" w:rsidR="00D05B42" w:rsidP="0014076A" w:rsidRDefault="00D05B42" w14:paraId="2724F3D1" w14:textId="39CBCE1C">
      <w:pPr>
        <w:pStyle w:val="paragraph"/>
        <w:spacing w:before="0" w:beforeAutospacing="0" w:after="0" w:afterAutospacing="0"/>
        <w:textAlignment w:val="baseline"/>
        <w:rPr>
          <w:sz w:val="26"/>
          <w:szCs w:val="26"/>
        </w:rPr>
      </w:pPr>
      <w:r w:rsidRPr="005525B7">
        <w:rPr>
          <w:sz w:val="26"/>
          <w:szCs w:val="26"/>
        </w:rPr>
        <w:t xml:space="preserve">Based on the information it provided, the Commission </w:t>
      </w:r>
      <w:r w:rsidRPr="005525B7" w:rsidR="007E0FCD">
        <w:rPr>
          <w:sz w:val="26"/>
          <w:szCs w:val="26"/>
        </w:rPr>
        <w:t>finds</w:t>
      </w:r>
      <w:r w:rsidRPr="005525B7">
        <w:rPr>
          <w:sz w:val="26"/>
          <w:szCs w:val="26"/>
        </w:rPr>
        <w:t xml:space="preserve"> that </w:t>
      </w:r>
      <w:r w:rsidRPr="005525B7" w:rsidR="008B1566">
        <w:rPr>
          <w:sz w:val="26"/>
          <w:szCs w:val="26"/>
        </w:rPr>
        <w:t xml:space="preserve">PG&amp;E </w:t>
      </w:r>
      <w:r w:rsidRPr="005525B7" w:rsidR="008B1566">
        <w:rPr>
          <w:rStyle w:val="normaltextrun"/>
          <w:sz w:val="26"/>
          <w:szCs w:val="26"/>
        </w:rPr>
        <w:t xml:space="preserve">has </w:t>
      </w:r>
      <w:r w:rsidRPr="005525B7" w:rsidR="000C75AF">
        <w:rPr>
          <w:rStyle w:val="normaltextrun"/>
          <w:sz w:val="26"/>
          <w:szCs w:val="26"/>
        </w:rPr>
        <w:t xml:space="preserve">provided sufficient information to satisfy </w:t>
      </w:r>
      <w:r w:rsidRPr="005525B7" w:rsidR="008B1566">
        <w:rPr>
          <w:sz w:val="26"/>
          <w:szCs w:val="26"/>
        </w:rPr>
        <w:t>CAP Element 11.</w:t>
      </w:r>
    </w:p>
    <w:p w:rsidRPr="005525B7" w:rsidR="00D05B42" w:rsidP="0014076A" w:rsidRDefault="00D05B42" w14:paraId="56D3F3F7" w14:textId="77777777">
      <w:pPr>
        <w:pStyle w:val="paragraph"/>
        <w:spacing w:before="0" w:beforeAutospacing="0" w:after="0" w:afterAutospacing="0"/>
        <w:textAlignment w:val="baseline"/>
        <w:rPr>
          <w:sz w:val="26"/>
          <w:szCs w:val="26"/>
        </w:rPr>
      </w:pPr>
    </w:p>
    <w:p w:rsidRPr="005525B7" w:rsidR="001627FE" w:rsidP="0014076A" w:rsidRDefault="00BD043B" w14:paraId="7AF848C0" w14:textId="4FAA643A">
      <w:pPr>
        <w:pStyle w:val="paragraph"/>
        <w:spacing w:before="0" w:beforeAutospacing="0" w:after="0" w:afterAutospacing="0"/>
        <w:textAlignment w:val="baseline"/>
        <w:rPr>
          <w:b/>
          <w:bCs/>
          <w:sz w:val="26"/>
          <w:szCs w:val="26"/>
        </w:rPr>
      </w:pPr>
      <w:r w:rsidRPr="005525B7">
        <w:rPr>
          <w:b/>
          <w:bCs/>
          <w:sz w:val="26"/>
          <w:szCs w:val="26"/>
        </w:rPr>
        <w:t xml:space="preserve">CAP Element 12: </w:t>
      </w:r>
      <w:r w:rsidRPr="005525B7" w:rsidR="001627FE">
        <w:rPr>
          <w:b/>
          <w:bCs/>
          <w:sz w:val="26"/>
          <w:szCs w:val="26"/>
        </w:rPr>
        <w:t xml:space="preserve">Verification by a senior officer of PG&amp;E that the company has communicated information and internal decisions in items 3, 4 and 9 above to personnel of PG&amp;E’s EVM programs and that such personnel is aware of where to target EVM in the subsequent 90 days. </w:t>
      </w:r>
    </w:p>
    <w:p w:rsidRPr="005525B7" w:rsidR="00BD043B" w:rsidP="00BD043B" w:rsidRDefault="00BD043B" w14:paraId="44076E0A" w14:textId="220BF90B">
      <w:pPr>
        <w:pStyle w:val="paragraph"/>
        <w:spacing w:before="0" w:beforeAutospacing="0" w:after="0" w:afterAutospacing="0"/>
        <w:textAlignment w:val="baseline"/>
        <w:rPr>
          <w:rStyle w:val="normaltextrun"/>
          <w:b/>
          <w:bCs/>
          <w:sz w:val="26"/>
          <w:szCs w:val="26"/>
        </w:rPr>
      </w:pPr>
    </w:p>
    <w:p w:rsidRPr="005525B7" w:rsidR="00F460C5" w:rsidP="00F400A4" w:rsidRDefault="00AA08CF" w14:paraId="70EA8FA3" w14:textId="041EDC08">
      <w:pPr>
        <w:pStyle w:val="BodyText"/>
        <w:kinsoku w:val="0"/>
        <w:overflowPunct w:val="0"/>
        <w:ind w:right="183"/>
        <w:rPr>
          <w:rFonts w:ascii="Times New Roman" w:hAnsi="Times New Roman" w:cs="Times New Roman"/>
          <w:sz w:val="26"/>
          <w:szCs w:val="26"/>
        </w:rPr>
      </w:pPr>
      <w:r w:rsidRPr="005525B7">
        <w:rPr>
          <w:rFonts w:ascii="Times New Roman" w:hAnsi="Times New Roman" w:cs="Times New Roman"/>
          <w:sz w:val="26"/>
          <w:szCs w:val="26"/>
        </w:rPr>
        <w:t>T</w:t>
      </w:r>
      <w:r w:rsidRPr="005525B7" w:rsidR="00E75B9D">
        <w:rPr>
          <w:rFonts w:ascii="Times New Roman" w:hAnsi="Times New Roman" w:cs="Times New Roman"/>
          <w:sz w:val="26"/>
          <w:szCs w:val="26"/>
        </w:rPr>
        <w:t>he</w:t>
      </w:r>
      <w:r w:rsidRPr="005525B7" w:rsidR="00F520A0">
        <w:rPr>
          <w:rFonts w:ascii="Times New Roman" w:hAnsi="Times New Roman" w:cs="Times New Roman"/>
          <w:sz w:val="26"/>
          <w:szCs w:val="26"/>
        </w:rPr>
        <w:t xml:space="preserve"> </w:t>
      </w:r>
      <w:r w:rsidRPr="005525B7" w:rsidR="00607386">
        <w:rPr>
          <w:rFonts w:ascii="Times New Roman" w:hAnsi="Times New Roman" w:cs="Times New Roman"/>
          <w:sz w:val="26"/>
          <w:szCs w:val="26"/>
        </w:rPr>
        <w:t xml:space="preserve">May </w:t>
      </w:r>
      <w:r w:rsidRPr="005525B7" w:rsidR="000B0549">
        <w:rPr>
          <w:rFonts w:ascii="Times New Roman" w:hAnsi="Times New Roman" w:cs="Times New Roman"/>
          <w:sz w:val="26"/>
          <w:szCs w:val="26"/>
        </w:rPr>
        <w:t>6</w:t>
      </w:r>
      <w:r w:rsidRPr="005525B7" w:rsidR="00607386">
        <w:rPr>
          <w:rFonts w:ascii="Times New Roman" w:hAnsi="Times New Roman" w:cs="Times New Roman"/>
          <w:sz w:val="26"/>
          <w:szCs w:val="26"/>
        </w:rPr>
        <w:t xml:space="preserve">, 2021 </w:t>
      </w:r>
      <w:proofErr w:type="gramStart"/>
      <w:r w:rsidRPr="005525B7" w:rsidR="00DE5066">
        <w:rPr>
          <w:rFonts w:ascii="Times New Roman" w:hAnsi="Times New Roman" w:cs="Times New Roman"/>
          <w:sz w:val="26"/>
          <w:szCs w:val="26"/>
        </w:rPr>
        <w:t>CAP</w:t>
      </w:r>
      <w:proofErr w:type="gramEnd"/>
      <w:r w:rsidRPr="005525B7" w:rsidR="00DE5066">
        <w:rPr>
          <w:rFonts w:ascii="Times New Roman" w:hAnsi="Times New Roman" w:cs="Times New Roman"/>
          <w:sz w:val="26"/>
          <w:szCs w:val="26"/>
        </w:rPr>
        <w:t xml:space="preserve"> </w:t>
      </w:r>
      <w:r w:rsidRPr="005525B7" w:rsidR="00F520A0">
        <w:rPr>
          <w:rFonts w:ascii="Times New Roman" w:hAnsi="Times New Roman" w:cs="Times New Roman"/>
          <w:sz w:val="26"/>
          <w:szCs w:val="26"/>
        </w:rPr>
        <w:t xml:space="preserve">and the subsequent 90-day updates </w:t>
      </w:r>
      <w:r w:rsidRPr="005525B7" w:rsidR="00CF524B">
        <w:rPr>
          <w:rFonts w:ascii="Times New Roman" w:hAnsi="Times New Roman" w:cs="Times New Roman"/>
          <w:sz w:val="26"/>
          <w:szCs w:val="26"/>
        </w:rPr>
        <w:t>attach</w:t>
      </w:r>
      <w:r w:rsidRPr="005525B7" w:rsidR="00177EB5">
        <w:rPr>
          <w:rFonts w:ascii="Times New Roman" w:hAnsi="Times New Roman" w:cs="Times New Roman"/>
          <w:sz w:val="26"/>
          <w:szCs w:val="26"/>
        </w:rPr>
        <w:t xml:space="preserve"> a</w:t>
      </w:r>
      <w:r w:rsidRPr="005525B7" w:rsidR="00862F95">
        <w:rPr>
          <w:rFonts w:ascii="Times New Roman" w:hAnsi="Times New Roman" w:cs="Times New Roman"/>
          <w:sz w:val="26"/>
          <w:szCs w:val="26"/>
        </w:rPr>
        <w:t xml:space="preserve"> </w:t>
      </w:r>
      <w:r w:rsidRPr="005525B7" w:rsidR="00336686">
        <w:rPr>
          <w:rFonts w:ascii="Times New Roman" w:hAnsi="Times New Roman" w:cs="Times New Roman"/>
          <w:sz w:val="26"/>
          <w:szCs w:val="26"/>
        </w:rPr>
        <w:t>“</w:t>
      </w:r>
      <w:r w:rsidRPr="005525B7" w:rsidR="00862F95">
        <w:rPr>
          <w:rFonts w:ascii="Times New Roman" w:hAnsi="Times New Roman" w:cs="Times New Roman"/>
          <w:sz w:val="26"/>
          <w:szCs w:val="26"/>
        </w:rPr>
        <w:t>Verification of the Senior Risk Officer.</w:t>
      </w:r>
      <w:r w:rsidRPr="005525B7" w:rsidR="00336686">
        <w:rPr>
          <w:rFonts w:ascii="Times New Roman" w:hAnsi="Times New Roman" w:cs="Times New Roman"/>
          <w:sz w:val="26"/>
          <w:szCs w:val="26"/>
        </w:rPr>
        <w:t>”</w:t>
      </w:r>
      <w:r w:rsidRPr="005525B7" w:rsidR="004C5C05">
        <w:rPr>
          <w:rStyle w:val="StyleFootnoteReferenceofrStyle3o1o2o3o4o5o6o11o21o7"/>
          <w:rFonts w:cs="Times New Roman"/>
          <w:sz w:val="26"/>
          <w:szCs w:val="26"/>
        </w:rPr>
        <w:footnoteReference w:id="36"/>
      </w:r>
      <w:r w:rsidRPr="005525B7" w:rsidR="004C5C05">
        <w:rPr>
          <w:rFonts w:ascii="Times New Roman" w:hAnsi="Times New Roman" w:cs="Times New Roman"/>
          <w:sz w:val="26"/>
          <w:szCs w:val="26"/>
        </w:rPr>
        <w:t xml:space="preserve"> </w:t>
      </w:r>
      <w:r w:rsidRPr="005525B7" w:rsidR="00E64AD0">
        <w:rPr>
          <w:rFonts w:ascii="Times New Roman" w:hAnsi="Times New Roman" w:cs="Times New Roman"/>
          <w:sz w:val="26"/>
          <w:szCs w:val="26"/>
        </w:rPr>
        <w:t xml:space="preserve"> </w:t>
      </w:r>
      <w:r w:rsidRPr="005525B7" w:rsidR="0081297A">
        <w:rPr>
          <w:rFonts w:ascii="Times New Roman" w:hAnsi="Times New Roman" w:cs="Times New Roman"/>
          <w:sz w:val="26"/>
          <w:szCs w:val="26"/>
        </w:rPr>
        <w:t xml:space="preserve">The </w:t>
      </w:r>
      <w:r w:rsidRPr="005525B7" w:rsidR="007E1D5D">
        <w:rPr>
          <w:rFonts w:ascii="Times New Roman" w:hAnsi="Times New Roman" w:cs="Times New Roman"/>
          <w:sz w:val="26"/>
          <w:szCs w:val="26"/>
        </w:rPr>
        <w:t xml:space="preserve">August </w:t>
      </w:r>
      <w:r w:rsidRPr="005525B7" w:rsidR="005442D6">
        <w:rPr>
          <w:rFonts w:ascii="Times New Roman" w:hAnsi="Times New Roman" w:cs="Times New Roman"/>
          <w:sz w:val="26"/>
          <w:szCs w:val="26"/>
        </w:rPr>
        <w:t>1</w:t>
      </w:r>
      <w:r w:rsidRPr="005525B7" w:rsidR="007E1D5D">
        <w:rPr>
          <w:rFonts w:ascii="Times New Roman" w:hAnsi="Times New Roman" w:cs="Times New Roman"/>
          <w:sz w:val="26"/>
          <w:szCs w:val="26"/>
        </w:rPr>
        <w:t>, 2022</w:t>
      </w:r>
      <w:r w:rsidRPr="005525B7" w:rsidR="005442D6">
        <w:rPr>
          <w:rFonts w:ascii="Times New Roman" w:hAnsi="Times New Roman" w:cs="Times New Roman"/>
          <w:sz w:val="26"/>
          <w:szCs w:val="26"/>
        </w:rPr>
        <w:t xml:space="preserve"> </w:t>
      </w:r>
      <w:r w:rsidRPr="005525B7" w:rsidR="00DE5066">
        <w:rPr>
          <w:rFonts w:ascii="Times New Roman" w:hAnsi="Times New Roman" w:cs="Times New Roman"/>
          <w:sz w:val="26"/>
          <w:szCs w:val="26"/>
        </w:rPr>
        <w:t xml:space="preserve">CAP </w:t>
      </w:r>
      <w:r w:rsidRPr="005525B7" w:rsidR="005442D6">
        <w:rPr>
          <w:rFonts w:ascii="Times New Roman" w:hAnsi="Times New Roman" w:cs="Times New Roman"/>
          <w:sz w:val="26"/>
          <w:szCs w:val="26"/>
        </w:rPr>
        <w:t>Upda</w:t>
      </w:r>
      <w:r w:rsidRPr="005525B7" w:rsidR="00365325">
        <w:rPr>
          <w:rFonts w:ascii="Times New Roman" w:hAnsi="Times New Roman" w:cs="Times New Roman"/>
          <w:sz w:val="26"/>
          <w:szCs w:val="26"/>
        </w:rPr>
        <w:t>te</w:t>
      </w:r>
      <w:r w:rsidRPr="005525B7" w:rsidR="00D85393">
        <w:rPr>
          <w:rFonts w:ascii="Times New Roman" w:hAnsi="Times New Roman" w:cs="Times New Roman"/>
          <w:sz w:val="26"/>
          <w:szCs w:val="26"/>
        </w:rPr>
        <w:t xml:space="preserve"> </w:t>
      </w:r>
      <w:r w:rsidRPr="005525B7" w:rsidR="00862F95">
        <w:rPr>
          <w:rFonts w:ascii="Times New Roman" w:hAnsi="Times New Roman" w:cs="Times New Roman"/>
          <w:sz w:val="26"/>
          <w:szCs w:val="26"/>
        </w:rPr>
        <w:t xml:space="preserve">states, “On information and </w:t>
      </w:r>
      <w:r w:rsidRPr="005525B7" w:rsidR="00FA46E1">
        <w:rPr>
          <w:rFonts w:ascii="Times New Roman" w:hAnsi="Times New Roman" w:cs="Times New Roman"/>
          <w:sz w:val="26"/>
          <w:szCs w:val="26"/>
        </w:rPr>
        <w:t>my understanding, Element 5.b in the August Report describes the communications that PG&amp;E has had with EVM personnel and contractors regarding EVM work</w:t>
      </w:r>
      <w:r w:rsidRPr="005525B7" w:rsidR="0020456B">
        <w:rPr>
          <w:rFonts w:ascii="Times New Roman" w:hAnsi="Times New Roman" w:cs="Times New Roman"/>
          <w:sz w:val="26"/>
          <w:szCs w:val="26"/>
        </w:rPr>
        <w:t>.</w:t>
      </w:r>
      <w:r w:rsidRPr="005525B7" w:rsidR="00565469">
        <w:rPr>
          <w:rFonts w:ascii="Times New Roman" w:hAnsi="Times New Roman" w:cs="Times New Roman"/>
          <w:sz w:val="26"/>
          <w:szCs w:val="26"/>
        </w:rPr>
        <w:t>”</w:t>
      </w:r>
      <w:r w:rsidRPr="005525B7" w:rsidR="0081297A">
        <w:rPr>
          <w:rStyle w:val="StyleFootnoteReferenceofrStyle3o1o2o3o4o5o6o11o21o7"/>
          <w:rFonts w:cs="Times New Roman"/>
          <w:sz w:val="26"/>
          <w:szCs w:val="26"/>
        </w:rPr>
        <w:footnoteReference w:id="37"/>
      </w:r>
      <w:r w:rsidRPr="005525B7" w:rsidR="00565469">
        <w:rPr>
          <w:rFonts w:ascii="Times New Roman" w:hAnsi="Times New Roman" w:cs="Times New Roman"/>
          <w:sz w:val="26"/>
          <w:szCs w:val="26"/>
        </w:rPr>
        <w:t xml:space="preserve"> </w:t>
      </w:r>
    </w:p>
    <w:p w:rsidRPr="005525B7" w:rsidR="00F86D89" w:rsidP="00BD043B" w:rsidRDefault="00F86D89" w14:paraId="784981DE" w14:textId="77777777">
      <w:pPr>
        <w:pStyle w:val="paragraph"/>
        <w:spacing w:before="0" w:beforeAutospacing="0" w:after="0" w:afterAutospacing="0"/>
        <w:textAlignment w:val="baseline"/>
        <w:rPr>
          <w:sz w:val="26"/>
          <w:szCs w:val="26"/>
        </w:rPr>
      </w:pPr>
    </w:p>
    <w:p w:rsidRPr="005525B7" w:rsidR="00803785" w:rsidP="00BD043B" w:rsidRDefault="00D05B42" w14:paraId="5858792E" w14:textId="5DE01319">
      <w:pPr>
        <w:pStyle w:val="paragraph"/>
        <w:spacing w:before="0" w:beforeAutospacing="0" w:after="0" w:afterAutospacing="0"/>
        <w:textAlignment w:val="baseline"/>
        <w:rPr>
          <w:rStyle w:val="normaltextrun"/>
          <w:sz w:val="26"/>
          <w:szCs w:val="26"/>
        </w:rPr>
      </w:pPr>
      <w:r w:rsidRPr="005525B7">
        <w:rPr>
          <w:sz w:val="26"/>
          <w:szCs w:val="26"/>
        </w:rPr>
        <w:t xml:space="preserve">Based on the information it provided, the Commission </w:t>
      </w:r>
      <w:r w:rsidRPr="005525B7" w:rsidR="00657BB9">
        <w:rPr>
          <w:sz w:val="26"/>
          <w:szCs w:val="26"/>
        </w:rPr>
        <w:t xml:space="preserve">finds that </w:t>
      </w:r>
      <w:r w:rsidRPr="005525B7" w:rsidR="00657BB9">
        <w:rPr>
          <w:rStyle w:val="normaltextrun"/>
          <w:sz w:val="26"/>
          <w:szCs w:val="26"/>
        </w:rPr>
        <w:t xml:space="preserve">PG&amp;E has provided sufficient information to satisfy CAP Element </w:t>
      </w:r>
      <w:r w:rsidRPr="005525B7" w:rsidR="000977C0">
        <w:rPr>
          <w:sz w:val="26"/>
          <w:szCs w:val="26"/>
        </w:rPr>
        <w:t>12</w:t>
      </w:r>
      <w:r w:rsidRPr="005525B7" w:rsidR="00F966BE">
        <w:rPr>
          <w:sz w:val="26"/>
          <w:szCs w:val="26"/>
        </w:rPr>
        <w:t xml:space="preserve">. </w:t>
      </w:r>
    </w:p>
    <w:p w:rsidRPr="005525B7" w:rsidR="00497FB8" w:rsidP="00C02E98" w:rsidRDefault="00497FB8" w14:paraId="434C42E8" w14:textId="77777777">
      <w:pPr>
        <w:pStyle w:val="paragraph"/>
        <w:spacing w:before="0" w:beforeAutospacing="0" w:after="0" w:afterAutospacing="0"/>
        <w:textAlignment w:val="baseline"/>
        <w:rPr>
          <w:b/>
          <w:bCs/>
          <w:sz w:val="26"/>
          <w:szCs w:val="26"/>
        </w:rPr>
      </w:pPr>
    </w:p>
    <w:p w:rsidRPr="005525B7" w:rsidR="006E5769" w:rsidP="00C02E98" w:rsidRDefault="00C02E98" w14:paraId="77689AC0" w14:textId="1FDB8363">
      <w:pPr>
        <w:pStyle w:val="paragraph"/>
        <w:spacing w:before="0" w:beforeAutospacing="0" w:after="0" w:afterAutospacing="0"/>
        <w:textAlignment w:val="baseline"/>
        <w:rPr>
          <w:rStyle w:val="eop"/>
          <w:b/>
          <w:bCs/>
          <w:sz w:val="26"/>
          <w:szCs w:val="26"/>
        </w:rPr>
      </w:pPr>
      <w:r w:rsidRPr="005525B7">
        <w:rPr>
          <w:b/>
          <w:bCs/>
          <w:sz w:val="26"/>
          <w:szCs w:val="26"/>
        </w:rPr>
        <w:t>CAP Element 1</w:t>
      </w:r>
      <w:r w:rsidRPr="005525B7" w:rsidR="00D3257A">
        <w:rPr>
          <w:b/>
          <w:bCs/>
          <w:sz w:val="26"/>
          <w:szCs w:val="26"/>
        </w:rPr>
        <w:t>3</w:t>
      </w:r>
      <w:r w:rsidRPr="005525B7">
        <w:rPr>
          <w:b/>
          <w:bCs/>
          <w:sz w:val="26"/>
          <w:szCs w:val="26"/>
        </w:rPr>
        <w:t xml:space="preserve">: </w:t>
      </w:r>
      <w:r w:rsidRPr="005525B7" w:rsidR="006E5769">
        <w:rPr>
          <w:rStyle w:val="normaltextrun"/>
          <w:b/>
          <w:bCs/>
          <w:sz w:val="26"/>
          <w:szCs w:val="26"/>
        </w:rPr>
        <w:t>A proposed timeline for ending the required reporting, with a detailed explanation of why the proposal ensures PG&amp;E is in compliance with the requirement that it prioritize high risk circuits in its EVM work.  The timeline shall include milestone goals for June 1, 2021, September 1. 2021, and December 31, 2021.  These goals shall include a targeted percentage of high risk power line circuits to be completed by those dates.</w:t>
      </w:r>
      <w:r w:rsidRPr="005525B7" w:rsidR="006E5769">
        <w:rPr>
          <w:rStyle w:val="eop"/>
          <w:b/>
          <w:bCs/>
          <w:sz w:val="26"/>
          <w:szCs w:val="26"/>
        </w:rPr>
        <w:t> </w:t>
      </w:r>
    </w:p>
    <w:p w:rsidRPr="005525B7" w:rsidR="00560E1B" w:rsidP="00D40DC2" w:rsidRDefault="00560E1B" w14:paraId="3C10A0D7" w14:textId="77777777">
      <w:pPr>
        <w:widowControl w:val="0"/>
        <w:tabs>
          <w:tab w:val="left" w:pos="863"/>
        </w:tabs>
        <w:kinsoku w:val="0"/>
        <w:overflowPunct w:val="0"/>
        <w:autoSpaceDE w:val="0"/>
        <w:autoSpaceDN w:val="0"/>
        <w:adjustRightInd w:val="0"/>
        <w:ind w:right="176"/>
        <w:rPr>
          <w:rFonts w:ascii="Times New Roman" w:hAnsi="Times New Roman"/>
          <w:szCs w:val="26"/>
        </w:rPr>
      </w:pPr>
    </w:p>
    <w:p w:rsidRPr="005525B7" w:rsidR="00497FB8" w:rsidP="00D40DC2" w:rsidRDefault="004669AE" w14:paraId="36C46C32" w14:textId="5B5BBC8E">
      <w:pPr>
        <w:widowControl w:val="0"/>
        <w:tabs>
          <w:tab w:val="left" w:pos="863"/>
        </w:tabs>
        <w:kinsoku w:val="0"/>
        <w:overflowPunct w:val="0"/>
        <w:autoSpaceDE w:val="0"/>
        <w:autoSpaceDN w:val="0"/>
        <w:adjustRightInd w:val="0"/>
        <w:ind w:right="176"/>
        <w:rPr>
          <w:rFonts w:ascii="Times New Roman" w:hAnsi="Times New Roman"/>
          <w:szCs w:val="26"/>
        </w:rPr>
      </w:pPr>
      <w:r w:rsidRPr="005525B7">
        <w:rPr>
          <w:rFonts w:ascii="Times New Roman" w:hAnsi="Times New Roman"/>
          <w:szCs w:val="26"/>
        </w:rPr>
        <w:t xml:space="preserve">PG&amp;E’s </w:t>
      </w:r>
      <w:r w:rsidRPr="005525B7" w:rsidR="009D455D">
        <w:rPr>
          <w:rFonts w:ascii="Times New Roman" w:hAnsi="Times New Roman"/>
          <w:szCs w:val="26"/>
        </w:rPr>
        <w:t xml:space="preserve">May 6, 2021, </w:t>
      </w:r>
      <w:r w:rsidRPr="005525B7" w:rsidR="00DE5066">
        <w:rPr>
          <w:rFonts w:ascii="Times New Roman" w:hAnsi="Times New Roman"/>
          <w:szCs w:val="26"/>
        </w:rPr>
        <w:t xml:space="preserve">CAP </w:t>
      </w:r>
      <w:r w:rsidRPr="005525B7" w:rsidR="009D455D">
        <w:rPr>
          <w:rFonts w:ascii="Times New Roman" w:hAnsi="Times New Roman"/>
          <w:szCs w:val="26"/>
        </w:rPr>
        <w:t xml:space="preserve">provides its </w:t>
      </w:r>
      <w:r w:rsidRPr="005525B7" w:rsidR="00497FB8">
        <w:rPr>
          <w:rFonts w:ascii="Times New Roman" w:hAnsi="Times New Roman"/>
          <w:szCs w:val="26"/>
        </w:rPr>
        <w:t>2021 EVM goal of 1,800 miles</w:t>
      </w:r>
      <w:r w:rsidRPr="005525B7" w:rsidR="00357B69">
        <w:rPr>
          <w:rFonts w:ascii="Times New Roman" w:hAnsi="Times New Roman"/>
          <w:szCs w:val="26"/>
        </w:rPr>
        <w:t>, which</w:t>
      </w:r>
      <w:r w:rsidRPr="005525B7" w:rsidR="00497FB8">
        <w:rPr>
          <w:rFonts w:ascii="Times New Roman" w:hAnsi="Times New Roman"/>
          <w:szCs w:val="26"/>
        </w:rPr>
        <w:t xml:space="preserve"> is based on its 2020 performance of 1,878 miles, but PG&amp;E also relies on an internal contingency goal of 2,400 miles.</w:t>
      </w:r>
      <w:r w:rsidRPr="005525B7" w:rsidR="00497FB8">
        <w:rPr>
          <w:rStyle w:val="StyleFootnoteReferenceofrStyle3o1o2o3o4o5o6o11o21o7"/>
          <w:szCs w:val="26"/>
        </w:rPr>
        <w:footnoteReference w:id="38"/>
      </w:r>
      <w:r w:rsidRPr="005525B7" w:rsidR="007965A2">
        <w:rPr>
          <w:rFonts w:ascii="Times New Roman" w:hAnsi="Times New Roman"/>
          <w:szCs w:val="26"/>
        </w:rPr>
        <w:t xml:space="preserve"> </w:t>
      </w:r>
      <w:r w:rsidRPr="005525B7" w:rsidR="00E64AD0">
        <w:rPr>
          <w:rFonts w:ascii="Times New Roman" w:hAnsi="Times New Roman"/>
          <w:szCs w:val="26"/>
        </w:rPr>
        <w:t xml:space="preserve"> </w:t>
      </w:r>
      <w:r w:rsidRPr="005525B7" w:rsidR="00172DC6">
        <w:rPr>
          <w:rFonts w:ascii="Times New Roman" w:hAnsi="Times New Roman"/>
          <w:szCs w:val="26"/>
        </w:rPr>
        <w:t xml:space="preserve">PG&amp;E’s 2021 WMP established an annual goal of </w:t>
      </w:r>
      <w:r w:rsidRPr="005525B7" w:rsidR="00172DC6">
        <w:rPr>
          <w:rFonts w:ascii="Times New Roman" w:hAnsi="Times New Roman"/>
          <w:szCs w:val="26"/>
        </w:rPr>
        <w:lastRenderedPageBreak/>
        <w:t>1,800 miles by December 31, 2021.</w:t>
      </w:r>
      <w:r w:rsidRPr="005525B7" w:rsidR="00172DC6">
        <w:rPr>
          <w:rStyle w:val="StyleFootnoteReferenceofrStyle3o1o2o3o4o5o6o11o21o7"/>
          <w:szCs w:val="26"/>
        </w:rPr>
        <w:footnoteReference w:id="39"/>
      </w:r>
      <w:r w:rsidRPr="005525B7" w:rsidR="001E6A5A">
        <w:rPr>
          <w:rFonts w:ascii="Times New Roman" w:hAnsi="Times New Roman"/>
          <w:szCs w:val="26"/>
        </w:rPr>
        <w:t xml:space="preserve"> </w:t>
      </w:r>
      <w:r w:rsidRPr="005525B7" w:rsidR="00E64AD0">
        <w:rPr>
          <w:rFonts w:ascii="Times New Roman" w:hAnsi="Times New Roman"/>
          <w:szCs w:val="26"/>
        </w:rPr>
        <w:t xml:space="preserve"> </w:t>
      </w:r>
      <w:r w:rsidRPr="005525B7" w:rsidR="00497FB8">
        <w:rPr>
          <w:rFonts w:ascii="Times New Roman" w:hAnsi="Times New Roman"/>
          <w:szCs w:val="26"/>
        </w:rPr>
        <w:t xml:space="preserve">PG&amp;E established the following quarterly targets to reach </w:t>
      </w:r>
      <w:r w:rsidRPr="005525B7" w:rsidR="00855F11">
        <w:rPr>
          <w:rFonts w:ascii="Times New Roman" w:hAnsi="Times New Roman"/>
          <w:szCs w:val="26"/>
        </w:rPr>
        <w:t xml:space="preserve">its goal of </w:t>
      </w:r>
      <w:r w:rsidRPr="005525B7" w:rsidR="00497FB8">
        <w:rPr>
          <w:rFonts w:ascii="Times New Roman" w:hAnsi="Times New Roman"/>
          <w:szCs w:val="26"/>
        </w:rPr>
        <w:t>1,800 miles by December 31, 2021:</w:t>
      </w:r>
    </w:p>
    <w:p w:rsidRPr="005525B7" w:rsidR="00D05B42" w:rsidP="00D40DC2" w:rsidRDefault="00D05B42" w14:paraId="60750866" w14:textId="77777777">
      <w:pPr>
        <w:widowControl w:val="0"/>
        <w:tabs>
          <w:tab w:val="left" w:pos="863"/>
        </w:tabs>
        <w:kinsoku w:val="0"/>
        <w:overflowPunct w:val="0"/>
        <w:autoSpaceDE w:val="0"/>
        <w:autoSpaceDN w:val="0"/>
        <w:adjustRightInd w:val="0"/>
        <w:ind w:right="176"/>
        <w:rPr>
          <w:rFonts w:ascii="Times New Roman" w:hAnsi="Times New Roman"/>
          <w:szCs w:val="26"/>
        </w:rPr>
      </w:pPr>
    </w:p>
    <w:p w:rsidRPr="005525B7" w:rsidR="00497FB8" w:rsidP="007965A2" w:rsidRDefault="00497FB8" w14:paraId="28778B03" w14:textId="77777777">
      <w:pPr>
        <w:pStyle w:val="ListParagraph"/>
        <w:widowControl w:val="0"/>
        <w:numPr>
          <w:ilvl w:val="1"/>
          <w:numId w:val="46"/>
        </w:numPr>
        <w:tabs>
          <w:tab w:val="left" w:pos="1583"/>
        </w:tabs>
        <w:kinsoku w:val="0"/>
        <w:overflowPunct w:val="0"/>
        <w:autoSpaceDE w:val="0"/>
        <w:autoSpaceDN w:val="0"/>
        <w:adjustRightInd w:val="0"/>
        <w:spacing w:after="120"/>
        <w:ind w:left="1080"/>
        <w:contextualSpacing w:val="0"/>
        <w:rPr>
          <w:rFonts w:ascii="Times New Roman" w:hAnsi="Times New Roman"/>
          <w:szCs w:val="26"/>
        </w:rPr>
      </w:pPr>
      <w:r w:rsidRPr="005525B7">
        <w:rPr>
          <w:rFonts w:ascii="Times New Roman" w:hAnsi="Times New Roman"/>
          <w:szCs w:val="26"/>
        </w:rPr>
        <w:t>June 1, 2021: 210</w:t>
      </w:r>
      <w:r w:rsidRPr="005525B7">
        <w:rPr>
          <w:rFonts w:ascii="Times New Roman" w:hAnsi="Times New Roman"/>
          <w:spacing w:val="-5"/>
          <w:szCs w:val="26"/>
        </w:rPr>
        <w:t xml:space="preserve"> </w:t>
      </w:r>
      <w:r w:rsidRPr="005525B7">
        <w:rPr>
          <w:rFonts w:ascii="Times New Roman" w:hAnsi="Times New Roman"/>
          <w:szCs w:val="26"/>
        </w:rPr>
        <w:t>miles</w:t>
      </w:r>
    </w:p>
    <w:p w:rsidRPr="005525B7" w:rsidR="00497FB8" w:rsidP="007965A2" w:rsidRDefault="00497FB8" w14:paraId="0D1CCB8F" w14:textId="77777777">
      <w:pPr>
        <w:pStyle w:val="ListParagraph"/>
        <w:widowControl w:val="0"/>
        <w:numPr>
          <w:ilvl w:val="1"/>
          <w:numId w:val="46"/>
        </w:numPr>
        <w:tabs>
          <w:tab w:val="left" w:pos="1583"/>
        </w:tabs>
        <w:kinsoku w:val="0"/>
        <w:overflowPunct w:val="0"/>
        <w:autoSpaceDE w:val="0"/>
        <w:autoSpaceDN w:val="0"/>
        <w:adjustRightInd w:val="0"/>
        <w:spacing w:after="120"/>
        <w:ind w:left="1080"/>
        <w:contextualSpacing w:val="0"/>
        <w:rPr>
          <w:rFonts w:ascii="Times New Roman" w:hAnsi="Times New Roman"/>
          <w:szCs w:val="26"/>
        </w:rPr>
      </w:pPr>
      <w:r w:rsidRPr="005525B7">
        <w:rPr>
          <w:rFonts w:ascii="Times New Roman" w:hAnsi="Times New Roman"/>
          <w:szCs w:val="26"/>
        </w:rPr>
        <w:t>September 1, 2021: 850 miles (640 miles of</w:t>
      </w:r>
      <w:r w:rsidRPr="005525B7">
        <w:rPr>
          <w:rFonts w:ascii="Times New Roman" w:hAnsi="Times New Roman"/>
          <w:spacing w:val="-10"/>
          <w:szCs w:val="26"/>
        </w:rPr>
        <w:t xml:space="preserve"> </w:t>
      </w:r>
      <w:r w:rsidRPr="005525B7">
        <w:rPr>
          <w:rFonts w:ascii="Times New Roman" w:hAnsi="Times New Roman"/>
          <w:szCs w:val="26"/>
        </w:rPr>
        <w:t>work)</w:t>
      </w:r>
    </w:p>
    <w:p w:rsidRPr="005525B7" w:rsidR="00497FB8" w:rsidP="007965A2" w:rsidRDefault="00497FB8" w14:paraId="24B9DBC8" w14:textId="77777777">
      <w:pPr>
        <w:pStyle w:val="ListParagraph"/>
        <w:widowControl w:val="0"/>
        <w:numPr>
          <w:ilvl w:val="1"/>
          <w:numId w:val="46"/>
        </w:numPr>
        <w:tabs>
          <w:tab w:val="left" w:pos="1583"/>
        </w:tabs>
        <w:kinsoku w:val="0"/>
        <w:overflowPunct w:val="0"/>
        <w:autoSpaceDE w:val="0"/>
        <w:autoSpaceDN w:val="0"/>
        <w:adjustRightInd w:val="0"/>
        <w:spacing w:after="120"/>
        <w:ind w:left="1080"/>
        <w:contextualSpacing w:val="0"/>
        <w:rPr>
          <w:rFonts w:ascii="Times New Roman" w:hAnsi="Times New Roman"/>
          <w:szCs w:val="26"/>
        </w:rPr>
      </w:pPr>
      <w:r w:rsidRPr="005525B7">
        <w:rPr>
          <w:rFonts w:ascii="Times New Roman" w:hAnsi="Times New Roman"/>
          <w:szCs w:val="26"/>
        </w:rPr>
        <w:t>December 31, 2021: 1,800 miles (950 miles of</w:t>
      </w:r>
      <w:r w:rsidRPr="005525B7">
        <w:rPr>
          <w:rFonts w:ascii="Times New Roman" w:hAnsi="Times New Roman"/>
          <w:spacing w:val="-28"/>
          <w:szCs w:val="26"/>
        </w:rPr>
        <w:t xml:space="preserve"> </w:t>
      </w:r>
      <w:r w:rsidRPr="005525B7">
        <w:rPr>
          <w:rFonts w:ascii="Times New Roman" w:hAnsi="Times New Roman"/>
          <w:szCs w:val="26"/>
        </w:rPr>
        <w:t>work)</w:t>
      </w:r>
    </w:p>
    <w:p w:rsidRPr="005525B7" w:rsidR="008F00F2" w:rsidP="00497FB8" w:rsidRDefault="008F00F2" w14:paraId="077E0390" w14:textId="77777777">
      <w:pPr>
        <w:pStyle w:val="BodyText"/>
        <w:kinsoku w:val="0"/>
        <w:overflowPunct w:val="0"/>
        <w:spacing w:before="1"/>
        <w:ind w:right="390"/>
        <w:rPr>
          <w:rFonts w:ascii="Times New Roman" w:hAnsi="Times New Roman" w:cs="Times New Roman"/>
          <w:sz w:val="26"/>
          <w:szCs w:val="26"/>
        </w:rPr>
      </w:pPr>
    </w:p>
    <w:p w:rsidRPr="005525B7" w:rsidR="00497FB8" w:rsidP="00497FB8" w:rsidRDefault="00497FB8" w14:paraId="09314F4B" w14:textId="17C78578">
      <w:pPr>
        <w:pStyle w:val="BodyText"/>
        <w:kinsoku w:val="0"/>
        <w:overflowPunct w:val="0"/>
        <w:spacing w:before="1"/>
        <w:ind w:right="390"/>
        <w:rPr>
          <w:rFonts w:ascii="Times New Roman" w:hAnsi="Times New Roman" w:cs="Times New Roman"/>
          <w:sz w:val="26"/>
          <w:szCs w:val="26"/>
        </w:rPr>
      </w:pPr>
      <w:r w:rsidRPr="005525B7">
        <w:rPr>
          <w:rFonts w:ascii="Times New Roman" w:hAnsi="Times New Roman" w:cs="Times New Roman"/>
          <w:sz w:val="26"/>
          <w:szCs w:val="26"/>
        </w:rPr>
        <w:t xml:space="preserve">PG&amp;E’s milestones for 2021 required it to increase its rate of EVM work by more than three-fold in the second half of the year in order to reach its annual goal. </w:t>
      </w:r>
      <w:r w:rsidRPr="005525B7" w:rsidR="00E64AD0">
        <w:rPr>
          <w:rFonts w:ascii="Times New Roman" w:hAnsi="Times New Roman" w:cs="Times New Roman"/>
          <w:sz w:val="26"/>
          <w:szCs w:val="26"/>
        </w:rPr>
        <w:t xml:space="preserve"> </w:t>
      </w:r>
      <w:r w:rsidRPr="005525B7" w:rsidR="00FA1C4E">
        <w:rPr>
          <w:rFonts w:ascii="Times New Roman" w:hAnsi="Times New Roman" w:cs="Times New Roman"/>
          <w:sz w:val="26"/>
          <w:szCs w:val="26"/>
        </w:rPr>
        <w:t xml:space="preserve">PG&amp;E met </w:t>
      </w:r>
      <w:r w:rsidRPr="005525B7" w:rsidR="00327493">
        <w:rPr>
          <w:rFonts w:ascii="Times New Roman" w:hAnsi="Times New Roman" w:cs="Times New Roman"/>
          <w:sz w:val="26"/>
          <w:szCs w:val="26"/>
        </w:rPr>
        <w:t>the</w:t>
      </w:r>
      <w:r w:rsidRPr="005525B7" w:rsidR="00FA1C4E">
        <w:rPr>
          <w:rFonts w:ascii="Times New Roman" w:hAnsi="Times New Roman" w:cs="Times New Roman"/>
          <w:sz w:val="26"/>
          <w:szCs w:val="26"/>
        </w:rPr>
        <w:t xml:space="preserve"> quarterly targets, as</w:t>
      </w:r>
      <w:r w:rsidRPr="005525B7" w:rsidR="009F6E21">
        <w:rPr>
          <w:rFonts w:ascii="Times New Roman" w:hAnsi="Times New Roman" w:cs="Times New Roman"/>
          <w:sz w:val="26"/>
          <w:szCs w:val="26"/>
        </w:rPr>
        <w:t xml:space="preserve"> well as its annual goal.</w:t>
      </w:r>
    </w:p>
    <w:p w:rsidRPr="005525B7" w:rsidR="00891A0C" w:rsidP="00497FB8" w:rsidRDefault="00891A0C" w14:paraId="12259A1F" w14:textId="77777777">
      <w:pPr>
        <w:pStyle w:val="BodyText"/>
        <w:kinsoku w:val="0"/>
        <w:overflowPunct w:val="0"/>
        <w:spacing w:before="1"/>
        <w:ind w:right="390"/>
        <w:rPr>
          <w:rFonts w:ascii="Times New Roman" w:hAnsi="Times New Roman" w:cs="Times New Roman"/>
          <w:sz w:val="26"/>
          <w:szCs w:val="26"/>
        </w:rPr>
      </w:pPr>
    </w:p>
    <w:p w:rsidRPr="005525B7" w:rsidR="00657EF8" w:rsidP="007B5EF3" w:rsidRDefault="00DE3340" w14:paraId="790B2A29" w14:textId="2AD0A2BF">
      <w:pPr>
        <w:pStyle w:val="BodyText"/>
        <w:kinsoku w:val="0"/>
        <w:overflowPunct w:val="0"/>
        <w:spacing w:before="1"/>
        <w:ind w:right="390"/>
        <w:rPr>
          <w:rFonts w:ascii="Times New Roman" w:hAnsi="Times New Roman" w:cs="Times New Roman"/>
          <w:sz w:val="26"/>
          <w:szCs w:val="26"/>
        </w:rPr>
      </w:pPr>
      <w:r w:rsidRPr="005525B7">
        <w:rPr>
          <w:rFonts w:ascii="Times New Roman" w:hAnsi="Times New Roman" w:cs="Times New Roman"/>
          <w:sz w:val="26"/>
          <w:szCs w:val="26"/>
        </w:rPr>
        <w:t xml:space="preserve">Based on the information it provided, the Commission finds that </w:t>
      </w:r>
      <w:r w:rsidRPr="005525B7">
        <w:rPr>
          <w:rStyle w:val="normaltextrun"/>
          <w:rFonts w:ascii="Times New Roman" w:hAnsi="Times New Roman" w:cs="Times New Roman"/>
          <w:sz w:val="26"/>
          <w:szCs w:val="26"/>
        </w:rPr>
        <w:t xml:space="preserve">PG&amp;E has provided sufficient information to satisfy CAP Element </w:t>
      </w:r>
      <w:r w:rsidRPr="005525B7" w:rsidR="00891A0C">
        <w:rPr>
          <w:rFonts w:ascii="Times New Roman" w:hAnsi="Times New Roman" w:cs="Times New Roman"/>
          <w:sz w:val="26"/>
          <w:szCs w:val="26"/>
        </w:rPr>
        <w:t>13.</w:t>
      </w:r>
    </w:p>
    <w:p w:rsidRPr="005525B7" w:rsidR="00FE02F4" w:rsidP="00E77E93" w:rsidRDefault="00FE02F4" w14:paraId="7134502E" w14:textId="77777777">
      <w:pPr>
        <w:pStyle w:val="BodyText"/>
        <w:kinsoku w:val="0"/>
        <w:overflowPunct w:val="0"/>
        <w:spacing w:before="1"/>
        <w:ind w:right="390"/>
        <w:rPr>
          <w:rStyle w:val="eop"/>
          <w:rFonts w:ascii="Times New Roman" w:hAnsi="Times New Roman" w:cs="Times New Roman"/>
          <w:b/>
          <w:bCs/>
          <w:sz w:val="26"/>
          <w:szCs w:val="26"/>
        </w:rPr>
      </w:pPr>
    </w:p>
    <w:p w:rsidRPr="005525B7" w:rsidR="006E5769" w:rsidP="00D3257A" w:rsidRDefault="00D3257A" w14:paraId="03059DF5" w14:textId="77BBAE2F">
      <w:pPr>
        <w:pStyle w:val="paragraph"/>
        <w:spacing w:before="0" w:beforeAutospacing="0" w:after="0" w:afterAutospacing="0"/>
        <w:textAlignment w:val="baseline"/>
        <w:rPr>
          <w:b/>
          <w:bCs/>
          <w:sz w:val="26"/>
          <w:szCs w:val="26"/>
        </w:rPr>
      </w:pPr>
      <w:r w:rsidRPr="005525B7">
        <w:rPr>
          <w:b/>
          <w:bCs/>
          <w:sz w:val="26"/>
          <w:szCs w:val="26"/>
        </w:rPr>
        <w:t xml:space="preserve">CAP Element 14: </w:t>
      </w:r>
      <w:r w:rsidRPr="005525B7" w:rsidR="006E5769">
        <w:rPr>
          <w:rStyle w:val="normaltextrun"/>
          <w:b/>
          <w:bCs/>
          <w:sz w:val="26"/>
          <w:szCs w:val="26"/>
        </w:rPr>
        <w:t>A description of how the Corrective Action Plan proposed in response to this Resolution will complement and not undermine PG&amp;E’s compliance activities ordered in D.20-05-019.</w:t>
      </w:r>
      <w:r w:rsidRPr="005525B7" w:rsidDel="00F55CC9" w:rsidR="008B1CD0">
        <w:rPr>
          <w:rStyle w:val="superscript"/>
          <w:b/>
          <w:bCs/>
          <w:sz w:val="26"/>
          <w:szCs w:val="26"/>
          <w:u w:val="single"/>
          <w:vertAlign w:val="superscript"/>
        </w:rPr>
        <w:t xml:space="preserve"> </w:t>
      </w:r>
      <w:r w:rsidRPr="005525B7" w:rsidR="006E5769">
        <w:rPr>
          <w:rStyle w:val="normaltextrun"/>
          <w:b/>
          <w:bCs/>
          <w:sz w:val="26"/>
          <w:szCs w:val="26"/>
        </w:rPr>
        <w:t>  </w:t>
      </w:r>
    </w:p>
    <w:p w:rsidRPr="005525B7" w:rsidR="00723B39" w:rsidRDefault="00723B39" w14:paraId="234A0427" w14:textId="148D32E5">
      <w:pPr>
        <w:rPr>
          <w:rFonts w:ascii="Times New Roman" w:hAnsi="Times New Roman"/>
          <w:szCs w:val="26"/>
        </w:rPr>
      </w:pPr>
    </w:p>
    <w:p w:rsidRPr="005525B7" w:rsidR="00BF7BDC" w:rsidP="0014076A" w:rsidRDefault="00FE02F4" w14:paraId="753EC9C1" w14:textId="160477F6">
      <w:pPr>
        <w:pStyle w:val="BodyText"/>
        <w:kinsoku w:val="0"/>
        <w:overflowPunct w:val="0"/>
        <w:ind w:right="494"/>
        <w:rPr>
          <w:rFonts w:ascii="Times New Roman" w:hAnsi="Times New Roman" w:cs="Times New Roman"/>
          <w:i/>
          <w:w w:val="105"/>
          <w:sz w:val="26"/>
          <w:szCs w:val="26"/>
        </w:rPr>
      </w:pPr>
      <w:r w:rsidRPr="005525B7">
        <w:rPr>
          <w:rFonts w:ascii="Times New Roman" w:hAnsi="Times New Roman" w:cs="Times New Roman"/>
          <w:sz w:val="26"/>
          <w:szCs w:val="26"/>
        </w:rPr>
        <w:t xml:space="preserve">In the </w:t>
      </w:r>
      <w:r w:rsidRPr="005525B7" w:rsidR="00EF053F">
        <w:rPr>
          <w:rFonts w:ascii="Times New Roman" w:hAnsi="Times New Roman" w:cs="Times New Roman"/>
          <w:sz w:val="26"/>
          <w:szCs w:val="26"/>
        </w:rPr>
        <w:t xml:space="preserve">May </w:t>
      </w:r>
      <w:r w:rsidRPr="005525B7" w:rsidR="00E30035">
        <w:rPr>
          <w:rFonts w:ascii="Times New Roman" w:hAnsi="Times New Roman" w:cs="Times New Roman"/>
          <w:sz w:val="26"/>
          <w:szCs w:val="26"/>
        </w:rPr>
        <w:t>6</w:t>
      </w:r>
      <w:r w:rsidRPr="005525B7" w:rsidR="00EF053F">
        <w:rPr>
          <w:rFonts w:ascii="Times New Roman" w:hAnsi="Times New Roman" w:cs="Times New Roman"/>
          <w:sz w:val="26"/>
          <w:szCs w:val="26"/>
        </w:rPr>
        <w:t xml:space="preserve">, 2021, </w:t>
      </w:r>
      <w:r w:rsidRPr="005525B7" w:rsidR="003C7EC4">
        <w:rPr>
          <w:rFonts w:ascii="Times New Roman" w:hAnsi="Times New Roman" w:cs="Times New Roman"/>
          <w:sz w:val="26"/>
          <w:szCs w:val="26"/>
        </w:rPr>
        <w:t>CAP</w:t>
      </w:r>
      <w:r w:rsidRPr="005525B7" w:rsidR="00EF053F">
        <w:rPr>
          <w:rFonts w:ascii="Times New Roman" w:hAnsi="Times New Roman" w:cs="Times New Roman"/>
          <w:sz w:val="26"/>
          <w:szCs w:val="26"/>
        </w:rPr>
        <w:t>,</w:t>
      </w:r>
      <w:r w:rsidRPr="005525B7">
        <w:rPr>
          <w:rFonts w:ascii="Times New Roman" w:hAnsi="Times New Roman" w:cs="Times New Roman"/>
          <w:sz w:val="26"/>
          <w:szCs w:val="26"/>
        </w:rPr>
        <w:t xml:space="preserve"> </w:t>
      </w:r>
      <w:r w:rsidRPr="005525B7" w:rsidR="00BF7BDC">
        <w:rPr>
          <w:rFonts w:ascii="Times New Roman" w:hAnsi="Times New Roman" w:cs="Times New Roman"/>
          <w:sz w:val="26"/>
          <w:szCs w:val="26"/>
        </w:rPr>
        <w:t xml:space="preserve">PG&amp;E stated that Element 14 addresses the effect of the </w:t>
      </w:r>
      <w:r w:rsidRPr="005525B7" w:rsidR="003C7EC4">
        <w:rPr>
          <w:rFonts w:ascii="Times New Roman" w:hAnsi="Times New Roman" w:cs="Times New Roman"/>
          <w:sz w:val="26"/>
          <w:szCs w:val="26"/>
        </w:rPr>
        <w:t xml:space="preserve">CAP </w:t>
      </w:r>
      <w:r w:rsidRPr="005525B7" w:rsidR="00BF7BDC">
        <w:rPr>
          <w:rFonts w:ascii="Times New Roman" w:hAnsi="Times New Roman" w:cs="Times New Roman"/>
          <w:sz w:val="26"/>
          <w:szCs w:val="26"/>
        </w:rPr>
        <w:t>on the 20 System Enhancement Initiatives that PG&amp;E committed to complete within five years as part of the settlement to the Wildfire Order Instituting Investigation</w:t>
      </w:r>
      <w:r w:rsidRPr="005525B7" w:rsidR="00BE2C62">
        <w:rPr>
          <w:rFonts w:ascii="Times New Roman" w:hAnsi="Times New Roman" w:cs="Times New Roman"/>
          <w:sz w:val="26"/>
          <w:szCs w:val="26"/>
        </w:rPr>
        <w:t xml:space="preserve"> (OII)</w:t>
      </w:r>
      <w:r w:rsidRPr="005525B7" w:rsidR="00BF7BDC">
        <w:rPr>
          <w:rFonts w:ascii="Times New Roman" w:hAnsi="Times New Roman" w:cs="Times New Roman"/>
          <w:sz w:val="26"/>
          <w:szCs w:val="26"/>
        </w:rPr>
        <w:t xml:space="preserve">, which were approved as modified by D.20-05-019 (the Wildfire OII Settlement). </w:t>
      </w:r>
      <w:r w:rsidRPr="005525B7" w:rsidR="00E64AD0">
        <w:rPr>
          <w:rFonts w:ascii="Times New Roman" w:hAnsi="Times New Roman" w:cs="Times New Roman"/>
          <w:sz w:val="26"/>
          <w:szCs w:val="26"/>
        </w:rPr>
        <w:t xml:space="preserve"> </w:t>
      </w:r>
      <w:r w:rsidRPr="005525B7" w:rsidR="00BF7BDC">
        <w:rPr>
          <w:rFonts w:ascii="Times New Roman" w:hAnsi="Times New Roman" w:cs="Times New Roman"/>
          <w:sz w:val="26"/>
          <w:szCs w:val="26"/>
        </w:rPr>
        <w:t xml:space="preserve">The 20 </w:t>
      </w:r>
      <w:r w:rsidRPr="005525B7" w:rsidR="005E302B">
        <w:rPr>
          <w:rFonts w:ascii="Times New Roman" w:hAnsi="Times New Roman" w:cs="Times New Roman"/>
          <w:sz w:val="26"/>
          <w:szCs w:val="26"/>
        </w:rPr>
        <w:t>System Enhancement Initiatives</w:t>
      </w:r>
      <w:r w:rsidRPr="005525B7" w:rsidR="00BF7BDC">
        <w:rPr>
          <w:rFonts w:ascii="Times New Roman" w:hAnsi="Times New Roman" w:cs="Times New Roman"/>
          <w:sz w:val="26"/>
          <w:szCs w:val="26"/>
        </w:rPr>
        <w:t xml:space="preserve"> pertain to community engagement, increased transparency, analysis of PG&amp;E’s electrical system, electrical operations, and vegetation management programs.  </w:t>
      </w:r>
      <w:r w:rsidRPr="005525B7" w:rsidR="005A03AC">
        <w:rPr>
          <w:rFonts w:ascii="Times New Roman" w:hAnsi="Times New Roman" w:cs="Times New Roman"/>
          <w:sz w:val="26"/>
          <w:szCs w:val="26"/>
        </w:rPr>
        <w:t xml:space="preserve">The May </w:t>
      </w:r>
      <w:r w:rsidRPr="005525B7" w:rsidR="007D0743">
        <w:rPr>
          <w:rFonts w:ascii="Times New Roman" w:hAnsi="Times New Roman" w:cs="Times New Roman"/>
          <w:sz w:val="26"/>
          <w:szCs w:val="26"/>
        </w:rPr>
        <w:t>6</w:t>
      </w:r>
      <w:r w:rsidRPr="005525B7" w:rsidR="005A03AC">
        <w:rPr>
          <w:rFonts w:ascii="Times New Roman" w:hAnsi="Times New Roman" w:cs="Times New Roman"/>
          <w:sz w:val="26"/>
          <w:szCs w:val="26"/>
        </w:rPr>
        <w:t xml:space="preserve">, 2021 </w:t>
      </w:r>
      <w:r w:rsidRPr="005525B7" w:rsidR="003C7EC4">
        <w:rPr>
          <w:rFonts w:ascii="Times New Roman" w:hAnsi="Times New Roman" w:cs="Times New Roman"/>
          <w:sz w:val="26"/>
          <w:szCs w:val="26"/>
        </w:rPr>
        <w:t xml:space="preserve">CAP </w:t>
      </w:r>
      <w:r w:rsidRPr="005525B7" w:rsidR="005A03AC">
        <w:rPr>
          <w:rFonts w:ascii="Times New Roman" w:hAnsi="Times New Roman" w:cs="Times New Roman"/>
          <w:sz w:val="26"/>
          <w:szCs w:val="26"/>
        </w:rPr>
        <w:t xml:space="preserve">provides a table summarizing </w:t>
      </w:r>
      <w:r w:rsidRPr="005525B7" w:rsidR="005F241F">
        <w:rPr>
          <w:rFonts w:ascii="Times New Roman" w:hAnsi="Times New Roman" w:cs="Times New Roman"/>
          <w:sz w:val="26"/>
          <w:szCs w:val="26"/>
        </w:rPr>
        <w:t xml:space="preserve">the </w:t>
      </w:r>
      <w:r w:rsidRPr="005525B7" w:rsidR="001D5AE7">
        <w:rPr>
          <w:rFonts w:ascii="Times New Roman" w:hAnsi="Times New Roman" w:cs="Times New Roman"/>
          <w:sz w:val="26"/>
          <w:szCs w:val="26"/>
        </w:rPr>
        <w:t>System Enhancement Initiatives</w:t>
      </w:r>
      <w:r w:rsidRPr="005525B7" w:rsidR="007510E2">
        <w:rPr>
          <w:rFonts w:ascii="Times New Roman" w:hAnsi="Times New Roman" w:cs="Times New Roman"/>
          <w:sz w:val="26"/>
          <w:szCs w:val="26"/>
        </w:rPr>
        <w:t xml:space="preserve"> and </w:t>
      </w:r>
      <w:r w:rsidRPr="005525B7" w:rsidR="00823D9A">
        <w:rPr>
          <w:rFonts w:ascii="Times New Roman" w:hAnsi="Times New Roman" w:cs="Times New Roman"/>
          <w:sz w:val="26"/>
          <w:szCs w:val="26"/>
        </w:rPr>
        <w:t>PG&amp;E</w:t>
      </w:r>
      <w:r w:rsidRPr="005525B7" w:rsidR="00343B4A">
        <w:rPr>
          <w:rFonts w:ascii="Times New Roman" w:hAnsi="Times New Roman" w:cs="Times New Roman"/>
          <w:sz w:val="26"/>
          <w:szCs w:val="26"/>
        </w:rPr>
        <w:t xml:space="preserve">’s planned coordination with </w:t>
      </w:r>
      <w:r w:rsidRPr="005525B7" w:rsidR="008C7EB5">
        <w:rPr>
          <w:rFonts w:ascii="Times New Roman" w:hAnsi="Times New Roman" w:cs="Times New Roman"/>
          <w:sz w:val="26"/>
          <w:szCs w:val="26"/>
        </w:rPr>
        <w:t xml:space="preserve">the </w:t>
      </w:r>
      <w:r w:rsidRPr="005525B7" w:rsidR="003C7EC4">
        <w:rPr>
          <w:rFonts w:ascii="Times New Roman" w:hAnsi="Times New Roman" w:cs="Times New Roman"/>
          <w:sz w:val="26"/>
          <w:szCs w:val="26"/>
        </w:rPr>
        <w:t xml:space="preserve">CAP </w:t>
      </w:r>
      <w:r w:rsidRPr="005525B7" w:rsidR="007D0743">
        <w:rPr>
          <w:rFonts w:ascii="Times New Roman" w:hAnsi="Times New Roman" w:cs="Times New Roman"/>
          <w:sz w:val="26"/>
          <w:szCs w:val="26"/>
        </w:rPr>
        <w:t>for</w:t>
      </w:r>
      <w:r w:rsidRPr="005525B7" w:rsidR="008C7EB5">
        <w:rPr>
          <w:rFonts w:ascii="Times New Roman" w:hAnsi="Times New Roman" w:cs="Times New Roman"/>
          <w:sz w:val="26"/>
          <w:szCs w:val="26"/>
        </w:rPr>
        <w:t xml:space="preserve"> each initiative.</w:t>
      </w:r>
      <w:r w:rsidRPr="005525B7" w:rsidR="00EB7818">
        <w:rPr>
          <w:rStyle w:val="StyleFootnoteReferenceofrStyle3o1o2o3o4o5o6o11o21o7"/>
          <w:rFonts w:cs="Times New Roman"/>
          <w:sz w:val="26"/>
          <w:szCs w:val="26"/>
        </w:rPr>
        <w:footnoteReference w:id="40"/>
      </w:r>
      <w:r w:rsidRPr="005525B7" w:rsidR="008C7EB5">
        <w:rPr>
          <w:rFonts w:ascii="Times New Roman" w:hAnsi="Times New Roman" w:cs="Times New Roman"/>
          <w:sz w:val="26"/>
          <w:szCs w:val="26"/>
        </w:rPr>
        <w:t xml:space="preserve"> </w:t>
      </w:r>
      <w:r w:rsidRPr="005525B7" w:rsidR="00E64AD0">
        <w:rPr>
          <w:rFonts w:ascii="Times New Roman" w:hAnsi="Times New Roman" w:cs="Times New Roman"/>
          <w:sz w:val="26"/>
          <w:szCs w:val="26"/>
        </w:rPr>
        <w:t xml:space="preserve"> </w:t>
      </w:r>
      <w:r w:rsidRPr="005525B7" w:rsidR="003D1E06">
        <w:rPr>
          <w:rFonts w:ascii="Times New Roman" w:hAnsi="Times New Roman" w:cs="Times New Roman"/>
          <w:sz w:val="26"/>
          <w:szCs w:val="26"/>
        </w:rPr>
        <w:t xml:space="preserve">PG&amp;E concluded that the </w:t>
      </w:r>
      <w:r w:rsidRPr="005525B7" w:rsidR="003C7EC4">
        <w:rPr>
          <w:rFonts w:ascii="Times New Roman" w:hAnsi="Times New Roman" w:cs="Times New Roman"/>
          <w:sz w:val="26"/>
          <w:szCs w:val="26"/>
        </w:rPr>
        <w:t xml:space="preserve">CAP </w:t>
      </w:r>
      <w:r w:rsidRPr="005525B7" w:rsidR="003D1E06">
        <w:rPr>
          <w:rFonts w:ascii="Times New Roman" w:hAnsi="Times New Roman" w:cs="Times New Roman"/>
          <w:sz w:val="26"/>
          <w:szCs w:val="26"/>
        </w:rPr>
        <w:t>is either complementary or has no effect</w:t>
      </w:r>
      <w:r w:rsidRPr="005525B7" w:rsidR="00360169">
        <w:rPr>
          <w:rFonts w:ascii="Times New Roman" w:hAnsi="Times New Roman" w:cs="Times New Roman"/>
          <w:sz w:val="26"/>
          <w:szCs w:val="26"/>
        </w:rPr>
        <w:t xml:space="preserve"> (and therefore does not undermine the System Enhancement Initiatives</w:t>
      </w:r>
      <w:r w:rsidRPr="005525B7" w:rsidR="00F50993">
        <w:rPr>
          <w:rFonts w:ascii="Times New Roman" w:hAnsi="Times New Roman" w:cs="Times New Roman"/>
          <w:sz w:val="26"/>
          <w:szCs w:val="26"/>
        </w:rPr>
        <w:t>)</w:t>
      </w:r>
      <w:r w:rsidRPr="005525B7" w:rsidR="00360169">
        <w:rPr>
          <w:rFonts w:ascii="Times New Roman" w:hAnsi="Times New Roman" w:cs="Times New Roman"/>
          <w:sz w:val="26"/>
          <w:szCs w:val="26"/>
        </w:rPr>
        <w:t>.</w:t>
      </w:r>
    </w:p>
    <w:p w:rsidRPr="005525B7" w:rsidR="00FE02F4" w:rsidP="00FE02F4" w:rsidRDefault="00FE02F4" w14:paraId="26BB4F39" w14:textId="04CEDB71">
      <w:pPr>
        <w:pStyle w:val="BodyText"/>
        <w:kinsoku w:val="0"/>
        <w:overflowPunct w:val="0"/>
        <w:ind w:right="494"/>
        <w:rPr>
          <w:rFonts w:ascii="Times New Roman" w:hAnsi="Times New Roman" w:cs="Times New Roman"/>
          <w:i/>
          <w:w w:val="105"/>
          <w:sz w:val="26"/>
          <w:szCs w:val="26"/>
        </w:rPr>
      </w:pPr>
    </w:p>
    <w:p w:rsidRPr="005525B7" w:rsidR="00321F93" w:rsidRDefault="00F63473" w14:paraId="42AD03CC" w14:textId="7F8C5ED4">
      <w:pPr>
        <w:rPr>
          <w:rFonts w:ascii="Times New Roman" w:hAnsi="Times New Roman"/>
          <w:szCs w:val="26"/>
        </w:rPr>
      </w:pPr>
      <w:r w:rsidRPr="005525B7">
        <w:rPr>
          <w:rFonts w:ascii="Times New Roman" w:hAnsi="Times New Roman"/>
          <w:szCs w:val="26"/>
        </w:rPr>
        <w:t>Based on the information it provided, the Commission finds that PG&amp;E has provided sufficient information for CAP Element 14.</w:t>
      </w:r>
      <w:r w:rsidRPr="005525B7" w:rsidR="00E15EB6">
        <w:rPr>
          <w:rFonts w:ascii="Times New Roman" w:hAnsi="Times New Roman"/>
          <w:szCs w:val="26"/>
        </w:rPr>
        <w:t xml:space="preserve"> </w:t>
      </w:r>
      <w:r w:rsidRPr="005525B7" w:rsidR="00395BC6">
        <w:rPr>
          <w:rFonts w:ascii="Times New Roman" w:hAnsi="Times New Roman"/>
          <w:szCs w:val="26"/>
        </w:rPr>
        <w:t xml:space="preserve"> </w:t>
      </w:r>
    </w:p>
    <w:p w:rsidRPr="005525B7" w:rsidR="00CB4976" w:rsidRDefault="00CB4976" w14:paraId="471ED796" w14:textId="3CC9C176">
      <w:pPr>
        <w:rPr>
          <w:rFonts w:ascii="Times New Roman" w:hAnsi="Times New Roman"/>
          <w:szCs w:val="26"/>
        </w:rPr>
      </w:pPr>
      <w:r w:rsidRPr="005525B7">
        <w:rPr>
          <w:rFonts w:ascii="Times New Roman" w:hAnsi="Times New Roman"/>
          <w:szCs w:val="26"/>
        </w:rPr>
        <w:br w:type="page"/>
      </w:r>
    </w:p>
    <w:p w:rsidRPr="005525B7" w:rsidR="0060484B" w:rsidP="000A57B0" w:rsidRDefault="00B540FF" w14:paraId="718AB87E" w14:textId="76793A04">
      <w:pPr>
        <w:rPr>
          <w:rFonts w:ascii="Times New Roman" w:hAnsi="Times New Roman"/>
          <w:szCs w:val="26"/>
        </w:rPr>
      </w:pPr>
      <w:r w:rsidRPr="005525B7">
        <w:rPr>
          <w:rFonts w:ascii="Times New Roman" w:hAnsi="Times New Roman"/>
          <w:b/>
          <w:bCs/>
          <w:szCs w:val="26"/>
        </w:rPr>
        <w:lastRenderedPageBreak/>
        <w:t>Summary</w:t>
      </w:r>
      <w:r w:rsidRPr="005525B7" w:rsidR="00F67EDA">
        <w:rPr>
          <w:rFonts w:ascii="Times New Roman" w:hAnsi="Times New Roman"/>
          <w:b/>
          <w:bCs/>
          <w:szCs w:val="26"/>
        </w:rPr>
        <w:t xml:space="preserve"> of </w:t>
      </w:r>
      <w:r w:rsidRPr="005525B7" w:rsidR="00195D2E">
        <w:rPr>
          <w:rFonts w:ascii="Times New Roman" w:hAnsi="Times New Roman"/>
          <w:b/>
          <w:bCs/>
          <w:szCs w:val="26"/>
        </w:rPr>
        <w:t>Assessment</w:t>
      </w:r>
    </w:p>
    <w:p w:rsidRPr="005525B7" w:rsidR="0060484B" w:rsidRDefault="0060484B" w14:paraId="2EE78E80" w14:textId="77777777">
      <w:pPr>
        <w:rPr>
          <w:rFonts w:ascii="Times New Roman" w:hAnsi="Times New Roman"/>
          <w:b/>
          <w:bCs/>
          <w:szCs w:val="26"/>
        </w:rPr>
      </w:pPr>
    </w:p>
    <w:p w:rsidRPr="005525B7" w:rsidR="00AD5CA6" w:rsidP="00AD5CA6" w:rsidRDefault="0074602D" w14:paraId="00CF7DBA" w14:textId="62A31C7E">
      <w:pPr>
        <w:rPr>
          <w:rFonts w:ascii="Times New Roman" w:hAnsi="Times New Roman"/>
          <w:szCs w:val="26"/>
        </w:rPr>
      </w:pPr>
      <w:r w:rsidRPr="005525B7">
        <w:rPr>
          <w:rFonts w:ascii="Times New Roman" w:hAnsi="Times New Roman"/>
          <w:szCs w:val="26"/>
        </w:rPr>
        <w:t>Resolution M-4852 ordered PG&amp;E t</w:t>
      </w:r>
      <w:r w:rsidRPr="005525B7">
        <w:rPr>
          <w:rFonts w:ascii="Times New Roman" w:hAnsi="Times New Roman" w:eastAsia="Book Antiqua"/>
          <w:szCs w:val="26"/>
        </w:rPr>
        <w:t xml:space="preserve">o explain in detail how it will both perform risk modeling and use the results of risk modeling to ensure the highest risk power lines are prioritized for vegetation management under its 2021 EVM program before working lower risk lines.  </w:t>
      </w:r>
      <w:r w:rsidRPr="005525B7" w:rsidR="00E726E2">
        <w:rPr>
          <w:rFonts w:ascii="Times New Roman" w:hAnsi="Times New Roman" w:eastAsia="Book Antiqua"/>
          <w:szCs w:val="26"/>
        </w:rPr>
        <w:t xml:space="preserve">The resolution also required PG&amp;E to proactively and accurately report to the Commission changes to its risk modeling, report the location of where it intends to engage in EVM, and demonstrate that it is prioritizing high risk power lines for EVM work.  </w:t>
      </w:r>
      <w:r w:rsidRPr="005525B7" w:rsidR="00597A07">
        <w:rPr>
          <w:rFonts w:ascii="Times New Roman" w:hAnsi="Times New Roman"/>
          <w:szCs w:val="26"/>
        </w:rPr>
        <w:t xml:space="preserve">PG&amp;E’s </w:t>
      </w:r>
      <w:r w:rsidRPr="005525B7" w:rsidR="002E6C84">
        <w:rPr>
          <w:rFonts w:ascii="Times New Roman" w:hAnsi="Times New Roman"/>
          <w:szCs w:val="26"/>
        </w:rPr>
        <w:t xml:space="preserve">May 6, 2021 </w:t>
      </w:r>
      <w:r w:rsidRPr="005525B7" w:rsidR="003C7EC4">
        <w:rPr>
          <w:rFonts w:ascii="Times New Roman" w:hAnsi="Times New Roman"/>
          <w:szCs w:val="26"/>
        </w:rPr>
        <w:t xml:space="preserve">CAP </w:t>
      </w:r>
      <w:r w:rsidRPr="005525B7" w:rsidR="002E6C84">
        <w:rPr>
          <w:rFonts w:ascii="Times New Roman" w:hAnsi="Times New Roman"/>
          <w:szCs w:val="26"/>
        </w:rPr>
        <w:t>and the subsequent 90-day updates</w:t>
      </w:r>
      <w:r w:rsidRPr="005525B7" w:rsidR="00597A07">
        <w:rPr>
          <w:rFonts w:ascii="Times New Roman" w:hAnsi="Times New Roman"/>
          <w:szCs w:val="26"/>
        </w:rPr>
        <w:t>,</w:t>
      </w:r>
      <w:r w:rsidRPr="005525B7" w:rsidDel="00235B4A" w:rsidR="002E6C84">
        <w:rPr>
          <w:rFonts w:ascii="Times New Roman" w:hAnsi="Times New Roman"/>
          <w:szCs w:val="26"/>
        </w:rPr>
        <w:t xml:space="preserve"> </w:t>
      </w:r>
      <w:r w:rsidRPr="005525B7" w:rsidR="00203F30">
        <w:rPr>
          <w:rFonts w:ascii="Times New Roman" w:hAnsi="Times New Roman"/>
          <w:szCs w:val="26"/>
        </w:rPr>
        <w:t xml:space="preserve">explained in detail </w:t>
      </w:r>
      <w:r w:rsidRPr="005525B7" w:rsidR="00203F30">
        <w:rPr>
          <w:rFonts w:ascii="Times New Roman" w:hAnsi="Times New Roman" w:eastAsia="Book Antiqua"/>
          <w:szCs w:val="26"/>
        </w:rPr>
        <w:t>how it performs risk modeling and use</w:t>
      </w:r>
      <w:r w:rsidRPr="005525B7" w:rsidR="004047FE">
        <w:rPr>
          <w:rFonts w:ascii="Times New Roman" w:hAnsi="Times New Roman" w:eastAsia="Book Antiqua"/>
          <w:szCs w:val="26"/>
        </w:rPr>
        <w:t>s</w:t>
      </w:r>
      <w:r w:rsidRPr="005525B7" w:rsidR="00203F30">
        <w:rPr>
          <w:rFonts w:ascii="Times New Roman" w:hAnsi="Times New Roman" w:eastAsia="Book Antiqua"/>
          <w:szCs w:val="26"/>
        </w:rPr>
        <w:t xml:space="preserve"> the results of risk modeling</w:t>
      </w:r>
      <w:r w:rsidRPr="005525B7" w:rsidR="00AC4ED6">
        <w:rPr>
          <w:rFonts w:ascii="Times New Roman" w:hAnsi="Times New Roman" w:eastAsia="Book Antiqua"/>
          <w:szCs w:val="26"/>
        </w:rPr>
        <w:t xml:space="preserve">. </w:t>
      </w:r>
      <w:r w:rsidRPr="005525B7" w:rsidR="007E1508">
        <w:rPr>
          <w:rFonts w:ascii="Times New Roman" w:hAnsi="Times New Roman" w:eastAsia="Book Antiqua"/>
          <w:szCs w:val="26"/>
        </w:rPr>
        <w:t xml:space="preserve"> </w:t>
      </w:r>
      <w:r w:rsidRPr="005525B7" w:rsidR="00D923BD">
        <w:rPr>
          <w:rFonts w:ascii="Times New Roman" w:hAnsi="Times New Roman" w:eastAsia="Book Antiqua"/>
          <w:szCs w:val="26"/>
        </w:rPr>
        <w:t xml:space="preserve">PG&amp;E </w:t>
      </w:r>
      <w:r w:rsidRPr="005525B7" w:rsidR="000C362B">
        <w:rPr>
          <w:rFonts w:ascii="Times New Roman" w:hAnsi="Times New Roman" w:eastAsia="Book Antiqua"/>
          <w:szCs w:val="26"/>
        </w:rPr>
        <w:t xml:space="preserve">provided details of </w:t>
      </w:r>
      <w:r w:rsidRPr="005525B7" w:rsidR="00C009E9">
        <w:rPr>
          <w:rFonts w:ascii="Times New Roman" w:hAnsi="Times New Roman" w:eastAsia="Book Antiqua"/>
          <w:szCs w:val="26"/>
        </w:rPr>
        <w:t>how it</w:t>
      </w:r>
      <w:r w:rsidRPr="005525B7" w:rsidR="00203F30">
        <w:rPr>
          <w:rFonts w:ascii="Times New Roman" w:hAnsi="Times New Roman" w:eastAsia="Book Antiqua"/>
          <w:szCs w:val="26"/>
        </w:rPr>
        <w:t xml:space="preserve"> </w:t>
      </w:r>
      <w:r w:rsidRPr="005525B7" w:rsidR="005C5F95">
        <w:rPr>
          <w:rFonts w:ascii="Times New Roman" w:hAnsi="Times New Roman"/>
          <w:szCs w:val="26"/>
        </w:rPr>
        <w:t>implemented risk-based prioritization of EVM work in 2021 based on the Wildfire Distribution Risk Model and the Tree-Weighted Prioritization List</w:t>
      </w:r>
      <w:r w:rsidRPr="005525B7" w:rsidR="009F263A">
        <w:rPr>
          <w:rFonts w:ascii="Times New Roman" w:hAnsi="Times New Roman"/>
          <w:szCs w:val="26"/>
        </w:rPr>
        <w:t>,</w:t>
      </w:r>
      <w:r w:rsidRPr="005525B7" w:rsidR="005C5F95">
        <w:rPr>
          <w:rFonts w:ascii="Times New Roman" w:hAnsi="Times New Roman"/>
          <w:szCs w:val="26"/>
        </w:rPr>
        <w:t xml:space="preserve"> which </w:t>
      </w:r>
      <w:r w:rsidRPr="005525B7" w:rsidR="005064C9">
        <w:rPr>
          <w:rFonts w:ascii="Times New Roman" w:hAnsi="Times New Roman"/>
          <w:szCs w:val="26"/>
        </w:rPr>
        <w:t xml:space="preserve">ensures that </w:t>
      </w:r>
      <w:r w:rsidRPr="005525B7" w:rsidR="005064C9">
        <w:rPr>
          <w:rFonts w:ascii="Times New Roman" w:hAnsi="Times New Roman" w:eastAsia="Book Antiqua"/>
          <w:szCs w:val="26"/>
        </w:rPr>
        <w:t xml:space="preserve">the highest risk power lines are prioritized for vegetation management before working lower risk lines. </w:t>
      </w:r>
      <w:r w:rsidRPr="005525B7" w:rsidR="007E1508">
        <w:rPr>
          <w:rFonts w:ascii="Times New Roman" w:hAnsi="Times New Roman" w:eastAsia="Book Antiqua"/>
          <w:szCs w:val="26"/>
        </w:rPr>
        <w:t xml:space="preserve"> </w:t>
      </w:r>
      <w:r w:rsidRPr="005525B7" w:rsidR="005C6877">
        <w:rPr>
          <w:rFonts w:ascii="Times New Roman" w:hAnsi="Times New Roman" w:eastAsia="Book Antiqua"/>
          <w:szCs w:val="26"/>
        </w:rPr>
        <w:t xml:space="preserve">PG&amp;E </w:t>
      </w:r>
      <w:r w:rsidRPr="005525B7" w:rsidR="00765DD8">
        <w:rPr>
          <w:rFonts w:ascii="Times New Roman" w:hAnsi="Times New Roman" w:eastAsia="Book Antiqua"/>
          <w:szCs w:val="26"/>
        </w:rPr>
        <w:t xml:space="preserve">also </w:t>
      </w:r>
      <w:r w:rsidRPr="005525B7" w:rsidR="00D6722D">
        <w:rPr>
          <w:rFonts w:ascii="Times New Roman" w:hAnsi="Times New Roman" w:eastAsia="Book Antiqua"/>
          <w:szCs w:val="26"/>
        </w:rPr>
        <w:t xml:space="preserve">proactively </w:t>
      </w:r>
      <w:r w:rsidRPr="005525B7" w:rsidR="005C6877">
        <w:rPr>
          <w:rFonts w:ascii="Times New Roman" w:hAnsi="Times New Roman" w:eastAsia="Book Antiqua"/>
          <w:szCs w:val="26"/>
        </w:rPr>
        <w:t>report</w:t>
      </w:r>
      <w:r w:rsidRPr="005525B7" w:rsidR="00C0727D">
        <w:rPr>
          <w:rFonts w:ascii="Times New Roman" w:hAnsi="Times New Roman" w:eastAsia="Book Antiqua"/>
          <w:szCs w:val="26"/>
        </w:rPr>
        <w:t>ed</w:t>
      </w:r>
      <w:r w:rsidRPr="005525B7" w:rsidR="005C6877">
        <w:rPr>
          <w:rFonts w:ascii="Times New Roman" w:hAnsi="Times New Roman" w:eastAsia="Book Antiqua"/>
          <w:szCs w:val="26"/>
        </w:rPr>
        <w:t xml:space="preserve"> changes to its risk modeling and output</w:t>
      </w:r>
      <w:r w:rsidRPr="005525B7" w:rsidR="00107278">
        <w:rPr>
          <w:rFonts w:ascii="Times New Roman" w:hAnsi="Times New Roman" w:eastAsia="Book Antiqua"/>
          <w:szCs w:val="26"/>
        </w:rPr>
        <w:t>,</w:t>
      </w:r>
      <w:r w:rsidRPr="005525B7" w:rsidR="005C6877">
        <w:rPr>
          <w:rFonts w:ascii="Times New Roman" w:hAnsi="Times New Roman" w:eastAsia="Book Antiqua"/>
          <w:szCs w:val="26"/>
        </w:rPr>
        <w:t xml:space="preserve"> </w:t>
      </w:r>
      <w:r w:rsidRPr="005525B7" w:rsidR="00D6722D">
        <w:rPr>
          <w:rFonts w:ascii="Times New Roman" w:hAnsi="Times New Roman" w:eastAsia="Book Antiqua"/>
          <w:szCs w:val="26"/>
        </w:rPr>
        <w:t xml:space="preserve">accurately </w:t>
      </w:r>
      <w:r w:rsidRPr="005525B7" w:rsidR="005C6877">
        <w:rPr>
          <w:rFonts w:ascii="Times New Roman" w:hAnsi="Times New Roman" w:eastAsia="Book Antiqua"/>
          <w:szCs w:val="26"/>
        </w:rPr>
        <w:t>report</w:t>
      </w:r>
      <w:r w:rsidRPr="005525B7" w:rsidR="0056410C">
        <w:rPr>
          <w:rFonts w:ascii="Times New Roman" w:hAnsi="Times New Roman" w:eastAsia="Book Antiqua"/>
          <w:szCs w:val="26"/>
        </w:rPr>
        <w:t>ed</w:t>
      </w:r>
      <w:r w:rsidRPr="005525B7" w:rsidR="005C6877">
        <w:rPr>
          <w:rFonts w:ascii="Times New Roman" w:hAnsi="Times New Roman" w:eastAsia="Book Antiqua"/>
          <w:szCs w:val="26"/>
        </w:rPr>
        <w:t xml:space="preserve"> to the Commission the location </w:t>
      </w:r>
      <w:r w:rsidRPr="005525B7" w:rsidR="001C72EC">
        <w:rPr>
          <w:rFonts w:ascii="Times New Roman" w:hAnsi="Times New Roman" w:eastAsia="Book Antiqua"/>
          <w:szCs w:val="26"/>
        </w:rPr>
        <w:t xml:space="preserve">of </w:t>
      </w:r>
      <w:r w:rsidRPr="005525B7" w:rsidR="005C6877">
        <w:rPr>
          <w:rFonts w:ascii="Times New Roman" w:hAnsi="Times New Roman" w:eastAsia="Book Antiqua"/>
          <w:szCs w:val="26"/>
        </w:rPr>
        <w:t>where it intends to engage in EVM</w:t>
      </w:r>
      <w:r w:rsidRPr="005525B7" w:rsidR="00107278">
        <w:rPr>
          <w:rFonts w:ascii="Times New Roman" w:hAnsi="Times New Roman" w:eastAsia="Book Antiqua"/>
          <w:szCs w:val="26"/>
        </w:rPr>
        <w:t>,</w:t>
      </w:r>
      <w:r w:rsidRPr="005525B7" w:rsidR="005C6877">
        <w:rPr>
          <w:rFonts w:ascii="Times New Roman" w:hAnsi="Times New Roman" w:eastAsia="Book Antiqua"/>
          <w:szCs w:val="26"/>
        </w:rPr>
        <w:t xml:space="preserve"> and demonstrate</w:t>
      </w:r>
      <w:r w:rsidRPr="005525B7" w:rsidR="00D6722D">
        <w:rPr>
          <w:rFonts w:ascii="Times New Roman" w:hAnsi="Times New Roman" w:eastAsia="Book Antiqua"/>
          <w:szCs w:val="26"/>
        </w:rPr>
        <w:t>d</w:t>
      </w:r>
      <w:r w:rsidRPr="005525B7" w:rsidR="005C6877">
        <w:rPr>
          <w:rFonts w:ascii="Times New Roman" w:hAnsi="Times New Roman" w:eastAsia="Book Antiqua"/>
          <w:szCs w:val="26"/>
        </w:rPr>
        <w:t xml:space="preserve"> that it is prioritizing high risk power lines for EVM work. </w:t>
      </w:r>
      <w:r w:rsidRPr="005525B7" w:rsidR="007E1508">
        <w:rPr>
          <w:rFonts w:ascii="Times New Roman" w:hAnsi="Times New Roman" w:eastAsia="Book Antiqua"/>
          <w:szCs w:val="26"/>
        </w:rPr>
        <w:t xml:space="preserve"> </w:t>
      </w:r>
      <w:r w:rsidRPr="005525B7" w:rsidR="005C5F95">
        <w:rPr>
          <w:rFonts w:ascii="Times New Roman" w:hAnsi="Times New Roman"/>
          <w:szCs w:val="26"/>
        </w:rPr>
        <w:t xml:space="preserve">PG&amp;E demonstrated that it communicates its risk-based priorities to </w:t>
      </w:r>
      <w:r w:rsidRPr="005525B7" w:rsidR="008D20A7">
        <w:rPr>
          <w:rFonts w:ascii="Times New Roman" w:hAnsi="Times New Roman"/>
          <w:szCs w:val="26"/>
        </w:rPr>
        <w:t>its staff</w:t>
      </w:r>
      <w:r w:rsidRPr="005525B7" w:rsidR="005C5F95">
        <w:rPr>
          <w:rFonts w:ascii="Times New Roman" w:hAnsi="Times New Roman"/>
          <w:szCs w:val="26"/>
        </w:rPr>
        <w:t xml:space="preserve"> and contract EVM staff.  Finally, PG&amp;E provided sufficient information that document</w:t>
      </w:r>
      <w:r w:rsidRPr="005525B7" w:rsidR="006F1D27">
        <w:rPr>
          <w:rFonts w:ascii="Times New Roman" w:hAnsi="Times New Roman"/>
          <w:szCs w:val="26"/>
        </w:rPr>
        <w:t>ed</w:t>
      </w:r>
      <w:r w:rsidRPr="005525B7" w:rsidR="005C5F95">
        <w:rPr>
          <w:rFonts w:ascii="Times New Roman" w:hAnsi="Times New Roman"/>
          <w:szCs w:val="26"/>
        </w:rPr>
        <w:t xml:space="preserve"> how </w:t>
      </w:r>
      <w:r w:rsidRPr="005525B7" w:rsidR="00252C77">
        <w:rPr>
          <w:rFonts w:ascii="Times New Roman" w:hAnsi="Times New Roman"/>
          <w:szCs w:val="26"/>
        </w:rPr>
        <w:t>it</w:t>
      </w:r>
      <w:r w:rsidRPr="005525B7" w:rsidR="005C5F95">
        <w:rPr>
          <w:rFonts w:ascii="Times New Roman" w:hAnsi="Times New Roman"/>
          <w:szCs w:val="26"/>
        </w:rPr>
        <w:t xml:space="preserve"> developed the 2021 list of EVM projects and EVM decision-making by the Vegetation Management Board and Wildfire Risk Governance Steering Committee.</w:t>
      </w:r>
      <w:r w:rsidRPr="005525B7" w:rsidR="007A0CC2">
        <w:rPr>
          <w:rFonts w:ascii="Times New Roman" w:hAnsi="Times New Roman"/>
          <w:szCs w:val="26"/>
        </w:rPr>
        <w:t xml:space="preserve"> </w:t>
      </w:r>
    </w:p>
    <w:p w:rsidRPr="005525B7" w:rsidR="00195D2E" w:rsidP="008D457A" w:rsidRDefault="00195D2E" w14:paraId="2B31F269" w14:textId="77777777">
      <w:pPr>
        <w:widowControl w:val="0"/>
        <w:kinsoku w:val="0"/>
        <w:overflowPunct w:val="0"/>
        <w:autoSpaceDE w:val="0"/>
        <w:autoSpaceDN w:val="0"/>
        <w:adjustRightInd w:val="0"/>
        <w:ind w:right="169"/>
        <w:rPr>
          <w:rFonts w:ascii="Times New Roman" w:hAnsi="Times New Roman"/>
          <w:szCs w:val="26"/>
        </w:rPr>
      </w:pPr>
    </w:p>
    <w:p w:rsidRPr="005525B7" w:rsidR="00CF17DE" w:rsidP="008D457A" w:rsidRDefault="0054393F" w14:paraId="40E7C61D" w14:textId="6401D7C4">
      <w:pPr>
        <w:widowControl w:val="0"/>
        <w:kinsoku w:val="0"/>
        <w:overflowPunct w:val="0"/>
        <w:autoSpaceDE w:val="0"/>
        <w:autoSpaceDN w:val="0"/>
        <w:adjustRightInd w:val="0"/>
        <w:ind w:right="169"/>
        <w:rPr>
          <w:rFonts w:ascii="Times New Roman" w:hAnsi="Times New Roman"/>
          <w:szCs w:val="26"/>
        </w:rPr>
      </w:pPr>
      <w:r w:rsidRPr="005525B7">
        <w:rPr>
          <w:rFonts w:ascii="Times New Roman" w:hAnsi="Times New Roman"/>
          <w:szCs w:val="26"/>
        </w:rPr>
        <w:t xml:space="preserve">Based on the May 6, 2021 </w:t>
      </w:r>
      <w:r w:rsidRPr="005525B7" w:rsidR="003C7EC4">
        <w:rPr>
          <w:rFonts w:ascii="Times New Roman" w:hAnsi="Times New Roman"/>
          <w:szCs w:val="26"/>
        </w:rPr>
        <w:t xml:space="preserve">CAP </w:t>
      </w:r>
      <w:r w:rsidRPr="005525B7">
        <w:rPr>
          <w:rFonts w:ascii="Times New Roman" w:hAnsi="Times New Roman"/>
          <w:szCs w:val="26"/>
        </w:rPr>
        <w:t xml:space="preserve">and the subsequent 90-day updates, and the information gathered during Commission workshops, data requests, field visits, and interviews, PG&amp;E made sufficient progress with regard to risk-driven wildfire mitigation efforts. </w:t>
      </w:r>
      <w:r w:rsidRPr="005525B7" w:rsidR="007E1508">
        <w:rPr>
          <w:rFonts w:ascii="Times New Roman" w:hAnsi="Times New Roman"/>
          <w:szCs w:val="26"/>
        </w:rPr>
        <w:t xml:space="preserve"> </w:t>
      </w:r>
      <w:r w:rsidRPr="005525B7" w:rsidR="00B86201">
        <w:rPr>
          <w:rFonts w:ascii="Times New Roman" w:hAnsi="Times New Roman"/>
          <w:szCs w:val="26"/>
        </w:rPr>
        <w:t>T</w:t>
      </w:r>
      <w:r w:rsidRPr="005525B7" w:rsidR="00CA2C33">
        <w:rPr>
          <w:rFonts w:ascii="Times New Roman" w:hAnsi="Times New Roman"/>
          <w:szCs w:val="26"/>
        </w:rPr>
        <w:t xml:space="preserve">he Commission finds that </w:t>
      </w:r>
      <w:r w:rsidRPr="005525B7" w:rsidR="007A0CC2">
        <w:rPr>
          <w:rFonts w:ascii="Times New Roman" w:hAnsi="Times New Roman"/>
          <w:szCs w:val="26"/>
        </w:rPr>
        <w:t xml:space="preserve">PG&amp;E </w:t>
      </w:r>
      <w:r w:rsidRPr="005525B7" w:rsidR="00AC42EB">
        <w:rPr>
          <w:rFonts w:ascii="Times New Roman" w:hAnsi="Times New Roman"/>
          <w:szCs w:val="26"/>
        </w:rPr>
        <w:t xml:space="preserve">satisfied </w:t>
      </w:r>
      <w:r w:rsidRPr="005525B7" w:rsidR="00920590">
        <w:rPr>
          <w:rFonts w:ascii="Times New Roman" w:hAnsi="Times New Roman"/>
          <w:szCs w:val="26"/>
        </w:rPr>
        <w:t xml:space="preserve">the requirements set forth in Resolution M-4852 </w:t>
      </w:r>
      <w:r w:rsidRPr="005525B7" w:rsidR="00AC42EB">
        <w:rPr>
          <w:rFonts w:ascii="Times New Roman" w:hAnsi="Times New Roman"/>
          <w:szCs w:val="26"/>
        </w:rPr>
        <w:t>and is authorized to exit Step 1</w:t>
      </w:r>
      <w:r w:rsidRPr="005525B7" w:rsidR="000B0277">
        <w:rPr>
          <w:rFonts w:ascii="Times New Roman" w:hAnsi="Times New Roman"/>
          <w:szCs w:val="26"/>
        </w:rPr>
        <w:t xml:space="preserve"> of </w:t>
      </w:r>
      <w:r w:rsidRPr="005525B7" w:rsidR="005B7A6C">
        <w:rPr>
          <w:rFonts w:ascii="Times New Roman" w:hAnsi="Times New Roman"/>
          <w:szCs w:val="26"/>
        </w:rPr>
        <w:t>Enhanced Oversight and Enforcement</w:t>
      </w:r>
      <w:r w:rsidRPr="005525B7" w:rsidR="00D328AE">
        <w:rPr>
          <w:rFonts w:ascii="Times New Roman" w:hAnsi="Times New Roman"/>
          <w:szCs w:val="26"/>
        </w:rPr>
        <w:t>.</w:t>
      </w:r>
    </w:p>
    <w:p w:rsidRPr="005525B7" w:rsidR="0025524F" w:rsidP="000A57B0" w:rsidRDefault="0025524F" w14:paraId="1BCAAB5F" w14:textId="77777777">
      <w:pPr>
        <w:rPr>
          <w:rFonts w:ascii="Times New Roman" w:hAnsi="Times New Roman"/>
          <w:szCs w:val="26"/>
        </w:rPr>
      </w:pPr>
    </w:p>
    <w:p w:rsidRPr="005525B7" w:rsidR="0025524F" w:rsidP="000A57B0" w:rsidRDefault="0025524F" w14:paraId="47CB2AB5" w14:textId="2E91BB1B">
      <w:pPr>
        <w:rPr>
          <w:rFonts w:ascii="Times New Roman" w:hAnsi="Times New Roman"/>
          <w:szCs w:val="26"/>
        </w:rPr>
      </w:pPr>
      <w:r w:rsidRPr="005525B7">
        <w:rPr>
          <w:rFonts w:ascii="Times New Roman" w:hAnsi="Times New Roman"/>
          <w:szCs w:val="26"/>
        </w:rPr>
        <w:t xml:space="preserve">Nothing in this Resolution limits the Commission’s authority to place Pacific Gas and Electric Company into any </w:t>
      </w:r>
      <w:r w:rsidRPr="005525B7" w:rsidR="005820CF">
        <w:rPr>
          <w:rFonts w:ascii="Times New Roman" w:hAnsi="Times New Roman"/>
          <w:szCs w:val="26"/>
        </w:rPr>
        <w:t>s</w:t>
      </w:r>
      <w:r w:rsidRPr="005525B7">
        <w:rPr>
          <w:rFonts w:ascii="Times New Roman" w:hAnsi="Times New Roman"/>
          <w:szCs w:val="26"/>
        </w:rPr>
        <w:t>tep set forth in Decision 20-05-053's Enhanced Oversight and Enforcement process at any time.</w:t>
      </w:r>
    </w:p>
    <w:p w:rsidRPr="005525B7" w:rsidR="005B7A6C" w:rsidP="000A57B0" w:rsidRDefault="005B7A6C" w14:paraId="0040A94F" w14:textId="77777777">
      <w:pPr>
        <w:rPr>
          <w:rFonts w:ascii="Times New Roman" w:hAnsi="Times New Roman"/>
          <w:szCs w:val="26"/>
        </w:rPr>
      </w:pPr>
    </w:p>
    <w:p w:rsidRPr="005525B7" w:rsidR="00CF17DE" w:rsidRDefault="00CF17DE" w14:paraId="16A82360" w14:textId="0922E504">
      <w:pPr>
        <w:pStyle w:val="Heading1"/>
        <w:rPr>
          <w:rFonts w:ascii="Times New Roman" w:hAnsi="Times New Roman"/>
          <w:szCs w:val="26"/>
        </w:rPr>
      </w:pPr>
      <w:r w:rsidRPr="005525B7">
        <w:rPr>
          <w:rFonts w:ascii="Times New Roman" w:hAnsi="Times New Roman"/>
          <w:szCs w:val="26"/>
        </w:rPr>
        <w:t>Comments</w:t>
      </w:r>
    </w:p>
    <w:p w:rsidRPr="00FF457C" w:rsidR="002A1608" w:rsidP="002A1608" w:rsidRDefault="002A1608" w14:paraId="6A7F952B" w14:textId="77777777">
      <w:pPr>
        <w:pStyle w:val="paragraph"/>
        <w:shd w:val="clear" w:color="auto" w:fill="FFFFFF"/>
        <w:spacing w:before="0" w:beforeAutospacing="0" w:after="0" w:afterAutospacing="0"/>
        <w:rPr>
          <w:rStyle w:val="normaltextrun"/>
          <w:sz w:val="26"/>
          <w:szCs w:val="26"/>
        </w:rPr>
      </w:pPr>
      <w:r w:rsidRPr="00FF457C">
        <w:rPr>
          <w:rStyle w:val="normaltextrun"/>
          <w:sz w:val="26"/>
          <w:szCs w:val="26"/>
        </w:rPr>
        <w:t>Comments on the Draft Resolution M-4864 were filed on November 3, 2022 by Lake County, Rural County Representatives of California and the California State Association of Counties (RCRC/CSAC), California Public Advocates Office (Cal Advocates) and The Utility Reform Network</w:t>
      </w:r>
      <w:r w:rsidRPr="00FF457C">
        <w:rPr>
          <w:sz w:val="26"/>
          <w:szCs w:val="26"/>
        </w:rPr>
        <w:t xml:space="preserve"> (TURN), </w:t>
      </w:r>
      <w:r w:rsidRPr="00FF457C">
        <w:rPr>
          <w:rStyle w:val="normaltextrun"/>
          <w:sz w:val="26"/>
          <w:szCs w:val="26"/>
        </w:rPr>
        <w:t xml:space="preserve">Bob Johnston, Indivisible-California Green Team (Green Team), the Environmental Committee of the Valley Women’s Club (Valley Women’s Club), and Jennie Dushek.  The Comments appear on the Commission’s website at </w:t>
      </w:r>
      <w:hyperlink w:history="1" r:id="rId11">
        <w:r w:rsidRPr="00FF457C">
          <w:rPr>
            <w:rStyle w:val="Hyperlink"/>
            <w:color w:val="auto"/>
            <w:sz w:val="26"/>
            <w:szCs w:val="26"/>
          </w:rPr>
          <w:t>Enhanced Oversight and Enforcement of PG&amp;E (ca.gov)</w:t>
        </w:r>
      </w:hyperlink>
      <w:r w:rsidRPr="00FF457C">
        <w:rPr>
          <w:rStyle w:val="normaltextrun"/>
          <w:sz w:val="26"/>
          <w:szCs w:val="26"/>
        </w:rPr>
        <w:t>.</w:t>
      </w:r>
    </w:p>
    <w:p w:rsidR="002A1608" w:rsidP="002A1608" w:rsidRDefault="002A1608" w14:paraId="3B8A8B55" w14:textId="6B50D626">
      <w:pPr>
        <w:pStyle w:val="paragraph"/>
        <w:shd w:val="clear" w:color="auto" w:fill="FFFFFF"/>
        <w:spacing w:before="0" w:beforeAutospacing="0" w:after="0" w:afterAutospacing="0"/>
        <w:rPr>
          <w:sz w:val="26"/>
          <w:szCs w:val="26"/>
        </w:rPr>
      </w:pPr>
    </w:p>
    <w:p w:rsidRPr="00FF457C" w:rsidR="00B06A97" w:rsidP="002A1608" w:rsidRDefault="00B06A97" w14:paraId="1734648C" w14:textId="77777777">
      <w:pPr>
        <w:pStyle w:val="paragraph"/>
        <w:shd w:val="clear" w:color="auto" w:fill="FFFFFF"/>
        <w:spacing w:before="0" w:beforeAutospacing="0" w:after="0" w:afterAutospacing="0"/>
        <w:rPr>
          <w:sz w:val="26"/>
          <w:szCs w:val="26"/>
        </w:rPr>
      </w:pPr>
    </w:p>
    <w:p w:rsidRPr="00FF457C" w:rsidR="002A1608" w:rsidP="002A1608" w:rsidRDefault="002A1608" w14:paraId="4D100742" w14:textId="77777777">
      <w:pPr>
        <w:rPr>
          <w:rFonts w:ascii="Times New Roman" w:hAnsi="Times New Roman"/>
          <w:szCs w:val="26"/>
        </w:rPr>
      </w:pPr>
      <w:r w:rsidRPr="00FF457C">
        <w:rPr>
          <w:rFonts w:ascii="Times New Roman" w:hAnsi="Times New Roman"/>
          <w:szCs w:val="26"/>
        </w:rPr>
        <w:lastRenderedPageBreak/>
        <w:t xml:space="preserve">Many of the parties’ comments raise concerns over whether PG&amp;E removes felled wood and slash (debris that results from the felling or destruction of trees) that results from PG&amp;E’s vegetation management activities.  Parties point to their safety concerns with PG&amp;E not removing trees or properly managing vegetation debris, as well as concerns about whether PG&amp;E’s EVM practices endanger species or utilize best practices for asset management and system hardening.  See, e.g., Lake County, RCRC/DSAC, Bob Johnston, Green Team, Valley Women’s Club, and Jennie Dushek.  The issues raised by these commenters are beyond the scope of the Resolution, which focuses specifically on PG&amp;E’s prioritization of EVM work in relation to wildfire risk in 2020.  One commenter, Bob Johnston, seeks to refute that PG&amp;E is prioritizing areas for EVM focused on areas its modeling shows as highest risk but does not provide persuasive evidence to refute the conclusion of this Resolution. Resolution M-4852 placed PG&amp;E into Step 1 due to the utility’s failure to prioritize the riskiest power lines in its 2020 EVM practices. </w:t>
      </w:r>
      <w:r w:rsidRPr="00FF457C">
        <w:rPr>
          <w:rStyle w:val="cf01"/>
          <w:rFonts w:ascii="Times New Roman" w:hAnsi="Times New Roman" w:cs="Times New Roman"/>
          <w:sz w:val="26"/>
          <w:szCs w:val="26"/>
        </w:rPr>
        <w:t xml:space="preserve">The scope of Resolution M-4852 intentionally targeted this specific failure with enhanced oversight by CPUC staff, and the year and a half of enhanced oversight has had its intended effect of correcting PG&amp;E’s 2020 EVM failure. </w:t>
      </w:r>
      <w:r w:rsidRPr="00FF457C">
        <w:rPr>
          <w:rFonts w:ascii="Times New Roman" w:hAnsi="Times New Roman"/>
          <w:szCs w:val="26"/>
        </w:rPr>
        <w:t xml:space="preserve"> None of the comments refute the conclusion in this Resolution that PG&amp;E’s prioritization of areas for EVM is now focused on areas its modeling shows as highest risk. </w:t>
      </w:r>
      <w:r w:rsidRPr="00FF457C">
        <w:rPr>
          <w:rStyle w:val="cf01"/>
          <w:rFonts w:ascii="Times New Roman" w:hAnsi="Times New Roman" w:cs="Times New Roman"/>
          <w:sz w:val="26"/>
          <w:szCs w:val="26"/>
        </w:rPr>
        <w:t>Further, the CPUC will continue its oversight of PG&amp;E in actions already initiated and that will continue separate from this process; these actions include close monitoring by the Independent Safety Monitor, and issuance of Administrative Consent Orders and Administrative Enforcement Orders addressing additional recent safety issues related to public safety power shutoffs and wildfire ignitions.</w:t>
      </w:r>
      <w:r w:rsidRPr="00FF457C">
        <w:rPr>
          <w:rFonts w:ascii="Times New Roman" w:hAnsi="Times New Roman"/>
          <w:szCs w:val="26"/>
        </w:rPr>
        <w:t> </w:t>
      </w:r>
    </w:p>
    <w:p w:rsidRPr="00FF457C" w:rsidR="002A1608" w:rsidP="002A1608" w:rsidRDefault="002A1608" w14:paraId="7AF33E79" w14:textId="77777777">
      <w:pPr>
        <w:pStyle w:val="paragraph"/>
        <w:shd w:val="clear" w:color="auto" w:fill="FFFFFF"/>
        <w:spacing w:before="0" w:beforeAutospacing="0" w:after="0" w:afterAutospacing="0"/>
        <w:rPr>
          <w:sz w:val="26"/>
          <w:szCs w:val="26"/>
        </w:rPr>
      </w:pPr>
    </w:p>
    <w:p w:rsidRPr="00FF457C" w:rsidR="002A1608" w:rsidP="002A1608" w:rsidRDefault="002A1608" w14:paraId="60B09D71" w14:textId="77777777">
      <w:pPr>
        <w:pStyle w:val="paragraph"/>
        <w:shd w:val="clear" w:color="auto" w:fill="FFFFFF" w:themeFill="background1"/>
        <w:spacing w:before="0" w:beforeAutospacing="0" w:after="0" w:afterAutospacing="0"/>
        <w:rPr>
          <w:sz w:val="26"/>
          <w:szCs w:val="26"/>
        </w:rPr>
      </w:pPr>
      <w:r w:rsidRPr="00FF457C">
        <w:rPr>
          <w:rStyle w:val="normaltextrun"/>
          <w:sz w:val="26"/>
          <w:szCs w:val="26"/>
        </w:rPr>
        <w:t xml:space="preserve">Cal Advocates’ and </w:t>
      </w:r>
      <w:r w:rsidRPr="00FF457C">
        <w:rPr>
          <w:sz w:val="26"/>
          <w:szCs w:val="26"/>
        </w:rPr>
        <w:t xml:space="preserve">TURN’s comments ask the Commission to put PG&amp;E in Step 2 of the EOE Process due to its involvement in the 2021 Dixie Fire (either by amending Draft Resolution M-4864 or by initiating a new EOE process) and open an Order to Show Cause (OSC) to examine PG&amp;E’s role in the fire. They also request that the Commission open an OII to examine PG&amp;E’s vegetation management, asset inspections, and asset maintenance failures throughout the past three years.  They suggest the Commission may place PG&amp;E into Step 4 of the EOE Process.  The Commission’s oversight of PG&amp;E includes broad investigation and enforcement authority in addition to the EOE process, and we will take appropriate actions to hold PG&amp;E accountable where merited.  But the issues Cal Advocates and TURN raise are also beyond the scope of the current Resolution, which determines PG&amp;E has met the conditions to exit Step 1 by demonstrating it is now adequately prioritizing EVM in areas of highest fire risk.  </w:t>
      </w:r>
    </w:p>
    <w:p w:rsidRPr="00FF457C" w:rsidR="002A1608" w:rsidP="002A1608" w:rsidRDefault="002A1608" w14:paraId="7294F10F" w14:textId="77777777">
      <w:pPr>
        <w:pStyle w:val="paragraph"/>
        <w:shd w:val="clear" w:color="auto" w:fill="FFFFFF" w:themeFill="background1"/>
        <w:spacing w:before="0" w:beforeAutospacing="0" w:after="0" w:afterAutospacing="0"/>
        <w:rPr>
          <w:sz w:val="26"/>
          <w:szCs w:val="26"/>
        </w:rPr>
      </w:pPr>
      <w:r w:rsidRPr="00FF457C">
        <w:rPr>
          <w:sz w:val="26"/>
          <w:szCs w:val="26"/>
        </w:rPr>
        <w:t xml:space="preserve">Reply comments were filed on November 10, 2022 by PG&amp;E. PG&amp;E asserts that it met the conditions imposed by Resolution M-4852 and the concerns raised by the commenters are outside of the scope of Resolution M-4852. </w:t>
      </w:r>
    </w:p>
    <w:p w:rsidRPr="00FF457C" w:rsidR="002A1608" w:rsidP="002A1608" w:rsidRDefault="002A1608" w14:paraId="56F0B3B3" w14:textId="77777777">
      <w:pPr>
        <w:pStyle w:val="paragraph"/>
        <w:shd w:val="clear" w:color="auto" w:fill="FFFFFF" w:themeFill="background1"/>
        <w:spacing w:before="0" w:beforeAutospacing="0" w:after="0" w:afterAutospacing="0"/>
        <w:rPr>
          <w:sz w:val="26"/>
          <w:szCs w:val="26"/>
        </w:rPr>
      </w:pPr>
    </w:p>
    <w:p w:rsidRPr="00FF457C" w:rsidR="00A04652" w:rsidP="00A61C9D" w:rsidRDefault="002A1608" w14:paraId="1CCDABCD" w14:textId="6B2ABF8E">
      <w:pPr>
        <w:pStyle w:val="standard"/>
        <w:spacing w:line="240" w:lineRule="auto"/>
        <w:ind w:firstLine="0"/>
        <w:rPr>
          <w:rFonts w:ascii="Times New Roman" w:hAnsi="Times New Roman"/>
          <w:szCs w:val="26"/>
        </w:rPr>
      </w:pPr>
      <w:r w:rsidRPr="00FF457C">
        <w:rPr>
          <w:rFonts w:ascii="Times New Roman" w:hAnsi="Times New Roman"/>
          <w:szCs w:val="26"/>
        </w:rPr>
        <w:t>As noted above, we have carefully considered the suggested changes proposed by parties in their comments and their reply comments to this Resolution.  None of the comments refute the conclusion in this Resolution.</w:t>
      </w:r>
    </w:p>
    <w:p w:rsidRPr="005525B7" w:rsidR="007B1752" w:rsidP="007B1752" w:rsidRDefault="007B1752" w14:paraId="6CFE67C9" w14:textId="77777777">
      <w:pPr>
        <w:pStyle w:val="standard"/>
        <w:spacing w:line="240" w:lineRule="auto"/>
        <w:ind w:firstLine="0"/>
        <w:rPr>
          <w:rFonts w:ascii="Times New Roman" w:hAnsi="Times New Roman"/>
          <w:szCs w:val="26"/>
        </w:rPr>
      </w:pPr>
    </w:p>
    <w:p w:rsidRPr="005525B7" w:rsidR="00CF17DE" w:rsidRDefault="00CF17DE" w14:paraId="07618DBE" w14:textId="77777777">
      <w:pPr>
        <w:pStyle w:val="Heading1"/>
        <w:rPr>
          <w:rFonts w:ascii="Times New Roman" w:hAnsi="Times New Roman"/>
          <w:szCs w:val="26"/>
        </w:rPr>
      </w:pPr>
      <w:r w:rsidRPr="005525B7">
        <w:rPr>
          <w:rFonts w:ascii="Times New Roman" w:hAnsi="Times New Roman"/>
          <w:szCs w:val="26"/>
        </w:rPr>
        <w:t>Findings</w:t>
      </w:r>
    </w:p>
    <w:p w:rsidRPr="005525B7" w:rsidR="00533D3C" w:rsidP="00457816" w:rsidRDefault="00FE65AB" w14:paraId="691131EA" w14:textId="76745C41">
      <w:pPr>
        <w:pStyle w:val="paragraph"/>
        <w:numPr>
          <w:ilvl w:val="0"/>
          <w:numId w:val="4"/>
        </w:numPr>
        <w:spacing w:before="0" w:beforeAutospacing="0" w:after="0" w:afterAutospacing="0"/>
        <w:textAlignment w:val="baseline"/>
        <w:rPr>
          <w:rStyle w:val="normaltextrun"/>
          <w:sz w:val="26"/>
          <w:szCs w:val="26"/>
        </w:rPr>
      </w:pPr>
      <w:r w:rsidRPr="005525B7">
        <w:rPr>
          <w:rStyle w:val="normaltextrun"/>
          <w:sz w:val="26"/>
          <w:szCs w:val="26"/>
        </w:rPr>
        <w:t xml:space="preserve">Pacific Gas and Electric Company </w:t>
      </w:r>
      <w:r w:rsidRPr="005525B7" w:rsidR="00533D3C">
        <w:rPr>
          <w:rStyle w:val="normaltextrun"/>
          <w:sz w:val="26"/>
          <w:szCs w:val="26"/>
        </w:rPr>
        <w:t>serve</w:t>
      </w:r>
      <w:r w:rsidRPr="005525B7">
        <w:rPr>
          <w:rStyle w:val="normaltextrun"/>
          <w:sz w:val="26"/>
          <w:szCs w:val="26"/>
        </w:rPr>
        <w:t>d</w:t>
      </w:r>
      <w:r w:rsidRPr="005525B7" w:rsidR="00533D3C">
        <w:rPr>
          <w:rStyle w:val="normaltextrun"/>
          <w:sz w:val="26"/>
          <w:szCs w:val="26"/>
        </w:rPr>
        <w:t xml:space="preserve"> </w:t>
      </w:r>
      <w:r w:rsidRPr="005525B7">
        <w:rPr>
          <w:rStyle w:val="normaltextrun"/>
          <w:sz w:val="26"/>
          <w:szCs w:val="26"/>
        </w:rPr>
        <w:t xml:space="preserve">its </w:t>
      </w:r>
      <w:r w:rsidRPr="005525B7" w:rsidR="005C0E1B">
        <w:rPr>
          <w:rStyle w:val="normaltextrun"/>
          <w:sz w:val="26"/>
          <w:szCs w:val="26"/>
        </w:rPr>
        <w:t>Corrective</w:t>
      </w:r>
      <w:r w:rsidRPr="005525B7" w:rsidR="00533D3C">
        <w:rPr>
          <w:rStyle w:val="normaltextrun"/>
          <w:sz w:val="26"/>
          <w:szCs w:val="26"/>
        </w:rPr>
        <w:t xml:space="preserve"> Action Plan </w:t>
      </w:r>
      <w:r w:rsidRPr="005525B7" w:rsidR="00757A9C">
        <w:rPr>
          <w:rStyle w:val="normaltextrun"/>
          <w:sz w:val="26"/>
          <w:szCs w:val="26"/>
        </w:rPr>
        <w:t xml:space="preserve">and </w:t>
      </w:r>
      <w:r w:rsidRPr="005525B7" w:rsidR="00CB2BEC">
        <w:rPr>
          <w:rStyle w:val="normaltextrun"/>
          <w:sz w:val="26"/>
          <w:szCs w:val="26"/>
        </w:rPr>
        <w:t xml:space="preserve">90-day updates as required by </w:t>
      </w:r>
      <w:r w:rsidRPr="005525B7" w:rsidR="00CB2BEC">
        <w:rPr>
          <w:sz w:val="26"/>
          <w:szCs w:val="26"/>
        </w:rPr>
        <w:t>Resolution M-4852</w:t>
      </w:r>
      <w:r w:rsidRPr="005525B7" w:rsidR="003D2B35">
        <w:rPr>
          <w:sz w:val="26"/>
          <w:szCs w:val="26"/>
        </w:rPr>
        <w:t>.</w:t>
      </w:r>
      <w:r w:rsidRPr="005525B7" w:rsidR="00DA086A">
        <w:rPr>
          <w:rStyle w:val="normaltextrun"/>
          <w:sz w:val="26"/>
          <w:szCs w:val="26"/>
        </w:rPr>
        <w:t xml:space="preserve"> </w:t>
      </w:r>
    </w:p>
    <w:p w:rsidRPr="005525B7" w:rsidR="008C08DA" w:rsidP="00510E6F" w:rsidRDefault="008C08DA" w14:paraId="1AA8F0E0" w14:textId="77777777">
      <w:pPr>
        <w:pStyle w:val="paragraph"/>
        <w:spacing w:before="0" w:beforeAutospacing="0" w:after="0" w:afterAutospacing="0"/>
        <w:ind w:left="420"/>
        <w:textAlignment w:val="baseline"/>
        <w:rPr>
          <w:sz w:val="26"/>
          <w:szCs w:val="26"/>
        </w:rPr>
      </w:pPr>
    </w:p>
    <w:p w:rsidRPr="005525B7" w:rsidR="00522802" w:rsidRDefault="000D3176" w14:paraId="212D2C11" w14:textId="710CF112">
      <w:pPr>
        <w:numPr>
          <w:ilvl w:val="0"/>
          <w:numId w:val="4"/>
        </w:numPr>
        <w:rPr>
          <w:rStyle w:val="normaltextrun"/>
          <w:rFonts w:ascii="Times New Roman" w:hAnsi="Times New Roman"/>
          <w:szCs w:val="26"/>
        </w:rPr>
      </w:pPr>
      <w:r w:rsidRPr="005525B7">
        <w:rPr>
          <w:rStyle w:val="normaltextrun"/>
          <w:rFonts w:ascii="Times New Roman" w:hAnsi="Times New Roman"/>
          <w:szCs w:val="26"/>
        </w:rPr>
        <w:t>Commission</w:t>
      </w:r>
      <w:r w:rsidRPr="005525B7" w:rsidR="00391B88">
        <w:rPr>
          <w:rStyle w:val="normaltextrun"/>
          <w:rFonts w:ascii="Times New Roman" w:hAnsi="Times New Roman"/>
          <w:szCs w:val="26"/>
        </w:rPr>
        <w:t xml:space="preserve"> staff</w:t>
      </w:r>
      <w:r w:rsidRPr="005525B7">
        <w:rPr>
          <w:rStyle w:val="normaltextrun"/>
          <w:rFonts w:ascii="Times New Roman" w:hAnsi="Times New Roman"/>
          <w:szCs w:val="26"/>
        </w:rPr>
        <w:t xml:space="preserve">, in consultation with the Office of Energy </w:t>
      </w:r>
      <w:r w:rsidRPr="005525B7" w:rsidR="00FB3E02">
        <w:rPr>
          <w:rStyle w:val="normaltextrun"/>
          <w:rFonts w:ascii="Times New Roman" w:hAnsi="Times New Roman"/>
          <w:szCs w:val="26"/>
        </w:rPr>
        <w:t xml:space="preserve">Infrastructure </w:t>
      </w:r>
      <w:r w:rsidRPr="005525B7">
        <w:rPr>
          <w:rStyle w:val="normaltextrun"/>
          <w:rFonts w:ascii="Times New Roman" w:hAnsi="Times New Roman"/>
          <w:szCs w:val="26"/>
        </w:rPr>
        <w:t xml:space="preserve">Safety, reviewed the </w:t>
      </w:r>
      <w:r w:rsidRPr="005525B7" w:rsidR="008532E9">
        <w:rPr>
          <w:rStyle w:val="normaltextrun"/>
          <w:rFonts w:ascii="Times New Roman" w:hAnsi="Times New Roman"/>
          <w:szCs w:val="26"/>
        </w:rPr>
        <w:t xml:space="preserve">Corrective Action Plan and the subsequent </w:t>
      </w:r>
      <w:r w:rsidRPr="005525B7" w:rsidR="00B96F29">
        <w:rPr>
          <w:rStyle w:val="normaltextrun"/>
          <w:rFonts w:ascii="Times New Roman" w:hAnsi="Times New Roman"/>
          <w:szCs w:val="26"/>
        </w:rPr>
        <w:t>90-day</w:t>
      </w:r>
      <w:r w:rsidRPr="005525B7" w:rsidR="008532E9">
        <w:rPr>
          <w:rStyle w:val="normaltextrun"/>
          <w:rFonts w:ascii="Times New Roman" w:hAnsi="Times New Roman"/>
          <w:szCs w:val="26"/>
        </w:rPr>
        <w:t xml:space="preserve"> updates.</w:t>
      </w:r>
      <w:r w:rsidRPr="005525B7" w:rsidR="00713D53">
        <w:rPr>
          <w:rStyle w:val="normaltextrun"/>
          <w:rFonts w:ascii="Times New Roman" w:hAnsi="Times New Roman"/>
          <w:szCs w:val="26"/>
        </w:rPr>
        <w:t xml:space="preserve"> </w:t>
      </w:r>
    </w:p>
    <w:p w:rsidRPr="005525B7" w:rsidR="008C08DA" w:rsidP="00510E6F" w:rsidRDefault="008C08DA" w14:paraId="7D83FF13" w14:textId="77777777">
      <w:pPr>
        <w:ind w:left="420"/>
        <w:rPr>
          <w:rStyle w:val="normaltextrun"/>
          <w:rFonts w:ascii="Times New Roman" w:hAnsi="Times New Roman"/>
          <w:szCs w:val="26"/>
        </w:rPr>
      </w:pPr>
    </w:p>
    <w:p w:rsidRPr="005525B7" w:rsidR="00701413" w:rsidP="00701413" w:rsidRDefault="0C333B44" w14:paraId="0DD79F5A" w14:textId="4BC2F58B">
      <w:pPr>
        <w:pStyle w:val="Default"/>
        <w:numPr>
          <w:ilvl w:val="0"/>
          <w:numId w:val="4"/>
        </w:numPr>
        <w:rPr>
          <w:sz w:val="26"/>
          <w:szCs w:val="26"/>
        </w:rPr>
      </w:pPr>
      <w:r w:rsidRPr="005525B7">
        <w:rPr>
          <w:rStyle w:val="normaltextrun"/>
          <w:sz w:val="26"/>
          <w:szCs w:val="26"/>
        </w:rPr>
        <w:t xml:space="preserve">Pacific Gas and Electric Company has </w:t>
      </w:r>
      <w:r w:rsidRPr="005525B7">
        <w:rPr>
          <w:sz w:val="26"/>
          <w:szCs w:val="26"/>
        </w:rPr>
        <w:t xml:space="preserve">demonstrated that it is prioritizing high risk lines for Enhanced Vegetation Management </w:t>
      </w:r>
      <w:r w:rsidRPr="005525B7" w:rsidR="009425B2">
        <w:rPr>
          <w:sz w:val="26"/>
          <w:szCs w:val="26"/>
        </w:rPr>
        <w:t xml:space="preserve">pursuant to the joint enhanced </w:t>
      </w:r>
      <w:r w:rsidRPr="005525B7" w:rsidR="0083787F">
        <w:rPr>
          <w:sz w:val="26"/>
          <w:szCs w:val="26"/>
        </w:rPr>
        <w:t xml:space="preserve">oversight conducted by </w:t>
      </w:r>
      <w:r w:rsidRPr="005525B7" w:rsidR="00937A44">
        <w:rPr>
          <w:sz w:val="26"/>
          <w:szCs w:val="26"/>
        </w:rPr>
        <w:t>the Commission and the Office of Energy Infrastructure Safety</w:t>
      </w:r>
      <w:r w:rsidRPr="005525B7" w:rsidR="005D7A48">
        <w:rPr>
          <w:sz w:val="26"/>
          <w:szCs w:val="26"/>
        </w:rPr>
        <w:t xml:space="preserve"> </w:t>
      </w:r>
      <w:r w:rsidRPr="005525B7">
        <w:rPr>
          <w:sz w:val="26"/>
          <w:szCs w:val="26"/>
        </w:rPr>
        <w:t>and meet</w:t>
      </w:r>
      <w:r w:rsidRPr="005525B7" w:rsidR="0006034D">
        <w:rPr>
          <w:sz w:val="26"/>
          <w:szCs w:val="26"/>
        </w:rPr>
        <w:t>s</w:t>
      </w:r>
      <w:r w:rsidRPr="005525B7">
        <w:rPr>
          <w:sz w:val="26"/>
          <w:szCs w:val="26"/>
        </w:rPr>
        <w:t xml:space="preserve"> all of the Step 1 conditions imposed by Resolution M-4852. </w:t>
      </w:r>
    </w:p>
    <w:p w:rsidRPr="005525B7" w:rsidR="004A56FD" w:rsidP="007B5EF3" w:rsidRDefault="004A56FD" w14:paraId="04945067" w14:textId="43B92DC0">
      <w:pPr>
        <w:rPr>
          <w:rFonts w:ascii="Times New Roman" w:hAnsi="Times New Roman"/>
          <w:szCs w:val="26"/>
        </w:rPr>
      </w:pPr>
    </w:p>
    <w:p w:rsidRPr="005525B7" w:rsidR="00CF17DE" w:rsidRDefault="00CF17DE" w14:paraId="03EBB768" w14:textId="77777777">
      <w:pPr>
        <w:pStyle w:val="Heading1"/>
        <w:rPr>
          <w:rFonts w:ascii="Times New Roman" w:hAnsi="Times New Roman"/>
          <w:szCs w:val="26"/>
        </w:rPr>
      </w:pPr>
      <w:r w:rsidRPr="005525B7">
        <w:rPr>
          <w:rFonts w:ascii="Times New Roman" w:hAnsi="Times New Roman"/>
          <w:szCs w:val="26"/>
        </w:rPr>
        <w:t>Therefore it is ordered that:</w:t>
      </w:r>
    </w:p>
    <w:p w:rsidRPr="005525B7" w:rsidR="00C7015B" w:rsidP="00C7015B" w:rsidRDefault="00C7015B" w14:paraId="35034940" w14:textId="3DB34065">
      <w:pPr>
        <w:pStyle w:val="Default"/>
        <w:numPr>
          <w:ilvl w:val="0"/>
          <w:numId w:val="5"/>
        </w:numPr>
        <w:rPr>
          <w:sz w:val="26"/>
          <w:szCs w:val="26"/>
        </w:rPr>
      </w:pPr>
      <w:r w:rsidRPr="005525B7">
        <w:rPr>
          <w:rStyle w:val="normaltextrun"/>
          <w:sz w:val="26"/>
          <w:szCs w:val="26"/>
        </w:rPr>
        <w:t xml:space="preserve">Pacific Gas and Electric Company has </w:t>
      </w:r>
      <w:r w:rsidRPr="005525B7">
        <w:rPr>
          <w:sz w:val="26"/>
          <w:szCs w:val="26"/>
        </w:rPr>
        <w:t>demonstrated that it is prioritizing high risk distribution lines for Enhanced Vegetation Management to the Commission’s satisfaction and meet</w:t>
      </w:r>
      <w:r w:rsidRPr="005525B7" w:rsidR="00EC1C31">
        <w:rPr>
          <w:sz w:val="26"/>
          <w:szCs w:val="26"/>
        </w:rPr>
        <w:t>s</w:t>
      </w:r>
      <w:r w:rsidRPr="005525B7">
        <w:rPr>
          <w:sz w:val="26"/>
          <w:szCs w:val="26"/>
        </w:rPr>
        <w:t xml:space="preserve"> all of the Step 1 conditions imposed by Resolution M-4852. </w:t>
      </w:r>
      <w:r w:rsidRPr="005525B7" w:rsidR="007E1508">
        <w:rPr>
          <w:sz w:val="26"/>
          <w:szCs w:val="26"/>
        </w:rPr>
        <w:t xml:space="preserve"> </w:t>
      </w:r>
      <w:r w:rsidRPr="005525B7">
        <w:rPr>
          <w:rStyle w:val="normaltextrun"/>
          <w:sz w:val="26"/>
          <w:szCs w:val="26"/>
        </w:rPr>
        <w:t xml:space="preserve">Pacific Gas and Electric Company </w:t>
      </w:r>
      <w:r w:rsidRPr="005525B7">
        <w:rPr>
          <w:sz w:val="26"/>
          <w:szCs w:val="26"/>
        </w:rPr>
        <w:t>is authorized to exit Step 1 of the</w:t>
      </w:r>
      <w:r w:rsidRPr="005525B7">
        <w:rPr>
          <w:rStyle w:val="normaltextrun"/>
          <w:sz w:val="26"/>
          <w:szCs w:val="26"/>
          <w:shd w:val="clear" w:color="auto" w:fill="FFFFFF"/>
        </w:rPr>
        <w:t xml:space="preserve"> Enhanced Oversight and Enforcement</w:t>
      </w:r>
      <w:r w:rsidRPr="005525B7">
        <w:rPr>
          <w:sz w:val="26"/>
          <w:szCs w:val="26"/>
        </w:rPr>
        <w:t xml:space="preserve"> Process.  </w:t>
      </w:r>
    </w:p>
    <w:p w:rsidRPr="005525B7" w:rsidR="00B852F4" w:rsidP="00B852F4" w:rsidRDefault="00B852F4" w14:paraId="282EC180" w14:textId="77777777">
      <w:pPr>
        <w:pStyle w:val="Default"/>
        <w:rPr>
          <w:sz w:val="26"/>
          <w:szCs w:val="26"/>
        </w:rPr>
      </w:pPr>
    </w:p>
    <w:p w:rsidRPr="005525B7" w:rsidR="001D2C3A" w:rsidP="367536E3" w:rsidRDefault="55AE342F" w14:paraId="6009071A" w14:textId="35BF771C">
      <w:pPr>
        <w:numPr>
          <w:ilvl w:val="0"/>
          <w:numId w:val="5"/>
        </w:numPr>
        <w:rPr>
          <w:rStyle w:val="normaltextrun"/>
          <w:rFonts w:ascii="Times New Roman" w:hAnsi="Times New Roman"/>
          <w:snapToGrid w:val="0"/>
          <w:szCs w:val="26"/>
        </w:rPr>
      </w:pPr>
      <w:r w:rsidRPr="005525B7">
        <w:rPr>
          <w:rStyle w:val="normaltextrun"/>
          <w:rFonts w:ascii="Times New Roman" w:hAnsi="Times New Roman"/>
          <w:color w:val="000000"/>
          <w:szCs w:val="26"/>
          <w:shd w:val="clear" w:color="auto" w:fill="FFFFFF"/>
        </w:rPr>
        <w:t xml:space="preserve">Nothing in this Resolution limits the Commission’s authority to place Pacific Gas and Electric Company into any Step set forth in Decision 20-05-053's Enhanced Oversight and Enforcement </w:t>
      </w:r>
      <w:r w:rsidRPr="005525B7" w:rsidR="002810C4">
        <w:rPr>
          <w:rStyle w:val="normaltextrun"/>
          <w:rFonts w:ascii="Times New Roman" w:hAnsi="Times New Roman"/>
          <w:color w:val="000000"/>
          <w:szCs w:val="26"/>
          <w:shd w:val="clear" w:color="auto" w:fill="FFFFFF"/>
        </w:rPr>
        <w:t>P</w:t>
      </w:r>
      <w:r w:rsidRPr="005525B7">
        <w:rPr>
          <w:rStyle w:val="normaltextrun"/>
          <w:rFonts w:ascii="Times New Roman" w:hAnsi="Times New Roman"/>
          <w:color w:val="000000"/>
          <w:szCs w:val="26"/>
          <w:shd w:val="clear" w:color="auto" w:fill="FFFFFF"/>
        </w:rPr>
        <w:t>rocess at any time</w:t>
      </w:r>
      <w:r w:rsidRPr="005525B7" w:rsidR="09560FAE">
        <w:rPr>
          <w:rStyle w:val="normaltextrun"/>
          <w:rFonts w:ascii="Times New Roman" w:hAnsi="Times New Roman"/>
          <w:color w:val="000000"/>
          <w:szCs w:val="26"/>
          <w:shd w:val="clear" w:color="auto" w:fill="FFFFFF"/>
        </w:rPr>
        <w:t>.</w:t>
      </w:r>
    </w:p>
    <w:p w:rsidRPr="005525B7" w:rsidR="00046B21" w:rsidP="00046B21" w:rsidRDefault="00046B21" w14:paraId="0A115D50" w14:textId="77777777">
      <w:pPr>
        <w:ind w:left="360"/>
        <w:rPr>
          <w:rStyle w:val="normaltextrun"/>
          <w:rFonts w:ascii="Times New Roman" w:hAnsi="Times New Roman"/>
          <w:snapToGrid w:val="0"/>
          <w:szCs w:val="26"/>
        </w:rPr>
      </w:pPr>
    </w:p>
    <w:p w:rsidRPr="005525B7" w:rsidR="001510C9" w:rsidP="367536E3" w:rsidRDefault="09560FAE" w14:paraId="16018DA4" w14:textId="304C4463">
      <w:pPr>
        <w:numPr>
          <w:ilvl w:val="0"/>
          <w:numId w:val="5"/>
        </w:numPr>
        <w:rPr>
          <w:rStyle w:val="eop"/>
          <w:rFonts w:ascii="Times New Roman" w:hAnsi="Times New Roman"/>
          <w:snapToGrid w:val="0"/>
          <w:szCs w:val="26"/>
        </w:rPr>
      </w:pPr>
      <w:r w:rsidRPr="005525B7">
        <w:rPr>
          <w:rStyle w:val="normaltextrun"/>
          <w:rFonts w:ascii="Times New Roman" w:hAnsi="Times New Roman"/>
          <w:color w:val="000000"/>
          <w:szCs w:val="26"/>
          <w:shd w:val="clear" w:color="auto" w:fill="FFFFFF"/>
        </w:rPr>
        <w:t>Nothing in this Resolution limits the Commission’s authority to take actions to ensure safe and reliable gas and electric service, enforce its own orders or California law and regulation, or take any other steps to ensure Pacific Gas and Electric Company’s system is designed, operated and maintained to mitigate catastrophic wildfire.</w:t>
      </w:r>
      <w:r w:rsidRPr="005525B7">
        <w:rPr>
          <w:rStyle w:val="eop"/>
          <w:rFonts w:ascii="Times New Roman" w:hAnsi="Times New Roman"/>
          <w:color w:val="000000"/>
          <w:szCs w:val="26"/>
          <w:shd w:val="clear" w:color="auto" w:fill="FFFFFF"/>
        </w:rPr>
        <w:t> </w:t>
      </w:r>
    </w:p>
    <w:p w:rsidRPr="005525B7" w:rsidR="00CB4976" w:rsidRDefault="00CB4976" w14:paraId="17384ACF" w14:textId="257E8356">
      <w:pPr>
        <w:rPr>
          <w:rStyle w:val="eop"/>
          <w:rFonts w:ascii="Times New Roman" w:hAnsi="Times New Roman"/>
          <w:snapToGrid w:val="0"/>
          <w:szCs w:val="26"/>
        </w:rPr>
      </w:pPr>
    </w:p>
    <w:p w:rsidRPr="005525B7" w:rsidR="00CF17DE" w:rsidRDefault="00CF17DE" w14:paraId="37DEE6CF" w14:textId="77777777">
      <w:pPr>
        <w:tabs>
          <w:tab w:val="left" w:pos="720"/>
          <w:tab w:val="left" w:pos="1296"/>
          <w:tab w:val="left" w:pos="2016"/>
          <w:tab w:val="left" w:pos="2736"/>
          <w:tab w:val="left" w:pos="3456"/>
          <w:tab w:val="left" w:pos="4176"/>
          <w:tab w:val="left" w:pos="5760"/>
        </w:tabs>
        <w:rPr>
          <w:rFonts w:ascii="Times New Roman" w:hAnsi="Times New Roman"/>
          <w:szCs w:val="26"/>
        </w:rPr>
      </w:pPr>
      <w:r w:rsidRPr="005525B7">
        <w:rPr>
          <w:rFonts w:ascii="Times New Roman" w:hAnsi="Times New Roman"/>
          <w:szCs w:val="26"/>
        </w:rPr>
        <w:t>This Resolution is effective today.</w:t>
      </w:r>
    </w:p>
    <w:p w:rsidRPr="005525B7" w:rsidR="00CB42C3" w:rsidRDefault="00CB42C3" w14:paraId="7D496AA3"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Pr="005525B7" w:rsidR="00CF17DE" w:rsidRDefault="00CF17DE" w14:paraId="048CEE72" w14:textId="4B1DD8AB">
      <w:pPr>
        <w:rPr>
          <w:rFonts w:ascii="Times New Roman" w:hAnsi="Times New Roman"/>
          <w:snapToGrid w:val="0"/>
          <w:szCs w:val="26"/>
        </w:rPr>
      </w:pPr>
      <w:r w:rsidRPr="005525B7">
        <w:rPr>
          <w:rFonts w:ascii="Times New Roman" w:hAnsi="Times New Roman"/>
          <w:snapToGrid w:val="0"/>
          <w:szCs w:val="26"/>
        </w:rPr>
        <w:t xml:space="preserve">I certify that the foregoing resolution was duly introduced, passed and adopted at a conference of the Public Utilities Commission of the State of California held on </w:t>
      </w:r>
      <w:r w:rsidR="008E4EC6">
        <w:rPr>
          <w:rFonts w:ascii="Times New Roman" w:hAnsi="Times New Roman"/>
          <w:snapToGrid w:val="0"/>
          <w:szCs w:val="26"/>
        </w:rPr>
        <w:t>December 1</w:t>
      </w:r>
      <w:r w:rsidRPr="005525B7" w:rsidR="006D077E">
        <w:rPr>
          <w:rFonts w:ascii="Times New Roman" w:hAnsi="Times New Roman"/>
          <w:snapToGrid w:val="0"/>
          <w:szCs w:val="26"/>
        </w:rPr>
        <w:t>, 2022,</w:t>
      </w:r>
      <w:r w:rsidRPr="005525B7">
        <w:rPr>
          <w:rFonts w:ascii="Times New Roman" w:hAnsi="Times New Roman"/>
          <w:snapToGrid w:val="0"/>
          <w:szCs w:val="26"/>
        </w:rPr>
        <w:t xml:space="preserve"> the following Commissioners voting favorably thereon:</w:t>
      </w:r>
    </w:p>
    <w:p w:rsidRPr="005525B7" w:rsidR="00CF17DE" w:rsidRDefault="00CF17DE" w14:paraId="2DA44F60" w14:textId="77777777">
      <w:pPr>
        <w:tabs>
          <w:tab w:val="left" w:pos="720"/>
          <w:tab w:val="left" w:pos="1152"/>
          <w:tab w:val="left" w:pos="1728"/>
          <w:tab w:val="left" w:pos="3168"/>
          <w:tab w:val="left" w:pos="5040"/>
        </w:tabs>
        <w:ind w:right="144"/>
        <w:rPr>
          <w:rFonts w:ascii="Times New Roman" w:hAnsi="Times New Roman"/>
          <w:szCs w:val="26"/>
        </w:rPr>
      </w:pPr>
    </w:p>
    <w:p w:rsidRPr="005525B7" w:rsidR="00CF17DE" w:rsidRDefault="00CF17DE" w14:paraId="12D741D7" w14:textId="77777777">
      <w:pPr>
        <w:tabs>
          <w:tab w:val="left" w:pos="720"/>
          <w:tab w:val="left" w:pos="1152"/>
          <w:tab w:val="left" w:pos="1728"/>
          <w:tab w:val="left" w:pos="3168"/>
          <w:tab w:val="left" w:pos="5040"/>
        </w:tabs>
        <w:ind w:right="144"/>
        <w:rPr>
          <w:rFonts w:ascii="Times New Roman" w:hAnsi="Times New Roman"/>
          <w:szCs w:val="26"/>
        </w:rPr>
      </w:pPr>
    </w:p>
    <w:p w:rsidRPr="005525B7" w:rsidR="00CF17DE" w:rsidRDefault="00CF17DE" w14:paraId="670582A9" w14:textId="77777777">
      <w:pPr>
        <w:tabs>
          <w:tab w:val="left" w:pos="720"/>
          <w:tab w:val="left" w:pos="1152"/>
          <w:tab w:val="left" w:pos="1728"/>
          <w:tab w:val="left" w:pos="3168"/>
          <w:tab w:val="left" w:pos="5040"/>
        </w:tabs>
        <w:ind w:right="144"/>
        <w:rPr>
          <w:rFonts w:ascii="Times New Roman" w:hAnsi="Times New Roman"/>
          <w:szCs w:val="26"/>
        </w:rPr>
      </w:pPr>
    </w:p>
    <w:p w:rsidRPr="005525B7" w:rsidR="00CF17DE" w:rsidRDefault="00CF17DE" w14:paraId="59727804" w14:textId="7241329E">
      <w:pPr>
        <w:tabs>
          <w:tab w:val="left" w:pos="720"/>
          <w:tab w:val="left" w:pos="1152"/>
          <w:tab w:val="left" w:pos="1728"/>
          <w:tab w:val="left" w:pos="3168"/>
          <w:tab w:val="left" w:pos="5040"/>
        </w:tabs>
        <w:ind w:right="144"/>
        <w:rPr>
          <w:rFonts w:ascii="Times New Roman" w:hAnsi="Times New Roman"/>
          <w:szCs w:val="26"/>
        </w:rPr>
      </w:pP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t>_______________</w:t>
      </w:r>
      <w:r w:rsidRPr="005525B7" w:rsidR="008E6797">
        <w:rPr>
          <w:rFonts w:ascii="Times New Roman" w:hAnsi="Times New Roman"/>
          <w:szCs w:val="26"/>
        </w:rPr>
        <w:t>______</w:t>
      </w:r>
    </w:p>
    <w:p w:rsidRPr="005525B7" w:rsidR="00CF17DE" w:rsidRDefault="00CF17DE" w14:paraId="17731D81" w14:textId="47A3CD0E">
      <w:pPr>
        <w:rPr>
          <w:rFonts w:ascii="Times New Roman" w:hAnsi="Times New Roman"/>
          <w:szCs w:val="26"/>
        </w:rPr>
      </w:pP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sidR="006D077E">
        <w:rPr>
          <w:rFonts w:ascii="Times New Roman" w:hAnsi="Times New Roman"/>
          <w:szCs w:val="26"/>
        </w:rPr>
        <w:tab/>
      </w:r>
      <w:r w:rsidRPr="005525B7" w:rsidR="00FC2DE4">
        <w:rPr>
          <w:rFonts w:ascii="Times New Roman" w:hAnsi="Times New Roman"/>
          <w:szCs w:val="26"/>
        </w:rPr>
        <w:t>Rachel Peterson</w:t>
      </w:r>
    </w:p>
    <w:p w:rsidRPr="005525B7" w:rsidR="00CF17DE" w:rsidRDefault="00CF17DE" w14:paraId="363F8E7E" w14:textId="71FE79DC">
      <w:pPr>
        <w:rPr>
          <w:rFonts w:ascii="Times New Roman" w:hAnsi="Times New Roman"/>
          <w:szCs w:val="26"/>
        </w:rPr>
      </w:pP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Pr>
          <w:rFonts w:ascii="Times New Roman" w:hAnsi="Times New Roman"/>
          <w:szCs w:val="26"/>
        </w:rPr>
        <w:tab/>
      </w:r>
      <w:r w:rsidRPr="005525B7" w:rsidR="006D077E">
        <w:rPr>
          <w:rFonts w:ascii="Times New Roman" w:hAnsi="Times New Roman"/>
          <w:szCs w:val="26"/>
        </w:rPr>
        <w:tab/>
      </w:r>
      <w:r w:rsidRPr="005525B7">
        <w:rPr>
          <w:rFonts w:ascii="Times New Roman" w:hAnsi="Times New Roman"/>
          <w:szCs w:val="26"/>
        </w:rPr>
        <w:t>Executive Director</w:t>
      </w:r>
    </w:p>
    <w:sectPr w:rsidRPr="005525B7" w:rsidR="00CF17DE">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D4AC" w14:textId="77777777" w:rsidR="009C5356" w:rsidRDefault="009C5356">
      <w:r>
        <w:separator/>
      </w:r>
    </w:p>
  </w:endnote>
  <w:endnote w:type="continuationSeparator" w:id="0">
    <w:p w14:paraId="7422D2C6" w14:textId="77777777" w:rsidR="009C5356" w:rsidRDefault="009C5356">
      <w:r>
        <w:continuationSeparator/>
      </w:r>
    </w:p>
  </w:endnote>
  <w:endnote w:type="continuationNotice" w:id="1">
    <w:p w14:paraId="60C6302B" w14:textId="77777777" w:rsidR="009C5356" w:rsidRDefault="009C5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6663"/>
      <w:docPartObj>
        <w:docPartGallery w:val="Page Numbers (Bottom of Page)"/>
        <w:docPartUnique/>
      </w:docPartObj>
    </w:sdtPr>
    <w:sdtEndPr>
      <w:rPr>
        <w:rFonts w:ascii="Times New Roman" w:hAnsi="Times New Roman"/>
        <w:noProof/>
        <w:sz w:val="24"/>
        <w:szCs w:val="24"/>
      </w:rPr>
    </w:sdtEndPr>
    <w:sdtContent>
      <w:p w14:paraId="65B78779" w14:textId="1DE66424" w:rsidR="006D077E" w:rsidRPr="006D077E" w:rsidRDefault="006D077E">
        <w:pPr>
          <w:pStyle w:val="Footer"/>
          <w:rPr>
            <w:rFonts w:ascii="Times New Roman" w:hAnsi="Times New Roman"/>
            <w:sz w:val="24"/>
            <w:szCs w:val="24"/>
          </w:rPr>
        </w:pPr>
        <w:r w:rsidRPr="006D077E">
          <w:rPr>
            <w:rFonts w:ascii="Times New Roman" w:hAnsi="Times New Roman"/>
            <w:sz w:val="24"/>
            <w:szCs w:val="24"/>
          </w:rPr>
          <w:fldChar w:fldCharType="begin"/>
        </w:r>
        <w:r w:rsidRPr="006D077E">
          <w:rPr>
            <w:rFonts w:ascii="Times New Roman" w:hAnsi="Times New Roman"/>
            <w:sz w:val="24"/>
            <w:szCs w:val="24"/>
          </w:rPr>
          <w:instrText xml:space="preserve"> PAGE   \* MERGEFORMAT </w:instrText>
        </w:r>
        <w:r w:rsidRPr="006D077E">
          <w:rPr>
            <w:rFonts w:ascii="Times New Roman" w:hAnsi="Times New Roman"/>
            <w:sz w:val="24"/>
            <w:szCs w:val="24"/>
          </w:rPr>
          <w:fldChar w:fldCharType="separate"/>
        </w:r>
        <w:r w:rsidRPr="006D077E">
          <w:rPr>
            <w:rFonts w:ascii="Times New Roman" w:hAnsi="Times New Roman"/>
            <w:noProof/>
            <w:sz w:val="24"/>
            <w:szCs w:val="24"/>
          </w:rPr>
          <w:t>2</w:t>
        </w:r>
        <w:r w:rsidRPr="006D077E">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6F31" w14:textId="208468F5" w:rsidR="007965A2" w:rsidRPr="007965A2" w:rsidRDefault="00C94C97" w:rsidP="007965A2">
    <w:pPr>
      <w:pStyle w:val="Footer"/>
      <w:jc w:val="left"/>
      <w:rPr>
        <w:rFonts w:ascii="Times New Roman" w:hAnsi="Times New Roman"/>
        <w:sz w:val="24"/>
        <w:szCs w:val="24"/>
      </w:rPr>
    </w:pPr>
    <w:r w:rsidRPr="00C94C97">
      <w:rPr>
        <w:rFonts w:ascii="Times New Roman" w:hAnsi="Times New Roman"/>
        <w:sz w:val="18"/>
        <w:szCs w:val="18"/>
      </w:rPr>
      <w:t>498998920</w:t>
    </w:r>
    <w:r w:rsidR="007965A2">
      <w:rPr>
        <w:rFonts w:ascii="Times New Roman" w:hAnsi="Times New Roman"/>
        <w:sz w:val="18"/>
        <w:szCs w:val="18"/>
      </w:rPr>
      <w:tab/>
    </w:r>
    <w:r w:rsidR="007965A2" w:rsidRPr="007965A2">
      <w:rPr>
        <w:rFonts w:ascii="Times New Roman" w:hAnsi="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177C" w14:textId="77777777" w:rsidR="009C5356" w:rsidRDefault="009C5356">
      <w:r>
        <w:separator/>
      </w:r>
    </w:p>
  </w:footnote>
  <w:footnote w:type="continuationSeparator" w:id="0">
    <w:p w14:paraId="0342CEAB" w14:textId="77777777" w:rsidR="009C5356" w:rsidRDefault="009C5356">
      <w:r>
        <w:continuationSeparator/>
      </w:r>
    </w:p>
  </w:footnote>
  <w:footnote w:type="continuationNotice" w:id="1">
    <w:p w14:paraId="3D1F366B" w14:textId="77777777" w:rsidR="009C5356" w:rsidRDefault="009C5356">
      <w:pPr>
        <w:rPr>
          <w:sz w:val="22"/>
        </w:rPr>
      </w:pPr>
    </w:p>
    <w:p w14:paraId="7177844E" w14:textId="77777777" w:rsidR="009C5356" w:rsidRDefault="009C5356">
      <w:pPr>
        <w:jc w:val="right"/>
        <w:rPr>
          <w:sz w:val="22"/>
        </w:rPr>
      </w:pPr>
      <w:r>
        <w:rPr>
          <w:i/>
          <w:sz w:val="22"/>
        </w:rPr>
        <w:t>Footnote continued on next page</w:t>
      </w:r>
    </w:p>
  </w:footnote>
  <w:footnote w:id="2">
    <w:p w14:paraId="13376BF2" w14:textId="2AA06D47" w:rsidR="002C363E" w:rsidRPr="006D077E" w:rsidRDefault="002C363E"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The Wildfire Safety Division (WSD) transitioned to the Office of Energy Infrastructure Safety within the California Natural Resources Agency on July 1, 2021. </w:t>
      </w:r>
    </w:p>
  </w:footnote>
  <w:footnote w:id="3">
    <w:p w14:paraId="32EE13E8" w14:textId="2D2616B6" w:rsidR="009163B9" w:rsidRPr="006D077E" w:rsidRDefault="009163B9"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b/>
          <w:bCs/>
          <w:szCs w:val="24"/>
          <w:u w:val="single"/>
        </w:rPr>
        <w:footnoteRef/>
      </w:r>
      <w:r w:rsidRPr="006D077E">
        <w:rPr>
          <w:rFonts w:ascii="Times New Roman" w:hAnsi="Times New Roman"/>
          <w:szCs w:val="24"/>
        </w:rPr>
        <w:t xml:space="preserve"> The EOE Process supplements the Commission’s existing enforcement authority.</w:t>
      </w:r>
      <w:r w:rsidR="00DF7EDD" w:rsidRPr="006D077E">
        <w:rPr>
          <w:rFonts w:ascii="Times New Roman" w:hAnsi="Times New Roman"/>
          <w:szCs w:val="24"/>
        </w:rPr>
        <w:t xml:space="preserve"> </w:t>
      </w:r>
      <w:r w:rsidR="0034660C" w:rsidRPr="006D077E">
        <w:rPr>
          <w:rFonts w:ascii="Times New Roman" w:hAnsi="Times New Roman"/>
          <w:szCs w:val="24"/>
        </w:rPr>
        <w:t>It</w:t>
      </w:r>
      <w:r w:rsidR="00F67B68" w:rsidRPr="006D077E">
        <w:rPr>
          <w:rFonts w:ascii="Times New Roman" w:hAnsi="Times New Roman"/>
          <w:szCs w:val="24"/>
        </w:rPr>
        <w:t xml:space="preserve"> specifies increasing severe consequences</w:t>
      </w:r>
      <w:r w:rsidR="00964DD0" w:rsidRPr="006D077E">
        <w:rPr>
          <w:rFonts w:ascii="Times New Roman" w:hAnsi="Times New Roman"/>
          <w:szCs w:val="24"/>
        </w:rPr>
        <w:t xml:space="preserve"> </w:t>
      </w:r>
      <w:r w:rsidR="00DA5BC0" w:rsidRPr="006D077E">
        <w:rPr>
          <w:rFonts w:ascii="Times New Roman" w:hAnsi="Times New Roman"/>
          <w:szCs w:val="24"/>
        </w:rPr>
        <w:t xml:space="preserve">for safety-related triggering events </w:t>
      </w:r>
      <w:r w:rsidR="00964DD0" w:rsidRPr="006D077E">
        <w:rPr>
          <w:rFonts w:ascii="Times New Roman" w:hAnsi="Times New Roman"/>
          <w:szCs w:val="24"/>
        </w:rPr>
        <w:t xml:space="preserve">in a series of </w:t>
      </w:r>
      <w:r w:rsidR="00FB41B1" w:rsidRPr="006D077E">
        <w:rPr>
          <w:rFonts w:ascii="Times New Roman" w:hAnsi="Times New Roman"/>
          <w:szCs w:val="24"/>
        </w:rPr>
        <w:t>six</w:t>
      </w:r>
      <w:r w:rsidR="00DF7EDD" w:rsidRPr="006D077E">
        <w:rPr>
          <w:rFonts w:ascii="Times New Roman" w:hAnsi="Times New Roman"/>
          <w:szCs w:val="24"/>
        </w:rPr>
        <w:t xml:space="preserve"> steps</w:t>
      </w:r>
      <w:r w:rsidR="00964DD0" w:rsidRPr="006D077E">
        <w:rPr>
          <w:rFonts w:ascii="Times New Roman" w:hAnsi="Times New Roman"/>
          <w:szCs w:val="24"/>
        </w:rPr>
        <w:t>,</w:t>
      </w:r>
      <w:r w:rsidR="00DF7EDD" w:rsidRPr="006D077E">
        <w:rPr>
          <w:rFonts w:ascii="Times New Roman" w:hAnsi="Times New Roman"/>
          <w:szCs w:val="24"/>
        </w:rPr>
        <w:t xml:space="preserve"> rang</w:t>
      </w:r>
      <w:r w:rsidR="000A1C43" w:rsidRPr="006D077E">
        <w:rPr>
          <w:rFonts w:ascii="Times New Roman" w:hAnsi="Times New Roman"/>
          <w:szCs w:val="24"/>
        </w:rPr>
        <w:t>ing</w:t>
      </w:r>
      <w:r w:rsidR="00DF7EDD" w:rsidRPr="006D077E">
        <w:rPr>
          <w:rFonts w:ascii="Times New Roman" w:hAnsi="Times New Roman"/>
          <w:szCs w:val="24"/>
        </w:rPr>
        <w:t xml:space="preserve"> from Step 1, which contains enhanced reporting and oversight requirements, to Step 6, involving the potential revocation of PG&amp;E’s ability to operate as a California electric utility. </w:t>
      </w:r>
      <w:r w:rsidR="005D03E7" w:rsidRPr="006D077E">
        <w:rPr>
          <w:rFonts w:ascii="Times New Roman" w:hAnsi="Times New Roman"/>
          <w:szCs w:val="24"/>
        </w:rPr>
        <w:t>Resolution M-4852, at 1.</w:t>
      </w:r>
    </w:p>
  </w:footnote>
  <w:footnote w:id="4">
    <w:p w14:paraId="438D71D3" w14:textId="4DB6E19D" w:rsidR="00963917" w:rsidRPr="006D077E" w:rsidRDefault="00963917"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b/>
          <w:bCs/>
          <w:szCs w:val="24"/>
          <w:u w:val="single"/>
        </w:rPr>
        <w:footnoteRef/>
      </w:r>
      <w:r w:rsidRPr="006D077E">
        <w:rPr>
          <w:rFonts w:ascii="Times New Roman" w:hAnsi="Times New Roman"/>
          <w:szCs w:val="24"/>
        </w:rPr>
        <w:t xml:space="preserve"> D.20-05-019 adopted a settlement agreement among PG&amp;E, the Safety and Enforcement Division and other parties which required several actions by PG&amp;E with regard to its vegetation management, including 1) a Tree Crew Training and Certificate Program; 2) a Pre-Inspector Training and Certificate Program; 3) a Vegetation Management Oversight Pilot; 4) Semi-Annual Wildfire Mitigation Meetings among PG&amp;E and local government planning, public works, emergency services, and fire leadership to exchange feedback and information regarding ongoing wildfire safety activities; 5) Independent Wildfire Safety Audits; 6) Quarterly Reports on Electric Maintenance Work; 7) Fuel Reduction Funding; 8) Local Government Vegetation Management Data Sharing</w:t>
      </w:r>
      <w:r w:rsidR="00281CDB" w:rsidRPr="006D077E">
        <w:rPr>
          <w:rFonts w:ascii="Times New Roman" w:hAnsi="Times New Roman"/>
          <w:szCs w:val="24"/>
        </w:rPr>
        <w:t>;</w:t>
      </w:r>
      <w:r w:rsidRPr="006D077E">
        <w:rPr>
          <w:rFonts w:ascii="Times New Roman" w:hAnsi="Times New Roman"/>
          <w:szCs w:val="24"/>
        </w:rPr>
        <w:t xml:space="preserve"> and 9) a PG&amp;E shareholder-funded Independent Study of PG&amp;E’s Distribution and Transmission System.</w:t>
      </w:r>
    </w:p>
  </w:footnote>
  <w:footnote w:id="5">
    <w:p w14:paraId="2AAD23B6" w14:textId="4B05AA2F" w:rsidR="008A1310" w:rsidRPr="006D077E" w:rsidRDefault="008A1310"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b/>
          <w:bCs/>
          <w:szCs w:val="24"/>
          <w:u w:val="single"/>
        </w:rPr>
        <w:footnoteRef/>
      </w:r>
      <w:r w:rsidR="004F2E55" w:rsidRPr="006D077E">
        <w:rPr>
          <w:rFonts w:ascii="Times New Roman" w:hAnsi="Times New Roman"/>
          <w:szCs w:val="24"/>
        </w:rPr>
        <w:t xml:space="preserve"> The letter also noted that </w:t>
      </w:r>
      <w:r w:rsidR="00FF7D61" w:rsidRPr="006D077E">
        <w:rPr>
          <w:rFonts w:ascii="Times New Roman" w:hAnsi="Times New Roman"/>
          <w:szCs w:val="24"/>
        </w:rPr>
        <w:t xml:space="preserve">work remained to be done and </w:t>
      </w:r>
      <w:r w:rsidR="00C8184A" w:rsidRPr="006D077E">
        <w:rPr>
          <w:rFonts w:ascii="Times New Roman" w:hAnsi="Times New Roman"/>
          <w:szCs w:val="24"/>
        </w:rPr>
        <w:t>PG&amp;E must continue to make progress against the 1,800</w:t>
      </w:r>
      <w:r w:rsidR="00E20518" w:rsidRPr="006D077E">
        <w:rPr>
          <w:rFonts w:ascii="Times New Roman" w:hAnsi="Times New Roman"/>
          <w:szCs w:val="24"/>
        </w:rPr>
        <w:t xml:space="preserve">-mile target </w:t>
      </w:r>
      <w:r w:rsidR="00E6382A" w:rsidRPr="006D077E">
        <w:rPr>
          <w:rFonts w:ascii="Times New Roman" w:hAnsi="Times New Roman"/>
          <w:szCs w:val="24"/>
        </w:rPr>
        <w:t xml:space="preserve">PG&amp;E had </w:t>
      </w:r>
      <w:r w:rsidR="00974021" w:rsidRPr="006D077E">
        <w:rPr>
          <w:rFonts w:ascii="Times New Roman" w:hAnsi="Times New Roman"/>
          <w:szCs w:val="24"/>
        </w:rPr>
        <w:t xml:space="preserve">set for December 31, 2021. </w:t>
      </w:r>
      <w:r w:rsidR="00CF10AB" w:rsidRPr="006D077E">
        <w:rPr>
          <w:rFonts w:ascii="Times New Roman" w:hAnsi="Times New Roman"/>
          <w:szCs w:val="24"/>
        </w:rPr>
        <w:t xml:space="preserve"> </w:t>
      </w:r>
      <w:r w:rsidR="00A46592" w:rsidRPr="006D077E">
        <w:rPr>
          <w:rFonts w:ascii="Times New Roman" w:hAnsi="Times New Roman"/>
          <w:color w:val="000000"/>
          <w:szCs w:val="24"/>
          <w:shd w:val="clear" w:color="auto" w:fill="FFFFFF"/>
        </w:rPr>
        <w:t>Executive Director's Letter to PG&amp;E re: Corrective Action Plan</w:t>
      </w:r>
      <w:r w:rsidR="003C1DEF" w:rsidRPr="006D077E">
        <w:rPr>
          <w:rFonts w:ascii="Times New Roman" w:hAnsi="Times New Roman"/>
          <w:color w:val="000000"/>
          <w:szCs w:val="24"/>
          <w:shd w:val="clear" w:color="auto" w:fill="FFFFFF"/>
        </w:rPr>
        <w:t>, November 1, 2021</w:t>
      </w:r>
      <w:r w:rsidR="00DD1103" w:rsidRPr="006D077E">
        <w:rPr>
          <w:rFonts w:ascii="Times New Roman" w:hAnsi="Times New Roman"/>
          <w:color w:val="000000"/>
          <w:szCs w:val="24"/>
          <w:shd w:val="clear" w:color="auto" w:fill="FFFFFF"/>
        </w:rPr>
        <w:t>,</w:t>
      </w:r>
      <w:r w:rsidR="002C113C" w:rsidRPr="006D077E">
        <w:rPr>
          <w:rFonts w:ascii="Times New Roman" w:hAnsi="Times New Roman"/>
          <w:color w:val="000000"/>
          <w:szCs w:val="24"/>
          <w:shd w:val="clear" w:color="auto" w:fill="FFFFFF"/>
        </w:rPr>
        <w:t xml:space="preserve"> available at: </w:t>
      </w:r>
      <w:hyperlink r:id="rId1" w:history="1">
        <w:r w:rsidR="00E45050" w:rsidRPr="006D077E">
          <w:rPr>
            <w:rStyle w:val="Hyperlink"/>
            <w:rFonts w:ascii="Times New Roman" w:hAnsi="Times New Roman"/>
            <w:szCs w:val="24"/>
          </w:rPr>
          <w:t>Enhanced Oversight and Enforcement of PG&amp;E (ca.gov)</w:t>
        </w:r>
      </w:hyperlink>
      <w:r w:rsidR="00DD785C" w:rsidRPr="006D077E">
        <w:rPr>
          <w:rFonts w:ascii="Times New Roman" w:hAnsi="Times New Roman"/>
          <w:szCs w:val="24"/>
        </w:rPr>
        <w:t>.</w:t>
      </w:r>
    </w:p>
  </w:footnote>
  <w:footnote w:id="6">
    <w:p w14:paraId="08304021" w14:textId="206D9E35" w:rsidR="00C4145E" w:rsidRPr="006D077E" w:rsidRDefault="00C4145E"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Reso</w:t>
      </w:r>
      <w:r w:rsidR="00DA4F67" w:rsidRPr="006D077E">
        <w:rPr>
          <w:rFonts w:ascii="Times New Roman" w:hAnsi="Times New Roman"/>
          <w:szCs w:val="24"/>
        </w:rPr>
        <w:t>lution</w:t>
      </w:r>
      <w:r w:rsidRPr="006D077E">
        <w:rPr>
          <w:rFonts w:ascii="Times New Roman" w:hAnsi="Times New Roman"/>
          <w:szCs w:val="24"/>
        </w:rPr>
        <w:t xml:space="preserve"> M-4852 at 5</w:t>
      </w:r>
      <w:r w:rsidR="008C35CD" w:rsidRPr="006D077E">
        <w:rPr>
          <w:rFonts w:ascii="Times New Roman" w:hAnsi="Times New Roman"/>
        </w:rPr>
        <w:t xml:space="preserve">, available at </w:t>
      </w:r>
      <w:hyperlink r:id="rId2" w:history="1">
        <w:r w:rsidR="001A5EAA" w:rsidRPr="006D077E">
          <w:rPr>
            <w:rStyle w:val="Hyperlink"/>
            <w:rFonts w:ascii="Times New Roman" w:hAnsi="Times New Roman"/>
          </w:rPr>
          <w:t>Enhanced Oversight and Enforcement of PG&amp;E (ca.gov)</w:t>
        </w:r>
      </w:hyperlink>
      <w:r w:rsidRPr="006D077E">
        <w:rPr>
          <w:rFonts w:ascii="Times New Roman" w:hAnsi="Times New Roman"/>
          <w:szCs w:val="24"/>
        </w:rPr>
        <w:t>; D.20-05-053, Appendix A</w:t>
      </w:r>
      <w:r w:rsidR="00CC41E1" w:rsidRPr="006D077E">
        <w:rPr>
          <w:rFonts w:ascii="Times New Roman" w:hAnsi="Times New Roman"/>
          <w:szCs w:val="24"/>
        </w:rPr>
        <w:t>,</w:t>
      </w:r>
      <w:r w:rsidRPr="006D077E">
        <w:rPr>
          <w:rFonts w:ascii="Times New Roman" w:hAnsi="Times New Roman"/>
          <w:szCs w:val="24"/>
        </w:rPr>
        <w:t xml:space="preserve"> at 2</w:t>
      </w:r>
      <w:r w:rsidR="001A5EAA" w:rsidRPr="006D077E">
        <w:rPr>
          <w:rFonts w:ascii="Times New Roman" w:hAnsi="Times New Roman"/>
          <w:szCs w:val="24"/>
        </w:rPr>
        <w:t xml:space="preserve">, </w:t>
      </w:r>
      <w:r w:rsidR="00143C2C" w:rsidRPr="006D077E">
        <w:rPr>
          <w:rFonts w:ascii="Times New Roman" w:hAnsi="Times New Roman"/>
        </w:rPr>
        <w:t xml:space="preserve">available at </w:t>
      </w:r>
      <w:hyperlink r:id="rId3" w:history="1">
        <w:r w:rsidR="00143C2C" w:rsidRPr="006D077E">
          <w:rPr>
            <w:rStyle w:val="Hyperlink"/>
            <w:rFonts w:ascii="Times New Roman" w:hAnsi="Times New Roman"/>
          </w:rPr>
          <w:t>Enhanced Oversight and Enforcement of PG&amp;E (ca.gov)</w:t>
        </w:r>
      </w:hyperlink>
      <w:r w:rsidRPr="006D077E">
        <w:rPr>
          <w:rFonts w:ascii="Times New Roman" w:hAnsi="Times New Roman"/>
          <w:szCs w:val="24"/>
        </w:rPr>
        <w:t>.</w:t>
      </w:r>
    </w:p>
  </w:footnote>
  <w:footnote w:id="7">
    <w:p w14:paraId="2F450E35" w14:textId="7D901F91" w:rsidR="00D52D01" w:rsidRPr="006D077E" w:rsidRDefault="00D52D01"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szCs w:val="24"/>
        </w:rPr>
        <w:footnoteRef/>
      </w:r>
      <w:r w:rsidRPr="006D077E">
        <w:rPr>
          <w:rFonts w:ascii="Times New Roman" w:hAnsi="Times New Roman"/>
          <w:szCs w:val="24"/>
        </w:rPr>
        <w:t xml:space="preserve"> </w:t>
      </w:r>
      <w:hyperlink r:id="rId4" w:history="1">
        <w:r w:rsidR="00E5782F" w:rsidRPr="006D077E">
          <w:rPr>
            <w:rStyle w:val="Hyperlink"/>
            <w:rFonts w:ascii="Times New Roman" w:hAnsi="Times New Roman"/>
            <w:szCs w:val="24"/>
          </w:rPr>
          <w:t xml:space="preserve">PG&amp;E Revised 2022 WMP, July 26, </w:t>
        </w:r>
        <w:r w:rsidR="00E5782F" w:rsidRPr="006D077E" w:rsidDel="00AB0E3D">
          <w:rPr>
            <w:rStyle w:val="Hyperlink"/>
            <w:rFonts w:ascii="Times New Roman" w:hAnsi="Times New Roman"/>
            <w:szCs w:val="24"/>
          </w:rPr>
          <w:t>2022</w:t>
        </w:r>
      </w:hyperlink>
      <w:r w:rsidRPr="006D077E">
        <w:rPr>
          <w:rFonts w:ascii="Times New Roman" w:hAnsi="Times New Roman"/>
          <w:szCs w:val="24"/>
          <w:lang w:val="en-ZW"/>
        </w:rPr>
        <w:t xml:space="preserve">, </w:t>
      </w:r>
      <w:r w:rsidR="00AE03CD" w:rsidRPr="006D077E">
        <w:rPr>
          <w:rFonts w:ascii="Times New Roman" w:hAnsi="Times New Roman"/>
          <w:szCs w:val="24"/>
          <w:lang w:val="en-ZW"/>
        </w:rPr>
        <w:t xml:space="preserve">at </w:t>
      </w:r>
      <w:r w:rsidR="007767FA" w:rsidRPr="006D077E">
        <w:rPr>
          <w:rFonts w:ascii="Times New Roman" w:hAnsi="Times New Roman"/>
          <w:szCs w:val="24"/>
          <w:lang w:val="en-ZW"/>
        </w:rPr>
        <w:t>101</w:t>
      </w:r>
      <w:r w:rsidRPr="006D077E">
        <w:rPr>
          <w:rFonts w:ascii="Times New Roman" w:hAnsi="Times New Roman"/>
          <w:szCs w:val="24"/>
          <w:lang w:val="en-ZW"/>
        </w:rPr>
        <w:t>.</w:t>
      </w:r>
    </w:p>
  </w:footnote>
  <w:footnote w:id="8">
    <w:p w14:paraId="731761E6" w14:textId="5E09D41F" w:rsidR="00627E0F" w:rsidRPr="006D077E" w:rsidRDefault="00627E0F"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szCs w:val="24"/>
        </w:rPr>
        <w:footnoteRef/>
      </w:r>
      <w:r w:rsidRPr="006D077E">
        <w:rPr>
          <w:rFonts w:ascii="Times New Roman" w:hAnsi="Times New Roman"/>
          <w:szCs w:val="24"/>
        </w:rPr>
        <w:t xml:space="preserve"> </w:t>
      </w:r>
      <w:hyperlink r:id="rId5" w:history="1">
        <w:r w:rsidR="0026447A" w:rsidRPr="006D077E">
          <w:rPr>
            <w:rStyle w:val="Hyperlink"/>
            <w:rFonts w:ascii="Times New Roman" w:hAnsi="Times New Roman"/>
            <w:szCs w:val="24"/>
          </w:rPr>
          <w:t xml:space="preserve">PG&amp;E </w:t>
        </w:r>
        <w:r w:rsidR="008B5B8B" w:rsidRPr="006D077E">
          <w:rPr>
            <w:rStyle w:val="Hyperlink"/>
            <w:rFonts w:ascii="Times New Roman" w:hAnsi="Times New Roman"/>
            <w:szCs w:val="24"/>
          </w:rPr>
          <w:t xml:space="preserve">Revised </w:t>
        </w:r>
        <w:r w:rsidR="0026447A" w:rsidRPr="006D077E">
          <w:rPr>
            <w:rStyle w:val="Hyperlink"/>
            <w:rFonts w:ascii="Times New Roman" w:hAnsi="Times New Roman"/>
            <w:szCs w:val="24"/>
          </w:rPr>
          <w:t xml:space="preserve">2022 WMP, </w:t>
        </w:r>
        <w:r w:rsidR="0046770C" w:rsidRPr="006D077E">
          <w:rPr>
            <w:rStyle w:val="Hyperlink"/>
            <w:rFonts w:ascii="Times New Roman" w:hAnsi="Times New Roman"/>
            <w:szCs w:val="24"/>
          </w:rPr>
          <w:t xml:space="preserve">July 26, </w:t>
        </w:r>
        <w:r w:rsidR="007C0786" w:rsidRPr="006D077E" w:rsidDel="00AB0E3D">
          <w:rPr>
            <w:rStyle w:val="Hyperlink"/>
            <w:rFonts w:ascii="Times New Roman" w:hAnsi="Times New Roman"/>
            <w:szCs w:val="24"/>
          </w:rPr>
          <w:t>2022</w:t>
        </w:r>
      </w:hyperlink>
      <w:r w:rsidR="00CF10AB" w:rsidRPr="006D077E">
        <w:rPr>
          <w:rStyle w:val="Hyperlink"/>
          <w:rFonts w:ascii="Times New Roman" w:hAnsi="Times New Roman"/>
          <w:szCs w:val="24"/>
        </w:rPr>
        <w:t>, at Section 7.3.5</w:t>
      </w:r>
      <w:r w:rsidR="00F72E57" w:rsidRPr="006D077E">
        <w:rPr>
          <w:rFonts w:ascii="Times New Roman" w:hAnsi="Times New Roman"/>
          <w:szCs w:val="24"/>
        </w:rPr>
        <w:t>.</w:t>
      </w:r>
    </w:p>
  </w:footnote>
  <w:footnote w:id="9">
    <w:p w14:paraId="7450CD28" w14:textId="42AEAF6F" w:rsidR="00590F59" w:rsidRPr="006D077E" w:rsidRDefault="00590F59"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szCs w:val="24"/>
        </w:rPr>
        <w:footnoteRef/>
      </w:r>
      <w:r w:rsidRPr="006D077E">
        <w:rPr>
          <w:rFonts w:ascii="Times New Roman" w:hAnsi="Times New Roman"/>
          <w:szCs w:val="24"/>
        </w:rPr>
        <w:t xml:space="preserve"> </w:t>
      </w:r>
      <w:r w:rsidR="00D77071" w:rsidRPr="006D077E">
        <w:rPr>
          <w:rFonts w:ascii="Times New Roman" w:hAnsi="Times New Roman"/>
          <w:szCs w:val="24"/>
          <w:lang w:val="en-ZW"/>
        </w:rPr>
        <w:t>PG&amp;E</w:t>
      </w:r>
      <w:r w:rsidR="002D6950" w:rsidRPr="006D077E">
        <w:rPr>
          <w:rFonts w:ascii="Times New Roman" w:hAnsi="Times New Roman"/>
          <w:szCs w:val="24"/>
          <w:lang w:val="en-ZW"/>
        </w:rPr>
        <w:t>,</w:t>
      </w:r>
      <w:r w:rsidR="00D77071" w:rsidRPr="006D077E">
        <w:rPr>
          <w:rFonts w:ascii="Times New Roman" w:hAnsi="Times New Roman"/>
          <w:szCs w:val="24"/>
          <w:lang w:val="en-ZW"/>
        </w:rPr>
        <w:t xml:space="preserve"> 2021 </w:t>
      </w:r>
      <w:r w:rsidR="00F93F2F" w:rsidRPr="006D077E">
        <w:rPr>
          <w:rFonts w:ascii="Times New Roman" w:hAnsi="Times New Roman"/>
          <w:szCs w:val="24"/>
          <w:lang w:val="en-ZW"/>
        </w:rPr>
        <w:t>Wildfire Mitigation Plan</w:t>
      </w:r>
      <w:r w:rsidR="0066675E" w:rsidRPr="006D077E">
        <w:rPr>
          <w:rFonts w:ascii="Times New Roman" w:hAnsi="Times New Roman"/>
          <w:szCs w:val="24"/>
          <w:lang w:val="en-ZW"/>
        </w:rPr>
        <w:t xml:space="preserve"> - Revised</w:t>
      </w:r>
      <w:r w:rsidR="00D77071" w:rsidRPr="006D077E">
        <w:rPr>
          <w:rFonts w:ascii="Times New Roman" w:hAnsi="Times New Roman"/>
          <w:szCs w:val="24"/>
          <w:lang w:val="en-ZW"/>
        </w:rPr>
        <w:t>,</w:t>
      </w:r>
      <w:r w:rsidR="008B224E" w:rsidRPr="006D077E">
        <w:rPr>
          <w:rFonts w:ascii="Times New Roman" w:hAnsi="Times New Roman"/>
          <w:szCs w:val="24"/>
          <w:lang w:val="en-ZW"/>
        </w:rPr>
        <w:t xml:space="preserve"> </w:t>
      </w:r>
      <w:r w:rsidR="007C0786" w:rsidRPr="006D077E">
        <w:rPr>
          <w:rFonts w:ascii="Times New Roman" w:hAnsi="Times New Roman"/>
          <w:szCs w:val="24"/>
          <w:lang w:val="en-ZW"/>
        </w:rPr>
        <w:t>June 3,</w:t>
      </w:r>
      <w:r w:rsidR="00E07A9B" w:rsidRPr="006D077E">
        <w:rPr>
          <w:rFonts w:ascii="Times New Roman" w:hAnsi="Times New Roman"/>
          <w:szCs w:val="24"/>
          <w:lang w:val="en-ZW"/>
        </w:rPr>
        <w:t xml:space="preserve"> </w:t>
      </w:r>
      <w:r w:rsidR="007C0786" w:rsidRPr="006D077E">
        <w:rPr>
          <w:rFonts w:ascii="Times New Roman" w:hAnsi="Times New Roman"/>
          <w:szCs w:val="24"/>
          <w:lang w:val="en-ZW"/>
        </w:rPr>
        <w:t>2021</w:t>
      </w:r>
      <w:r w:rsidR="008B224E" w:rsidRPr="006D077E">
        <w:rPr>
          <w:rFonts w:ascii="Times New Roman" w:hAnsi="Times New Roman"/>
          <w:szCs w:val="24"/>
          <w:lang w:val="en-ZW"/>
        </w:rPr>
        <w:t>,</w:t>
      </w:r>
      <w:r w:rsidR="00D77071" w:rsidRPr="006D077E">
        <w:rPr>
          <w:rFonts w:ascii="Times New Roman" w:hAnsi="Times New Roman"/>
          <w:szCs w:val="24"/>
          <w:lang w:val="en-ZW"/>
        </w:rPr>
        <w:t xml:space="preserve"> </w:t>
      </w:r>
      <w:r w:rsidR="00822FC4" w:rsidRPr="006D077E">
        <w:rPr>
          <w:rFonts w:ascii="Times New Roman" w:hAnsi="Times New Roman"/>
          <w:szCs w:val="24"/>
          <w:lang w:val="en-ZW"/>
        </w:rPr>
        <w:t>Table</w:t>
      </w:r>
      <w:r w:rsidR="00822FC4" w:rsidRPr="006D077E">
        <w:rPr>
          <w:rFonts w:ascii="Times New Roman" w:hAnsi="Times New Roman"/>
          <w:szCs w:val="24"/>
        </w:rPr>
        <w:t xml:space="preserve"> PG&amp;E-5.2</w:t>
      </w:r>
      <w:r w:rsidR="00ED3B4E" w:rsidRPr="006D077E">
        <w:rPr>
          <w:rFonts w:ascii="Times New Roman" w:hAnsi="Times New Roman"/>
          <w:szCs w:val="24"/>
        </w:rPr>
        <w:t>.</w:t>
      </w:r>
      <w:r w:rsidR="00822FC4" w:rsidRPr="006D077E">
        <w:rPr>
          <w:rFonts w:ascii="Times New Roman" w:hAnsi="Times New Roman"/>
          <w:szCs w:val="24"/>
        </w:rPr>
        <w:t>1</w:t>
      </w:r>
      <w:r w:rsidR="006D58A6" w:rsidRPr="006D077E">
        <w:rPr>
          <w:rFonts w:ascii="Times New Roman" w:hAnsi="Times New Roman"/>
          <w:szCs w:val="24"/>
        </w:rPr>
        <w:t>,</w:t>
      </w:r>
      <w:r w:rsidR="00D77071" w:rsidRPr="006D077E">
        <w:rPr>
          <w:rFonts w:ascii="Times New Roman" w:hAnsi="Times New Roman"/>
          <w:szCs w:val="24"/>
          <w:lang w:val="en-ZW"/>
        </w:rPr>
        <w:t xml:space="preserve"> </w:t>
      </w:r>
      <w:r w:rsidR="00A85B6D" w:rsidRPr="006D077E">
        <w:rPr>
          <w:rFonts w:ascii="Times New Roman" w:hAnsi="Times New Roman"/>
          <w:szCs w:val="24"/>
          <w:lang w:val="en-ZW"/>
        </w:rPr>
        <w:t xml:space="preserve">at </w:t>
      </w:r>
      <w:r w:rsidR="00D77071" w:rsidRPr="006D077E">
        <w:rPr>
          <w:rFonts w:ascii="Times New Roman" w:hAnsi="Times New Roman"/>
          <w:szCs w:val="24"/>
          <w:lang w:val="en-ZW"/>
        </w:rPr>
        <w:t>263</w:t>
      </w:r>
      <w:r w:rsidR="00F41EFB" w:rsidRPr="006D077E">
        <w:rPr>
          <w:rFonts w:ascii="Times New Roman" w:hAnsi="Times New Roman"/>
          <w:szCs w:val="24"/>
          <w:lang w:val="en-ZW"/>
        </w:rPr>
        <w:t xml:space="preserve">, available at </w:t>
      </w:r>
      <w:hyperlink r:id="rId6" w:history="1">
        <w:r w:rsidR="00F41EFB" w:rsidRPr="006D077E">
          <w:rPr>
            <w:rStyle w:val="Hyperlink"/>
            <w:rFonts w:ascii="Times New Roman" w:hAnsi="Times New Roman"/>
          </w:rPr>
          <w:t>2021-Wildfire-Safety-Plan-Revised-060321.pdf (pge.com)</w:t>
        </w:r>
      </w:hyperlink>
      <w:r w:rsidR="00D77071" w:rsidRPr="006D077E">
        <w:rPr>
          <w:rFonts w:ascii="Times New Roman" w:hAnsi="Times New Roman"/>
          <w:szCs w:val="24"/>
          <w:lang w:val="en-ZW"/>
        </w:rPr>
        <w:t>.</w:t>
      </w:r>
      <w:r w:rsidR="00C27C60" w:rsidRPr="006D077E">
        <w:rPr>
          <w:rFonts w:ascii="Times New Roman" w:hAnsi="Times New Roman"/>
          <w:szCs w:val="24"/>
          <w:lang w:val="en-ZW"/>
        </w:rPr>
        <w:t xml:space="preserve">  </w:t>
      </w:r>
    </w:p>
  </w:footnote>
  <w:footnote w:id="10">
    <w:p w14:paraId="66472793" w14:textId="4F71759B" w:rsidR="008B2E57" w:rsidRPr="006D077E" w:rsidRDefault="008B2E57" w:rsidP="006D077E">
      <w:pPr>
        <w:pStyle w:val="FootnoteText"/>
        <w:numPr>
          <w:ilvl w:val="0"/>
          <w:numId w:val="0"/>
        </w:numPr>
        <w:spacing w:after="120" w:line="240" w:lineRule="exact"/>
        <w:rPr>
          <w:rFonts w:ascii="Times New Roman" w:hAnsi="Times New Roman"/>
          <w:szCs w:val="24"/>
        </w:rPr>
      </w:pPr>
      <w:r w:rsidRPr="006D077E">
        <w:rPr>
          <w:rStyle w:val="FootnoteReference"/>
          <w:rFonts w:ascii="Times New Roman" w:hAnsi="Times New Roman"/>
          <w:szCs w:val="24"/>
        </w:rPr>
        <w:footnoteRef/>
      </w:r>
      <w:r w:rsidR="009446B5" w:rsidRPr="006D077E">
        <w:rPr>
          <w:rFonts w:ascii="Times New Roman" w:hAnsi="Times New Roman"/>
          <w:szCs w:val="24"/>
        </w:rPr>
        <w:t xml:space="preserve"> </w:t>
      </w:r>
      <w:r w:rsidR="00CF0974" w:rsidRPr="006D077E">
        <w:rPr>
          <w:rFonts w:ascii="Times New Roman" w:hAnsi="Times New Roman"/>
          <w:szCs w:val="24"/>
        </w:rPr>
        <w:t>PG&amp;E defines</w:t>
      </w:r>
      <w:r w:rsidR="00B93719" w:rsidRPr="006D077E">
        <w:rPr>
          <w:rFonts w:ascii="Times New Roman" w:hAnsi="Times New Roman"/>
          <w:szCs w:val="24"/>
        </w:rPr>
        <w:t xml:space="preserve"> a Circuit Protection Zone as a segment of a distribution circuit between two protection devices.</w:t>
      </w:r>
      <w:r w:rsidR="004E1C32" w:rsidRPr="006D077E">
        <w:rPr>
          <w:rFonts w:ascii="Times New Roman" w:hAnsi="Times New Roman"/>
          <w:szCs w:val="24"/>
        </w:rPr>
        <w:t xml:space="preserve"> May 6, 2021 </w:t>
      </w:r>
      <w:r w:rsidR="00427491" w:rsidRPr="006D077E">
        <w:rPr>
          <w:rFonts w:ascii="Times New Roman" w:hAnsi="Times New Roman"/>
          <w:szCs w:val="24"/>
        </w:rPr>
        <w:t>CAP</w:t>
      </w:r>
      <w:r w:rsidR="00173C8D" w:rsidRPr="006D077E">
        <w:rPr>
          <w:rFonts w:ascii="Times New Roman" w:hAnsi="Times New Roman"/>
          <w:szCs w:val="24"/>
        </w:rPr>
        <w:t>,</w:t>
      </w:r>
      <w:r w:rsidR="004E1C32" w:rsidRPr="006D077E">
        <w:rPr>
          <w:rFonts w:ascii="Times New Roman" w:hAnsi="Times New Roman"/>
          <w:szCs w:val="24"/>
        </w:rPr>
        <w:t xml:space="preserve"> Footnote 9</w:t>
      </w:r>
      <w:r w:rsidR="00173C8D" w:rsidRPr="006D077E">
        <w:rPr>
          <w:rFonts w:ascii="Times New Roman" w:hAnsi="Times New Roman"/>
          <w:szCs w:val="24"/>
        </w:rPr>
        <w:t>,</w:t>
      </w:r>
      <w:r w:rsidR="004E1C32" w:rsidRPr="006D077E">
        <w:rPr>
          <w:rFonts w:ascii="Times New Roman" w:hAnsi="Times New Roman"/>
          <w:szCs w:val="24"/>
        </w:rPr>
        <w:t xml:space="preserve"> at 7</w:t>
      </w:r>
      <w:r w:rsidR="00C747AD" w:rsidRPr="006D077E">
        <w:rPr>
          <w:rFonts w:ascii="Times New Roman" w:hAnsi="Times New Roman"/>
          <w:szCs w:val="24"/>
        </w:rPr>
        <w:t xml:space="preserve">, </w:t>
      </w:r>
      <w:r w:rsidR="00736EBF" w:rsidRPr="006D077E">
        <w:rPr>
          <w:rFonts w:ascii="Times New Roman" w:hAnsi="Times New Roman"/>
          <w:szCs w:val="24"/>
        </w:rPr>
        <w:t xml:space="preserve">available at </w:t>
      </w:r>
      <w:hyperlink r:id="rId7" w:history="1">
        <w:r w:rsidR="00736EBF" w:rsidRPr="006D077E">
          <w:rPr>
            <w:rStyle w:val="Hyperlink"/>
            <w:rFonts w:ascii="Times New Roman" w:hAnsi="Times New Roman"/>
            <w:szCs w:val="24"/>
          </w:rPr>
          <w:t>pge-corrective-action-plan_050621.pdf (ca.gov)</w:t>
        </w:r>
      </w:hyperlink>
      <w:r w:rsidR="00736EBF" w:rsidRPr="006D077E">
        <w:rPr>
          <w:rFonts w:ascii="Times New Roman" w:hAnsi="Times New Roman"/>
          <w:szCs w:val="24"/>
        </w:rPr>
        <w:t>.</w:t>
      </w:r>
      <w:r w:rsidR="004E1C32" w:rsidRPr="006D077E">
        <w:rPr>
          <w:rFonts w:ascii="Times New Roman" w:hAnsi="Times New Roman"/>
          <w:szCs w:val="24"/>
        </w:rPr>
        <w:t xml:space="preserve"> </w:t>
      </w:r>
      <w:r w:rsidR="00B93719" w:rsidRPr="006D077E">
        <w:rPr>
          <w:rFonts w:ascii="Times New Roman" w:hAnsi="Times New Roman"/>
          <w:szCs w:val="24"/>
          <w:lang w:val="en-ZW"/>
        </w:rPr>
        <w:t xml:space="preserve">  </w:t>
      </w:r>
    </w:p>
  </w:footnote>
  <w:footnote w:id="11">
    <w:p w14:paraId="53399B66" w14:textId="4EB99752" w:rsidR="000B5BC9" w:rsidRPr="006D077E" w:rsidRDefault="000B5BC9"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0D03CB" w:rsidRPr="006D077E">
        <w:rPr>
          <w:rFonts w:ascii="Times New Roman" w:hAnsi="Times New Roman"/>
          <w:szCs w:val="24"/>
        </w:rPr>
        <w:t xml:space="preserve">PG&amp;E noted that </w:t>
      </w:r>
      <w:r w:rsidR="000D03CB" w:rsidRPr="006D077E">
        <w:rPr>
          <w:rFonts w:ascii="Times New Roman" w:hAnsi="Times New Roman"/>
          <w:szCs w:val="24"/>
          <w:lang w:val="en-ZW"/>
        </w:rPr>
        <w:t xml:space="preserve">the data </w:t>
      </w:r>
      <w:r w:rsidR="000D03CB" w:rsidRPr="006D077E">
        <w:rPr>
          <w:rFonts w:ascii="Times New Roman" w:hAnsi="Times New Roman"/>
          <w:szCs w:val="24"/>
        </w:rPr>
        <w:t>is</w:t>
      </w:r>
      <w:r w:rsidR="000D03CB" w:rsidRPr="006D077E">
        <w:rPr>
          <w:rFonts w:ascii="Times New Roman" w:hAnsi="Times New Roman"/>
          <w:spacing w:val="-3"/>
          <w:szCs w:val="24"/>
        </w:rPr>
        <w:t xml:space="preserve"> </w:t>
      </w:r>
      <w:r w:rsidR="000D03CB" w:rsidRPr="006D077E">
        <w:rPr>
          <w:rFonts w:ascii="Times New Roman" w:hAnsi="Times New Roman"/>
          <w:szCs w:val="24"/>
        </w:rPr>
        <w:t>rounded</w:t>
      </w:r>
      <w:r w:rsidR="000D03CB" w:rsidRPr="006D077E">
        <w:rPr>
          <w:rFonts w:ascii="Times New Roman" w:hAnsi="Times New Roman"/>
          <w:spacing w:val="-4"/>
          <w:szCs w:val="24"/>
        </w:rPr>
        <w:t xml:space="preserve"> </w:t>
      </w:r>
      <w:r w:rsidR="000D03CB" w:rsidRPr="006D077E">
        <w:rPr>
          <w:rFonts w:ascii="Times New Roman" w:hAnsi="Times New Roman"/>
          <w:szCs w:val="24"/>
        </w:rPr>
        <w:t>and</w:t>
      </w:r>
      <w:r w:rsidR="000D03CB" w:rsidRPr="006D077E">
        <w:rPr>
          <w:rFonts w:ascii="Times New Roman" w:hAnsi="Times New Roman"/>
          <w:spacing w:val="-3"/>
          <w:szCs w:val="24"/>
        </w:rPr>
        <w:t xml:space="preserve"> </w:t>
      </w:r>
      <w:r w:rsidR="000D03CB" w:rsidRPr="006D077E">
        <w:rPr>
          <w:rFonts w:ascii="Times New Roman" w:hAnsi="Times New Roman"/>
          <w:szCs w:val="24"/>
        </w:rPr>
        <w:t>may</w:t>
      </w:r>
      <w:r w:rsidR="000D03CB" w:rsidRPr="006D077E">
        <w:rPr>
          <w:rFonts w:ascii="Times New Roman" w:hAnsi="Times New Roman"/>
          <w:spacing w:val="-4"/>
          <w:szCs w:val="24"/>
        </w:rPr>
        <w:t xml:space="preserve"> </w:t>
      </w:r>
      <w:r w:rsidR="000D03CB" w:rsidRPr="006D077E">
        <w:rPr>
          <w:rFonts w:ascii="Times New Roman" w:hAnsi="Times New Roman"/>
          <w:szCs w:val="24"/>
        </w:rPr>
        <w:t>result</w:t>
      </w:r>
      <w:r w:rsidR="000D03CB" w:rsidRPr="006D077E">
        <w:rPr>
          <w:rFonts w:ascii="Times New Roman" w:hAnsi="Times New Roman"/>
          <w:spacing w:val="-3"/>
          <w:szCs w:val="24"/>
        </w:rPr>
        <w:t xml:space="preserve"> </w:t>
      </w:r>
      <w:r w:rsidR="000D03CB" w:rsidRPr="006D077E">
        <w:rPr>
          <w:rFonts w:ascii="Times New Roman" w:hAnsi="Times New Roman"/>
          <w:szCs w:val="24"/>
        </w:rPr>
        <w:t>in</w:t>
      </w:r>
      <w:r w:rsidR="000D03CB" w:rsidRPr="006D077E">
        <w:rPr>
          <w:rFonts w:ascii="Times New Roman" w:hAnsi="Times New Roman"/>
          <w:spacing w:val="-4"/>
          <w:szCs w:val="24"/>
        </w:rPr>
        <w:t xml:space="preserve"> </w:t>
      </w:r>
      <w:r w:rsidR="000D03CB" w:rsidRPr="006D077E">
        <w:rPr>
          <w:rFonts w:ascii="Times New Roman" w:hAnsi="Times New Roman"/>
          <w:szCs w:val="24"/>
        </w:rPr>
        <w:t>an</w:t>
      </w:r>
      <w:r w:rsidR="000D03CB" w:rsidRPr="006D077E">
        <w:rPr>
          <w:rFonts w:ascii="Times New Roman" w:hAnsi="Times New Roman"/>
          <w:spacing w:val="-4"/>
          <w:szCs w:val="24"/>
        </w:rPr>
        <w:t xml:space="preserve"> </w:t>
      </w:r>
      <w:r w:rsidR="000D03CB" w:rsidRPr="006D077E">
        <w:rPr>
          <w:rFonts w:ascii="Times New Roman" w:hAnsi="Times New Roman"/>
          <w:szCs w:val="24"/>
        </w:rPr>
        <w:t>approximate</w:t>
      </w:r>
      <w:r w:rsidR="000D03CB" w:rsidRPr="006D077E">
        <w:rPr>
          <w:rFonts w:ascii="Times New Roman" w:hAnsi="Times New Roman"/>
          <w:spacing w:val="-3"/>
          <w:szCs w:val="24"/>
        </w:rPr>
        <w:t xml:space="preserve"> </w:t>
      </w:r>
      <w:r w:rsidR="00FD4A8D" w:rsidRPr="006D077E">
        <w:rPr>
          <w:rFonts w:ascii="Times New Roman" w:hAnsi="Times New Roman"/>
          <w:szCs w:val="24"/>
        </w:rPr>
        <w:t>one</w:t>
      </w:r>
      <w:r w:rsidR="00974E9A" w:rsidRPr="006D077E">
        <w:rPr>
          <w:rFonts w:ascii="Times New Roman" w:hAnsi="Times New Roman"/>
          <w:szCs w:val="24"/>
        </w:rPr>
        <w:t>-</w:t>
      </w:r>
      <w:r w:rsidR="000D03CB" w:rsidRPr="006D077E">
        <w:rPr>
          <w:rFonts w:ascii="Times New Roman" w:hAnsi="Times New Roman"/>
          <w:szCs w:val="24"/>
        </w:rPr>
        <w:t>mile</w:t>
      </w:r>
      <w:r w:rsidR="000D03CB" w:rsidRPr="006D077E">
        <w:rPr>
          <w:rFonts w:ascii="Times New Roman" w:hAnsi="Times New Roman"/>
          <w:spacing w:val="-3"/>
          <w:szCs w:val="24"/>
        </w:rPr>
        <w:t xml:space="preserve"> </w:t>
      </w:r>
      <w:r w:rsidR="000D03CB" w:rsidRPr="006D077E">
        <w:rPr>
          <w:rFonts w:ascii="Times New Roman" w:hAnsi="Times New Roman"/>
          <w:spacing w:val="-2"/>
          <w:szCs w:val="24"/>
        </w:rPr>
        <w:t xml:space="preserve">variance. </w:t>
      </w:r>
      <w:r w:rsidR="00F5580A" w:rsidRPr="006D077E">
        <w:rPr>
          <w:rFonts w:ascii="Times New Roman" w:hAnsi="Times New Roman"/>
          <w:spacing w:val="-2"/>
          <w:szCs w:val="24"/>
        </w:rPr>
        <w:t xml:space="preserve">PG&amp;E, </w:t>
      </w:r>
      <w:r w:rsidRPr="006D077E">
        <w:rPr>
          <w:rFonts w:ascii="Times New Roman" w:hAnsi="Times New Roman"/>
          <w:szCs w:val="24"/>
          <w:lang w:val="en-ZW"/>
        </w:rPr>
        <w:t xml:space="preserve">February 2, 2022 </w:t>
      </w:r>
      <w:r w:rsidR="00427491" w:rsidRPr="006D077E">
        <w:rPr>
          <w:rFonts w:ascii="Times New Roman" w:hAnsi="Times New Roman"/>
          <w:szCs w:val="24"/>
        </w:rPr>
        <w:t>CAP</w:t>
      </w:r>
      <w:r w:rsidRPr="006D077E">
        <w:rPr>
          <w:rFonts w:ascii="Times New Roman" w:hAnsi="Times New Roman"/>
          <w:szCs w:val="24"/>
          <w:lang w:val="en-ZW"/>
        </w:rPr>
        <w:t>Update</w:t>
      </w:r>
      <w:r w:rsidR="00F5580A" w:rsidRPr="006D077E">
        <w:rPr>
          <w:rFonts w:ascii="Times New Roman" w:hAnsi="Times New Roman"/>
          <w:szCs w:val="24"/>
          <w:lang w:val="en-ZW"/>
        </w:rPr>
        <w:t>,</w:t>
      </w:r>
      <w:r w:rsidR="000D03CB" w:rsidRPr="006D077E">
        <w:rPr>
          <w:rFonts w:ascii="Times New Roman" w:hAnsi="Times New Roman"/>
          <w:szCs w:val="24"/>
          <w:lang w:val="en-ZW"/>
        </w:rPr>
        <w:t xml:space="preserve"> at 3</w:t>
      </w:r>
      <w:r w:rsidR="00CA7C7F" w:rsidRPr="006D077E">
        <w:rPr>
          <w:rFonts w:ascii="Times New Roman" w:hAnsi="Times New Roman"/>
          <w:szCs w:val="24"/>
          <w:lang w:val="en-ZW"/>
        </w:rPr>
        <w:t xml:space="preserve">, available at </w:t>
      </w:r>
      <w:hyperlink r:id="rId8" w:history="1">
        <w:r w:rsidR="00CA7C7F" w:rsidRPr="006D077E">
          <w:rPr>
            <w:rStyle w:val="Hyperlink"/>
            <w:rFonts w:ascii="Times New Roman" w:hAnsi="Times New Roman"/>
            <w:szCs w:val="24"/>
          </w:rPr>
          <w:t>pge-90-day-report_02022022.pdf (ca.gov)</w:t>
        </w:r>
      </w:hyperlink>
      <w:r w:rsidR="000D03CB" w:rsidRPr="006D077E">
        <w:rPr>
          <w:rFonts w:ascii="Times New Roman" w:hAnsi="Times New Roman"/>
          <w:szCs w:val="24"/>
          <w:lang w:val="en-ZW"/>
        </w:rPr>
        <w:t>.</w:t>
      </w:r>
    </w:p>
  </w:footnote>
  <w:footnote w:id="12">
    <w:p w14:paraId="1DDBFC5D" w14:textId="4552E502" w:rsidR="00E025A3" w:rsidRPr="006D077E" w:rsidRDefault="00E025A3" w:rsidP="006D077E">
      <w:pPr>
        <w:pStyle w:val="FootnoteText"/>
        <w:numPr>
          <w:ilvl w:val="0"/>
          <w:numId w:val="0"/>
        </w:numPr>
        <w:spacing w:after="120" w:line="240" w:lineRule="exact"/>
        <w:ind w:left="360" w:hanging="360"/>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PG&amp;E may also include contractors in the Daily Operating Reviews.  </w:t>
      </w:r>
    </w:p>
  </w:footnote>
  <w:footnote w:id="13">
    <w:p w14:paraId="1A851480" w14:textId="3DF6BA4B" w:rsidR="00405189" w:rsidRPr="006D077E" w:rsidRDefault="00405189"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BC0D91" w:rsidRPr="006D077E">
        <w:rPr>
          <w:rFonts w:ascii="Times New Roman" w:hAnsi="Times New Roman"/>
          <w:szCs w:val="24"/>
        </w:rPr>
        <w:t>PG&amp;E’s</w:t>
      </w:r>
      <w:r w:rsidR="00FE758D" w:rsidRPr="006D077E">
        <w:rPr>
          <w:rFonts w:ascii="Times New Roman" w:hAnsi="Times New Roman"/>
          <w:szCs w:val="24"/>
        </w:rPr>
        <w:t xml:space="preserve"> change </w:t>
      </w:r>
      <w:r w:rsidR="00D02F10" w:rsidRPr="006D077E">
        <w:rPr>
          <w:rFonts w:ascii="Times New Roman" w:hAnsi="Times New Roman"/>
          <w:szCs w:val="24"/>
        </w:rPr>
        <w:t>control</w:t>
      </w:r>
      <w:r w:rsidR="00FE758D" w:rsidRPr="006D077E">
        <w:rPr>
          <w:rFonts w:ascii="Times New Roman" w:hAnsi="Times New Roman"/>
          <w:szCs w:val="24"/>
        </w:rPr>
        <w:t xml:space="preserve"> process is </w:t>
      </w:r>
      <w:r w:rsidR="00BC0D91" w:rsidRPr="006D077E">
        <w:rPr>
          <w:rFonts w:ascii="Times New Roman" w:hAnsi="Times New Roman"/>
          <w:szCs w:val="24"/>
        </w:rPr>
        <w:t xml:space="preserve"> the process </w:t>
      </w:r>
      <w:r w:rsidR="00290C06" w:rsidRPr="006D077E">
        <w:rPr>
          <w:rFonts w:ascii="Times New Roman" w:hAnsi="Times New Roman"/>
          <w:szCs w:val="24"/>
        </w:rPr>
        <w:t>it uses</w:t>
      </w:r>
      <w:r w:rsidR="003B3881" w:rsidRPr="006D077E">
        <w:rPr>
          <w:rFonts w:ascii="Times New Roman" w:hAnsi="Times New Roman"/>
          <w:szCs w:val="24"/>
        </w:rPr>
        <w:t xml:space="preserve"> to update the</w:t>
      </w:r>
      <w:r w:rsidR="00C46FCE" w:rsidRPr="006D077E">
        <w:rPr>
          <w:rFonts w:ascii="Times New Roman" w:hAnsi="Times New Roman"/>
          <w:szCs w:val="24"/>
        </w:rPr>
        <w:t xml:space="preserve"> EVM Scope of Work</w:t>
      </w:r>
      <w:r w:rsidR="00290C06" w:rsidRPr="006D077E">
        <w:rPr>
          <w:rFonts w:ascii="Times New Roman" w:hAnsi="Times New Roman"/>
          <w:szCs w:val="24"/>
        </w:rPr>
        <w:t>,</w:t>
      </w:r>
      <w:r w:rsidR="008C289F" w:rsidRPr="006D077E">
        <w:rPr>
          <w:rFonts w:ascii="Times New Roman" w:hAnsi="Times New Roman"/>
          <w:szCs w:val="24"/>
        </w:rPr>
        <w:t xml:space="preserve"> which </w:t>
      </w:r>
      <w:r w:rsidR="00E063F7" w:rsidRPr="006D077E">
        <w:rPr>
          <w:rFonts w:ascii="Times New Roman" w:hAnsi="Times New Roman"/>
          <w:szCs w:val="24"/>
        </w:rPr>
        <w:t xml:space="preserve">requires approval by the Vegetation Management Board and </w:t>
      </w:r>
      <w:r w:rsidR="006E7E7B" w:rsidRPr="006D077E">
        <w:rPr>
          <w:rFonts w:ascii="Times New Roman" w:hAnsi="Times New Roman"/>
          <w:szCs w:val="24"/>
        </w:rPr>
        <w:t>the Wildfire Risk Governance Steering Committee.</w:t>
      </w:r>
      <w:r w:rsidR="00C70970" w:rsidRPr="006D077E">
        <w:rPr>
          <w:rFonts w:ascii="Times New Roman" w:hAnsi="Times New Roman"/>
          <w:szCs w:val="24"/>
        </w:rPr>
        <w:t xml:space="preserve"> </w:t>
      </w:r>
      <w:r w:rsidR="00567A61" w:rsidRPr="006D077E">
        <w:rPr>
          <w:rFonts w:ascii="Times New Roman" w:hAnsi="Times New Roman"/>
          <w:szCs w:val="24"/>
        </w:rPr>
        <w:t xml:space="preserve">PG&amp;E, </w:t>
      </w:r>
      <w:r w:rsidR="00C70970" w:rsidRPr="006D077E">
        <w:rPr>
          <w:rFonts w:ascii="Times New Roman" w:hAnsi="Times New Roman"/>
          <w:szCs w:val="24"/>
        </w:rPr>
        <w:t xml:space="preserve">May 6, 2021 </w:t>
      </w:r>
      <w:r w:rsidR="00427491" w:rsidRPr="006D077E">
        <w:rPr>
          <w:rFonts w:ascii="Times New Roman" w:hAnsi="Times New Roman"/>
          <w:szCs w:val="24"/>
        </w:rPr>
        <w:t xml:space="preserve">CAP, </w:t>
      </w:r>
      <w:r w:rsidR="00C70970" w:rsidRPr="006D077E">
        <w:rPr>
          <w:rFonts w:ascii="Times New Roman" w:hAnsi="Times New Roman"/>
          <w:szCs w:val="24"/>
        </w:rPr>
        <w:t>at 15-17</w:t>
      </w:r>
      <w:r w:rsidR="00C747AD" w:rsidRPr="006D077E">
        <w:rPr>
          <w:rFonts w:ascii="Times New Roman" w:hAnsi="Times New Roman"/>
          <w:szCs w:val="24"/>
        </w:rPr>
        <w:t>,</w:t>
      </w:r>
      <w:r w:rsidR="00A30904" w:rsidRPr="006D077E">
        <w:rPr>
          <w:rFonts w:ascii="Times New Roman" w:hAnsi="Times New Roman"/>
          <w:szCs w:val="24"/>
        </w:rPr>
        <w:t xml:space="preserve"> available at </w:t>
      </w:r>
      <w:hyperlink r:id="rId9" w:history="1">
        <w:r w:rsidR="00A30904" w:rsidRPr="006D077E">
          <w:rPr>
            <w:rStyle w:val="Hyperlink"/>
            <w:rFonts w:ascii="Times New Roman" w:hAnsi="Times New Roman"/>
            <w:szCs w:val="24"/>
          </w:rPr>
          <w:t>pge-corrective-action-plan_050621.pdf (ca.gov)</w:t>
        </w:r>
      </w:hyperlink>
      <w:r w:rsidR="00C70970" w:rsidRPr="006D077E">
        <w:rPr>
          <w:rFonts w:ascii="Times New Roman" w:hAnsi="Times New Roman"/>
          <w:szCs w:val="24"/>
        </w:rPr>
        <w:t>.</w:t>
      </w:r>
    </w:p>
  </w:footnote>
  <w:footnote w:id="14">
    <w:p w14:paraId="5A5832DE" w14:textId="1A52E205" w:rsidR="004B307C" w:rsidRPr="006D077E" w:rsidRDefault="004B307C"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FB65FF" w:rsidRPr="006D077E">
        <w:rPr>
          <w:rFonts w:ascii="Times New Roman" w:hAnsi="Times New Roman"/>
          <w:szCs w:val="24"/>
        </w:rPr>
        <w:t xml:space="preserve">PG&amp;E, </w:t>
      </w:r>
      <w:r w:rsidRPr="006D077E">
        <w:rPr>
          <w:rFonts w:ascii="Times New Roman" w:hAnsi="Times New Roman"/>
          <w:szCs w:val="24"/>
        </w:rPr>
        <w:t xml:space="preserve">May 6, 2021 </w:t>
      </w:r>
      <w:r w:rsidR="00427491" w:rsidRPr="006D077E">
        <w:rPr>
          <w:rFonts w:ascii="Times New Roman" w:hAnsi="Times New Roman"/>
          <w:szCs w:val="24"/>
        </w:rPr>
        <w:t xml:space="preserve">CAP, </w:t>
      </w:r>
      <w:r w:rsidRPr="006D077E">
        <w:rPr>
          <w:rFonts w:ascii="Times New Roman" w:hAnsi="Times New Roman"/>
          <w:szCs w:val="24"/>
        </w:rPr>
        <w:t>at 7</w:t>
      </w:r>
      <w:r w:rsidR="00F2221E" w:rsidRPr="006D077E">
        <w:rPr>
          <w:rFonts w:ascii="Times New Roman" w:hAnsi="Times New Roman"/>
          <w:szCs w:val="24"/>
        </w:rPr>
        <w:t>,</w:t>
      </w:r>
      <w:r w:rsidR="003E68CE" w:rsidRPr="006D077E">
        <w:rPr>
          <w:rFonts w:ascii="Times New Roman" w:hAnsi="Times New Roman"/>
          <w:szCs w:val="24"/>
        </w:rPr>
        <w:t xml:space="preserve"> available at </w:t>
      </w:r>
      <w:hyperlink r:id="rId10" w:history="1">
        <w:r w:rsidR="003E68CE" w:rsidRPr="006D077E">
          <w:rPr>
            <w:rStyle w:val="Hyperlink"/>
            <w:rFonts w:ascii="Times New Roman" w:hAnsi="Times New Roman"/>
            <w:szCs w:val="24"/>
          </w:rPr>
          <w:t>pge-corrective-action-plan_050621.pdf (ca.gov)</w:t>
        </w:r>
      </w:hyperlink>
      <w:r w:rsidR="003E68CE" w:rsidRPr="006D077E">
        <w:rPr>
          <w:rFonts w:ascii="Times New Roman" w:hAnsi="Times New Roman"/>
          <w:szCs w:val="24"/>
        </w:rPr>
        <w:t>.</w:t>
      </w:r>
    </w:p>
  </w:footnote>
  <w:footnote w:id="15">
    <w:p w14:paraId="3FB2528B" w14:textId="092F6895" w:rsidR="006B2D5B" w:rsidRPr="006D077E" w:rsidRDefault="006B2D5B"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FB65FF" w:rsidRPr="006D077E">
        <w:rPr>
          <w:rFonts w:ascii="Times New Roman" w:hAnsi="Times New Roman"/>
          <w:szCs w:val="24"/>
        </w:rPr>
        <w:t xml:space="preserve">PG&amp;E, </w:t>
      </w:r>
      <w:r w:rsidRPr="006D077E">
        <w:rPr>
          <w:rFonts w:ascii="Times New Roman" w:hAnsi="Times New Roman"/>
          <w:szCs w:val="24"/>
        </w:rPr>
        <w:t xml:space="preserve">May 6, 2021 </w:t>
      </w:r>
      <w:r w:rsidR="00427491" w:rsidRPr="006D077E">
        <w:rPr>
          <w:rFonts w:ascii="Times New Roman" w:hAnsi="Times New Roman"/>
          <w:szCs w:val="24"/>
        </w:rPr>
        <w:t>CAP</w:t>
      </w:r>
      <w:r w:rsidR="00375F9C" w:rsidRPr="006D077E">
        <w:rPr>
          <w:rFonts w:ascii="Times New Roman" w:hAnsi="Times New Roman"/>
          <w:szCs w:val="24"/>
        </w:rPr>
        <w:t>,</w:t>
      </w:r>
      <w:r w:rsidRPr="006D077E">
        <w:rPr>
          <w:rFonts w:ascii="Times New Roman" w:hAnsi="Times New Roman"/>
          <w:szCs w:val="24"/>
        </w:rPr>
        <w:t xml:space="preserve"> at 7</w:t>
      </w:r>
      <w:r w:rsidR="00F2221E" w:rsidRPr="006D077E">
        <w:rPr>
          <w:rFonts w:ascii="Times New Roman" w:hAnsi="Times New Roman"/>
          <w:szCs w:val="24"/>
        </w:rPr>
        <w:t>,</w:t>
      </w:r>
      <w:r w:rsidR="003E68CE" w:rsidRPr="006D077E">
        <w:rPr>
          <w:rFonts w:ascii="Times New Roman" w:hAnsi="Times New Roman"/>
          <w:szCs w:val="24"/>
        </w:rPr>
        <w:t xml:space="preserve"> available at </w:t>
      </w:r>
      <w:hyperlink r:id="rId11" w:history="1">
        <w:r w:rsidR="003E68CE" w:rsidRPr="006D077E">
          <w:rPr>
            <w:rStyle w:val="Hyperlink"/>
            <w:rFonts w:ascii="Times New Roman" w:hAnsi="Times New Roman"/>
            <w:szCs w:val="24"/>
          </w:rPr>
          <w:t>pge-corrective-action-plan_050621.pdf (ca.gov)</w:t>
        </w:r>
      </w:hyperlink>
      <w:r w:rsidR="003E68CE" w:rsidRPr="006D077E">
        <w:rPr>
          <w:rFonts w:ascii="Times New Roman" w:hAnsi="Times New Roman"/>
          <w:szCs w:val="24"/>
        </w:rPr>
        <w:t>.</w:t>
      </w:r>
    </w:p>
  </w:footnote>
  <w:footnote w:id="16">
    <w:p w14:paraId="4CAEA182" w14:textId="77777777" w:rsidR="00183F0E" w:rsidRPr="006D077E" w:rsidRDefault="00183F0E"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The Tree-Weighted Prioritization list is a list of Circuit Protection Zones risk-ranked from 1-99, with 1 representing the highest risk. The 2021 EVM Scope from the May 6, 2021 CAP amounted to 99 </w:t>
      </w:r>
      <w:r w:rsidRPr="006D077E">
        <w:rPr>
          <w:rFonts w:ascii="Times New Roman" w:hAnsi="Times New Roman"/>
          <w:szCs w:val="24"/>
          <w:lang w:val="en-ZW"/>
        </w:rPr>
        <w:t>Circuit Protection Zones</w:t>
      </w:r>
      <w:r w:rsidRPr="006D077E">
        <w:rPr>
          <w:rFonts w:ascii="Times New Roman" w:hAnsi="Times New Roman"/>
          <w:szCs w:val="24"/>
        </w:rPr>
        <w:t xml:space="preserve"> (Attachment E), the February 2, 2022 CAP Update amounted to 109 </w:t>
      </w:r>
      <w:r w:rsidRPr="006D077E">
        <w:rPr>
          <w:rFonts w:ascii="Times New Roman" w:hAnsi="Times New Roman"/>
          <w:szCs w:val="24"/>
          <w:lang w:val="en-ZW"/>
        </w:rPr>
        <w:t>Circuit Protection Zones</w:t>
      </w:r>
      <w:r w:rsidRPr="006D077E">
        <w:rPr>
          <w:rFonts w:ascii="Times New Roman" w:hAnsi="Times New Roman"/>
          <w:szCs w:val="24"/>
        </w:rPr>
        <w:t xml:space="preserve"> (Attachment A).</w:t>
      </w:r>
    </w:p>
  </w:footnote>
  <w:footnote w:id="17">
    <w:p w14:paraId="0A72CBFC" w14:textId="28CAAF16" w:rsidR="0002691C" w:rsidRPr="006D077E" w:rsidRDefault="0002691C"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PG&amp;E</w:t>
      </w:r>
      <w:r w:rsidR="00032962" w:rsidRPr="006D077E">
        <w:rPr>
          <w:rFonts w:ascii="Times New Roman" w:hAnsi="Times New Roman"/>
          <w:szCs w:val="24"/>
        </w:rPr>
        <w:t xml:space="preserve"> hired E3 </w:t>
      </w:r>
      <w:r w:rsidR="00FF4EB8" w:rsidRPr="006D077E">
        <w:rPr>
          <w:rFonts w:ascii="Times New Roman" w:hAnsi="Times New Roman"/>
          <w:szCs w:val="24"/>
        </w:rPr>
        <w:t xml:space="preserve">Consulting </w:t>
      </w:r>
      <w:r w:rsidR="00032962" w:rsidRPr="006D077E">
        <w:rPr>
          <w:rFonts w:ascii="Times New Roman" w:hAnsi="Times New Roman"/>
          <w:szCs w:val="24"/>
        </w:rPr>
        <w:t>t</w:t>
      </w:r>
      <w:r w:rsidRPr="006D077E">
        <w:rPr>
          <w:rFonts w:ascii="Times New Roman" w:hAnsi="Times New Roman"/>
          <w:szCs w:val="24"/>
        </w:rPr>
        <w:t>o evaluate the Wildfire Distribution Risk Model.</w:t>
      </w:r>
    </w:p>
  </w:footnote>
  <w:footnote w:id="18">
    <w:p w14:paraId="5B756543" w14:textId="49A43217" w:rsidR="006E461F" w:rsidRPr="006D077E" w:rsidRDefault="006E461F"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Pr="006D077E">
        <w:rPr>
          <w:rFonts w:ascii="Times New Roman" w:hAnsi="Times New Roman"/>
          <w:szCs w:val="24"/>
          <w:lang w:val="en-ZW"/>
        </w:rPr>
        <w:t>E3</w:t>
      </w:r>
      <w:r w:rsidR="00EB4630" w:rsidRPr="006D077E">
        <w:rPr>
          <w:rFonts w:ascii="Times New Roman" w:hAnsi="Times New Roman"/>
          <w:szCs w:val="24"/>
          <w:lang w:val="en-ZW"/>
        </w:rPr>
        <w:t>,</w:t>
      </w:r>
      <w:r w:rsidRPr="006D077E">
        <w:rPr>
          <w:rFonts w:ascii="Times New Roman" w:hAnsi="Times New Roman"/>
          <w:szCs w:val="24"/>
          <w:lang w:val="en-ZW"/>
        </w:rPr>
        <w:t xml:space="preserve"> Review of 2021 Wildfire Distribution Risk Model, May 2021</w:t>
      </w:r>
      <w:r w:rsidR="00EC1D2A" w:rsidRPr="006D077E">
        <w:rPr>
          <w:rFonts w:ascii="Times New Roman" w:hAnsi="Times New Roman"/>
          <w:szCs w:val="24"/>
          <w:lang w:val="en-ZW"/>
        </w:rPr>
        <w:t xml:space="preserve"> at </w:t>
      </w:r>
      <w:r w:rsidRPr="006D077E">
        <w:rPr>
          <w:rFonts w:ascii="Times New Roman" w:hAnsi="Times New Roman"/>
          <w:szCs w:val="24"/>
          <w:lang w:val="en-ZW"/>
        </w:rPr>
        <w:t>7</w:t>
      </w:r>
      <w:r w:rsidR="00A01C7F" w:rsidRPr="006D077E">
        <w:rPr>
          <w:rFonts w:ascii="Times New Roman" w:hAnsi="Times New Roman"/>
          <w:szCs w:val="24"/>
          <w:lang w:val="en-ZW"/>
        </w:rPr>
        <w:t xml:space="preserve">, available at </w:t>
      </w:r>
      <w:hyperlink r:id="rId12" w:history="1">
        <w:r w:rsidR="00A01C7F" w:rsidRPr="006D077E">
          <w:rPr>
            <w:rStyle w:val="Hyperlink"/>
            <w:rFonts w:ascii="Times New Roman" w:hAnsi="Times New Roman"/>
            <w:szCs w:val="24"/>
          </w:rPr>
          <w:t>E3_Review_of_PGEs_2021_Wildfire_Distribution_Risk_Model.pdf (ethree.com)</w:t>
        </w:r>
      </w:hyperlink>
      <w:r w:rsidR="001A5F3A" w:rsidRPr="006D077E">
        <w:rPr>
          <w:rStyle w:val="Hyperlink"/>
          <w:rFonts w:ascii="Times New Roman" w:hAnsi="Times New Roman"/>
          <w:szCs w:val="24"/>
        </w:rPr>
        <w:t>.</w:t>
      </w:r>
    </w:p>
  </w:footnote>
  <w:footnote w:id="19">
    <w:p w14:paraId="3729216B" w14:textId="3AAEDF91" w:rsidR="00183482" w:rsidRPr="006D077E" w:rsidRDefault="00183482"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6E1D47" w:rsidRPr="006D077E">
        <w:rPr>
          <w:rFonts w:ascii="Times New Roman" w:hAnsi="Times New Roman"/>
          <w:szCs w:val="24"/>
        </w:rPr>
        <w:t xml:space="preserve">PG&amp;E, </w:t>
      </w:r>
      <w:r w:rsidR="00AC660A" w:rsidRPr="006D077E">
        <w:rPr>
          <w:rFonts w:ascii="Times New Roman" w:hAnsi="Times New Roman"/>
          <w:szCs w:val="24"/>
        </w:rPr>
        <w:t xml:space="preserve">May 6, 2021, </w:t>
      </w:r>
      <w:r w:rsidR="00427491" w:rsidRPr="006D077E">
        <w:rPr>
          <w:rFonts w:ascii="Times New Roman" w:hAnsi="Times New Roman"/>
          <w:szCs w:val="24"/>
        </w:rPr>
        <w:t>CAP</w:t>
      </w:r>
      <w:r w:rsidRPr="006D077E">
        <w:rPr>
          <w:rFonts w:ascii="Times New Roman" w:hAnsi="Times New Roman"/>
          <w:szCs w:val="24"/>
        </w:rPr>
        <w:t>, Attachment E</w:t>
      </w:r>
      <w:r w:rsidR="009F227A" w:rsidRPr="006D077E">
        <w:rPr>
          <w:rFonts w:ascii="Times New Roman" w:hAnsi="Times New Roman"/>
          <w:szCs w:val="24"/>
        </w:rPr>
        <w:t xml:space="preserve"> available</w:t>
      </w:r>
      <w:r w:rsidR="00522253" w:rsidRPr="006D077E">
        <w:rPr>
          <w:rFonts w:ascii="Times New Roman" w:hAnsi="Times New Roman"/>
          <w:szCs w:val="24"/>
        </w:rPr>
        <w:t>,</w:t>
      </w:r>
      <w:r w:rsidR="009F227A" w:rsidRPr="006D077E">
        <w:rPr>
          <w:rFonts w:ascii="Times New Roman" w:hAnsi="Times New Roman"/>
          <w:szCs w:val="24"/>
        </w:rPr>
        <w:t xml:space="preserve"> at </w:t>
      </w:r>
      <w:hyperlink r:id="rId13" w:history="1">
        <w:r w:rsidR="009F227A" w:rsidRPr="006D077E">
          <w:rPr>
            <w:rStyle w:val="Hyperlink"/>
            <w:rFonts w:ascii="Times New Roman" w:hAnsi="Times New Roman"/>
            <w:szCs w:val="24"/>
          </w:rPr>
          <w:t>pge-corrective-action-plan_050621.pdf (ca.gov)</w:t>
        </w:r>
      </w:hyperlink>
      <w:r w:rsidR="009F227A" w:rsidRPr="006D077E">
        <w:rPr>
          <w:rFonts w:ascii="Times New Roman" w:hAnsi="Times New Roman"/>
          <w:szCs w:val="24"/>
        </w:rPr>
        <w:t>.</w:t>
      </w:r>
    </w:p>
  </w:footnote>
  <w:footnote w:id="20">
    <w:p w14:paraId="4A351AD6" w14:textId="61C37F76" w:rsidR="00A2349C" w:rsidRPr="006D077E" w:rsidRDefault="00A2349C"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C86D15" w:rsidRPr="006D077E">
        <w:rPr>
          <w:rFonts w:ascii="Times New Roman" w:hAnsi="Times New Roman"/>
          <w:szCs w:val="24"/>
        </w:rPr>
        <w:t xml:space="preserve">PG&amp;E, </w:t>
      </w:r>
      <w:r w:rsidRPr="006D077E">
        <w:rPr>
          <w:rFonts w:ascii="Times New Roman" w:hAnsi="Times New Roman"/>
          <w:szCs w:val="24"/>
          <w:lang w:val="en-ZW"/>
        </w:rPr>
        <w:t>February 2, 2022</w:t>
      </w:r>
      <w:r w:rsidR="00AC660A" w:rsidRPr="006D077E">
        <w:rPr>
          <w:rFonts w:ascii="Times New Roman" w:hAnsi="Times New Roman"/>
          <w:szCs w:val="24"/>
          <w:lang w:val="en-ZW"/>
        </w:rPr>
        <w:t>,</w:t>
      </w:r>
      <w:r w:rsidRPr="006D077E">
        <w:rPr>
          <w:rFonts w:ascii="Times New Roman" w:hAnsi="Times New Roman"/>
          <w:szCs w:val="24"/>
          <w:lang w:val="en-ZW"/>
        </w:rPr>
        <w:t xml:space="preserve"> </w:t>
      </w:r>
      <w:r w:rsidR="00AC660A" w:rsidRPr="006D077E">
        <w:rPr>
          <w:rFonts w:ascii="Times New Roman" w:hAnsi="Times New Roman"/>
          <w:szCs w:val="24"/>
        </w:rPr>
        <w:t>CAP</w:t>
      </w:r>
      <w:r w:rsidR="00BD5888" w:rsidRPr="006D077E">
        <w:rPr>
          <w:rFonts w:ascii="Times New Roman" w:hAnsi="Times New Roman"/>
          <w:szCs w:val="24"/>
          <w:lang w:val="en-ZW"/>
        </w:rPr>
        <w:t>Update</w:t>
      </w:r>
      <w:r w:rsidR="00AC660A" w:rsidRPr="006D077E">
        <w:rPr>
          <w:rFonts w:ascii="Times New Roman" w:hAnsi="Times New Roman"/>
          <w:szCs w:val="24"/>
          <w:lang w:val="en-ZW"/>
        </w:rPr>
        <w:t>,</w:t>
      </w:r>
      <w:r w:rsidR="00BD5888" w:rsidRPr="006D077E">
        <w:rPr>
          <w:rFonts w:ascii="Times New Roman" w:hAnsi="Times New Roman"/>
          <w:szCs w:val="24"/>
        </w:rPr>
        <w:t xml:space="preserve"> </w:t>
      </w:r>
      <w:r w:rsidR="00645EBE" w:rsidRPr="006D077E">
        <w:rPr>
          <w:rFonts w:ascii="Times New Roman" w:hAnsi="Times New Roman"/>
          <w:szCs w:val="24"/>
          <w:lang w:val="en-ZW"/>
        </w:rPr>
        <w:t xml:space="preserve">at </w:t>
      </w:r>
      <w:r w:rsidRPr="006D077E">
        <w:rPr>
          <w:rFonts w:ascii="Times New Roman" w:hAnsi="Times New Roman"/>
          <w:szCs w:val="24"/>
          <w:lang w:val="en-ZW"/>
        </w:rPr>
        <w:t>8</w:t>
      </w:r>
      <w:r w:rsidR="00CA7C7F" w:rsidRPr="006D077E">
        <w:rPr>
          <w:rFonts w:ascii="Times New Roman" w:hAnsi="Times New Roman"/>
          <w:szCs w:val="24"/>
          <w:lang w:val="en-ZW"/>
        </w:rPr>
        <w:t>,</w:t>
      </w:r>
      <w:r w:rsidR="00186C5D" w:rsidRPr="006D077E">
        <w:rPr>
          <w:rFonts w:ascii="Times New Roman" w:hAnsi="Times New Roman"/>
          <w:szCs w:val="24"/>
          <w:lang w:val="en-ZW"/>
        </w:rPr>
        <w:t xml:space="preserve"> available at </w:t>
      </w:r>
      <w:hyperlink r:id="rId14" w:history="1">
        <w:r w:rsidR="00186C5D" w:rsidRPr="006D077E">
          <w:rPr>
            <w:rStyle w:val="Hyperlink"/>
            <w:rFonts w:ascii="Times New Roman" w:hAnsi="Times New Roman"/>
            <w:szCs w:val="24"/>
          </w:rPr>
          <w:t>pge-90-day-report_02022022.pdf (ca.gov)</w:t>
        </w:r>
      </w:hyperlink>
      <w:r w:rsidRPr="006D077E">
        <w:rPr>
          <w:rFonts w:ascii="Times New Roman" w:hAnsi="Times New Roman"/>
          <w:szCs w:val="24"/>
          <w:lang w:val="en-ZW"/>
        </w:rPr>
        <w:t>.</w:t>
      </w:r>
    </w:p>
  </w:footnote>
  <w:footnote w:id="21">
    <w:p w14:paraId="00104540" w14:textId="00FBAC93" w:rsidR="002373B5" w:rsidRPr="006D077E" w:rsidRDefault="002373B5"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076696" w:rsidRPr="006D077E">
        <w:rPr>
          <w:rFonts w:ascii="Times New Roman" w:hAnsi="Times New Roman"/>
          <w:szCs w:val="24"/>
        </w:rPr>
        <w:t>In its May 6, 2021 CAP</w:t>
      </w:r>
      <w:r w:rsidR="00C16429" w:rsidRPr="006D077E">
        <w:rPr>
          <w:rFonts w:ascii="Times New Roman" w:hAnsi="Times New Roman"/>
          <w:szCs w:val="24"/>
        </w:rPr>
        <w:t>, PG&amp;E</w:t>
      </w:r>
      <w:r w:rsidR="00076696" w:rsidRPr="006D077E">
        <w:rPr>
          <w:rFonts w:ascii="Times New Roman" w:hAnsi="Times New Roman"/>
          <w:szCs w:val="24"/>
        </w:rPr>
        <w:t xml:space="preserve"> </w:t>
      </w:r>
      <w:r w:rsidR="00D523C8" w:rsidRPr="006D077E">
        <w:rPr>
          <w:rFonts w:ascii="Times New Roman" w:hAnsi="Times New Roman"/>
          <w:szCs w:val="24"/>
        </w:rPr>
        <w:t xml:space="preserve">states that it intends </w:t>
      </w:r>
      <w:r w:rsidR="000F4BC8" w:rsidRPr="006D077E">
        <w:rPr>
          <w:rFonts w:ascii="Times New Roman" w:hAnsi="Times New Roman"/>
          <w:szCs w:val="24"/>
        </w:rPr>
        <w:t xml:space="preserve">to </w:t>
      </w:r>
      <w:r w:rsidR="003B1D56" w:rsidRPr="006D077E">
        <w:rPr>
          <w:rFonts w:ascii="Times New Roman" w:hAnsi="Times New Roman"/>
          <w:szCs w:val="24"/>
        </w:rPr>
        <w:t>perform EVM work starting with the highest risk rank Circuit Protection Zones</w:t>
      </w:r>
      <w:r w:rsidRPr="006D077E">
        <w:rPr>
          <w:rFonts w:ascii="Times New Roman" w:hAnsi="Times New Roman"/>
          <w:szCs w:val="24"/>
        </w:rPr>
        <w:t xml:space="preserve"> </w:t>
      </w:r>
      <w:r w:rsidR="00076696" w:rsidRPr="006D077E">
        <w:rPr>
          <w:rFonts w:ascii="Times New Roman" w:hAnsi="Times New Roman"/>
          <w:szCs w:val="24"/>
        </w:rPr>
        <w:t>in what it refers to Tree-Weighted Prioritization List” or “1-n” ranking approach</w:t>
      </w:r>
      <w:r w:rsidR="00D523C8" w:rsidRPr="006D077E">
        <w:rPr>
          <w:rFonts w:ascii="Times New Roman" w:hAnsi="Times New Roman"/>
          <w:szCs w:val="24"/>
        </w:rPr>
        <w:t>.</w:t>
      </w:r>
      <w:r w:rsidRPr="006D077E">
        <w:rPr>
          <w:rFonts w:ascii="Times New Roman" w:hAnsi="Times New Roman"/>
          <w:szCs w:val="24"/>
        </w:rPr>
        <w:t xml:space="preserve"> </w:t>
      </w:r>
      <w:r w:rsidR="00D523C8" w:rsidRPr="006D077E">
        <w:rPr>
          <w:rFonts w:ascii="Times New Roman" w:hAnsi="Times New Roman"/>
          <w:szCs w:val="24"/>
        </w:rPr>
        <w:t xml:space="preserve">PG&amp;E, </w:t>
      </w:r>
      <w:r w:rsidR="00D523C8" w:rsidRPr="006D077E">
        <w:rPr>
          <w:rFonts w:ascii="Times New Roman" w:hAnsi="Times New Roman"/>
          <w:szCs w:val="24"/>
          <w:lang w:val="en-ZW"/>
        </w:rPr>
        <w:t xml:space="preserve">May 6, 2021 CAP, </w:t>
      </w:r>
      <w:r w:rsidR="00D523C8" w:rsidRPr="006D077E">
        <w:rPr>
          <w:rFonts w:ascii="Times New Roman" w:hAnsi="Times New Roman"/>
          <w:szCs w:val="24"/>
        </w:rPr>
        <w:t xml:space="preserve">at 11, available at </w:t>
      </w:r>
      <w:hyperlink r:id="rId15" w:history="1">
        <w:r w:rsidR="00D523C8" w:rsidRPr="006D077E">
          <w:rPr>
            <w:rStyle w:val="Hyperlink"/>
            <w:rFonts w:ascii="Times New Roman" w:hAnsi="Times New Roman"/>
            <w:szCs w:val="24"/>
          </w:rPr>
          <w:t>pge-corrective-action-plan_050621.pdf (ca.gov)</w:t>
        </w:r>
      </w:hyperlink>
      <w:r w:rsidR="00D523C8" w:rsidRPr="006D077E">
        <w:rPr>
          <w:rFonts w:ascii="Times New Roman" w:hAnsi="Times New Roman"/>
          <w:szCs w:val="24"/>
        </w:rPr>
        <w:t>.</w:t>
      </w:r>
    </w:p>
  </w:footnote>
  <w:footnote w:id="22">
    <w:p w14:paraId="1C1FC284" w14:textId="53845EF5" w:rsidR="007915B5" w:rsidRPr="006D077E" w:rsidRDefault="007915B5"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294142" w:rsidRPr="006D077E">
        <w:rPr>
          <w:rFonts w:ascii="Times New Roman" w:hAnsi="Times New Roman"/>
          <w:szCs w:val="24"/>
        </w:rPr>
        <w:t>E3 found that the model design of the 2021 Wildfire Distribution Risk Model</w:t>
      </w:r>
      <w:r w:rsidR="00294142" w:rsidRPr="006D077E" w:rsidDel="00EA0008">
        <w:rPr>
          <w:rFonts w:ascii="Times New Roman" w:hAnsi="Times New Roman"/>
          <w:szCs w:val="24"/>
        </w:rPr>
        <w:t xml:space="preserve"> </w:t>
      </w:r>
      <w:r w:rsidR="00294142" w:rsidRPr="006D077E">
        <w:rPr>
          <w:rFonts w:ascii="Times New Roman" w:hAnsi="Times New Roman"/>
          <w:szCs w:val="24"/>
        </w:rPr>
        <w:t>was appropriate to predict ignitions from PG&amp;E’s own equipment.</w:t>
      </w:r>
      <w:r w:rsidR="007411AA" w:rsidRPr="006D077E">
        <w:rPr>
          <w:rFonts w:ascii="Times New Roman" w:hAnsi="Times New Roman"/>
          <w:szCs w:val="24"/>
        </w:rPr>
        <w:t xml:space="preserve"> </w:t>
      </w:r>
      <w:r w:rsidRPr="006D077E">
        <w:rPr>
          <w:rFonts w:ascii="Times New Roman" w:hAnsi="Times New Roman"/>
          <w:szCs w:val="24"/>
        </w:rPr>
        <w:t xml:space="preserve">E3, </w:t>
      </w:r>
      <w:r w:rsidRPr="006D077E">
        <w:rPr>
          <w:rFonts w:ascii="Times New Roman" w:hAnsi="Times New Roman"/>
          <w:i/>
          <w:iCs/>
          <w:szCs w:val="24"/>
        </w:rPr>
        <w:t>Review of PG&amp;E's 2021 Wildfire Distribution Risk Model</w:t>
      </w:r>
      <w:r w:rsidRPr="006D077E">
        <w:rPr>
          <w:rFonts w:ascii="Times New Roman" w:hAnsi="Times New Roman"/>
          <w:szCs w:val="24"/>
        </w:rPr>
        <w:t xml:space="preserve">, May 2021 at 3, available at: </w:t>
      </w:r>
      <w:hyperlink r:id="rId16" w:history="1">
        <w:r w:rsidRPr="006D077E">
          <w:rPr>
            <w:rStyle w:val="Hyperlink"/>
            <w:rFonts w:ascii="Times New Roman" w:hAnsi="Times New Roman"/>
            <w:szCs w:val="24"/>
          </w:rPr>
          <w:t>E3_Review_of_PGEs_2021_Wildfire_Distribution_Risk_Model.pdf (ethree.com)</w:t>
        </w:r>
      </w:hyperlink>
    </w:p>
  </w:footnote>
  <w:footnote w:id="23">
    <w:p w14:paraId="78F22084" w14:textId="5874309C" w:rsidR="00596216" w:rsidRPr="006D077E" w:rsidRDefault="00596216"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6E1D47" w:rsidRPr="006D077E">
        <w:rPr>
          <w:rFonts w:ascii="Times New Roman" w:hAnsi="Times New Roman"/>
          <w:szCs w:val="24"/>
        </w:rPr>
        <w:t xml:space="preserve">PG&amp;E, </w:t>
      </w:r>
      <w:r w:rsidR="00F354B8" w:rsidRPr="006D077E">
        <w:rPr>
          <w:rFonts w:ascii="Times New Roman" w:hAnsi="Times New Roman"/>
          <w:szCs w:val="24"/>
          <w:lang w:val="en-ZW"/>
        </w:rPr>
        <w:t xml:space="preserve">May 6, 2021 </w:t>
      </w:r>
      <w:r w:rsidR="000F7AFF" w:rsidRPr="006D077E">
        <w:rPr>
          <w:rFonts w:ascii="Times New Roman" w:hAnsi="Times New Roman"/>
          <w:szCs w:val="24"/>
          <w:lang w:val="en-ZW"/>
        </w:rPr>
        <w:t>CAP</w:t>
      </w:r>
      <w:r w:rsidR="00AC660A" w:rsidRPr="006D077E">
        <w:rPr>
          <w:rFonts w:ascii="Times New Roman" w:hAnsi="Times New Roman"/>
          <w:szCs w:val="24"/>
          <w:lang w:val="en-ZW"/>
        </w:rPr>
        <w:t>,</w:t>
      </w:r>
      <w:r w:rsidR="00F354B8" w:rsidRPr="006D077E">
        <w:rPr>
          <w:rFonts w:ascii="Times New Roman" w:hAnsi="Times New Roman"/>
          <w:szCs w:val="24"/>
          <w:lang w:val="en-ZW"/>
        </w:rPr>
        <w:t xml:space="preserve"> </w:t>
      </w:r>
      <w:r w:rsidR="00734068" w:rsidRPr="006D077E">
        <w:rPr>
          <w:rFonts w:ascii="Times New Roman" w:hAnsi="Times New Roman"/>
          <w:szCs w:val="24"/>
        </w:rPr>
        <w:t>at 7-</w:t>
      </w:r>
      <w:r w:rsidR="001034B6" w:rsidRPr="006D077E">
        <w:rPr>
          <w:rFonts w:ascii="Times New Roman" w:hAnsi="Times New Roman"/>
          <w:szCs w:val="24"/>
        </w:rPr>
        <w:t>10</w:t>
      </w:r>
      <w:r w:rsidR="00D22B17" w:rsidRPr="006D077E">
        <w:rPr>
          <w:rFonts w:ascii="Times New Roman" w:hAnsi="Times New Roman"/>
          <w:szCs w:val="24"/>
        </w:rPr>
        <w:t xml:space="preserve"> and 18</w:t>
      </w:r>
      <w:r w:rsidR="008E6441" w:rsidRPr="006D077E">
        <w:rPr>
          <w:rFonts w:ascii="Times New Roman" w:hAnsi="Times New Roman"/>
          <w:szCs w:val="24"/>
        </w:rPr>
        <w:t>,</w:t>
      </w:r>
      <w:r w:rsidR="009F227A" w:rsidRPr="006D077E">
        <w:rPr>
          <w:rFonts w:ascii="Times New Roman" w:hAnsi="Times New Roman"/>
          <w:szCs w:val="24"/>
        </w:rPr>
        <w:t xml:space="preserve"> available at </w:t>
      </w:r>
      <w:hyperlink r:id="rId17" w:history="1">
        <w:r w:rsidR="009F227A" w:rsidRPr="006D077E">
          <w:rPr>
            <w:rStyle w:val="Hyperlink"/>
            <w:rFonts w:ascii="Times New Roman" w:hAnsi="Times New Roman"/>
            <w:szCs w:val="24"/>
          </w:rPr>
          <w:t>pge-corrective-action-plan_050621.pdf (ca.gov)</w:t>
        </w:r>
      </w:hyperlink>
      <w:r w:rsidR="009F227A" w:rsidRPr="006D077E">
        <w:rPr>
          <w:rFonts w:ascii="Times New Roman" w:hAnsi="Times New Roman"/>
          <w:szCs w:val="24"/>
        </w:rPr>
        <w:t>.</w:t>
      </w:r>
    </w:p>
  </w:footnote>
  <w:footnote w:id="24">
    <w:p w14:paraId="439EEDD1" w14:textId="664BB600" w:rsidR="003636E8" w:rsidRPr="006D077E" w:rsidRDefault="003636E8"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6E1D47" w:rsidRPr="006D077E">
        <w:rPr>
          <w:rFonts w:ascii="Times New Roman" w:hAnsi="Times New Roman"/>
          <w:szCs w:val="24"/>
        </w:rPr>
        <w:t xml:space="preserve">PG&amp;E, </w:t>
      </w:r>
      <w:r w:rsidRPr="006D077E">
        <w:rPr>
          <w:rFonts w:ascii="Times New Roman" w:hAnsi="Times New Roman"/>
          <w:szCs w:val="24"/>
          <w:lang w:val="en-ZW"/>
        </w:rPr>
        <w:t xml:space="preserve">May 6, 2021 </w:t>
      </w:r>
      <w:r w:rsidR="000F7AFF" w:rsidRPr="006D077E">
        <w:rPr>
          <w:rFonts w:ascii="Times New Roman" w:hAnsi="Times New Roman"/>
          <w:szCs w:val="24"/>
          <w:lang w:val="en-ZW"/>
        </w:rPr>
        <w:t>CAP</w:t>
      </w:r>
      <w:r w:rsidR="00AC660A" w:rsidRPr="006D077E">
        <w:rPr>
          <w:rFonts w:ascii="Times New Roman" w:hAnsi="Times New Roman"/>
          <w:szCs w:val="24"/>
          <w:lang w:val="en-ZW"/>
        </w:rPr>
        <w:t>,</w:t>
      </w:r>
      <w:r w:rsidRPr="006D077E">
        <w:rPr>
          <w:rFonts w:ascii="Times New Roman" w:hAnsi="Times New Roman"/>
          <w:szCs w:val="24"/>
          <w:lang w:val="en-ZW"/>
        </w:rPr>
        <w:t xml:space="preserve"> at 15-18</w:t>
      </w:r>
      <w:r w:rsidR="008E6441" w:rsidRPr="006D077E">
        <w:rPr>
          <w:rFonts w:ascii="Times New Roman" w:hAnsi="Times New Roman"/>
          <w:szCs w:val="24"/>
          <w:lang w:val="en-ZW"/>
        </w:rPr>
        <w:t>,</w:t>
      </w:r>
      <w:r w:rsidR="009F227A" w:rsidRPr="006D077E">
        <w:rPr>
          <w:rFonts w:ascii="Times New Roman" w:hAnsi="Times New Roman"/>
          <w:szCs w:val="24"/>
          <w:lang w:val="en-ZW"/>
        </w:rPr>
        <w:t xml:space="preserve"> </w:t>
      </w:r>
      <w:r w:rsidR="009F227A" w:rsidRPr="006D077E">
        <w:rPr>
          <w:rFonts w:ascii="Times New Roman" w:hAnsi="Times New Roman"/>
          <w:szCs w:val="24"/>
        </w:rPr>
        <w:t xml:space="preserve">available at </w:t>
      </w:r>
      <w:hyperlink r:id="rId18" w:history="1">
        <w:r w:rsidR="009F227A" w:rsidRPr="006D077E">
          <w:rPr>
            <w:rStyle w:val="Hyperlink"/>
            <w:rFonts w:ascii="Times New Roman" w:hAnsi="Times New Roman"/>
            <w:szCs w:val="24"/>
          </w:rPr>
          <w:t>pge-corrective-action-plan_050621.pdf (ca.gov)</w:t>
        </w:r>
      </w:hyperlink>
      <w:r w:rsidR="009F227A" w:rsidRPr="006D077E">
        <w:rPr>
          <w:rFonts w:ascii="Times New Roman" w:hAnsi="Times New Roman"/>
          <w:szCs w:val="24"/>
        </w:rPr>
        <w:t>.</w:t>
      </w:r>
    </w:p>
  </w:footnote>
  <w:footnote w:id="25">
    <w:p w14:paraId="6FF06821" w14:textId="3A324564" w:rsidR="006E26FE" w:rsidRPr="006D077E" w:rsidRDefault="006E26FE"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6E1D47" w:rsidRPr="006D077E">
        <w:rPr>
          <w:rFonts w:ascii="Times New Roman" w:hAnsi="Times New Roman"/>
          <w:szCs w:val="24"/>
        </w:rPr>
        <w:t xml:space="preserve">PG&amp;E, </w:t>
      </w:r>
      <w:r w:rsidRPr="006D077E">
        <w:rPr>
          <w:rFonts w:ascii="Times New Roman" w:hAnsi="Times New Roman"/>
          <w:szCs w:val="24"/>
          <w:lang w:val="en-ZW"/>
        </w:rPr>
        <w:t>August 4,</w:t>
      </w:r>
      <w:r w:rsidR="00081D22" w:rsidRPr="006D077E">
        <w:rPr>
          <w:rFonts w:ascii="Times New Roman" w:hAnsi="Times New Roman"/>
          <w:szCs w:val="24"/>
          <w:lang w:val="en-ZW"/>
        </w:rPr>
        <w:t xml:space="preserve"> </w:t>
      </w:r>
      <w:r w:rsidRPr="006D077E">
        <w:rPr>
          <w:rFonts w:ascii="Times New Roman" w:hAnsi="Times New Roman"/>
          <w:szCs w:val="24"/>
          <w:lang w:val="en-ZW"/>
        </w:rPr>
        <w:t xml:space="preserve">2021 </w:t>
      </w:r>
      <w:r w:rsidR="000F7AFF" w:rsidRPr="006D077E">
        <w:rPr>
          <w:rFonts w:ascii="Times New Roman" w:hAnsi="Times New Roman"/>
          <w:szCs w:val="24"/>
          <w:lang w:val="en-ZW"/>
        </w:rPr>
        <w:t>CAP</w:t>
      </w:r>
      <w:r w:rsidR="00AC660A" w:rsidRPr="006D077E">
        <w:rPr>
          <w:rFonts w:ascii="Times New Roman" w:hAnsi="Times New Roman"/>
          <w:szCs w:val="24"/>
          <w:lang w:val="en-ZW"/>
        </w:rPr>
        <w:t>,</w:t>
      </w:r>
      <w:r w:rsidR="00774886" w:rsidRPr="006D077E">
        <w:rPr>
          <w:rFonts w:ascii="Times New Roman" w:hAnsi="Times New Roman"/>
          <w:szCs w:val="24"/>
          <w:lang w:val="en-ZW"/>
        </w:rPr>
        <w:t xml:space="preserve"> Update</w:t>
      </w:r>
      <w:r w:rsidR="00041879" w:rsidRPr="006D077E">
        <w:rPr>
          <w:rFonts w:ascii="Times New Roman" w:hAnsi="Times New Roman"/>
          <w:szCs w:val="24"/>
          <w:lang w:val="en-ZW"/>
        </w:rPr>
        <w:t>,</w:t>
      </w:r>
      <w:r w:rsidR="00774886" w:rsidRPr="006D077E">
        <w:rPr>
          <w:rFonts w:ascii="Times New Roman" w:hAnsi="Times New Roman"/>
          <w:szCs w:val="24"/>
        </w:rPr>
        <w:t xml:space="preserve"> </w:t>
      </w:r>
      <w:r w:rsidR="00650B80" w:rsidRPr="006D077E">
        <w:rPr>
          <w:rFonts w:ascii="Times New Roman" w:hAnsi="Times New Roman"/>
          <w:szCs w:val="24"/>
          <w:lang w:val="en-ZW"/>
        </w:rPr>
        <w:t xml:space="preserve">at </w:t>
      </w:r>
      <w:r w:rsidRPr="006D077E">
        <w:rPr>
          <w:rFonts w:ascii="Times New Roman" w:hAnsi="Times New Roman"/>
          <w:szCs w:val="24"/>
          <w:lang w:val="en-ZW"/>
        </w:rPr>
        <w:t>8-11</w:t>
      </w:r>
      <w:r w:rsidR="008E6441" w:rsidRPr="006D077E">
        <w:rPr>
          <w:rFonts w:ascii="Times New Roman" w:hAnsi="Times New Roman"/>
          <w:szCs w:val="24"/>
          <w:lang w:val="en-ZW"/>
        </w:rPr>
        <w:t xml:space="preserve">, available at </w:t>
      </w:r>
      <w:hyperlink r:id="rId19" w:history="1">
        <w:r w:rsidR="008E6441" w:rsidRPr="006D077E">
          <w:rPr>
            <w:rStyle w:val="Hyperlink"/>
            <w:rFonts w:ascii="Times New Roman" w:hAnsi="Times New Roman"/>
            <w:szCs w:val="24"/>
          </w:rPr>
          <w:t>pdfa_planofreorganizationoii-2019_report-pge_20210804-public.pdf (ca.gov)</w:t>
        </w:r>
      </w:hyperlink>
      <w:r w:rsidRPr="006D077E">
        <w:rPr>
          <w:rFonts w:ascii="Times New Roman" w:hAnsi="Times New Roman"/>
          <w:szCs w:val="24"/>
          <w:lang w:val="en-ZW"/>
        </w:rPr>
        <w:t>.</w:t>
      </w:r>
    </w:p>
  </w:footnote>
  <w:footnote w:id="26">
    <w:p w14:paraId="3E2547A4" w14:textId="635033BD" w:rsidR="000F5880" w:rsidRPr="00B51455" w:rsidRDefault="000F5880" w:rsidP="006D077E">
      <w:pPr>
        <w:pStyle w:val="FootnoteText"/>
        <w:numPr>
          <w:ilvl w:val="0"/>
          <w:numId w:val="0"/>
        </w:numPr>
        <w:spacing w:after="120" w:line="240" w:lineRule="exact"/>
        <w:rPr>
          <w:rFonts w:ascii="Times New Roman" w:hAnsi="Times New Roman"/>
          <w:szCs w:val="24"/>
        </w:rPr>
      </w:pPr>
      <w:r w:rsidRPr="00B51455">
        <w:rPr>
          <w:rStyle w:val="FootnoteReference"/>
          <w:rFonts w:ascii="Times New Roman" w:hAnsi="Times New Roman"/>
          <w:b/>
          <w:bCs/>
          <w:szCs w:val="24"/>
          <w:u w:val="single"/>
        </w:rPr>
        <w:footnoteRef/>
      </w:r>
      <w:r w:rsidRPr="00B51455">
        <w:rPr>
          <w:rFonts w:ascii="Times New Roman" w:hAnsi="Times New Roman"/>
          <w:szCs w:val="24"/>
        </w:rPr>
        <w:t xml:space="preserve"> </w:t>
      </w:r>
      <w:r w:rsidR="00493137" w:rsidRPr="00B51455">
        <w:rPr>
          <w:rFonts w:ascii="Times New Roman" w:hAnsi="Times New Roman"/>
          <w:szCs w:val="24"/>
        </w:rPr>
        <w:t xml:space="preserve">PG&amp;E </w:t>
      </w:r>
      <w:r w:rsidR="00CE616D" w:rsidRPr="00B51455">
        <w:rPr>
          <w:rFonts w:ascii="Times New Roman" w:hAnsi="Times New Roman"/>
          <w:szCs w:val="24"/>
        </w:rPr>
        <w:t>P</w:t>
      </w:r>
      <w:r w:rsidR="00493137" w:rsidRPr="00B51455">
        <w:rPr>
          <w:rFonts w:ascii="Times New Roman" w:hAnsi="Times New Roman"/>
          <w:szCs w:val="24"/>
        </w:rPr>
        <w:t>resentation</w:t>
      </w:r>
      <w:r w:rsidR="005A62FA" w:rsidRPr="00B51455">
        <w:rPr>
          <w:rFonts w:ascii="Times New Roman" w:hAnsi="Times New Roman"/>
          <w:szCs w:val="24"/>
        </w:rPr>
        <w:t xml:space="preserve">, </w:t>
      </w:r>
      <w:r w:rsidR="004D789C" w:rsidRPr="00B51455">
        <w:rPr>
          <w:rFonts w:ascii="Times New Roman" w:hAnsi="Times New Roman"/>
          <w:szCs w:val="24"/>
        </w:rPr>
        <w:t xml:space="preserve">“Enhanced Vegetation Management,” </w:t>
      </w:r>
      <w:r w:rsidR="008854E3" w:rsidRPr="00B51455">
        <w:rPr>
          <w:rFonts w:ascii="Times New Roman" w:hAnsi="Times New Roman"/>
          <w:szCs w:val="24"/>
        </w:rPr>
        <w:t>California Publ</w:t>
      </w:r>
      <w:r w:rsidR="009C0A08" w:rsidRPr="00B51455">
        <w:rPr>
          <w:rFonts w:ascii="Times New Roman" w:hAnsi="Times New Roman"/>
          <w:szCs w:val="24"/>
        </w:rPr>
        <w:t>ic Utilities Commission 2</w:t>
      </w:r>
      <w:r w:rsidR="009C0A08" w:rsidRPr="00B51455">
        <w:rPr>
          <w:rFonts w:ascii="Times New Roman" w:hAnsi="Times New Roman"/>
          <w:szCs w:val="24"/>
          <w:vertAlign w:val="superscript"/>
        </w:rPr>
        <w:t>nd</w:t>
      </w:r>
      <w:r w:rsidR="009C0A08" w:rsidRPr="00B51455">
        <w:rPr>
          <w:rFonts w:ascii="Times New Roman" w:hAnsi="Times New Roman"/>
          <w:szCs w:val="24"/>
        </w:rPr>
        <w:t xml:space="preserve"> Public </w:t>
      </w:r>
      <w:r w:rsidR="008C2777" w:rsidRPr="00B51455">
        <w:rPr>
          <w:rFonts w:ascii="Times New Roman" w:hAnsi="Times New Roman"/>
          <w:szCs w:val="24"/>
        </w:rPr>
        <w:t>Workshop</w:t>
      </w:r>
      <w:r w:rsidR="009C0A08" w:rsidRPr="00B51455">
        <w:rPr>
          <w:rFonts w:ascii="Times New Roman" w:hAnsi="Times New Roman"/>
          <w:szCs w:val="24"/>
        </w:rPr>
        <w:t xml:space="preserve"> on PG&amp;E Enhanced Oversight and </w:t>
      </w:r>
      <w:r w:rsidR="008C2777" w:rsidRPr="00B51455">
        <w:rPr>
          <w:rFonts w:ascii="Times New Roman" w:hAnsi="Times New Roman"/>
          <w:szCs w:val="24"/>
        </w:rPr>
        <w:t>Enforcement</w:t>
      </w:r>
      <w:r w:rsidR="009C0A08" w:rsidRPr="00B51455">
        <w:rPr>
          <w:rFonts w:ascii="Times New Roman" w:hAnsi="Times New Roman"/>
          <w:szCs w:val="24"/>
        </w:rPr>
        <w:t xml:space="preserve"> Process</w:t>
      </w:r>
      <w:r w:rsidR="00760F4A" w:rsidRPr="00B51455">
        <w:rPr>
          <w:rFonts w:ascii="Times New Roman" w:hAnsi="Times New Roman"/>
          <w:szCs w:val="24"/>
        </w:rPr>
        <w:t xml:space="preserve">, </w:t>
      </w:r>
      <w:r w:rsidR="00810665" w:rsidRPr="00B51455">
        <w:rPr>
          <w:rFonts w:ascii="Times New Roman" w:hAnsi="Times New Roman"/>
          <w:szCs w:val="24"/>
          <w:lang w:val="en-ZW"/>
        </w:rPr>
        <w:t>November 8, 2021</w:t>
      </w:r>
      <w:r w:rsidR="00A874AD" w:rsidRPr="00B51455">
        <w:rPr>
          <w:rFonts w:ascii="Times New Roman" w:hAnsi="Times New Roman"/>
          <w:szCs w:val="24"/>
          <w:lang w:val="en-ZW"/>
        </w:rPr>
        <w:t xml:space="preserve">, </w:t>
      </w:r>
      <w:r w:rsidR="00810665" w:rsidRPr="00B51455">
        <w:rPr>
          <w:rFonts w:ascii="Times New Roman" w:hAnsi="Times New Roman"/>
          <w:szCs w:val="24"/>
          <w:lang w:val="en-ZW"/>
        </w:rPr>
        <w:t xml:space="preserve">at </w:t>
      </w:r>
      <w:r w:rsidR="001022FF" w:rsidRPr="00B51455">
        <w:rPr>
          <w:rFonts w:ascii="Times New Roman" w:hAnsi="Times New Roman"/>
          <w:szCs w:val="24"/>
          <w:lang w:val="en-ZW"/>
        </w:rPr>
        <w:t>s</w:t>
      </w:r>
      <w:r w:rsidR="00F91CEB" w:rsidRPr="00B51455">
        <w:rPr>
          <w:rFonts w:ascii="Times New Roman" w:hAnsi="Times New Roman"/>
          <w:szCs w:val="24"/>
          <w:lang w:val="en-ZW"/>
        </w:rPr>
        <w:t xml:space="preserve">lide </w:t>
      </w:r>
      <w:r w:rsidR="00810665" w:rsidRPr="00B51455">
        <w:rPr>
          <w:rFonts w:ascii="Times New Roman" w:hAnsi="Times New Roman"/>
          <w:szCs w:val="24"/>
          <w:lang w:val="en-ZW"/>
        </w:rPr>
        <w:t>7</w:t>
      </w:r>
      <w:r w:rsidR="00825952" w:rsidRPr="00B51455">
        <w:rPr>
          <w:rFonts w:ascii="Times New Roman" w:hAnsi="Times New Roman"/>
          <w:szCs w:val="24"/>
          <w:lang w:val="en-ZW"/>
        </w:rPr>
        <w:t>-8</w:t>
      </w:r>
      <w:r w:rsidR="00B51455" w:rsidRPr="00B51455">
        <w:rPr>
          <w:rFonts w:ascii="Times New Roman" w:hAnsi="Times New Roman"/>
          <w:szCs w:val="24"/>
        </w:rPr>
        <w:t xml:space="preserve">, available at </w:t>
      </w:r>
      <w:hyperlink r:id="rId20" w:history="1">
        <w:r w:rsidR="00B51455" w:rsidRPr="008A43C0">
          <w:rPr>
            <w:rStyle w:val="Hyperlink"/>
            <w:rFonts w:ascii="Times New Roman" w:hAnsi="Times New Roman"/>
          </w:rPr>
          <w:t>Enhanced Oversight and Enforcement of PG&amp;E (ca.gov)</w:t>
        </w:r>
      </w:hyperlink>
      <w:r w:rsidR="00810665" w:rsidRPr="00B51455">
        <w:rPr>
          <w:rFonts w:ascii="Times New Roman" w:hAnsi="Times New Roman"/>
          <w:szCs w:val="24"/>
        </w:rPr>
        <w:t xml:space="preserve">.  </w:t>
      </w:r>
    </w:p>
  </w:footnote>
  <w:footnote w:id="27">
    <w:p w14:paraId="17136A19" w14:textId="359CE24C" w:rsidR="00E87534" w:rsidRPr="006D077E" w:rsidRDefault="00E87534"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Pr="006D077E">
        <w:rPr>
          <w:rFonts w:ascii="Times New Roman" w:hAnsi="Times New Roman"/>
          <w:szCs w:val="24"/>
          <w:lang w:val="en-ZW"/>
        </w:rPr>
        <w:t xml:space="preserve">PG&amp;E states that 63 of the 88 miles are within the top 20 percent highest risk areas. </w:t>
      </w:r>
      <w:r w:rsidR="00473D25" w:rsidRPr="006D077E">
        <w:rPr>
          <w:rFonts w:ascii="Times New Roman" w:hAnsi="Times New Roman"/>
          <w:szCs w:val="24"/>
          <w:lang w:val="en-ZW"/>
        </w:rPr>
        <w:t xml:space="preserve">PG&amp;E, </w:t>
      </w:r>
      <w:r w:rsidRPr="006D077E">
        <w:rPr>
          <w:rFonts w:ascii="Times New Roman" w:hAnsi="Times New Roman"/>
          <w:szCs w:val="24"/>
          <w:lang w:val="en-ZW"/>
        </w:rPr>
        <w:t xml:space="preserve">February 2, 2022 </w:t>
      </w:r>
      <w:r w:rsidR="00F1080B" w:rsidRPr="006D077E">
        <w:rPr>
          <w:rFonts w:ascii="Times New Roman" w:hAnsi="Times New Roman"/>
          <w:szCs w:val="24"/>
        </w:rPr>
        <w:t>CAP</w:t>
      </w:r>
      <w:r w:rsidR="00F1080B" w:rsidRPr="006D077E">
        <w:rPr>
          <w:rFonts w:ascii="Times New Roman" w:hAnsi="Times New Roman"/>
          <w:szCs w:val="24"/>
          <w:lang w:val="en-ZW"/>
        </w:rPr>
        <w:t xml:space="preserve"> </w:t>
      </w:r>
      <w:r w:rsidRPr="006D077E">
        <w:rPr>
          <w:rFonts w:ascii="Times New Roman" w:hAnsi="Times New Roman"/>
          <w:szCs w:val="24"/>
          <w:lang w:val="en-ZW"/>
        </w:rPr>
        <w:t>Update, Table 2</w:t>
      </w:r>
      <w:r w:rsidR="00961294" w:rsidRPr="006D077E">
        <w:rPr>
          <w:rFonts w:ascii="Times New Roman" w:hAnsi="Times New Roman"/>
          <w:szCs w:val="24"/>
          <w:lang w:val="en-ZW"/>
        </w:rPr>
        <w:t>,</w:t>
      </w:r>
      <w:r w:rsidR="00D90367" w:rsidRPr="006D077E">
        <w:rPr>
          <w:rFonts w:ascii="Times New Roman" w:hAnsi="Times New Roman"/>
          <w:szCs w:val="24"/>
          <w:lang w:val="en-ZW"/>
        </w:rPr>
        <w:t xml:space="preserve"> available at </w:t>
      </w:r>
      <w:hyperlink r:id="rId21" w:history="1">
        <w:r w:rsidR="00D90367" w:rsidRPr="006D077E">
          <w:rPr>
            <w:rStyle w:val="Hyperlink"/>
            <w:rFonts w:ascii="Times New Roman" w:hAnsi="Times New Roman"/>
            <w:szCs w:val="24"/>
          </w:rPr>
          <w:t>pge-90-day-report_02022022.pdf (ca.gov)</w:t>
        </w:r>
      </w:hyperlink>
      <w:r w:rsidRPr="006D077E">
        <w:rPr>
          <w:rFonts w:ascii="Times New Roman" w:hAnsi="Times New Roman"/>
          <w:szCs w:val="24"/>
          <w:lang w:val="en-ZW"/>
        </w:rPr>
        <w:t>.</w:t>
      </w:r>
    </w:p>
  </w:footnote>
  <w:footnote w:id="28">
    <w:p w14:paraId="6D8421E3" w14:textId="5EA256B3" w:rsidR="00D727F3" w:rsidRPr="006D077E" w:rsidRDefault="00D727F3"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473D25" w:rsidRPr="006D077E">
        <w:rPr>
          <w:rFonts w:ascii="Times New Roman" w:hAnsi="Times New Roman"/>
          <w:szCs w:val="24"/>
          <w:lang w:val="en-ZW"/>
        </w:rPr>
        <w:t xml:space="preserve">PG&amp;E, </w:t>
      </w:r>
      <w:r w:rsidRPr="006D077E">
        <w:rPr>
          <w:rFonts w:ascii="Times New Roman" w:hAnsi="Times New Roman"/>
          <w:szCs w:val="24"/>
          <w:lang w:val="en-ZW"/>
        </w:rPr>
        <w:t xml:space="preserve">August 4, 2021 </w:t>
      </w:r>
      <w:r w:rsidR="00F1080B" w:rsidRPr="006D077E">
        <w:rPr>
          <w:rFonts w:ascii="Times New Roman" w:hAnsi="Times New Roman"/>
          <w:szCs w:val="24"/>
        </w:rPr>
        <w:t>CAP</w:t>
      </w:r>
      <w:r w:rsidRPr="006D077E">
        <w:rPr>
          <w:rFonts w:ascii="Times New Roman" w:hAnsi="Times New Roman"/>
          <w:szCs w:val="24"/>
          <w:lang w:val="en-ZW"/>
        </w:rPr>
        <w:t>Update, Table 5, at 14</w:t>
      </w:r>
      <w:r w:rsidR="00891153" w:rsidRPr="006D077E">
        <w:rPr>
          <w:rFonts w:ascii="Times New Roman" w:hAnsi="Times New Roman"/>
          <w:szCs w:val="24"/>
          <w:lang w:val="en-ZW"/>
        </w:rPr>
        <w:t>-15</w:t>
      </w:r>
      <w:r w:rsidR="005948B3" w:rsidRPr="006D077E">
        <w:rPr>
          <w:rFonts w:ascii="Times New Roman" w:hAnsi="Times New Roman"/>
          <w:szCs w:val="24"/>
          <w:lang w:val="en-ZW"/>
        </w:rPr>
        <w:t xml:space="preserve">, available at </w:t>
      </w:r>
      <w:hyperlink r:id="rId22" w:history="1">
        <w:r w:rsidR="005948B3" w:rsidRPr="006D077E">
          <w:rPr>
            <w:rStyle w:val="Hyperlink"/>
            <w:rFonts w:ascii="Times New Roman" w:hAnsi="Times New Roman"/>
            <w:szCs w:val="24"/>
          </w:rPr>
          <w:t>pdfa_planofreorganizationoii-2019_report-pge_20210804-public.pdf (ca.gov)</w:t>
        </w:r>
      </w:hyperlink>
      <w:r w:rsidRPr="006D077E">
        <w:rPr>
          <w:rFonts w:ascii="Times New Roman" w:hAnsi="Times New Roman"/>
          <w:szCs w:val="24"/>
          <w:lang w:val="en-ZW"/>
        </w:rPr>
        <w:t>.</w:t>
      </w:r>
    </w:p>
  </w:footnote>
  <w:footnote w:id="29">
    <w:p w14:paraId="1C6AE962" w14:textId="2CE7FA43" w:rsidR="005A1571" w:rsidRPr="006D077E" w:rsidRDefault="005A1571"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473D25" w:rsidRPr="006D077E">
        <w:rPr>
          <w:rFonts w:ascii="Times New Roman" w:hAnsi="Times New Roman"/>
          <w:szCs w:val="24"/>
          <w:lang w:val="en-ZW"/>
        </w:rPr>
        <w:t xml:space="preserve">PG&amp;E, </w:t>
      </w:r>
      <w:r w:rsidR="004F5431" w:rsidRPr="006D077E">
        <w:rPr>
          <w:rFonts w:ascii="Times New Roman" w:hAnsi="Times New Roman"/>
          <w:szCs w:val="24"/>
          <w:lang w:val="en-ZW"/>
        </w:rPr>
        <w:t xml:space="preserve">November 4, 2021 </w:t>
      </w:r>
      <w:r w:rsidR="00F1080B" w:rsidRPr="006D077E">
        <w:rPr>
          <w:rFonts w:ascii="Times New Roman" w:hAnsi="Times New Roman"/>
          <w:szCs w:val="24"/>
        </w:rPr>
        <w:t>CAP</w:t>
      </w:r>
      <w:r w:rsidR="004F5431" w:rsidRPr="006D077E">
        <w:rPr>
          <w:rFonts w:ascii="Times New Roman" w:hAnsi="Times New Roman"/>
          <w:szCs w:val="24"/>
          <w:lang w:val="en-ZW"/>
        </w:rPr>
        <w:t>, at 13-14</w:t>
      </w:r>
      <w:r w:rsidR="009A50D3" w:rsidRPr="006D077E">
        <w:rPr>
          <w:rFonts w:ascii="Times New Roman" w:hAnsi="Times New Roman"/>
          <w:szCs w:val="24"/>
          <w:lang w:val="en-ZW"/>
        </w:rPr>
        <w:t xml:space="preserve">, </w:t>
      </w:r>
      <w:r w:rsidR="00D90D19" w:rsidRPr="006D077E">
        <w:rPr>
          <w:rFonts w:ascii="Times New Roman" w:hAnsi="Times New Roman"/>
          <w:szCs w:val="24"/>
          <w:lang w:val="en-ZW"/>
        </w:rPr>
        <w:t xml:space="preserve">available at </w:t>
      </w:r>
      <w:hyperlink r:id="rId23" w:history="1">
        <w:r w:rsidR="00D90D19" w:rsidRPr="006D077E">
          <w:rPr>
            <w:rStyle w:val="Hyperlink"/>
            <w:rFonts w:ascii="Times New Roman" w:hAnsi="Times New Roman"/>
            <w:szCs w:val="24"/>
          </w:rPr>
          <w:t>corrective-action-plan_november-90-day-report_110421.pdf (ca.gov)</w:t>
        </w:r>
      </w:hyperlink>
      <w:r w:rsidR="004F5431" w:rsidRPr="006D077E">
        <w:rPr>
          <w:rFonts w:ascii="Times New Roman" w:hAnsi="Times New Roman"/>
          <w:szCs w:val="24"/>
          <w:lang w:val="en-ZW"/>
        </w:rPr>
        <w:t>.</w:t>
      </w:r>
    </w:p>
  </w:footnote>
  <w:footnote w:id="30">
    <w:p w14:paraId="08F537C2" w14:textId="652CA414" w:rsidR="00A96D77" w:rsidRPr="006D077E" w:rsidRDefault="00A96D77"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567282" w:rsidRPr="006D077E">
        <w:rPr>
          <w:rFonts w:ascii="Times New Roman" w:hAnsi="Times New Roman"/>
          <w:szCs w:val="24"/>
        </w:rPr>
        <w:t xml:space="preserve">PG&amp;E </w:t>
      </w:r>
      <w:r w:rsidR="00A428AC" w:rsidRPr="006D077E">
        <w:rPr>
          <w:rFonts w:ascii="Times New Roman" w:hAnsi="Times New Roman"/>
          <w:szCs w:val="24"/>
        </w:rPr>
        <w:t>P</w:t>
      </w:r>
      <w:r w:rsidR="00567282" w:rsidRPr="006D077E">
        <w:rPr>
          <w:rFonts w:ascii="Times New Roman" w:hAnsi="Times New Roman"/>
          <w:szCs w:val="24"/>
        </w:rPr>
        <w:t>resentation, “Enhanced Vegetation Management,” California Public Utilities Commission 2</w:t>
      </w:r>
      <w:r w:rsidR="00567282" w:rsidRPr="006D077E">
        <w:rPr>
          <w:rFonts w:ascii="Times New Roman" w:hAnsi="Times New Roman"/>
          <w:szCs w:val="24"/>
          <w:vertAlign w:val="superscript"/>
        </w:rPr>
        <w:t>nd</w:t>
      </w:r>
      <w:r w:rsidR="00567282" w:rsidRPr="006D077E">
        <w:rPr>
          <w:rFonts w:ascii="Times New Roman" w:hAnsi="Times New Roman"/>
          <w:szCs w:val="24"/>
        </w:rPr>
        <w:t xml:space="preserve"> Public Workshop on PG&amp;E Enhanced Oversight and Enforcement Process, </w:t>
      </w:r>
      <w:r w:rsidR="00567282" w:rsidRPr="006D077E">
        <w:rPr>
          <w:rFonts w:ascii="Times New Roman" w:hAnsi="Times New Roman"/>
          <w:szCs w:val="24"/>
          <w:lang w:val="en-ZW"/>
        </w:rPr>
        <w:t xml:space="preserve">November 8, 2021, at </w:t>
      </w:r>
      <w:r w:rsidR="001022FF" w:rsidRPr="006D077E">
        <w:rPr>
          <w:rFonts w:ascii="Times New Roman" w:hAnsi="Times New Roman"/>
          <w:szCs w:val="24"/>
          <w:lang w:val="en-ZW"/>
        </w:rPr>
        <w:t>s</w:t>
      </w:r>
      <w:r w:rsidR="00F91CEB" w:rsidRPr="006D077E">
        <w:rPr>
          <w:rFonts w:ascii="Times New Roman" w:hAnsi="Times New Roman"/>
          <w:szCs w:val="24"/>
          <w:lang w:val="en-ZW"/>
        </w:rPr>
        <w:t xml:space="preserve">lide </w:t>
      </w:r>
      <w:r w:rsidR="00567282" w:rsidRPr="006D077E">
        <w:rPr>
          <w:rFonts w:ascii="Times New Roman" w:hAnsi="Times New Roman"/>
          <w:szCs w:val="24"/>
          <w:lang w:val="en-ZW"/>
        </w:rPr>
        <w:t>7</w:t>
      </w:r>
      <w:r w:rsidR="00825952" w:rsidRPr="006D077E">
        <w:rPr>
          <w:rFonts w:ascii="Times New Roman" w:hAnsi="Times New Roman"/>
          <w:szCs w:val="24"/>
          <w:lang w:val="en-ZW"/>
        </w:rPr>
        <w:t>-8</w:t>
      </w:r>
      <w:r w:rsidR="00B51455">
        <w:rPr>
          <w:rFonts w:ascii="Times New Roman" w:hAnsi="Times New Roman"/>
          <w:szCs w:val="24"/>
          <w:lang w:val="en-ZW"/>
        </w:rPr>
        <w:t xml:space="preserve">, </w:t>
      </w:r>
      <w:r w:rsidR="00B51455" w:rsidRPr="00B51455">
        <w:rPr>
          <w:rFonts w:ascii="Times New Roman" w:hAnsi="Times New Roman"/>
          <w:szCs w:val="24"/>
        </w:rPr>
        <w:t xml:space="preserve">available at </w:t>
      </w:r>
      <w:hyperlink r:id="rId24" w:history="1">
        <w:r w:rsidR="00B51455" w:rsidRPr="005F1C2E">
          <w:rPr>
            <w:rStyle w:val="Hyperlink"/>
            <w:rFonts w:ascii="Times New Roman" w:hAnsi="Times New Roman"/>
          </w:rPr>
          <w:t>Enhanced Oversight and Enforcement of PG&amp;E (ca.gov)</w:t>
        </w:r>
      </w:hyperlink>
      <w:r w:rsidR="00567282" w:rsidRPr="006D077E">
        <w:rPr>
          <w:rFonts w:ascii="Times New Roman" w:hAnsi="Times New Roman"/>
          <w:szCs w:val="24"/>
        </w:rPr>
        <w:t xml:space="preserve">.  </w:t>
      </w:r>
      <w:r w:rsidR="006D5699" w:rsidRPr="006D077E">
        <w:rPr>
          <w:rFonts w:ascii="Times New Roman" w:hAnsi="Times New Roman"/>
          <w:szCs w:val="24"/>
          <w:lang w:val="en-ZW"/>
        </w:rPr>
        <w:t xml:space="preserve">  </w:t>
      </w:r>
    </w:p>
  </w:footnote>
  <w:footnote w:id="31">
    <w:p w14:paraId="43D0F7B5" w14:textId="61A48EE5" w:rsidR="008711F9" w:rsidRPr="006D077E" w:rsidRDefault="008711F9"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473D25" w:rsidRPr="006D077E">
        <w:rPr>
          <w:rFonts w:ascii="Times New Roman" w:hAnsi="Times New Roman"/>
          <w:szCs w:val="24"/>
          <w:lang w:val="en-ZW"/>
        </w:rPr>
        <w:t xml:space="preserve">PG&amp;E, </w:t>
      </w:r>
      <w:r w:rsidR="00031772" w:rsidRPr="006D077E">
        <w:rPr>
          <w:rFonts w:ascii="Times New Roman" w:hAnsi="Times New Roman"/>
          <w:szCs w:val="24"/>
          <w:lang w:val="en-ZW"/>
        </w:rPr>
        <w:t xml:space="preserve">May 6, 2021 </w:t>
      </w:r>
      <w:r w:rsidR="00F1080B" w:rsidRPr="006D077E">
        <w:rPr>
          <w:rFonts w:ascii="Times New Roman" w:hAnsi="Times New Roman"/>
          <w:szCs w:val="24"/>
        </w:rPr>
        <w:t>CAP</w:t>
      </w:r>
      <w:r w:rsidR="00031772" w:rsidRPr="006D077E">
        <w:rPr>
          <w:rFonts w:ascii="Times New Roman" w:hAnsi="Times New Roman"/>
          <w:szCs w:val="24"/>
          <w:lang w:val="en-ZW"/>
        </w:rPr>
        <w:t xml:space="preserve">, at </w:t>
      </w:r>
      <w:r w:rsidR="008476A5" w:rsidRPr="006D077E">
        <w:rPr>
          <w:rFonts w:ascii="Times New Roman" w:hAnsi="Times New Roman"/>
          <w:szCs w:val="24"/>
          <w:lang w:val="en-ZW"/>
        </w:rPr>
        <w:t>18-19</w:t>
      </w:r>
      <w:r w:rsidR="00FA3FA0" w:rsidRPr="006D077E">
        <w:rPr>
          <w:rFonts w:ascii="Times New Roman" w:hAnsi="Times New Roman"/>
          <w:szCs w:val="24"/>
          <w:lang w:val="en-ZW"/>
        </w:rPr>
        <w:t>,</w:t>
      </w:r>
      <w:r w:rsidR="009F227A" w:rsidRPr="006D077E">
        <w:rPr>
          <w:rFonts w:ascii="Times New Roman" w:hAnsi="Times New Roman"/>
          <w:szCs w:val="24"/>
        </w:rPr>
        <w:t xml:space="preserve"> available at </w:t>
      </w:r>
      <w:hyperlink r:id="rId25" w:history="1">
        <w:r w:rsidR="009F227A" w:rsidRPr="006D077E">
          <w:rPr>
            <w:rStyle w:val="Hyperlink"/>
            <w:rFonts w:ascii="Times New Roman" w:hAnsi="Times New Roman"/>
            <w:szCs w:val="24"/>
          </w:rPr>
          <w:t>pge-corrective-action-plan_050621.pdf (ca.gov)</w:t>
        </w:r>
      </w:hyperlink>
      <w:r w:rsidR="009F227A" w:rsidRPr="006D077E">
        <w:rPr>
          <w:rFonts w:ascii="Times New Roman" w:hAnsi="Times New Roman"/>
          <w:szCs w:val="24"/>
        </w:rPr>
        <w:t>.</w:t>
      </w:r>
    </w:p>
  </w:footnote>
  <w:footnote w:id="32">
    <w:p w14:paraId="0E8C97AF" w14:textId="14AA80EF" w:rsidR="00C16195" w:rsidRPr="006D077E" w:rsidRDefault="00C16195"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473D25" w:rsidRPr="006D077E">
        <w:rPr>
          <w:rFonts w:ascii="Times New Roman" w:hAnsi="Times New Roman"/>
          <w:szCs w:val="24"/>
          <w:lang w:val="en-ZW"/>
        </w:rPr>
        <w:t xml:space="preserve">PG&amp;E, </w:t>
      </w:r>
      <w:r w:rsidR="003E6A4D" w:rsidRPr="006D077E">
        <w:rPr>
          <w:rFonts w:ascii="Times New Roman" w:hAnsi="Times New Roman"/>
          <w:szCs w:val="24"/>
          <w:lang w:val="en-ZW"/>
        </w:rPr>
        <w:t xml:space="preserve">May 6, 2021 </w:t>
      </w:r>
      <w:r w:rsidR="00F1080B" w:rsidRPr="006D077E">
        <w:rPr>
          <w:rFonts w:ascii="Times New Roman" w:hAnsi="Times New Roman"/>
          <w:szCs w:val="24"/>
        </w:rPr>
        <w:t>CAP</w:t>
      </w:r>
      <w:r w:rsidR="003E6A4D" w:rsidRPr="006D077E">
        <w:rPr>
          <w:rFonts w:ascii="Times New Roman" w:hAnsi="Times New Roman"/>
          <w:szCs w:val="24"/>
          <w:lang w:val="en-ZW"/>
        </w:rPr>
        <w:t>, Attachment G</w:t>
      </w:r>
      <w:r w:rsidR="00FA3FA0" w:rsidRPr="006D077E">
        <w:rPr>
          <w:rFonts w:ascii="Times New Roman" w:hAnsi="Times New Roman"/>
          <w:szCs w:val="24"/>
          <w:lang w:val="en-ZW"/>
        </w:rPr>
        <w:t>,</w:t>
      </w:r>
      <w:r w:rsidR="009F227A" w:rsidRPr="006D077E">
        <w:rPr>
          <w:rFonts w:ascii="Times New Roman" w:hAnsi="Times New Roman"/>
          <w:szCs w:val="24"/>
          <w:lang w:val="en-ZW"/>
        </w:rPr>
        <w:t xml:space="preserve"> </w:t>
      </w:r>
      <w:r w:rsidR="009F227A" w:rsidRPr="006D077E">
        <w:rPr>
          <w:rFonts w:ascii="Times New Roman" w:hAnsi="Times New Roman"/>
          <w:szCs w:val="24"/>
        </w:rPr>
        <w:t xml:space="preserve">available at </w:t>
      </w:r>
      <w:hyperlink r:id="rId26" w:history="1">
        <w:r w:rsidR="009F227A" w:rsidRPr="006D077E">
          <w:rPr>
            <w:rStyle w:val="Hyperlink"/>
            <w:rFonts w:ascii="Times New Roman" w:hAnsi="Times New Roman"/>
            <w:szCs w:val="24"/>
          </w:rPr>
          <w:t>pge-corrective-action-plan_050621.pdf (ca.gov)</w:t>
        </w:r>
      </w:hyperlink>
      <w:r w:rsidR="009F227A" w:rsidRPr="006D077E">
        <w:rPr>
          <w:rFonts w:ascii="Times New Roman" w:hAnsi="Times New Roman"/>
          <w:szCs w:val="24"/>
        </w:rPr>
        <w:t>.</w:t>
      </w:r>
    </w:p>
  </w:footnote>
  <w:footnote w:id="33">
    <w:p w14:paraId="6976BF63" w14:textId="7EBEA5F6" w:rsidR="007F3E01" w:rsidRPr="006D077E" w:rsidRDefault="007F3E01"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PG&amp;E, May </w:t>
      </w:r>
      <w:r w:rsidR="00C91534" w:rsidRPr="006D077E">
        <w:rPr>
          <w:rFonts w:ascii="Times New Roman" w:hAnsi="Times New Roman"/>
          <w:szCs w:val="24"/>
        </w:rPr>
        <w:t>6</w:t>
      </w:r>
      <w:r w:rsidRPr="006D077E">
        <w:rPr>
          <w:rFonts w:ascii="Times New Roman" w:hAnsi="Times New Roman"/>
          <w:szCs w:val="24"/>
        </w:rPr>
        <w:t xml:space="preserve">, 2021 </w:t>
      </w:r>
      <w:r w:rsidR="00AC12F2" w:rsidRPr="006D077E">
        <w:rPr>
          <w:rFonts w:ascii="Times New Roman" w:hAnsi="Times New Roman"/>
          <w:szCs w:val="24"/>
        </w:rPr>
        <w:t>CAP</w:t>
      </w:r>
      <w:r w:rsidRPr="006D077E">
        <w:rPr>
          <w:rFonts w:ascii="Times New Roman" w:hAnsi="Times New Roman"/>
          <w:szCs w:val="24"/>
        </w:rPr>
        <w:t xml:space="preserve">, Attachment </w:t>
      </w:r>
      <w:r w:rsidR="00E31415" w:rsidRPr="006D077E">
        <w:rPr>
          <w:rFonts w:ascii="Times New Roman" w:hAnsi="Times New Roman"/>
          <w:szCs w:val="24"/>
        </w:rPr>
        <w:t>J</w:t>
      </w:r>
      <w:r w:rsidR="00FA3FA0" w:rsidRPr="006D077E">
        <w:rPr>
          <w:rFonts w:ascii="Times New Roman" w:hAnsi="Times New Roman"/>
          <w:szCs w:val="24"/>
        </w:rPr>
        <w:t>,</w:t>
      </w:r>
      <w:r w:rsidR="009F227A" w:rsidRPr="006D077E">
        <w:rPr>
          <w:rFonts w:ascii="Times New Roman" w:hAnsi="Times New Roman"/>
          <w:szCs w:val="24"/>
        </w:rPr>
        <w:t xml:space="preserve"> available at </w:t>
      </w:r>
      <w:hyperlink r:id="rId27" w:history="1">
        <w:r w:rsidR="009F227A" w:rsidRPr="006D077E">
          <w:rPr>
            <w:rStyle w:val="Hyperlink"/>
            <w:rFonts w:ascii="Times New Roman" w:hAnsi="Times New Roman"/>
            <w:szCs w:val="24"/>
          </w:rPr>
          <w:t>pge-corrective-action-plan_050621.pdf (ca.gov)</w:t>
        </w:r>
      </w:hyperlink>
      <w:r w:rsidR="009F227A" w:rsidRPr="006D077E">
        <w:rPr>
          <w:rFonts w:ascii="Times New Roman" w:hAnsi="Times New Roman"/>
          <w:szCs w:val="24"/>
        </w:rPr>
        <w:t>.</w:t>
      </w:r>
    </w:p>
  </w:footnote>
  <w:footnote w:id="34">
    <w:p w14:paraId="75AFEFD3" w14:textId="298AA896" w:rsidR="00CD0B70" w:rsidRPr="006D077E" w:rsidRDefault="00CD0B70"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5B42F2" w:rsidRPr="006D077E">
        <w:rPr>
          <w:rFonts w:ascii="Times New Roman" w:hAnsi="Times New Roman"/>
          <w:szCs w:val="24"/>
        </w:rPr>
        <w:t>PG&amp;E</w:t>
      </w:r>
      <w:r w:rsidR="001630F2" w:rsidRPr="006D077E">
        <w:rPr>
          <w:rFonts w:ascii="Times New Roman" w:hAnsi="Times New Roman"/>
          <w:szCs w:val="24"/>
        </w:rPr>
        <w:t>,</w:t>
      </w:r>
      <w:r w:rsidR="005B42F2" w:rsidRPr="006D077E">
        <w:rPr>
          <w:rFonts w:ascii="Times New Roman" w:hAnsi="Times New Roman"/>
          <w:szCs w:val="24"/>
        </w:rPr>
        <w:t xml:space="preserve"> August 1, 2022 </w:t>
      </w:r>
      <w:r w:rsidR="00AC12F2" w:rsidRPr="006D077E">
        <w:rPr>
          <w:rFonts w:ascii="Times New Roman" w:hAnsi="Times New Roman"/>
          <w:szCs w:val="24"/>
        </w:rPr>
        <w:t xml:space="preserve">CAP </w:t>
      </w:r>
      <w:r w:rsidR="005B42F2" w:rsidRPr="006D077E">
        <w:rPr>
          <w:rFonts w:ascii="Times New Roman" w:hAnsi="Times New Roman"/>
          <w:szCs w:val="24"/>
        </w:rPr>
        <w:t>Update, Attachment B, B1</w:t>
      </w:r>
      <w:r w:rsidR="00F5544E" w:rsidRPr="006D077E">
        <w:rPr>
          <w:rFonts w:ascii="Times New Roman" w:hAnsi="Times New Roman"/>
          <w:szCs w:val="24"/>
        </w:rPr>
        <w:t xml:space="preserve">, </w:t>
      </w:r>
      <w:r w:rsidR="00B46068" w:rsidRPr="006D077E">
        <w:rPr>
          <w:rFonts w:ascii="Times New Roman" w:hAnsi="Times New Roman"/>
          <w:szCs w:val="24"/>
        </w:rPr>
        <w:t xml:space="preserve">available at </w:t>
      </w:r>
      <w:hyperlink r:id="rId28" w:history="1">
        <w:r w:rsidR="00B46068" w:rsidRPr="006D077E">
          <w:rPr>
            <w:rStyle w:val="Hyperlink"/>
            <w:rFonts w:ascii="Times New Roman" w:hAnsi="Times New Roman"/>
            <w:szCs w:val="24"/>
          </w:rPr>
          <w:t>cap-90-day-report_08-01-22.pdf</w:t>
        </w:r>
      </w:hyperlink>
      <w:r w:rsidR="00B46068" w:rsidRPr="006D077E">
        <w:rPr>
          <w:rFonts w:ascii="Times New Roman" w:hAnsi="Times New Roman"/>
          <w:szCs w:val="24"/>
        </w:rPr>
        <w:t>.</w:t>
      </w:r>
    </w:p>
  </w:footnote>
  <w:footnote w:id="35">
    <w:p w14:paraId="0C2C61C3" w14:textId="62A88DBC" w:rsidR="00B93CB6" w:rsidRPr="006D077E" w:rsidRDefault="00B93CB6"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009E13FF" w:rsidRPr="006D077E">
        <w:rPr>
          <w:rFonts w:ascii="Times New Roman" w:hAnsi="Times New Roman"/>
          <w:szCs w:val="24"/>
        </w:rPr>
        <w:t xml:space="preserve"> </w:t>
      </w:r>
      <w:r w:rsidR="005B42F2" w:rsidRPr="006D077E">
        <w:rPr>
          <w:rFonts w:ascii="Times New Roman" w:hAnsi="Times New Roman"/>
          <w:szCs w:val="24"/>
        </w:rPr>
        <w:t>Ibid.</w:t>
      </w:r>
    </w:p>
  </w:footnote>
  <w:footnote w:id="36">
    <w:p w14:paraId="665A3E75" w14:textId="54681D04" w:rsidR="004C5C05" w:rsidRPr="006D077E" w:rsidRDefault="004C5C05"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PG&amp;E, May 6, 2021 </w:t>
      </w:r>
      <w:r w:rsidR="00DE5066" w:rsidRPr="006D077E">
        <w:rPr>
          <w:rFonts w:ascii="Times New Roman" w:hAnsi="Times New Roman"/>
          <w:szCs w:val="24"/>
        </w:rPr>
        <w:t>CAP</w:t>
      </w:r>
      <w:r w:rsidRPr="006D077E">
        <w:rPr>
          <w:rFonts w:ascii="Times New Roman" w:hAnsi="Times New Roman"/>
          <w:szCs w:val="24"/>
        </w:rPr>
        <w:t>, Attachment J</w:t>
      </w:r>
      <w:r w:rsidR="00FA3FA0" w:rsidRPr="006D077E">
        <w:rPr>
          <w:rFonts w:ascii="Times New Roman" w:hAnsi="Times New Roman"/>
          <w:szCs w:val="24"/>
        </w:rPr>
        <w:t>,</w:t>
      </w:r>
      <w:r w:rsidR="001E3F5E" w:rsidRPr="006D077E">
        <w:rPr>
          <w:rFonts w:ascii="Times New Roman" w:hAnsi="Times New Roman"/>
          <w:szCs w:val="24"/>
        </w:rPr>
        <w:t xml:space="preserve"> available at </w:t>
      </w:r>
      <w:hyperlink r:id="rId29" w:history="1">
        <w:r w:rsidR="001E3F5E" w:rsidRPr="006D077E">
          <w:rPr>
            <w:rStyle w:val="Hyperlink"/>
            <w:rFonts w:ascii="Times New Roman" w:hAnsi="Times New Roman"/>
            <w:szCs w:val="24"/>
          </w:rPr>
          <w:t>pge-corrective-action-plan_050621.pdf (ca.gov)</w:t>
        </w:r>
      </w:hyperlink>
      <w:r w:rsidR="001E3F5E" w:rsidRPr="006D077E">
        <w:rPr>
          <w:rFonts w:ascii="Times New Roman" w:hAnsi="Times New Roman"/>
          <w:szCs w:val="24"/>
        </w:rPr>
        <w:t>.</w:t>
      </w:r>
      <w:r w:rsidRPr="006D077E">
        <w:rPr>
          <w:rFonts w:ascii="Times New Roman" w:hAnsi="Times New Roman"/>
          <w:szCs w:val="24"/>
        </w:rPr>
        <w:t xml:space="preserve"> </w:t>
      </w:r>
    </w:p>
  </w:footnote>
  <w:footnote w:id="37">
    <w:p w14:paraId="5F3DBC35" w14:textId="392E03C9" w:rsidR="0081297A" w:rsidRPr="006D077E" w:rsidRDefault="0081297A"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PG&amp;E</w:t>
      </w:r>
      <w:r w:rsidR="00615CA5" w:rsidRPr="006D077E">
        <w:rPr>
          <w:rFonts w:ascii="Times New Roman" w:hAnsi="Times New Roman"/>
          <w:szCs w:val="24"/>
        </w:rPr>
        <w:t>,</w:t>
      </w:r>
      <w:r w:rsidRPr="006D077E">
        <w:rPr>
          <w:rFonts w:ascii="Times New Roman" w:hAnsi="Times New Roman"/>
          <w:szCs w:val="24"/>
        </w:rPr>
        <w:t xml:space="preserve"> August 1, 2022 </w:t>
      </w:r>
      <w:r w:rsidR="00DE5066" w:rsidRPr="006D077E">
        <w:rPr>
          <w:rFonts w:ascii="Times New Roman" w:hAnsi="Times New Roman"/>
          <w:szCs w:val="24"/>
        </w:rPr>
        <w:t xml:space="preserve">CAP </w:t>
      </w:r>
      <w:r w:rsidRPr="006D077E">
        <w:rPr>
          <w:rFonts w:ascii="Times New Roman" w:hAnsi="Times New Roman"/>
          <w:szCs w:val="24"/>
        </w:rPr>
        <w:t>Update, Attachment B</w:t>
      </w:r>
      <w:r w:rsidR="00792DB3" w:rsidRPr="006D077E">
        <w:rPr>
          <w:rFonts w:ascii="Times New Roman" w:hAnsi="Times New Roman"/>
          <w:szCs w:val="24"/>
        </w:rPr>
        <w:t xml:space="preserve">, available at </w:t>
      </w:r>
      <w:hyperlink r:id="rId30" w:history="1">
        <w:r w:rsidR="00792DB3" w:rsidRPr="006D077E">
          <w:rPr>
            <w:rStyle w:val="Hyperlink"/>
            <w:rFonts w:ascii="Times New Roman" w:hAnsi="Times New Roman"/>
            <w:szCs w:val="24"/>
          </w:rPr>
          <w:t>cap-90-day-report_08-01-22.pdf</w:t>
        </w:r>
      </w:hyperlink>
      <w:r w:rsidRPr="006D077E">
        <w:rPr>
          <w:rFonts w:ascii="Times New Roman" w:hAnsi="Times New Roman"/>
          <w:szCs w:val="24"/>
        </w:rPr>
        <w:t>.</w:t>
      </w:r>
    </w:p>
  </w:footnote>
  <w:footnote w:id="38">
    <w:p w14:paraId="6DECF950" w14:textId="74A95FD3" w:rsidR="00497FB8" w:rsidRPr="006D077E" w:rsidRDefault="00497FB8"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The 2021 </w:t>
      </w:r>
      <w:r w:rsidR="004866F5" w:rsidRPr="006D077E">
        <w:rPr>
          <w:rFonts w:ascii="Times New Roman" w:hAnsi="Times New Roman"/>
          <w:szCs w:val="24"/>
        </w:rPr>
        <w:t xml:space="preserve">EVM </w:t>
      </w:r>
      <w:r w:rsidRPr="006D077E">
        <w:rPr>
          <w:rFonts w:ascii="Times New Roman" w:hAnsi="Times New Roman"/>
          <w:szCs w:val="24"/>
        </w:rPr>
        <w:t>Scope of Work identifies 2,422.4 total miles.</w:t>
      </w:r>
      <w:r w:rsidR="00E35D42" w:rsidRPr="006D077E">
        <w:rPr>
          <w:rFonts w:ascii="Times New Roman" w:hAnsi="Times New Roman"/>
          <w:szCs w:val="24"/>
        </w:rPr>
        <w:t xml:space="preserve"> PG&amp;E, May 6, 2021 </w:t>
      </w:r>
      <w:r w:rsidR="00DE5066" w:rsidRPr="006D077E">
        <w:rPr>
          <w:rFonts w:ascii="Times New Roman" w:hAnsi="Times New Roman"/>
          <w:szCs w:val="24"/>
        </w:rPr>
        <w:t>CAP</w:t>
      </w:r>
      <w:r w:rsidR="00E35D42" w:rsidRPr="006D077E">
        <w:rPr>
          <w:rFonts w:ascii="Times New Roman" w:hAnsi="Times New Roman"/>
          <w:szCs w:val="24"/>
          <w:lang w:val="en-ZW"/>
        </w:rPr>
        <w:t xml:space="preserve">, </w:t>
      </w:r>
      <w:r w:rsidR="0095011F" w:rsidRPr="006D077E">
        <w:rPr>
          <w:rFonts w:ascii="Times New Roman" w:hAnsi="Times New Roman"/>
          <w:szCs w:val="24"/>
        </w:rPr>
        <w:t xml:space="preserve">2021 EVM Scope of Work, </w:t>
      </w:r>
      <w:r w:rsidR="00E35D42" w:rsidRPr="006D077E">
        <w:rPr>
          <w:rFonts w:ascii="Times New Roman" w:hAnsi="Times New Roman"/>
          <w:szCs w:val="24"/>
        </w:rPr>
        <w:t>Attachment E</w:t>
      </w:r>
      <w:r w:rsidR="00FA3FA0" w:rsidRPr="006D077E">
        <w:rPr>
          <w:rFonts w:ascii="Times New Roman" w:hAnsi="Times New Roman"/>
          <w:szCs w:val="24"/>
        </w:rPr>
        <w:t>,</w:t>
      </w:r>
      <w:r w:rsidR="001E3F5E" w:rsidRPr="006D077E">
        <w:rPr>
          <w:rFonts w:ascii="Times New Roman" w:hAnsi="Times New Roman"/>
          <w:szCs w:val="24"/>
        </w:rPr>
        <w:t xml:space="preserve"> available at </w:t>
      </w:r>
      <w:hyperlink r:id="rId31" w:history="1">
        <w:r w:rsidR="001E3F5E" w:rsidRPr="006D077E">
          <w:rPr>
            <w:rStyle w:val="Hyperlink"/>
            <w:rFonts w:ascii="Times New Roman" w:hAnsi="Times New Roman"/>
            <w:szCs w:val="24"/>
          </w:rPr>
          <w:t>pge-corrective-action-plan_050621.pdf (ca.gov)</w:t>
        </w:r>
      </w:hyperlink>
      <w:r w:rsidR="001E3F5E" w:rsidRPr="006D077E">
        <w:rPr>
          <w:rFonts w:ascii="Times New Roman" w:hAnsi="Times New Roman"/>
          <w:szCs w:val="24"/>
        </w:rPr>
        <w:t>.</w:t>
      </w:r>
    </w:p>
  </w:footnote>
  <w:footnote w:id="39">
    <w:p w14:paraId="74F21A7E" w14:textId="20CE1558" w:rsidR="00172DC6" w:rsidRPr="006D077E" w:rsidRDefault="00172DC6" w:rsidP="006D077E">
      <w:pPr>
        <w:pStyle w:val="FootnoteText"/>
        <w:numPr>
          <w:ilvl w:val="0"/>
          <w:numId w:val="0"/>
        </w:numPr>
        <w:spacing w:after="120" w:line="240" w:lineRule="exact"/>
        <w:rPr>
          <w:rFonts w:ascii="Times New Roman" w:hAnsi="Times New Roman"/>
          <w:szCs w:val="24"/>
          <w:lang w:val="en-ZW"/>
        </w:rPr>
      </w:pPr>
      <w:r w:rsidRPr="007965A2">
        <w:rPr>
          <w:rStyle w:val="FootnoteReference"/>
          <w:rFonts w:ascii="Times New Roman" w:hAnsi="Times New Roman"/>
          <w:b/>
          <w:bCs/>
          <w:szCs w:val="24"/>
          <w:u w:val="single"/>
        </w:rPr>
        <w:footnoteRef/>
      </w:r>
      <w:r w:rsidR="00AB4634" w:rsidRPr="006D077E">
        <w:rPr>
          <w:rFonts w:ascii="Times New Roman" w:hAnsi="Times New Roman"/>
          <w:szCs w:val="24"/>
          <w:lang w:val="en-ZW"/>
        </w:rPr>
        <w:t xml:space="preserve"> </w:t>
      </w:r>
      <w:r w:rsidR="000F7D7F" w:rsidRPr="006D077E">
        <w:rPr>
          <w:rFonts w:ascii="Times New Roman" w:hAnsi="Times New Roman"/>
          <w:szCs w:val="24"/>
          <w:lang w:val="en-ZW"/>
        </w:rPr>
        <w:t xml:space="preserve">PG&amp;E, 2021 Wildfire Mitigation Plan </w:t>
      </w:r>
      <w:r w:rsidR="00FA3FA0" w:rsidRPr="006D077E">
        <w:rPr>
          <w:rFonts w:ascii="Times New Roman" w:hAnsi="Times New Roman"/>
          <w:szCs w:val="24"/>
          <w:lang w:val="en-ZW"/>
        </w:rPr>
        <w:t>–</w:t>
      </w:r>
      <w:r w:rsidR="000F7D7F" w:rsidRPr="006D077E">
        <w:rPr>
          <w:rFonts w:ascii="Times New Roman" w:hAnsi="Times New Roman"/>
          <w:szCs w:val="24"/>
          <w:lang w:val="en-ZW"/>
        </w:rPr>
        <w:t xml:space="preserve"> Revised, June 3, 2021,</w:t>
      </w:r>
      <w:r w:rsidR="00097A0A" w:rsidRPr="006D077E">
        <w:rPr>
          <w:rFonts w:ascii="Times New Roman" w:hAnsi="Times New Roman"/>
          <w:szCs w:val="24"/>
          <w:lang w:val="en-ZW"/>
        </w:rPr>
        <w:t xml:space="preserve"> </w:t>
      </w:r>
      <w:r w:rsidR="008A7039" w:rsidRPr="006D077E">
        <w:rPr>
          <w:rFonts w:ascii="Times New Roman" w:hAnsi="Times New Roman"/>
          <w:szCs w:val="24"/>
          <w:lang w:val="en-ZW"/>
        </w:rPr>
        <w:t xml:space="preserve">at </w:t>
      </w:r>
      <w:r w:rsidR="00687D5B" w:rsidRPr="006D077E">
        <w:rPr>
          <w:rFonts w:ascii="Times New Roman" w:hAnsi="Times New Roman"/>
          <w:szCs w:val="24"/>
          <w:lang w:val="en-ZW"/>
        </w:rPr>
        <w:t>9</w:t>
      </w:r>
      <w:r w:rsidR="005360D8" w:rsidRPr="006D077E">
        <w:rPr>
          <w:rFonts w:ascii="Times New Roman" w:hAnsi="Times New Roman"/>
          <w:szCs w:val="24"/>
          <w:lang w:val="en-ZW"/>
        </w:rPr>
        <w:t xml:space="preserve">, available at </w:t>
      </w:r>
      <w:hyperlink r:id="rId32" w:history="1">
        <w:r w:rsidR="00C66590" w:rsidRPr="006D077E">
          <w:rPr>
            <w:rStyle w:val="Hyperlink"/>
            <w:rFonts w:ascii="Times New Roman" w:hAnsi="Times New Roman"/>
          </w:rPr>
          <w:t>2021-Wildfire-Safety-Plan-Revised-060321.pdf (pge.com)</w:t>
        </w:r>
      </w:hyperlink>
      <w:r w:rsidR="00687D5B" w:rsidRPr="006D077E">
        <w:rPr>
          <w:rFonts w:ascii="Times New Roman" w:hAnsi="Times New Roman"/>
          <w:szCs w:val="24"/>
          <w:lang w:val="en-ZW"/>
        </w:rPr>
        <w:t>.</w:t>
      </w:r>
    </w:p>
  </w:footnote>
  <w:footnote w:id="40">
    <w:p w14:paraId="1D02A4CA" w14:textId="095FAB05" w:rsidR="00EB7818" w:rsidRPr="006D077E" w:rsidRDefault="00EB7818" w:rsidP="006D077E">
      <w:pPr>
        <w:pStyle w:val="FootnoteText"/>
        <w:numPr>
          <w:ilvl w:val="0"/>
          <w:numId w:val="0"/>
        </w:numPr>
        <w:spacing w:after="120" w:line="240" w:lineRule="exact"/>
        <w:rPr>
          <w:rFonts w:ascii="Times New Roman" w:hAnsi="Times New Roman"/>
          <w:szCs w:val="24"/>
        </w:rPr>
      </w:pPr>
      <w:r w:rsidRPr="007965A2">
        <w:rPr>
          <w:rStyle w:val="FootnoteReference"/>
          <w:rFonts w:ascii="Times New Roman" w:hAnsi="Times New Roman"/>
          <w:b/>
          <w:bCs/>
          <w:szCs w:val="24"/>
          <w:u w:val="single"/>
        </w:rPr>
        <w:footnoteRef/>
      </w:r>
      <w:r w:rsidRPr="006D077E">
        <w:rPr>
          <w:rFonts w:ascii="Times New Roman" w:hAnsi="Times New Roman"/>
          <w:szCs w:val="24"/>
        </w:rPr>
        <w:t xml:space="preserve"> </w:t>
      </w:r>
      <w:r w:rsidR="00CE6B8B" w:rsidRPr="006D077E">
        <w:rPr>
          <w:rFonts w:ascii="Times New Roman" w:hAnsi="Times New Roman"/>
          <w:szCs w:val="24"/>
        </w:rPr>
        <w:t xml:space="preserve">PG&amp;E, May 6, 2021 </w:t>
      </w:r>
      <w:r w:rsidR="003C7EC4" w:rsidRPr="006D077E">
        <w:rPr>
          <w:rFonts w:ascii="Times New Roman" w:hAnsi="Times New Roman"/>
          <w:szCs w:val="24"/>
        </w:rPr>
        <w:t>CAP</w:t>
      </w:r>
      <w:r w:rsidR="00CE6B8B" w:rsidRPr="006D077E">
        <w:rPr>
          <w:rFonts w:ascii="Times New Roman" w:hAnsi="Times New Roman"/>
          <w:szCs w:val="24"/>
        </w:rPr>
        <w:t>, Table</w:t>
      </w:r>
      <w:r w:rsidR="008609D5" w:rsidRPr="006D077E">
        <w:rPr>
          <w:rFonts w:ascii="Times New Roman" w:hAnsi="Times New Roman"/>
          <w:szCs w:val="24"/>
        </w:rPr>
        <w:t xml:space="preserve"> 2, at 26-27</w:t>
      </w:r>
      <w:r w:rsidR="00FA3FA0" w:rsidRPr="006D077E">
        <w:rPr>
          <w:rFonts w:ascii="Times New Roman" w:hAnsi="Times New Roman"/>
          <w:szCs w:val="24"/>
        </w:rPr>
        <w:t>,</w:t>
      </w:r>
      <w:r w:rsidR="001E3F5E" w:rsidRPr="006D077E">
        <w:rPr>
          <w:rFonts w:ascii="Times New Roman" w:hAnsi="Times New Roman"/>
          <w:szCs w:val="24"/>
        </w:rPr>
        <w:t xml:space="preserve"> available at </w:t>
      </w:r>
      <w:hyperlink r:id="rId33" w:history="1">
        <w:r w:rsidR="001E3F5E" w:rsidRPr="006D077E">
          <w:rPr>
            <w:rStyle w:val="Hyperlink"/>
            <w:rFonts w:ascii="Times New Roman" w:hAnsi="Times New Roman"/>
            <w:szCs w:val="24"/>
          </w:rPr>
          <w:t>pge-corrective-action-plan_050621.pdf (ca.gov)</w:t>
        </w:r>
      </w:hyperlink>
      <w:r w:rsidR="00CE6B8B" w:rsidRPr="006D077E">
        <w:rPr>
          <w:rFonts w:ascii="Times New Roman" w:hAnsi="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CD4" w14:textId="4E225399" w:rsidR="00CF17DE" w:rsidRDefault="00CF17DE" w:rsidP="006D077E">
    <w:pPr>
      <w:pStyle w:val="Header"/>
      <w:tabs>
        <w:tab w:val="clear" w:pos="4320"/>
        <w:tab w:val="clear" w:pos="8640"/>
        <w:tab w:val="center" w:pos="4680"/>
        <w:tab w:val="right" w:pos="9180"/>
      </w:tabs>
    </w:pPr>
    <w:r w:rsidRPr="006D077E">
      <w:rPr>
        <w:rFonts w:ascii="Times New Roman" w:hAnsi="Times New Roman"/>
      </w:rPr>
      <w:t xml:space="preserve">Resolution </w:t>
    </w:r>
    <w:r w:rsidR="00E76BF3" w:rsidRPr="006D077E">
      <w:rPr>
        <w:rFonts w:ascii="Times New Roman" w:hAnsi="Times New Roman"/>
      </w:rPr>
      <w:t>M</w:t>
    </w:r>
    <w:r w:rsidR="002D14FD" w:rsidRPr="006D077E">
      <w:rPr>
        <w:rFonts w:ascii="Times New Roman" w:hAnsi="Times New Roman"/>
      </w:rPr>
      <w:t>-4864</w:t>
    </w:r>
    <w:r w:rsidR="003F6E5A" w:rsidRPr="006D077E">
      <w:rPr>
        <w:rFonts w:ascii="Times New Roman" w:hAnsi="Times New Roman"/>
      </w:rPr>
      <w:tab/>
    </w:r>
    <w:r w:rsidRPr="006D077E">
      <w:rPr>
        <w:rFonts w:ascii="Times New Roman" w:hAnsi="Times New Roman"/>
        <w:b/>
        <w:bCs/>
      </w:rPr>
      <w:t>DRAFT</w:t>
    </w:r>
    <w:r w:rsidRPr="006D077E">
      <w:rPr>
        <w:rFonts w:ascii="Times New Roman" w:hAnsi="Times New Roman"/>
      </w:rPr>
      <w:tab/>
    </w:r>
    <w:r w:rsidR="008E4EC6">
      <w:rPr>
        <w:rFonts w:ascii="Times New Roman" w:hAnsi="Times New Roman"/>
      </w:rPr>
      <w:t>December 1</w:t>
    </w:r>
    <w:r w:rsidR="006D077E">
      <w:rPr>
        <w:rFonts w:ascii="Times New Roman" w:hAnsi="Times New Roman"/>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31BDD647" w:rsidR="00CF17DE" w:rsidRDefault="00CF17DE" w:rsidP="006D5987">
    <w:pPr>
      <w:pStyle w:val="Header"/>
      <w:jc w:val="right"/>
      <w:rPr>
        <w:rFonts w:ascii="Times New Roman" w:hAnsi="Times New Roman"/>
        <w:b/>
        <w:bCs/>
        <w:szCs w:val="26"/>
      </w:rPr>
    </w:pPr>
    <w:r w:rsidRPr="006D077E">
      <w:rPr>
        <w:rFonts w:ascii="Times New Roman" w:hAnsi="Times New Roman"/>
        <w:b/>
        <w:bCs/>
      </w:rPr>
      <w:t>DRAFT</w:t>
    </w:r>
    <w:r w:rsidR="006D5987" w:rsidRPr="006D077E">
      <w:rPr>
        <w:rFonts w:ascii="Times New Roman" w:hAnsi="Times New Roman"/>
        <w:b/>
        <w:bCs/>
      </w:rPr>
      <w:tab/>
    </w:r>
    <w:r w:rsidR="006D077E" w:rsidRPr="006D077E">
      <w:rPr>
        <w:rFonts w:ascii="Times New Roman" w:hAnsi="Times New Roman"/>
        <w:b/>
        <w:bCs/>
      </w:rPr>
      <w:t xml:space="preserve"> [</w:t>
    </w:r>
    <w:r w:rsidR="006D5987" w:rsidRPr="006D077E">
      <w:rPr>
        <w:rFonts w:ascii="Times New Roman" w:hAnsi="Times New Roman"/>
        <w:b/>
        <w:bCs/>
        <w:szCs w:val="26"/>
      </w:rPr>
      <w:t>Agenda ID#</w:t>
    </w:r>
    <w:r w:rsidR="003558B1" w:rsidRPr="006D077E">
      <w:rPr>
        <w:rFonts w:ascii="Times New Roman" w:hAnsi="Times New Roman"/>
        <w:b/>
        <w:bCs/>
        <w:szCs w:val="26"/>
      </w:rPr>
      <w:t xml:space="preserve"> 21036</w:t>
    </w:r>
    <w:r w:rsidR="006D077E" w:rsidRPr="006D077E">
      <w:rPr>
        <w:rFonts w:ascii="Times New Roman" w:hAnsi="Times New Roman"/>
        <w:b/>
        <w:bCs/>
        <w:szCs w:val="26"/>
      </w:rPr>
      <w:t>]</w:t>
    </w:r>
  </w:p>
  <w:p w14:paraId="53D5172F" w14:textId="1877DAD6" w:rsidR="003709EF" w:rsidRPr="006D077E" w:rsidRDefault="003709EF" w:rsidP="006D5987">
    <w:pPr>
      <w:pStyle w:val="Header"/>
      <w:jc w:val="right"/>
      <w:rPr>
        <w:rFonts w:ascii="Times New Roman" w:hAnsi="Times New Roman"/>
        <w:b/>
        <w:bCs/>
        <w:sz w:val="28"/>
      </w:rPr>
    </w:pPr>
    <w:r>
      <w:rPr>
        <w:rFonts w:ascii="Times New Roman" w:hAnsi="Times New Roman"/>
        <w:b/>
        <w:bCs/>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97CE0D4"/>
    <w:lvl w:ilvl="0">
      <w:start w:val="1"/>
      <w:numFmt w:val="decimal"/>
      <w:lvlText w:val="%1."/>
      <w:lvlJc w:val="left"/>
      <w:pPr>
        <w:ind w:left="862" w:hanging="167"/>
      </w:pPr>
      <w:rPr>
        <w:rFonts w:ascii="Calibri Light" w:hAnsi="Calibri Light" w:cs="Calibri Light"/>
        <w:b w:val="0"/>
        <w:bCs w:val="0"/>
        <w:i/>
        <w:iCs/>
        <w:spacing w:val="-1"/>
        <w:w w:val="105"/>
        <w:sz w:val="24"/>
        <w:szCs w:val="24"/>
      </w:rPr>
    </w:lvl>
    <w:lvl w:ilvl="1">
      <w:numFmt w:val="bullet"/>
      <w:lvlText w:val="o"/>
      <w:lvlJc w:val="left"/>
      <w:pPr>
        <w:ind w:left="1582" w:hanging="360"/>
      </w:pPr>
      <w:rPr>
        <w:rFonts w:ascii="Courier New" w:hAnsi="Courier New"/>
        <w:b w:val="0"/>
        <w:w w:val="100"/>
        <w:sz w:val="22"/>
      </w:rPr>
    </w:lvl>
    <w:lvl w:ilvl="2">
      <w:numFmt w:val="bullet"/>
      <w:lvlText w:val="•"/>
      <w:lvlJc w:val="left"/>
      <w:pPr>
        <w:ind w:left="2477" w:hanging="360"/>
      </w:pPr>
    </w:lvl>
    <w:lvl w:ilvl="3">
      <w:numFmt w:val="bullet"/>
      <w:lvlText w:val="•"/>
      <w:lvlJc w:val="left"/>
      <w:pPr>
        <w:ind w:left="3375" w:hanging="360"/>
      </w:pPr>
    </w:lvl>
    <w:lvl w:ilvl="4">
      <w:numFmt w:val="bullet"/>
      <w:lvlText w:val="•"/>
      <w:lvlJc w:val="left"/>
      <w:pPr>
        <w:ind w:left="4273" w:hanging="360"/>
      </w:pPr>
    </w:lvl>
    <w:lvl w:ilvl="5">
      <w:numFmt w:val="bullet"/>
      <w:lvlText w:val="•"/>
      <w:lvlJc w:val="left"/>
      <w:pPr>
        <w:ind w:left="5171" w:hanging="360"/>
      </w:pPr>
    </w:lvl>
    <w:lvl w:ilvl="6">
      <w:numFmt w:val="bullet"/>
      <w:lvlText w:val="•"/>
      <w:lvlJc w:val="left"/>
      <w:pPr>
        <w:ind w:left="6068" w:hanging="360"/>
      </w:pPr>
    </w:lvl>
    <w:lvl w:ilvl="7">
      <w:numFmt w:val="bullet"/>
      <w:lvlText w:val="•"/>
      <w:lvlJc w:val="left"/>
      <w:pPr>
        <w:ind w:left="6966" w:hanging="360"/>
      </w:pPr>
    </w:lvl>
    <w:lvl w:ilvl="8">
      <w:numFmt w:val="bullet"/>
      <w:lvlText w:val="•"/>
      <w:lvlJc w:val="left"/>
      <w:pPr>
        <w:ind w:left="7864" w:hanging="360"/>
      </w:pPr>
    </w:lvl>
  </w:abstractNum>
  <w:abstractNum w:abstractNumId="1" w15:restartNumberingAfterBreak="0">
    <w:nsid w:val="00000403"/>
    <w:multiLevelType w:val="multilevel"/>
    <w:tmpl w:val="FFFFFFFF"/>
    <w:lvl w:ilvl="0">
      <w:start w:val="1"/>
      <w:numFmt w:val="upperRoman"/>
      <w:lvlText w:val="%1."/>
      <w:lvlJc w:val="left"/>
      <w:pPr>
        <w:ind w:left="862" w:hanging="468"/>
      </w:pPr>
      <w:rPr>
        <w:rFonts w:ascii="Calibri Light" w:hAnsi="Calibri Light" w:cs="Calibri Light"/>
        <w:b w:val="0"/>
        <w:bCs w:val="0"/>
        <w:spacing w:val="-1"/>
        <w:w w:val="105"/>
        <w:sz w:val="21"/>
        <w:szCs w:val="21"/>
      </w:rPr>
    </w:lvl>
    <w:lvl w:ilvl="1">
      <w:numFmt w:val="bullet"/>
      <w:lvlText w:val=""/>
      <w:lvlJc w:val="left"/>
      <w:pPr>
        <w:ind w:left="862" w:hanging="360"/>
      </w:pPr>
      <w:rPr>
        <w:rFonts w:ascii="Symbol" w:hAnsi="Symbol"/>
        <w:b w:val="0"/>
        <w:w w:val="100"/>
        <w:sz w:val="22"/>
      </w:rPr>
    </w:lvl>
    <w:lvl w:ilvl="2">
      <w:numFmt w:val="bullet"/>
      <w:lvlText w:val="•"/>
      <w:lvlJc w:val="left"/>
      <w:pPr>
        <w:ind w:left="2620" w:hanging="360"/>
      </w:pPr>
    </w:lvl>
    <w:lvl w:ilvl="3">
      <w:numFmt w:val="bullet"/>
      <w:lvlText w:val="•"/>
      <w:lvlJc w:val="left"/>
      <w:pPr>
        <w:ind w:left="3500" w:hanging="360"/>
      </w:pPr>
    </w:lvl>
    <w:lvl w:ilvl="4">
      <w:numFmt w:val="bullet"/>
      <w:lvlText w:val="•"/>
      <w:lvlJc w:val="left"/>
      <w:pPr>
        <w:ind w:left="4380" w:hanging="360"/>
      </w:pPr>
    </w:lvl>
    <w:lvl w:ilvl="5">
      <w:numFmt w:val="bullet"/>
      <w:lvlText w:val="•"/>
      <w:lvlJc w:val="left"/>
      <w:pPr>
        <w:ind w:left="5260" w:hanging="360"/>
      </w:pPr>
    </w:lvl>
    <w:lvl w:ilvl="6">
      <w:numFmt w:val="bullet"/>
      <w:lvlText w:val="•"/>
      <w:lvlJc w:val="left"/>
      <w:pPr>
        <w:ind w:left="6140" w:hanging="360"/>
      </w:pPr>
    </w:lvl>
    <w:lvl w:ilvl="7">
      <w:numFmt w:val="bullet"/>
      <w:lvlText w:val="•"/>
      <w:lvlJc w:val="left"/>
      <w:pPr>
        <w:ind w:left="7020" w:hanging="360"/>
      </w:pPr>
    </w:lvl>
    <w:lvl w:ilvl="8">
      <w:numFmt w:val="bullet"/>
      <w:lvlText w:val="•"/>
      <w:lvlJc w:val="left"/>
      <w:pPr>
        <w:ind w:left="7900" w:hanging="360"/>
      </w:pPr>
    </w:lvl>
  </w:abstractNum>
  <w:abstractNum w:abstractNumId="2" w15:restartNumberingAfterBreak="0">
    <w:nsid w:val="005913FA"/>
    <w:multiLevelType w:val="hybridMultilevel"/>
    <w:tmpl w:val="430213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31818"/>
    <w:multiLevelType w:val="multilevel"/>
    <w:tmpl w:val="0CC8D8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21EDF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7" w15:restartNumberingAfterBreak="0">
    <w:nsid w:val="0BDB7819"/>
    <w:multiLevelType w:val="hybridMultilevel"/>
    <w:tmpl w:val="D3948154"/>
    <w:lvl w:ilvl="0" w:tplc="D472B990">
      <w:start w:val="1"/>
      <w:numFmt w:val="decimal"/>
      <w:lvlText w:val="%1."/>
      <w:lvlJc w:val="left"/>
      <w:pPr>
        <w:tabs>
          <w:tab w:val="num" w:pos="360"/>
        </w:tabs>
        <w:ind w:left="360" w:hanging="360"/>
      </w:pPr>
      <w:rPr>
        <w:sz w:val="26"/>
        <w:szCs w:val="26"/>
      </w:rPr>
    </w:lvl>
    <w:lvl w:ilvl="1" w:tplc="52A4E970">
      <w:numFmt w:val="decimal"/>
      <w:lvlText w:val=""/>
      <w:lvlJc w:val="left"/>
    </w:lvl>
    <w:lvl w:ilvl="2" w:tplc="251CE8DA">
      <w:numFmt w:val="decimal"/>
      <w:lvlText w:val=""/>
      <w:lvlJc w:val="left"/>
    </w:lvl>
    <w:lvl w:ilvl="3" w:tplc="882EE9E4">
      <w:numFmt w:val="decimal"/>
      <w:lvlText w:val=""/>
      <w:lvlJc w:val="left"/>
    </w:lvl>
    <w:lvl w:ilvl="4" w:tplc="627C9E92">
      <w:numFmt w:val="decimal"/>
      <w:lvlText w:val=""/>
      <w:lvlJc w:val="left"/>
    </w:lvl>
    <w:lvl w:ilvl="5" w:tplc="D00020E0">
      <w:numFmt w:val="decimal"/>
      <w:lvlText w:val=""/>
      <w:lvlJc w:val="left"/>
    </w:lvl>
    <w:lvl w:ilvl="6" w:tplc="A40AA2C8">
      <w:numFmt w:val="decimal"/>
      <w:lvlText w:val=""/>
      <w:lvlJc w:val="left"/>
    </w:lvl>
    <w:lvl w:ilvl="7" w:tplc="811EDF86">
      <w:numFmt w:val="decimal"/>
      <w:lvlText w:val=""/>
      <w:lvlJc w:val="left"/>
    </w:lvl>
    <w:lvl w:ilvl="8" w:tplc="D8A25012">
      <w:numFmt w:val="decimal"/>
      <w:lvlText w:val=""/>
      <w:lvlJc w:val="left"/>
    </w:lvl>
  </w:abstractNum>
  <w:abstractNum w:abstractNumId="8" w15:restartNumberingAfterBreak="0">
    <w:nsid w:val="0D4C4126"/>
    <w:multiLevelType w:val="multilevel"/>
    <w:tmpl w:val="46C213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12432A6"/>
    <w:multiLevelType w:val="multilevel"/>
    <w:tmpl w:val="6C8245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16397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8A0D9D"/>
    <w:multiLevelType w:val="multilevel"/>
    <w:tmpl w:val="F6187B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2656EA3"/>
    <w:multiLevelType w:val="multilevel"/>
    <w:tmpl w:val="5B009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6A2D61"/>
    <w:multiLevelType w:val="multilevel"/>
    <w:tmpl w:val="5D6EB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9F0574"/>
    <w:multiLevelType w:val="hybridMultilevel"/>
    <w:tmpl w:val="BAAE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A6F46"/>
    <w:multiLevelType w:val="multilevel"/>
    <w:tmpl w:val="2EF01F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D603580"/>
    <w:multiLevelType w:val="multilevel"/>
    <w:tmpl w:val="7D78DBB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23733996"/>
    <w:multiLevelType w:val="multilevel"/>
    <w:tmpl w:val="E4ECD8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E6220C"/>
    <w:multiLevelType w:val="multilevel"/>
    <w:tmpl w:val="BA32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FA207A"/>
    <w:multiLevelType w:val="multilevel"/>
    <w:tmpl w:val="2362D82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6124056"/>
    <w:multiLevelType w:val="multilevel"/>
    <w:tmpl w:val="DD1ABB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F8414F"/>
    <w:multiLevelType w:val="hybridMultilevel"/>
    <w:tmpl w:val="98B8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8BF6F90"/>
    <w:multiLevelType w:val="hybridMultilevel"/>
    <w:tmpl w:val="7CFC6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63400A"/>
    <w:multiLevelType w:val="multilevel"/>
    <w:tmpl w:val="107A5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BA04EE"/>
    <w:multiLevelType w:val="multilevel"/>
    <w:tmpl w:val="A9C2EBC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06B3191"/>
    <w:multiLevelType w:val="hybridMultilevel"/>
    <w:tmpl w:val="994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24136"/>
    <w:multiLevelType w:val="multilevel"/>
    <w:tmpl w:val="D69A5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0C3B1A"/>
    <w:multiLevelType w:val="multilevel"/>
    <w:tmpl w:val="3A2AD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BC4096"/>
    <w:multiLevelType w:val="multilevel"/>
    <w:tmpl w:val="E7847A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487E9B"/>
    <w:multiLevelType w:val="multilevel"/>
    <w:tmpl w:val="9BEE92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592E1D"/>
    <w:multiLevelType w:val="multilevel"/>
    <w:tmpl w:val="967240B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10107A2"/>
    <w:multiLevelType w:val="multilevel"/>
    <w:tmpl w:val="1B142F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5A4578A"/>
    <w:multiLevelType w:val="hybridMultilevel"/>
    <w:tmpl w:val="940AE78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15:restartNumberingAfterBreak="0">
    <w:nsid w:val="481751C6"/>
    <w:multiLevelType w:val="hybridMultilevel"/>
    <w:tmpl w:val="CA06BD16"/>
    <w:lvl w:ilvl="0" w:tplc="25F8E2A4">
      <w:start w:val="1"/>
      <w:numFmt w:val="bullet"/>
      <w:lvlText w:val=""/>
      <w:lvlJc w:val="left"/>
      <w:pPr>
        <w:ind w:left="158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AA70AC"/>
    <w:multiLevelType w:val="multilevel"/>
    <w:tmpl w:val="88ACC0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6A487C"/>
    <w:multiLevelType w:val="hybridMultilevel"/>
    <w:tmpl w:val="269A267E"/>
    <w:lvl w:ilvl="0" w:tplc="04090003">
      <w:start w:val="1"/>
      <w:numFmt w:val="bullet"/>
      <w:lvlText w:val="o"/>
      <w:lvlJc w:val="left"/>
      <w:pPr>
        <w:ind w:left="1222" w:hanging="360"/>
      </w:pPr>
      <w:rPr>
        <w:rFonts w:ascii="Courier New" w:hAnsi="Courier New" w:cs="Courier New" w:hint="default"/>
      </w:rPr>
    </w:lvl>
    <w:lvl w:ilvl="1" w:tplc="FFFFFFFF">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39" w15:restartNumberingAfterBreak="0">
    <w:nsid w:val="525E3260"/>
    <w:multiLevelType w:val="multilevel"/>
    <w:tmpl w:val="7A9E9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2565C7"/>
    <w:multiLevelType w:val="hybridMultilevel"/>
    <w:tmpl w:val="B4D29030"/>
    <w:lvl w:ilvl="0" w:tplc="A594D2CA">
      <w:start w:val="1"/>
      <w:numFmt w:val="decimal"/>
      <w:lvlText w:val="%1."/>
      <w:lvlJc w:val="left"/>
      <w:pPr>
        <w:tabs>
          <w:tab w:val="num" w:pos="420"/>
        </w:tabs>
        <w:ind w:left="420" w:hanging="420"/>
      </w:pPr>
      <w:rPr>
        <w:rFonts w:hint="default"/>
      </w:rPr>
    </w:lvl>
    <w:lvl w:ilvl="1" w:tplc="30EC1EF4">
      <w:numFmt w:val="decimal"/>
      <w:lvlText w:val=""/>
      <w:lvlJc w:val="left"/>
    </w:lvl>
    <w:lvl w:ilvl="2" w:tplc="D25816A8">
      <w:numFmt w:val="decimal"/>
      <w:lvlText w:val=""/>
      <w:lvlJc w:val="left"/>
    </w:lvl>
    <w:lvl w:ilvl="3" w:tplc="719A7966">
      <w:numFmt w:val="decimal"/>
      <w:lvlText w:val=""/>
      <w:lvlJc w:val="left"/>
    </w:lvl>
    <w:lvl w:ilvl="4" w:tplc="D92E472E">
      <w:numFmt w:val="decimal"/>
      <w:lvlText w:val=""/>
      <w:lvlJc w:val="left"/>
    </w:lvl>
    <w:lvl w:ilvl="5" w:tplc="06928416">
      <w:numFmt w:val="decimal"/>
      <w:lvlText w:val=""/>
      <w:lvlJc w:val="left"/>
    </w:lvl>
    <w:lvl w:ilvl="6" w:tplc="DD886BDE">
      <w:numFmt w:val="decimal"/>
      <w:lvlText w:val=""/>
      <w:lvlJc w:val="left"/>
    </w:lvl>
    <w:lvl w:ilvl="7" w:tplc="C45C8C8A">
      <w:numFmt w:val="decimal"/>
      <w:lvlText w:val=""/>
      <w:lvlJc w:val="left"/>
    </w:lvl>
    <w:lvl w:ilvl="8" w:tplc="2DCE96C6">
      <w:numFmt w:val="decimal"/>
      <w:lvlText w:val=""/>
      <w:lvlJc w:val="left"/>
    </w:lvl>
  </w:abstractNum>
  <w:abstractNum w:abstractNumId="41" w15:restartNumberingAfterBreak="0">
    <w:nsid w:val="57481D68"/>
    <w:multiLevelType w:val="hybridMultilevel"/>
    <w:tmpl w:val="884C4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462D0"/>
    <w:multiLevelType w:val="multilevel"/>
    <w:tmpl w:val="FD96FD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5901FB0"/>
    <w:multiLevelType w:val="multilevel"/>
    <w:tmpl w:val="A4E46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C175C4"/>
    <w:multiLevelType w:val="multilevel"/>
    <w:tmpl w:val="5FA6E0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67E45631"/>
    <w:multiLevelType w:val="multilevel"/>
    <w:tmpl w:val="9B801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681D52"/>
    <w:multiLevelType w:val="multilevel"/>
    <w:tmpl w:val="331E75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2AB4EC1"/>
    <w:multiLevelType w:val="multilevel"/>
    <w:tmpl w:val="4C8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265780"/>
    <w:multiLevelType w:val="multilevel"/>
    <w:tmpl w:val="42B0CEB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74C61278"/>
    <w:multiLevelType w:val="multilevel"/>
    <w:tmpl w:val="4C8C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E026FF"/>
    <w:multiLevelType w:val="multilevel"/>
    <w:tmpl w:val="6E96E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BC0787"/>
    <w:multiLevelType w:val="multilevel"/>
    <w:tmpl w:val="0038D4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6131900">
    <w:abstractNumId w:val="6"/>
  </w:num>
  <w:num w:numId="2" w16cid:durableId="395053671">
    <w:abstractNumId w:val="34"/>
  </w:num>
  <w:num w:numId="3" w16cid:durableId="889534702">
    <w:abstractNumId w:val="18"/>
  </w:num>
  <w:num w:numId="4" w16cid:durableId="882181335">
    <w:abstractNumId w:val="40"/>
  </w:num>
  <w:num w:numId="5" w16cid:durableId="1773088162">
    <w:abstractNumId w:val="7"/>
  </w:num>
  <w:num w:numId="6" w16cid:durableId="1760637214">
    <w:abstractNumId w:val="23"/>
  </w:num>
  <w:num w:numId="7" w16cid:durableId="2112847553">
    <w:abstractNumId w:val="49"/>
  </w:num>
  <w:num w:numId="8" w16cid:durableId="94523818">
    <w:abstractNumId w:val="55"/>
  </w:num>
  <w:num w:numId="9" w16cid:durableId="828863630">
    <w:abstractNumId w:val="15"/>
  </w:num>
  <w:num w:numId="10" w16cid:durableId="1335492969">
    <w:abstractNumId w:val="42"/>
  </w:num>
  <w:num w:numId="11" w16cid:durableId="1009524149">
    <w:abstractNumId w:val="5"/>
  </w:num>
  <w:num w:numId="12" w16cid:durableId="1379164077">
    <w:abstractNumId w:val="48"/>
  </w:num>
  <w:num w:numId="13" w16cid:durableId="1274554002">
    <w:abstractNumId w:val="20"/>
  </w:num>
  <w:num w:numId="14" w16cid:durableId="1522281194">
    <w:abstractNumId w:val="25"/>
  </w:num>
  <w:num w:numId="15" w16cid:durableId="128059158">
    <w:abstractNumId w:val="3"/>
  </w:num>
  <w:num w:numId="16" w16cid:durableId="308636577">
    <w:abstractNumId w:val="11"/>
  </w:num>
  <w:num w:numId="17" w16cid:durableId="1445924290">
    <w:abstractNumId w:val="8"/>
  </w:num>
  <w:num w:numId="18" w16cid:durableId="2053114837">
    <w:abstractNumId w:val="16"/>
  </w:num>
  <w:num w:numId="19" w16cid:durableId="258681856">
    <w:abstractNumId w:val="26"/>
  </w:num>
  <w:num w:numId="20" w16cid:durableId="1058894335">
    <w:abstractNumId w:val="17"/>
  </w:num>
  <w:num w:numId="21" w16cid:durableId="130754564">
    <w:abstractNumId w:val="45"/>
  </w:num>
  <w:num w:numId="22" w16cid:durableId="1796757508">
    <w:abstractNumId w:val="51"/>
  </w:num>
  <w:num w:numId="23" w16cid:durableId="1342733434">
    <w:abstractNumId w:val="54"/>
  </w:num>
  <w:num w:numId="24" w16cid:durableId="565532008">
    <w:abstractNumId w:val="32"/>
  </w:num>
  <w:num w:numId="25" w16cid:durableId="849832489">
    <w:abstractNumId w:val="21"/>
  </w:num>
  <w:num w:numId="26" w16cid:durableId="1946500927">
    <w:abstractNumId w:val="9"/>
  </w:num>
  <w:num w:numId="27" w16cid:durableId="233322647">
    <w:abstractNumId w:val="47"/>
  </w:num>
  <w:num w:numId="28" w16cid:durableId="797724238">
    <w:abstractNumId w:val="35"/>
  </w:num>
  <w:num w:numId="29" w16cid:durableId="1066952901">
    <w:abstractNumId w:val="52"/>
  </w:num>
  <w:num w:numId="30" w16cid:durableId="665524289">
    <w:abstractNumId w:val="28"/>
  </w:num>
  <w:num w:numId="31" w16cid:durableId="645861045">
    <w:abstractNumId w:val="13"/>
  </w:num>
  <w:num w:numId="32" w16cid:durableId="1964997408">
    <w:abstractNumId w:val="29"/>
  </w:num>
  <w:num w:numId="33" w16cid:durableId="1286038883">
    <w:abstractNumId w:val="46"/>
  </w:num>
  <w:num w:numId="34" w16cid:durableId="1645546124">
    <w:abstractNumId w:val="33"/>
  </w:num>
  <w:num w:numId="35" w16cid:durableId="1604070888">
    <w:abstractNumId w:val="22"/>
  </w:num>
  <w:num w:numId="36" w16cid:durableId="1314868521">
    <w:abstractNumId w:val="44"/>
  </w:num>
  <w:num w:numId="37" w16cid:durableId="1760173913">
    <w:abstractNumId w:val="43"/>
  </w:num>
  <w:num w:numId="38" w16cid:durableId="1083331201">
    <w:abstractNumId w:val="37"/>
  </w:num>
  <w:num w:numId="39" w16cid:durableId="1694921212">
    <w:abstractNumId w:val="12"/>
  </w:num>
  <w:num w:numId="40" w16cid:durableId="323895314">
    <w:abstractNumId w:val="30"/>
  </w:num>
  <w:num w:numId="41" w16cid:durableId="1116292564">
    <w:abstractNumId w:val="31"/>
  </w:num>
  <w:num w:numId="42" w16cid:durableId="555358325">
    <w:abstractNumId w:val="19"/>
  </w:num>
  <w:num w:numId="43" w16cid:durableId="1671442393">
    <w:abstractNumId w:val="50"/>
  </w:num>
  <w:num w:numId="44" w16cid:durableId="1642997559">
    <w:abstractNumId w:val="24"/>
  </w:num>
  <w:num w:numId="45" w16cid:durableId="678310677">
    <w:abstractNumId w:val="1"/>
  </w:num>
  <w:num w:numId="46" w16cid:durableId="1531068565">
    <w:abstractNumId w:val="0"/>
  </w:num>
  <w:num w:numId="47" w16cid:durableId="1450977314">
    <w:abstractNumId w:val="2"/>
  </w:num>
  <w:num w:numId="48" w16cid:durableId="1744260283">
    <w:abstractNumId w:val="36"/>
  </w:num>
  <w:num w:numId="49" w16cid:durableId="1873302679">
    <w:abstractNumId w:val="39"/>
  </w:num>
  <w:num w:numId="50" w16cid:durableId="1740905860">
    <w:abstractNumId w:val="53"/>
  </w:num>
  <w:num w:numId="51" w16cid:durableId="1989166844">
    <w:abstractNumId w:val="38"/>
  </w:num>
  <w:num w:numId="52" w16cid:durableId="1706633661">
    <w:abstractNumId w:val="14"/>
  </w:num>
  <w:num w:numId="53" w16cid:durableId="1947301883">
    <w:abstractNumId w:val="4"/>
  </w:num>
  <w:num w:numId="54" w16cid:durableId="799539972">
    <w:abstractNumId w:val="10"/>
  </w:num>
  <w:num w:numId="55" w16cid:durableId="1344551055">
    <w:abstractNumId w:val="41"/>
  </w:num>
  <w:num w:numId="56" w16cid:durableId="227963105">
    <w:abstractNumId w:val="41"/>
  </w:num>
  <w:num w:numId="57" w16cid:durableId="72733660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884"/>
    <w:rsid w:val="000008C0"/>
    <w:rsid w:val="00000ACE"/>
    <w:rsid w:val="00000B8F"/>
    <w:rsid w:val="0000108C"/>
    <w:rsid w:val="000020A0"/>
    <w:rsid w:val="00002ADF"/>
    <w:rsid w:val="0000387A"/>
    <w:rsid w:val="00003BFB"/>
    <w:rsid w:val="00004916"/>
    <w:rsid w:val="00004B34"/>
    <w:rsid w:val="00004B42"/>
    <w:rsid w:val="000050BC"/>
    <w:rsid w:val="0000540D"/>
    <w:rsid w:val="000056DA"/>
    <w:rsid w:val="00005812"/>
    <w:rsid w:val="00005FB0"/>
    <w:rsid w:val="0000619D"/>
    <w:rsid w:val="000061F2"/>
    <w:rsid w:val="000066BB"/>
    <w:rsid w:val="00006A23"/>
    <w:rsid w:val="00006AB7"/>
    <w:rsid w:val="00006B2F"/>
    <w:rsid w:val="000070DE"/>
    <w:rsid w:val="00007585"/>
    <w:rsid w:val="0000768C"/>
    <w:rsid w:val="00007FCD"/>
    <w:rsid w:val="0001025C"/>
    <w:rsid w:val="000105EF"/>
    <w:rsid w:val="00010A8A"/>
    <w:rsid w:val="00010E6F"/>
    <w:rsid w:val="00011176"/>
    <w:rsid w:val="000114BA"/>
    <w:rsid w:val="000116EF"/>
    <w:rsid w:val="00012002"/>
    <w:rsid w:val="000126E9"/>
    <w:rsid w:val="00012D45"/>
    <w:rsid w:val="00013219"/>
    <w:rsid w:val="0001377D"/>
    <w:rsid w:val="0001446E"/>
    <w:rsid w:val="00014729"/>
    <w:rsid w:val="00014759"/>
    <w:rsid w:val="000147DC"/>
    <w:rsid w:val="00014816"/>
    <w:rsid w:val="00014EEE"/>
    <w:rsid w:val="000152F3"/>
    <w:rsid w:val="000154C6"/>
    <w:rsid w:val="000156D1"/>
    <w:rsid w:val="000157BC"/>
    <w:rsid w:val="00015A8E"/>
    <w:rsid w:val="00015EE3"/>
    <w:rsid w:val="0001605F"/>
    <w:rsid w:val="0001664E"/>
    <w:rsid w:val="00016824"/>
    <w:rsid w:val="000176E7"/>
    <w:rsid w:val="00017BCE"/>
    <w:rsid w:val="00017C57"/>
    <w:rsid w:val="00017FC3"/>
    <w:rsid w:val="0002001B"/>
    <w:rsid w:val="00020888"/>
    <w:rsid w:val="000208E7"/>
    <w:rsid w:val="00020934"/>
    <w:rsid w:val="00021BE6"/>
    <w:rsid w:val="00021E39"/>
    <w:rsid w:val="00021F3F"/>
    <w:rsid w:val="0002228A"/>
    <w:rsid w:val="0002371D"/>
    <w:rsid w:val="00023869"/>
    <w:rsid w:val="000239FC"/>
    <w:rsid w:val="00023E50"/>
    <w:rsid w:val="000242A4"/>
    <w:rsid w:val="00024AA6"/>
    <w:rsid w:val="00024C89"/>
    <w:rsid w:val="00024E85"/>
    <w:rsid w:val="00024F00"/>
    <w:rsid w:val="000252B3"/>
    <w:rsid w:val="00025843"/>
    <w:rsid w:val="00025869"/>
    <w:rsid w:val="00025975"/>
    <w:rsid w:val="00025A9E"/>
    <w:rsid w:val="00026355"/>
    <w:rsid w:val="0002691C"/>
    <w:rsid w:val="00026A1D"/>
    <w:rsid w:val="00026E3F"/>
    <w:rsid w:val="00026F57"/>
    <w:rsid w:val="00027054"/>
    <w:rsid w:val="000270E9"/>
    <w:rsid w:val="00027198"/>
    <w:rsid w:val="000271BB"/>
    <w:rsid w:val="0002732F"/>
    <w:rsid w:val="000277D7"/>
    <w:rsid w:val="000278C2"/>
    <w:rsid w:val="00030066"/>
    <w:rsid w:val="00030644"/>
    <w:rsid w:val="00031730"/>
    <w:rsid w:val="00031772"/>
    <w:rsid w:val="00032709"/>
    <w:rsid w:val="00032962"/>
    <w:rsid w:val="00033234"/>
    <w:rsid w:val="000333F7"/>
    <w:rsid w:val="00033596"/>
    <w:rsid w:val="00033BF9"/>
    <w:rsid w:val="00033C35"/>
    <w:rsid w:val="00034310"/>
    <w:rsid w:val="000348CA"/>
    <w:rsid w:val="00034CDF"/>
    <w:rsid w:val="00034E0A"/>
    <w:rsid w:val="0003571C"/>
    <w:rsid w:val="00036238"/>
    <w:rsid w:val="0003648A"/>
    <w:rsid w:val="00036738"/>
    <w:rsid w:val="00036EFC"/>
    <w:rsid w:val="00037314"/>
    <w:rsid w:val="00037D35"/>
    <w:rsid w:val="00040224"/>
    <w:rsid w:val="00040359"/>
    <w:rsid w:val="0004053D"/>
    <w:rsid w:val="00040933"/>
    <w:rsid w:val="00040A87"/>
    <w:rsid w:val="00040FB5"/>
    <w:rsid w:val="000415FD"/>
    <w:rsid w:val="00041879"/>
    <w:rsid w:val="00041AA9"/>
    <w:rsid w:val="000424B8"/>
    <w:rsid w:val="000426D2"/>
    <w:rsid w:val="00042711"/>
    <w:rsid w:val="00042EA2"/>
    <w:rsid w:val="00043111"/>
    <w:rsid w:val="00043ED8"/>
    <w:rsid w:val="00043FFF"/>
    <w:rsid w:val="000441A6"/>
    <w:rsid w:val="000442FC"/>
    <w:rsid w:val="00044B48"/>
    <w:rsid w:val="00044B8A"/>
    <w:rsid w:val="00044E8B"/>
    <w:rsid w:val="0004555B"/>
    <w:rsid w:val="0004557B"/>
    <w:rsid w:val="000456A3"/>
    <w:rsid w:val="00045EB4"/>
    <w:rsid w:val="00045F88"/>
    <w:rsid w:val="00046622"/>
    <w:rsid w:val="00046758"/>
    <w:rsid w:val="00046770"/>
    <w:rsid w:val="000467A8"/>
    <w:rsid w:val="000468F8"/>
    <w:rsid w:val="00046902"/>
    <w:rsid w:val="00046926"/>
    <w:rsid w:val="00046B21"/>
    <w:rsid w:val="000470A3"/>
    <w:rsid w:val="000474BB"/>
    <w:rsid w:val="000475AB"/>
    <w:rsid w:val="00047880"/>
    <w:rsid w:val="00050015"/>
    <w:rsid w:val="00050C84"/>
    <w:rsid w:val="00051232"/>
    <w:rsid w:val="00051C8A"/>
    <w:rsid w:val="00052B3E"/>
    <w:rsid w:val="00052E18"/>
    <w:rsid w:val="000536B5"/>
    <w:rsid w:val="000544ED"/>
    <w:rsid w:val="000546D7"/>
    <w:rsid w:val="000547A5"/>
    <w:rsid w:val="000549C5"/>
    <w:rsid w:val="00054A03"/>
    <w:rsid w:val="00054E4D"/>
    <w:rsid w:val="00055089"/>
    <w:rsid w:val="00055467"/>
    <w:rsid w:val="00055931"/>
    <w:rsid w:val="00055F89"/>
    <w:rsid w:val="00056016"/>
    <w:rsid w:val="00056392"/>
    <w:rsid w:val="000564AA"/>
    <w:rsid w:val="00056604"/>
    <w:rsid w:val="0005724A"/>
    <w:rsid w:val="000573FD"/>
    <w:rsid w:val="000576B0"/>
    <w:rsid w:val="00057931"/>
    <w:rsid w:val="00060099"/>
    <w:rsid w:val="000601AC"/>
    <w:rsid w:val="0006034D"/>
    <w:rsid w:val="0006054D"/>
    <w:rsid w:val="00060A75"/>
    <w:rsid w:val="00060DAB"/>
    <w:rsid w:val="000612C0"/>
    <w:rsid w:val="000613A8"/>
    <w:rsid w:val="00061BCA"/>
    <w:rsid w:val="00061FB6"/>
    <w:rsid w:val="00062BFE"/>
    <w:rsid w:val="0006323F"/>
    <w:rsid w:val="0006348D"/>
    <w:rsid w:val="00063FAF"/>
    <w:rsid w:val="00064073"/>
    <w:rsid w:val="000642FB"/>
    <w:rsid w:val="0006431B"/>
    <w:rsid w:val="000645DE"/>
    <w:rsid w:val="00064617"/>
    <w:rsid w:val="00064E31"/>
    <w:rsid w:val="00065613"/>
    <w:rsid w:val="00065AC6"/>
    <w:rsid w:val="00067126"/>
    <w:rsid w:val="0006724C"/>
    <w:rsid w:val="00067E9D"/>
    <w:rsid w:val="00067E9E"/>
    <w:rsid w:val="00070243"/>
    <w:rsid w:val="000702FD"/>
    <w:rsid w:val="000705DA"/>
    <w:rsid w:val="0007132B"/>
    <w:rsid w:val="000716CB"/>
    <w:rsid w:val="000719FE"/>
    <w:rsid w:val="00071DF2"/>
    <w:rsid w:val="000722C8"/>
    <w:rsid w:val="00072462"/>
    <w:rsid w:val="000724CF"/>
    <w:rsid w:val="000725DB"/>
    <w:rsid w:val="00073647"/>
    <w:rsid w:val="00074837"/>
    <w:rsid w:val="00074BF8"/>
    <w:rsid w:val="00074E10"/>
    <w:rsid w:val="000750EE"/>
    <w:rsid w:val="00075449"/>
    <w:rsid w:val="000754D2"/>
    <w:rsid w:val="00075ABD"/>
    <w:rsid w:val="00075E03"/>
    <w:rsid w:val="00076696"/>
    <w:rsid w:val="00076936"/>
    <w:rsid w:val="00076983"/>
    <w:rsid w:val="00076DDC"/>
    <w:rsid w:val="00076E9D"/>
    <w:rsid w:val="000770F1"/>
    <w:rsid w:val="00077285"/>
    <w:rsid w:val="00077BFE"/>
    <w:rsid w:val="000809CD"/>
    <w:rsid w:val="00080BF8"/>
    <w:rsid w:val="00080CE4"/>
    <w:rsid w:val="000813CC"/>
    <w:rsid w:val="0008164E"/>
    <w:rsid w:val="00081861"/>
    <w:rsid w:val="00081D22"/>
    <w:rsid w:val="000827D4"/>
    <w:rsid w:val="00082A0C"/>
    <w:rsid w:val="00082E2D"/>
    <w:rsid w:val="00083823"/>
    <w:rsid w:val="00083A9C"/>
    <w:rsid w:val="00083DFA"/>
    <w:rsid w:val="000846D5"/>
    <w:rsid w:val="000849B3"/>
    <w:rsid w:val="00085077"/>
    <w:rsid w:val="00085594"/>
    <w:rsid w:val="0008615D"/>
    <w:rsid w:val="000863BB"/>
    <w:rsid w:val="000866CE"/>
    <w:rsid w:val="0008680C"/>
    <w:rsid w:val="000870B1"/>
    <w:rsid w:val="00087286"/>
    <w:rsid w:val="00087465"/>
    <w:rsid w:val="000874C1"/>
    <w:rsid w:val="000876CE"/>
    <w:rsid w:val="00087CE7"/>
    <w:rsid w:val="00087D9E"/>
    <w:rsid w:val="00090457"/>
    <w:rsid w:val="00090501"/>
    <w:rsid w:val="00090E46"/>
    <w:rsid w:val="00090FDC"/>
    <w:rsid w:val="000910B2"/>
    <w:rsid w:val="00091287"/>
    <w:rsid w:val="00091559"/>
    <w:rsid w:val="00091BDA"/>
    <w:rsid w:val="00091C26"/>
    <w:rsid w:val="00093121"/>
    <w:rsid w:val="00093186"/>
    <w:rsid w:val="00093372"/>
    <w:rsid w:val="00093AED"/>
    <w:rsid w:val="00093D9C"/>
    <w:rsid w:val="0009420C"/>
    <w:rsid w:val="000942D9"/>
    <w:rsid w:val="000961C3"/>
    <w:rsid w:val="00096801"/>
    <w:rsid w:val="00096DEE"/>
    <w:rsid w:val="00096DFE"/>
    <w:rsid w:val="000970C3"/>
    <w:rsid w:val="000977C0"/>
    <w:rsid w:val="00097A0A"/>
    <w:rsid w:val="00097A6B"/>
    <w:rsid w:val="00097A79"/>
    <w:rsid w:val="00097BA0"/>
    <w:rsid w:val="000A0136"/>
    <w:rsid w:val="000A028E"/>
    <w:rsid w:val="000A0B91"/>
    <w:rsid w:val="000A0BF9"/>
    <w:rsid w:val="000A109A"/>
    <w:rsid w:val="000A1889"/>
    <w:rsid w:val="000A1A12"/>
    <w:rsid w:val="000A1C43"/>
    <w:rsid w:val="000A3005"/>
    <w:rsid w:val="000A3E28"/>
    <w:rsid w:val="000A3EB7"/>
    <w:rsid w:val="000A3FE7"/>
    <w:rsid w:val="000A41EE"/>
    <w:rsid w:val="000A44C8"/>
    <w:rsid w:val="000A5598"/>
    <w:rsid w:val="000A55DF"/>
    <w:rsid w:val="000A57B0"/>
    <w:rsid w:val="000A57B6"/>
    <w:rsid w:val="000A5856"/>
    <w:rsid w:val="000A60BB"/>
    <w:rsid w:val="000A65DE"/>
    <w:rsid w:val="000A6A2D"/>
    <w:rsid w:val="000A75F0"/>
    <w:rsid w:val="000A776E"/>
    <w:rsid w:val="000A781A"/>
    <w:rsid w:val="000A7F6C"/>
    <w:rsid w:val="000B0277"/>
    <w:rsid w:val="000B03D8"/>
    <w:rsid w:val="000B0549"/>
    <w:rsid w:val="000B07AB"/>
    <w:rsid w:val="000B0A49"/>
    <w:rsid w:val="000B15F8"/>
    <w:rsid w:val="000B16A3"/>
    <w:rsid w:val="000B1B46"/>
    <w:rsid w:val="000B1FF6"/>
    <w:rsid w:val="000B2241"/>
    <w:rsid w:val="000B24F9"/>
    <w:rsid w:val="000B3054"/>
    <w:rsid w:val="000B3349"/>
    <w:rsid w:val="000B376B"/>
    <w:rsid w:val="000B38C0"/>
    <w:rsid w:val="000B3DE1"/>
    <w:rsid w:val="000B417E"/>
    <w:rsid w:val="000B493D"/>
    <w:rsid w:val="000B4A1E"/>
    <w:rsid w:val="000B4C91"/>
    <w:rsid w:val="000B510D"/>
    <w:rsid w:val="000B57DD"/>
    <w:rsid w:val="000B59A0"/>
    <w:rsid w:val="000B5BC9"/>
    <w:rsid w:val="000B5D11"/>
    <w:rsid w:val="000B652D"/>
    <w:rsid w:val="000B6B69"/>
    <w:rsid w:val="000B6C08"/>
    <w:rsid w:val="000B6FC7"/>
    <w:rsid w:val="000B71EA"/>
    <w:rsid w:val="000B757E"/>
    <w:rsid w:val="000B7E8A"/>
    <w:rsid w:val="000C07E0"/>
    <w:rsid w:val="000C0E8B"/>
    <w:rsid w:val="000C10FB"/>
    <w:rsid w:val="000C186E"/>
    <w:rsid w:val="000C1F27"/>
    <w:rsid w:val="000C22C1"/>
    <w:rsid w:val="000C2C5C"/>
    <w:rsid w:val="000C362B"/>
    <w:rsid w:val="000C3755"/>
    <w:rsid w:val="000C3900"/>
    <w:rsid w:val="000C3FC7"/>
    <w:rsid w:val="000C44D8"/>
    <w:rsid w:val="000C4536"/>
    <w:rsid w:val="000C4A85"/>
    <w:rsid w:val="000C4EAC"/>
    <w:rsid w:val="000C52D1"/>
    <w:rsid w:val="000C5725"/>
    <w:rsid w:val="000C5FC5"/>
    <w:rsid w:val="000C6908"/>
    <w:rsid w:val="000C6D56"/>
    <w:rsid w:val="000C6EF2"/>
    <w:rsid w:val="000C6F1E"/>
    <w:rsid w:val="000C7328"/>
    <w:rsid w:val="000C75AF"/>
    <w:rsid w:val="000C76B2"/>
    <w:rsid w:val="000D0160"/>
    <w:rsid w:val="000D03CB"/>
    <w:rsid w:val="000D0FD3"/>
    <w:rsid w:val="000D0FD5"/>
    <w:rsid w:val="000D1090"/>
    <w:rsid w:val="000D1175"/>
    <w:rsid w:val="000D13B6"/>
    <w:rsid w:val="000D140F"/>
    <w:rsid w:val="000D1417"/>
    <w:rsid w:val="000D14C8"/>
    <w:rsid w:val="000D3145"/>
    <w:rsid w:val="000D3162"/>
    <w:rsid w:val="000D3176"/>
    <w:rsid w:val="000D3221"/>
    <w:rsid w:val="000D346E"/>
    <w:rsid w:val="000D3A75"/>
    <w:rsid w:val="000D3E63"/>
    <w:rsid w:val="000D49A1"/>
    <w:rsid w:val="000D50CE"/>
    <w:rsid w:val="000D59B1"/>
    <w:rsid w:val="000D5A6F"/>
    <w:rsid w:val="000D5B9A"/>
    <w:rsid w:val="000D5E70"/>
    <w:rsid w:val="000D6059"/>
    <w:rsid w:val="000D6F87"/>
    <w:rsid w:val="000D6FC2"/>
    <w:rsid w:val="000D71C3"/>
    <w:rsid w:val="000D7E4A"/>
    <w:rsid w:val="000D7E94"/>
    <w:rsid w:val="000E0547"/>
    <w:rsid w:val="000E0BAB"/>
    <w:rsid w:val="000E12B3"/>
    <w:rsid w:val="000E149F"/>
    <w:rsid w:val="000E14A0"/>
    <w:rsid w:val="000E14E0"/>
    <w:rsid w:val="000E1814"/>
    <w:rsid w:val="000E1C4C"/>
    <w:rsid w:val="000E26F4"/>
    <w:rsid w:val="000E2A09"/>
    <w:rsid w:val="000E3855"/>
    <w:rsid w:val="000E3CFF"/>
    <w:rsid w:val="000E4115"/>
    <w:rsid w:val="000E411C"/>
    <w:rsid w:val="000E416B"/>
    <w:rsid w:val="000E41B5"/>
    <w:rsid w:val="000E437C"/>
    <w:rsid w:val="000E4714"/>
    <w:rsid w:val="000E4914"/>
    <w:rsid w:val="000E4C45"/>
    <w:rsid w:val="000E552F"/>
    <w:rsid w:val="000E575E"/>
    <w:rsid w:val="000E60BE"/>
    <w:rsid w:val="000E7096"/>
    <w:rsid w:val="000E7684"/>
    <w:rsid w:val="000E785D"/>
    <w:rsid w:val="000E7EC5"/>
    <w:rsid w:val="000F0085"/>
    <w:rsid w:val="000F070D"/>
    <w:rsid w:val="000F080C"/>
    <w:rsid w:val="000F0A74"/>
    <w:rsid w:val="000F0B5C"/>
    <w:rsid w:val="000F0E16"/>
    <w:rsid w:val="000F1402"/>
    <w:rsid w:val="000F1804"/>
    <w:rsid w:val="000F1860"/>
    <w:rsid w:val="000F1FC8"/>
    <w:rsid w:val="000F24DB"/>
    <w:rsid w:val="000F2DB8"/>
    <w:rsid w:val="000F4BC8"/>
    <w:rsid w:val="000F55E0"/>
    <w:rsid w:val="000F5880"/>
    <w:rsid w:val="000F5B05"/>
    <w:rsid w:val="000F5FDD"/>
    <w:rsid w:val="000F64C0"/>
    <w:rsid w:val="000F6A61"/>
    <w:rsid w:val="000F6BDC"/>
    <w:rsid w:val="000F719A"/>
    <w:rsid w:val="000F7AFF"/>
    <w:rsid w:val="000F7BF7"/>
    <w:rsid w:val="000F7D07"/>
    <w:rsid w:val="000F7D7F"/>
    <w:rsid w:val="001005FA"/>
    <w:rsid w:val="001012B5"/>
    <w:rsid w:val="00101552"/>
    <w:rsid w:val="001015D5"/>
    <w:rsid w:val="00101890"/>
    <w:rsid w:val="001022FF"/>
    <w:rsid w:val="00102839"/>
    <w:rsid w:val="00102975"/>
    <w:rsid w:val="00102BF6"/>
    <w:rsid w:val="001034B6"/>
    <w:rsid w:val="00103548"/>
    <w:rsid w:val="00103ACC"/>
    <w:rsid w:val="00103D65"/>
    <w:rsid w:val="0010476A"/>
    <w:rsid w:val="0010518A"/>
    <w:rsid w:val="0010530B"/>
    <w:rsid w:val="00105FB9"/>
    <w:rsid w:val="00106CD8"/>
    <w:rsid w:val="00106D87"/>
    <w:rsid w:val="00106FCA"/>
    <w:rsid w:val="00107270"/>
    <w:rsid w:val="00107278"/>
    <w:rsid w:val="00107DE2"/>
    <w:rsid w:val="00107E51"/>
    <w:rsid w:val="0011002C"/>
    <w:rsid w:val="001101A2"/>
    <w:rsid w:val="00110A0B"/>
    <w:rsid w:val="00111B66"/>
    <w:rsid w:val="00112CC8"/>
    <w:rsid w:val="0011361E"/>
    <w:rsid w:val="001142D3"/>
    <w:rsid w:val="001143E5"/>
    <w:rsid w:val="001145A0"/>
    <w:rsid w:val="001146EA"/>
    <w:rsid w:val="0011523D"/>
    <w:rsid w:val="001161B0"/>
    <w:rsid w:val="001161F7"/>
    <w:rsid w:val="001164AA"/>
    <w:rsid w:val="00116702"/>
    <w:rsid w:val="00116928"/>
    <w:rsid w:val="001169C0"/>
    <w:rsid w:val="00117AF3"/>
    <w:rsid w:val="00117F62"/>
    <w:rsid w:val="00120387"/>
    <w:rsid w:val="001214D2"/>
    <w:rsid w:val="00121A6F"/>
    <w:rsid w:val="00121A8B"/>
    <w:rsid w:val="001222B4"/>
    <w:rsid w:val="0012270E"/>
    <w:rsid w:val="001228CC"/>
    <w:rsid w:val="001249CD"/>
    <w:rsid w:val="00124A59"/>
    <w:rsid w:val="00124E23"/>
    <w:rsid w:val="0012560D"/>
    <w:rsid w:val="00125A1D"/>
    <w:rsid w:val="00125D50"/>
    <w:rsid w:val="00125E42"/>
    <w:rsid w:val="00125F09"/>
    <w:rsid w:val="00126C95"/>
    <w:rsid w:val="00127089"/>
    <w:rsid w:val="001271F8"/>
    <w:rsid w:val="001277F1"/>
    <w:rsid w:val="00130652"/>
    <w:rsid w:val="00130715"/>
    <w:rsid w:val="00131042"/>
    <w:rsid w:val="00131A45"/>
    <w:rsid w:val="00131C02"/>
    <w:rsid w:val="00132506"/>
    <w:rsid w:val="001325F5"/>
    <w:rsid w:val="001327E2"/>
    <w:rsid w:val="00132C25"/>
    <w:rsid w:val="00133996"/>
    <w:rsid w:val="00133A06"/>
    <w:rsid w:val="0013421C"/>
    <w:rsid w:val="0013448D"/>
    <w:rsid w:val="00134579"/>
    <w:rsid w:val="001346AC"/>
    <w:rsid w:val="00134A3A"/>
    <w:rsid w:val="00134D86"/>
    <w:rsid w:val="0013562E"/>
    <w:rsid w:val="00135B53"/>
    <w:rsid w:val="00135EB5"/>
    <w:rsid w:val="00135F81"/>
    <w:rsid w:val="00136258"/>
    <w:rsid w:val="00136643"/>
    <w:rsid w:val="00136D06"/>
    <w:rsid w:val="00136EC9"/>
    <w:rsid w:val="00137209"/>
    <w:rsid w:val="00137595"/>
    <w:rsid w:val="0014062F"/>
    <w:rsid w:val="0014072D"/>
    <w:rsid w:val="0014076A"/>
    <w:rsid w:val="00140FB6"/>
    <w:rsid w:val="001411D0"/>
    <w:rsid w:val="00141379"/>
    <w:rsid w:val="00141398"/>
    <w:rsid w:val="00141710"/>
    <w:rsid w:val="00142058"/>
    <w:rsid w:val="00142BF8"/>
    <w:rsid w:val="00142C27"/>
    <w:rsid w:val="00142F6D"/>
    <w:rsid w:val="00142FB8"/>
    <w:rsid w:val="0014322E"/>
    <w:rsid w:val="001436EA"/>
    <w:rsid w:val="00143C2C"/>
    <w:rsid w:val="0014415F"/>
    <w:rsid w:val="001449FD"/>
    <w:rsid w:val="00144BA2"/>
    <w:rsid w:val="00145404"/>
    <w:rsid w:val="0014608E"/>
    <w:rsid w:val="001460AF"/>
    <w:rsid w:val="00146BC9"/>
    <w:rsid w:val="00146DB8"/>
    <w:rsid w:val="00146EBA"/>
    <w:rsid w:val="00147191"/>
    <w:rsid w:val="00147C96"/>
    <w:rsid w:val="00147D68"/>
    <w:rsid w:val="001501B0"/>
    <w:rsid w:val="00150E5B"/>
    <w:rsid w:val="001510C9"/>
    <w:rsid w:val="001511A3"/>
    <w:rsid w:val="0015134A"/>
    <w:rsid w:val="001521F3"/>
    <w:rsid w:val="00152322"/>
    <w:rsid w:val="00152599"/>
    <w:rsid w:val="00152D00"/>
    <w:rsid w:val="00153EE0"/>
    <w:rsid w:val="001548B5"/>
    <w:rsid w:val="00154919"/>
    <w:rsid w:val="00154A26"/>
    <w:rsid w:val="00154B77"/>
    <w:rsid w:val="00154F99"/>
    <w:rsid w:val="00155934"/>
    <w:rsid w:val="00155AAF"/>
    <w:rsid w:val="00155C11"/>
    <w:rsid w:val="00155E40"/>
    <w:rsid w:val="00155F3C"/>
    <w:rsid w:val="0015604A"/>
    <w:rsid w:val="001560F6"/>
    <w:rsid w:val="001561BE"/>
    <w:rsid w:val="001563CF"/>
    <w:rsid w:val="00156816"/>
    <w:rsid w:val="0015692C"/>
    <w:rsid w:val="0015739B"/>
    <w:rsid w:val="0015764D"/>
    <w:rsid w:val="00160044"/>
    <w:rsid w:val="0016044A"/>
    <w:rsid w:val="0016065B"/>
    <w:rsid w:val="00160A75"/>
    <w:rsid w:val="00160CA9"/>
    <w:rsid w:val="00161B20"/>
    <w:rsid w:val="0016270F"/>
    <w:rsid w:val="001627FE"/>
    <w:rsid w:val="001630F2"/>
    <w:rsid w:val="00163A80"/>
    <w:rsid w:val="00163E16"/>
    <w:rsid w:val="00164241"/>
    <w:rsid w:val="001643BF"/>
    <w:rsid w:val="00164A8F"/>
    <w:rsid w:val="00164ED6"/>
    <w:rsid w:val="00164FDA"/>
    <w:rsid w:val="00165280"/>
    <w:rsid w:val="001654F1"/>
    <w:rsid w:val="00165AD9"/>
    <w:rsid w:val="0016684C"/>
    <w:rsid w:val="001668D5"/>
    <w:rsid w:val="00166F5D"/>
    <w:rsid w:val="0016719B"/>
    <w:rsid w:val="001675E0"/>
    <w:rsid w:val="00170A5E"/>
    <w:rsid w:val="001716CA"/>
    <w:rsid w:val="0017181E"/>
    <w:rsid w:val="00171AF8"/>
    <w:rsid w:val="00171CFF"/>
    <w:rsid w:val="0017208F"/>
    <w:rsid w:val="00172190"/>
    <w:rsid w:val="001721AD"/>
    <w:rsid w:val="0017261E"/>
    <w:rsid w:val="00172C63"/>
    <w:rsid w:val="00172DC6"/>
    <w:rsid w:val="0017339D"/>
    <w:rsid w:val="0017339E"/>
    <w:rsid w:val="0017384D"/>
    <w:rsid w:val="00173C8D"/>
    <w:rsid w:val="0017419C"/>
    <w:rsid w:val="00174329"/>
    <w:rsid w:val="00174453"/>
    <w:rsid w:val="0017459F"/>
    <w:rsid w:val="00174AFC"/>
    <w:rsid w:val="00174B54"/>
    <w:rsid w:val="00175A57"/>
    <w:rsid w:val="00175AC7"/>
    <w:rsid w:val="00175F4B"/>
    <w:rsid w:val="00176525"/>
    <w:rsid w:val="001765B2"/>
    <w:rsid w:val="001766B8"/>
    <w:rsid w:val="00176B95"/>
    <w:rsid w:val="00177D1F"/>
    <w:rsid w:val="00177EB5"/>
    <w:rsid w:val="00180DB8"/>
    <w:rsid w:val="0018177B"/>
    <w:rsid w:val="00181953"/>
    <w:rsid w:val="00181AC5"/>
    <w:rsid w:val="00181F90"/>
    <w:rsid w:val="00182784"/>
    <w:rsid w:val="00183482"/>
    <w:rsid w:val="00183A9C"/>
    <w:rsid w:val="00183C05"/>
    <w:rsid w:val="00183F0E"/>
    <w:rsid w:val="00184169"/>
    <w:rsid w:val="00184617"/>
    <w:rsid w:val="00184C61"/>
    <w:rsid w:val="0018522E"/>
    <w:rsid w:val="00185EE2"/>
    <w:rsid w:val="0018627C"/>
    <w:rsid w:val="0018661F"/>
    <w:rsid w:val="00186C5D"/>
    <w:rsid w:val="00191B4B"/>
    <w:rsid w:val="001922C9"/>
    <w:rsid w:val="00192C49"/>
    <w:rsid w:val="0019324C"/>
    <w:rsid w:val="001938EE"/>
    <w:rsid w:val="00193BF3"/>
    <w:rsid w:val="00193DC4"/>
    <w:rsid w:val="00194101"/>
    <w:rsid w:val="001946C8"/>
    <w:rsid w:val="00194B60"/>
    <w:rsid w:val="00195309"/>
    <w:rsid w:val="00195318"/>
    <w:rsid w:val="00195522"/>
    <w:rsid w:val="0019559F"/>
    <w:rsid w:val="00195A60"/>
    <w:rsid w:val="00195BBE"/>
    <w:rsid w:val="00195D2E"/>
    <w:rsid w:val="00196102"/>
    <w:rsid w:val="00196138"/>
    <w:rsid w:val="001964EC"/>
    <w:rsid w:val="001972B2"/>
    <w:rsid w:val="00197EE5"/>
    <w:rsid w:val="001A0B38"/>
    <w:rsid w:val="001A0B83"/>
    <w:rsid w:val="001A1177"/>
    <w:rsid w:val="001A1181"/>
    <w:rsid w:val="001A159F"/>
    <w:rsid w:val="001A17E8"/>
    <w:rsid w:val="001A1866"/>
    <w:rsid w:val="001A212C"/>
    <w:rsid w:val="001A23FB"/>
    <w:rsid w:val="001A28C2"/>
    <w:rsid w:val="001A28D1"/>
    <w:rsid w:val="001A32EA"/>
    <w:rsid w:val="001A331F"/>
    <w:rsid w:val="001A3AE4"/>
    <w:rsid w:val="001A40A8"/>
    <w:rsid w:val="001A440D"/>
    <w:rsid w:val="001A4CAD"/>
    <w:rsid w:val="001A4DE3"/>
    <w:rsid w:val="001A4DF6"/>
    <w:rsid w:val="001A4E2E"/>
    <w:rsid w:val="001A50EB"/>
    <w:rsid w:val="001A5944"/>
    <w:rsid w:val="001A5EAA"/>
    <w:rsid w:val="001A5F1E"/>
    <w:rsid w:val="001A5F3A"/>
    <w:rsid w:val="001A6B00"/>
    <w:rsid w:val="001A7070"/>
    <w:rsid w:val="001A7286"/>
    <w:rsid w:val="001A7692"/>
    <w:rsid w:val="001A7842"/>
    <w:rsid w:val="001AFF7A"/>
    <w:rsid w:val="001B229C"/>
    <w:rsid w:val="001B231E"/>
    <w:rsid w:val="001B28BC"/>
    <w:rsid w:val="001B2995"/>
    <w:rsid w:val="001B3653"/>
    <w:rsid w:val="001B3922"/>
    <w:rsid w:val="001B4AF3"/>
    <w:rsid w:val="001B4EB3"/>
    <w:rsid w:val="001B56FB"/>
    <w:rsid w:val="001B593D"/>
    <w:rsid w:val="001B632B"/>
    <w:rsid w:val="001B647C"/>
    <w:rsid w:val="001B6796"/>
    <w:rsid w:val="001B68D2"/>
    <w:rsid w:val="001B6CF8"/>
    <w:rsid w:val="001B7116"/>
    <w:rsid w:val="001B76FF"/>
    <w:rsid w:val="001C063C"/>
    <w:rsid w:val="001C0929"/>
    <w:rsid w:val="001C0D3E"/>
    <w:rsid w:val="001C10D8"/>
    <w:rsid w:val="001C1409"/>
    <w:rsid w:val="001C1818"/>
    <w:rsid w:val="001C1A1A"/>
    <w:rsid w:val="001C2421"/>
    <w:rsid w:val="001C24CE"/>
    <w:rsid w:val="001C31F8"/>
    <w:rsid w:val="001C432F"/>
    <w:rsid w:val="001C43AC"/>
    <w:rsid w:val="001C4531"/>
    <w:rsid w:val="001C508A"/>
    <w:rsid w:val="001C534E"/>
    <w:rsid w:val="001C5436"/>
    <w:rsid w:val="001C5D44"/>
    <w:rsid w:val="001C5E81"/>
    <w:rsid w:val="001C6922"/>
    <w:rsid w:val="001C6EC0"/>
    <w:rsid w:val="001C6FA6"/>
    <w:rsid w:val="001C706C"/>
    <w:rsid w:val="001C7077"/>
    <w:rsid w:val="001C72E1"/>
    <w:rsid w:val="001C72EC"/>
    <w:rsid w:val="001C75F1"/>
    <w:rsid w:val="001C7731"/>
    <w:rsid w:val="001C7953"/>
    <w:rsid w:val="001D025D"/>
    <w:rsid w:val="001D0358"/>
    <w:rsid w:val="001D057D"/>
    <w:rsid w:val="001D0830"/>
    <w:rsid w:val="001D0C81"/>
    <w:rsid w:val="001D0DC4"/>
    <w:rsid w:val="001D1E4B"/>
    <w:rsid w:val="001D1FA7"/>
    <w:rsid w:val="001D26AD"/>
    <w:rsid w:val="001D2C3A"/>
    <w:rsid w:val="001D31BB"/>
    <w:rsid w:val="001D353B"/>
    <w:rsid w:val="001D382E"/>
    <w:rsid w:val="001D392E"/>
    <w:rsid w:val="001D3A91"/>
    <w:rsid w:val="001D3B45"/>
    <w:rsid w:val="001D4020"/>
    <w:rsid w:val="001D44F3"/>
    <w:rsid w:val="001D45DD"/>
    <w:rsid w:val="001D473E"/>
    <w:rsid w:val="001D4B3F"/>
    <w:rsid w:val="001D4E5E"/>
    <w:rsid w:val="001D509E"/>
    <w:rsid w:val="001D5AE7"/>
    <w:rsid w:val="001D5FCF"/>
    <w:rsid w:val="001D66DF"/>
    <w:rsid w:val="001D6755"/>
    <w:rsid w:val="001D6871"/>
    <w:rsid w:val="001D6AB7"/>
    <w:rsid w:val="001D6CAA"/>
    <w:rsid w:val="001D76EB"/>
    <w:rsid w:val="001D775A"/>
    <w:rsid w:val="001D7CAB"/>
    <w:rsid w:val="001D7E8B"/>
    <w:rsid w:val="001E00CB"/>
    <w:rsid w:val="001E0B36"/>
    <w:rsid w:val="001E0B76"/>
    <w:rsid w:val="001E0D9E"/>
    <w:rsid w:val="001E20CC"/>
    <w:rsid w:val="001E20EE"/>
    <w:rsid w:val="001E2178"/>
    <w:rsid w:val="001E222D"/>
    <w:rsid w:val="001E26A6"/>
    <w:rsid w:val="001E29ED"/>
    <w:rsid w:val="001E2A52"/>
    <w:rsid w:val="001E2BFB"/>
    <w:rsid w:val="001E2D04"/>
    <w:rsid w:val="001E34DB"/>
    <w:rsid w:val="001E3626"/>
    <w:rsid w:val="001E369A"/>
    <w:rsid w:val="001E3B18"/>
    <w:rsid w:val="001E3F5E"/>
    <w:rsid w:val="001E4739"/>
    <w:rsid w:val="001E498B"/>
    <w:rsid w:val="001E4AC1"/>
    <w:rsid w:val="001E4F54"/>
    <w:rsid w:val="001E4FD4"/>
    <w:rsid w:val="001E5542"/>
    <w:rsid w:val="001E5F3F"/>
    <w:rsid w:val="001E60E7"/>
    <w:rsid w:val="001E6801"/>
    <w:rsid w:val="001E6A5A"/>
    <w:rsid w:val="001E6AAE"/>
    <w:rsid w:val="001E6D7B"/>
    <w:rsid w:val="001E730D"/>
    <w:rsid w:val="001E73F6"/>
    <w:rsid w:val="001E7AE5"/>
    <w:rsid w:val="001F00E5"/>
    <w:rsid w:val="001F0888"/>
    <w:rsid w:val="001F113A"/>
    <w:rsid w:val="001F1554"/>
    <w:rsid w:val="001F1B93"/>
    <w:rsid w:val="001F1D67"/>
    <w:rsid w:val="001F21D1"/>
    <w:rsid w:val="001F26C2"/>
    <w:rsid w:val="001F2C1C"/>
    <w:rsid w:val="001F440C"/>
    <w:rsid w:val="001F4ACD"/>
    <w:rsid w:val="001F4C86"/>
    <w:rsid w:val="001F4D3B"/>
    <w:rsid w:val="001F5325"/>
    <w:rsid w:val="001F563D"/>
    <w:rsid w:val="001F5F18"/>
    <w:rsid w:val="001F5F93"/>
    <w:rsid w:val="001F610A"/>
    <w:rsid w:val="001F64F3"/>
    <w:rsid w:val="001F654D"/>
    <w:rsid w:val="001F76F0"/>
    <w:rsid w:val="001F7F18"/>
    <w:rsid w:val="00200333"/>
    <w:rsid w:val="00200451"/>
    <w:rsid w:val="002005FC"/>
    <w:rsid w:val="002006C9"/>
    <w:rsid w:val="00200A20"/>
    <w:rsid w:val="00200E45"/>
    <w:rsid w:val="00201095"/>
    <w:rsid w:val="002010AC"/>
    <w:rsid w:val="0020129E"/>
    <w:rsid w:val="002013F2"/>
    <w:rsid w:val="00201458"/>
    <w:rsid w:val="00202174"/>
    <w:rsid w:val="002022D4"/>
    <w:rsid w:val="00202937"/>
    <w:rsid w:val="00202A0F"/>
    <w:rsid w:val="002031E2"/>
    <w:rsid w:val="002035D0"/>
    <w:rsid w:val="002036AC"/>
    <w:rsid w:val="0020378B"/>
    <w:rsid w:val="00203F30"/>
    <w:rsid w:val="002043A2"/>
    <w:rsid w:val="00204482"/>
    <w:rsid w:val="0020456B"/>
    <w:rsid w:val="0020468B"/>
    <w:rsid w:val="002047E4"/>
    <w:rsid w:val="0020496C"/>
    <w:rsid w:val="002049E8"/>
    <w:rsid w:val="00204C24"/>
    <w:rsid w:val="00204D50"/>
    <w:rsid w:val="0020571E"/>
    <w:rsid w:val="00205D98"/>
    <w:rsid w:val="00206121"/>
    <w:rsid w:val="0020617B"/>
    <w:rsid w:val="002061A1"/>
    <w:rsid w:val="002063DF"/>
    <w:rsid w:val="00206429"/>
    <w:rsid w:val="00206634"/>
    <w:rsid w:val="00206CB8"/>
    <w:rsid w:val="00206D4E"/>
    <w:rsid w:val="00206DBB"/>
    <w:rsid w:val="0020731A"/>
    <w:rsid w:val="00207517"/>
    <w:rsid w:val="002076B7"/>
    <w:rsid w:val="00207F61"/>
    <w:rsid w:val="00210FC2"/>
    <w:rsid w:val="0021194D"/>
    <w:rsid w:val="00211C92"/>
    <w:rsid w:val="00211E1D"/>
    <w:rsid w:val="00211F02"/>
    <w:rsid w:val="0021217D"/>
    <w:rsid w:val="002128C5"/>
    <w:rsid w:val="00213160"/>
    <w:rsid w:val="002137A9"/>
    <w:rsid w:val="00213B7B"/>
    <w:rsid w:val="00214233"/>
    <w:rsid w:val="00216AD6"/>
    <w:rsid w:val="002170CF"/>
    <w:rsid w:val="00217198"/>
    <w:rsid w:val="002173E2"/>
    <w:rsid w:val="00220139"/>
    <w:rsid w:val="002201AB"/>
    <w:rsid w:val="002203D4"/>
    <w:rsid w:val="0022093A"/>
    <w:rsid w:val="00220D64"/>
    <w:rsid w:val="00221664"/>
    <w:rsid w:val="00221F70"/>
    <w:rsid w:val="00222583"/>
    <w:rsid w:val="00222F0E"/>
    <w:rsid w:val="0022319F"/>
    <w:rsid w:val="002234BA"/>
    <w:rsid w:val="002237F4"/>
    <w:rsid w:val="00223801"/>
    <w:rsid w:val="00223BB0"/>
    <w:rsid w:val="00223C46"/>
    <w:rsid w:val="002241F3"/>
    <w:rsid w:val="0022423D"/>
    <w:rsid w:val="002242AB"/>
    <w:rsid w:val="00224383"/>
    <w:rsid w:val="00224426"/>
    <w:rsid w:val="002245B1"/>
    <w:rsid w:val="00224D29"/>
    <w:rsid w:val="00224DE4"/>
    <w:rsid w:val="00224E8A"/>
    <w:rsid w:val="0022533E"/>
    <w:rsid w:val="002253ED"/>
    <w:rsid w:val="00225785"/>
    <w:rsid w:val="002257C7"/>
    <w:rsid w:val="0022614E"/>
    <w:rsid w:val="0022651B"/>
    <w:rsid w:val="00226851"/>
    <w:rsid w:val="00227390"/>
    <w:rsid w:val="00227B8B"/>
    <w:rsid w:val="002303FC"/>
    <w:rsid w:val="00230C53"/>
    <w:rsid w:val="00230FC7"/>
    <w:rsid w:val="002312D6"/>
    <w:rsid w:val="0023132E"/>
    <w:rsid w:val="00231489"/>
    <w:rsid w:val="00231A22"/>
    <w:rsid w:val="00231BFA"/>
    <w:rsid w:val="00231D1E"/>
    <w:rsid w:val="00231EC7"/>
    <w:rsid w:val="002320EE"/>
    <w:rsid w:val="00232236"/>
    <w:rsid w:val="0023223C"/>
    <w:rsid w:val="002325B3"/>
    <w:rsid w:val="002325B7"/>
    <w:rsid w:val="002327C0"/>
    <w:rsid w:val="00233899"/>
    <w:rsid w:val="00233A3C"/>
    <w:rsid w:val="00234369"/>
    <w:rsid w:val="00234945"/>
    <w:rsid w:val="00234C2A"/>
    <w:rsid w:val="002355FD"/>
    <w:rsid w:val="00235AA9"/>
    <w:rsid w:val="00235B4A"/>
    <w:rsid w:val="00236172"/>
    <w:rsid w:val="00236A4D"/>
    <w:rsid w:val="00236DC1"/>
    <w:rsid w:val="00236E15"/>
    <w:rsid w:val="002372F2"/>
    <w:rsid w:val="002373B5"/>
    <w:rsid w:val="00237CF1"/>
    <w:rsid w:val="002402EE"/>
    <w:rsid w:val="002405F5"/>
    <w:rsid w:val="00240601"/>
    <w:rsid w:val="0024071D"/>
    <w:rsid w:val="00240AF3"/>
    <w:rsid w:val="002421AD"/>
    <w:rsid w:val="0024273C"/>
    <w:rsid w:val="0024288C"/>
    <w:rsid w:val="002428B4"/>
    <w:rsid w:val="00242991"/>
    <w:rsid w:val="00242C90"/>
    <w:rsid w:val="00242CB6"/>
    <w:rsid w:val="00242F95"/>
    <w:rsid w:val="00243040"/>
    <w:rsid w:val="002431A5"/>
    <w:rsid w:val="0024347A"/>
    <w:rsid w:val="00243688"/>
    <w:rsid w:val="00243AA2"/>
    <w:rsid w:val="00243DB5"/>
    <w:rsid w:val="00244589"/>
    <w:rsid w:val="0024459D"/>
    <w:rsid w:val="00244939"/>
    <w:rsid w:val="002449C6"/>
    <w:rsid w:val="00244B96"/>
    <w:rsid w:val="00244D45"/>
    <w:rsid w:val="00245127"/>
    <w:rsid w:val="00245E45"/>
    <w:rsid w:val="00246226"/>
    <w:rsid w:val="002462C7"/>
    <w:rsid w:val="00246737"/>
    <w:rsid w:val="0024688D"/>
    <w:rsid w:val="002473A2"/>
    <w:rsid w:val="002504EA"/>
    <w:rsid w:val="00250791"/>
    <w:rsid w:val="00250D2C"/>
    <w:rsid w:val="002515CE"/>
    <w:rsid w:val="00251D66"/>
    <w:rsid w:val="00252B17"/>
    <w:rsid w:val="00252C77"/>
    <w:rsid w:val="002530DD"/>
    <w:rsid w:val="0025316E"/>
    <w:rsid w:val="00253AFD"/>
    <w:rsid w:val="002543FF"/>
    <w:rsid w:val="00254D78"/>
    <w:rsid w:val="0025524F"/>
    <w:rsid w:val="00255346"/>
    <w:rsid w:val="00255DE2"/>
    <w:rsid w:val="00256200"/>
    <w:rsid w:val="00256995"/>
    <w:rsid w:val="002569C3"/>
    <w:rsid w:val="002572FD"/>
    <w:rsid w:val="00257886"/>
    <w:rsid w:val="002578BD"/>
    <w:rsid w:val="0026069B"/>
    <w:rsid w:val="00260B82"/>
    <w:rsid w:val="00260D81"/>
    <w:rsid w:val="002611DE"/>
    <w:rsid w:val="00261A44"/>
    <w:rsid w:val="002635B9"/>
    <w:rsid w:val="0026376F"/>
    <w:rsid w:val="00263931"/>
    <w:rsid w:val="0026447A"/>
    <w:rsid w:val="00264817"/>
    <w:rsid w:val="0026482D"/>
    <w:rsid w:val="00264D2E"/>
    <w:rsid w:val="002652CF"/>
    <w:rsid w:val="002657F2"/>
    <w:rsid w:val="00265D66"/>
    <w:rsid w:val="00265E19"/>
    <w:rsid w:val="00265F1F"/>
    <w:rsid w:val="002669DB"/>
    <w:rsid w:val="00266C83"/>
    <w:rsid w:val="0026740F"/>
    <w:rsid w:val="002676CA"/>
    <w:rsid w:val="0026795E"/>
    <w:rsid w:val="00267CF4"/>
    <w:rsid w:val="0027010B"/>
    <w:rsid w:val="002707FC"/>
    <w:rsid w:val="00270C4A"/>
    <w:rsid w:val="00271929"/>
    <w:rsid w:val="00271A0B"/>
    <w:rsid w:val="00271D88"/>
    <w:rsid w:val="00271E6F"/>
    <w:rsid w:val="00271F38"/>
    <w:rsid w:val="002720C8"/>
    <w:rsid w:val="00272D54"/>
    <w:rsid w:val="002734F1"/>
    <w:rsid w:val="00273A8E"/>
    <w:rsid w:val="00274657"/>
    <w:rsid w:val="00275496"/>
    <w:rsid w:val="00275740"/>
    <w:rsid w:val="00275B30"/>
    <w:rsid w:val="002773C9"/>
    <w:rsid w:val="00277FB9"/>
    <w:rsid w:val="00280B78"/>
    <w:rsid w:val="00280BD5"/>
    <w:rsid w:val="002810C4"/>
    <w:rsid w:val="002811E1"/>
    <w:rsid w:val="00281ACF"/>
    <w:rsid w:val="00281CDB"/>
    <w:rsid w:val="00281D56"/>
    <w:rsid w:val="002822A6"/>
    <w:rsid w:val="00282BEF"/>
    <w:rsid w:val="00282D87"/>
    <w:rsid w:val="00282FF9"/>
    <w:rsid w:val="002830DE"/>
    <w:rsid w:val="0028357A"/>
    <w:rsid w:val="0028397E"/>
    <w:rsid w:val="00283DD1"/>
    <w:rsid w:val="00283E17"/>
    <w:rsid w:val="00284660"/>
    <w:rsid w:val="00284F71"/>
    <w:rsid w:val="00284FB0"/>
    <w:rsid w:val="00285085"/>
    <w:rsid w:val="002852E0"/>
    <w:rsid w:val="0028574C"/>
    <w:rsid w:val="00285BF5"/>
    <w:rsid w:val="00285DCE"/>
    <w:rsid w:val="00286881"/>
    <w:rsid w:val="002868E5"/>
    <w:rsid w:val="00286D04"/>
    <w:rsid w:val="002873AA"/>
    <w:rsid w:val="002877BF"/>
    <w:rsid w:val="00287C9D"/>
    <w:rsid w:val="00287D9E"/>
    <w:rsid w:val="00287DB9"/>
    <w:rsid w:val="00287DEA"/>
    <w:rsid w:val="0029031D"/>
    <w:rsid w:val="00290C06"/>
    <w:rsid w:val="00290CA0"/>
    <w:rsid w:val="00291522"/>
    <w:rsid w:val="00291AB1"/>
    <w:rsid w:val="002926B5"/>
    <w:rsid w:val="00292B3F"/>
    <w:rsid w:val="00292E34"/>
    <w:rsid w:val="00292E8D"/>
    <w:rsid w:val="00293B75"/>
    <w:rsid w:val="00293DDB"/>
    <w:rsid w:val="00293FD8"/>
    <w:rsid w:val="00294142"/>
    <w:rsid w:val="00295277"/>
    <w:rsid w:val="00295455"/>
    <w:rsid w:val="002967CE"/>
    <w:rsid w:val="00296F90"/>
    <w:rsid w:val="002974A0"/>
    <w:rsid w:val="00297A92"/>
    <w:rsid w:val="002A0018"/>
    <w:rsid w:val="002A08F7"/>
    <w:rsid w:val="002A0D36"/>
    <w:rsid w:val="002A1550"/>
    <w:rsid w:val="002A1608"/>
    <w:rsid w:val="002A1739"/>
    <w:rsid w:val="002A214E"/>
    <w:rsid w:val="002A2D8F"/>
    <w:rsid w:val="002A2F48"/>
    <w:rsid w:val="002A3120"/>
    <w:rsid w:val="002A3153"/>
    <w:rsid w:val="002A3552"/>
    <w:rsid w:val="002A3715"/>
    <w:rsid w:val="002A3F2A"/>
    <w:rsid w:val="002A40A6"/>
    <w:rsid w:val="002A43CC"/>
    <w:rsid w:val="002A4553"/>
    <w:rsid w:val="002A5142"/>
    <w:rsid w:val="002A529B"/>
    <w:rsid w:val="002A59DD"/>
    <w:rsid w:val="002A6C20"/>
    <w:rsid w:val="002A74B0"/>
    <w:rsid w:val="002A7889"/>
    <w:rsid w:val="002A7E2D"/>
    <w:rsid w:val="002B0A4B"/>
    <w:rsid w:val="002B0D4A"/>
    <w:rsid w:val="002B102E"/>
    <w:rsid w:val="002B1188"/>
    <w:rsid w:val="002B11C0"/>
    <w:rsid w:val="002B1284"/>
    <w:rsid w:val="002B16C6"/>
    <w:rsid w:val="002B188E"/>
    <w:rsid w:val="002B1D9E"/>
    <w:rsid w:val="002B1E9A"/>
    <w:rsid w:val="002B20F5"/>
    <w:rsid w:val="002B219A"/>
    <w:rsid w:val="002B2A18"/>
    <w:rsid w:val="002B2FA7"/>
    <w:rsid w:val="002B34C3"/>
    <w:rsid w:val="002B3CFF"/>
    <w:rsid w:val="002B3D40"/>
    <w:rsid w:val="002B3E28"/>
    <w:rsid w:val="002B5BA0"/>
    <w:rsid w:val="002B5FBA"/>
    <w:rsid w:val="002B660B"/>
    <w:rsid w:val="002B6904"/>
    <w:rsid w:val="002B6AC2"/>
    <w:rsid w:val="002B72F0"/>
    <w:rsid w:val="002B7372"/>
    <w:rsid w:val="002B74BD"/>
    <w:rsid w:val="002B74D8"/>
    <w:rsid w:val="002B77EC"/>
    <w:rsid w:val="002C0322"/>
    <w:rsid w:val="002C084A"/>
    <w:rsid w:val="002C0C56"/>
    <w:rsid w:val="002C0C57"/>
    <w:rsid w:val="002C0CE3"/>
    <w:rsid w:val="002C10E7"/>
    <w:rsid w:val="002C113C"/>
    <w:rsid w:val="002C1625"/>
    <w:rsid w:val="002C1920"/>
    <w:rsid w:val="002C1A7B"/>
    <w:rsid w:val="002C1BA9"/>
    <w:rsid w:val="002C1E2C"/>
    <w:rsid w:val="002C1FEE"/>
    <w:rsid w:val="002C224C"/>
    <w:rsid w:val="002C2516"/>
    <w:rsid w:val="002C2B07"/>
    <w:rsid w:val="002C2B33"/>
    <w:rsid w:val="002C2BE2"/>
    <w:rsid w:val="002C3127"/>
    <w:rsid w:val="002C31EC"/>
    <w:rsid w:val="002C3468"/>
    <w:rsid w:val="002C363E"/>
    <w:rsid w:val="002C36F2"/>
    <w:rsid w:val="002C45A1"/>
    <w:rsid w:val="002C48FF"/>
    <w:rsid w:val="002C4AE3"/>
    <w:rsid w:val="002C53AA"/>
    <w:rsid w:val="002C5406"/>
    <w:rsid w:val="002C553F"/>
    <w:rsid w:val="002C5726"/>
    <w:rsid w:val="002C591E"/>
    <w:rsid w:val="002C5DCA"/>
    <w:rsid w:val="002C5E4B"/>
    <w:rsid w:val="002C62B7"/>
    <w:rsid w:val="002C62D2"/>
    <w:rsid w:val="002C658C"/>
    <w:rsid w:val="002C6614"/>
    <w:rsid w:val="002C69F4"/>
    <w:rsid w:val="002C76AD"/>
    <w:rsid w:val="002C778C"/>
    <w:rsid w:val="002C7B4B"/>
    <w:rsid w:val="002D089D"/>
    <w:rsid w:val="002D0B1E"/>
    <w:rsid w:val="002D1116"/>
    <w:rsid w:val="002D14FD"/>
    <w:rsid w:val="002D16DD"/>
    <w:rsid w:val="002D192C"/>
    <w:rsid w:val="002D1B38"/>
    <w:rsid w:val="002D2134"/>
    <w:rsid w:val="002D218B"/>
    <w:rsid w:val="002D2272"/>
    <w:rsid w:val="002D2D5A"/>
    <w:rsid w:val="002D3624"/>
    <w:rsid w:val="002D3745"/>
    <w:rsid w:val="002D459A"/>
    <w:rsid w:val="002D49C3"/>
    <w:rsid w:val="002D49D7"/>
    <w:rsid w:val="002D53CB"/>
    <w:rsid w:val="002D584B"/>
    <w:rsid w:val="002D5A77"/>
    <w:rsid w:val="002D5D8D"/>
    <w:rsid w:val="002D666C"/>
    <w:rsid w:val="002D669C"/>
    <w:rsid w:val="002D6950"/>
    <w:rsid w:val="002D698F"/>
    <w:rsid w:val="002D6C76"/>
    <w:rsid w:val="002D7162"/>
    <w:rsid w:val="002D717E"/>
    <w:rsid w:val="002D7E05"/>
    <w:rsid w:val="002D7EDB"/>
    <w:rsid w:val="002E0A3B"/>
    <w:rsid w:val="002E0CF4"/>
    <w:rsid w:val="002E1791"/>
    <w:rsid w:val="002E19B8"/>
    <w:rsid w:val="002E1EA4"/>
    <w:rsid w:val="002E227F"/>
    <w:rsid w:val="002E22CF"/>
    <w:rsid w:val="002E2722"/>
    <w:rsid w:val="002E2AE4"/>
    <w:rsid w:val="002E2DFB"/>
    <w:rsid w:val="002E32B8"/>
    <w:rsid w:val="002E3338"/>
    <w:rsid w:val="002E3B43"/>
    <w:rsid w:val="002E40BC"/>
    <w:rsid w:val="002E40C0"/>
    <w:rsid w:val="002E4738"/>
    <w:rsid w:val="002E52EF"/>
    <w:rsid w:val="002E54C7"/>
    <w:rsid w:val="002E5611"/>
    <w:rsid w:val="002E581B"/>
    <w:rsid w:val="002E5847"/>
    <w:rsid w:val="002E5968"/>
    <w:rsid w:val="002E5AD5"/>
    <w:rsid w:val="002E6046"/>
    <w:rsid w:val="002E632B"/>
    <w:rsid w:val="002E6937"/>
    <w:rsid w:val="002E6C84"/>
    <w:rsid w:val="002E6CDF"/>
    <w:rsid w:val="002E6D81"/>
    <w:rsid w:val="002E6EBB"/>
    <w:rsid w:val="002E7889"/>
    <w:rsid w:val="002E7C91"/>
    <w:rsid w:val="002E7F26"/>
    <w:rsid w:val="002F0063"/>
    <w:rsid w:val="002F0428"/>
    <w:rsid w:val="002F0870"/>
    <w:rsid w:val="002F0E7E"/>
    <w:rsid w:val="002F1226"/>
    <w:rsid w:val="002F177B"/>
    <w:rsid w:val="002F1857"/>
    <w:rsid w:val="002F274E"/>
    <w:rsid w:val="002F2ED8"/>
    <w:rsid w:val="002F30A1"/>
    <w:rsid w:val="002F3B2E"/>
    <w:rsid w:val="002F3D1C"/>
    <w:rsid w:val="002F4A55"/>
    <w:rsid w:val="002F50E1"/>
    <w:rsid w:val="002F57E1"/>
    <w:rsid w:val="002F5A69"/>
    <w:rsid w:val="002F5AE9"/>
    <w:rsid w:val="002F60C0"/>
    <w:rsid w:val="002F6290"/>
    <w:rsid w:val="002F65CC"/>
    <w:rsid w:val="002F7016"/>
    <w:rsid w:val="002F7828"/>
    <w:rsid w:val="002F7E33"/>
    <w:rsid w:val="00300367"/>
    <w:rsid w:val="00300515"/>
    <w:rsid w:val="003008AA"/>
    <w:rsid w:val="00301247"/>
    <w:rsid w:val="0030124A"/>
    <w:rsid w:val="00301447"/>
    <w:rsid w:val="00301920"/>
    <w:rsid w:val="00301D5D"/>
    <w:rsid w:val="00301D60"/>
    <w:rsid w:val="00301FAF"/>
    <w:rsid w:val="00302B20"/>
    <w:rsid w:val="00302E76"/>
    <w:rsid w:val="00304267"/>
    <w:rsid w:val="00304A39"/>
    <w:rsid w:val="00304E76"/>
    <w:rsid w:val="00305EEE"/>
    <w:rsid w:val="003061CE"/>
    <w:rsid w:val="00306501"/>
    <w:rsid w:val="003068F0"/>
    <w:rsid w:val="00306A4E"/>
    <w:rsid w:val="00306C71"/>
    <w:rsid w:val="00307494"/>
    <w:rsid w:val="003077BC"/>
    <w:rsid w:val="003079CF"/>
    <w:rsid w:val="003079D0"/>
    <w:rsid w:val="00307E16"/>
    <w:rsid w:val="00310D08"/>
    <w:rsid w:val="00311232"/>
    <w:rsid w:val="0031151A"/>
    <w:rsid w:val="0031151C"/>
    <w:rsid w:val="00311858"/>
    <w:rsid w:val="003119FB"/>
    <w:rsid w:val="00312367"/>
    <w:rsid w:val="0031263C"/>
    <w:rsid w:val="00312B12"/>
    <w:rsid w:val="00313006"/>
    <w:rsid w:val="00313602"/>
    <w:rsid w:val="0031362F"/>
    <w:rsid w:val="00313765"/>
    <w:rsid w:val="0031387C"/>
    <w:rsid w:val="00313937"/>
    <w:rsid w:val="00313B80"/>
    <w:rsid w:val="00313C3A"/>
    <w:rsid w:val="003145F1"/>
    <w:rsid w:val="00314AC3"/>
    <w:rsid w:val="00315776"/>
    <w:rsid w:val="00315867"/>
    <w:rsid w:val="00316868"/>
    <w:rsid w:val="00316B1F"/>
    <w:rsid w:val="00317E93"/>
    <w:rsid w:val="00317F77"/>
    <w:rsid w:val="00320048"/>
    <w:rsid w:val="00320BA0"/>
    <w:rsid w:val="00320E8A"/>
    <w:rsid w:val="0032104B"/>
    <w:rsid w:val="003210A0"/>
    <w:rsid w:val="00321295"/>
    <w:rsid w:val="00321428"/>
    <w:rsid w:val="003215A7"/>
    <w:rsid w:val="003217F9"/>
    <w:rsid w:val="00321A6F"/>
    <w:rsid w:val="00321D8F"/>
    <w:rsid w:val="00321F93"/>
    <w:rsid w:val="00322067"/>
    <w:rsid w:val="0032236F"/>
    <w:rsid w:val="0032254F"/>
    <w:rsid w:val="0032286A"/>
    <w:rsid w:val="003230BF"/>
    <w:rsid w:val="003237AA"/>
    <w:rsid w:val="00324DE5"/>
    <w:rsid w:val="00325EC3"/>
    <w:rsid w:val="00327187"/>
    <w:rsid w:val="00327493"/>
    <w:rsid w:val="00327D39"/>
    <w:rsid w:val="00327D72"/>
    <w:rsid w:val="00330244"/>
    <w:rsid w:val="00330B30"/>
    <w:rsid w:val="00331593"/>
    <w:rsid w:val="00331955"/>
    <w:rsid w:val="00331BDF"/>
    <w:rsid w:val="003320BE"/>
    <w:rsid w:val="00332502"/>
    <w:rsid w:val="00332B0C"/>
    <w:rsid w:val="00332F8A"/>
    <w:rsid w:val="0033366A"/>
    <w:rsid w:val="00333864"/>
    <w:rsid w:val="003341FE"/>
    <w:rsid w:val="003342A8"/>
    <w:rsid w:val="003346A0"/>
    <w:rsid w:val="003346F6"/>
    <w:rsid w:val="0033487D"/>
    <w:rsid w:val="00334B88"/>
    <w:rsid w:val="00334D34"/>
    <w:rsid w:val="003351E5"/>
    <w:rsid w:val="00335524"/>
    <w:rsid w:val="003355C3"/>
    <w:rsid w:val="0033595D"/>
    <w:rsid w:val="00335C55"/>
    <w:rsid w:val="00336686"/>
    <w:rsid w:val="00336AF6"/>
    <w:rsid w:val="003370F0"/>
    <w:rsid w:val="00337273"/>
    <w:rsid w:val="0033746F"/>
    <w:rsid w:val="003376DE"/>
    <w:rsid w:val="003376EA"/>
    <w:rsid w:val="00337837"/>
    <w:rsid w:val="003409B1"/>
    <w:rsid w:val="0034158E"/>
    <w:rsid w:val="00341ADD"/>
    <w:rsid w:val="00342D30"/>
    <w:rsid w:val="003431E3"/>
    <w:rsid w:val="00343712"/>
    <w:rsid w:val="00343B4A"/>
    <w:rsid w:val="003443B9"/>
    <w:rsid w:val="00344823"/>
    <w:rsid w:val="00344872"/>
    <w:rsid w:val="00344CDF"/>
    <w:rsid w:val="00344FE1"/>
    <w:rsid w:val="00345289"/>
    <w:rsid w:val="00345838"/>
    <w:rsid w:val="00345AE9"/>
    <w:rsid w:val="0034660C"/>
    <w:rsid w:val="00346734"/>
    <w:rsid w:val="00346A21"/>
    <w:rsid w:val="00347129"/>
    <w:rsid w:val="003475D0"/>
    <w:rsid w:val="003478F8"/>
    <w:rsid w:val="00347B1D"/>
    <w:rsid w:val="00347F39"/>
    <w:rsid w:val="0035067C"/>
    <w:rsid w:val="0035097A"/>
    <w:rsid w:val="00350A66"/>
    <w:rsid w:val="00350AFC"/>
    <w:rsid w:val="00351109"/>
    <w:rsid w:val="00351F65"/>
    <w:rsid w:val="00351FF5"/>
    <w:rsid w:val="0035227E"/>
    <w:rsid w:val="003522C9"/>
    <w:rsid w:val="00352CC7"/>
    <w:rsid w:val="003534EB"/>
    <w:rsid w:val="0035409F"/>
    <w:rsid w:val="003543F1"/>
    <w:rsid w:val="003544C7"/>
    <w:rsid w:val="00354697"/>
    <w:rsid w:val="003548B4"/>
    <w:rsid w:val="003548B7"/>
    <w:rsid w:val="003553F0"/>
    <w:rsid w:val="00355757"/>
    <w:rsid w:val="003558B1"/>
    <w:rsid w:val="00355CAF"/>
    <w:rsid w:val="003568DE"/>
    <w:rsid w:val="003575F1"/>
    <w:rsid w:val="00357B69"/>
    <w:rsid w:val="00360169"/>
    <w:rsid w:val="0036065D"/>
    <w:rsid w:val="00360772"/>
    <w:rsid w:val="003607F8"/>
    <w:rsid w:val="00360EE9"/>
    <w:rsid w:val="003612A9"/>
    <w:rsid w:val="00361507"/>
    <w:rsid w:val="00361F05"/>
    <w:rsid w:val="003620DD"/>
    <w:rsid w:val="003630D7"/>
    <w:rsid w:val="003631D7"/>
    <w:rsid w:val="0036332B"/>
    <w:rsid w:val="00363410"/>
    <w:rsid w:val="003636E8"/>
    <w:rsid w:val="003638BF"/>
    <w:rsid w:val="003639C5"/>
    <w:rsid w:val="00363A5F"/>
    <w:rsid w:val="00363C13"/>
    <w:rsid w:val="00363C55"/>
    <w:rsid w:val="0036456C"/>
    <w:rsid w:val="00365325"/>
    <w:rsid w:val="00365EED"/>
    <w:rsid w:val="003661AD"/>
    <w:rsid w:val="00366302"/>
    <w:rsid w:val="003666F0"/>
    <w:rsid w:val="00366A06"/>
    <w:rsid w:val="00366A27"/>
    <w:rsid w:val="00366B57"/>
    <w:rsid w:val="00366F45"/>
    <w:rsid w:val="0036722A"/>
    <w:rsid w:val="00367722"/>
    <w:rsid w:val="00367B9C"/>
    <w:rsid w:val="003709EF"/>
    <w:rsid w:val="00370B9A"/>
    <w:rsid w:val="00370D65"/>
    <w:rsid w:val="003725F4"/>
    <w:rsid w:val="003726D5"/>
    <w:rsid w:val="003732BD"/>
    <w:rsid w:val="0037362D"/>
    <w:rsid w:val="00373734"/>
    <w:rsid w:val="00373B63"/>
    <w:rsid w:val="003759A0"/>
    <w:rsid w:val="00375F06"/>
    <w:rsid w:val="00375F9C"/>
    <w:rsid w:val="003762E7"/>
    <w:rsid w:val="003762F9"/>
    <w:rsid w:val="00376385"/>
    <w:rsid w:val="00376F10"/>
    <w:rsid w:val="00377133"/>
    <w:rsid w:val="003774F8"/>
    <w:rsid w:val="003804DC"/>
    <w:rsid w:val="0038098E"/>
    <w:rsid w:val="003814FB"/>
    <w:rsid w:val="0038165E"/>
    <w:rsid w:val="00381B08"/>
    <w:rsid w:val="00381E30"/>
    <w:rsid w:val="00382036"/>
    <w:rsid w:val="00383098"/>
    <w:rsid w:val="00383A63"/>
    <w:rsid w:val="00383D8E"/>
    <w:rsid w:val="00384A45"/>
    <w:rsid w:val="00384E30"/>
    <w:rsid w:val="0038577F"/>
    <w:rsid w:val="003862BD"/>
    <w:rsid w:val="00386415"/>
    <w:rsid w:val="0038689A"/>
    <w:rsid w:val="00387898"/>
    <w:rsid w:val="003900CF"/>
    <w:rsid w:val="003900D1"/>
    <w:rsid w:val="003904FA"/>
    <w:rsid w:val="003907DC"/>
    <w:rsid w:val="00391B88"/>
    <w:rsid w:val="00391CEE"/>
    <w:rsid w:val="00391E1F"/>
    <w:rsid w:val="003924A5"/>
    <w:rsid w:val="0039309C"/>
    <w:rsid w:val="00393303"/>
    <w:rsid w:val="0039353C"/>
    <w:rsid w:val="00393564"/>
    <w:rsid w:val="0039428A"/>
    <w:rsid w:val="00394B3A"/>
    <w:rsid w:val="00395028"/>
    <w:rsid w:val="003958B3"/>
    <w:rsid w:val="00395BC6"/>
    <w:rsid w:val="003960EF"/>
    <w:rsid w:val="003961C8"/>
    <w:rsid w:val="003966A6"/>
    <w:rsid w:val="00396F23"/>
    <w:rsid w:val="00397AF7"/>
    <w:rsid w:val="003A00F6"/>
    <w:rsid w:val="003A0C5A"/>
    <w:rsid w:val="003A175A"/>
    <w:rsid w:val="003A1BB8"/>
    <w:rsid w:val="003A1D52"/>
    <w:rsid w:val="003A1FB3"/>
    <w:rsid w:val="003A31E6"/>
    <w:rsid w:val="003A3C10"/>
    <w:rsid w:val="003A3F24"/>
    <w:rsid w:val="003A3F2B"/>
    <w:rsid w:val="003A452A"/>
    <w:rsid w:val="003A512D"/>
    <w:rsid w:val="003A5BAA"/>
    <w:rsid w:val="003A5D9D"/>
    <w:rsid w:val="003A60C6"/>
    <w:rsid w:val="003A6C1B"/>
    <w:rsid w:val="003A7275"/>
    <w:rsid w:val="003A7F6F"/>
    <w:rsid w:val="003B0519"/>
    <w:rsid w:val="003B0521"/>
    <w:rsid w:val="003B0A70"/>
    <w:rsid w:val="003B0B02"/>
    <w:rsid w:val="003B132F"/>
    <w:rsid w:val="003B15CD"/>
    <w:rsid w:val="003B162C"/>
    <w:rsid w:val="003B16F8"/>
    <w:rsid w:val="003B176A"/>
    <w:rsid w:val="003B1839"/>
    <w:rsid w:val="003B1D56"/>
    <w:rsid w:val="003B1F6A"/>
    <w:rsid w:val="003B22A4"/>
    <w:rsid w:val="003B25BE"/>
    <w:rsid w:val="003B28DC"/>
    <w:rsid w:val="003B2C2E"/>
    <w:rsid w:val="003B2D97"/>
    <w:rsid w:val="003B32B5"/>
    <w:rsid w:val="003B33BB"/>
    <w:rsid w:val="003B378B"/>
    <w:rsid w:val="003B3795"/>
    <w:rsid w:val="003B3881"/>
    <w:rsid w:val="003B3897"/>
    <w:rsid w:val="003B390C"/>
    <w:rsid w:val="003B3B40"/>
    <w:rsid w:val="003B40A5"/>
    <w:rsid w:val="003B4223"/>
    <w:rsid w:val="003B42C0"/>
    <w:rsid w:val="003B479C"/>
    <w:rsid w:val="003B4BA2"/>
    <w:rsid w:val="003B4CA4"/>
    <w:rsid w:val="003B53FE"/>
    <w:rsid w:val="003B5C96"/>
    <w:rsid w:val="003B6241"/>
    <w:rsid w:val="003B6292"/>
    <w:rsid w:val="003B659B"/>
    <w:rsid w:val="003B65BA"/>
    <w:rsid w:val="003B671B"/>
    <w:rsid w:val="003B69DB"/>
    <w:rsid w:val="003B6A7E"/>
    <w:rsid w:val="003B6BF2"/>
    <w:rsid w:val="003B6C34"/>
    <w:rsid w:val="003B7661"/>
    <w:rsid w:val="003B7F3D"/>
    <w:rsid w:val="003C076A"/>
    <w:rsid w:val="003C0920"/>
    <w:rsid w:val="003C0E55"/>
    <w:rsid w:val="003C0EC5"/>
    <w:rsid w:val="003C155B"/>
    <w:rsid w:val="003C17E4"/>
    <w:rsid w:val="003C1B4C"/>
    <w:rsid w:val="003C1BF5"/>
    <w:rsid w:val="003C1CB1"/>
    <w:rsid w:val="003C1DEF"/>
    <w:rsid w:val="003C242B"/>
    <w:rsid w:val="003C269E"/>
    <w:rsid w:val="003C3D3F"/>
    <w:rsid w:val="003C473F"/>
    <w:rsid w:val="003C4C63"/>
    <w:rsid w:val="003C4F45"/>
    <w:rsid w:val="003C5061"/>
    <w:rsid w:val="003C508A"/>
    <w:rsid w:val="003C544C"/>
    <w:rsid w:val="003C54A8"/>
    <w:rsid w:val="003C60E9"/>
    <w:rsid w:val="003C645F"/>
    <w:rsid w:val="003C6AEA"/>
    <w:rsid w:val="003C7137"/>
    <w:rsid w:val="003C756B"/>
    <w:rsid w:val="003C7EC4"/>
    <w:rsid w:val="003C7FC1"/>
    <w:rsid w:val="003D0732"/>
    <w:rsid w:val="003D0BFA"/>
    <w:rsid w:val="003D0D57"/>
    <w:rsid w:val="003D10BC"/>
    <w:rsid w:val="003D1220"/>
    <w:rsid w:val="003D18CD"/>
    <w:rsid w:val="003D1E06"/>
    <w:rsid w:val="003D1F39"/>
    <w:rsid w:val="003D1F5D"/>
    <w:rsid w:val="003D22AE"/>
    <w:rsid w:val="003D2502"/>
    <w:rsid w:val="003D25A8"/>
    <w:rsid w:val="003D2B35"/>
    <w:rsid w:val="003D2B93"/>
    <w:rsid w:val="003D2DD9"/>
    <w:rsid w:val="003D2FED"/>
    <w:rsid w:val="003D301F"/>
    <w:rsid w:val="003D3663"/>
    <w:rsid w:val="003D3688"/>
    <w:rsid w:val="003D52D4"/>
    <w:rsid w:val="003D55E4"/>
    <w:rsid w:val="003D5F34"/>
    <w:rsid w:val="003D69C5"/>
    <w:rsid w:val="003D6F22"/>
    <w:rsid w:val="003D721F"/>
    <w:rsid w:val="003D7A0B"/>
    <w:rsid w:val="003E08B5"/>
    <w:rsid w:val="003E104D"/>
    <w:rsid w:val="003E1462"/>
    <w:rsid w:val="003E14A6"/>
    <w:rsid w:val="003E1E9A"/>
    <w:rsid w:val="003E1F49"/>
    <w:rsid w:val="003E2A1F"/>
    <w:rsid w:val="003E2F42"/>
    <w:rsid w:val="003E2FCD"/>
    <w:rsid w:val="003E3219"/>
    <w:rsid w:val="003E3594"/>
    <w:rsid w:val="003E37F2"/>
    <w:rsid w:val="003E3C8C"/>
    <w:rsid w:val="003E4978"/>
    <w:rsid w:val="003E497C"/>
    <w:rsid w:val="003E5008"/>
    <w:rsid w:val="003E546F"/>
    <w:rsid w:val="003E5886"/>
    <w:rsid w:val="003E65AF"/>
    <w:rsid w:val="003E68CE"/>
    <w:rsid w:val="003E6936"/>
    <w:rsid w:val="003E6A4D"/>
    <w:rsid w:val="003E6F28"/>
    <w:rsid w:val="003E7262"/>
    <w:rsid w:val="003E7626"/>
    <w:rsid w:val="003E7809"/>
    <w:rsid w:val="003F1152"/>
    <w:rsid w:val="003F1D82"/>
    <w:rsid w:val="003F2DDB"/>
    <w:rsid w:val="003F2F0C"/>
    <w:rsid w:val="003F3AE6"/>
    <w:rsid w:val="003F3EF6"/>
    <w:rsid w:val="003F3F12"/>
    <w:rsid w:val="003F500A"/>
    <w:rsid w:val="003F5864"/>
    <w:rsid w:val="003F600A"/>
    <w:rsid w:val="003F6555"/>
    <w:rsid w:val="003F6E5A"/>
    <w:rsid w:val="003F7063"/>
    <w:rsid w:val="003F763E"/>
    <w:rsid w:val="003F7B89"/>
    <w:rsid w:val="00400061"/>
    <w:rsid w:val="0040022B"/>
    <w:rsid w:val="0040029B"/>
    <w:rsid w:val="0040095E"/>
    <w:rsid w:val="00400F6B"/>
    <w:rsid w:val="004010D7"/>
    <w:rsid w:val="00401106"/>
    <w:rsid w:val="00401350"/>
    <w:rsid w:val="00401493"/>
    <w:rsid w:val="004015D9"/>
    <w:rsid w:val="00401C49"/>
    <w:rsid w:val="00402485"/>
    <w:rsid w:val="004026F2"/>
    <w:rsid w:val="00403809"/>
    <w:rsid w:val="004038F9"/>
    <w:rsid w:val="00403E40"/>
    <w:rsid w:val="00403FA5"/>
    <w:rsid w:val="004047FE"/>
    <w:rsid w:val="00404853"/>
    <w:rsid w:val="00405189"/>
    <w:rsid w:val="004052EA"/>
    <w:rsid w:val="0040591F"/>
    <w:rsid w:val="00405BFE"/>
    <w:rsid w:val="00405F1B"/>
    <w:rsid w:val="00406AD0"/>
    <w:rsid w:val="00406E13"/>
    <w:rsid w:val="00407040"/>
    <w:rsid w:val="0040717E"/>
    <w:rsid w:val="004073AA"/>
    <w:rsid w:val="00407581"/>
    <w:rsid w:val="0040776F"/>
    <w:rsid w:val="004077F7"/>
    <w:rsid w:val="00407E1B"/>
    <w:rsid w:val="00407EEF"/>
    <w:rsid w:val="00410929"/>
    <w:rsid w:val="00410A54"/>
    <w:rsid w:val="00410A87"/>
    <w:rsid w:val="00410AB0"/>
    <w:rsid w:val="00410ACD"/>
    <w:rsid w:val="00411118"/>
    <w:rsid w:val="00411141"/>
    <w:rsid w:val="0041176D"/>
    <w:rsid w:val="00411A30"/>
    <w:rsid w:val="00411A9B"/>
    <w:rsid w:val="00411AC9"/>
    <w:rsid w:val="00411B78"/>
    <w:rsid w:val="00411D6C"/>
    <w:rsid w:val="00411F97"/>
    <w:rsid w:val="004121D4"/>
    <w:rsid w:val="004128AF"/>
    <w:rsid w:val="00412AA2"/>
    <w:rsid w:val="00413327"/>
    <w:rsid w:val="00413549"/>
    <w:rsid w:val="004138EB"/>
    <w:rsid w:val="00413B46"/>
    <w:rsid w:val="004143EC"/>
    <w:rsid w:val="004145C2"/>
    <w:rsid w:val="00414A24"/>
    <w:rsid w:val="0041512D"/>
    <w:rsid w:val="0041531C"/>
    <w:rsid w:val="004159C5"/>
    <w:rsid w:val="00416271"/>
    <w:rsid w:val="00416555"/>
    <w:rsid w:val="0041659F"/>
    <w:rsid w:val="0041673B"/>
    <w:rsid w:val="00417599"/>
    <w:rsid w:val="00417AB5"/>
    <w:rsid w:val="00417B2D"/>
    <w:rsid w:val="00417BFC"/>
    <w:rsid w:val="00419FFD"/>
    <w:rsid w:val="00420AC2"/>
    <w:rsid w:val="00420F2F"/>
    <w:rsid w:val="00421127"/>
    <w:rsid w:val="004214B2"/>
    <w:rsid w:val="004214D8"/>
    <w:rsid w:val="00421613"/>
    <w:rsid w:val="0042161A"/>
    <w:rsid w:val="00421705"/>
    <w:rsid w:val="00421BA4"/>
    <w:rsid w:val="00421BD6"/>
    <w:rsid w:val="00421ECB"/>
    <w:rsid w:val="00422446"/>
    <w:rsid w:val="0042259A"/>
    <w:rsid w:val="00422AAA"/>
    <w:rsid w:val="00422BA3"/>
    <w:rsid w:val="00422BC1"/>
    <w:rsid w:val="00422F55"/>
    <w:rsid w:val="00423CD0"/>
    <w:rsid w:val="0042411A"/>
    <w:rsid w:val="004242A6"/>
    <w:rsid w:val="00424A95"/>
    <w:rsid w:val="00424AAC"/>
    <w:rsid w:val="00425190"/>
    <w:rsid w:val="0042530A"/>
    <w:rsid w:val="00425551"/>
    <w:rsid w:val="004256B7"/>
    <w:rsid w:val="00425B16"/>
    <w:rsid w:val="00426D88"/>
    <w:rsid w:val="00427055"/>
    <w:rsid w:val="004272FD"/>
    <w:rsid w:val="00427491"/>
    <w:rsid w:val="0042758E"/>
    <w:rsid w:val="00427933"/>
    <w:rsid w:val="00427E24"/>
    <w:rsid w:val="00427FF0"/>
    <w:rsid w:val="00430342"/>
    <w:rsid w:val="0043084E"/>
    <w:rsid w:val="004316E6"/>
    <w:rsid w:val="004317AC"/>
    <w:rsid w:val="004318DC"/>
    <w:rsid w:val="00431B0B"/>
    <w:rsid w:val="00431BF6"/>
    <w:rsid w:val="00432261"/>
    <w:rsid w:val="00433232"/>
    <w:rsid w:val="004333EA"/>
    <w:rsid w:val="004339CF"/>
    <w:rsid w:val="00433CE7"/>
    <w:rsid w:val="00433EF9"/>
    <w:rsid w:val="00433F6A"/>
    <w:rsid w:val="00434B74"/>
    <w:rsid w:val="00434BFC"/>
    <w:rsid w:val="0043599E"/>
    <w:rsid w:val="00435EB6"/>
    <w:rsid w:val="00435F95"/>
    <w:rsid w:val="00435FCD"/>
    <w:rsid w:val="004363E5"/>
    <w:rsid w:val="004367EC"/>
    <w:rsid w:val="0043740B"/>
    <w:rsid w:val="00437A1F"/>
    <w:rsid w:val="00437D81"/>
    <w:rsid w:val="00440AB7"/>
    <w:rsid w:val="00440B8C"/>
    <w:rsid w:val="00440BC1"/>
    <w:rsid w:val="00441B30"/>
    <w:rsid w:val="00441D4A"/>
    <w:rsid w:val="00442031"/>
    <w:rsid w:val="004421F8"/>
    <w:rsid w:val="004424F8"/>
    <w:rsid w:val="00442724"/>
    <w:rsid w:val="00442C9D"/>
    <w:rsid w:val="00442CFE"/>
    <w:rsid w:val="0044315D"/>
    <w:rsid w:val="00443510"/>
    <w:rsid w:val="00444243"/>
    <w:rsid w:val="00444873"/>
    <w:rsid w:val="0044499E"/>
    <w:rsid w:val="0044506C"/>
    <w:rsid w:val="004458CC"/>
    <w:rsid w:val="004458E9"/>
    <w:rsid w:val="0044712C"/>
    <w:rsid w:val="00447260"/>
    <w:rsid w:val="00447D74"/>
    <w:rsid w:val="00447F1B"/>
    <w:rsid w:val="0045020D"/>
    <w:rsid w:val="0045037F"/>
    <w:rsid w:val="00450C2E"/>
    <w:rsid w:val="00451291"/>
    <w:rsid w:val="00451B74"/>
    <w:rsid w:val="00451CFA"/>
    <w:rsid w:val="00451DF6"/>
    <w:rsid w:val="00451F60"/>
    <w:rsid w:val="00452092"/>
    <w:rsid w:val="00452643"/>
    <w:rsid w:val="00452703"/>
    <w:rsid w:val="0045286E"/>
    <w:rsid w:val="00452D51"/>
    <w:rsid w:val="0045353E"/>
    <w:rsid w:val="00453BF4"/>
    <w:rsid w:val="0045443B"/>
    <w:rsid w:val="00454ADB"/>
    <w:rsid w:val="00454B1F"/>
    <w:rsid w:val="0045504F"/>
    <w:rsid w:val="0045599C"/>
    <w:rsid w:val="00455E27"/>
    <w:rsid w:val="00457090"/>
    <w:rsid w:val="004570A2"/>
    <w:rsid w:val="00457816"/>
    <w:rsid w:val="00457828"/>
    <w:rsid w:val="00460119"/>
    <w:rsid w:val="0046056B"/>
    <w:rsid w:val="00460920"/>
    <w:rsid w:val="00461310"/>
    <w:rsid w:val="00461344"/>
    <w:rsid w:val="00461611"/>
    <w:rsid w:val="004616EA"/>
    <w:rsid w:val="00461830"/>
    <w:rsid w:val="00461951"/>
    <w:rsid w:val="00461C36"/>
    <w:rsid w:val="00462D36"/>
    <w:rsid w:val="00462D4A"/>
    <w:rsid w:val="0046309C"/>
    <w:rsid w:val="00464CA6"/>
    <w:rsid w:val="00464CC7"/>
    <w:rsid w:val="00464D55"/>
    <w:rsid w:val="004651F2"/>
    <w:rsid w:val="0046539C"/>
    <w:rsid w:val="00465833"/>
    <w:rsid w:val="004662C5"/>
    <w:rsid w:val="0046636A"/>
    <w:rsid w:val="0046649F"/>
    <w:rsid w:val="00466727"/>
    <w:rsid w:val="004669AE"/>
    <w:rsid w:val="00466CB3"/>
    <w:rsid w:val="0046770C"/>
    <w:rsid w:val="0046770D"/>
    <w:rsid w:val="00467956"/>
    <w:rsid w:val="004702C1"/>
    <w:rsid w:val="00470590"/>
    <w:rsid w:val="004706DB"/>
    <w:rsid w:val="00470837"/>
    <w:rsid w:val="00470B9B"/>
    <w:rsid w:val="00470C06"/>
    <w:rsid w:val="00471017"/>
    <w:rsid w:val="00471289"/>
    <w:rsid w:val="00471569"/>
    <w:rsid w:val="00471984"/>
    <w:rsid w:val="00471A2B"/>
    <w:rsid w:val="00471B86"/>
    <w:rsid w:val="00471B88"/>
    <w:rsid w:val="00471E1B"/>
    <w:rsid w:val="00471FAA"/>
    <w:rsid w:val="00472028"/>
    <w:rsid w:val="00472755"/>
    <w:rsid w:val="004729F3"/>
    <w:rsid w:val="00472C48"/>
    <w:rsid w:val="00473778"/>
    <w:rsid w:val="00473983"/>
    <w:rsid w:val="00473A83"/>
    <w:rsid w:val="00473D25"/>
    <w:rsid w:val="00474122"/>
    <w:rsid w:val="0047486A"/>
    <w:rsid w:val="00474A62"/>
    <w:rsid w:val="00475667"/>
    <w:rsid w:val="00475B22"/>
    <w:rsid w:val="00475B32"/>
    <w:rsid w:val="00475E7F"/>
    <w:rsid w:val="004768C8"/>
    <w:rsid w:val="00476F41"/>
    <w:rsid w:val="00477903"/>
    <w:rsid w:val="00477A21"/>
    <w:rsid w:val="0048072D"/>
    <w:rsid w:val="004809A2"/>
    <w:rsid w:val="00480B55"/>
    <w:rsid w:val="00480CF0"/>
    <w:rsid w:val="00480D6A"/>
    <w:rsid w:val="00480DA3"/>
    <w:rsid w:val="00480DE7"/>
    <w:rsid w:val="0048143B"/>
    <w:rsid w:val="00481653"/>
    <w:rsid w:val="00481902"/>
    <w:rsid w:val="004819AD"/>
    <w:rsid w:val="00481CC1"/>
    <w:rsid w:val="00481FC9"/>
    <w:rsid w:val="004823E4"/>
    <w:rsid w:val="00482510"/>
    <w:rsid w:val="0048284C"/>
    <w:rsid w:val="0048312D"/>
    <w:rsid w:val="004831BE"/>
    <w:rsid w:val="004834A9"/>
    <w:rsid w:val="00483607"/>
    <w:rsid w:val="00483711"/>
    <w:rsid w:val="00483A29"/>
    <w:rsid w:val="00483BDF"/>
    <w:rsid w:val="00483D65"/>
    <w:rsid w:val="00483DF4"/>
    <w:rsid w:val="00484702"/>
    <w:rsid w:val="0048476E"/>
    <w:rsid w:val="00484C0D"/>
    <w:rsid w:val="00484DA6"/>
    <w:rsid w:val="00485559"/>
    <w:rsid w:val="004860E5"/>
    <w:rsid w:val="004864AE"/>
    <w:rsid w:val="004866F5"/>
    <w:rsid w:val="00486963"/>
    <w:rsid w:val="00486C01"/>
    <w:rsid w:val="00486F49"/>
    <w:rsid w:val="00487218"/>
    <w:rsid w:val="00487305"/>
    <w:rsid w:val="004874C6"/>
    <w:rsid w:val="00487558"/>
    <w:rsid w:val="00487ABA"/>
    <w:rsid w:val="00490335"/>
    <w:rsid w:val="004905D3"/>
    <w:rsid w:val="004905FA"/>
    <w:rsid w:val="00490D68"/>
    <w:rsid w:val="004914DC"/>
    <w:rsid w:val="00492A5F"/>
    <w:rsid w:val="00492D55"/>
    <w:rsid w:val="00493137"/>
    <w:rsid w:val="00493958"/>
    <w:rsid w:val="00493B6B"/>
    <w:rsid w:val="0049400B"/>
    <w:rsid w:val="00494015"/>
    <w:rsid w:val="00494229"/>
    <w:rsid w:val="004949F4"/>
    <w:rsid w:val="00494A4D"/>
    <w:rsid w:val="00495423"/>
    <w:rsid w:val="0049565C"/>
    <w:rsid w:val="0049584F"/>
    <w:rsid w:val="0049596E"/>
    <w:rsid w:val="00495F74"/>
    <w:rsid w:val="00495FDA"/>
    <w:rsid w:val="00496081"/>
    <w:rsid w:val="00496300"/>
    <w:rsid w:val="004972C4"/>
    <w:rsid w:val="00497440"/>
    <w:rsid w:val="0049788C"/>
    <w:rsid w:val="00497979"/>
    <w:rsid w:val="00497C33"/>
    <w:rsid w:val="00497FB8"/>
    <w:rsid w:val="004A07CE"/>
    <w:rsid w:val="004A08E6"/>
    <w:rsid w:val="004A092D"/>
    <w:rsid w:val="004A09B3"/>
    <w:rsid w:val="004A0AD9"/>
    <w:rsid w:val="004A10AA"/>
    <w:rsid w:val="004A1CFC"/>
    <w:rsid w:val="004A2351"/>
    <w:rsid w:val="004A2C27"/>
    <w:rsid w:val="004A3056"/>
    <w:rsid w:val="004A381F"/>
    <w:rsid w:val="004A3ACF"/>
    <w:rsid w:val="004A44D8"/>
    <w:rsid w:val="004A4DFC"/>
    <w:rsid w:val="004A4E50"/>
    <w:rsid w:val="004A513C"/>
    <w:rsid w:val="004A5208"/>
    <w:rsid w:val="004A56FD"/>
    <w:rsid w:val="004A5A31"/>
    <w:rsid w:val="004A5C9C"/>
    <w:rsid w:val="004A62E0"/>
    <w:rsid w:val="004A63E4"/>
    <w:rsid w:val="004A64C9"/>
    <w:rsid w:val="004A650C"/>
    <w:rsid w:val="004A7312"/>
    <w:rsid w:val="004A7E85"/>
    <w:rsid w:val="004A7EDD"/>
    <w:rsid w:val="004B027D"/>
    <w:rsid w:val="004B02F6"/>
    <w:rsid w:val="004B03E6"/>
    <w:rsid w:val="004B06E5"/>
    <w:rsid w:val="004B0824"/>
    <w:rsid w:val="004B0A28"/>
    <w:rsid w:val="004B0D8F"/>
    <w:rsid w:val="004B0E6C"/>
    <w:rsid w:val="004B0F66"/>
    <w:rsid w:val="004B1413"/>
    <w:rsid w:val="004B1F2F"/>
    <w:rsid w:val="004B22A9"/>
    <w:rsid w:val="004B307C"/>
    <w:rsid w:val="004B30D7"/>
    <w:rsid w:val="004B3521"/>
    <w:rsid w:val="004B3D86"/>
    <w:rsid w:val="004B449B"/>
    <w:rsid w:val="004B482B"/>
    <w:rsid w:val="004B4DF0"/>
    <w:rsid w:val="004B4E31"/>
    <w:rsid w:val="004B581A"/>
    <w:rsid w:val="004B5A6F"/>
    <w:rsid w:val="004B5AF3"/>
    <w:rsid w:val="004B618C"/>
    <w:rsid w:val="004B64FD"/>
    <w:rsid w:val="004B67FF"/>
    <w:rsid w:val="004B6BCD"/>
    <w:rsid w:val="004B6C82"/>
    <w:rsid w:val="004B6D16"/>
    <w:rsid w:val="004B7DAB"/>
    <w:rsid w:val="004C03BC"/>
    <w:rsid w:val="004C048B"/>
    <w:rsid w:val="004C144D"/>
    <w:rsid w:val="004C14D7"/>
    <w:rsid w:val="004C1835"/>
    <w:rsid w:val="004C1E19"/>
    <w:rsid w:val="004C2542"/>
    <w:rsid w:val="004C264D"/>
    <w:rsid w:val="004C2B4F"/>
    <w:rsid w:val="004C311C"/>
    <w:rsid w:val="004C376D"/>
    <w:rsid w:val="004C3DF5"/>
    <w:rsid w:val="004C4412"/>
    <w:rsid w:val="004C45A8"/>
    <w:rsid w:val="004C4E10"/>
    <w:rsid w:val="004C5414"/>
    <w:rsid w:val="004C5980"/>
    <w:rsid w:val="004C5B45"/>
    <w:rsid w:val="004C5C05"/>
    <w:rsid w:val="004C5DDD"/>
    <w:rsid w:val="004C64F1"/>
    <w:rsid w:val="004C6691"/>
    <w:rsid w:val="004C6EDE"/>
    <w:rsid w:val="004C6F01"/>
    <w:rsid w:val="004C736F"/>
    <w:rsid w:val="004C7689"/>
    <w:rsid w:val="004C79FC"/>
    <w:rsid w:val="004C7D97"/>
    <w:rsid w:val="004D03EB"/>
    <w:rsid w:val="004D0BC3"/>
    <w:rsid w:val="004D1346"/>
    <w:rsid w:val="004D182E"/>
    <w:rsid w:val="004D19B4"/>
    <w:rsid w:val="004D1EDB"/>
    <w:rsid w:val="004D292D"/>
    <w:rsid w:val="004D2F7F"/>
    <w:rsid w:val="004D2FC2"/>
    <w:rsid w:val="004D300E"/>
    <w:rsid w:val="004D3212"/>
    <w:rsid w:val="004D41E8"/>
    <w:rsid w:val="004D49B6"/>
    <w:rsid w:val="004D4EA4"/>
    <w:rsid w:val="004D562D"/>
    <w:rsid w:val="004D5F2E"/>
    <w:rsid w:val="004D63AC"/>
    <w:rsid w:val="004D6410"/>
    <w:rsid w:val="004D65DD"/>
    <w:rsid w:val="004D6E0D"/>
    <w:rsid w:val="004D6FBF"/>
    <w:rsid w:val="004D789C"/>
    <w:rsid w:val="004D7B68"/>
    <w:rsid w:val="004D7E65"/>
    <w:rsid w:val="004D7EB3"/>
    <w:rsid w:val="004E034D"/>
    <w:rsid w:val="004E0938"/>
    <w:rsid w:val="004E16D7"/>
    <w:rsid w:val="004E1754"/>
    <w:rsid w:val="004E19A2"/>
    <w:rsid w:val="004E1C32"/>
    <w:rsid w:val="004E2D13"/>
    <w:rsid w:val="004E2ECB"/>
    <w:rsid w:val="004E3511"/>
    <w:rsid w:val="004E3740"/>
    <w:rsid w:val="004E3D27"/>
    <w:rsid w:val="004E45D8"/>
    <w:rsid w:val="004E4885"/>
    <w:rsid w:val="004E48AB"/>
    <w:rsid w:val="004E5C7A"/>
    <w:rsid w:val="004E70D2"/>
    <w:rsid w:val="004E7790"/>
    <w:rsid w:val="004E789B"/>
    <w:rsid w:val="004E7996"/>
    <w:rsid w:val="004E79B0"/>
    <w:rsid w:val="004E7CE5"/>
    <w:rsid w:val="004E7E5E"/>
    <w:rsid w:val="004E7F1F"/>
    <w:rsid w:val="004F006A"/>
    <w:rsid w:val="004F02EB"/>
    <w:rsid w:val="004F03EB"/>
    <w:rsid w:val="004F094F"/>
    <w:rsid w:val="004F10E2"/>
    <w:rsid w:val="004F1224"/>
    <w:rsid w:val="004F24C8"/>
    <w:rsid w:val="004F2E55"/>
    <w:rsid w:val="004F2FFC"/>
    <w:rsid w:val="004F3BAC"/>
    <w:rsid w:val="004F425C"/>
    <w:rsid w:val="004F43BF"/>
    <w:rsid w:val="004F4B06"/>
    <w:rsid w:val="004F4E11"/>
    <w:rsid w:val="004F5228"/>
    <w:rsid w:val="004F5431"/>
    <w:rsid w:val="004F5C2B"/>
    <w:rsid w:val="004F5DD5"/>
    <w:rsid w:val="004F5EFD"/>
    <w:rsid w:val="004F6BFE"/>
    <w:rsid w:val="004F6D6D"/>
    <w:rsid w:val="00500327"/>
    <w:rsid w:val="00500375"/>
    <w:rsid w:val="0050090B"/>
    <w:rsid w:val="00500CFB"/>
    <w:rsid w:val="00500F51"/>
    <w:rsid w:val="00501106"/>
    <w:rsid w:val="0050143B"/>
    <w:rsid w:val="005018BC"/>
    <w:rsid w:val="00502405"/>
    <w:rsid w:val="00502637"/>
    <w:rsid w:val="0050283D"/>
    <w:rsid w:val="00503011"/>
    <w:rsid w:val="0050325C"/>
    <w:rsid w:val="005038C0"/>
    <w:rsid w:val="00503CA6"/>
    <w:rsid w:val="00504833"/>
    <w:rsid w:val="00504DC7"/>
    <w:rsid w:val="00504E8F"/>
    <w:rsid w:val="00505393"/>
    <w:rsid w:val="00505552"/>
    <w:rsid w:val="00505CAD"/>
    <w:rsid w:val="00505F2A"/>
    <w:rsid w:val="005064C9"/>
    <w:rsid w:val="00506662"/>
    <w:rsid w:val="005066BA"/>
    <w:rsid w:val="00507358"/>
    <w:rsid w:val="00507E07"/>
    <w:rsid w:val="00507ECA"/>
    <w:rsid w:val="00510453"/>
    <w:rsid w:val="005108CF"/>
    <w:rsid w:val="00510CD2"/>
    <w:rsid w:val="00510E6F"/>
    <w:rsid w:val="00511C65"/>
    <w:rsid w:val="00512BBA"/>
    <w:rsid w:val="00512C4B"/>
    <w:rsid w:val="005135AE"/>
    <w:rsid w:val="00513F54"/>
    <w:rsid w:val="00514CA7"/>
    <w:rsid w:val="00514CF1"/>
    <w:rsid w:val="00514EC6"/>
    <w:rsid w:val="00516158"/>
    <w:rsid w:val="00517D99"/>
    <w:rsid w:val="005200D8"/>
    <w:rsid w:val="005200FF"/>
    <w:rsid w:val="0052042C"/>
    <w:rsid w:val="00520900"/>
    <w:rsid w:val="00520C71"/>
    <w:rsid w:val="00521B6D"/>
    <w:rsid w:val="00521C3B"/>
    <w:rsid w:val="00521DA7"/>
    <w:rsid w:val="0052210E"/>
    <w:rsid w:val="00522253"/>
    <w:rsid w:val="00522322"/>
    <w:rsid w:val="005227A0"/>
    <w:rsid w:val="005227E1"/>
    <w:rsid w:val="00522802"/>
    <w:rsid w:val="00522B86"/>
    <w:rsid w:val="005230F1"/>
    <w:rsid w:val="00523412"/>
    <w:rsid w:val="00523654"/>
    <w:rsid w:val="00523A94"/>
    <w:rsid w:val="00523AAC"/>
    <w:rsid w:val="00523B04"/>
    <w:rsid w:val="005240D6"/>
    <w:rsid w:val="005243C9"/>
    <w:rsid w:val="005249DF"/>
    <w:rsid w:val="00524B94"/>
    <w:rsid w:val="005250E0"/>
    <w:rsid w:val="00525F21"/>
    <w:rsid w:val="00526800"/>
    <w:rsid w:val="0052684D"/>
    <w:rsid w:val="00527154"/>
    <w:rsid w:val="005272E7"/>
    <w:rsid w:val="0052733D"/>
    <w:rsid w:val="005274A9"/>
    <w:rsid w:val="00527AC2"/>
    <w:rsid w:val="00527F41"/>
    <w:rsid w:val="0053016B"/>
    <w:rsid w:val="0053021F"/>
    <w:rsid w:val="0053111D"/>
    <w:rsid w:val="00531280"/>
    <w:rsid w:val="0053149C"/>
    <w:rsid w:val="00531653"/>
    <w:rsid w:val="00532054"/>
    <w:rsid w:val="0053355B"/>
    <w:rsid w:val="00533650"/>
    <w:rsid w:val="00533D3C"/>
    <w:rsid w:val="00533EAA"/>
    <w:rsid w:val="005340EE"/>
    <w:rsid w:val="00534207"/>
    <w:rsid w:val="005349D5"/>
    <w:rsid w:val="005350BD"/>
    <w:rsid w:val="005353AE"/>
    <w:rsid w:val="005353F6"/>
    <w:rsid w:val="00535428"/>
    <w:rsid w:val="0053564A"/>
    <w:rsid w:val="005360D8"/>
    <w:rsid w:val="0053661F"/>
    <w:rsid w:val="005366E7"/>
    <w:rsid w:val="005369B4"/>
    <w:rsid w:val="00536A08"/>
    <w:rsid w:val="00537143"/>
    <w:rsid w:val="0053751C"/>
    <w:rsid w:val="00537E4D"/>
    <w:rsid w:val="0054084A"/>
    <w:rsid w:val="00541414"/>
    <w:rsid w:val="005415B5"/>
    <w:rsid w:val="00541ADA"/>
    <w:rsid w:val="00541B3E"/>
    <w:rsid w:val="0054251D"/>
    <w:rsid w:val="0054341C"/>
    <w:rsid w:val="0054393F"/>
    <w:rsid w:val="00543E81"/>
    <w:rsid w:val="005442D6"/>
    <w:rsid w:val="00544AFC"/>
    <w:rsid w:val="00544E0F"/>
    <w:rsid w:val="00545264"/>
    <w:rsid w:val="005456AB"/>
    <w:rsid w:val="00545816"/>
    <w:rsid w:val="00545A71"/>
    <w:rsid w:val="00546076"/>
    <w:rsid w:val="005460CC"/>
    <w:rsid w:val="00546125"/>
    <w:rsid w:val="0054647E"/>
    <w:rsid w:val="00546509"/>
    <w:rsid w:val="005468C7"/>
    <w:rsid w:val="00546A25"/>
    <w:rsid w:val="00546F85"/>
    <w:rsid w:val="00547098"/>
    <w:rsid w:val="00547640"/>
    <w:rsid w:val="00547843"/>
    <w:rsid w:val="00547B61"/>
    <w:rsid w:val="00547EAC"/>
    <w:rsid w:val="00550216"/>
    <w:rsid w:val="00550456"/>
    <w:rsid w:val="0055197F"/>
    <w:rsid w:val="005525B7"/>
    <w:rsid w:val="005527F4"/>
    <w:rsid w:val="005528CE"/>
    <w:rsid w:val="00552A0B"/>
    <w:rsid w:val="00552FAC"/>
    <w:rsid w:val="00553CA8"/>
    <w:rsid w:val="005544CC"/>
    <w:rsid w:val="005547D3"/>
    <w:rsid w:val="00554F06"/>
    <w:rsid w:val="00555FEB"/>
    <w:rsid w:val="00556125"/>
    <w:rsid w:val="00556985"/>
    <w:rsid w:val="00556A3F"/>
    <w:rsid w:val="00556DA8"/>
    <w:rsid w:val="00556DED"/>
    <w:rsid w:val="00557074"/>
    <w:rsid w:val="00557B27"/>
    <w:rsid w:val="005603FA"/>
    <w:rsid w:val="00560602"/>
    <w:rsid w:val="005606CB"/>
    <w:rsid w:val="0056090E"/>
    <w:rsid w:val="00560E1B"/>
    <w:rsid w:val="005618A9"/>
    <w:rsid w:val="00561B2A"/>
    <w:rsid w:val="00561F45"/>
    <w:rsid w:val="00562BB2"/>
    <w:rsid w:val="0056333D"/>
    <w:rsid w:val="00563375"/>
    <w:rsid w:val="00563611"/>
    <w:rsid w:val="00563BF1"/>
    <w:rsid w:val="0056410C"/>
    <w:rsid w:val="005646E7"/>
    <w:rsid w:val="0056479E"/>
    <w:rsid w:val="005652EE"/>
    <w:rsid w:val="00565469"/>
    <w:rsid w:val="005660CB"/>
    <w:rsid w:val="00566155"/>
    <w:rsid w:val="00566271"/>
    <w:rsid w:val="00566543"/>
    <w:rsid w:val="00566A09"/>
    <w:rsid w:val="00566C76"/>
    <w:rsid w:val="00567282"/>
    <w:rsid w:val="00567A61"/>
    <w:rsid w:val="00567B10"/>
    <w:rsid w:val="00567E1A"/>
    <w:rsid w:val="005700D5"/>
    <w:rsid w:val="0057048E"/>
    <w:rsid w:val="0057112E"/>
    <w:rsid w:val="005711F3"/>
    <w:rsid w:val="005713F2"/>
    <w:rsid w:val="0057144C"/>
    <w:rsid w:val="00571B79"/>
    <w:rsid w:val="00571C9E"/>
    <w:rsid w:val="00572C7B"/>
    <w:rsid w:val="005732DB"/>
    <w:rsid w:val="00573663"/>
    <w:rsid w:val="0057398B"/>
    <w:rsid w:val="00573ECA"/>
    <w:rsid w:val="005742B6"/>
    <w:rsid w:val="00574609"/>
    <w:rsid w:val="005747CA"/>
    <w:rsid w:val="00574933"/>
    <w:rsid w:val="00574C76"/>
    <w:rsid w:val="005752B3"/>
    <w:rsid w:val="005759BE"/>
    <w:rsid w:val="00575B7A"/>
    <w:rsid w:val="005760F0"/>
    <w:rsid w:val="00576549"/>
    <w:rsid w:val="00576929"/>
    <w:rsid w:val="00576DFE"/>
    <w:rsid w:val="005778C5"/>
    <w:rsid w:val="00577C80"/>
    <w:rsid w:val="0058055A"/>
    <w:rsid w:val="005805BF"/>
    <w:rsid w:val="0058078E"/>
    <w:rsid w:val="0058106F"/>
    <w:rsid w:val="00581466"/>
    <w:rsid w:val="00581485"/>
    <w:rsid w:val="005816DE"/>
    <w:rsid w:val="00581FD9"/>
    <w:rsid w:val="005820CF"/>
    <w:rsid w:val="00582172"/>
    <w:rsid w:val="00582435"/>
    <w:rsid w:val="005831D1"/>
    <w:rsid w:val="005835C5"/>
    <w:rsid w:val="00583915"/>
    <w:rsid w:val="00583C81"/>
    <w:rsid w:val="00584765"/>
    <w:rsid w:val="0058542B"/>
    <w:rsid w:val="0058584D"/>
    <w:rsid w:val="00585AF4"/>
    <w:rsid w:val="00585DC9"/>
    <w:rsid w:val="00585E21"/>
    <w:rsid w:val="00586711"/>
    <w:rsid w:val="00586813"/>
    <w:rsid w:val="0058699C"/>
    <w:rsid w:val="00586AF9"/>
    <w:rsid w:val="00586C35"/>
    <w:rsid w:val="005870FE"/>
    <w:rsid w:val="005872FE"/>
    <w:rsid w:val="00587480"/>
    <w:rsid w:val="00587726"/>
    <w:rsid w:val="00587CF5"/>
    <w:rsid w:val="00587D3D"/>
    <w:rsid w:val="0059009F"/>
    <w:rsid w:val="0059031D"/>
    <w:rsid w:val="00590BB4"/>
    <w:rsid w:val="00590F59"/>
    <w:rsid w:val="00591155"/>
    <w:rsid w:val="00591BD7"/>
    <w:rsid w:val="005923AD"/>
    <w:rsid w:val="0059268D"/>
    <w:rsid w:val="00592879"/>
    <w:rsid w:val="005931EF"/>
    <w:rsid w:val="00593807"/>
    <w:rsid w:val="00593A0D"/>
    <w:rsid w:val="00593C0B"/>
    <w:rsid w:val="00593D91"/>
    <w:rsid w:val="00594102"/>
    <w:rsid w:val="00594376"/>
    <w:rsid w:val="005948B3"/>
    <w:rsid w:val="005950FB"/>
    <w:rsid w:val="0059550C"/>
    <w:rsid w:val="005959B8"/>
    <w:rsid w:val="00596216"/>
    <w:rsid w:val="00596677"/>
    <w:rsid w:val="00596B30"/>
    <w:rsid w:val="00597471"/>
    <w:rsid w:val="005974F8"/>
    <w:rsid w:val="00597886"/>
    <w:rsid w:val="00597A07"/>
    <w:rsid w:val="00597C7D"/>
    <w:rsid w:val="005A03AC"/>
    <w:rsid w:val="005A0942"/>
    <w:rsid w:val="005A0C55"/>
    <w:rsid w:val="005A11F4"/>
    <w:rsid w:val="005A1301"/>
    <w:rsid w:val="005A13BA"/>
    <w:rsid w:val="005A1571"/>
    <w:rsid w:val="005A169A"/>
    <w:rsid w:val="005A1D3D"/>
    <w:rsid w:val="005A27DF"/>
    <w:rsid w:val="005A2F6B"/>
    <w:rsid w:val="005A30C7"/>
    <w:rsid w:val="005A3277"/>
    <w:rsid w:val="005A3BF2"/>
    <w:rsid w:val="005A3D1D"/>
    <w:rsid w:val="005A41E1"/>
    <w:rsid w:val="005A5424"/>
    <w:rsid w:val="005A6175"/>
    <w:rsid w:val="005A62FA"/>
    <w:rsid w:val="005A6394"/>
    <w:rsid w:val="005A6822"/>
    <w:rsid w:val="005A6D7C"/>
    <w:rsid w:val="005A720F"/>
    <w:rsid w:val="005A72CC"/>
    <w:rsid w:val="005AFACB"/>
    <w:rsid w:val="005B0681"/>
    <w:rsid w:val="005B1346"/>
    <w:rsid w:val="005B1987"/>
    <w:rsid w:val="005B1988"/>
    <w:rsid w:val="005B1B18"/>
    <w:rsid w:val="005B1DDC"/>
    <w:rsid w:val="005B22DD"/>
    <w:rsid w:val="005B23B1"/>
    <w:rsid w:val="005B2519"/>
    <w:rsid w:val="005B252E"/>
    <w:rsid w:val="005B296D"/>
    <w:rsid w:val="005B3333"/>
    <w:rsid w:val="005B34C2"/>
    <w:rsid w:val="005B36BC"/>
    <w:rsid w:val="005B378A"/>
    <w:rsid w:val="005B3859"/>
    <w:rsid w:val="005B3C20"/>
    <w:rsid w:val="005B3D6C"/>
    <w:rsid w:val="005B4099"/>
    <w:rsid w:val="005B4269"/>
    <w:rsid w:val="005B42F2"/>
    <w:rsid w:val="005B4D53"/>
    <w:rsid w:val="005B568F"/>
    <w:rsid w:val="005B581F"/>
    <w:rsid w:val="005B5CAA"/>
    <w:rsid w:val="005B60E4"/>
    <w:rsid w:val="005B60F5"/>
    <w:rsid w:val="005B61D7"/>
    <w:rsid w:val="005B6D2E"/>
    <w:rsid w:val="005B7627"/>
    <w:rsid w:val="005B7A6C"/>
    <w:rsid w:val="005B7DEE"/>
    <w:rsid w:val="005B7E41"/>
    <w:rsid w:val="005C0E1B"/>
    <w:rsid w:val="005C131A"/>
    <w:rsid w:val="005C1548"/>
    <w:rsid w:val="005C1A55"/>
    <w:rsid w:val="005C22C3"/>
    <w:rsid w:val="005C2313"/>
    <w:rsid w:val="005C23F7"/>
    <w:rsid w:val="005C289C"/>
    <w:rsid w:val="005C28E8"/>
    <w:rsid w:val="005C31BF"/>
    <w:rsid w:val="005C4DA4"/>
    <w:rsid w:val="005C5254"/>
    <w:rsid w:val="005C5B2E"/>
    <w:rsid w:val="005C5E0C"/>
    <w:rsid w:val="005C5E58"/>
    <w:rsid w:val="005C5F95"/>
    <w:rsid w:val="005C6433"/>
    <w:rsid w:val="005C677D"/>
    <w:rsid w:val="005C6877"/>
    <w:rsid w:val="005C6D68"/>
    <w:rsid w:val="005D013F"/>
    <w:rsid w:val="005D03E7"/>
    <w:rsid w:val="005D154A"/>
    <w:rsid w:val="005D166F"/>
    <w:rsid w:val="005D2414"/>
    <w:rsid w:val="005D28AC"/>
    <w:rsid w:val="005D2D6D"/>
    <w:rsid w:val="005D2F4F"/>
    <w:rsid w:val="005D32CF"/>
    <w:rsid w:val="005D3708"/>
    <w:rsid w:val="005D3A3D"/>
    <w:rsid w:val="005D450B"/>
    <w:rsid w:val="005D46DE"/>
    <w:rsid w:val="005D4968"/>
    <w:rsid w:val="005D4A9E"/>
    <w:rsid w:val="005D56B9"/>
    <w:rsid w:val="005D5B74"/>
    <w:rsid w:val="005D5BE6"/>
    <w:rsid w:val="005D5C21"/>
    <w:rsid w:val="005D6019"/>
    <w:rsid w:val="005D6945"/>
    <w:rsid w:val="005D6CBC"/>
    <w:rsid w:val="005D777F"/>
    <w:rsid w:val="005D7A48"/>
    <w:rsid w:val="005D7A86"/>
    <w:rsid w:val="005D7BA1"/>
    <w:rsid w:val="005D7DE8"/>
    <w:rsid w:val="005D7E6C"/>
    <w:rsid w:val="005E0198"/>
    <w:rsid w:val="005E13D4"/>
    <w:rsid w:val="005E152A"/>
    <w:rsid w:val="005E175D"/>
    <w:rsid w:val="005E1868"/>
    <w:rsid w:val="005E19AD"/>
    <w:rsid w:val="005E1A0A"/>
    <w:rsid w:val="005E1D62"/>
    <w:rsid w:val="005E1DAC"/>
    <w:rsid w:val="005E1EFE"/>
    <w:rsid w:val="005E22C5"/>
    <w:rsid w:val="005E252D"/>
    <w:rsid w:val="005E2B11"/>
    <w:rsid w:val="005E2CAD"/>
    <w:rsid w:val="005E2EB3"/>
    <w:rsid w:val="005E302B"/>
    <w:rsid w:val="005E338A"/>
    <w:rsid w:val="005E4AA3"/>
    <w:rsid w:val="005E5BE6"/>
    <w:rsid w:val="005E5F35"/>
    <w:rsid w:val="005E5FAA"/>
    <w:rsid w:val="005E60EB"/>
    <w:rsid w:val="005E613D"/>
    <w:rsid w:val="005E633E"/>
    <w:rsid w:val="005E674A"/>
    <w:rsid w:val="005E6831"/>
    <w:rsid w:val="005E6F99"/>
    <w:rsid w:val="005E7107"/>
    <w:rsid w:val="005E735E"/>
    <w:rsid w:val="005E7AEA"/>
    <w:rsid w:val="005F0962"/>
    <w:rsid w:val="005F0BC8"/>
    <w:rsid w:val="005F117C"/>
    <w:rsid w:val="005F1942"/>
    <w:rsid w:val="005F1BF2"/>
    <w:rsid w:val="005F1FD9"/>
    <w:rsid w:val="005F241F"/>
    <w:rsid w:val="005F2539"/>
    <w:rsid w:val="005F25C0"/>
    <w:rsid w:val="005F26D4"/>
    <w:rsid w:val="005F2CB1"/>
    <w:rsid w:val="005F3287"/>
    <w:rsid w:val="005F33DE"/>
    <w:rsid w:val="005F3645"/>
    <w:rsid w:val="005F37F4"/>
    <w:rsid w:val="005F434E"/>
    <w:rsid w:val="005F4662"/>
    <w:rsid w:val="005F51E5"/>
    <w:rsid w:val="005F5973"/>
    <w:rsid w:val="005F5C10"/>
    <w:rsid w:val="005F5E90"/>
    <w:rsid w:val="005F6A80"/>
    <w:rsid w:val="005F70F6"/>
    <w:rsid w:val="005F793C"/>
    <w:rsid w:val="005F7B2E"/>
    <w:rsid w:val="005F7E9D"/>
    <w:rsid w:val="005F7F04"/>
    <w:rsid w:val="006002F8"/>
    <w:rsid w:val="0060100B"/>
    <w:rsid w:val="00601885"/>
    <w:rsid w:val="006019EF"/>
    <w:rsid w:val="00601A00"/>
    <w:rsid w:val="0060212F"/>
    <w:rsid w:val="00602437"/>
    <w:rsid w:val="00602D33"/>
    <w:rsid w:val="00603E5B"/>
    <w:rsid w:val="0060415C"/>
    <w:rsid w:val="006043C7"/>
    <w:rsid w:val="006047CD"/>
    <w:rsid w:val="0060484B"/>
    <w:rsid w:val="006049EE"/>
    <w:rsid w:val="00604AEC"/>
    <w:rsid w:val="00605734"/>
    <w:rsid w:val="006057C8"/>
    <w:rsid w:val="00605F40"/>
    <w:rsid w:val="00606063"/>
    <w:rsid w:val="00606306"/>
    <w:rsid w:val="00606350"/>
    <w:rsid w:val="00606739"/>
    <w:rsid w:val="00606A5E"/>
    <w:rsid w:val="00606C84"/>
    <w:rsid w:val="00607386"/>
    <w:rsid w:val="00607B59"/>
    <w:rsid w:val="00607FED"/>
    <w:rsid w:val="0061007F"/>
    <w:rsid w:val="00610151"/>
    <w:rsid w:val="00610170"/>
    <w:rsid w:val="006101E8"/>
    <w:rsid w:val="006103ED"/>
    <w:rsid w:val="00610592"/>
    <w:rsid w:val="006105F7"/>
    <w:rsid w:val="00610657"/>
    <w:rsid w:val="00610BBB"/>
    <w:rsid w:val="00610C9F"/>
    <w:rsid w:val="006129C7"/>
    <w:rsid w:val="006129F3"/>
    <w:rsid w:val="0061349E"/>
    <w:rsid w:val="00613C9A"/>
    <w:rsid w:val="006142C9"/>
    <w:rsid w:val="0061451A"/>
    <w:rsid w:val="00614860"/>
    <w:rsid w:val="00615CA5"/>
    <w:rsid w:val="00615E1A"/>
    <w:rsid w:val="0061636E"/>
    <w:rsid w:val="00616488"/>
    <w:rsid w:val="00616796"/>
    <w:rsid w:val="006169F1"/>
    <w:rsid w:val="00616BE6"/>
    <w:rsid w:val="00617EFD"/>
    <w:rsid w:val="006201BC"/>
    <w:rsid w:val="0062065A"/>
    <w:rsid w:val="00620B73"/>
    <w:rsid w:val="00620F9B"/>
    <w:rsid w:val="00621232"/>
    <w:rsid w:val="00621A18"/>
    <w:rsid w:val="00621E19"/>
    <w:rsid w:val="00622190"/>
    <w:rsid w:val="006222A4"/>
    <w:rsid w:val="0062261D"/>
    <w:rsid w:val="0062264C"/>
    <w:rsid w:val="00622D4C"/>
    <w:rsid w:val="00622DEA"/>
    <w:rsid w:val="00623131"/>
    <w:rsid w:val="006234F1"/>
    <w:rsid w:val="00623826"/>
    <w:rsid w:val="00623B63"/>
    <w:rsid w:val="006243F3"/>
    <w:rsid w:val="00624C82"/>
    <w:rsid w:val="00625023"/>
    <w:rsid w:val="006250C9"/>
    <w:rsid w:val="006255C1"/>
    <w:rsid w:val="00625EE0"/>
    <w:rsid w:val="006261BF"/>
    <w:rsid w:val="00626C6F"/>
    <w:rsid w:val="0062730C"/>
    <w:rsid w:val="006279E4"/>
    <w:rsid w:val="00627CC7"/>
    <w:rsid w:val="00627E0F"/>
    <w:rsid w:val="006300D7"/>
    <w:rsid w:val="00630842"/>
    <w:rsid w:val="00630EC4"/>
    <w:rsid w:val="0063110B"/>
    <w:rsid w:val="00631605"/>
    <w:rsid w:val="00631897"/>
    <w:rsid w:val="00632001"/>
    <w:rsid w:val="0063223F"/>
    <w:rsid w:val="00632343"/>
    <w:rsid w:val="0063273E"/>
    <w:rsid w:val="006328B6"/>
    <w:rsid w:val="00632B32"/>
    <w:rsid w:val="00632F8A"/>
    <w:rsid w:val="006334FC"/>
    <w:rsid w:val="00633960"/>
    <w:rsid w:val="00635248"/>
    <w:rsid w:val="00635473"/>
    <w:rsid w:val="00635752"/>
    <w:rsid w:val="00635785"/>
    <w:rsid w:val="00635AC8"/>
    <w:rsid w:val="00636035"/>
    <w:rsid w:val="006361D8"/>
    <w:rsid w:val="00636200"/>
    <w:rsid w:val="00636779"/>
    <w:rsid w:val="00637BA5"/>
    <w:rsid w:val="00637FAB"/>
    <w:rsid w:val="0064047E"/>
    <w:rsid w:val="00640739"/>
    <w:rsid w:val="00640A67"/>
    <w:rsid w:val="0064152A"/>
    <w:rsid w:val="00641541"/>
    <w:rsid w:val="006418DF"/>
    <w:rsid w:val="00641B8C"/>
    <w:rsid w:val="00641DDE"/>
    <w:rsid w:val="00642151"/>
    <w:rsid w:val="00642611"/>
    <w:rsid w:val="0064284C"/>
    <w:rsid w:val="006428B0"/>
    <w:rsid w:val="00642983"/>
    <w:rsid w:val="0064335C"/>
    <w:rsid w:val="00643361"/>
    <w:rsid w:val="006438EA"/>
    <w:rsid w:val="00643EE0"/>
    <w:rsid w:val="006440C6"/>
    <w:rsid w:val="00644620"/>
    <w:rsid w:val="0064464A"/>
    <w:rsid w:val="00644BAB"/>
    <w:rsid w:val="00644FAC"/>
    <w:rsid w:val="0064505E"/>
    <w:rsid w:val="00645105"/>
    <w:rsid w:val="00645EBE"/>
    <w:rsid w:val="00645F4F"/>
    <w:rsid w:val="00646515"/>
    <w:rsid w:val="0064733B"/>
    <w:rsid w:val="006474F3"/>
    <w:rsid w:val="006475CE"/>
    <w:rsid w:val="0064795B"/>
    <w:rsid w:val="00647EB2"/>
    <w:rsid w:val="00647ECF"/>
    <w:rsid w:val="00650922"/>
    <w:rsid w:val="00650B80"/>
    <w:rsid w:val="006514C4"/>
    <w:rsid w:val="006515B9"/>
    <w:rsid w:val="006516BB"/>
    <w:rsid w:val="006519A2"/>
    <w:rsid w:val="0065208B"/>
    <w:rsid w:val="00652336"/>
    <w:rsid w:val="00652D7D"/>
    <w:rsid w:val="0065303F"/>
    <w:rsid w:val="0065307D"/>
    <w:rsid w:val="0065340E"/>
    <w:rsid w:val="0065364A"/>
    <w:rsid w:val="0065440F"/>
    <w:rsid w:val="00654BAB"/>
    <w:rsid w:val="00654D1A"/>
    <w:rsid w:val="0065551A"/>
    <w:rsid w:val="006556DF"/>
    <w:rsid w:val="006557B1"/>
    <w:rsid w:val="00655CCE"/>
    <w:rsid w:val="006564E5"/>
    <w:rsid w:val="00656ACE"/>
    <w:rsid w:val="0065703D"/>
    <w:rsid w:val="006573ED"/>
    <w:rsid w:val="006573F6"/>
    <w:rsid w:val="0065742C"/>
    <w:rsid w:val="00657BB9"/>
    <w:rsid w:val="00657EF8"/>
    <w:rsid w:val="0066022B"/>
    <w:rsid w:val="0066028D"/>
    <w:rsid w:val="006606EB"/>
    <w:rsid w:val="00660757"/>
    <w:rsid w:val="00660D9A"/>
    <w:rsid w:val="006610A2"/>
    <w:rsid w:val="00661259"/>
    <w:rsid w:val="00661513"/>
    <w:rsid w:val="00661A63"/>
    <w:rsid w:val="00661C7A"/>
    <w:rsid w:val="006622C2"/>
    <w:rsid w:val="00662787"/>
    <w:rsid w:val="00662861"/>
    <w:rsid w:val="00662F3B"/>
    <w:rsid w:val="00663766"/>
    <w:rsid w:val="006637BA"/>
    <w:rsid w:val="00663CAE"/>
    <w:rsid w:val="00663DBE"/>
    <w:rsid w:val="006647D6"/>
    <w:rsid w:val="006648C7"/>
    <w:rsid w:val="0066542F"/>
    <w:rsid w:val="00665D32"/>
    <w:rsid w:val="00666433"/>
    <w:rsid w:val="0066675E"/>
    <w:rsid w:val="006669C3"/>
    <w:rsid w:val="00666B0C"/>
    <w:rsid w:val="00666EEB"/>
    <w:rsid w:val="006675E4"/>
    <w:rsid w:val="00667AE3"/>
    <w:rsid w:val="00670087"/>
    <w:rsid w:val="00670097"/>
    <w:rsid w:val="006702BD"/>
    <w:rsid w:val="00670777"/>
    <w:rsid w:val="00670F56"/>
    <w:rsid w:val="00671549"/>
    <w:rsid w:val="00672014"/>
    <w:rsid w:val="00672104"/>
    <w:rsid w:val="00672FCD"/>
    <w:rsid w:val="0067315C"/>
    <w:rsid w:val="00673A51"/>
    <w:rsid w:val="00673D15"/>
    <w:rsid w:val="00673D65"/>
    <w:rsid w:val="00674490"/>
    <w:rsid w:val="006745B0"/>
    <w:rsid w:val="006745FB"/>
    <w:rsid w:val="00674959"/>
    <w:rsid w:val="0067557C"/>
    <w:rsid w:val="00675E66"/>
    <w:rsid w:val="00675EBF"/>
    <w:rsid w:val="00675FAE"/>
    <w:rsid w:val="006769E4"/>
    <w:rsid w:val="00677B48"/>
    <w:rsid w:val="0068037C"/>
    <w:rsid w:val="00681329"/>
    <w:rsid w:val="00681921"/>
    <w:rsid w:val="006819C8"/>
    <w:rsid w:val="00681C6F"/>
    <w:rsid w:val="006823C8"/>
    <w:rsid w:val="006830FC"/>
    <w:rsid w:val="00684314"/>
    <w:rsid w:val="0068454D"/>
    <w:rsid w:val="00684811"/>
    <w:rsid w:val="0068526C"/>
    <w:rsid w:val="006855FC"/>
    <w:rsid w:val="00686433"/>
    <w:rsid w:val="006869C2"/>
    <w:rsid w:val="00687109"/>
    <w:rsid w:val="006874F1"/>
    <w:rsid w:val="006878A7"/>
    <w:rsid w:val="006878FC"/>
    <w:rsid w:val="00687D5B"/>
    <w:rsid w:val="0069057A"/>
    <w:rsid w:val="006916EF"/>
    <w:rsid w:val="00691D01"/>
    <w:rsid w:val="0069248D"/>
    <w:rsid w:val="00692BF6"/>
    <w:rsid w:val="00692CAD"/>
    <w:rsid w:val="00692CED"/>
    <w:rsid w:val="00692D33"/>
    <w:rsid w:val="00692E08"/>
    <w:rsid w:val="00692EF2"/>
    <w:rsid w:val="00693923"/>
    <w:rsid w:val="00694115"/>
    <w:rsid w:val="00694230"/>
    <w:rsid w:val="00694384"/>
    <w:rsid w:val="006944F9"/>
    <w:rsid w:val="00694627"/>
    <w:rsid w:val="00694749"/>
    <w:rsid w:val="00694F04"/>
    <w:rsid w:val="0069535A"/>
    <w:rsid w:val="0069550A"/>
    <w:rsid w:val="00695515"/>
    <w:rsid w:val="00695B70"/>
    <w:rsid w:val="00695BB4"/>
    <w:rsid w:val="0069631C"/>
    <w:rsid w:val="00696393"/>
    <w:rsid w:val="00696488"/>
    <w:rsid w:val="006968AB"/>
    <w:rsid w:val="00696E6E"/>
    <w:rsid w:val="00697AA8"/>
    <w:rsid w:val="00697B01"/>
    <w:rsid w:val="00697B49"/>
    <w:rsid w:val="006A0811"/>
    <w:rsid w:val="006A0EA9"/>
    <w:rsid w:val="006A0F9E"/>
    <w:rsid w:val="006A1085"/>
    <w:rsid w:val="006A16A9"/>
    <w:rsid w:val="006A1916"/>
    <w:rsid w:val="006A1AF9"/>
    <w:rsid w:val="006A1DE4"/>
    <w:rsid w:val="006A295B"/>
    <w:rsid w:val="006A2AEE"/>
    <w:rsid w:val="006A3F2F"/>
    <w:rsid w:val="006A4581"/>
    <w:rsid w:val="006A509A"/>
    <w:rsid w:val="006A545E"/>
    <w:rsid w:val="006A56DB"/>
    <w:rsid w:val="006A56DF"/>
    <w:rsid w:val="006A5822"/>
    <w:rsid w:val="006A592D"/>
    <w:rsid w:val="006A5C5B"/>
    <w:rsid w:val="006A672B"/>
    <w:rsid w:val="006A7494"/>
    <w:rsid w:val="006A7F0F"/>
    <w:rsid w:val="006B042C"/>
    <w:rsid w:val="006B04C2"/>
    <w:rsid w:val="006B04E3"/>
    <w:rsid w:val="006B05EE"/>
    <w:rsid w:val="006B0D21"/>
    <w:rsid w:val="006B14C9"/>
    <w:rsid w:val="006B1608"/>
    <w:rsid w:val="006B186E"/>
    <w:rsid w:val="006B1BAF"/>
    <w:rsid w:val="006B275C"/>
    <w:rsid w:val="006B27F5"/>
    <w:rsid w:val="006B2B3B"/>
    <w:rsid w:val="006B2C3C"/>
    <w:rsid w:val="006B2D5B"/>
    <w:rsid w:val="006B33CC"/>
    <w:rsid w:val="006B393D"/>
    <w:rsid w:val="006B412D"/>
    <w:rsid w:val="006B45DE"/>
    <w:rsid w:val="006B4609"/>
    <w:rsid w:val="006B49EB"/>
    <w:rsid w:val="006B4C34"/>
    <w:rsid w:val="006B5394"/>
    <w:rsid w:val="006B53BF"/>
    <w:rsid w:val="006B56F6"/>
    <w:rsid w:val="006B5B2C"/>
    <w:rsid w:val="006B5BA1"/>
    <w:rsid w:val="006B5FC4"/>
    <w:rsid w:val="006B611D"/>
    <w:rsid w:val="006B6415"/>
    <w:rsid w:val="006B6557"/>
    <w:rsid w:val="006B655C"/>
    <w:rsid w:val="006B75A0"/>
    <w:rsid w:val="006B784D"/>
    <w:rsid w:val="006B7B78"/>
    <w:rsid w:val="006B7F66"/>
    <w:rsid w:val="006C05D6"/>
    <w:rsid w:val="006C1778"/>
    <w:rsid w:val="006C1943"/>
    <w:rsid w:val="006C211F"/>
    <w:rsid w:val="006C2289"/>
    <w:rsid w:val="006C250A"/>
    <w:rsid w:val="006C2550"/>
    <w:rsid w:val="006C26D3"/>
    <w:rsid w:val="006C27FB"/>
    <w:rsid w:val="006C2ABB"/>
    <w:rsid w:val="006C2BDE"/>
    <w:rsid w:val="006C2FDC"/>
    <w:rsid w:val="006C3108"/>
    <w:rsid w:val="006C350F"/>
    <w:rsid w:val="006C3A7C"/>
    <w:rsid w:val="006C3BE2"/>
    <w:rsid w:val="006C3EA4"/>
    <w:rsid w:val="006C4F20"/>
    <w:rsid w:val="006C5032"/>
    <w:rsid w:val="006C50D0"/>
    <w:rsid w:val="006C5375"/>
    <w:rsid w:val="006C53EE"/>
    <w:rsid w:val="006C58DF"/>
    <w:rsid w:val="006C68CC"/>
    <w:rsid w:val="006C6AA7"/>
    <w:rsid w:val="006C7045"/>
    <w:rsid w:val="006C7487"/>
    <w:rsid w:val="006C7716"/>
    <w:rsid w:val="006C7C15"/>
    <w:rsid w:val="006C7CDC"/>
    <w:rsid w:val="006C7DF2"/>
    <w:rsid w:val="006D0218"/>
    <w:rsid w:val="006D0628"/>
    <w:rsid w:val="006D077E"/>
    <w:rsid w:val="006D112F"/>
    <w:rsid w:val="006D11B9"/>
    <w:rsid w:val="006D21EF"/>
    <w:rsid w:val="006D251B"/>
    <w:rsid w:val="006D25E8"/>
    <w:rsid w:val="006D2F02"/>
    <w:rsid w:val="006D344A"/>
    <w:rsid w:val="006D387F"/>
    <w:rsid w:val="006D3C16"/>
    <w:rsid w:val="006D3C29"/>
    <w:rsid w:val="006D45D0"/>
    <w:rsid w:val="006D4673"/>
    <w:rsid w:val="006D4706"/>
    <w:rsid w:val="006D4C65"/>
    <w:rsid w:val="006D4EE2"/>
    <w:rsid w:val="006D522E"/>
    <w:rsid w:val="006D52BA"/>
    <w:rsid w:val="006D544B"/>
    <w:rsid w:val="006D5699"/>
    <w:rsid w:val="006D58A6"/>
    <w:rsid w:val="006D5987"/>
    <w:rsid w:val="006D5AC5"/>
    <w:rsid w:val="006D6933"/>
    <w:rsid w:val="006D71F5"/>
    <w:rsid w:val="006D73E4"/>
    <w:rsid w:val="006E02D7"/>
    <w:rsid w:val="006E03AD"/>
    <w:rsid w:val="006E0476"/>
    <w:rsid w:val="006E0BE6"/>
    <w:rsid w:val="006E123E"/>
    <w:rsid w:val="006E153A"/>
    <w:rsid w:val="006E1869"/>
    <w:rsid w:val="006E1CCD"/>
    <w:rsid w:val="006E1D47"/>
    <w:rsid w:val="006E20EC"/>
    <w:rsid w:val="006E236A"/>
    <w:rsid w:val="006E26FE"/>
    <w:rsid w:val="006E2CA8"/>
    <w:rsid w:val="006E2EB1"/>
    <w:rsid w:val="006E3237"/>
    <w:rsid w:val="006E3596"/>
    <w:rsid w:val="006E4222"/>
    <w:rsid w:val="006E461F"/>
    <w:rsid w:val="006E4C66"/>
    <w:rsid w:val="006E4FBD"/>
    <w:rsid w:val="006E508C"/>
    <w:rsid w:val="006E52DA"/>
    <w:rsid w:val="006E545B"/>
    <w:rsid w:val="006E5769"/>
    <w:rsid w:val="006E5B6F"/>
    <w:rsid w:val="006E62F3"/>
    <w:rsid w:val="006E68EE"/>
    <w:rsid w:val="006E72C4"/>
    <w:rsid w:val="006E7B32"/>
    <w:rsid w:val="006E7B96"/>
    <w:rsid w:val="006E7DAD"/>
    <w:rsid w:val="006E7E5E"/>
    <w:rsid w:val="006E7E7B"/>
    <w:rsid w:val="006F006A"/>
    <w:rsid w:val="006F04A5"/>
    <w:rsid w:val="006F054F"/>
    <w:rsid w:val="006F09EC"/>
    <w:rsid w:val="006F0D14"/>
    <w:rsid w:val="006F0D87"/>
    <w:rsid w:val="006F0F5F"/>
    <w:rsid w:val="006F112B"/>
    <w:rsid w:val="006F12EA"/>
    <w:rsid w:val="006F13AF"/>
    <w:rsid w:val="006F15CE"/>
    <w:rsid w:val="006F1894"/>
    <w:rsid w:val="006F1D27"/>
    <w:rsid w:val="006F224A"/>
    <w:rsid w:val="006F254F"/>
    <w:rsid w:val="006F2C75"/>
    <w:rsid w:val="006F2F59"/>
    <w:rsid w:val="006F31D9"/>
    <w:rsid w:val="006F3376"/>
    <w:rsid w:val="006F3B33"/>
    <w:rsid w:val="006F3C16"/>
    <w:rsid w:val="006F416B"/>
    <w:rsid w:val="006F4279"/>
    <w:rsid w:val="006F4340"/>
    <w:rsid w:val="006F478C"/>
    <w:rsid w:val="006F48A6"/>
    <w:rsid w:val="006F5623"/>
    <w:rsid w:val="006F5C24"/>
    <w:rsid w:val="006F5F8E"/>
    <w:rsid w:val="006F6237"/>
    <w:rsid w:val="006F6437"/>
    <w:rsid w:val="006F7A20"/>
    <w:rsid w:val="00700714"/>
    <w:rsid w:val="007011D8"/>
    <w:rsid w:val="0070131F"/>
    <w:rsid w:val="00701413"/>
    <w:rsid w:val="00701432"/>
    <w:rsid w:val="00701686"/>
    <w:rsid w:val="007016D2"/>
    <w:rsid w:val="00701790"/>
    <w:rsid w:val="00701AE0"/>
    <w:rsid w:val="007021F8"/>
    <w:rsid w:val="00702229"/>
    <w:rsid w:val="0070258A"/>
    <w:rsid w:val="007029A6"/>
    <w:rsid w:val="007038A2"/>
    <w:rsid w:val="00703A98"/>
    <w:rsid w:val="00703C5E"/>
    <w:rsid w:val="007049DC"/>
    <w:rsid w:val="00704A2A"/>
    <w:rsid w:val="00704A7C"/>
    <w:rsid w:val="00704F3C"/>
    <w:rsid w:val="00705691"/>
    <w:rsid w:val="00705776"/>
    <w:rsid w:val="00705B24"/>
    <w:rsid w:val="00706205"/>
    <w:rsid w:val="0070620D"/>
    <w:rsid w:val="00706903"/>
    <w:rsid w:val="00706D32"/>
    <w:rsid w:val="007072A8"/>
    <w:rsid w:val="007074CF"/>
    <w:rsid w:val="00707804"/>
    <w:rsid w:val="00707A86"/>
    <w:rsid w:val="00707C28"/>
    <w:rsid w:val="0071002B"/>
    <w:rsid w:val="0071048F"/>
    <w:rsid w:val="00710AC8"/>
    <w:rsid w:val="007112DE"/>
    <w:rsid w:val="007114F2"/>
    <w:rsid w:val="00711500"/>
    <w:rsid w:val="007116C5"/>
    <w:rsid w:val="00711AD1"/>
    <w:rsid w:val="007123F9"/>
    <w:rsid w:val="00712DF7"/>
    <w:rsid w:val="00712EAE"/>
    <w:rsid w:val="00713131"/>
    <w:rsid w:val="0071328D"/>
    <w:rsid w:val="0071368B"/>
    <w:rsid w:val="00713833"/>
    <w:rsid w:val="00713CD0"/>
    <w:rsid w:val="00713D53"/>
    <w:rsid w:val="00713F21"/>
    <w:rsid w:val="0071411E"/>
    <w:rsid w:val="007141D9"/>
    <w:rsid w:val="0071436E"/>
    <w:rsid w:val="007149DA"/>
    <w:rsid w:val="00714BFA"/>
    <w:rsid w:val="007150BF"/>
    <w:rsid w:val="007155F9"/>
    <w:rsid w:val="007162FA"/>
    <w:rsid w:val="007176A1"/>
    <w:rsid w:val="00717AB5"/>
    <w:rsid w:val="00717CDB"/>
    <w:rsid w:val="00717E83"/>
    <w:rsid w:val="00720846"/>
    <w:rsid w:val="00720AB3"/>
    <w:rsid w:val="00720D3F"/>
    <w:rsid w:val="00720DEF"/>
    <w:rsid w:val="00720FFB"/>
    <w:rsid w:val="00721BB1"/>
    <w:rsid w:val="007220EB"/>
    <w:rsid w:val="007223AC"/>
    <w:rsid w:val="00722736"/>
    <w:rsid w:val="00722833"/>
    <w:rsid w:val="0072340F"/>
    <w:rsid w:val="00723911"/>
    <w:rsid w:val="00723A6E"/>
    <w:rsid w:val="00723B39"/>
    <w:rsid w:val="00723E7A"/>
    <w:rsid w:val="007242C2"/>
    <w:rsid w:val="00724512"/>
    <w:rsid w:val="00724C60"/>
    <w:rsid w:val="0072506B"/>
    <w:rsid w:val="007256B9"/>
    <w:rsid w:val="00725C96"/>
    <w:rsid w:val="007261EE"/>
    <w:rsid w:val="007263B0"/>
    <w:rsid w:val="0072649B"/>
    <w:rsid w:val="007270A7"/>
    <w:rsid w:val="00727183"/>
    <w:rsid w:val="007272B5"/>
    <w:rsid w:val="00727A6F"/>
    <w:rsid w:val="00730363"/>
    <w:rsid w:val="00730AF2"/>
    <w:rsid w:val="00731629"/>
    <w:rsid w:val="007316A5"/>
    <w:rsid w:val="00731910"/>
    <w:rsid w:val="007320A6"/>
    <w:rsid w:val="0073218F"/>
    <w:rsid w:val="00732827"/>
    <w:rsid w:val="00732A59"/>
    <w:rsid w:val="0073334F"/>
    <w:rsid w:val="00733CC5"/>
    <w:rsid w:val="00733F69"/>
    <w:rsid w:val="00734068"/>
    <w:rsid w:val="007340D1"/>
    <w:rsid w:val="00734945"/>
    <w:rsid w:val="00734B74"/>
    <w:rsid w:val="00735051"/>
    <w:rsid w:val="00735256"/>
    <w:rsid w:val="00735E38"/>
    <w:rsid w:val="00736301"/>
    <w:rsid w:val="007367F3"/>
    <w:rsid w:val="00736D0F"/>
    <w:rsid w:val="00736EBF"/>
    <w:rsid w:val="00737390"/>
    <w:rsid w:val="00737703"/>
    <w:rsid w:val="007377D2"/>
    <w:rsid w:val="00737D50"/>
    <w:rsid w:val="0074008A"/>
    <w:rsid w:val="007403EA"/>
    <w:rsid w:val="007407E9"/>
    <w:rsid w:val="007409C6"/>
    <w:rsid w:val="00740ACA"/>
    <w:rsid w:val="00740D40"/>
    <w:rsid w:val="007411AA"/>
    <w:rsid w:val="0074140C"/>
    <w:rsid w:val="00741A4F"/>
    <w:rsid w:val="0074215A"/>
    <w:rsid w:val="00742197"/>
    <w:rsid w:val="007434E9"/>
    <w:rsid w:val="0074433E"/>
    <w:rsid w:val="00744C15"/>
    <w:rsid w:val="00744DD7"/>
    <w:rsid w:val="007452A0"/>
    <w:rsid w:val="007452AD"/>
    <w:rsid w:val="00745467"/>
    <w:rsid w:val="00745613"/>
    <w:rsid w:val="00745734"/>
    <w:rsid w:val="0074602D"/>
    <w:rsid w:val="007462AD"/>
    <w:rsid w:val="00746DC7"/>
    <w:rsid w:val="00747845"/>
    <w:rsid w:val="00750036"/>
    <w:rsid w:val="00750C33"/>
    <w:rsid w:val="00750FFD"/>
    <w:rsid w:val="007510E2"/>
    <w:rsid w:val="007513C5"/>
    <w:rsid w:val="00751D1A"/>
    <w:rsid w:val="00751EAB"/>
    <w:rsid w:val="00751F41"/>
    <w:rsid w:val="00752C3D"/>
    <w:rsid w:val="00752F8D"/>
    <w:rsid w:val="00753208"/>
    <w:rsid w:val="0075354D"/>
    <w:rsid w:val="00753988"/>
    <w:rsid w:val="0075456F"/>
    <w:rsid w:val="00754578"/>
    <w:rsid w:val="00754F42"/>
    <w:rsid w:val="00754F73"/>
    <w:rsid w:val="00755791"/>
    <w:rsid w:val="00755FDF"/>
    <w:rsid w:val="007569E2"/>
    <w:rsid w:val="007570A1"/>
    <w:rsid w:val="007572E2"/>
    <w:rsid w:val="00757462"/>
    <w:rsid w:val="007574AF"/>
    <w:rsid w:val="00757722"/>
    <w:rsid w:val="00757A9C"/>
    <w:rsid w:val="00757BB3"/>
    <w:rsid w:val="00760B4B"/>
    <w:rsid w:val="00760BBB"/>
    <w:rsid w:val="00760C5F"/>
    <w:rsid w:val="00760F4A"/>
    <w:rsid w:val="00760F81"/>
    <w:rsid w:val="0076128B"/>
    <w:rsid w:val="00761FDE"/>
    <w:rsid w:val="0076219F"/>
    <w:rsid w:val="00762E50"/>
    <w:rsid w:val="00762EA7"/>
    <w:rsid w:val="00762F90"/>
    <w:rsid w:val="007630F8"/>
    <w:rsid w:val="0076325E"/>
    <w:rsid w:val="00763AE4"/>
    <w:rsid w:val="00764C38"/>
    <w:rsid w:val="00764DF7"/>
    <w:rsid w:val="00765089"/>
    <w:rsid w:val="007654AA"/>
    <w:rsid w:val="00765AA9"/>
    <w:rsid w:val="00765C3E"/>
    <w:rsid w:val="00765DD8"/>
    <w:rsid w:val="0076631D"/>
    <w:rsid w:val="00766333"/>
    <w:rsid w:val="0076645D"/>
    <w:rsid w:val="007668BB"/>
    <w:rsid w:val="00766CF7"/>
    <w:rsid w:val="00766D11"/>
    <w:rsid w:val="0076767C"/>
    <w:rsid w:val="00767E63"/>
    <w:rsid w:val="00767FEC"/>
    <w:rsid w:val="0077004B"/>
    <w:rsid w:val="0077010A"/>
    <w:rsid w:val="007703E2"/>
    <w:rsid w:val="007713D2"/>
    <w:rsid w:val="00771ADD"/>
    <w:rsid w:val="00771C2A"/>
    <w:rsid w:val="00771DCC"/>
    <w:rsid w:val="00771E3D"/>
    <w:rsid w:val="007720AD"/>
    <w:rsid w:val="0077216C"/>
    <w:rsid w:val="00772A88"/>
    <w:rsid w:val="007736D4"/>
    <w:rsid w:val="0077375B"/>
    <w:rsid w:val="00773923"/>
    <w:rsid w:val="00773D25"/>
    <w:rsid w:val="00773D69"/>
    <w:rsid w:val="00774289"/>
    <w:rsid w:val="00774293"/>
    <w:rsid w:val="00774380"/>
    <w:rsid w:val="007744FA"/>
    <w:rsid w:val="007745C7"/>
    <w:rsid w:val="00774886"/>
    <w:rsid w:val="0077499F"/>
    <w:rsid w:val="00774B06"/>
    <w:rsid w:val="00774B23"/>
    <w:rsid w:val="00774D28"/>
    <w:rsid w:val="00774EEF"/>
    <w:rsid w:val="00774FB6"/>
    <w:rsid w:val="00775531"/>
    <w:rsid w:val="00775B33"/>
    <w:rsid w:val="00776435"/>
    <w:rsid w:val="007764BE"/>
    <w:rsid w:val="007767A9"/>
    <w:rsid w:val="007767FA"/>
    <w:rsid w:val="007772B1"/>
    <w:rsid w:val="007775C4"/>
    <w:rsid w:val="007808ED"/>
    <w:rsid w:val="00780932"/>
    <w:rsid w:val="007809B5"/>
    <w:rsid w:val="00780A57"/>
    <w:rsid w:val="00780AF9"/>
    <w:rsid w:val="00780C6B"/>
    <w:rsid w:val="00781538"/>
    <w:rsid w:val="00782CE3"/>
    <w:rsid w:val="0078321D"/>
    <w:rsid w:val="0078332B"/>
    <w:rsid w:val="00783D69"/>
    <w:rsid w:val="007846C4"/>
    <w:rsid w:val="007851B7"/>
    <w:rsid w:val="00785737"/>
    <w:rsid w:val="007858A5"/>
    <w:rsid w:val="0078738D"/>
    <w:rsid w:val="007874DF"/>
    <w:rsid w:val="0078752B"/>
    <w:rsid w:val="007900C6"/>
    <w:rsid w:val="00790391"/>
    <w:rsid w:val="007903CE"/>
    <w:rsid w:val="00790677"/>
    <w:rsid w:val="007912EE"/>
    <w:rsid w:val="007915B5"/>
    <w:rsid w:val="007915F6"/>
    <w:rsid w:val="00791F57"/>
    <w:rsid w:val="007924F5"/>
    <w:rsid w:val="00792A6D"/>
    <w:rsid w:val="00792DB3"/>
    <w:rsid w:val="00792E68"/>
    <w:rsid w:val="0079330D"/>
    <w:rsid w:val="00793453"/>
    <w:rsid w:val="00794126"/>
    <w:rsid w:val="0079494C"/>
    <w:rsid w:val="00794FFD"/>
    <w:rsid w:val="00795083"/>
    <w:rsid w:val="00795324"/>
    <w:rsid w:val="00795D00"/>
    <w:rsid w:val="007965A2"/>
    <w:rsid w:val="00797675"/>
    <w:rsid w:val="007979ED"/>
    <w:rsid w:val="00797D01"/>
    <w:rsid w:val="00797D8D"/>
    <w:rsid w:val="00797F33"/>
    <w:rsid w:val="007A0047"/>
    <w:rsid w:val="007A06A9"/>
    <w:rsid w:val="007A076C"/>
    <w:rsid w:val="007A07F0"/>
    <w:rsid w:val="007A0911"/>
    <w:rsid w:val="007A09B6"/>
    <w:rsid w:val="007A0CC2"/>
    <w:rsid w:val="007A1498"/>
    <w:rsid w:val="007A1CAD"/>
    <w:rsid w:val="007A1ED0"/>
    <w:rsid w:val="007A281A"/>
    <w:rsid w:val="007A32F9"/>
    <w:rsid w:val="007A3303"/>
    <w:rsid w:val="007A372C"/>
    <w:rsid w:val="007A3AB8"/>
    <w:rsid w:val="007A468F"/>
    <w:rsid w:val="007A48B9"/>
    <w:rsid w:val="007A495B"/>
    <w:rsid w:val="007A5106"/>
    <w:rsid w:val="007A543E"/>
    <w:rsid w:val="007A6174"/>
    <w:rsid w:val="007A618B"/>
    <w:rsid w:val="007A6296"/>
    <w:rsid w:val="007A63E4"/>
    <w:rsid w:val="007A6606"/>
    <w:rsid w:val="007A671A"/>
    <w:rsid w:val="007A6A81"/>
    <w:rsid w:val="007A6A88"/>
    <w:rsid w:val="007A6D0C"/>
    <w:rsid w:val="007A6E3A"/>
    <w:rsid w:val="007A70C2"/>
    <w:rsid w:val="007A7181"/>
    <w:rsid w:val="007A7538"/>
    <w:rsid w:val="007A75C0"/>
    <w:rsid w:val="007A78F8"/>
    <w:rsid w:val="007A7EA2"/>
    <w:rsid w:val="007A7F3E"/>
    <w:rsid w:val="007B09D6"/>
    <w:rsid w:val="007B122A"/>
    <w:rsid w:val="007B13FD"/>
    <w:rsid w:val="007B1752"/>
    <w:rsid w:val="007B18FE"/>
    <w:rsid w:val="007B1C5E"/>
    <w:rsid w:val="007B1E8F"/>
    <w:rsid w:val="007B23E2"/>
    <w:rsid w:val="007B23E8"/>
    <w:rsid w:val="007B27F5"/>
    <w:rsid w:val="007B2C8D"/>
    <w:rsid w:val="007B2F60"/>
    <w:rsid w:val="007B2F90"/>
    <w:rsid w:val="007B31B7"/>
    <w:rsid w:val="007B3806"/>
    <w:rsid w:val="007B3B19"/>
    <w:rsid w:val="007B3CB4"/>
    <w:rsid w:val="007B3FA6"/>
    <w:rsid w:val="007B405C"/>
    <w:rsid w:val="007B4175"/>
    <w:rsid w:val="007B44B8"/>
    <w:rsid w:val="007B4791"/>
    <w:rsid w:val="007B48C9"/>
    <w:rsid w:val="007B4987"/>
    <w:rsid w:val="007B4F8A"/>
    <w:rsid w:val="007B525A"/>
    <w:rsid w:val="007B53DD"/>
    <w:rsid w:val="007B5580"/>
    <w:rsid w:val="007B567E"/>
    <w:rsid w:val="007B5EBA"/>
    <w:rsid w:val="007B5EF3"/>
    <w:rsid w:val="007B636C"/>
    <w:rsid w:val="007B65CC"/>
    <w:rsid w:val="007B668F"/>
    <w:rsid w:val="007B723E"/>
    <w:rsid w:val="007B7BA1"/>
    <w:rsid w:val="007B7E98"/>
    <w:rsid w:val="007C0374"/>
    <w:rsid w:val="007C0516"/>
    <w:rsid w:val="007C0786"/>
    <w:rsid w:val="007C1352"/>
    <w:rsid w:val="007C1660"/>
    <w:rsid w:val="007C1AA5"/>
    <w:rsid w:val="007C1DFE"/>
    <w:rsid w:val="007C23F1"/>
    <w:rsid w:val="007C2D91"/>
    <w:rsid w:val="007C2E84"/>
    <w:rsid w:val="007C346E"/>
    <w:rsid w:val="007C37BD"/>
    <w:rsid w:val="007C38EA"/>
    <w:rsid w:val="007C3978"/>
    <w:rsid w:val="007C41AD"/>
    <w:rsid w:val="007C4261"/>
    <w:rsid w:val="007C6158"/>
    <w:rsid w:val="007C63B4"/>
    <w:rsid w:val="007C7917"/>
    <w:rsid w:val="007C7EBD"/>
    <w:rsid w:val="007D01DB"/>
    <w:rsid w:val="007D024D"/>
    <w:rsid w:val="007D0743"/>
    <w:rsid w:val="007D1697"/>
    <w:rsid w:val="007D1D33"/>
    <w:rsid w:val="007D1F29"/>
    <w:rsid w:val="007D2107"/>
    <w:rsid w:val="007D240E"/>
    <w:rsid w:val="007D245B"/>
    <w:rsid w:val="007D2A18"/>
    <w:rsid w:val="007D3607"/>
    <w:rsid w:val="007D3C63"/>
    <w:rsid w:val="007D44C7"/>
    <w:rsid w:val="007D578F"/>
    <w:rsid w:val="007D593B"/>
    <w:rsid w:val="007D679A"/>
    <w:rsid w:val="007D67CA"/>
    <w:rsid w:val="007D6F66"/>
    <w:rsid w:val="007D7273"/>
    <w:rsid w:val="007D7389"/>
    <w:rsid w:val="007D747E"/>
    <w:rsid w:val="007D7C3E"/>
    <w:rsid w:val="007E03F1"/>
    <w:rsid w:val="007E0A8E"/>
    <w:rsid w:val="007E0FCD"/>
    <w:rsid w:val="007E11CE"/>
    <w:rsid w:val="007E139F"/>
    <w:rsid w:val="007E1508"/>
    <w:rsid w:val="007E1788"/>
    <w:rsid w:val="007E1933"/>
    <w:rsid w:val="007E1D5D"/>
    <w:rsid w:val="007E2DBC"/>
    <w:rsid w:val="007E3414"/>
    <w:rsid w:val="007E34AA"/>
    <w:rsid w:val="007E3A6E"/>
    <w:rsid w:val="007E3F32"/>
    <w:rsid w:val="007E4921"/>
    <w:rsid w:val="007E4CE2"/>
    <w:rsid w:val="007E4EC3"/>
    <w:rsid w:val="007E5155"/>
    <w:rsid w:val="007E5807"/>
    <w:rsid w:val="007E5925"/>
    <w:rsid w:val="007E63DF"/>
    <w:rsid w:val="007E6498"/>
    <w:rsid w:val="007E65AF"/>
    <w:rsid w:val="007E6C49"/>
    <w:rsid w:val="007E6C53"/>
    <w:rsid w:val="007E76E8"/>
    <w:rsid w:val="007E7D20"/>
    <w:rsid w:val="007E7E88"/>
    <w:rsid w:val="007F0C70"/>
    <w:rsid w:val="007F0FD0"/>
    <w:rsid w:val="007F128A"/>
    <w:rsid w:val="007F12B2"/>
    <w:rsid w:val="007F169B"/>
    <w:rsid w:val="007F1AB9"/>
    <w:rsid w:val="007F1BEE"/>
    <w:rsid w:val="007F1FAC"/>
    <w:rsid w:val="007F2139"/>
    <w:rsid w:val="007F2744"/>
    <w:rsid w:val="007F3682"/>
    <w:rsid w:val="007F3C98"/>
    <w:rsid w:val="007F3E01"/>
    <w:rsid w:val="007F4500"/>
    <w:rsid w:val="007F4824"/>
    <w:rsid w:val="007F4A62"/>
    <w:rsid w:val="007F52C7"/>
    <w:rsid w:val="007F570F"/>
    <w:rsid w:val="007F589E"/>
    <w:rsid w:val="007F5E33"/>
    <w:rsid w:val="007F67D9"/>
    <w:rsid w:val="007F6FF6"/>
    <w:rsid w:val="007F7143"/>
    <w:rsid w:val="007F7394"/>
    <w:rsid w:val="007F7668"/>
    <w:rsid w:val="007F78FE"/>
    <w:rsid w:val="007F7DC6"/>
    <w:rsid w:val="007F7E7A"/>
    <w:rsid w:val="00800563"/>
    <w:rsid w:val="008005F7"/>
    <w:rsid w:val="0080099A"/>
    <w:rsid w:val="00800D4C"/>
    <w:rsid w:val="00801080"/>
    <w:rsid w:val="00801122"/>
    <w:rsid w:val="00801159"/>
    <w:rsid w:val="008016E2"/>
    <w:rsid w:val="008018F0"/>
    <w:rsid w:val="00801A38"/>
    <w:rsid w:val="00801C37"/>
    <w:rsid w:val="00801D70"/>
    <w:rsid w:val="00802B1B"/>
    <w:rsid w:val="00802CF0"/>
    <w:rsid w:val="00802D93"/>
    <w:rsid w:val="0080368A"/>
    <w:rsid w:val="00803785"/>
    <w:rsid w:val="00804328"/>
    <w:rsid w:val="008044E5"/>
    <w:rsid w:val="00804A26"/>
    <w:rsid w:val="0080533A"/>
    <w:rsid w:val="00805564"/>
    <w:rsid w:val="008058B9"/>
    <w:rsid w:val="00805997"/>
    <w:rsid w:val="00805FF0"/>
    <w:rsid w:val="008062BA"/>
    <w:rsid w:val="00806380"/>
    <w:rsid w:val="0080644A"/>
    <w:rsid w:val="0080644E"/>
    <w:rsid w:val="00806A3F"/>
    <w:rsid w:val="00806A64"/>
    <w:rsid w:val="00806D86"/>
    <w:rsid w:val="008073FA"/>
    <w:rsid w:val="00807817"/>
    <w:rsid w:val="00807945"/>
    <w:rsid w:val="00810247"/>
    <w:rsid w:val="00810665"/>
    <w:rsid w:val="00810792"/>
    <w:rsid w:val="008107B7"/>
    <w:rsid w:val="008108EC"/>
    <w:rsid w:val="00810915"/>
    <w:rsid w:val="00810AA9"/>
    <w:rsid w:val="00810CF4"/>
    <w:rsid w:val="00810FDA"/>
    <w:rsid w:val="008113BA"/>
    <w:rsid w:val="00811530"/>
    <w:rsid w:val="00811879"/>
    <w:rsid w:val="00811CCC"/>
    <w:rsid w:val="00812093"/>
    <w:rsid w:val="0081277A"/>
    <w:rsid w:val="0081297A"/>
    <w:rsid w:val="00812DDB"/>
    <w:rsid w:val="0081353B"/>
    <w:rsid w:val="00813575"/>
    <w:rsid w:val="0081392E"/>
    <w:rsid w:val="00813B37"/>
    <w:rsid w:val="00813BD1"/>
    <w:rsid w:val="00813C05"/>
    <w:rsid w:val="008145BC"/>
    <w:rsid w:val="00816535"/>
    <w:rsid w:val="0081697F"/>
    <w:rsid w:val="00816CF6"/>
    <w:rsid w:val="00817C17"/>
    <w:rsid w:val="0081C2A7"/>
    <w:rsid w:val="0082015C"/>
    <w:rsid w:val="008204FD"/>
    <w:rsid w:val="00820C18"/>
    <w:rsid w:val="0082140E"/>
    <w:rsid w:val="00821525"/>
    <w:rsid w:val="008216C2"/>
    <w:rsid w:val="00821B89"/>
    <w:rsid w:val="00822061"/>
    <w:rsid w:val="008221F7"/>
    <w:rsid w:val="008223C9"/>
    <w:rsid w:val="008225C4"/>
    <w:rsid w:val="00822CA6"/>
    <w:rsid w:val="00822FC4"/>
    <w:rsid w:val="008233FC"/>
    <w:rsid w:val="0082340F"/>
    <w:rsid w:val="00823D9A"/>
    <w:rsid w:val="008241BD"/>
    <w:rsid w:val="0082422C"/>
    <w:rsid w:val="0082425C"/>
    <w:rsid w:val="0082443E"/>
    <w:rsid w:val="00824B87"/>
    <w:rsid w:val="00824E8A"/>
    <w:rsid w:val="008254E8"/>
    <w:rsid w:val="008257D9"/>
    <w:rsid w:val="00825952"/>
    <w:rsid w:val="00825EBF"/>
    <w:rsid w:val="00825F0B"/>
    <w:rsid w:val="00826E6E"/>
    <w:rsid w:val="0082722C"/>
    <w:rsid w:val="008277FF"/>
    <w:rsid w:val="00827812"/>
    <w:rsid w:val="008279C8"/>
    <w:rsid w:val="008301BF"/>
    <w:rsid w:val="008303D3"/>
    <w:rsid w:val="00830494"/>
    <w:rsid w:val="00830604"/>
    <w:rsid w:val="0083070F"/>
    <w:rsid w:val="00830755"/>
    <w:rsid w:val="00830B3D"/>
    <w:rsid w:val="00830EBC"/>
    <w:rsid w:val="00830ED3"/>
    <w:rsid w:val="008319FC"/>
    <w:rsid w:val="00831D95"/>
    <w:rsid w:val="00831E8E"/>
    <w:rsid w:val="008325C3"/>
    <w:rsid w:val="00832D6A"/>
    <w:rsid w:val="0083303C"/>
    <w:rsid w:val="00833607"/>
    <w:rsid w:val="008342BB"/>
    <w:rsid w:val="00834784"/>
    <w:rsid w:val="0083486E"/>
    <w:rsid w:val="008352BD"/>
    <w:rsid w:val="008357AA"/>
    <w:rsid w:val="00836701"/>
    <w:rsid w:val="00836B52"/>
    <w:rsid w:val="00836F70"/>
    <w:rsid w:val="0083787F"/>
    <w:rsid w:val="00837D26"/>
    <w:rsid w:val="00837E02"/>
    <w:rsid w:val="00840DB0"/>
    <w:rsid w:val="00840E38"/>
    <w:rsid w:val="008410C6"/>
    <w:rsid w:val="00841EDB"/>
    <w:rsid w:val="008420F5"/>
    <w:rsid w:val="0084326B"/>
    <w:rsid w:val="00843303"/>
    <w:rsid w:val="0084338E"/>
    <w:rsid w:val="00843B0E"/>
    <w:rsid w:val="00843E9D"/>
    <w:rsid w:val="008440F4"/>
    <w:rsid w:val="008442BD"/>
    <w:rsid w:val="00844A82"/>
    <w:rsid w:val="00844E65"/>
    <w:rsid w:val="00844FEB"/>
    <w:rsid w:val="008450F4"/>
    <w:rsid w:val="008450F6"/>
    <w:rsid w:val="00845283"/>
    <w:rsid w:val="0084567E"/>
    <w:rsid w:val="00845845"/>
    <w:rsid w:val="00845DE8"/>
    <w:rsid w:val="008460D3"/>
    <w:rsid w:val="008469CB"/>
    <w:rsid w:val="00846D4A"/>
    <w:rsid w:val="008471AF"/>
    <w:rsid w:val="008476A5"/>
    <w:rsid w:val="008478C6"/>
    <w:rsid w:val="00847AFB"/>
    <w:rsid w:val="0085041A"/>
    <w:rsid w:val="00850826"/>
    <w:rsid w:val="00850CC1"/>
    <w:rsid w:val="00850F50"/>
    <w:rsid w:val="0085101E"/>
    <w:rsid w:val="00851838"/>
    <w:rsid w:val="00851879"/>
    <w:rsid w:val="00851B2B"/>
    <w:rsid w:val="008523F2"/>
    <w:rsid w:val="00852AB7"/>
    <w:rsid w:val="00852BB6"/>
    <w:rsid w:val="008532E9"/>
    <w:rsid w:val="008538F6"/>
    <w:rsid w:val="008539AF"/>
    <w:rsid w:val="0085428E"/>
    <w:rsid w:val="00854D01"/>
    <w:rsid w:val="00854EA6"/>
    <w:rsid w:val="00854FD7"/>
    <w:rsid w:val="00855192"/>
    <w:rsid w:val="0085531D"/>
    <w:rsid w:val="00855821"/>
    <w:rsid w:val="00855F11"/>
    <w:rsid w:val="00855F60"/>
    <w:rsid w:val="008562BC"/>
    <w:rsid w:val="00856AD5"/>
    <w:rsid w:val="008578E9"/>
    <w:rsid w:val="00857C40"/>
    <w:rsid w:val="008603AB"/>
    <w:rsid w:val="008606D5"/>
    <w:rsid w:val="008609D5"/>
    <w:rsid w:val="0086125E"/>
    <w:rsid w:val="00862006"/>
    <w:rsid w:val="00862F95"/>
    <w:rsid w:val="008638E8"/>
    <w:rsid w:val="008646E2"/>
    <w:rsid w:val="008651BC"/>
    <w:rsid w:val="0086532F"/>
    <w:rsid w:val="00865547"/>
    <w:rsid w:val="00865C86"/>
    <w:rsid w:val="00866150"/>
    <w:rsid w:val="008661EF"/>
    <w:rsid w:val="008669BC"/>
    <w:rsid w:val="00866F8D"/>
    <w:rsid w:val="008672A0"/>
    <w:rsid w:val="0086736A"/>
    <w:rsid w:val="00867592"/>
    <w:rsid w:val="008676B4"/>
    <w:rsid w:val="00867D69"/>
    <w:rsid w:val="00867EFA"/>
    <w:rsid w:val="00870122"/>
    <w:rsid w:val="008703C8"/>
    <w:rsid w:val="00870764"/>
    <w:rsid w:val="00870C99"/>
    <w:rsid w:val="008711F9"/>
    <w:rsid w:val="00871BDA"/>
    <w:rsid w:val="00872686"/>
    <w:rsid w:val="00872D8A"/>
    <w:rsid w:val="00872F96"/>
    <w:rsid w:val="00873644"/>
    <w:rsid w:val="00873EC2"/>
    <w:rsid w:val="0087440A"/>
    <w:rsid w:val="00875EA8"/>
    <w:rsid w:val="008764E4"/>
    <w:rsid w:val="00876919"/>
    <w:rsid w:val="00877930"/>
    <w:rsid w:val="00877D01"/>
    <w:rsid w:val="00880589"/>
    <w:rsid w:val="00880C30"/>
    <w:rsid w:val="00880CEC"/>
    <w:rsid w:val="00880E54"/>
    <w:rsid w:val="00881229"/>
    <w:rsid w:val="0088174B"/>
    <w:rsid w:val="008821DA"/>
    <w:rsid w:val="00882544"/>
    <w:rsid w:val="00882A56"/>
    <w:rsid w:val="00882B9E"/>
    <w:rsid w:val="00883303"/>
    <w:rsid w:val="0088349C"/>
    <w:rsid w:val="008835D4"/>
    <w:rsid w:val="00883C52"/>
    <w:rsid w:val="00884A1A"/>
    <w:rsid w:val="00884B6D"/>
    <w:rsid w:val="00884D95"/>
    <w:rsid w:val="0088509E"/>
    <w:rsid w:val="008854E3"/>
    <w:rsid w:val="008858E9"/>
    <w:rsid w:val="00885D24"/>
    <w:rsid w:val="008864A4"/>
    <w:rsid w:val="0088687F"/>
    <w:rsid w:val="00886900"/>
    <w:rsid w:val="00886EED"/>
    <w:rsid w:val="00887171"/>
    <w:rsid w:val="00887925"/>
    <w:rsid w:val="00887E76"/>
    <w:rsid w:val="00887E86"/>
    <w:rsid w:val="00890242"/>
    <w:rsid w:val="00890303"/>
    <w:rsid w:val="008907A3"/>
    <w:rsid w:val="008907BD"/>
    <w:rsid w:val="00890BE1"/>
    <w:rsid w:val="00890FE4"/>
    <w:rsid w:val="00890FF0"/>
    <w:rsid w:val="00891153"/>
    <w:rsid w:val="00891187"/>
    <w:rsid w:val="008911BC"/>
    <w:rsid w:val="00891340"/>
    <w:rsid w:val="008913B9"/>
    <w:rsid w:val="00891842"/>
    <w:rsid w:val="00891A0C"/>
    <w:rsid w:val="00891F33"/>
    <w:rsid w:val="00891F3A"/>
    <w:rsid w:val="0089229D"/>
    <w:rsid w:val="008929DD"/>
    <w:rsid w:val="00892B7A"/>
    <w:rsid w:val="00892DE1"/>
    <w:rsid w:val="008936C0"/>
    <w:rsid w:val="00893A91"/>
    <w:rsid w:val="00893D6E"/>
    <w:rsid w:val="00893F5B"/>
    <w:rsid w:val="0089461A"/>
    <w:rsid w:val="008955E8"/>
    <w:rsid w:val="00895607"/>
    <w:rsid w:val="00895E3C"/>
    <w:rsid w:val="0089620E"/>
    <w:rsid w:val="008964C5"/>
    <w:rsid w:val="008966A2"/>
    <w:rsid w:val="00896768"/>
    <w:rsid w:val="00896E92"/>
    <w:rsid w:val="00897285"/>
    <w:rsid w:val="00897669"/>
    <w:rsid w:val="00897A00"/>
    <w:rsid w:val="00897C21"/>
    <w:rsid w:val="008A0549"/>
    <w:rsid w:val="008A1310"/>
    <w:rsid w:val="008A1356"/>
    <w:rsid w:val="008A15A2"/>
    <w:rsid w:val="008A19F0"/>
    <w:rsid w:val="008A1D13"/>
    <w:rsid w:val="008A20F1"/>
    <w:rsid w:val="008A2122"/>
    <w:rsid w:val="008A222D"/>
    <w:rsid w:val="008A25C8"/>
    <w:rsid w:val="008A25EA"/>
    <w:rsid w:val="008A27B8"/>
    <w:rsid w:val="008A2E26"/>
    <w:rsid w:val="008A359B"/>
    <w:rsid w:val="008A3B7B"/>
    <w:rsid w:val="008A3BD0"/>
    <w:rsid w:val="008A3D1A"/>
    <w:rsid w:val="008A436E"/>
    <w:rsid w:val="008A43C0"/>
    <w:rsid w:val="008A446F"/>
    <w:rsid w:val="008A4CCE"/>
    <w:rsid w:val="008A4E6B"/>
    <w:rsid w:val="008A530D"/>
    <w:rsid w:val="008A58B2"/>
    <w:rsid w:val="008A6396"/>
    <w:rsid w:val="008A63C9"/>
    <w:rsid w:val="008A655B"/>
    <w:rsid w:val="008A6AF0"/>
    <w:rsid w:val="008A7039"/>
    <w:rsid w:val="008A7859"/>
    <w:rsid w:val="008B0266"/>
    <w:rsid w:val="008B02A1"/>
    <w:rsid w:val="008B08C0"/>
    <w:rsid w:val="008B0919"/>
    <w:rsid w:val="008B0A2F"/>
    <w:rsid w:val="008B0A78"/>
    <w:rsid w:val="008B0AF1"/>
    <w:rsid w:val="008B1056"/>
    <w:rsid w:val="008B1309"/>
    <w:rsid w:val="008B1375"/>
    <w:rsid w:val="008B1566"/>
    <w:rsid w:val="008B16C9"/>
    <w:rsid w:val="008B16EB"/>
    <w:rsid w:val="008B195A"/>
    <w:rsid w:val="008B1CD0"/>
    <w:rsid w:val="008B1CF8"/>
    <w:rsid w:val="008B21BE"/>
    <w:rsid w:val="008B224E"/>
    <w:rsid w:val="008B276F"/>
    <w:rsid w:val="008B2CA0"/>
    <w:rsid w:val="008B2E10"/>
    <w:rsid w:val="008B2E57"/>
    <w:rsid w:val="008B3237"/>
    <w:rsid w:val="008B3DDF"/>
    <w:rsid w:val="008B4262"/>
    <w:rsid w:val="008B4546"/>
    <w:rsid w:val="008B51DC"/>
    <w:rsid w:val="008B534B"/>
    <w:rsid w:val="008B53FC"/>
    <w:rsid w:val="008B57B8"/>
    <w:rsid w:val="008B5904"/>
    <w:rsid w:val="008B5B8B"/>
    <w:rsid w:val="008B5FB8"/>
    <w:rsid w:val="008B6192"/>
    <w:rsid w:val="008B66D4"/>
    <w:rsid w:val="008B6838"/>
    <w:rsid w:val="008B6A96"/>
    <w:rsid w:val="008B6C62"/>
    <w:rsid w:val="008B6DD2"/>
    <w:rsid w:val="008B6EDD"/>
    <w:rsid w:val="008B7688"/>
    <w:rsid w:val="008B7C38"/>
    <w:rsid w:val="008B7E4C"/>
    <w:rsid w:val="008C085C"/>
    <w:rsid w:val="008C08DA"/>
    <w:rsid w:val="008C0B8D"/>
    <w:rsid w:val="008C136C"/>
    <w:rsid w:val="008C1778"/>
    <w:rsid w:val="008C2546"/>
    <w:rsid w:val="008C2656"/>
    <w:rsid w:val="008C2777"/>
    <w:rsid w:val="008C289F"/>
    <w:rsid w:val="008C2DAA"/>
    <w:rsid w:val="008C35CD"/>
    <w:rsid w:val="008C3E9A"/>
    <w:rsid w:val="008C40C2"/>
    <w:rsid w:val="008C4508"/>
    <w:rsid w:val="008C4E6F"/>
    <w:rsid w:val="008C4FED"/>
    <w:rsid w:val="008C51A4"/>
    <w:rsid w:val="008C5D84"/>
    <w:rsid w:val="008C6480"/>
    <w:rsid w:val="008C6907"/>
    <w:rsid w:val="008C6A7B"/>
    <w:rsid w:val="008C7850"/>
    <w:rsid w:val="008C7883"/>
    <w:rsid w:val="008C7EB5"/>
    <w:rsid w:val="008D0170"/>
    <w:rsid w:val="008D1BEB"/>
    <w:rsid w:val="008D20A7"/>
    <w:rsid w:val="008D252D"/>
    <w:rsid w:val="008D274D"/>
    <w:rsid w:val="008D2A19"/>
    <w:rsid w:val="008D2E31"/>
    <w:rsid w:val="008D312B"/>
    <w:rsid w:val="008D37D3"/>
    <w:rsid w:val="008D3904"/>
    <w:rsid w:val="008D3B22"/>
    <w:rsid w:val="008D3DE5"/>
    <w:rsid w:val="008D457A"/>
    <w:rsid w:val="008D45AE"/>
    <w:rsid w:val="008D483C"/>
    <w:rsid w:val="008D4BAC"/>
    <w:rsid w:val="008D5280"/>
    <w:rsid w:val="008D56E4"/>
    <w:rsid w:val="008D61F2"/>
    <w:rsid w:val="008D6416"/>
    <w:rsid w:val="008D6B0C"/>
    <w:rsid w:val="008D6C48"/>
    <w:rsid w:val="008D7129"/>
    <w:rsid w:val="008D7A4C"/>
    <w:rsid w:val="008D7FE1"/>
    <w:rsid w:val="008E0265"/>
    <w:rsid w:val="008E0328"/>
    <w:rsid w:val="008E0400"/>
    <w:rsid w:val="008E0532"/>
    <w:rsid w:val="008E0A99"/>
    <w:rsid w:val="008E0EC6"/>
    <w:rsid w:val="008E0F88"/>
    <w:rsid w:val="008E14A9"/>
    <w:rsid w:val="008E17AC"/>
    <w:rsid w:val="008E1D7D"/>
    <w:rsid w:val="008E2D0E"/>
    <w:rsid w:val="008E3721"/>
    <w:rsid w:val="008E3881"/>
    <w:rsid w:val="008E39F9"/>
    <w:rsid w:val="008E3F44"/>
    <w:rsid w:val="008E3FF3"/>
    <w:rsid w:val="008E47F4"/>
    <w:rsid w:val="008E4EC6"/>
    <w:rsid w:val="008E54F8"/>
    <w:rsid w:val="008E5702"/>
    <w:rsid w:val="008E5A32"/>
    <w:rsid w:val="008E6441"/>
    <w:rsid w:val="008E6797"/>
    <w:rsid w:val="008E67F2"/>
    <w:rsid w:val="008E6AD6"/>
    <w:rsid w:val="008E7796"/>
    <w:rsid w:val="008E78CF"/>
    <w:rsid w:val="008F007E"/>
    <w:rsid w:val="008F00F2"/>
    <w:rsid w:val="008F09F3"/>
    <w:rsid w:val="008F102E"/>
    <w:rsid w:val="008F15C5"/>
    <w:rsid w:val="008F1997"/>
    <w:rsid w:val="008F1B5B"/>
    <w:rsid w:val="008F1B7F"/>
    <w:rsid w:val="008F200B"/>
    <w:rsid w:val="008F23FF"/>
    <w:rsid w:val="008F271A"/>
    <w:rsid w:val="008F3A34"/>
    <w:rsid w:val="008F4CE8"/>
    <w:rsid w:val="008F4CEF"/>
    <w:rsid w:val="008F4E55"/>
    <w:rsid w:val="008F521B"/>
    <w:rsid w:val="008F592B"/>
    <w:rsid w:val="008F599A"/>
    <w:rsid w:val="008F5BF5"/>
    <w:rsid w:val="008F5D3F"/>
    <w:rsid w:val="008F6822"/>
    <w:rsid w:val="008F69D8"/>
    <w:rsid w:val="008F6CED"/>
    <w:rsid w:val="008F747C"/>
    <w:rsid w:val="00900999"/>
    <w:rsid w:val="00901024"/>
    <w:rsid w:val="0090136A"/>
    <w:rsid w:val="00901440"/>
    <w:rsid w:val="009015B2"/>
    <w:rsid w:val="00901603"/>
    <w:rsid w:val="00902A77"/>
    <w:rsid w:val="00902DF2"/>
    <w:rsid w:val="00902EC8"/>
    <w:rsid w:val="00903693"/>
    <w:rsid w:val="009036E0"/>
    <w:rsid w:val="00904B6B"/>
    <w:rsid w:val="00904F75"/>
    <w:rsid w:val="00905143"/>
    <w:rsid w:val="0090528F"/>
    <w:rsid w:val="009056D5"/>
    <w:rsid w:val="00905801"/>
    <w:rsid w:val="009059B2"/>
    <w:rsid w:val="00906100"/>
    <w:rsid w:val="009064DC"/>
    <w:rsid w:val="00906E8C"/>
    <w:rsid w:val="00907232"/>
    <w:rsid w:val="00907F0B"/>
    <w:rsid w:val="00910AE3"/>
    <w:rsid w:val="009111B7"/>
    <w:rsid w:val="00911570"/>
    <w:rsid w:val="00912266"/>
    <w:rsid w:val="00912A0C"/>
    <w:rsid w:val="00912B37"/>
    <w:rsid w:val="00912B9F"/>
    <w:rsid w:val="009130F3"/>
    <w:rsid w:val="009132B5"/>
    <w:rsid w:val="009135A8"/>
    <w:rsid w:val="00913D75"/>
    <w:rsid w:val="00914A98"/>
    <w:rsid w:val="0091520C"/>
    <w:rsid w:val="009152EE"/>
    <w:rsid w:val="0091570C"/>
    <w:rsid w:val="00915798"/>
    <w:rsid w:val="00915E92"/>
    <w:rsid w:val="00916106"/>
    <w:rsid w:val="009163B9"/>
    <w:rsid w:val="00916D8F"/>
    <w:rsid w:val="00917995"/>
    <w:rsid w:val="00917D91"/>
    <w:rsid w:val="00920590"/>
    <w:rsid w:val="00920650"/>
    <w:rsid w:val="00920A9B"/>
    <w:rsid w:val="00920BAE"/>
    <w:rsid w:val="00920DEF"/>
    <w:rsid w:val="00921211"/>
    <w:rsid w:val="009212B6"/>
    <w:rsid w:val="00921885"/>
    <w:rsid w:val="009223E6"/>
    <w:rsid w:val="00922C14"/>
    <w:rsid w:val="009231D6"/>
    <w:rsid w:val="009234D4"/>
    <w:rsid w:val="00923690"/>
    <w:rsid w:val="009249CA"/>
    <w:rsid w:val="00924BDA"/>
    <w:rsid w:val="00924D04"/>
    <w:rsid w:val="00925096"/>
    <w:rsid w:val="009254D9"/>
    <w:rsid w:val="009259AB"/>
    <w:rsid w:val="00925CA6"/>
    <w:rsid w:val="00925F85"/>
    <w:rsid w:val="00926183"/>
    <w:rsid w:val="00926A26"/>
    <w:rsid w:val="00927293"/>
    <w:rsid w:val="0092759F"/>
    <w:rsid w:val="00927669"/>
    <w:rsid w:val="00927742"/>
    <w:rsid w:val="009279A5"/>
    <w:rsid w:val="00930504"/>
    <w:rsid w:val="009308C9"/>
    <w:rsid w:val="009308E2"/>
    <w:rsid w:val="009316AA"/>
    <w:rsid w:val="009323E8"/>
    <w:rsid w:val="0093247E"/>
    <w:rsid w:val="00932537"/>
    <w:rsid w:val="00932BFC"/>
    <w:rsid w:val="00933DE4"/>
    <w:rsid w:val="00933EF9"/>
    <w:rsid w:val="00934682"/>
    <w:rsid w:val="009346D5"/>
    <w:rsid w:val="00934F41"/>
    <w:rsid w:val="00935592"/>
    <w:rsid w:val="00935728"/>
    <w:rsid w:val="00935B99"/>
    <w:rsid w:val="00935F1F"/>
    <w:rsid w:val="009360E6"/>
    <w:rsid w:val="0093623A"/>
    <w:rsid w:val="009362C1"/>
    <w:rsid w:val="00936987"/>
    <w:rsid w:val="00936A04"/>
    <w:rsid w:val="00937A44"/>
    <w:rsid w:val="00937FE9"/>
    <w:rsid w:val="00940039"/>
    <w:rsid w:val="009403C1"/>
    <w:rsid w:val="00941BC1"/>
    <w:rsid w:val="00941F11"/>
    <w:rsid w:val="009421CE"/>
    <w:rsid w:val="009421F9"/>
    <w:rsid w:val="009425B2"/>
    <w:rsid w:val="00942A33"/>
    <w:rsid w:val="00943022"/>
    <w:rsid w:val="009433DA"/>
    <w:rsid w:val="00943457"/>
    <w:rsid w:val="009435F5"/>
    <w:rsid w:val="00943EB2"/>
    <w:rsid w:val="00944399"/>
    <w:rsid w:val="009445C3"/>
    <w:rsid w:val="009446B5"/>
    <w:rsid w:val="009448E5"/>
    <w:rsid w:val="00944D6F"/>
    <w:rsid w:val="00945283"/>
    <w:rsid w:val="0094568C"/>
    <w:rsid w:val="009457CF"/>
    <w:rsid w:val="00945D2E"/>
    <w:rsid w:val="00945E85"/>
    <w:rsid w:val="009461C8"/>
    <w:rsid w:val="00946B08"/>
    <w:rsid w:val="00946E2C"/>
    <w:rsid w:val="00946E7D"/>
    <w:rsid w:val="00947BBC"/>
    <w:rsid w:val="00947FDE"/>
    <w:rsid w:val="0095011F"/>
    <w:rsid w:val="009505ED"/>
    <w:rsid w:val="009506A1"/>
    <w:rsid w:val="0095074D"/>
    <w:rsid w:val="00950C55"/>
    <w:rsid w:val="00950FCA"/>
    <w:rsid w:val="009510E3"/>
    <w:rsid w:val="009513F7"/>
    <w:rsid w:val="00951BFA"/>
    <w:rsid w:val="00951F2F"/>
    <w:rsid w:val="00952157"/>
    <w:rsid w:val="00952871"/>
    <w:rsid w:val="00952D24"/>
    <w:rsid w:val="00952E2D"/>
    <w:rsid w:val="00953AA0"/>
    <w:rsid w:val="00953B83"/>
    <w:rsid w:val="009541D8"/>
    <w:rsid w:val="009543FE"/>
    <w:rsid w:val="00955F7E"/>
    <w:rsid w:val="00955FCE"/>
    <w:rsid w:val="00956014"/>
    <w:rsid w:val="00956045"/>
    <w:rsid w:val="0095645E"/>
    <w:rsid w:val="0095685A"/>
    <w:rsid w:val="00956B27"/>
    <w:rsid w:val="00956CC5"/>
    <w:rsid w:val="00957CD8"/>
    <w:rsid w:val="009603CC"/>
    <w:rsid w:val="00960575"/>
    <w:rsid w:val="009606EB"/>
    <w:rsid w:val="0096072E"/>
    <w:rsid w:val="00961294"/>
    <w:rsid w:val="0096138C"/>
    <w:rsid w:val="009613CF"/>
    <w:rsid w:val="00961FA5"/>
    <w:rsid w:val="0096268B"/>
    <w:rsid w:val="00962B9E"/>
    <w:rsid w:val="00962D28"/>
    <w:rsid w:val="0096338A"/>
    <w:rsid w:val="009634F6"/>
    <w:rsid w:val="00963917"/>
    <w:rsid w:val="00963A5A"/>
    <w:rsid w:val="00964A88"/>
    <w:rsid w:val="00964C7D"/>
    <w:rsid w:val="00964DD0"/>
    <w:rsid w:val="00965188"/>
    <w:rsid w:val="00965DBF"/>
    <w:rsid w:val="00966757"/>
    <w:rsid w:val="00966821"/>
    <w:rsid w:val="009668DD"/>
    <w:rsid w:val="00966987"/>
    <w:rsid w:val="00966B39"/>
    <w:rsid w:val="00970385"/>
    <w:rsid w:val="0097079D"/>
    <w:rsid w:val="009707AB"/>
    <w:rsid w:val="0097148F"/>
    <w:rsid w:val="00971526"/>
    <w:rsid w:val="009715F9"/>
    <w:rsid w:val="0097186D"/>
    <w:rsid w:val="00971BB1"/>
    <w:rsid w:val="00971BFE"/>
    <w:rsid w:val="009725D1"/>
    <w:rsid w:val="00972AB6"/>
    <w:rsid w:val="00972D72"/>
    <w:rsid w:val="00972E0F"/>
    <w:rsid w:val="00972F3D"/>
    <w:rsid w:val="0097335B"/>
    <w:rsid w:val="009736B0"/>
    <w:rsid w:val="0097377B"/>
    <w:rsid w:val="00973E20"/>
    <w:rsid w:val="00974021"/>
    <w:rsid w:val="0097408E"/>
    <w:rsid w:val="009747B0"/>
    <w:rsid w:val="00974E9A"/>
    <w:rsid w:val="00975515"/>
    <w:rsid w:val="00975646"/>
    <w:rsid w:val="0097564D"/>
    <w:rsid w:val="00975901"/>
    <w:rsid w:val="00975C8E"/>
    <w:rsid w:val="00975FB3"/>
    <w:rsid w:val="00975FBD"/>
    <w:rsid w:val="0097607B"/>
    <w:rsid w:val="00976B2E"/>
    <w:rsid w:val="009773A7"/>
    <w:rsid w:val="009774E2"/>
    <w:rsid w:val="00977E9C"/>
    <w:rsid w:val="009804F8"/>
    <w:rsid w:val="00980864"/>
    <w:rsid w:val="009809B1"/>
    <w:rsid w:val="00981209"/>
    <w:rsid w:val="0098126B"/>
    <w:rsid w:val="009819F2"/>
    <w:rsid w:val="009820ED"/>
    <w:rsid w:val="009822F7"/>
    <w:rsid w:val="00982347"/>
    <w:rsid w:val="00982A6C"/>
    <w:rsid w:val="009833B6"/>
    <w:rsid w:val="0098372B"/>
    <w:rsid w:val="009837DE"/>
    <w:rsid w:val="009840AF"/>
    <w:rsid w:val="00984DB3"/>
    <w:rsid w:val="00985557"/>
    <w:rsid w:val="00985726"/>
    <w:rsid w:val="0098586B"/>
    <w:rsid w:val="0098591E"/>
    <w:rsid w:val="00986082"/>
    <w:rsid w:val="00986E81"/>
    <w:rsid w:val="00986F32"/>
    <w:rsid w:val="00987304"/>
    <w:rsid w:val="00987ACB"/>
    <w:rsid w:val="00987B5E"/>
    <w:rsid w:val="00987BA2"/>
    <w:rsid w:val="00987FD5"/>
    <w:rsid w:val="00990028"/>
    <w:rsid w:val="0099026C"/>
    <w:rsid w:val="009905D6"/>
    <w:rsid w:val="0099078F"/>
    <w:rsid w:val="00990D8F"/>
    <w:rsid w:val="009916F7"/>
    <w:rsid w:val="00991BA3"/>
    <w:rsid w:val="00991EC4"/>
    <w:rsid w:val="00991F2A"/>
    <w:rsid w:val="009925B9"/>
    <w:rsid w:val="00992D38"/>
    <w:rsid w:val="00993355"/>
    <w:rsid w:val="0099346B"/>
    <w:rsid w:val="00993B26"/>
    <w:rsid w:val="00993B5D"/>
    <w:rsid w:val="00993DD7"/>
    <w:rsid w:val="009951C1"/>
    <w:rsid w:val="0099542F"/>
    <w:rsid w:val="0099571C"/>
    <w:rsid w:val="00995B11"/>
    <w:rsid w:val="00995D15"/>
    <w:rsid w:val="0099611B"/>
    <w:rsid w:val="00996679"/>
    <w:rsid w:val="00996A04"/>
    <w:rsid w:val="00997456"/>
    <w:rsid w:val="00997574"/>
    <w:rsid w:val="00997614"/>
    <w:rsid w:val="00997C14"/>
    <w:rsid w:val="00997E0C"/>
    <w:rsid w:val="00997FE4"/>
    <w:rsid w:val="009A01C9"/>
    <w:rsid w:val="009A037A"/>
    <w:rsid w:val="009A0442"/>
    <w:rsid w:val="009A242F"/>
    <w:rsid w:val="009A24A8"/>
    <w:rsid w:val="009A274C"/>
    <w:rsid w:val="009A27D2"/>
    <w:rsid w:val="009A29C8"/>
    <w:rsid w:val="009A32F4"/>
    <w:rsid w:val="009A39BE"/>
    <w:rsid w:val="009A3C98"/>
    <w:rsid w:val="009A41A3"/>
    <w:rsid w:val="009A42B6"/>
    <w:rsid w:val="009A4A95"/>
    <w:rsid w:val="009A4B82"/>
    <w:rsid w:val="009A50D3"/>
    <w:rsid w:val="009A50E0"/>
    <w:rsid w:val="009A531C"/>
    <w:rsid w:val="009A538C"/>
    <w:rsid w:val="009A53FB"/>
    <w:rsid w:val="009A62FD"/>
    <w:rsid w:val="009A6F4F"/>
    <w:rsid w:val="009A7D85"/>
    <w:rsid w:val="009B00EF"/>
    <w:rsid w:val="009B09AA"/>
    <w:rsid w:val="009B0C1D"/>
    <w:rsid w:val="009B1106"/>
    <w:rsid w:val="009B1246"/>
    <w:rsid w:val="009B12B8"/>
    <w:rsid w:val="009B1417"/>
    <w:rsid w:val="009B1578"/>
    <w:rsid w:val="009B1BE7"/>
    <w:rsid w:val="009B23D4"/>
    <w:rsid w:val="009B246B"/>
    <w:rsid w:val="009B2741"/>
    <w:rsid w:val="009B2BEC"/>
    <w:rsid w:val="009B389D"/>
    <w:rsid w:val="009B3B4E"/>
    <w:rsid w:val="009B3D4F"/>
    <w:rsid w:val="009B4D5B"/>
    <w:rsid w:val="009B4D66"/>
    <w:rsid w:val="009B4EC1"/>
    <w:rsid w:val="009B50EB"/>
    <w:rsid w:val="009B50F5"/>
    <w:rsid w:val="009B56C9"/>
    <w:rsid w:val="009B5B38"/>
    <w:rsid w:val="009B5CA7"/>
    <w:rsid w:val="009B6E13"/>
    <w:rsid w:val="009B74A3"/>
    <w:rsid w:val="009B796C"/>
    <w:rsid w:val="009B79E0"/>
    <w:rsid w:val="009B7E87"/>
    <w:rsid w:val="009C0A08"/>
    <w:rsid w:val="009C0AEE"/>
    <w:rsid w:val="009C0D82"/>
    <w:rsid w:val="009C19FB"/>
    <w:rsid w:val="009C2A20"/>
    <w:rsid w:val="009C4432"/>
    <w:rsid w:val="009C5356"/>
    <w:rsid w:val="009C55E0"/>
    <w:rsid w:val="009C61C0"/>
    <w:rsid w:val="009C65BC"/>
    <w:rsid w:val="009C675D"/>
    <w:rsid w:val="009C6DDD"/>
    <w:rsid w:val="009C6EF8"/>
    <w:rsid w:val="009C7059"/>
    <w:rsid w:val="009C71FA"/>
    <w:rsid w:val="009C74E6"/>
    <w:rsid w:val="009C7DFB"/>
    <w:rsid w:val="009D00A7"/>
    <w:rsid w:val="009D01C1"/>
    <w:rsid w:val="009D03B5"/>
    <w:rsid w:val="009D0A2C"/>
    <w:rsid w:val="009D17BA"/>
    <w:rsid w:val="009D1862"/>
    <w:rsid w:val="009D22F3"/>
    <w:rsid w:val="009D26DD"/>
    <w:rsid w:val="009D2A36"/>
    <w:rsid w:val="009D2C79"/>
    <w:rsid w:val="009D33BE"/>
    <w:rsid w:val="009D340E"/>
    <w:rsid w:val="009D37A8"/>
    <w:rsid w:val="009D449C"/>
    <w:rsid w:val="009D455D"/>
    <w:rsid w:val="009D4B23"/>
    <w:rsid w:val="009D4DC7"/>
    <w:rsid w:val="009D4DCC"/>
    <w:rsid w:val="009D4F0F"/>
    <w:rsid w:val="009D514C"/>
    <w:rsid w:val="009D56E9"/>
    <w:rsid w:val="009D5732"/>
    <w:rsid w:val="009D5F0F"/>
    <w:rsid w:val="009D5FDA"/>
    <w:rsid w:val="009D63EA"/>
    <w:rsid w:val="009D6439"/>
    <w:rsid w:val="009D6AA5"/>
    <w:rsid w:val="009D6F85"/>
    <w:rsid w:val="009D7160"/>
    <w:rsid w:val="009D72EC"/>
    <w:rsid w:val="009D75F4"/>
    <w:rsid w:val="009D7630"/>
    <w:rsid w:val="009D786E"/>
    <w:rsid w:val="009D79F7"/>
    <w:rsid w:val="009E05BC"/>
    <w:rsid w:val="009E0709"/>
    <w:rsid w:val="009E08A0"/>
    <w:rsid w:val="009E0953"/>
    <w:rsid w:val="009E12D5"/>
    <w:rsid w:val="009E13FF"/>
    <w:rsid w:val="009E22E9"/>
    <w:rsid w:val="009E242C"/>
    <w:rsid w:val="009E253E"/>
    <w:rsid w:val="009E2B4A"/>
    <w:rsid w:val="009E49DA"/>
    <w:rsid w:val="009E4EC3"/>
    <w:rsid w:val="009E4F86"/>
    <w:rsid w:val="009E50DE"/>
    <w:rsid w:val="009E5D63"/>
    <w:rsid w:val="009E5EA2"/>
    <w:rsid w:val="009E6449"/>
    <w:rsid w:val="009E6533"/>
    <w:rsid w:val="009E6B57"/>
    <w:rsid w:val="009E6EF9"/>
    <w:rsid w:val="009E6F08"/>
    <w:rsid w:val="009E7D13"/>
    <w:rsid w:val="009F000D"/>
    <w:rsid w:val="009F0050"/>
    <w:rsid w:val="009F03D4"/>
    <w:rsid w:val="009F0481"/>
    <w:rsid w:val="009F09DF"/>
    <w:rsid w:val="009F0AC4"/>
    <w:rsid w:val="009F0BFC"/>
    <w:rsid w:val="009F0E1B"/>
    <w:rsid w:val="009F1B3D"/>
    <w:rsid w:val="009F1E48"/>
    <w:rsid w:val="009F1F1B"/>
    <w:rsid w:val="009F1F25"/>
    <w:rsid w:val="009F203F"/>
    <w:rsid w:val="009F227A"/>
    <w:rsid w:val="009F23F6"/>
    <w:rsid w:val="009F263A"/>
    <w:rsid w:val="009F269D"/>
    <w:rsid w:val="009F2855"/>
    <w:rsid w:val="009F2B9B"/>
    <w:rsid w:val="009F33E0"/>
    <w:rsid w:val="009F3911"/>
    <w:rsid w:val="009F3AA7"/>
    <w:rsid w:val="009F3B47"/>
    <w:rsid w:val="009F3C6C"/>
    <w:rsid w:val="009F3DA4"/>
    <w:rsid w:val="009F42A3"/>
    <w:rsid w:val="009F43BC"/>
    <w:rsid w:val="009F4401"/>
    <w:rsid w:val="009F4AB4"/>
    <w:rsid w:val="009F4F71"/>
    <w:rsid w:val="009F4FBB"/>
    <w:rsid w:val="009F4FE6"/>
    <w:rsid w:val="009F5374"/>
    <w:rsid w:val="009F5786"/>
    <w:rsid w:val="009F61D5"/>
    <w:rsid w:val="009F6227"/>
    <w:rsid w:val="009F622E"/>
    <w:rsid w:val="009F6B28"/>
    <w:rsid w:val="009F6D51"/>
    <w:rsid w:val="009F6E21"/>
    <w:rsid w:val="009F74EE"/>
    <w:rsid w:val="009F770B"/>
    <w:rsid w:val="009F7749"/>
    <w:rsid w:val="009F7948"/>
    <w:rsid w:val="00A002A0"/>
    <w:rsid w:val="00A00B1D"/>
    <w:rsid w:val="00A00C97"/>
    <w:rsid w:val="00A01A94"/>
    <w:rsid w:val="00A01C7F"/>
    <w:rsid w:val="00A01D9D"/>
    <w:rsid w:val="00A02195"/>
    <w:rsid w:val="00A02985"/>
    <w:rsid w:val="00A029F3"/>
    <w:rsid w:val="00A0360F"/>
    <w:rsid w:val="00A03790"/>
    <w:rsid w:val="00A038E0"/>
    <w:rsid w:val="00A039F4"/>
    <w:rsid w:val="00A03AF6"/>
    <w:rsid w:val="00A03F9A"/>
    <w:rsid w:val="00A03F9D"/>
    <w:rsid w:val="00A0436F"/>
    <w:rsid w:val="00A044E8"/>
    <w:rsid w:val="00A04652"/>
    <w:rsid w:val="00A04CC9"/>
    <w:rsid w:val="00A04F5F"/>
    <w:rsid w:val="00A050DC"/>
    <w:rsid w:val="00A0525B"/>
    <w:rsid w:val="00A059A0"/>
    <w:rsid w:val="00A05B17"/>
    <w:rsid w:val="00A05E19"/>
    <w:rsid w:val="00A06204"/>
    <w:rsid w:val="00A063EC"/>
    <w:rsid w:val="00A06A40"/>
    <w:rsid w:val="00A0743A"/>
    <w:rsid w:val="00A07553"/>
    <w:rsid w:val="00A079EB"/>
    <w:rsid w:val="00A118C5"/>
    <w:rsid w:val="00A11FC9"/>
    <w:rsid w:val="00A1281A"/>
    <w:rsid w:val="00A1372F"/>
    <w:rsid w:val="00A13BFE"/>
    <w:rsid w:val="00A1526C"/>
    <w:rsid w:val="00A153D1"/>
    <w:rsid w:val="00A159E9"/>
    <w:rsid w:val="00A161D4"/>
    <w:rsid w:val="00A1624B"/>
    <w:rsid w:val="00A16838"/>
    <w:rsid w:val="00A16E40"/>
    <w:rsid w:val="00A177C1"/>
    <w:rsid w:val="00A2046A"/>
    <w:rsid w:val="00A20580"/>
    <w:rsid w:val="00A20777"/>
    <w:rsid w:val="00A2087B"/>
    <w:rsid w:val="00A20C14"/>
    <w:rsid w:val="00A20E11"/>
    <w:rsid w:val="00A20EA9"/>
    <w:rsid w:val="00A2102B"/>
    <w:rsid w:val="00A21278"/>
    <w:rsid w:val="00A21612"/>
    <w:rsid w:val="00A218B6"/>
    <w:rsid w:val="00A21A58"/>
    <w:rsid w:val="00A221EC"/>
    <w:rsid w:val="00A22B69"/>
    <w:rsid w:val="00A23266"/>
    <w:rsid w:val="00A2349C"/>
    <w:rsid w:val="00A23837"/>
    <w:rsid w:val="00A239AE"/>
    <w:rsid w:val="00A23A36"/>
    <w:rsid w:val="00A24ECC"/>
    <w:rsid w:val="00A264C2"/>
    <w:rsid w:val="00A2693F"/>
    <w:rsid w:val="00A27FD3"/>
    <w:rsid w:val="00A304C0"/>
    <w:rsid w:val="00A3077F"/>
    <w:rsid w:val="00A30904"/>
    <w:rsid w:val="00A30CE4"/>
    <w:rsid w:val="00A31266"/>
    <w:rsid w:val="00A3169C"/>
    <w:rsid w:val="00A32525"/>
    <w:rsid w:val="00A32E2C"/>
    <w:rsid w:val="00A32EDD"/>
    <w:rsid w:val="00A3322A"/>
    <w:rsid w:val="00A33501"/>
    <w:rsid w:val="00A337E7"/>
    <w:rsid w:val="00A343CF"/>
    <w:rsid w:val="00A34452"/>
    <w:rsid w:val="00A34FF7"/>
    <w:rsid w:val="00A3506A"/>
    <w:rsid w:val="00A35487"/>
    <w:rsid w:val="00A3559A"/>
    <w:rsid w:val="00A367E4"/>
    <w:rsid w:val="00A36CAA"/>
    <w:rsid w:val="00A3710D"/>
    <w:rsid w:val="00A37C5D"/>
    <w:rsid w:val="00A37E1D"/>
    <w:rsid w:val="00A40152"/>
    <w:rsid w:val="00A407B5"/>
    <w:rsid w:val="00A40C67"/>
    <w:rsid w:val="00A4105E"/>
    <w:rsid w:val="00A41A45"/>
    <w:rsid w:val="00A41AFA"/>
    <w:rsid w:val="00A41DC2"/>
    <w:rsid w:val="00A4211A"/>
    <w:rsid w:val="00A428AC"/>
    <w:rsid w:val="00A42CA3"/>
    <w:rsid w:val="00A42E71"/>
    <w:rsid w:val="00A431B5"/>
    <w:rsid w:val="00A431D0"/>
    <w:rsid w:val="00A43516"/>
    <w:rsid w:val="00A43A4D"/>
    <w:rsid w:val="00A4468B"/>
    <w:rsid w:val="00A44B35"/>
    <w:rsid w:val="00A44C96"/>
    <w:rsid w:val="00A451AA"/>
    <w:rsid w:val="00A45277"/>
    <w:rsid w:val="00A455A1"/>
    <w:rsid w:val="00A45903"/>
    <w:rsid w:val="00A4615D"/>
    <w:rsid w:val="00A462CE"/>
    <w:rsid w:val="00A46592"/>
    <w:rsid w:val="00A46810"/>
    <w:rsid w:val="00A4681C"/>
    <w:rsid w:val="00A468F9"/>
    <w:rsid w:val="00A46DA1"/>
    <w:rsid w:val="00A4709F"/>
    <w:rsid w:val="00A471E5"/>
    <w:rsid w:val="00A476E2"/>
    <w:rsid w:val="00A47FFD"/>
    <w:rsid w:val="00A50128"/>
    <w:rsid w:val="00A5133A"/>
    <w:rsid w:val="00A5182E"/>
    <w:rsid w:val="00A51D14"/>
    <w:rsid w:val="00A52204"/>
    <w:rsid w:val="00A52308"/>
    <w:rsid w:val="00A52F63"/>
    <w:rsid w:val="00A53C00"/>
    <w:rsid w:val="00A53FB7"/>
    <w:rsid w:val="00A5433C"/>
    <w:rsid w:val="00A54968"/>
    <w:rsid w:val="00A54A27"/>
    <w:rsid w:val="00A54DDD"/>
    <w:rsid w:val="00A54EFF"/>
    <w:rsid w:val="00A5532B"/>
    <w:rsid w:val="00A5569C"/>
    <w:rsid w:val="00A56305"/>
    <w:rsid w:val="00A564F8"/>
    <w:rsid w:val="00A568EE"/>
    <w:rsid w:val="00A56A09"/>
    <w:rsid w:val="00A57A21"/>
    <w:rsid w:val="00A57B5B"/>
    <w:rsid w:val="00A57C2F"/>
    <w:rsid w:val="00A600B8"/>
    <w:rsid w:val="00A60201"/>
    <w:rsid w:val="00A6041F"/>
    <w:rsid w:val="00A60554"/>
    <w:rsid w:val="00A60C06"/>
    <w:rsid w:val="00A60D8B"/>
    <w:rsid w:val="00A615FD"/>
    <w:rsid w:val="00A61C9D"/>
    <w:rsid w:val="00A621BF"/>
    <w:rsid w:val="00A628EF"/>
    <w:rsid w:val="00A62C04"/>
    <w:rsid w:val="00A62F47"/>
    <w:rsid w:val="00A63746"/>
    <w:rsid w:val="00A63747"/>
    <w:rsid w:val="00A63784"/>
    <w:rsid w:val="00A64355"/>
    <w:rsid w:val="00A64A88"/>
    <w:rsid w:val="00A6579B"/>
    <w:rsid w:val="00A6579F"/>
    <w:rsid w:val="00A661E7"/>
    <w:rsid w:val="00A6659E"/>
    <w:rsid w:val="00A667DD"/>
    <w:rsid w:val="00A66E17"/>
    <w:rsid w:val="00A66ED2"/>
    <w:rsid w:val="00A67945"/>
    <w:rsid w:val="00A67EC6"/>
    <w:rsid w:val="00A6C4D0"/>
    <w:rsid w:val="00A7016B"/>
    <w:rsid w:val="00A70254"/>
    <w:rsid w:val="00A7028F"/>
    <w:rsid w:val="00A708E8"/>
    <w:rsid w:val="00A70B5D"/>
    <w:rsid w:val="00A714E7"/>
    <w:rsid w:val="00A71A6E"/>
    <w:rsid w:val="00A71D86"/>
    <w:rsid w:val="00A71FEA"/>
    <w:rsid w:val="00A72A47"/>
    <w:rsid w:val="00A72B8D"/>
    <w:rsid w:val="00A72BCC"/>
    <w:rsid w:val="00A731DC"/>
    <w:rsid w:val="00A73D7C"/>
    <w:rsid w:val="00A7413C"/>
    <w:rsid w:val="00A74150"/>
    <w:rsid w:val="00A74207"/>
    <w:rsid w:val="00A7472F"/>
    <w:rsid w:val="00A74D37"/>
    <w:rsid w:val="00A75666"/>
    <w:rsid w:val="00A75BB8"/>
    <w:rsid w:val="00A75C02"/>
    <w:rsid w:val="00A766EF"/>
    <w:rsid w:val="00A766F5"/>
    <w:rsid w:val="00A768DF"/>
    <w:rsid w:val="00A76BE4"/>
    <w:rsid w:val="00A76CCF"/>
    <w:rsid w:val="00A774A2"/>
    <w:rsid w:val="00A77622"/>
    <w:rsid w:val="00A77CC9"/>
    <w:rsid w:val="00A8048C"/>
    <w:rsid w:val="00A804A4"/>
    <w:rsid w:val="00A807CA"/>
    <w:rsid w:val="00A80F22"/>
    <w:rsid w:val="00A813A1"/>
    <w:rsid w:val="00A816F7"/>
    <w:rsid w:val="00A81ACC"/>
    <w:rsid w:val="00A81FA6"/>
    <w:rsid w:val="00A82828"/>
    <w:rsid w:val="00A82BDC"/>
    <w:rsid w:val="00A82CB4"/>
    <w:rsid w:val="00A83254"/>
    <w:rsid w:val="00A83608"/>
    <w:rsid w:val="00A83979"/>
    <w:rsid w:val="00A83B94"/>
    <w:rsid w:val="00A843EC"/>
    <w:rsid w:val="00A8453B"/>
    <w:rsid w:val="00A84546"/>
    <w:rsid w:val="00A84930"/>
    <w:rsid w:val="00A850AF"/>
    <w:rsid w:val="00A851D4"/>
    <w:rsid w:val="00A8520B"/>
    <w:rsid w:val="00A853BF"/>
    <w:rsid w:val="00A85B6D"/>
    <w:rsid w:val="00A8686A"/>
    <w:rsid w:val="00A874AD"/>
    <w:rsid w:val="00A87ACA"/>
    <w:rsid w:val="00A90187"/>
    <w:rsid w:val="00A91252"/>
    <w:rsid w:val="00A914AA"/>
    <w:rsid w:val="00A9216E"/>
    <w:rsid w:val="00A92D77"/>
    <w:rsid w:val="00A92F12"/>
    <w:rsid w:val="00A9315C"/>
    <w:rsid w:val="00A93D21"/>
    <w:rsid w:val="00A94001"/>
    <w:rsid w:val="00A9409F"/>
    <w:rsid w:val="00A940F2"/>
    <w:rsid w:val="00A947F7"/>
    <w:rsid w:val="00A94B2E"/>
    <w:rsid w:val="00A94B45"/>
    <w:rsid w:val="00A94C11"/>
    <w:rsid w:val="00A94E6E"/>
    <w:rsid w:val="00A94E84"/>
    <w:rsid w:val="00A95001"/>
    <w:rsid w:val="00A95676"/>
    <w:rsid w:val="00A95ED3"/>
    <w:rsid w:val="00A95F8D"/>
    <w:rsid w:val="00A9633C"/>
    <w:rsid w:val="00A96757"/>
    <w:rsid w:val="00A96B2A"/>
    <w:rsid w:val="00A96D77"/>
    <w:rsid w:val="00A979DC"/>
    <w:rsid w:val="00A97F75"/>
    <w:rsid w:val="00AA08CF"/>
    <w:rsid w:val="00AA0906"/>
    <w:rsid w:val="00AA0F9E"/>
    <w:rsid w:val="00AA1A49"/>
    <w:rsid w:val="00AA1AE8"/>
    <w:rsid w:val="00AA1D2D"/>
    <w:rsid w:val="00AA1E7C"/>
    <w:rsid w:val="00AA1FF9"/>
    <w:rsid w:val="00AA21B7"/>
    <w:rsid w:val="00AA2473"/>
    <w:rsid w:val="00AA24CE"/>
    <w:rsid w:val="00AA2668"/>
    <w:rsid w:val="00AA2783"/>
    <w:rsid w:val="00AA29F9"/>
    <w:rsid w:val="00AA2DBA"/>
    <w:rsid w:val="00AA2E13"/>
    <w:rsid w:val="00AA3F47"/>
    <w:rsid w:val="00AA4038"/>
    <w:rsid w:val="00AA4214"/>
    <w:rsid w:val="00AA44F4"/>
    <w:rsid w:val="00AA52F3"/>
    <w:rsid w:val="00AA5637"/>
    <w:rsid w:val="00AA58CA"/>
    <w:rsid w:val="00AA5A54"/>
    <w:rsid w:val="00AA5A68"/>
    <w:rsid w:val="00AA5C42"/>
    <w:rsid w:val="00AA6116"/>
    <w:rsid w:val="00AA6FB2"/>
    <w:rsid w:val="00AA7369"/>
    <w:rsid w:val="00AA7460"/>
    <w:rsid w:val="00AA7A07"/>
    <w:rsid w:val="00AB0029"/>
    <w:rsid w:val="00AB00E4"/>
    <w:rsid w:val="00AB06FD"/>
    <w:rsid w:val="00AB08A9"/>
    <w:rsid w:val="00AB08B4"/>
    <w:rsid w:val="00AB08F1"/>
    <w:rsid w:val="00AB0E26"/>
    <w:rsid w:val="00AB0E3D"/>
    <w:rsid w:val="00AB1130"/>
    <w:rsid w:val="00AB193E"/>
    <w:rsid w:val="00AB1CAF"/>
    <w:rsid w:val="00AB1F07"/>
    <w:rsid w:val="00AB1FC1"/>
    <w:rsid w:val="00AB226D"/>
    <w:rsid w:val="00AB2856"/>
    <w:rsid w:val="00AB28EB"/>
    <w:rsid w:val="00AB2C85"/>
    <w:rsid w:val="00AB3512"/>
    <w:rsid w:val="00AB359A"/>
    <w:rsid w:val="00AB42B5"/>
    <w:rsid w:val="00AB44E4"/>
    <w:rsid w:val="00AB4576"/>
    <w:rsid w:val="00AB4634"/>
    <w:rsid w:val="00AB4794"/>
    <w:rsid w:val="00AB4CBA"/>
    <w:rsid w:val="00AB541B"/>
    <w:rsid w:val="00AB59A6"/>
    <w:rsid w:val="00AB66DA"/>
    <w:rsid w:val="00AB6929"/>
    <w:rsid w:val="00AB6C30"/>
    <w:rsid w:val="00AB6EA5"/>
    <w:rsid w:val="00AB7B5C"/>
    <w:rsid w:val="00AB7BBD"/>
    <w:rsid w:val="00AC0206"/>
    <w:rsid w:val="00AC03FE"/>
    <w:rsid w:val="00AC08B5"/>
    <w:rsid w:val="00AC0B32"/>
    <w:rsid w:val="00AC0B57"/>
    <w:rsid w:val="00AC12F2"/>
    <w:rsid w:val="00AC1532"/>
    <w:rsid w:val="00AC230D"/>
    <w:rsid w:val="00AC2397"/>
    <w:rsid w:val="00AC246A"/>
    <w:rsid w:val="00AC2521"/>
    <w:rsid w:val="00AC2AB4"/>
    <w:rsid w:val="00AC2B1A"/>
    <w:rsid w:val="00AC3EA5"/>
    <w:rsid w:val="00AC3FDC"/>
    <w:rsid w:val="00AC42EB"/>
    <w:rsid w:val="00AC445C"/>
    <w:rsid w:val="00AC4E50"/>
    <w:rsid w:val="00AC4ED6"/>
    <w:rsid w:val="00AC530D"/>
    <w:rsid w:val="00AC5638"/>
    <w:rsid w:val="00AC5759"/>
    <w:rsid w:val="00AC607B"/>
    <w:rsid w:val="00AC6374"/>
    <w:rsid w:val="00AC660A"/>
    <w:rsid w:val="00AC6A98"/>
    <w:rsid w:val="00AC6D8C"/>
    <w:rsid w:val="00AC6DB9"/>
    <w:rsid w:val="00AC7201"/>
    <w:rsid w:val="00AC775A"/>
    <w:rsid w:val="00AC79DC"/>
    <w:rsid w:val="00AD0060"/>
    <w:rsid w:val="00AD0285"/>
    <w:rsid w:val="00AD0C83"/>
    <w:rsid w:val="00AD0D8B"/>
    <w:rsid w:val="00AD0E2E"/>
    <w:rsid w:val="00AD0E3D"/>
    <w:rsid w:val="00AD1ADA"/>
    <w:rsid w:val="00AD1AF7"/>
    <w:rsid w:val="00AD1DDD"/>
    <w:rsid w:val="00AD26E9"/>
    <w:rsid w:val="00AD2A5E"/>
    <w:rsid w:val="00AD308C"/>
    <w:rsid w:val="00AD325E"/>
    <w:rsid w:val="00AD3C95"/>
    <w:rsid w:val="00AD4682"/>
    <w:rsid w:val="00AD4C3B"/>
    <w:rsid w:val="00AD4E2B"/>
    <w:rsid w:val="00AD4ED5"/>
    <w:rsid w:val="00AD5212"/>
    <w:rsid w:val="00AD5CA6"/>
    <w:rsid w:val="00AD667B"/>
    <w:rsid w:val="00AD6F27"/>
    <w:rsid w:val="00AD751E"/>
    <w:rsid w:val="00AD75F8"/>
    <w:rsid w:val="00AD7A51"/>
    <w:rsid w:val="00AD7E05"/>
    <w:rsid w:val="00AD7E1E"/>
    <w:rsid w:val="00AE03A1"/>
    <w:rsid w:val="00AE03CD"/>
    <w:rsid w:val="00AE1145"/>
    <w:rsid w:val="00AE1151"/>
    <w:rsid w:val="00AE12B0"/>
    <w:rsid w:val="00AE183D"/>
    <w:rsid w:val="00AE2AA3"/>
    <w:rsid w:val="00AE37B1"/>
    <w:rsid w:val="00AE3A72"/>
    <w:rsid w:val="00AE3FBF"/>
    <w:rsid w:val="00AE4BF9"/>
    <w:rsid w:val="00AE4F34"/>
    <w:rsid w:val="00AE501C"/>
    <w:rsid w:val="00AE50D4"/>
    <w:rsid w:val="00AE664C"/>
    <w:rsid w:val="00AE6664"/>
    <w:rsid w:val="00AE6B79"/>
    <w:rsid w:val="00AE6D5A"/>
    <w:rsid w:val="00AE6E32"/>
    <w:rsid w:val="00AE6F85"/>
    <w:rsid w:val="00AE6FB5"/>
    <w:rsid w:val="00AE6FEE"/>
    <w:rsid w:val="00AF0364"/>
    <w:rsid w:val="00AF08DA"/>
    <w:rsid w:val="00AF0CD4"/>
    <w:rsid w:val="00AF185A"/>
    <w:rsid w:val="00AF1B2E"/>
    <w:rsid w:val="00AF1DF6"/>
    <w:rsid w:val="00AF28AD"/>
    <w:rsid w:val="00AF2C6A"/>
    <w:rsid w:val="00AF322C"/>
    <w:rsid w:val="00AF3FEF"/>
    <w:rsid w:val="00AF40AD"/>
    <w:rsid w:val="00AF4646"/>
    <w:rsid w:val="00AF4982"/>
    <w:rsid w:val="00AF4A54"/>
    <w:rsid w:val="00AF51EE"/>
    <w:rsid w:val="00AF5397"/>
    <w:rsid w:val="00AF5479"/>
    <w:rsid w:val="00AF5A79"/>
    <w:rsid w:val="00AF5AD6"/>
    <w:rsid w:val="00AF5E2D"/>
    <w:rsid w:val="00AF5F39"/>
    <w:rsid w:val="00AF6579"/>
    <w:rsid w:val="00AF659E"/>
    <w:rsid w:val="00AF6789"/>
    <w:rsid w:val="00AF69C4"/>
    <w:rsid w:val="00AF6CC0"/>
    <w:rsid w:val="00AF7348"/>
    <w:rsid w:val="00AF799D"/>
    <w:rsid w:val="00AF7C8F"/>
    <w:rsid w:val="00B001B6"/>
    <w:rsid w:val="00B00D27"/>
    <w:rsid w:val="00B00D42"/>
    <w:rsid w:val="00B01539"/>
    <w:rsid w:val="00B01595"/>
    <w:rsid w:val="00B018F8"/>
    <w:rsid w:val="00B0231D"/>
    <w:rsid w:val="00B02A24"/>
    <w:rsid w:val="00B02E5C"/>
    <w:rsid w:val="00B02FE7"/>
    <w:rsid w:val="00B03025"/>
    <w:rsid w:val="00B03129"/>
    <w:rsid w:val="00B04739"/>
    <w:rsid w:val="00B0477E"/>
    <w:rsid w:val="00B0495D"/>
    <w:rsid w:val="00B053CB"/>
    <w:rsid w:val="00B054DD"/>
    <w:rsid w:val="00B05CA9"/>
    <w:rsid w:val="00B06147"/>
    <w:rsid w:val="00B061C7"/>
    <w:rsid w:val="00B062DE"/>
    <w:rsid w:val="00B064E5"/>
    <w:rsid w:val="00B066E6"/>
    <w:rsid w:val="00B06A67"/>
    <w:rsid w:val="00B06A97"/>
    <w:rsid w:val="00B076A1"/>
    <w:rsid w:val="00B105C6"/>
    <w:rsid w:val="00B10874"/>
    <w:rsid w:val="00B108C0"/>
    <w:rsid w:val="00B109C0"/>
    <w:rsid w:val="00B10F8D"/>
    <w:rsid w:val="00B10FC2"/>
    <w:rsid w:val="00B118E9"/>
    <w:rsid w:val="00B11BEC"/>
    <w:rsid w:val="00B1219B"/>
    <w:rsid w:val="00B1225E"/>
    <w:rsid w:val="00B1260C"/>
    <w:rsid w:val="00B1277A"/>
    <w:rsid w:val="00B128BD"/>
    <w:rsid w:val="00B129A8"/>
    <w:rsid w:val="00B12AA6"/>
    <w:rsid w:val="00B134C9"/>
    <w:rsid w:val="00B13A65"/>
    <w:rsid w:val="00B13E46"/>
    <w:rsid w:val="00B1457A"/>
    <w:rsid w:val="00B14D29"/>
    <w:rsid w:val="00B15177"/>
    <w:rsid w:val="00B15476"/>
    <w:rsid w:val="00B15637"/>
    <w:rsid w:val="00B157E3"/>
    <w:rsid w:val="00B159EA"/>
    <w:rsid w:val="00B15EC2"/>
    <w:rsid w:val="00B162B3"/>
    <w:rsid w:val="00B169AF"/>
    <w:rsid w:val="00B16CA2"/>
    <w:rsid w:val="00B170C9"/>
    <w:rsid w:val="00B17355"/>
    <w:rsid w:val="00B17393"/>
    <w:rsid w:val="00B174E3"/>
    <w:rsid w:val="00B17EE8"/>
    <w:rsid w:val="00B201DD"/>
    <w:rsid w:val="00B2052F"/>
    <w:rsid w:val="00B20AB3"/>
    <w:rsid w:val="00B2146F"/>
    <w:rsid w:val="00B21B5D"/>
    <w:rsid w:val="00B21E5B"/>
    <w:rsid w:val="00B22159"/>
    <w:rsid w:val="00B228F7"/>
    <w:rsid w:val="00B22AB0"/>
    <w:rsid w:val="00B23108"/>
    <w:rsid w:val="00B234C3"/>
    <w:rsid w:val="00B2357C"/>
    <w:rsid w:val="00B235C8"/>
    <w:rsid w:val="00B23723"/>
    <w:rsid w:val="00B2472B"/>
    <w:rsid w:val="00B2505D"/>
    <w:rsid w:val="00B25889"/>
    <w:rsid w:val="00B25890"/>
    <w:rsid w:val="00B25EAF"/>
    <w:rsid w:val="00B261D6"/>
    <w:rsid w:val="00B26566"/>
    <w:rsid w:val="00B265B6"/>
    <w:rsid w:val="00B269F8"/>
    <w:rsid w:val="00B26EE9"/>
    <w:rsid w:val="00B3037B"/>
    <w:rsid w:val="00B304EA"/>
    <w:rsid w:val="00B30608"/>
    <w:rsid w:val="00B307C0"/>
    <w:rsid w:val="00B308ED"/>
    <w:rsid w:val="00B316B9"/>
    <w:rsid w:val="00B31B17"/>
    <w:rsid w:val="00B323CD"/>
    <w:rsid w:val="00B3242B"/>
    <w:rsid w:val="00B325D2"/>
    <w:rsid w:val="00B32F2F"/>
    <w:rsid w:val="00B33147"/>
    <w:rsid w:val="00B333FB"/>
    <w:rsid w:val="00B338DC"/>
    <w:rsid w:val="00B346CD"/>
    <w:rsid w:val="00B349ED"/>
    <w:rsid w:val="00B3564F"/>
    <w:rsid w:val="00B357DF"/>
    <w:rsid w:val="00B35E13"/>
    <w:rsid w:val="00B36248"/>
    <w:rsid w:val="00B36642"/>
    <w:rsid w:val="00B371E4"/>
    <w:rsid w:val="00B372DE"/>
    <w:rsid w:val="00B373A6"/>
    <w:rsid w:val="00B40040"/>
    <w:rsid w:val="00B401A9"/>
    <w:rsid w:val="00B4022E"/>
    <w:rsid w:val="00B406C2"/>
    <w:rsid w:val="00B406CF"/>
    <w:rsid w:val="00B40FBE"/>
    <w:rsid w:val="00B41235"/>
    <w:rsid w:val="00B41BA2"/>
    <w:rsid w:val="00B42295"/>
    <w:rsid w:val="00B4270B"/>
    <w:rsid w:val="00B42FEA"/>
    <w:rsid w:val="00B4323E"/>
    <w:rsid w:val="00B43344"/>
    <w:rsid w:val="00B43C3D"/>
    <w:rsid w:val="00B44D25"/>
    <w:rsid w:val="00B44FBC"/>
    <w:rsid w:val="00B4500C"/>
    <w:rsid w:val="00B45743"/>
    <w:rsid w:val="00B45BE5"/>
    <w:rsid w:val="00B45E24"/>
    <w:rsid w:val="00B46068"/>
    <w:rsid w:val="00B463BC"/>
    <w:rsid w:val="00B464F8"/>
    <w:rsid w:val="00B46665"/>
    <w:rsid w:val="00B4678D"/>
    <w:rsid w:val="00B46EFA"/>
    <w:rsid w:val="00B46F81"/>
    <w:rsid w:val="00B46F8A"/>
    <w:rsid w:val="00B475CF"/>
    <w:rsid w:val="00B47822"/>
    <w:rsid w:val="00B4792D"/>
    <w:rsid w:val="00B47F03"/>
    <w:rsid w:val="00B5025B"/>
    <w:rsid w:val="00B50843"/>
    <w:rsid w:val="00B50AC3"/>
    <w:rsid w:val="00B50F05"/>
    <w:rsid w:val="00B51455"/>
    <w:rsid w:val="00B5239B"/>
    <w:rsid w:val="00B529F7"/>
    <w:rsid w:val="00B52DE7"/>
    <w:rsid w:val="00B52E3E"/>
    <w:rsid w:val="00B53268"/>
    <w:rsid w:val="00B534EB"/>
    <w:rsid w:val="00B53604"/>
    <w:rsid w:val="00B53942"/>
    <w:rsid w:val="00B53E02"/>
    <w:rsid w:val="00B53F2E"/>
    <w:rsid w:val="00B540FF"/>
    <w:rsid w:val="00B54741"/>
    <w:rsid w:val="00B54807"/>
    <w:rsid w:val="00B54BAC"/>
    <w:rsid w:val="00B54E63"/>
    <w:rsid w:val="00B56174"/>
    <w:rsid w:val="00B56A3A"/>
    <w:rsid w:val="00B56FDE"/>
    <w:rsid w:val="00B5771C"/>
    <w:rsid w:val="00B57A5C"/>
    <w:rsid w:val="00B60687"/>
    <w:rsid w:val="00B60EAD"/>
    <w:rsid w:val="00B61034"/>
    <w:rsid w:val="00B61155"/>
    <w:rsid w:val="00B615F0"/>
    <w:rsid w:val="00B62012"/>
    <w:rsid w:val="00B6267F"/>
    <w:rsid w:val="00B6281D"/>
    <w:rsid w:val="00B63014"/>
    <w:rsid w:val="00B632ED"/>
    <w:rsid w:val="00B63C14"/>
    <w:rsid w:val="00B6404C"/>
    <w:rsid w:val="00B6453E"/>
    <w:rsid w:val="00B64E44"/>
    <w:rsid w:val="00B64FC6"/>
    <w:rsid w:val="00B651B9"/>
    <w:rsid w:val="00B653F6"/>
    <w:rsid w:val="00B6578A"/>
    <w:rsid w:val="00B6584A"/>
    <w:rsid w:val="00B6621A"/>
    <w:rsid w:val="00B66617"/>
    <w:rsid w:val="00B6681D"/>
    <w:rsid w:val="00B6699C"/>
    <w:rsid w:val="00B6704A"/>
    <w:rsid w:val="00B67264"/>
    <w:rsid w:val="00B678E7"/>
    <w:rsid w:val="00B67903"/>
    <w:rsid w:val="00B67B8C"/>
    <w:rsid w:val="00B67FD3"/>
    <w:rsid w:val="00B70035"/>
    <w:rsid w:val="00B7019E"/>
    <w:rsid w:val="00B70AF2"/>
    <w:rsid w:val="00B70EF8"/>
    <w:rsid w:val="00B71547"/>
    <w:rsid w:val="00B71955"/>
    <w:rsid w:val="00B71C80"/>
    <w:rsid w:val="00B71E02"/>
    <w:rsid w:val="00B71F41"/>
    <w:rsid w:val="00B71FA0"/>
    <w:rsid w:val="00B71FC6"/>
    <w:rsid w:val="00B723E1"/>
    <w:rsid w:val="00B72432"/>
    <w:rsid w:val="00B72679"/>
    <w:rsid w:val="00B728C5"/>
    <w:rsid w:val="00B72E96"/>
    <w:rsid w:val="00B73208"/>
    <w:rsid w:val="00B73241"/>
    <w:rsid w:val="00B733CB"/>
    <w:rsid w:val="00B735E5"/>
    <w:rsid w:val="00B73CB3"/>
    <w:rsid w:val="00B73E71"/>
    <w:rsid w:val="00B74023"/>
    <w:rsid w:val="00B74C34"/>
    <w:rsid w:val="00B74F2F"/>
    <w:rsid w:val="00B752A2"/>
    <w:rsid w:val="00B7531B"/>
    <w:rsid w:val="00B75404"/>
    <w:rsid w:val="00B75A4C"/>
    <w:rsid w:val="00B75F6A"/>
    <w:rsid w:val="00B7618C"/>
    <w:rsid w:val="00B76277"/>
    <w:rsid w:val="00B77692"/>
    <w:rsid w:val="00B77804"/>
    <w:rsid w:val="00B77B81"/>
    <w:rsid w:val="00B806E8"/>
    <w:rsid w:val="00B807A3"/>
    <w:rsid w:val="00B80801"/>
    <w:rsid w:val="00B80C4C"/>
    <w:rsid w:val="00B80D76"/>
    <w:rsid w:val="00B80F55"/>
    <w:rsid w:val="00B81093"/>
    <w:rsid w:val="00B8272F"/>
    <w:rsid w:val="00B82C36"/>
    <w:rsid w:val="00B82C4E"/>
    <w:rsid w:val="00B833DC"/>
    <w:rsid w:val="00B83516"/>
    <w:rsid w:val="00B83EB7"/>
    <w:rsid w:val="00B840D2"/>
    <w:rsid w:val="00B8472A"/>
    <w:rsid w:val="00B84B0E"/>
    <w:rsid w:val="00B8509E"/>
    <w:rsid w:val="00B852F4"/>
    <w:rsid w:val="00B8552C"/>
    <w:rsid w:val="00B86201"/>
    <w:rsid w:val="00B86373"/>
    <w:rsid w:val="00B86AE4"/>
    <w:rsid w:val="00B86E40"/>
    <w:rsid w:val="00B86F5A"/>
    <w:rsid w:val="00B8704C"/>
    <w:rsid w:val="00B87181"/>
    <w:rsid w:val="00B87DC0"/>
    <w:rsid w:val="00B901CE"/>
    <w:rsid w:val="00B90931"/>
    <w:rsid w:val="00B90F69"/>
    <w:rsid w:val="00B90F79"/>
    <w:rsid w:val="00B9132C"/>
    <w:rsid w:val="00B917EB"/>
    <w:rsid w:val="00B91E73"/>
    <w:rsid w:val="00B922F6"/>
    <w:rsid w:val="00B9241E"/>
    <w:rsid w:val="00B925B8"/>
    <w:rsid w:val="00B927B5"/>
    <w:rsid w:val="00B92F4E"/>
    <w:rsid w:val="00B932EB"/>
    <w:rsid w:val="00B93719"/>
    <w:rsid w:val="00B93A69"/>
    <w:rsid w:val="00B93ABA"/>
    <w:rsid w:val="00B93CB6"/>
    <w:rsid w:val="00B9428A"/>
    <w:rsid w:val="00B94A91"/>
    <w:rsid w:val="00B94C60"/>
    <w:rsid w:val="00B94DA9"/>
    <w:rsid w:val="00B950B6"/>
    <w:rsid w:val="00B952A6"/>
    <w:rsid w:val="00B95851"/>
    <w:rsid w:val="00B95BC9"/>
    <w:rsid w:val="00B96088"/>
    <w:rsid w:val="00B96171"/>
    <w:rsid w:val="00B96AF8"/>
    <w:rsid w:val="00B96F29"/>
    <w:rsid w:val="00B973DD"/>
    <w:rsid w:val="00B97885"/>
    <w:rsid w:val="00B97A0B"/>
    <w:rsid w:val="00B97FF0"/>
    <w:rsid w:val="00BA0021"/>
    <w:rsid w:val="00BA0169"/>
    <w:rsid w:val="00BA0D4D"/>
    <w:rsid w:val="00BA1AAA"/>
    <w:rsid w:val="00BA1D1D"/>
    <w:rsid w:val="00BA1DDA"/>
    <w:rsid w:val="00BA20EE"/>
    <w:rsid w:val="00BA238F"/>
    <w:rsid w:val="00BA2555"/>
    <w:rsid w:val="00BA2755"/>
    <w:rsid w:val="00BA2E78"/>
    <w:rsid w:val="00BA32BC"/>
    <w:rsid w:val="00BA3D2C"/>
    <w:rsid w:val="00BA4669"/>
    <w:rsid w:val="00BA4CF7"/>
    <w:rsid w:val="00BA4ED3"/>
    <w:rsid w:val="00BA51FD"/>
    <w:rsid w:val="00BA6461"/>
    <w:rsid w:val="00BA6B4E"/>
    <w:rsid w:val="00BA74FF"/>
    <w:rsid w:val="00BA7DE3"/>
    <w:rsid w:val="00BB0221"/>
    <w:rsid w:val="00BB0372"/>
    <w:rsid w:val="00BB05BE"/>
    <w:rsid w:val="00BB0687"/>
    <w:rsid w:val="00BB0966"/>
    <w:rsid w:val="00BB0A35"/>
    <w:rsid w:val="00BB0BA5"/>
    <w:rsid w:val="00BB0EAC"/>
    <w:rsid w:val="00BB0FC5"/>
    <w:rsid w:val="00BB24DC"/>
    <w:rsid w:val="00BB27B5"/>
    <w:rsid w:val="00BB2BEA"/>
    <w:rsid w:val="00BB2F5B"/>
    <w:rsid w:val="00BB3024"/>
    <w:rsid w:val="00BB37A2"/>
    <w:rsid w:val="00BB4837"/>
    <w:rsid w:val="00BB51E8"/>
    <w:rsid w:val="00BB54F4"/>
    <w:rsid w:val="00BB550C"/>
    <w:rsid w:val="00BB598A"/>
    <w:rsid w:val="00BB7130"/>
    <w:rsid w:val="00BB7ABD"/>
    <w:rsid w:val="00BC08DB"/>
    <w:rsid w:val="00BC0B66"/>
    <w:rsid w:val="00BC0C8F"/>
    <w:rsid w:val="00BC0D91"/>
    <w:rsid w:val="00BC0E39"/>
    <w:rsid w:val="00BC1619"/>
    <w:rsid w:val="00BC1725"/>
    <w:rsid w:val="00BC1929"/>
    <w:rsid w:val="00BC228D"/>
    <w:rsid w:val="00BC296A"/>
    <w:rsid w:val="00BC2BE5"/>
    <w:rsid w:val="00BC2EED"/>
    <w:rsid w:val="00BC3098"/>
    <w:rsid w:val="00BC3631"/>
    <w:rsid w:val="00BC3C4E"/>
    <w:rsid w:val="00BC3D81"/>
    <w:rsid w:val="00BC3ECE"/>
    <w:rsid w:val="00BC4161"/>
    <w:rsid w:val="00BC48A9"/>
    <w:rsid w:val="00BC4BF6"/>
    <w:rsid w:val="00BC4CFC"/>
    <w:rsid w:val="00BC53CE"/>
    <w:rsid w:val="00BC61A8"/>
    <w:rsid w:val="00BC691D"/>
    <w:rsid w:val="00BC6F5D"/>
    <w:rsid w:val="00BC7017"/>
    <w:rsid w:val="00BC741B"/>
    <w:rsid w:val="00BC7494"/>
    <w:rsid w:val="00BC74D8"/>
    <w:rsid w:val="00BC7583"/>
    <w:rsid w:val="00BC7634"/>
    <w:rsid w:val="00BC77D1"/>
    <w:rsid w:val="00BC7D29"/>
    <w:rsid w:val="00BC7E7E"/>
    <w:rsid w:val="00BC7F7B"/>
    <w:rsid w:val="00BD0020"/>
    <w:rsid w:val="00BD0419"/>
    <w:rsid w:val="00BD043B"/>
    <w:rsid w:val="00BD0504"/>
    <w:rsid w:val="00BD0AEF"/>
    <w:rsid w:val="00BD0CD2"/>
    <w:rsid w:val="00BD0E48"/>
    <w:rsid w:val="00BD16F5"/>
    <w:rsid w:val="00BD2377"/>
    <w:rsid w:val="00BD2BFF"/>
    <w:rsid w:val="00BD2F7D"/>
    <w:rsid w:val="00BD34C0"/>
    <w:rsid w:val="00BD3A5A"/>
    <w:rsid w:val="00BD3B9B"/>
    <w:rsid w:val="00BD3E91"/>
    <w:rsid w:val="00BD41E0"/>
    <w:rsid w:val="00BD4DEA"/>
    <w:rsid w:val="00BD4FCB"/>
    <w:rsid w:val="00BD5888"/>
    <w:rsid w:val="00BD5F96"/>
    <w:rsid w:val="00BD61B1"/>
    <w:rsid w:val="00BD6687"/>
    <w:rsid w:val="00BD6963"/>
    <w:rsid w:val="00BD6B64"/>
    <w:rsid w:val="00BD6FF5"/>
    <w:rsid w:val="00BD70B5"/>
    <w:rsid w:val="00BD73DA"/>
    <w:rsid w:val="00BE0749"/>
    <w:rsid w:val="00BE1314"/>
    <w:rsid w:val="00BE1D7A"/>
    <w:rsid w:val="00BE21D9"/>
    <w:rsid w:val="00BE2299"/>
    <w:rsid w:val="00BE27BA"/>
    <w:rsid w:val="00BE2A6F"/>
    <w:rsid w:val="00BE2AF3"/>
    <w:rsid w:val="00BE2C62"/>
    <w:rsid w:val="00BE2FBE"/>
    <w:rsid w:val="00BE32A5"/>
    <w:rsid w:val="00BE3364"/>
    <w:rsid w:val="00BE3D75"/>
    <w:rsid w:val="00BE492E"/>
    <w:rsid w:val="00BE4DF9"/>
    <w:rsid w:val="00BE54BE"/>
    <w:rsid w:val="00BE5B1D"/>
    <w:rsid w:val="00BE5D66"/>
    <w:rsid w:val="00BE5F03"/>
    <w:rsid w:val="00BE6A5D"/>
    <w:rsid w:val="00BE734A"/>
    <w:rsid w:val="00BE7814"/>
    <w:rsid w:val="00BE785E"/>
    <w:rsid w:val="00BE7E02"/>
    <w:rsid w:val="00BF0020"/>
    <w:rsid w:val="00BF07C4"/>
    <w:rsid w:val="00BF0F04"/>
    <w:rsid w:val="00BF15AB"/>
    <w:rsid w:val="00BF1864"/>
    <w:rsid w:val="00BF2790"/>
    <w:rsid w:val="00BF3B5F"/>
    <w:rsid w:val="00BF3C25"/>
    <w:rsid w:val="00BF46C6"/>
    <w:rsid w:val="00BF544A"/>
    <w:rsid w:val="00BF593F"/>
    <w:rsid w:val="00BF617F"/>
    <w:rsid w:val="00BF62D7"/>
    <w:rsid w:val="00BF6903"/>
    <w:rsid w:val="00BF6CF6"/>
    <w:rsid w:val="00BF742C"/>
    <w:rsid w:val="00BF7695"/>
    <w:rsid w:val="00BF7703"/>
    <w:rsid w:val="00BF7BDC"/>
    <w:rsid w:val="00BF7DBB"/>
    <w:rsid w:val="00C009E9"/>
    <w:rsid w:val="00C00E41"/>
    <w:rsid w:val="00C01200"/>
    <w:rsid w:val="00C018E5"/>
    <w:rsid w:val="00C01AD1"/>
    <w:rsid w:val="00C02873"/>
    <w:rsid w:val="00C02E98"/>
    <w:rsid w:val="00C034B7"/>
    <w:rsid w:val="00C038A6"/>
    <w:rsid w:val="00C03E78"/>
    <w:rsid w:val="00C0409B"/>
    <w:rsid w:val="00C040B6"/>
    <w:rsid w:val="00C041A6"/>
    <w:rsid w:val="00C0443D"/>
    <w:rsid w:val="00C04B24"/>
    <w:rsid w:val="00C04D8D"/>
    <w:rsid w:val="00C0507B"/>
    <w:rsid w:val="00C05956"/>
    <w:rsid w:val="00C05A1B"/>
    <w:rsid w:val="00C05F6F"/>
    <w:rsid w:val="00C06A0C"/>
    <w:rsid w:val="00C0727D"/>
    <w:rsid w:val="00C0732B"/>
    <w:rsid w:val="00C07D8D"/>
    <w:rsid w:val="00C07EAF"/>
    <w:rsid w:val="00C10168"/>
    <w:rsid w:val="00C10B39"/>
    <w:rsid w:val="00C10C8F"/>
    <w:rsid w:val="00C1105A"/>
    <w:rsid w:val="00C11B5B"/>
    <w:rsid w:val="00C121FD"/>
    <w:rsid w:val="00C12A36"/>
    <w:rsid w:val="00C12E53"/>
    <w:rsid w:val="00C13696"/>
    <w:rsid w:val="00C13EB0"/>
    <w:rsid w:val="00C1464E"/>
    <w:rsid w:val="00C147F7"/>
    <w:rsid w:val="00C14B60"/>
    <w:rsid w:val="00C14C22"/>
    <w:rsid w:val="00C14CA8"/>
    <w:rsid w:val="00C14CC9"/>
    <w:rsid w:val="00C14D1B"/>
    <w:rsid w:val="00C158F2"/>
    <w:rsid w:val="00C15C83"/>
    <w:rsid w:val="00C15D3C"/>
    <w:rsid w:val="00C16195"/>
    <w:rsid w:val="00C161AF"/>
    <w:rsid w:val="00C16429"/>
    <w:rsid w:val="00C16489"/>
    <w:rsid w:val="00C16A13"/>
    <w:rsid w:val="00C1711D"/>
    <w:rsid w:val="00C17148"/>
    <w:rsid w:val="00C176AD"/>
    <w:rsid w:val="00C1797F"/>
    <w:rsid w:val="00C17B23"/>
    <w:rsid w:val="00C207DA"/>
    <w:rsid w:val="00C20E79"/>
    <w:rsid w:val="00C219B0"/>
    <w:rsid w:val="00C22303"/>
    <w:rsid w:val="00C224E2"/>
    <w:rsid w:val="00C22998"/>
    <w:rsid w:val="00C22AC2"/>
    <w:rsid w:val="00C22F74"/>
    <w:rsid w:val="00C2316F"/>
    <w:rsid w:val="00C2375F"/>
    <w:rsid w:val="00C23C34"/>
    <w:rsid w:val="00C23C3F"/>
    <w:rsid w:val="00C23ECD"/>
    <w:rsid w:val="00C24013"/>
    <w:rsid w:val="00C24181"/>
    <w:rsid w:val="00C24ED5"/>
    <w:rsid w:val="00C250D7"/>
    <w:rsid w:val="00C251AB"/>
    <w:rsid w:val="00C259CB"/>
    <w:rsid w:val="00C25DFF"/>
    <w:rsid w:val="00C263B0"/>
    <w:rsid w:val="00C278C1"/>
    <w:rsid w:val="00C27C60"/>
    <w:rsid w:val="00C27C71"/>
    <w:rsid w:val="00C27EFC"/>
    <w:rsid w:val="00C302DE"/>
    <w:rsid w:val="00C302E8"/>
    <w:rsid w:val="00C30563"/>
    <w:rsid w:val="00C305C9"/>
    <w:rsid w:val="00C30BA1"/>
    <w:rsid w:val="00C3107F"/>
    <w:rsid w:val="00C31A71"/>
    <w:rsid w:val="00C31E6F"/>
    <w:rsid w:val="00C31ED1"/>
    <w:rsid w:val="00C33177"/>
    <w:rsid w:val="00C331BC"/>
    <w:rsid w:val="00C33392"/>
    <w:rsid w:val="00C33687"/>
    <w:rsid w:val="00C33D22"/>
    <w:rsid w:val="00C34524"/>
    <w:rsid w:val="00C34532"/>
    <w:rsid w:val="00C34AAB"/>
    <w:rsid w:val="00C34B67"/>
    <w:rsid w:val="00C34B7A"/>
    <w:rsid w:val="00C34EB1"/>
    <w:rsid w:val="00C34F50"/>
    <w:rsid w:val="00C351D4"/>
    <w:rsid w:val="00C35523"/>
    <w:rsid w:val="00C36473"/>
    <w:rsid w:val="00C36C4F"/>
    <w:rsid w:val="00C36C53"/>
    <w:rsid w:val="00C36CA2"/>
    <w:rsid w:val="00C36DF5"/>
    <w:rsid w:val="00C3708F"/>
    <w:rsid w:val="00C40CC5"/>
    <w:rsid w:val="00C40E1B"/>
    <w:rsid w:val="00C40EFC"/>
    <w:rsid w:val="00C411F6"/>
    <w:rsid w:val="00C4145E"/>
    <w:rsid w:val="00C414AC"/>
    <w:rsid w:val="00C4159F"/>
    <w:rsid w:val="00C41A99"/>
    <w:rsid w:val="00C41C34"/>
    <w:rsid w:val="00C42469"/>
    <w:rsid w:val="00C424F5"/>
    <w:rsid w:val="00C42D68"/>
    <w:rsid w:val="00C4337F"/>
    <w:rsid w:val="00C437BA"/>
    <w:rsid w:val="00C43AB9"/>
    <w:rsid w:val="00C43F33"/>
    <w:rsid w:val="00C450D2"/>
    <w:rsid w:val="00C4548B"/>
    <w:rsid w:val="00C45E31"/>
    <w:rsid w:val="00C46680"/>
    <w:rsid w:val="00C4679B"/>
    <w:rsid w:val="00C4697C"/>
    <w:rsid w:val="00C46FCE"/>
    <w:rsid w:val="00C475E0"/>
    <w:rsid w:val="00C47AAE"/>
    <w:rsid w:val="00C500A2"/>
    <w:rsid w:val="00C50A18"/>
    <w:rsid w:val="00C51788"/>
    <w:rsid w:val="00C519D9"/>
    <w:rsid w:val="00C521EF"/>
    <w:rsid w:val="00C522B5"/>
    <w:rsid w:val="00C52E11"/>
    <w:rsid w:val="00C539A4"/>
    <w:rsid w:val="00C54574"/>
    <w:rsid w:val="00C54AF6"/>
    <w:rsid w:val="00C54FF5"/>
    <w:rsid w:val="00C55102"/>
    <w:rsid w:val="00C55139"/>
    <w:rsid w:val="00C551BA"/>
    <w:rsid w:val="00C554A0"/>
    <w:rsid w:val="00C55587"/>
    <w:rsid w:val="00C5579C"/>
    <w:rsid w:val="00C576E0"/>
    <w:rsid w:val="00C60433"/>
    <w:rsid w:val="00C608A3"/>
    <w:rsid w:val="00C60DAB"/>
    <w:rsid w:val="00C612DA"/>
    <w:rsid w:val="00C62128"/>
    <w:rsid w:val="00C62130"/>
    <w:rsid w:val="00C622F3"/>
    <w:rsid w:val="00C627E5"/>
    <w:rsid w:val="00C62DB0"/>
    <w:rsid w:val="00C62DE6"/>
    <w:rsid w:val="00C632AA"/>
    <w:rsid w:val="00C63992"/>
    <w:rsid w:val="00C63E7A"/>
    <w:rsid w:val="00C64A66"/>
    <w:rsid w:val="00C64DAC"/>
    <w:rsid w:val="00C651A8"/>
    <w:rsid w:val="00C65AF8"/>
    <w:rsid w:val="00C65C16"/>
    <w:rsid w:val="00C65C17"/>
    <w:rsid w:val="00C66590"/>
    <w:rsid w:val="00C66ED8"/>
    <w:rsid w:val="00C6750D"/>
    <w:rsid w:val="00C67753"/>
    <w:rsid w:val="00C679FB"/>
    <w:rsid w:val="00C7015B"/>
    <w:rsid w:val="00C702D1"/>
    <w:rsid w:val="00C706E7"/>
    <w:rsid w:val="00C70970"/>
    <w:rsid w:val="00C70AEE"/>
    <w:rsid w:val="00C70AF5"/>
    <w:rsid w:val="00C70BA4"/>
    <w:rsid w:val="00C70E40"/>
    <w:rsid w:val="00C70FEA"/>
    <w:rsid w:val="00C71465"/>
    <w:rsid w:val="00C718F8"/>
    <w:rsid w:val="00C71BD8"/>
    <w:rsid w:val="00C7214F"/>
    <w:rsid w:val="00C7241D"/>
    <w:rsid w:val="00C72B6B"/>
    <w:rsid w:val="00C73BB8"/>
    <w:rsid w:val="00C73D23"/>
    <w:rsid w:val="00C747AD"/>
    <w:rsid w:val="00C74941"/>
    <w:rsid w:val="00C74DDE"/>
    <w:rsid w:val="00C75261"/>
    <w:rsid w:val="00C7639D"/>
    <w:rsid w:val="00C763EC"/>
    <w:rsid w:val="00C7656D"/>
    <w:rsid w:val="00C76BA5"/>
    <w:rsid w:val="00C77007"/>
    <w:rsid w:val="00C773D8"/>
    <w:rsid w:val="00C7752C"/>
    <w:rsid w:val="00C77D26"/>
    <w:rsid w:val="00C77DB7"/>
    <w:rsid w:val="00C77E3E"/>
    <w:rsid w:val="00C80AD3"/>
    <w:rsid w:val="00C80CE8"/>
    <w:rsid w:val="00C80FA8"/>
    <w:rsid w:val="00C812E9"/>
    <w:rsid w:val="00C8184A"/>
    <w:rsid w:val="00C8187A"/>
    <w:rsid w:val="00C826B4"/>
    <w:rsid w:val="00C82912"/>
    <w:rsid w:val="00C829EC"/>
    <w:rsid w:val="00C830B2"/>
    <w:rsid w:val="00C83E2E"/>
    <w:rsid w:val="00C8406C"/>
    <w:rsid w:val="00C842EB"/>
    <w:rsid w:val="00C84855"/>
    <w:rsid w:val="00C858FA"/>
    <w:rsid w:val="00C86466"/>
    <w:rsid w:val="00C86576"/>
    <w:rsid w:val="00C86604"/>
    <w:rsid w:val="00C86A99"/>
    <w:rsid w:val="00C86BA7"/>
    <w:rsid w:val="00C86D15"/>
    <w:rsid w:val="00C87942"/>
    <w:rsid w:val="00C903A1"/>
    <w:rsid w:val="00C903D2"/>
    <w:rsid w:val="00C90D77"/>
    <w:rsid w:val="00C91067"/>
    <w:rsid w:val="00C91156"/>
    <w:rsid w:val="00C91534"/>
    <w:rsid w:val="00C9153A"/>
    <w:rsid w:val="00C91C09"/>
    <w:rsid w:val="00C91C1B"/>
    <w:rsid w:val="00C92639"/>
    <w:rsid w:val="00C9292A"/>
    <w:rsid w:val="00C92D2B"/>
    <w:rsid w:val="00C9316C"/>
    <w:rsid w:val="00C938C1"/>
    <w:rsid w:val="00C9391C"/>
    <w:rsid w:val="00C93B35"/>
    <w:rsid w:val="00C94C97"/>
    <w:rsid w:val="00C95015"/>
    <w:rsid w:val="00C9502E"/>
    <w:rsid w:val="00C952CC"/>
    <w:rsid w:val="00C95F73"/>
    <w:rsid w:val="00C96044"/>
    <w:rsid w:val="00C96171"/>
    <w:rsid w:val="00C972A2"/>
    <w:rsid w:val="00C97A7C"/>
    <w:rsid w:val="00C97AFC"/>
    <w:rsid w:val="00C97F6E"/>
    <w:rsid w:val="00CA06BE"/>
    <w:rsid w:val="00CA07B8"/>
    <w:rsid w:val="00CA0A15"/>
    <w:rsid w:val="00CA0B50"/>
    <w:rsid w:val="00CA0C47"/>
    <w:rsid w:val="00CA0E2E"/>
    <w:rsid w:val="00CA0E77"/>
    <w:rsid w:val="00CA1C0C"/>
    <w:rsid w:val="00CA1CE7"/>
    <w:rsid w:val="00CA20E6"/>
    <w:rsid w:val="00CA25DC"/>
    <w:rsid w:val="00CA28A1"/>
    <w:rsid w:val="00CA2C33"/>
    <w:rsid w:val="00CA2DBB"/>
    <w:rsid w:val="00CA2F33"/>
    <w:rsid w:val="00CA2F63"/>
    <w:rsid w:val="00CA350C"/>
    <w:rsid w:val="00CA36E1"/>
    <w:rsid w:val="00CA3E03"/>
    <w:rsid w:val="00CA3E77"/>
    <w:rsid w:val="00CA3F4D"/>
    <w:rsid w:val="00CA41D9"/>
    <w:rsid w:val="00CA4C59"/>
    <w:rsid w:val="00CA4CE2"/>
    <w:rsid w:val="00CA5022"/>
    <w:rsid w:val="00CA51A9"/>
    <w:rsid w:val="00CA57A4"/>
    <w:rsid w:val="00CA57A7"/>
    <w:rsid w:val="00CA57E9"/>
    <w:rsid w:val="00CA620A"/>
    <w:rsid w:val="00CA620D"/>
    <w:rsid w:val="00CA67B0"/>
    <w:rsid w:val="00CA6E2C"/>
    <w:rsid w:val="00CA704F"/>
    <w:rsid w:val="00CA775E"/>
    <w:rsid w:val="00CA77C6"/>
    <w:rsid w:val="00CA79FC"/>
    <w:rsid w:val="00CA7C7F"/>
    <w:rsid w:val="00CA7F8A"/>
    <w:rsid w:val="00CB0505"/>
    <w:rsid w:val="00CB08E7"/>
    <w:rsid w:val="00CB0D3C"/>
    <w:rsid w:val="00CB0E44"/>
    <w:rsid w:val="00CB110F"/>
    <w:rsid w:val="00CB188C"/>
    <w:rsid w:val="00CB2093"/>
    <w:rsid w:val="00CB29B5"/>
    <w:rsid w:val="00CB2ACF"/>
    <w:rsid w:val="00CB2BEC"/>
    <w:rsid w:val="00CB313D"/>
    <w:rsid w:val="00CB31EF"/>
    <w:rsid w:val="00CB3458"/>
    <w:rsid w:val="00CB370C"/>
    <w:rsid w:val="00CB38FE"/>
    <w:rsid w:val="00CB3F55"/>
    <w:rsid w:val="00CB42C3"/>
    <w:rsid w:val="00CB42C6"/>
    <w:rsid w:val="00CB438F"/>
    <w:rsid w:val="00CB4976"/>
    <w:rsid w:val="00CB4AA6"/>
    <w:rsid w:val="00CB6399"/>
    <w:rsid w:val="00CB6406"/>
    <w:rsid w:val="00CB646A"/>
    <w:rsid w:val="00CB6572"/>
    <w:rsid w:val="00CB684D"/>
    <w:rsid w:val="00CB721C"/>
    <w:rsid w:val="00CB7368"/>
    <w:rsid w:val="00CB7F97"/>
    <w:rsid w:val="00CC06BA"/>
    <w:rsid w:val="00CC100A"/>
    <w:rsid w:val="00CC15BA"/>
    <w:rsid w:val="00CC1FD7"/>
    <w:rsid w:val="00CC23C4"/>
    <w:rsid w:val="00CC2C4D"/>
    <w:rsid w:val="00CC2CEB"/>
    <w:rsid w:val="00CC2F02"/>
    <w:rsid w:val="00CC3B6F"/>
    <w:rsid w:val="00CC41D2"/>
    <w:rsid w:val="00CC41E1"/>
    <w:rsid w:val="00CC4712"/>
    <w:rsid w:val="00CC4762"/>
    <w:rsid w:val="00CC4836"/>
    <w:rsid w:val="00CC49CC"/>
    <w:rsid w:val="00CC4A8F"/>
    <w:rsid w:val="00CC4C0F"/>
    <w:rsid w:val="00CC531D"/>
    <w:rsid w:val="00CC5740"/>
    <w:rsid w:val="00CC576E"/>
    <w:rsid w:val="00CC589C"/>
    <w:rsid w:val="00CC6D42"/>
    <w:rsid w:val="00CC6DFB"/>
    <w:rsid w:val="00CC7C1E"/>
    <w:rsid w:val="00CC7FE7"/>
    <w:rsid w:val="00CD041C"/>
    <w:rsid w:val="00CD0491"/>
    <w:rsid w:val="00CD078A"/>
    <w:rsid w:val="00CD0B70"/>
    <w:rsid w:val="00CD0CBA"/>
    <w:rsid w:val="00CD1234"/>
    <w:rsid w:val="00CD17A4"/>
    <w:rsid w:val="00CD17A8"/>
    <w:rsid w:val="00CD2443"/>
    <w:rsid w:val="00CD27BD"/>
    <w:rsid w:val="00CD3384"/>
    <w:rsid w:val="00CD37E0"/>
    <w:rsid w:val="00CD38C9"/>
    <w:rsid w:val="00CD3B90"/>
    <w:rsid w:val="00CD3EE1"/>
    <w:rsid w:val="00CD41A8"/>
    <w:rsid w:val="00CD46A6"/>
    <w:rsid w:val="00CD4C3B"/>
    <w:rsid w:val="00CD5878"/>
    <w:rsid w:val="00CD5923"/>
    <w:rsid w:val="00CD5F4A"/>
    <w:rsid w:val="00CD7165"/>
    <w:rsid w:val="00CD79BB"/>
    <w:rsid w:val="00CD7FF9"/>
    <w:rsid w:val="00CE0278"/>
    <w:rsid w:val="00CE0FDF"/>
    <w:rsid w:val="00CE166F"/>
    <w:rsid w:val="00CE177C"/>
    <w:rsid w:val="00CE1DD2"/>
    <w:rsid w:val="00CE1E66"/>
    <w:rsid w:val="00CE2142"/>
    <w:rsid w:val="00CE2D90"/>
    <w:rsid w:val="00CE33C7"/>
    <w:rsid w:val="00CE349D"/>
    <w:rsid w:val="00CE4001"/>
    <w:rsid w:val="00CE4124"/>
    <w:rsid w:val="00CE4694"/>
    <w:rsid w:val="00CE4F42"/>
    <w:rsid w:val="00CE5528"/>
    <w:rsid w:val="00CE5BD9"/>
    <w:rsid w:val="00CE5ED5"/>
    <w:rsid w:val="00CE6034"/>
    <w:rsid w:val="00CE616D"/>
    <w:rsid w:val="00CE6215"/>
    <w:rsid w:val="00CE6A1A"/>
    <w:rsid w:val="00CE6B8B"/>
    <w:rsid w:val="00CE70FC"/>
    <w:rsid w:val="00CE78AD"/>
    <w:rsid w:val="00CF0212"/>
    <w:rsid w:val="00CF030D"/>
    <w:rsid w:val="00CF0501"/>
    <w:rsid w:val="00CF0649"/>
    <w:rsid w:val="00CF0974"/>
    <w:rsid w:val="00CF10AB"/>
    <w:rsid w:val="00CF12CF"/>
    <w:rsid w:val="00CF17DE"/>
    <w:rsid w:val="00CF191E"/>
    <w:rsid w:val="00CF2409"/>
    <w:rsid w:val="00CF275F"/>
    <w:rsid w:val="00CF27E5"/>
    <w:rsid w:val="00CF2998"/>
    <w:rsid w:val="00CF2F04"/>
    <w:rsid w:val="00CF3854"/>
    <w:rsid w:val="00CF3E7C"/>
    <w:rsid w:val="00CF3EBF"/>
    <w:rsid w:val="00CF4154"/>
    <w:rsid w:val="00CF4408"/>
    <w:rsid w:val="00CF4F4A"/>
    <w:rsid w:val="00CF509F"/>
    <w:rsid w:val="00CF524B"/>
    <w:rsid w:val="00CF54E8"/>
    <w:rsid w:val="00CF55F3"/>
    <w:rsid w:val="00CF596E"/>
    <w:rsid w:val="00CF5A1F"/>
    <w:rsid w:val="00CF5A34"/>
    <w:rsid w:val="00CF5E65"/>
    <w:rsid w:val="00CF64A5"/>
    <w:rsid w:val="00CF654B"/>
    <w:rsid w:val="00CF65AF"/>
    <w:rsid w:val="00CF65F0"/>
    <w:rsid w:val="00CF6855"/>
    <w:rsid w:val="00CF6A2B"/>
    <w:rsid w:val="00CF6B9B"/>
    <w:rsid w:val="00CF7491"/>
    <w:rsid w:val="00CF7940"/>
    <w:rsid w:val="00CF7D2E"/>
    <w:rsid w:val="00CF7FCF"/>
    <w:rsid w:val="00D0037D"/>
    <w:rsid w:val="00D00547"/>
    <w:rsid w:val="00D0113E"/>
    <w:rsid w:val="00D01145"/>
    <w:rsid w:val="00D01C8D"/>
    <w:rsid w:val="00D01D9C"/>
    <w:rsid w:val="00D02415"/>
    <w:rsid w:val="00D02634"/>
    <w:rsid w:val="00D02BC1"/>
    <w:rsid w:val="00D02ED6"/>
    <w:rsid w:val="00D02F10"/>
    <w:rsid w:val="00D03745"/>
    <w:rsid w:val="00D03976"/>
    <w:rsid w:val="00D04194"/>
    <w:rsid w:val="00D0420E"/>
    <w:rsid w:val="00D046A2"/>
    <w:rsid w:val="00D0484A"/>
    <w:rsid w:val="00D04D48"/>
    <w:rsid w:val="00D051A3"/>
    <w:rsid w:val="00D053B0"/>
    <w:rsid w:val="00D0561F"/>
    <w:rsid w:val="00D059A5"/>
    <w:rsid w:val="00D059E7"/>
    <w:rsid w:val="00D05B42"/>
    <w:rsid w:val="00D06FED"/>
    <w:rsid w:val="00D07588"/>
    <w:rsid w:val="00D07826"/>
    <w:rsid w:val="00D07C8E"/>
    <w:rsid w:val="00D07DBC"/>
    <w:rsid w:val="00D07DBD"/>
    <w:rsid w:val="00D07FC0"/>
    <w:rsid w:val="00D10140"/>
    <w:rsid w:val="00D105A5"/>
    <w:rsid w:val="00D10AFC"/>
    <w:rsid w:val="00D10C51"/>
    <w:rsid w:val="00D116E1"/>
    <w:rsid w:val="00D119FC"/>
    <w:rsid w:val="00D12ADA"/>
    <w:rsid w:val="00D12FD9"/>
    <w:rsid w:val="00D130E0"/>
    <w:rsid w:val="00D137B9"/>
    <w:rsid w:val="00D139E7"/>
    <w:rsid w:val="00D14C50"/>
    <w:rsid w:val="00D15062"/>
    <w:rsid w:val="00D15427"/>
    <w:rsid w:val="00D154B1"/>
    <w:rsid w:val="00D15A5A"/>
    <w:rsid w:val="00D15CE3"/>
    <w:rsid w:val="00D1648B"/>
    <w:rsid w:val="00D1678A"/>
    <w:rsid w:val="00D167A1"/>
    <w:rsid w:val="00D16C1F"/>
    <w:rsid w:val="00D16C4B"/>
    <w:rsid w:val="00D16D05"/>
    <w:rsid w:val="00D16EC6"/>
    <w:rsid w:val="00D16FC9"/>
    <w:rsid w:val="00D175DB"/>
    <w:rsid w:val="00D17A71"/>
    <w:rsid w:val="00D20051"/>
    <w:rsid w:val="00D204D5"/>
    <w:rsid w:val="00D20E85"/>
    <w:rsid w:val="00D20F6C"/>
    <w:rsid w:val="00D213F8"/>
    <w:rsid w:val="00D21690"/>
    <w:rsid w:val="00D22AC1"/>
    <w:rsid w:val="00D22B17"/>
    <w:rsid w:val="00D22BD2"/>
    <w:rsid w:val="00D230B4"/>
    <w:rsid w:val="00D2340B"/>
    <w:rsid w:val="00D23497"/>
    <w:rsid w:val="00D23830"/>
    <w:rsid w:val="00D238B0"/>
    <w:rsid w:val="00D23C27"/>
    <w:rsid w:val="00D24233"/>
    <w:rsid w:val="00D243AE"/>
    <w:rsid w:val="00D246F0"/>
    <w:rsid w:val="00D249C9"/>
    <w:rsid w:val="00D24DD1"/>
    <w:rsid w:val="00D25144"/>
    <w:rsid w:val="00D25C55"/>
    <w:rsid w:val="00D25DB0"/>
    <w:rsid w:val="00D25DE3"/>
    <w:rsid w:val="00D25F7E"/>
    <w:rsid w:val="00D260E4"/>
    <w:rsid w:val="00D26490"/>
    <w:rsid w:val="00D2658B"/>
    <w:rsid w:val="00D26B85"/>
    <w:rsid w:val="00D26EDE"/>
    <w:rsid w:val="00D272AF"/>
    <w:rsid w:val="00D274D0"/>
    <w:rsid w:val="00D2783B"/>
    <w:rsid w:val="00D2793C"/>
    <w:rsid w:val="00D27AA0"/>
    <w:rsid w:val="00D27D8D"/>
    <w:rsid w:val="00D27F10"/>
    <w:rsid w:val="00D30268"/>
    <w:rsid w:val="00D3030B"/>
    <w:rsid w:val="00D307A7"/>
    <w:rsid w:val="00D30D8C"/>
    <w:rsid w:val="00D31A43"/>
    <w:rsid w:val="00D31C71"/>
    <w:rsid w:val="00D3257A"/>
    <w:rsid w:val="00D328AE"/>
    <w:rsid w:val="00D328E6"/>
    <w:rsid w:val="00D3333B"/>
    <w:rsid w:val="00D33A0C"/>
    <w:rsid w:val="00D33F49"/>
    <w:rsid w:val="00D340E3"/>
    <w:rsid w:val="00D343B7"/>
    <w:rsid w:val="00D34659"/>
    <w:rsid w:val="00D353E3"/>
    <w:rsid w:val="00D35688"/>
    <w:rsid w:val="00D35DDC"/>
    <w:rsid w:val="00D36279"/>
    <w:rsid w:val="00D363E3"/>
    <w:rsid w:val="00D3769D"/>
    <w:rsid w:val="00D378D8"/>
    <w:rsid w:val="00D400A5"/>
    <w:rsid w:val="00D40DC2"/>
    <w:rsid w:val="00D40E6C"/>
    <w:rsid w:val="00D40EF6"/>
    <w:rsid w:val="00D4127B"/>
    <w:rsid w:val="00D41299"/>
    <w:rsid w:val="00D41A5A"/>
    <w:rsid w:val="00D41E1F"/>
    <w:rsid w:val="00D4224E"/>
    <w:rsid w:val="00D43238"/>
    <w:rsid w:val="00D436AA"/>
    <w:rsid w:val="00D43707"/>
    <w:rsid w:val="00D43AF9"/>
    <w:rsid w:val="00D43F9B"/>
    <w:rsid w:val="00D448C7"/>
    <w:rsid w:val="00D44F5F"/>
    <w:rsid w:val="00D45028"/>
    <w:rsid w:val="00D45415"/>
    <w:rsid w:val="00D462EE"/>
    <w:rsid w:val="00D46742"/>
    <w:rsid w:val="00D46D14"/>
    <w:rsid w:val="00D46F9A"/>
    <w:rsid w:val="00D470B0"/>
    <w:rsid w:val="00D4728A"/>
    <w:rsid w:val="00D4776A"/>
    <w:rsid w:val="00D47857"/>
    <w:rsid w:val="00D47C15"/>
    <w:rsid w:val="00D506EA"/>
    <w:rsid w:val="00D50AB4"/>
    <w:rsid w:val="00D50B6A"/>
    <w:rsid w:val="00D510C9"/>
    <w:rsid w:val="00D5110A"/>
    <w:rsid w:val="00D51288"/>
    <w:rsid w:val="00D515F8"/>
    <w:rsid w:val="00D51844"/>
    <w:rsid w:val="00D521A3"/>
    <w:rsid w:val="00D52281"/>
    <w:rsid w:val="00D52359"/>
    <w:rsid w:val="00D523C8"/>
    <w:rsid w:val="00D52719"/>
    <w:rsid w:val="00D52ACF"/>
    <w:rsid w:val="00D52D01"/>
    <w:rsid w:val="00D52F2C"/>
    <w:rsid w:val="00D53B02"/>
    <w:rsid w:val="00D53F4A"/>
    <w:rsid w:val="00D545C0"/>
    <w:rsid w:val="00D54C48"/>
    <w:rsid w:val="00D5520E"/>
    <w:rsid w:val="00D55347"/>
    <w:rsid w:val="00D5546D"/>
    <w:rsid w:val="00D55722"/>
    <w:rsid w:val="00D563CD"/>
    <w:rsid w:val="00D56716"/>
    <w:rsid w:val="00D57189"/>
    <w:rsid w:val="00D57287"/>
    <w:rsid w:val="00D573AC"/>
    <w:rsid w:val="00D577A3"/>
    <w:rsid w:val="00D57C90"/>
    <w:rsid w:val="00D602B5"/>
    <w:rsid w:val="00D6067E"/>
    <w:rsid w:val="00D61192"/>
    <w:rsid w:val="00D614A1"/>
    <w:rsid w:val="00D61E34"/>
    <w:rsid w:val="00D620FF"/>
    <w:rsid w:val="00D62500"/>
    <w:rsid w:val="00D62C8D"/>
    <w:rsid w:val="00D6305C"/>
    <w:rsid w:val="00D63255"/>
    <w:rsid w:val="00D63367"/>
    <w:rsid w:val="00D63781"/>
    <w:rsid w:val="00D63985"/>
    <w:rsid w:val="00D6442D"/>
    <w:rsid w:val="00D651B8"/>
    <w:rsid w:val="00D6563B"/>
    <w:rsid w:val="00D65E43"/>
    <w:rsid w:val="00D65ED0"/>
    <w:rsid w:val="00D66390"/>
    <w:rsid w:val="00D66991"/>
    <w:rsid w:val="00D66F4D"/>
    <w:rsid w:val="00D671BA"/>
    <w:rsid w:val="00D6722D"/>
    <w:rsid w:val="00D676AA"/>
    <w:rsid w:val="00D67A80"/>
    <w:rsid w:val="00D67EEA"/>
    <w:rsid w:val="00D7036A"/>
    <w:rsid w:val="00D7062D"/>
    <w:rsid w:val="00D70880"/>
    <w:rsid w:val="00D70BA1"/>
    <w:rsid w:val="00D71557"/>
    <w:rsid w:val="00D717DE"/>
    <w:rsid w:val="00D71C57"/>
    <w:rsid w:val="00D71E48"/>
    <w:rsid w:val="00D727F3"/>
    <w:rsid w:val="00D728B7"/>
    <w:rsid w:val="00D72ACF"/>
    <w:rsid w:val="00D72D76"/>
    <w:rsid w:val="00D72D83"/>
    <w:rsid w:val="00D72F6E"/>
    <w:rsid w:val="00D73324"/>
    <w:rsid w:val="00D737A1"/>
    <w:rsid w:val="00D740AF"/>
    <w:rsid w:val="00D746F8"/>
    <w:rsid w:val="00D7490E"/>
    <w:rsid w:val="00D74F2A"/>
    <w:rsid w:val="00D751DD"/>
    <w:rsid w:val="00D75297"/>
    <w:rsid w:val="00D752C6"/>
    <w:rsid w:val="00D75322"/>
    <w:rsid w:val="00D754E4"/>
    <w:rsid w:val="00D756DE"/>
    <w:rsid w:val="00D758C3"/>
    <w:rsid w:val="00D75A5F"/>
    <w:rsid w:val="00D75C32"/>
    <w:rsid w:val="00D76A5E"/>
    <w:rsid w:val="00D77071"/>
    <w:rsid w:val="00D77540"/>
    <w:rsid w:val="00D77A9C"/>
    <w:rsid w:val="00D77C94"/>
    <w:rsid w:val="00D77D08"/>
    <w:rsid w:val="00D810F6"/>
    <w:rsid w:val="00D81488"/>
    <w:rsid w:val="00D81562"/>
    <w:rsid w:val="00D815A4"/>
    <w:rsid w:val="00D822FD"/>
    <w:rsid w:val="00D82334"/>
    <w:rsid w:val="00D83400"/>
    <w:rsid w:val="00D8351D"/>
    <w:rsid w:val="00D83571"/>
    <w:rsid w:val="00D83BBD"/>
    <w:rsid w:val="00D840EF"/>
    <w:rsid w:val="00D84BFE"/>
    <w:rsid w:val="00D84D55"/>
    <w:rsid w:val="00D85348"/>
    <w:rsid w:val="00D85393"/>
    <w:rsid w:val="00D8597A"/>
    <w:rsid w:val="00D859CB"/>
    <w:rsid w:val="00D85E28"/>
    <w:rsid w:val="00D860DA"/>
    <w:rsid w:val="00D87205"/>
    <w:rsid w:val="00D87222"/>
    <w:rsid w:val="00D876E3"/>
    <w:rsid w:val="00D90181"/>
    <w:rsid w:val="00D90367"/>
    <w:rsid w:val="00D909D9"/>
    <w:rsid w:val="00D90D19"/>
    <w:rsid w:val="00D91253"/>
    <w:rsid w:val="00D91D23"/>
    <w:rsid w:val="00D923BD"/>
    <w:rsid w:val="00D9283A"/>
    <w:rsid w:val="00D92A91"/>
    <w:rsid w:val="00D92E29"/>
    <w:rsid w:val="00D93617"/>
    <w:rsid w:val="00D9402B"/>
    <w:rsid w:val="00D94189"/>
    <w:rsid w:val="00D9474B"/>
    <w:rsid w:val="00D94BAF"/>
    <w:rsid w:val="00D94C80"/>
    <w:rsid w:val="00D94E06"/>
    <w:rsid w:val="00D94EA8"/>
    <w:rsid w:val="00D95509"/>
    <w:rsid w:val="00D9571A"/>
    <w:rsid w:val="00D95BC0"/>
    <w:rsid w:val="00D95D2A"/>
    <w:rsid w:val="00D95D3B"/>
    <w:rsid w:val="00D95EB4"/>
    <w:rsid w:val="00D96077"/>
    <w:rsid w:val="00D9618F"/>
    <w:rsid w:val="00D96ABB"/>
    <w:rsid w:val="00D96E7B"/>
    <w:rsid w:val="00D97EFD"/>
    <w:rsid w:val="00DA0553"/>
    <w:rsid w:val="00DA05ED"/>
    <w:rsid w:val="00DA086A"/>
    <w:rsid w:val="00DA0AA5"/>
    <w:rsid w:val="00DA0C75"/>
    <w:rsid w:val="00DA1A4D"/>
    <w:rsid w:val="00DA2FCA"/>
    <w:rsid w:val="00DA30A7"/>
    <w:rsid w:val="00DA3136"/>
    <w:rsid w:val="00DA3527"/>
    <w:rsid w:val="00DA37BA"/>
    <w:rsid w:val="00DA39C9"/>
    <w:rsid w:val="00DA3D39"/>
    <w:rsid w:val="00DA3E57"/>
    <w:rsid w:val="00DA3E99"/>
    <w:rsid w:val="00DA3F75"/>
    <w:rsid w:val="00DA4207"/>
    <w:rsid w:val="00DA482C"/>
    <w:rsid w:val="00DA4A38"/>
    <w:rsid w:val="00DA4A59"/>
    <w:rsid w:val="00DA4D24"/>
    <w:rsid w:val="00DA4F05"/>
    <w:rsid w:val="00DA4F67"/>
    <w:rsid w:val="00DA52D1"/>
    <w:rsid w:val="00DA590D"/>
    <w:rsid w:val="00DA592B"/>
    <w:rsid w:val="00DA5BC0"/>
    <w:rsid w:val="00DA6A13"/>
    <w:rsid w:val="00DA6B3E"/>
    <w:rsid w:val="00DA6DF4"/>
    <w:rsid w:val="00DA6E18"/>
    <w:rsid w:val="00DA771F"/>
    <w:rsid w:val="00DA7FE7"/>
    <w:rsid w:val="00DB0613"/>
    <w:rsid w:val="00DB07E2"/>
    <w:rsid w:val="00DB08CE"/>
    <w:rsid w:val="00DB0A60"/>
    <w:rsid w:val="00DB0D5B"/>
    <w:rsid w:val="00DB192D"/>
    <w:rsid w:val="00DB25C1"/>
    <w:rsid w:val="00DB2EB8"/>
    <w:rsid w:val="00DB308A"/>
    <w:rsid w:val="00DB32C0"/>
    <w:rsid w:val="00DB3855"/>
    <w:rsid w:val="00DB39D0"/>
    <w:rsid w:val="00DB3A1E"/>
    <w:rsid w:val="00DB41F3"/>
    <w:rsid w:val="00DB43D4"/>
    <w:rsid w:val="00DB4999"/>
    <w:rsid w:val="00DB520A"/>
    <w:rsid w:val="00DB5B5A"/>
    <w:rsid w:val="00DB5EDD"/>
    <w:rsid w:val="00DB60EF"/>
    <w:rsid w:val="00DB619F"/>
    <w:rsid w:val="00DB6336"/>
    <w:rsid w:val="00DB6668"/>
    <w:rsid w:val="00DB6758"/>
    <w:rsid w:val="00DB6ACE"/>
    <w:rsid w:val="00DB6CF9"/>
    <w:rsid w:val="00DB6E0D"/>
    <w:rsid w:val="00DB6F2C"/>
    <w:rsid w:val="00DB70A2"/>
    <w:rsid w:val="00DB7372"/>
    <w:rsid w:val="00DB7685"/>
    <w:rsid w:val="00DB79F0"/>
    <w:rsid w:val="00DC0080"/>
    <w:rsid w:val="00DC00C9"/>
    <w:rsid w:val="00DC0ADA"/>
    <w:rsid w:val="00DC0B5A"/>
    <w:rsid w:val="00DC0E2D"/>
    <w:rsid w:val="00DC1292"/>
    <w:rsid w:val="00DC228B"/>
    <w:rsid w:val="00DC325F"/>
    <w:rsid w:val="00DC37FC"/>
    <w:rsid w:val="00DC3DF2"/>
    <w:rsid w:val="00DC434D"/>
    <w:rsid w:val="00DC4947"/>
    <w:rsid w:val="00DC4C47"/>
    <w:rsid w:val="00DC5576"/>
    <w:rsid w:val="00DC5E41"/>
    <w:rsid w:val="00DC6294"/>
    <w:rsid w:val="00DC664C"/>
    <w:rsid w:val="00DC6927"/>
    <w:rsid w:val="00DC6A23"/>
    <w:rsid w:val="00DC6E1C"/>
    <w:rsid w:val="00DC712D"/>
    <w:rsid w:val="00DC7184"/>
    <w:rsid w:val="00DC7367"/>
    <w:rsid w:val="00DC74EE"/>
    <w:rsid w:val="00DC7560"/>
    <w:rsid w:val="00DC756D"/>
    <w:rsid w:val="00DC7B0D"/>
    <w:rsid w:val="00DC7B5B"/>
    <w:rsid w:val="00DC7CA9"/>
    <w:rsid w:val="00DD1103"/>
    <w:rsid w:val="00DD18B2"/>
    <w:rsid w:val="00DD1AD4"/>
    <w:rsid w:val="00DD1E41"/>
    <w:rsid w:val="00DD1F03"/>
    <w:rsid w:val="00DD1F1C"/>
    <w:rsid w:val="00DD2447"/>
    <w:rsid w:val="00DD28D8"/>
    <w:rsid w:val="00DD2EB1"/>
    <w:rsid w:val="00DD3070"/>
    <w:rsid w:val="00DD31B2"/>
    <w:rsid w:val="00DD3215"/>
    <w:rsid w:val="00DD36B9"/>
    <w:rsid w:val="00DD38A8"/>
    <w:rsid w:val="00DD3AEE"/>
    <w:rsid w:val="00DD3C06"/>
    <w:rsid w:val="00DD4456"/>
    <w:rsid w:val="00DD4A8C"/>
    <w:rsid w:val="00DD53CB"/>
    <w:rsid w:val="00DD5D43"/>
    <w:rsid w:val="00DD5E79"/>
    <w:rsid w:val="00DD6226"/>
    <w:rsid w:val="00DD688F"/>
    <w:rsid w:val="00DD6E45"/>
    <w:rsid w:val="00DD7027"/>
    <w:rsid w:val="00DD710F"/>
    <w:rsid w:val="00DD75B1"/>
    <w:rsid w:val="00DD785C"/>
    <w:rsid w:val="00DD7BBA"/>
    <w:rsid w:val="00DD7CB2"/>
    <w:rsid w:val="00DE0302"/>
    <w:rsid w:val="00DE0C64"/>
    <w:rsid w:val="00DE0CD6"/>
    <w:rsid w:val="00DE119C"/>
    <w:rsid w:val="00DE1544"/>
    <w:rsid w:val="00DE1B7B"/>
    <w:rsid w:val="00DE1CEB"/>
    <w:rsid w:val="00DE257D"/>
    <w:rsid w:val="00DE2788"/>
    <w:rsid w:val="00DE2835"/>
    <w:rsid w:val="00DE3189"/>
    <w:rsid w:val="00DE320F"/>
    <w:rsid w:val="00DE3340"/>
    <w:rsid w:val="00DE3409"/>
    <w:rsid w:val="00DE393A"/>
    <w:rsid w:val="00DE3A1C"/>
    <w:rsid w:val="00DE3F3F"/>
    <w:rsid w:val="00DE4EF4"/>
    <w:rsid w:val="00DE4F37"/>
    <w:rsid w:val="00DE5066"/>
    <w:rsid w:val="00DE5936"/>
    <w:rsid w:val="00DE5F89"/>
    <w:rsid w:val="00DE63DC"/>
    <w:rsid w:val="00DE6A76"/>
    <w:rsid w:val="00DE6DB5"/>
    <w:rsid w:val="00DE7492"/>
    <w:rsid w:val="00DE7600"/>
    <w:rsid w:val="00DE7711"/>
    <w:rsid w:val="00DE781A"/>
    <w:rsid w:val="00DE7904"/>
    <w:rsid w:val="00DE7A33"/>
    <w:rsid w:val="00DE7B64"/>
    <w:rsid w:val="00DE7CC8"/>
    <w:rsid w:val="00DE7EC6"/>
    <w:rsid w:val="00DF03F6"/>
    <w:rsid w:val="00DF0D9B"/>
    <w:rsid w:val="00DF0F15"/>
    <w:rsid w:val="00DF0FF1"/>
    <w:rsid w:val="00DF10E8"/>
    <w:rsid w:val="00DF112F"/>
    <w:rsid w:val="00DF16A5"/>
    <w:rsid w:val="00DF20FA"/>
    <w:rsid w:val="00DF2198"/>
    <w:rsid w:val="00DF262F"/>
    <w:rsid w:val="00DF2648"/>
    <w:rsid w:val="00DF291B"/>
    <w:rsid w:val="00DF2F41"/>
    <w:rsid w:val="00DF35CC"/>
    <w:rsid w:val="00DF3F0A"/>
    <w:rsid w:val="00DF4146"/>
    <w:rsid w:val="00DF42D8"/>
    <w:rsid w:val="00DF49FE"/>
    <w:rsid w:val="00DF4D13"/>
    <w:rsid w:val="00DF52A7"/>
    <w:rsid w:val="00DF55BE"/>
    <w:rsid w:val="00DF57A4"/>
    <w:rsid w:val="00DF5884"/>
    <w:rsid w:val="00DF6020"/>
    <w:rsid w:val="00DF62F4"/>
    <w:rsid w:val="00DF6EFC"/>
    <w:rsid w:val="00DF6F50"/>
    <w:rsid w:val="00DF724B"/>
    <w:rsid w:val="00DF72C7"/>
    <w:rsid w:val="00DF7721"/>
    <w:rsid w:val="00DF77D2"/>
    <w:rsid w:val="00DF7EDD"/>
    <w:rsid w:val="00E00041"/>
    <w:rsid w:val="00E00143"/>
    <w:rsid w:val="00E002BF"/>
    <w:rsid w:val="00E0102A"/>
    <w:rsid w:val="00E0114B"/>
    <w:rsid w:val="00E018F8"/>
    <w:rsid w:val="00E02127"/>
    <w:rsid w:val="00E021D0"/>
    <w:rsid w:val="00E025A3"/>
    <w:rsid w:val="00E02A78"/>
    <w:rsid w:val="00E02DD3"/>
    <w:rsid w:val="00E0312C"/>
    <w:rsid w:val="00E03702"/>
    <w:rsid w:val="00E0379B"/>
    <w:rsid w:val="00E039BB"/>
    <w:rsid w:val="00E03C2C"/>
    <w:rsid w:val="00E04642"/>
    <w:rsid w:val="00E053D4"/>
    <w:rsid w:val="00E0566B"/>
    <w:rsid w:val="00E05793"/>
    <w:rsid w:val="00E05822"/>
    <w:rsid w:val="00E05A80"/>
    <w:rsid w:val="00E05C71"/>
    <w:rsid w:val="00E05E63"/>
    <w:rsid w:val="00E063F7"/>
    <w:rsid w:val="00E065BB"/>
    <w:rsid w:val="00E06D48"/>
    <w:rsid w:val="00E070FA"/>
    <w:rsid w:val="00E0769A"/>
    <w:rsid w:val="00E07A9B"/>
    <w:rsid w:val="00E07B73"/>
    <w:rsid w:val="00E10033"/>
    <w:rsid w:val="00E106E5"/>
    <w:rsid w:val="00E109AF"/>
    <w:rsid w:val="00E10E8E"/>
    <w:rsid w:val="00E11530"/>
    <w:rsid w:val="00E118C3"/>
    <w:rsid w:val="00E119D9"/>
    <w:rsid w:val="00E1228A"/>
    <w:rsid w:val="00E12330"/>
    <w:rsid w:val="00E127E8"/>
    <w:rsid w:val="00E12E41"/>
    <w:rsid w:val="00E12F8F"/>
    <w:rsid w:val="00E12FF4"/>
    <w:rsid w:val="00E131E9"/>
    <w:rsid w:val="00E13222"/>
    <w:rsid w:val="00E13307"/>
    <w:rsid w:val="00E1367F"/>
    <w:rsid w:val="00E136B4"/>
    <w:rsid w:val="00E1439F"/>
    <w:rsid w:val="00E143D5"/>
    <w:rsid w:val="00E1468D"/>
    <w:rsid w:val="00E14981"/>
    <w:rsid w:val="00E15434"/>
    <w:rsid w:val="00E15758"/>
    <w:rsid w:val="00E1578C"/>
    <w:rsid w:val="00E15BE8"/>
    <w:rsid w:val="00E15EB6"/>
    <w:rsid w:val="00E160D2"/>
    <w:rsid w:val="00E16123"/>
    <w:rsid w:val="00E16214"/>
    <w:rsid w:val="00E162B8"/>
    <w:rsid w:val="00E16559"/>
    <w:rsid w:val="00E17200"/>
    <w:rsid w:val="00E1725A"/>
    <w:rsid w:val="00E177F8"/>
    <w:rsid w:val="00E17A55"/>
    <w:rsid w:val="00E17EAC"/>
    <w:rsid w:val="00E17ED3"/>
    <w:rsid w:val="00E201E6"/>
    <w:rsid w:val="00E203D4"/>
    <w:rsid w:val="00E20518"/>
    <w:rsid w:val="00E206D3"/>
    <w:rsid w:val="00E213E1"/>
    <w:rsid w:val="00E22044"/>
    <w:rsid w:val="00E222F7"/>
    <w:rsid w:val="00E22C03"/>
    <w:rsid w:val="00E22EEB"/>
    <w:rsid w:val="00E23800"/>
    <w:rsid w:val="00E238DD"/>
    <w:rsid w:val="00E2406D"/>
    <w:rsid w:val="00E24157"/>
    <w:rsid w:val="00E24351"/>
    <w:rsid w:val="00E25973"/>
    <w:rsid w:val="00E25E79"/>
    <w:rsid w:val="00E25EBC"/>
    <w:rsid w:val="00E2606D"/>
    <w:rsid w:val="00E26220"/>
    <w:rsid w:val="00E26ABA"/>
    <w:rsid w:val="00E26C6A"/>
    <w:rsid w:val="00E26D7A"/>
    <w:rsid w:val="00E272CE"/>
    <w:rsid w:val="00E279BF"/>
    <w:rsid w:val="00E27E78"/>
    <w:rsid w:val="00E30035"/>
    <w:rsid w:val="00E30529"/>
    <w:rsid w:val="00E31415"/>
    <w:rsid w:val="00E315E0"/>
    <w:rsid w:val="00E31F2E"/>
    <w:rsid w:val="00E31F66"/>
    <w:rsid w:val="00E32FEC"/>
    <w:rsid w:val="00E332ED"/>
    <w:rsid w:val="00E3373A"/>
    <w:rsid w:val="00E33748"/>
    <w:rsid w:val="00E33C06"/>
    <w:rsid w:val="00E3470E"/>
    <w:rsid w:val="00E351D6"/>
    <w:rsid w:val="00E3521F"/>
    <w:rsid w:val="00E35685"/>
    <w:rsid w:val="00E35CD7"/>
    <w:rsid w:val="00E35D42"/>
    <w:rsid w:val="00E35FC2"/>
    <w:rsid w:val="00E375B8"/>
    <w:rsid w:val="00E375C4"/>
    <w:rsid w:val="00E40DAB"/>
    <w:rsid w:val="00E40DCB"/>
    <w:rsid w:val="00E40F41"/>
    <w:rsid w:val="00E423DB"/>
    <w:rsid w:val="00E42D2D"/>
    <w:rsid w:val="00E43335"/>
    <w:rsid w:val="00E439AE"/>
    <w:rsid w:val="00E44408"/>
    <w:rsid w:val="00E4473A"/>
    <w:rsid w:val="00E44A31"/>
    <w:rsid w:val="00E45050"/>
    <w:rsid w:val="00E45310"/>
    <w:rsid w:val="00E45708"/>
    <w:rsid w:val="00E45BB8"/>
    <w:rsid w:val="00E45FDA"/>
    <w:rsid w:val="00E46033"/>
    <w:rsid w:val="00E46169"/>
    <w:rsid w:val="00E46415"/>
    <w:rsid w:val="00E4648A"/>
    <w:rsid w:val="00E4767B"/>
    <w:rsid w:val="00E479B5"/>
    <w:rsid w:val="00E47A86"/>
    <w:rsid w:val="00E47E08"/>
    <w:rsid w:val="00E5002C"/>
    <w:rsid w:val="00E519BB"/>
    <w:rsid w:val="00E52366"/>
    <w:rsid w:val="00E52700"/>
    <w:rsid w:val="00E52906"/>
    <w:rsid w:val="00E52EA2"/>
    <w:rsid w:val="00E53464"/>
    <w:rsid w:val="00E539E2"/>
    <w:rsid w:val="00E5457B"/>
    <w:rsid w:val="00E54B24"/>
    <w:rsid w:val="00E54F7D"/>
    <w:rsid w:val="00E55153"/>
    <w:rsid w:val="00E55365"/>
    <w:rsid w:val="00E55429"/>
    <w:rsid w:val="00E55783"/>
    <w:rsid w:val="00E55B34"/>
    <w:rsid w:val="00E55BA5"/>
    <w:rsid w:val="00E55C1E"/>
    <w:rsid w:val="00E56AEA"/>
    <w:rsid w:val="00E56AFF"/>
    <w:rsid w:val="00E56CC0"/>
    <w:rsid w:val="00E56EE2"/>
    <w:rsid w:val="00E575A2"/>
    <w:rsid w:val="00E5782F"/>
    <w:rsid w:val="00E57ADC"/>
    <w:rsid w:val="00E604F9"/>
    <w:rsid w:val="00E60B05"/>
    <w:rsid w:val="00E612D8"/>
    <w:rsid w:val="00E61FC3"/>
    <w:rsid w:val="00E6203C"/>
    <w:rsid w:val="00E62046"/>
    <w:rsid w:val="00E622A5"/>
    <w:rsid w:val="00E62305"/>
    <w:rsid w:val="00E626CE"/>
    <w:rsid w:val="00E6289E"/>
    <w:rsid w:val="00E6357A"/>
    <w:rsid w:val="00E6382A"/>
    <w:rsid w:val="00E63C0D"/>
    <w:rsid w:val="00E63D6E"/>
    <w:rsid w:val="00E63D9E"/>
    <w:rsid w:val="00E63F5A"/>
    <w:rsid w:val="00E64033"/>
    <w:rsid w:val="00E64688"/>
    <w:rsid w:val="00E64A2E"/>
    <w:rsid w:val="00E64AD0"/>
    <w:rsid w:val="00E64B1B"/>
    <w:rsid w:val="00E6523F"/>
    <w:rsid w:val="00E6561B"/>
    <w:rsid w:val="00E6592C"/>
    <w:rsid w:val="00E660BA"/>
    <w:rsid w:val="00E6671D"/>
    <w:rsid w:val="00E66729"/>
    <w:rsid w:val="00E6713F"/>
    <w:rsid w:val="00E67357"/>
    <w:rsid w:val="00E70501"/>
    <w:rsid w:val="00E7060E"/>
    <w:rsid w:val="00E70A5B"/>
    <w:rsid w:val="00E71305"/>
    <w:rsid w:val="00E71DA7"/>
    <w:rsid w:val="00E7206C"/>
    <w:rsid w:val="00E723CF"/>
    <w:rsid w:val="00E726E2"/>
    <w:rsid w:val="00E72CE9"/>
    <w:rsid w:val="00E73228"/>
    <w:rsid w:val="00E733A8"/>
    <w:rsid w:val="00E7346D"/>
    <w:rsid w:val="00E73B01"/>
    <w:rsid w:val="00E74396"/>
    <w:rsid w:val="00E743C6"/>
    <w:rsid w:val="00E74A27"/>
    <w:rsid w:val="00E75092"/>
    <w:rsid w:val="00E752B6"/>
    <w:rsid w:val="00E755A5"/>
    <w:rsid w:val="00E75604"/>
    <w:rsid w:val="00E75715"/>
    <w:rsid w:val="00E75B9D"/>
    <w:rsid w:val="00E7635E"/>
    <w:rsid w:val="00E764CB"/>
    <w:rsid w:val="00E76BF3"/>
    <w:rsid w:val="00E76C35"/>
    <w:rsid w:val="00E77325"/>
    <w:rsid w:val="00E77E93"/>
    <w:rsid w:val="00E8016B"/>
    <w:rsid w:val="00E8068B"/>
    <w:rsid w:val="00E80D3A"/>
    <w:rsid w:val="00E82E0F"/>
    <w:rsid w:val="00E83819"/>
    <w:rsid w:val="00E83D66"/>
    <w:rsid w:val="00E83F79"/>
    <w:rsid w:val="00E8474F"/>
    <w:rsid w:val="00E84A6B"/>
    <w:rsid w:val="00E84AAB"/>
    <w:rsid w:val="00E8547E"/>
    <w:rsid w:val="00E855E6"/>
    <w:rsid w:val="00E85934"/>
    <w:rsid w:val="00E85AEE"/>
    <w:rsid w:val="00E870CC"/>
    <w:rsid w:val="00E87534"/>
    <w:rsid w:val="00E87577"/>
    <w:rsid w:val="00E87845"/>
    <w:rsid w:val="00E878D8"/>
    <w:rsid w:val="00E90173"/>
    <w:rsid w:val="00E901A3"/>
    <w:rsid w:val="00E90DD2"/>
    <w:rsid w:val="00E91319"/>
    <w:rsid w:val="00E928CF"/>
    <w:rsid w:val="00E92925"/>
    <w:rsid w:val="00E94D69"/>
    <w:rsid w:val="00E9512A"/>
    <w:rsid w:val="00E95246"/>
    <w:rsid w:val="00E952AC"/>
    <w:rsid w:val="00E95B35"/>
    <w:rsid w:val="00E95EA0"/>
    <w:rsid w:val="00E95F19"/>
    <w:rsid w:val="00E96057"/>
    <w:rsid w:val="00E9717C"/>
    <w:rsid w:val="00E975FE"/>
    <w:rsid w:val="00E976ED"/>
    <w:rsid w:val="00E97D7C"/>
    <w:rsid w:val="00EA0008"/>
    <w:rsid w:val="00EA023F"/>
    <w:rsid w:val="00EA04E3"/>
    <w:rsid w:val="00EA06CD"/>
    <w:rsid w:val="00EA0A64"/>
    <w:rsid w:val="00EA1D78"/>
    <w:rsid w:val="00EA32A9"/>
    <w:rsid w:val="00EA44AC"/>
    <w:rsid w:val="00EA45D4"/>
    <w:rsid w:val="00EA4D05"/>
    <w:rsid w:val="00EA51F2"/>
    <w:rsid w:val="00EA5228"/>
    <w:rsid w:val="00EA5A63"/>
    <w:rsid w:val="00EA5E53"/>
    <w:rsid w:val="00EA6272"/>
    <w:rsid w:val="00EA6276"/>
    <w:rsid w:val="00EA71BF"/>
    <w:rsid w:val="00EB05C0"/>
    <w:rsid w:val="00EB0B69"/>
    <w:rsid w:val="00EB0CCF"/>
    <w:rsid w:val="00EB1108"/>
    <w:rsid w:val="00EB1161"/>
    <w:rsid w:val="00EB12EB"/>
    <w:rsid w:val="00EB290A"/>
    <w:rsid w:val="00EB2A20"/>
    <w:rsid w:val="00EB388F"/>
    <w:rsid w:val="00EB41ED"/>
    <w:rsid w:val="00EB4630"/>
    <w:rsid w:val="00EB50EE"/>
    <w:rsid w:val="00EB5392"/>
    <w:rsid w:val="00EB59DE"/>
    <w:rsid w:val="00EB5B53"/>
    <w:rsid w:val="00EB5CA8"/>
    <w:rsid w:val="00EB6394"/>
    <w:rsid w:val="00EB6427"/>
    <w:rsid w:val="00EB6561"/>
    <w:rsid w:val="00EB66D6"/>
    <w:rsid w:val="00EB6780"/>
    <w:rsid w:val="00EB6970"/>
    <w:rsid w:val="00EB6EDD"/>
    <w:rsid w:val="00EB6F97"/>
    <w:rsid w:val="00EB7225"/>
    <w:rsid w:val="00EB7447"/>
    <w:rsid w:val="00EB7818"/>
    <w:rsid w:val="00EB7B61"/>
    <w:rsid w:val="00EB7C49"/>
    <w:rsid w:val="00EC0E9E"/>
    <w:rsid w:val="00EC1AA9"/>
    <w:rsid w:val="00EC1C31"/>
    <w:rsid w:val="00EC1C33"/>
    <w:rsid w:val="00EC1D2A"/>
    <w:rsid w:val="00EC2941"/>
    <w:rsid w:val="00EC2AE9"/>
    <w:rsid w:val="00EC2D49"/>
    <w:rsid w:val="00EC394C"/>
    <w:rsid w:val="00EC3CD1"/>
    <w:rsid w:val="00EC3D50"/>
    <w:rsid w:val="00EC457C"/>
    <w:rsid w:val="00EC463E"/>
    <w:rsid w:val="00EC4A4D"/>
    <w:rsid w:val="00EC4C66"/>
    <w:rsid w:val="00EC53E5"/>
    <w:rsid w:val="00EC559A"/>
    <w:rsid w:val="00EC6649"/>
    <w:rsid w:val="00EC68FD"/>
    <w:rsid w:val="00ED01E3"/>
    <w:rsid w:val="00ED04FB"/>
    <w:rsid w:val="00ED090D"/>
    <w:rsid w:val="00ED0A50"/>
    <w:rsid w:val="00ED0B0C"/>
    <w:rsid w:val="00ED0D88"/>
    <w:rsid w:val="00ED1C8B"/>
    <w:rsid w:val="00ED1DAD"/>
    <w:rsid w:val="00ED2476"/>
    <w:rsid w:val="00ED2EC2"/>
    <w:rsid w:val="00ED3190"/>
    <w:rsid w:val="00ED31D5"/>
    <w:rsid w:val="00ED3353"/>
    <w:rsid w:val="00ED3370"/>
    <w:rsid w:val="00ED3577"/>
    <w:rsid w:val="00ED38D4"/>
    <w:rsid w:val="00ED3B4E"/>
    <w:rsid w:val="00ED427F"/>
    <w:rsid w:val="00ED4A0B"/>
    <w:rsid w:val="00ED4B22"/>
    <w:rsid w:val="00ED4DED"/>
    <w:rsid w:val="00ED4E45"/>
    <w:rsid w:val="00ED53C8"/>
    <w:rsid w:val="00ED5781"/>
    <w:rsid w:val="00ED5EA6"/>
    <w:rsid w:val="00ED62AD"/>
    <w:rsid w:val="00ED6971"/>
    <w:rsid w:val="00ED7128"/>
    <w:rsid w:val="00ED7373"/>
    <w:rsid w:val="00ED750A"/>
    <w:rsid w:val="00ED7514"/>
    <w:rsid w:val="00ED78AD"/>
    <w:rsid w:val="00ED7972"/>
    <w:rsid w:val="00ED7EC8"/>
    <w:rsid w:val="00ED7FED"/>
    <w:rsid w:val="00EE0881"/>
    <w:rsid w:val="00EE0FAD"/>
    <w:rsid w:val="00EE18A5"/>
    <w:rsid w:val="00EE1CA9"/>
    <w:rsid w:val="00EE1DC2"/>
    <w:rsid w:val="00EE26C9"/>
    <w:rsid w:val="00EE2F24"/>
    <w:rsid w:val="00EE3451"/>
    <w:rsid w:val="00EE354F"/>
    <w:rsid w:val="00EE3683"/>
    <w:rsid w:val="00EE3B2C"/>
    <w:rsid w:val="00EE41DB"/>
    <w:rsid w:val="00EE4B05"/>
    <w:rsid w:val="00EE4DFF"/>
    <w:rsid w:val="00EE4E68"/>
    <w:rsid w:val="00EE4E71"/>
    <w:rsid w:val="00EE4EA7"/>
    <w:rsid w:val="00EE51C9"/>
    <w:rsid w:val="00EE57DE"/>
    <w:rsid w:val="00EE6422"/>
    <w:rsid w:val="00EE690F"/>
    <w:rsid w:val="00EE6C10"/>
    <w:rsid w:val="00EE78B2"/>
    <w:rsid w:val="00EE7B32"/>
    <w:rsid w:val="00EE7FCD"/>
    <w:rsid w:val="00EF053F"/>
    <w:rsid w:val="00EF0DA1"/>
    <w:rsid w:val="00EF10C6"/>
    <w:rsid w:val="00EF1834"/>
    <w:rsid w:val="00EF1DB3"/>
    <w:rsid w:val="00EF1F1F"/>
    <w:rsid w:val="00EF38BD"/>
    <w:rsid w:val="00EF4244"/>
    <w:rsid w:val="00EF458B"/>
    <w:rsid w:val="00EF4737"/>
    <w:rsid w:val="00EF4868"/>
    <w:rsid w:val="00EF4A31"/>
    <w:rsid w:val="00EF4FF9"/>
    <w:rsid w:val="00EF6002"/>
    <w:rsid w:val="00EF682B"/>
    <w:rsid w:val="00EF6925"/>
    <w:rsid w:val="00EF6DAD"/>
    <w:rsid w:val="00EF7541"/>
    <w:rsid w:val="00EF765B"/>
    <w:rsid w:val="00EF7981"/>
    <w:rsid w:val="00EF7B0E"/>
    <w:rsid w:val="00F00243"/>
    <w:rsid w:val="00F008AE"/>
    <w:rsid w:val="00F02015"/>
    <w:rsid w:val="00F02CB7"/>
    <w:rsid w:val="00F02E51"/>
    <w:rsid w:val="00F035F2"/>
    <w:rsid w:val="00F03BBD"/>
    <w:rsid w:val="00F03E6D"/>
    <w:rsid w:val="00F03F9B"/>
    <w:rsid w:val="00F05A13"/>
    <w:rsid w:val="00F05DBA"/>
    <w:rsid w:val="00F06663"/>
    <w:rsid w:val="00F06B7E"/>
    <w:rsid w:val="00F06C5A"/>
    <w:rsid w:val="00F06CDD"/>
    <w:rsid w:val="00F0722A"/>
    <w:rsid w:val="00F07AEF"/>
    <w:rsid w:val="00F1080B"/>
    <w:rsid w:val="00F10859"/>
    <w:rsid w:val="00F109FC"/>
    <w:rsid w:val="00F113DD"/>
    <w:rsid w:val="00F116EF"/>
    <w:rsid w:val="00F11912"/>
    <w:rsid w:val="00F12178"/>
    <w:rsid w:val="00F12374"/>
    <w:rsid w:val="00F125DD"/>
    <w:rsid w:val="00F126C0"/>
    <w:rsid w:val="00F12C9B"/>
    <w:rsid w:val="00F12DD3"/>
    <w:rsid w:val="00F12E9D"/>
    <w:rsid w:val="00F135F4"/>
    <w:rsid w:val="00F13764"/>
    <w:rsid w:val="00F14CAE"/>
    <w:rsid w:val="00F14DD5"/>
    <w:rsid w:val="00F15EAC"/>
    <w:rsid w:val="00F16174"/>
    <w:rsid w:val="00F1641D"/>
    <w:rsid w:val="00F16D3C"/>
    <w:rsid w:val="00F1720C"/>
    <w:rsid w:val="00F178E0"/>
    <w:rsid w:val="00F17903"/>
    <w:rsid w:val="00F20250"/>
    <w:rsid w:val="00F209E9"/>
    <w:rsid w:val="00F21ADD"/>
    <w:rsid w:val="00F2221E"/>
    <w:rsid w:val="00F22734"/>
    <w:rsid w:val="00F2482F"/>
    <w:rsid w:val="00F24996"/>
    <w:rsid w:val="00F24A59"/>
    <w:rsid w:val="00F24FF0"/>
    <w:rsid w:val="00F255DB"/>
    <w:rsid w:val="00F26298"/>
    <w:rsid w:val="00F265B6"/>
    <w:rsid w:val="00F271CA"/>
    <w:rsid w:val="00F271F2"/>
    <w:rsid w:val="00F301A0"/>
    <w:rsid w:val="00F30353"/>
    <w:rsid w:val="00F305DF"/>
    <w:rsid w:val="00F306D6"/>
    <w:rsid w:val="00F314CC"/>
    <w:rsid w:val="00F31F89"/>
    <w:rsid w:val="00F32D3C"/>
    <w:rsid w:val="00F32D61"/>
    <w:rsid w:val="00F34B99"/>
    <w:rsid w:val="00F34B9E"/>
    <w:rsid w:val="00F34C82"/>
    <w:rsid w:val="00F34F4C"/>
    <w:rsid w:val="00F350CC"/>
    <w:rsid w:val="00F354B8"/>
    <w:rsid w:val="00F35DBB"/>
    <w:rsid w:val="00F35E28"/>
    <w:rsid w:val="00F35EFB"/>
    <w:rsid w:val="00F360AA"/>
    <w:rsid w:val="00F3648D"/>
    <w:rsid w:val="00F36A00"/>
    <w:rsid w:val="00F36ABD"/>
    <w:rsid w:val="00F36DF7"/>
    <w:rsid w:val="00F36E10"/>
    <w:rsid w:val="00F377F4"/>
    <w:rsid w:val="00F400A4"/>
    <w:rsid w:val="00F40227"/>
    <w:rsid w:val="00F40595"/>
    <w:rsid w:val="00F40AED"/>
    <w:rsid w:val="00F40B6C"/>
    <w:rsid w:val="00F40C87"/>
    <w:rsid w:val="00F41260"/>
    <w:rsid w:val="00F41737"/>
    <w:rsid w:val="00F41A92"/>
    <w:rsid w:val="00F41EFB"/>
    <w:rsid w:val="00F421CD"/>
    <w:rsid w:val="00F42BFB"/>
    <w:rsid w:val="00F43CD0"/>
    <w:rsid w:val="00F43E09"/>
    <w:rsid w:val="00F443E9"/>
    <w:rsid w:val="00F445AE"/>
    <w:rsid w:val="00F446A1"/>
    <w:rsid w:val="00F447A8"/>
    <w:rsid w:val="00F45E9C"/>
    <w:rsid w:val="00F460C5"/>
    <w:rsid w:val="00F4647C"/>
    <w:rsid w:val="00F46AB3"/>
    <w:rsid w:val="00F4762B"/>
    <w:rsid w:val="00F47EEC"/>
    <w:rsid w:val="00F50209"/>
    <w:rsid w:val="00F50993"/>
    <w:rsid w:val="00F515B5"/>
    <w:rsid w:val="00F51808"/>
    <w:rsid w:val="00F51942"/>
    <w:rsid w:val="00F51F8B"/>
    <w:rsid w:val="00F520A0"/>
    <w:rsid w:val="00F5233A"/>
    <w:rsid w:val="00F529B7"/>
    <w:rsid w:val="00F52A84"/>
    <w:rsid w:val="00F53276"/>
    <w:rsid w:val="00F53420"/>
    <w:rsid w:val="00F5396A"/>
    <w:rsid w:val="00F53F62"/>
    <w:rsid w:val="00F5460B"/>
    <w:rsid w:val="00F5465C"/>
    <w:rsid w:val="00F5544E"/>
    <w:rsid w:val="00F556B9"/>
    <w:rsid w:val="00F5580A"/>
    <w:rsid w:val="00F55992"/>
    <w:rsid w:val="00F559BE"/>
    <w:rsid w:val="00F55CC6"/>
    <w:rsid w:val="00F55CC9"/>
    <w:rsid w:val="00F55E1E"/>
    <w:rsid w:val="00F5600A"/>
    <w:rsid w:val="00F56A84"/>
    <w:rsid w:val="00F56B18"/>
    <w:rsid w:val="00F57139"/>
    <w:rsid w:val="00F57C38"/>
    <w:rsid w:val="00F60005"/>
    <w:rsid w:val="00F600DC"/>
    <w:rsid w:val="00F60D34"/>
    <w:rsid w:val="00F612D7"/>
    <w:rsid w:val="00F61B8F"/>
    <w:rsid w:val="00F61C02"/>
    <w:rsid w:val="00F61DCF"/>
    <w:rsid w:val="00F624F5"/>
    <w:rsid w:val="00F62A17"/>
    <w:rsid w:val="00F63473"/>
    <w:rsid w:val="00F63666"/>
    <w:rsid w:val="00F63A8F"/>
    <w:rsid w:val="00F63AAC"/>
    <w:rsid w:val="00F644F3"/>
    <w:rsid w:val="00F64F8A"/>
    <w:rsid w:val="00F65448"/>
    <w:rsid w:val="00F65882"/>
    <w:rsid w:val="00F65BC1"/>
    <w:rsid w:val="00F65CF4"/>
    <w:rsid w:val="00F65DC8"/>
    <w:rsid w:val="00F66087"/>
    <w:rsid w:val="00F6616F"/>
    <w:rsid w:val="00F663EA"/>
    <w:rsid w:val="00F6641C"/>
    <w:rsid w:val="00F66555"/>
    <w:rsid w:val="00F666EA"/>
    <w:rsid w:val="00F67048"/>
    <w:rsid w:val="00F678F0"/>
    <w:rsid w:val="00F67A6A"/>
    <w:rsid w:val="00F67B68"/>
    <w:rsid w:val="00F67C68"/>
    <w:rsid w:val="00F67EDA"/>
    <w:rsid w:val="00F708A1"/>
    <w:rsid w:val="00F7093B"/>
    <w:rsid w:val="00F70F69"/>
    <w:rsid w:val="00F711C0"/>
    <w:rsid w:val="00F714F3"/>
    <w:rsid w:val="00F7172F"/>
    <w:rsid w:val="00F71AC1"/>
    <w:rsid w:val="00F71D4A"/>
    <w:rsid w:val="00F71E2B"/>
    <w:rsid w:val="00F71E45"/>
    <w:rsid w:val="00F729FD"/>
    <w:rsid w:val="00F72B4B"/>
    <w:rsid w:val="00F72D35"/>
    <w:rsid w:val="00F72E57"/>
    <w:rsid w:val="00F7317F"/>
    <w:rsid w:val="00F73B19"/>
    <w:rsid w:val="00F740B1"/>
    <w:rsid w:val="00F74181"/>
    <w:rsid w:val="00F74519"/>
    <w:rsid w:val="00F74CDF"/>
    <w:rsid w:val="00F75239"/>
    <w:rsid w:val="00F75339"/>
    <w:rsid w:val="00F75568"/>
    <w:rsid w:val="00F75CCD"/>
    <w:rsid w:val="00F7666A"/>
    <w:rsid w:val="00F767B0"/>
    <w:rsid w:val="00F76B48"/>
    <w:rsid w:val="00F76C13"/>
    <w:rsid w:val="00F77173"/>
    <w:rsid w:val="00F7788F"/>
    <w:rsid w:val="00F8050C"/>
    <w:rsid w:val="00F8082E"/>
    <w:rsid w:val="00F80CFF"/>
    <w:rsid w:val="00F81D7C"/>
    <w:rsid w:val="00F81DA9"/>
    <w:rsid w:val="00F8292F"/>
    <w:rsid w:val="00F82C4B"/>
    <w:rsid w:val="00F82D0C"/>
    <w:rsid w:val="00F8376B"/>
    <w:rsid w:val="00F83CB1"/>
    <w:rsid w:val="00F840C0"/>
    <w:rsid w:val="00F840EF"/>
    <w:rsid w:val="00F853BD"/>
    <w:rsid w:val="00F86736"/>
    <w:rsid w:val="00F86793"/>
    <w:rsid w:val="00F86901"/>
    <w:rsid w:val="00F86D6A"/>
    <w:rsid w:val="00F86D89"/>
    <w:rsid w:val="00F86F9F"/>
    <w:rsid w:val="00F87458"/>
    <w:rsid w:val="00F875B8"/>
    <w:rsid w:val="00F876F5"/>
    <w:rsid w:val="00F87AED"/>
    <w:rsid w:val="00F87DAB"/>
    <w:rsid w:val="00F9022E"/>
    <w:rsid w:val="00F90528"/>
    <w:rsid w:val="00F90878"/>
    <w:rsid w:val="00F90D7B"/>
    <w:rsid w:val="00F91458"/>
    <w:rsid w:val="00F918A0"/>
    <w:rsid w:val="00F91959"/>
    <w:rsid w:val="00F91B58"/>
    <w:rsid w:val="00F91CEB"/>
    <w:rsid w:val="00F91FAE"/>
    <w:rsid w:val="00F92062"/>
    <w:rsid w:val="00F92147"/>
    <w:rsid w:val="00F922F7"/>
    <w:rsid w:val="00F92456"/>
    <w:rsid w:val="00F92EC9"/>
    <w:rsid w:val="00F9355B"/>
    <w:rsid w:val="00F93F2F"/>
    <w:rsid w:val="00F94996"/>
    <w:rsid w:val="00F958C4"/>
    <w:rsid w:val="00F95A9E"/>
    <w:rsid w:val="00F95EA2"/>
    <w:rsid w:val="00F966BE"/>
    <w:rsid w:val="00F9680A"/>
    <w:rsid w:val="00F97199"/>
    <w:rsid w:val="00F978F7"/>
    <w:rsid w:val="00F97A84"/>
    <w:rsid w:val="00F97D9F"/>
    <w:rsid w:val="00F97EF1"/>
    <w:rsid w:val="00FA00B3"/>
    <w:rsid w:val="00FA016A"/>
    <w:rsid w:val="00FA040F"/>
    <w:rsid w:val="00FA0868"/>
    <w:rsid w:val="00FA0C75"/>
    <w:rsid w:val="00FA14FE"/>
    <w:rsid w:val="00FA1610"/>
    <w:rsid w:val="00FA1718"/>
    <w:rsid w:val="00FA1951"/>
    <w:rsid w:val="00FA1A18"/>
    <w:rsid w:val="00FA1A5A"/>
    <w:rsid w:val="00FA1C4E"/>
    <w:rsid w:val="00FA258E"/>
    <w:rsid w:val="00FA2B01"/>
    <w:rsid w:val="00FA2B2F"/>
    <w:rsid w:val="00FA2BE9"/>
    <w:rsid w:val="00FA2FAD"/>
    <w:rsid w:val="00FA36EC"/>
    <w:rsid w:val="00FA3835"/>
    <w:rsid w:val="00FA3FA0"/>
    <w:rsid w:val="00FA41BE"/>
    <w:rsid w:val="00FA46E1"/>
    <w:rsid w:val="00FA526E"/>
    <w:rsid w:val="00FA5921"/>
    <w:rsid w:val="00FA61EE"/>
    <w:rsid w:val="00FA6435"/>
    <w:rsid w:val="00FA708D"/>
    <w:rsid w:val="00FA7166"/>
    <w:rsid w:val="00FA7367"/>
    <w:rsid w:val="00FA7762"/>
    <w:rsid w:val="00FA78DA"/>
    <w:rsid w:val="00FA7922"/>
    <w:rsid w:val="00FA7D14"/>
    <w:rsid w:val="00FB0750"/>
    <w:rsid w:val="00FB0825"/>
    <w:rsid w:val="00FB106B"/>
    <w:rsid w:val="00FB12E2"/>
    <w:rsid w:val="00FB171D"/>
    <w:rsid w:val="00FB1947"/>
    <w:rsid w:val="00FB2081"/>
    <w:rsid w:val="00FB2CF8"/>
    <w:rsid w:val="00FB2FA3"/>
    <w:rsid w:val="00FB3525"/>
    <w:rsid w:val="00FB375C"/>
    <w:rsid w:val="00FB3B78"/>
    <w:rsid w:val="00FB3E02"/>
    <w:rsid w:val="00FB3E9F"/>
    <w:rsid w:val="00FB41B1"/>
    <w:rsid w:val="00FB4780"/>
    <w:rsid w:val="00FB4A48"/>
    <w:rsid w:val="00FB51A8"/>
    <w:rsid w:val="00FB5640"/>
    <w:rsid w:val="00FB57E9"/>
    <w:rsid w:val="00FB588C"/>
    <w:rsid w:val="00FB5F5A"/>
    <w:rsid w:val="00FB6092"/>
    <w:rsid w:val="00FB60B7"/>
    <w:rsid w:val="00FB6197"/>
    <w:rsid w:val="00FB6259"/>
    <w:rsid w:val="00FB654C"/>
    <w:rsid w:val="00FB65FF"/>
    <w:rsid w:val="00FB6A54"/>
    <w:rsid w:val="00FB6DDF"/>
    <w:rsid w:val="00FB71AF"/>
    <w:rsid w:val="00FB764A"/>
    <w:rsid w:val="00FC0281"/>
    <w:rsid w:val="00FC02B6"/>
    <w:rsid w:val="00FC04BB"/>
    <w:rsid w:val="00FC07BD"/>
    <w:rsid w:val="00FC0C55"/>
    <w:rsid w:val="00FC181E"/>
    <w:rsid w:val="00FC1EB5"/>
    <w:rsid w:val="00FC1FA6"/>
    <w:rsid w:val="00FC232F"/>
    <w:rsid w:val="00FC27F7"/>
    <w:rsid w:val="00FC2DE4"/>
    <w:rsid w:val="00FC34FD"/>
    <w:rsid w:val="00FC3971"/>
    <w:rsid w:val="00FC3C8D"/>
    <w:rsid w:val="00FC4B1D"/>
    <w:rsid w:val="00FC55FF"/>
    <w:rsid w:val="00FC5BD2"/>
    <w:rsid w:val="00FC629E"/>
    <w:rsid w:val="00FC6419"/>
    <w:rsid w:val="00FC7221"/>
    <w:rsid w:val="00FC75EB"/>
    <w:rsid w:val="00FC7625"/>
    <w:rsid w:val="00FC78AA"/>
    <w:rsid w:val="00FC7A15"/>
    <w:rsid w:val="00FC7B2B"/>
    <w:rsid w:val="00FC7CF4"/>
    <w:rsid w:val="00FC7F70"/>
    <w:rsid w:val="00FD10CB"/>
    <w:rsid w:val="00FD1151"/>
    <w:rsid w:val="00FD1541"/>
    <w:rsid w:val="00FD1A34"/>
    <w:rsid w:val="00FD1A72"/>
    <w:rsid w:val="00FD1FBC"/>
    <w:rsid w:val="00FD202A"/>
    <w:rsid w:val="00FD4184"/>
    <w:rsid w:val="00FD436F"/>
    <w:rsid w:val="00FD4A8D"/>
    <w:rsid w:val="00FD4EA6"/>
    <w:rsid w:val="00FD5191"/>
    <w:rsid w:val="00FD62AA"/>
    <w:rsid w:val="00FD63C8"/>
    <w:rsid w:val="00FD68E0"/>
    <w:rsid w:val="00FD6E26"/>
    <w:rsid w:val="00FD73BB"/>
    <w:rsid w:val="00FD75D9"/>
    <w:rsid w:val="00FD7A56"/>
    <w:rsid w:val="00FD7D4D"/>
    <w:rsid w:val="00FD7F9B"/>
    <w:rsid w:val="00FE028F"/>
    <w:rsid w:val="00FE02F4"/>
    <w:rsid w:val="00FE11D0"/>
    <w:rsid w:val="00FE1AAD"/>
    <w:rsid w:val="00FE1B6E"/>
    <w:rsid w:val="00FE1E97"/>
    <w:rsid w:val="00FE24FC"/>
    <w:rsid w:val="00FE312E"/>
    <w:rsid w:val="00FE3237"/>
    <w:rsid w:val="00FE33E0"/>
    <w:rsid w:val="00FE3578"/>
    <w:rsid w:val="00FE37AF"/>
    <w:rsid w:val="00FE3EA5"/>
    <w:rsid w:val="00FE476F"/>
    <w:rsid w:val="00FE539F"/>
    <w:rsid w:val="00FE53DD"/>
    <w:rsid w:val="00FE588B"/>
    <w:rsid w:val="00FE5C35"/>
    <w:rsid w:val="00FE5C7D"/>
    <w:rsid w:val="00FE65AB"/>
    <w:rsid w:val="00FE6C41"/>
    <w:rsid w:val="00FE6C44"/>
    <w:rsid w:val="00FE6CAC"/>
    <w:rsid w:val="00FE71D2"/>
    <w:rsid w:val="00FE758D"/>
    <w:rsid w:val="00FE7CE6"/>
    <w:rsid w:val="00FF0CDF"/>
    <w:rsid w:val="00FF0DB4"/>
    <w:rsid w:val="00FF0DD1"/>
    <w:rsid w:val="00FF1209"/>
    <w:rsid w:val="00FF1423"/>
    <w:rsid w:val="00FF1933"/>
    <w:rsid w:val="00FF2173"/>
    <w:rsid w:val="00FF2415"/>
    <w:rsid w:val="00FF3D60"/>
    <w:rsid w:val="00FF3E53"/>
    <w:rsid w:val="00FF457C"/>
    <w:rsid w:val="00FF4AFC"/>
    <w:rsid w:val="00FF4C6C"/>
    <w:rsid w:val="00FF4CD7"/>
    <w:rsid w:val="00FF4EB8"/>
    <w:rsid w:val="00FF58F8"/>
    <w:rsid w:val="00FF605C"/>
    <w:rsid w:val="00FF6D77"/>
    <w:rsid w:val="00FF707B"/>
    <w:rsid w:val="00FF70E4"/>
    <w:rsid w:val="00FF77EF"/>
    <w:rsid w:val="00FF79E5"/>
    <w:rsid w:val="00FF7D61"/>
    <w:rsid w:val="01036625"/>
    <w:rsid w:val="0122E43A"/>
    <w:rsid w:val="0131A338"/>
    <w:rsid w:val="013396A0"/>
    <w:rsid w:val="01391416"/>
    <w:rsid w:val="0143B98D"/>
    <w:rsid w:val="014FCC0C"/>
    <w:rsid w:val="0164C312"/>
    <w:rsid w:val="018C591A"/>
    <w:rsid w:val="0192DC49"/>
    <w:rsid w:val="01980546"/>
    <w:rsid w:val="01AE671D"/>
    <w:rsid w:val="01BECE0A"/>
    <w:rsid w:val="01E7A011"/>
    <w:rsid w:val="01FCF97E"/>
    <w:rsid w:val="021B7CC1"/>
    <w:rsid w:val="022E4065"/>
    <w:rsid w:val="0233C60D"/>
    <w:rsid w:val="0235FB1A"/>
    <w:rsid w:val="023A3152"/>
    <w:rsid w:val="024753F6"/>
    <w:rsid w:val="024C9875"/>
    <w:rsid w:val="0257D961"/>
    <w:rsid w:val="026531DD"/>
    <w:rsid w:val="0282CD13"/>
    <w:rsid w:val="02A58915"/>
    <w:rsid w:val="02A842A8"/>
    <w:rsid w:val="032EDE13"/>
    <w:rsid w:val="03437A96"/>
    <w:rsid w:val="034C1023"/>
    <w:rsid w:val="03C387B5"/>
    <w:rsid w:val="03E7F384"/>
    <w:rsid w:val="03FD8033"/>
    <w:rsid w:val="04068C35"/>
    <w:rsid w:val="042B2671"/>
    <w:rsid w:val="044DE01C"/>
    <w:rsid w:val="0464425C"/>
    <w:rsid w:val="04C07E47"/>
    <w:rsid w:val="05295216"/>
    <w:rsid w:val="05587A38"/>
    <w:rsid w:val="059DB5CE"/>
    <w:rsid w:val="05B0CD69"/>
    <w:rsid w:val="05EF04BC"/>
    <w:rsid w:val="06300A34"/>
    <w:rsid w:val="065DA91B"/>
    <w:rsid w:val="06603460"/>
    <w:rsid w:val="06918ED0"/>
    <w:rsid w:val="06A079BA"/>
    <w:rsid w:val="06AA20DF"/>
    <w:rsid w:val="06AC57E2"/>
    <w:rsid w:val="07259984"/>
    <w:rsid w:val="0735F382"/>
    <w:rsid w:val="07457785"/>
    <w:rsid w:val="075BAC8C"/>
    <w:rsid w:val="076F535A"/>
    <w:rsid w:val="0775F6EC"/>
    <w:rsid w:val="0786B03B"/>
    <w:rsid w:val="078B75F0"/>
    <w:rsid w:val="07920A72"/>
    <w:rsid w:val="07D23B88"/>
    <w:rsid w:val="084561E4"/>
    <w:rsid w:val="0880238E"/>
    <w:rsid w:val="088AE71D"/>
    <w:rsid w:val="08A4D77B"/>
    <w:rsid w:val="08CC45D3"/>
    <w:rsid w:val="090F4A66"/>
    <w:rsid w:val="0935F5BF"/>
    <w:rsid w:val="0937E191"/>
    <w:rsid w:val="094CD83C"/>
    <w:rsid w:val="09560FAE"/>
    <w:rsid w:val="09733583"/>
    <w:rsid w:val="098BACDE"/>
    <w:rsid w:val="098C4681"/>
    <w:rsid w:val="0995FF75"/>
    <w:rsid w:val="09CBBE8F"/>
    <w:rsid w:val="09E418A2"/>
    <w:rsid w:val="09F45CF4"/>
    <w:rsid w:val="0A1B2029"/>
    <w:rsid w:val="0A2252FA"/>
    <w:rsid w:val="0A2354D2"/>
    <w:rsid w:val="0AAB102A"/>
    <w:rsid w:val="0AB08231"/>
    <w:rsid w:val="0ABB4BF1"/>
    <w:rsid w:val="0ADD87BF"/>
    <w:rsid w:val="0B2CAF9B"/>
    <w:rsid w:val="0B3971AB"/>
    <w:rsid w:val="0B8980B3"/>
    <w:rsid w:val="0BA273F0"/>
    <w:rsid w:val="0BE9220B"/>
    <w:rsid w:val="0C090FFF"/>
    <w:rsid w:val="0C333B44"/>
    <w:rsid w:val="0C554F72"/>
    <w:rsid w:val="0CC7A18B"/>
    <w:rsid w:val="0D0D3069"/>
    <w:rsid w:val="0D30B525"/>
    <w:rsid w:val="0D37EAAC"/>
    <w:rsid w:val="0D38A502"/>
    <w:rsid w:val="0D40C5C6"/>
    <w:rsid w:val="0D49505D"/>
    <w:rsid w:val="0D58E793"/>
    <w:rsid w:val="0D8A5B48"/>
    <w:rsid w:val="0DB141D3"/>
    <w:rsid w:val="0DC63149"/>
    <w:rsid w:val="0DC8DF54"/>
    <w:rsid w:val="0DE78ED2"/>
    <w:rsid w:val="0DEDA953"/>
    <w:rsid w:val="0DF223B3"/>
    <w:rsid w:val="0E3DD497"/>
    <w:rsid w:val="0E5C1DE4"/>
    <w:rsid w:val="0E6D052F"/>
    <w:rsid w:val="0E78BBC4"/>
    <w:rsid w:val="0E7B930E"/>
    <w:rsid w:val="0E81F6FA"/>
    <w:rsid w:val="0E87CEB3"/>
    <w:rsid w:val="0EB2648B"/>
    <w:rsid w:val="0EC089FD"/>
    <w:rsid w:val="0ED9D2DC"/>
    <w:rsid w:val="0F5B4311"/>
    <w:rsid w:val="0F83C25A"/>
    <w:rsid w:val="0F915BAA"/>
    <w:rsid w:val="0FA1EB14"/>
    <w:rsid w:val="0FBADE80"/>
    <w:rsid w:val="0FBC6155"/>
    <w:rsid w:val="0FE60E9C"/>
    <w:rsid w:val="0FF118B5"/>
    <w:rsid w:val="105569F2"/>
    <w:rsid w:val="105D27C9"/>
    <w:rsid w:val="10675D87"/>
    <w:rsid w:val="10968EAE"/>
    <w:rsid w:val="10B854D9"/>
    <w:rsid w:val="10CE5966"/>
    <w:rsid w:val="10D9B694"/>
    <w:rsid w:val="10FA0239"/>
    <w:rsid w:val="110CF434"/>
    <w:rsid w:val="11197802"/>
    <w:rsid w:val="115D85F5"/>
    <w:rsid w:val="1170CD92"/>
    <w:rsid w:val="11B29C58"/>
    <w:rsid w:val="11F0006C"/>
    <w:rsid w:val="12111F78"/>
    <w:rsid w:val="1224D407"/>
    <w:rsid w:val="124BAE4C"/>
    <w:rsid w:val="12922756"/>
    <w:rsid w:val="12F1D14C"/>
    <w:rsid w:val="1314EE44"/>
    <w:rsid w:val="138A656F"/>
    <w:rsid w:val="13CAA419"/>
    <w:rsid w:val="13D50D8A"/>
    <w:rsid w:val="140D2333"/>
    <w:rsid w:val="14525813"/>
    <w:rsid w:val="1463E08D"/>
    <w:rsid w:val="14707C8E"/>
    <w:rsid w:val="1484AC2B"/>
    <w:rsid w:val="14B1A9AD"/>
    <w:rsid w:val="14CD4183"/>
    <w:rsid w:val="14EF3F04"/>
    <w:rsid w:val="15110D5B"/>
    <w:rsid w:val="15562AAC"/>
    <w:rsid w:val="158D16AE"/>
    <w:rsid w:val="15BC74E5"/>
    <w:rsid w:val="15D65DE1"/>
    <w:rsid w:val="15DA60AB"/>
    <w:rsid w:val="15EC497F"/>
    <w:rsid w:val="165440F2"/>
    <w:rsid w:val="16548F4A"/>
    <w:rsid w:val="166BD66D"/>
    <w:rsid w:val="167E8597"/>
    <w:rsid w:val="16807446"/>
    <w:rsid w:val="16BB17C7"/>
    <w:rsid w:val="16CFDB65"/>
    <w:rsid w:val="170D240F"/>
    <w:rsid w:val="1711E288"/>
    <w:rsid w:val="17282797"/>
    <w:rsid w:val="17563E01"/>
    <w:rsid w:val="1764B867"/>
    <w:rsid w:val="179053D8"/>
    <w:rsid w:val="183DD13D"/>
    <w:rsid w:val="18580AD5"/>
    <w:rsid w:val="187507B8"/>
    <w:rsid w:val="1893736F"/>
    <w:rsid w:val="18BC42DF"/>
    <w:rsid w:val="18BE1789"/>
    <w:rsid w:val="18D88E17"/>
    <w:rsid w:val="1923111F"/>
    <w:rsid w:val="19389BFD"/>
    <w:rsid w:val="1977B5AD"/>
    <w:rsid w:val="19A32550"/>
    <w:rsid w:val="19A4A61F"/>
    <w:rsid w:val="19C3A25B"/>
    <w:rsid w:val="19C6C029"/>
    <w:rsid w:val="19E87478"/>
    <w:rsid w:val="19EA6526"/>
    <w:rsid w:val="1A062907"/>
    <w:rsid w:val="1A34C69A"/>
    <w:rsid w:val="1A4CDDC8"/>
    <w:rsid w:val="1A9B4DF9"/>
    <w:rsid w:val="1AA31E53"/>
    <w:rsid w:val="1B11B38C"/>
    <w:rsid w:val="1B1EE443"/>
    <w:rsid w:val="1B250069"/>
    <w:rsid w:val="1B644D08"/>
    <w:rsid w:val="1BD84536"/>
    <w:rsid w:val="1C1975E6"/>
    <w:rsid w:val="1C39C81E"/>
    <w:rsid w:val="1C3C0341"/>
    <w:rsid w:val="1C4700DD"/>
    <w:rsid w:val="1C8B3D1D"/>
    <w:rsid w:val="1C986E8B"/>
    <w:rsid w:val="1CC7555E"/>
    <w:rsid w:val="1CD74ED3"/>
    <w:rsid w:val="1CD936E2"/>
    <w:rsid w:val="1CDF4ECB"/>
    <w:rsid w:val="1CDFDE06"/>
    <w:rsid w:val="1CF883D9"/>
    <w:rsid w:val="1CFE9254"/>
    <w:rsid w:val="1D08FE59"/>
    <w:rsid w:val="1D0C4C4D"/>
    <w:rsid w:val="1D2FC937"/>
    <w:rsid w:val="1D4AC003"/>
    <w:rsid w:val="1D6B74D4"/>
    <w:rsid w:val="1D71944F"/>
    <w:rsid w:val="1D741B12"/>
    <w:rsid w:val="1DC7DC5F"/>
    <w:rsid w:val="1DDA369B"/>
    <w:rsid w:val="1DE2B8FE"/>
    <w:rsid w:val="1E1E80E8"/>
    <w:rsid w:val="1E3BAC4B"/>
    <w:rsid w:val="1E43D52D"/>
    <w:rsid w:val="1E9524E6"/>
    <w:rsid w:val="1E9D4DCF"/>
    <w:rsid w:val="1EA12C42"/>
    <w:rsid w:val="1EA67C0E"/>
    <w:rsid w:val="1EA76FA7"/>
    <w:rsid w:val="1EB4D0E8"/>
    <w:rsid w:val="1EC25EFE"/>
    <w:rsid w:val="1ED21246"/>
    <w:rsid w:val="1EF1C570"/>
    <w:rsid w:val="1F238745"/>
    <w:rsid w:val="1F6191F0"/>
    <w:rsid w:val="1F6DD952"/>
    <w:rsid w:val="1F864ECA"/>
    <w:rsid w:val="1FA8983F"/>
    <w:rsid w:val="1FCB2532"/>
    <w:rsid w:val="1FD16126"/>
    <w:rsid w:val="200005A2"/>
    <w:rsid w:val="2035054A"/>
    <w:rsid w:val="206A5F49"/>
    <w:rsid w:val="20B23988"/>
    <w:rsid w:val="20B49A15"/>
    <w:rsid w:val="20F1AD2F"/>
    <w:rsid w:val="20F7370B"/>
    <w:rsid w:val="212BB5DD"/>
    <w:rsid w:val="2130B9A1"/>
    <w:rsid w:val="2155F9D1"/>
    <w:rsid w:val="2162A1B9"/>
    <w:rsid w:val="2198FBCE"/>
    <w:rsid w:val="21D46359"/>
    <w:rsid w:val="21F2DFF5"/>
    <w:rsid w:val="2209D498"/>
    <w:rsid w:val="22155516"/>
    <w:rsid w:val="22458A2D"/>
    <w:rsid w:val="224F5D44"/>
    <w:rsid w:val="2296A8D0"/>
    <w:rsid w:val="229B71E4"/>
    <w:rsid w:val="22E2A943"/>
    <w:rsid w:val="235880EB"/>
    <w:rsid w:val="2365C0DC"/>
    <w:rsid w:val="2381E6C5"/>
    <w:rsid w:val="23AE3A3D"/>
    <w:rsid w:val="23D2D08F"/>
    <w:rsid w:val="240B2A99"/>
    <w:rsid w:val="2423A158"/>
    <w:rsid w:val="24482384"/>
    <w:rsid w:val="244B1E23"/>
    <w:rsid w:val="246D5580"/>
    <w:rsid w:val="24707FB4"/>
    <w:rsid w:val="247D05C9"/>
    <w:rsid w:val="24A41316"/>
    <w:rsid w:val="24B5F76B"/>
    <w:rsid w:val="24C52C83"/>
    <w:rsid w:val="24E19563"/>
    <w:rsid w:val="25237B8B"/>
    <w:rsid w:val="253461D2"/>
    <w:rsid w:val="25672079"/>
    <w:rsid w:val="25980250"/>
    <w:rsid w:val="259BB8FA"/>
    <w:rsid w:val="25C7F0C7"/>
    <w:rsid w:val="25F8126B"/>
    <w:rsid w:val="261CE1E9"/>
    <w:rsid w:val="2627985B"/>
    <w:rsid w:val="262C0F9B"/>
    <w:rsid w:val="262FF3B7"/>
    <w:rsid w:val="26840641"/>
    <w:rsid w:val="268467A8"/>
    <w:rsid w:val="26CF68F8"/>
    <w:rsid w:val="26E3EF5C"/>
    <w:rsid w:val="26F87270"/>
    <w:rsid w:val="2701BD18"/>
    <w:rsid w:val="271B5FF0"/>
    <w:rsid w:val="272C0568"/>
    <w:rsid w:val="27324FF7"/>
    <w:rsid w:val="276E14D5"/>
    <w:rsid w:val="278DA247"/>
    <w:rsid w:val="27A788FE"/>
    <w:rsid w:val="27BC05B2"/>
    <w:rsid w:val="27FD9FCC"/>
    <w:rsid w:val="280891FE"/>
    <w:rsid w:val="289AA0EC"/>
    <w:rsid w:val="28B52C11"/>
    <w:rsid w:val="28BDC0B8"/>
    <w:rsid w:val="28F8BBD2"/>
    <w:rsid w:val="291ABFC5"/>
    <w:rsid w:val="29278188"/>
    <w:rsid w:val="29375F3A"/>
    <w:rsid w:val="29411AC3"/>
    <w:rsid w:val="2982203B"/>
    <w:rsid w:val="29BA3274"/>
    <w:rsid w:val="29CBED11"/>
    <w:rsid w:val="29EE7722"/>
    <w:rsid w:val="2A181F25"/>
    <w:rsid w:val="2A8C6AEF"/>
    <w:rsid w:val="2AAC2DAE"/>
    <w:rsid w:val="2ABBE90C"/>
    <w:rsid w:val="2ABCDA7E"/>
    <w:rsid w:val="2ACC0C5E"/>
    <w:rsid w:val="2ACCA63A"/>
    <w:rsid w:val="2ADCD128"/>
    <w:rsid w:val="2AE466CF"/>
    <w:rsid w:val="2AEB909D"/>
    <w:rsid w:val="2AFB00AB"/>
    <w:rsid w:val="2B0000EB"/>
    <w:rsid w:val="2B2FEC2C"/>
    <w:rsid w:val="2B565796"/>
    <w:rsid w:val="2B5FE896"/>
    <w:rsid w:val="2B6B9508"/>
    <w:rsid w:val="2B71BC21"/>
    <w:rsid w:val="2B92B906"/>
    <w:rsid w:val="2BA40ABF"/>
    <w:rsid w:val="2C0CB8D4"/>
    <w:rsid w:val="2C332D1E"/>
    <w:rsid w:val="2C434C92"/>
    <w:rsid w:val="2C4784B8"/>
    <w:rsid w:val="2C6840F9"/>
    <w:rsid w:val="2C6D96DB"/>
    <w:rsid w:val="2C879977"/>
    <w:rsid w:val="2C8C744C"/>
    <w:rsid w:val="2CD407DA"/>
    <w:rsid w:val="2CFFEC61"/>
    <w:rsid w:val="2D1DD496"/>
    <w:rsid w:val="2D369751"/>
    <w:rsid w:val="2D5ADDFF"/>
    <w:rsid w:val="2D886C09"/>
    <w:rsid w:val="2D8CD1B0"/>
    <w:rsid w:val="2DBCECF7"/>
    <w:rsid w:val="2DBE1EB9"/>
    <w:rsid w:val="2DC60C3F"/>
    <w:rsid w:val="2E1A3A62"/>
    <w:rsid w:val="2E3F8894"/>
    <w:rsid w:val="2E508B7A"/>
    <w:rsid w:val="2E7C216D"/>
    <w:rsid w:val="2F3DACCD"/>
    <w:rsid w:val="2F5E4048"/>
    <w:rsid w:val="2FB99532"/>
    <w:rsid w:val="300CBE00"/>
    <w:rsid w:val="30A1BEDD"/>
    <w:rsid w:val="30A24967"/>
    <w:rsid w:val="30B29654"/>
    <w:rsid w:val="30B81E9A"/>
    <w:rsid w:val="30DADAFB"/>
    <w:rsid w:val="30EED7A5"/>
    <w:rsid w:val="317BEC8B"/>
    <w:rsid w:val="3189B216"/>
    <w:rsid w:val="31AADB4D"/>
    <w:rsid w:val="31BF1B36"/>
    <w:rsid w:val="31EDE8AA"/>
    <w:rsid w:val="3215E73F"/>
    <w:rsid w:val="32372FCD"/>
    <w:rsid w:val="326BBE2D"/>
    <w:rsid w:val="32863DD3"/>
    <w:rsid w:val="32B0C464"/>
    <w:rsid w:val="32DDFA85"/>
    <w:rsid w:val="330E775C"/>
    <w:rsid w:val="33174A8F"/>
    <w:rsid w:val="3319F2B9"/>
    <w:rsid w:val="33293406"/>
    <w:rsid w:val="33443516"/>
    <w:rsid w:val="33859C72"/>
    <w:rsid w:val="3385C5AF"/>
    <w:rsid w:val="33AB6744"/>
    <w:rsid w:val="33BAC116"/>
    <w:rsid w:val="33CEB4C2"/>
    <w:rsid w:val="33E8A4B5"/>
    <w:rsid w:val="3423B3DE"/>
    <w:rsid w:val="34441433"/>
    <w:rsid w:val="34A8F73E"/>
    <w:rsid w:val="34BE6DAE"/>
    <w:rsid w:val="34F139AE"/>
    <w:rsid w:val="351DE76F"/>
    <w:rsid w:val="3528B3AD"/>
    <w:rsid w:val="35421673"/>
    <w:rsid w:val="35538297"/>
    <w:rsid w:val="356D9596"/>
    <w:rsid w:val="356DAA9C"/>
    <w:rsid w:val="3584530C"/>
    <w:rsid w:val="358C7831"/>
    <w:rsid w:val="35C96039"/>
    <w:rsid w:val="35DDF1A9"/>
    <w:rsid w:val="35E8FEC8"/>
    <w:rsid w:val="360089B7"/>
    <w:rsid w:val="3613D3E2"/>
    <w:rsid w:val="3650FC03"/>
    <w:rsid w:val="365BCE93"/>
    <w:rsid w:val="367536E3"/>
    <w:rsid w:val="3679C5C7"/>
    <w:rsid w:val="368732CE"/>
    <w:rsid w:val="36B65CAC"/>
    <w:rsid w:val="36B9FAB2"/>
    <w:rsid w:val="36DC7B76"/>
    <w:rsid w:val="372440C1"/>
    <w:rsid w:val="37741A58"/>
    <w:rsid w:val="3803BFB4"/>
    <w:rsid w:val="380A15B4"/>
    <w:rsid w:val="3824D29D"/>
    <w:rsid w:val="384B1189"/>
    <w:rsid w:val="38904746"/>
    <w:rsid w:val="38A1A042"/>
    <w:rsid w:val="38DB1123"/>
    <w:rsid w:val="38E85001"/>
    <w:rsid w:val="38EB6BDE"/>
    <w:rsid w:val="38EDDBD6"/>
    <w:rsid w:val="38F1E31D"/>
    <w:rsid w:val="390F4AAB"/>
    <w:rsid w:val="3916D8E0"/>
    <w:rsid w:val="39348D78"/>
    <w:rsid w:val="394D9C3A"/>
    <w:rsid w:val="39509313"/>
    <w:rsid w:val="3961C00C"/>
    <w:rsid w:val="397F576E"/>
    <w:rsid w:val="39B7F827"/>
    <w:rsid w:val="39E26F98"/>
    <w:rsid w:val="3A0DFAE2"/>
    <w:rsid w:val="3A157DBF"/>
    <w:rsid w:val="3A23809D"/>
    <w:rsid w:val="3A23B4D8"/>
    <w:rsid w:val="3A48447E"/>
    <w:rsid w:val="3A5F3A16"/>
    <w:rsid w:val="3ABAEDA0"/>
    <w:rsid w:val="3ACCFCC7"/>
    <w:rsid w:val="3AD5DD49"/>
    <w:rsid w:val="3AF3D937"/>
    <w:rsid w:val="3B0645D4"/>
    <w:rsid w:val="3B0D02F6"/>
    <w:rsid w:val="3B252DE8"/>
    <w:rsid w:val="3B3B59E2"/>
    <w:rsid w:val="3B682C8F"/>
    <w:rsid w:val="3B7BE8CE"/>
    <w:rsid w:val="3B819053"/>
    <w:rsid w:val="3BC1E7F6"/>
    <w:rsid w:val="3BC36746"/>
    <w:rsid w:val="3BD101DB"/>
    <w:rsid w:val="3BFFB440"/>
    <w:rsid w:val="3C269FD3"/>
    <w:rsid w:val="3C2BDE52"/>
    <w:rsid w:val="3C2CDF6D"/>
    <w:rsid w:val="3C3848E2"/>
    <w:rsid w:val="3C43296E"/>
    <w:rsid w:val="3C6ED189"/>
    <w:rsid w:val="3C8AB204"/>
    <w:rsid w:val="3CE005C2"/>
    <w:rsid w:val="3CEB40C9"/>
    <w:rsid w:val="3CF1E97D"/>
    <w:rsid w:val="3CF67A43"/>
    <w:rsid w:val="3CF6BC26"/>
    <w:rsid w:val="3D18DD48"/>
    <w:rsid w:val="3D2827FD"/>
    <w:rsid w:val="3D3BB315"/>
    <w:rsid w:val="3D4DCEB9"/>
    <w:rsid w:val="3D5AD3E3"/>
    <w:rsid w:val="3D86FA62"/>
    <w:rsid w:val="3DAE3CCD"/>
    <w:rsid w:val="3DC43CCE"/>
    <w:rsid w:val="3DCA631C"/>
    <w:rsid w:val="3E3118B7"/>
    <w:rsid w:val="3E54B6A4"/>
    <w:rsid w:val="3E7BFF43"/>
    <w:rsid w:val="3E848B70"/>
    <w:rsid w:val="3EB72F46"/>
    <w:rsid w:val="3EF29E6C"/>
    <w:rsid w:val="3EF36F61"/>
    <w:rsid w:val="3F0CF808"/>
    <w:rsid w:val="3F4273F4"/>
    <w:rsid w:val="3F4C6A42"/>
    <w:rsid w:val="3F73DA1D"/>
    <w:rsid w:val="3FAFBE15"/>
    <w:rsid w:val="3FBDA008"/>
    <w:rsid w:val="40002DBF"/>
    <w:rsid w:val="40196B65"/>
    <w:rsid w:val="405436EB"/>
    <w:rsid w:val="407320B9"/>
    <w:rsid w:val="409BC668"/>
    <w:rsid w:val="40CA1B53"/>
    <w:rsid w:val="40E09132"/>
    <w:rsid w:val="4116FF0B"/>
    <w:rsid w:val="41215A66"/>
    <w:rsid w:val="4127DC77"/>
    <w:rsid w:val="413B4C6C"/>
    <w:rsid w:val="414D0536"/>
    <w:rsid w:val="4156056A"/>
    <w:rsid w:val="41710AD0"/>
    <w:rsid w:val="4185057A"/>
    <w:rsid w:val="418BB989"/>
    <w:rsid w:val="41F985AE"/>
    <w:rsid w:val="41FFC791"/>
    <w:rsid w:val="420B25D0"/>
    <w:rsid w:val="42383938"/>
    <w:rsid w:val="42450161"/>
    <w:rsid w:val="425A0576"/>
    <w:rsid w:val="4270D85C"/>
    <w:rsid w:val="42710BCA"/>
    <w:rsid w:val="42759D4C"/>
    <w:rsid w:val="42CEE6FE"/>
    <w:rsid w:val="430B7DC0"/>
    <w:rsid w:val="430C3BDC"/>
    <w:rsid w:val="433BADFA"/>
    <w:rsid w:val="434673BF"/>
    <w:rsid w:val="436D6BEB"/>
    <w:rsid w:val="43A7699A"/>
    <w:rsid w:val="43B2E80F"/>
    <w:rsid w:val="43BF1B52"/>
    <w:rsid w:val="43FCD75B"/>
    <w:rsid w:val="441CE69A"/>
    <w:rsid w:val="4433DC5A"/>
    <w:rsid w:val="44494D12"/>
    <w:rsid w:val="4449925C"/>
    <w:rsid w:val="445334D8"/>
    <w:rsid w:val="447DCBE4"/>
    <w:rsid w:val="44886448"/>
    <w:rsid w:val="448C9C6E"/>
    <w:rsid w:val="44B56E1D"/>
    <w:rsid w:val="4501174C"/>
    <w:rsid w:val="451727FE"/>
    <w:rsid w:val="45267960"/>
    <w:rsid w:val="4588379D"/>
    <w:rsid w:val="459F71B7"/>
    <w:rsid w:val="45B9AA76"/>
    <w:rsid w:val="45DDA174"/>
    <w:rsid w:val="45E49CD3"/>
    <w:rsid w:val="45E52EA1"/>
    <w:rsid w:val="45E8BED7"/>
    <w:rsid w:val="46231D62"/>
    <w:rsid w:val="46274210"/>
    <w:rsid w:val="4627E9C0"/>
    <w:rsid w:val="464242BF"/>
    <w:rsid w:val="464C9197"/>
    <w:rsid w:val="46772D2A"/>
    <w:rsid w:val="4688099A"/>
    <w:rsid w:val="46F0DADA"/>
    <w:rsid w:val="4790E277"/>
    <w:rsid w:val="479288C9"/>
    <w:rsid w:val="47BE9145"/>
    <w:rsid w:val="47D02634"/>
    <w:rsid w:val="47E69578"/>
    <w:rsid w:val="480AC240"/>
    <w:rsid w:val="481F76E3"/>
    <w:rsid w:val="482A3B97"/>
    <w:rsid w:val="4864C591"/>
    <w:rsid w:val="4899F1BA"/>
    <w:rsid w:val="48B09BFA"/>
    <w:rsid w:val="48EDCF01"/>
    <w:rsid w:val="48FD45B6"/>
    <w:rsid w:val="4931D885"/>
    <w:rsid w:val="4931DCC9"/>
    <w:rsid w:val="493C0A80"/>
    <w:rsid w:val="49533AFA"/>
    <w:rsid w:val="49DB4048"/>
    <w:rsid w:val="4A00A62C"/>
    <w:rsid w:val="4A1EB0D8"/>
    <w:rsid w:val="4A459DD7"/>
    <w:rsid w:val="4A57F53D"/>
    <w:rsid w:val="4A5D6563"/>
    <w:rsid w:val="4A84B7C7"/>
    <w:rsid w:val="4A92E32F"/>
    <w:rsid w:val="4ADDE4DF"/>
    <w:rsid w:val="4AF851D0"/>
    <w:rsid w:val="4AFA6E3D"/>
    <w:rsid w:val="4B26486F"/>
    <w:rsid w:val="4B4F5E23"/>
    <w:rsid w:val="4B65A79C"/>
    <w:rsid w:val="4B65AD9B"/>
    <w:rsid w:val="4B69F6D3"/>
    <w:rsid w:val="4B8D75E1"/>
    <w:rsid w:val="4B9C2184"/>
    <w:rsid w:val="4BB81249"/>
    <w:rsid w:val="4BED5917"/>
    <w:rsid w:val="4C647B57"/>
    <w:rsid w:val="4C744D8A"/>
    <w:rsid w:val="4C9B4723"/>
    <w:rsid w:val="4CA42526"/>
    <w:rsid w:val="4CB666FC"/>
    <w:rsid w:val="4CC844A5"/>
    <w:rsid w:val="4CD43642"/>
    <w:rsid w:val="4CD7720D"/>
    <w:rsid w:val="4CF3B5C7"/>
    <w:rsid w:val="4D0CBC43"/>
    <w:rsid w:val="4D5FF00D"/>
    <w:rsid w:val="4D991B02"/>
    <w:rsid w:val="4DA6BA71"/>
    <w:rsid w:val="4DC2480C"/>
    <w:rsid w:val="4DD3D601"/>
    <w:rsid w:val="4DFFD89A"/>
    <w:rsid w:val="4E29D763"/>
    <w:rsid w:val="4E2E8D73"/>
    <w:rsid w:val="4E333495"/>
    <w:rsid w:val="4E5BB7A1"/>
    <w:rsid w:val="4E836EE3"/>
    <w:rsid w:val="4F08C917"/>
    <w:rsid w:val="4F227CF8"/>
    <w:rsid w:val="4F6EB51E"/>
    <w:rsid w:val="4F72D0C8"/>
    <w:rsid w:val="4F809155"/>
    <w:rsid w:val="4F8C0EF9"/>
    <w:rsid w:val="4FAE797B"/>
    <w:rsid w:val="4FB37251"/>
    <w:rsid w:val="4FF3FDB9"/>
    <w:rsid w:val="50174A5D"/>
    <w:rsid w:val="50447FE3"/>
    <w:rsid w:val="5053D5DD"/>
    <w:rsid w:val="5059640C"/>
    <w:rsid w:val="509B0758"/>
    <w:rsid w:val="50B37735"/>
    <w:rsid w:val="50BE83A1"/>
    <w:rsid w:val="50C67F08"/>
    <w:rsid w:val="50C684A6"/>
    <w:rsid w:val="5101B003"/>
    <w:rsid w:val="511816FA"/>
    <w:rsid w:val="513D8581"/>
    <w:rsid w:val="5147209C"/>
    <w:rsid w:val="5183BF2A"/>
    <w:rsid w:val="51C12B66"/>
    <w:rsid w:val="51D0DBA9"/>
    <w:rsid w:val="51D362EF"/>
    <w:rsid w:val="5213D3D7"/>
    <w:rsid w:val="521D28A9"/>
    <w:rsid w:val="526ED17D"/>
    <w:rsid w:val="52A046FB"/>
    <w:rsid w:val="52C19679"/>
    <w:rsid w:val="52C28FE4"/>
    <w:rsid w:val="52CBC1D9"/>
    <w:rsid w:val="5336D870"/>
    <w:rsid w:val="53531EA3"/>
    <w:rsid w:val="5364DA43"/>
    <w:rsid w:val="539937EA"/>
    <w:rsid w:val="53A948C3"/>
    <w:rsid w:val="53C70BE7"/>
    <w:rsid w:val="54123363"/>
    <w:rsid w:val="5444051E"/>
    <w:rsid w:val="544B8487"/>
    <w:rsid w:val="5462FCB1"/>
    <w:rsid w:val="547958FC"/>
    <w:rsid w:val="547A469E"/>
    <w:rsid w:val="552419C7"/>
    <w:rsid w:val="55AE342F"/>
    <w:rsid w:val="55B43949"/>
    <w:rsid w:val="55B902DA"/>
    <w:rsid w:val="55C52657"/>
    <w:rsid w:val="55FE68BC"/>
    <w:rsid w:val="561809C1"/>
    <w:rsid w:val="56321286"/>
    <w:rsid w:val="565FBB7F"/>
    <w:rsid w:val="56647D5E"/>
    <w:rsid w:val="56EFCD7E"/>
    <w:rsid w:val="571057BA"/>
    <w:rsid w:val="57233F92"/>
    <w:rsid w:val="5731CFA7"/>
    <w:rsid w:val="5739708C"/>
    <w:rsid w:val="576F13FF"/>
    <w:rsid w:val="5775C351"/>
    <w:rsid w:val="5775C9E5"/>
    <w:rsid w:val="57A8651B"/>
    <w:rsid w:val="57BA915F"/>
    <w:rsid w:val="57CA5245"/>
    <w:rsid w:val="57D6F849"/>
    <w:rsid w:val="57D73805"/>
    <w:rsid w:val="58021671"/>
    <w:rsid w:val="58343D29"/>
    <w:rsid w:val="587AC9B4"/>
    <w:rsid w:val="587F5B36"/>
    <w:rsid w:val="588A03EC"/>
    <w:rsid w:val="58CA3DDF"/>
    <w:rsid w:val="58CCAD58"/>
    <w:rsid w:val="5906ADCB"/>
    <w:rsid w:val="5931833B"/>
    <w:rsid w:val="59529FBE"/>
    <w:rsid w:val="5957A0C8"/>
    <w:rsid w:val="595A3299"/>
    <w:rsid w:val="5966E3DB"/>
    <w:rsid w:val="5983FA7F"/>
    <w:rsid w:val="59C4965A"/>
    <w:rsid w:val="59CF5EDA"/>
    <w:rsid w:val="59D365C4"/>
    <w:rsid w:val="59ED0462"/>
    <w:rsid w:val="59F97B46"/>
    <w:rsid w:val="5A1341A7"/>
    <w:rsid w:val="5A277045"/>
    <w:rsid w:val="5A40DBF6"/>
    <w:rsid w:val="5A4E167B"/>
    <w:rsid w:val="5A4EAFD1"/>
    <w:rsid w:val="5A508D6A"/>
    <w:rsid w:val="5A530AFC"/>
    <w:rsid w:val="5A783BED"/>
    <w:rsid w:val="5A81A59B"/>
    <w:rsid w:val="5A907BC7"/>
    <w:rsid w:val="5A94FB68"/>
    <w:rsid w:val="5AA0E0F5"/>
    <w:rsid w:val="5AAA3AE3"/>
    <w:rsid w:val="5AAD5E9F"/>
    <w:rsid w:val="5AE98212"/>
    <w:rsid w:val="5B03E00A"/>
    <w:rsid w:val="5B1A861E"/>
    <w:rsid w:val="5B264F84"/>
    <w:rsid w:val="5B29DC09"/>
    <w:rsid w:val="5B40FD76"/>
    <w:rsid w:val="5B6166C1"/>
    <w:rsid w:val="5BC8D6C3"/>
    <w:rsid w:val="5BEFEAF0"/>
    <w:rsid w:val="5C1B9235"/>
    <w:rsid w:val="5C745E44"/>
    <w:rsid w:val="5C86A37F"/>
    <w:rsid w:val="5C89F9D6"/>
    <w:rsid w:val="5CA737F2"/>
    <w:rsid w:val="5CD6ABD5"/>
    <w:rsid w:val="5D001FD4"/>
    <w:rsid w:val="5D02AF1D"/>
    <w:rsid w:val="5D0A0E2E"/>
    <w:rsid w:val="5D16847D"/>
    <w:rsid w:val="5D18F3EB"/>
    <w:rsid w:val="5D6D51BC"/>
    <w:rsid w:val="5D88DF97"/>
    <w:rsid w:val="5D8C9CFB"/>
    <w:rsid w:val="5DF3503C"/>
    <w:rsid w:val="5DFFC390"/>
    <w:rsid w:val="5E27F64D"/>
    <w:rsid w:val="5E2AF69C"/>
    <w:rsid w:val="5E40C641"/>
    <w:rsid w:val="5E94B914"/>
    <w:rsid w:val="5EA876DB"/>
    <w:rsid w:val="5EB4724E"/>
    <w:rsid w:val="5EEA27E9"/>
    <w:rsid w:val="5EFDDD9B"/>
    <w:rsid w:val="5F0F4EFD"/>
    <w:rsid w:val="5F2109FD"/>
    <w:rsid w:val="5F69BACA"/>
    <w:rsid w:val="5F78B5DA"/>
    <w:rsid w:val="5F9C3092"/>
    <w:rsid w:val="5FDCC80B"/>
    <w:rsid w:val="5FEBE1D1"/>
    <w:rsid w:val="5FFD95CC"/>
    <w:rsid w:val="603CF313"/>
    <w:rsid w:val="60406D0F"/>
    <w:rsid w:val="6046C123"/>
    <w:rsid w:val="604BA01C"/>
    <w:rsid w:val="60CEE5BF"/>
    <w:rsid w:val="61554540"/>
    <w:rsid w:val="6169BED4"/>
    <w:rsid w:val="61877852"/>
    <w:rsid w:val="619FB7D8"/>
    <w:rsid w:val="61B69EEF"/>
    <w:rsid w:val="61C19B21"/>
    <w:rsid w:val="61C44E5E"/>
    <w:rsid w:val="61CB94F9"/>
    <w:rsid w:val="61CE985C"/>
    <w:rsid w:val="61D547AF"/>
    <w:rsid w:val="61DB2AD3"/>
    <w:rsid w:val="6209454D"/>
    <w:rsid w:val="620D62DF"/>
    <w:rsid w:val="622812EF"/>
    <w:rsid w:val="6233402D"/>
    <w:rsid w:val="629CEEB4"/>
    <w:rsid w:val="62F10E52"/>
    <w:rsid w:val="62F3C28A"/>
    <w:rsid w:val="630AF147"/>
    <w:rsid w:val="632B5028"/>
    <w:rsid w:val="636613C6"/>
    <w:rsid w:val="63BDD5F2"/>
    <w:rsid w:val="63CA635E"/>
    <w:rsid w:val="63EE157C"/>
    <w:rsid w:val="63F615A8"/>
    <w:rsid w:val="63F737B1"/>
    <w:rsid w:val="642E2CD6"/>
    <w:rsid w:val="64372767"/>
    <w:rsid w:val="64390B7D"/>
    <w:rsid w:val="644DD8E2"/>
    <w:rsid w:val="64BBBC87"/>
    <w:rsid w:val="64C2353B"/>
    <w:rsid w:val="64E8C23F"/>
    <w:rsid w:val="64FD52D9"/>
    <w:rsid w:val="65087E74"/>
    <w:rsid w:val="6522FF3C"/>
    <w:rsid w:val="652862A3"/>
    <w:rsid w:val="6544FABF"/>
    <w:rsid w:val="6578392A"/>
    <w:rsid w:val="657A4A2B"/>
    <w:rsid w:val="65893B27"/>
    <w:rsid w:val="658F010F"/>
    <w:rsid w:val="659D547D"/>
    <w:rsid w:val="65AC1B7D"/>
    <w:rsid w:val="65AD144D"/>
    <w:rsid w:val="660818C0"/>
    <w:rsid w:val="66090BD9"/>
    <w:rsid w:val="6637E802"/>
    <w:rsid w:val="66412306"/>
    <w:rsid w:val="667AE208"/>
    <w:rsid w:val="66C0BDA3"/>
    <w:rsid w:val="66CB9438"/>
    <w:rsid w:val="6712E73A"/>
    <w:rsid w:val="67158915"/>
    <w:rsid w:val="6719F2AA"/>
    <w:rsid w:val="675E6C29"/>
    <w:rsid w:val="675FF03F"/>
    <w:rsid w:val="6770B5A1"/>
    <w:rsid w:val="67A46ACE"/>
    <w:rsid w:val="67CFE1EB"/>
    <w:rsid w:val="6823ED17"/>
    <w:rsid w:val="68376AAB"/>
    <w:rsid w:val="68620F4B"/>
    <w:rsid w:val="6875AA95"/>
    <w:rsid w:val="688FEECC"/>
    <w:rsid w:val="689754E6"/>
    <w:rsid w:val="68AB48F8"/>
    <w:rsid w:val="68CC3AB5"/>
    <w:rsid w:val="69290D9D"/>
    <w:rsid w:val="698CC90C"/>
    <w:rsid w:val="698E61E5"/>
    <w:rsid w:val="69B2811C"/>
    <w:rsid w:val="69E288A4"/>
    <w:rsid w:val="6A24F4A7"/>
    <w:rsid w:val="6A313710"/>
    <w:rsid w:val="6A4D94F1"/>
    <w:rsid w:val="6A6B2177"/>
    <w:rsid w:val="6A6E70CD"/>
    <w:rsid w:val="6A8E96A8"/>
    <w:rsid w:val="6AA904B9"/>
    <w:rsid w:val="6ADD1C41"/>
    <w:rsid w:val="6ADEB1D3"/>
    <w:rsid w:val="6AEE3B43"/>
    <w:rsid w:val="6AFE81DC"/>
    <w:rsid w:val="6B4E6E2D"/>
    <w:rsid w:val="6B6441E4"/>
    <w:rsid w:val="6B6D663A"/>
    <w:rsid w:val="6B988304"/>
    <w:rsid w:val="6BA3E30A"/>
    <w:rsid w:val="6BB73B44"/>
    <w:rsid w:val="6C436C4B"/>
    <w:rsid w:val="6C51DBA0"/>
    <w:rsid w:val="6C56D43B"/>
    <w:rsid w:val="6C6A4B4D"/>
    <w:rsid w:val="6C99969F"/>
    <w:rsid w:val="6CB293F1"/>
    <w:rsid w:val="6CF26168"/>
    <w:rsid w:val="6CFBFA57"/>
    <w:rsid w:val="6D4F68D0"/>
    <w:rsid w:val="6D61A23D"/>
    <w:rsid w:val="6D9E9AC0"/>
    <w:rsid w:val="6DB7AD79"/>
    <w:rsid w:val="6DD7CF35"/>
    <w:rsid w:val="6DEE9389"/>
    <w:rsid w:val="6E0B6FED"/>
    <w:rsid w:val="6E1EB78A"/>
    <w:rsid w:val="6E1F6B7A"/>
    <w:rsid w:val="6E303386"/>
    <w:rsid w:val="6E9B01A2"/>
    <w:rsid w:val="6EBDDCE9"/>
    <w:rsid w:val="6F3ECCFA"/>
    <w:rsid w:val="6F4F0395"/>
    <w:rsid w:val="6F541532"/>
    <w:rsid w:val="6F888946"/>
    <w:rsid w:val="6F909EA7"/>
    <w:rsid w:val="6F98952D"/>
    <w:rsid w:val="6FBDD6C4"/>
    <w:rsid w:val="6FC08F39"/>
    <w:rsid w:val="700A8DC5"/>
    <w:rsid w:val="700FCE16"/>
    <w:rsid w:val="70120087"/>
    <w:rsid w:val="701E2D08"/>
    <w:rsid w:val="7021B9BD"/>
    <w:rsid w:val="70368B01"/>
    <w:rsid w:val="703E46D2"/>
    <w:rsid w:val="707422DF"/>
    <w:rsid w:val="708EAA03"/>
    <w:rsid w:val="70996DD0"/>
    <w:rsid w:val="70AA2102"/>
    <w:rsid w:val="70BCB837"/>
    <w:rsid w:val="70CA5BA6"/>
    <w:rsid w:val="70D20C76"/>
    <w:rsid w:val="70F755E4"/>
    <w:rsid w:val="70FD18B1"/>
    <w:rsid w:val="70FF8EE6"/>
    <w:rsid w:val="712631DB"/>
    <w:rsid w:val="713DC767"/>
    <w:rsid w:val="714FC9DA"/>
    <w:rsid w:val="7151EEA1"/>
    <w:rsid w:val="7152F6CB"/>
    <w:rsid w:val="718EFB1A"/>
    <w:rsid w:val="71BAF984"/>
    <w:rsid w:val="71CF3D29"/>
    <w:rsid w:val="71E7B3F1"/>
    <w:rsid w:val="720414A4"/>
    <w:rsid w:val="72177317"/>
    <w:rsid w:val="724F699C"/>
    <w:rsid w:val="725233AE"/>
    <w:rsid w:val="72A2D290"/>
    <w:rsid w:val="72C44D02"/>
    <w:rsid w:val="72DB2B5F"/>
    <w:rsid w:val="732BC585"/>
    <w:rsid w:val="732E29E4"/>
    <w:rsid w:val="73C3E662"/>
    <w:rsid w:val="73CBA2D0"/>
    <w:rsid w:val="73F0CD11"/>
    <w:rsid w:val="74048D19"/>
    <w:rsid w:val="7411D9B4"/>
    <w:rsid w:val="74200B61"/>
    <w:rsid w:val="74778517"/>
    <w:rsid w:val="749936A3"/>
    <w:rsid w:val="74E3B4A2"/>
    <w:rsid w:val="75064673"/>
    <w:rsid w:val="753CBC9E"/>
    <w:rsid w:val="7559D527"/>
    <w:rsid w:val="75956A88"/>
    <w:rsid w:val="760DB208"/>
    <w:rsid w:val="76105D25"/>
    <w:rsid w:val="76207987"/>
    <w:rsid w:val="762DD642"/>
    <w:rsid w:val="765E1865"/>
    <w:rsid w:val="767401E1"/>
    <w:rsid w:val="76D3EF52"/>
    <w:rsid w:val="76D84AED"/>
    <w:rsid w:val="7712CFCE"/>
    <w:rsid w:val="77137453"/>
    <w:rsid w:val="772D35F9"/>
    <w:rsid w:val="773E666E"/>
    <w:rsid w:val="774E99AF"/>
    <w:rsid w:val="7750CFAA"/>
    <w:rsid w:val="7767011A"/>
    <w:rsid w:val="778256C2"/>
    <w:rsid w:val="778FFB12"/>
    <w:rsid w:val="77BBB330"/>
    <w:rsid w:val="77CF769F"/>
    <w:rsid w:val="77CF91B5"/>
    <w:rsid w:val="77D4460D"/>
    <w:rsid w:val="77DBCD5D"/>
    <w:rsid w:val="77DD9760"/>
    <w:rsid w:val="77F9AC87"/>
    <w:rsid w:val="781D5647"/>
    <w:rsid w:val="7842028B"/>
    <w:rsid w:val="788FF3A6"/>
    <w:rsid w:val="78A353B1"/>
    <w:rsid w:val="78A7354D"/>
    <w:rsid w:val="78BB76D8"/>
    <w:rsid w:val="7905575E"/>
    <w:rsid w:val="7938DA64"/>
    <w:rsid w:val="795D545F"/>
    <w:rsid w:val="796CF7F3"/>
    <w:rsid w:val="79C57B25"/>
    <w:rsid w:val="7A56EA97"/>
    <w:rsid w:val="7A71838D"/>
    <w:rsid w:val="7A762AAD"/>
    <w:rsid w:val="7A79900B"/>
    <w:rsid w:val="7A8CD0C3"/>
    <w:rsid w:val="7AB07CFC"/>
    <w:rsid w:val="7ACA0CFD"/>
    <w:rsid w:val="7AD74DFC"/>
    <w:rsid w:val="7ADE2933"/>
    <w:rsid w:val="7AF5850D"/>
    <w:rsid w:val="7AF76283"/>
    <w:rsid w:val="7B07F830"/>
    <w:rsid w:val="7B0F5F90"/>
    <w:rsid w:val="7B6A4C47"/>
    <w:rsid w:val="7BB57F29"/>
    <w:rsid w:val="7C7882F9"/>
    <w:rsid w:val="7C8D2AD6"/>
    <w:rsid w:val="7CA9B6CF"/>
    <w:rsid w:val="7CC06FDA"/>
    <w:rsid w:val="7CD292BD"/>
    <w:rsid w:val="7CDE6439"/>
    <w:rsid w:val="7CEE5220"/>
    <w:rsid w:val="7CF8DE52"/>
    <w:rsid w:val="7D0668D0"/>
    <w:rsid w:val="7D139091"/>
    <w:rsid w:val="7D191688"/>
    <w:rsid w:val="7D81912C"/>
    <w:rsid w:val="7D86ED77"/>
    <w:rsid w:val="7DC14544"/>
    <w:rsid w:val="7DC2244A"/>
    <w:rsid w:val="7DC9A135"/>
    <w:rsid w:val="7DCCEA8B"/>
    <w:rsid w:val="7E33E4D1"/>
    <w:rsid w:val="7E561833"/>
    <w:rsid w:val="7E632D0E"/>
    <w:rsid w:val="7E806B60"/>
    <w:rsid w:val="7E824D51"/>
    <w:rsid w:val="7E96EF02"/>
    <w:rsid w:val="7EB0B74F"/>
    <w:rsid w:val="7EB9BC12"/>
    <w:rsid w:val="7EC93673"/>
    <w:rsid w:val="7EEF3D97"/>
    <w:rsid w:val="7F6499A7"/>
    <w:rsid w:val="7F7128FB"/>
    <w:rsid w:val="7F871648"/>
    <w:rsid w:val="7FA97E94"/>
    <w:rsid w:val="7FCFDE38"/>
    <w:rsid w:val="7FD63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pPr>
  </w:style>
  <w:style w:type="character" w:styleId="EndnoteReference">
    <w:name w:val="endnote reference"/>
    <w:semiHidden/>
    <w:rPr>
      <w:vertAlign w:val="superscript"/>
    </w:rPr>
  </w:style>
  <w:style w:type="paragraph" w:customStyle="1" w:styleId="1ListIndent">
    <w:name w:val="1. List Indent"/>
    <w:basedOn w:val="num2"/>
    <w:pPr>
      <w:numPr>
        <w:numId w:val="2"/>
      </w:numPr>
    </w:pPr>
  </w:style>
  <w:style w:type="character" w:styleId="FootnoteReference">
    <w:name w:val="footnote reference"/>
    <w:aliases w:val="o,fr,Style 3,o1,o2,o3,o4,o5,o6,o11,o21,o7,Footnote Reference1,Style 17,Style 13,Appel note de bas de p,Style 12,(NECG) Footnote Reference,Style 124"/>
    <w:uiPriority w:val="99"/>
    <w:qFormat/>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1"/>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C36CA2"/>
  </w:style>
  <w:style w:type="paragraph" w:customStyle="1" w:styleId="paragraph">
    <w:name w:val="paragraph"/>
    <w:basedOn w:val="Normal"/>
    <w:rsid w:val="00800D4C"/>
    <w:pPr>
      <w:spacing w:before="100" w:beforeAutospacing="1" w:after="100" w:afterAutospacing="1"/>
    </w:pPr>
    <w:rPr>
      <w:rFonts w:ascii="Times New Roman" w:hAnsi="Times New Roman"/>
      <w:sz w:val="24"/>
      <w:szCs w:val="24"/>
    </w:rPr>
  </w:style>
  <w:style w:type="character" w:customStyle="1" w:styleId="scxw35190231">
    <w:name w:val="scxw35190231"/>
    <w:basedOn w:val="DefaultParagraphFont"/>
    <w:rsid w:val="00800D4C"/>
  </w:style>
  <w:style w:type="character" w:customStyle="1" w:styleId="eop">
    <w:name w:val="eop"/>
    <w:basedOn w:val="DefaultParagraphFont"/>
    <w:rsid w:val="00800D4C"/>
  </w:style>
  <w:style w:type="character" w:customStyle="1" w:styleId="pagebreaktextspan">
    <w:name w:val="pagebreaktextspan"/>
    <w:basedOn w:val="DefaultParagraphFont"/>
    <w:rsid w:val="00800D4C"/>
  </w:style>
  <w:style w:type="paragraph" w:styleId="BodyText">
    <w:name w:val="Body Text"/>
    <w:basedOn w:val="Normal"/>
    <w:link w:val="BodyTextChar"/>
    <w:uiPriority w:val="1"/>
    <w:qFormat/>
    <w:rsid w:val="00D2783B"/>
    <w:pPr>
      <w:widowControl w:val="0"/>
      <w:autoSpaceDE w:val="0"/>
      <w:autoSpaceDN w:val="0"/>
      <w:adjustRightInd w:val="0"/>
    </w:pPr>
    <w:rPr>
      <w:rFonts w:ascii="Calibri Light" w:hAnsi="Calibri Light" w:cs="Calibri Light"/>
      <w:sz w:val="22"/>
      <w:szCs w:val="22"/>
    </w:rPr>
  </w:style>
  <w:style w:type="character" w:customStyle="1" w:styleId="BodyTextChar">
    <w:name w:val="Body Text Char"/>
    <w:basedOn w:val="DefaultParagraphFont"/>
    <w:link w:val="BodyText"/>
    <w:uiPriority w:val="1"/>
    <w:rsid w:val="00D2783B"/>
    <w:rPr>
      <w:rFonts w:ascii="Calibri Light" w:hAnsi="Calibri Light" w:cs="Calibri Light"/>
      <w:sz w:val="22"/>
      <w:szCs w:val="22"/>
    </w:rPr>
  </w:style>
  <w:style w:type="paragraph" w:styleId="NormalWeb">
    <w:name w:val="Normal (Web)"/>
    <w:basedOn w:val="Normal"/>
    <w:uiPriority w:val="99"/>
    <w:rsid w:val="009F2855"/>
    <w:pPr>
      <w:spacing w:before="100" w:beforeAutospacing="1" w:after="100" w:afterAutospacing="1"/>
    </w:pPr>
    <w:rPr>
      <w:rFonts w:ascii="Arial Unicode MS" w:eastAsia="Arial Unicode MS" w:hAnsi="Arial Unicode MS" w:cs="Arial Unicode MS"/>
      <w:sz w:val="24"/>
      <w:szCs w:val="24"/>
    </w:rPr>
  </w:style>
  <w:style w:type="character" w:customStyle="1" w:styleId="superscript">
    <w:name w:val="superscript"/>
    <w:basedOn w:val="DefaultParagraphFont"/>
    <w:rsid w:val="00603E5B"/>
  </w:style>
  <w:style w:type="character" w:customStyle="1" w:styleId="FootnoteTextChar">
    <w:name w:val="Footnote Text Char"/>
    <w:basedOn w:val="DefaultParagraphFont"/>
    <w:link w:val="FootnoteText"/>
    <w:uiPriority w:val="99"/>
    <w:semiHidden/>
    <w:locked/>
    <w:rsid w:val="00091C26"/>
    <w:rPr>
      <w:rFonts w:ascii="Palatino" w:hAnsi="Palatino"/>
      <w:sz w:val="24"/>
    </w:rPr>
  </w:style>
  <w:style w:type="character" w:styleId="CommentReference">
    <w:name w:val="annotation reference"/>
    <w:basedOn w:val="DefaultParagraphFont"/>
    <w:semiHidden/>
    <w:unhideWhenUsed/>
    <w:rsid w:val="00713131"/>
    <w:rPr>
      <w:sz w:val="16"/>
      <w:szCs w:val="16"/>
    </w:rPr>
  </w:style>
  <w:style w:type="paragraph" w:styleId="CommentText">
    <w:name w:val="annotation text"/>
    <w:basedOn w:val="Normal"/>
    <w:link w:val="CommentTextChar"/>
    <w:unhideWhenUsed/>
    <w:rsid w:val="00713131"/>
    <w:rPr>
      <w:sz w:val="20"/>
    </w:rPr>
  </w:style>
  <w:style w:type="character" w:customStyle="1" w:styleId="CommentTextChar">
    <w:name w:val="Comment Text Char"/>
    <w:basedOn w:val="DefaultParagraphFont"/>
    <w:link w:val="CommentText"/>
    <w:rsid w:val="00713131"/>
    <w:rPr>
      <w:rFonts w:ascii="Palatino" w:hAnsi="Palatino"/>
    </w:rPr>
  </w:style>
  <w:style w:type="paragraph" w:styleId="CommentSubject">
    <w:name w:val="annotation subject"/>
    <w:basedOn w:val="CommentText"/>
    <w:next w:val="CommentText"/>
    <w:link w:val="CommentSubjectChar"/>
    <w:semiHidden/>
    <w:unhideWhenUsed/>
    <w:rsid w:val="00713131"/>
    <w:rPr>
      <w:b/>
      <w:bCs/>
    </w:rPr>
  </w:style>
  <w:style w:type="character" w:customStyle="1" w:styleId="CommentSubjectChar">
    <w:name w:val="Comment Subject Char"/>
    <w:basedOn w:val="CommentTextChar"/>
    <w:link w:val="CommentSubject"/>
    <w:semiHidden/>
    <w:rsid w:val="00713131"/>
    <w:rPr>
      <w:rFonts w:ascii="Palatino" w:hAnsi="Palatino"/>
      <w:b/>
      <w:bCs/>
    </w:rPr>
  </w:style>
  <w:style w:type="paragraph" w:customStyle="1" w:styleId="TableParagraph">
    <w:name w:val="Table Paragraph"/>
    <w:basedOn w:val="Normal"/>
    <w:uiPriority w:val="1"/>
    <w:qFormat/>
    <w:rsid w:val="00080CE4"/>
    <w:pPr>
      <w:widowControl w:val="0"/>
      <w:autoSpaceDE w:val="0"/>
      <w:autoSpaceDN w:val="0"/>
      <w:spacing w:line="200" w:lineRule="exact"/>
      <w:jc w:val="right"/>
    </w:pPr>
    <w:rPr>
      <w:rFonts w:ascii="Calibri" w:eastAsia="Calibri" w:hAnsi="Calibri" w:cs="Calibri"/>
      <w:sz w:val="22"/>
      <w:szCs w:val="22"/>
    </w:rPr>
  </w:style>
  <w:style w:type="character" w:customStyle="1" w:styleId="cf01">
    <w:name w:val="cf01"/>
    <w:basedOn w:val="DefaultParagraphFont"/>
    <w:rsid w:val="002877BF"/>
    <w:rPr>
      <w:rFonts w:ascii="Segoe UI" w:hAnsi="Segoe UI" w:cs="Segoe UI" w:hint="default"/>
      <w:sz w:val="18"/>
      <w:szCs w:val="18"/>
    </w:rPr>
  </w:style>
  <w:style w:type="character" w:customStyle="1" w:styleId="cf11">
    <w:name w:val="cf11"/>
    <w:basedOn w:val="DefaultParagraphFont"/>
    <w:rsid w:val="002877BF"/>
    <w:rPr>
      <w:rFonts w:ascii="Segoe UI" w:hAnsi="Segoe UI" w:cs="Segoe UI" w:hint="default"/>
      <w:sz w:val="18"/>
      <w:szCs w:val="18"/>
    </w:rPr>
  </w:style>
  <w:style w:type="character" w:customStyle="1" w:styleId="cf21">
    <w:name w:val="cf21"/>
    <w:basedOn w:val="DefaultParagraphFont"/>
    <w:rsid w:val="002877BF"/>
    <w:rPr>
      <w:rFonts w:ascii="Times New Roman" w:hAnsi="Times New Roman" w:cs="Times New Roman" w:hint="default"/>
      <w:sz w:val="26"/>
      <w:szCs w:val="26"/>
    </w:rPr>
  </w:style>
  <w:style w:type="paragraph" w:customStyle="1" w:styleId="Default">
    <w:name w:val="Default"/>
    <w:rsid w:val="003A6C1B"/>
    <w:pPr>
      <w:autoSpaceDE w:val="0"/>
      <w:autoSpaceDN w:val="0"/>
      <w:adjustRightInd w:val="0"/>
    </w:pPr>
    <w:rPr>
      <w:color w:val="000000"/>
      <w:sz w:val="24"/>
      <w:szCs w:val="24"/>
    </w:rPr>
  </w:style>
  <w:style w:type="paragraph" w:styleId="Revision">
    <w:name w:val="Revision"/>
    <w:hidden/>
    <w:uiPriority w:val="99"/>
    <w:semiHidden/>
    <w:rsid w:val="00C07D8D"/>
    <w:rPr>
      <w:rFonts w:ascii="Palatino" w:hAnsi="Palatino"/>
      <w:sz w:val="26"/>
    </w:rPr>
  </w:style>
  <w:style w:type="character" w:customStyle="1" w:styleId="FooterChar">
    <w:name w:val="Footer Char"/>
    <w:basedOn w:val="DefaultParagraphFont"/>
    <w:link w:val="Footer"/>
    <w:uiPriority w:val="99"/>
    <w:rsid w:val="004E2ECB"/>
    <w:rPr>
      <w:rFonts w:ascii="Palatino" w:hAnsi="Palatino"/>
      <w:sz w:val="26"/>
    </w:rPr>
  </w:style>
  <w:style w:type="character" w:styleId="Mention">
    <w:name w:val="Mention"/>
    <w:basedOn w:val="DefaultParagraphFont"/>
    <w:uiPriority w:val="99"/>
    <w:unhideWhenUsed/>
    <w:rPr>
      <w:color w:val="2B579A"/>
      <w:shd w:val="clear" w:color="auto" w:fill="E6E6E6"/>
    </w:rPr>
  </w:style>
  <w:style w:type="character" w:customStyle="1" w:styleId="StyleFootnoteReferenceofrStyle3o1o2o3o4o5o6o11o21o7">
    <w:name w:val="Style Footnote ReferenceofrStyle 3o1o2o3o4o5o6o11o21o7..."/>
    <w:basedOn w:val="FootnoteReference"/>
    <w:qFormat/>
    <w:rsid w:val="007965A2"/>
    <w:rPr>
      <w:rFonts w:ascii="Times New Roman" w:hAnsi="Times New Roman"/>
      <w:b/>
      <w:u w:val="single"/>
      <w:vertAlign w:val="superscript"/>
    </w:rPr>
  </w:style>
  <w:style w:type="character" w:customStyle="1" w:styleId="spellingerror">
    <w:name w:val="spellingerror"/>
    <w:basedOn w:val="DefaultParagraphFont"/>
    <w:rsid w:val="002D2D5A"/>
  </w:style>
  <w:style w:type="character" w:customStyle="1" w:styleId="contextualspellingandgrammarerror">
    <w:name w:val="contextualspellingandgrammarerror"/>
    <w:basedOn w:val="DefaultParagraphFont"/>
    <w:rsid w:val="002D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86472371">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15905350">
      <w:bodyDiv w:val="1"/>
      <w:marLeft w:val="0"/>
      <w:marRight w:val="0"/>
      <w:marTop w:val="0"/>
      <w:marBottom w:val="0"/>
      <w:divBdr>
        <w:top w:val="none" w:sz="0" w:space="0" w:color="auto"/>
        <w:left w:val="none" w:sz="0" w:space="0" w:color="auto"/>
        <w:bottom w:val="none" w:sz="0" w:space="0" w:color="auto"/>
        <w:right w:val="none" w:sz="0" w:space="0" w:color="auto"/>
      </w:divBdr>
      <w:divsChild>
        <w:div w:id="21249220">
          <w:marLeft w:val="0"/>
          <w:marRight w:val="0"/>
          <w:marTop w:val="0"/>
          <w:marBottom w:val="0"/>
          <w:divBdr>
            <w:top w:val="none" w:sz="0" w:space="0" w:color="auto"/>
            <w:left w:val="none" w:sz="0" w:space="0" w:color="auto"/>
            <w:bottom w:val="none" w:sz="0" w:space="0" w:color="auto"/>
            <w:right w:val="none" w:sz="0" w:space="0" w:color="auto"/>
          </w:divBdr>
          <w:divsChild>
            <w:div w:id="1030454354">
              <w:marLeft w:val="0"/>
              <w:marRight w:val="0"/>
              <w:marTop w:val="0"/>
              <w:marBottom w:val="0"/>
              <w:divBdr>
                <w:top w:val="none" w:sz="0" w:space="0" w:color="auto"/>
                <w:left w:val="none" w:sz="0" w:space="0" w:color="auto"/>
                <w:bottom w:val="none" w:sz="0" w:space="0" w:color="auto"/>
                <w:right w:val="none" w:sz="0" w:space="0" w:color="auto"/>
              </w:divBdr>
            </w:div>
          </w:divsChild>
        </w:div>
        <w:div w:id="26836674">
          <w:marLeft w:val="0"/>
          <w:marRight w:val="0"/>
          <w:marTop w:val="0"/>
          <w:marBottom w:val="0"/>
          <w:divBdr>
            <w:top w:val="none" w:sz="0" w:space="0" w:color="auto"/>
            <w:left w:val="none" w:sz="0" w:space="0" w:color="auto"/>
            <w:bottom w:val="none" w:sz="0" w:space="0" w:color="auto"/>
            <w:right w:val="none" w:sz="0" w:space="0" w:color="auto"/>
          </w:divBdr>
        </w:div>
        <w:div w:id="270012730">
          <w:marLeft w:val="0"/>
          <w:marRight w:val="0"/>
          <w:marTop w:val="0"/>
          <w:marBottom w:val="0"/>
          <w:divBdr>
            <w:top w:val="none" w:sz="0" w:space="0" w:color="auto"/>
            <w:left w:val="none" w:sz="0" w:space="0" w:color="auto"/>
            <w:bottom w:val="none" w:sz="0" w:space="0" w:color="auto"/>
            <w:right w:val="none" w:sz="0" w:space="0" w:color="auto"/>
          </w:divBdr>
        </w:div>
        <w:div w:id="341588708">
          <w:marLeft w:val="0"/>
          <w:marRight w:val="0"/>
          <w:marTop w:val="0"/>
          <w:marBottom w:val="0"/>
          <w:divBdr>
            <w:top w:val="none" w:sz="0" w:space="0" w:color="auto"/>
            <w:left w:val="none" w:sz="0" w:space="0" w:color="auto"/>
            <w:bottom w:val="none" w:sz="0" w:space="0" w:color="auto"/>
            <w:right w:val="none" w:sz="0" w:space="0" w:color="auto"/>
          </w:divBdr>
          <w:divsChild>
            <w:div w:id="514685915">
              <w:marLeft w:val="0"/>
              <w:marRight w:val="0"/>
              <w:marTop w:val="0"/>
              <w:marBottom w:val="0"/>
              <w:divBdr>
                <w:top w:val="none" w:sz="0" w:space="0" w:color="auto"/>
                <w:left w:val="none" w:sz="0" w:space="0" w:color="auto"/>
                <w:bottom w:val="none" w:sz="0" w:space="0" w:color="auto"/>
                <w:right w:val="none" w:sz="0" w:space="0" w:color="auto"/>
              </w:divBdr>
            </w:div>
            <w:div w:id="863832718">
              <w:marLeft w:val="0"/>
              <w:marRight w:val="0"/>
              <w:marTop w:val="0"/>
              <w:marBottom w:val="0"/>
              <w:divBdr>
                <w:top w:val="none" w:sz="0" w:space="0" w:color="auto"/>
                <w:left w:val="none" w:sz="0" w:space="0" w:color="auto"/>
                <w:bottom w:val="none" w:sz="0" w:space="0" w:color="auto"/>
                <w:right w:val="none" w:sz="0" w:space="0" w:color="auto"/>
              </w:divBdr>
            </w:div>
            <w:div w:id="1172766861">
              <w:marLeft w:val="0"/>
              <w:marRight w:val="0"/>
              <w:marTop w:val="0"/>
              <w:marBottom w:val="0"/>
              <w:divBdr>
                <w:top w:val="none" w:sz="0" w:space="0" w:color="auto"/>
                <w:left w:val="none" w:sz="0" w:space="0" w:color="auto"/>
                <w:bottom w:val="none" w:sz="0" w:space="0" w:color="auto"/>
                <w:right w:val="none" w:sz="0" w:space="0" w:color="auto"/>
              </w:divBdr>
            </w:div>
            <w:div w:id="1493714526">
              <w:marLeft w:val="0"/>
              <w:marRight w:val="0"/>
              <w:marTop w:val="0"/>
              <w:marBottom w:val="0"/>
              <w:divBdr>
                <w:top w:val="none" w:sz="0" w:space="0" w:color="auto"/>
                <w:left w:val="none" w:sz="0" w:space="0" w:color="auto"/>
                <w:bottom w:val="none" w:sz="0" w:space="0" w:color="auto"/>
                <w:right w:val="none" w:sz="0" w:space="0" w:color="auto"/>
              </w:divBdr>
            </w:div>
            <w:div w:id="1885822483">
              <w:marLeft w:val="0"/>
              <w:marRight w:val="0"/>
              <w:marTop w:val="0"/>
              <w:marBottom w:val="0"/>
              <w:divBdr>
                <w:top w:val="none" w:sz="0" w:space="0" w:color="auto"/>
                <w:left w:val="none" w:sz="0" w:space="0" w:color="auto"/>
                <w:bottom w:val="none" w:sz="0" w:space="0" w:color="auto"/>
                <w:right w:val="none" w:sz="0" w:space="0" w:color="auto"/>
              </w:divBdr>
            </w:div>
          </w:divsChild>
        </w:div>
        <w:div w:id="533032409">
          <w:marLeft w:val="0"/>
          <w:marRight w:val="0"/>
          <w:marTop w:val="0"/>
          <w:marBottom w:val="0"/>
          <w:divBdr>
            <w:top w:val="none" w:sz="0" w:space="0" w:color="auto"/>
            <w:left w:val="none" w:sz="0" w:space="0" w:color="auto"/>
            <w:bottom w:val="none" w:sz="0" w:space="0" w:color="auto"/>
            <w:right w:val="none" w:sz="0" w:space="0" w:color="auto"/>
          </w:divBdr>
          <w:divsChild>
            <w:div w:id="703364039">
              <w:marLeft w:val="0"/>
              <w:marRight w:val="0"/>
              <w:marTop w:val="0"/>
              <w:marBottom w:val="0"/>
              <w:divBdr>
                <w:top w:val="none" w:sz="0" w:space="0" w:color="auto"/>
                <w:left w:val="none" w:sz="0" w:space="0" w:color="auto"/>
                <w:bottom w:val="none" w:sz="0" w:space="0" w:color="auto"/>
                <w:right w:val="none" w:sz="0" w:space="0" w:color="auto"/>
              </w:divBdr>
            </w:div>
            <w:div w:id="874927978">
              <w:marLeft w:val="0"/>
              <w:marRight w:val="0"/>
              <w:marTop w:val="0"/>
              <w:marBottom w:val="0"/>
              <w:divBdr>
                <w:top w:val="none" w:sz="0" w:space="0" w:color="auto"/>
                <w:left w:val="none" w:sz="0" w:space="0" w:color="auto"/>
                <w:bottom w:val="none" w:sz="0" w:space="0" w:color="auto"/>
                <w:right w:val="none" w:sz="0" w:space="0" w:color="auto"/>
              </w:divBdr>
            </w:div>
            <w:div w:id="1053118127">
              <w:marLeft w:val="0"/>
              <w:marRight w:val="0"/>
              <w:marTop w:val="0"/>
              <w:marBottom w:val="0"/>
              <w:divBdr>
                <w:top w:val="none" w:sz="0" w:space="0" w:color="auto"/>
                <w:left w:val="none" w:sz="0" w:space="0" w:color="auto"/>
                <w:bottom w:val="none" w:sz="0" w:space="0" w:color="auto"/>
                <w:right w:val="none" w:sz="0" w:space="0" w:color="auto"/>
              </w:divBdr>
            </w:div>
            <w:div w:id="1774011059">
              <w:marLeft w:val="0"/>
              <w:marRight w:val="0"/>
              <w:marTop w:val="0"/>
              <w:marBottom w:val="0"/>
              <w:divBdr>
                <w:top w:val="none" w:sz="0" w:space="0" w:color="auto"/>
                <w:left w:val="none" w:sz="0" w:space="0" w:color="auto"/>
                <w:bottom w:val="none" w:sz="0" w:space="0" w:color="auto"/>
                <w:right w:val="none" w:sz="0" w:space="0" w:color="auto"/>
              </w:divBdr>
            </w:div>
            <w:div w:id="1777213761">
              <w:marLeft w:val="0"/>
              <w:marRight w:val="0"/>
              <w:marTop w:val="0"/>
              <w:marBottom w:val="0"/>
              <w:divBdr>
                <w:top w:val="none" w:sz="0" w:space="0" w:color="auto"/>
                <w:left w:val="none" w:sz="0" w:space="0" w:color="auto"/>
                <w:bottom w:val="none" w:sz="0" w:space="0" w:color="auto"/>
                <w:right w:val="none" w:sz="0" w:space="0" w:color="auto"/>
              </w:divBdr>
            </w:div>
          </w:divsChild>
        </w:div>
        <w:div w:id="599725657">
          <w:marLeft w:val="0"/>
          <w:marRight w:val="0"/>
          <w:marTop w:val="0"/>
          <w:marBottom w:val="0"/>
          <w:divBdr>
            <w:top w:val="none" w:sz="0" w:space="0" w:color="auto"/>
            <w:left w:val="none" w:sz="0" w:space="0" w:color="auto"/>
            <w:bottom w:val="none" w:sz="0" w:space="0" w:color="auto"/>
            <w:right w:val="none" w:sz="0" w:space="0" w:color="auto"/>
          </w:divBdr>
          <w:divsChild>
            <w:div w:id="136924819">
              <w:marLeft w:val="0"/>
              <w:marRight w:val="0"/>
              <w:marTop w:val="0"/>
              <w:marBottom w:val="0"/>
              <w:divBdr>
                <w:top w:val="none" w:sz="0" w:space="0" w:color="auto"/>
                <w:left w:val="none" w:sz="0" w:space="0" w:color="auto"/>
                <w:bottom w:val="none" w:sz="0" w:space="0" w:color="auto"/>
                <w:right w:val="none" w:sz="0" w:space="0" w:color="auto"/>
              </w:divBdr>
            </w:div>
            <w:div w:id="153104457">
              <w:marLeft w:val="0"/>
              <w:marRight w:val="0"/>
              <w:marTop w:val="0"/>
              <w:marBottom w:val="0"/>
              <w:divBdr>
                <w:top w:val="none" w:sz="0" w:space="0" w:color="auto"/>
                <w:left w:val="none" w:sz="0" w:space="0" w:color="auto"/>
                <w:bottom w:val="none" w:sz="0" w:space="0" w:color="auto"/>
                <w:right w:val="none" w:sz="0" w:space="0" w:color="auto"/>
              </w:divBdr>
            </w:div>
            <w:div w:id="591157909">
              <w:marLeft w:val="0"/>
              <w:marRight w:val="0"/>
              <w:marTop w:val="0"/>
              <w:marBottom w:val="0"/>
              <w:divBdr>
                <w:top w:val="none" w:sz="0" w:space="0" w:color="auto"/>
                <w:left w:val="none" w:sz="0" w:space="0" w:color="auto"/>
                <w:bottom w:val="none" w:sz="0" w:space="0" w:color="auto"/>
                <w:right w:val="none" w:sz="0" w:space="0" w:color="auto"/>
              </w:divBdr>
            </w:div>
            <w:div w:id="1654406749">
              <w:marLeft w:val="0"/>
              <w:marRight w:val="0"/>
              <w:marTop w:val="0"/>
              <w:marBottom w:val="0"/>
              <w:divBdr>
                <w:top w:val="none" w:sz="0" w:space="0" w:color="auto"/>
                <w:left w:val="none" w:sz="0" w:space="0" w:color="auto"/>
                <w:bottom w:val="none" w:sz="0" w:space="0" w:color="auto"/>
                <w:right w:val="none" w:sz="0" w:space="0" w:color="auto"/>
              </w:divBdr>
            </w:div>
            <w:div w:id="1820532390">
              <w:marLeft w:val="0"/>
              <w:marRight w:val="0"/>
              <w:marTop w:val="0"/>
              <w:marBottom w:val="0"/>
              <w:divBdr>
                <w:top w:val="none" w:sz="0" w:space="0" w:color="auto"/>
                <w:left w:val="none" w:sz="0" w:space="0" w:color="auto"/>
                <w:bottom w:val="none" w:sz="0" w:space="0" w:color="auto"/>
                <w:right w:val="none" w:sz="0" w:space="0" w:color="auto"/>
              </w:divBdr>
            </w:div>
          </w:divsChild>
        </w:div>
        <w:div w:id="778993412">
          <w:marLeft w:val="0"/>
          <w:marRight w:val="0"/>
          <w:marTop w:val="0"/>
          <w:marBottom w:val="0"/>
          <w:divBdr>
            <w:top w:val="none" w:sz="0" w:space="0" w:color="auto"/>
            <w:left w:val="none" w:sz="0" w:space="0" w:color="auto"/>
            <w:bottom w:val="none" w:sz="0" w:space="0" w:color="auto"/>
            <w:right w:val="none" w:sz="0" w:space="0" w:color="auto"/>
          </w:divBdr>
        </w:div>
        <w:div w:id="1035886598">
          <w:marLeft w:val="0"/>
          <w:marRight w:val="0"/>
          <w:marTop w:val="0"/>
          <w:marBottom w:val="0"/>
          <w:divBdr>
            <w:top w:val="none" w:sz="0" w:space="0" w:color="auto"/>
            <w:left w:val="none" w:sz="0" w:space="0" w:color="auto"/>
            <w:bottom w:val="none" w:sz="0" w:space="0" w:color="auto"/>
            <w:right w:val="none" w:sz="0" w:space="0" w:color="auto"/>
          </w:divBdr>
        </w:div>
        <w:div w:id="1576940395">
          <w:marLeft w:val="0"/>
          <w:marRight w:val="0"/>
          <w:marTop w:val="0"/>
          <w:marBottom w:val="0"/>
          <w:divBdr>
            <w:top w:val="none" w:sz="0" w:space="0" w:color="auto"/>
            <w:left w:val="none" w:sz="0" w:space="0" w:color="auto"/>
            <w:bottom w:val="none" w:sz="0" w:space="0" w:color="auto"/>
            <w:right w:val="none" w:sz="0" w:space="0" w:color="auto"/>
          </w:divBdr>
        </w:div>
        <w:div w:id="1728720722">
          <w:marLeft w:val="0"/>
          <w:marRight w:val="0"/>
          <w:marTop w:val="0"/>
          <w:marBottom w:val="0"/>
          <w:divBdr>
            <w:top w:val="none" w:sz="0" w:space="0" w:color="auto"/>
            <w:left w:val="none" w:sz="0" w:space="0" w:color="auto"/>
            <w:bottom w:val="none" w:sz="0" w:space="0" w:color="auto"/>
            <w:right w:val="none" w:sz="0" w:space="0" w:color="auto"/>
          </w:divBdr>
          <w:divsChild>
            <w:div w:id="413819250">
              <w:marLeft w:val="0"/>
              <w:marRight w:val="0"/>
              <w:marTop w:val="0"/>
              <w:marBottom w:val="0"/>
              <w:divBdr>
                <w:top w:val="none" w:sz="0" w:space="0" w:color="auto"/>
                <w:left w:val="none" w:sz="0" w:space="0" w:color="auto"/>
                <w:bottom w:val="none" w:sz="0" w:space="0" w:color="auto"/>
                <w:right w:val="none" w:sz="0" w:space="0" w:color="auto"/>
              </w:divBdr>
            </w:div>
            <w:div w:id="542251191">
              <w:marLeft w:val="0"/>
              <w:marRight w:val="0"/>
              <w:marTop w:val="0"/>
              <w:marBottom w:val="0"/>
              <w:divBdr>
                <w:top w:val="none" w:sz="0" w:space="0" w:color="auto"/>
                <w:left w:val="none" w:sz="0" w:space="0" w:color="auto"/>
                <w:bottom w:val="none" w:sz="0" w:space="0" w:color="auto"/>
                <w:right w:val="none" w:sz="0" w:space="0" w:color="auto"/>
              </w:divBdr>
            </w:div>
            <w:div w:id="856502329">
              <w:marLeft w:val="0"/>
              <w:marRight w:val="0"/>
              <w:marTop w:val="0"/>
              <w:marBottom w:val="0"/>
              <w:divBdr>
                <w:top w:val="none" w:sz="0" w:space="0" w:color="auto"/>
                <w:left w:val="none" w:sz="0" w:space="0" w:color="auto"/>
                <w:bottom w:val="none" w:sz="0" w:space="0" w:color="auto"/>
                <w:right w:val="none" w:sz="0" w:space="0" w:color="auto"/>
              </w:divBdr>
            </w:div>
            <w:div w:id="1535267051">
              <w:marLeft w:val="0"/>
              <w:marRight w:val="0"/>
              <w:marTop w:val="0"/>
              <w:marBottom w:val="0"/>
              <w:divBdr>
                <w:top w:val="none" w:sz="0" w:space="0" w:color="auto"/>
                <w:left w:val="none" w:sz="0" w:space="0" w:color="auto"/>
                <w:bottom w:val="none" w:sz="0" w:space="0" w:color="auto"/>
                <w:right w:val="none" w:sz="0" w:space="0" w:color="auto"/>
              </w:divBdr>
            </w:div>
            <w:div w:id="2137866489">
              <w:marLeft w:val="0"/>
              <w:marRight w:val="0"/>
              <w:marTop w:val="0"/>
              <w:marBottom w:val="0"/>
              <w:divBdr>
                <w:top w:val="none" w:sz="0" w:space="0" w:color="auto"/>
                <w:left w:val="none" w:sz="0" w:space="0" w:color="auto"/>
                <w:bottom w:val="none" w:sz="0" w:space="0" w:color="auto"/>
                <w:right w:val="none" w:sz="0" w:space="0" w:color="auto"/>
              </w:divBdr>
            </w:div>
          </w:divsChild>
        </w:div>
        <w:div w:id="1873761561">
          <w:marLeft w:val="0"/>
          <w:marRight w:val="0"/>
          <w:marTop w:val="0"/>
          <w:marBottom w:val="0"/>
          <w:divBdr>
            <w:top w:val="none" w:sz="0" w:space="0" w:color="auto"/>
            <w:left w:val="none" w:sz="0" w:space="0" w:color="auto"/>
            <w:bottom w:val="none" w:sz="0" w:space="0" w:color="auto"/>
            <w:right w:val="none" w:sz="0" w:space="0" w:color="auto"/>
          </w:divBdr>
          <w:divsChild>
            <w:div w:id="559365471">
              <w:marLeft w:val="0"/>
              <w:marRight w:val="0"/>
              <w:marTop w:val="0"/>
              <w:marBottom w:val="0"/>
              <w:divBdr>
                <w:top w:val="none" w:sz="0" w:space="0" w:color="auto"/>
                <w:left w:val="none" w:sz="0" w:space="0" w:color="auto"/>
                <w:bottom w:val="none" w:sz="0" w:space="0" w:color="auto"/>
                <w:right w:val="none" w:sz="0" w:space="0" w:color="auto"/>
              </w:divBdr>
            </w:div>
            <w:div w:id="722679716">
              <w:marLeft w:val="0"/>
              <w:marRight w:val="0"/>
              <w:marTop w:val="0"/>
              <w:marBottom w:val="0"/>
              <w:divBdr>
                <w:top w:val="none" w:sz="0" w:space="0" w:color="auto"/>
                <w:left w:val="none" w:sz="0" w:space="0" w:color="auto"/>
                <w:bottom w:val="none" w:sz="0" w:space="0" w:color="auto"/>
                <w:right w:val="none" w:sz="0" w:space="0" w:color="auto"/>
              </w:divBdr>
            </w:div>
            <w:div w:id="966663650">
              <w:marLeft w:val="0"/>
              <w:marRight w:val="0"/>
              <w:marTop w:val="0"/>
              <w:marBottom w:val="0"/>
              <w:divBdr>
                <w:top w:val="none" w:sz="0" w:space="0" w:color="auto"/>
                <w:left w:val="none" w:sz="0" w:space="0" w:color="auto"/>
                <w:bottom w:val="none" w:sz="0" w:space="0" w:color="auto"/>
                <w:right w:val="none" w:sz="0" w:space="0" w:color="auto"/>
              </w:divBdr>
            </w:div>
            <w:div w:id="1006009894">
              <w:marLeft w:val="0"/>
              <w:marRight w:val="0"/>
              <w:marTop w:val="0"/>
              <w:marBottom w:val="0"/>
              <w:divBdr>
                <w:top w:val="none" w:sz="0" w:space="0" w:color="auto"/>
                <w:left w:val="none" w:sz="0" w:space="0" w:color="auto"/>
                <w:bottom w:val="none" w:sz="0" w:space="0" w:color="auto"/>
                <w:right w:val="none" w:sz="0" w:space="0" w:color="auto"/>
              </w:divBdr>
            </w:div>
            <w:div w:id="2041854837">
              <w:marLeft w:val="0"/>
              <w:marRight w:val="0"/>
              <w:marTop w:val="0"/>
              <w:marBottom w:val="0"/>
              <w:divBdr>
                <w:top w:val="none" w:sz="0" w:space="0" w:color="auto"/>
                <w:left w:val="none" w:sz="0" w:space="0" w:color="auto"/>
                <w:bottom w:val="none" w:sz="0" w:space="0" w:color="auto"/>
                <w:right w:val="none" w:sz="0" w:space="0" w:color="auto"/>
              </w:divBdr>
            </w:div>
          </w:divsChild>
        </w:div>
        <w:div w:id="1883906381">
          <w:marLeft w:val="0"/>
          <w:marRight w:val="0"/>
          <w:marTop w:val="0"/>
          <w:marBottom w:val="0"/>
          <w:divBdr>
            <w:top w:val="none" w:sz="0" w:space="0" w:color="auto"/>
            <w:left w:val="none" w:sz="0" w:space="0" w:color="auto"/>
            <w:bottom w:val="none" w:sz="0" w:space="0" w:color="auto"/>
            <w:right w:val="none" w:sz="0" w:space="0" w:color="auto"/>
          </w:divBdr>
          <w:divsChild>
            <w:div w:id="803932417">
              <w:marLeft w:val="0"/>
              <w:marRight w:val="0"/>
              <w:marTop w:val="0"/>
              <w:marBottom w:val="0"/>
              <w:divBdr>
                <w:top w:val="none" w:sz="0" w:space="0" w:color="auto"/>
                <w:left w:val="none" w:sz="0" w:space="0" w:color="auto"/>
                <w:bottom w:val="none" w:sz="0" w:space="0" w:color="auto"/>
                <w:right w:val="none" w:sz="0" w:space="0" w:color="auto"/>
              </w:divBdr>
            </w:div>
            <w:div w:id="971325985">
              <w:marLeft w:val="0"/>
              <w:marRight w:val="0"/>
              <w:marTop w:val="0"/>
              <w:marBottom w:val="0"/>
              <w:divBdr>
                <w:top w:val="none" w:sz="0" w:space="0" w:color="auto"/>
                <w:left w:val="none" w:sz="0" w:space="0" w:color="auto"/>
                <w:bottom w:val="none" w:sz="0" w:space="0" w:color="auto"/>
                <w:right w:val="none" w:sz="0" w:space="0" w:color="auto"/>
              </w:divBdr>
            </w:div>
            <w:div w:id="1424454817">
              <w:marLeft w:val="0"/>
              <w:marRight w:val="0"/>
              <w:marTop w:val="0"/>
              <w:marBottom w:val="0"/>
              <w:divBdr>
                <w:top w:val="none" w:sz="0" w:space="0" w:color="auto"/>
                <w:left w:val="none" w:sz="0" w:space="0" w:color="auto"/>
                <w:bottom w:val="none" w:sz="0" w:space="0" w:color="auto"/>
                <w:right w:val="none" w:sz="0" w:space="0" w:color="auto"/>
              </w:divBdr>
            </w:div>
            <w:div w:id="1881238704">
              <w:marLeft w:val="0"/>
              <w:marRight w:val="0"/>
              <w:marTop w:val="0"/>
              <w:marBottom w:val="0"/>
              <w:divBdr>
                <w:top w:val="none" w:sz="0" w:space="0" w:color="auto"/>
                <w:left w:val="none" w:sz="0" w:space="0" w:color="auto"/>
                <w:bottom w:val="none" w:sz="0" w:space="0" w:color="auto"/>
                <w:right w:val="none" w:sz="0" w:space="0" w:color="auto"/>
              </w:divBdr>
            </w:div>
            <w:div w:id="2040084004">
              <w:marLeft w:val="0"/>
              <w:marRight w:val="0"/>
              <w:marTop w:val="0"/>
              <w:marBottom w:val="0"/>
              <w:divBdr>
                <w:top w:val="none" w:sz="0" w:space="0" w:color="auto"/>
                <w:left w:val="none" w:sz="0" w:space="0" w:color="auto"/>
                <w:bottom w:val="none" w:sz="0" w:space="0" w:color="auto"/>
                <w:right w:val="none" w:sz="0" w:space="0" w:color="auto"/>
              </w:divBdr>
            </w:div>
          </w:divsChild>
        </w:div>
        <w:div w:id="1898710950">
          <w:marLeft w:val="0"/>
          <w:marRight w:val="0"/>
          <w:marTop w:val="0"/>
          <w:marBottom w:val="0"/>
          <w:divBdr>
            <w:top w:val="none" w:sz="0" w:space="0" w:color="auto"/>
            <w:left w:val="none" w:sz="0" w:space="0" w:color="auto"/>
            <w:bottom w:val="none" w:sz="0" w:space="0" w:color="auto"/>
            <w:right w:val="none" w:sz="0" w:space="0" w:color="auto"/>
          </w:divBdr>
        </w:div>
        <w:div w:id="2003387943">
          <w:marLeft w:val="0"/>
          <w:marRight w:val="0"/>
          <w:marTop w:val="0"/>
          <w:marBottom w:val="0"/>
          <w:divBdr>
            <w:top w:val="none" w:sz="0" w:space="0" w:color="auto"/>
            <w:left w:val="none" w:sz="0" w:space="0" w:color="auto"/>
            <w:bottom w:val="none" w:sz="0" w:space="0" w:color="auto"/>
            <w:right w:val="none" w:sz="0" w:space="0" w:color="auto"/>
          </w:divBdr>
          <w:divsChild>
            <w:div w:id="144013717">
              <w:marLeft w:val="0"/>
              <w:marRight w:val="0"/>
              <w:marTop w:val="0"/>
              <w:marBottom w:val="0"/>
              <w:divBdr>
                <w:top w:val="none" w:sz="0" w:space="0" w:color="auto"/>
                <w:left w:val="none" w:sz="0" w:space="0" w:color="auto"/>
                <w:bottom w:val="none" w:sz="0" w:space="0" w:color="auto"/>
                <w:right w:val="none" w:sz="0" w:space="0" w:color="auto"/>
              </w:divBdr>
            </w:div>
            <w:div w:id="1234123921">
              <w:marLeft w:val="0"/>
              <w:marRight w:val="0"/>
              <w:marTop w:val="0"/>
              <w:marBottom w:val="0"/>
              <w:divBdr>
                <w:top w:val="none" w:sz="0" w:space="0" w:color="auto"/>
                <w:left w:val="none" w:sz="0" w:space="0" w:color="auto"/>
                <w:bottom w:val="none" w:sz="0" w:space="0" w:color="auto"/>
                <w:right w:val="none" w:sz="0" w:space="0" w:color="auto"/>
              </w:divBdr>
            </w:div>
            <w:div w:id="1397509611">
              <w:marLeft w:val="0"/>
              <w:marRight w:val="0"/>
              <w:marTop w:val="0"/>
              <w:marBottom w:val="0"/>
              <w:divBdr>
                <w:top w:val="none" w:sz="0" w:space="0" w:color="auto"/>
                <w:left w:val="none" w:sz="0" w:space="0" w:color="auto"/>
                <w:bottom w:val="none" w:sz="0" w:space="0" w:color="auto"/>
                <w:right w:val="none" w:sz="0" w:space="0" w:color="auto"/>
              </w:divBdr>
            </w:div>
            <w:div w:id="1819347508">
              <w:marLeft w:val="0"/>
              <w:marRight w:val="0"/>
              <w:marTop w:val="0"/>
              <w:marBottom w:val="0"/>
              <w:divBdr>
                <w:top w:val="none" w:sz="0" w:space="0" w:color="auto"/>
                <w:left w:val="none" w:sz="0" w:space="0" w:color="auto"/>
                <w:bottom w:val="none" w:sz="0" w:space="0" w:color="auto"/>
                <w:right w:val="none" w:sz="0" w:space="0" w:color="auto"/>
              </w:divBdr>
            </w:div>
            <w:div w:id="1842037632">
              <w:marLeft w:val="0"/>
              <w:marRight w:val="0"/>
              <w:marTop w:val="0"/>
              <w:marBottom w:val="0"/>
              <w:divBdr>
                <w:top w:val="none" w:sz="0" w:space="0" w:color="auto"/>
                <w:left w:val="none" w:sz="0" w:space="0" w:color="auto"/>
                <w:bottom w:val="none" w:sz="0" w:space="0" w:color="auto"/>
                <w:right w:val="none" w:sz="0" w:space="0" w:color="auto"/>
              </w:divBdr>
            </w:div>
          </w:divsChild>
        </w:div>
        <w:div w:id="2042507413">
          <w:marLeft w:val="0"/>
          <w:marRight w:val="0"/>
          <w:marTop w:val="0"/>
          <w:marBottom w:val="0"/>
          <w:divBdr>
            <w:top w:val="none" w:sz="0" w:space="0" w:color="auto"/>
            <w:left w:val="none" w:sz="0" w:space="0" w:color="auto"/>
            <w:bottom w:val="none" w:sz="0" w:space="0" w:color="auto"/>
            <w:right w:val="none" w:sz="0" w:space="0" w:color="auto"/>
          </w:divBdr>
        </w:div>
        <w:div w:id="2110075771">
          <w:marLeft w:val="0"/>
          <w:marRight w:val="0"/>
          <w:marTop w:val="0"/>
          <w:marBottom w:val="0"/>
          <w:divBdr>
            <w:top w:val="none" w:sz="0" w:space="0" w:color="auto"/>
            <w:left w:val="none" w:sz="0" w:space="0" w:color="auto"/>
            <w:bottom w:val="none" w:sz="0" w:space="0" w:color="auto"/>
            <w:right w:val="none" w:sz="0" w:space="0" w:color="auto"/>
          </w:divBdr>
          <w:divsChild>
            <w:div w:id="169367946">
              <w:marLeft w:val="0"/>
              <w:marRight w:val="0"/>
              <w:marTop w:val="0"/>
              <w:marBottom w:val="0"/>
              <w:divBdr>
                <w:top w:val="none" w:sz="0" w:space="0" w:color="auto"/>
                <w:left w:val="none" w:sz="0" w:space="0" w:color="auto"/>
                <w:bottom w:val="none" w:sz="0" w:space="0" w:color="auto"/>
                <w:right w:val="none" w:sz="0" w:space="0" w:color="auto"/>
              </w:divBdr>
            </w:div>
            <w:div w:id="222524014">
              <w:marLeft w:val="0"/>
              <w:marRight w:val="0"/>
              <w:marTop w:val="0"/>
              <w:marBottom w:val="0"/>
              <w:divBdr>
                <w:top w:val="none" w:sz="0" w:space="0" w:color="auto"/>
                <w:left w:val="none" w:sz="0" w:space="0" w:color="auto"/>
                <w:bottom w:val="none" w:sz="0" w:space="0" w:color="auto"/>
                <w:right w:val="none" w:sz="0" w:space="0" w:color="auto"/>
              </w:divBdr>
            </w:div>
            <w:div w:id="1173187048">
              <w:marLeft w:val="0"/>
              <w:marRight w:val="0"/>
              <w:marTop w:val="0"/>
              <w:marBottom w:val="0"/>
              <w:divBdr>
                <w:top w:val="none" w:sz="0" w:space="0" w:color="auto"/>
                <w:left w:val="none" w:sz="0" w:space="0" w:color="auto"/>
                <w:bottom w:val="none" w:sz="0" w:space="0" w:color="auto"/>
                <w:right w:val="none" w:sz="0" w:space="0" w:color="auto"/>
              </w:divBdr>
            </w:div>
            <w:div w:id="1603301871">
              <w:marLeft w:val="0"/>
              <w:marRight w:val="0"/>
              <w:marTop w:val="0"/>
              <w:marBottom w:val="0"/>
              <w:divBdr>
                <w:top w:val="none" w:sz="0" w:space="0" w:color="auto"/>
                <w:left w:val="none" w:sz="0" w:space="0" w:color="auto"/>
                <w:bottom w:val="none" w:sz="0" w:space="0" w:color="auto"/>
                <w:right w:val="none" w:sz="0" w:space="0" w:color="auto"/>
              </w:divBdr>
            </w:div>
            <w:div w:id="2029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219">
      <w:bodyDiv w:val="1"/>
      <w:marLeft w:val="0"/>
      <w:marRight w:val="0"/>
      <w:marTop w:val="0"/>
      <w:marBottom w:val="0"/>
      <w:divBdr>
        <w:top w:val="none" w:sz="0" w:space="0" w:color="auto"/>
        <w:left w:val="none" w:sz="0" w:space="0" w:color="auto"/>
        <w:bottom w:val="none" w:sz="0" w:space="0" w:color="auto"/>
        <w:right w:val="none" w:sz="0" w:space="0" w:color="auto"/>
      </w:divBdr>
    </w:div>
    <w:div w:id="1237010776">
      <w:bodyDiv w:val="1"/>
      <w:marLeft w:val="0"/>
      <w:marRight w:val="0"/>
      <w:marTop w:val="0"/>
      <w:marBottom w:val="0"/>
      <w:divBdr>
        <w:top w:val="none" w:sz="0" w:space="0" w:color="auto"/>
        <w:left w:val="none" w:sz="0" w:space="0" w:color="auto"/>
        <w:bottom w:val="none" w:sz="0" w:space="0" w:color="auto"/>
        <w:right w:val="none" w:sz="0" w:space="0" w:color="auto"/>
      </w:divBdr>
    </w:div>
    <w:div w:id="1372534772">
      <w:bodyDiv w:val="1"/>
      <w:marLeft w:val="0"/>
      <w:marRight w:val="0"/>
      <w:marTop w:val="0"/>
      <w:marBottom w:val="0"/>
      <w:divBdr>
        <w:top w:val="none" w:sz="0" w:space="0" w:color="auto"/>
        <w:left w:val="none" w:sz="0" w:space="0" w:color="auto"/>
        <w:bottom w:val="none" w:sz="0" w:space="0" w:color="auto"/>
        <w:right w:val="none" w:sz="0" w:space="0" w:color="auto"/>
      </w:divBdr>
      <w:divsChild>
        <w:div w:id="906692088">
          <w:marLeft w:val="0"/>
          <w:marRight w:val="0"/>
          <w:marTop w:val="0"/>
          <w:marBottom w:val="0"/>
          <w:divBdr>
            <w:top w:val="none" w:sz="0" w:space="0" w:color="auto"/>
            <w:left w:val="none" w:sz="0" w:space="0" w:color="auto"/>
            <w:bottom w:val="none" w:sz="0" w:space="0" w:color="auto"/>
            <w:right w:val="none" w:sz="0" w:space="0" w:color="auto"/>
          </w:divBdr>
        </w:div>
        <w:div w:id="1519656290">
          <w:marLeft w:val="0"/>
          <w:marRight w:val="0"/>
          <w:marTop w:val="0"/>
          <w:marBottom w:val="0"/>
          <w:divBdr>
            <w:top w:val="none" w:sz="0" w:space="0" w:color="auto"/>
            <w:left w:val="none" w:sz="0" w:space="0" w:color="auto"/>
            <w:bottom w:val="none" w:sz="0" w:space="0" w:color="auto"/>
            <w:right w:val="none" w:sz="0" w:space="0" w:color="auto"/>
          </w:divBdr>
        </w:div>
      </w:divsChild>
    </w:div>
    <w:div w:id="1453137922">
      <w:bodyDiv w:val="1"/>
      <w:marLeft w:val="0"/>
      <w:marRight w:val="0"/>
      <w:marTop w:val="0"/>
      <w:marBottom w:val="0"/>
      <w:divBdr>
        <w:top w:val="none" w:sz="0" w:space="0" w:color="auto"/>
        <w:left w:val="none" w:sz="0" w:space="0" w:color="auto"/>
        <w:bottom w:val="none" w:sz="0" w:space="0" w:color="auto"/>
        <w:right w:val="none" w:sz="0" w:space="0" w:color="auto"/>
      </w:divBdr>
      <w:divsChild>
        <w:div w:id="45573685">
          <w:marLeft w:val="0"/>
          <w:marRight w:val="0"/>
          <w:marTop w:val="0"/>
          <w:marBottom w:val="0"/>
          <w:divBdr>
            <w:top w:val="none" w:sz="0" w:space="0" w:color="auto"/>
            <w:left w:val="none" w:sz="0" w:space="0" w:color="auto"/>
            <w:bottom w:val="none" w:sz="0" w:space="0" w:color="auto"/>
            <w:right w:val="none" w:sz="0" w:space="0" w:color="auto"/>
          </w:divBdr>
        </w:div>
        <w:div w:id="208959038">
          <w:marLeft w:val="0"/>
          <w:marRight w:val="0"/>
          <w:marTop w:val="0"/>
          <w:marBottom w:val="0"/>
          <w:divBdr>
            <w:top w:val="none" w:sz="0" w:space="0" w:color="auto"/>
            <w:left w:val="none" w:sz="0" w:space="0" w:color="auto"/>
            <w:bottom w:val="none" w:sz="0" w:space="0" w:color="auto"/>
            <w:right w:val="none" w:sz="0" w:space="0" w:color="auto"/>
          </w:divBdr>
        </w:div>
        <w:div w:id="308443350">
          <w:marLeft w:val="0"/>
          <w:marRight w:val="0"/>
          <w:marTop w:val="0"/>
          <w:marBottom w:val="0"/>
          <w:divBdr>
            <w:top w:val="none" w:sz="0" w:space="0" w:color="auto"/>
            <w:left w:val="none" w:sz="0" w:space="0" w:color="auto"/>
            <w:bottom w:val="none" w:sz="0" w:space="0" w:color="auto"/>
            <w:right w:val="none" w:sz="0" w:space="0" w:color="auto"/>
          </w:divBdr>
        </w:div>
        <w:div w:id="314719865">
          <w:marLeft w:val="0"/>
          <w:marRight w:val="0"/>
          <w:marTop w:val="0"/>
          <w:marBottom w:val="0"/>
          <w:divBdr>
            <w:top w:val="none" w:sz="0" w:space="0" w:color="auto"/>
            <w:left w:val="none" w:sz="0" w:space="0" w:color="auto"/>
            <w:bottom w:val="none" w:sz="0" w:space="0" w:color="auto"/>
            <w:right w:val="none" w:sz="0" w:space="0" w:color="auto"/>
          </w:divBdr>
        </w:div>
        <w:div w:id="348407817">
          <w:marLeft w:val="0"/>
          <w:marRight w:val="0"/>
          <w:marTop w:val="0"/>
          <w:marBottom w:val="0"/>
          <w:divBdr>
            <w:top w:val="none" w:sz="0" w:space="0" w:color="auto"/>
            <w:left w:val="none" w:sz="0" w:space="0" w:color="auto"/>
            <w:bottom w:val="none" w:sz="0" w:space="0" w:color="auto"/>
            <w:right w:val="none" w:sz="0" w:space="0" w:color="auto"/>
          </w:divBdr>
        </w:div>
        <w:div w:id="551582368">
          <w:marLeft w:val="0"/>
          <w:marRight w:val="0"/>
          <w:marTop w:val="0"/>
          <w:marBottom w:val="0"/>
          <w:divBdr>
            <w:top w:val="none" w:sz="0" w:space="0" w:color="auto"/>
            <w:left w:val="none" w:sz="0" w:space="0" w:color="auto"/>
            <w:bottom w:val="none" w:sz="0" w:space="0" w:color="auto"/>
            <w:right w:val="none" w:sz="0" w:space="0" w:color="auto"/>
          </w:divBdr>
        </w:div>
        <w:div w:id="574314496">
          <w:marLeft w:val="0"/>
          <w:marRight w:val="0"/>
          <w:marTop w:val="0"/>
          <w:marBottom w:val="0"/>
          <w:divBdr>
            <w:top w:val="none" w:sz="0" w:space="0" w:color="auto"/>
            <w:left w:val="none" w:sz="0" w:space="0" w:color="auto"/>
            <w:bottom w:val="none" w:sz="0" w:space="0" w:color="auto"/>
            <w:right w:val="none" w:sz="0" w:space="0" w:color="auto"/>
          </w:divBdr>
        </w:div>
        <w:div w:id="1085107213">
          <w:marLeft w:val="0"/>
          <w:marRight w:val="0"/>
          <w:marTop w:val="0"/>
          <w:marBottom w:val="0"/>
          <w:divBdr>
            <w:top w:val="none" w:sz="0" w:space="0" w:color="auto"/>
            <w:left w:val="none" w:sz="0" w:space="0" w:color="auto"/>
            <w:bottom w:val="none" w:sz="0" w:space="0" w:color="auto"/>
            <w:right w:val="none" w:sz="0" w:space="0" w:color="auto"/>
          </w:divBdr>
        </w:div>
        <w:div w:id="1289049083">
          <w:marLeft w:val="0"/>
          <w:marRight w:val="0"/>
          <w:marTop w:val="0"/>
          <w:marBottom w:val="0"/>
          <w:divBdr>
            <w:top w:val="none" w:sz="0" w:space="0" w:color="auto"/>
            <w:left w:val="none" w:sz="0" w:space="0" w:color="auto"/>
            <w:bottom w:val="none" w:sz="0" w:space="0" w:color="auto"/>
            <w:right w:val="none" w:sz="0" w:space="0" w:color="auto"/>
          </w:divBdr>
        </w:div>
        <w:div w:id="1565137132">
          <w:marLeft w:val="0"/>
          <w:marRight w:val="0"/>
          <w:marTop w:val="0"/>
          <w:marBottom w:val="0"/>
          <w:divBdr>
            <w:top w:val="none" w:sz="0" w:space="0" w:color="auto"/>
            <w:left w:val="none" w:sz="0" w:space="0" w:color="auto"/>
            <w:bottom w:val="none" w:sz="0" w:space="0" w:color="auto"/>
            <w:right w:val="none" w:sz="0" w:space="0" w:color="auto"/>
          </w:divBdr>
        </w:div>
        <w:div w:id="1599870372">
          <w:marLeft w:val="0"/>
          <w:marRight w:val="0"/>
          <w:marTop w:val="0"/>
          <w:marBottom w:val="0"/>
          <w:divBdr>
            <w:top w:val="none" w:sz="0" w:space="0" w:color="auto"/>
            <w:left w:val="none" w:sz="0" w:space="0" w:color="auto"/>
            <w:bottom w:val="none" w:sz="0" w:space="0" w:color="auto"/>
            <w:right w:val="none" w:sz="0" w:space="0" w:color="auto"/>
          </w:divBdr>
        </w:div>
        <w:div w:id="1652056482">
          <w:marLeft w:val="0"/>
          <w:marRight w:val="0"/>
          <w:marTop w:val="0"/>
          <w:marBottom w:val="0"/>
          <w:divBdr>
            <w:top w:val="none" w:sz="0" w:space="0" w:color="auto"/>
            <w:left w:val="none" w:sz="0" w:space="0" w:color="auto"/>
            <w:bottom w:val="none" w:sz="0" w:space="0" w:color="auto"/>
            <w:right w:val="none" w:sz="0" w:space="0" w:color="auto"/>
          </w:divBdr>
        </w:div>
        <w:div w:id="1731690225">
          <w:marLeft w:val="0"/>
          <w:marRight w:val="0"/>
          <w:marTop w:val="0"/>
          <w:marBottom w:val="0"/>
          <w:divBdr>
            <w:top w:val="none" w:sz="0" w:space="0" w:color="auto"/>
            <w:left w:val="none" w:sz="0" w:space="0" w:color="auto"/>
            <w:bottom w:val="none" w:sz="0" w:space="0" w:color="auto"/>
            <w:right w:val="none" w:sz="0" w:space="0" w:color="auto"/>
          </w:divBdr>
        </w:div>
        <w:div w:id="2079593745">
          <w:marLeft w:val="0"/>
          <w:marRight w:val="0"/>
          <w:marTop w:val="0"/>
          <w:marBottom w:val="0"/>
          <w:divBdr>
            <w:top w:val="none" w:sz="0" w:space="0" w:color="auto"/>
            <w:left w:val="none" w:sz="0" w:space="0" w:color="auto"/>
            <w:bottom w:val="none" w:sz="0" w:space="0" w:color="auto"/>
            <w:right w:val="none" w:sz="0" w:space="0" w:color="auto"/>
          </w:divBdr>
        </w:div>
        <w:div w:id="2080518596">
          <w:marLeft w:val="0"/>
          <w:marRight w:val="0"/>
          <w:marTop w:val="0"/>
          <w:marBottom w:val="0"/>
          <w:divBdr>
            <w:top w:val="none" w:sz="0" w:space="0" w:color="auto"/>
            <w:left w:val="none" w:sz="0" w:space="0" w:color="auto"/>
            <w:bottom w:val="none" w:sz="0" w:space="0" w:color="auto"/>
            <w:right w:val="none" w:sz="0" w:space="0" w:color="auto"/>
          </w:divBdr>
        </w:div>
      </w:divsChild>
    </w:div>
    <w:div w:id="15569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industries-and-topics/pge/pge-oversight-and-enforc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18"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26"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3" Type="http://schemas.openxmlformats.org/officeDocument/2006/relationships/hyperlink" Target="https://www.cpuc.ca.gov/pgeenforcement/" TargetMode="External"/><Relationship Id="rId21" Type="http://schemas.openxmlformats.org/officeDocument/2006/relationships/hyperlink" Target="https://www.cpuc.ca.gov/-/media/cpuc-website/industries-and-topics/documents/pge/oversight-and-enforcement/pge-90-day-report_02022022.pdf" TargetMode="External"/><Relationship Id="rId7"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12" Type="http://schemas.openxmlformats.org/officeDocument/2006/relationships/hyperlink" Target="https://www.ethree.com/wp-content/uploads/2022/01/E3_Review_of_PGEs_2021_Wildfire_Distribution_Risk_Model.pdf" TargetMode="External"/><Relationship Id="rId17"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25"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33"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2" Type="http://schemas.openxmlformats.org/officeDocument/2006/relationships/hyperlink" Target="https://www.cpuc.ca.gov/pgeenforcement/" TargetMode="External"/><Relationship Id="rId16" Type="http://schemas.openxmlformats.org/officeDocument/2006/relationships/hyperlink" Target="https://www.ethree.com/wp-content/uploads/2022/01/E3_Review_of_PGEs_2021_Wildfire_Distribution_Risk_Model.pdf" TargetMode="External"/><Relationship Id="rId20" Type="http://schemas.openxmlformats.org/officeDocument/2006/relationships/hyperlink" Target="https://www.cpuc.ca.gov/industries-and-topics/pge/pge-oversight-and-enforcement" TargetMode="External"/><Relationship Id="rId29"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1" Type="http://schemas.openxmlformats.org/officeDocument/2006/relationships/hyperlink" Target="https://www.cpuc.ca.gov/pgeenforcement/" TargetMode="External"/><Relationship Id="rId6" Type="http://schemas.openxmlformats.org/officeDocument/2006/relationships/hyperlink" Target="https://www.pge.com/pge_global/common/pdfs/safety/emergency-preparedness/natural-disaster/wildfires/wildfire-mitigation-plan/2021-Wildfire-Safety-Plan-Revised-060321.pdf" TargetMode="External"/><Relationship Id="rId11"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24" Type="http://schemas.openxmlformats.org/officeDocument/2006/relationships/hyperlink" Target="https://www.cpuc.ca.gov/industries-and-topics/pge/pge-oversight-and-enforcement" TargetMode="External"/><Relationship Id="rId32" Type="http://schemas.openxmlformats.org/officeDocument/2006/relationships/hyperlink" Target="https://www.pge.com/pge_global/common/pdfs/safety/emergency-preparedness/natural-disaster/wildfires/wildfire-mitigation-plan/2021-Wildfire-Safety-Plan-Revised-060321.pdf" TargetMode="External"/><Relationship Id="rId5" Type="http://schemas.openxmlformats.org/officeDocument/2006/relationships/hyperlink" Target="https://www.pge.com/en_US/safety/emergency-preparedness/natural-disaster/wildfires/wildfire-mitigation-plan.page" TargetMode="External"/><Relationship Id="rId15"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23" Type="http://schemas.openxmlformats.org/officeDocument/2006/relationships/hyperlink" Target="https://www.cpuc.ca.gov/-/media/cpuc-website/industries-and-topics/documents/pge/oversight-and-enforcement/corrective-action-plan_november-90-day-report_110421.pdf" TargetMode="External"/><Relationship Id="rId28" Type="http://schemas.openxmlformats.org/officeDocument/2006/relationships/hyperlink" Target="https://www.cpuc.ca.gov/-/media/cpuc-website/industries-and-topics/documents/pge/oversight-and-enforcement/cap-90-day-report_08-01-22.pdf" TargetMode="External"/><Relationship Id="rId10"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19" Type="http://schemas.openxmlformats.org/officeDocument/2006/relationships/hyperlink" Target="https://www.cpuc.ca.gov/-/media/cpuc-website/industries-and-topics/documents/pge/oversight-and-enforcement/pdfa_planofreorganizationoii-2019_report-pge_20210804-public.pdf" TargetMode="External"/><Relationship Id="rId31"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4" Type="http://schemas.openxmlformats.org/officeDocument/2006/relationships/hyperlink" Target="https://www.pge.com/en_US/safety/emergency-preparedness/natural-disaster/wildfires/wildfire-mitigation-plan.page" TargetMode="External"/><Relationship Id="rId9"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14" Type="http://schemas.openxmlformats.org/officeDocument/2006/relationships/hyperlink" Target="https://www.cpuc.ca.gov/-/media/cpuc-website/industries-and-topics/documents/pge/oversight-and-enforcement/pge-90-day-report_02022022.pdf" TargetMode="External"/><Relationship Id="rId22" Type="http://schemas.openxmlformats.org/officeDocument/2006/relationships/hyperlink" Target="https://www.cpuc.ca.gov/-/media/cpuc-website/industries-and-topics/documents/pge/oversight-and-enforcement/pdfa_planofreorganizationoii-2019_report-pge_20210804-public.pdf" TargetMode="External"/><Relationship Id="rId27" Type="http://schemas.openxmlformats.org/officeDocument/2006/relationships/hyperlink" Target="https://www.cpuc.ca.gov/-/media/cpuc-website/industries-and-topics/documents/pge/oversight-and-enforcement/pge-corrective-action-plan_050621.pdf?sc_lang=en&amp;hash=2B2127B8CC3DB388A9ABBB9785A92108" TargetMode="External"/><Relationship Id="rId30" Type="http://schemas.openxmlformats.org/officeDocument/2006/relationships/hyperlink" Target="https://www.cpuc.ca.gov/-/media/cpuc-website/industries-and-topics/documents/pge/oversight-and-enforcement/cap-90-day-report_08-01-22.pdf" TargetMode="External"/><Relationship Id="rId8" Type="http://schemas.openxmlformats.org/officeDocument/2006/relationships/hyperlink" Target="https://www.cpuc.ca.gov/-/media/cpuc-website/industries-and-topics/documents/pge/oversight-and-enforcement/pge-90-day-report_020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D0DC434EC93649981C54FC51FEC81B" ma:contentTypeVersion="8" ma:contentTypeDescription="Create a new document." ma:contentTypeScope="" ma:versionID="aa5ccacd07e8af6d20adff4ed8c51ab3">
  <xsd:schema xmlns:xsd="http://www.w3.org/2001/XMLSchema" xmlns:xs="http://www.w3.org/2001/XMLSchema" xmlns:p="http://schemas.microsoft.com/office/2006/metadata/properties" xmlns:ns2="b2d2777c-a1f1-404e-80d5-4b6b735f5353" xmlns:ns3="5294eb0b-0742-491f-921b-4c8fe009313f" targetNamespace="http://schemas.microsoft.com/office/2006/metadata/properties" ma:root="true" ma:fieldsID="44a8edc6e080af2df33f4104e9195e8f" ns2:_="" ns3:_="">
    <xsd:import namespace="b2d2777c-a1f1-404e-80d5-4b6b735f5353"/>
    <xsd:import namespace="5294eb0b-0742-491f-921b-4c8fe00931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2777c-a1f1-404e-80d5-4b6b735f5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4eb0b-0742-491f-921b-4c8fe00931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3D90B-A1EB-492F-BC60-1C9FF7BC4CE4}">
  <ds:schemaRefs>
    <ds:schemaRef ds:uri="http://schemas.openxmlformats.org/officeDocument/2006/bibliography"/>
  </ds:schemaRefs>
</ds:datastoreItem>
</file>

<file path=customXml/itemProps3.xml><?xml version="1.0" encoding="utf-8"?>
<ds:datastoreItem xmlns:ds="http://schemas.openxmlformats.org/officeDocument/2006/customXml" ds:itemID="{44C8F4D5-7357-4273-A47E-18BA59FD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2777c-a1f1-404e-80d5-4b6b735f5353"/>
    <ds:schemaRef ds:uri="5294eb0b-0742-491f-921b-4c8fe0093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E118B-A6DC-45E7-BB8D-54B246C6E212}">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20</ap:Pages>
  <ap:Words>5740</ap:Words>
  <ap:Characters>32718</ap:Characters>
  <ap:Application>Microsoft Office Word</ap:Application>
  <ap:DocSecurity>0</ap:DocSecurity>
  <ap:Lines>272</ap:Lines>
  <ap:Paragraphs>76</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38382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2022-11-18T14:10:27Z</dcterms:created>
  <dcterms:modified xsi:type="dcterms:W3CDTF">2022-11-18T14:10:27Z</dcterms:modified>
</cp:coreProperties>
</file>