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754BB" w:rsidR="00657A10" w:rsidP="00760E39" w:rsidRDefault="00610D9A" w14:paraId="61351574" w14:textId="3812D043">
      <w:pPr>
        <w:tabs>
          <w:tab w:val="center" w:pos="4680"/>
          <w:tab w:val="right" w:pos="9360"/>
        </w:tabs>
        <w:spacing w:line="240" w:lineRule="auto"/>
        <w:ind w:firstLine="0"/>
        <w:rPr>
          <w:b/>
        </w:rPr>
      </w:pPr>
      <w:r>
        <w:t>ALJ/</w:t>
      </w:r>
      <w:r w:rsidR="003F1A8C">
        <w:t>CF1</w:t>
      </w:r>
      <w:r>
        <w:t>/sgu</w:t>
      </w:r>
      <w:r>
        <w:tab/>
      </w:r>
      <w:r w:rsidR="00760E39">
        <w:rPr>
          <w:rFonts w:ascii="Arial" w:hAnsi="Arial" w:cs="Arial"/>
          <w:b/>
          <w:bCs/>
          <w:sz w:val="28"/>
          <w:szCs w:val="28"/>
        </w:rPr>
        <w:tab/>
      </w:r>
      <w:r w:rsidR="00760E39">
        <w:rPr>
          <w:b/>
          <w:bCs/>
        </w:rPr>
        <w:t>Date of Issuance 11/2</w:t>
      </w:r>
      <w:r w:rsidR="004637FB">
        <w:rPr>
          <w:b/>
          <w:bCs/>
        </w:rPr>
        <w:t>3</w:t>
      </w:r>
      <w:r w:rsidR="00760E39">
        <w:rPr>
          <w:b/>
          <w:bCs/>
        </w:rPr>
        <w:t>/2022</w:t>
      </w:r>
    </w:p>
    <w:p w:rsidR="007E3E1F" w:rsidP="007E3E1F" w:rsidRDefault="007E3E1F" w14:paraId="07551029" w14:textId="7CBA2500">
      <w:pPr>
        <w:tabs>
          <w:tab w:val="left" w:pos="360"/>
        </w:tabs>
        <w:jc w:val="center"/>
        <w:rPr>
          <w:b/>
          <w:bCs/>
          <w:szCs w:val="26"/>
        </w:rPr>
      </w:pPr>
    </w:p>
    <w:p w:rsidRPr="007E3E1F" w:rsidR="00610D9A" w:rsidP="007E3E1F" w:rsidRDefault="00610D9A" w14:paraId="0C2A5E79" w14:textId="77777777">
      <w:pPr>
        <w:tabs>
          <w:tab w:val="left" w:pos="360"/>
        </w:tabs>
        <w:jc w:val="center"/>
        <w:rPr>
          <w:b/>
          <w:bCs/>
          <w:szCs w:val="26"/>
        </w:rPr>
      </w:pPr>
    </w:p>
    <w:p w:rsidRPr="007E3E1F" w:rsidR="007E3E1F" w:rsidP="007E3E1F" w:rsidRDefault="007E3E1F" w14:paraId="6559A0A7" w14:textId="77777777">
      <w:pPr>
        <w:tabs>
          <w:tab w:val="left" w:pos="360"/>
        </w:tabs>
        <w:ind w:firstLine="0"/>
        <w:rPr>
          <w:rFonts w:ascii="Arial" w:hAnsi="Arial" w:cs="Arial"/>
          <w:b/>
          <w:bCs/>
          <w:sz w:val="24"/>
          <w:szCs w:val="24"/>
        </w:rPr>
      </w:pPr>
      <w:r w:rsidRPr="007E3E1F">
        <w:rPr>
          <w:rFonts w:ascii="Arial" w:hAnsi="Arial" w:cs="Arial"/>
          <w:b/>
          <w:bCs/>
          <w:sz w:val="24"/>
          <w:szCs w:val="24"/>
        </w:rPr>
        <w:t>BEFORE THE PUBLIC UTILITIES COMMISSION OF THE STATE OF CALIFORNIA</w:t>
      </w:r>
    </w:p>
    <w:p w:rsidRPr="007E3E1F" w:rsidR="007E3E1F" w:rsidP="007E3E1F" w:rsidRDefault="007E3E1F" w14:paraId="3A750381" w14:textId="77777777">
      <w:pPr>
        <w:tabs>
          <w:tab w:val="left" w:pos="360"/>
        </w:tabs>
        <w:jc w:val="center"/>
        <w:rPr>
          <w:b/>
          <w:bCs/>
          <w:szCs w:val="26"/>
        </w:rPr>
      </w:pPr>
    </w:p>
    <w:tbl>
      <w:tblPr>
        <w:tblStyle w:val="TableGrid1"/>
        <w:tblW w:w="0" w:type="auto"/>
        <w:tblLook w:val="04A0" w:firstRow="1" w:lastRow="0" w:firstColumn="1" w:lastColumn="0" w:noHBand="0" w:noVBand="1"/>
      </w:tblPr>
      <w:tblGrid>
        <w:gridCol w:w="4590"/>
        <w:gridCol w:w="4760"/>
      </w:tblGrid>
      <w:tr w:rsidRPr="007E3E1F" w:rsidR="007E3E1F" w:rsidTr="007C7F1A" w14:paraId="69EE563F" w14:textId="77777777">
        <w:tc>
          <w:tcPr>
            <w:tcW w:w="4590" w:type="dxa"/>
            <w:tcBorders>
              <w:top w:val="nil"/>
              <w:left w:val="nil"/>
              <w:bottom w:val="single" w:color="auto" w:sz="4" w:space="0"/>
              <w:right w:val="single" w:color="auto" w:sz="4" w:space="0"/>
            </w:tcBorders>
          </w:tcPr>
          <w:p w:rsidR="003A6BB2" w:rsidP="007E3E1F" w:rsidRDefault="007E3E1F" w14:paraId="385E9C06" w14:textId="4A497000">
            <w:pPr>
              <w:spacing w:line="240" w:lineRule="auto"/>
              <w:ind w:firstLine="0"/>
              <w:rPr>
                <w:rFonts w:cs="Arial"/>
                <w:szCs w:val="26"/>
              </w:rPr>
            </w:pPr>
            <w:r w:rsidRPr="007E3E1F">
              <w:rPr>
                <w:rFonts w:cs="Arial"/>
                <w:szCs w:val="26"/>
              </w:rPr>
              <w:t xml:space="preserve">Order Instituting Rulemaking to </w:t>
            </w:r>
            <w:r w:rsidR="00273829">
              <w:rPr>
                <w:rFonts w:cs="Arial"/>
                <w:szCs w:val="26"/>
              </w:rPr>
              <w:t xml:space="preserve">Consider </w:t>
            </w:r>
            <w:r w:rsidRPr="007E3E1F">
              <w:rPr>
                <w:rFonts w:cs="Arial"/>
                <w:szCs w:val="26"/>
              </w:rPr>
              <w:t>Distributed Energy Resource</w:t>
            </w:r>
            <w:r w:rsidR="00DF2584">
              <w:rPr>
                <w:rFonts w:cs="Arial"/>
                <w:szCs w:val="26"/>
              </w:rPr>
              <w:t xml:space="preserve"> Program</w:t>
            </w:r>
            <w:r w:rsidRPr="007E3E1F">
              <w:rPr>
                <w:rFonts w:cs="Arial"/>
                <w:szCs w:val="26"/>
              </w:rPr>
              <w:t xml:space="preserve"> </w:t>
            </w:r>
            <w:r w:rsidR="00DF2584">
              <w:rPr>
                <w:rFonts w:cs="Arial"/>
                <w:szCs w:val="26"/>
              </w:rPr>
              <w:t>Cost-Effectiveness Issues, Data Access and Use, and Equipment Performance Standards</w:t>
            </w:r>
            <w:r w:rsidR="00400DC7">
              <w:rPr>
                <w:rFonts w:cs="Arial"/>
                <w:szCs w:val="26"/>
              </w:rPr>
              <w:t>.</w:t>
            </w:r>
          </w:p>
          <w:p w:rsidRPr="007E3E1F" w:rsidR="007E3E1F" w:rsidP="007E3E1F" w:rsidRDefault="007E3E1F" w14:paraId="361447BA" w14:textId="6189DFF1">
            <w:pPr>
              <w:spacing w:line="240" w:lineRule="auto"/>
              <w:ind w:firstLine="0"/>
              <w:rPr>
                <w:rFonts w:cs="Arial"/>
                <w:szCs w:val="26"/>
              </w:rPr>
            </w:pPr>
          </w:p>
        </w:tc>
        <w:tc>
          <w:tcPr>
            <w:tcW w:w="4760" w:type="dxa"/>
            <w:tcBorders>
              <w:top w:val="nil"/>
              <w:left w:val="single" w:color="auto" w:sz="4" w:space="0"/>
              <w:bottom w:val="nil"/>
              <w:right w:val="nil"/>
            </w:tcBorders>
            <w:vAlign w:val="center"/>
          </w:tcPr>
          <w:p w:rsidRPr="00C208C6" w:rsidR="00760E39" w:rsidP="00760E39" w:rsidRDefault="00760E39" w14:paraId="7C1210FC" w14:textId="77777777">
            <w:pPr>
              <w:spacing w:line="240" w:lineRule="auto"/>
              <w:ind w:hanging="17"/>
              <w:jc w:val="center"/>
              <w:rPr>
                <w:szCs w:val="26"/>
              </w:rPr>
            </w:pPr>
            <w:r w:rsidRPr="00C208C6">
              <w:rPr>
                <w:szCs w:val="26"/>
              </w:rPr>
              <w:t>FILED</w:t>
            </w:r>
            <w:r w:rsidRPr="00C208C6">
              <w:rPr>
                <w:szCs w:val="26"/>
              </w:rPr>
              <w:br/>
              <w:t>PUBLIC UTILITIES COMMISSION</w:t>
            </w:r>
          </w:p>
          <w:p w:rsidRPr="00C208C6" w:rsidR="00760E39" w:rsidP="00760E39" w:rsidRDefault="00760E39" w14:paraId="5C229146" w14:textId="18E2290D">
            <w:pPr>
              <w:spacing w:line="240" w:lineRule="auto"/>
              <w:ind w:hanging="14"/>
              <w:jc w:val="center"/>
              <w:rPr>
                <w:szCs w:val="26"/>
              </w:rPr>
            </w:pPr>
            <w:r>
              <w:rPr>
                <w:szCs w:val="26"/>
              </w:rPr>
              <w:t>November 17</w:t>
            </w:r>
            <w:r w:rsidRPr="00C208C6">
              <w:rPr>
                <w:szCs w:val="26"/>
              </w:rPr>
              <w:t>, 2022</w:t>
            </w:r>
          </w:p>
          <w:p w:rsidRPr="00C208C6" w:rsidR="00760E39" w:rsidP="00760E39" w:rsidRDefault="00760E39" w14:paraId="352C22D7" w14:textId="77777777">
            <w:pPr>
              <w:spacing w:line="240" w:lineRule="auto"/>
              <w:ind w:right="-122" w:hanging="14"/>
              <w:jc w:val="center"/>
              <w:rPr>
                <w:szCs w:val="26"/>
              </w:rPr>
            </w:pPr>
            <w:r w:rsidRPr="00931E39">
              <w:rPr>
                <w:szCs w:val="26"/>
              </w:rPr>
              <w:t>SAN FRANCISCO</w:t>
            </w:r>
            <w:r w:rsidRPr="00C208C6">
              <w:rPr>
                <w:szCs w:val="26"/>
              </w:rPr>
              <w:t>, CALIFORNIA</w:t>
            </w:r>
          </w:p>
          <w:p w:rsidRPr="00C208C6" w:rsidR="00760E39" w:rsidP="00760E39" w:rsidRDefault="00760E39" w14:paraId="794167F8" w14:textId="4D62BDD0">
            <w:pPr>
              <w:spacing w:line="240" w:lineRule="auto"/>
              <w:ind w:firstLine="0"/>
              <w:jc w:val="center"/>
              <w:rPr>
                <w:szCs w:val="26"/>
              </w:rPr>
            </w:pPr>
            <w:r w:rsidRPr="00C208C6">
              <w:rPr>
                <w:szCs w:val="26"/>
              </w:rPr>
              <w:t>RULEMAKING </w:t>
            </w:r>
            <w:r>
              <w:rPr>
                <w:szCs w:val="26"/>
              </w:rPr>
              <w:t>22-11-013</w:t>
            </w:r>
          </w:p>
          <w:p w:rsidRPr="007E3E1F" w:rsidR="007E3E1F" w:rsidP="007E3E1F" w:rsidRDefault="007E3E1F" w14:paraId="43107892" w14:textId="15731C51">
            <w:pPr>
              <w:spacing w:line="240" w:lineRule="auto"/>
              <w:ind w:firstLine="0"/>
              <w:jc w:val="center"/>
              <w:rPr>
                <w:rFonts w:cs="Arial"/>
                <w:szCs w:val="26"/>
              </w:rPr>
            </w:pPr>
          </w:p>
        </w:tc>
      </w:tr>
    </w:tbl>
    <w:p w:rsidRPr="007E3E1F" w:rsidR="007E3E1F" w:rsidP="007E3E1F" w:rsidRDefault="007E3E1F" w14:paraId="776FAD96" w14:textId="77777777">
      <w:pPr>
        <w:tabs>
          <w:tab w:val="left" w:pos="360"/>
        </w:tabs>
        <w:jc w:val="center"/>
        <w:rPr>
          <w:b/>
          <w:bCs/>
          <w:szCs w:val="26"/>
        </w:rPr>
      </w:pPr>
    </w:p>
    <w:p w:rsidRPr="007E3E1F" w:rsidR="007E3E1F" w:rsidP="007E3E1F" w:rsidRDefault="007E3E1F" w14:paraId="1263599E" w14:textId="77777777">
      <w:pPr>
        <w:tabs>
          <w:tab w:val="left" w:pos="360"/>
        </w:tabs>
        <w:jc w:val="center"/>
        <w:rPr>
          <w:b/>
          <w:bCs/>
          <w:szCs w:val="26"/>
        </w:rPr>
      </w:pPr>
    </w:p>
    <w:p w:rsidRPr="00972E08" w:rsidR="00EA5E7C" w:rsidP="00F56308" w:rsidRDefault="00EA5E7C" w14:paraId="45ACC424" w14:textId="73F65CCC">
      <w:pPr>
        <w:pStyle w:val="Heading1"/>
        <w:numPr>
          <w:ilvl w:val="0"/>
          <w:numId w:val="0"/>
        </w:numPr>
        <w:ind w:right="0"/>
        <w:jc w:val="center"/>
      </w:pPr>
      <w:bookmarkStart w:name="_Toc119312254" w:id="0"/>
      <w:r w:rsidRPr="00972E08">
        <w:t xml:space="preserve">ORDER INSTITUTING RULEMAKING TO </w:t>
      </w:r>
      <w:r w:rsidR="003A6BB2">
        <w:t>CONSIDER DISTRIBUTED ENERGY RESOURCE PROGRAM COST-</w:t>
      </w:r>
      <w:r w:rsidR="005C000E">
        <w:t xml:space="preserve">EFFECTIVENESS </w:t>
      </w:r>
      <w:r w:rsidR="003A6BB2">
        <w:t xml:space="preserve">ISSUES, DATA </w:t>
      </w:r>
      <w:r w:rsidR="009A6513">
        <w:t xml:space="preserve">USE AND </w:t>
      </w:r>
      <w:r w:rsidR="003A6BB2">
        <w:t>ACCESS, AND EQUIPMENT PERFORMANCE STANDARDS</w:t>
      </w:r>
      <w:bookmarkEnd w:id="0"/>
      <w:r w:rsidR="003A6BB2">
        <w:t xml:space="preserve"> </w:t>
      </w:r>
    </w:p>
    <w:p w:rsidR="00EA5E7C" w:rsidP="007E3E1F" w:rsidRDefault="00EA5E7C" w14:paraId="5536C437" w14:textId="6F53F66F">
      <w:pPr>
        <w:ind w:firstLine="0"/>
        <w:rPr>
          <w:b/>
          <w:bCs/>
          <w:szCs w:val="26"/>
        </w:rPr>
        <w:sectPr w:rsidR="00EA5E7C" w:rsidSect="00A5175D">
          <w:headerReference w:type="default" r:id="rId11"/>
          <w:footerReference w:type="default" r:id="rId12"/>
          <w:headerReference w:type="first" r:id="rId13"/>
          <w:footerReference w:type="first" r:id="rId14"/>
          <w:pgSz w:w="12240" w:h="15840"/>
          <w:pgMar w:top="1728" w:right="1440" w:bottom="1440" w:left="1440" w:header="720" w:footer="720" w:gutter="0"/>
          <w:pgNumType w:start="1"/>
          <w:cols w:space="720"/>
          <w:titlePg/>
          <w:docGrid w:linePitch="360"/>
        </w:sectPr>
      </w:pPr>
    </w:p>
    <w:sdt>
      <w:sdtPr>
        <w:rPr>
          <w:rFonts w:ascii="Book Antiqua" w:hAnsi="Book Antiqua" w:eastAsiaTheme="minorHAnsi" w:cstheme="minorBidi"/>
          <w:b w:val="0"/>
          <w:szCs w:val="22"/>
        </w:rPr>
        <w:id w:val="950290008"/>
        <w:docPartObj>
          <w:docPartGallery w:val="Table of Contents"/>
          <w:docPartUnique/>
        </w:docPartObj>
      </w:sdtPr>
      <w:sdtEndPr>
        <w:rPr>
          <w:bCs/>
          <w:noProof/>
        </w:rPr>
      </w:sdtEndPr>
      <w:sdtContent>
        <w:p w:rsidR="00A5175D" w:rsidRDefault="00A5175D" w14:paraId="6D8409B2" w14:textId="40E0A28F">
          <w:pPr>
            <w:pStyle w:val="TOCHeading"/>
            <w:rPr>
              <w:rFonts w:ascii="Book Antiqua" w:hAnsi="Book Antiqua"/>
            </w:rPr>
          </w:pPr>
          <w:r w:rsidRPr="00A5175D">
            <w:rPr>
              <w:rFonts w:ascii="Book Antiqua" w:hAnsi="Book Antiqua"/>
            </w:rPr>
            <w:t>Contents</w:t>
          </w:r>
        </w:p>
        <w:p w:rsidRPr="00A5175D" w:rsidR="00A5175D" w:rsidP="00A5175D" w:rsidRDefault="00A5175D" w14:paraId="04C919ED" w14:textId="1A8D78FB">
          <w:pPr>
            <w:ind w:firstLine="0"/>
            <w:rPr>
              <w:b/>
              <w:bCs/>
            </w:rPr>
          </w:pPr>
          <w:r w:rsidRPr="00A5175D">
            <w:rPr>
              <w:b/>
              <w:bCs/>
            </w:rPr>
            <w:t>Title</w:t>
          </w:r>
          <w:r w:rsidRPr="00A5175D">
            <w:rPr>
              <w:b/>
              <w:bCs/>
            </w:rPr>
            <w:tab/>
          </w:r>
          <w:r w:rsidRPr="00A5175D">
            <w:rPr>
              <w:b/>
              <w:bCs/>
            </w:rPr>
            <w:tab/>
          </w:r>
          <w:r w:rsidRPr="00A5175D">
            <w:rPr>
              <w:b/>
              <w:bCs/>
            </w:rPr>
            <w:tab/>
          </w:r>
          <w:r w:rsidRPr="00A5175D">
            <w:rPr>
              <w:b/>
              <w:bCs/>
            </w:rPr>
            <w:tab/>
          </w:r>
          <w:r w:rsidRPr="00A5175D">
            <w:rPr>
              <w:b/>
              <w:bCs/>
            </w:rPr>
            <w:tab/>
          </w:r>
          <w:r w:rsidRPr="00A5175D">
            <w:rPr>
              <w:b/>
              <w:bCs/>
            </w:rPr>
            <w:tab/>
          </w:r>
          <w:r w:rsidRPr="00A5175D">
            <w:rPr>
              <w:b/>
              <w:bCs/>
            </w:rPr>
            <w:tab/>
          </w:r>
          <w:r w:rsidRPr="00A5175D">
            <w:rPr>
              <w:b/>
              <w:bCs/>
            </w:rPr>
            <w:tab/>
          </w:r>
          <w:r w:rsidRPr="00A5175D">
            <w:rPr>
              <w:b/>
              <w:bCs/>
            </w:rPr>
            <w:tab/>
          </w:r>
          <w:r w:rsidRPr="00A5175D">
            <w:rPr>
              <w:b/>
              <w:bCs/>
            </w:rPr>
            <w:tab/>
          </w:r>
          <w:r w:rsidRPr="00A5175D">
            <w:rPr>
              <w:b/>
              <w:bCs/>
            </w:rPr>
            <w:tab/>
          </w:r>
          <w:r w:rsidRPr="00A5175D">
            <w:rPr>
              <w:b/>
              <w:bCs/>
            </w:rPr>
            <w:tab/>
            <w:t>Page</w:t>
          </w:r>
        </w:p>
        <w:p w:rsidR="00A5175D" w:rsidP="00E1648E" w:rsidRDefault="00A5175D" w14:paraId="74425119" w14:textId="4D2665E6">
          <w:pPr>
            <w:pStyle w:val="TOC1"/>
            <w:tabs>
              <w:tab w:val="right" w:leader="dot" w:pos="9350"/>
            </w:tabs>
            <w:ind w:left="0" w:firstLine="0"/>
            <w:rPr>
              <w:rFonts w:asciiTheme="minorHAnsi" w:hAnsiTheme="minorHAnsi" w:cstheme="minorBidi"/>
              <w:noProof/>
              <w:sz w:val="22"/>
            </w:rPr>
          </w:pPr>
          <w:r>
            <w:fldChar w:fldCharType="begin"/>
          </w:r>
          <w:r>
            <w:instrText xml:space="preserve"> TOC \o "1-3" \h \z \u </w:instrText>
          </w:r>
          <w:r>
            <w:fldChar w:fldCharType="separate"/>
          </w:r>
          <w:hyperlink w:history="1" w:anchor="_Toc119312254">
            <w:r w:rsidRPr="00BC18FF">
              <w:rPr>
                <w:rStyle w:val="Hyperlink"/>
                <w:noProof/>
              </w:rPr>
              <w:t xml:space="preserve">ORDER INSTITUTING RULEMAKING TO CONSIDER </w:t>
            </w:r>
            <w:r w:rsidR="00E1648E">
              <w:rPr>
                <w:rStyle w:val="Hyperlink"/>
                <w:noProof/>
              </w:rPr>
              <w:br/>
            </w:r>
            <w:r w:rsidRPr="00842D1D">
              <w:rPr>
                <w:rStyle w:val="Hyperlink"/>
                <w:noProof/>
              </w:rPr>
              <w:t xml:space="preserve">DISTRIBUTED ENERGY RESOURCE PROGRAM COST-EFFECTIVENESS ISSUES, DATA USE AND ACCESS, AND </w:t>
            </w:r>
            <w:r w:rsidRPr="00842D1D" w:rsidR="00E1648E">
              <w:rPr>
                <w:rStyle w:val="Hyperlink"/>
                <w:noProof/>
              </w:rPr>
              <w:br/>
            </w:r>
            <w:r w:rsidRPr="00842D1D">
              <w:rPr>
                <w:rStyle w:val="Hyperlink"/>
                <w:noProof/>
              </w:rPr>
              <w:t>EQUIPMENT PERFORMANCE STANDARDS</w:t>
            </w:r>
            <w:r>
              <w:rPr>
                <w:noProof/>
                <w:webHidden/>
              </w:rPr>
              <w:tab/>
            </w:r>
            <w:r>
              <w:rPr>
                <w:noProof/>
                <w:webHidden/>
              </w:rPr>
              <w:fldChar w:fldCharType="begin"/>
            </w:r>
            <w:r>
              <w:rPr>
                <w:noProof/>
                <w:webHidden/>
              </w:rPr>
              <w:instrText xml:space="preserve"> PAGEREF _Toc119312254 \h </w:instrText>
            </w:r>
            <w:r>
              <w:rPr>
                <w:noProof/>
                <w:webHidden/>
              </w:rPr>
            </w:r>
            <w:r>
              <w:rPr>
                <w:noProof/>
                <w:webHidden/>
              </w:rPr>
              <w:fldChar w:fldCharType="separate"/>
            </w:r>
            <w:r w:rsidR="00E1648E">
              <w:rPr>
                <w:noProof/>
                <w:webHidden/>
              </w:rPr>
              <w:t>1</w:t>
            </w:r>
            <w:r>
              <w:rPr>
                <w:noProof/>
                <w:webHidden/>
              </w:rPr>
              <w:fldChar w:fldCharType="end"/>
            </w:r>
          </w:hyperlink>
        </w:p>
        <w:p w:rsidR="00A5175D" w:rsidRDefault="004637FB" w14:paraId="2F2E1D9A" w14:textId="73665881">
          <w:pPr>
            <w:pStyle w:val="TOC1"/>
            <w:tabs>
              <w:tab w:val="right" w:leader="dot" w:pos="9350"/>
            </w:tabs>
            <w:rPr>
              <w:rFonts w:asciiTheme="minorHAnsi" w:hAnsiTheme="minorHAnsi" w:cstheme="minorBidi"/>
              <w:noProof/>
              <w:sz w:val="22"/>
            </w:rPr>
          </w:pPr>
          <w:hyperlink w:history="1" w:anchor="_Toc119312255">
            <w:r w:rsidRPr="00BC18FF" w:rsidR="00A5175D">
              <w:rPr>
                <w:rStyle w:val="Hyperlink"/>
                <w:noProof/>
              </w:rPr>
              <w:t>Summary</w:t>
            </w:r>
            <w:r w:rsidR="00A5175D">
              <w:rPr>
                <w:noProof/>
                <w:webHidden/>
              </w:rPr>
              <w:tab/>
            </w:r>
            <w:r w:rsidR="00A5175D">
              <w:rPr>
                <w:noProof/>
                <w:webHidden/>
              </w:rPr>
              <w:fldChar w:fldCharType="begin"/>
            </w:r>
            <w:r w:rsidR="00A5175D">
              <w:rPr>
                <w:noProof/>
                <w:webHidden/>
              </w:rPr>
              <w:instrText xml:space="preserve"> PAGEREF _Toc119312255 \h </w:instrText>
            </w:r>
            <w:r w:rsidR="00A5175D">
              <w:rPr>
                <w:noProof/>
                <w:webHidden/>
              </w:rPr>
            </w:r>
            <w:r w:rsidR="00A5175D">
              <w:rPr>
                <w:noProof/>
                <w:webHidden/>
              </w:rPr>
              <w:fldChar w:fldCharType="separate"/>
            </w:r>
            <w:r w:rsidR="00E1648E">
              <w:rPr>
                <w:noProof/>
                <w:webHidden/>
              </w:rPr>
              <w:t>2</w:t>
            </w:r>
            <w:r w:rsidR="00A5175D">
              <w:rPr>
                <w:noProof/>
                <w:webHidden/>
              </w:rPr>
              <w:fldChar w:fldCharType="end"/>
            </w:r>
          </w:hyperlink>
        </w:p>
        <w:p w:rsidR="00A5175D" w:rsidRDefault="004637FB" w14:paraId="1732579E" w14:textId="15D34A83">
          <w:pPr>
            <w:pStyle w:val="TOC1"/>
            <w:tabs>
              <w:tab w:val="right" w:leader="dot" w:pos="9350"/>
            </w:tabs>
            <w:rPr>
              <w:rFonts w:asciiTheme="minorHAnsi" w:hAnsiTheme="minorHAnsi" w:cstheme="minorBidi"/>
              <w:noProof/>
              <w:sz w:val="22"/>
            </w:rPr>
          </w:pPr>
          <w:hyperlink w:history="1" w:anchor="_Toc119312256">
            <w:r w:rsidRPr="00BC18FF" w:rsidR="00A5175D">
              <w:rPr>
                <w:rStyle w:val="Hyperlink"/>
                <w:noProof/>
              </w:rPr>
              <w:t>1.</w:t>
            </w:r>
            <w:r w:rsidR="00A5175D">
              <w:rPr>
                <w:rFonts w:asciiTheme="minorHAnsi" w:hAnsiTheme="minorHAnsi" w:cstheme="minorBidi"/>
                <w:noProof/>
                <w:sz w:val="22"/>
              </w:rPr>
              <w:tab/>
            </w:r>
            <w:r w:rsidRPr="00BC18FF" w:rsidR="00A5175D">
              <w:rPr>
                <w:rStyle w:val="Hyperlink"/>
                <w:noProof/>
              </w:rPr>
              <w:t>General Background</w:t>
            </w:r>
            <w:r w:rsidR="00A5175D">
              <w:rPr>
                <w:noProof/>
                <w:webHidden/>
              </w:rPr>
              <w:tab/>
            </w:r>
            <w:r w:rsidR="00A5175D">
              <w:rPr>
                <w:noProof/>
                <w:webHidden/>
              </w:rPr>
              <w:fldChar w:fldCharType="begin"/>
            </w:r>
            <w:r w:rsidR="00A5175D">
              <w:rPr>
                <w:noProof/>
                <w:webHidden/>
              </w:rPr>
              <w:instrText xml:space="preserve"> PAGEREF _Toc119312256 \h </w:instrText>
            </w:r>
            <w:r w:rsidR="00A5175D">
              <w:rPr>
                <w:noProof/>
                <w:webHidden/>
              </w:rPr>
            </w:r>
            <w:r w:rsidR="00A5175D">
              <w:rPr>
                <w:noProof/>
                <w:webHidden/>
              </w:rPr>
              <w:fldChar w:fldCharType="separate"/>
            </w:r>
            <w:r w:rsidR="00E1648E">
              <w:rPr>
                <w:noProof/>
                <w:webHidden/>
              </w:rPr>
              <w:t>3</w:t>
            </w:r>
            <w:r w:rsidR="00A5175D">
              <w:rPr>
                <w:noProof/>
                <w:webHidden/>
              </w:rPr>
              <w:fldChar w:fldCharType="end"/>
            </w:r>
          </w:hyperlink>
        </w:p>
        <w:p w:rsidR="00A5175D" w:rsidRDefault="004637FB" w14:paraId="0158047F" w14:textId="1821824B">
          <w:pPr>
            <w:pStyle w:val="TOC2"/>
            <w:tabs>
              <w:tab w:val="right" w:leader="dot" w:pos="9350"/>
            </w:tabs>
            <w:rPr>
              <w:rFonts w:asciiTheme="minorHAnsi" w:hAnsiTheme="minorHAnsi" w:cstheme="minorBidi"/>
              <w:noProof/>
              <w:sz w:val="22"/>
            </w:rPr>
          </w:pPr>
          <w:hyperlink w:history="1" w:anchor="_Toc119312257">
            <w:r w:rsidRPr="00BC18FF" w:rsidR="00A5175D">
              <w:rPr>
                <w:rStyle w:val="Hyperlink"/>
                <w:noProof/>
              </w:rPr>
              <w:t>1.1.</w:t>
            </w:r>
            <w:r w:rsidR="00A5175D">
              <w:rPr>
                <w:rFonts w:asciiTheme="minorHAnsi" w:hAnsiTheme="minorHAnsi" w:cstheme="minorBidi"/>
                <w:noProof/>
                <w:sz w:val="22"/>
              </w:rPr>
              <w:tab/>
            </w:r>
            <w:r w:rsidRPr="00BC18FF" w:rsidR="00A5175D">
              <w:rPr>
                <w:rStyle w:val="Hyperlink"/>
                <w:noProof/>
              </w:rPr>
              <w:t>Overview</w:t>
            </w:r>
            <w:r w:rsidR="00A5175D">
              <w:rPr>
                <w:noProof/>
                <w:webHidden/>
              </w:rPr>
              <w:tab/>
            </w:r>
            <w:r w:rsidR="00A5175D">
              <w:rPr>
                <w:noProof/>
                <w:webHidden/>
              </w:rPr>
              <w:fldChar w:fldCharType="begin"/>
            </w:r>
            <w:r w:rsidR="00A5175D">
              <w:rPr>
                <w:noProof/>
                <w:webHidden/>
              </w:rPr>
              <w:instrText xml:space="preserve"> PAGEREF _Toc119312257 \h </w:instrText>
            </w:r>
            <w:r w:rsidR="00A5175D">
              <w:rPr>
                <w:noProof/>
                <w:webHidden/>
              </w:rPr>
            </w:r>
            <w:r w:rsidR="00A5175D">
              <w:rPr>
                <w:noProof/>
                <w:webHidden/>
              </w:rPr>
              <w:fldChar w:fldCharType="separate"/>
            </w:r>
            <w:r w:rsidR="00E1648E">
              <w:rPr>
                <w:noProof/>
                <w:webHidden/>
              </w:rPr>
              <w:t>3</w:t>
            </w:r>
            <w:r w:rsidR="00A5175D">
              <w:rPr>
                <w:noProof/>
                <w:webHidden/>
              </w:rPr>
              <w:fldChar w:fldCharType="end"/>
            </w:r>
          </w:hyperlink>
        </w:p>
        <w:p w:rsidR="00A5175D" w:rsidRDefault="004637FB" w14:paraId="28B1232D" w14:textId="2CC9B822">
          <w:pPr>
            <w:pStyle w:val="TOC2"/>
            <w:tabs>
              <w:tab w:val="right" w:leader="dot" w:pos="9350"/>
            </w:tabs>
            <w:rPr>
              <w:rFonts w:asciiTheme="minorHAnsi" w:hAnsiTheme="minorHAnsi" w:cstheme="minorBidi"/>
              <w:noProof/>
              <w:sz w:val="22"/>
            </w:rPr>
          </w:pPr>
          <w:hyperlink w:history="1" w:anchor="_Toc119312259">
            <w:r w:rsidRPr="00BC18FF" w:rsidR="00A5175D">
              <w:rPr>
                <w:rStyle w:val="Hyperlink"/>
                <w:noProof/>
              </w:rPr>
              <w:t>1.2.</w:t>
            </w:r>
            <w:r w:rsidR="00A5175D">
              <w:rPr>
                <w:rFonts w:asciiTheme="minorHAnsi" w:hAnsiTheme="minorHAnsi" w:cstheme="minorBidi"/>
                <w:noProof/>
                <w:sz w:val="22"/>
              </w:rPr>
              <w:tab/>
            </w:r>
            <w:r w:rsidRPr="00BC18FF" w:rsidR="00A5175D">
              <w:rPr>
                <w:rStyle w:val="Hyperlink"/>
                <w:noProof/>
              </w:rPr>
              <w:t>Legislative Background</w:t>
            </w:r>
            <w:r w:rsidR="00A5175D">
              <w:rPr>
                <w:noProof/>
                <w:webHidden/>
              </w:rPr>
              <w:tab/>
            </w:r>
            <w:r w:rsidR="00A5175D">
              <w:rPr>
                <w:noProof/>
                <w:webHidden/>
              </w:rPr>
              <w:fldChar w:fldCharType="begin"/>
            </w:r>
            <w:r w:rsidR="00A5175D">
              <w:rPr>
                <w:noProof/>
                <w:webHidden/>
              </w:rPr>
              <w:instrText xml:space="preserve"> PAGEREF _Toc119312259 \h </w:instrText>
            </w:r>
            <w:r w:rsidR="00A5175D">
              <w:rPr>
                <w:noProof/>
                <w:webHidden/>
              </w:rPr>
            </w:r>
            <w:r w:rsidR="00A5175D">
              <w:rPr>
                <w:noProof/>
                <w:webHidden/>
              </w:rPr>
              <w:fldChar w:fldCharType="separate"/>
            </w:r>
            <w:r w:rsidR="00E1648E">
              <w:rPr>
                <w:noProof/>
                <w:webHidden/>
              </w:rPr>
              <w:t>5</w:t>
            </w:r>
            <w:r w:rsidR="00A5175D">
              <w:rPr>
                <w:noProof/>
                <w:webHidden/>
              </w:rPr>
              <w:fldChar w:fldCharType="end"/>
            </w:r>
          </w:hyperlink>
        </w:p>
        <w:p w:rsidR="00A5175D" w:rsidRDefault="004637FB" w14:paraId="2E9F412D" w14:textId="75EA5792">
          <w:pPr>
            <w:pStyle w:val="TOC2"/>
            <w:tabs>
              <w:tab w:val="right" w:leader="dot" w:pos="9350"/>
            </w:tabs>
            <w:rPr>
              <w:rFonts w:asciiTheme="minorHAnsi" w:hAnsiTheme="minorHAnsi" w:cstheme="minorBidi"/>
              <w:noProof/>
              <w:sz w:val="22"/>
            </w:rPr>
          </w:pPr>
          <w:hyperlink w:history="1" w:anchor="_Toc119312261">
            <w:r w:rsidRPr="00BC18FF" w:rsidR="00A5175D">
              <w:rPr>
                <w:rStyle w:val="Hyperlink"/>
                <w:noProof/>
              </w:rPr>
              <w:t>1.3.</w:t>
            </w:r>
            <w:r w:rsidR="00A5175D">
              <w:rPr>
                <w:rFonts w:asciiTheme="minorHAnsi" w:hAnsiTheme="minorHAnsi" w:cstheme="minorBidi"/>
                <w:noProof/>
                <w:sz w:val="22"/>
              </w:rPr>
              <w:tab/>
            </w:r>
            <w:r w:rsidRPr="00BC18FF" w:rsidR="00A5175D">
              <w:rPr>
                <w:rStyle w:val="Hyperlink"/>
                <w:noProof/>
              </w:rPr>
              <w:t>Prior Commission Actions</w:t>
            </w:r>
            <w:r w:rsidR="00A5175D">
              <w:rPr>
                <w:noProof/>
                <w:webHidden/>
              </w:rPr>
              <w:tab/>
            </w:r>
            <w:r w:rsidR="00A5175D">
              <w:rPr>
                <w:noProof/>
                <w:webHidden/>
              </w:rPr>
              <w:fldChar w:fldCharType="begin"/>
            </w:r>
            <w:r w:rsidR="00A5175D">
              <w:rPr>
                <w:noProof/>
                <w:webHidden/>
              </w:rPr>
              <w:instrText xml:space="preserve"> PAGEREF _Toc119312261 \h </w:instrText>
            </w:r>
            <w:r w:rsidR="00A5175D">
              <w:rPr>
                <w:noProof/>
                <w:webHidden/>
              </w:rPr>
            </w:r>
            <w:r w:rsidR="00A5175D">
              <w:rPr>
                <w:noProof/>
                <w:webHidden/>
              </w:rPr>
              <w:fldChar w:fldCharType="separate"/>
            </w:r>
            <w:r w:rsidR="00E1648E">
              <w:rPr>
                <w:noProof/>
                <w:webHidden/>
              </w:rPr>
              <w:t>7</w:t>
            </w:r>
            <w:r w:rsidR="00A5175D">
              <w:rPr>
                <w:noProof/>
                <w:webHidden/>
              </w:rPr>
              <w:fldChar w:fldCharType="end"/>
            </w:r>
          </w:hyperlink>
        </w:p>
        <w:p w:rsidR="00A5175D" w:rsidRDefault="004637FB" w14:paraId="2E9439CC" w14:textId="2230A16A">
          <w:pPr>
            <w:pStyle w:val="TOC2"/>
            <w:tabs>
              <w:tab w:val="right" w:leader="dot" w:pos="9350"/>
            </w:tabs>
            <w:rPr>
              <w:rFonts w:asciiTheme="minorHAnsi" w:hAnsiTheme="minorHAnsi" w:cstheme="minorBidi"/>
              <w:noProof/>
              <w:sz w:val="22"/>
            </w:rPr>
          </w:pPr>
          <w:hyperlink w:history="1" w:anchor="_Toc119312262">
            <w:r w:rsidRPr="00BC18FF" w:rsidR="00A5175D">
              <w:rPr>
                <w:rStyle w:val="Hyperlink"/>
                <w:noProof/>
              </w:rPr>
              <w:t>1.4.</w:t>
            </w:r>
            <w:r w:rsidR="00A5175D">
              <w:rPr>
                <w:rFonts w:asciiTheme="minorHAnsi" w:hAnsiTheme="minorHAnsi" w:cstheme="minorBidi"/>
                <w:noProof/>
                <w:sz w:val="22"/>
              </w:rPr>
              <w:tab/>
            </w:r>
            <w:r w:rsidRPr="00BC18FF" w:rsidR="00A5175D">
              <w:rPr>
                <w:rStyle w:val="Hyperlink"/>
                <w:noProof/>
              </w:rPr>
              <w:t>Interagency Cooperation</w:t>
            </w:r>
            <w:r w:rsidR="00A5175D">
              <w:rPr>
                <w:noProof/>
                <w:webHidden/>
              </w:rPr>
              <w:tab/>
            </w:r>
            <w:r w:rsidR="00A5175D">
              <w:rPr>
                <w:noProof/>
                <w:webHidden/>
              </w:rPr>
              <w:fldChar w:fldCharType="begin"/>
            </w:r>
            <w:r w:rsidR="00A5175D">
              <w:rPr>
                <w:noProof/>
                <w:webHidden/>
              </w:rPr>
              <w:instrText xml:space="preserve"> PAGEREF _Toc119312262 \h </w:instrText>
            </w:r>
            <w:r w:rsidR="00A5175D">
              <w:rPr>
                <w:noProof/>
                <w:webHidden/>
              </w:rPr>
            </w:r>
            <w:r w:rsidR="00A5175D">
              <w:rPr>
                <w:noProof/>
                <w:webHidden/>
              </w:rPr>
              <w:fldChar w:fldCharType="separate"/>
            </w:r>
            <w:r w:rsidR="00E1648E">
              <w:rPr>
                <w:noProof/>
                <w:webHidden/>
              </w:rPr>
              <w:t>10</w:t>
            </w:r>
            <w:r w:rsidR="00A5175D">
              <w:rPr>
                <w:noProof/>
                <w:webHidden/>
              </w:rPr>
              <w:fldChar w:fldCharType="end"/>
            </w:r>
          </w:hyperlink>
        </w:p>
        <w:p w:rsidR="00A5175D" w:rsidRDefault="004637FB" w14:paraId="077A0C29" w14:textId="161F0146">
          <w:pPr>
            <w:pStyle w:val="TOC1"/>
            <w:tabs>
              <w:tab w:val="right" w:leader="dot" w:pos="9350"/>
            </w:tabs>
            <w:rPr>
              <w:rFonts w:asciiTheme="minorHAnsi" w:hAnsiTheme="minorHAnsi" w:cstheme="minorBidi"/>
              <w:noProof/>
              <w:sz w:val="22"/>
            </w:rPr>
          </w:pPr>
          <w:hyperlink w:history="1" w:anchor="_Toc119312334">
            <w:r w:rsidRPr="00BC18FF" w:rsidR="00A5175D">
              <w:rPr>
                <w:rStyle w:val="Hyperlink"/>
                <w:noProof/>
              </w:rPr>
              <w:t>2.</w:t>
            </w:r>
            <w:r w:rsidR="00A5175D">
              <w:rPr>
                <w:rFonts w:asciiTheme="minorHAnsi" w:hAnsiTheme="minorHAnsi" w:cstheme="minorBidi"/>
                <w:noProof/>
                <w:sz w:val="22"/>
              </w:rPr>
              <w:tab/>
            </w:r>
            <w:r w:rsidRPr="00BC18FF" w:rsidR="00A5175D">
              <w:rPr>
                <w:rStyle w:val="Hyperlink"/>
                <w:noProof/>
              </w:rPr>
              <w:t>Data Use and Access</w:t>
            </w:r>
            <w:r w:rsidR="00A5175D">
              <w:rPr>
                <w:noProof/>
                <w:webHidden/>
              </w:rPr>
              <w:tab/>
            </w:r>
            <w:r w:rsidR="00A5175D">
              <w:rPr>
                <w:noProof/>
                <w:webHidden/>
              </w:rPr>
              <w:fldChar w:fldCharType="begin"/>
            </w:r>
            <w:r w:rsidR="00A5175D">
              <w:rPr>
                <w:noProof/>
                <w:webHidden/>
              </w:rPr>
              <w:instrText xml:space="preserve"> PAGEREF _Toc119312334 \h </w:instrText>
            </w:r>
            <w:r w:rsidR="00A5175D">
              <w:rPr>
                <w:noProof/>
                <w:webHidden/>
              </w:rPr>
            </w:r>
            <w:r w:rsidR="00A5175D">
              <w:rPr>
                <w:noProof/>
                <w:webHidden/>
              </w:rPr>
              <w:fldChar w:fldCharType="separate"/>
            </w:r>
            <w:r w:rsidR="00E1648E">
              <w:rPr>
                <w:noProof/>
                <w:webHidden/>
              </w:rPr>
              <w:t>11</w:t>
            </w:r>
            <w:r w:rsidR="00A5175D">
              <w:rPr>
                <w:noProof/>
                <w:webHidden/>
              </w:rPr>
              <w:fldChar w:fldCharType="end"/>
            </w:r>
          </w:hyperlink>
        </w:p>
        <w:p w:rsidR="00A5175D" w:rsidRDefault="004637FB" w14:paraId="70312FD6" w14:textId="67E18BA5">
          <w:pPr>
            <w:pStyle w:val="TOC1"/>
            <w:tabs>
              <w:tab w:val="right" w:leader="dot" w:pos="9350"/>
            </w:tabs>
            <w:rPr>
              <w:rFonts w:asciiTheme="minorHAnsi" w:hAnsiTheme="minorHAnsi" w:cstheme="minorBidi"/>
              <w:noProof/>
              <w:sz w:val="22"/>
            </w:rPr>
          </w:pPr>
          <w:hyperlink w:history="1" w:anchor="_Toc119312344">
            <w:r w:rsidRPr="00BC18FF" w:rsidR="00A5175D">
              <w:rPr>
                <w:rStyle w:val="Hyperlink"/>
                <w:noProof/>
              </w:rPr>
              <w:t>3.</w:t>
            </w:r>
            <w:r w:rsidR="00A5175D">
              <w:rPr>
                <w:rFonts w:asciiTheme="minorHAnsi" w:hAnsiTheme="minorHAnsi" w:cstheme="minorBidi"/>
                <w:noProof/>
                <w:sz w:val="22"/>
              </w:rPr>
              <w:tab/>
            </w:r>
            <w:r w:rsidRPr="00BC18FF" w:rsidR="00A5175D">
              <w:rPr>
                <w:rStyle w:val="Hyperlink"/>
                <w:noProof/>
              </w:rPr>
              <w:t>Preliminary Scoping Memo</w:t>
            </w:r>
            <w:r w:rsidR="00A5175D">
              <w:rPr>
                <w:noProof/>
                <w:webHidden/>
              </w:rPr>
              <w:tab/>
            </w:r>
            <w:r w:rsidR="00A5175D">
              <w:rPr>
                <w:noProof/>
                <w:webHidden/>
              </w:rPr>
              <w:fldChar w:fldCharType="begin"/>
            </w:r>
            <w:r w:rsidR="00A5175D">
              <w:rPr>
                <w:noProof/>
                <w:webHidden/>
              </w:rPr>
              <w:instrText xml:space="preserve"> PAGEREF _Toc119312344 \h </w:instrText>
            </w:r>
            <w:r w:rsidR="00A5175D">
              <w:rPr>
                <w:noProof/>
                <w:webHidden/>
              </w:rPr>
            </w:r>
            <w:r w:rsidR="00A5175D">
              <w:rPr>
                <w:noProof/>
                <w:webHidden/>
              </w:rPr>
              <w:fldChar w:fldCharType="separate"/>
            </w:r>
            <w:r w:rsidR="00E1648E">
              <w:rPr>
                <w:noProof/>
                <w:webHidden/>
              </w:rPr>
              <w:t>18</w:t>
            </w:r>
            <w:r w:rsidR="00A5175D">
              <w:rPr>
                <w:noProof/>
                <w:webHidden/>
              </w:rPr>
              <w:fldChar w:fldCharType="end"/>
            </w:r>
          </w:hyperlink>
        </w:p>
        <w:p w:rsidR="00A5175D" w:rsidRDefault="004637FB" w14:paraId="2A050A02" w14:textId="5826C87C">
          <w:pPr>
            <w:pStyle w:val="TOC2"/>
            <w:tabs>
              <w:tab w:val="right" w:leader="dot" w:pos="9350"/>
            </w:tabs>
            <w:rPr>
              <w:rFonts w:asciiTheme="minorHAnsi" w:hAnsiTheme="minorHAnsi" w:cstheme="minorBidi"/>
              <w:noProof/>
              <w:sz w:val="22"/>
            </w:rPr>
          </w:pPr>
          <w:hyperlink w:history="1" w:anchor="_Toc119312345">
            <w:r w:rsidRPr="00BC18FF" w:rsidR="00A5175D">
              <w:rPr>
                <w:rStyle w:val="Hyperlink"/>
                <w:noProof/>
              </w:rPr>
              <w:t>3.1.</w:t>
            </w:r>
            <w:r w:rsidR="00A5175D">
              <w:rPr>
                <w:rFonts w:asciiTheme="minorHAnsi" w:hAnsiTheme="minorHAnsi" w:cstheme="minorBidi"/>
                <w:noProof/>
                <w:sz w:val="22"/>
              </w:rPr>
              <w:tab/>
            </w:r>
            <w:r w:rsidRPr="00BC18FF" w:rsidR="00A5175D">
              <w:rPr>
                <w:rStyle w:val="Hyperlink"/>
                <w:noProof/>
              </w:rPr>
              <w:t>Phase 1:</w:t>
            </w:r>
            <w:r w:rsidR="00A5175D">
              <w:rPr>
                <w:noProof/>
                <w:webHidden/>
              </w:rPr>
              <w:tab/>
            </w:r>
            <w:r w:rsidR="00A5175D">
              <w:rPr>
                <w:noProof/>
                <w:webHidden/>
              </w:rPr>
              <w:fldChar w:fldCharType="begin"/>
            </w:r>
            <w:r w:rsidR="00A5175D">
              <w:rPr>
                <w:noProof/>
                <w:webHidden/>
              </w:rPr>
              <w:instrText xml:space="preserve"> PAGEREF _Toc119312345 \h </w:instrText>
            </w:r>
            <w:r w:rsidR="00A5175D">
              <w:rPr>
                <w:noProof/>
                <w:webHidden/>
              </w:rPr>
            </w:r>
            <w:r w:rsidR="00A5175D">
              <w:rPr>
                <w:noProof/>
                <w:webHidden/>
              </w:rPr>
              <w:fldChar w:fldCharType="separate"/>
            </w:r>
            <w:r w:rsidR="00E1648E">
              <w:rPr>
                <w:noProof/>
                <w:webHidden/>
              </w:rPr>
              <w:t>18</w:t>
            </w:r>
            <w:r w:rsidR="00A5175D">
              <w:rPr>
                <w:noProof/>
                <w:webHidden/>
              </w:rPr>
              <w:fldChar w:fldCharType="end"/>
            </w:r>
          </w:hyperlink>
        </w:p>
        <w:p w:rsidR="00A5175D" w:rsidRDefault="004637FB" w14:paraId="1E5DC81E" w14:textId="33530E3F">
          <w:pPr>
            <w:pStyle w:val="TOC3"/>
            <w:tabs>
              <w:tab w:val="left" w:pos="1296"/>
              <w:tab w:val="right" w:leader="dot" w:pos="9350"/>
            </w:tabs>
            <w:rPr>
              <w:rFonts w:asciiTheme="minorHAnsi" w:hAnsiTheme="minorHAnsi" w:cstheme="minorBidi"/>
              <w:noProof/>
              <w:sz w:val="22"/>
            </w:rPr>
          </w:pPr>
          <w:hyperlink w:history="1" w:anchor="_Toc119312346">
            <w:r w:rsidRPr="00BC18FF" w:rsidR="00A5175D">
              <w:rPr>
                <w:rStyle w:val="Hyperlink"/>
                <w:noProof/>
              </w:rPr>
              <w:t>3.1.1.</w:t>
            </w:r>
            <w:r w:rsidR="00A5175D">
              <w:rPr>
                <w:rFonts w:asciiTheme="minorHAnsi" w:hAnsiTheme="minorHAnsi" w:cstheme="minorBidi"/>
                <w:noProof/>
                <w:sz w:val="22"/>
              </w:rPr>
              <w:tab/>
            </w:r>
            <w:r w:rsidRPr="00BC18FF" w:rsidR="00A5175D">
              <w:rPr>
                <w:rStyle w:val="Hyperlink"/>
                <w:noProof/>
              </w:rPr>
              <w:t>Track 1: Cost- Effectiveness</w:t>
            </w:r>
            <w:r w:rsidR="00A5175D">
              <w:rPr>
                <w:noProof/>
                <w:webHidden/>
              </w:rPr>
              <w:tab/>
            </w:r>
            <w:r w:rsidR="00A5175D">
              <w:rPr>
                <w:noProof/>
                <w:webHidden/>
              </w:rPr>
              <w:fldChar w:fldCharType="begin"/>
            </w:r>
            <w:r w:rsidR="00A5175D">
              <w:rPr>
                <w:noProof/>
                <w:webHidden/>
              </w:rPr>
              <w:instrText xml:space="preserve"> PAGEREF _Toc119312346 \h </w:instrText>
            </w:r>
            <w:r w:rsidR="00A5175D">
              <w:rPr>
                <w:noProof/>
                <w:webHidden/>
              </w:rPr>
            </w:r>
            <w:r w:rsidR="00A5175D">
              <w:rPr>
                <w:noProof/>
                <w:webHidden/>
              </w:rPr>
              <w:fldChar w:fldCharType="separate"/>
            </w:r>
            <w:r w:rsidR="00E1648E">
              <w:rPr>
                <w:noProof/>
                <w:webHidden/>
              </w:rPr>
              <w:t>18</w:t>
            </w:r>
            <w:r w:rsidR="00A5175D">
              <w:rPr>
                <w:noProof/>
                <w:webHidden/>
              </w:rPr>
              <w:fldChar w:fldCharType="end"/>
            </w:r>
          </w:hyperlink>
        </w:p>
        <w:p w:rsidR="00A5175D" w:rsidRDefault="004637FB" w14:paraId="0ED2F520" w14:textId="4DFDD172">
          <w:pPr>
            <w:pStyle w:val="TOC3"/>
            <w:tabs>
              <w:tab w:val="left" w:pos="1296"/>
              <w:tab w:val="right" w:leader="dot" w:pos="9350"/>
            </w:tabs>
            <w:rPr>
              <w:rFonts w:asciiTheme="minorHAnsi" w:hAnsiTheme="minorHAnsi" w:cstheme="minorBidi"/>
              <w:noProof/>
              <w:sz w:val="22"/>
            </w:rPr>
          </w:pPr>
          <w:hyperlink w:history="1" w:anchor="_Toc119312347">
            <w:r w:rsidRPr="00BC18FF" w:rsidR="00A5175D">
              <w:rPr>
                <w:rStyle w:val="Hyperlink"/>
                <w:noProof/>
              </w:rPr>
              <w:t>3.1.2.</w:t>
            </w:r>
            <w:r w:rsidR="00A5175D">
              <w:rPr>
                <w:rFonts w:asciiTheme="minorHAnsi" w:hAnsiTheme="minorHAnsi" w:cstheme="minorBidi"/>
                <w:noProof/>
                <w:sz w:val="22"/>
              </w:rPr>
              <w:tab/>
            </w:r>
            <w:r w:rsidRPr="00BC18FF" w:rsidR="00A5175D">
              <w:rPr>
                <w:rStyle w:val="Hyperlink"/>
                <w:noProof/>
              </w:rPr>
              <w:t>Track 2: Expanding Data Use and Access</w:t>
            </w:r>
            <w:r w:rsidR="00A5175D">
              <w:rPr>
                <w:noProof/>
                <w:webHidden/>
              </w:rPr>
              <w:tab/>
            </w:r>
            <w:r w:rsidR="00A5175D">
              <w:rPr>
                <w:noProof/>
                <w:webHidden/>
              </w:rPr>
              <w:fldChar w:fldCharType="begin"/>
            </w:r>
            <w:r w:rsidR="00A5175D">
              <w:rPr>
                <w:noProof/>
                <w:webHidden/>
              </w:rPr>
              <w:instrText xml:space="preserve"> PAGEREF _Toc119312347 \h </w:instrText>
            </w:r>
            <w:r w:rsidR="00A5175D">
              <w:rPr>
                <w:noProof/>
                <w:webHidden/>
              </w:rPr>
            </w:r>
            <w:r w:rsidR="00A5175D">
              <w:rPr>
                <w:noProof/>
                <w:webHidden/>
              </w:rPr>
              <w:fldChar w:fldCharType="separate"/>
            </w:r>
            <w:r w:rsidR="00E1648E">
              <w:rPr>
                <w:noProof/>
                <w:webHidden/>
              </w:rPr>
              <w:t>21</w:t>
            </w:r>
            <w:r w:rsidR="00A5175D">
              <w:rPr>
                <w:noProof/>
                <w:webHidden/>
              </w:rPr>
              <w:fldChar w:fldCharType="end"/>
            </w:r>
          </w:hyperlink>
        </w:p>
        <w:p w:rsidR="00A5175D" w:rsidRDefault="004637FB" w14:paraId="4E129861" w14:textId="73826CBE">
          <w:pPr>
            <w:pStyle w:val="TOC2"/>
            <w:tabs>
              <w:tab w:val="right" w:leader="dot" w:pos="9350"/>
            </w:tabs>
            <w:rPr>
              <w:rFonts w:asciiTheme="minorHAnsi" w:hAnsiTheme="minorHAnsi" w:cstheme="minorBidi"/>
              <w:noProof/>
              <w:sz w:val="22"/>
            </w:rPr>
          </w:pPr>
          <w:hyperlink w:history="1" w:anchor="_Toc119312348">
            <w:r w:rsidRPr="00BC18FF" w:rsidR="00A5175D">
              <w:rPr>
                <w:rStyle w:val="Hyperlink"/>
                <w:noProof/>
              </w:rPr>
              <w:t>3.2.</w:t>
            </w:r>
            <w:r w:rsidR="00A5175D">
              <w:rPr>
                <w:rFonts w:asciiTheme="minorHAnsi" w:hAnsiTheme="minorHAnsi" w:cstheme="minorBidi"/>
                <w:noProof/>
                <w:sz w:val="22"/>
              </w:rPr>
              <w:tab/>
            </w:r>
            <w:r w:rsidRPr="00BC18FF" w:rsidR="00A5175D">
              <w:rPr>
                <w:rStyle w:val="Hyperlink"/>
                <w:noProof/>
              </w:rPr>
              <w:t>Phase 2</w:t>
            </w:r>
            <w:r w:rsidR="00A5175D">
              <w:rPr>
                <w:noProof/>
                <w:webHidden/>
              </w:rPr>
              <w:tab/>
            </w:r>
            <w:r w:rsidR="00A5175D">
              <w:rPr>
                <w:noProof/>
                <w:webHidden/>
              </w:rPr>
              <w:fldChar w:fldCharType="begin"/>
            </w:r>
            <w:r w:rsidR="00A5175D">
              <w:rPr>
                <w:noProof/>
                <w:webHidden/>
              </w:rPr>
              <w:instrText xml:space="preserve"> PAGEREF _Toc119312348 \h </w:instrText>
            </w:r>
            <w:r w:rsidR="00A5175D">
              <w:rPr>
                <w:noProof/>
                <w:webHidden/>
              </w:rPr>
            </w:r>
            <w:r w:rsidR="00A5175D">
              <w:rPr>
                <w:noProof/>
                <w:webHidden/>
              </w:rPr>
              <w:fldChar w:fldCharType="separate"/>
            </w:r>
            <w:r w:rsidR="00E1648E">
              <w:rPr>
                <w:noProof/>
                <w:webHidden/>
              </w:rPr>
              <w:t>24</w:t>
            </w:r>
            <w:r w:rsidR="00A5175D">
              <w:rPr>
                <w:noProof/>
                <w:webHidden/>
              </w:rPr>
              <w:fldChar w:fldCharType="end"/>
            </w:r>
          </w:hyperlink>
        </w:p>
        <w:p w:rsidR="00A5175D" w:rsidRDefault="004637FB" w14:paraId="3A6C8D37" w14:textId="2D5105A6">
          <w:pPr>
            <w:pStyle w:val="TOC3"/>
            <w:tabs>
              <w:tab w:val="left" w:pos="1296"/>
              <w:tab w:val="right" w:leader="dot" w:pos="9350"/>
            </w:tabs>
            <w:rPr>
              <w:rFonts w:asciiTheme="minorHAnsi" w:hAnsiTheme="minorHAnsi" w:cstheme="minorBidi"/>
              <w:noProof/>
              <w:sz w:val="22"/>
            </w:rPr>
          </w:pPr>
          <w:hyperlink w:history="1" w:anchor="_Toc119312349">
            <w:r w:rsidRPr="00BC18FF" w:rsidR="00A5175D">
              <w:rPr>
                <w:rStyle w:val="Hyperlink"/>
                <w:noProof/>
              </w:rPr>
              <w:t>3.2.1.</w:t>
            </w:r>
            <w:r w:rsidR="00A5175D">
              <w:rPr>
                <w:rFonts w:asciiTheme="minorHAnsi" w:hAnsiTheme="minorHAnsi" w:cstheme="minorBidi"/>
                <w:noProof/>
                <w:sz w:val="22"/>
              </w:rPr>
              <w:tab/>
            </w:r>
            <w:r w:rsidRPr="00BC18FF" w:rsidR="00A5175D">
              <w:rPr>
                <w:rStyle w:val="Hyperlink"/>
                <w:noProof/>
              </w:rPr>
              <w:t>Equipment Performance Standards</w:t>
            </w:r>
            <w:r w:rsidR="00A5175D">
              <w:rPr>
                <w:noProof/>
                <w:webHidden/>
              </w:rPr>
              <w:tab/>
            </w:r>
            <w:r w:rsidR="00A5175D">
              <w:rPr>
                <w:noProof/>
                <w:webHidden/>
              </w:rPr>
              <w:fldChar w:fldCharType="begin"/>
            </w:r>
            <w:r w:rsidR="00A5175D">
              <w:rPr>
                <w:noProof/>
                <w:webHidden/>
              </w:rPr>
              <w:instrText xml:space="preserve"> PAGEREF _Toc119312349 \h </w:instrText>
            </w:r>
            <w:r w:rsidR="00A5175D">
              <w:rPr>
                <w:noProof/>
                <w:webHidden/>
              </w:rPr>
            </w:r>
            <w:r w:rsidR="00A5175D">
              <w:rPr>
                <w:noProof/>
                <w:webHidden/>
              </w:rPr>
              <w:fldChar w:fldCharType="separate"/>
            </w:r>
            <w:r w:rsidR="00E1648E">
              <w:rPr>
                <w:noProof/>
                <w:webHidden/>
              </w:rPr>
              <w:t>24</w:t>
            </w:r>
            <w:r w:rsidR="00A5175D">
              <w:rPr>
                <w:noProof/>
                <w:webHidden/>
              </w:rPr>
              <w:fldChar w:fldCharType="end"/>
            </w:r>
          </w:hyperlink>
        </w:p>
        <w:p w:rsidR="00A5175D" w:rsidRDefault="004637FB" w14:paraId="717257DC" w14:textId="2E300477">
          <w:pPr>
            <w:pStyle w:val="TOC1"/>
            <w:tabs>
              <w:tab w:val="right" w:leader="dot" w:pos="9350"/>
            </w:tabs>
            <w:rPr>
              <w:rFonts w:asciiTheme="minorHAnsi" w:hAnsiTheme="minorHAnsi" w:cstheme="minorBidi"/>
              <w:noProof/>
              <w:sz w:val="22"/>
            </w:rPr>
          </w:pPr>
          <w:hyperlink w:history="1" w:anchor="_Toc119312350">
            <w:r w:rsidRPr="00BC18FF" w:rsidR="00A5175D">
              <w:rPr>
                <w:rStyle w:val="Hyperlink"/>
                <w:noProof/>
              </w:rPr>
              <w:t>4.</w:t>
            </w:r>
            <w:r w:rsidR="00A5175D">
              <w:rPr>
                <w:rFonts w:asciiTheme="minorHAnsi" w:hAnsiTheme="minorHAnsi" w:cstheme="minorBidi"/>
                <w:noProof/>
                <w:sz w:val="22"/>
              </w:rPr>
              <w:tab/>
            </w:r>
            <w:r w:rsidRPr="00BC18FF" w:rsidR="00A5175D">
              <w:rPr>
                <w:rStyle w:val="Hyperlink"/>
                <w:noProof/>
              </w:rPr>
              <w:t>Preliminary Schedule</w:t>
            </w:r>
            <w:r w:rsidR="00A5175D">
              <w:rPr>
                <w:noProof/>
                <w:webHidden/>
              </w:rPr>
              <w:tab/>
            </w:r>
            <w:r w:rsidR="00A5175D">
              <w:rPr>
                <w:noProof/>
                <w:webHidden/>
              </w:rPr>
              <w:fldChar w:fldCharType="begin"/>
            </w:r>
            <w:r w:rsidR="00A5175D">
              <w:rPr>
                <w:noProof/>
                <w:webHidden/>
              </w:rPr>
              <w:instrText xml:space="preserve"> PAGEREF _Toc119312350 \h </w:instrText>
            </w:r>
            <w:r w:rsidR="00A5175D">
              <w:rPr>
                <w:noProof/>
                <w:webHidden/>
              </w:rPr>
            </w:r>
            <w:r w:rsidR="00A5175D">
              <w:rPr>
                <w:noProof/>
                <w:webHidden/>
              </w:rPr>
              <w:fldChar w:fldCharType="separate"/>
            </w:r>
            <w:r w:rsidR="00E1648E">
              <w:rPr>
                <w:noProof/>
                <w:webHidden/>
              </w:rPr>
              <w:t>25</w:t>
            </w:r>
            <w:r w:rsidR="00A5175D">
              <w:rPr>
                <w:noProof/>
                <w:webHidden/>
              </w:rPr>
              <w:fldChar w:fldCharType="end"/>
            </w:r>
          </w:hyperlink>
        </w:p>
        <w:p w:rsidR="00A5175D" w:rsidRDefault="004637FB" w14:paraId="4AA18DCE" w14:textId="32FC1C10">
          <w:pPr>
            <w:pStyle w:val="TOC1"/>
            <w:tabs>
              <w:tab w:val="right" w:leader="dot" w:pos="9350"/>
            </w:tabs>
            <w:rPr>
              <w:rFonts w:asciiTheme="minorHAnsi" w:hAnsiTheme="minorHAnsi" w:cstheme="minorBidi"/>
              <w:noProof/>
              <w:sz w:val="22"/>
            </w:rPr>
          </w:pPr>
          <w:hyperlink w:history="1" w:anchor="_Toc119312351">
            <w:r w:rsidRPr="00BC18FF" w:rsidR="00A5175D">
              <w:rPr>
                <w:rStyle w:val="Hyperlink"/>
                <w:noProof/>
              </w:rPr>
              <w:t>5.</w:t>
            </w:r>
            <w:r w:rsidR="00A5175D">
              <w:rPr>
                <w:rFonts w:asciiTheme="minorHAnsi" w:hAnsiTheme="minorHAnsi" w:cstheme="minorBidi"/>
                <w:noProof/>
                <w:sz w:val="22"/>
              </w:rPr>
              <w:tab/>
            </w:r>
            <w:r w:rsidRPr="00BC18FF" w:rsidR="00A5175D">
              <w:rPr>
                <w:rStyle w:val="Hyperlink"/>
                <w:noProof/>
              </w:rPr>
              <w:t>Category of Proceeding and Need for Hearing</w:t>
            </w:r>
            <w:r w:rsidR="00A5175D">
              <w:rPr>
                <w:noProof/>
                <w:webHidden/>
              </w:rPr>
              <w:tab/>
            </w:r>
            <w:r w:rsidR="00A5175D">
              <w:rPr>
                <w:noProof/>
                <w:webHidden/>
              </w:rPr>
              <w:fldChar w:fldCharType="begin"/>
            </w:r>
            <w:r w:rsidR="00A5175D">
              <w:rPr>
                <w:noProof/>
                <w:webHidden/>
              </w:rPr>
              <w:instrText xml:space="preserve"> PAGEREF _Toc119312351 \h </w:instrText>
            </w:r>
            <w:r w:rsidR="00A5175D">
              <w:rPr>
                <w:noProof/>
                <w:webHidden/>
              </w:rPr>
            </w:r>
            <w:r w:rsidR="00A5175D">
              <w:rPr>
                <w:noProof/>
                <w:webHidden/>
              </w:rPr>
              <w:fldChar w:fldCharType="separate"/>
            </w:r>
            <w:r w:rsidR="00E1648E">
              <w:rPr>
                <w:noProof/>
                <w:webHidden/>
              </w:rPr>
              <w:t>27</w:t>
            </w:r>
            <w:r w:rsidR="00A5175D">
              <w:rPr>
                <w:noProof/>
                <w:webHidden/>
              </w:rPr>
              <w:fldChar w:fldCharType="end"/>
            </w:r>
          </w:hyperlink>
        </w:p>
        <w:p w:rsidR="00A5175D" w:rsidRDefault="004637FB" w14:paraId="32C9ED7B" w14:textId="3B7A7E74">
          <w:pPr>
            <w:pStyle w:val="TOC1"/>
            <w:tabs>
              <w:tab w:val="right" w:leader="dot" w:pos="9350"/>
            </w:tabs>
            <w:rPr>
              <w:rFonts w:asciiTheme="minorHAnsi" w:hAnsiTheme="minorHAnsi" w:cstheme="minorBidi"/>
              <w:noProof/>
              <w:sz w:val="22"/>
            </w:rPr>
          </w:pPr>
          <w:hyperlink w:history="1" w:anchor="_Toc119312352">
            <w:r w:rsidRPr="00BC18FF" w:rsidR="00A5175D">
              <w:rPr>
                <w:rStyle w:val="Hyperlink"/>
                <w:noProof/>
              </w:rPr>
              <w:t>6.</w:t>
            </w:r>
            <w:r w:rsidR="00A5175D">
              <w:rPr>
                <w:rFonts w:asciiTheme="minorHAnsi" w:hAnsiTheme="minorHAnsi" w:cstheme="minorBidi"/>
                <w:noProof/>
                <w:sz w:val="22"/>
              </w:rPr>
              <w:tab/>
            </w:r>
            <w:r w:rsidRPr="00BC18FF" w:rsidR="00A5175D">
              <w:rPr>
                <w:rStyle w:val="Hyperlink"/>
                <w:i/>
                <w:iCs/>
                <w:noProof/>
              </w:rPr>
              <w:t>Ex Parte</w:t>
            </w:r>
            <w:r w:rsidRPr="00BC18FF" w:rsidR="00A5175D">
              <w:rPr>
                <w:rStyle w:val="Hyperlink"/>
                <w:noProof/>
              </w:rPr>
              <w:t xml:space="preserve"> Communications</w:t>
            </w:r>
            <w:r w:rsidR="00A5175D">
              <w:rPr>
                <w:noProof/>
                <w:webHidden/>
              </w:rPr>
              <w:tab/>
            </w:r>
            <w:r w:rsidR="00A5175D">
              <w:rPr>
                <w:noProof/>
                <w:webHidden/>
              </w:rPr>
              <w:fldChar w:fldCharType="begin"/>
            </w:r>
            <w:r w:rsidR="00A5175D">
              <w:rPr>
                <w:noProof/>
                <w:webHidden/>
              </w:rPr>
              <w:instrText xml:space="preserve"> PAGEREF _Toc119312352 \h </w:instrText>
            </w:r>
            <w:r w:rsidR="00A5175D">
              <w:rPr>
                <w:noProof/>
                <w:webHidden/>
              </w:rPr>
            </w:r>
            <w:r w:rsidR="00A5175D">
              <w:rPr>
                <w:noProof/>
                <w:webHidden/>
              </w:rPr>
              <w:fldChar w:fldCharType="separate"/>
            </w:r>
            <w:r w:rsidR="00E1648E">
              <w:rPr>
                <w:noProof/>
                <w:webHidden/>
              </w:rPr>
              <w:t>28</w:t>
            </w:r>
            <w:r w:rsidR="00A5175D">
              <w:rPr>
                <w:noProof/>
                <w:webHidden/>
              </w:rPr>
              <w:fldChar w:fldCharType="end"/>
            </w:r>
          </w:hyperlink>
        </w:p>
        <w:p w:rsidR="00A5175D" w:rsidRDefault="004637FB" w14:paraId="07A852C4" w14:textId="147C3EDF">
          <w:pPr>
            <w:pStyle w:val="TOC1"/>
            <w:tabs>
              <w:tab w:val="right" w:leader="dot" w:pos="9350"/>
            </w:tabs>
            <w:rPr>
              <w:rFonts w:asciiTheme="minorHAnsi" w:hAnsiTheme="minorHAnsi" w:cstheme="minorBidi"/>
              <w:noProof/>
              <w:sz w:val="22"/>
            </w:rPr>
          </w:pPr>
          <w:hyperlink w:history="1" w:anchor="_Toc119312353">
            <w:r w:rsidRPr="00BC18FF" w:rsidR="00A5175D">
              <w:rPr>
                <w:rStyle w:val="Hyperlink"/>
                <w:noProof/>
              </w:rPr>
              <w:t>7.</w:t>
            </w:r>
            <w:r w:rsidR="00A5175D">
              <w:rPr>
                <w:rFonts w:asciiTheme="minorHAnsi" w:hAnsiTheme="minorHAnsi" w:cstheme="minorBidi"/>
                <w:noProof/>
                <w:sz w:val="22"/>
              </w:rPr>
              <w:tab/>
            </w:r>
            <w:r w:rsidRPr="00BC18FF" w:rsidR="00A5175D">
              <w:rPr>
                <w:rStyle w:val="Hyperlink"/>
                <w:noProof/>
              </w:rPr>
              <w:t>Respondents</w:t>
            </w:r>
            <w:r w:rsidR="00A5175D">
              <w:rPr>
                <w:noProof/>
                <w:webHidden/>
              </w:rPr>
              <w:tab/>
            </w:r>
            <w:r w:rsidR="00A5175D">
              <w:rPr>
                <w:noProof/>
                <w:webHidden/>
              </w:rPr>
              <w:fldChar w:fldCharType="begin"/>
            </w:r>
            <w:r w:rsidR="00A5175D">
              <w:rPr>
                <w:noProof/>
                <w:webHidden/>
              </w:rPr>
              <w:instrText xml:space="preserve"> PAGEREF _Toc119312353 \h </w:instrText>
            </w:r>
            <w:r w:rsidR="00A5175D">
              <w:rPr>
                <w:noProof/>
                <w:webHidden/>
              </w:rPr>
            </w:r>
            <w:r w:rsidR="00A5175D">
              <w:rPr>
                <w:noProof/>
                <w:webHidden/>
              </w:rPr>
              <w:fldChar w:fldCharType="separate"/>
            </w:r>
            <w:r w:rsidR="00E1648E">
              <w:rPr>
                <w:noProof/>
                <w:webHidden/>
              </w:rPr>
              <w:t>28</w:t>
            </w:r>
            <w:r w:rsidR="00A5175D">
              <w:rPr>
                <w:noProof/>
                <w:webHidden/>
              </w:rPr>
              <w:fldChar w:fldCharType="end"/>
            </w:r>
          </w:hyperlink>
        </w:p>
        <w:p w:rsidR="00A5175D" w:rsidRDefault="004637FB" w14:paraId="5F7BDCD4" w14:textId="63624FB2">
          <w:pPr>
            <w:pStyle w:val="TOC1"/>
            <w:tabs>
              <w:tab w:val="right" w:leader="dot" w:pos="9350"/>
            </w:tabs>
            <w:rPr>
              <w:rFonts w:asciiTheme="minorHAnsi" w:hAnsiTheme="minorHAnsi" w:cstheme="minorBidi"/>
              <w:noProof/>
              <w:sz w:val="22"/>
            </w:rPr>
          </w:pPr>
          <w:hyperlink w:history="1" w:anchor="_Toc119312354">
            <w:r w:rsidRPr="00BC18FF" w:rsidR="00A5175D">
              <w:rPr>
                <w:rStyle w:val="Hyperlink"/>
                <w:noProof/>
              </w:rPr>
              <w:t>8.</w:t>
            </w:r>
            <w:r w:rsidR="00A5175D">
              <w:rPr>
                <w:rFonts w:asciiTheme="minorHAnsi" w:hAnsiTheme="minorHAnsi" w:cstheme="minorBidi"/>
                <w:noProof/>
                <w:sz w:val="22"/>
              </w:rPr>
              <w:tab/>
            </w:r>
            <w:r w:rsidRPr="00BC18FF" w:rsidR="00A5175D">
              <w:rPr>
                <w:rStyle w:val="Hyperlink"/>
                <w:noProof/>
              </w:rPr>
              <w:t>Service List or Subscription Service</w:t>
            </w:r>
            <w:r w:rsidR="00A5175D">
              <w:rPr>
                <w:noProof/>
                <w:webHidden/>
              </w:rPr>
              <w:tab/>
            </w:r>
            <w:r w:rsidR="00A5175D">
              <w:rPr>
                <w:noProof/>
                <w:webHidden/>
              </w:rPr>
              <w:fldChar w:fldCharType="begin"/>
            </w:r>
            <w:r w:rsidR="00A5175D">
              <w:rPr>
                <w:noProof/>
                <w:webHidden/>
              </w:rPr>
              <w:instrText xml:space="preserve"> PAGEREF _Toc119312354 \h </w:instrText>
            </w:r>
            <w:r w:rsidR="00A5175D">
              <w:rPr>
                <w:noProof/>
                <w:webHidden/>
              </w:rPr>
            </w:r>
            <w:r w:rsidR="00A5175D">
              <w:rPr>
                <w:noProof/>
                <w:webHidden/>
              </w:rPr>
              <w:fldChar w:fldCharType="separate"/>
            </w:r>
            <w:r w:rsidR="00E1648E">
              <w:rPr>
                <w:noProof/>
                <w:webHidden/>
              </w:rPr>
              <w:t>29</w:t>
            </w:r>
            <w:r w:rsidR="00A5175D">
              <w:rPr>
                <w:noProof/>
                <w:webHidden/>
              </w:rPr>
              <w:fldChar w:fldCharType="end"/>
            </w:r>
          </w:hyperlink>
        </w:p>
        <w:p w:rsidR="00A5175D" w:rsidRDefault="004637FB" w14:paraId="2DD390A0" w14:textId="64A092FF">
          <w:pPr>
            <w:pStyle w:val="TOC1"/>
            <w:tabs>
              <w:tab w:val="right" w:leader="dot" w:pos="9350"/>
            </w:tabs>
            <w:rPr>
              <w:rFonts w:asciiTheme="minorHAnsi" w:hAnsiTheme="minorHAnsi" w:cstheme="minorBidi"/>
              <w:noProof/>
              <w:sz w:val="22"/>
            </w:rPr>
          </w:pPr>
          <w:hyperlink w:history="1" w:anchor="_Toc119312355">
            <w:r w:rsidRPr="00BC18FF" w:rsidR="00A5175D">
              <w:rPr>
                <w:rStyle w:val="Hyperlink"/>
                <w:noProof/>
              </w:rPr>
              <w:t>9.</w:t>
            </w:r>
            <w:r w:rsidR="00A5175D">
              <w:rPr>
                <w:rFonts w:asciiTheme="minorHAnsi" w:hAnsiTheme="minorHAnsi" w:cstheme="minorBidi"/>
                <w:noProof/>
                <w:sz w:val="22"/>
              </w:rPr>
              <w:tab/>
            </w:r>
            <w:r w:rsidRPr="00BC18FF" w:rsidR="00A5175D">
              <w:rPr>
                <w:rStyle w:val="Hyperlink"/>
                <w:noProof/>
              </w:rPr>
              <w:t>Public Advisor</w:t>
            </w:r>
            <w:r w:rsidR="00A5175D">
              <w:rPr>
                <w:noProof/>
                <w:webHidden/>
              </w:rPr>
              <w:tab/>
            </w:r>
            <w:r w:rsidR="00A5175D">
              <w:rPr>
                <w:noProof/>
                <w:webHidden/>
              </w:rPr>
              <w:fldChar w:fldCharType="begin"/>
            </w:r>
            <w:r w:rsidR="00A5175D">
              <w:rPr>
                <w:noProof/>
                <w:webHidden/>
              </w:rPr>
              <w:instrText xml:space="preserve"> PAGEREF _Toc119312355 \h </w:instrText>
            </w:r>
            <w:r w:rsidR="00A5175D">
              <w:rPr>
                <w:noProof/>
                <w:webHidden/>
              </w:rPr>
            </w:r>
            <w:r w:rsidR="00A5175D">
              <w:rPr>
                <w:noProof/>
                <w:webHidden/>
              </w:rPr>
              <w:fldChar w:fldCharType="separate"/>
            </w:r>
            <w:r w:rsidR="00E1648E">
              <w:rPr>
                <w:noProof/>
                <w:webHidden/>
              </w:rPr>
              <w:t>31</w:t>
            </w:r>
            <w:r w:rsidR="00A5175D">
              <w:rPr>
                <w:noProof/>
                <w:webHidden/>
              </w:rPr>
              <w:fldChar w:fldCharType="end"/>
            </w:r>
          </w:hyperlink>
        </w:p>
        <w:p w:rsidR="00A5175D" w:rsidRDefault="004637FB" w14:paraId="28601B46" w14:textId="1212D081">
          <w:pPr>
            <w:pStyle w:val="TOC1"/>
            <w:tabs>
              <w:tab w:val="right" w:leader="dot" w:pos="9350"/>
            </w:tabs>
            <w:rPr>
              <w:rFonts w:asciiTheme="minorHAnsi" w:hAnsiTheme="minorHAnsi" w:cstheme="minorBidi"/>
              <w:noProof/>
              <w:sz w:val="22"/>
            </w:rPr>
          </w:pPr>
          <w:hyperlink w:history="1" w:anchor="_Toc119312356">
            <w:r w:rsidRPr="00BC18FF" w:rsidR="00A5175D">
              <w:rPr>
                <w:rStyle w:val="Hyperlink"/>
                <w:noProof/>
              </w:rPr>
              <w:t>10.</w:t>
            </w:r>
            <w:r w:rsidR="00A5175D">
              <w:rPr>
                <w:rFonts w:asciiTheme="minorHAnsi" w:hAnsiTheme="minorHAnsi" w:cstheme="minorBidi"/>
                <w:noProof/>
                <w:sz w:val="22"/>
              </w:rPr>
              <w:tab/>
            </w:r>
            <w:r w:rsidRPr="00BC18FF" w:rsidR="00A5175D">
              <w:rPr>
                <w:rStyle w:val="Hyperlink"/>
                <w:noProof/>
              </w:rPr>
              <w:t>Intervenor Compensation</w:t>
            </w:r>
            <w:r w:rsidR="00A5175D">
              <w:rPr>
                <w:noProof/>
                <w:webHidden/>
              </w:rPr>
              <w:tab/>
            </w:r>
            <w:r w:rsidR="00A5175D">
              <w:rPr>
                <w:noProof/>
                <w:webHidden/>
              </w:rPr>
              <w:fldChar w:fldCharType="begin"/>
            </w:r>
            <w:r w:rsidR="00A5175D">
              <w:rPr>
                <w:noProof/>
                <w:webHidden/>
              </w:rPr>
              <w:instrText xml:space="preserve"> PAGEREF _Toc119312356 \h </w:instrText>
            </w:r>
            <w:r w:rsidR="00A5175D">
              <w:rPr>
                <w:noProof/>
                <w:webHidden/>
              </w:rPr>
            </w:r>
            <w:r w:rsidR="00A5175D">
              <w:rPr>
                <w:noProof/>
                <w:webHidden/>
              </w:rPr>
              <w:fldChar w:fldCharType="separate"/>
            </w:r>
            <w:r w:rsidR="00E1648E">
              <w:rPr>
                <w:noProof/>
                <w:webHidden/>
              </w:rPr>
              <w:t>31</w:t>
            </w:r>
            <w:r w:rsidR="00A5175D">
              <w:rPr>
                <w:noProof/>
                <w:webHidden/>
              </w:rPr>
              <w:fldChar w:fldCharType="end"/>
            </w:r>
          </w:hyperlink>
        </w:p>
        <w:p w:rsidR="00A5175D" w:rsidRDefault="004637FB" w14:paraId="0A031B68" w14:textId="7E94ECFE">
          <w:pPr>
            <w:pStyle w:val="TOC1"/>
            <w:tabs>
              <w:tab w:val="right" w:leader="dot" w:pos="9350"/>
            </w:tabs>
            <w:rPr>
              <w:rFonts w:asciiTheme="minorHAnsi" w:hAnsiTheme="minorHAnsi" w:cstheme="minorBidi"/>
              <w:noProof/>
              <w:sz w:val="22"/>
            </w:rPr>
          </w:pPr>
          <w:hyperlink w:history="1" w:anchor="_Toc119312357">
            <w:r w:rsidRPr="00BC18FF" w:rsidR="00A5175D">
              <w:rPr>
                <w:rStyle w:val="Hyperlink"/>
                <w:noProof/>
              </w:rPr>
              <w:t>ORDER</w:t>
            </w:r>
            <w:r w:rsidR="00A5175D">
              <w:rPr>
                <w:noProof/>
                <w:webHidden/>
              </w:rPr>
              <w:tab/>
            </w:r>
            <w:r w:rsidR="00A5175D">
              <w:rPr>
                <w:noProof/>
                <w:webHidden/>
              </w:rPr>
              <w:fldChar w:fldCharType="begin"/>
            </w:r>
            <w:r w:rsidR="00A5175D">
              <w:rPr>
                <w:noProof/>
                <w:webHidden/>
              </w:rPr>
              <w:instrText xml:space="preserve"> PAGEREF _Toc119312357 \h </w:instrText>
            </w:r>
            <w:r w:rsidR="00A5175D">
              <w:rPr>
                <w:noProof/>
                <w:webHidden/>
              </w:rPr>
            </w:r>
            <w:r w:rsidR="00A5175D">
              <w:rPr>
                <w:noProof/>
                <w:webHidden/>
              </w:rPr>
              <w:fldChar w:fldCharType="separate"/>
            </w:r>
            <w:r w:rsidR="00E1648E">
              <w:rPr>
                <w:noProof/>
                <w:webHidden/>
              </w:rPr>
              <w:t>32</w:t>
            </w:r>
            <w:r w:rsidR="00A5175D">
              <w:rPr>
                <w:noProof/>
                <w:webHidden/>
              </w:rPr>
              <w:fldChar w:fldCharType="end"/>
            </w:r>
          </w:hyperlink>
        </w:p>
        <w:p w:rsidR="00A5175D" w:rsidRDefault="00A5175D" w14:paraId="7D74F084" w14:textId="39F61729">
          <w:r>
            <w:rPr>
              <w:b/>
              <w:bCs/>
              <w:noProof/>
            </w:rPr>
            <w:fldChar w:fldCharType="end"/>
          </w:r>
        </w:p>
      </w:sdtContent>
    </w:sdt>
    <w:p w:rsidR="00F407C8" w:rsidP="00EA5E7C" w:rsidRDefault="00F407C8" w14:paraId="68131A4B" w14:textId="0695DAFD">
      <w:pPr>
        <w:pStyle w:val="TOCHeading"/>
      </w:pPr>
    </w:p>
    <w:p w:rsidR="00F407C8" w:rsidP="007E3E1F" w:rsidRDefault="00F407C8" w14:paraId="1C9CF2D7" w14:textId="77777777">
      <w:pPr>
        <w:keepNext/>
        <w:keepLines/>
        <w:spacing w:before="240" w:line="259" w:lineRule="auto"/>
        <w:ind w:firstLine="0"/>
        <w:rPr>
          <w:szCs w:val="20"/>
        </w:rPr>
        <w:sectPr w:rsidR="00F407C8" w:rsidSect="007E3E1F">
          <w:headerReference w:type="first" r:id="rId15"/>
          <w:footerReference w:type="first" r:id="rId16"/>
          <w:pgSz w:w="12240" w:h="15840"/>
          <w:pgMar w:top="1728" w:right="1440" w:bottom="1440" w:left="1440" w:header="720" w:footer="720" w:gutter="0"/>
          <w:pgNumType w:fmt="lowerRoman" w:start="1"/>
          <w:cols w:space="720"/>
          <w:titlePg/>
          <w:docGrid w:linePitch="360"/>
        </w:sectPr>
      </w:pPr>
    </w:p>
    <w:p w:rsidRPr="00972E08" w:rsidR="00A007C6" w:rsidP="00F56308" w:rsidRDefault="00A007C6" w14:paraId="5EEAE676" w14:textId="0D24BDD2">
      <w:pPr>
        <w:pStyle w:val="Standard"/>
        <w:spacing w:line="240" w:lineRule="auto"/>
        <w:ind w:firstLine="0"/>
        <w:jc w:val="center"/>
        <w:rPr>
          <w:bCs/>
        </w:rPr>
      </w:pPr>
      <w:bookmarkStart w:name="_Toc107299078" w:id="1"/>
      <w:bookmarkStart w:name="_Toc106887315" w:id="2"/>
      <w:bookmarkStart w:name="_Toc106888902" w:id="3"/>
      <w:r w:rsidRPr="00F56308">
        <w:rPr>
          <w:rFonts w:ascii="Arial" w:hAnsi="Arial"/>
          <w:b/>
        </w:rPr>
        <w:lastRenderedPageBreak/>
        <w:t xml:space="preserve">ORDER INSTITUTING RULEMAKING TO </w:t>
      </w:r>
      <w:r w:rsidR="0068643E">
        <w:rPr>
          <w:rFonts w:ascii="Arial" w:hAnsi="Arial" w:cs="Arial"/>
          <w:b/>
          <w:bCs/>
        </w:rPr>
        <w:t>CONSIDER</w:t>
      </w:r>
      <w:r w:rsidRPr="00F56308" w:rsidR="0068643E">
        <w:rPr>
          <w:rFonts w:ascii="Arial" w:hAnsi="Arial"/>
          <w:b/>
        </w:rPr>
        <w:t xml:space="preserve"> </w:t>
      </w:r>
      <w:r w:rsidRPr="00F56308">
        <w:rPr>
          <w:rFonts w:ascii="Arial" w:hAnsi="Arial"/>
          <w:b/>
        </w:rPr>
        <w:t xml:space="preserve">DISTRIBUTED ENERGY RESOURCE </w:t>
      </w:r>
      <w:r w:rsidRPr="00972E08">
        <w:rPr>
          <w:rFonts w:ascii="Arial" w:hAnsi="Arial" w:cs="Arial"/>
          <w:b/>
          <w:bCs/>
        </w:rPr>
        <w:t>PROGRAM</w:t>
      </w:r>
      <w:r w:rsidR="000F7339">
        <w:rPr>
          <w:rFonts w:ascii="Arial" w:hAnsi="Arial" w:cs="Arial"/>
          <w:b/>
          <w:bCs/>
        </w:rPr>
        <w:t xml:space="preserve"> COST-EFFECTIVENESS ISSUES, DATA </w:t>
      </w:r>
      <w:r w:rsidR="009A6513">
        <w:rPr>
          <w:rFonts w:ascii="Arial" w:hAnsi="Arial" w:cs="Arial"/>
          <w:b/>
          <w:bCs/>
        </w:rPr>
        <w:t xml:space="preserve">USE AND </w:t>
      </w:r>
      <w:r w:rsidR="000F7339">
        <w:rPr>
          <w:rFonts w:ascii="Arial" w:hAnsi="Arial" w:cs="Arial"/>
          <w:b/>
          <w:bCs/>
        </w:rPr>
        <w:t>ACCESS, AND EQUIPMENT PERFORMANCE STANDARDS</w:t>
      </w:r>
    </w:p>
    <w:bookmarkEnd w:id="1"/>
    <w:p w:rsidRPr="001F6F26" w:rsidR="001F6F26" w:rsidP="00F56308" w:rsidRDefault="001F6F26" w14:paraId="64ADFE68" w14:textId="77777777">
      <w:pPr>
        <w:pStyle w:val="Dummy"/>
        <w:spacing w:after="0"/>
        <w:jc w:val="center"/>
      </w:pPr>
    </w:p>
    <w:p w:rsidRPr="007E3E1F" w:rsidR="007E3E1F" w:rsidP="00F56308" w:rsidRDefault="007E3E1F" w14:paraId="0AFC9E42" w14:textId="28580009">
      <w:pPr>
        <w:pStyle w:val="Heading1"/>
        <w:numPr>
          <w:ilvl w:val="0"/>
          <w:numId w:val="0"/>
        </w:numPr>
        <w:ind w:left="720" w:hanging="720"/>
      </w:pPr>
      <w:bookmarkStart w:name="_Toc119312255" w:id="4"/>
      <w:r w:rsidRPr="007E3E1F">
        <w:t>Summary</w:t>
      </w:r>
      <w:bookmarkEnd w:id="2"/>
      <w:bookmarkEnd w:id="3"/>
      <w:bookmarkEnd w:id="4"/>
    </w:p>
    <w:p w:rsidRPr="009F6EF3" w:rsidR="003B1E8C" w:rsidP="003B1E8C" w:rsidRDefault="007E3E1F" w14:paraId="1524BAD8" w14:textId="6ED53808">
      <w:pPr>
        <w:rPr>
          <w:rFonts w:cs="Calibri"/>
          <w:color w:val="000000"/>
          <w:szCs w:val="26"/>
        </w:rPr>
      </w:pPr>
      <w:r w:rsidRPr="007E3E1F">
        <w:rPr>
          <w:szCs w:val="26"/>
        </w:rPr>
        <w:t xml:space="preserve">We open this rulemaking as a successor proceeding to </w:t>
      </w:r>
      <w:r w:rsidR="006111B5">
        <w:rPr>
          <w:szCs w:val="26"/>
        </w:rPr>
        <w:t>R</w:t>
      </w:r>
      <w:r w:rsidRPr="007E3E1F">
        <w:rPr>
          <w:szCs w:val="26"/>
        </w:rPr>
        <w:t>ulemaking</w:t>
      </w:r>
      <w:r w:rsidR="00F407C8">
        <w:rPr>
          <w:szCs w:val="26"/>
        </w:rPr>
        <w:t> </w:t>
      </w:r>
      <w:r w:rsidRPr="007E3E1F">
        <w:rPr>
          <w:szCs w:val="26"/>
        </w:rPr>
        <w:t>(R.)</w:t>
      </w:r>
      <w:r w:rsidR="00F407C8">
        <w:rPr>
          <w:szCs w:val="26"/>
        </w:rPr>
        <w:t> </w:t>
      </w:r>
      <w:r w:rsidRPr="007E3E1F">
        <w:rPr>
          <w:szCs w:val="26"/>
        </w:rPr>
        <w:t>14</w:t>
      </w:r>
      <w:r w:rsidR="00F407C8">
        <w:rPr>
          <w:szCs w:val="26"/>
        </w:rPr>
        <w:noBreakHyphen/>
      </w:r>
      <w:r w:rsidRPr="007E3E1F">
        <w:rPr>
          <w:szCs w:val="26"/>
        </w:rPr>
        <w:t xml:space="preserve">10-003 </w:t>
      </w:r>
      <w:bookmarkStart w:name="_Hlk118969188" w:id="5"/>
      <w:r w:rsidR="00954BFF">
        <w:rPr>
          <w:szCs w:val="26"/>
        </w:rPr>
        <w:t xml:space="preserve">to </w:t>
      </w:r>
      <w:r w:rsidR="00A007C6">
        <w:rPr>
          <w:szCs w:val="26"/>
        </w:rPr>
        <w:t>achieve consistency of cost effectiveness assessments</w:t>
      </w:r>
      <w:r w:rsidR="00E74EE1">
        <w:rPr>
          <w:szCs w:val="26"/>
        </w:rPr>
        <w:t xml:space="preserve">, </w:t>
      </w:r>
      <w:r w:rsidR="00A007C6">
        <w:rPr>
          <w:szCs w:val="26"/>
        </w:rPr>
        <w:t xml:space="preserve">improve data collection </w:t>
      </w:r>
      <w:r w:rsidR="00E74EE1">
        <w:rPr>
          <w:szCs w:val="26"/>
        </w:rPr>
        <w:t xml:space="preserve">and use, and consider equipment performance standards </w:t>
      </w:r>
      <w:r w:rsidR="00A007C6">
        <w:rPr>
          <w:szCs w:val="26"/>
        </w:rPr>
        <w:t>for distributed energy resource</w:t>
      </w:r>
      <w:r w:rsidR="007C3429">
        <w:rPr>
          <w:szCs w:val="26"/>
        </w:rPr>
        <w:t xml:space="preserve"> (DER)</w:t>
      </w:r>
      <w:r w:rsidR="00A007C6">
        <w:rPr>
          <w:szCs w:val="26"/>
        </w:rPr>
        <w:t xml:space="preserve"> customer programs</w:t>
      </w:r>
      <w:bookmarkEnd w:id="5"/>
      <w:r w:rsidR="000E326F">
        <w:rPr>
          <w:szCs w:val="26"/>
        </w:rPr>
        <w:t>.</w:t>
      </w:r>
      <w:r w:rsidRPr="007E3E1F">
        <w:rPr>
          <w:szCs w:val="26"/>
          <w:vertAlign w:val="superscript"/>
        </w:rPr>
        <w:footnoteReference w:id="2"/>
      </w:r>
      <w:r w:rsidRPr="007E3E1F">
        <w:rPr>
          <w:szCs w:val="26"/>
        </w:rPr>
        <w:t xml:space="preserve">  </w:t>
      </w:r>
      <w:r w:rsidR="00EC133E">
        <w:rPr>
          <w:rFonts w:cs="Calibri"/>
          <w:color w:val="000000"/>
          <w:szCs w:val="26"/>
        </w:rPr>
        <w:t>Th</w:t>
      </w:r>
      <w:r w:rsidR="006B69EC">
        <w:rPr>
          <w:rFonts w:cs="Calibri"/>
          <w:color w:val="000000"/>
          <w:szCs w:val="26"/>
        </w:rPr>
        <w:t>is</w:t>
      </w:r>
      <w:r w:rsidR="00EC133E">
        <w:rPr>
          <w:rFonts w:cs="Calibri"/>
          <w:color w:val="000000"/>
          <w:szCs w:val="26"/>
        </w:rPr>
        <w:t xml:space="preserve"> proceeding will </w:t>
      </w:r>
      <w:r w:rsidR="00A007C6">
        <w:rPr>
          <w:rFonts w:cs="Calibri"/>
          <w:color w:val="000000"/>
          <w:szCs w:val="26"/>
        </w:rPr>
        <w:t xml:space="preserve">continue and expand </w:t>
      </w:r>
      <w:r w:rsidR="00D76CD6">
        <w:rPr>
          <w:rFonts w:cs="Calibri"/>
          <w:color w:val="000000"/>
          <w:szCs w:val="26"/>
        </w:rPr>
        <w:t>efforts</w:t>
      </w:r>
      <w:r w:rsidR="00AA52D2">
        <w:rPr>
          <w:rFonts w:cs="Calibri"/>
          <w:color w:val="000000"/>
          <w:szCs w:val="26"/>
        </w:rPr>
        <w:t xml:space="preserve"> </w:t>
      </w:r>
      <w:r w:rsidR="002E2496">
        <w:rPr>
          <w:rFonts w:cs="Calibri"/>
          <w:color w:val="000000"/>
          <w:szCs w:val="26"/>
        </w:rPr>
        <w:t xml:space="preserve">around cost effectiveness assessments and </w:t>
      </w:r>
      <w:r w:rsidR="00DE33A8">
        <w:rPr>
          <w:rFonts w:cs="Calibri"/>
          <w:color w:val="000000"/>
          <w:szCs w:val="26"/>
        </w:rPr>
        <w:t xml:space="preserve">focus on </w:t>
      </w:r>
      <w:r w:rsidR="00AD58CC">
        <w:rPr>
          <w:rFonts w:cs="Calibri"/>
          <w:color w:val="000000"/>
          <w:szCs w:val="26"/>
        </w:rPr>
        <w:t xml:space="preserve">improving </w:t>
      </w:r>
      <w:r w:rsidR="007C3429">
        <w:rPr>
          <w:rFonts w:cs="Calibri"/>
          <w:color w:val="000000"/>
          <w:szCs w:val="26"/>
        </w:rPr>
        <w:t>the use of DER customer program data</w:t>
      </w:r>
      <w:r w:rsidR="00D76CD6">
        <w:rPr>
          <w:rFonts w:cs="Calibri"/>
          <w:color w:val="000000"/>
          <w:szCs w:val="26"/>
        </w:rPr>
        <w:t xml:space="preserve"> </w:t>
      </w:r>
      <w:r w:rsidR="0079628B">
        <w:rPr>
          <w:rFonts w:cs="Calibri"/>
          <w:color w:val="000000"/>
          <w:szCs w:val="26"/>
        </w:rPr>
        <w:t xml:space="preserve">with the aim of </w:t>
      </w:r>
      <w:r w:rsidR="00F03AD8">
        <w:rPr>
          <w:rFonts w:cs="Calibri"/>
          <w:color w:val="000000"/>
          <w:szCs w:val="26"/>
        </w:rPr>
        <w:t xml:space="preserve">supporting </w:t>
      </w:r>
      <w:r w:rsidR="003B1E8C">
        <w:rPr>
          <w:rFonts w:cs="Calibri"/>
          <w:color w:val="000000"/>
          <w:szCs w:val="26"/>
        </w:rPr>
        <w:t xml:space="preserve">the customer experience – especially for customers living in Environmental and Social Justice communities—and </w:t>
      </w:r>
      <w:r w:rsidR="0079628B">
        <w:rPr>
          <w:rFonts w:cs="Calibri"/>
          <w:color w:val="000000"/>
          <w:szCs w:val="26"/>
        </w:rPr>
        <w:t>advancing</w:t>
      </w:r>
      <w:r w:rsidR="003B1E8C">
        <w:rPr>
          <w:rFonts w:cs="Calibri"/>
          <w:color w:val="000000"/>
          <w:szCs w:val="26"/>
        </w:rPr>
        <w:t xml:space="preserve"> California’s climate goals.</w:t>
      </w:r>
      <w:r w:rsidR="006B69EC">
        <w:rPr>
          <w:rFonts w:cs="Calibri"/>
          <w:color w:val="000000"/>
          <w:szCs w:val="26"/>
        </w:rPr>
        <w:t xml:space="preserve">  This proceeding will not </w:t>
      </w:r>
      <w:r w:rsidRPr="009F6EF3" w:rsidR="006152BE">
        <w:rPr>
          <w:rFonts w:cs="Calibri"/>
          <w:color w:val="000000"/>
          <w:szCs w:val="26"/>
        </w:rPr>
        <w:t xml:space="preserve">limit </w:t>
      </w:r>
      <w:r w:rsidR="006152BE">
        <w:rPr>
          <w:rFonts w:cs="Calibri"/>
          <w:color w:val="000000"/>
          <w:szCs w:val="26"/>
        </w:rPr>
        <w:t xml:space="preserve">the </w:t>
      </w:r>
      <w:r w:rsidRPr="009F6EF3" w:rsidR="006152BE">
        <w:rPr>
          <w:rFonts w:cs="Calibri"/>
          <w:color w:val="000000"/>
          <w:szCs w:val="26"/>
        </w:rPr>
        <w:t>ability of any resource proceeding to determine the particular policies or procedures needed to achieve proceeding goals</w:t>
      </w:r>
      <w:r w:rsidR="006152BE">
        <w:rPr>
          <w:rFonts w:cs="Calibri"/>
          <w:color w:val="000000"/>
          <w:szCs w:val="26"/>
        </w:rPr>
        <w:t>.</w:t>
      </w:r>
    </w:p>
    <w:p w:rsidRPr="007E3E1F" w:rsidR="007E3E1F" w:rsidP="007E3E1F" w:rsidRDefault="003E6E9D" w14:paraId="184FF224" w14:textId="41620EFE">
      <w:pPr>
        <w:rPr>
          <w:szCs w:val="26"/>
        </w:rPr>
      </w:pPr>
      <w:r>
        <w:rPr>
          <w:szCs w:val="26"/>
        </w:rPr>
        <w:t>T</w:t>
      </w:r>
      <w:r w:rsidRPr="007E3E1F" w:rsidR="007E3E1F">
        <w:rPr>
          <w:szCs w:val="26"/>
        </w:rPr>
        <w:t xml:space="preserve">his rulemaking </w:t>
      </w:r>
      <w:r>
        <w:rPr>
          <w:szCs w:val="26"/>
        </w:rPr>
        <w:t xml:space="preserve">serves </w:t>
      </w:r>
      <w:r w:rsidRPr="007E3E1F" w:rsidR="007E3E1F">
        <w:rPr>
          <w:szCs w:val="26"/>
        </w:rPr>
        <w:t xml:space="preserve">as </w:t>
      </w:r>
      <w:r w:rsidR="00BD4172">
        <w:rPr>
          <w:szCs w:val="26"/>
        </w:rPr>
        <w:t xml:space="preserve">a </w:t>
      </w:r>
      <w:r w:rsidRPr="007E3E1F" w:rsidR="007E3E1F">
        <w:rPr>
          <w:szCs w:val="26"/>
        </w:rPr>
        <w:t xml:space="preserve">procedural framework for </w:t>
      </w:r>
      <w:r w:rsidR="002F719D">
        <w:rPr>
          <w:szCs w:val="26"/>
        </w:rPr>
        <w:t>advancing</w:t>
      </w:r>
      <w:r w:rsidR="00FB05CA">
        <w:rPr>
          <w:szCs w:val="26"/>
        </w:rPr>
        <w:t xml:space="preserve"> </w:t>
      </w:r>
      <w:r w:rsidR="002F719D">
        <w:rPr>
          <w:szCs w:val="26"/>
        </w:rPr>
        <w:t xml:space="preserve">the </w:t>
      </w:r>
      <w:r w:rsidR="005B6F70">
        <w:rPr>
          <w:szCs w:val="26"/>
        </w:rPr>
        <w:t>vision</w:t>
      </w:r>
      <w:r w:rsidRPr="007E3E1F" w:rsidR="007E3E1F">
        <w:rPr>
          <w:szCs w:val="26"/>
        </w:rPr>
        <w:t xml:space="preserve"> articulated in the customer programs track of the DER Action Plan recently adopted by the </w:t>
      </w:r>
      <w:r w:rsidR="00732EEF">
        <w:rPr>
          <w:szCs w:val="26"/>
        </w:rPr>
        <w:t xml:space="preserve">California Public Utilities </w:t>
      </w:r>
      <w:r w:rsidRPr="007E3E1F" w:rsidR="007E3E1F">
        <w:rPr>
          <w:szCs w:val="26"/>
        </w:rPr>
        <w:t>C</w:t>
      </w:r>
      <w:r w:rsidR="00F302C6">
        <w:rPr>
          <w:szCs w:val="26"/>
        </w:rPr>
        <w:t>ommission</w:t>
      </w:r>
      <w:r w:rsidRPr="007E3E1F" w:rsidR="007E3E1F">
        <w:rPr>
          <w:szCs w:val="26"/>
        </w:rPr>
        <w:t>, which states:</w:t>
      </w:r>
    </w:p>
    <w:p w:rsidRPr="00F56308" w:rsidR="00BF3C92" w:rsidP="0090171F" w:rsidRDefault="007E3E1F" w14:paraId="0AA404CE" w14:textId="69E5FFA9">
      <w:pPr>
        <w:spacing w:after="120" w:line="240" w:lineRule="auto"/>
        <w:ind w:left="720" w:right="1440" w:firstLine="0"/>
        <w:rPr>
          <w:color w:val="000000" w:themeColor="text1"/>
        </w:rPr>
      </w:pPr>
      <w:r w:rsidRPr="00F56308">
        <w:rPr>
          <w:color w:val="000000" w:themeColor="text1"/>
        </w:rPr>
        <w:t xml:space="preserve">The DER Action Plan’s Customer Programs Track focuses on improving coordination, planning and developing consistent </w:t>
      </w:r>
      <w:r w:rsidRPr="00F56308">
        <w:rPr>
          <w:color w:val="000000" w:themeColor="text1"/>
        </w:rPr>
        <w:lastRenderedPageBreak/>
        <w:t>metrics across DER proceedings related to customer programs to maximize their contributions to [greenhouse gas] (GHG) reductions and other state energy goals.</w:t>
      </w:r>
      <w:r w:rsidRPr="00F56308" w:rsidR="0061320A">
        <w:rPr>
          <w:color w:val="000000" w:themeColor="text1"/>
        </w:rPr>
        <w:t xml:space="preserve">  </w:t>
      </w:r>
      <w:r w:rsidRPr="00F56308">
        <w:rPr>
          <w:color w:val="000000" w:themeColor="text1"/>
        </w:rPr>
        <w:t>The goal is to enable all customers to effectively manage their energy usage in a manner that ensures equitable participation and distribution of benefits, alignment with evolving rate design and load flexibility, alignment with distribution planning objectives, and alignment with integrated resource planning objectives</w:t>
      </w:r>
      <w:r w:rsidRPr="00F56308">
        <w:rPr>
          <w:color w:val="000000" w:themeColor="text1"/>
          <w:vertAlign w:val="superscript"/>
        </w:rPr>
        <w:footnoteReference w:id="3"/>
      </w:r>
      <w:r w:rsidRPr="00F56308">
        <w:rPr>
          <w:color w:val="000000" w:themeColor="text1"/>
        </w:rPr>
        <w:t xml:space="preserve">.  </w:t>
      </w:r>
    </w:p>
    <w:p w:rsidRPr="007E3E1F" w:rsidR="006E22F7" w:rsidP="006E22F7" w:rsidRDefault="005B6F70" w14:paraId="76706468" w14:textId="6888E0EC">
      <w:pPr>
        <w:tabs>
          <w:tab w:val="left" w:pos="360"/>
        </w:tabs>
        <w:rPr>
          <w:szCs w:val="26"/>
        </w:rPr>
      </w:pPr>
      <w:r>
        <w:rPr>
          <w:rFonts w:cs="Calibri"/>
          <w:color w:val="000000"/>
          <w:szCs w:val="26"/>
        </w:rPr>
        <w:t xml:space="preserve">This rulemaking will </w:t>
      </w:r>
      <w:r w:rsidR="000F0203">
        <w:rPr>
          <w:rFonts w:cs="Calibri"/>
          <w:color w:val="000000"/>
          <w:szCs w:val="26"/>
        </w:rPr>
        <w:t xml:space="preserve">have at least two phases.  Phase 1 will focus on continuing the cost-effectiveness work </w:t>
      </w:r>
      <w:r w:rsidR="002F719D">
        <w:rPr>
          <w:rFonts w:cs="Calibri"/>
          <w:color w:val="000000"/>
          <w:szCs w:val="26"/>
        </w:rPr>
        <w:t xml:space="preserve">begun </w:t>
      </w:r>
      <w:r w:rsidR="000F0203">
        <w:rPr>
          <w:rFonts w:cs="Calibri"/>
          <w:color w:val="000000"/>
          <w:szCs w:val="26"/>
        </w:rPr>
        <w:t>in R.14-10-003</w:t>
      </w:r>
      <w:r w:rsidR="002F719D">
        <w:rPr>
          <w:rFonts w:cs="Calibri"/>
          <w:color w:val="000000"/>
          <w:szCs w:val="26"/>
        </w:rPr>
        <w:t xml:space="preserve"> and </w:t>
      </w:r>
      <w:r w:rsidR="00F26BC0">
        <w:rPr>
          <w:rFonts w:cs="Calibri"/>
          <w:color w:val="000000"/>
          <w:szCs w:val="26"/>
        </w:rPr>
        <w:t xml:space="preserve">improving access to and </w:t>
      </w:r>
      <w:r w:rsidR="005006CA">
        <w:rPr>
          <w:rFonts w:cs="Calibri"/>
          <w:color w:val="000000"/>
          <w:szCs w:val="26"/>
        </w:rPr>
        <w:t>use of data to benefit customer programs.  Phase 2 will</w:t>
      </w:r>
      <w:r w:rsidR="006E22F7">
        <w:rPr>
          <w:rFonts w:cs="Calibri"/>
          <w:color w:val="000000"/>
          <w:szCs w:val="26"/>
        </w:rPr>
        <w:t xml:space="preserve"> </w:t>
      </w:r>
      <w:r w:rsidR="006E22F7">
        <w:rPr>
          <w:szCs w:val="26"/>
        </w:rPr>
        <w:t xml:space="preserve">consider enacting equipment performance standards and will address issues identified </w:t>
      </w:r>
      <w:r w:rsidR="007D77EB">
        <w:rPr>
          <w:szCs w:val="26"/>
        </w:rPr>
        <w:t xml:space="preserve">or not completed during </w:t>
      </w:r>
      <w:r w:rsidR="006E22F7">
        <w:rPr>
          <w:szCs w:val="26"/>
        </w:rPr>
        <w:t xml:space="preserve">Phase 1. </w:t>
      </w:r>
      <w:r w:rsidRPr="007E3E1F" w:rsidR="006E22F7">
        <w:rPr>
          <w:szCs w:val="26"/>
        </w:rPr>
        <w:t xml:space="preserve"> </w:t>
      </w:r>
    </w:p>
    <w:p w:rsidRPr="007E3E1F" w:rsidR="007E3E1F" w:rsidP="00F02759" w:rsidRDefault="003750D2" w14:paraId="4CC4BB76" w14:textId="5BD9A4FA">
      <w:pPr>
        <w:pStyle w:val="Heading1"/>
      </w:pPr>
      <w:bookmarkStart w:name="_Toc106887316" w:id="6"/>
      <w:bookmarkStart w:name="_Toc106888903" w:id="7"/>
      <w:bookmarkStart w:name="_Toc119312256" w:id="8"/>
      <w:r>
        <w:t xml:space="preserve">General </w:t>
      </w:r>
      <w:r w:rsidRPr="007E3E1F" w:rsidR="007E3E1F">
        <w:t>Background</w:t>
      </w:r>
      <w:bookmarkEnd w:id="6"/>
      <w:bookmarkEnd w:id="7"/>
      <w:bookmarkEnd w:id="8"/>
    </w:p>
    <w:p w:rsidRPr="007E3E1F" w:rsidR="007E3E1F" w:rsidP="00F407C8" w:rsidRDefault="007E3E1F" w14:paraId="32588040" w14:textId="02558389">
      <w:pPr>
        <w:pStyle w:val="Heading2"/>
      </w:pPr>
      <w:bookmarkStart w:name="_Toc106887317" w:id="9"/>
      <w:bookmarkStart w:name="_Toc106888904" w:id="10"/>
      <w:bookmarkStart w:name="_Toc119312257" w:id="11"/>
      <w:r w:rsidRPr="007E3E1F">
        <w:t>Overview</w:t>
      </w:r>
      <w:bookmarkEnd w:id="9"/>
      <w:bookmarkEnd w:id="10"/>
      <w:bookmarkEnd w:id="11"/>
    </w:p>
    <w:p w:rsidRPr="007E3E1F" w:rsidR="007E3E1F" w:rsidP="007E3E1F" w:rsidRDefault="007E3E1F" w14:paraId="083CDDB0" w14:textId="46F6C13F">
      <w:pPr>
        <w:tabs>
          <w:tab w:val="left" w:pos="360"/>
        </w:tabs>
        <w:rPr>
          <w:szCs w:val="20"/>
        </w:rPr>
      </w:pPr>
      <w:r w:rsidRPr="007E3E1F">
        <w:rPr>
          <w:szCs w:val="20"/>
        </w:rPr>
        <w:t xml:space="preserve">The customer programs funded by ratepayers and authorized by the </w:t>
      </w:r>
      <w:r w:rsidR="00732EEF">
        <w:rPr>
          <w:szCs w:val="20"/>
        </w:rPr>
        <w:t xml:space="preserve">California Public Utilities </w:t>
      </w:r>
      <w:r w:rsidR="00F302C6">
        <w:rPr>
          <w:szCs w:val="20"/>
        </w:rPr>
        <w:t>Commission</w:t>
      </w:r>
      <w:r w:rsidRPr="007E3E1F">
        <w:rPr>
          <w:szCs w:val="20"/>
        </w:rPr>
        <w:t xml:space="preserve"> </w:t>
      </w:r>
      <w:r w:rsidR="00732EEF">
        <w:rPr>
          <w:szCs w:val="20"/>
        </w:rPr>
        <w:t xml:space="preserve">(Commission) </w:t>
      </w:r>
      <w:r w:rsidRPr="007E3E1F">
        <w:rPr>
          <w:szCs w:val="20"/>
        </w:rPr>
        <w:t xml:space="preserve">are offered in accordance with California’s energy policy directives, and enable participants to save energy, reduce </w:t>
      </w:r>
      <w:r w:rsidR="00D06CB1">
        <w:rPr>
          <w:szCs w:val="20"/>
        </w:rPr>
        <w:t>greenhouse gas (</w:t>
      </w:r>
      <w:r w:rsidRPr="007E3E1F">
        <w:rPr>
          <w:szCs w:val="20"/>
        </w:rPr>
        <w:t>GHG</w:t>
      </w:r>
      <w:r w:rsidR="00D06CB1">
        <w:rPr>
          <w:szCs w:val="20"/>
        </w:rPr>
        <w:t>)</w:t>
      </w:r>
      <w:r w:rsidRPr="007E3E1F">
        <w:rPr>
          <w:szCs w:val="20"/>
        </w:rPr>
        <w:t xml:space="preserve"> emissions, and lower their energy bills.</w:t>
      </w:r>
      <w:r w:rsidRPr="007E3E1F">
        <w:rPr>
          <w:szCs w:val="26"/>
          <w:vertAlign w:val="superscript"/>
        </w:rPr>
        <w:footnoteReference w:id="4"/>
      </w:r>
      <w:r w:rsidRPr="007E3E1F">
        <w:rPr>
          <w:szCs w:val="20"/>
        </w:rPr>
        <w:t xml:space="preserve">  These programs</w:t>
      </w:r>
      <w:r w:rsidRPr="007E3E1F">
        <w:rPr>
          <w:szCs w:val="26"/>
        </w:rPr>
        <w:t xml:space="preserve"> </w:t>
      </w:r>
      <w:r w:rsidRPr="007E3E1F">
        <w:rPr>
          <w:szCs w:val="20"/>
        </w:rPr>
        <w:t xml:space="preserve">have traditionally focused on procuring all available cost-effective demand reduction and energy efficiency resources before procuring traditional supply-side generation resources, and on procuring renewable energy resources before procuring fossil fuel resources.  </w:t>
      </w:r>
    </w:p>
    <w:p w:rsidRPr="007E3E1F" w:rsidR="007E3E1F" w:rsidP="007E3E1F" w:rsidRDefault="007E3E1F" w14:paraId="22115286" w14:textId="4F0914ED">
      <w:pPr>
        <w:tabs>
          <w:tab w:val="left" w:pos="360"/>
        </w:tabs>
        <w:rPr>
          <w:szCs w:val="20"/>
        </w:rPr>
      </w:pPr>
      <w:r w:rsidRPr="007E3E1F">
        <w:rPr>
          <w:szCs w:val="20"/>
        </w:rPr>
        <w:lastRenderedPageBreak/>
        <w:t xml:space="preserve">Public Utilities </w:t>
      </w:r>
      <w:r w:rsidR="0044570C">
        <w:rPr>
          <w:szCs w:val="20"/>
        </w:rPr>
        <w:t xml:space="preserve">(Pub. Util.) </w:t>
      </w:r>
      <w:r w:rsidRPr="007E3E1F">
        <w:rPr>
          <w:szCs w:val="20"/>
        </w:rPr>
        <w:t xml:space="preserve">Code Section 701.1(a) directs the </w:t>
      </w:r>
      <w:r w:rsidR="00F302C6">
        <w:rPr>
          <w:szCs w:val="20"/>
        </w:rPr>
        <w:t>Commission</w:t>
      </w:r>
      <w:r w:rsidRPr="007E3E1F">
        <w:rPr>
          <w:szCs w:val="20"/>
        </w:rPr>
        <w:t xml:space="preserve"> “to minimize the cost to society of the reliable energy services that are provided by natural gas and electricity, and to improve the environment and to encourage the diversity of energy sources through improvements in energy efficiency and renewable energy resources.”</w:t>
      </w:r>
      <w:r w:rsidRPr="007E3E1F">
        <w:rPr>
          <w:sz w:val="24"/>
          <w:szCs w:val="20"/>
          <w:vertAlign w:val="superscript"/>
        </w:rPr>
        <w:footnoteReference w:id="5"/>
      </w:r>
      <w:r w:rsidRPr="007E3E1F">
        <w:rPr>
          <w:szCs w:val="20"/>
        </w:rPr>
        <w:t xml:space="preserve">  To fulfill these mandates, the </w:t>
      </w:r>
      <w:r w:rsidR="00F302C6">
        <w:rPr>
          <w:szCs w:val="20"/>
        </w:rPr>
        <w:t>Commission</w:t>
      </w:r>
      <w:r w:rsidRPr="007E3E1F">
        <w:rPr>
          <w:szCs w:val="20"/>
        </w:rPr>
        <w:t xml:space="preserve"> has, since the 1980s, directed the regulated electric and gas utilities to develop</w:t>
      </w:r>
      <w:r w:rsidRPr="007E3E1F">
        <w:rPr>
          <w:szCs w:val="26"/>
        </w:rPr>
        <w:t xml:space="preserve"> </w:t>
      </w:r>
      <w:r w:rsidRPr="007E3E1F">
        <w:rPr>
          <w:szCs w:val="20"/>
        </w:rPr>
        <w:t>energy efficiency programs</w:t>
      </w:r>
      <w:r w:rsidR="004C0722">
        <w:rPr>
          <w:szCs w:val="20"/>
        </w:rPr>
        <w:t>. I</w:t>
      </w:r>
      <w:r w:rsidRPr="007E3E1F">
        <w:rPr>
          <w:szCs w:val="20"/>
        </w:rPr>
        <w:t>n the last two decades</w:t>
      </w:r>
      <w:r w:rsidRPr="007E3E1F">
        <w:rPr>
          <w:szCs w:val="26"/>
        </w:rPr>
        <w:t>,</w:t>
      </w:r>
      <w:r w:rsidRPr="007E3E1F">
        <w:rPr>
          <w:szCs w:val="20"/>
        </w:rPr>
        <w:t xml:space="preserve"> program offerings have expanded to include many different </w:t>
      </w:r>
      <w:r w:rsidR="00C73086">
        <w:rPr>
          <w:szCs w:val="20"/>
        </w:rPr>
        <w:t>distributed energy resources (</w:t>
      </w:r>
      <w:r w:rsidRPr="007E3E1F">
        <w:rPr>
          <w:szCs w:val="20"/>
        </w:rPr>
        <w:t>DER</w:t>
      </w:r>
      <w:r w:rsidR="00C73086">
        <w:rPr>
          <w:szCs w:val="20"/>
        </w:rPr>
        <w:t>)</w:t>
      </w:r>
      <w:r w:rsidRPr="007E3E1F">
        <w:rPr>
          <w:szCs w:val="20"/>
        </w:rPr>
        <w:t>, including demand response, customer-sited generation and storage, smart grid technologies</w:t>
      </w:r>
      <w:r w:rsidRPr="007E3E1F">
        <w:rPr>
          <w:szCs w:val="26"/>
        </w:rPr>
        <w:t xml:space="preserve">, </w:t>
      </w:r>
      <w:r w:rsidRPr="007E3E1F">
        <w:rPr>
          <w:szCs w:val="20"/>
        </w:rPr>
        <w:t>and water-energy savings measures, a</w:t>
      </w:r>
      <w:r w:rsidR="004C0722">
        <w:rPr>
          <w:szCs w:val="20"/>
        </w:rPr>
        <w:t>nd</w:t>
      </w:r>
      <w:r w:rsidRPr="007E3E1F">
        <w:rPr>
          <w:szCs w:val="20"/>
        </w:rPr>
        <w:t xml:space="preserve"> innovative rate design.</w:t>
      </w:r>
      <w:r w:rsidRPr="007E3E1F">
        <w:rPr>
          <w:szCs w:val="26"/>
        </w:rPr>
        <w:t xml:space="preserve">  </w:t>
      </w:r>
    </w:p>
    <w:p w:rsidR="008016CE" w:rsidP="007E3E1F" w:rsidRDefault="007E3E1F" w14:paraId="497AB031" w14:textId="77777777">
      <w:pPr>
        <w:tabs>
          <w:tab w:val="left" w:pos="360"/>
        </w:tabs>
      </w:pPr>
      <w:r w:rsidRPr="7DEC07F4">
        <w:t xml:space="preserve">Rulemaking (R.) 14-10-003 was initiated in response to the increasing complexity resulting from this plethora of programs.  R.14-10-003 focused on enabling DER providers to integrate their resources into utility procurement mechanisms and developing a framework that values DER technologies more consistently across resources.  </w:t>
      </w:r>
    </w:p>
    <w:p w:rsidR="00930066" w:rsidP="008016CE" w:rsidRDefault="007E3E1F" w14:paraId="6E8CFF1E" w14:textId="5891D90E">
      <w:pPr>
        <w:tabs>
          <w:tab w:val="left" w:pos="360"/>
        </w:tabs>
      </w:pPr>
      <w:r w:rsidRPr="7DEC07F4">
        <w:t xml:space="preserve">In 2016, the </w:t>
      </w:r>
      <w:r w:rsidRPr="7DEC07F4" w:rsidR="00F302C6">
        <w:t>Commission</w:t>
      </w:r>
      <w:r w:rsidRPr="7DEC07F4">
        <w:t xml:space="preserve"> established an Integrated Resource Planning (IRP) process in R.16-02-007.  The IRP process is designed to guide electric utility planning, using capacity expansion and production cost modeling, to determine the least-cost path to achieving electric sector GHG reduction goals, while ensuring reliability.  As of yet, DERs are not completely incorporated into IRP modeling as candidate resources.</w:t>
      </w:r>
      <w:r w:rsidRPr="007E3E1F">
        <w:rPr>
          <w:sz w:val="24"/>
          <w:szCs w:val="24"/>
          <w:vertAlign w:val="superscript"/>
        </w:rPr>
        <w:footnoteReference w:id="6"/>
      </w:r>
      <w:r w:rsidRPr="7DEC07F4">
        <w:t xml:space="preserve">  Accomplishing this will require increasing coordination amongst the various DER resource proceedings and programs and </w:t>
      </w:r>
      <w:r w:rsidRPr="7DEC07F4">
        <w:lastRenderedPageBreak/>
        <w:t xml:space="preserve">the IRP proceeding.  </w:t>
      </w:r>
      <w:r w:rsidRPr="00CE0F73" w:rsidR="00CE0F73">
        <w:t xml:space="preserve">A September 2022 </w:t>
      </w:r>
      <w:r w:rsidR="004C0722">
        <w:t>r</w:t>
      </w:r>
      <w:r w:rsidRPr="00CE0F73" w:rsidR="00CE0F73">
        <w:t>uling issued in the IRP proceeding includes a Staff Options Paper describing options for an IRP procurement program.</w:t>
      </w:r>
      <w:r w:rsidRPr="00CE0F73" w:rsidR="00CE0F73">
        <w:rPr>
          <w:vertAlign w:val="superscript"/>
        </w:rPr>
        <w:footnoteReference w:id="7"/>
      </w:r>
      <w:r w:rsidRPr="00CE0F73" w:rsidR="00CE0F73">
        <w:t xml:space="preserve">  </w:t>
      </w:r>
    </w:p>
    <w:p w:rsidRPr="007E3E1F" w:rsidR="007E3E1F" w:rsidP="00952445" w:rsidRDefault="008A7785" w14:paraId="00BB7EE9" w14:textId="05C94501">
      <w:pPr>
        <w:tabs>
          <w:tab w:val="left" w:pos="360"/>
        </w:tabs>
        <w:rPr>
          <w:szCs w:val="20"/>
        </w:rPr>
      </w:pPr>
      <w:r>
        <w:rPr>
          <w:szCs w:val="26"/>
        </w:rPr>
        <w:t>T</w:t>
      </w:r>
      <w:r w:rsidRPr="007E3E1F" w:rsidR="007E3E1F">
        <w:rPr>
          <w:szCs w:val="26"/>
        </w:rPr>
        <w:t>he need to reduce GHG emissions is a leading driver of California’s energy policies</w:t>
      </w:r>
      <w:r>
        <w:rPr>
          <w:szCs w:val="26"/>
        </w:rPr>
        <w:t>.  But o</w:t>
      </w:r>
      <w:r w:rsidRPr="007E3E1F" w:rsidR="007E3E1F">
        <w:rPr>
          <w:szCs w:val="26"/>
        </w:rPr>
        <w:t xml:space="preserve">ther </w:t>
      </w:r>
      <w:r w:rsidR="00CA34D8">
        <w:rPr>
          <w:szCs w:val="26"/>
        </w:rPr>
        <w:t>s</w:t>
      </w:r>
      <w:r w:rsidRPr="007E3E1F" w:rsidR="007E3E1F">
        <w:rPr>
          <w:szCs w:val="26"/>
        </w:rPr>
        <w:t>tate policy objectives</w:t>
      </w:r>
      <w:r>
        <w:rPr>
          <w:szCs w:val="26"/>
        </w:rPr>
        <w:t xml:space="preserve"> </w:t>
      </w:r>
      <w:r w:rsidR="003750D2">
        <w:rPr>
          <w:szCs w:val="26"/>
        </w:rPr>
        <w:t>–</w:t>
      </w:r>
      <w:r w:rsidRPr="007E3E1F" w:rsidR="007E3E1F">
        <w:rPr>
          <w:szCs w:val="26"/>
        </w:rPr>
        <w:t xml:space="preserve"> such as increased grid reliability, safety, wildfire mitigation, benefits to disadvantaged communities, minimizing generation costs, and the need to limit rate increases, especially for low-income Californians</w:t>
      </w:r>
      <w:r>
        <w:rPr>
          <w:szCs w:val="26"/>
        </w:rPr>
        <w:t xml:space="preserve"> </w:t>
      </w:r>
      <w:r w:rsidR="003750D2">
        <w:rPr>
          <w:szCs w:val="26"/>
        </w:rPr>
        <w:t>–</w:t>
      </w:r>
      <w:r w:rsidRPr="007E3E1F" w:rsidR="007E3E1F">
        <w:rPr>
          <w:szCs w:val="26"/>
        </w:rPr>
        <w:t xml:space="preserve"> also play a significant role in shaping DER policies and programs.  Recent </w:t>
      </w:r>
      <w:r w:rsidR="00CA34D8">
        <w:rPr>
          <w:szCs w:val="26"/>
        </w:rPr>
        <w:t>s</w:t>
      </w:r>
      <w:r w:rsidRPr="007E3E1F" w:rsidR="007E3E1F">
        <w:rPr>
          <w:szCs w:val="26"/>
        </w:rPr>
        <w:t>tate policy efforts include promoting the decarbonization of the building and transportation sectors, adding</w:t>
      </w:r>
      <w:r>
        <w:rPr>
          <w:szCs w:val="26"/>
        </w:rPr>
        <w:t xml:space="preserve"> further </w:t>
      </w:r>
      <w:r w:rsidRPr="007E3E1F" w:rsidR="007E3E1F">
        <w:rPr>
          <w:szCs w:val="26"/>
        </w:rPr>
        <w:t xml:space="preserve">complexity </w:t>
      </w:r>
      <w:r>
        <w:rPr>
          <w:szCs w:val="26"/>
        </w:rPr>
        <w:t>to</w:t>
      </w:r>
      <w:r w:rsidRPr="007E3E1F" w:rsidR="007E3E1F">
        <w:rPr>
          <w:szCs w:val="26"/>
        </w:rPr>
        <w:t xml:space="preserve"> the DER</w:t>
      </w:r>
      <w:r w:rsidR="00A5175D">
        <w:rPr>
          <w:szCs w:val="26"/>
        </w:rPr>
        <w:t> </w:t>
      </w:r>
      <w:r w:rsidRPr="007E3E1F" w:rsidR="007E3E1F">
        <w:rPr>
          <w:szCs w:val="26"/>
        </w:rPr>
        <w:t xml:space="preserve">landscape.  </w:t>
      </w:r>
    </w:p>
    <w:p w:rsidRPr="007E3E1F" w:rsidR="007E3E1F" w:rsidP="00F407C8" w:rsidRDefault="007E3E1F" w14:paraId="34005A88" w14:textId="0C53571B">
      <w:pPr>
        <w:pStyle w:val="Heading2"/>
      </w:pPr>
      <w:bookmarkStart w:name="_Toc119312258" w:id="12"/>
      <w:bookmarkStart w:name="_Toc106887318" w:id="13"/>
      <w:bookmarkStart w:name="_Toc106888905" w:id="14"/>
      <w:bookmarkStart w:name="_Toc119312259" w:id="15"/>
      <w:bookmarkEnd w:id="12"/>
      <w:r w:rsidRPr="007E3E1F">
        <w:t>Legislative Background</w:t>
      </w:r>
      <w:bookmarkEnd w:id="13"/>
      <w:bookmarkEnd w:id="14"/>
      <w:bookmarkEnd w:id="15"/>
    </w:p>
    <w:p w:rsidRPr="007E3E1F" w:rsidR="007E3E1F" w:rsidP="007E3E1F" w:rsidRDefault="00FB6C39" w14:paraId="0C9DDB7E" w14:textId="1E68CE7F">
      <w:pPr>
        <w:tabs>
          <w:tab w:val="left" w:pos="360"/>
        </w:tabs>
        <w:rPr>
          <w:szCs w:val="26"/>
        </w:rPr>
      </w:pPr>
      <w:r>
        <w:rPr>
          <w:szCs w:val="26"/>
        </w:rPr>
        <w:t xml:space="preserve">Legislation and statute </w:t>
      </w:r>
      <w:r w:rsidRPr="007E3E1F" w:rsidR="007E3E1F">
        <w:rPr>
          <w:szCs w:val="26"/>
        </w:rPr>
        <w:t xml:space="preserve">grants the </w:t>
      </w:r>
      <w:r w:rsidR="00F302C6">
        <w:rPr>
          <w:szCs w:val="26"/>
        </w:rPr>
        <w:t>Commission</w:t>
      </w:r>
      <w:r w:rsidRPr="007E3E1F" w:rsidR="007E3E1F">
        <w:rPr>
          <w:szCs w:val="26"/>
        </w:rPr>
        <w:t xml:space="preserve"> broad authority over public utilities that provide electric and gas service in California.  </w:t>
      </w:r>
      <w:r>
        <w:rPr>
          <w:szCs w:val="26"/>
        </w:rPr>
        <w:t xml:space="preserve">Pub. Util. Code </w:t>
      </w:r>
      <w:r w:rsidRPr="007E3E1F" w:rsidR="007E3E1F">
        <w:rPr>
          <w:szCs w:val="26"/>
        </w:rPr>
        <w:t>Section</w:t>
      </w:r>
      <w:r w:rsidR="00097053">
        <w:rPr>
          <w:szCs w:val="26"/>
        </w:rPr>
        <w:t> </w:t>
      </w:r>
      <w:r w:rsidRPr="007E3E1F" w:rsidR="007E3E1F">
        <w:rPr>
          <w:szCs w:val="26"/>
        </w:rPr>
        <w:t xml:space="preserve">701 states that: </w:t>
      </w:r>
    </w:p>
    <w:p w:rsidRPr="00F56308" w:rsidR="007E3E1F" w:rsidP="0090171F" w:rsidRDefault="007E3E1F" w14:paraId="1EFA25B6" w14:textId="1959EC5B">
      <w:pPr>
        <w:tabs>
          <w:tab w:val="left" w:pos="8100"/>
        </w:tabs>
        <w:spacing w:after="120" w:line="240" w:lineRule="auto"/>
        <w:ind w:left="720" w:right="1440" w:firstLine="0"/>
        <w:rPr>
          <w:color w:val="000000" w:themeColor="text1"/>
        </w:rPr>
      </w:pPr>
      <w:r w:rsidRPr="00F56308">
        <w:rPr>
          <w:color w:val="000000" w:themeColor="text1"/>
        </w:rPr>
        <w:t xml:space="preserve">The </w:t>
      </w:r>
      <w:r w:rsidRPr="00F56308" w:rsidR="00CA34D8">
        <w:rPr>
          <w:color w:val="000000" w:themeColor="text1"/>
        </w:rPr>
        <w:t>[</w:t>
      </w:r>
      <w:r w:rsidRPr="00F56308" w:rsidR="00F302C6">
        <w:rPr>
          <w:color w:val="000000" w:themeColor="text1"/>
        </w:rPr>
        <w:t>Commission</w:t>
      </w:r>
      <w:r w:rsidRPr="00F56308" w:rsidR="00CA34D8">
        <w:rPr>
          <w:color w:val="000000" w:themeColor="text1"/>
        </w:rPr>
        <w:t>]</w:t>
      </w:r>
      <w:r w:rsidRPr="00F56308">
        <w:rPr>
          <w:color w:val="000000" w:themeColor="text1"/>
        </w:rPr>
        <w:t xml:space="preserve"> may supervise and regulate every public utility in the State and may do all things, whether specifically designated in this part or in addition thereto, which are necessary and convenient in the exercise of such power and jurisdiction. </w:t>
      </w:r>
    </w:p>
    <w:p w:rsidRPr="00F56308" w:rsidR="007E3E1F" w:rsidP="007E3E1F" w:rsidRDefault="0044570C" w14:paraId="7D858A66" w14:textId="066EE586">
      <w:pPr>
        <w:tabs>
          <w:tab w:val="left" w:pos="360"/>
        </w:tabs>
        <w:rPr>
          <w:color w:val="000000" w:themeColor="text1"/>
        </w:rPr>
      </w:pPr>
      <w:r>
        <w:rPr>
          <w:color w:val="000000" w:themeColor="text1"/>
          <w:szCs w:val="26"/>
        </w:rPr>
        <w:t>Pub. Util</w:t>
      </w:r>
      <w:r w:rsidRPr="00F56308">
        <w:rPr>
          <w:color w:val="000000" w:themeColor="text1"/>
        </w:rPr>
        <w:t xml:space="preserve"> Code </w:t>
      </w:r>
      <w:r w:rsidRPr="00F56308" w:rsidR="007E3E1F">
        <w:rPr>
          <w:color w:val="000000" w:themeColor="text1"/>
        </w:rPr>
        <w:t>Section 701.1 states</w:t>
      </w:r>
      <w:r>
        <w:rPr>
          <w:color w:val="000000" w:themeColor="text1"/>
          <w:szCs w:val="26"/>
        </w:rPr>
        <w:t xml:space="preserve"> that</w:t>
      </w:r>
      <w:r w:rsidRPr="00F56308" w:rsidR="007E3E1F">
        <w:rPr>
          <w:color w:val="000000" w:themeColor="text1"/>
        </w:rPr>
        <w:t xml:space="preserve">: </w:t>
      </w:r>
    </w:p>
    <w:p w:rsidRPr="00F56308" w:rsidR="007E3E1F" w:rsidP="0090171F" w:rsidRDefault="007E3E1F" w14:paraId="071B53FF" w14:textId="6767FBC7">
      <w:pPr>
        <w:spacing w:after="120" w:line="240" w:lineRule="auto"/>
        <w:ind w:left="720" w:right="1440" w:firstLine="0"/>
        <w:rPr>
          <w:color w:val="000000" w:themeColor="text1"/>
        </w:rPr>
      </w:pPr>
      <w:r w:rsidRPr="00F56308">
        <w:rPr>
          <w:color w:val="000000" w:themeColor="text1"/>
        </w:rPr>
        <w:t xml:space="preserve">(a) The Legislature finds and declares that, in addition to other ratepayer protection objectives, a principal goal of electric and natural gas </w:t>
      </w:r>
      <w:r w:rsidRPr="00DD6FA0">
        <w:rPr>
          <w:color w:val="000000" w:themeColor="text1"/>
          <w:szCs w:val="26"/>
        </w:rPr>
        <w:t>utilities</w:t>
      </w:r>
      <w:r w:rsidR="003750D2">
        <w:rPr>
          <w:color w:val="000000" w:themeColor="text1"/>
          <w:szCs w:val="26"/>
        </w:rPr>
        <w:t>’</w:t>
      </w:r>
      <w:r w:rsidRPr="00F56308">
        <w:rPr>
          <w:color w:val="000000" w:themeColor="text1"/>
        </w:rPr>
        <w:t xml:space="preserve"> resource planning and investment shall be to minimize the cost to society of the reliable energy services that are provided by natural gas and electricity, and to improve the environment and to encourage the diversity of </w:t>
      </w:r>
      <w:r w:rsidRPr="00F56308">
        <w:rPr>
          <w:color w:val="000000" w:themeColor="text1"/>
        </w:rPr>
        <w:lastRenderedPageBreak/>
        <w:t xml:space="preserve">energy sources through improvements in [energy efficiency] and development of renewable energy resources, such as wind, solar, biomass, and geothermal energy. </w:t>
      </w:r>
    </w:p>
    <w:p w:rsidRPr="00F56308" w:rsidR="007E3E1F" w:rsidP="0090171F" w:rsidRDefault="007E3E1F" w14:paraId="3E720CEB" w14:textId="77777777">
      <w:pPr>
        <w:spacing w:after="120" w:line="240" w:lineRule="auto"/>
        <w:ind w:left="720" w:right="1440" w:firstLine="0"/>
        <w:rPr>
          <w:color w:val="000000" w:themeColor="text1"/>
        </w:rPr>
      </w:pPr>
      <w:r w:rsidRPr="00F56308">
        <w:rPr>
          <w:color w:val="000000" w:themeColor="text1"/>
        </w:rPr>
        <w:t>(b) The Legislature further finds and declares that, in addition to any appropriate investments in energy production, electrical and natural gas utilities should seek to exploit all practicable and cost-effective conservation and improvements in the efficiency of energy use and distribution that offer equivalent or better system reliability, and which are not being exploited by any other entity.</w:t>
      </w:r>
    </w:p>
    <w:p w:rsidRPr="007E3E1F" w:rsidR="007E3E1F" w:rsidP="007E3E1F" w:rsidRDefault="007E3E1F" w14:paraId="38665E73" w14:textId="4482DE08">
      <w:pPr>
        <w:rPr>
          <w:szCs w:val="26"/>
        </w:rPr>
      </w:pPr>
      <w:r w:rsidRPr="007E3E1F">
        <w:rPr>
          <w:rFonts w:eastAsia="Calibri" w:cs="Calibri"/>
          <w:szCs w:val="26"/>
        </w:rPr>
        <w:t xml:space="preserve">SB 32 (Pavley, 2016) updated Assembly Bill (AB) 32 by requiring that the state achieve a GHG </w:t>
      </w:r>
      <w:r w:rsidR="007C7F1A">
        <w:rPr>
          <w:rFonts w:eastAsia="Calibri" w:cs="Calibri"/>
          <w:szCs w:val="26"/>
        </w:rPr>
        <w:t xml:space="preserve">emissions </w:t>
      </w:r>
      <w:r w:rsidRPr="007E3E1F">
        <w:rPr>
          <w:rFonts w:eastAsia="Calibri" w:cs="Calibri"/>
          <w:szCs w:val="26"/>
        </w:rPr>
        <w:t>level 40 percent below the 1990 level by 2030 and required that we meet these goals in such a way that benefits the state’s most disadvantaged communities.</w:t>
      </w:r>
    </w:p>
    <w:p w:rsidRPr="007E3E1F" w:rsidR="007E3E1F" w:rsidP="007E3E1F" w:rsidRDefault="007E3E1F" w14:paraId="4A423BC4" w14:textId="7B54A922">
      <w:pPr>
        <w:rPr>
          <w:szCs w:val="20"/>
        </w:rPr>
      </w:pPr>
      <w:r w:rsidRPr="007E3E1F">
        <w:rPr>
          <w:rFonts w:eastAsia="Calibri" w:cs="Calibri"/>
          <w:szCs w:val="20"/>
        </w:rPr>
        <w:t>SB 350 (de Leon, 2015) implemented several new policies and goals, including a doubling of energy efficiency savings in electricity and natural gas end uses by 2030, a requirement that large electric utilities develop and submit IRPs, requirements to support widespread transportation electrification, and a requirement that state agencies assess the barriers and make recommendations to increase access to energy efficiency, weatherization, and zero-emission technologies for low-income and disadvantaged communities.  SB 100 (de Leon, 2018) sets a goal of meeting all retail electricity needs with renewable and zero</w:t>
      </w:r>
      <w:r w:rsidRPr="00842D1D" w:rsidR="00E1648E">
        <w:rPr>
          <w:rFonts w:eastAsia="Calibri" w:cs="Calibri"/>
          <w:szCs w:val="20"/>
        </w:rPr>
        <w:noBreakHyphen/>
      </w:r>
      <w:r w:rsidRPr="007E3E1F">
        <w:rPr>
          <w:rFonts w:eastAsia="Calibri" w:cs="Calibri"/>
          <w:szCs w:val="20"/>
        </w:rPr>
        <w:t xml:space="preserve">carbon resources by 2045 and updated the Renewables Portfolio Standard to require that at least 60 percent of retail sales of electricity come from renewable sources by 2030. </w:t>
      </w:r>
    </w:p>
    <w:p w:rsidRPr="007E3E1F" w:rsidR="007E3E1F" w:rsidP="007E3E1F" w:rsidRDefault="007E3E1F" w14:paraId="69FBADCF" w14:textId="56DF34E3">
      <w:pPr>
        <w:rPr>
          <w:szCs w:val="26"/>
        </w:rPr>
      </w:pPr>
      <w:r w:rsidRPr="007E3E1F">
        <w:rPr>
          <w:rFonts w:eastAsia="Calibri" w:cs="Calibri"/>
          <w:szCs w:val="26"/>
        </w:rPr>
        <w:t xml:space="preserve">The California Legislature has also addressed building and transportation decarbonization efforts.  SB 375 (Steinberg, 2008) sets regional emissions reduction targets for passenger vehicles.  SB 1477 (Stern, 2018) provides incentives for reducing GHG emissions in residential buildings and is designed </w:t>
      </w:r>
      <w:r w:rsidRPr="007E3E1F">
        <w:rPr>
          <w:rFonts w:eastAsia="Calibri" w:cs="Calibri"/>
          <w:szCs w:val="26"/>
        </w:rPr>
        <w:lastRenderedPageBreak/>
        <w:t>to implement a market transition to clean technologies such as heat pumps.  AB</w:t>
      </w:r>
      <w:r w:rsidR="0090171F">
        <w:rPr>
          <w:rFonts w:eastAsia="Calibri" w:cs="Calibri"/>
          <w:szCs w:val="26"/>
        </w:rPr>
        <w:t> </w:t>
      </w:r>
      <w:r w:rsidRPr="007E3E1F">
        <w:rPr>
          <w:rFonts w:eastAsia="Calibri" w:cs="Calibri"/>
          <w:szCs w:val="26"/>
        </w:rPr>
        <w:t xml:space="preserve">3232 (Friedman, 2018) requires the state to assess the options for reducing GHG emissions from buildings by 2030, to 40 percent lower than 1990 levels. </w:t>
      </w:r>
    </w:p>
    <w:p w:rsidRPr="00EC0910" w:rsidR="00CA34D8" w:rsidP="00EC0910" w:rsidRDefault="007E3E1F" w14:paraId="58C0DB4D" w14:textId="1B32E0AE">
      <w:pPr>
        <w:pStyle w:val="Standard"/>
        <w:rPr>
          <w:color w:val="404040" w:themeColor="text1" w:themeTint="BF"/>
          <w:szCs w:val="26"/>
        </w:rPr>
      </w:pPr>
      <w:r w:rsidRPr="007E3E1F">
        <w:t>Finally, P</w:t>
      </w:r>
      <w:r w:rsidR="0044570C">
        <w:t xml:space="preserve">ub. Util </w:t>
      </w:r>
      <w:r w:rsidRPr="007E3E1F">
        <w:t xml:space="preserve">Code </w:t>
      </w:r>
      <w:r w:rsidR="0044570C">
        <w:t xml:space="preserve">Section </w:t>
      </w:r>
      <w:r w:rsidRPr="000F57BC" w:rsidR="0044570C">
        <w:rPr>
          <w:color w:val="000000" w:themeColor="text1"/>
          <w:szCs w:val="26"/>
        </w:rPr>
        <w:t>454.5 (b)(9)(C)</w:t>
      </w:r>
      <w:r w:rsidRPr="00F56308" w:rsidR="0044570C">
        <w:rPr>
          <w:color w:val="000000" w:themeColor="text1"/>
        </w:rPr>
        <w:t xml:space="preserve"> </w:t>
      </w:r>
      <w:r w:rsidRPr="007E3E1F">
        <w:t xml:space="preserve">directs electrical corporations to first fulfill their unmet resource needs with energy efficiency and demand reduction </w:t>
      </w:r>
      <w:r w:rsidRPr="00F56308">
        <w:rPr>
          <w:color w:val="000000" w:themeColor="text1"/>
        </w:rPr>
        <w:t>programs</w:t>
      </w:r>
      <w:r w:rsidRPr="00F56308" w:rsidR="00CA34D8">
        <w:rPr>
          <w:color w:val="000000" w:themeColor="text1"/>
        </w:rPr>
        <w:t xml:space="preserve">.  Section </w:t>
      </w:r>
      <w:r w:rsidRPr="00F56308">
        <w:rPr>
          <w:color w:val="000000" w:themeColor="text1"/>
        </w:rPr>
        <w:t xml:space="preserve">454.5 (b)(9)(C) </w:t>
      </w:r>
      <w:r w:rsidRPr="00F56308" w:rsidR="00CA34D8">
        <w:rPr>
          <w:color w:val="000000" w:themeColor="text1"/>
        </w:rPr>
        <w:t>states:</w:t>
      </w:r>
    </w:p>
    <w:p w:rsidRPr="00F56308" w:rsidR="007E3E1F" w:rsidP="00F56308" w:rsidRDefault="007E3E1F" w14:paraId="19DE7618" w14:textId="627C61CD">
      <w:pPr>
        <w:pStyle w:val="BlockQuote"/>
        <w:tabs>
          <w:tab w:val="left" w:pos="7830"/>
          <w:tab w:val="left" w:pos="8010"/>
          <w:tab w:val="left" w:pos="8100"/>
          <w:tab w:val="left" w:pos="8460"/>
        </w:tabs>
        <w:ind w:right="1440"/>
      </w:pPr>
      <w:r w:rsidRPr="00F56308">
        <w:t xml:space="preserve">The electrical corporation shall first meet its unmet resource needs through all available energy efficiency and demand reduction resources that are cost effective, reliable, and feasible. </w:t>
      </w:r>
    </w:p>
    <w:p w:rsidRPr="007E3E1F" w:rsidR="007E3E1F" w:rsidP="004A5BF5" w:rsidRDefault="007E3E1F" w14:paraId="06653B95" w14:textId="79E109C0">
      <w:pPr>
        <w:pStyle w:val="Heading2"/>
      </w:pPr>
      <w:bookmarkStart w:name="_Toc119312260" w:id="16"/>
      <w:bookmarkStart w:name="_Toc119312261" w:id="17"/>
      <w:bookmarkStart w:name="_Toc106887319" w:id="18"/>
      <w:bookmarkStart w:name="_Toc106888906" w:id="19"/>
      <w:bookmarkEnd w:id="16"/>
      <w:r w:rsidRPr="007E3E1F">
        <w:t>P</w:t>
      </w:r>
      <w:r w:rsidR="0000172E">
        <w:t>r</w:t>
      </w:r>
      <w:r w:rsidR="00FE005B">
        <w:t>ior Commission Actions</w:t>
      </w:r>
      <w:bookmarkEnd w:id="17"/>
      <w:r w:rsidR="009E7815">
        <w:t xml:space="preserve"> </w:t>
      </w:r>
      <w:bookmarkEnd w:id="18"/>
      <w:bookmarkEnd w:id="19"/>
    </w:p>
    <w:p w:rsidRPr="007E3E1F" w:rsidR="007E3E1F" w:rsidP="007E3E1F" w:rsidRDefault="007E3E1F" w14:paraId="74AB73D4" w14:textId="406B104D">
      <w:pPr>
        <w:tabs>
          <w:tab w:val="left" w:pos="360"/>
        </w:tabs>
        <w:rPr>
          <w:szCs w:val="26"/>
        </w:rPr>
      </w:pPr>
      <w:r w:rsidRPr="007E3E1F">
        <w:rPr>
          <w:szCs w:val="26"/>
        </w:rPr>
        <w:t xml:space="preserve">The </w:t>
      </w:r>
      <w:r w:rsidR="00F302C6">
        <w:rPr>
          <w:szCs w:val="26"/>
        </w:rPr>
        <w:t>Commission</w:t>
      </w:r>
      <w:r w:rsidRPr="007E3E1F">
        <w:rPr>
          <w:szCs w:val="26"/>
        </w:rPr>
        <w:t>’s efforts to coordinate customer programs started in 2005, when D</w:t>
      </w:r>
      <w:r w:rsidR="007C7F1A">
        <w:rPr>
          <w:szCs w:val="26"/>
        </w:rPr>
        <w:t>ecision (D</w:t>
      </w:r>
      <w:r w:rsidRPr="007E3E1F">
        <w:rPr>
          <w:szCs w:val="26"/>
        </w:rPr>
        <w:t>.</w:t>
      </w:r>
      <w:r w:rsidR="007C7F1A">
        <w:rPr>
          <w:szCs w:val="26"/>
        </w:rPr>
        <w:t xml:space="preserve">) </w:t>
      </w:r>
      <w:r w:rsidRPr="007E3E1F">
        <w:rPr>
          <w:szCs w:val="26"/>
        </w:rPr>
        <w:t xml:space="preserve">05-09-043 </w:t>
      </w:r>
      <w:r w:rsidR="00CE1E93">
        <w:rPr>
          <w:szCs w:val="26"/>
        </w:rPr>
        <w:t>adopted</w:t>
      </w:r>
      <w:r w:rsidRPr="007E3E1F">
        <w:rPr>
          <w:szCs w:val="26"/>
        </w:rPr>
        <w:t xml:space="preserve"> a process to ensure expanded use of integrated programs and tracking of program implementation.  </w:t>
      </w:r>
      <w:r w:rsidR="007C7F1A">
        <w:rPr>
          <w:szCs w:val="26"/>
        </w:rPr>
        <w:t>D.05-09-043</w:t>
      </w:r>
      <w:r w:rsidRPr="007E3E1F">
        <w:rPr>
          <w:szCs w:val="26"/>
        </w:rPr>
        <w:t xml:space="preserve"> approved utility proposals to include strategies to integrate energy efficiency with demand response and distributed generation to “determine the best combination of resources to meet the particular customer’s needs,” increase cost effectiveness, and avoid confusion to customers.</w:t>
      </w:r>
      <w:r w:rsidRPr="007E3E1F">
        <w:rPr>
          <w:szCs w:val="26"/>
          <w:vertAlign w:val="superscript"/>
        </w:rPr>
        <w:footnoteReference w:id="8"/>
      </w:r>
      <w:r w:rsidRPr="007E3E1F">
        <w:rPr>
          <w:szCs w:val="26"/>
        </w:rPr>
        <w:t xml:space="preserve"> </w:t>
      </w:r>
    </w:p>
    <w:p w:rsidRPr="007E3E1F" w:rsidR="007E3E1F" w:rsidP="007E3E1F" w:rsidRDefault="00F76316" w14:paraId="70878EC3" w14:textId="0B379E39">
      <w:pPr>
        <w:tabs>
          <w:tab w:val="left" w:pos="360"/>
        </w:tabs>
        <w:rPr>
          <w:szCs w:val="26"/>
        </w:rPr>
      </w:pPr>
      <w:r>
        <w:rPr>
          <w:szCs w:val="26"/>
        </w:rPr>
        <w:t xml:space="preserve">In </w:t>
      </w:r>
      <w:r w:rsidRPr="007E3E1F" w:rsidR="007E3E1F">
        <w:rPr>
          <w:szCs w:val="26"/>
        </w:rPr>
        <w:t>2008</w:t>
      </w:r>
      <w:r>
        <w:rPr>
          <w:szCs w:val="26"/>
        </w:rPr>
        <w:t>, the Commission adopted the</w:t>
      </w:r>
      <w:r w:rsidRPr="007E3E1F" w:rsidR="007E3E1F">
        <w:rPr>
          <w:szCs w:val="26"/>
        </w:rPr>
        <w:t xml:space="preserve"> Long-Term Energy Efficiency Strategic Plan</w:t>
      </w:r>
      <w:r>
        <w:rPr>
          <w:szCs w:val="26"/>
        </w:rPr>
        <w:t xml:space="preserve"> (Strategic Plan), which </w:t>
      </w:r>
      <w:r w:rsidRPr="007E3E1F" w:rsidR="007E3E1F">
        <w:rPr>
          <w:szCs w:val="26"/>
        </w:rPr>
        <w:t xml:space="preserve">included a chapter dedicated to Integrated Demand Side Management (IDSM) goals and objectives </w:t>
      </w:r>
      <w:r>
        <w:rPr>
          <w:szCs w:val="26"/>
        </w:rPr>
        <w:t xml:space="preserve">for </w:t>
      </w:r>
      <w:r w:rsidRPr="007E3E1F" w:rsidR="007E3E1F">
        <w:rPr>
          <w:szCs w:val="26"/>
        </w:rPr>
        <w:t xml:space="preserve">the utilities to reference </w:t>
      </w:r>
      <w:r>
        <w:rPr>
          <w:szCs w:val="26"/>
        </w:rPr>
        <w:t>during energy efficiency</w:t>
      </w:r>
      <w:r w:rsidRPr="007E3E1F" w:rsidR="007E3E1F">
        <w:rPr>
          <w:szCs w:val="26"/>
        </w:rPr>
        <w:t xml:space="preserve"> program planning.</w:t>
      </w:r>
      <w:r w:rsidRPr="007E3E1F" w:rsidR="007E3E1F">
        <w:rPr>
          <w:szCs w:val="26"/>
          <w:vertAlign w:val="superscript"/>
        </w:rPr>
        <w:footnoteReference w:id="9"/>
      </w:r>
      <w:r w:rsidRPr="007E3E1F" w:rsidR="007E3E1F">
        <w:rPr>
          <w:szCs w:val="26"/>
        </w:rPr>
        <w:t xml:space="preserve">  The Strategic Plan led </w:t>
      </w:r>
      <w:r w:rsidRPr="007E3E1F" w:rsidR="007E3E1F">
        <w:rPr>
          <w:szCs w:val="26"/>
        </w:rPr>
        <w:lastRenderedPageBreak/>
        <w:t xml:space="preserve">subsequently to the initiation of a statewide utility IDSM Taskforce to advance statewide strategies for promoting IDSM through utility programs.  </w:t>
      </w:r>
    </w:p>
    <w:p w:rsidRPr="007E3E1F" w:rsidR="007E3E1F" w:rsidP="007E3E1F" w:rsidRDefault="007E3E1F" w14:paraId="1B7CCDB2" w14:textId="6B8CBB6F">
      <w:pPr>
        <w:tabs>
          <w:tab w:val="left" w:pos="360"/>
        </w:tabs>
        <w:rPr>
          <w:szCs w:val="26"/>
        </w:rPr>
      </w:pPr>
      <w:r w:rsidRPr="007E3E1F">
        <w:rPr>
          <w:szCs w:val="26"/>
        </w:rPr>
        <w:t xml:space="preserve">The </w:t>
      </w:r>
      <w:r w:rsidR="00F302C6">
        <w:rPr>
          <w:szCs w:val="26"/>
        </w:rPr>
        <w:t>Commission</w:t>
      </w:r>
      <w:r w:rsidRPr="007E3E1F">
        <w:rPr>
          <w:szCs w:val="26"/>
        </w:rPr>
        <w:t xml:space="preserve"> subsequently issued D.09-09-047, which established a statewide IDSM program and stated that this was “pivotal in promoting and achieving clearly defined goals and objectives for integrating demand-side technologies and program offerings across the utility portfolios.”  D.09-09-047 identified eight</w:t>
      </w:r>
      <w:r w:rsidR="0090171F">
        <w:rPr>
          <w:szCs w:val="26"/>
        </w:rPr>
        <w:t> </w:t>
      </w:r>
      <w:r w:rsidRPr="007E3E1F">
        <w:rPr>
          <w:szCs w:val="26"/>
        </w:rPr>
        <w:t xml:space="preserve">tasks the utilities should accomplish in the 2010–2012 program cycle.  In 2012, </w:t>
      </w:r>
      <w:r w:rsidR="00F302C6">
        <w:rPr>
          <w:szCs w:val="26"/>
        </w:rPr>
        <w:t>Commission</w:t>
      </w:r>
      <w:r w:rsidRPr="007E3E1F">
        <w:rPr>
          <w:szCs w:val="26"/>
        </w:rPr>
        <w:t xml:space="preserve"> Staff oversaw a third-party evaluation of the statewide IDSM program, which found that the program had limited success. </w:t>
      </w:r>
      <w:r w:rsidR="0061320A">
        <w:rPr>
          <w:szCs w:val="26"/>
        </w:rPr>
        <w:t xml:space="preserve"> </w:t>
      </w:r>
      <w:bookmarkStart w:name="_Hlk76985710" w:id="20"/>
      <w:bookmarkStart w:name="_Hlk77072317" w:id="21"/>
      <w:bookmarkEnd w:id="20"/>
      <w:bookmarkEnd w:id="21"/>
    </w:p>
    <w:p w:rsidRPr="007E3E1F" w:rsidR="007E3E1F" w:rsidP="00AB0825" w:rsidRDefault="00AB0825" w14:paraId="7EF2A959" w14:textId="7671CFFF">
      <w:pPr>
        <w:rPr>
          <w:szCs w:val="26"/>
        </w:rPr>
      </w:pPr>
      <w:r>
        <w:rPr>
          <w:szCs w:val="26"/>
        </w:rPr>
        <w:t xml:space="preserve">In 2014, the </w:t>
      </w:r>
      <w:r w:rsidR="0011728C">
        <w:rPr>
          <w:szCs w:val="26"/>
        </w:rPr>
        <w:t xml:space="preserve">Commission established </w:t>
      </w:r>
      <w:r w:rsidRPr="007E3E1F" w:rsidR="007E3E1F">
        <w:rPr>
          <w:szCs w:val="26"/>
        </w:rPr>
        <w:t>R.14-10-003</w:t>
      </w:r>
      <w:r w:rsidR="007F1E18">
        <w:rPr>
          <w:szCs w:val="26"/>
        </w:rPr>
        <w:t xml:space="preserve"> to continue to advance IDSM</w:t>
      </w:r>
      <w:r w:rsidR="0075747A">
        <w:rPr>
          <w:szCs w:val="26"/>
        </w:rPr>
        <w:t xml:space="preserve"> work </w:t>
      </w:r>
      <w:r>
        <w:rPr>
          <w:szCs w:val="26"/>
        </w:rPr>
        <w:t xml:space="preserve">and to </w:t>
      </w:r>
      <w:r w:rsidRPr="007E3E1F" w:rsidR="007E3E1F">
        <w:rPr>
          <w:szCs w:val="26"/>
        </w:rPr>
        <w:t>focus on integrating existing and emerging demand-side policies and activities</w:t>
      </w:r>
      <w:r w:rsidR="00CA34D8">
        <w:rPr>
          <w:szCs w:val="26"/>
        </w:rPr>
        <w:t>.</w:t>
      </w:r>
      <w:r w:rsidRPr="007E3E1F" w:rsidR="007E3E1F">
        <w:rPr>
          <w:szCs w:val="26"/>
          <w:vertAlign w:val="superscript"/>
        </w:rPr>
        <w:footnoteReference w:id="10"/>
      </w:r>
      <w:r w:rsidRPr="007E3E1F" w:rsidR="007E3E1F">
        <w:rPr>
          <w:szCs w:val="26"/>
        </w:rPr>
        <w:t xml:space="preserve">  In 2015, the </w:t>
      </w:r>
      <w:r>
        <w:rPr>
          <w:szCs w:val="26"/>
        </w:rPr>
        <w:t xml:space="preserve">Commission altered the </w:t>
      </w:r>
      <w:r w:rsidRPr="007E3E1F" w:rsidR="007E3E1F">
        <w:rPr>
          <w:szCs w:val="26"/>
        </w:rPr>
        <w:t>scope of R.14-10-003 to focus on the procurement of DERs that could potentially avoid costly distribution system upgrades</w:t>
      </w:r>
      <w:r w:rsidR="007A22F5">
        <w:rPr>
          <w:szCs w:val="26"/>
        </w:rPr>
        <w:t xml:space="preserve"> and the </w:t>
      </w:r>
      <w:r w:rsidRPr="007E3E1F" w:rsidR="007E3E1F">
        <w:rPr>
          <w:szCs w:val="26"/>
        </w:rPr>
        <w:t xml:space="preserve">goal of improving the integration of DER resources into procurement processes. </w:t>
      </w:r>
      <w:r w:rsidR="0061320A">
        <w:rPr>
          <w:szCs w:val="26"/>
        </w:rPr>
        <w:t xml:space="preserve"> </w:t>
      </w:r>
      <w:r w:rsidRPr="007E3E1F" w:rsidR="007E3E1F">
        <w:rPr>
          <w:szCs w:val="26"/>
        </w:rPr>
        <w:t xml:space="preserve">The </w:t>
      </w:r>
      <w:r w:rsidR="00DA41E9">
        <w:rPr>
          <w:szCs w:val="26"/>
        </w:rPr>
        <w:t xml:space="preserve">Commission changed the </w:t>
      </w:r>
      <w:r w:rsidRPr="007E3E1F" w:rsidR="007E3E1F">
        <w:rPr>
          <w:szCs w:val="26"/>
        </w:rPr>
        <w:t xml:space="preserve">name of the proceeding </w:t>
      </w:r>
      <w:r w:rsidR="00DA41E9">
        <w:rPr>
          <w:szCs w:val="26"/>
        </w:rPr>
        <w:t>in 2015 to</w:t>
      </w:r>
      <w:r w:rsidRPr="007E3E1F" w:rsidR="007E3E1F">
        <w:rPr>
          <w:szCs w:val="26"/>
        </w:rPr>
        <w:t xml:space="preserve"> “Integrated Distributed Energy Resources,” or “IDER.”</w:t>
      </w:r>
    </w:p>
    <w:p w:rsidRPr="007E3E1F" w:rsidR="007E3E1F" w:rsidP="007E3E1F" w:rsidRDefault="00400D2A" w14:paraId="3E57A50E" w14:textId="0896FD0C">
      <w:pPr>
        <w:rPr>
          <w:szCs w:val="20"/>
        </w:rPr>
      </w:pPr>
      <w:r>
        <w:rPr>
          <w:szCs w:val="20"/>
        </w:rPr>
        <w:t xml:space="preserve">R.14-10-003 had </w:t>
      </w:r>
      <w:r w:rsidRPr="007E3E1F" w:rsidR="007E3E1F">
        <w:rPr>
          <w:szCs w:val="20"/>
        </w:rPr>
        <w:t xml:space="preserve">two separate IDER tracks. </w:t>
      </w:r>
      <w:r w:rsidR="0061320A">
        <w:rPr>
          <w:szCs w:val="20"/>
        </w:rPr>
        <w:t xml:space="preserve"> </w:t>
      </w:r>
      <w:r w:rsidRPr="007E3E1F" w:rsidR="007E3E1F">
        <w:rPr>
          <w:szCs w:val="20"/>
        </w:rPr>
        <w:t>A</w:t>
      </w:r>
      <w:r w:rsidRPr="007E3E1F" w:rsidR="007E3E1F">
        <w:rPr>
          <w:szCs w:val="26"/>
        </w:rPr>
        <w:t xml:space="preserve"> </w:t>
      </w:r>
      <w:r w:rsidRPr="00EC0910" w:rsidR="007E3E1F">
        <w:rPr>
          <w:bCs/>
          <w:szCs w:val="20"/>
        </w:rPr>
        <w:t>cost-effectiveness</w:t>
      </w:r>
      <w:r w:rsidRPr="007E3E1F" w:rsidR="007E3E1F">
        <w:rPr>
          <w:b/>
          <w:szCs w:val="20"/>
        </w:rPr>
        <w:t xml:space="preserve"> </w:t>
      </w:r>
      <w:r w:rsidRPr="007E3E1F" w:rsidR="007E3E1F">
        <w:rPr>
          <w:szCs w:val="20"/>
        </w:rPr>
        <w:t>track focused on a four-phase plan to improve DER cost-effectiveness methods</w:t>
      </w:r>
      <w:r w:rsidR="007C7F1A">
        <w:rPr>
          <w:szCs w:val="20"/>
        </w:rPr>
        <w:t>,</w:t>
      </w:r>
      <w:r w:rsidRPr="007E3E1F" w:rsidR="007E3E1F">
        <w:rPr>
          <w:szCs w:val="26"/>
          <w:vertAlign w:val="superscript"/>
        </w:rPr>
        <w:footnoteReference w:id="11"/>
      </w:r>
      <w:r w:rsidRPr="007E3E1F" w:rsidR="007E3E1F">
        <w:rPr>
          <w:szCs w:val="20"/>
        </w:rPr>
        <w:t xml:space="preserve"> while a</w:t>
      </w:r>
      <w:r w:rsidRPr="007E3E1F" w:rsidR="007E3E1F">
        <w:rPr>
          <w:szCs w:val="26"/>
        </w:rPr>
        <w:t xml:space="preserve"> </w:t>
      </w:r>
      <w:r w:rsidRPr="00EC0910" w:rsidR="007E3E1F">
        <w:rPr>
          <w:bCs/>
          <w:szCs w:val="20"/>
        </w:rPr>
        <w:t>procurement</w:t>
      </w:r>
      <w:r w:rsidRPr="007E3E1F" w:rsidR="007E3E1F">
        <w:rPr>
          <w:szCs w:val="20"/>
        </w:rPr>
        <w:t xml:space="preserve"> track focused on developing a </w:t>
      </w:r>
      <w:r w:rsidR="0000761A">
        <w:rPr>
          <w:szCs w:val="20"/>
        </w:rPr>
        <w:t>c</w:t>
      </w:r>
      <w:r w:rsidRPr="007E3E1F" w:rsidR="007E3E1F">
        <w:rPr>
          <w:szCs w:val="20"/>
        </w:rPr>
        <w:t xml:space="preserve">ompetitive </w:t>
      </w:r>
      <w:r w:rsidR="0000761A">
        <w:rPr>
          <w:szCs w:val="20"/>
        </w:rPr>
        <w:t>s</w:t>
      </w:r>
      <w:r w:rsidRPr="007E3E1F" w:rsidR="007E3E1F">
        <w:rPr>
          <w:szCs w:val="20"/>
        </w:rPr>
        <w:t xml:space="preserve">olicitation </w:t>
      </w:r>
      <w:r w:rsidR="0000761A">
        <w:rPr>
          <w:szCs w:val="20"/>
        </w:rPr>
        <w:t>f</w:t>
      </w:r>
      <w:r w:rsidRPr="007E3E1F" w:rsidR="007E3E1F">
        <w:rPr>
          <w:szCs w:val="20"/>
        </w:rPr>
        <w:t>ramework for DER pilot projects, project evaluation, and development of a standard contract and tariffs.</w:t>
      </w:r>
      <w:r w:rsidRPr="007E3E1F" w:rsidR="007E3E1F">
        <w:rPr>
          <w:szCs w:val="26"/>
        </w:rPr>
        <w:t xml:space="preserve">  </w:t>
      </w:r>
      <w:r w:rsidRPr="007E3E1F" w:rsidR="007E3E1F">
        <w:rPr>
          <w:szCs w:val="20"/>
        </w:rPr>
        <w:t>Th</w:t>
      </w:r>
      <w:r w:rsidR="003C18B7">
        <w:rPr>
          <w:szCs w:val="20"/>
        </w:rPr>
        <w:t xml:space="preserve">e Commission subsequently </w:t>
      </w:r>
      <w:r w:rsidR="00BF5180">
        <w:rPr>
          <w:szCs w:val="20"/>
        </w:rPr>
        <w:t xml:space="preserve">relocated the </w:t>
      </w:r>
      <w:r w:rsidRPr="007E3E1F" w:rsidR="007E3E1F">
        <w:rPr>
          <w:szCs w:val="20"/>
        </w:rPr>
        <w:t xml:space="preserve">DER </w:t>
      </w:r>
      <w:r w:rsidRPr="007E3E1F" w:rsidR="007E3E1F">
        <w:rPr>
          <w:szCs w:val="20"/>
        </w:rPr>
        <w:lastRenderedPageBreak/>
        <w:t xml:space="preserve">procurement issues into the </w:t>
      </w:r>
      <w:r w:rsidRPr="007E3E1F" w:rsidR="007E3E1F">
        <w:rPr>
          <w:i/>
          <w:szCs w:val="20"/>
        </w:rPr>
        <w:t>Rulemaking to Modernize the Electric Grid for a High Distributed Energy Resources Future</w:t>
      </w:r>
      <w:r w:rsidRPr="007E3E1F" w:rsidR="007E3E1F">
        <w:rPr>
          <w:szCs w:val="26"/>
        </w:rPr>
        <w:t xml:space="preserve"> (</w:t>
      </w:r>
      <w:r w:rsidRPr="007E3E1F" w:rsidR="007E3E1F">
        <w:rPr>
          <w:szCs w:val="20"/>
        </w:rPr>
        <w:t>High</w:t>
      </w:r>
      <w:r w:rsidR="006E76D0">
        <w:rPr>
          <w:szCs w:val="20"/>
        </w:rPr>
        <w:t xml:space="preserve"> </w:t>
      </w:r>
      <w:r w:rsidRPr="007E3E1F" w:rsidR="007E3E1F">
        <w:rPr>
          <w:szCs w:val="20"/>
        </w:rPr>
        <w:t>DER Future</w:t>
      </w:r>
      <w:r w:rsidRPr="007E3E1F" w:rsidR="007E3E1F">
        <w:rPr>
          <w:szCs w:val="26"/>
        </w:rPr>
        <w:t>)</w:t>
      </w:r>
      <w:r w:rsidR="0045511F">
        <w:rPr>
          <w:szCs w:val="26"/>
        </w:rPr>
        <w:t xml:space="preserve"> </w:t>
      </w:r>
      <w:r w:rsidRPr="007E3E1F" w:rsidR="007E3E1F">
        <w:rPr>
          <w:szCs w:val="20"/>
        </w:rPr>
        <w:t>(R.21-06-017).</w:t>
      </w:r>
    </w:p>
    <w:p w:rsidRPr="007E3E1F" w:rsidR="007E3E1F" w:rsidP="007E3E1F" w:rsidRDefault="0045511F" w14:paraId="4363EF50" w14:textId="10810CD7">
      <w:pPr>
        <w:rPr>
          <w:szCs w:val="26"/>
        </w:rPr>
      </w:pPr>
      <w:r>
        <w:rPr>
          <w:szCs w:val="26"/>
        </w:rPr>
        <w:t xml:space="preserve">Work in the </w:t>
      </w:r>
      <w:r w:rsidRPr="007E3E1F" w:rsidR="007E3E1F">
        <w:rPr>
          <w:szCs w:val="26"/>
        </w:rPr>
        <w:t xml:space="preserve">cost-effectiveness track </w:t>
      </w:r>
      <w:r>
        <w:rPr>
          <w:szCs w:val="26"/>
        </w:rPr>
        <w:t xml:space="preserve">of R.14-10-003 </w:t>
      </w:r>
      <w:r w:rsidR="00AD02B7">
        <w:rPr>
          <w:szCs w:val="26"/>
        </w:rPr>
        <w:t xml:space="preserve">led to </w:t>
      </w:r>
      <w:r w:rsidRPr="007E3E1F" w:rsidR="007E3E1F">
        <w:rPr>
          <w:szCs w:val="26"/>
        </w:rPr>
        <w:t>several decisions that represent significant improvements in the DER cost-effectiveness process:</w:t>
      </w:r>
    </w:p>
    <w:p w:rsidRPr="007E3E1F" w:rsidR="007E3E1F" w:rsidP="00197473" w:rsidRDefault="007E3E1F" w14:paraId="6BE0B91C" w14:textId="41D64E1A">
      <w:pPr>
        <w:numPr>
          <w:ilvl w:val="0"/>
          <w:numId w:val="13"/>
        </w:numPr>
        <w:spacing w:after="120" w:line="240" w:lineRule="auto"/>
        <w:ind w:right="1440"/>
        <w:rPr>
          <w:szCs w:val="26"/>
        </w:rPr>
      </w:pPr>
      <w:r w:rsidRPr="007E3E1F">
        <w:rPr>
          <w:szCs w:val="26"/>
        </w:rPr>
        <w:t xml:space="preserve">D.16-06-007 requires </w:t>
      </w:r>
      <w:r w:rsidR="007C7F1A">
        <w:rPr>
          <w:szCs w:val="26"/>
        </w:rPr>
        <w:t xml:space="preserve">the </w:t>
      </w:r>
      <w:r w:rsidR="00F302C6">
        <w:rPr>
          <w:szCs w:val="26"/>
        </w:rPr>
        <w:t>Commission</w:t>
      </w:r>
      <w:r w:rsidR="007C7F1A">
        <w:rPr>
          <w:szCs w:val="26"/>
        </w:rPr>
        <w:t xml:space="preserve">’s </w:t>
      </w:r>
      <w:r w:rsidRPr="007E3E1F">
        <w:rPr>
          <w:szCs w:val="26"/>
        </w:rPr>
        <w:t>Energy Division to perform annual updates of the Avoided Cost Calculator (ACC), a modeling tool that is used to determine the benefits of DER programs</w:t>
      </w:r>
      <w:r w:rsidR="00AD02B7">
        <w:rPr>
          <w:szCs w:val="26"/>
        </w:rPr>
        <w:t xml:space="preserve">.  D.16-06-007 also requires </w:t>
      </w:r>
      <w:r w:rsidR="004E1D71">
        <w:rPr>
          <w:szCs w:val="26"/>
        </w:rPr>
        <w:t xml:space="preserve">the Commission’s Energy Division to </w:t>
      </w:r>
      <w:r w:rsidRPr="007E3E1F">
        <w:rPr>
          <w:szCs w:val="26"/>
        </w:rPr>
        <w:t>carry out a cost</w:t>
      </w:r>
      <w:r w:rsidR="00A5175D">
        <w:rPr>
          <w:szCs w:val="26"/>
        </w:rPr>
        <w:noBreakHyphen/>
      </w:r>
      <w:r w:rsidRPr="007E3E1F">
        <w:rPr>
          <w:szCs w:val="26"/>
        </w:rPr>
        <w:t>effectiveness research project to assist with ACC updates, perform research on potential additional costs and benefits associated with DERs, and examine other research topics.</w:t>
      </w:r>
    </w:p>
    <w:p w:rsidRPr="007E3E1F" w:rsidR="00DE7F6F" w:rsidP="00197473" w:rsidRDefault="007E3E1F" w14:paraId="14E3AEF4" w14:textId="0504BE5B">
      <w:pPr>
        <w:numPr>
          <w:ilvl w:val="0"/>
          <w:numId w:val="13"/>
        </w:numPr>
        <w:spacing w:after="120" w:line="240" w:lineRule="auto"/>
        <w:ind w:right="1440"/>
        <w:rPr>
          <w:szCs w:val="20"/>
        </w:rPr>
      </w:pPr>
      <w:r w:rsidRPr="007E3E1F">
        <w:rPr>
          <w:szCs w:val="20"/>
        </w:rPr>
        <w:t>D.19-05-019 refine</w:t>
      </w:r>
      <w:r w:rsidR="004E1D71">
        <w:rPr>
          <w:szCs w:val="20"/>
        </w:rPr>
        <w:t>s</w:t>
      </w:r>
      <w:r w:rsidRPr="007E3E1F">
        <w:rPr>
          <w:szCs w:val="20"/>
        </w:rPr>
        <w:t xml:space="preserve"> the annual ACC update process by ordering </w:t>
      </w:r>
      <w:r w:rsidRPr="007E3E1F">
        <w:rPr>
          <w:iCs/>
          <w:szCs w:val="20"/>
        </w:rPr>
        <w:t>minor updates to the ACC in odd-numbered years and major updates i</w:t>
      </w:r>
      <w:r w:rsidRPr="007E3E1F">
        <w:rPr>
          <w:szCs w:val="20"/>
        </w:rPr>
        <w:t>n even-numbered years.  D.19</w:t>
      </w:r>
      <w:r w:rsidR="00197473">
        <w:rPr>
          <w:szCs w:val="20"/>
        </w:rPr>
        <w:noBreakHyphen/>
      </w:r>
      <w:r w:rsidRPr="007E3E1F">
        <w:rPr>
          <w:szCs w:val="20"/>
        </w:rPr>
        <w:t>05-019 determined that the Total Resource Cost test should be the primary test of DER cost-effectiveness, but that the Program Administrator Cost test and the Ratepayer Impact Measure test should also be required in cost-effectiveness analyses, and that all three tests should be considered as part of any decision-making process that include cost-effectiveness analysis.  D.19-05-019 adopted a Societal Cost Test framework, to be tested in the IRP proceeding, and then re-examined after the testing period.</w:t>
      </w:r>
    </w:p>
    <w:p w:rsidRPr="00DE7F6F" w:rsidR="0041503D" w:rsidP="0041503D" w:rsidRDefault="007E3E1F" w14:paraId="3DEA4585" w14:textId="5C15879D">
      <w:pPr>
        <w:numPr>
          <w:ilvl w:val="0"/>
          <w:numId w:val="13"/>
        </w:numPr>
        <w:spacing w:after="120" w:line="240" w:lineRule="auto"/>
        <w:ind w:right="1440"/>
        <w:rPr>
          <w:szCs w:val="26"/>
        </w:rPr>
      </w:pPr>
      <w:r w:rsidRPr="00DE7F6F">
        <w:rPr>
          <w:szCs w:val="26"/>
        </w:rPr>
        <w:t>D.20-04-010 adopted a Staff Proposal to align the ACC with the IRP proceeding (R.16-02-007</w:t>
      </w:r>
      <w:r w:rsidR="004C0722">
        <w:rPr>
          <w:szCs w:val="26"/>
        </w:rPr>
        <w:t xml:space="preserve"> and </w:t>
      </w:r>
      <w:r w:rsidRPr="00DE7F6F">
        <w:rPr>
          <w:szCs w:val="26"/>
        </w:rPr>
        <w:t>R.20-05-003) and the Distributed Resource Planning (DRP) proceeding (R.14</w:t>
      </w:r>
      <w:r w:rsidRPr="00842D1D" w:rsidR="00E1648E">
        <w:rPr>
          <w:szCs w:val="26"/>
        </w:rPr>
        <w:noBreakHyphen/>
      </w:r>
      <w:r w:rsidRPr="00842D1D">
        <w:rPr>
          <w:szCs w:val="26"/>
        </w:rPr>
        <w:t>08</w:t>
      </w:r>
      <w:r w:rsidRPr="00842D1D" w:rsidR="00E1648E">
        <w:rPr>
          <w:szCs w:val="26"/>
        </w:rPr>
        <w:noBreakHyphen/>
      </w:r>
      <w:r w:rsidRPr="00842D1D">
        <w:rPr>
          <w:szCs w:val="26"/>
        </w:rPr>
        <w:t>013</w:t>
      </w:r>
      <w:r w:rsidRPr="00DE7F6F">
        <w:rPr>
          <w:szCs w:val="26"/>
        </w:rPr>
        <w:t xml:space="preserve">).  Outputs from IRP modeling, as well as information from the DRP proceeding, are now used as inputs to the ACC.  In addition, D.20-04-010 adopted a new avoided cost </w:t>
      </w:r>
      <w:r w:rsidR="002D3E05">
        <w:rPr>
          <w:szCs w:val="26"/>
        </w:rPr>
        <w:t xml:space="preserve">for </w:t>
      </w:r>
      <w:r w:rsidRPr="00DE7F6F">
        <w:rPr>
          <w:szCs w:val="26"/>
        </w:rPr>
        <w:t>high global warming potential gases.</w:t>
      </w:r>
    </w:p>
    <w:p w:rsidR="00DD2168" w:rsidP="00DE7F6F" w:rsidRDefault="007E3E1F" w14:paraId="66699F9B" w14:textId="0CDAE373">
      <w:pPr>
        <w:numPr>
          <w:ilvl w:val="0"/>
          <w:numId w:val="13"/>
        </w:numPr>
        <w:spacing w:after="120" w:line="240" w:lineRule="auto"/>
        <w:ind w:right="1440"/>
      </w:pPr>
      <w:r w:rsidRPr="000F57BC">
        <w:t xml:space="preserve">D.22-05-002 adopted additional changes to the ACC by adopting a new avoided gas infrastructure cost and an interim natural gas GHG adder.  D.22-05-022 </w:t>
      </w:r>
      <w:r w:rsidR="009D53C3">
        <w:t xml:space="preserve">adopted </w:t>
      </w:r>
      <w:r w:rsidR="009D53C3">
        <w:lastRenderedPageBreak/>
        <w:t xml:space="preserve">guiding principles for the ACC and </w:t>
      </w:r>
      <w:r w:rsidRPr="000F57BC">
        <w:t>eliminated the minor ACC updates, moving to a biennial update process.</w:t>
      </w:r>
      <w:r w:rsidRPr="001118EE">
        <w:rPr>
          <w:szCs w:val="20"/>
        </w:rPr>
        <w:t xml:space="preserve"> </w:t>
      </w:r>
      <w:r w:rsidRPr="001118EE" w:rsidR="00197473">
        <w:rPr>
          <w:szCs w:val="20"/>
        </w:rPr>
        <w:t xml:space="preserve"> </w:t>
      </w:r>
      <w:r w:rsidR="00722765">
        <w:t>D.22</w:t>
      </w:r>
      <w:r w:rsidR="00A5175D">
        <w:noBreakHyphen/>
      </w:r>
      <w:r w:rsidR="00722765">
        <w:t xml:space="preserve">05-002 </w:t>
      </w:r>
      <w:r w:rsidRPr="000F57BC">
        <w:t xml:space="preserve">reinforced the link between the ACC and IRP, rejecting party proposals to use data inputs </w:t>
      </w:r>
      <w:r w:rsidRPr="000F57BC" w:rsidR="007C7F1A">
        <w:t xml:space="preserve">for the ACC </w:t>
      </w:r>
      <w:r w:rsidRPr="000F57BC">
        <w:t>that vary from those used in IRP modeling, and provided for improved transparency and increased stakeholder input of modeling results.</w:t>
      </w:r>
      <w:r w:rsidR="00D12868">
        <w:rPr>
          <w:rStyle w:val="FootnoteReference"/>
        </w:rPr>
        <w:footnoteReference w:id="12"/>
      </w:r>
    </w:p>
    <w:p w:rsidRPr="00DD2168" w:rsidR="00FE005B" w:rsidP="00972E08" w:rsidRDefault="0088492B" w14:paraId="19BC158D" w14:textId="69565E3C">
      <w:pPr>
        <w:tabs>
          <w:tab w:val="left" w:pos="360"/>
        </w:tabs>
      </w:pPr>
      <w:r>
        <w:rPr>
          <w:szCs w:val="26"/>
        </w:rPr>
        <w:t xml:space="preserve">In February </w:t>
      </w:r>
      <w:r w:rsidR="00B34592">
        <w:rPr>
          <w:szCs w:val="26"/>
        </w:rPr>
        <w:t xml:space="preserve">2019, </w:t>
      </w:r>
      <w:r w:rsidRPr="007E3E1F" w:rsidR="00800C62">
        <w:rPr>
          <w:szCs w:val="26"/>
        </w:rPr>
        <w:t xml:space="preserve">the </w:t>
      </w:r>
      <w:r w:rsidR="00800C62">
        <w:rPr>
          <w:szCs w:val="26"/>
        </w:rPr>
        <w:t>Commission</w:t>
      </w:r>
      <w:r w:rsidR="00B34592">
        <w:rPr>
          <w:szCs w:val="26"/>
        </w:rPr>
        <w:t xml:space="preserve"> adopted an </w:t>
      </w:r>
      <w:r w:rsidRPr="007E3E1F" w:rsidR="00800C62">
        <w:rPr>
          <w:szCs w:val="26"/>
        </w:rPr>
        <w:t>Environmental and Social</w:t>
      </w:r>
      <w:r w:rsidR="00800C62">
        <w:rPr>
          <w:szCs w:val="26"/>
        </w:rPr>
        <w:t> </w:t>
      </w:r>
      <w:r w:rsidRPr="007E3E1F" w:rsidR="00800C62">
        <w:rPr>
          <w:szCs w:val="26"/>
        </w:rPr>
        <w:t>Justice Action Plan (ESJ Action Plan)</w:t>
      </w:r>
      <w:r w:rsidR="00B34592">
        <w:rPr>
          <w:szCs w:val="26"/>
        </w:rPr>
        <w:t>.</w:t>
      </w:r>
      <w:r w:rsidRPr="007E3E1F" w:rsidR="00800C62">
        <w:rPr>
          <w:szCs w:val="26"/>
          <w:vertAlign w:val="superscript"/>
        </w:rPr>
        <w:footnoteReference w:id="13"/>
      </w:r>
      <w:r w:rsidRPr="007E3E1F" w:rsidR="00800C62">
        <w:rPr>
          <w:szCs w:val="26"/>
        </w:rPr>
        <w:t xml:space="preserve"> </w:t>
      </w:r>
      <w:r w:rsidR="00B34592">
        <w:rPr>
          <w:szCs w:val="26"/>
        </w:rPr>
        <w:t xml:space="preserve"> The ESJ Action Plan </w:t>
      </w:r>
      <w:r w:rsidR="00800C62">
        <w:rPr>
          <w:szCs w:val="26"/>
        </w:rPr>
        <w:t>envisions</w:t>
      </w:r>
      <w:r w:rsidRPr="007E3E1F" w:rsidR="00800C62">
        <w:rPr>
          <w:szCs w:val="26"/>
        </w:rPr>
        <w:t xml:space="preserve"> </w:t>
      </w:r>
      <w:r w:rsidR="00285334">
        <w:rPr>
          <w:szCs w:val="26"/>
        </w:rPr>
        <w:t xml:space="preserve">improved </w:t>
      </w:r>
      <w:r w:rsidR="006B312F">
        <w:rPr>
          <w:szCs w:val="26"/>
        </w:rPr>
        <w:t xml:space="preserve">Commission </w:t>
      </w:r>
      <w:r w:rsidR="00285334">
        <w:rPr>
          <w:szCs w:val="26"/>
        </w:rPr>
        <w:t xml:space="preserve">consideration of </w:t>
      </w:r>
      <w:r w:rsidR="006B312F">
        <w:rPr>
          <w:szCs w:val="26"/>
        </w:rPr>
        <w:t>ratepayers residing in</w:t>
      </w:r>
      <w:r w:rsidRPr="007E3E1F" w:rsidR="00800C62">
        <w:rPr>
          <w:szCs w:val="26"/>
        </w:rPr>
        <w:t xml:space="preserve"> “Environmental and Social Justice </w:t>
      </w:r>
      <w:r w:rsidR="00800C62">
        <w:rPr>
          <w:szCs w:val="26"/>
        </w:rPr>
        <w:t>c</w:t>
      </w:r>
      <w:r w:rsidRPr="007E3E1F" w:rsidR="00800C62">
        <w:rPr>
          <w:szCs w:val="26"/>
        </w:rPr>
        <w:t>ommunities (ESJ</w:t>
      </w:r>
      <w:r w:rsidR="00800C62">
        <w:rPr>
          <w:szCs w:val="26"/>
        </w:rPr>
        <w:t> </w:t>
      </w:r>
      <w:r w:rsidRPr="007E3E1F" w:rsidR="00800C62">
        <w:rPr>
          <w:szCs w:val="26"/>
        </w:rPr>
        <w:t>communities).”</w:t>
      </w:r>
      <w:r w:rsidRPr="007E3E1F" w:rsidR="00800C62">
        <w:rPr>
          <w:szCs w:val="26"/>
          <w:vertAlign w:val="superscript"/>
        </w:rPr>
        <w:footnoteReference w:id="14"/>
      </w:r>
      <w:r w:rsidR="006B312F">
        <w:rPr>
          <w:szCs w:val="26"/>
        </w:rPr>
        <w:t xml:space="preserve">  </w:t>
      </w:r>
    </w:p>
    <w:p w:rsidRPr="007E3E1F" w:rsidR="007E3E1F" w:rsidP="004A5BF5" w:rsidRDefault="007E3E1F" w14:paraId="1F4C2716" w14:textId="78A7508E">
      <w:pPr>
        <w:pStyle w:val="Heading2"/>
      </w:pPr>
      <w:bookmarkStart w:name="_Toc106887320" w:id="22"/>
      <w:bookmarkStart w:name="_Toc106888907" w:id="23"/>
      <w:bookmarkStart w:name="_Toc119312262" w:id="24"/>
      <w:r w:rsidRPr="007E3E1F">
        <w:t>Interagency Cooperation</w:t>
      </w:r>
      <w:bookmarkEnd w:id="22"/>
      <w:bookmarkEnd w:id="23"/>
      <w:bookmarkEnd w:id="24"/>
    </w:p>
    <w:p w:rsidRPr="007E3E1F" w:rsidR="007E3E1F" w:rsidP="007E3E1F" w:rsidRDefault="007E3E1F" w14:paraId="47844225" w14:textId="7B62D72C">
      <w:pPr>
        <w:tabs>
          <w:tab w:val="left" w:pos="360"/>
        </w:tabs>
        <w:rPr>
          <w:szCs w:val="26"/>
        </w:rPr>
      </w:pPr>
      <w:r w:rsidRPr="007E3E1F">
        <w:rPr>
          <w:szCs w:val="26"/>
        </w:rPr>
        <w:t xml:space="preserve">As the </w:t>
      </w:r>
      <w:r w:rsidR="00570BBC">
        <w:rPr>
          <w:szCs w:val="26"/>
        </w:rPr>
        <w:t>s</w:t>
      </w:r>
      <w:r w:rsidRPr="007E3E1F">
        <w:rPr>
          <w:szCs w:val="26"/>
        </w:rPr>
        <w:t xml:space="preserve">tate of California undertakes work guided by SB 100 and related climate policies, the need for coordination and common direction among state agencies and California tribes is clear.  For this reason, the </w:t>
      </w:r>
      <w:r w:rsidR="00F302C6">
        <w:rPr>
          <w:szCs w:val="26"/>
        </w:rPr>
        <w:t>Commission</w:t>
      </w:r>
      <w:r w:rsidRPr="007E3E1F">
        <w:rPr>
          <w:szCs w:val="26"/>
        </w:rPr>
        <w:t xml:space="preserve"> seeks participation from the California Energy Commission (CEC), the California Air Resources Board (CARB), and California’s Tribal governments towards the goals of this rulemaking.</w:t>
      </w:r>
    </w:p>
    <w:p w:rsidRPr="007E3E1F" w:rsidR="007E3E1F" w:rsidP="007E3E1F" w:rsidRDefault="007E3E1F" w14:paraId="37EA6666" w14:textId="5D65651E">
      <w:pPr>
        <w:tabs>
          <w:tab w:val="left" w:pos="360"/>
        </w:tabs>
        <w:rPr>
          <w:szCs w:val="26"/>
        </w:rPr>
      </w:pPr>
      <w:r w:rsidRPr="007E3E1F">
        <w:rPr>
          <w:szCs w:val="26"/>
        </w:rPr>
        <w:t xml:space="preserve">The work contemplated here aligns with activities underway at both the CEC and the CARB.  The </w:t>
      </w:r>
      <w:r w:rsidR="00F302C6">
        <w:rPr>
          <w:szCs w:val="26"/>
        </w:rPr>
        <w:t>Commission</w:t>
      </w:r>
      <w:r w:rsidRPr="007E3E1F">
        <w:rPr>
          <w:szCs w:val="26"/>
        </w:rPr>
        <w:t xml:space="preserve"> is already working with the CEC on several data projects, as we discuss below.</w:t>
      </w:r>
      <w:r w:rsidR="00197473">
        <w:rPr>
          <w:szCs w:val="26"/>
        </w:rPr>
        <w:t xml:space="preserve"> </w:t>
      </w:r>
      <w:r w:rsidRPr="007E3E1F">
        <w:rPr>
          <w:szCs w:val="26"/>
        </w:rPr>
        <w:t xml:space="preserve"> Collaboration with the CEC </w:t>
      </w:r>
      <w:r w:rsidRPr="007E3E1F">
        <w:rPr>
          <w:szCs w:val="26"/>
        </w:rPr>
        <w:lastRenderedPageBreak/>
        <w:t xml:space="preserve">throughout the course of the proceeding is anticipated to be particularly important for data-related issues </w:t>
      </w:r>
      <w:r w:rsidR="00EE6B06">
        <w:rPr>
          <w:szCs w:val="26"/>
        </w:rPr>
        <w:t xml:space="preserve">discussed </w:t>
      </w:r>
      <w:r w:rsidRPr="007E3E1F">
        <w:rPr>
          <w:szCs w:val="26"/>
        </w:rPr>
        <w:t xml:space="preserve">in Track 2.  In addition, we look forward to continued work with the CEC on issues related to DER potential, valuation, and program management.  </w:t>
      </w:r>
    </w:p>
    <w:p w:rsidR="007E3E1F" w:rsidP="007E3E1F" w:rsidRDefault="007E3E1F" w14:paraId="3667328B" w14:textId="1C2C295B">
      <w:pPr>
        <w:tabs>
          <w:tab w:val="left" w:pos="360"/>
        </w:tabs>
        <w:rPr>
          <w:szCs w:val="26"/>
        </w:rPr>
      </w:pPr>
      <w:r w:rsidRPr="007E3E1F">
        <w:rPr>
          <w:szCs w:val="26"/>
        </w:rPr>
        <w:t>We also anticipate continued collaboration with CARB on Track 1 issues related to air pollution</w:t>
      </w:r>
      <w:r w:rsidR="003D070A">
        <w:rPr>
          <w:szCs w:val="26"/>
        </w:rPr>
        <w:t xml:space="preserve"> and cost-effectiveness</w:t>
      </w:r>
      <w:r w:rsidRPr="007E3E1F">
        <w:rPr>
          <w:szCs w:val="26"/>
        </w:rPr>
        <w:t>.  In coordination with Commission Staff, CEC and CARB reports may be circulated to the proceeding service list, and CEC and CARB Staff may present at proceeding workshops.  Work related to this proceeding may include review of existing Memorand</w:t>
      </w:r>
      <w:r w:rsidR="0061214C">
        <w:rPr>
          <w:szCs w:val="26"/>
        </w:rPr>
        <w:t>a</w:t>
      </w:r>
      <w:r w:rsidRPr="007E3E1F">
        <w:rPr>
          <w:szCs w:val="26"/>
        </w:rPr>
        <w:t xml:space="preserve"> of Understanding and non-disclosure agreements between these agencies in order to further streamline data sharing and analysis.</w:t>
      </w:r>
    </w:p>
    <w:p w:rsidR="00C520CB" w:rsidP="00972E08" w:rsidRDefault="00DD76F9" w14:paraId="1665AB8A" w14:textId="02AFCFD0">
      <w:pPr>
        <w:pStyle w:val="Heading1"/>
      </w:pPr>
      <w:bookmarkStart w:name="_Toc119312263" w:id="25"/>
      <w:bookmarkStart w:name="_Toc119312264" w:id="26"/>
      <w:bookmarkStart w:name="_Toc119312265" w:id="27"/>
      <w:bookmarkStart w:name="_Toc119312266" w:id="28"/>
      <w:bookmarkStart w:name="_Toc119312267" w:id="29"/>
      <w:bookmarkStart w:name="_Toc119312268" w:id="30"/>
      <w:bookmarkStart w:name="_Toc119312269" w:id="31"/>
      <w:bookmarkStart w:name="_Toc119312270" w:id="32"/>
      <w:bookmarkStart w:name="_Toc119312271" w:id="33"/>
      <w:bookmarkStart w:name="_Toc119312272" w:id="34"/>
      <w:bookmarkStart w:name="_Toc119312273" w:id="35"/>
      <w:bookmarkStart w:name="_Toc119312274" w:id="36"/>
      <w:bookmarkStart w:name="_Toc119312275" w:id="37"/>
      <w:bookmarkStart w:name="_Toc119312276" w:id="38"/>
      <w:bookmarkStart w:name="_Toc119312277" w:id="39"/>
      <w:bookmarkStart w:name="_Toc119312278" w:id="40"/>
      <w:bookmarkStart w:name="_Toc119312279" w:id="41"/>
      <w:bookmarkStart w:name="_Toc119312280" w:id="42"/>
      <w:bookmarkStart w:name="_Toc119312281" w:id="43"/>
      <w:bookmarkStart w:name="_Toc119312282" w:id="44"/>
      <w:bookmarkStart w:name="_Toc119312283" w:id="45"/>
      <w:bookmarkStart w:name="_Toc119312284" w:id="46"/>
      <w:bookmarkStart w:name="_Toc119312285" w:id="47"/>
      <w:bookmarkStart w:name="_Toc119312286" w:id="48"/>
      <w:bookmarkStart w:name="_Toc119312287" w:id="49"/>
      <w:bookmarkStart w:name="_Toc119312288" w:id="50"/>
      <w:bookmarkStart w:name="_Toc119312289" w:id="51"/>
      <w:bookmarkStart w:name="_Toc119312290" w:id="52"/>
      <w:bookmarkStart w:name="_Toc119312291" w:id="53"/>
      <w:bookmarkStart w:name="_Toc119312292" w:id="54"/>
      <w:bookmarkStart w:name="_Toc119312293" w:id="55"/>
      <w:bookmarkStart w:name="_Toc119312294" w:id="56"/>
      <w:bookmarkStart w:name="_Toc119312295" w:id="57"/>
      <w:bookmarkStart w:name="_Toc119312296" w:id="58"/>
      <w:bookmarkStart w:name="_Toc119312297" w:id="59"/>
      <w:bookmarkStart w:name="_Toc119312298" w:id="60"/>
      <w:bookmarkStart w:name="_Toc119312299" w:id="61"/>
      <w:bookmarkStart w:name="_Toc119312300" w:id="62"/>
      <w:bookmarkStart w:name="_Toc119312301" w:id="63"/>
      <w:bookmarkStart w:name="_Toc119312302" w:id="64"/>
      <w:bookmarkStart w:name="_Toc119312303" w:id="65"/>
      <w:bookmarkStart w:name="_Toc119312304" w:id="66"/>
      <w:bookmarkStart w:name="_Toc119312305" w:id="67"/>
      <w:bookmarkStart w:name="_Toc119312306" w:id="68"/>
      <w:bookmarkStart w:name="_Toc119312307" w:id="69"/>
      <w:bookmarkStart w:name="_Toc119312308" w:id="70"/>
      <w:bookmarkStart w:name="_Toc119312309" w:id="71"/>
      <w:bookmarkStart w:name="_Toc119312310" w:id="72"/>
      <w:bookmarkStart w:name="_Toc119312311" w:id="73"/>
      <w:bookmarkStart w:name="_Toc119312312" w:id="74"/>
      <w:bookmarkStart w:name="_Toc119312313" w:id="75"/>
      <w:bookmarkStart w:name="_Toc119312314" w:id="76"/>
      <w:bookmarkStart w:name="_Toc119312315" w:id="77"/>
      <w:bookmarkStart w:name="_Toc119312316" w:id="78"/>
      <w:bookmarkStart w:name="_Toc119312317" w:id="79"/>
      <w:bookmarkStart w:name="_Toc119312318" w:id="80"/>
      <w:bookmarkStart w:name="_Toc119312319" w:id="81"/>
      <w:bookmarkStart w:name="_Toc119312320" w:id="82"/>
      <w:bookmarkStart w:name="_Toc119312321" w:id="83"/>
      <w:bookmarkStart w:name="_Toc119312322" w:id="84"/>
      <w:bookmarkStart w:name="_Toc119312323" w:id="85"/>
      <w:bookmarkStart w:name="_Toc119312324" w:id="86"/>
      <w:bookmarkStart w:name="_Toc119312325" w:id="87"/>
      <w:bookmarkStart w:name="_Toc119312326" w:id="88"/>
      <w:bookmarkStart w:name="_Toc119312327" w:id="89"/>
      <w:bookmarkStart w:name="_Toc119312328" w:id="90"/>
      <w:bookmarkStart w:name="_Toc119312329" w:id="91"/>
      <w:bookmarkStart w:name="_Toc119312330" w:id="92"/>
      <w:bookmarkStart w:name="_Toc119312331" w:id="93"/>
      <w:bookmarkStart w:name="_Toc119312332" w:id="94"/>
      <w:bookmarkStart w:name="_Toc119312333" w:id="95"/>
      <w:bookmarkStart w:name="_Toc119312334" w:id="9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t xml:space="preserve">Data </w:t>
      </w:r>
      <w:r w:rsidR="00807DAD">
        <w:t xml:space="preserve">Use </w:t>
      </w:r>
      <w:r w:rsidR="25AE02C9">
        <w:t>and Access</w:t>
      </w:r>
      <w:bookmarkEnd w:id="96"/>
    </w:p>
    <w:p w:rsidRPr="001B25CE" w:rsidR="00C520CB" w:rsidP="00C520CB" w:rsidRDefault="00C520CB" w14:paraId="1EBCF559" w14:textId="068E93B2">
      <w:r>
        <w:t>An</w:t>
      </w:r>
      <w:r w:rsidR="00F5598B">
        <w:t xml:space="preserve"> </w:t>
      </w:r>
      <w:r w:rsidR="00AF782A">
        <w:t xml:space="preserve">area that </w:t>
      </w:r>
      <w:r>
        <w:t xml:space="preserve">requires our attention </w:t>
      </w:r>
      <w:r w:rsidR="005A547E">
        <w:t xml:space="preserve">in this proceeding </w:t>
      </w:r>
      <w:r w:rsidR="00C63828">
        <w:t xml:space="preserve">is updating </w:t>
      </w:r>
      <w:r w:rsidR="00520338">
        <w:t xml:space="preserve">how the Commission, utilities and other program implementers and contractors </w:t>
      </w:r>
      <w:r w:rsidR="003D070A">
        <w:t xml:space="preserve">access and </w:t>
      </w:r>
      <w:r w:rsidR="00C63828">
        <w:t xml:space="preserve">use </w:t>
      </w:r>
      <w:r>
        <w:t>data from Smart Meters and other “smart” devices</w:t>
      </w:r>
      <w:r w:rsidR="00C63828">
        <w:t xml:space="preserve"> to implement</w:t>
      </w:r>
      <w:r w:rsidR="006E6819">
        <w:t xml:space="preserve"> </w:t>
      </w:r>
      <w:r w:rsidR="00C63828">
        <w:t>customer programs and benefit customers</w:t>
      </w:r>
      <w:r>
        <w:t xml:space="preserve">.  In addition to Smart Meters, there are many </w:t>
      </w:r>
      <w:r w:rsidR="000D0B30">
        <w:t xml:space="preserve">customer </w:t>
      </w:r>
      <w:r>
        <w:t>devices, such as</w:t>
      </w:r>
      <w:r w:rsidR="66E24365">
        <w:t xml:space="preserve"> battery storage,</w:t>
      </w:r>
      <w:r>
        <w:t xml:space="preserve"> thermostats, solar inverters, grid-connected heat pump hot water heaters, and electric vehicle chargers that could provide data and help improve ratepayer programs</w:t>
      </w:r>
      <w:r w:rsidR="00537535">
        <w:t xml:space="preserve"> and </w:t>
      </w:r>
      <w:r w:rsidR="00677461">
        <w:t>grid planning</w:t>
      </w:r>
      <w:r w:rsidR="00DD76F9">
        <w:t xml:space="preserve"> and </w:t>
      </w:r>
      <w:r w:rsidR="00677461">
        <w:t>operations</w:t>
      </w:r>
      <w:r>
        <w:t xml:space="preserve">.  There is also a wealth of other data that is collected by utilities, government agencies and other sources.  </w:t>
      </w:r>
    </w:p>
    <w:p w:rsidRPr="001B25CE" w:rsidR="00C520CB" w:rsidP="00C520CB" w:rsidRDefault="00C520CB" w14:paraId="521D0EEE" w14:textId="4F2478A0">
      <w:pPr>
        <w:textAlignment w:val="baseline"/>
        <w:rPr>
          <w:rFonts w:eastAsia="Times New Roman" w:cs="Calibri"/>
          <w:szCs w:val="26"/>
        </w:rPr>
      </w:pPr>
      <w:r w:rsidRPr="001B25CE">
        <w:rPr>
          <w:rFonts w:eastAsia="Times New Roman" w:cs="Calibri"/>
          <w:szCs w:val="26"/>
        </w:rPr>
        <w:t>While the Commission collects a significant amount of data from regulated entities, these data come in a variety of units and formats</w:t>
      </w:r>
      <w:r w:rsidR="003D070A">
        <w:rPr>
          <w:rFonts w:eastAsia="Times New Roman" w:cs="Calibri"/>
          <w:szCs w:val="26"/>
        </w:rPr>
        <w:t xml:space="preserve">.  This </w:t>
      </w:r>
      <w:r w:rsidRPr="001B25CE">
        <w:rPr>
          <w:rFonts w:eastAsia="Times New Roman" w:cs="Calibri"/>
          <w:szCs w:val="26"/>
        </w:rPr>
        <w:t>makes it challenging to cross-compare and analyze program impacts, share data with stakeholders, and ultimately measure and track progress on our programs.  In addition, the amount and type of data collected var</w:t>
      </w:r>
      <w:r w:rsidR="004C0722">
        <w:rPr>
          <w:rFonts w:eastAsia="Times New Roman" w:cs="Calibri"/>
          <w:szCs w:val="26"/>
        </w:rPr>
        <w:t>ies</w:t>
      </w:r>
      <w:r w:rsidRPr="001B25CE">
        <w:rPr>
          <w:rFonts w:eastAsia="Times New Roman" w:cs="Calibri"/>
          <w:szCs w:val="26"/>
        </w:rPr>
        <w:t xml:space="preserve"> across programs.  This </w:t>
      </w:r>
      <w:r w:rsidRPr="001B25CE">
        <w:rPr>
          <w:rFonts w:eastAsia="Times New Roman" w:cs="Calibri"/>
          <w:szCs w:val="26"/>
        </w:rPr>
        <w:lastRenderedPageBreak/>
        <w:t>problem is especially acute for our equity programs, where the needed data can be harder to identify or collect, thus making it difficult to determine program</w:t>
      </w:r>
      <w:r w:rsidR="003D070A">
        <w:rPr>
          <w:rFonts w:eastAsia="Times New Roman" w:cs="Calibri"/>
          <w:szCs w:val="26"/>
        </w:rPr>
        <w:t xml:space="preserve"> benefits </w:t>
      </w:r>
      <w:r w:rsidRPr="001B25CE">
        <w:rPr>
          <w:rFonts w:eastAsia="Times New Roman" w:cs="Calibri"/>
          <w:szCs w:val="26"/>
        </w:rPr>
        <w:t xml:space="preserve">in ESJ </w:t>
      </w:r>
      <w:r>
        <w:rPr>
          <w:rFonts w:eastAsia="Times New Roman" w:cs="Calibri"/>
          <w:szCs w:val="26"/>
        </w:rPr>
        <w:t>c</w:t>
      </w:r>
      <w:r w:rsidRPr="001B25CE">
        <w:rPr>
          <w:rFonts w:eastAsia="Times New Roman" w:cs="Calibri"/>
          <w:szCs w:val="26"/>
        </w:rPr>
        <w:t xml:space="preserve">ommunities. </w:t>
      </w:r>
    </w:p>
    <w:p w:rsidRPr="00F56308" w:rsidR="006E6819" w:rsidP="00F56308" w:rsidRDefault="00C520CB" w14:paraId="11A32B53" w14:textId="0FAF6E9E">
      <w:r w:rsidRPr="38997869">
        <w:t xml:space="preserve">Consistent, accessible data requirements and reporting tools, clear guidelines for data access, and updated requirements for customer privacy could substantially expand the use of data to </w:t>
      </w:r>
      <w:r w:rsidRPr="38997869" w:rsidR="00F6010A">
        <w:t xml:space="preserve">increase </w:t>
      </w:r>
      <w:r w:rsidRPr="38997869" w:rsidR="00CE6C26">
        <w:t xml:space="preserve">participation rates in customer </w:t>
      </w:r>
      <w:r w:rsidRPr="38997869">
        <w:t>programs</w:t>
      </w:r>
      <w:r w:rsidR="00CE6C26">
        <w:rPr>
          <w:szCs w:val="26"/>
        </w:rPr>
        <w:t xml:space="preserve">. </w:t>
      </w:r>
      <w:r w:rsidRPr="001B25CE">
        <w:rPr>
          <w:szCs w:val="26"/>
        </w:rPr>
        <w:t xml:space="preserve"> </w:t>
      </w:r>
      <w:r w:rsidRPr="38997869" w:rsidR="00CE6C26">
        <w:t>For instance, a</w:t>
      </w:r>
      <w:r w:rsidRPr="38997869" w:rsidR="006E6819">
        <w:t xml:space="preserve"> January 2020 American Council for an Energy Efficiency Economy (ACEEE) study found that most utilities are not optimizing use of Smart Meters for saving energy</w:t>
      </w:r>
      <w:r w:rsidRPr="38997869" w:rsidR="001769B9">
        <w:t xml:space="preserve">.  The study authors </w:t>
      </w:r>
      <w:r w:rsidRPr="38997869" w:rsidR="006E6819">
        <w:t>recommend that</w:t>
      </w:r>
      <w:r w:rsidR="006E6819">
        <w:rPr>
          <w:szCs w:val="20"/>
        </w:rPr>
        <w:t xml:space="preserve"> </w:t>
      </w:r>
      <w:r w:rsidRPr="38997869" w:rsidR="006E6819">
        <w:t xml:space="preserve">utilities </w:t>
      </w:r>
      <w:r w:rsidR="006E6819">
        <w:rPr>
          <w:szCs w:val="20"/>
        </w:rPr>
        <w:t>“</w:t>
      </w:r>
      <w:r w:rsidRPr="38997869" w:rsidR="006E6819">
        <w:t>actively engage their customers and offer them a range of services to support their energy saving investments and actions.”</w:t>
      </w:r>
      <w:r w:rsidRPr="38997869" w:rsidR="006E6819">
        <w:rPr>
          <w:vertAlign w:val="superscript"/>
        </w:rPr>
        <w:footnoteReference w:id="15"/>
      </w:r>
      <w:r w:rsidRPr="001B25CE" w:rsidR="006E6819">
        <w:rPr>
          <w:szCs w:val="20"/>
        </w:rPr>
        <w:t xml:space="preserve">  </w:t>
      </w:r>
    </w:p>
    <w:p w:rsidR="035CB090" w:rsidP="38997869" w:rsidRDefault="6A47CAF0" w14:paraId="47313311" w14:textId="1C916CEC">
      <w:pPr>
        <w:tabs>
          <w:tab w:val="left" w:pos="360"/>
        </w:tabs>
      </w:pPr>
      <w:bookmarkStart w:name="_Toc119312335" w:id="97"/>
      <w:bookmarkStart w:name="_Toc119312336" w:id="98"/>
      <w:bookmarkStart w:name="_Toc119312337" w:id="99"/>
      <w:bookmarkStart w:name="_Toc119312338" w:id="100"/>
      <w:bookmarkStart w:name="_Toc119312339" w:id="101"/>
      <w:bookmarkStart w:name="_Toc119312340" w:id="102"/>
      <w:bookmarkStart w:name="_Toc119312341" w:id="103"/>
      <w:bookmarkStart w:name="_Toc119312342" w:id="104"/>
      <w:bookmarkEnd w:id="97"/>
      <w:bookmarkEnd w:id="98"/>
      <w:bookmarkEnd w:id="99"/>
      <w:bookmarkEnd w:id="100"/>
      <w:bookmarkEnd w:id="101"/>
      <w:bookmarkEnd w:id="102"/>
      <w:bookmarkEnd w:id="103"/>
      <w:bookmarkEnd w:id="104"/>
      <w:r>
        <w:t xml:space="preserve">Advanced methods of data </w:t>
      </w:r>
      <w:r w:rsidR="7EC83C08">
        <w:t xml:space="preserve">science and </w:t>
      </w:r>
      <w:r>
        <w:t xml:space="preserve">analytics </w:t>
      </w:r>
      <w:r w:rsidR="3E7631E5">
        <w:t>support complex</w:t>
      </w:r>
      <w:r w:rsidR="05F5D431">
        <w:t xml:space="preserve"> </w:t>
      </w:r>
      <w:r w:rsidR="2D70A3BA">
        <w:t>analys</w:t>
      </w:r>
      <w:r w:rsidR="3198F0CC">
        <w:t>e</w:t>
      </w:r>
      <w:r w:rsidR="2D70A3BA">
        <w:t>s</w:t>
      </w:r>
      <w:r w:rsidR="05F5D431">
        <w:t xml:space="preserve"> of large datasets</w:t>
      </w:r>
      <w:r w:rsidR="303E7DE6">
        <w:t xml:space="preserve"> to support electric grid planning, operations, procurement</w:t>
      </w:r>
      <w:r w:rsidR="00AE5EF1">
        <w:t>,</w:t>
      </w:r>
      <w:r w:rsidR="303E7DE6">
        <w:t xml:space="preserve"> and investment</w:t>
      </w:r>
      <w:r w:rsidR="750ABA94">
        <w:t xml:space="preserve"> a</w:t>
      </w:r>
      <w:r w:rsidR="0050411A">
        <w:t>s well as</w:t>
      </w:r>
      <w:r w:rsidR="750ABA94">
        <w:t xml:space="preserve"> DER integration onto the grid</w:t>
      </w:r>
      <w:r w:rsidR="73DFD93E">
        <w:t xml:space="preserve">.  </w:t>
      </w:r>
      <w:r w:rsidR="0050411A">
        <w:t>Commission</w:t>
      </w:r>
      <w:r w:rsidR="73DFD93E">
        <w:t xml:space="preserve"> proceedings and the </w:t>
      </w:r>
      <w:r w:rsidR="0047044C">
        <w:t>S</w:t>
      </w:r>
      <w:r w:rsidR="73DFD93E">
        <w:t>taff and consultants that support them are increasingly handling</w:t>
      </w:r>
      <w:r w:rsidR="009B3D32">
        <w:t xml:space="preserve"> </w:t>
      </w:r>
      <w:r w:rsidR="189E96AE">
        <w:t xml:space="preserve">large </w:t>
      </w:r>
      <w:r w:rsidR="009B3D32">
        <w:t>data</w:t>
      </w:r>
      <w:r w:rsidR="189E96AE">
        <w:t>sets to support and advance innovative policy and rate-setting</w:t>
      </w:r>
      <w:r w:rsidR="2DB79C65">
        <w:t>.</w:t>
      </w:r>
      <w:r w:rsidR="189E96AE">
        <w:t xml:space="preserve"> </w:t>
      </w:r>
      <w:r w:rsidR="009B3D32">
        <w:t xml:space="preserve"> </w:t>
      </w:r>
      <w:r w:rsidR="66396A3A">
        <w:t xml:space="preserve">The pace of innovation in data access and </w:t>
      </w:r>
      <w:r w:rsidR="58280EF0">
        <w:t xml:space="preserve">analytics, including machine learning and cloud-based technologies, </w:t>
      </w:r>
      <w:r w:rsidR="66396A3A">
        <w:t>is dramatically increasing</w:t>
      </w:r>
      <w:r w:rsidR="00E621F5">
        <w:t xml:space="preserve">.  This </w:t>
      </w:r>
      <w:r w:rsidR="00BE5184">
        <w:t xml:space="preserve">in turn </w:t>
      </w:r>
      <w:r w:rsidR="66396A3A">
        <w:t xml:space="preserve">requires </w:t>
      </w:r>
      <w:r w:rsidR="00BE5184">
        <w:t xml:space="preserve">that </w:t>
      </w:r>
      <w:r w:rsidR="66396A3A">
        <w:t>the C</w:t>
      </w:r>
      <w:r w:rsidR="00732EEF">
        <w:t>ommission</w:t>
      </w:r>
      <w:r w:rsidR="66396A3A">
        <w:t xml:space="preserve"> stay</w:t>
      </w:r>
      <w:r w:rsidR="00BE5184">
        <w:t>s</w:t>
      </w:r>
      <w:r w:rsidR="66396A3A">
        <w:t xml:space="preserve"> current</w:t>
      </w:r>
      <w:r w:rsidR="6C6FC2F6">
        <w:t xml:space="preserve"> with industry practices </w:t>
      </w:r>
      <w:r w:rsidR="53AE71E6">
        <w:t xml:space="preserve">to </w:t>
      </w:r>
      <w:r w:rsidR="00BE5184">
        <w:t xml:space="preserve">ensure </w:t>
      </w:r>
      <w:r w:rsidR="001C1420">
        <w:t>that our Staff</w:t>
      </w:r>
      <w:r w:rsidR="00BE5184">
        <w:t xml:space="preserve"> can </w:t>
      </w:r>
      <w:r w:rsidR="53AE71E6">
        <w:t xml:space="preserve">leverage big data analytics </w:t>
      </w:r>
      <w:r w:rsidR="75CECFC7">
        <w:t xml:space="preserve">to </w:t>
      </w:r>
      <w:r w:rsidR="00BE5184">
        <w:t xml:space="preserve">advance </w:t>
      </w:r>
      <w:r w:rsidR="53AE71E6">
        <w:t>state energy and climate goals.</w:t>
      </w:r>
      <w:r w:rsidR="68D31F47">
        <w:t xml:space="preserve">  For example</w:t>
      </w:r>
      <w:r w:rsidR="232B7DFE">
        <w:t>,</w:t>
      </w:r>
      <w:r w:rsidR="68D31F47">
        <w:t xml:space="preserve"> in the High DER </w:t>
      </w:r>
      <w:r w:rsidR="00FD375F">
        <w:t xml:space="preserve">Future rulemaking, </w:t>
      </w:r>
      <w:r w:rsidR="00A5175D">
        <w:t>Commission staff</w:t>
      </w:r>
      <w:r w:rsidR="001976D5">
        <w:t>,</w:t>
      </w:r>
      <w:r w:rsidR="68D31F47">
        <w:t xml:space="preserve"> ut</w:t>
      </w:r>
      <w:r w:rsidR="220D75CF">
        <w:t>i</w:t>
      </w:r>
      <w:r w:rsidR="68D31F47">
        <w:t>lities</w:t>
      </w:r>
      <w:r w:rsidR="00AE5EF1">
        <w:t>,</w:t>
      </w:r>
      <w:r w:rsidR="68D31F47">
        <w:t xml:space="preserve"> and consultants are </w:t>
      </w:r>
      <w:r w:rsidR="00C60BE2">
        <w:t xml:space="preserve">analyzing </w:t>
      </w:r>
      <w:r w:rsidR="68D31F47">
        <w:t>teraby</w:t>
      </w:r>
      <w:r w:rsidR="5969687F">
        <w:t xml:space="preserve">tes of </w:t>
      </w:r>
      <w:r w:rsidR="00DD76F9">
        <w:t>Advanced Meter Infrastructure (</w:t>
      </w:r>
      <w:r w:rsidR="5969687F">
        <w:t>AMI</w:t>
      </w:r>
      <w:r w:rsidR="00DD76F9">
        <w:t>)</w:t>
      </w:r>
      <w:r w:rsidR="5969687F">
        <w:t xml:space="preserve"> and other grid data to support a new method of estimating </w:t>
      </w:r>
      <w:r w:rsidR="5969687F">
        <w:lastRenderedPageBreak/>
        <w:t xml:space="preserve">the scope </w:t>
      </w:r>
      <w:r w:rsidR="00222F2F">
        <w:t>and</w:t>
      </w:r>
      <w:r w:rsidR="5969687F">
        <w:t xml:space="preserve"> scale of infrast</w:t>
      </w:r>
      <w:r w:rsidR="3DC5F81B">
        <w:t>r</w:t>
      </w:r>
      <w:r w:rsidR="5969687F">
        <w:t>ucture need</w:t>
      </w:r>
      <w:r w:rsidR="3649AE83">
        <w:t>e</w:t>
      </w:r>
      <w:r w:rsidR="5969687F">
        <w:t>d to enable a rapid ris</w:t>
      </w:r>
      <w:r w:rsidR="5E9095C3">
        <w:t xml:space="preserve">e in transportation </w:t>
      </w:r>
      <w:r w:rsidR="62D24FAB">
        <w:t xml:space="preserve">and building </w:t>
      </w:r>
      <w:r w:rsidR="5E965E84">
        <w:t>electrification</w:t>
      </w:r>
      <w:r w:rsidR="5E9095C3">
        <w:t>.</w:t>
      </w:r>
      <w:r w:rsidR="093B7991">
        <w:t xml:space="preserve"> </w:t>
      </w:r>
      <w:r w:rsidR="00457181">
        <w:t xml:space="preserve"> </w:t>
      </w:r>
      <w:r w:rsidR="093B7991">
        <w:t xml:space="preserve">This </w:t>
      </w:r>
      <w:r w:rsidR="00457181">
        <w:t xml:space="preserve">type of work </w:t>
      </w:r>
      <w:r w:rsidR="093B7991">
        <w:t>necessitates C</w:t>
      </w:r>
      <w:r w:rsidR="00DD76F9">
        <w:t>ommission</w:t>
      </w:r>
      <w:r w:rsidR="00510802">
        <w:t xml:space="preserve"> S</w:t>
      </w:r>
      <w:r w:rsidR="093B7991">
        <w:t xml:space="preserve">taff having regular and ongoing access to </w:t>
      </w:r>
      <w:r w:rsidR="36803946">
        <w:t>utility</w:t>
      </w:r>
      <w:r w:rsidR="093B7991">
        <w:t xml:space="preserve"> grid data on a frequency</w:t>
      </w:r>
      <w:r w:rsidR="0C6D56ED">
        <w:t xml:space="preserve"> and scale great</w:t>
      </w:r>
      <w:r w:rsidR="1C49E8B7">
        <w:t>er th</w:t>
      </w:r>
      <w:r w:rsidR="00457181">
        <w:t>a</w:t>
      </w:r>
      <w:r w:rsidR="1C49E8B7">
        <w:t>n</w:t>
      </w:r>
      <w:r w:rsidR="07631C64">
        <w:t xml:space="preserve"> </w:t>
      </w:r>
      <w:r w:rsidR="001C1420">
        <w:t>before</w:t>
      </w:r>
      <w:r w:rsidR="07631C64">
        <w:t>.</w:t>
      </w:r>
    </w:p>
    <w:p w:rsidRPr="007E3E1F" w:rsidR="00835B5E" w:rsidP="00F56308" w:rsidRDefault="5CF6EC25" w14:paraId="0CE817B7" w14:textId="10FCC332">
      <w:pPr>
        <w:tabs>
          <w:tab w:val="left" w:pos="360"/>
        </w:tabs>
      </w:pPr>
      <w:r>
        <w:t xml:space="preserve">General goals for this </w:t>
      </w:r>
      <w:r w:rsidR="1DA0551E">
        <w:t>proceeding</w:t>
      </w:r>
      <w:r w:rsidR="001C1420">
        <w:t xml:space="preserve"> </w:t>
      </w:r>
      <w:r>
        <w:t xml:space="preserve">to </w:t>
      </w:r>
      <w:r w:rsidR="00510802">
        <w:t>improv</w:t>
      </w:r>
      <w:r w:rsidR="001C1420">
        <w:t xml:space="preserve">e </w:t>
      </w:r>
      <w:r w:rsidR="00510802">
        <w:t xml:space="preserve">access to and use of </w:t>
      </w:r>
      <w:r w:rsidR="00F5598B">
        <w:t>data</w:t>
      </w:r>
      <w:r w:rsidR="002C168E">
        <w:t xml:space="preserve"> </w:t>
      </w:r>
      <w:r w:rsidR="76B14148">
        <w:t>include the following</w:t>
      </w:r>
      <w:r w:rsidR="0C122800">
        <w:t>:</w:t>
      </w:r>
    </w:p>
    <w:p w:rsidRPr="00842D1D" w:rsidR="0041096A" w:rsidP="00E1648E" w:rsidRDefault="00835B5E" w14:paraId="448242CA" w14:textId="174E9FCA">
      <w:pPr>
        <w:pStyle w:val="Standard"/>
        <w:numPr>
          <w:ilvl w:val="0"/>
          <w:numId w:val="53"/>
        </w:numPr>
        <w:ind w:left="1080"/>
        <w:rPr>
          <w:u w:val="single"/>
        </w:rPr>
      </w:pPr>
      <w:r w:rsidRPr="00842D1D">
        <w:rPr>
          <w:u w:val="single"/>
        </w:rPr>
        <w:t>Customer privacy</w:t>
      </w:r>
      <w:r w:rsidRPr="00842D1D" w:rsidR="0041096A">
        <w:t>:</w:t>
      </w:r>
      <w:r w:rsidRPr="00842D1D" w:rsidR="0041096A">
        <w:rPr>
          <w:u w:val="single"/>
        </w:rPr>
        <w:t xml:space="preserve">  </w:t>
      </w:r>
    </w:p>
    <w:p w:rsidRPr="00842D1D" w:rsidR="00835B5E" w:rsidP="00E1648E" w:rsidRDefault="0041096A" w14:paraId="3EE28466" w14:textId="522B6BAF">
      <w:pPr>
        <w:pStyle w:val="Standard"/>
        <w:numPr>
          <w:ilvl w:val="1"/>
          <w:numId w:val="53"/>
        </w:numPr>
        <w:spacing w:after="120" w:line="240" w:lineRule="auto"/>
        <w:ind w:left="1440" w:right="1440"/>
      </w:pPr>
      <w:r w:rsidRPr="00842D1D">
        <w:t>Customer privacy</w:t>
      </w:r>
      <w:r w:rsidRPr="00842D1D" w:rsidR="00835B5E">
        <w:t xml:space="preserve"> is protected with appropriate security</w:t>
      </w:r>
      <w:r w:rsidRPr="00842D1D" w:rsidR="0091368A">
        <w:t xml:space="preserve"> and in compliance with </w:t>
      </w:r>
      <w:r w:rsidRPr="00842D1D" w:rsidR="009F06D3">
        <w:t>relevant customer data privacy laws</w:t>
      </w:r>
      <w:r w:rsidRPr="00842D1D" w:rsidR="00835B5E">
        <w:t>, and requirements and protocols are standardized across regulated entities.</w:t>
      </w:r>
    </w:p>
    <w:p w:rsidRPr="00842D1D" w:rsidR="00835B5E" w:rsidP="00E1648E" w:rsidRDefault="00835B5E" w14:paraId="12FE0A62" w14:textId="77777777">
      <w:pPr>
        <w:pStyle w:val="Standard"/>
        <w:numPr>
          <w:ilvl w:val="1"/>
          <w:numId w:val="53"/>
        </w:numPr>
        <w:spacing w:after="120" w:line="240" w:lineRule="auto"/>
        <w:ind w:left="1440" w:right="1440"/>
      </w:pPr>
      <w:r w:rsidRPr="00842D1D">
        <w:t>Aggregation and anonymization protocols are regularly updated and maintained by appropriate testing procedures.</w:t>
      </w:r>
    </w:p>
    <w:p w:rsidRPr="00842D1D" w:rsidR="00835B5E" w:rsidP="00E1648E" w:rsidRDefault="00835B5E" w14:paraId="36E11676" w14:textId="22ECD285">
      <w:pPr>
        <w:pStyle w:val="Standard"/>
        <w:numPr>
          <w:ilvl w:val="1"/>
          <w:numId w:val="53"/>
        </w:numPr>
        <w:spacing w:after="120" w:line="240" w:lineRule="auto"/>
        <w:ind w:left="1440" w:right="1440"/>
      </w:pPr>
      <w:r w:rsidRPr="00842D1D">
        <w:t>Clear cybersecurity requirements are regularly updated and are enforced for any entity having access to confidential data</w:t>
      </w:r>
      <w:r w:rsidRPr="00842D1D" w:rsidR="002869BE">
        <w:t>, including third parties</w:t>
      </w:r>
      <w:r w:rsidRPr="00842D1D">
        <w:t>.</w:t>
      </w:r>
    </w:p>
    <w:p w:rsidRPr="00842D1D" w:rsidR="0041096A" w:rsidP="00E1648E" w:rsidRDefault="00835B5E" w14:paraId="38EA24F7" w14:textId="6BAB880A">
      <w:pPr>
        <w:pStyle w:val="Standard"/>
        <w:numPr>
          <w:ilvl w:val="1"/>
          <w:numId w:val="53"/>
        </w:numPr>
        <w:spacing w:after="120" w:line="240" w:lineRule="auto"/>
        <w:ind w:left="1440" w:right="1440"/>
      </w:pPr>
      <w:r w:rsidRPr="00842D1D">
        <w:t>Customer privacy protocols are not needlessly restrictive such that they limit access to data unnecessarily.</w:t>
      </w:r>
    </w:p>
    <w:p w:rsidRPr="00842D1D" w:rsidR="0041096A" w:rsidP="00E1648E" w:rsidRDefault="0041096A" w14:paraId="1BCFDC88" w14:textId="67E33D01">
      <w:pPr>
        <w:pStyle w:val="Standard"/>
        <w:numPr>
          <w:ilvl w:val="0"/>
          <w:numId w:val="53"/>
        </w:numPr>
        <w:ind w:left="1080"/>
        <w:rPr>
          <w:u w:val="single"/>
        </w:rPr>
      </w:pPr>
      <w:r w:rsidRPr="00842D1D">
        <w:rPr>
          <w:u w:val="single"/>
        </w:rPr>
        <w:t xml:space="preserve">Data </w:t>
      </w:r>
      <w:r w:rsidRPr="00842D1D" w:rsidR="00291EFA">
        <w:rPr>
          <w:u w:val="single"/>
        </w:rPr>
        <w:t xml:space="preserve">Sharing, </w:t>
      </w:r>
      <w:r w:rsidRPr="00842D1D">
        <w:rPr>
          <w:u w:val="single"/>
        </w:rPr>
        <w:t>Access and Use</w:t>
      </w:r>
      <w:r w:rsidRPr="00842D1D">
        <w:t>:</w:t>
      </w:r>
      <w:r w:rsidRPr="00842D1D">
        <w:rPr>
          <w:u w:val="single"/>
        </w:rPr>
        <w:t xml:space="preserve"> </w:t>
      </w:r>
    </w:p>
    <w:p w:rsidRPr="00842D1D" w:rsidR="00835B5E" w:rsidP="00E1648E" w:rsidRDefault="00835B5E" w14:paraId="2AFD4436" w14:textId="19ACF8C2">
      <w:pPr>
        <w:pStyle w:val="Standard"/>
        <w:numPr>
          <w:ilvl w:val="1"/>
          <w:numId w:val="53"/>
        </w:numPr>
        <w:spacing w:after="120" w:line="240" w:lineRule="auto"/>
        <w:ind w:left="1440" w:right="1440"/>
      </w:pPr>
      <w:r w:rsidRPr="00842D1D">
        <w:t>Program participants, administrators, third parties, and regulated entities are required to share their data for public interest research and other designated purposes.</w:t>
      </w:r>
    </w:p>
    <w:p w:rsidRPr="00842D1D" w:rsidR="00835B5E" w:rsidP="00E1648E" w:rsidRDefault="00835B5E" w14:paraId="512EA41B" w14:textId="19A816EA">
      <w:pPr>
        <w:pStyle w:val="Standard"/>
        <w:numPr>
          <w:ilvl w:val="1"/>
          <w:numId w:val="53"/>
        </w:numPr>
        <w:spacing w:after="120" w:line="240" w:lineRule="auto"/>
        <w:ind w:left="1440" w:right="1440"/>
      </w:pPr>
      <w:r w:rsidRPr="00842D1D">
        <w:t>Public facing data portals are easy to use and accessible so that in the future customers can interact with their real-time energy use on user-friendly devices such as smartphones, enabling customers to participate in real</w:t>
      </w:r>
      <w:r w:rsidRPr="00842D1D" w:rsidR="00E1648E">
        <w:noBreakHyphen/>
      </w:r>
      <w:r w:rsidRPr="00842D1D">
        <w:t>time pricing.</w:t>
      </w:r>
    </w:p>
    <w:p w:rsidRPr="00842D1D" w:rsidR="42325158" w:rsidP="00E1648E" w:rsidRDefault="1CD2193A" w14:paraId="12D5AFB9" w14:textId="253AC478">
      <w:pPr>
        <w:pStyle w:val="Standard"/>
        <w:numPr>
          <w:ilvl w:val="1"/>
          <w:numId w:val="53"/>
        </w:numPr>
        <w:spacing w:after="120" w:line="240" w:lineRule="auto"/>
        <w:ind w:left="1440" w:right="1440"/>
        <w:rPr>
          <w:rFonts w:asciiTheme="minorHAnsi" w:hAnsiTheme="minorHAnsi" w:eastAsiaTheme="minorEastAsia"/>
          <w:szCs w:val="26"/>
        </w:rPr>
      </w:pPr>
      <w:r w:rsidRPr="00842D1D">
        <w:t>Public facing data portals</w:t>
      </w:r>
      <w:r w:rsidRPr="00842D1D" w:rsidR="42325158">
        <w:t xml:space="preserve"> are frequently</w:t>
      </w:r>
      <w:r w:rsidRPr="00842D1D" w:rsidR="00A31E52">
        <w:t xml:space="preserve"> </w:t>
      </w:r>
      <w:r w:rsidRPr="00842D1D" w:rsidR="00BF007E">
        <w:t xml:space="preserve">and </w:t>
      </w:r>
      <w:r w:rsidRPr="00842D1D" w:rsidR="00A31E52">
        <w:t>autonomously</w:t>
      </w:r>
      <w:r w:rsidRPr="00842D1D" w:rsidR="42325158">
        <w:t xml:space="preserve"> updated and facilitate </w:t>
      </w:r>
      <w:r w:rsidRPr="00842D1D" w:rsidR="7CF821C0">
        <w:t xml:space="preserve">high-speed </w:t>
      </w:r>
      <w:r w:rsidRPr="00842D1D" w:rsidR="42325158">
        <w:t>download</w:t>
      </w:r>
      <w:r w:rsidRPr="00842D1D" w:rsidR="2045F6C1">
        <w:t xml:space="preserve"> of complete datasets</w:t>
      </w:r>
      <w:r w:rsidRPr="00842D1D" w:rsidR="42325158">
        <w:t>.</w:t>
      </w:r>
      <w:r w:rsidRPr="00842D1D" w:rsidR="40A1208A">
        <w:t xml:space="preserve"> </w:t>
      </w:r>
    </w:p>
    <w:p w:rsidRPr="00842D1D" w:rsidR="0041096A" w:rsidP="00E1648E" w:rsidRDefault="40A1208A" w14:paraId="0A4A897C" w14:textId="28C37458">
      <w:pPr>
        <w:pStyle w:val="Standard"/>
        <w:numPr>
          <w:ilvl w:val="1"/>
          <w:numId w:val="53"/>
        </w:numPr>
        <w:spacing w:after="120" w:line="240" w:lineRule="auto"/>
        <w:ind w:left="1440" w:right="1440"/>
        <w:rPr>
          <w:szCs w:val="26"/>
        </w:rPr>
      </w:pPr>
      <w:r w:rsidRPr="00842D1D">
        <w:lastRenderedPageBreak/>
        <w:t>Export of non-public data</w:t>
      </w:r>
      <w:r w:rsidRPr="00842D1D" w:rsidR="7EB6443A">
        <w:t xml:space="preserve"> (where allowed)</w:t>
      </w:r>
      <w:r w:rsidRPr="00842D1D">
        <w:t xml:space="preserve"> is streamlined </w:t>
      </w:r>
      <w:r w:rsidRPr="00842D1D" w:rsidR="2CA04BA0">
        <w:t xml:space="preserve">and expedited </w:t>
      </w:r>
      <w:r w:rsidRPr="00842D1D">
        <w:t xml:space="preserve">for </w:t>
      </w:r>
      <w:r w:rsidRPr="00842D1D" w:rsidR="52F87C49">
        <w:t>customers</w:t>
      </w:r>
      <w:r w:rsidRPr="00842D1D">
        <w:t xml:space="preserve"> seeking </w:t>
      </w:r>
      <w:r w:rsidRPr="00842D1D" w:rsidR="388D0EE4">
        <w:t xml:space="preserve">energy </w:t>
      </w:r>
      <w:r w:rsidRPr="00842D1D">
        <w:t>information about their own facilities</w:t>
      </w:r>
      <w:r w:rsidRPr="00842D1D" w:rsidR="4775702B">
        <w:t xml:space="preserve"> </w:t>
      </w:r>
      <w:r w:rsidRPr="00842D1D" w:rsidR="6A4AAF90">
        <w:t>(</w:t>
      </w:r>
      <w:r w:rsidRPr="00842D1D" w:rsidR="6A4AAF90">
        <w:rPr>
          <w:i/>
          <w:iCs/>
        </w:rPr>
        <w:t>e.g.,</w:t>
      </w:r>
      <w:r w:rsidRPr="00842D1D" w:rsidR="6A4AAF90">
        <w:t xml:space="preserve"> building managers) </w:t>
      </w:r>
      <w:r w:rsidRPr="00842D1D" w:rsidR="4775702B">
        <w:t xml:space="preserve">and </w:t>
      </w:r>
      <w:r w:rsidRPr="00842D1D" w:rsidR="3D282AAC">
        <w:t xml:space="preserve">regional and local agency access to grid and customer data </w:t>
      </w:r>
      <w:r w:rsidRPr="00842D1D" w:rsidR="20C5EB2F">
        <w:t>for their service areas and/or jurisdictional areas</w:t>
      </w:r>
      <w:r w:rsidRPr="00842D1D" w:rsidR="3D282AAC">
        <w:t xml:space="preserve"> (</w:t>
      </w:r>
      <w:r w:rsidRPr="00842D1D" w:rsidR="3D282AAC">
        <w:rPr>
          <w:i/>
          <w:iCs/>
        </w:rPr>
        <w:t>e.g.,</w:t>
      </w:r>
      <w:r w:rsidRPr="00842D1D" w:rsidR="3D282AAC">
        <w:t xml:space="preserve"> Renewable Energy Networks</w:t>
      </w:r>
      <w:r w:rsidRPr="00842D1D" w:rsidR="446B1482">
        <w:t>,</w:t>
      </w:r>
      <w:r w:rsidRPr="00842D1D" w:rsidR="3D282AAC">
        <w:t xml:space="preserve"> Community Choice Aggregators</w:t>
      </w:r>
      <w:r w:rsidRPr="00842D1D" w:rsidR="58E1E274">
        <w:t>, and local governments</w:t>
      </w:r>
      <w:r w:rsidRPr="00842D1D" w:rsidR="162DC887">
        <w:t>)</w:t>
      </w:r>
      <w:r w:rsidRPr="00842D1D" w:rsidR="25DC1856">
        <w:t>.</w:t>
      </w:r>
    </w:p>
    <w:p w:rsidRPr="00842D1D" w:rsidR="00835B5E" w:rsidP="00E1648E" w:rsidRDefault="0041096A" w14:paraId="055A8D82" w14:textId="09791D13">
      <w:pPr>
        <w:pStyle w:val="Standard"/>
        <w:numPr>
          <w:ilvl w:val="0"/>
          <w:numId w:val="53"/>
        </w:numPr>
        <w:ind w:left="1080"/>
        <w:rPr>
          <w:u w:val="single"/>
        </w:rPr>
      </w:pPr>
      <w:r w:rsidRPr="00842D1D">
        <w:rPr>
          <w:u w:val="single"/>
        </w:rPr>
        <w:t>Databases</w:t>
      </w:r>
      <w:r w:rsidRPr="00842D1D" w:rsidR="2B36A9F6">
        <w:rPr>
          <w:u w:val="single"/>
        </w:rPr>
        <w:t xml:space="preserve">, </w:t>
      </w:r>
      <w:r w:rsidRPr="00842D1D">
        <w:rPr>
          <w:u w:val="single"/>
        </w:rPr>
        <w:t>Models</w:t>
      </w:r>
      <w:r w:rsidRPr="00842D1D" w:rsidR="0731C68B">
        <w:rPr>
          <w:u w:val="single"/>
        </w:rPr>
        <w:t>, and Analytics</w:t>
      </w:r>
      <w:r w:rsidRPr="00842D1D" w:rsidR="00835B5E">
        <w:t>:</w:t>
      </w:r>
    </w:p>
    <w:p w:rsidRPr="00842D1D" w:rsidR="00835B5E" w:rsidP="00E1648E" w:rsidRDefault="007F08E5" w14:paraId="7DF364B4" w14:textId="5A8FE983">
      <w:pPr>
        <w:pStyle w:val="Standard"/>
        <w:numPr>
          <w:ilvl w:val="1"/>
          <w:numId w:val="53"/>
        </w:numPr>
        <w:spacing w:after="120" w:line="240" w:lineRule="auto"/>
        <w:ind w:left="1440" w:right="1440"/>
      </w:pPr>
      <w:r w:rsidRPr="00842D1D">
        <w:t xml:space="preserve">Databases and models are based on </w:t>
      </w:r>
      <w:r w:rsidRPr="00842D1D" w:rsidR="00835B5E">
        <w:t>a broad range of data sources including utility, state government, federal government, and industry sources</w:t>
      </w:r>
      <w:r w:rsidRPr="00842D1D" w:rsidR="00E65A7C">
        <w:t>.</w:t>
      </w:r>
    </w:p>
    <w:p w:rsidRPr="00842D1D" w:rsidR="00835B5E" w:rsidP="00E1648E" w:rsidRDefault="007F08E5" w14:paraId="7D6B3B3B" w14:textId="1FDBAC64">
      <w:pPr>
        <w:pStyle w:val="Standard"/>
        <w:numPr>
          <w:ilvl w:val="1"/>
          <w:numId w:val="53"/>
        </w:numPr>
        <w:spacing w:after="120" w:line="240" w:lineRule="auto"/>
        <w:ind w:left="1440" w:right="1440"/>
      </w:pPr>
      <w:r w:rsidRPr="00842D1D">
        <w:t>Databases and models i</w:t>
      </w:r>
      <w:r w:rsidRPr="00842D1D" w:rsidR="00835B5E">
        <w:t>nclude a broad range of geographically-specific data</w:t>
      </w:r>
      <w:r w:rsidRPr="00842D1D">
        <w:t xml:space="preserve"> </w:t>
      </w:r>
      <w:r w:rsidRPr="00842D1D" w:rsidR="00835B5E">
        <w:t>to inform equity</w:t>
      </w:r>
      <w:r w:rsidRPr="00842D1D" w:rsidR="0041096A">
        <w:t xml:space="preserve">-related questions, </w:t>
      </w:r>
      <w:r w:rsidRPr="00842D1D">
        <w:t xml:space="preserve">such as </w:t>
      </w:r>
      <w:r w:rsidRPr="00842D1D" w:rsidR="00835B5E">
        <w:t xml:space="preserve">customer energy usage, </w:t>
      </w:r>
      <w:r w:rsidRPr="00842D1D" w:rsidR="615FAB40">
        <w:t xml:space="preserve">utility </w:t>
      </w:r>
      <w:r w:rsidRPr="00842D1D" w:rsidR="5E6088DF">
        <w:t xml:space="preserve">infrastructure </w:t>
      </w:r>
      <w:r w:rsidRPr="00842D1D" w:rsidR="533D3881">
        <w:t>metering</w:t>
      </w:r>
      <w:r w:rsidRPr="00842D1D" w:rsidR="00835B5E">
        <w:t xml:space="preserve">, energy program information, </w:t>
      </w:r>
      <w:r w:rsidRPr="00842D1D" w:rsidR="0A33857F">
        <w:t xml:space="preserve">grid capacity, environmental, urban planning, vehicle ownership, </w:t>
      </w:r>
      <w:r w:rsidRPr="00842D1D" w:rsidR="008D12EA">
        <w:t xml:space="preserve">wildfire risk, </w:t>
      </w:r>
      <w:r w:rsidRPr="00842D1D" w:rsidR="00835B5E">
        <w:t>demographic, and census data</w:t>
      </w:r>
      <w:r w:rsidRPr="00842D1D" w:rsidR="00E65A7C">
        <w:t>.</w:t>
      </w:r>
    </w:p>
    <w:p w:rsidRPr="00842D1D" w:rsidR="00835B5E" w:rsidP="00E1648E" w:rsidRDefault="007F08E5" w14:paraId="15CC51BA" w14:textId="49714847">
      <w:pPr>
        <w:pStyle w:val="Standard"/>
        <w:numPr>
          <w:ilvl w:val="1"/>
          <w:numId w:val="53"/>
        </w:numPr>
        <w:spacing w:after="120" w:line="240" w:lineRule="auto"/>
        <w:ind w:left="1440" w:right="1440"/>
      </w:pPr>
      <w:r w:rsidRPr="00842D1D">
        <w:t>Database</w:t>
      </w:r>
      <w:r w:rsidRPr="00842D1D" w:rsidR="00F3294B">
        <w:t>, models</w:t>
      </w:r>
      <w:r w:rsidRPr="00842D1D" w:rsidR="00BF007E">
        <w:t>,</w:t>
      </w:r>
      <w:r w:rsidRPr="00842D1D" w:rsidR="00F3294B">
        <w:t xml:space="preserve"> and </w:t>
      </w:r>
      <w:r w:rsidRPr="00842D1D">
        <w:t>t</w:t>
      </w:r>
      <w:r w:rsidRPr="00842D1D" w:rsidR="00835B5E">
        <w:t xml:space="preserve">ools </w:t>
      </w:r>
      <w:r w:rsidRPr="00842D1D" w:rsidR="00F3294B">
        <w:t>are</w:t>
      </w:r>
      <w:r w:rsidRPr="00842D1D" w:rsidR="009D00B8">
        <w:t>, to the extent possible,</w:t>
      </w:r>
      <w:r w:rsidRPr="00842D1D" w:rsidR="00F3294B">
        <w:t xml:space="preserve"> </w:t>
      </w:r>
      <w:r w:rsidRPr="00842D1D" w:rsidR="00835B5E">
        <w:t xml:space="preserve">designed to be consistent with those developed by other state agencies, such as CalEnviroScreen, CEC building energy code software, </w:t>
      </w:r>
      <w:r w:rsidRPr="00842D1D" w:rsidR="036556CF">
        <w:t xml:space="preserve">CEC demand forecast </w:t>
      </w:r>
      <w:r w:rsidRPr="00842D1D" w:rsidR="0889B63D">
        <w:t xml:space="preserve">and meter </w:t>
      </w:r>
      <w:r w:rsidRPr="00842D1D" w:rsidR="036556CF">
        <w:t>data,</w:t>
      </w:r>
      <w:r w:rsidRPr="00842D1D" w:rsidR="3091E116">
        <w:t xml:space="preserve"> </w:t>
      </w:r>
      <w:r w:rsidRPr="00842D1D" w:rsidR="00835B5E">
        <w:t>CARB GHG emissions modeling</w:t>
      </w:r>
      <w:r w:rsidRPr="00842D1D" w:rsidR="7A6178A3">
        <w:t>, Department of Motor Vehicles</w:t>
      </w:r>
      <w:r w:rsidRPr="00842D1D" w:rsidR="6969C180">
        <w:t xml:space="preserve"> vehicle data</w:t>
      </w:r>
      <w:r w:rsidRPr="00842D1D" w:rsidR="7A6178A3">
        <w:t>, and Office of Energy Infrastructure Safety</w:t>
      </w:r>
      <w:r w:rsidRPr="00842D1D" w:rsidR="0A298A19">
        <w:t xml:space="preserve"> </w:t>
      </w:r>
      <w:r w:rsidRPr="00842D1D" w:rsidR="17023F6D">
        <w:t xml:space="preserve">electric </w:t>
      </w:r>
      <w:r w:rsidRPr="00842D1D" w:rsidR="0A298A19">
        <w:t>grid geospatial data</w:t>
      </w:r>
      <w:r w:rsidRPr="00842D1D" w:rsidR="00835B5E">
        <w:t>.</w:t>
      </w:r>
    </w:p>
    <w:p w:rsidRPr="00842D1D" w:rsidR="00F3294B" w:rsidP="00E1648E" w:rsidRDefault="03150B38" w14:paraId="2B273A53" w14:textId="04E528CC">
      <w:pPr>
        <w:pStyle w:val="Standard"/>
        <w:numPr>
          <w:ilvl w:val="1"/>
          <w:numId w:val="53"/>
        </w:numPr>
        <w:spacing w:after="120" w:line="240" w:lineRule="auto"/>
        <w:ind w:left="1440" w:right="1440"/>
      </w:pPr>
      <w:r w:rsidRPr="00842D1D">
        <w:rPr>
          <w:rFonts w:eastAsia="Calibri" w:cs="Arial"/>
          <w:szCs w:val="26"/>
        </w:rPr>
        <w:t>C</w:t>
      </w:r>
      <w:r w:rsidRPr="00842D1D" w:rsidR="556A2A78">
        <w:rPr>
          <w:rFonts w:eastAsia="Calibri" w:cs="Arial"/>
          <w:szCs w:val="26"/>
        </w:rPr>
        <w:t xml:space="preserve">apabilities are improved to allow for </w:t>
      </w:r>
      <w:r w:rsidRPr="00842D1D" w:rsidR="0CBE9F3D">
        <w:rPr>
          <w:rFonts w:eastAsia="Calibri" w:cs="Arial"/>
          <w:szCs w:val="26"/>
        </w:rPr>
        <w:t>high-speed analytics</w:t>
      </w:r>
      <w:r w:rsidRPr="00842D1D" w:rsidR="556A2A78">
        <w:rPr>
          <w:rFonts w:eastAsia="Calibri" w:cs="Arial"/>
          <w:szCs w:val="26"/>
        </w:rPr>
        <w:t xml:space="preserve"> </w:t>
      </w:r>
      <w:r w:rsidRPr="00842D1D" w:rsidR="0FBDC19E">
        <w:rPr>
          <w:rFonts w:eastAsia="Calibri" w:cs="Arial"/>
          <w:szCs w:val="26"/>
        </w:rPr>
        <w:t>inv</w:t>
      </w:r>
      <w:r w:rsidRPr="00842D1D" w:rsidR="1EA622E5">
        <w:rPr>
          <w:rFonts w:eastAsia="Calibri" w:cs="Arial"/>
          <w:szCs w:val="26"/>
        </w:rPr>
        <w:t>o</w:t>
      </w:r>
      <w:r w:rsidRPr="00842D1D" w:rsidR="0FBDC19E">
        <w:rPr>
          <w:rFonts w:eastAsia="Calibri" w:cs="Arial"/>
          <w:szCs w:val="26"/>
        </w:rPr>
        <w:t>l</w:t>
      </w:r>
      <w:r w:rsidRPr="00842D1D" w:rsidR="3F65EB7D">
        <w:rPr>
          <w:rFonts w:eastAsia="Calibri" w:cs="Arial"/>
          <w:szCs w:val="26"/>
        </w:rPr>
        <w:t>v</w:t>
      </w:r>
      <w:r w:rsidRPr="00842D1D" w:rsidR="0FBDC19E">
        <w:rPr>
          <w:rFonts w:eastAsia="Calibri" w:cs="Arial"/>
          <w:szCs w:val="26"/>
        </w:rPr>
        <w:t xml:space="preserve">ing </w:t>
      </w:r>
      <w:r w:rsidRPr="00842D1D" w:rsidR="06DA1C21">
        <w:rPr>
          <w:rFonts w:eastAsia="Calibri" w:cs="Arial"/>
          <w:szCs w:val="26"/>
        </w:rPr>
        <w:t>of wide range of datasets, inclu</w:t>
      </w:r>
      <w:r w:rsidRPr="00842D1D" w:rsidR="7871AF47">
        <w:rPr>
          <w:rFonts w:eastAsia="Calibri" w:cs="Arial"/>
          <w:szCs w:val="26"/>
        </w:rPr>
        <w:t>d</w:t>
      </w:r>
      <w:r w:rsidRPr="00842D1D" w:rsidR="06DA1C21">
        <w:rPr>
          <w:rFonts w:eastAsia="Calibri" w:cs="Arial"/>
          <w:szCs w:val="26"/>
        </w:rPr>
        <w:t xml:space="preserve">ing </w:t>
      </w:r>
      <w:r w:rsidRPr="00842D1D" w:rsidR="556A2A78">
        <w:rPr>
          <w:rFonts w:eastAsia="Calibri" w:cs="Arial"/>
          <w:szCs w:val="26"/>
        </w:rPr>
        <w:t>large</w:t>
      </w:r>
      <w:r w:rsidRPr="00842D1D" w:rsidR="4FEBDA24">
        <w:rPr>
          <w:rFonts w:eastAsia="Calibri" w:cs="Arial"/>
          <w:szCs w:val="26"/>
        </w:rPr>
        <w:t xml:space="preserve"> datasets</w:t>
      </w:r>
      <w:r w:rsidRPr="00842D1D" w:rsidR="78888B17">
        <w:rPr>
          <w:rFonts w:eastAsia="Calibri" w:cs="Arial"/>
          <w:szCs w:val="26"/>
        </w:rPr>
        <w:t xml:space="preserve"> (</w:t>
      </w:r>
      <w:r w:rsidRPr="00842D1D" w:rsidR="78888B17">
        <w:rPr>
          <w:rFonts w:eastAsia="Calibri" w:cs="Arial"/>
          <w:i/>
          <w:iCs/>
          <w:szCs w:val="26"/>
        </w:rPr>
        <w:t>e.g.,</w:t>
      </w:r>
      <w:r w:rsidRPr="00842D1D" w:rsidR="78888B17">
        <w:rPr>
          <w:rFonts w:eastAsia="Calibri" w:cs="Arial"/>
          <w:szCs w:val="26"/>
        </w:rPr>
        <w:t xml:space="preserve"> hourly and 15-minute AMI data).</w:t>
      </w:r>
    </w:p>
    <w:p w:rsidRPr="00842D1D" w:rsidR="00835B5E" w:rsidP="00E1648E" w:rsidRDefault="00835B5E" w14:paraId="5A6819D2" w14:textId="681FBB7B">
      <w:pPr>
        <w:pStyle w:val="Standard"/>
        <w:numPr>
          <w:ilvl w:val="0"/>
          <w:numId w:val="53"/>
        </w:numPr>
        <w:ind w:left="1080"/>
        <w:rPr>
          <w:u w:val="single"/>
        </w:rPr>
      </w:pPr>
      <w:r w:rsidRPr="00842D1D">
        <w:rPr>
          <w:u w:val="single"/>
        </w:rPr>
        <w:t xml:space="preserve">Data </w:t>
      </w:r>
      <w:r w:rsidRPr="00842D1D" w:rsidR="00F3294B">
        <w:rPr>
          <w:u w:val="single"/>
        </w:rPr>
        <w:t>C</w:t>
      </w:r>
      <w:r w:rsidRPr="00842D1D">
        <w:rPr>
          <w:u w:val="single"/>
        </w:rPr>
        <w:t xml:space="preserve">ollection and </w:t>
      </w:r>
      <w:r w:rsidRPr="00842D1D" w:rsidR="00F3294B">
        <w:rPr>
          <w:u w:val="single"/>
        </w:rPr>
        <w:t>R</w:t>
      </w:r>
      <w:r w:rsidRPr="00842D1D">
        <w:rPr>
          <w:u w:val="single"/>
        </w:rPr>
        <w:t xml:space="preserve">eporting </w:t>
      </w:r>
      <w:r w:rsidRPr="00842D1D" w:rsidR="00F3294B">
        <w:rPr>
          <w:u w:val="single"/>
        </w:rPr>
        <w:t>T</w:t>
      </w:r>
      <w:r w:rsidRPr="00842D1D">
        <w:rPr>
          <w:u w:val="single"/>
        </w:rPr>
        <w:t>ools</w:t>
      </w:r>
      <w:r w:rsidRPr="00842D1D" w:rsidR="00F3294B">
        <w:t>:</w:t>
      </w:r>
      <w:r w:rsidRPr="00842D1D">
        <w:rPr>
          <w:u w:val="single"/>
        </w:rPr>
        <w:t xml:space="preserve">  </w:t>
      </w:r>
    </w:p>
    <w:p w:rsidRPr="00842D1D" w:rsidR="00835B5E" w:rsidP="00E1648E" w:rsidRDefault="00E65A7C" w14:paraId="66B3718B" w14:textId="25D8A419">
      <w:pPr>
        <w:pStyle w:val="Standard"/>
        <w:numPr>
          <w:ilvl w:val="1"/>
          <w:numId w:val="53"/>
        </w:numPr>
        <w:spacing w:after="120" w:line="240" w:lineRule="auto"/>
        <w:ind w:left="1440" w:right="1440"/>
      </w:pPr>
      <w:r w:rsidRPr="00842D1D">
        <w:t>Data collection and reporting tools are c</w:t>
      </w:r>
      <w:r w:rsidRPr="00842D1D" w:rsidR="00835B5E">
        <w:t>onsistent across utilities, programs, and proceedings, especially for programs with similar goals</w:t>
      </w:r>
      <w:r w:rsidRPr="00842D1D">
        <w:t>.</w:t>
      </w:r>
      <w:r w:rsidRPr="00842D1D" w:rsidR="00835B5E">
        <w:t xml:space="preserve"> </w:t>
      </w:r>
    </w:p>
    <w:p w:rsidRPr="00842D1D" w:rsidR="00835B5E" w:rsidP="00E1648E" w:rsidRDefault="00E65A7C" w14:paraId="0D17BCB0" w14:textId="031C1B2B">
      <w:pPr>
        <w:pStyle w:val="Standard"/>
        <w:numPr>
          <w:ilvl w:val="1"/>
          <w:numId w:val="53"/>
        </w:numPr>
        <w:spacing w:after="120" w:line="240" w:lineRule="auto"/>
        <w:ind w:left="1440" w:right="1440"/>
      </w:pPr>
      <w:r w:rsidRPr="00842D1D">
        <w:t>Data collection and reporting tools are s</w:t>
      </w:r>
      <w:r w:rsidRPr="00842D1D" w:rsidR="00835B5E">
        <w:t xml:space="preserve">tandardized to ensure consistency and usability across programs, </w:t>
      </w:r>
      <w:r w:rsidRPr="00842D1D" w:rsidR="00835B5E">
        <w:lastRenderedPageBreak/>
        <w:t>proceedings, and utility service territories, and with all authorized entities.</w:t>
      </w:r>
    </w:p>
    <w:p w:rsidRPr="00842D1D" w:rsidR="00BA6285" w:rsidP="00E1648E" w:rsidRDefault="00204111" w14:paraId="498D7B41" w14:textId="77777777">
      <w:pPr>
        <w:pStyle w:val="Standard"/>
        <w:numPr>
          <w:ilvl w:val="1"/>
          <w:numId w:val="53"/>
        </w:numPr>
        <w:spacing w:after="120" w:line="240" w:lineRule="auto"/>
        <w:ind w:left="1440" w:right="1440"/>
      </w:pPr>
      <w:r w:rsidRPr="00842D1D">
        <w:t xml:space="preserve">Data collection and reporting tools </w:t>
      </w:r>
      <w:r w:rsidRPr="00842D1D" w:rsidR="009073BE">
        <w:t xml:space="preserve">enhance </w:t>
      </w:r>
      <w:r w:rsidRPr="00842D1D" w:rsidR="00EC39AA">
        <w:t>equity customers’ access to and p</w:t>
      </w:r>
      <w:r w:rsidRPr="00842D1D" w:rsidR="009073BE">
        <w:t xml:space="preserve">articipation </w:t>
      </w:r>
      <w:r w:rsidRPr="00842D1D" w:rsidR="00EC39AA">
        <w:t>in DER programs.</w:t>
      </w:r>
    </w:p>
    <w:p w:rsidRPr="00842D1D" w:rsidR="00204111" w:rsidP="00E1648E" w:rsidRDefault="00BA6285" w14:paraId="4FF07E68" w14:textId="0C8C01A6">
      <w:pPr>
        <w:pStyle w:val="Standard"/>
        <w:numPr>
          <w:ilvl w:val="1"/>
          <w:numId w:val="53"/>
        </w:numPr>
        <w:spacing w:after="120" w:line="240" w:lineRule="auto"/>
        <w:ind w:left="1440" w:right="1440"/>
      </w:pPr>
      <w:r w:rsidRPr="00842D1D">
        <w:t xml:space="preserve">Suitable </w:t>
      </w:r>
      <w:r w:rsidRPr="00842D1D" w:rsidR="000D2533">
        <w:t xml:space="preserve">methods to collect </w:t>
      </w:r>
      <w:r w:rsidRPr="00842D1D" w:rsidR="00EF4D92">
        <w:t>data from customer smart devices</w:t>
      </w:r>
      <w:r w:rsidRPr="00842D1D" w:rsidR="00AF00B5">
        <w:t xml:space="preserve"> or device operators</w:t>
      </w:r>
      <w:r w:rsidRPr="00842D1D" w:rsidR="00047449">
        <w:t xml:space="preserve">, and related reporting tools, </w:t>
      </w:r>
      <w:r w:rsidRPr="00842D1D" w:rsidR="00EF4D92">
        <w:t>are established</w:t>
      </w:r>
      <w:r w:rsidRPr="00842D1D" w:rsidR="005F0172">
        <w:t xml:space="preserve"> </w:t>
      </w:r>
      <w:r w:rsidRPr="00842D1D" w:rsidR="00C47E1B">
        <w:t xml:space="preserve">and </w:t>
      </w:r>
      <w:r w:rsidRPr="00842D1D" w:rsidR="00CD6722">
        <w:t>are consistent across utilities</w:t>
      </w:r>
      <w:r w:rsidRPr="00842D1D" w:rsidR="00B334E0">
        <w:t xml:space="preserve"> to improve programs</w:t>
      </w:r>
      <w:r w:rsidRPr="00842D1D" w:rsidR="00595DC7">
        <w:t>, grid planning and operations.</w:t>
      </w:r>
    </w:p>
    <w:p w:rsidRPr="00842D1D" w:rsidR="004E6388" w:rsidP="00E1648E" w:rsidRDefault="004E6388" w14:paraId="1F8A15BE" w14:textId="17A89750">
      <w:pPr>
        <w:pStyle w:val="Standard"/>
        <w:numPr>
          <w:ilvl w:val="1"/>
          <w:numId w:val="53"/>
        </w:numPr>
        <w:spacing w:after="120" w:line="240" w:lineRule="auto"/>
        <w:ind w:left="1440" w:right="1440"/>
      </w:pPr>
      <w:r w:rsidRPr="00842D1D">
        <w:t>Data related to transmission and distribution system costs, new and emerging technologies, program impacts, and other relevant quantities are available for planning and program design purposes consistently across proceedings.</w:t>
      </w:r>
    </w:p>
    <w:p w:rsidR="00F6303D" w:rsidP="00E1648E" w:rsidRDefault="00C520CB" w14:paraId="33A1CA6B" w14:textId="345C3232">
      <w:pPr>
        <w:pStyle w:val="Standard"/>
      </w:pPr>
      <w:r w:rsidRPr="007E3E1F">
        <w:t xml:space="preserve">To accomplish these goals, </w:t>
      </w:r>
      <w:r w:rsidR="00E65A7C">
        <w:t>work in this proceeding</w:t>
      </w:r>
      <w:r w:rsidR="00915FE8">
        <w:t xml:space="preserve"> will </w:t>
      </w:r>
      <w:r w:rsidR="00E65A7C">
        <w:t xml:space="preserve">be coordinated with </w:t>
      </w:r>
      <w:r w:rsidRPr="007E3E1F">
        <w:t xml:space="preserve">work with other proceedings </w:t>
      </w:r>
      <w:r w:rsidR="00A70307">
        <w:t xml:space="preserve">on </w:t>
      </w:r>
      <w:r w:rsidRPr="007E3E1F">
        <w:t>existing or planned data projects</w:t>
      </w:r>
      <w:r w:rsidR="00F6303D">
        <w:t xml:space="preserve">.  </w:t>
      </w:r>
      <w:r w:rsidR="00CB28F1">
        <w:rPr>
          <w:rFonts w:cs="Calibri"/>
          <w:color w:val="000000"/>
          <w:szCs w:val="26"/>
        </w:rPr>
        <w:t xml:space="preserve">This proceeding will not </w:t>
      </w:r>
      <w:r w:rsidRPr="009F6EF3" w:rsidR="00CB28F1">
        <w:rPr>
          <w:rFonts w:cs="Calibri"/>
          <w:color w:val="000000"/>
          <w:szCs w:val="26"/>
        </w:rPr>
        <w:t xml:space="preserve">limit </w:t>
      </w:r>
      <w:r w:rsidRPr="00F56308" w:rsidR="00CB28F1">
        <w:rPr>
          <w:color w:val="000000"/>
        </w:rPr>
        <w:t>the</w:t>
      </w:r>
      <w:r w:rsidR="00CB28F1">
        <w:rPr>
          <w:rFonts w:cs="Calibri"/>
          <w:color w:val="000000"/>
          <w:szCs w:val="26"/>
        </w:rPr>
        <w:t xml:space="preserve"> </w:t>
      </w:r>
      <w:r w:rsidRPr="009F6EF3" w:rsidR="00CB28F1">
        <w:rPr>
          <w:rFonts w:cs="Calibri"/>
          <w:color w:val="000000"/>
          <w:szCs w:val="26"/>
        </w:rPr>
        <w:t>ability of any resource proceeding to determine the particular policies or procedures needed to achieve proceeding goals</w:t>
      </w:r>
      <w:r w:rsidR="00CB28F1">
        <w:rPr>
          <w:rFonts w:cs="Calibri"/>
          <w:color w:val="000000"/>
          <w:szCs w:val="26"/>
        </w:rPr>
        <w:t xml:space="preserve">.  </w:t>
      </w:r>
      <w:r w:rsidR="00F6303D">
        <w:t>We describe some of the</w:t>
      </w:r>
      <w:r w:rsidR="00CB28F1">
        <w:t xml:space="preserve"> related proceeding</w:t>
      </w:r>
      <w:r w:rsidR="00CC12FE">
        <w:t>s‘</w:t>
      </w:r>
      <w:r w:rsidR="00CB28F1">
        <w:t xml:space="preserve"> </w:t>
      </w:r>
      <w:r w:rsidR="00F6303D">
        <w:t xml:space="preserve">efforts here. </w:t>
      </w:r>
    </w:p>
    <w:p w:rsidRPr="006376C0" w:rsidR="00C520CB" w:rsidP="00F56308" w:rsidRDefault="00A70307" w14:paraId="7928F2CD" w14:textId="5C3B5AA3">
      <w:pPr>
        <w:rPr>
          <w:szCs w:val="20"/>
        </w:rPr>
      </w:pPr>
      <w:r>
        <w:t>In R.</w:t>
      </w:r>
      <w:r w:rsidR="00122D2A">
        <w:t xml:space="preserve">08-12-009, </w:t>
      </w:r>
      <w:r w:rsidRPr="00972E08" w:rsidR="00C520CB">
        <w:rPr>
          <w:i/>
          <w:iCs/>
        </w:rPr>
        <w:t>Rulemaking to Consider Smart Grid Technologies Pursuant to Federal Legislation and on the Commission's own Motion to Actively Guide Policy in California's Development of a Smart Grid System</w:t>
      </w:r>
      <w:r w:rsidRPr="007E3E1F" w:rsidR="00C520CB">
        <w:t xml:space="preserve"> (Smart Grid proceeding</w:t>
      </w:r>
      <w:r w:rsidR="00122D2A">
        <w:t xml:space="preserve">), the Commission </w:t>
      </w:r>
      <w:r w:rsidRPr="00842D1D" w:rsidR="00122D2A">
        <w:t xml:space="preserve">in </w:t>
      </w:r>
      <w:r w:rsidRPr="00842D1D" w:rsidR="006376C0">
        <w:t>D</w:t>
      </w:r>
      <w:r w:rsidR="006376C0">
        <w:t xml:space="preserve">.14-05-051 </w:t>
      </w:r>
      <w:r w:rsidRPr="007E3E1F" w:rsidR="00C520CB">
        <w:t xml:space="preserve">adopted guidelines for use of </w:t>
      </w:r>
      <w:r w:rsidR="006E6819">
        <w:t>S</w:t>
      </w:r>
      <w:r w:rsidRPr="007E3E1F" w:rsidR="00C520CB">
        <w:t xml:space="preserve">mart </w:t>
      </w:r>
      <w:r w:rsidR="006E6819">
        <w:t>M</w:t>
      </w:r>
      <w:r w:rsidRPr="007E3E1F" w:rsidR="00C520CB">
        <w:t>eter data.  These guidelines, especially the “use cases” for data access, require updating and refinement.</w:t>
      </w:r>
    </w:p>
    <w:p w:rsidRPr="007E3E1F" w:rsidR="00C520CB" w:rsidP="00F56308" w:rsidRDefault="00E81384" w14:paraId="32F79484" w14:textId="58B3660F">
      <w:pPr>
        <w:pStyle w:val="Standard"/>
      </w:pPr>
      <w:r>
        <w:t xml:space="preserve">In the </w:t>
      </w:r>
      <w:r w:rsidRPr="007E3E1F" w:rsidR="00C520CB">
        <w:t xml:space="preserve">energy efficiency </w:t>
      </w:r>
      <w:r>
        <w:t>rulemaking</w:t>
      </w:r>
      <w:r w:rsidRPr="007E3E1F" w:rsidR="00C520CB">
        <w:t xml:space="preserve"> (R.13-11-005), </w:t>
      </w:r>
      <w:r>
        <w:t>the Commission</w:t>
      </w:r>
      <w:r w:rsidR="00E74EE1">
        <w:t>, parties and program implementers</w:t>
      </w:r>
      <w:r>
        <w:t xml:space="preserve"> </w:t>
      </w:r>
      <w:r w:rsidRPr="007E3E1F" w:rsidR="00C520CB">
        <w:t>ha</w:t>
      </w:r>
      <w:r w:rsidR="00D37354">
        <w:t xml:space="preserve">ve advanced </w:t>
      </w:r>
      <w:r w:rsidRPr="007E3E1F" w:rsidR="00C520CB">
        <w:t xml:space="preserve">use of normalized metered energy consumption (NMEC) data </w:t>
      </w:r>
      <w:r w:rsidR="004600A1">
        <w:t xml:space="preserve">to </w:t>
      </w:r>
      <w:r w:rsidRPr="007E3E1F" w:rsidR="00C520CB">
        <w:t>calculat</w:t>
      </w:r>
      <w:r w:rsidR="004600A1">
        <w:t>e</w:t>
      </w:r>
      <w:r w:rsidRPr="007E3E1F" w:rsidR="00C520CB">
        <w:t xml:space="preserve"> savings and </w:t>
      </w:r>
      <w:r w:rsidR="004600A1">
        <w:t xml:space="preserve">implementer </w:t>
      </w:r>
      <w:r w:rsidRPr="007E3E1F" w:rsidR="00C520CB">
        <w:t>payment</w:t>
      </w:r>
      <w:r w:rsidR="004600A1">
        <w:t xml:space="preserve">s. </w:t>
      </w:r>
      <w:r w:rsidR="00CC31F1">
        <w:t xml:space="preserve"> </w:t>
      </w:r>
      <w:r w:rsidRPr="007E3E1F" w:rsidR="00C520CB">
        <w:t>In addition, the pending statewide deployment of a</w:t>
      </w:r>
      <w:r w:rsidR="00FF62CA">
        <w:t xml:space="preserve">n energy efficiency </w:t>
      </w:r>
      <w:r w:rsidRPr="007E3E1F" w:rsidR="00C520CB">
        <w:t xml:space="preserve">database tool and website to be referred to as California’s Analysis Tool for Locational </w:t>
      </w:r>
      <w:r w:rsidRPr="007E3E1F" w:rsidR="00C520CB">
        <w:lastRenderedPageBreak/>
        <w:t>Energy Assessment (CATALENA) will enable users to view and download aggregated electric and gas energy use profiles of customers</w:t>
      </w:r>
      <w:r w:rsidR="00A929A4">
        <w:t xml:space="preserve">, </w:t>
      </w:r>
      <w:r w:rsidRPr="007E3E1F" w:rsidR="00C520CB">
        <w:t>including residential, commercial, public, industrial, and agricultural</w:t>
      </w:r>
      <w:r w:rsidR="00A929A4">
        <w:t xml:space="preserve"> customers</w:t>
      </w:r>
      <w:r w:rsidR="00072C70">
        <w:t xml:space="preserve">.  The CATALENA </w:t>
      </w:r>
      <w:r w:rsidR="00CC31F1">
        <w:t>database</w:t>
      </w:r>
      <w:r w:rsidR="00072C70">
        <w:t xml:space="preserve"> is</w:t>
      </w:r>
      <w:r w:rsidRPr="007E3E1F" w:rsidR="00C520CB">
        <w:t xml:space="preserve"> expected to be designed to cross-link with other information systems to produce energy use profiles that support targeted, effective energy efficiency strategies and programs,</w:t>
      </w:r>
      <w:r w:rsidR="00AB3E01">
        <w:t xml:space="preserve"> track</w:t>
      </w:r>
      <w:r w:rsidRPr="007E3E1F" w:rsidR="00C520CB">
        <w:t xml:space="preserve"> performance over time, and </w:t>
      </w:r>
      <w:r w:rsidR="00AB3E01">
        <w:t xml:space="preserve">allow for </w:t>
      </w:r>
      <w:r w:rsidRPr="007E3E1F" w:rsidR="00C520CB">
        <w:t>reliable analysis and reporting.</w:t>
      </w:r>
    </w:p>
    <w:p w:rsidRPr="007E3E1F" w:rsidR="00C520CB" w:rsidP="00F56308" w:rsidRDefault="00C520CB" w14:paraId="69E72E6F" w14:textId="43A50BF2">
      <w:pPr>
        <w:pStyle w:val="Standard"/>
      </w:pPr>
      <w:r w:rsidRPr="007E3E1F">
        <w:t>T</w:t>
      </w:r>
      <w:r w:rsidR="000F038F">
        <w:t>he Commission and the CEC are currently coordinating on t</w:t>
      </w:r>
      <w:r w:rsidRPr="007E3E1F">
        <w:t>wo large</w:t>
      </w:r>
      <w:r w:rsidR="000F038F">
        <w:t xml:space="preserve"> </w:t>
      </w:r>
      <w:r w:rsidRPr="007E3E1F">
        <w:t>scale data gathering project</w:t>
      </w:r>
      <w:r w:rsidR="000F038F">
        <w:t xml:space="preserve">s.  </w:t>
      </w:r>
      <w:r w:rsidR="00F6303D">
        <w:t xml:space="preserve">The first is a </w:t>
      </w:r>
      <w:r w:rsidRPr="007E3E1F">
        <w:t xml:space="preserve">CEC-led project focused on customer </w:t>
      </w:r>
      <w:r w:rsidR="00A929A4">
        <w:t xml:space="preserve">AMI </w:t>
      </w:r>
      <w:r w:rsidRPr="007E3E1F">
        <w:t>time-series data and energy billing data</w:t>
      </w:r>
      <w:r>
        <w:t>.</w:t>
      </w:r>
      <w:r w:rsidRPr="00EC0910">
        <w:rPr>
          <w:vertAlign w:val="superscript"/>
        </w:rPr>
        <w:footnoteReference w:id="16"/>
      </w:r>
      <w:r w:rsidR="00F6303D">
        <w:t xml:space="preserve">  The second is a</w:t>
      </w:r>
      <w:r w:rsidRPr="007E3E1F">
        <w:t xml:space="preserve"> </w:t>
      </w:r>
      <w:r>
        <w:t>Commission</w:t>
      </w:r>
      <w:r w:rsidRPr="007E3E1F">
        <w:t xml:space="preserve">-led project focused on a wider range of energy data, including customer time-series, power flow, geospatial grid infrastructure; energy efficiency, and demand response, to support the High DER </w:t>
      </w:r>
      <w:r>
        <w:t>Future p</w:t>
      </w:r>
      <w:r w:rsidRPr="007E3E1F">
        <w:t>roceeding (R.21-06-017).</w:t>
      </w:r>
    </w:p>
    <w:p w:rsidRPr="007E3E1F" w:rsidR="00C520CB" w:rsidP="00F56308" w:rsidRDefault="00FB3BCA" w14:paraId="64ED5899" w14:textId="769AC114">
      <w:pPr>
        <w:pStyle w:val="Standard"/>
      </w:pPr>
      <w:r>
        <w:t xml:space="preserve">The </w:t>
      </w:r>
      <w:r w:rsidR="006A1CF9">
        <w:t xml:space="preserve">Commission and parties have </w:t>
      </w:r>
      <w:r w:rsidR="00E70B70">
        <w:t xml:space="preserve">worked in recent years to </w:t>
      </w:r>
      <w:r w:rsidR="00076281">
        <w:t xml:space="preserve">improve data use </w:t>
      </w:r>
      <w:r w:rsidRPr="007E3E1F" w:rsidR="00C520CB">
        <w:t xml:space="preserve">in the </w:t>
      </w:r>
      <w:r w:rsidR="009808A7">
        <w:t xml:space="preserve">California </w:t>
      </w:r>
      <w:r w:rsidR="00447611">
        <w:t>A</w:t>
      </w:r>
      <w:r>
        <w:t>lternate</w:t>
      </w:r>
      <w:r w:rsidR="00447611">
        <w:t xml:space="preserve"> Rates for Energy (</w:t>
      </w:r>
      <w:r w:rsidRPr="007E3E1F" w:rsidR="00C520CB">
        <w:t>CARE</w:t>
      </w:r>
      <w:r>
        <w:t>)</w:t>
      </w:r>
      <w:r w:rsidRPr="007E3E1F" w:rsidR="00C520CB">
        <w:t xml:space="preserve"> and </w:t>
      </w:r>
      <w:r>
        <w:t>Energy Savings Assistance (</w:t>
      </w:r>
      <w:r w:rsidRPr="007E3E1F" w:rsidR="00C520CB">
        <w:t>ESA</w:t>
      </w:r>
      <w:r>
        <w:t>)</w:t>
      </w:r>
      <w:r w:rsidRPr="007E3E1F" w:rsidR="00C520CB">
        <w:t xml:space="preserve"> </w:t>
      </w:r>
      <w:r w:rsidR="00C520CB">
        <w:t>p</w:t>
      </w:r>
      <w:r w:rsidRPr="007E3E1F" w:rsidR="00C520CB">
        <w:t>rogram proceedings</w:t>
      </w:r>
      <w:r w:rsidR="00076281">
        <w:t>.</w:t>
      </w:r>
      <w:r w:rsidRPr="007E3E1F" w:rsidR="00C520CB">
        <w:t xml:space="preserve">  </w:t>
      </w:r>
      <w:r w:rsidR="00615F1F">
        <w:t>P</w:t>
      </w:r>
      <w:r w:rsidRPr="007E3E1F" w:rsidR="00C520CB">
        <w:t xml:space="preserve">ast studies </w:t>
      </w:r>
      <w:r w:rsidR="00615F1F">
        <w:t xml:space="preserve">have </w:t>
      </w:r>
      <w:r w:rsidRPr="007E3E1F" w:rsidR="00C520CB">
        <w:t xml:space="preserve">created individual CARE customer reports that illustrate disaggregated household usage by end use over time. </w:t>
      </w:r>
      <w:r w:rsidR="00C520CB">
        <w:t xml:space="preserve"> </w:t>
      </w:r>
      <w:r w:rsidR="00F6303D">
        <w:t xml:space="preserve">Work </w:t>
      </w:r>
      <w:r w:rsidR="00191837">
        <w:t xml:space="preserve">has also </w:t>
      </w:r>
      <w:r w:rsidRPr="007E3E1F" w:rsidR="00C520CB">
        <w:t>segment</w:t>
      </w:r>
      <w:r w:rsidR="00F6303D">
        <w:t>ed</w:t>
      </w:r>
      <w:r w:rsidRPr="007E3E1F" w:rsidR="00C520CB">
        <w:t xml:space="preserve"> CARE customers into groups that would</w:t>
      </w:r>
      <w:r w:rsidRPr="007E6238" w:rsidR="00C520CB">
        <w:t xml:space="preserve"> </w:t>
      </w:r>
      <w:r w:rsidRPr="007E3E1F" w:rsidR="00C520CB">
        <w:t>benefit from Critical Peak Pricing (CPP), Time of Use</w:t>
      </w:r>
      <w:r w:rsidRPr="007E6238" w:rsidR="00C520CB">
        <w:t xml:space="preserve"> </w:t>
      </w:r>
      <w:r w:rsidRPr="007E3E1F" w:rsidR="00C520CB">
        <w:t>(TOU) rates, load shifting or demand response</w:t>
      </w:r>
      <w:r w:rsidRPr="007E6238" w:rsidR="00C520CB">
        <w:t xml:space="preserve"> </w:t>
      </w:r>
      <w:r w:rsidRPr="007E3E1F" w:rsidR="00C520CB">
        <w:t>program enrollment</w:t>
      </w:r>
      <w:r w:rsidRPr="007E6238" w:rsidR="00C520CB">
        <w:t xml:space="preserve">.  </w:t>
      </w:r>
      <w:r w:rsidRPr="007E3E1F" w:rsidR="00C520CB">
        <w:t>P</w:t>
      </w:r>
      <w:r>
        <w:t>acific Gas and Electric Company (P</w:t>
      </w:r>
      <w:r w:rsidRPr="007E3E1F" w:rsidR="00C520CB">
        <w:t>G&amp;E</w:t>
      </w:r>
      <w:r>
        <w:t>)</w:t>
      </w:r>
      <w:r w:rsidRPr="007E3E1F" w:rsidR="00C520CB">
        <w:t xml:space="preserve"> has proposed to use the results of this project to enhance use of load profiles with</w:t>
      </w:r>
      <w:r w:rsidRPr="007E6238" w:rsidR="00C520CB">
        <w:t xml:space="preserve"> </w:t>
      </w:r>
      <w:r w:rsidRPr="007E3E1F" w:rsidR="00C520CB">
        <w:t>CARE and ESA</w:t>
      </w:r>
      <w:r w:rsidRPr="007E6238" w:rsidR="00C520CB">
        <w:t xml:space="preserve"> </w:t>
      </w:r>
      <w:r w:rsidRPr="007E3E1F" w:rsidR="00C520CB">
        <w:t>customers</w:t>
      </w:r>
      <w:r w:rsidRPr="007E6238" w:rsidR="00C520CB">
        <w:t xml:space="preserve"> </w:t>
      </w:r>
      <w:r w:rsidRPr="007E3E1F" w:rsidR="00C520CB">
        <w:t>to</w:t>
      </w:r>
      <w:r w:rsidRPr="007E6238" w:rsidR="00C520CB">
        <w:t xml:space="preserve"> </w:t>
      </w:r>
      <w:r w:rsidRPr="007E3E1F" w:rsidR="00C520CB">
        <w:t>test</w:t>
      </w:r>
      <w:r w:rsidRPr="007E6238" w:rsidR="00C520CB">
        <w:t xml:space="preserve"> </w:t>
      </w:r>
      <w:r w:rsidR="002B4EF4">
        <w:t xml:space="preserve">whether </w:t>
      </w:r>
      <w:r w:rsidR="00191837">
        <w:t xml:space="preserve">doing so </w:t>
      </w:r>
      <w:r w:rsidR="00FA5089">
        <w:t xml:space="preserve">impacts </w:t>
      </w:r>
      <w:r w:rsidR="00FA5089">
        <w:lastRenderedPageBreak/>
        <w:t>customer</w:t>
      </w:r>
      <w:r w:rsidR="002B4EF4">
        <w:t xml:space="preserve"> </w:t>
      </w:r>
      <w:r w:rsidRPr="007E3E1F" w:rsidR="00C520CB">
        <w:t>energy savings,</w:t>
      </w:r>
      <w:r w:rsidRPr="007E6238" w:rsidR="00C520CB">
        <w:t xml:space="preserve"> </w:t>
      </w:r>
      <w:r w:rsidR="00FA5089">
        <w:t xml:space="preserve">the selection of </w:t>
      </w:r>
      <w:r w:rsidRPr="007E3E1F" w:rsidR="00C520CB">
        <w:t>residential rate</w:t>
      </w:r>
      <w:r w:rsidR="00FA5089">
        <w:t>s</w:t>
      </w:r>
      <w:r w:rsidRPr="007E3E1F" w:rsidR="00C520CB">
        <w:t>,</w:t>
      </w:r>
      <w:r w:rsidRPr="007E6238" w:rsidR="00C520CB">
        <w:t xml:space="preserve"> </w:t>
      </w:r>
      <w:r w:rsidRPr="007E3E1F" w:rsidR="00C520CB">
        <w:t>participation in other</w:t>
      </w:r>
      <w:r w:rsidRPr="007E6238" w:rsidR="00C520CB">
        <w:t xml:space="preserve"> </w:t>
      </w:r>
      <w:r w:rsidRPr="007E3E1F" w:rsidR="00C520CB">
        <w:t>programs</w:t>
      </w:r>
      <w:r w:rsidR="00FA5089">
        <w:t>,</w:t>
      </w:r>
      <w:r w:rsidRPr="007E6238" w:rsidR="00C520CB">
        <w:t xml:space="preserve"> </w:t>
      </w:r>
      <w:r w:rsidR="0048246F">
        <w:t xml:space="preserve">or customer </w:t>
      </w:r>
      <w:r w:rsidRPr="007E3E1F" w:rsidR="00C520CB">
        <w:t>behavior</w:t>
      </w:r>
      <w:r w:rsidR="0048246F">
        <w:t>al changes</w:t>
      </w:r>
      <w:r w:rsidRPr="007E6238" w:rsidR="00C520CB">
        <w:t>.</w:t>
      </w:r>
      <w:r w:rsidRPr="00EC0910" w:rsidR="00C520CB">
        <w:rPr>
          <w:vertAlign w:val="superscript"/>
        </w:rPr>
        <w:footnoteReference w:id="17"/>
      </w:r>
      <w:r w:rsidRPr="00EC0910" w:rsidR="00C520CB">
        <w:rPr>
          <w:vertAlign w:val="superscript"/>
        </w:rPr>
        <w:t xml:space="preserve"> </w:t>
      </w:r>
    </w:p>
    <w:p w:rsidRPr="007E6238" w:rsidR="00C520CB" w:rsidP="00F56308" w:rsidRDefault="00C520CB" w14:paraId="006CE497" w14:textId="2DA4A67B">
      <w:pPr>
        <w:pStyle w:val="Standard"/>
      </w:pPr>
      <w:r w:rsidRPr="007E3E1F">
        <w:t>The “Click-Through” mechanism is an online process that enables a customer to easily provide consent to their electric utility for release of customer data to a third-party demand response provider.</w:t>
      </w:r>
      <w:r w:rsidRPr="00EC0910">
        <w:rPr>
          <w:vertAlign w:val="superscript"/>
        </w:rPr>
        <w:footnoteReference w:id="18"/>
      </w:r>
      <w:r w:rsidRPr="007E3E1F">
        <w:t xml:space="preserve">  </w:t>
      </w:r>
      <w:r w:rsidR="0048246F">
        <w:t xml:space="preserve">This proceeding could consider </w:t>
      </w:r>
      <w:r w:rsidR="006A1CF9">
        <w:t>expansion of</w:t>
      </w:r>
      <w:r w:rsidRPr="007E3E1F">
        <w:t xml:space="preserve"> the Click-Through mechanism to other DERs </w:t>
      </w:r>
      <w:r w:rsidR="006A1CF9">
        <w:t>to support delivery of a</w:t>
      </w:r>
      <w:r w:rsidRPr="007E3E1F" w:rsidR="006A1CF9">
        <w:t>ccurate, timely customer data to third-parties</w:t>
      </w:r>
      <w:r w:rsidRPr="007E3E1F">
        <w:t>.</w:t>
      </w:r>
    </w:p>
    <w:p w:rsidR="00C520CB" w:rsidP="00F56308" w:rsidRDefault="00C520CB" w14:paraId="6C8A23C2" w14:textId="5A2DB949">
      <w:pPr>
        <w:pStyle w:val="Standard"/>
      </w:pPr>
      <w:r w:rsidRPr="007E3E1F">
        <w:t>California Distributed Generation Statistics is a website that hosts publicly</w:t>
      </w:r>
      <w:r w:rsidR="00A5175D">
        <w:noBreakHyphen/>
      </w:r>
      <w:r w:rsidRPr="007E3E1F">
        <w:t xml:space="preserve">available data on behind-the-meter interconnections in </w:t>
      </w:r>
      <w:r w:rsidR="00A64A20">
        <w:t xml:space="preserve">utility </w:t>
      </w:r>
      <w:r w:rsidRPr="007E3E1F">
        <w:t>service territories a</w:t>
      </w:r>
      <w:r w:rsidR="00520DF9">
        <w:t>nd</w:t>
      </w:r>
      <w:r w:rsidRPr="007E3E1F">
        <w:t xml:space="preserve"> data </w:t>
      </w:r>
      <w:r w:rsidR="00520DF9">
        <w:t xml:space="preserve">on </w:t>
      </w:r>
      <w:r w:rsidRPr="007E3E1F">
        <w:t>customer generation and storage programs (</w:t>
      </w:r>
      <w:r w:rsidRPr="00842D1D">
        <w:rPr>
          <w:i/>
          <w:iCs/>
        </w:rPr>
        <w:t>e.g.</w:t>
      </w:r>
      <w:r w:rsidRPr="007E3E1F">
        <w:t xml:space="preserve"> </w:t>
      </w:r>
      <w:r w:rsidR="00CA724C">
        <w:t>the Self</w:t>
      </w:r>
      <w:r w:rsidR="00A5175D">
        <w:noBreakHyphen/>
      </w:r>
      <w:r w:rsidR="00CA724C">
        <w:t>Generation Incentive Program (</w:t>
      </w:r>
      <w:r w:rsidRPr="007E3E1F">
        <w:t>SGIP</w:t>
      </w:r>
      <w:r w:rsidR="00CA724C">
        <w:t>)</w:t>
      </w:r>
      <w:r w:rsidRPr="007E3E1F">
        <w:t>, Solar on Multifamily Affordable Housing, Single</w:t>
      </w:r>
      <w:r>
        <w:noBreakHyphen/>
      </w:r>
      <w:r w:rsidRPr="007E3E1F">
        <w:t>family Affordable Solar Homes, etc.).</w:t>
      </w:r>
      <w:r>
        <w:t xml:space="preserve"> </w:t>
      </w:r>
      <w:r w:rsidRPr="007E3E1F">
        <w:t xml:space="preserve"> Since its creation in 2006, the website has continued to expand and is used by a wide range of stakeholders including government, academia, industry, and journalists.</w:t>
      </w:r>
      <w:r w:rsidRPr="00EC0910">
        <w:rPr>
          <w:vertAlign w:val="superscript"/>
        </w:rPr>
        <w:footnoteReference w:id="19"/>
      </w:r>
    </w:p>
    <w:p w:rsidRPr="007E3E1F" w:rsidR="00C520CB" w:rsidP="00F56308" w:rsidRDefault="00C520CB" w14:paraId="0A8ABE72" w14:textId="59940649">
      <w:pPr>
        <w:pStyle w:val="Standard"/>
      </w:pPr>
      <w:r w:rsidRPr="0065121F">
        <w:t xml:space="preserve">Efforts </w:t>
      </w:r>
      <w:r w:rsidR="00A0425C">
        <w:t xml:space="preserve">are </w:t>
      </w:r>
      <w:r w:rsidRPr="0065121F">
        <w:t xml:space="preserve">underway in </w:t>
      </w:r>
      <w:r w:rsidR="00520DF9">
        <w:t>the</w:t>
      </w:r>
      <w:r w:rsidR="000543C5">
        <w:t xml:space="preserve"> </w:t>
      </w:r>
      <w:r w:rsidRPr="003B4E34" w:rsidR="000543C5">
        <w:rPr>
          <w:i/>
          <w:iCs/>
        </w:rPr>
        <w:t>Rulemaking to Advance</w:t>
      </w:r>
      <w:r w:rsidRPr="003B4E34" w:rsidR="00520DF9">
        <w:rPr>
          <w:i/>
          <w:iCs/>
        </w:rPr>
        <w:t xml:space="preserve"> </w:t>
      </w:r>
      <w:r w:rsidRPr="00F56308">
        <w:rPr>
          <w:i/>
        </w:rPr>
        <w:t>Demand Flexibility</w:t>
      </w:r>
      <w:r w:rsidRPr="00F56308" w:rsidR="000543C5">
        <w:rPr>
          <w:i/>
        </w:rPr>
        <w:t xml:space="preserve"> </w:t>
      </w:r>
      <w:r w:rsidRPr="003B4E34" w:rsidR="000543C5">
        <w:rPr>
          <w:i/>
          <w:iCs/>
        </w:rPr>
        <w:t>through Electric Rates</w:t>
      </w:r>
      <w:r w:rsidRPr="0065121F">
        <w:t xml:space="preserve"> (R.22</w:t>
      </w:r>
      <w:r>
        <w:noBreakHyphen/>
      </w:r>
      <w:r w:rsidRPr="0065121F">
        <w:t>07</w:t>
      </w:r>
      <w:r>
        <w:noBreakHyphen/>
      </w:r>
      <w:r w:rsidRPr="0065121F">
        <w:t xml:space="preserve">005) to provide </w:t>
      </w:r>
      <w:r w:rsidR="00A0425C">
        <w:t xml:space="preserve">public </w:t>
      </w:r>
      <w:r w:rsidRPr="0065121F">
        <w:t>access to the current electricity price through a statewide internet-based price portal</w:t>
      </w:r>
      <w:r w:rsidR="00A0425C">
        <w:t>.</w:t>
      </w:r>
      <w:r w:rsidR="00FB4CA1">
        <w:t xml:space="preserve">  Work in this area </w:t>
      </w:r>
      <w:r w:rsidR="00B0733E">
        <w:t>will</w:t>
      </w:r>
      <w:r w:rsidRPr="0065121F">
        <w:t xml:space="preserve"> coordinat</w:t>
      </w:r>
      <w:r w:rsidR="00B0733E">
        <w:t>e</w:t>
      </w:r>
      <w:r w:rsidRPr="0065121F">
        <w:t xml:space="preserve"> with </w:t>
      </w:r>
      <w:r w:rsidR="008D60EB">
        <w:t xml:space="preserve">the </w:t>
      </w:r>
      <w:r w:rsidRPr="0065121F">
        <w:t xml:space="preserve">CEC’s </w:t>
      </w:r>
      <w:r w:rsidR="00E74EE1">
        <w:t>adoption</w:t>
      </w:r>
      <w:r w:rsidR="008D60EB">
        <w:t xml:space="preserve"> of </w:t>
      </w:r>
      <w:r w:rsidRPr="0065121F">
        <w:t xml:space="preserve">amendments to their Load Management </w:t>
      </w:r>
      <w:r>
        <w:t>S</w:t>
      </w:r>
      <w:r w:rsidRPr="0065121F">
        <w:t>tandards</w:t>
      </w:r>
      <w:r w:rsidR="008D60EB">
        <w:t xml:space="preserve">.  This includes </w:t>
      </w:r>
      <w:r w:rsidR="00A64A20">
        <w:t xml:space="preserve">CEC </w:t>
      </w:r>
      <w:r w:rsidRPr="0065121F">
        <w:t>updat</w:t>
      </w:r>
      <w:r w:rsidR="008D60EB">
        <w:t xml:space="preserve">es to </w:t>
      </w:r>
      <w:r w:rsidRPr="0065121F">
        <w:t>the time dependent rates in the C</w:t>
      </w:r>
      <w:r>
        <w:t>EC</w:t>
      </w:r>
      <w:r w:rsidRPr="0065121F">
        <w:t xml:space="preserve">’s Market Informed Demand Automation Server (MIDAS) database and </w:t>
      </w:r>
      <w:r w:rsidR="0016035B">
        <w:t>implementing</w:t>
      </w:r>
      <w:r w:rsidRPr="0065121F">
        <w:t xml:space="preserve"> a </w:t>
      </w:r>
      <w:r w:rsidR="0016035B">
        <w:t xml:space="preserve">standardized </w:t>
      </w:r>
      <w:r w:rsidRPr="0065121F">
        <w:t xml:space="preserve">statewide </w:t>
      </w:r>
      <w:r w:rsidR="00E74EE1">
        <w:t xml:space="preserve">method </w:t>
      </w:r>
      <w:r w:rsidR="0016035B">
        <w:t>to</w:t>
      </w:r>
      <w:r w:rsidRPr="0065121F">
        <w:t xml:space="preserve"> provid</w:t>
      </w:r>
      <w:r w:rsidR="0016035B">
        <w:t>e</w:t>
      </w:r>
      <w:r w:rsidRPr="0065121F">
        <w:t xml:space="preserve"> automation service providers with access to customers’ rate information.</w:t>
      </w:r>
    </w:p>
    <w:p w:rsidRPr="007E3E1F" w:rsidR="007E3E1F" w:rsidP="00F02759" w:rsidRDefault="007E3E1F" w14:paraId="3822A08C" w14:textId="4C25C5C3">
      <w:pPr>
        <w:pStyle w:val="Heading1"/>
      </w:pPr>
      <w:bookmarkStart w:name="_Toc118111307" w:id="105"/>
      <w:bookmarkStart w:name="_Toc118111308" w:id="106"/>
      <w:bookmarkStart w:name="_Toc118111309" w:id="107"/>
      <w:bookmarkStart w:name="_Toc118111310" w:id="108"/>
      <w:bookmarkStart w:name="_Toc118111311" w:id="109"/>
      <w:bookmarkStart w:name="_Toc118111312" w:id="110"/>
      <w:bookmarkStart w:name="_Toc118111313" w:id="111"/>
      <w:bookmarkStart w:name="_Toc118111314" w:id="112"/>
      <w:bookmarkStart w:name="_Toc118111315" w:id="113"/>
      <w:bookmarkStart w:name="_Toc118111316" w:id="114"/>
      <w:bookmarkStart w:name="_Toc118111317" w:id="115"/>
      <w:bookmarkStart w:name="_Toc118111318" w:id="116"/>
      <w:bookmarkStart w:name="_Toc118111319" w:id="117"/>
      <w:bookmarkStart w:name="_Toc118111320" w:id="118"/>
      <w:bookmarkStart w:name="_Toc118111321" w:id="119"/>
      <w:bookmarkStart w:name="_Toc118111322" w:id="120"/>
      <w:bookmarkStart w:name="_Toc118111323" w:id="121"/>
      <w:bookmarkStart w:name="_Toc118111324" w:id="122"/>
      <w:bookmarkStart w:name="_Toc118111325" w:id="123"/>
      <w:bookmarkStart w:name="_Toc118111326" w:id="124"/>
      <w:bookmarkStart w:name="_Toc118111327" w:id="125"/>
      <w:bookmarkStart w:name="_Toc118111328" w:id="126"/>
      <w:bookmarkStart w:name="_Toc118111329" w:id="127"/>
      <w:bookmarkStart w:name="_Toc118111330" w:id="128"/>
      <w:bookmarkStart w:name="_Toc118111331" w:id="129"/>
      <w:bookmarkStart w:name="_Toc118111332" w:id="130"/>
      <w:bookmarkStart w:name="_Toc118111333" w:id="131"/>
      <w:bookmarkStart w:name="_Toc118111334" w:id="132"/>
      <w:bookmarkStart w:name="_Toc118111335" w:id="133"/>
      <w:bookmarkStart w:name="_Toc118111336" w:id="134"/>
      <w:bookmarkStart w:name="_Toc118111337" w:id="135"/>
      <w:bookmarkStart w:name="_Toc118111338" w:id="136"/>
      <w:bookmarkStart w:name="_Toc118111339" w:id="137"/>
      <w:bookmarkStart w:name="_Toc106887322" w:id="138"/>
      <w:bookmarkStart w:name="_Toc106888909" w:id="139"/>
      <w:bookmarkStart w:name="_Toc119312344" w:id="140"/>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7E3E1F">
        <w:lastRenderedPageBreak/>
        <w:t>Preliminary Scoping Memo</w:t>
      </w:r>
      <w:bookmarkEnd w:id="138"/>
      <w:bookmarkEnd w:id="139"/>
      <w:bookmarkEnd w:id="140"/>
    </w:p>
    <w:p w:rsidRPr="007E3E1F" w:rsidR="007E3E1F" w:rsidP="007E3E1F" w:rsidRDefault="007E3E1F" w14:paraId="2375DB61" w14:textId="000FB81D">
      <w:pPr>
        <w:tabs>
          <w:tab w:val="left" w:pos="360"/>
        </w:tabs>
        <w:rPr>
          <w:szCs w:val="26"/>
        </w:rPr>
      </w:pPr>
      <w:r w:rsidRPr="007E3E1F">
        <w:rPr>
          <w:szCs w:val="26"/>
        </w:rPr>
        <w:t xml:space="preserve">This rulemaking will be conducted in accordance with Article 6 of the </w:t>
      </w:r>
      <w:r w:rsidR="00F302C6">
        <w:rPr>
          <w:szCs w:val="26"/>
        </w:rPr>
        <w:t>Commission’s</w:t>
      </w:r>
      <w:r w:rsidRPr="007E3E1F">
        <w:rPr>
          <w:szCs w:val="26"/>
        </w:rPr>
        <w:t xml:space="preserve"> Rules of Practice and Procedure (Rules).  </w:t>
      </w:r>
      <w:r w:rsidR="00F5598B">
        <w:rPr>
          <w:szCs w:val="26"/>
        </w:rPr>
        <w:t>A</w:t>
      </w:r>
      <w:r w:rsidRPr="007E3E1F">
        <w:rPr>
          <w:szCs w:val="26"/>
        </w:rPr>
        <w:t>s required by Rule 7.3, this order includes a preliminary scoping memo as set forth below.</w:t>
      </w:r>
    </w:p>
    <w:p w:rsidR="005D077D" w:rsidP="005D077D" w:rsidRDefault="005D077D" w14:paraId="6E23AC59" w14:textId="1EC1FBF5">
      <w:pPr>
        <w:tabs>
          <w:tab w:val="left" w:pos="360"/>
        </w:tabs>
        <w:rPr>
          <w:szCs w:val="26"/>
        </w:rPr>
      </w:pPr>
      <w:r w:rsidRPr="007E3E1F">
        <w:rPr>
          <w:szCs w:val="26"/>
        </w:rPr>
        <w:t xml:space="preserve">The work of this proceeding will occur in more than one phase and will incorporate the ongoing work of R.14-10-003.  Phase 1 will take place during 2023 </w:t>
      </w:r>
      <w:r>
        <w:rPr>
          <w:szCs w:val="26"/>
        </w:rPr>
        <w:t xml:space="preserve">and 2024 </w:t>
      </w:r>
      <w:r w:rsidRPr="007E3E1F">
        <w:rPr>
          <w:szCs w:val="26"/>
        </w:rPr>
        <w:t xml:space="preserve">and will focus </w:t>
      </w:r>
      <w:r>
        <w:rPr>
          <w:szCs w:val="26"/>
        </w:rPr>
        <w:t xml:space="preserve">on two areas: </w:t>
      </w:r>
    </w:p>
    <w:p w:rsidRPr="007E3E1F" w:rsidR="005D077D" w:rsidP="005D077D" w:rsidRDefault="005D077D" w14:paraId="6997B383" w14:textId="249F6E77">
      <w:pPr>
        <w:pStyle w:val="ListBullet"/>
      </w:pPr>
      <w:r>
        <w:t xml:space="preserve">Track 1: </w:t>
      </w:r>
      <w:r w:rsidR="00C57483">
        <w:t xml:space="preserve"> </w:t>
      </w:r>
      <w:r>
        <w:t>Cost-</w:t>
      </w:r>
      <w:r w:rsidR="00F47A34">
        <w:t>E</w:t>
      </w:r>
      <w:r>
        <w:t xml:space="preserve">ffectiveness </w:t>
      </w:r>
    </w:p>
    <w:p w:rsidR="005D077D" w:rsidP="005D077D" w:rsidRDefault="005D077D" w14:paraId="7BCE990E" w14:textId="6CC1AE4E">
      <w:pPr>
        <w:pStyle w:val="ListBullet"/>
      </w:pPr>
      <w:r>
        <w:t xml:space="preserve">Track 2:  </w:t>
      </w:r>
      <w:r w:rsidR="007C4098">
        <w:t>Data Use and Access</w:t>
      </w:r>
    </w:p>
    <w:p w:rsidR="005D077D" w:rsidP="005D077D" w:rsidRDefault="005D077D" w14:paraId="3FD2A094" w14:textId="7030BD6F">
      <w:pPr>
        <w:tabs>
          <w:tab w:val="left" w:pos="360"/>
        </w:tabs>
        <w:rPr>
          <w:szCs w:val="26"/>
        </w:rPr>
      </w:pPr>
      <w:r>
        <w:rPr>
          <w:szCs w:val="26"/>
        </w:rPr>
        <w:t xml:space="preserve">Phase 2 will </w:t>
      </w:r>
      <w:r w:rsidR="00C57483">
        <w:rPr>
          <w:szCs w:val="26"/>
        </w:rPr>
        <w:t xml:space="preserve">commence at the conclusion of one or both Phase </w:t>
      </w:r>
      <w:r w:rsidR="00640873">
        <w:rPr>
          <w:szCs w:val="26"/>
        </w:rPr>
        <w:t xml:space="preserve">1 tracks.  Phase 2 </w:t>
      </w:r>
      <w:r w:rsidR="009D00B8">
        <w:rPr>
          <w:szCs w:val="26"/>
        </w:rPr>
        <w:t xml:space="preserve">will </w:t>
      </w:r>
      <w:r>
        <w:rPr>
          <w:szCs w:val="26"/>
        </w:rPr>
        <w:t xml:space="preserve">consider enacting equipment performance standards and </w:t>
      </w:r>
      <w:r w:rsidR="009D00B8">
        <w:rPr>
          <w:szCs w:val="26"/>
        </w:rPr>
        <w:t>may</w:t>
      </w:r>
      <w:r>
        <w:rPr>
          <w:szCs w:val="26"/>
        </w:rPr>
        <w:t xml:space="preserve"> address issues identified in the course of Phase 1 or areas of work not completed. </w:t>
      </w:r>
      <w:r w:rsidRPr="007E3E1F">
        <w:rPr>
          <w:szCs w:val="26"/>
        </w:rPr>
        <w:t xml:space="preserve"> </w:t>
      </w:r>
    </w:p>
    <w:p w:rsidR="00243CEB" w:rsidP="003B4E34" w:rsidRDefault="00243CEB" w14:paraId="666B9005" w14:textId="57E89E69">
      <w:pPr>
        <w:pStyle w:val="Heading2"/>
      </w:pPr>
      <w:bookmarkStart w:name="_Toc119312345" w:id="141"/>
      <w:r>
        <w:t>Phase 1:</w:t>
      </w:r>
      <w:bookmarkEnd w:id="141"/>
      <w:r>
        <w:t xml:space="preserve"> </w:t>
      </w:r>
    </w:p>
    <w:p w:rsidRPr="007E3E1F" w:rsidR="007E3E1F" w:rsidP="003B4E34" w:rsidRDefault="007E3E1F" w14:paraId="45A6D8A4" w14:textId="6C111440">
      <w:pPr>
        <w:pStyle w:val="Heading3"/>
      </w:pPr>
      <w:bookmarkStart w:name="_Toc118111341" w:id="142"/>
      <w:bookmarkStart w:name="_Toc118111342" w:id="143"/>
      <w:bookmarkStart w:name="_Toc118111343" w:id="144"/>
      <w:bookmarkStart w:name="_Toc118111344" w:id="145"/>
      <w:bookmarkStart w:name="_Toc118111345" w:id="146"/>
      <w:bookmarkStart w:name="_Toc118111346" w:id="147"/>
      <w:bookmarkStart w:name="_Toc118111347" w:id="148"/>
      <w:bookmarkStart w:name="_Toc118111348" w:id="149"/>
      <w:bookmarkStart w:name="_Toc118111349" w:id="150"/>
      <w:bookmarkStart w:name="_Toc118111350" w:id="151"/>
      <w:bookmarkStart w:name="_Toc118111351" w:id="152"/>
      <w:bookmarkStart w:name="_Toc106887325" w:id="153"/>
      <w:bookmarkStart w:name="_Toc106888912" w:id="154"/>
      <w:bookmarkStart w:name="_Toc119312346" w:id="155"/>
      <w:bookmarkEnd w:id="142"/>
      <w:bookmarkEnd w:id="143"/>
      <w:bookmarkEnd w:id="144"/>
      <w:bookmarkEnd w:id="145"/>
      <w:bookmarkEnd w:id="146"/>
      <w:bookmarkEnd w:id="147"/>
      <w:bookmarkEnd w:id="148"/>
      <w:bookmarkEnd w:id="149"/>
      <w:bookmarkEnd w:id="150"/>
      <w:bookmarkEnd w:id="151"/>
      <w:bookmarkEnd w:id="152"/>
      <w:r w:rsidRPr="007E3E1F">
        <w:t>Track 1</w:t>
      </w:r>
      <w:r w:rsidRPr="00842D1D">
        <w:t xml:space="preserve">: </w:t>
      </w:r>
      <w:bookmarkEnd w:id="153"/>
      <w:bookmarkEnd w:id="154"/>
      <w:r w:rsidRPr="00842D1D" w:rsidR="00E1648E">
        <w:t xml:space="preserve"> </w:t>
      </w:r>
      <w:r w:rsidRPr="00842D1D" w:rsidR="00A51E81">
        <w:t>Cost</w:t>
      </w:r>
      <w:r w:rsidR="00A51E81">
        <w:t>- Effectiveness</w:t>
      </w:r>
      <w:bookmarkEnd w:id="155"/>
    </w:p>
    <w:p w:rsidRPr="007E3E1F" w:rsidR="008A79F9" w:rsidP="00972E08" w:rsidRDefault="007E3E1F" w14:paraId="4FEB5B58" w14:textId="7B7C11F6">
      <w:pPr>
        <w:pStyle w:val="Standard"/>
        <w:rPr>
          <w:szCs w:val="26"/>
        </w:rPr>
      </w:pPr>
      <w:r w:rsidRPr="007E3E1F">
        <w:t xml:space="preserve">The goal of </w:t>
      </w:r>
      <w:r w:rsidR="00FD24D4">
        <w:t xml:space="preserve">Track 1 </w:t>
      </w:r>
      <w:r w:rsidRPr="007E3E1F">
        <w:t xml:space="preserve">is </w:t>
      </w:r>
      <w:r w:rsidRPr="006B5E79">
        <w:t>to</w:t>
      </w:r>
      <w:r w:rsidRPr="00EF5A33" w:rsidR="00EF5A33">
        <w:rPr>
          <w:szCs w:val="20"/>
        </w:rPr>
        <w:t xml:space="preserve"> </w:t>
      </w:r>
      <w:r w:rsidRPr="007E3E1F" w:rsidR="00EF5A33">
        <w:rPr>
          <w:szCs w:val="20"/>
        </w:rPr>
        <w:t>continu</w:t>
      </w:r>
      <w:r w:rsidR="00EF5A33">
        <w:rPr>
          <w:szCs w:val="20"/>
        </w:rPr>
        <w:t>e</w:t>
      </w:r>
      <w:r w:rsidRPr="007E3E1F" w:rsidR="00EF5A33">
        <w:rPr>
          <w:szCs w:val="20"/>
        </w:rPr>
        <w:t xml:space="preserve"> and expand</w:t>
      </w:r>
      <w:r w:rsidR="00EF5A33">
        <w:rPr>
          <w:szCs w:val="20"/>
        </w:rPr>
        <w:t xml:space="preserve"> </w:t>
      </w:r>
      <w:r w:rsidRPr="007E3E1F" w:rsidR="00EF5A33">
        <w:rPr>
          <w:szCs w:val="20"/>
        </w:rPr>
        <w:t>efforts to achieve consistency of cost</w:t>
      </w:r>
      <w:r w:rsidR="00EF5A33">
        <w:rPr>
          <w:szCs w:val="20"/>
        </w:rPr>
        <w:noBreakHyphen/>
      </w:r>
      <w:r w:rsidRPr="007E3E1F" w:rsidR="00EF5A33">
        <w:rPr>
          <w:szCs w:val="20"/>
        </w:rPr>
        <w:t>effectiveness assessments</w:t>
      </w:r>
      <w:r w:rsidR="00EF5A33">
        <w:rPr>
          <w:szCs w:val="20"/>
        </w:rPr>
        <w:t xml:space="preserve"> </w:t>
      </w:r>
      <w:r w:rsidR="007C4098">
        <w:rPr>
          <w:szCs w:val="20"/>
        </w:rPr>
        <w:t xml:space="preserve">across customer DER programs </w:t>
      </w:r>
      <w:r w:rsidRPr="007E3E1F" w:rsidR="00EF5A33">
        <w:rPr>
          <w:szCs w:val="20"/>
        </w:rPr>
        <w:t>by carrying out the remaining tasks in the cost-effectiveness plan adopted in R.14</w:t>
      </w:r>
      <w:r w:rsidRPr="00842D1D" w:rsidR="00E1648E">
        <w:rPr>
          <w:szCs w:val="20"/>
        </w:rPr>
        <w:noBreakHyphen/>
      </w:r>
      <w:r w:rsidRPr="00842D1D" w:rsidR="00EF5A33">
        <w:rPr>
          <w:szCs w:val="20"/>
        </w:rPr>
        <w:t>10</w:t>
      </w:r>
      <w:r w:rsidRPr="007E3E1F" w:rsidR="00EF5A33">
        <w:rPr>
          <w:szCs w:val="20"/>
        </w:rPr>
        <w:t>-003</w:t>
      </w:r>
      <w:r w:rsidR="008A79F9">
        <w:rPr>
          <w:szCs w:val="20"/>
        </w:rPr>
        <w:t xml:space="preserve"> and </w:t>
      </w:r>
      <w:r w:rsidR="00FD24D4">
        <w:rPr>
          <w:szCs w:val="20"/>
        </w:rPr>
        <w:t>build</w:t>
      </w:r>
      <w:r w:rsidR="00276C92">
        <w:rPr>
          <w:szCs w:val="20"/>
        </w:rPr>
        <w:t>ing</w:t>
      </w:r>
      <w:r w:rsidR="00FD24D4">
        <w:rPr>
          <w:szCs w:val="20"/>
        </w:rPr>
        <w:t xml:space="preserve"> on </w:t>
      </w:r>
      <w:bookmarkStart w:name="_Hlk83371277" w:id="156"/>
      <w:r w:rsidRPr="007E3E1F" w:rsidR="008A79F9">
        <w:rPr>
          <w:szCs w:val="26"/>
        </w:rPr>
        <w:t xml:space="preserve">research funded by D.16-06-007.  Specifically, </w:t>
      </w:r>
      <w:r w:rsidR="00C53C11">
        <w:rPr>
          <w:szCs w:val="26"/>
        </w:rPr>
        <w:t>Track</w:t>
      </w:r>
      <w:r w:rsidR="00E1648E">
        <w:rPr>
          <w:szCs w:val="26"/>
        </w:rPr>
        <w:t> </w:t>
      </w:r>
      <w:r w:rsidR="00C53C11">
        <w:rPr>
          <w:szCs w:val="26"/>
        </w:rPr>
        <w:t>1 will</w:t>
      </w:r>
      <w:r w:rsidRPr="007E3E1F" w:rsidR="008A79F9">
        <w:rPr>
          <w:szCs w:val="26"/>
        </w:rPr>
        <w:t>:</w:t>
      </w:r>
    </w:p>
    <w:p w:rsidRPr="00842D1D" w:rsidR="008A79F9" w:rsidP="00E1648E" w:rsidRDefault="008A79F9" w14:paraId="131C2FE4" w14:textId="6D69591A">
      <w:pPr>
        <w:numPr>
          <w:ilvl w:val="0"/>
          <w:numId w:val="19"/>
        </w:numPr>
        <w:tabs>
          <w:tab w:val="left" w:pos="360"/>
        </w:tabs>
        <w:spacing w:after="120" w:line="240" w:lineRule="auto"/>
        <w:ind w:left="1080" w:right="1440"/>
        <w:rPr>
          <w:szCs w:val="26"/>
        </w:rPr>
      </w:pPr>
      <w:r w:rsidRPr="00842D1D">
        <w:rPr>
          <w:b/>
          <w:bCs/>
          <w:szCs w:val="26"/>
        </w:rPr>
        <w:t xml:space="preserve">Continue </w:t>
      </w:r>
      <w:r w:rsidRPr="00842D1D" w:rsidR="00416309">
        <w:rPr>
          <w:b/>
          <w:bCs/>
          <w:szCs w:val="26"/>
        </w:rPr>
        <w:t>R</w:t>
      </w:r>
      <w:r w:rsidRPr="00842D1D">
        <w:rPr>
          <w:b/>
          <w:bCs/>
          <w:szCs w:val="26"/>
        </w:rPr>
        <w:t xml:space="preserve">egular </w:t>
      </w:r>
      <w:r w:rsidRPr="00842D1D" w:rsidR="00416309">
        <w:rPr>
          <w:b/>
          <w:bCs/>
          <w:szCs w:val="26"/>
        </w:rPr>
        <w:t>U</w:t>
      </w:r>
      <w:r w:rsidRPr="00842D1D">
        <w:rPr>
          <w:b/>
          <w:bCs/>
          <w:szCs w:val="26"/>
        </w:rPr>
        <w:t>pdates to the A</w:t>
      </w:r>
      <w:r w:rsidRPr="00842D1D" w:rsidR="00416309">
        <w:rPr>
          <w:b/>
          <w:bCs/>
          <w:szCs w:val="26"/>
        </w:rPr>
        <w:t>CC</w:t>
      </w:r>
      <w:r w:rsidRPr="00842D1D">
        <w:rPr>
          <w:b/>
          <w:bCs/>
          <w:szCs w:val="26"/>
        </w:rPr>
        <w:t>:</w:t>
      </w:r>
      <w:r w:rsidRPr="00842D1D">
        <w:rPr>
          <w:szCs w:val="26"/>
        </w:rPr>
        <w:t xml:space="preserve"> Considerable progress was made in R.14</w:t>
      </w:r>
      <w:r w:rsidRPr="00842D1D">
        <w:rPr>
          <w:szCs w:val="26"/>
        </w:rPr>
        <w:noBreakHyphen/>
        <w:t>10</w:t>
      </w:r>
      <w:r w:rsidRPr="00842D1D">
        <w:rPr>
          <w:szCs w:val="26"/>
        </w:rPr>
        <w:noBreakHyphen/>
        <w:t>003 to develop an ACC that uses data from and coordinates with modeling efforts such as integrated resource and distribution system planning.  R.14-10-003 also determined a process, most recently in D.22-05-002, to perform regular updates to the ACC, and required that all DER programs use the same version of the ACC.  T</w:t>
      </w:r>
      <w:r w:rsidRPr="00842D1D" w:rsidR="001B38AC">
        <w:rPr>
          <w:szCs w:val="26"/>
        </w:rPr>
        <w:t xml:space="preserve">rack 1 </w:t>
      </w:r>
      <w:r w:rsidRPr="00842D1D">
        <w:rPr>
          <w:szCs w:val="26"/>
        </w:rPr>
        <w:t xml:space="preserve">will continue performing biennial updates to the ACC, and will take on all ACC-related activities such as undertaking a study of transmission and distribution avoided costs and developing guiding principles for the </w:t>
      </w:r>
      <w:r w:rsidRPr="00842D1D">
        <w:rPr>
          <w:szCs w:val="26"/>
        </w:rPr>
        <w:lastRenderedPageBreak/>
        <w:t>ACC.</w:t>
      </w:r>
      <w:r w:rsidRPr="00842D1D" w:rsidR="008C22A0">
        <w:rPr>
          <w:szCs w:val="26"/>
        </w:rPr>
        <w:t xml:space="preserve">  </w:t>
      </w:r>
      <w:r w:rsidRPr="00842D1D" w:rsidR="00603E45">
        <w:rPr>
          <w:szCs w:val="26"/>
        </w:rPr>
        <w:t>Because t</w:t>
      </w:r>
      <w:r w:rsidRPr="00842D1D" w:rsidR="008C22A0">
        <w:rPr>
          <w:szCs w:val="26"/>
        </w:rPr>
        <w:t>he</w:t>
      </w:r>
      <w:r w:rsidRPr="00842D1D" w:rsidR="00603E45">
        <w:rPr>
          <w:szCs w:val="26"/>
        </w:rPr>
        <w:t xml:space="preserve"> ongoing </w:t>
      </w:r>
      <w:r w:rsidRPr="00842D1D" w:rsidR="008C22A0">
        <w:rPr>
          <w:szCs w:val="26"/>
        </w:rPr>
        <w:t>ACC work is led by</w:t>
      </w:r>
      <w:r w:rsidRPr="00842D1D" w:rsidR="003C605A">
        <w:rPr>
          <w:szCs w:val="26"/>
        </w:rPr>
        <w:t xml:space="preserve"> consultant to the </w:t>
      </w:r>
      <w:r w:rsidRPr="00842D1D" w:rsidR="008C22A0">
        <w:rPr>
          <w:szCs w:val="26"/>
        </w:rPr>
        <w:t>Commission</w:t>
      </w:r>
      <w:r w:rsidRPr="00842D1D" w:rsidR="003C605A">
        <w:rPr>
          <w:szCs w:val="26"/>
        </w:rPr>
        <w:t xml:space="preserve">, </w:t>
      </w:r>
      <w:r w:rsidRPr="00842D1D" w:rsidR="00603E45">
        <w:rPr>
          <w:szCs w:val="26"/>
        </w:rPr>
        <w:t>this</w:t>
      </w:r>
      <w:r w:rsidRPr="00842D1D" w:rsidR="008C22A0">
        <w:rPr>
          <w:szCs w:val="26"/>
        </w:rPr>
        <w:t xml:space="preserve"> proceeding will consider the need to authorize additional funding </w:t>
      </w:r>
      <w:r w:rsidRPr="00842D1D" w:rsidR="003C605A">
        <w:rPr>
          <w:szCs w:val="26"/>
        </w:rPr>
        <w:t xml:space="preserve">for this </w:t>
      </w:r>
      <w:r w:rsidRPr="00842D1D" w:rsidR="008C22A0">
        <w:rPr>
          <w:szCs w:val="26"/>
        </w:rPr>
        <w:t>work.</w:t>
      </w:r>
    </w:p>
    <w:p w:rsidRPr="00842D1D" w:rsidR="008A79F9" w:rsidP="00E1648E" w:rsidRDefault="008A79F9" w14:paraId="3B65E70A" w14:textId="6D18E488">
      <w:pPr>
        <w:numPr>
          <w:ilvl w:val="0"/>
          <w:numId w:val="19"/>
        </w:numPr>
        <w:tabs>
          <w:tab w:val="left" w:pos="360"/>
        </w:tabs>
        <w:spacing w:after="120" w:line="240" w:lineRule="auto"/>
        <w:ind w:left="1080" w:right="1440"/>
        <w:rPr>
          <w:szCs w:val="20"/>
        </w:rPr>
      </w:pPr>
      <w:r w:rsidRPr="00842D1D">
        <w:rPr>
          <w:b/>
          <w:szCs w:val="20"/>
        </w:rPr>
        <w:t xml:space="preserve">Determine </w:t>
      </w:r>
      <w:r w:rsidRPr="00842D1D" w:rsidR="00416309">
        <w:rPr>
          <w:b/>
          <w:szCs w:val="20"/>
        </w:rPr>
        <w:t>W</w:t>
      </w:r>
      <w:r w:rsidRPr="00842D1D">
        <w:rPr>
          <w:b/>
          <w:szCs w:val="20"/>
        </w:rPr>
        <w:t xml:space="preserve">hether to </w:t>
      </w:r>
      <w:r w:rsidRPr="00842D1D" w:rsidR="00416309">
        <w:rPr>
          <w:b/>
          <w:szCs w:val="20"/>
        </w:rPr>
        <w:t>A</w:t>
      </w:r>
      <w:r w:rsidRPr="00842D1D">
        <w:rPr>
          <w:b/>
          <w:szCs w:val="20"/>
        </w:rPr>
        <w:t>dopt a Societal Cost Test:</w:t>
      </w:r>
      <w:r w:rsidRPr="00842D1D">
        <w:rPr>
          <w:szCs w:val="26"/>
        </w:rPr>
        <w:t xml:space="preserve">  </w:t>
      </w:r>
      <w:r w:rsidRPr="00842D1D">
        <w:rPr>
          <w:szCs w:val="20"/>
        </w:rPr>
        <w:t>D.19</w:t>
      </w:r>
      <w:r w:rsidRPr="00842D1D" w:rsidR="006F6CC6">
        <w:rPr>
          <w:szCs w:val="20"/>
        </w:rPr>
        <w:noBreakHyphen/>
      </w:r>
      <w:r w:rsidRPr="00842D1D">
        <w:rPr>
          <w:szCs w:val="20"/>
        </w:rPr>
        <w:t xml:space="preserve">05-019 adopted, for testing purposes, a Societal Cost Test proposed by Staff.  The testing process was performed in the IRP proceeding, which issued a </w:t>
      </w:r>
      <w:r w:rsidRPr="00842D1D">
        <w:rPr>
          <w:i/>
          <w:szCs w:val="20"/>
        </w:rPr>
        <w:t>Societal Cost Test Impact Evaluation.</w:t>
      </w:r>
      <w:r w:rsidRPr="00842D1D">
        <w:rPr>
          <w:sz w:val="24"/>
          <w:szCs w:val="20"/>
          <w:vertAlign w:val="superscript"/>
        </w:rPr>
        <w:footnoteReference w:id="20"/>
      </w:r>
      <w:r w:rsidRPr="00842D1D">
        <w:rPr>
          <w:szCs w:val="26"/>
        </w:rPr>
        <w:t xml:space="preserve"> </w:t>
      </w:r>
      <w:r w:rsidRPr="00842D1D">
        <w:rPr>
          <w:szCs w:val="20"/>
        </w:rPr>
        <w:t xml:space="preserve"> T</w:t>
      </w:r>
      <w:r w:rsidRPr="00842D1D" w:rsidR="001B38AC">
        <w:rPr>
          <w:szCs w:val="20"/>
        </w:rPr>
        <w:t xml:space="preserve">rack 1 </w:t>
      </w:r>
      <w:r w:rsidRPr="00842D1D">
        <w:rPr>
          <w:szCs w:val="20"/>
        </w:rPr>
        <w:t>will determine, as required by D.19-05-019, whether to adopt the Societal Cost Test and, if adopted</w:t>
      </w:r>
      <w:r w:rsidRPr="00842D1D">
        <w:rPr>
          <w:szCs w:val="26"/>
        </w:rPr>
        <w:t xml:space="preserve">, </w:t>
      </w:r>
      <w:r w:rsidRPr="00842D1D">
        <w:rPr>
          <w:szCs w:val="20"/>
        </w:rPr>
        <w:t>how to best apply the results of the Societal Cost Test into the DER cost-effectiveness</w:t>
      </w:r>
      <w:r w:rsidRPr="00842D1D">
        <w:rPr>
          <w:szCs w:val="26"/>
        </w:rPr>
        <w:t xml:space="preserve"> </w:t>
      </w:r>
      <w:r w:rsidRPr="00842D1D">
        <w:rPr>
          <w:szCs w:val="20"/>
        </w:rPr>
        <w:t>framework</w:t>
      </w:r>
      <w:r w:rsidRPr="00842D1D">
        <w:rPr>
          <w:szCs w:val="26"/>
        </w:rPr>
        <w:t>.</w:t>
      </w:r>
    </w:p>
    <w:p w:rsidRPr="00842D1D" w:rsidR="008A79F9" w:rsidP="00E1648E" w:rsidRDefault="008A79F9" w14:paraId="4F5D40BA" w14:textId="6F042EF0">
      <w:pPr>
        <w:numPr>
          <w:ilvl w:val="0"/>
          <w:numId w:val="19"/>
        </w:numPr>
        <w:tabs>
          <w:tab w:val="left" w:pos="360"/>
        </w:tabs>
        <w:spacing w:after="120" w:line="240" w:lineRule="auto"/>
        <w:ind w:left="1080" w:right="1440"/>
        <w:rPr>
          <w:szCs w:val="20"/>
        </w:rPr>
      </w:pPr>
      <w:r w:rsidRPr="00842D1D">
        <w:rPr>
          <w:b/>
          <w:szCs w:val="20"/>
        </w:rPr>
        <w:t xml:space="preserve">Determine </w:t>
      </w:r>
      <w:r w:rsidRPr="00842D1D" w:rsidR="00416309">
        <w:rPr>
          <w:b/>
          <w:szCs w:val="20"/>
        </w:rPr>
        <w:t>H</w:t>
      </w:r>
      <w:r w:rsidRPr="00842D1D">
        <w:rPr>
          <w:b/>
          <w:szCs w:val="20"/>
        </w:rPr>
        <w:t xml:space="preserve">ow to </w:t>
      </w:r>
      <w:r w:rsidRPr="00842D1D" w:rsidR="00416309">
        <w:rPr>
          <w:b/>
          <w:szCs w:val="20"/>
        </w:rPr>
        <w:t>B</w:t>
      </w:r>
      <w:r w:rsidRPr="00842D1D">
        <w:rPr>
          <w:b/>
          <w:szCs w:val="20"/>
        </w:rPr>
        <w:t xml:space="preserve">est </w:t>
      </w:r>
      <w:r w:rsidRPr="00842D1D" w:rsidR="00416309">
        <w:rPr>
          <w:b/>
          <w:szCs w:val="20"/>
        </w:rPr>
        <w:t>A</w:t>
      </w:r>
      <w:r w:rsidRPr="00842D1D">
        <w:rPr>
          <w:b/>
          <w:szCs w:val="20"/>
        </w:rPr>
        <w:t xml:space="preserve">pply </w:t>
      </w:r>
      <w:r w:rsidRPr="00842D1D" w:rsidR="00416309">
        <w:rPr>
          <w:b/>
          <w:szCs w:val="20"/>
        </w:rPr>
        <w:t>A</w:t>
      </w:r>
      <w:r w:rsidRPr="00842D1D">
        <w:rPr>
          <w:b/>
          <w:szCs w:val="20"/>
        </w:rPr>
        <w:t xml:space="preserve">ir </w:t>
      </w:r>
      <w:r w:rsidRPr="00842D1D" w:rsidR="00416309">
        <w:rPr>
          <w:b/>
          <w:szCs w:val="20"/>
        </w:rPr>
        <w:t>Q</w:t>
      </w:r>
      <w:r w:rsidRPr="00842D1D">
        <w:rPr>
          <w:b/>
          <w:szCs w:val="20"/>
        </w:rPr>
        <w:t xml:space="preserve">uality </w:t>
      </w:r>
      <w:r w:rsidRPr="00842D1D" w:rsidR="00416309">
        <w:rPr>
          <w:b/>
          <w:szCs w:val="20"/>
        </w:rPr>
        <w:t>R</w:t>
      </w:r>
      <w:r w:rsidRPr="00842D1D">
        <w:rPr>
          <w:b/>
          <w:szCs w:val="20"/>
        </w:rPr>
        <w:t xml:space="preserve">esearch </w:t>
      </w:r>
      <w:r w:rsidRPr="00842D1D" w:rsidR="00416309">
        <w:rPr>
          <w:b/>
          <w:szCs w:val="20"/>
        </w:rPr>
        <w:t>R</w:t>
      </w:r>
      <w:r w:rsidRPr="00842D1D">
        <w:rPr>
          <w:b/>
          <w:szCs w:val="20"/>
        </w:rPr>
        <w:t>esults</w:t>
      </w:r>
      <w:r w:rsidRPr="00842D1D">
        <w:rPr>
          <w:szCs w:val="20"/>
        </w:rPr>
        <w:t xml:space="preserve">: </w:t>
      </w:r>
      <w:r w:rsidRPr="00842D1D" w:rsidR="006F6CC6">
        <w:rPr>
          <w:szCs w:val="20"/>
        </w:rPr>
        <w:t xml:space="preserve"> </w:t>
      </w:r>
      <w:r w:rsidRPr="00842D1D">
        <w:rPr>
          <w:szCs w:val="20"/>
        </w:rPr>
        <w:t>As part of ongoing cost-effectiveness research, the research report</w:t>
      </w:r>
      <w:r w:rsidRPr="00842D1D" w:rsidDel="00760FB8">
        <w:rPr>
          <w:szCs w:val="26"/>
        </w:rPr>
        <w:t xml:space="preserve"> </w:t>
      </w:r>
      <w:r w:rsidRPr="00842D1D">
        <w:rPr>
          <w:i/>
          <w:szCs w:val="20"/>
        </w:rPr>
        <w:t>Quantifying the Air Quality Impacts of Decarbonization and Distributed Energy Programs in California</w:t>
      </w:r>
      <w:r w:rsidRPr="00842D1D">
        <w:rPr>
          <w:i/>
          <w:sz w:val="24"/>
          <w:szCs w:val="20"/>
          <w:vertAlign w:val="superscript"/>
        </w:rPr>
        <w:footnoteReference w:id="21"/>
      </w:r>
      <w:r w:rsidRPr="00842D1D">
        <w:rPr>
          <w:szCs w:val="26"/>
        </w:rPr>
        <w:t xml:space="preserve"> </w:t>
      </w:r>
      <w:r w:rsidRPr="00842D1D">
        <w:rPr>
          <w:szCs w:val="20"/>
        </w:rPr>
        <w:t>was released in January 2022</w:t>
      </w:r>
      <w:r w:rsidRPr="00842D1D">
        <w:rPr>
          <w:szCs w:val="26"/>
        </w:rPr>
        <w:t xml:space="preserve">.  </w:t>
      </w:r>
      <w:r w:rsidRPr="00842D1D">
        <w:rPr>
          <w:szCs w:val="20"/>
        </w:rPr>
        <w:t>This report estimates the value to Californians of improved</w:t>
      </w:r>
      <w:r w:rsidRPr="00842D1D">
        <w:rPr>
          <w:szCs w:val="26"/>
        </w:rPr>
        <w:t xml:space="preserve"> </w:t>
      </w:r>
      <w:r w:rsidRPr="00842D1D">
        <w:rPr>
          <w:szCs w:val="20"/>
        </w:rPr>
        <w:t>air quality resulting from decreased use of fossil fuels in buildings, for electric power generation, and in vehicles.  The primary purpose of this research was to provide values for use in testing the Societal Cost Test</w:t>
      </w:r>
      <w:r w:rsidRPr="00842D1D" w:rsidR="00D60600">
        <w:rPr>
          <w:szCs w:val="20"/>
        </w:rPr>
        <w:t>,</w:t>
      </w:r>
      <w:r w:rsidRPr="00842D1D">
        <w:rPr>
          <w:szCs w:val="20"/>
        </w:rPr>
        <w:t xml:space="preserve"> but the results</w:t>
      </w:r>
      <w:r w:rsidRPr="00842D1D">
        <w:rPr>
          <w:szCs w:val="26"/>
        </w:rPr>
        <w:t xml:space="preserve"> </w:t>
      </w:r>
      <w:r w:rsidRPr="00842D1D">
        <w:rPr>
          <w:szCs w:val="20"/>
        </w:rPr>
        <w:t>may also have implications for future DER evaluation and cost-effectiveness.</w:t>
      </w:r>
      <w:r w:rsidRPr="00842D1D" w:rsidR="00BF5560">
        <w:rPr>
          <w:szCs w:val="20"/>
        </w:rPr>
        <w:t xml:space="preserve"> Track 1 will examine this research and determine </w:t>
      </w:r>
      <w:r w:rsidRPr="00842D1D" w:rsidR="009D00B8">
        <w:rPr>
          <w:szCs w:val="20"/>
        </w:rPr>
        <w:t xml:space="preserve">whether and if so </w:t>
      </w:r>
      <w:r w:rsidRPr="00842D1D" w:rsidR="00BF5560">
        <w:rPr>
          <w:szCs w:val="20"/>
        </w:rPr>
        <w:t xml:space="preserve">how it should be incorporated into ongoing cost-effectiveness improvements. </w:t>
      </w:r>
    </w:p>
    <w:p w:rsidRPr="00842D1D" w:rsidR="00FA5EF1" w:rsidP="00E1648E" w:rsidRDefault="008A79F9" w14:paraId="3C8F383B" w14:textId="5E87F83C">
      <w:pPr>
        <w:numPr>
          <w:ilvl w:val="0"/>
          <w:numId w:val="19"/>
        </w:numPr>
        <w:tabs>
          <w:tab w:val="left" w:pos="360"/>
        </w:tabs>
        <w:spacing w:after="120" w:line="240" w:lineRule="auto"/>
        <w:ind w:left="1080" w:right="1440"/>
        <w:rPr>
          <w:szCs w:val="20"/>
        </w:rPr>
      </w:pPr>
      <w:r w:rsidRPr="00842D1D">
        <w:rPr>
          <w:b/>
          <w:szCs w:val="20"/>
        </w:rPr>
        <w:lastRenderedPageBreak/>
        <w:t xml:space="preserve">Continue to </w:t>
      </w:r>
      <w:r w:rsidRPr="00842D1D" w:rsidR="00416309">
        <w:rPr>
          <w:b/>
          <w:szCs w:val="20"/>
        </w:rPr>
        <w:t>I</w:t>
      </w:r>
      <w:r w:rsidRPr="00842D1D">
        <w:rPr>
          <w:b/>
          <w:szCs w:val="20"/>
        </w:rPr>
        <w:t xml:space="preserve">mprove the DER </w:t>
      </w:r>
      <w:r w:rsidRPr="00842D1D" w:rsidR="00416309">
        <w:rPr>
          <w:b/>
          <w:szCs w:val="20"/>
        </w:rPr>
        <w:t>C</w:t>
      </w:r>
      <w:r w:rsidRPr="00842D1D">
        <w:rPr>
          <w:b/>
          <w:szCs w:val="20"/>
        </w:rPr>
        <w:t xml:space="preserve">ost-effectiveness </w:t>
      </w:r>
      <w:r w:rsidRPr="00842D1D" w:rsidR="00416309">
        <w:rPr>
          <w:b/>
          <w:szCs w:val="20"/>
        </w:rPr>
        <w:t>P</w:t>
      </w:r>
      <w:r w:rsidRPr="00842D1D">
        <w:rPr>
          <w:b/>
          <w:szCs w:val="20"/>
        </w:rPr>
        <w:t>rocess</w:t>
      </w:r>
      <w:r w:rsidRPr="00842D1D">
        <w:rPr>
          <w:szCs w:val="20"/>
        </w:rPr>
        <w:t>: T</w:t>
      </w:r>
      <w:r w:rsidRPr="00842D1D" w:rsidR="00BF5560">
        <w:rPr>
          <w:szCs w:val="20"/>
        </w:rPr>
        <w:t xml:space="preserve">rack 1 </w:t>
      </w:r>
      <w:r w:rsidRPr="00842D1D">
        <w:rPr>
          <w:szCs w:val="20"/>
        </w:rPr>
        <w:t xml:space="preserve">will continue the efforts of R.14-10-003 to make the </w:t>
      </w:r>
      <w:r w:rsidRPr="00842D1D" w:rsidR="00E05435">
        <w:rPr>
          <w:szCs w:val="20"/>
        </w:rPr>
        <w:t xml:space="preserve">use and </w:t>
      </w:r>
      <w:r w:rsidRPr="00842D1D" w:rsidR="002F3791">
        <w:rPr>
          <w:szCs w:val="20"/>
        </w:rPr>
        <w:t xml:space="preserve">application of </w:t>
      </w:r>
      <w:r w:rsidRPr="00842D1D">
        <w:rPr>
          <w:szCs w:val="20"/>
        </w:rPr>
        <w:t xml:space="preserve">cost-effectiveness </w:t>
      </w:r>
      <w:r w:rsidRPr="00842D1D" w:rsidR="002F3791">
        <w:rPr>
          <w:szCs w:val="20"/>
        </w:rPr>
        <w:t>tests</w:t>
      </w:r>
      <w:r w:rsidRPr="00842D1D" w:rsidR="00C356D4">
        <w:rPr>
          <w:szCs w:val="20"/>
        </w:rPr>
        <w:t xml:space="preserve"> </w:t>
      </w:r>
      <w:r w:rsidRPr="00842D1D">
        <w:rPr>
          <w:szCs w:val="20"/>
        </w:rPr>
        <w:t>more accurate</w:t>
      </w:r>
      <w:r w:rsidRPr="00842D1D" w:rsidR="00C356D4">
        <w:rPr>
          <w:szCs w:val="20"/>
        </w:rPr>
        <w:t xml:space="preserve"> and consistent across DERs</w:t>
      </w:r>
      <w:r w:rsidRPr="00842D1D">
        <w:rPr>
          <w:szCs w:val="20"/>
        </w:rPr>
        <w:t xml:space="preserve">. </w:t>
      </w:r>
      <w:r w:rsidRPr="00842D1D" w:rsidR="00D60600">
        <w:rPr>
          <w:szCs w:val="20"/>
        </w:rPr>
        <w:t xml:space="preserve"> </w:t>
      </w:r>
    </w:p>
    <w:p w:rsidRPr="00842D1D" w:rsidR="00C64140" w:rsidP="00E1648E" w:rsidRDefault="00FA5EF1" w14:paraId="784BC19E" w14:textId="3A59D137">
      <w:pPr>
        <w:numPr>
          <w:ilvl w:val="0"/>
          <w:numId w:val="19"/>
        </w:numPr>
        <w:tabs>
          <w:tab w:val="left" w:pos="360"/>
        </w:tabs>
        <w:spacing w:after="120" w:line="240" w:lineRule="auto"/>
        <w:ind w:left="1080" w:right="1440"/>
        <w:rPr>
          <w:szCs w:val="20"/>
        </w:rPr>
      </w:pPr>
      <w:r w:rsidRPr="00842D1D">
        <w:rPr>
          <w:b/>
          <w:bCs/>
          <w:szCs w:val="20"/>
        </w:rPr>
        <w:t>Improve Coordination with other Proceedings:</w:t>
      </w:r>
      <w:r w:rsidRPr="00842D1D">
        <w:rPr>
          <w:szCs w:val="20"/>
        </w:rPr>
        <w:t xml:space="preserve">  Track 1 will coordinate with Track 2 work and other proceedings to ensure that data on DER costs and implementation needed for IRP modeling are consistent across resources and take into account interactive effects.   </w:t>
      </w:r>
    </w:p>
    <w:p w:rsidRPr="007E3E1F" w:rsidR="008A79F9" w:rsidP="008A79F9" w:rsidRDefault="002C6E47" w14:paraId="6B22F658" w14:textId="0B653403">
      <w:pPr>
        <w:tabs>
          <w:tab w:val="left" w:pos="360"/>
        </w:tabs>
        <w:ind w:left="360"/>
        <w:rPr>
          <w:szCs w:val="26"/>
        </w:rPr>
      </w:pPr>
      <w:r>
        <w:rPr>
          <w:szCs w:val="26"/>
        </w:rPr>
        <w:t>T</w:t>
      </w:r>
      <w:r w:rsidR="00FD24D4">
        <w:rPr>
          <w:szCs w:val="26"/>
        </w:rPr>
        <w:t>rack 1</w:t>
      </w:r>
      <w:r>
        <w:rPr>
          <w:szCs w:val="26"/>
        </w:rPr>
        <w:t xml:space="preserve"> will include the </w:t>
      </w:r>
      <w:r w:rsidRPr="007E3E1F" w:rsidR="008A79F9">
        <w:rPr>
          <w:szCs w:val="26"/>
        </w:rPr>
        <w:t>releas</w:t>
      </w:r>
      <w:r>
        <w:rPr>
          <w:szCs w:val="26"/>
        </w:rPr>
        <w:t>e of</w:t>
      </w:r>
      <w:r w:rsidRPr="007E3E1F" w:rsidR="008A79F9">
        <w:rPr>
          <w:szCs w:val="26"/>
        </w:rPr>
        <w:t xml:space="preserve"> </w:t>
      </w:r>
      <w:r w:rsidR="00484984">
        <w:rPr>
          <w:szCs w:val="26"/>
        </w:rPr>
        <w:t xml:space="preserve">two </w:t>
      </w:r>
      <w:r w:rsidRPr="007E3E1F" w:rsidR="008A79F9">
        <w:rPr>
          <w:szCs w:val="26"/>
        </w:rPr>
        <w:t xml:space="preserve">or more Staff proposals.  </w:t>
      </w:r>
    </w:p>
    <w:p w:rsidRPr="007E3E1F" w:rsidR="008A79F9" w:rsidP="001265C6" w:rsidRDefault="008A79F9" w14:paraId="37516FD3" w14:textId="4214AE1C">
      <w:pPr>
        <w:pStyle w:val="Heading4"/>
      </w:pPr>
      <w:r w:rsidRPr="007E3E1F">
        <w:t xml:space="preserve">Track 1 Questions </w:t>
      </w:r>
    </w:p>
    <w:p w:rsidRPr="007E3E1F" w:rsidR="008A79F9" w:rsidP="006F6CC6" w:rsidRDefault="003335E3" w14:paraId="4A3BD42F" w14:textId="6EF8D2EF">
      <w:pPr>
        <w:tabs>
          <w:tab w:val="left" w:pos="360"/>
        </w:tabs>
        <w:ind w:left="360" w:firstLine="360"/>
        <w:rPr>
          <w:szCs w:val="26"/>
        </w:rPr>
      </w:pPr>
      <w:r w:rsidRPr="00842D1D">
        <w:rPr>
          <w:szCs w:val="26"/>
        </w:rPr>
        <w:t>P</w:t>
      </w:r>
      <w:r w:rsidRPr="00842D1D" w:rsidR="008A79F9">
        <w:rPr>
          <w:szCs w:val="26"/>
        </w:rPr>
        <w:t xml:space="preserve">otential parties </w:t>
      </w:r>
      <w:r w:rsidRPr="00842D1D">
        <w:rPr>
          <w:szCs w:val="26"/>
        </w:rPr>
        <w:t xml:space="preserve">to this proceeding </w:t>
      </w:r>
      <w:r w:rsidRPr="00842D1D" w:rsidR="008A79F9">
        <w:rPr>
          <w:szCs w:val="26"/>
        </w:rPr>
        <w:t>are requested to file comments on this</w:t>
      </w:r>
      <w:r w:rsidR="008A79F9">
        <w:rPr>
          <w:szCs w:val="26"/>
        </w:rPr>
        <w:t xml:space="preserve"> </w:t>
      </w:r>
      <w:r w:rsidR="00F5598B">
        <w:rPr>
          <w:szCs w:val="26"/>
        </w:rPr>
        <w:t>order</w:t>
      </w:r>
      <w:r w:rsidR="008A79F9">
        <w:rPr>
          <w:szCs w:val="26"/>
        </w:rPr>
        <w:t xml:space="preserve"> that </w:t>
      </w:r>
      <w:r w:rsidRPr="007E3E1F" w:rsidR="008A79F9">
        <w:rPr>
          <w:szCs w:val="26"/>
        </w:rPr>
        <w:t>respond to the following questions related to Track 1:</w:t>
      </w:r>
    </w:p>
    <w:p w:rsidRPr="007E3E1F" w:rsidR="008A79F9" w:rsidP="008A79F9" w:rsidRDefault="008A79F9" w14:paraId="7447E371" w14:textId="4E08A9CD">
      <w:pPr>
        <w:pStyle w:val="ListNum"/>
        <w:numPr>
          <w:ilvl w:val="6"/>
          <w:numId w:val="47"/>
        </w:numPr>
        <w:ind w:right="1440"/>
      </w:pPr>
      <w:r w:rsidRPr="007E3E1F">
        <w:t xml:space="preserve">R.14-10-003 focused on making cost-effectiveness methods more consistent across DERs. </w:t>
      </w:r>
      <w:r w:rsidR="007C4098">
        <w:t xml:space="preserve"> </w:t>
      </w:r>
      <w:r w:rsidRPr="007E3E1F">
        <w:t>To accomplish this, D.16</w:t>
      </w:r>
      <w:r>
        <w:noBreakHyphen/>
      </w:r>
      <w:r w:rsidRPr="007E3E1F">
        <w:t>06</w:t>
      </w:r>
      <w:r>
        <w:noBreakHyphen/>
      </w:r>
      <w:r w:rsidRPr="007E3E1F">
        <w:t>007 adopted a universal ACC which is updated annually and required for use by all DER proceedings.  What other aspects of cost-effectiveness should also be made more consistent across DERs, and which of those are priorities</w:t>
      </w:r>
      <w:r>
        <w:t>?</w:t>
      </w:r>
    </w:p>
    <w:p w:rsidRPr="007E3E1F" w:rsidR="008A79F9" w:rsidP="008A79F9" w:rsidRDefault="008A79F9" w14:paraId="04ED5420" w14:textId="34EF93FF">
      <w:pPr>
        <w:pStyle w:val="ListNum"/>
        <w:numPr>
          <w:ilvl w:val="6"/>
          <w:numId w:val="47"/>
        </w:numPr>
        <w:ind w:right="1440"/>
      </w:pPr>
      <w:r>
        <w:t>Should</w:t>
      </w:r>
      <w:r w:rsidRPr="007E3E1F">
        <w:t xml:space="preserve"> </w:t>
      </w:r>
      <w:r>
        <w:t>the Commission</w:t>
      </w:r>
      <w:r w:rsidRPr="007E3E1F">
        <w:t xml:space="preserve"> develop cost-effectiveness methods for emerging and bundled technologies? </w:t>
      </w:r>
      <w:r>
        <w:t xml:space="preserve"> </w:t>
      </w:r>
      <w:r w:rsidRPr="007E3E1F">
        <w:t>Which technologies, or combinations of technologies, should we prioritize, and what are the most important considerations?</w:t>
      </w:r>
    </w:p>
    <w:p w:rsidR="008C22A0" w:rsidP="00A5175D" w:rsidRDefault="008A79F9" w14:paraId="6241486D" w14:textId="11B0620D">
      <w:pPr>
        <w:pStyle w:val="ListNum"/>
        <w:numPr>
          <w:ilvl w:val="6"/>
          <w:numId w:val="47"/>
        </w:numPr>
        <w:tabs>
          <w:tab w:val="left" w:pos="8190"/>
        </w:tabs>
        <w:ind w:right="1440"/>
      </w:pPr>
      <w:r w:rsidRPr="008A609A">
        <w:t>How important is it to fully incorporate DERs into the IRP process?  What kinds of tools, data, models, or processes would we need?</w:t>
      </w:r>
      <w:r>
        <w:t xml:space="preserve"> </w:t>
      </w:r>
      <w:r w:rsidR="0042301E">
        <w:t xml:space="preserve"> </w:t>
      </w:r>
      <w:r w:rsidRPr="008A609A">
        <w:t>How can the resource proceedings best provide data to the IRP process, and how can they best use IRP output data</w:t>
      </w:r>
      <w:r w:rsidR="008C22A0">
        <w:t>?</w:t>
      </w:r>
    </w:p>
    <w:p w:rsidR="0042301E" w:rsidP="00A5175D" w:rsidRDefault="008C22A0" w14:paraId="7264CE77" w14:textId="765453DB">
      <w:pPr>
        <w:pStyle w:val="ListNum"/>
        <w:numPr>
          <w:ilvl w:val="6"/>
          <w:numId w:val="47"/>
        </w:numPr>
        <w:ind w:right="1440"/>
      </w:pPr>
      <w:r>
        <w:t xml:space="preserve">Should the Commission authorize </w:t>
      </w:r>
      <w:r w:rsidR="00E77A98">
        <w:t xml:space="preserve">the allocation of additional </w:t>
      </w:r>
      <w:r w:rsidR="00F44EB1">
        <w:t xml:space="preserve">ratepayer </w:t>
      </w:r>
      <w:r>
        <w:t xml:space="preserve">funds </w:t>
      </w:r>
      <w:r w:rsidR="00F44EB1">
        <w:t>for consultant support to continue the ACC work</w:t>
      </w:r>
      <w:r w:rsidR="0042301E">
        <w:t>?</w:t>
      </w:r>
    </w:p>
    <w:p w:rsidR="008A79F9" w:rsidP="00A5175D" w:rsidRDefault="0042301E" w14:paraId="5B5EF330" w14:textId="2657CF17">
      <w:pPr>
        <w:pStyle w:val="ListNum"/>
        <w:numPr>
          <w:ilvl w:val="6"/>
          <w:numId w:val="47"/>
        </w:numPr>
        <w:ind w:right="1440"/>
      </w:pPr>
      <w:r>
        <w:t xml:space="preserve">Please comment on any additions or changes needed to the preliminary Track 2 schedule provided in section 4 below. </w:t>
      </w:r>
    </w:p>
    <w:p w:rsidRPr="007E3E1F" w:rsidR="007E3E1F" w:rsidP="001265C6" w:rsidRDefault="007E3E1F" w14:paraId="3FED910C" w14:textId="6662519F">
      <w:pPr>
        <w:pStyle w:val="Heading3"/>
      </w:pPr>
      <w:bookmarkStart w:name="_Toc118111354" w:id="157"/>
      <w:bookmarkStart w:name="_Toc118111355" w:id="158"/>
      <w:bookmarkStart w:name="_Toc118111356" w:id="159"/>
      <w:bookmarkStart w:name="_Toc118111357" w:id="160"/>
      <w:bookmarkStart w:name="_Toc118111358" w:id="161"/>
      <w:bookmarkStart w:name="_Toc118111359" w:id="162"/>
      <w:bookmarkStart w:name="_Toc118111360" w:id="163"/>
      <w:bookmarkStart w:name="_Toc118111361" w:id="164"/>
      <w:bookmarkStart w:name="_Toc118111362" w:id="165"/>
      <w:bookmarkStart w:name="_Toc118111363" w:id="166"/>
      <w:bookmarkStart w:name="_Toc118111364" w:id="167"/>
      <w:bookmarkStart w:name="_Toc118111365" w:id="168"/>
      <w:bookmarkStart w:name="_Toc118111366" w:id="169"/>
      <w:bookmarkStart w:name="_Toc118111367" w:id="170"/>
      <w:bookmarkStart w:name="_Toc118111368" w:id="171"/>
      <w:bookmarkStart w:name="_Toc118111369" w:id="172"/>
      <w:bookmarkStart w:name="_Toc118111370" w:id="173"/>
      <w:bookmarkStart w:name="_Toc118111371" w:id="174"/>
      <w:bookmarkStart w:name="_Toc118111372" w:id="175"/>
      <w:bookmarkStart w:name="_Toc118111373" w:id="176"/>
      <w:bookmarkStart w:name="_Toc118111374" w:id="177"/>
      <w:bookmarkStart w:name="_Toc118111375" w:id="178"/>
      <w:bookmarkStart w:name="_Toc118111376" w:id="179"/>
      <w:bookmarkStart w:name="_Toc118111377" w:id="180"/>
      <w:bookmarkStart w:name="_Toc118111378" w:id="181"/>
      <w:bookmarkStart w:name="_Toc118111379" w:id="182"/>
      <w:bookmarkStart w:name="_Toc106887332" w:id="183"/>
      <w:bookmarkStart w:name="_Toc106888919" w:id="184"/>
      <w:bookmarkStart w:name="_Toc119312347" w:id="18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7E3E1F">
        <w:lastRenderedPageBreak/>
        <w:t>Track 2</w:t>
      </w:r>
      <w:r w:rsidRPr="00842D1D">
        <w:t>:</w:t>
      </w:r>
      <w:r w:rsidRPr="00842D1D" w:rsidR="006F6CC6">
        <w:t xml:space="preserve"> </w:t>
      </w:r>
      <w:r w:rsidRPr="00842D1D">
        <w:t xml:space="preserve"> Expanding</w:t>
      </w:r>
      <w:r w:rsidRPr="007E3E1F">
        <w:t xml:space="preserve"> </w:t>
      </w:r>
      <w:r w:rsidR="0069401A">
        <w:t xml:space="preserve">Data </w:t>
      </w:r>
      <w:r w:rsidRPr="007E3E1F">
        <w:t xml:space="preserve">Use </w:t>
      </w:r>
      <w:r w:rsidR="0069401A">
        <w:t>and Access</w:t>
      </w:r>
      <w:bookmarkEnd w:id="183"/>
      <w:bookmarkEnd w:id="184"/>
      <w:bookmarkEnd w:id="185"/>
    </w:p>
    <w:p w:rsidR="007E3E1F" w:rsidP="007E3E1F" w:rsidRDefault="007E3E1F" w14:paraId="17E25DB1" w14:textId="35EB8CB1">
      <w:pPr>
        <w:tabs>
          <w:tab w:val="left" w:pos="360"/>
        </w:tabs>
        <w:rPr>
          <w:szCs w:val="26"/>
        </w:rPr>
      </w:pPr>
      <w:r w:rsidRPr="007E3E1F">
        <w:rPr>
          <w:szCs w:val="26"/>
        </w:rPr>
        <w:t xml:space="preserve">Track 2 </w:t>
      </w:r>
      <w:r w:rsidR="00DE042C">
        <w:rPr>
          <w:szCs w:val="26"/>
        </w:rPr>
        <w:t xml:space="preserve">will focus on </w:t>
      </w:r>
      <w:r w:rsidRPr="007E3E1F">
        <w:rPr>
          <w:szCs w:val="26"/>
        </w:rPr>
        <w:t>improv</w:t>
      </w:r>
      <w:r w:rsidR="00DE042C">
        <w:rPr>
          <w:szCs w:val="26"/>
        </w:rPr>
        <w:t>ing</w:t>
      </w:r>
      <w:r w:rsidRPr="007E3E1F">
        <w:rPr>
          <w:szCs w:val="26"/>
        </w:rPr>
        <w:t xml:space="preserve"> </w:t>
      </w:r>
      <w:r w:rsidR="005A571B">
        <w:rPr>
          <w:szCs w:val="26"/>
        </w:rPr>
        <w:t xml:space="preserve">the </w:t>
      </w:r>
      <w:r w:rsidRPr="007E3E1F">
        <w:rPr>
          <w:szCs w:val="26"/>
        </w:rPr>
        <w:t>reporting, availability, privacy protections, and use of data, especially data from Smart Meters and other “smart” devices</w:t>
      </w:r>
      <w:r w:rsidR="00DF1A8E">
        <w:rPr>
          <w:szCs w:val="26"/>
        </w:rPr>
        <w:t xml:space="preserve">.  It will also focus on </w:t>
      </w:r>
      <w:r w:rsidR="00736599">
        <w:rPr>
          <w:szCs w:val="26"/>
        </w:rPr>
        <w:t xml:space="preserve">collecting data on </w:t>
      </w:r>
      <w:r w:rsidR="00F50DC9">
        <w:rPr>
          <w:szCs w:val="26"/>
        </w:rPr>
        <w:t xml:space="preserve">equity customers </w:t>
      </w:r>
      <w:r w:rsidRPr="007E3E1F">
        <w:rPr>
          <w:szCs w:val="26"/>
        </w:rPr>
        <w:t>to improve customer program design, operation, and adoption.</w:t>
      </w:r>
    </w:p>
    <w:p w:rsidR="0054435F" w:rsidP="006B0AC5" w:rsidRDefault="003A17ED" w14:paraId="5DBE9209" w14:textId="21B8A8C1">
      <w:pPr>
        <w:tabs>
          <w:tab w:val="left" w:pos="360"/>
        </w:tabs>
        <w:rPr>
          <w:szCs w:val="26"/>
        </w:rPr>
      </w:pPr>
      <w:r>
        <w:rPr>
          <w:szCs w:val="26"/>
        </w:rPr>
        <w:t>To</w:t>
      </w:r>
      <w:r w:rsidR="0054435F">
        <w:rPr>
          <w:szCs w:val="26"/>
        </w:rPr>
        <w:t xml:space="preserve"> support work in this area </w:t>
      </w:r>
      <w:r>
        <w:rPr>
          <w:szCs w:val="26"/>
        </w:rPr>
        <w:t xml:space="preserve">we </w:t>
      </w:r>
      <w:r w:rsidR="0054435F">
        <w:rPr>
          <w:szCs w:val="26"/>
        </w:rPr>
        <w:t xml:space="preserve">propose to </w:t>
      </w:r>
      <w:r w:rsidRPr="003A17ED">
        <w:rPr>
          <w:szCs w:val="26"/>
        </w:rPr>
        <w:t>create a Data Working Group</w:t>
      </w:r>
      <w:r>
        <w:rPr>
          <w:szCs w:val="26"/>
        </w:rPr>
        <w:t xml:space="preserve"> consisting of Commission, CEC and CARB Staff</w:t>
      </w:r>
      <w:r w:rsidR="0008235A">
        <w:rPr>
          <w:szCs w:val="26"/>
        </w:rPr>
        <w:t xml:space="preserve">, </w:t>
      </w:r>
      <w:r w:rsidR="009D00B8">
        <w:rPr>
          <w:szCs w:val="26"/>
        </w:rPr>
        <w:t xml:space="preserve">as well as </w:t>
      </w:r>
      <w:r w:rsidR="0008235A">
        <w:rPr>
          <w:szCs w:val="26"/>
        </w:rPr>
        <w:t xml:space="preserve">utilities, </w:t>
      </w:r>
      <w:r>
        <w:rPr>
          <w:szCs w:val="26"/>
        </w:rPr>
        <w:t xml:space="preserve">and interested stakeholders.  </w:t>
      </w:r>
      <w:r w:rsidR="0054435F">
        <w:rPr>
          <w:szCs w:val="26"/>
        </w:rPr>
        <w:t xml:space="preserve">Activities that the </w:t>
      </w:r>
      <w:r>
        <w:rPr>
          <w:szCs w:val="26"/>
        </w:rPr>
        <w:t>Data Working Group</w:t>
      </w:r>
      <w:r w:rsidR="0054435F">
        <w:rPr>
          <w:szCs w:val="26"/>
        </w:rPr>
        <w:t xml:space="preserve"> could undertake include: </w:t>
      </w:r>
    </w:p>
    <w:p w:rsidR="000C5034" w:rsidP="00A5175D" w:rsidRDefault="000C5034" w14:paraId="33971F7A" w14:textId="0BDD8062">
      <w:pPr>
        <w:pStyle w:val="ListParagraph"/>
        <w:numPr>
          <w:ilvl w:val="0"/>
          <w:numId w:val="55"/>
        </w:numPr>
        <w:tabs>
          <w:tab w:val="left" w:pos="360"/>
        </w:tabs>
        <w:spacing w:before="120" w:after="120"/>
        <w:ind w:right="1440"/>
        <w:contextualSpacing w:val="0"/>
        <w:rPr>
          <w:szCs w:val="26"/>
        </w:rPr>
      </w:pPr>
      <w:r>
        <w:rPr>
          <w:szCs w:val="26"/>
        </w:rPr>
        <w:t xml:space="preserve">Recommending goals and objectives for expanded use of available data, building on or refining those outlined in this </w:t>
      </w:r>
      <w:r w:rsidR="009317C7">
        <w:rPr>
          <w:szCs w:val="26"/>
        </w:rPr>
        <w:t>order</w:t>
      </w:r>
      <w:r>
        <w:rPr>
          <w:szCs w:val="26"/>
        </w:rPr>
        <w:t xml:space="preserve">. </w:t>
      </w:r>
    </w:p>
    <w:p w:rsidR="005C529F" w:rsidP="00A5175D" w:rsidRDefault="000C5034" w14:paraId="3F3D1BB0" w14:textId="5EA7E26D">
      <w:pPr>
        <w:pStyle w:val="ListParagraph"/>
        <w:numPr>
          <w:ilvl w:val="0"/>
          <w:numId w:val="55"/>
        </w:numPr>
        <w:tabs>
          <w:tab w:val="left" w:pos="360"/>
        </w:tabs>
        <w:spacing w:before="120" w:after="120"/>
        <w:ind w:right="1440"/>
        <w:contextualSpacing w:val="0"/>
        <w:rPr>
          <w:szCs w:val="26"/>
        </w:rPr>
      </w:pPr>
      <w:r>
        <w:rPr>
          <w:szCs w:val="26"/>
        </w:rPr>
        <w:t xml:space="preserve">Developing </w:t>
      </w:r>
      <w:r w:rsidR="004948E8">
        <w:rPr>
          <w:szCs w:val="26"/>
        </w:rPr>
        <w:t xml:space="preserve">consensus and non-consensus </w:t>
      </w:r>
      <w:r>
        <w:rPr>
          <w:szCs w:val="26"/>
        </w:rPr>
        <w:t xml:space="preserve">recommendations </w:t>
      </w:r>
      <w:r w:rsidR="005C529F">
        <w:rPr>
          <w:szCs w:val="26"/>
        </w:rPr>
        <w:t xml:space="preserve">regarding: </w:t>
      </w:r>
    </w:p>
    <w:p w:rsidRPr="00842D1D" w:rsidR="005C529F" w:rsidP="006F6CC6" w:rsidRDefault="005C529F" w14:paraId="5787E21D" w14:textId="7261CA22">
      <w:pPr>
        <w:pStyle w:val="ListParagraph"/>
        <w:numPr>
          <w:ilvl w:val="1"/>
          <w:numId w:val="55"/>
        </w:numPr>
        <w:tabs>
          <w:tab w:val="left" w:pos="360"/>
        </w:tabs>
        <w:spacing w:before="120" w:after="120"/>
        <w:ind w:left="1440" w:right="1440"/>
        <w:contextualSpacing w:val="0"/>
        <w:rPr>
          <w:szCs w:val="26"/>
        </w:rPr>
      </w:pPr>
      <w:r w:rsidRPr="00842D1D">
        <w:rPr>
          <w:szCs w:val="26"/>
        </w:rPr>
        <w:t>Customer privacy</w:t>
      </w:r>
    </w:p>
    <w:p w:rsidRPr="00842D1D" w:rsidR="005C529F" w:rsidP="006F6CC6" w:rsidRDefault="005C529F" w14:paraId="5FBA2F88" w14:textId="537EDD80">
      <w:pPr>
        <w:pStyle w:val="ListParagraph"/>
        <w:numPr>
          <w:ilvl w:val="1"/>
          <w:numId w:val="55"/>
        </w:numPr>
        <w:tabs>
          <w:tab w:val="left" w:pos="360"/>
        </w:tabs>
        <w:spacing w:before="120" w:after="120"/>
        <w:ind w:left="1440" w:right="1440"/>
        <w:contextualSpacing w:val="0"/>
        <w:rPr>
          <w:szCs w:val="26"/>
        </w:rPr>
      </w:pPr>
      <w:r w:rsidRPr="00842D1D">
        <w:rPr>
          <w:szCs w:val="26"/>
        </w:rPr>
        <w:t xml:space="preserve">Data </w:t>
      </w:r>
      <w:r w:rsidRPr="00842D1D" w:rsidR="00AB4FAC">
        <w:rPr>
          <w:szCs w:val="26"/>
        </w:rPr>
        <w:t xml:space="preserve">sharing, </w:t>
      </w:r>
      <w:r w:rsidRPr="00842D1D">
        <w:rPr>
          <w:szCs w:val="26"/>
        </w:rPr>
        <w:t>access</w:t>
      </w:r>
      <w:r w:rsidRPr="00842D1D" w:rsidR="0059201B">
        <w:rPr>
          <w:szCs w:val="26"/>
        </w:rPr>
        <w:t>,</w:t>
      </w:r>
      <w:r w:rsidRPr="00842D1D">
        <w:rPr>
          <w:szCs w:val="26"/>
        </w:rPr>
        <w:t xml:space="preserve"> and use</w:t>
      </w:r>
    </w:p>
    <w:p w:rsidRPr="00842D1D" w:rsidR="00660350" w:rsidP="006F6CC6" w:rsidRDefault="00660350" w14:paraId="54ADA91B" w14:textId="5CA54CB4">
      <w:pPr>
        <w:pStyle w:val="ListParagraph"/>
        <w:numPr>
          <w:ilvl w:val="1"/>
          <w:numId w:val="55"/>
        </w:numPr>
        <w:tabs>
          <w:tab w:val="left" w:pos="360"/>
        </w:tabs>
        <w:spacing w:before="120" w:after="120"/>
        <w:ind w:left="1440" w:right="1440"/>
        <w:contextualSpacing w:val="0"/>
        <w:rPr>
          <w:szCs w:val="26"/>
        </w:rPr>
      </w:pPr>
      <w:r w:rsidRPr="00842D1D">
        <w:rPr>
          <w:szCs w:val="26"/>
        </w:rPr>
        <w:t>Databases and models</w:t>
      </w:r>
    </w:p>
    <w:p w:rsidRPr="00842D1D" w:rsidR="00660350" w:rsidP="006F6CC6" w:rsidRDefault="00660350" w14:paraId="2E28ACB3" w14:textId="11F5D253">
      <w:pPr>
        <w:pStyle w:val="ListParagraph"/>
        <w:numPr>
          <w:ilvl w:val="1"/>
          <w:numId w:val="55"/>
        </w:numPr>
        <w:tabs>
          <w:tab w:val="left" w:pos="360"/>
          <w:tab w:val="left" w:pos="7920"/>
        </w:tabs>
        <w:spacing w:before="120" w:after="120"/>
        <w:ind w:left="1440" w:right="1440"/>
        <w:contextualSpacing w:val="0"/>
        <w:rPr>
          <w:szCs w:val="26"/>
        </w:rPr>
      </w:pPr>
      <w:r w:rsidRPr="00842D1D">
        <w:rPr>
          <w:szCs w:val="26"/>
        </w:rPr>
        <w:t>Data collection and reporting tools</w:t>
      </w:r>
    </w:p>
    <w:p w:rsidR="004948E8" w:rsidP="00A5175D" w:rsidRDefault="000737B4" w14:paraId="0062A0F9" w14:textId="796B46AB">
      <w:pPr>
        <w:pStyle w:val="ListParagraph"/>
        <w:numPr>
          <w:ilvl w:val="0"/>
          <w:numId w:val="55"/>
        </w:numPr>
        <w:tabs>
          <w:tab w:val="left" w:pos="360"/>
          <w:tab w:val="left" w:pos="7920"/>
        </w:tabs>
        <w:spacing w:before="120" w:after="120"/>
        <w:ind w:right="1440"/>
        <w:contextualSpacing w:val="0"/>
        <w:rPr>
          <w:szCs w:val="26"/>
        </w:rPr>
      </w:pPr>
      <w:r>
        <w:rPr>
          <w:szCs w:val="26"/>
        </w:rPr>
        <w:t>Developing a</w:t>
      </w:r>
      <w:r w:rsidR="004948E8">
        <w:rPr>
          <w:szCs w:val="26"/>
        </w:rPr>
        <w:t xml:space="preserve">dditional recommendations regarding: </w:t>
      </w:r>
    </w:p>
    <w:p w:rsidRPr="00842D1D" w:rsidR="00616C38" w:rsidP="006F6CC6" w:rsidRDefault="00291EFA" w14:paraId="0CBB18E9" w14:textId="1D0A1994">
      <w:pPr>
        <w:pStyle w:val="ListParagraph"/>
        <w:numPr>
          <w:ilvl w:val="1"/>
          <w:numId w:val="55"/>
        </w:numPr>
        <w:tabs>
          <w:tab w:val="left" w:pos="360"/>
          <w:tab w:val="left" w:pos="7920"/>
        </w:tabs>
        <w:spacing w:before="120" w:after="120"/>
        <w:ind w:left="1440" w:right="1440"/>
        <w:contextualSpacing w:val="0"/>
        <w:rPr>
          <w:szCs w:val="26"/>
        </w:rPr>
      </w:pPr>
      <w:r w:rsidRPr="00842D1D">
        <w:rPr>
          <w:szCs w:val="26"/>
        </w:rPr>
        <w:t xml:space="preserve">Best </w:t>
      </w:r>
      <w:r w:rsidRPr="00842D1D" w:rsidR="003C4E5C">
        <w:rPr>
          <w:szCs w:val="26"/>
        </w:rPr>
        <w:t xml:space="preserve">data </w:t>
      </w:r>
      <w:r w:rsidRPr="00842D1D" w:rsidR="00C56087">
        <w:rPr>
          <w:szCs w:val="26"/>
        </w:rPr>
        <w:t>management practices for increased customer adoption</w:t>
      </w:r>
    </w:p>
    <w:p w:rsidRPr="00842D1D" w:rsidR="000737B4" w:rsidP="006F6CC6" w:rsidRDefault="00616C38" w14:paraId="75D6E2ED" w14:textId="6E95A972">
      <w:pPr>
        <w:pStyle w:val="ListParagraph"/>
        <w:numPr>
          <w:ilvl w:val="1"/>
          <w:numId w:val="55"/>
        </w:numPr>
        <w:tabs>
          <w:tab w:val="left" w:pos="360"/>
          <w:tab w:val="left" w:pos="7920"/>
        </w:tabs>
        <w:spacing w:before="120" w:after="120"/>
        <w:ind w:left="1440"/>
        <w:contextualSpacing w:val="0"/>
        <w:rPr>
          <w:szCs w:val="26"/>
        </w:rPr>
      </w:pPr>
      <w:r w:rsidRPr="00842D1D">
        <w:rPr>
          <w:szCs w:val="26"/>
        </w:rPr>
        <w:t>D</w:t>
      </w:r>
      <w:r w:rsidRPr="00842D1D" w:rsidR="00C56087">
        <w:rPr>
          <w:szCs w:val="26"/>
        </w:rPr>
        <w:t xml:space="preserve">ata collection to support equity programs  </w:t>
      </w:r>
    </w:p>
    <w:p w:rsidRPr="007E3E1F" w:rsidR="007E3E1F" w:rsidP="0034436C" w:rsidRDefault="00B365A3" w14:paraId="08762869" w14:textId="3F1F61F8">
      <w:pPr>
        <w:pStyle w:val="Standard"/>
      </w:pPr>
      <w:r>
        <w:t xml:space="preserve">To develop this work, </w:t>
      </w:r>
      <w:r w:rsidR="001566F7">
        <w:t xml:space="preserve">Commission Staff </w:t>
      </w:r>
      <w:r>
        <w:t xml:space="preserve">may </w:t>
      </w:r>
      <w:r w:rsidR="001566F7">
        <w:t xml:space="preserve">lead one or more workshops to develop a Work Plan for the Data Working Group.  </w:t>
      </w:r>
      <w:r>
        <w:t xml:space="preserve">Potential priorities and questions that could be discussed at these workshops include: </w:t>
      </w:r>
      <w:r w:rsidR="00A562B9">
        <w:t xml:space="preserve"> </w:t>
      </w:r>
    </w:p>
    <w:p w:rsidRPr="00712DD7" w:rsidR="007E3E1F" w:rsidP="00F56308" w:rsidRDefault="007E3E1F" w14:paraId="37F90A6E" w14:textId="7B9E1FBA">
      <w:pPr>
        <w:pStyle w:val="ListAlpha"/>
        <w:numPr>
          <w:ilvl w:val="7"/>
          <w:numId w:val="52"/>
        </w:numPr>
        <w:ind w:right="1440"/>
      </w:pPr>
      <w:r w:rsidRPr="00712DD7">
        <w:t xml:space="preserve">In coordination with CEC, </w:t>
      </w:r>
      <w:r w:rsidR="0034436C">
        <w:t xml:space="preserve">should the Commission </w:t>
      </w:r>
      <w:r w:rsidR="00047F9F">
        <w:t>updat</w:t>
      </w:r>
      <w:r w:rsidR="0034436C">
        <w:t>e</w:t>
      </w:r>
      <w:r w:rsidRPr="00712DD7">
        <w:t xml:space="preserve"> existing rules and requirements, following from D.14</w:t>
      </w:r>
      <w:r w:rsidR="007E6238">
        <w:noBreakHyphen/>
      </w:r>
      <w:r w:rsidRPr="00712DD7">
        <w:t>05</w:t>
      </w:r>
      <w:r w:rsidR="007E6238">
        <w:noBreakHyphen/>
      </w:r>
      <w:r w:rsidRPr="00712DD7">
        <w:t>016, for the release</w:t>
      </w:r>
      <w:r w:rsidRPr="001C239B">
        <w:rPr>
          <w:rFonts w:ascii="Times New Roman" w:hAnsi="Times New Roman" w:cs="Times New Roman"/>
        </w:rPr>
        <w:t> </w:t>
      </w:r>
      <w:r w:rsidRPr="00712DD7">
        <w:t xml:space="preserve">of </w:t>
      </w:r>
      <w:r w:rsidR="00A562B9">
        <w:t>S</w:t>
      </w:r>
      <w:r w:rsidRPr="00712DD7">
        <w:t xml:space="preserve">mart </w:t>
      </w:r>
      <w:r w:rsidR="00A562B9">
        <w:t>M</w:t>
      </w:r>
      <w:r w:rsidRPr="00712DD7">
        <w:t xml:space="preserve">eter data, and best </w:t>
      </w:r>
      <w:r w:rsidRPr="00712DD7">
        <w:lastRenderedPageBreak/>
        <w:t>practices for use of these data to improve customer adoption of</w:t>
      </w:r>
      <w:r w:rsidRPr="001C239B">
        <w:rPr>
          <w:rFonts w:ascii="Times New Roman" w:hAnsi="Times New Roman" w:cs="Times New Roman"/>
        </w:rPr>
        <w:t> </w:t>
      </w:r>
      <w:r w:rsidRPr="00712DD7">
        <w:t>DERs</w:t>
      </w:r>
      <w:r w:rsidR="009018E3">
        <w:rPr>
          <w:rFonts w:ascii="Times New Roman" w:hAnsi="Times New Roman" w:cs="Times New Roman"/>
        </w:rPr>
        <w:t>?</w:t>
      </w:r>
      <w:r w:rsidR="00061502">
        <w:rPr>
          <w:rFonts w:ascii="Times New Roman" w:hAnsi="Times New Roman" w:cs="Times New Roman"/>
        </w:rPr>
        <w:t xml:space="preserve"> </w:t>
      </w:r>
      <w:r w:rsidRPr="00712DD7">
        <w:t xml:space="preserve"> </w:t>
      </w:r>
    </w:p>
    <w:p w:rsidRPr="00712DD7" w:rsidR="007E3E1F" w:rsidP="00F56308" w:rsidRDefault="0034436C" w14:paraId="6811DFF8" w14:textId="787A086A">
      <w:pPr>
        <w:pStyle w:val="ListAlpha"/>
        <w:ind w:right="1440"/>
      </w:pPr>
      <w:r>
        <w:t>Should the Commission c</w:t>
      </w:r>
      <w:r w:rsidRPr="00712DD7" w:rsidR="007E3E1F">
        <w:t>onsider whether smart devices, which are sometimes sold by companies that consider their data to be proprietary, should be subject to requirements for the release of data to receive incentives from ratepayer funds</w:t>
      </w:r>
      <w:r w:rsidR="009018E3">
        <w:t>?</w:t>
      </w:r>
      <w:r w:rsidRPr="00712DD7" w:rsidR="007E3E1F">
        <w:t xml:space="preserve"> </w:t>
      </w:r>
    </w:p>
    <w:p w:rsidRPr="00712DD7" w:rsidR="007E3E1F" w:rsidP="00F56308" w:rsidRDefault="0034436C" w14:paraId="10CA2E46" w14:textId="6304DB3A">
      <w:pPr>
        <w:pStyle w:val="ListAlpha"/>
        <w:ind w:right="1440"/>
      </w:pPr>
      <w:r>
        <w:t>Should the Commission c</w:t>
      </w:r>
      <w:r w:rsidRPr="009F38D1" w:rsidR="009F38D1">
        <w:t>oordinat</w:t>
      </w:r>
      <w:r>
        <w:t>e</w:t>
      </w:r>
      <w:r w:rsidR="007E295B">
        <w:t xml:space="preserve"> </w:t>
      </w:r>
      <w:r w:rsidRPr="009F38D1" w:rsidR="009F38D1">
        <w:t>with existing efforts to determine</w:t>
      </w:r>
      <w:r w:rsidRPr="00712DD7" w:rsidR="007E3E1F">
        <w:t xml:space="preserve"> whether and how to </w:t>
      </w:r>
      <w:r w:rsidR="009F38D1">
        <w:t xml:space="preserve">use </w:t>
      </w:r>
      <w:r w:rsidR="00856AD8">
        <w:t xml:space="preserve">the real-time pricing portal under </w:t>
      </w:r>
      <w:r w:rsidR="00D513D2">
        <w:t xml:space="preserve">consideration </w:t>
      </w:r>
      <w:r w:rsidR="00856AD8">
        <w:t xml:space="preserve">in R.22-07-005 to support the integration of real-time price signals into </w:t>
      </w:r>
      <w:r w:rsidR="007E295B">
        <w:t xml:space="preserve">a </w:t>
      </w:r>
      <w:r w:rsidR="009018E3">
        <w:t>broader</w:t>
      </w:r>
      <w:r w:rsidR="007E295B">
        <w:t xml:space="preserve"> range </w:t>
      </w:r>
      <w:r w:rsidR="009018E3">
        <w:t xml:space="preserve">and number </w:t>
      </w:r>
      <w:r w:rsidR="007E295B">
        <w:t xml:space="preserve">of </w:t>
      </w:r>
      <w:r w:rsidR="00856AD8">
        <w:t>customer programs</w:t>
      </w:r>
      <w:r w:rsidR="009018E3">
        <w:t>?</w:t>
      </w:r>
    </w:p>
    <w:p w:rsidR="007E3E1F" w:rsidP="00F56308" w:rsidRDefault="009018E3" w14:paraId="375DEC9A" w14:textId="6316D69A">
      <w:pPr>
        <w:pStyle w:val="ListAlpha"/>
        <w:ind w:right="1440"/>
      </w:pPr>
      <w:r>
        <w:t>Should the Commission i</w:t>
      </w:r>
      <w:r w:rsidRPr="00712DD7" w:rsidR="007E3E1F">
        <w:t>nvestigat</w:t>
      </w:r>
      <w:r>
        <w:t>e</w:t>
      </w:r>
      <w:r w:rsidRPr="00712DD7" w:rsidR="007E3E1F">
        <w:t xml:space="preserve"> the potential for integrating </w:t>
      </w:r>
      <w:r w:rsidR="00F302C6">
        <w:t>Commission</w:t>
      </w:r>
      <w:r w:rsidRPr="00712DD7" w:rsidR="007E3E1F">
        <w:t>-supported databases and tools with larger statewide initiatives, such as creation of a data “dictionary” to standardize the terms and units used in energy-related databases</w:t>
      </w:r>
      <w:r>
        <w:t>?</w:t>
      </w:r>
      <w:r w:rsidRPr="007E3E1F" w:rsidR="007E3E1F">
        <w:rPr>
          <w:sz w:val="24"/>
          <w:vertAlign w:val="superscript"/>
        </w:rPr>
        <w:footnoteReference w:id="22"/>
      </w:r>
      <w:r w:rsidR="00061502">
        <w:t xml:space="preserve"> and,</w:t>
      </w:r>
    </w:p>
    <w:p w:rsidRPr="00712DD7" w:rsidR="00AB1A54" w:rsidP="00A5175D" w:rsidRDefault="005056EE" w14:paraId="31A403E4" w14:textId="7E33B42C">
      <w:pPr>
        <w:pStyle w:val="ListAlpha"/>
        <w:ind w:right="1440"/>
      </w:pPr>
      <w:r>
        <w:rPr>
          <w:szCs w:val="26"/>
        </w:rPr>
        <w:t>Should the Commission d</w:t>
      </w:r>
      <w:r w:rsidRPr="00DD359D" w:rsidR="00AB1A54">
        <w:rPr>
          <w:szCs w:val="26"/>
        </w:rPr>
        <w:t>evelop</w:t>
      </w:r>
      <w:r w:rsidR="00061502">
        <w:rPr>
          <w:szCs w:val="26"/>
        </w:rPr>
        <w:t xml:space="preserve"> </w:t>
      </w:r>
      <w:r w:rsidRPr="00DD359D" w:rsidR="00AB1A54">
        <w:rPr>
          <w:szCs w:val="26"/>
        </w:rPr>
        <w:t xml:space="preserve">standardized data collection and reporting across DER programs that </w:t>
      </w:r>
      <w:r>
        <w:rPr>
          <w:szCs w:val="26"/>
        </w:rPr>
        <w:t xml:space="preserve">prioritize the participation of </w:t>
      </w:r>
      <w:r w:rsidRPr="00DD359D" w:rsidR="00AB1A54">
        <w:rPr>
          <w:szCs w:val="26"/>
        </w:rPr>
        <w:t>ESJ communities</w:t>
      </w:r>
      <w:r w:rsidR="000903C7">
        <w:rPr>
          <w:szCs w:val="26"/>
        </w:rPr>
        <w:t>?</w:t>
      </w:r>
    </w:p>
    <w:p w:rsidR="007E3E1F" w:rsidP="006F6CC6" w:rsidRDefault="004F250C" w14:paraId="294A9A20" w14:textId="74D2EA08">
      <w:pPr>
        <w:pStyle w:val="Heading4"/>
        <w:numPr>
          <w:ilvl w:val="0"/>
          <w:numId w:val="0"/>
        </w:numPr>
        <w:ind w:left="1440"/>
      </w:pPr>
      <w:bookmarkStart w:name="_Toc106887335" w:id="186"/>
      <w:bookmarkStart w:name="_Toc106888922" w:id="187"/>
      <w:r w:rsidRPr="00842D1D">
        <w:t>3.1.2.1.</w:t>
      </w:r>
      <w:r w:rsidRPr="00842D1D" w:rsidR="006F6CC6">
        <w:t xml:space="preserve"> </w:t>
      </w:r>
      <w:r w:rsidRPr="00842D1D">
        <w:t xml:space="preserve"> </w:t>
      </w:r>
      <w:r w:rsidRPr="00842D1D" w:rsidR="007E3E1F">
        <w:t>Track 2 Questions</w:t>
      </w:r>
      <w:r w:rsidRPr="007E3E1F" w:rsidR="007E3E1F">
        <w:t xml:space="preserve"> </w:t>
      </w:r>
      <w:bookmarkEnd w:id="186"/>
      <w:bookmarkEnd w:id="187"/>
    </w:p>
    <w:p w:rsidRPr="00176B25" w:rsidR="00176B25" w:rsidP="00EC0910" w:rsidRDefault="005056EE" w14:paraId="160959E5" w14:textId="23714CD0">
      <w:pPr>
        <w:tabs>
          <w:tab w:val="left" w:pos="360"/>
        </w:tabs>
        <w:ind w:left="360"/>
      </w:pPr>
      <w:r>
        <w:rPr>
          <w:szCs w:val="26"/>
        </w:rPr>
        <w:t>P</w:t>
      </w:r>
      <w:r w:rsidR="00176B25">
        <w:rPr>
          <w:szCs w:val="26"/>
        </w:rPr>
        <w:t>otential p</w:t>
      </w:r>
      <w:r w:rsidRPr="007E3E1F" w:rsidR="00176B25">
        <w:rPr>
          <w:szCs w:val="26"/>
        </w:rPr>
        <w:t xml:space="preserve">arties </w:t>
      </w:r>
      <w:r>
        <w:rPr>
          <w:szCs w:val="26"/>
        </w:rPr>
        <w:t xml:space="preserve">to this rulemaking </w:t>
      </w:r>
      <w:r w:rsidRPr="007E3E1F" w:rsidR="00176B25">
        <w:rPr>
          <w:szCs w:val="26"/>
        </w:rPr>
        <w:t xml:space="preserve">are requested to </w:t>
      </w:r>
      <w:r w:rsidR="00176B25">
        <w:rPr>
          <w:szCs w:val="26"/>
        </w:rPr>
        <w:t xml:space="preserve">file comments on this </w:t>
      </w:r>
      <w:r w:rsidR="007B7912">
        <w:rPr>
          <w:szCs w:val="26"/>
        </w:rPr>
        <w:t xml:space="preserve">order </w:t>
      </w:r>
      <w:r w:rsidRPr="007E3E1F" w:rsidR="00176B25">
        <w:rPr>
          <w:szCs w:val="26"/>
        </w:rPr>
        <w:t>respond</w:t>
      </w:r>
      <w:r>
        <w:rPr>
          <w:szCs w:val="26"/>
        </w:rPr>
        <w:t xml:space="preserve">ing </w:t>
      </w:r>
      <w:r w:rsidRPr="007E3E1F" w:rsidR="00176B25">
        <w:rPr>
          <w:szCs w:val="26"/>
        </w:rPr>
        <w:t>to the following quest</w:t>
      </w:r>
      <w:r>
        <w:rPr>
          <w:szCs w:val="26"/>
        </w:rPr>
        <w:t>ions</w:t>
      </w:r>
      <w:r w:rsidRPr="007E3E1F" w:rsidR="00176B25">
        <w:rPr>
          <w:szCs w:val="26"/>
        </w:rPr>
        <w:t>:</w:t>
      </w:r>
    </w:p>
    <w:p w:rsidR="0042301E" w:rsidP="00A5175D" w:rsidRDefault="009D00B8" w14:paraId="25EC7621" w14:textId="77777777">
      <w:pPr>
        <w:pStyle w:val="ListParagraph"/>
        <w:numPr>
          <w:ilvl w:val="0"/>
          <w:numId w:val="59"/>
        </w:numPr>
        <w:tabs>
          <w:tab w:val="left" w:pos="360"/>
        </w:tabs>
        <w:spacing w:before="120" w:after="120"/>
        <w:ind w:right="1440"/>
        <w:contextualSpacing w:val="0"/>
        <w:rPr>
          <w:szCs w:val="26"/>
        </w:rPr>
      </w:pPr>
      <w:r>
        <w:rPr>
          <w:szCs w:val="26"/>
        </w:rPr>
        <w:t xml:space="preserve">Should the Commission create a </w:t>
      </w:r>
      <w:r w:rsidRPr="009D00B8">
        <w:rPr>
          <w:szCs w:val="26"/>
        </w:rPr>
        <w:t>Data Working Group consisting of Commission, CEC and CARB Staff, as well as utilities, and interested stakeholders</w:t>
      </w:r>
      <w:r>
        <w:rPr>
          <w:szCs w:val="26"/>
        </w:rPr>
        <w:t xml:space="preserve">?  If so, what should be the scope and timeline for the working group?  </w:t>
      </w:r>
    </w:p>
    <w:p w:rsidR="009D00B8" w:rsidP="00A5175D" w:rsidRDefault="0042301E" w14:paraId="0601E9B7" w14:textId="6F36C434">
      <w:pPr>
        <w:pStyle w:val="ListParagraph"/>
        <w:numPr>
          <w:ilvl w:val="0"/>
          <w:numId w:val="59"/>
        </w:numPr>
        <w:tabs>
          <w:tab w:val="left" w:pos="360"/>
        </w:tabs>
        <w:spacing w:before="120" w:after="120"/>
        <w:ind w:right="1440"/>
        <w:contextualSpacing w:val="0"/>
        <w:rPr>
          <w:szCs w:val="26"/>
        </w:rPr>
      </w:pPr>
      <w:r>
        <w:rPr>
          <w:szCs w:val="26"/>
        </w:rPr>
        <w:t xml:space="preserve">Referring to the preliminary Track 2 schedule provided in section 4, do you suggest any changes? What </w:t>
      </w:r>
      <w:r w:rsidR="009D00B8">
        <w:rPr>
          <w:szCs w:val="26"/>
        </w:rPr>
        <w:t>workshops or other activities</w:t>
      </w:r>
      <w:r>
        <w:rPr>
          <w:szCs w:val="26"/>
        </w:rPr>
        <w:t>, if any,</w:t>
      </w:r>
      <w:r w:rsidR="009D00B8">
        <w:rPr>
          <w:szCs w:val="26"/>
        </w:rPr>
        <w:t xml:space="preserve"> are needed to advance work in Track 2? </w:t>
      </w:r>
    </w:p>
    <w:p w:rsidRPr="007E3E1F" w:rsidR="007E3E1F" w:rsidP="00A5175D" w:rsidRDefault="007E3E1F" w14:paraId="2E0790B9" w14:textId="5F4C1D03">
      <w:pPr>
        <w:pStyle w:val="ListParagraph"/>
        <w:numPr>
          <w:ilvl w:val="0"/>
          <w:numId w:val="59"/>
        </w:numPr>
        <w:tabs>
          <w:tab w:val="left" w:pos="360"/>
        </w:tabs>
        <w:spacing w:before="120" w:after="120"/>
        <w:ind w:right="1440"/>
        <w:contextualSpacing w:val="0"/>
        <w:rPr>
          <w:szCs w:val="26"/>
        </w:rPr>
      </w:pPr>
      <w:r w:rsidRPr="007E3E1F">
        <w:rPr>
          <w:szCs w:val="26"/>
        </w:rPr>
        <w:lastRenderedPageBreak/>
        <w:t xml:space="preserve">How can the </w:t>
      </w:r>
      <w:r w:rsidR="00F302C6">
        <w:rPr>
          <w:szCs w:val="26"/>
        </w:rPr>
        <w:t>Commission</w:t>
      </w:r>
      <w:r w:rsidRPr="007E3E1F">
        <w:rPr>
          <w:szCs w:val="26"/>
        </w:rPr>
        <w:t xml:space="preserve">, utilities, DER providers, and customers better use Smart Meter data? </w:t>
      </w:r>
      <w:r w:rsidR="007E6238">
        <w:rPr>
          <w:szCs w:val="26"/>
        </w:rPr>
        <w:t xml:space="preserve"> </w:t>
      </w:r>
      <w:r w:rsidRPr="007E3E1F">
        <w:rPr>
          <w:szCs w:val="26"/>
        </w:rPr>
        <w:t>How can Smart Meter data help individual ratepayers, developers, and contractors determine which DER programs are likely to provide the most benefits?</w:t>
      </w:r>
    </w:p>
    <w:p w:rsidRPr="007E3E1F" w:rsidR="007E3E1F" w:rsidP="00A5175D" w:rsidRDefault="007E3E1F" w14:paraId="7347CD8A" w14:textId="77777777">
      <w:pPr>
        <w:pStyle w:val="ListParagraph"/>
        <w:numPr>
          <w:ilvl w:val="0"/>
          <w:numId w:val="59"/>
        </w:numPr>
        <w:tabs>
          <w:tab w:val="left" w:pos="360"/>
        </w:tabs>
        <w:spacing w:before="120" w:after="120"/>
        <w:ind w:right="1440"/>
        <w:contextualSpacing w:val="0"/>
        <w:rPr>
          <w:szCs w:val="26"/>
        </w:rPr>
      </w:pPr>
      <w:r w:rsidRPr="007E3E1F">
        <w:rPr>
          <w:szCs w:val="26"/>
        </w:rPr>
        <w:t>What barriers (legal, regulatory, technological capacity, etc.) exist for load-serving entities and DER providers that prevent the greater use of energy consumption data to increase customer awareness and adoption of DERs?</w:t>
      </w:r>
    </w:p>
    <w:p w:rsidRPr="007E3E1F" w:rsidR="007E3E1F" w:rsidP="00A5175D" w:rsidRDefault="007E3E1F" w14:paraId="24A51A26" w14:textId="7AD9944A">
      <w:pPr>
        <w:pStyle w:val="ListParagraph"/>
        <w:numPr>
          <w:ilvl w:val="0"/>
          <w:numId w:val="59"/>
        </w:numPr>
        <w:tabs>
          <w:tab w:val="left" w:pos="360"/>
        </w:tabs>
        <w:spacing w:before="120" w:after="120"/>
        <w:ind w:right="1440"/>
        <w:contextualSpacing w:val="0"/>
        <w:rPr>
          <w:szCs w:val="26"/>
        </w:rPr>
      </w:pPr>
      <w:r w:rsidRPr="007E3E1F">
        <w:rPr>
          <w:szCs w:val="26"/>
        </w:rPr>
        <w:t xml:space="preserve">To what extent should data </w:t>
      </w:r>
      <w:r w:rsidRPr="00047F9F" w:rsidR="00047F9F">
        <w:rPr>
          <w:szCs w:val="26"/>
        </w:rPr>
        <w:t xml:space="preserve">collected by program administrators, or available </w:t>
      </w:r>
      <w:r w:rsidRPr="007E3E1F">
        <w:rPr>
          <w:szCs w:val="26"/>
        </w:rPr>
        <w:t>from smart devices (including Smart Meters) be available to researchers for analytical purposes, such as evaluation, measurement, and verification?</w:t>
      </w:r>
    </w:p>
    <w:p w:rsidRPr="007E3E1F" w:rsidR="007E3E1F" w:rsidP="00A5175D" w:rsidRDefault="007E3E1F" w14:paraId="6CE8F6BF" w14:textId="5D02B353">
      <w:pPr>
        <w:pStyle w:val="ListParagraph"/>
        <w:numPr>
          <w:ilvl w:val="0"/>
          <w:numId w:val="59"/>
        </w:numPr>
        <w:tabs>
          <w:tab w:val="left" w:pos="360"/>
        </w:tabs>
        <w:spacing w:before="120" w:after="120"/>
        <w:ind w:right="1440"/>
        <w:contextualSpacing w:val="0"/>
        <w:rPr>
          <w:szCs w:val="26"/>
        </w:rPr>
      </w:pPr>
      <w:r w:rsidRPr="007E3E1F">
        <w:rPr>
          <w:szCs w:val="26"/>
        </w:rPr>
        <w:t xml:space="preserve">To what extent should data </w:t>
      </w:r>
      <w:r w:rsidRPr="00047F9F" w:rsidR="00047F9F">
        <w:rPr>
          <w:szCs w:val="26"/>
        </w:rPr>
        <w:t xml:space="preserve">collected by program administrators, or available </w:t>
      </w:r>
      <w:r w:rsidRPr="007E3E1F">
        <w:rPr>
          <w:szCs w:val="26"/>
        </w:rPr>
        <w:t>from smart devices (including Smart Meters) be available to utilities, non-utility DER</w:t>
      </w:r>
      <w:r w:rsidR="007E6238">
        <w:rPr>
          <w:szCs w:val="26"/>
        </w:rPr>
        <w:t> </w:t>
      </w:r>
      <w:r w:rsidRPr="007E3E1F">
        <w:rPr>
          <w:szCs w:val="26"/>
        </w:rPr>
        <w:t>providers, and other energy providers or program administrators, for marketing, education, or outreach purposes?</w:t>
      </w:r>
    </w:p>
    <w:p w:rsidRPr="007E3E1F" w:rsidR="007E3E1F" w:rsidP="00A5175D" w:rsidRDefault="007E3E1F" w14:paraId="404F0083" w14:textId="77777777">
      <w:pPr>
        <w:pStyle w:val="ListParagraph"/>
        <w:numPr>
          <w:ilvl w:val="0"/>
          <w:numId w:val="59"/>
        </w:numPr>
        <w:tabs>
          <w:tab w:val="left" w:pos="360"/>
        </w:tabs>
        <w:spacing w:before="120" w:after="120"/>
        <w:ind w:right="1440"/>
        <w:contextualSpacing w:val="0"/>
        <w:rPr>
          <w:szCs w:val="26"/>
        </w:rPr>
      </w:pPr>
      <w:r w:rsidRPr="007E3E1F">
        <w:rPr>
          <w:szCs w:val="26"/>
        </w:rPr>
        <w:t>Should smart devices, such as thermostats, solar and/or storage inverters, energy storage devices, grid-connected heat pump hot water heaters, and electric vehicle chargers, that are supported by ratepayer-funded incentive programs, be required to provide data for research purposes?</w:t>
      </w:r>
    </w:p>
    <w:p w:rsidR="007E3E1F" w:rsidP="00A5175D" w:rsidRDefault="007E3E1F" w14:paraId="31D376A2" w14:textId="69025FEC">
      <w:pPr>
        <w:pStyle w:val="ListParagraph"/>
        <w:numPr>
          <w:ilvl w:val="0"/>
          <w:numId w:val="59"/>
        </w:numPr>
        <w:tabs>
          <w:tab w:val="left" w:pos="360"/>
        </w:tabs>
        <w:spacing w:before="120" w:after="120"/>
        <w:ind w:right="1440"/>
        <w:contextualSpacing w:val="0"/>
        <w:rPr>
          <w:szCs w:val="26"/>
        </w:rPr>
      </w:pPr>
      <w:r w:rsidRPr="007E3E1F">
        <w:rPr>
          <w:szCs w:val="26"/>
        </w:rPr>
        <w:t>How can existing data reporting and data collection processes be improved to make them more consistent across resources and more accessible by users?</w:t>
      </w:r>
    </w:p>
    <w:p w:rsidRPr="00A5175D" w:rsidR="00AB1A54" w:rsidP="00A5175D" w:rsidRDefault="00AB1A54" w14:paraId="1B26DBD8" w14:textId="0E5D6A50">
      <w:pPr>
        <w:pStyle w:val="ListParagraph"/>
        <w:numPr>
          <w:ilvl w:val="0"/>
          <w:numId w:val="59"/>
        </w:numPr>
        <w:tabs>
          <w:tab w:val="left" w:pos="360"/>
        </w:tabs>
        <w:spacing w:before="120" w:after="120"/>
        <w:ind w:right="1440"/>
        <w:contextualSpacing w:val="0"/>
        <w:rPr>
          <w:szCs w:val="26"/>
        </w:rPr>
      </w:pPr>
      <w:r w:rsidRPr="00A5175D">
        <w:rPr>
          <w:szCs w:val="26"/>
        </w:rPr>
        <w:t xml:space="preserve">What types of quantitative and qualitative data do we need to </w:t>
      </w:r>
      <w:r w:rsidRPr="00A5175D" w:rsidR="00C25F9F">
        <w:rPr>
          <w:szCs w:val="26"/>
        </w:rPr>
        <w:t>support equity customers’ awareness of and participation in DER programs</w:t>
      </w:r>
      <w:r w:rsidRPr="00A5175D" w:rsidR="00871E87">
        <w:rPr>
          <w:szCs w:val="26"/>
        </w:rPr>
        <w:t>?</w:t>
      </w:r>
      <w:r w:rsidRPr="00A5175D" w:rsidR="00C25F9F">
        <w:rPr>
          <w:szCs w:val="26"/>
        </w:rPr>
        <w:t xml:space="preserve">  Should the Commission </w:t>
      </w:r>
      <w:r w:rsidRPr="00A5175D" w:rsidR="00432F00">
        <w:rPr>
          <w:szCs w:val="26"/>
        </w:rPr>
        <w:t xml:space="preserve">collect data to </w:t>
      </w:r>
      <w:r w:rsidRPr="00A5175D">
        <w:rPr>
          <w:szCs w:val="26"/>
        </w:rPr>
        <w:t xml:space="preserve">measure to the impact on </w:t>
      </w:r>
      <w:r w:rsidRPr="00A5175D" w:rsidR="00871E87">
        <w:rPr>
          <w:szCs w:val="26"/>
        </w:rPr>
        <w:t xml:space="preserve">and </w:t>
      </w:r>
      <w:r w:rsidRPr="00A5175D">
        <w:rPr>
          <w:szCs w:val="26"/>
        </w:rPr>
        <w:t xml:space="preserve">the benefits of DER programs for ESJ communities? </w:t>
      </w:r>
      <w:r w:rsidRPr="00A5175D" w:rsidR="007C4098">
        <w:rPr>
          <w:szCs w:val="26"/>
        </w:rPr>
        <w:t xml:space="preserve"> </w:t>
      </w:r>
      <w:r w:rsidRPr="00A5175D" w:rsidR="00871E87">
        <w:rPr>
          <w:szCs w:val="26"/>
        </w:rPr>
        <w:t xml:space="preserve">Is the Commission </w:t>
      </w:r>
      <w:r w:rsidRPr="00A5175D">
        <w:rPr>
          <w:szCs w:val="26"/>
        </w:rPr>
        <w:t>currently collecting this data? If not, what additional mechanisms do we need to do so?</w:t>
      </w:r>
    </w:p>
    <w:p w:rsidRPr="00A5175D" w:rsidR="006A7890" w:rsidP="00A5175D" w:rsidRDefault="006A7890" w14:paraId="399FAE72" w14:textId="4C585C1F">
      <w:pPr>
        <w:pStyle w:val="ListParagraph"/>
        <w:numPr>
          <w:ilvl w:val="0"/>
          <w:numId w:val="59"/>
        </w:numPr>
        <w:tabs>
          <w:tab w:val="left" w:pos="360"/>
        </w:tabs>
        <w:spacing w:before="120" w:after="120"/>
        <w:ind w:right="1440"/>
        <w:contextualSpacing w:val="0"/>
        <w:rPr>
          <w:szCs w:val="26"/>
        </w:rPr>
      </w:pPr>
      <w:r w:rsidRPr="00A5175D">
        <w:rPr>
          <w:szCs w:val="26"/>
        </w:rPr>
        <w:lastRenderedPageBreak/>
        <w:t>When the Commission contracts with third party consultants to provide analytic and program evaluation services, should the data collected by the contractors be always required to be shared with the Commission?</w:t>
      </w:r>
    </w:p>
    <w:p w:rsidR="003E775E" w:rsidP="00972E08" w:rsidRDefault="003E775E" w14:paraId="2BB7C428" w14:textId="77777777">
      <w:pPr>
        <w:pStyle w:val="Heading2"/>
      </w:pPr>
      <w:bookmarkStart w:name="_Toc118111382" w:id="188"/>
      <w:bookmarkStart w:name="_Toc119312348" w:id="189"/>
      <w:bookmarkStart w:name="_Toc106887340" w:id="190"/>
      <w:bookmarkStart w:name="_Toc106888927" w:id="191"/>
      <w:bookmarkEnd w:id="188"/>
      <w:r>
        <w:t>Phase 2</w:t>
      </w:r>
      <w:bookmarkEnd w:id="189"/>
    </w:p>
    <w:p w:rsidR="003E775E" w:rsidP="00972E08" w:rsidRDefault="003E775E" w14:paraId="3F98F472" w14:textId="6DBF6239">
      <w:pPr>
        <w:pStyle w:val="Standard"/>
        <w:rPr>
          <w:szCs w:val="26"/>
        </w:rPr>
      </w:pPr>
      <w:r w:rsidRPr="007E3E1F">
        <w:rPr>
          <w:szCs w:val="26"/>
        </w:rPr>
        <w:t>Phase 2 will</w:t>
      </w:r>
      <w:r>
        <w:rPr>
          <w:szCs w:val="26"/>
        </w:rPr>
        <w:t xml:space="preserve"> consider enacting equipment performance standards and requirements. </w:t>
      </w:r>
      <w:r w:rsidR="00B76F30">
        <w:rPr>
          <w:szCs w:val="26"/>
        </w:rPr>
        <w:t xml:space="preserve"> Phase 2 </w:t>
      </w:r>
      <w:r>
        <w:rPr>
          <w:szCs w:val="26"/>
        </w:rPr>
        <w:t xml:space="preserve">will </w:t>
      </w:r>
      <w:r w:rsidR="00B76F30">
        <w:rPr>
          <w:szCs w:val="26"/>
        </w:rPr>
        <w:t xml:space="preserve">also </w:t>
      </w:r>
      <w:r>
        <w:rPr>
          <w:szCs w:val="26"/>
        </w:rPr>
        <w:t xml:space="preserve">address issues identified in the course of Phase 1 or areas of work not completed. </w:t>
      </w:r>
      <w:r w:rsidRPr="007E3E1F">
        <w:rPr>
          <w:szCs w:val="26"/>
        </w:rPr>
        <w:t xml:space="preserve"> </w:t>
      </w:r>
    </w:p>
    <w:p w:rsidRPr="003E775E" w:rsidR="00AA4ADA" w:rsidP="003B4E34" w:rsidRDefault="00AA4ADA" w14:paraId="5E597C54" w14:textId="3CB3810C">
      <w:pPr>
        <w:pStyle w:val="Heading3"/>
      </w:pPr>
      <w:bookmarkStart w:name="_Toc119312349" w:id="192"/>
      <w:r>
        <w:t>Equipment Performance Standards</w:t>
      </w:r>
      <w:bookmarkEnd w:id="192"/>
    </w:p>
    <w:p w:rsidR="008F41C9" w:rsidP="000D45ED" w:rsidRDefault="003E775E" w14:paraId="72A43799" w14:textId="0B9A038D">
      <w:pPr>
        <w:rPr>
          <w:szCs w:val="20"/>
        </w:rPr>
      </w:pPr>
      <w:r>
        <w:rPr>
          <w:szCs w:val="20"/>
        </w:rPr>
        <w:t xml:space="preserve">Work </w:t>
      </w:r>
      <w:r w:rsidR="00E22327">
        <w:rPr>
          <w:szCs w:val="20"/>
        </w:rPr>
        <w:t xml:space="preserve">in Phase 2 </w:t>
      </w:r>
      <w:r>
        <w:rPr>
          <w:szCs w:val="20"/>
        </w:rPr>
        <w:t xml:space="preserve">will </w:t>
      </w:r>
      <w:r w:rsidR="00E000F7">
        <w:rPr>
          <w:szCs w:val="20"/>
        </w:rPr>
        <w:t xml:space="preserve">consider whether </w:t>
      </w:r>
      <w:r w:rsidR="00E22327">
        <w:rPr>
          <w:szCs w:val="20"/>
        </w:rPr>
        <w:t xml:space="preserve">equipment performance standards </w:t>
      </w:r>
      <w:r w:rsidR="00E000F7">
        <w:rPr>
          <w:szCs w:val="20"/>
        </w:rPr>
        <w:t>cam</w:t>
      </w:r>
      <w:r w:rsidR="00E22327">
        <w:rPr>
          <w:szCs w:val="20"/>
        </w:rPr>
        <w:t xml:space="preserve"> </w:t>
      </w:r>
      <w:r>
        <w:rPr>
          <w:szCs w:val="20"/>
        </w:rPr>
        <w:t>support</w:t>
      </w:r>
      <w:r w:rsidRPr="00F84AD8">
        <w:rPr>
          <w:szCs w:val="20"/>
        </w:rPr>
        <w:t xml:space="preserve"> </w:t>
      </w:r>
      <w:r w:rsidR="00874448">
        <w:rPr>
          <w:szCs w:val="20"/>
        </w:rPr>
        <w:t xml:space="preserve">the development and deployment of </w:t>
      </w:r>
      <w:r w:rsidRPr="00F84AD8">
        <w:rPr>
          <w:szCs w:val="20"/>
        </w:rPr>
        <w:t>technolog</w:t>
      </w:r>
      <w:r w:rsidR="00874448">
        <w:rPr>
          <w:szCs w:val="20"/>
        </w:rPr>
        <w:t xml:space="preserve">ies in ways that </w:t>
      </w:r>
      <w:r w:rsidRPr="00F84AD8">
        <w:rPr>
          <w:szCs w:val="20"/>
        </w:rPr>
        <w:t>ensure that t</w:t>
      </w:r>
      <w:r w:rsidR="00E969EC">
        <w:rPr>
          <w:szCs w:val="20"/>
        </w:rPr>
        <w:t>he</w:t>
      </w:r>
      <w:r w:rsidR="00E000F7">
        <w:rPr>
          <w:szCs w:val="20"/>
        </w:rPr>
        <w:t xml:space="preserve"> technologies </w:t>
      </w:r>
      <w:r w:rsidRPr="00F84AD8">
        <w:rPr>
          <w:szCs w:val="20"/>
        </w:rPr>
        <w:t>meet grid needs.</w:t>
      </w:r>
      <w:r>
        <w:rPr>
          <w:szCs w:val="20"/>
        </w:rPr>
        <w:t xml:space="preserve"> </w:t>
      </w:r>
      <w:r w:rsidR="008F41C9">
        <w:rPr>
          <w:szCs w:val="20"/>
        </w:rPr>
        <w:t xml:space="preserve"> </w:t>
      </w:r>
      <w:r w:rsidR="00D56EF8">
        <w:rPr>
          <w:szCs w:val="20"/>
        </w:rPr>
        <w:t>Absent such guidelines</w:t>
      </w:r>
      <w:r w:rsidRPr="00C1583B" w:rsidR="008F41C9">
        <w:rPr>
          <w:szCs w:val="20"/>
        </w:rPr>
        <w:t xml:space="preserve">, ratepayer funds could </w:t>
      </w:r>
      <w:r w:rsidR="008F41C9">
        <w:rPr>
          <w:szCs w:val="20"/>
        </w:rPr>
        <w:t xml:space="preserve">be used to provide incentives for, or otherwise support, devices with limited or inferior capabilities, unreasonable restrictions on data use, proprietary software, limited access to communications, or other attributes that </w:t>
      </w:r>
      <w:r w:rsidR="00D56EF8">
        <w:rPr>
          <w:szCs w:val="20"/>
        </w:rPr>
        <w:t xml:space="preserve">could </w:t>
      </w:r>
      <w:r w:rsidR="008F41C9">
        <w:rPr>
          <w:szCs w:val="20"/>
        </w:rPr>
        <w:t>limit their usefulness.</w:t>
      </w:r>
      <w:r w:rsidR="000D45ED">
        <w:rPr>
          <w:szCs w:val="20"/>
        </w:rPr>
        <w:t xml:space="preserve">  Work in this area </w:t>
      </w:r>
      <w:r w:rsidR="00247BD3">
        <w:rPr>
          <w:szCs w:val="20"/>
        </w:rPr>
        <w:t>will</w:t>
      </w:r>
      <w:r>
        <w:rPr>
          <w:szCs w:val="20"/>
        </w:rPr>
        <w:t xml:space="preserve"> enhance, not replace, </w:t>
      </w:r>
      <w:r w:rsidR="000D45ED">
        <w:rPr>
          <w:szCs w:val="20"/>
        </w:rPr>
        <w:t>the work of specific DER</w:t>
      </w:r>
      <w:r w:rsidR="00A5175D">
        <w:rPr>
          <w:szCs w:val="20"/>
        </w:rPr>
        <w:t> </w:t>
      </w:r>
      <w:r>
        <w:rPr>
          <w:szCs w:val="20"/>
        </w:rPr>
        <w:t>proceedings and programs</w:t>
      </w:r>
      <w:r w:rsidR="000D45ED">
        <w:rPr>
          <w:szCs w:val="20"/>
        </w:rPr>
        <w:t xml:space="preserve"> in this area. </w:t>
      </w:r>
    </w:p>
    <w:p w:rsidR="003E775E" w:rsidP="00F56308" w:rsidRDefault="00D6589C" w14:paraId="5D854F16" w14:textId="5A6934CF">
      <w:pPr>
        <w:rPr>
          <w:szCs w:val="20"/>
        </w:rPr>
      </w:pPr>
      <w:r>
        <w:rPr>
          <w:szCs w:val="20"/>
        </w:rPr>
        <w:t xml:space="preserve">Work during </w:t>
      </w:r>
      <w:r w:rsidR="000D45ED">
        <w:rPr>
          <w:szCs w:val="20"/>
        </w:rPr>
        <w:t xml:space="preserve">Phase 2 </w:t>
      </w:r>
      <w:r w:rsidR="003E775E">
        <w:rPr>
          <w:szCs w:val="20"/>
        </w:rPr>
        <w:t>may consider a</w:t>
      </w:r>
      <w:r w:rsidRPr="007E3E1F" w:rsidR="003E775E">
        <w:rPr>
          <w:szCs w:val="20"/>
        </w:rPr>
        <w:t xml:space="preserve"> </w:t>
      </w:r>
      <w:r w:rsidR="004D4B76">
        <w:rPr>
          <w:szCs w:val="20"/>
        </w:rPr>
        <w:t xml:space="preserve">device </w:t>
      </w:r>
      <w:r w:rsidRPr="007E3E1F" w:rsidR="003E775E">
        <w:rPr>
          <w:szCs w:val="20"/>
        </w:rPr>
        <w:t>performance standard for grid interactio</w:t>
      </w:r>
      <w:r>
        <w:rPr>
          <w:szCs w:val="20"/>
        </w:rPr>
        <w:t>n.  A device performance standard for grid interaction could</w:t>
      </w:r>
      <w:r w:rsidR="004D4B76">
        <w:rPr>
          <w:szCs w:val="20"/>
        </w:rPr>
        <w:t xml:space="preserve"> </w:t>
      </w:r>
      <w:r w:rsidRPr="007E3E1F" w:rsidR="003E775E">
        <w:rPr>
          <w:szCs w:val="20"/>
        </w:rPr>
        <w:t xml:space="preserve">help ensure that devices </w:t>
      </w:r>
      <w:r w:rsidR="004D4B76">
        <w:rPr>
          <w:szCs w:val="20"/>
        </w:rPr>
        <w:t xml:space="preserve">like </w:t>
      </w:r>
      <w:r w:rsidRPr="007E3E1F" w:rsidR="003E775E">
        <w:rPr>
          <w:szCs w:val="20"/>
        </w:rPr>
        <w:t xml:space="preserve">thermostats and </w:t>
      </w:r>
      <w:r w:rsidR="007C6EE8">
        <w:rPr>
          <w:szCs w:val="20"/>
        </w:rPr>
        <w:t>heat pump water heaters (</w:t>
      </w:r>
      <w:r w:rsidRPr="007E3E1F" w:rsidR="003E775E">
        <w:rPr>
          <w:szCs w:val="20"/>
        </w:rPr>
        <w:t>HPWH</w:t>
      </w:r>
      <w:r w:rsidR="007C6EE8">
        <w:rPr>
          <w:szCs w:val="20"/>
        </w:rPr>
        <w:t>)</w:t>
      </w:r>
      <w:r w:rsidRPr="007E3E1F" w:rsidR="003E775E">
        <w:rPr>
          <w:szCs w:val="20"/>
        </w:rPr>
        <w:t xml:space="preserve"> </w:t>
      </w:r>
      <w:r>
        <w:rPr>
          <w:szCs w:val="20"/>
        </w:rPr>
        <w:t>are capable of</w:t>
      </w:r>
      <w:r w:rsidRPr="007E3E1F" w:rsidR="003E775E">
        <w:rPr>
          <w:szCs w:val="20"/>
        </w:rPr>
        <w:t xml:space="preserve"> reduc</w:t>
      </w:r>
      <w:r>
        <w:rPr>
          <w:szCs w:val="20"/>
        </w:rPr>
        <w:t>ing</w:t>
      </w:r>
      <w:r w:rsidRPr="007E3E1F" w:rsidR="003E775E">
        <w:rPr>
          <w:szCs w:val="20"/>
        </w:rPr>
        <w:t xml:space="preserve"> demand during peak hours in response to dynamic prices or a dispatch signal from the grid operator</w:t>
      </w:r>
      <w:r w:rsidRPr="00842D1D" w:rsidR="003E775E">
        <w:rPr>
          <w:szCs w:val="20"/>
        </w:rPr>
        <w:t xml:space="preserve">.  </w:t>
      </w:r>
      <w:r w:rsidRPr="00842D1D">
        <w:rPr>
          <w:szCs w:val="20"/>
        </w:rPr>
        <w:t>W</w:t>
      </w:r>
      <w:r>
        <w:rPr>
          <w:szCs w:val="20"/>
        </w:rPr>
        <w:t xml:space="preserve">ork in Phase 2 </w:t>
      </w:r>
      <w:r w:rsidR="0062640E">
        <w:rPr>
          <w:szCs w:val="20"/>
        </w:rPr>
        <w:t xml:space="preserve">may consider </w:t>
      </w:r>
      <w:r w:rsidR="00633D02">
        <w:rPr>
          <w:szCs w:val="20"/>
        </w:rPr>
        <w:t xml:space="preserve">other device </w:t>
      </w:r>
      <w:r w:rsidRPr="007E3E1F" w:rsidR="003E775E">
        <w:rPr>
          <w:szCs w:val="20"/>
        </w:rPr>
        <w:t>performance standard</w:t>
      </w:r>
      <w:r w:rsidR="00633D02">
        <w:rPr>
          <w:szCs w:val="20"/>
        </w:rPr>
        <w:t xml:space="preserve">s, </w:t>
      </w:r>
      <w:r w:rsidR="00FD31A8">
        <w:rPr>
          <w:szCs w:val="20"/>
        </w:rPr>
        <w:t xml:space="preserve">for instance, </w:t>
      </w:r>
      <w:r w:rsidR="00633D02">
        <w:rPr>
          <w:szCs w:val="20"/>
        </w:rPr>
        <w:t xml:space="preserve">one that </w:t>
      </w:r>
      <w:r w:rsidRPr="007E3E1F" w:rsidR="003E775E">
        <w:rPr>
          <w:szCs w:val="20"/>
        </w:rPr>
        <w:t>set</w:t>
      </w:r>
      <w:r w:rsidR="00247BD3">
        <w:rPr>
          <w:szCs w:val="20"/>
        </w:rPr>
        <w:t>s</w:t>
      </w:r>
      <w:r w:rsidRPr="007E3E1F" w:rsidR="003E775E">
        <w:rPr>
          <w:szCs w:val="20"/>
        </w:rPr>
        <w:t xml:space="preserve"> a minimum target for the amount of peak hour load reduction re</w:t>
      </w:r>
      <w:r w:rsidR="00633D02">
        <w:rPr>
          <w:szCs w:val="20"/>
        </w:rPr>
        <w:t>commended</w:t>
      </w:r>
      <w:r w:rsidRPr="007E3E1F" w:rsidR="003E775E">
        <w:rPr>
          <w:szCs w:val="20"/>
        </w:rPr>
        <w:t xml:space="preserve"> in return fo</w:t>
      </w:r>
      <w:r w:rsidR="00633D02">
        <w:rPr>
          <w:szCs w:val="20"/>
        </w:rPr>
        <w:t xml:space="preserve">r access to a </w:t>
      </w:r>
      <w:r w:rsidRPr="007E3E1F" w:rsidR="003E775E">
        <w:rPr>
          <w:szCs w:val="20"/>
        </w:rPr>
        <w:t xml:space="preserve">ratepayer-funded incentive. </w:t>
      </w:r>
      <w:r w:rsidR="00633D02">
        <w:rPr>
          <w:szCs w:val="20"/>
        </w:rPr>
        <w:t xml:space="preserve"> Work in Phase 2 in this area </w:t>
      </w:r>
      <w:r w:rsidR="003E775E">
        <w:rPr>
          <w:szCs w:val="20"/>
        </w:rPr>
        <w:t>may consider</w:t>
      </w:r>
      <w:r w:rsidR="00FD31A8">
        <w:rPr>
          <w:szCs w:val="20"/>
        </w:rPr>
        <w:t xml:space="preserve"> </w:t>
      </w:r>
      <w:r w:rsidR="00E0643C">
        <w:rPr>
          <w:szCs w:val="20"/>
        </w:rPr>
        <w:t xml:space="preserve">the need for a Commission </w:t>
      </w:r>
      <w:r w:rsidR="00FD31A8">
        <w:rPr>
          <w:szCs w:val="20"/>
        </w:rPr>
        <w:t>requir</w:t>
      </w:r>
      <w:r w:rsidR="00E0643C">
        <w:rPr>
          <w:szCs w:val="20"/>
        </w:rPr>
        <w:t>ement</w:t>
      </w:r>
      <w:r w:rsidR="00FD31A8">
        <w:rPr>
          <w:szCs w:val="20"/>
        </w:rPr>
        <w:t xml:space="preserve"> that </w:t>
      </w:r>
      <w:r w:rsidRPr="007E3E1F" w:rsidR="003E775E">
        <w:rPr>
          <w:szCs w:val="20"/>
        </w:rPr>
        <w:t>contracts executed between customers and equipment providers have specific data access requirements</w:t>
      </w:r>
      <w:r w:rsidR="003E775E">
        <w:rPr>
          <w:szCs w:val="20"/>
        </w:rPr>
        <w:t xml:space="preserve">.  </w:t>
      </w:r>
      <w:r w:rsidR="00E0643C">
        <w:rPr>
          <w:szCs w:val="20"/>
        </w:rPr>
        <w:t xml:space="preserve">Such a requirement </w:t>
      </w:r>
      <w:r w:rsidRPr="007E3E1F" w:rsidR="003E775E">
        <w:rPr>
          <w:szCs w:val="20"/>
        </w:rPr>
        <w:lastRenderedPageBreak/>
        <w:t xml:space="preserve">could help </w:t>
      </w:r>
      <w:r w:rsidR="00E0643C">
        <w:rPr>
          <w:szCs w:val="20"/>
        </w:rPr>
        <w:t xml:space="preserve">protect </w:t>
      </w:r>
      <w:r w:rsidRPr="007E3E1F" w:rsidR="003E775E">
        <w:rPr>
          <w:szCs w:val="20"/>
        </w:rPr>
        <w:t xml:space="preserve">customer privacy </w:t>
      </w:r>
      <w:r w:rsidR="00E0643C">
        <w:rPr>
          <w:szCs w:val="20"/>
        </w:rPr>
        <w:t>a</w:t>
      </w:r>
      <w:r w:rsidRPr="007E3E1F" w:rsidR="003E775E">
        <w:rPr>
          <w:szCs w:val="20"/>
        </w:rPr>
        <w:t xml:space="preserve">nd </w:t>
      </w:r>
      <w:r w:rsidR="00E0643C">
        <w:rPr>
          <w:szCs w:val="20"/>
        </w:rPr>
        <w:t xml:space="preserve">ensure </w:t>
      </w:r>
      <w:r w:rsidRPr="007E3E1F" w:rsidR="003E775E">
        <w:rPr>
          <w:szCs w:val="20"/>
        </w:rPr>
        <w:t>that data are available for evaluation purposes.</w:t>
      </w:r>
    </w:p>
    <w:p w:rsidR="00AA4ADA" w:rsidP="003E775E" w:rsidRDefault="00AA4ADA" w14:paraId="0C7252CA" w14:textId="749C0754">
      <w:pPr>
        <w:rPr>
          <w:szCs w:val="20"/>
        </w:rPr>
      </w:pPr>
      <w:r>
        <w:rPr>
          <w:szCs w:val="20"/>
        </w:rPr>
        <w:t xml:space="preserve">Some questions that we may consider in Phase 2 include: </w:t>
      </w:r>
    </w:p>
    <w:p w:rsidR="00E0643C" w:rsidP="00E0643C" w:rsidRDefault="00AA4ADA" w14:paraId="2247AC5D" w14:textId="6A00489F">
      <w:pPr>
        <w:pStyle w:val="ListNum"/>
        <w:numPr>
          <w:ilvl w:val="6"/>
          <w:numId w:val="54"/>
        </w:numPr>
        <w:ind w:right="1440"/>
      </w:pPr>
      <w:r w:rsidRPr="008150AA">
        <w:t xml:space="preserve">What kind of performance standards and requirements should </w:t>
      </w:r>
      <w:r w:rsidR="00805EFB">
        <w:t xml:space="preserve">the Commission </w:t>
      </w:r>
      <w:r w:rsidR="00E0643C">
        <w:t xml:space="preserve">consider </w:t>
      </w:r>
      <w:r w:rsidRPr="008150AA">
        <w:t xml:space="preserve">for equipment that receives ratepayer funding?  </w:t>
      </w:r>
    </w:p>
    <w:p w:rsidR="00E0643C" w:rsidP="00E0643C" w:rsidRDefault="00E0643C" w14:paraId="07729F48" w14:textId="719B8CED">
      <w:pPr>
        <w:pStyle w:val="ListNum"/>
        <w:numPr>
          <w:ilvl w:val="6"/>
          <w:numId w:val="54"/>
        </w:numPr>
        <w:ind w:right="1440"/>
      </w:pPr>
      <w:r>
        <w:t xml:space="preserve">Should </w:t>
      </w:r>
      <w:r w:rsidR="00805EFB">
        <w:t xml:space="preserve">the Commission require </w:t>
      </w:r>
      <w:r>
        <w:t xml:space="preserve">recipients of devices that are ratepayer-funded to make their data available for research purposes?  </w:t>
      </w:r>
    </w:p>
    <w:p w:rsidR="00E0643C" w:rsidP="00E0643C" w:rsidRDefault="00E0643C" w14:paraId="535530E5" w14:textId="3A11C915">
      <w:pPr>
        <w:pStyle w:val="ListNum"/>
        <w:numPr>
          <w:ilvl w:val="6"/>
          <w:numId w:val="54"/>
        </w:numPr>
        <w:ind w:right="1440"/>
      </w:pPr>
      <w:r>
        <w:t xml:space="preserve">Should </w:t>
      </w:r>
      <w:r w:rsidR="00FB0FAD">
        <w:t xml:space="preserve">the Commission allow use of </w:t>
      </w:r>
      <w:r>
        <w:t xml:space="preserve">ratepayer funding </w:t>
      </w:r>
      <w:r w:rsidR="00FB0FAD">
        <w:t>to reduce the cost</w:t>
      </w:r>
      <w:r w:rsidR="00362BCF">
        <w:t>s to customers of</w:t>
      </w:r>
      <w:r>
        <w:t xml:space="preserve"> devices that require exclusive contracts between the participant and a third party?  </w:t>
      </w:r>
    </w:p>
    <w:p w:rsidR="00362BCF" w:rsidP="00F56308" w:rsidRDefault="00E0643C" w14:paraId="79C7CF50" w14:textId="3726913C">
      <w:pPr>
        <w:pStyle w:val="ListNum"/>
        <w:numPr>
          <w:ilvl w:val="6"/>
          <w:numId w:val="54"/>
        </w:numPr>
        <w:ind w:right="1440"/>
      </w:pPr>
      <w:r>
        <w:t xml:space="preserve">What type of performance standards should </w:t>
      </w:r>
      <w:r w:rsidR="00362BCF">
        <w:t xml:space="preserve">the Commission consider, if any, </w:t>
      </w:r>
      <w:r>
        <w:t>for technologies such as inverters, heat pumps, or other devices, to enable participants to fully manage their load?</w:t>
      </w:r>
    </w:p>
    <w:p w:rsidRPr="007E3E1F" w:rsidR="007E3E1F" w:rsidP="00F02759" w:rsidRDefault="007E3E1F" w14:paraId="72579909" w14:textId="4BE85954">
      <w:pPr>
        <w:pStyle w:val="Heading1"/>
      </w:pPr>
      <w:bookmarkStart w:name="_Toc119312350" w:id="193"/>
      <w:r w:rsidRPr="007E3E1F">
        <w:t>Preliminary Schedule</w:t>
      </w:r>
      <w:bookmarkEnd w:id="190"/>
      <w:bookmarkEnd w:id="191"/>
      <w:bookmarkEnd w:id="193"/>
    </w:p>
    <w:p w:rsidRPr="007E3E1F" w:rsidR="003C33E5" w:rsidP="007E6238" w:rsidRDefault="007E3E1F" w14:paraId="627718A0" w14:textId="75615E47">
      <w:pPr>
        <w:ind w:firstLine="475"/>
        <w:rPr>
          <w:szCs w:val="20"/>
        </w:rPr>
      </w:pPr>
      <w:r w:rsidRPr="007E3E1F">
        <w:rPr>
          <w:szCs w:val="20"/>
        </w:rPr>
        <w:t xml:space="preserve">The preliminary schedule for this proceeding is below.  A schedule for each Track of this proceeding will be set forth in the Scoping Memo.  </w:t>
      </w:r>
    </w:p>
    <w:tbl>
      <w:tblPr>
        <w:tblStyle w:val="TableGrid1"/>
        <w:tblW w:w="0" w:type="auto"/>
        <w:jc w:val="center"/>
        <w:tblLook w:val="04A0" w:firstRow="1" w:lastRow="0" w:firstColumn="1" w:lastColumn="0" w:noHBand="0" w:noVBand="1"/>
      </w:tblPr>
      <w:tblGrid>
        <w:gridCol w:w="4675"/>
        <w:gridCol w:w="4675"/>
      </w:tblGrid>
      <w:tr w:rsidRPr="00F7723E" w:rsidR="007E3E1F" w:rsidTr="007C7F1A" w14:paraId="755DDF3E" w14:textId="77777777">
        <w:trPr>
          <w:jc w:val="center"/>
        </w:trPr>
        <w:tc>
          <w:tcPr>
            <w:tcW w:w="4675" w:type="dxa"/>
          </w:tcPr>
          <w:p w:rsidRPr="00F56308" w:rsidR="007E3E1F" w:rsidP="007E3E1F" w:rsidRDefault="007E3E1F" w14:paraId="25D23D1F" w14:textId="77777777">
            <w:pPr>
              <w:ind w:firstLine="0"/>
              <w:jc w:val="center"/>
              <w:rPr>
                <w:b/>
              </w:rPr>
            </w:pPr>
            <w:r w:rsidRPr="00F56308">
              <w:rPr>
                <w:b/>
              </w:rPr>
              <w:t>Event</w:t>
            </w:r>
          </w:p>
        </w:tc>
        <w:tc>
          <w:tcPr>
            <w:tcW w:w="4675" w:type="dxa"/>
          </w:tcPr>
          <w:p w:rsidRPr="00F56308" w:rsidR="007E3E1F" w:rsidP="007E3E1F" w:rsidRDefault="007E3E1F" w14:paraId="0D7FA807" w14:textId="77777777">
            <w:pPr>
              <w:ind w:firstLine="0"/>
              <w:jc w:val="center"/>
              <w:rPr>
                <w:b/>
              </w:rPr>
            </w:pPr>
            <w:r w:rsidRPr="00F56308">
              <w:rPr>
                <w:b/>
              </w:rPr>
              <w:t>Date</w:t>
            </w:r>
          </w:p>
        </w:tc>
      </w:tr>
      <w:tr w:rsidRPr="00F7723E" w:rsidR="007E3E1F" w:rsidTr="00EC0910" w14:paraId="7BCE2A8D" w14:textId="77777777">
        <w:trPr>
          <w:jc w:val="center"/>
        </w:trPr>
        <w:tc>
          <w:tcPr>
            <w:tcW w:w="4675" w:type="dxa"/>
            <w:shd w:val="clear" w:color="auto" w:fill="auto"/>
          </w:tcPr>
          <w:p w:rsidRPr="00842D1D" w:rsidR="007E3E1F" w:rsidP="007E3E1F" w:rsidRDefault="007E3E1F" w14:paraId="2D4A5166" w14:textId="336AD0AA">
            <w:pPr>
              <w:ind w:firstLine="0"/>
              <w:rPr>
                <w:szCs w:val="26"/>
              </w:rPr>
            </w:pPr>
            <w:r w:rsidRPr="00842D1D">
              <w:rPr>
                <w:szCs w:val="26"/>
              </w:rPr>
              <w:t xml:space="preserve">Comments on the </w:t>
            </w:r>
            <w:r w:rsidRPr="00842D1D" w:rsidR="009317C7">
              <w:rPr>
                <w:szCs w:val="26"/>
              </w:rPr>
              <w:t>order</w:t>
            </w:r>
          </w:p>
        </w:tc>
        <w:tc>
          <w:tcPr>
            <w:tcW w:w="4675" w:type="dxa"/>
            <w:shd w:val="clear" w:color="auto" w:fill="auto"/>
          </w:tcPr>
          <w:p w:rsidRPr="00F7723E" w:rsidR="007E3E1F" w:rsidP="007E3E1F" w:rsidRDefault="00426818" w14:paraId="172183E8" w14:textId="1FE73446">
            <w:pPr>
              <w:ind w:firstLine="0"/>
              <w:rPr>
                <w:szCs w:val="26"/>
              </w:rPr>
            </w:pPr>
            <w:r w:rsidRPr="00F7723E">
              <w:rPr>
                <w:szCs w:val="26"/>
              </w:rPr>
              <w:t>45</w:t>
            </w:r>
            <w:r w:rsidRPr="00F7723E" w:rsidR="007E3E1F">
              <w:rPr>
                <w:szCs w:val="26"/>
              </w:rPr>
              <w:t xml:space="preserve"> days from issuance </w:t>
            </w:r>
          </w:p>
        </w:tc>
      </w:tr>
      <w:tr w:rsidRPr="00F7723E" w:rsidR="007E3E1F" w:rsidTr="00EC0910" w14:paraId="463C307C" w14:textId="77777777">
        <w:trPr>
          <w:jc w:val="center"/>
        </w:trPr>
        <w:tc>
          <w:tcPr>
            <w:tcW w:w="4675" w:type="dxa"/>
            <w:shd w:val="clear" w:color="auto" w:fill="auto"/>
          </w:tcPr>
          <w:p w:rsidRPr="00842D1D" w:rsidR="007E3E1F" w:rsidP="007E3E1F" w:rsidRDefault="007E3E1F" w14:paraId="2F436A2B" w14:textId="77777777">
            <w:pPr>
              <w:ind w:firstLine="0"/>
              <w:rPr>
                <w:szCs w:val="26"/>
              </w:rPr>
            </w:pPr>
            <w:r w:rsidRPr="00842D1D">
              <w:rPr>
                <w:szCs w:val="26"/>
              </w:rPr>
              <w:t xml:space="preserve">Pre-hearing Conference </w:t>
            </w:r>
          </w:p>
        </w:tc>
        <w:tc>
          <w:tcPr>
            <w:tcW w:w="4675" w:type="dxa"/>
            <w:shd w:val="clear" w:color="auto" w:fill="auto"/>
          </w:tcPr>
          <w:p w:rsidRPr="00F7723E" w:rsidR="007E3E1F" w:rsidP="007E3E1F" w:rsidRDefault="00DC258B" w14:paraId="484CD2B4" w14:textId="5BC747A0">
            <w:pPr>
              <w:ind w:firstLine="0"/>
              <w:rPr>
                <w:szCs w:val="26"/>
              </w:rPr>
            </w:pPr>
            <w:r w:rsidRPr="00F7723E">
              <w:rPr>
                <w:szCs w:val="26"/>
              </w:rPr>
              <w:t>Q1 20</w:t>
            </w:r>
            <w:r w:rsidRPr="00F7723E" w:rsidR="00426818">
              <w:rPr>
                <w:szCs w:val="26"/>
              </w:rPr>
              <w:t>23</w:t>
            </w:r>
          </w:p>
        </w:tc>
      </w:tr>
      <w:tr w:rsidRPr="00F7723E" w:rsidR="007E3E1F" w:rsidTr="0042301E" w14:paraId="576D69DD" w14:textId="77777777">
        <w:trPr>
          <w:trHeight w:val="1250"/>
          <w:jc w:val="center"/>
        </w:trPr>
        <w:tc>
          <w:tcPr>
            <w:tcW w:w="4675" w:type="dxa"/>
            <w:shd w:val="clear" w:color="auto" w:fill="auto"/>
          </w:tcPr>
          <w:p w:rsidRPr="00842D1D" w:rsidR="007E3E1F" w:rsidDel="00A76B49" w:rsidP="007E3E1F" w:rsidRDefault="007E3E1F" w14:paraId="0E1CF0DF" w14:textId="77777777">
            <w:pPr>
              <w:ind w:firstLine="0"/>
              <w:rPr>
                <w:szCs w:val="26"/>
              </w:rPr>
            </w:pPr>
            <w:r w:rsidRPr="00842D1D">
              <w:rPr>
                <w:szCs w:val="26"/>
              </w:rPr>
              <w:t xml:space="preserve">Scoping Memo </w:t>
            </w:r>
          </w:p>
        </w:tc>
        <w:tc>
          <w:tcPr>
            <w:tcW w:w="4675" w:type="dxa"/>
            <w:shd w:val="clear" w:color="auto" w:fill="auto"/>
          </w:tcPr>
          <w:p w:rsidRPr="00F7723E" w:rsidR="00827A7E" w:rsidP="007E3E1F" w:rsidRDefault="00DC258B" w14:paraId="07515D1A" w14:textId="4828A5BB">
            <w:pPr>
              <w:ind w:firstLine="0"/>
              <w:rPr>
                <w:szCs w:val="26"/>
              </w:rPr>
            </w:pPr>
            <w:r w:rsidRPr="00F7723E">
              <w:rPr>
                <w:szCs w:val="26"/>
              </w:rPr>
              <w:t xml:space="preserve">Approximately </w:t>
            </w:r>
            <w:r w:rsidRPr="00F7723E" w:rsidR="007E3E1F">
              <w:rPr>
                <w:szCs w:val="26"/>
              </w:rPr>
              <w:t>45 days after pre-hearing conference</w:t>
            </w:r>
          </w:p>
        </w:tc>
      </w:tr>
      <w:tr w:rsidRPr="00F7723E" w:rsidR="007E3E1F" w:rsidTr="007C7F1A" w14:paraId="103D8396" w14:textId="77777777">
        <w:trPr>
          <w:jc w:val="center"/>
        </w:trPr>
        <w:tc>
          <w:tcPr>
            <w:tcW w:w="9350" w:type="dxa"/>
            <w:gridSpan w:val="2"/>
          </w:tcPr>
          <w:p w:rsidRPr="006F6CC6" w:rsidR="007E3E1F" w:rsidP="006F6CC6" w:rsidRDefault="007E3E1F" w14:paraId="1B831EB3" w14:textId="0713B0BA">
            <w:pPr>
              <w:keepNext/>
              <w:keepLines/>
              <w:ind w:firstLine="0"/>
              <w:rPr>
                <w:b/>
                <w:highlight w:val="yellow"/>
              </w:rPr>
            </w:pPr>
            <w:r w:rsidRPr="00842D1D">
              <w:rPr>
                <w:b/>
              </w:rPr>
              <w:lastRenderedPageBreak/>
              <w:t xml:space="preserve">Track 1: </w:t>
            </w:r>
            <w:r w:rsidRPr="00842D1D" w:rsidR="009A6513">
              <w:rPr>
                <w:b/>
                <w:bCs/>
                <w:szCs w:val="26"/>
              </w:rPr>
              <w:t>Cost-Effectiveness</w:t>
            </w:r>
          </w:p>
        </w:tc>
      </w:tr>
      <w:tr w:rsidRPr="00F7723E" w:rsidR="007E3E1F" w:rsidTr="007C7F1A" w14:paraId="1648A093" w14:textId="77777777">
        <w:trPr>
          <w:jc w:val="center"/>
        </w:trPr>
        <w:tc>
          <w:tcPr>
            <w:tcW w:w="4675" w:type="dxa"/>
          </w:tcPr>
          <w:p w:rsidRPr="00842D1D" w:rsidR="007E3E1F" w:rsidP="006F6CC6" w:rsidRDefault="007E3E1F" w14:paraId="22EDBAB4" w14:textId="3BA3B541">
            <w:pPr>
              <w:keepNext/>
              <w:keepLines/>
              <w:ind w:firstLine="0"/>
              <w:rPr>
                <w:szCs w:val="26"/>
              </w:rPr>
            </w:pPr>
            <w:r w:rsidRPr="00842D1D">
              <w:rPr>
                <w:szCs w:val="26"/>
              </w:rPr>
              <w:t>Ruling requesting comments on Societal Cost Test</w:t>
            </w:r>
            <w:r w:rsidRPr="00842D1D" w:rsidR="001B25CE">
              <w:rPr>
                <w:szCs w:val="26"/>
              </w:rPr>
              <w:t xml:space="preserve">  and </w:t>
            </w:r>
            <w:r w:rsidRPr="00842D1D">
              <w:rPr>
                <w:szCs w:val="26"/>
              </w:rPr>
              <w:t xml:space="preserve">air quality </w:t>
            </w:r>
            <w:r w:rsidRPr="00842D1D" w:rsidR="00DE24D2">
              <w:rPr>
                <w:szCs w:val="26"/>
              </w:rPr>
              <w:t>research</w:t>
            </w:r>
            <w:r w:rsidRPr="00842D1D">
              <w:rPr>
                <w:szCs w:val="26"/>
                <w:vertAlign w:val="superscript"/>
              </w:rPr>
              <w:footnoteReference w:id="23"/>
            </w:r>
          </w:p>
        </w:tc>
        <w:tc>
          <w:tcPr>
            <w:tcW w:w="4675" w:type="dxa"/>
          </w:tcPr>
          <w:p w:rsidRPr="00F7723E" w:rsidR="007E3E1F" w:rsidP="006F6CC6" w:rsidRDefault="007E3E1F" w14:paraId="1520617C" w14:textId="53A6DD09">
            <w:pPr>
              <w:keepNext/>
              <w:keepLines/>
              <w:ind w:firstLine="0"/>
              <w:rPr>
                <w:szCs w:val="26"/>
              </w:rPr>
            </w:pPr>
            <w:r w:rsidRPr="00F7723E">
              <w:rPr>
                <w:szCs w:val="26"/>
              </w:rPr>
              <w:t xml:space="preserve">Concurrent with </w:t>
            </w:r>
            <w:r w:rsidRPr="00F7723E" w:rsidR="00DC258B">
              <w:rPr>
                <w:szCs w:val="26"/>
              </w:rPr>
              <w:t>issuance</w:t>
            </w:r>
            <w:r w:rsidRPr="00F7723E">
              <w:rPr>
                <w:szCs w:val="26"/>
              </w:rPr>
              <w:t xml:space="preserve"> of Scoping Memo</w:t>
            </w:r>
          </w:p>
        </w:tc>
      </w:tr>
      <w:tr w:rsidRPr="00F7723E" w:rsidR="007E3E1F" w:rsidTr="007C7F1A" w14:paraId="02DE8A80" w14:textId="77777777">
        <w:trPr>
          <w:jc w:val="center"/>
        </w:trPr>
        <w:tc>
          <w:tcPr>
            <w:tcW w:w="4675" w:type="dxa"/>
          </w:tcPr>
          <w:p w:rsidRPr="00842D1D" w:rsidR="007E3E1F" w:rsidP="007E3E1F" w:rsidRDefault="007E3E1F" w14:paraId="5BD7AF0B" w14:textId="77777777">
            <w:pPr>
              <w:ind w:firstLine="0"/>
            </w:pPr>
            <w:r w:rsidRPr="00842D1D">
              <w:t>Workshops as needed</w:t>
            </w:r>
          </w:p>
        </w:tc>
        <w:tc>
          <w:tcPr>
            <w:tcW w:w="4675" w:type="dxa"/>
          </w:tcPr>
          <w:p w:rsidRPr="00F56308" w:rsidR="007E3E1F" w:rsidP="007E3E1F" w:rsidRDefault="007E3E1F" w14:paraId="7C632710" w14:textId="77777777">
            <w:pPr>
              <w:ind w:firstLine="0"/>
            </w:pPr>
            <w:r w:rsidRPr="00F56308">
              <w:t>TBD</w:t>
            </w:r>
          </w:p>
        </w:tc>
      </w:tr>
      <w:tr w:rsidRPr="00F7723E" w:rsidR="007E3E1F" w:rsidTr="007C7F1A" w14:paraId="5D2E060A" w14:textId="77777777">
        <w:trPr>
          <w:jc w:val="center"/>
        </w:trPr>
        <w:tc>
          <w:tcPr>
            <w:tcW w:w="4675" w:type="dxa"/>
          </w:tcPr>
          <w:p w:rsidRPr="00842D1D" w:rsidR="007E3E1F" w:rsidP="007E3E1F" w:rsidRDefault="007E3E1F" w14:paraId="2E740361" w14:textId="6511BFE5">
            <w:pPr>
              <w:ind w:firstLine="0"/>
            </w:pPr>
            <w:r w:rsidRPr="00842D1D">
              <w:t>Proposed Decision on Societal Cost Test</w:t>
            </w:r>
            <w:r w:rsidRPr="00842D1D" w:rsidR="00605363">
              <w:rPr>
                <w:szCs w:val="26"/>
              </w:rPr>
              <w:t xml:space="preserve"> and</w:t>
            </w:r>
            <w:r w:rsidRPr="00842D1D">
              <w:t xml:space="preserve"> air quality </w:t>
            </w:r>
            <w:r w:rsidRPr="00842D1D" w:rsidR="00426818">
              <w:t>research</w:t>
            </w:r>
            <w:r w:rsidRPr="00842D1D" w:rsidR="00605363">
              <w:rPr>
                <w:szCs w:val="26"/>
              </w:rPr>
              <w:t>.</w:t>
            </w:r>
          </w:p>
        </w:tc>
        <w:tc>
          <w:tcPr>
            <w:tcW w:w="4675" w:type="dxa"/>
          </w:tcPr>
          <w:p w:rsidRPr="00F56308" w:rsidR="007E3E1F" w:rsidP="007E3E1F" w:rsidRDefault="007E3E1F" w14:paraId="33B26088" w14:textId="0F1340ED">
            <w:pPr>
              <w:ind w:firstLine="0"/>
            </w:pPr>
            <w:r w:rsidRPr="00F56308">
              <w:t>Q</w:t>
            </w:r>
            <w:r w:rsidRPr="00F56308" w:rsidR="00DC258B">
              <w:t>4</w:t>
            </w:r>
            <w:r w:rsidRPr="00F56308">
              <w:t xml:space="preserve"> 2023 </w:t>
            </w:r>
          </w:p>
        </w:tc>
      </w:tr>
      <w:tr w:rsidRPr="00F7723E" w:rsidR="007E3E1F" w:rsidTr="00A651D6" w14:paraId="2236FB57" w14:textId="77777777">
        <w:trPr>
          <w:trHeight w:val="845"/>
          <w:jc w:val="center"/>
        </w:trPr>
        <w:tc>
          <w:tcPr>
            <w:tcW w:w="4675" w:type="dxa"/>
          </w:tcPr>
          <w:p w:rsidRPr="00842D1D" w:rsidR="007E3E1F" w:rsidP="007E3E1F" w:rsidRDefault="007E3E1F" w14:paraId="49AA9628" w14:textId="71DEC027">
            <w:pPr>
              <w:ind w:firstLine="0"/>
            </w:pPr>
            <w:r w:rsidRPr="00842D1D">
              <w:t>2024 ACC update process:</w:t>
            </w:r>
            <w:r w:rsidRPr="00842D1D">
              <w:rPr>
                <w:vertAlign w:val="superscript"/>
              </w:rPr>
              <w:footnoteReference w:id="24"/>
            </w:r>
          </w:p>
          <w:p w:rsidRPr="00842D1D" w:rsidR="007E3E1F" w:rsidP="007E3E1F" w:rsidRDefault="007E3E1F" w14:paraId="304F6548" w14:textId="77777777">
            <w:pPr>
              <w:ind w:firstLine="0"/>
            </w:pPr>
            <w:r w:rsidRPr="00842D1D">
              <w:t>Issuance of Staff ACC Proposal</w:t>
            </w:r>
          </w:p>
          <w:p w:rsidRPr="00842D1D" w:rsidR="007E3E1F" w:rsidP="007E3E1F" w:rsidRDefault="007E3E1F" w14:paraId="70ED5272" w14:textId="77777777">
            <w:pPr>
              <w:ind w:firstLine="0"/>
            </w:pPr>
            <w:r w:rsidRPr="00842D1D">
              <w:t xml:space="preserve">Workshop </w:t>
            </w:r>
          </w:p>
          <w:p w:rsidRPr="00842D1D" w:rsidR="007E3E1F" w:rsidP="007E3E1F" w:rsidRDefault="007E3E1F" w14:paraId="5B80D0B4" w14:textId="77777777">
            <w:pPr>
              <w:ind w:firstLine="0"/>
            </w:pPr>
            <w:r w:rsidRPr="00842D1D">
              <w:t>Discovery completed</w:t>
            </w:r>
          </w:p>
          <w:p w:rsidRPr="00842D1D" w:rsidR="007E3E1F" w:rsidP="007E3E1F" w:rsidRDefault="007E3E1F" w14:paraId="77D37BCE" w14:textId="77777777">
            <w:pPr>
              <w:ind w:firstLine="0"/>
            </w:pPr>
            <w:r w:rsidRPr="00842D1D">
              <w:t>Opening Testimony</w:t>
            </w:r>
          </w:p>
          <w:p w:rsidRPr="00842D1D" w:rsidR="007E3E1F" w:rsidP="007E3E1F" w:rsidRDefault="007E3E1F" w14:paraId="074175B1" w14:textId="77777777">
            <w:pPr>
              <w:ind w:firstLine="0"/>
            </w:pPr>
            <w:r w:rsidRPr="00842D1D">
              <w:t>Reply Testimony</w:t>
            </w:r>
          </w:p>
          <w:p w:rsidRPr="00842D1D" w:rsidR="007E3E1F" w:rsidP="007E3E1F" w:rsidRDefault="007E3E1F" w14:paraId="754CB17C" w14:textId="77777777">
            <w:pPr>
              <w:ind w:firstLine="0"/>
            </w:pPr>
            <w:r w:rsidRPr="00842D1D">
              <w:t>Evidentiary Hearing (if needed)</w:t>
            </w:r>
          </w:p>
          <w:p w:rsidRPr="00842D1D" w:rsidR="007E3E1F" w:rsidP="007E3E1F" w:rsidRDefault="007E3E1F" w14:paraId="1A41C601" w14:textId="77777777">
            <w:pPr>
              <w:ind w:firstLine="0"/>
            </w:pPr>
            <w:r w:rsidRPr="00842D1D">
              <w:t>Opening briefs</w:t>
            </w:r>
          </w:p>
          <w:p w:rsidRPr="00842D1D" w:rsidR="007E3E1F" w:rsidP="007E3E1F" w:rsidRDefault="007E3E1F" w14:paraId="6855D3D3" w14:textId="77777777">
            <w:pPr>
              <w:ind w:firstLine="0"/>
            </w:pPr>
            <w:r w:rsidRPr="00842D1D">
              <w:t>Reply briefs</w:t>
            </w:r>
          </w:p>
          <w:p w:rsidRPr="00842D1D" w:rsidR="007E3E1F" w:rsidP="007E3E1F" w:rsidRDefault="007E3E1F" w14:paraId="3FAC4016" w14:textId="77777777">
            <w:pPr>
              <w:ind w:firstLine="0"/>
            </w:pPr>
            <w:r w:rsidRPr="00842D1D">
              <w:t>Release of data from IRP proceeding</w:t>
            </w:r>
          </w:p>
          <w:p w:rsidRPr="00842D1D" w:rsidR="007E3E1F" w:rsidP="007E3E1F" w:rsidRDefault="007E3E1F" w14:paraId="4E235E30" w14:textId="77777777">
            <w:pPr>
              <w:ind w:firstLine="0"/>
            </w:pPr>
          </w:p>
          <w:p w:rsidRPr="00842D1D" w:rsidR="007E3E1F" w:rsidP="007E3E1F" w:rsidRDefault="007E3E1F" w14:paraId="3DE13B3E" w14:textId="77777777">
            <w:pPr>
              <w:ind w:firstLine="0"/>
            </w:pPr>
            <w:r w:rsidRPr="00842D1D">
              <w:t xml:space="preserve">Proposed decision issued </w:t>
            </w:r>
          </w:p>
          <w:p w:rsidRPr="00842D1D" w:rsidR="007E3E1F" w:rsidP="007E3E1F" w:rsidRDefault="007E3E1F" w14:paraId="04AA9145" w14:textId="77777777">
            <w:pPr>
              <w:ind w:firstLine="0"/>
            </w:pPr>
            <w:r w:rsidRPr="00842D1D">
              <w:t>Issuance of draft calculator</w:t>
            </w:r>
          </w:p>
          <w:p w:rsidRPr="00842D1D" w:rsidR="007E3E1F" w:rsidP="007E3E1F" w:rsidRDefault="007E3E1F" w14:paraId="1E93AC15" w14:textId="77777777">
            <w:pPr>
              <w:ind w:firstLine="0"/>
            </w:pPr>
          </w:p>
          <w:p w:rsidRPr="00842D1D" w:rsidR="007E3E1F" w:rsidP="007E3E1F" w:rsidRDefault="007E3E1F" w14:paraId="223D54F5" w14:textId="77777777">
            <w:pPr>
              <w:ind w:firstLine="0"/>
            </w:pPr>
            <w:r w:rsidRPr="00842D1D">
              <w:t xml:space="preserve">Workshop </w:t>
            </w:r>
          </w:p>
          <w:p w:rsidRPr="00842D1D" w:rsidR="007E3E1F" w:rsidP="007E3E1F" w:rsidRDefault="007E3E1F" w14:paraId="25F0FEBE" w14:textId="77777777">
            <w:pPr>
              <w:ind w:firstLine="0"/>
            </w:pPr>
            <w:r w:rsidRPr="00842D1D">
              <w:t>Informal comments</w:t>
            </w:r>
          </w:p>
          <w:p w:rsidRPr="00842D1D" w:rsidR="007E3E1F" w:rsidP="007E3E1F" w:rsidRDefault="007E3E1F" w14:paraId="29697A4B" w14:textId="77777777">
            <w:pPr>
              <w:ind w:firstLine="0"/>
            </w:pPr>
            <w:r w:rsidRPr="00842D1D">
              <w:lastRenderedPageBreak/>
              <w:t xml:space="preserve">Issuance of draft resolution adopting updated ACC </w:t>
            </w:r>
          </w:p>
        </w:tc>
        <w:tc>
          <w:tcPr>
            <w:tcW w:w="4675" w:type="dxa"/>
          </w:tcPr>
          <w:p w:rsidRPr="00F56308" w:rsidR="007E3E1F" w:rsidP="007E3E1F" w:rsidRDefault="007E3E1F" w14:paraId="4E855CB9" w14:textId="77777777">
            <w:pPr>
              <w:ind w:firstLine="0"/>
            </w:pPr>
          </w:p>
          <w:p w:rsidRPr="00F56308" w:rsidR="007E3E1F" w:rsidP="007E3E1F" w:rsidRDefault="007E3E1F" w14:paraId="6D42F800" w14:textId="77777777">
            <w:pPr>
              <w:ind w:firstLine="0"/>
            </w:pPr>
            <w:r w:rsidRPr="00F56308">
              <w:t>July 2023</w:t>
            </w:r>
          </w:p>
          <w:p w:rsidRPr="00F56308" w:rsidR="007E3E1F" w:rsidP="007E3E1F" w:rsidRDefault="007E3E1F" w14:paraId="3D310D30" w14:textId="77777777">
            <w:pPr>
              <w:ind w:firstLine="0"/>
            </w:pPr>
            <w:r w:rsidRPr="00F56308">
              <w:t>August 2023</w:t>
            </w:r>
          </w:p>
          <w:p w:rsidRPr="00F56308" w:rsidR="007E3E1F" w:rsidP="007E3E1F" w:rsidRDefault="007E3E1F" w14:paraId="1DD3C793" w14:textId="77777777">
            <w:pPr>
              <w:ind w:firstLine="0"/>
            </w:pPr>
            <w:r w:rsidRPr="00F56308">
              <w:t>September 2023</w:t>
            </w:r>
          </w:p>
          <w:p w:rsidRPr="00F56308" w:rsidR="007E3E1F" w:rsidP="007E3E1F" w:rsidRDefault="007E3E1F" w14:paraId="609C23C6" w14:textId="77777777">
            <w:pPr>
              <w:ind w:firstLine="0"/>
            </w:pPr>
            <w:r w:rsidRPr="00F56308">
              <w:t>October 2023</w:t>
            </w:r>
          </w:p>
          <w:p w:rsidRPr="00F56308" w:rsidR="007E3E1F" w:rsidP="007E3E1F" w:rsidRDefault="007E3E1F" w14:paraId="611546CF" w14:textId="77777777">
            <w:pPr>
              <w:ind w:firstLine="0"/>
            </w:pPr>
            <w:r w:rsidRPr="00F56308">
              <w:t>November 2023</w:t>
            </w:r>
          </w:p>
          <w:p w:rsidRPr="00F56308" w:rsidR="007E3E1F" w:rsidP="007E3E1F" w:rsidRDefault="007E3E1F" w14:paraId="084A51EA" w14:textId="77777777">
            <w:pPr>
              <w:ind w:firstLine="0"/>
            </w:pPr>
            <w:r w:rsidRPr="00F56308">
              <w:t>January 2024</w:t>
            </w:r>
          </w:p>
          <w:p w:rsidRPr="00F56308" w:rsidR="007E3E1F" w:rsidP="007E3E1F" w:rsidRDefault="007E3E1F" w14:paraId="263521E6" w14:textId="77777777">
            <w:pPr>
              <w:ind w:firstLine="0"/>
            </w:pPr>
            <w:r w:rsidRPr="00F56308">
              <w:t>February 2024</w:t>
            </w:r>
          </w:p>
          <w:p w:rsidRPr="00F56308" w:rsidR="007E3E1F" w:rsidP="007E3E1F" w:rsidRDefault="007E3E1F" w14:paraId="5F624E9E" w14:textId="77777777">
            <w:pPr>
              <w:ind w:firstLine="0"/>
            </w:pPr>
            <w:r w:rsidRPr="00F56308">
              <w:t>March 2024</w:t>
            </w:r>
          </w:p>
          <w:p w:rsidRPr="00F56308" w:rsidR="007E3E1F" w:rsidP="007E3E1F" w:rsidRDefault="007E3E1F" w14:paraId="596EE9F9" w14:textId="77777777">
            <w:pPr>
              <w:ind w:firstLine="0"/>
            </w:pPr>
            <w:r w:rsidRPr="00F56308">
              <w:t>60 days after adoption of a preferred system plan</w:t>
            </w:r>
          </w:p>
          <w:p w:rsidRPr="00F56308" w:rsidR="007E3E1F" w:rsidP="007E3E1F" w:rsidRDefault="007E3E1F" w14:paraId="0F12E8DA" w14:textId="77777777">
            <w:pPr>
              <w:ind w:firstLine="0"/>
            </w:pPr>
            <w:r w:rsidRPr="00F56308">
              <w:t>≤ 90 days (after submission of briefs)</w:t>
            </w:r>
          </w:p>
          <w:p w:rsidRPr="00F56308" w:rsidR="007E3E1F" w:rsidP="007E3E1F" w:rsidRDefault="007E3E1F" w14:paraId="637B9C2E" w14:textId="77777777">
            <w:pPr>
              <w:ind w:firstLine="0"/>
            </w:pPr>
            <w:r w:rsidRPr="00F56308">
              <w:t>Six weeks prior to issuance of draft resolution</w:t>
            </w:r>
          </w:p>
          <w:p w:rsidRPr="00F56308" w:rsidR="007E3E1F" w:rsidP="007E3E1F" w:rsidRDefault="007E3E1F" w14:paraId="18237844" w14:textId="77777777">
            <w:pPr>
              <w:ind w:firstLine="0"/>
            </w:pPr>
            <w:r w:rsidRPr="00F56308">
              <w:t>Approximately two weeks later</w:t>
            </w:r>
          </w:p>
          <w:p w:rsidRPr="00F56308" w:rsidR="007E3E1F" w:rsidP="007E3E1F" w:rsidRDefault="007E3E1F" w14:paraId="23C97D3B" w14:textId="77777777">
            <w:pPr>
              <w:ind w:firstLine="0"/>
            </w:pPr>
            <w:r w:rsidRPr="00F56308">
              <w:t>Approximately two weeks later</w:t>
            </w:r>
          </w:p>
          <w:p w:rsidRPr="00F56308" w:rsidR="007E3E1F" w:rsidP="007E3E1F" w:rsidRDefault="007E3E1F" w14:paraId="43E0CD76" w14:textId="74FB8E7A">
            <w:pPr>
              <w:ind w:firstLine="0"/>
            </w:pPr>
            <w:r w:rsidRPr="00F56308">
              <w:lastRenderedPageBreak/>
              <w:t>Approximately two weeks later</w:t>
            </w:r>
          </w:p>
        </w:tc>
      </w:tr>
      <w:tr w:rsidRPr="00F7723E" w:rsidR="007E3E1F" w:rsidTr="007C7F1A" w14:paraId="00F15C49" w14:textId="77777777">
        <w:trPr>
          <w:trHeight w:val="440"/>
          <w:jc w:val="center"/>
        </w:trPr>
        <w:tc>
          <w:tcPr>
            <w:tcW w:w="9350" w:type="dxa"/>
            <w:gridSpan w:val="2"/>
          </w:tcPr>
          <w:p w:rsidRPr="006F6CC6" w:rsidR="007E3E1F" w:rsidP="007E3E1F" w:rsidRDefault="007E3E1F" w14:paraId="3254F96B" w14:textId="1CD17480">
            <w:pPr>
              <w:ind w:firstLine="0"/>
              <w:rPr>
                <w:b/>
                <w:highlight w:val="yellow"/>
              </w:rPr>
            </w:pPr>
            <w:r w:rsidRPr="00842D1D">
              <w:rPr>
                <w:b/>
              </w:rPr>
              <w:lastRenderedPageBreak/>
              <w:t xml:space="preserve">Track 2:  Expanding </w:t>
            </w:r>
            <w:r w:rsidRPr="00842D1D" w:rsidR="009A6513">
              <w:rPr>
                <w:b/>
                <w:bCs/>
                <w:szCs w:val="26"/>
              </w:rPr>
              <w:t>Data</w:t>
            </w:r>
            <w:r w:rsidRPr="00842D1D" w:rsidR="009A6513">
              <w:rPr>
                <w:b/>
              </w:rPr>
              <w:t xml:space="preserve"> </w:t>
            </w:r>
            <w:r w:rsidRPr="00842D1D">
              <w:rPr>
                <w:b/>
              </w:rPr>
              <w:t xml:space="preserve">Use </w:t>
            </w:r>
            <w:r w:rsidRPr="00842D1D" w:rsidR="009A6513">
              <w:rPr>
                <w:b/>
                <w:bCs/>
                <w:szCs w:val="26"/>
              </w:rPr>
              <w:t>and Access</w:t>
            </w:r>
          </w:p>
        </w:tc>
      </w:tr>
      <w:tr w:rsidRPr="00F7723E" w:rsidR="00FD5911" w:rsidTr="007C7F1A" w14:paraId="7382939A" w14:textId="77777777">
        <w:trPr>
          <w:trHeight w:val="1313"/>
          <w:jc w:val="center"/>
        </w:trPr>
        <w:tc>
          <w:tcPr>
            <w:tcW w:w="4675" w:type="dxa"/>
          </w:tcPr>
          <w:p w:rsidRPr="006F6CC6" w:rsidR="00FD5911" w:rsidP="007E3E1F" w:rsidRDefault="00FD5911" w14:paraId="2CAC40B8" w14:textId="55FB2672">
            <w:pPr>
              <w:ind w:firstLine="0"/>
              <w:rPr>
                <w:szCs w:val="26"/>
                <w:highlight w:val="yellow"/>
              </w:rPr>
            </w:pPr>
            <w:r w:rsidRPr="00842D1D">
              <w:rPr>
                <w:szCs w:val="26"/>
              </w:rPr>
              <w:t xml:space="preserve">Workshops to develop Data Working Group Work Plan </w:t>
            </w:r>
          </w:p>
        </w:tc>
        <w:tc>
          <w:tcPr>
            <w:tcW w:w="4675" w:type="dxa"/>
          </w:tcPr>
          <w:p w:rsidRPr="003B4E34" w:rsidR="00FD5911" w:rsidP="007E3E1F" w:rsidRDefault="00FD5911" w14:paraId="38DC7CCB" w14:textId="77777777">
            <w:pPr>
              <w:ind w:firstLine="0"/>
              <w:rPr>
                <w:szCs w:val="26"/>
              </w:rPr>
            </w:pPr>
          </w:p>
          <w:p w:rsidRPr="003B4E34" w:rsidR="00FD5911" w:rsidP="007E3E1F" w:rsidRDefault="00FD5911" w14:paraId="673B92FB" w14:textId="76E83C44">
            <w:pPr>
              <w:ind w:firstLine="0"/>
              <w:rPr>
                <w:szCs w:val="26"/>
              </w:rPr>
            </w:pPr>
            <w:r w:rsidRPr="003B4E34">
              <w:rPr>
                <w:szCs w:val="26"/>
              </w:rPr>
              <w:t>Q1 2023</w:t>
            </w:r>
          </w:p>
        </w:tc>
      </w:tr>
      <w:tr w:rsidRPr="00F7723E" w:rsidR="007E3E1F" w:rsidTr="007C7F1A" w14:paraId="435E1C1C" w14:textId="77777777">
        <w:trPr>
          <w:trHeight w:val="1313"/>
          <w:jc w:val="center"/>
        </w:trPr>
        <w:tc>
          <w:tcPr>
            <w:tcW w:w="4675" w:type="dxa"/>
          </w:tcPr>
          <w:p w:rsidRPr="00842D1D" w:rsidR="001B25CE" w:rsidP="00F56308" w:rsidRDefault="007E3E1F" w14:paraId="755B0B0F" w14:textId="18350CAD">
            <w:pPr>
              <w:ind w:firstLine="0"/>
            </w:pPr>
            <w:r w:rsidRPr="00842D1D">
              <w:t xml:space="preserve">Ruling establishing </w:t>
            </w:r>
            <w:r w:rsidRPr="00842D1D" w:rsidR="00FD5911">
              <w:rPr>
                <w:szCs w:val="26"/>
              </w:rPr>
              <w:t>D</w:t>
            </w:r>
            <w:r w:rsidRPr="00842D1D">
              <w:rPr>
                <w:szCs w:val="26"/>
              </w:rPr>
              <w:t xml:space="preserve">ata </w:t>
            </w:r>
            <w:r w:rsidRPr="00842D1D" w:rsidR="00FD5911">
              <w:rPr>
                <w:szCs w:val="26"/>
              </w:rPr>
              <w:t>W</w:t>
            </w:r>
            <w:r w:rsidRPr="00842D1D">
              <w:rPr>
                <w:szCs w:val="26"/>
              </w:rPr>
              <w:t xml:space="preserve">orking </w:t>
            </w:r>
            <w:r w:rsidRPr="00842D1D" w:rsidR="00FD5911">
              <w:rPr>
                <w:szCs w:val="26"/>
              </w:rPr>
              <w:t>G</w:t>
            </w:r>
            <w:r w:rsidRPr="00842D1D">
              <w:rPr>
                <w:szCs w:val="26"/>
              </w:rPr>
              <w:t>roup</w:t>
            </w:r>
            <w:r w:rsidRPr="00842D1D">
              <w:t xml:space="preserve"> to produce</w:t>
            </w:r>
            <w:r w:rsidRPr="00842D1D" w:rsidR="00FD5911">
              <w:t xml:space="preserve"> </w:t>
            </w:r>
            <w:r w:rsidRPr="00842D1D" w:rsidR="00FD5911">
              <w:rPr>
                <w:szCs w:val="26"/>
              </w:rPr>
              <w:t xml:space="preserve">recommendations in targeted areas </w:t>
            </w:r>
          </w:p>
        </w:tc>
        <w:tc>
          <w:tcPr>
            <w:tcW w:w="4675" w:type="dxa"/>
          </w:tcPr>
          <w:p w:rsidRPr="00F56308" w:rsidR="007E3E1F" w:rsidP="007E3E1F" w:rsidRDefault="007E3E1F" w14:paraId="40C43177" w14:textId="77777777">
            <w:pPr>
              <w:ind w:firstLine="0"/>
            </w:pPr>
          </w:p>
          <w:p w:rsidRPr="00F56308" w:rsidR="007E3E1F" w:rsidP="007E3E1F" w:rsidRDefault="007E3E1F" w14:paraId="41AA752D" w14:textId="77777777">
            <w:pPr>
              <w:ind w:firstLine="0"/>
            </w:pPr>
            <w:r w:rsidRPr="00F56308">
              <w:t xml:space="preserve">Q1 2023 </w:t>
            </w:r>
          </w:p>
        </w:tc>
      </w:tr>
      <w:tr w:rsidRPr="00F7723E" w:rsidR="00FD5911" w:rsidTr="007C7F1A" w14:paraId="18BB3A59" w14:textId="77777777">
        <w:trPr>
          <w:trHeight w:val="1313"/>
          <w:jc w:val="center"/>
        </w:trPr>
        <w:tc>
          <w:tcPr>
            <w:tcW w:w="4675" w:type="dxa"/>
          </w:tcPr>
          <w:p w:rsidRPr="00842D1D" w:rsidR="00FD5911" w:rsidP="00F56308" w:rsidRDefault="00FD5911" w14:paraId="183DC0F0" w14:textId="3247DEF8">
            <w:pPr>
              <w:ind w:firstLine="0"/>
            </w:pPr>
            <w:r w:rsidRPr="00842D1D">
              <w:rPr>
                <w:szCs w:val="26"/>
              </w:rPr>
              <w:t xml:space="preserve">Data Working Group recommendations issued via </w:t>
            </w:r>
            <w:r w:rsidRPr="00842D1D">
              <w:t xml:space="preserve">Ruling for </w:t>
            </w:r>
            <w:r w:rsidRPr="00842D1D">
              <w:rPr>
                <w:szCs w:val="26"/>
              </w:rPr>
              <w:t>Party Comment</w:t>
            </w:r>
            <w:r w:rsidRPr="00842D1D">
              <w:t xml:space="preserve"> </w:t>
            </w:r>
          </w:p>
        </w:tc>
        <w:tc>
          <w:tcPr>
            <w:tcW w:w="4675" w:type="dxa"/>
          </w:tcPr>
          <w:p w:rsidRPr="00F56308" w:rsidR="00FD5911" w:rsidP="007E3E1F" w:rsidRDefault="00FD5911" w14:paraId="141F8843" w14:textId="2D1CCA97">
            <w:pPr>
              <w:ind w:firstLine="0"/>
            </w:pPr>
            <w:r w:rsidRPr="00F56308">
              <w:t>Q4 2023</w:t>
            </w:r>
          </w:p>
        </w:tc>
      </w:tr>
      <w:tr w:rsidRPr="00F7723E" w:rsidR="00617630" w:rsidTr="007C7F1A" w14:paraId="105DDEC8" w14:textId="77777777">
        <w:trPr>
          <w:trHeight w:val="1313"/>
          <w:jc w:val="center"/>
        </w:trPr>
        <w:tc>
          <w:tcPr>
            <w:tcW w:w="4675" w:type="dxa"/>
          </w:tcPr>
          <w:p w:rsidRPr="00842D1D" w:rsidR="00617630" w:rsidP="00FD5911" w:rsidRDefault="00617630" w14:paraId="44A549EE" w14:textId="7CDBFEC5">
            <w:pPr>
              <w:ind w:firstLine="0"/>
              <w:rPr>
                <w:szCs w:val="26"/>
              </w:rPr>
            </w:pPr>
            <w:r w:rsidRPr="00842D1D">
              <w:rPr>
                <w:szCs w:val="26"/>
              </w:rPr>
              <w:t>Workshops to discuss Data Working Group recommendations</w:t>
            </w:r>
          </w:p>
        </w:tc>
        <w:tc>
          <w:tcPr>
            <w:tcW w:w="4675" w:type="dxa"/>
          </w:tcPr>
          <w:p w:rsidRPr="003B4E34" w:rsidR="00617630" w:rsidP="007E3E1F" w:rsidRDefault="00617630" w14:paraId="1411F7D8" w14:textId="48DA6A4B">
            <w:pPr>
              <w:ind w:firstLine="0"/>
              <w:rPr>
                <w:szCs w:val="26"/>
              </w:rPr>
            </w:pPr>
            <w:r w:rsidRPr="003B4E34">
              <w:rPr>
                <w:szCs w:val="26"/>
              </w:rPr>
              <w:t>TBD</w:t>
            </w:r>
          </w:p>
        </w:tc>
      </w:tr>
      <w:tr w:rsidRPr="00F7723E" w:rsidR="00FD5911" w:rsidTr="007C7F1A" w14:paraId="6ECEBA35" w14:textId="77777777">
        <w:trPr>
          <w:trHeight w:val="1313"/>
          <w:jc w:val="center"/>
        </w:trPr>
        <w:tc>
          <w:tcPr>
            <w:tcW w:w="4675" w:type="dxa"/>
          </w:tcPr>
          <w:p w:rsidRPr="00842D1D" w:rsidR="00FD5911" w:rsidP="006F6CC6" w:rsidRDefault="00FD5911" w14:paraId="006439EC" w14:textId="39AD2855">
            <w:pPr>
              <w:spacing w:line="240" w:lineRule="auto"/>
              <w:ind w:firstLine="0"/>
              <w:rPr>
                <w:szCs w:val="26"/>
              </w:rPr>
            </w:pPr>
            <w:r w:rsidRPr="00842D1D">
              <w:rPr>
                <w:szCs w:val="26"/>
              </w:rPr>
              <w:t xml:space="preserve">Proposed Decision(s) </w:t>
            </w:r>
            <w:r w:rsidRPr="00842D1D" w:rsidR="005F35AE">
              <w:rPr>
                <w:szCs w:val="26"/>
              </w:rPr>
              <w:t xml:space="preserve">addressing </w:t>
            </w:r>
            <w:r w:rsidRPr="00842D1D">
              <w:rPr>
                <w:szCs w:val="26"/>
              </w:rPr>
              <w:t xml:space="preserve">Data Working Group recommendations </w:t>
            </w:r>
          </w:p>
        </w:tc>
        <w:tc>
          <w:tcPr>
            <w:tcW w:w="4675" w:type="dxa"/>
          </w:tcPr>
          <w:p w:rsidRPr="003B4E34" w:rsidR="00FD5911" w:rsidP="007E3E1F" w:rsidRDefault="00FD5911" w14:paraId="200EB1FB" w14:textId="0AA0E658">
            <w:pPr>
              <w:ind w:firstLine="0"/>
              <w:rPr>
                <w:szCs w:val="26"/>
              </w:rPr>
            </w:pPr>
            <w:r w:rsidRPr="003B4E34">
              <w:rPr>
                <w:szCs w:val="26"/>
              </w:rPr>
              <w:t xml:space="preserve">Q1 2024 </w:t>
            </w:r>
          </w:p>
        </w:tc>
      </w:tr>
    </w:tbl>
    <w:p w:rsidRPr="007E3E1F" w:rsidR="007E3E1F" w:rsidP="007E3E1F" w:rsidRDefault="007E3E1F" w14:paraId="7233E905" w14:textId="77777777">
      <w:pPr>
        <w:spacing w:line="240" w:lineRule="auto"/>
        <w:ind w:firstLine="0"/>
        <w:rPr>
          <w:szCs w:val="20"/>
        </w:rPr>
      </w:pPr>
    </w:p>
    <w:p w:rsidRPr="007E3E1F" w:rsidR="007E3E1F" w:rsidP="00F02759" w:rsidRDefault="007E3E1F" w14:paraId="4C7F55CF" w14:textId="1B77B40F">
      <w:pPr>
        <w:pStyle w:val="Heading1"/>
        <w:ind w:right="5040"/>
      </w:pPr>
      <w:bookmarkStart w:name="_Toc106887341" w:id="194"/>
      <w:bookmarkStart w:name="_Toc106888928" w:id="195"/>
      <w:bookmarkStart w:name="_Toc119312351" w:id="196"/>
      <w:r w:rsidRPr="007E3E1F">
        <w:t>Category of Proceeding and Need for Hearing</w:t>
      </w:r>
      <w:bookmarkEnd w:id="194"/>
      <w:bookmarkEnd w:id="195"/>
      <w:bookmarkEnd w:id="196"/>
      <w:r w:rsidRPr="007E3E1F">
        <w:t xml:space="preserve"> </w:t>
      </w:r>
    </w:p>
    <w:p w:rsidRPr="007E3E1F" w:rsidR="007E3E1F" w:rsidP="00534B77" w:rsidRDefault="007E3E1F" w14:paraId="4C0BBCBE" w14:textId="24975B7E">
      <w:pPr>
        <w:tabs>
          <w:tab w:val="left" w:pos="360"/>
        </w:tabs>
        <w:rPr>
          <w:szCs w:val="26"/>
        </w:rPr>
      </w:pPr>
      <w:r w:rsidRPr="007E3E1F">
        <w:rPr>
          <w:szCs w:val="20"/>
        </w:rPr>
        <w:t xml:space="preserve">The Commission’s Rules require that an </w:t>
      </w:r>
      <w:r w:rsidR="009317C7">
        <w:rPr>
          <w:szCs w:val="20"/>
        </w:rPr>
        <w:t>Order Instituting Rulemaking (</w:t>
      </w:r>
      <w:r w:rsidRPr="007E3E1F">
        <w:rPr>
          <w:szCs w:val="20"/>
        </w:rPr>
        <w:t>OIR</w:t>
      </w:r>
      <w:r w:rsidR="009317C7">
        <w:rPr>
          <w:szCs w:val="20"/>
        </w:rPr>
        <w:t>)</w:t>
      </w:r>
      <w:r w:rsidRPr="007E3E1F">
        <w:rPr>
          <w:szCs w:val="20"/>
        </w:rPr>
        <w:t xml:space="preserve"> preliminarily determine the category of the proceeding and the need for hearing.</w:t>
      </w:r>
      <w:r w:rsidRPr="007E3E1F">
        <w:rPr>
          <w:szCs w:val="20"/>
          <w:vertAlign w:val="superscript"/>
        </w:rPr>
        <w:footnoteReference w:id="25"/>
      </w:r>
      <w:r w:rsidRPr="007E3E1F">
        <w:rPr>
          <w:szCs w:val="20"/>
        </w:rPr>
        <w:t xml:space="preserve">  As a preliminary matter, we determine that this proceeding is categorized as </w:t>
      </w:r>
      <w:r w:rsidR="00534B77">
        <w:rPr>
          <w:szCs w:val="20"/>
        </w:rPr>
        <w:t>ratesetting</w:t>
      </w:r>
      <w:r w:rsidRPr="007E3E1F">
        <w:rPr>
          <w:szCs w:val="20"/>
        </w:rPr>
        <w:t xml:space="preserve">, because </w:t>
      </w:r>
      <w:r w:rsidRPr="00534B77" w:rsidR="00534B77">
        <w:rPr>
          <w:szCs w:val="20"/>
        </w:rPr>
        <w:t xml:space="preserve">Phase </w:t>
      </w:r>
      <w:r w:rsidR="00865161">
        <w:rPr>
          <w:szCs w:val="20"/>
        </w:rPr>
        <w:t>1</w:t>
      </w:r>
      <w:r w:rsidRPr="00534B77" w:rsidR="00534B77">
        <w:rPr>
          <w:szCs w:val="20"/>
        </w:rPr>
        <w:t xml:space="preserve"> of this proceeding will consider ACC values that may directly impact ratepayer costs and rates.  Later phases of this </w:t>
      </w:r>
      <w:r w:rsidRPr="00534B77" w:rsidR="00534B77">
        <w:rPr>
          <w:szCs w:val="20"/>
        </w:rPr>
        <w:lastRenderedPageBreak/>
        <w:t>proceeding may be appropriate</w:t>
      </w:r>
      <w:r w:rsidR="005A182D">
        <w:rPr>
          <w:szCs w:val="20"/>
        </w:rPr>
        <w:t xml:space="preserve">ly </w:t>
      </w:r>
      <w:r w:rsidRPr="00534B77" w:rsidR="00534B77">
        <w:rPr>
          <w:szCs w:val="20"/>
        </w:rPr>
        <w:t xml:space="preserve">considered as quasi-legislative as they </w:t>
      </w:r>
      <w:r w:rsidRPr="007E3E1F">
        <w:rPr>
          <w:szCs w:val="20"/>
        </w:rPr>
        <w:t xml:space="preserve">would establish policy or rules affecting a class of regulated utilities, primarily the electric </w:t>
      </w:r>
      <w:r w:rsidR="00984A64">
        <w:rPr>
          <w:szCs w:val="20"/>
        </w:rPr>
        <w:t>utilities</w:t>
      </w:r>
      <w:r w:rsidRPr="007E3E1F">
        <w:rPr>
          <w:szCs w:val="26"/>
        </w:rPr>
        <w:t xml:space="preserve">.  </w:t>
      </w:r>
      <w:r w:rsidRPr="00534B77" w:rsidR="00534B77">
        <w:rPr>
          <w:szCs w:val="26"/>
        </w:rPr>
        <w:t xml:space="preserve">The assigned Commissioner will consider the need to recategorize this proceeding upon commencement of later phases.  </w:t>
      </w:r>
    </w:p>
    <w:p w:rsidRPr="007E3E1F" w:rsidR="007E3E1F" w:rsidP="007E3E1F" w:rsidRDefault="007E3E1F" w14:paraId="795496FE" w14:textId="5265FA11">
      <w:pPr>
        <w:tabs>
          <w:tab w:val="left" w:pos="360"/>
        </w:tabs>
        <w:rPr>
          <w:szCs w:val="26"/>
        </w:rPr>
      </w:pPr>
      <w:r w:rsidRPr="007E3E1F">
        <w:rPr>
          <w:szCs w:val="26"/>
        </w:rPr>
        <w:t xml:space="preserve">We are also required to preliminarily determine if hearings are necessary.  We preliminarily determine that hearings </w:t>
      </w:r>
      <w:r w:rsidR="00984A64">
        <w:rPr>
          <w:szCs w:val="26"/>
        </w:rPr>
        <w:t>may be necessary on issues related to the ACC</w:t>
      </w:r>
      <w:r w:rsidRPr="007E3E1F">
        <w:rPr>
          <w:szCs w:val="26"/>
        </w:rPr>
        <w:t xml:space="preserve">.  </w:t>
      </w:r>
    </w:p>
    <w:p w:rsidRPr="007E3E1F" w:rsidR="007E3E1F" w:rsidP="007E3E1F" w:rsidRDefault="007E3E1F" w14:paraId="3D318389" w14:textId="1DFD4865">
      <w:pPr>
        <w:tabs>
          <w:tab w:val="left" w:pos="360"/>
        </w:tabs>
        <w:rPr>
          <w:szCs w:val="26"/>
        </w:rPr>
      </w:pPr>
      <w:r w:rsidRPr="007E3E1F">
        <w:rPr>
          <w:szCs w:val="26"/>
        </w:rPr>
        <w:t xml:space="preserve">Any person who objects to the preliminary categorization of this </w:t>
      </w:r>
      <w:r w:rsidR="001B5C25">
        <w:rPr>
          <w:szCs w:val="26"/>
        </w:rPr>
        <w:t>R</w:t>
      </w:r>
      <w:r w:rsidRPr="007E3E1F">
        <w:rPr>
          <w:szCs w:val="26"/>
        </w:rPr>
        <w:t xml:space="preserve">ulemaking or to the preliminary hearing determination shall state their objections in comments on the </w:t>
      </w:r>
      <w:r w:rsidR="001B5C25">
        <w:rPr>
          <w:szCs w:val="26"/>
        </w:rPr>
        <w:t>OIR</w:t>
      </w:r>
      <w:r w:rsidRPr="007E3E1F">
        <w:rPr>
          <w:szCs w:val="26"/>
        </w:rPr>
        <w:t xml:space="preserve">.  After considering the comments, the assigned commissioner will issue a scoping memo making a final category determination; this final category determination is subject to appeal as specified in Rule 7.6. </w:t>
      </w:r>
    </w:p>
    <w:p w:rsidRPr="007E3E1F" w:rsidR="007E3E1F" w:rsidP="00F02759" w:rsidRDefault="007E3E1F" w14:paraId="2F9002F3" w14:textId="4B1B2550">
      <w:pPr>
        <w:pStyle w:val="Heading1"/>
      </w:pPr>
      <w:bookmarkStart w:name="_Toc42863443" w:id="197"/>
      <w:bookmarkStart w:name="_Toc43362517" w:id="198"/>
      <w:bookmarkStart w:name="_Toc106887342" w:id="199"/>
      <w:bookmarkStart w:name="_Toc106888929" w:id="200"/>
      <w:bookmarkStart w:name="_Toc119312352" w:id="201"/>
      <w:r w:rsidRPr="007E3E1F">
        <w:rPr>
          <w:i/>
          <w:iCs/>
        </w:rPr>
        <w:t>Ex Parte</w:t>
      </w:r>
      <w:r w:rsidRPr="007E3E1F">
        <w:t xml:space="preserve"> Communications</w:t>
      </w:r>
      <w:bookmarkEnd w:id="197"/>
      <w:bookmarkEnd w:id="198"/>
      <w:bookmarkEnd w:id="199"/>
      <w:bookmarkEnd w:id="200"/>
      <w:bookmarkEnd w:id="201"/>
    </w:p>
    <w:p w:rsidRPr="007E3E1F" w:rsidR="00865161" w:rsidP="00A651D6" w:rsidRDefault="00534B77" w14:paraId="3AB24476" w14:textId="584B95B4">
      <w:pPr>
        <w:pStyle w:val="Standard"/>
      </w:pPr>
      <w:r w:rsidRPr="00534B77">
        <w:t xml:space="preserve">This proceeding is preliminarily characterized as ratesetting.  Accordingly, </w:t>
      </w:r>
      <w:r w:rsidRPr="00534B77">
        <w:rPr>
          <w:i/>
          <w:iCs/>
        </w:rPr>
        <w:t>ex parte</w:t>
      </w:r>
      <w:r w:rsidRPr="00534B77">
        <w:t xml:space="preserve"> communications are restricted and must be reported pursuant to Article 8 of the Commission’s Rules. </w:t>
      </w:r>
    </w:p>
    <w:p w:rsidRPr="007E3E1F" w:rsidR="007E3E1F" w:rsidP="00A651D6" w:rsidRDefault="007E3E1F" w14:paraId="72C30044" w14:textId="2FE0E553">
      <w:pPr>
        <w:pStyle w:val="Heading1"/>
      </w:pPr>
      <w:bookmarkStart w:name="_Toc42863444" w:id="202"/>
      <w:bookmarkStart w:name="_Toc43362518" w:id="203"/>
      <w:bookmarkStart w:name="_Toc106887343" w:id="204"/>
      <w:bookmarkStart w:name="_Toc106888930" w:id="205"/>
      <w:bookmarkStart w:name="_Toc119312353" w:id="206"/>
      <w:r w:rsidRPr="007E3E1F">
        <w:t>Respondents</w:t>
      </w:r>
      <w:bookmarkEnd w:id="202"/>
      <w:bookmarkEnd w:id="203"/>
      <w:bookmarkEnd w:id="204"/>
      <w:bookmarkEnd w:id="205"/>
      <w:bookmarkEnd w:id="206"/>
    </w:p>
    <w:p w:rsidRPr="007E3E1F" w:rsidR="007E3E1F" w:rsidP="007E3E1F" w:rsidRDefault="007E3E1F" w14:paraId="3DEE32A1" w14:textId="08D45324">
      <w:pPr>
        <w:tabs>
          <w:tab w:val="left" w:pos="360"/>
        </w:tabs>
        <w:rPr>
          <w:szCs w:val="26"/>
        </w:rPr>
      </w:pPr>
      <w:r w:rsidRPr="007E3E1F">
        <w:rPr>
          <w:szCs w:val="26"/>
        </w:rPr>
        <w:t xml:space="preserve">The electric </w:t>
      </w:r>
      <w:r w:rsidR="001B5C25">
        <w:rPr>
          <w:szCs w:val="26"/>
        </w:rPr>
        <w:t>utilities</w:t>
      </w:r>
      <w:r w:rsidRPr="007E3E1F">
        <w:rPr>
          <w:szCs w:val="26"/>
        </w:rPr>
        <w:t xml:space="preserve"> that offer DER programs are made respondents and, thereby, parties to this rulemaking (</w:t>
      </w:r>
      <w:r w:rsidRPr="007E3E1F">
        <w:rPr>
          <w:i/>
          <w:iCs/>
          <w:szCs w:val="26"/>
        </w:rPr>
        <w:t>See</w:t>
      </w:r>
      <w:r w:rsidRPr="007E3E1F">
        <w:rPr>
          <w:szCs w:val="26"/>
        </w:rPr>
        <w:t xml:space="preserve"> Rule 1.4(d).) </w:t>
      </w:r>
      <w:r w:rsidR="007E6238">
        <w:rPr>
          <w:szCs w:val="26"/>
        </w:rPr>
        <w:t xml:space="preserve"> </w:t>
      </w:r>
      <w:r w:rsidRPr="007E3E1F">
        <w:rPr>
          <w:szCs w:val="26"/>
        </w:rPr>
        <w:t xml:space="preserve">The following Commission-jurisdictional large </w:t>
      </w:r>
      <w:r w:rsidR="001B5C25">
        <w:rPr>
          <w:szCs w:val="26"/>
        </w:rPr>
        <w:t>electric utilities</w:t>
      </w:r>
      <w:r w:rsidRPr="007E3E1F" w:rsidR="001B5C25">
        <w:rPr>
          <w:szCs w:val="26"/>
        </w:rPr>
        <w:t xml:space="preserve"> </w:t>
      </w:r>
      <w:r w:rsidRPr="007E3E1F">
        <w:rPr>
          <w:szCs w:val="26"/>
        </w:rPr>
        <w:t xml:space="preserve">shall be the primary respondents to this proceeding:  Pacific Gas and Electric Company, Southern California Edison Company, and San Diego Gas &amp; Electric Company.  We include Southern California Gas Company as a respondent to this rulemaking as it implements a number of DER programs, including the ESA/CARE programs and SGIP. </w:t>
      </w:r>
    </w:p>
    <w:p w:rsidRPr="007E3E1F" w:rsidR="007E3E1F" w:rsidP="007E3E1F" w:rsidRDefault="007E3E1F" w14:paraId="76192320" w14:textId="4E1C7FAF">
      <w:pPr>
        <w:tabs>
          <w:tab w:val="left" w:pos="360"/>
        </w:tabs>
        <w:rPr>
          <w:szCs w:val="26"/>
        </w:rPr>
      </w:pPr>
      <w:r w:rsidRPr="007E3E1F">
        <w:rPr>
          <w:szCs w:val="26"/>
        </w:rPr>
        <w:lastRenderedPageBreak/>
        <w:t xml:space="preserve">Within 15 days of mailing of this </w:t>
      </w:r>
      <w:r w:rsidR="001B5C25">
        <w:rPr>
          <w:szCs w:val="26"/>
        </w:rPr>
        <w:t>R</w:t>
      </w:r>
      <w:r w:rsidRPr="007E3E1F">
        <w:rPr>
          <w:szCs w:val="26"/>
        </w:rPr>
        <w:t xml:space="preserve">ulemaking, each respondent shall inform the Commission’s Process Office of the contact information for a single representative. </w:t>
      </w:r>
    </w:p>
    <w:p w:rsidRPr="007E3E1F" w:rsidR="007E3E1F" w:rsidP="00F02759" w:rsidRDefault="007E3E1F" w14:paraId="3D657E42" w14:textId="5C0B349B">
      <w:pPr>
        <w:pStyle w:val="Heading1"/>
        <w:ind w:right="4050"/>
      </w:pPr>
      <w:bookmarkStart w:name="_Toc42863445" w:id="207"/>
      <w:bookmarkStart w:name="_Toc43362519" w:id="208"/>
      <w:bookmarkStart w:name="_Toc106887344" w:id="209"/>
      <w:bookmarkStart w:name="_Toc106888931" w:id="210"/>
      <w:bookmarkStart w:name="_Toc119312354" w:id="211"/>
      <w:r w:rsidRPr="007E3E1F">
        <w:t>Service List or</w:t>
      </w:r>
      <w:r w:rsidR="00827A7E">
        <w:t xml:space="preserve"> </w:t>
      </w:r>
      <w:r w:rsidRPr="007E3E1F">
        <w:t>Subscription Service</w:t>
      </w:r>
      <w:bookmarkEnd w:id="207"/>
      <w:bookmarkEnd w:id="208"/>
      <w:bookmarkEnd w:id="209"/>
      <w:bookmarkEnd w:id="210"/>
      <w:bookmarkEnd w:id="211"/>
      <w:r w:rsidRPr="007E3E1F">
        <w:t xml:space="preserve"> </w:t>
      </w:r>
    </w:p>
    <w:p w:rsidRPr="007E3E1F" w:rsidR="007E3E1F" w:rsidP="007E3E1F" w:rsidRDefault="007E3E1F" w14:paraId="79A978B9" w14:textId="40389F4D">
      <w:pPr>
        <w:tabs>
          <w:tab w:val="left" w:pos="360"/>
        </w:tabs>
        <w:rPr>
          <w:szCs w:val="26"/>
        </w:rPr>
      </w:pPr>
      <w:r w:rsidRPr="007E3E1F">
        <w:rPr>
          <w:szCs w:val="20"/>
        </w:rPr>
        <w:t>This OIR will be served on respondents and on the service lists indicated below.  Service of the OIR does not confer party status or place any person who has received such service on the official service list for this proceeding, other than respondents.  Persons who file responsive comments become parties to the proceeding and will be added to the “Parties” category of the official service list upon such filing.</w:t>
      </w:r>
      <w:r w:rsidRPr="007E3E1F">
        <w:rPr>
          <w:szCs w:val="20"/>
          <w:vertAlign w:val="superscript"/>
        </w:rPr>
        <w:footnoteReference w:id="26"/>
      </w:r>
    </w:p>
    <w:p w:rsidRPr="00824DFA" w:rsidR="00824DFA" w:rsidP="00824DFA" w:rsidRDefault="007E3E1F" w14:paraId="6368FEEE" w14:textId="08AA10B5">
      <w:pPr>
        <w:tabs>
          <w:tab w:val="left" w:pos="360"/>
        </w:tabs>
        <w:rPr>
          <w:szCs w:val="20"/>
        </w:rPr>
      </w:pPr>
      <w:r w:rsidRPr="007E3E1F">
        <w:rPr>
          <w:szCs w:val="20"/>
        </w:rPr>
        <w:t>This OIR will be served on the Official Service Lists for the following proceedings:</w:t>
      </w:r>
    </w:p>
    <w:p w:rsidRPr="007E3E1F" w:rsidR="00824DFA" w:rsidP="00824DFA" w:rsidRDefault="00824DFA" w14:paraId="44266AC0" w14:textId="77777777">
      <w:pPr>
        <w:pStyle w:val="ListBullet"/>
        <w:numPr>
          <w:ilvl w:val="0"/>
          <w:numId w:val="15"/>
        </w:numPr>
        <w:ind w:right="1440"/>
      </w:pPr>
      <w:r w:rsidRPr="007E3E1F">
        <w:t>Integrated Distributed Energy Resources (R.14-10-003)</w:t>
      </w:r>
    </w:p>
    <w:p w:rsidRPr="007E3E1F" w:rsidR="00824DFA" w:rsidP="00824DFA" w:rsidRDefault="00824DFA" w14:paraId="4E08D96F" w14:textId="77777777">
      <w:pPr>
        <w:numPr>
          <w:ilvl w:val="0"/>
          <w:numId w:val="15"/>
        </w:numPr>
        <w:tabs>
          <w:tab w:val="left" w:pos="360"/>
        </w:tabs>
        <w:spacing w:after="120" w:line="240" w:lineRule="auto"/>
        <w:ind w:right="1440"/>
        <w:rPr>
          <w:szCs w:val="26"/>
        </w:rPr>
      </w:pPr>
      <w:r w:rsidRPr="007E3E1F">
        <w:rPr>
          <w:szCs w:val="26"/>
        </w:rPr>
        <w:t>Transportation Electrification (R.18-12-006)</w:t>
      </w:r>
    </w:p>
    <w:p w:rsidRPr="007E3E1F" w:rsidR="00824DFA" w:rsidP="00824DFA" w:rsidRDefault="00824DFA" w14:paraId="448A6385" w14:textId="77777777">
      <w:pPr>
        <w:numPr>
          <w:ilvl w:val="0"/>
          <w:numId w:val="15"/>
        </w:numPr>
        <w:tabs>
          <w:tab w:val="left" w:pos="360"/>
        </w:tabs>
        <w:spacing w:after="120" w:line="240" w:lineRule="auto"/>
        <w:ind w:right="1440"/>
        <w:rPr>
          <w:szCs w:val="26"/>
        </w:rPr>
      </w:pPr>
      <w:r w:rsidRPr="007E3E1F">
        <w:rPr>
          <w:szCs w:val="26"/>
        </w:rPr>
        <w:t xml:space="preserve">Demand Response (Application [A.] 22-05-002 </w:t>
      </w:r>
      <w:r w:rsidRPr="007E3E1F">
        <w:rPr>
          <w:i/>
          <w:szCs w:val="26"/>
        </w:rPr>
        <w:t xml:space="preserve">et. </w:t>
      </w:r>
      <w:r w:rsidRPr="007E3E1F">
        <w:rPr>
          <w:i/>
          <w:iCs/>
          <w:szCs w:val="26"/>
        </w:rPr>
        <w:t>al.</w:t>
      </w:r>
      <w:r w:rsidRPr="007E3E1F">
        <w:rPr>
          <w:i/>
          <w:szCs w:val="26"/>
        </w:rPr>
        <w:t>)</w:t>
      </w:r>
    </w:p>
    <w:p w:rsidR="00824DFA" w:rsidP="00824DFA" w:rsidRDefault="00824DFA" w14:paraId="0C18CA40" w14:textId="77777777">
      <w:pPr>
        <w:numPr>
          <w:ilvl w:val="0"/>
          <w:numId w:val="15"/>
        </w:numPr>
        <w:tabs>
          <w:tab w:val="left" w:pos="360"/>
        </w:tabs>
        <w:spacing w:after="120" w:line="240" w:lineRule="auto"/>
        <w:ind w:right="1440"/>
        <w:rPr>
          <w:szCs w:val="26"/>
        </w:rPr>
      </w:pPr>
      <w:r w:rsidRPr="007E3E1F">
        <w:rPr>
          <w:szCs w:val="26"/>
        </w:rPr>
        <w:t>Net Energy Metering (R.14-07-002 and R.20-08-020)</w:t>
      </w:r>
      <w:r w:rsidRPr="007E3E1F" w:rsidDel="00F84AD8">
        <w:rPr>
          <w:szCs w:val="26"/>
        </w:rPr>
        <w:t xml:space="preserve"> </w:t>
      </w:r>
    </w:p>
    <w:p w:rsidRPr="007E3E1F" w:rsidR="00824DFA" w:rsidP="00824DFA" w:rsidRDefault="00824DFA" w14:paraId="2E13A010" w14:textId="60074560">
      <w:pPr>
        <w:numPr>
          <w:ilvl w:val="0"/>
          <w:numId w:val="15"/>
        </w:numPr>
        <w:tabs>
          <w:tab w:val="left" w:pos="360"/>
        </w:tabs>
        <w:spacing w:after="120" w:line="240" w:lineRule="auto"/>
        <w:ind w:right="1440"/>
        <w:rPr>
          <w:szCs w:val="26"/>
        </w:rPr>
      </w:pPr>
      <w:r>
        <w:rPr>
          <w:szCs w:val="26"/>
        </w:rPr>
        <w:t>Green Access Programs (A.22-05-022</w:t>
      </w:r>
      <w:r w:rsidR="0061531F">
        <w:rPr>
          <w:szCs w:val="26"/>
        </w:rPr>
        <w:t xml:space="preserve"> </w:t>
      </w:r>
      <w:r w:rsidRPr="0061531F" w:rsidR="0061531F">
        <w:rPr>
          <w:i/>
          <w:szCs w:val="26"/>
        </w:rPr>
        <w:t xml:space="preserve">et. </w:t>
      </w:r>
      <w:r w:rsidRPr="0061531F" w:rsidR="0061531F">
        <w:rPr>
          <w:i/>
          <w:iCs/>
          <w:szCs w:val="26"/>
        </w:rPr>
        <w:t>al.</w:t>
      </w:r>
      <w:r>
        <w:rPr>
          <w:szCs w:val="26"/>
        </w:rPr>
        <w:t>)</w:t>
      </w:r>
    </w:p>
    <w:p w:rsidRPr="007E3E1F" w:rsidR="00824DFA" w:rsidP="00824DFA" w:rsidRDefault="00824DFA" w14:paraId="41F06319" w14:textId="77777777">
      <w:pPr>
        <w:numPr>
          <w:ilvl w:val="0"/>
          <w:numId w:val="15"/>
        </w:numPr>
        <w:tabs>
          <w:tab w:val="left" w:pos="360"/>
        </w:tabs>
        <w:spacing w:after="120" w:line="240" w:lineRule="auto"/>
        <w:ind w:right="1440"/>
        <w:rPr>
          <w:szCs w:val="26"/>
        </w:rPr>
      </w:pPr>
      <w:r w:rsidRPr="007E3E1F">
        <w:rPr>
          <w:szCs w:val="26"/>
        </w:rPr>
        <w:t>Self-Generation Incentive Program (R.20-05-012)</w:t>
      </w:r>
    </w:p>
    <w:p w:rsidRPr="007E3E1F" w:rsidR="00824DFA" w:rsidP="00824DFA" w:rsidRDefault="00824DFA" w14:paraId="3E169564" w14:textId="64807EE0">
      <w:pPr>
        <w:numPr>
          <w:ilvl w:val="0"/>
          <w:numId w:val="15"/>
        </w:numPr>
        <w:tabs>
          <w:tab w:val="left" w:pos="360"/>
        </w:tabs>
        <w:spacing w:after="120" w:line="240" w:lineRule="auto"/>
        <w:ind w:right="1440"/>
        <w:rPr>
          <w:szCs w:val="26"/>
        </w:rPr>
      </w:pPr>
      <w:r w:rsidRPr="007E3E1F">
        <w:rPr>
          <w:rFonts w:cs="Calibri"/>
          <w:szCs w:val="26"/>
          <w:shd w:val="clear" w:color="auto" w:fill="FFFFFF"/>
        </w:rPr>
        <w:t>Energy Savings Assistance Program Budget Application (A.19-11-003</w:t>
      </w:r>
      <w:r w:rsidR="0061531F">
        <w:rPr>
          <w:rFonts w:cs="Calibri"/>
          <w:szCs w:val="26"/>
          <w:shd w:val="clear" w:color="auto" w:fill="FFFFFF"/>
        </w:rPr>
        <w:t xml:space="preserve"> </w:t>
      </w:r>
      <w:r w:rsidRPr="0061531F" w:rsidR="0061531F">
        <w:rPr>
          <w:rFonts w:cs="Calibri"/>
          <w:i/>
          <w:szCs w:val="26"/>
          <w:shd w:val="clear" w:color="auto" w:fill="FFFFFF"/>
        </w:rPr>
        <w:t xml:space="preserve">et. </w:t>
      </w:r>
      <w:r w:rsidRPr="0061531F" w:rsidR="0061531F">
        <w:rPr>
          <w:rFonts w:cs="Calibri"/>
          <w:i/>
          <w:iCs/>
          <w:szCs w:val="26"/>
          <w:shd w:val="clear" w:color="auto" w:fill="FFFFFF"/>
        </w:rPr>
        <w:t>al.</w:t>
      </w:r>
      <w:r w:rsidRPr="007E3E1F">
        <w:rPr>
          <w:rFonts w:cs="Calibri"/>
          <w:szCs w:val="26"/>
          <w:shd w:val="clear" w:color="auto" w:fill="FFFFFF"/>
        </w:rPr>
        <w:t>)</w:t>
      </w:r>
    </w:p>
    <w:p w:rsidRPr="007E3E1F" w:rsidR="00824DFA" w:rsidP="00824DFA" w:rsidRDefault="00824DFA" w14:paraId="036DF8F8" w14:textId="24F48855">
      <w:pPr>
        <w:numPr>
          <w:ilvl w:val="0"/>
          <w:numId w:val="15"/>
        </w:numPr>
        <w:tabs>
          <w:tab w:val="left" w:pos="360"/>
        </w:tabs>
        <w:spacing w:after="120" w:line="240" w:lineRule="auto"/>
        <w:ind w:right="1440"/>
        <w:rPr>
          <w:rFonts w:eastAsiaTheme="minorEastAsia"/>
          <w:szCs w:val="26"/>
        </w:rPr>
      </w:pPr>
      <w:r w:rsidRPr="007E3E1F">
        <w:rPr>
          <w:rFonts w:cs="Calibri"/>
          <w:szCs w:val="26"/>
        </w:rPr>
        <w:t>Energy Savings Assistance Program Budget Small and Multi-Jurisdictional Utilities’ Application (A.</w:t>
      </w:r>
      <w:r w:rsidRPr="007E3E1F">
        <w:rPr>
          <w:rFonts w:eastAsia="Calibri" w:cs="Calibri"/>
          <w:szCs w:val="26"/>
        </w:rPr>
        <w:t>20-03-014</w:t>
      </w:r>
      <w:r w:rsidR="0061531F">
        <w:rPr>
          <w:rFonts w:eastAsia="Calibri" w:cs="Calibri"/>
          <w:szCs w:val="26"/>
        </w:rPr>
        <w:t xml:space="preserve"> </w:t>
      </w:r>
      <w:r w:rsidRPr="0061531F" w:rsidR="0061531F">
        <w:rPr>
          <w:rFonts w:eastAsia="Calibri" w:cs="Calibri"/>
          <w:i/>
          <w:szCs w:val="26"/>
        </w:rPr>
        <w:t xml:space="preserve">et. </w:t>
      </w:r>
      <w:r w:rsidRPr="0061531F" w:rsidR="0061531F">
        <w:rPr>
          <w:rFonts w:eastAsia="Calibri" w:cs="Calibri"/>
          <w:i/>
          <w:iCs/>
          <w:szCs w:val="26"/>
        </w:rPr>
        <w:t>al.</w:t>
      </w:r>
      <w:r w:rsidRPr="007E3E1F">
        <w:rPr>
          <w:rFonts w:eastAsia="Calibri" w:cs="Calibri"/>
          <w:szCs w:val="26"/>
        </w:rPr>
        <w:t>)</w:t>
      </w:r>
    </w:p>
    <w:p w:rsidRPr="007E3E1F" w:rsidR="00824DFA" w:rsidP="00824DFA" w:rsidRDefault="00824DFA" w14:paraId="2CF4FB31" w14:textId="77777777">
      <w:pPr>
        <w:numPr>
          <w:ilvl w:val="0"/>
          <w:numId w:val="15"/>
        </w:numPr>
        <w:spacing w:after="120" w:line="240" w:lineRule="auto"/>
        <w:ind w:right="1440"/>
        <w:textAlignment w:val="center"/>
        <w:rPr>
          <w:rFonts w:eastAsia="Times New Roman" w:cs="Calibri"/>
          <w:szCs w:val="26"/>
        </w:rPr>
      </w:pPr>
      <w:r w:rsidRPr="007E3E1F">
        <w:rPr>
          <w:rFonts w:eastAsia="Times New Roman" w:cs="Calibri"/>
          <w:szCs w:val="26"/>
          <w:shd w:val="clear" w:color="auto" w:fill="FFFFFF"/>
        </w:rPr>
        <w:t>Affordability (</w:t>
      </w:r>
      <w:r w:rsidRPr="007E3E1F">
        <w:rPr>
          <w:rFonts w:eastAsia="Times New Roman" w:cs="Calibri"/>
          <w:szCs w:val="26"/>
        </w:rPr>
        <w:t>R.18-07-006)</w:t>
      </w:r>
    </w:p>
    <w:p w:rsidRPr="007E3E1F" w:rsidR="00824DFA" w:rsidP="00824DFA" w:rsidRDefault="00824DFA" w14:paraId="4D554A03" w14:textId="77777777">
      <w:pPr>
        <w:numPr>
          <w:ilvl w:val="0"/>
          <w:numId w:val="15"/>
        </w:numPr>
        <w:spacing w:after="120" w:line="240" w:lineRule="auto"/>
        <w:ind w:right="1440"/>
        <w:textAlignment w:val="center"/>
        <w:rPr>
          <w:rFonts w:eastAsia="Times New Roman" w:cs="Calibri"/>
          <w:szCs w:val="26"/>
        </w:rPr>
      </w:pPr>
      <w:r w:rsidRPr="007E3E1F">
        <w:rPr>
          <w:rFonts w:eastAsia="Times New Roman" w:cs="Calibri"/>
          <w:szCs w:val="26"/>
          <w:shd w:val="clear" w:color="auto" w:fill="FFFFFF"/>
        </w:rPr>
        <w:t>San Joaquin Valley (R.15-03-010)</w:t>
      </w:r>
    </w:p>
    <w:p w:rsidRPr="007E3E1F" w:rsidR="00824DFA" w:rsidP="00824DFA" w:rsidRDefault="00824DFA" w14:paraId="4D8196A9" w14:textId="77777777">
      <w:pPr>
        <w:numPr>
          <w:ilvl w:val="0"/>
          <w:numId w:val="15"/>
        </w:numPr>
        <w:tabs>
          <w:tab w:val="left" w:pos="360"/>
        </w:tabs>
        <w:spacing w:after="120" w:line="240" w:lineRule="auto"/>
        <w:ind w:right="1440"/>
        <w:rPr>
          <w:szCs w:val="20"/>
        </w:rPr>
      </w:pPr>
      <w:r w:rsidRPr="007E3E1F">
        <w:rPr>
          <w:szCs w:val="20"/>
        </w:rPr>
        <w:t>Energy Efficiency (R.13-11-005)</w:t>
      </w:r>
    </w:p>
    <w:p w:rsidRPr="007E3E1F" w:rsidR="00824DFA" w:rsidP="00824DFA" w:rsidRDefault="00824DFA" w14:paraId="7F7DA190" w14:textId="467D7BF7">
      <w:pPr>
        <w:numPr>
          <w:ilvl w:val="0"/>
          <w:numId w:val="15"/>
        </w:numPr>
        <w:tabs>
          <w:tab w:val="left" w:pos="360"/>
        </w:tabs>
        <w:spacing w:after="120" w:line="240" w:lineRule="auto"/>
        <w:ind w:right="1440"/>
        <w:rPr>
          <w:rFonts w:eastAsia="Book Antiqua" w:cs="Book Antiqua"/>
          <w:szCs w:val="26"/>
        </w:rPr>
      </w:pPr>
      <w:r w:rsidRPr="007E3E1F">
        <w:rPr>
          <w:szCs w:val="26"/>
        </w:rPr>
        <w:lastRenderedPageBreak/>
        <w:t xml:space="preserve">Energy Efficiency Business Plan Applications (A.22-02-005, </w:t>
      </w:r>
      <w:r w:rsidRPr="00FA3C09" w:rsidR="00FA3C09">
        <w:rPr>
          <w:i/>
          <w:iCs/>
          <w:szCs w:val="26"/>
        </w:rPr>
        <w:t>et. al</w:t>
      </w:r>
      <w:r w:rsidRPr="00FA3C09" w:rsidR="00FA3C09">
        <w:rPr>
          <w:szCs w:val="26"/>
        </w:rPr>
        <w:t>.</w:t>
      </w:r>
      <w:r w:rsidRPr="007E3E1F">
        <w:rPr>
          <w:szCs w:val="26"/>
        </w:rPr>
        <w:t>)</w:t>
      </w:r>
    </w:p>
    <w:p w:rsidRPr="007E3E1F" w:rsidR="00824DFA" w:rsidP="00824DFA" w:rsidRDefault="00824DFA" w14:paraId="11AC1F28" w14:textId="77777777">
      <w:pPr>
        <w:numPr>
          <w:ilvl w:val="0"/>
          <w:numId w:val="15"/>
        </w:numPr>
        <w:tabs>
          <w:tab w:val="left" w:pos="360"/>
        </w:tabs>
        <w:spacing w:after="120" w:line="240" w:lineRule="auto"/>
        <w:ind w:right="1440"/>
        <w:rPr>
          <w:szCs w:val="26"/>
        </w:rPr>
      </w:pPr>
      <w:r w:rsidRPr="007E3E1F">
        <w:rPr>
          <w:szCs w:val="26"/>
        </w:rPr>
        <w:t>Building Decarbonization (R.19-01-011)</w:t>
      </w:r>
    </w:p>
    <w:p w:rsidRPr="007E3E1F" w:rsidR="00824DFA" w:rsidP="00824DFA" w:rsidRDefault="00824DFA" w14:paraId="1333EF2A" w14:textId="77777777">
      <w:pPr>
        <w:numPr>
          <w:ilvl w:val="0"/>
          <w:numId w:val="15"/>
        </w:numPr>
        <w:tabs>
          <w:tab w:val="left" w:pos="360"/>
        </w:tabs>
        <w:spacing w:after="120" w:line="240" w:lineRule="auto"/>
        <w:ind w:right="1440"/>
        <w:rPr>
          <w:szCs w:val="26"/>
        </w:rPr>
      </w:pPr>
      <w:r w:rsidRPr="007E3E1F">
        <w:rPr>
          <w:szCs w:val="26"/>
        </w:rPr>
        <w:t>Integrated Resource Planning (R.16-02-007)</w:t>
      </w:r>
    </w:p>
    <w:p w:rsidR="00824DFA" w:rsidP="00824DFA" w:rsidRDefault="00824DFA" w14:paraId="4A6AE97C" w14:textId="5709823A">
      <w:pPr>
        <w:numPr>
          <w:ilvl w:val="0"/>
          <w:numId w:val="15"/>
        </w:numPr>
        <w:tabs>
          <w:tab w:val="left" w:pos="360"/>
        </w:tabs>
        <w:spacing w:after="120" w:line="240" w:lineRule="auto"/>
        <w:ind w:right="1440"/>
        <w:rPr>
          <w:szCs w:val="26"/>
        </w:rPr>
      </w:pPr>
      <w:r w:rsidRPr="007E3E1F">
        <w:rPr>
          <w:szCs w:val="26"/>
        </w:rPr>
        <w:t>High DER Future (R.21</w:t>
      </w:r>
      <w:r>
        <w:rPr>
          <w:szCs w:val="26"/>
        </w:rPr>
        <w:noBreakHyphen/>
      </w:r>
      <w:r w:rsidRPr="007E3E1F">
        <w:rPr>
          <w:szCs w:val="26"/>
        </w:rPr>
        <w:t xml:space="preserve">06-17) </w:t>
      </w:r>
    </w:p>
    <w:p w:rsidRPr="00E466AF" w:rsidR="00E466AF" w:rsidP="00E466AF" w:rsidRDefault="00E466AF" w14:paraId="44FCE558" w14:textId="0214A099">
      <w:pPr>
        <w:numPr>
          <w:ilvl w:val="0"/>
          <w:numId w:val="15"/>
        </w:numPr>
        <w:tabs>
          <w:tab w:val="left" w:pos="360"/>
        </w:tabs>
        <w:spacing w:after="120" w:line="240" w:lineRule="auto"/>
        <w:ind w:right="1440"/>
        <w:rPr>
          <w:szCs w:val="26"/>
        </w:rPr>
      </w:pPr>
      <w:r w:rsidRPr="00E466AF">
        <w:rPr>
          <w:szCs w:val="26"/>
        </w:rPr>
        <w:t>Demand Flexibility (R.22-07-005)</w:t>
      </w:r>
    </w:p>
    <w:p w:rsidRPr="007E3E1F" w:rsidR="00824DFA" w:rsidP="00824DFA" w:rsidRDefault="00824DFA" w14:paraId="028C21FA" w14:textId="77777777">
      <w:pPr>
        <w:numPr>
          <w:ilvl w:val="0"/>
          <w:numId w:val="15"/>
        </w:numPr>
        <w:tabs>
          <w:tab w:val="left" w:pos="360"/>
        </w:tabs>
        <w:spacing w:after="120" w:line="240" w:lineRule="auto"/>
        <w:ind w:right="1440"/>
        <w:rPr>
          <w:szCs w:val="26"/>
        </w:rPr>
      </w:pPr>
      <w:r w:rsidRPr="007E3E1F">
        <w:rPr>
          <w:szCs w:val="26"/>
        </w:rPr>
        <w:t>Microgrids (R.19-09-009)</w:t>
      </w:r>
    </w:p>
    <w:p w:rsidRPr="007E3E1F" w:rsidR="00824DFA" w:rsidP="00824DFA" w:rsidRDefault="00824DFA" w14:paraId="550024D3" w14:textId="77777777">
      <w:pPr>
        <w:numPr>
          <w:ilvl w:val="0"/>
          <w:numId w:val="15"/>
        </w:numPr>
        <w:tabs>
          <w:tab w:val="left" w:pos="360"/>
        </w:tabs>
        <w:spacing w:after="120" w:line="240" w:lineRule="auto"/>
        <w:ind w:right="1440"/>
        <w:rPr>
          <w:szCs w:val="26"/>
        </w:rPr>
      </w:pPr>
      <w:r w:rsidRPr="007E3E1F">
        <w:rPr>
          <w:szCs w:val="26"/>
        </w:rPr>
        <w:t>Clean Energy Financing (R.20-08-022)</w:t>
      </w:r>
    </w:p>
    <w:p w:rsidRPr="007E3E1F" w:rsidR="00824DFA" w:rsidP="00824DFA" w:rsidRDefault="00824DFA" w14:paraId="0191848E" w14:textId="77777777">
      <w:pPr>
        <w:numPr>
          <w:ilvl w:val="0"/>
          <w:numId w:val="15"/>
        </w:numPr>
        <w:tabs>
          <w:tab w:val="left" w:pos="360"/>
        </w:tabs>
        <w:spacing w:after="120" w:line="240" w:lineRule="auto"/>
        <w:ind w:right="1440"/>
        <w:rPr>
          <w:szCs w:val="26"/>
        </w:rPr>
      </w:pPr>
      <w:r w:rsidRPr="007E3E1F">
        <w:rPr>
          <w:szCs w:val="26"/>
        </w:rPr>
        <w:t>Renewable Natural Gas (R.13-02-008)</w:t>
      </w:r>
    </w:p>
    <w:p w:rsidRPr="007E3E1F" w:rsidR="00824DFA" w:rsidP="00824DFA" w:rsidRDefault="00824DFA" w14:paraId="4696F428" w14:textId="77777777">
      <w:pPr>
        <w:numPr>
          <w:ilvl w:val="0"/>
          <w:numId w:val="15"/>
        </w:numPr>
        <w:tabs>
          <w:tab w:val="left" w:pos="360"/>
        </w:tabs>
        <w:spacing w:after="120" w:line="240" w:lineRule="auto"/>
        <w:ind w:right="1440"/>
        <w:rPr>
          <w:szCs w:val="26"/>
        </w:rPr>
      </w:pPr>
      <w:r w:rsidRPr="007E3E1F">
        <w:rPr>
          <w:szCs w:val="26"/>
        </w:rPr>
        <w:t>Long-term Gas Infrastructure (R.20-01-007)</w:t>
      </w:r>
    </w:p>
    <w:p w:rsidRPr="00A651D6" w:rsidR="00824DFA" w:rsidP="006E36CE" w:rsidRDefault="00824DFA" w14:paraId="3F81C54D" w14:textId="0C7A17A5">
      <w:pPr>
        <w:numPr>
          <w:ilvl w:val="0"/>
          <w:numId w:val="15"/>
        </w:numPr>
        <w:tabs>
          <w:tab w:val="left" w:pos="360"/>
        </w:tabs>
        <w:spacing w:after="120" w:line="240" w:lineRule="auto"/>
        <w:ind w:right="1440"/>
        <w:rPr>
          <w:szCs w:val="20"/>
        </w:rPr>
      </w:pPr>
      <w:r w:rsidRPr="007E3E1F">
        <w:rPr>
          <w:szCs w:val="26"/>
        </w:rPr>
        <w:t xml:space="preserve">Demand Response Click-Through Mechanism Application (A.18-11-015 </w:t>
      </w:r>
      <w:r w:rsidRPr="007E3E1F">
        <w:rPr>
          <w:i/>
          <w:iCs/>
          <w:szCs w:val="26"/>
        </w:rPr>
        <w:t>et. al.)</w:t>
      </w:r>
    </w:p>
    <w:p w:rsidRPr="00865161" w:rsidR="00865161" w:rsidP="00865161" w:rsidRDefault="00865161" w14:paraId="42E9C5CB" w14:textId="3EA4DD4C">
      <w:pPr>
        <w:numPr>
          <w:ilvl w:val="0"/>
          <w:numId w:val="15"/>
        </w:numPr>
        <w:tabs>
          <w:tab w:val="left" w:pos="360"/>
        </w:tabs>
        <w:spacing w:after="120" w:line="240" w:lineRule="auto"/>
        <w:ind w:right="1440"/>
        <w:rPr>
          <w:szCs w:val="26"/>
        </w:rPr>
      </w:pPr>
      <w:r w:rsidRPr="007877A9">
        <w:rPr>
          <w:szCs w:val="26"/>
        </w:rPr>
        <w:t xml:space="preserve">Rulemaking to Examine Electric Utility De-Energization of Power Lines in Dangerous Conditions (R.18-12-005) </w:t>
      </w:r>
    </w:p>
    <w:p w:rsidRPr="00842D1D" w:rsidR="007E3E1F" w:rsidP="006F6CC6" w:rsidRDefault="007E3E1F" w14:paraId="7D2FFC0B" w14:textId="51A5F907">
      <w:pPr>
        <w:pStyle w:val="Standard"/>
      </w:pPr>
      <w:r w:rsidRPr="00842D1D">
        <w:t>Additionally, this OIR shall be made available to the CEC and the CARB.</w:t>
      </w:r>
    </w:p>
    <w:p w:rsidRPr="007E3E1F" w:rsidR="007E3E1F" w:rsidP="006F6CC6" w:rsidRDefault="007E3E1F" w14:paraId="34E53C64" w14:textId="584FD8C8">
      <w:pPr>
        <w:pStyle w:val="Standard"/>
      </w:pPr>
      <w:bookmarkStart w:name="_Toc386104453" w:id="212"/>
      <w:r w:rsidRPr="00842D1D">
        <w:t>To assure service of comments and other documents and correspondence</w:t>
      </w:r>
      <w:r w:rsidRPr="007E3E1F">
        <w:t xml:space="preserve"> in advance of obtaining party status, persons should promptly request addition to the “Information Only” category as described below; they will be removed from that category upon obtaining party status.  Any person will be added to the “Information Only” category of the official service list upon request, for electronic service of all documents in the proceeding, and should request to do so promptly in order to ensure timely service of comments and other documents and correspondence in the proceeding.</w:t>
      </w:r>
      <w:r w:rsidRPr="007E3E1F">
        <w:rPr>
          <w:vertAlign w:val="superscript"/>
        </w:rPr>
        <w:footnoteReference w:id="27"/>
      </w:r>
      <w:r w:rsidRPr="007E3E1F">
        <w:t xml:space="preserve">  The request must be sent to the </w:t>
      </w:r>
      <w:r w:rsidRPr="00842D1D">
        <w:t>Process</w:t>
      </w:r>
      <w:r w:rsidRPr="00842D1D" w:rsidR="006F6CC6">
        <w:t> </w:t>
      </w:r>
      <w:r w:rsidRPr="00842D1D">
        <w:t>O</w:t>
      </w:r>
      <w:r w:rsidRPr="007E3E1F">
        <w:t>ffice by e-mail (</w:t>
      </w:r>
      <w:hyperlink w:history="1" r:id="rId17">
        <w:r w:rsidRPr="007E3E1F">
          <w:rPr>
            <w:color w:val="0563C1" w:themeColor="hyperlink"/>
            <w:u w:val="single"/>
          </w:rPr>
          <w:t>process_office@cpuc.ca.gov</w:t>
        </w:r>
      </w:hyperlink>
      <w:r w:rsidRPr="007E3E1F">
        <w:t xml:space="preserve">) or letter (Process Office, California Public Utilities Commission, 505 Van Ness Avenue, San Francisco, </w:t>
      </w:r>
      <w:r w:rsidRPr="007E3E1F">
        <w:lastRenderedPageBreak/>
        <w:t>California 94102).  Please include the Docket Number of this rulemaking in the request.</w:t>
      </w:r>
    </w:p>
    <w:p w:rsidRPr="007E3E1F" w:rsidR="007E3E1F" w:rsidP="007E3E1F" w:rsidRDefault="007E3E1F" w14:paraId="594A8EAF" w14:textId="77777777">
      <w:pPr>
        <w:tabs>
          <w:tab w:val="left" w:pos="360"/>
        </w:tabs>
        <w:rPr>
          <w:szCs w:val="26"/>
        </w:rPr>
      </w:pPr>
      <w:r w:rsidRPr="007E3E1F">
        <w:rPr>
          <w:szCs w:val="26"/>
        </w:rPr>
        <w:t xml:space="preserve">With respect to subscription service, persons may monitor the proceeding by subscribing to receive electronic copies of documents in this proceeding that are published on the Commission’s website.  There is no need to be on the official service list in order to use the subscription service.  Instructions for enrolling in the subscription service are available on the Commission’s website at </w:t>
      </w:r>
      <w:bookmarkEnd w:id="212"/>
      <w:r w:rsidRPr="007E3E1F">
        <w:rPr>
          <w:szCs w:val="20"/>
        </w:rPr>
        <w:fldChar w:fldCharType="begin"/>
      </w:r>
      <w:r w:rsidRPr="007E3E1F">
        <w:rPr>
          <w:szCs w:val="20"/>
        </w:rPr>
        <w:instrText>HYPERLINK "http://subscribecpuc.cpuc.ca.gov/"</w:instrText>
      </w:r>
      <w:r w:rsidRPr="007E3E1F">
        <w:rPr>
          <w:szCs w:val="20"/>
        </w:rPr>
      </w:r>
      <w:r w:rsidRPr="007E3E1F">
        <w:rPr>
          <w:szCs w:val="20"/>
        </w:rPr>
        <w:fldChar w:fldCharType="separate"/>
      </w:r>
      <w:r w:rsidRPr="007E3E1F">
        <w:rPr>
          <w:color w:val="0563C1" w:themeColor="hyperlink"/>
          <w:szCs w:val="26"/>
          <w:u w:val="single"/>
        </w:rPr>
        <w:t>http://subscribecpuc.cpuc.ca.gov/</w:t>
      </w:r>
      <w:r w:rsidRPr="007E3E1F">
        <w:rPr>
          <w:szCs w:val="20"/>
        </w:rPr>
        <w:fldChar w:fldCharType="end"/>
      </w:r>
      <w:r w:rsidRPr="007E3E1F">
        <w:rPr>
          <w:szCs w:val="26"/>
        </w:rPr>
        <w:t>.</w:t>
      </w:r>
    </w:p>
    <w:p w:rsidRPr="007E3E1F" w:rsidR="007E3E1F" w:rsidP="007E3E1F" w:rsidRDefault="007E3E1F" w14:paraId="1C50BEEC" w14:textId="77777777">
      <w:pPr>
        <w:tabs>
          <w:tab w:val="left" w:pos="360"/>
        </w:tabs>
        <w:rPr>
          <w:szCs w:val="26"/>
        </w:rPr>
      </w:pPr>
      <w:r w:rsidRPr="007E3E1F">
        <w:rPr>
          <w:szCs w:val="26"/>
        </w:rPr>
        <w:t xml:space="preserve">Commission Rule 11.13(a) requires the filing of hard copies of documents.  Due to ongoing COVID-19 restrictions, Commission Rule 11.13(a) is waived for this proceeding.  All documents shall be filed electronically. </w:t>
      </w:r>
    </w:p>
    <w:p w:rsidRPr="007E3E1F" w:rsidR="007E3E1F" w:rsidP="00EC0563" w:rsidRDefault="007E3E1F" w14:paraId="60B91410" w14:textId="465DB5A9">
      <w:pPr>
        <w:pStyle w:val="Heading1"/>
      </w:pPr>
      <w:bookmarkStart w:name="_Toc42863446" w:id="213"/>
      <w:bookmarkStart w:name="_Toc43362520" w:id="214"/>
      <w:bookmarkStart w:name="_Toc106887345" w:id="215"/>
      <w:bookmarkStart w:name="_Toc106888932" w:id="216"/>
      <w:bookmarkStart w:name="_Toc119312355" w:id="217"/>
      <w:r w:rsidRPr="007E3E1F">
        <w:t>Public Advisor</w:t>
      </w:r>
      <w:bookmarkEnd w:id="213"/>
      <w:bookmarkEnd w:id="214"/>
      <w:bookmarkEnd w:id="215"/>
      <w:bookmarkEnd w:id="216"/>
      <w:bookmarkEnd w:id="217"/>
    </w:p>
    <w:p w:rsidRPr="007E3E1F" w:rsidR="007E3E1F" w:rsidP="007E3E1F" w:rsidRDefault="007E3E1F" w14:paraId="374389B9" w14:textId="77777777">
      <w:pPr>
        <w:tabs>
          <w:tab w:val="left" w:pos="360"/>
        </w:tabs>
        <w:rPr>
          <w:szCs w:val="26"/>
        </w:rPr>
      </w:pPr>
      <w:r w:rsidRPr="007E3E1F">
        <w:rPr>
          <w:szCs w:val="26"/>
        </w:rPr>
        <w:t xml:space="preserve">Any person or entity interested in participating in this rulemaking who is unfamiliar with the Commission’s procedures should contact the Commission’s Public Advisor in San Francisco at (415) 703-2074 or 1-(866) 849-8390 or e-mail </w:t>
      </w:r>
      <w:hyperlink r:id="rId18">
        <w:r w:rsidRPr="007E3E1F">
          <w:rPr>
            <w:color w:val="0563C1" w:themeColor="hyperlink"/>
            <w:szCs w:val="26"/>
            <w:u w:val="single"/>
          </w:rPr>
          <w:t>public.advisor@cpuc.ca.gov</w:t>
        </w:r>
      </w:hyperlink>
      <w:r w:rsidRPr="007E3E1F">
        <w:rPr>
          <w:szCs w:val="26"/>
        </w:rPr>
        <w:t>.  The TTY number is 1-(866) 836-7825.</w:t>
      </w:r>
    </w:p>
    <w:p w:rsidRPr="007E3E1F" w:rsidR="007E3E1F" w:rsidP="00EC0563" w:rsidRDefault="007E3E1F" w14:paraId="350744DE" w14:textId="2F171B05">
      <w:pPr>
        <w:pStyle w:val="Heading1"/>
      </w:pPr>
      <w:bookmarkStart w:name="_Toc42863447" w:id="218"/>
      <w:bookmarkStart w:name="_Toc43362521" w:id="219"/>
      <w:bookmarkStart w:name="_Toc106887346" w:id="220"/>
      <w:bookmarkStart w:name="_Toc106888933" w:id="221"/>
      <w:bookmarkStart w:name="_Toc119312356" w:id="222"/>
      <w:r w:rsidRPr="007E3E1F">
        <w:t>Intervenor Compensation</w:t>
      </w:r>
      <w:bookmarkEnd w:id="218"/>
      <w:bookmarkEnd w:id="219"/>
      <w:bookmarkEnd w:id="220"/>
      <w:bookmarkEnd w:id="221"/>
      <w:bookmarkEnd w:id="222"/>
    </w:p>
    <w:p w:rsidRPr="007E3E1F" w:rsidR="007E3E1F" w:rsidP="007E3E1F" w:rsidRDefault="007E3E1F" w14:paraId="72E9B723" w14:textId="57441880">
      <w:pPr>
        <w:tabs>
          <w:tab w:val="left" w:pos="360"/>
        </w:tabs>
        <w:rPr>
          <w:szCs w:val="26"/>
        </w:rPr>
      </w:pPr>
      <w:r w:rsidRPr="007E3E1F">
        <w:rPr>
          <w:szCs w:val="26"/>
        </w:rPr>
        <w:t>Intervenor Compensation is permitted in this proceeding.</w:t>
      </w:r>
      <w:bookmarkStart w:name="_Toc372290347" w:id="223"/>
      <w:r w:rsidRPr="007E3E1F">
        <w:rPr>
          <w:szCs w:val="26"/>
        </w:rPr>
        <w:t xml:space="preserve">  Any party that expects to claim intervenor compensation for its participation in this Rulemaking must file its notice of intent to claim intervenor compensation within 30 days of the filing of reply comments, except that notice may be filed within 30 days of a prehearing conference in the event that one is held.  (</w:t>
      </w:r>
      <w:r w:rsidRPr="007E3E1F">
        <w:rPr>
          <w:i/>
          <w:szCs w:val="26"/>
        </w:rPr>
        <w:t>See</w:t>
      </w:r>
      <w:r w:rsidRPr="007E3E1F">
        <w:rPr>
          <w:szCs w:val="26"/>
        </w:rPr>
        <w:t xml:space="preserve"> Rule 17.1(a)(2).)</w:t>
      </w:r>
      <w:bookmarkEnd w:id="223"/>
      <w:r w:rsidRPr="007E3E1F">
        <w:rPr>
          <w:szCs w:val="26"/>
        </w:rPr>
        <w:t xml:space="preserve">  Intervenor compensation rules are governed by </w:t>
      </w:r>
      <w:r w:rsidR="001B5C25">
        <w:rPr>
          <w:szCs w:val="26"/>
        </w:rPr>
        <w:t xml:space="preserve">Section </w:t>
      </w:r>
      <w:r w:rsidRPr="007E3E1F">
        <w:rPr>
          <w:szCs w:val="26"/>
        </w:rPr>
        <w:t>1801 et seq. of the Public Utilities Code.  Parties new to participating in Commission proceedings may contact the Commission’s Public Advisor.</w:t>
      </w:r>
    </w:p>
    <w:p w:rsidR="001C2A1A" w:rsidP="001C2A1A" w:rsidRDefault="001C2A1A" w14:paraId="71B90F3F" w14:textId="77777777">
      <w:pPr>
        <w:pStyle w:val="Mainex"/>
      </w:pPr>
      <w:bookmarkStart w:name="_Toc102043001" w:id="224"/>
      <w:bookmarkStart w:name="_Toc119312357" w:id="225"/>
      <w:bookmarkStart w:name="OLE_LINK1" w:id="226"/>
      <w:bookmarkStart w:name="OLE_LINK2" w:id="227"/>
      <w:r>
        <w:lastRenderedPageBreak/>
        <w:t>ORDER</w:t>
      </w:r>
      <w:bookmarkEnd w:id="224"/>
      <w:bookmarkEnd w:id="225"/>
    </w:p>
    <w:p w:rsidR="001C2A1A" w:rsidP="001C2A1A" w:rsidRDefault="001C2A1A" w14:paraId="638ADA0C" w14:textId="5EDBE739">
      <w:pPr>
        <w:keepNext/>
      </w:pPr>
      <w:r w:rsidRPr="00BB0243">
        <w:rPr>
          <w:b/>
        </w:rPr>
        <w:t>IT IS ORDERED</w:t>
      </w:r>
      <w:r>
        <w:t xml:space="preserve"> that:</w:t>
      </w:r>
    </w:p>
    <w:bookmarkEnd w:id="226"/>
    <w:bookmarkEnd w:id="227"/>
    <w:p w:rsidRPr="007E3E1F" w:rsidR="007E3E1F" w:rsidP="00F56308" w:rsidRDefault="007E3E1F" w14:paraId="666B85E7" w14:textId="38CE95DA">
      <w:pPr>
        <w:pStyle w:val="Standard"/>
        <w:numPr>
          <w:ilvl w:val="0"/>
          <w:numId w:val="60"/>
        </w:numPr>
        <w:ind w:left="0" w:firstLine="360"/>
      </w:pPr>
      <w:r w:rsidRPr="007E3E1F">
        <w:t>This Order Instituting Rulemaking is adopted pursuant to Rule 6.1 of the Commission’s Rules of Practice and Procedure and Public Utilities Code Sections</w:t>
      </w:r>
      <w:r w:rsidR="0090171F">
        <w:t> </w:t>
      </w:r>
      <w:r w:rsidRPr="007E3E1F">
        <w:t xml:space="preserve">963(b)(3), 961(b)(1), 750, 321.1(a), </w:t>
      </w:r>
      <w:r w:rsidR="001B5C25">
        <w:t xml:space="preserve">and </w:t>
      </w:r>
      <w:r w:rsidRPr="007E3E1F">
        <w:t xml:space="preserve">451 with the goal of </w:t>
      </w:r>
      <w:r w:rsidRPr="004F250C" w:rsidR="004F250C">
        <w:t>to achiev</w:t>
      </w:r>
      <w:r w:rsidR="004F250C">
        <w:t>ing</w:t>
      </w:r>
      <w:r w:rsidRPr="004F250C" w:rsidR="004F250C">
        <w:t xml:space="preserve"> consistency of cost effectiveness assessments, improv</w:t>
      </w:r>
      <w:r w:rsidR="004F250C">
        <w:t>ing</w:t>
      </w:r>
      <w:r w:rsidRPr="004F250C" w:rsidR="004F250C">
        <w:t xml:space="preserve"> data collection and use, and consider</w:t>
      </w:r>
      <w:r w:rsidR="004F250C">
        <w:t>ing</w:t>
      </w:r>
      <w:r w:rsidRPr="004F250C" w:rsidR="004F250C">
        <w:t xml:space="preserve"> equipment performance standards for distributed energy resource customer programs</w:t>
      </w:r>
      <w:r w:rsidRPr="007E3E1F">
        <w:t xml:space="preserve">.  </w:t>
      </w:r>
    </w:p>
    <w:p w:rsidRPr="007E3E1F" w:rsidR="007E3E1F" w:rsidP="00F56308" w:rsidRDefault="007E3E1F" w14:paraId="45FCC9F5" w14:textId="6C61CE78">
      <w:pPr>
        <w:pStyle w:val="Standard"/>
        <w:numPr>
          <w:ilvl w:val="0"/>
          <w:numId w:val="60"/>
        </w:numPr>
        <w:ind w:left="0" w:firstLine="360"/>
      </w:pPr>
      <w:r w:rsidRPr="007E3E1F">
        <w:t xml:space="preserve">The preliminary categorization is </w:t>
      </w:r>
      <w:r w:rsidR="00FA155C">
        <w:t>ratesetting</w:t>
      </w:r>
      <w:r w:rsidRPr="007E3E1F">
        <w:t>.</w:t>
      </w:r>
    </w:p>
    <w:p w:rsidRPr="007E3E1F" w:rsidR="007E3E1F" w:rsidP="00F56308" w:rsidRDefault="007E3E1F" w14:paraId="0DDC8A15" w14:textId="0A8A5616">
      <w:pPr>
        <w:pStyle w:val="Standard"/>
        <w:numPr>
          <w:ilvl w:val="0"/>
          <w:numId w:val="60"/>
        </w:numPr>
        <w:ind w:left="0" w:firstLine="360"/>
      </w:pPr>
      <w:r w:rsidRPr="007E3E1F">
        <w:t xml:space="preserve">The preliminary determination is that a hearing </w:t>
      </w:r>
      <w:r w:rsidR="00FA155C">
        <w:t>may</w:t>
      </w:r>
      <w:r w:rsidRPr="007E3E1F" w:rsidR="00FA155C">
        <w:t xml:space="preserve"> </w:t>
      </w:r>
      <w:r w:rsidR="00FA155C">
        <w:t xml:space="preserve">be </w:t>
      </w:r>
      <w:r w:rsidRPr="007E3E1F">
        <w:t>needed.</w:t>
      </w:r>
    </w:p>
    <w:p w:rsidRPr="001D0F26" w:rsidR="007E3E1F" w:rsidP="00F56308" w:rsidRDefault="007E3E1F" w14:paraId="60AA0571" w14:textId="041F493E">
      <w:pPr>
        <w:pStyle w:val="Standard"/>
        <w:numPr>
          <w:ilvl w:val="0"/>
          <w:numId w:val="60"/>
        </w:numPr>
        <w:ind w:left="0" w:firstLine="360"/>
      </w:pPr>
      <w:r w:rsidRPr="001D0F26">
        <w:t xml:space="preserve">The preliminary scope of issues is as stated above in </w:t>
      </w:r>
      <w:r w:rsidRPr="001D0F26" w:rsidDel="00FA2D26">
        <w:t>S</w:t>
      </w:r>
      <w:r w:rsidRPr="001D0F26">
        <w:t xml:space="preserve">ection </w:t>
      </w:r>
      <w:r w:rsidR="00BC5F23">
        <w:t>3</w:t>
      </w:r>
      <w:r w:rsidRPr="001D0F26">
        <w:t>.</w:t>
      </w:r>
    </w:p>
    <w:p w:rsidRPr="007E3E1F" w:rsidR="007E3E1F" w:rsidP="00F56308" w:rsidRDefault="007E3E1F" w14:paraId="0BC7B8FD" w14:textId="07B03E42">
      <w:pPr>
        <w:pStyle w:val="Standard"/>
        <w:numPr>
          <w:ilvl w:val="0"/>
          <w:numId w:val="60"/>
        </w:numPr>
        <w:ind w:left="0" w:firstLine="360"/>
      </w:pPr>
      <w:r w:rsidRPr="007E3E1F">
        <w:t xml:space="preserve">Comments on the Order Instituting Rulemaking as </w:t>
      </w:r>
      <w:r w:rsidR="001B5C25">
        <w:t>requested</w:t>
      </w:r>
      <w:r w:rsidRPr="007E3E1F" w:rsidR="001B5C25">
        <w:t xml:space="preserve"> </w:t>
      </w:r>
      <w:r w:rsidRPr="007E3E1F">
        <w:t xml:space="preserve">in </w:t>
      </w:r>
      <w:r w:rsidR="00842D1D">
        <w:t>S</w:t>
      </w:r>
      <w:r w:rsidRPr="00842D1D">
        <w:t>ections</w:t>
      </w:r>
      <w:r w:rsidRPr="00842D1D" w:rsidR="006F6CC6">
        <w:t> </w:t>
      </w:r>
      <w:r w:rsidRPr="00842D1D" w:rsidR="00BC5F23">
        <w:t>3</w:t>
      </w:r>
      <w:r w:rsidR="00BC5F23">
        <w:t>.1.1.1</w:t>
      </w:r>
      <w:r w:rsidR="008C3CF9">
        <w:t xml:space="preserve"> and </w:t>
      </w:r>
      <w:r w:rsidR="00360348">
        <w:t>3.1.</w:t>
      </w:r>
      <w:r w:rsidR="005F3147">
        <w:t>2.1</w:t>
      </w:r>
      <w:r w:rsidRPr="007E3E1F">
        <w:t xml:space="preserve"> are due </w:t>
      </w:r>
      <w:r w:rsidR="003D1996">
        <w:t>45</w:t>
      </w:r>
      <w:r w:rsidRPr="007E3E1F">
        <w:t xml:space="preserve"> days from issuance of this </w:t>
      </w:r>
      <w:r w:rsidR="001B5C25">
        <w:t>Order Instituting Rulemaking</w:t>
      </w:r>
      <w:r w:rsidRPr="007E3E1F">
        <w:t xml:space="preserve">.  The schedule for the remainder of the proceeding will be adopted in the Assigned Commissioner’s Scoping Memo.  </w:t>
      </w:r>
    </w:p>
    <w:p w:rsidRPr="007E3E1F" w:rsidR="007E3E1F" w:rsidP="00F56308" w:rsidRDefault="007E3E1F" w14:paraId="08107730" w14:textId="77777777">
      <w:pPr>
        <w:pStyle w:val="Standard"/>
        <w:numPr>
          <w:ilvl w:val="0"/>
          <w:numId w:val="60"/>
        </w:numPr>
        <w:ind w:left="0" w:firstLine="360"/>
      </w:pPr>
      <w:r w:rsidRPr="007E3E1F">
        <w:t>Pacific Gas and Electric Company, Southern California Edison Company, San Diego Gas &amp; Electric Company, and Southern California Gas Company are named as respondents to this Order Instituting Rulemaking.</w:t>
      </w:r>
    </w:p>
    <w:p w:rsidRPr="007E3E1F" w:rsidR="007E3E1F" w:rsidP="00F56308" w:rsidRDefault="007E3E1F" w14:paraId="7AB92588" w14:textId="631A684C">
      <w:pPr>
        <w:pStyle w:val="Standard"/>
        <w:numPr>
          <w:ilvl w:val="0"/>
          <w:numId w:val="60"/>
        </w:numPr>
        <w:ind w:left="0" w:firstLine="360"/>
      </w:pPr>
      <w:r w:rsidRPr="007E3E1F">
        <w:t xml:space="preserve">Pacific Gas and Electric Company, Southern California Edison Company, San Diego Gas &amp; Electric Company, and Southern California Gas Company shall, and any other person may, file comments responding to this Order Instituting Rulemaking no later than </w:t>
      </w:r>
      <w:r w:rsidR="005C67DC">
        <w:t>45</w:t>
      </w:r>
      <w:r w:rsidRPr="007E3E1F">
        <w:t xml:space="preserve"> days from its issuance.  </w:t>
      </w:r>
    </w:p>
    <w:p w:rsidRPr="007E3E1F" w:rsidR="007E3E1F" w:rsidP="00F56308" w:rsidRDefault="007E3E1F" w14:paraId="2BE1BBFB" w14:textId="1B88EA1A">
      <w:pPr>
        <w:pStyle w:val="Standard"/>
        <w:numPr>
          <w:ilvl w:val="0"/>
          <w:numId w:val="60"/>
        </w:numPr>
        <w:ind w:left="0" w:firstLine="360"/>
      </w:pPr>
      <w:r w:rsidRPr="007E3E1F">
        <w:t xml:space="preserve">The Executive Director will cause this Order Instituting Rulemaking to be served on all respondents, on the California Energy Commission and the California Air Resources Board, and on the service lists for the following Commission proceedings: </w:t>
      </w:r>
      <w:r w:rsidR="000C3CB2">
        <w:t xml:space="preserve"> </w:t>
      </w:r>
      <w:r w:rsidRPr="007E3E1F">
        <w:t>R</w:t>
      </w:r>
      <w:r w:rsidR="00C721CC">
        <w:t>ulemaking (R</w:t>
      </w:r>
      <w:r w:rsidRPr="007E3E1F">
        <w:t>.</w:t>
      </w:r>
      <w:r w:rsidR="00C721CC">
        <w:t xml:space="preserve">) </w:t>
      </w:r>
      <w:r w:rsidRPr="007E3E1F">
        <w:t xml:space="preserve">14-10-003, R.18-12-006, </w:t>
      </w:r>
      <w:r w:rsidRPr="007E3E1F">
        <w:lastRenderedPageBreak/>
        <w:t>Application</w:t>
      </w:r>
      <w:r w:rsidR="000C3CB2">
        <w:t> </w:t>
      </w:r>
      <w:r w:rsidRPr="007E3E1F">
        <w:t xml:space="preserve">(A.) 22-05-002 </w:t>
      </w:r>
      <w:r w:rsidRPr="00827A7E">
        <w:t xml:space="preserve">et. al., </w:t>
      </w:r>
      <w:r w:rsidRPr="007E3E1F">
        <w:t xml:space="preserve">R.14-07-002, R.20-08-020, R.20-05-012, </w:t>
      </w:r>
      <w:r w:rsidRPr="00827A7E">
        <w:t>A.19</w:t>
      </w:r>
      <w:r w:rsidR="000C3CB2">
        <w:noBreakHyphen/>
      </w:r>
      <w:r w:rsidRPr="00827A7E">
        <w:t>11</w:t>
      </w:r>
      <w:r w:rsidR="000C3CB2">
        <w:noBreakHyphen/>
      </w:r>
      <w:r w:rsidRPr="00827A7E">
        <w:t xml:space="preserve">003 et. al., A.15-02-001 et. al., R.18-07-006, R.15-03-010, A.20-03-014 et. al., </w:t>
      </w:r>
      <w:r w:rsidRPr="007E3E1F">
        <w:t>R.13-11-005, R.19</w:t>
      </w:r>
      <w:r w:rsidR="000C3CB2">
        <w:noBreakHyphen/>
      </w:r>
      <w:r w:rsidRPr="007E3E1F">
        <w:t>01-011, R.16-02-007, R.21-06-017, R.19-09-009, R.20-08-022, R.13</w:t>
      </w:r>
      <w:r w:rsidR="000C3CB2">
        <w:noBreakHyphen/>
      </w:r>
      <w:r w:rsidRPr="007E3E1F">
        <w:t>02-008, R.20</w:t>
      </w:r>
      <w:r w:rsidR="000C3CB2">
        <w:noBreakHyphen/>
      </w:r>
      <w:r w:rsidRPr="007E3E1F">
        <w:t xml:space="preserve">01-007, </w:t>
      </w:r>
      <w:r w:rsidRPr="00FA155C" w:rsidR="00FA155C">
        <w:t xml:space="preserve">R.22-07-005, </w:t>
      </w:r>
      <w:r w:rsidRPr="00865161" w:rsidR="00865161">
        <w:t>R.18-12-005</w:t>
      </w:r>
      <w:r w:rsidR="00865161">
        <w:t xml:space="preserve">, </w:t>
      </w:r>
      <w:r w:rsidRPr="00FA155C" w:rsidR="00FA155C">
        <w:t xml:space="preserve">A.22-05-022 </w:t>
      </w:r>
      <w:r w:rsidRPr="00827A7E" w:rsidR="00FA155C">
        <w:t>et. al</w:t>
      </w:r>
      <w:r w:rsidRPr="00FA155C" w:rsidR="00FA155C">
        <w:t xml:space="preserve">., </w:t>
      </w:r>
      <w:r w:rsidRPr="007E3E1F">
        <w:t>and A.18</w:t>
      </w:r>
      <w:r w:rsidR="000C3CB2">
        <w:noBreakHyphen/>
      </w:r>
      <w:r w:rsidRPr="007E3E1F">
        <w:t xml:space="preserve">11-015 </w:t>
      </w:r>
      <w:r w:rsidRPr="00827A7E">
        <w:t>et. al.</w:t>
      </w:r>
      <w:r w:rsidRPr="007E3E1F">
        <w:t xml:space="preserve"> </w:t>
      </w:r>
    </w:p>
    <w:p w:rsidRPr="007E3E1F" w:rsidR="007E3E1F" w:rsidP="00F56308" w:rsidRDefault="007E3E1F" w14:paraId="0DF5637A" w14:textId="77777777">
      <w:pPr>
        <w:pStyle w:val="Standard"/>
        <w:numPr>
          <w:ilvl w:val="0"/>
          <w:numId w:val="60"/>
        </w:numPr>
        <w:ind w:left="0" w:firstLine="360"/>
      </w:pPr>
      <w:r w:rsidRPr="007E3E1F">
        <w:t>Any party that expects to claim intervenor compensation for its participation in this Rulemaking must file its notice of intent to claim intervenor compensation within 30 days of the prehearing conference (</w:t>
      </w:r>
      <w:r w:rsidRPr="00E703F6">
        <w:rPr>
          <w:i/>
          <w:iCs/>
        </w:rPr>
        <w:t>See</w:t>
      </w:r>
      <w:r w:rsidRPr="007E3E1F">
        <w:t xml:space="preserve"> Rule 17.1(a)(2).)</w:t>
      </w:r>
    </w:p>
    <w:p w:rsidRPr="007E3E1F" w:rsidR="007E3E1F" w:rsidP="00F56308" w:rsidRDefault="007E3E1F" w14:paraId="19F60A40" w14:textId="77777777">
      <w:pPr>
        <w:pStyle w:val="Standard"/>
        <w:numPr>
          <w:ilvl w:val="0"/>
          <w:numId w:val="60"/>
        </w:numPr>
        <w:ind w:left="0" w:firstLine="360"/>
      </w:pPr>
      <w:r w:rsidRPr="007E3E1F">
        <w:t>Commission Rule 11.13(a) is waived for this proceeding; all documents shall be filed electronically.</w:t>
      </w:r>
    </w:p>
    <w:p w:rsidRPr="007E3E1F" w:rsidR="007E3E1F" w:rsidP="00F56308" w:rsidRDefault="007E3E1F" w14:paraId="0EF4054E" w14:textId="77777777">
      <w:pPr>
        <w:pStyle w:val="Standard"/>
      </w:pPr>
      <w:r w:rsidRPr="007E3E1F">
        <w:t>This order is effective today.</w:t>
      </w:r>
    </w:p>
    <w:p w:rsidRPr="007E3E1F" w:rsidR="007E3E1F" w:rsidP="007E3E1F" w:rsidRDefault="007E3E1F" w14:paraId="427C42D3" w14:textId="0994622F">
      <w:pPr>
        <w:tabs>
          <w:tab w:val="left" w:pos="360"/>
        </w:tabs>
        <w:rPr>
          <w:szCs w:val="26"/>
        </w:rPr>
      </w:pPr>
      <w:r w:rsidRPr="007E3E1F">
        <w:rPr>
          <w:szCs w:val="26"/>
        </w:rPr>
        <w:t xml:space="preserve">Dated </w:t>
      </w:r>
      <w:r w:rsidR="00760E39">
        <w:rPr>
          <w:szCs w:val="26"/>
        </w:rPr>
        <w:t>November 17, 2022</w:t>
      </w:r>
      <w:r w:rsidR="00EC0563">
        <w:rPr>
          <w:szCs w:val="26"/>
        </w:rPr>
        <w:t xml:space="preserve">, </w:t>
      </w:r>
      <w:r w:rsidRPr="007E3E1F">
        <w:rPr>
          <w:szCs w:val="26"/>
        </w:rPr>
        <w:t>at San Francisco, California.</w:t>
      </w:r>
    </w:p>
    <w:p w:rsidRPr="007E3E1F" w:rsidR="007E3E1F" w:rsidP="007E3E1F" w:rsidRDefault="007E3E1F" w14:paraId="341C690D" w14:textId="77777777">
      <w:pPr>
        <w:tabs>
          <w:tab w:val="left" w:pos="360"/>
        </w:tabs>
        <w:rPr>
          <w:szCs w:val="26"/>
        </w:rPr>
      </w:pPr>
    </w:p>
    <w:p w:rsidRPr="00113BC8" w:rsidR="00760E39" w:rsidP="00760E39" w:rsidRDefault="00760E39" w14:paraId="378FAC97" w14:textId="77777777">
      <w:pPr>
        <w:keepNext/>
        <w:keepLines/>
        <w:autoSpaceDE w:val="0"/>
        <w:autoSpaceDN w:val="0"/>
        <w:adjustRightInd w:val="0"/>
        <w:spacing w:line="240" w:lineRule="auto"/>
        <w:ind w:left="5040" w:firstLine="0"/>
        <w:jc w:val="both"/>
        <w:rPr>
          <w:rFonts w:eastAsia="Times New Roman" w:cs="Times New Roman"/>
          <w:szCs w:val="20"/>
        </w:rPr>
      </w:pPr>
      <w:r w:rsidRPr="00113BC8">
        <w:rPr>
          <w:rFonts w:eastAsia="Times New Roman" w:cs="Times New Roman"/>
          <w:szCs w:val="20"/>
        </w:rPr>
        <w:t>ALICE REYNOLDS</w:t>
      </w:r>
    </w:p>
    <w:p w:rsidRPr="00113BC8" w:rsidR="00760E39" w:rsidP="00760E39" w:rsidRDefault="00760E39" w14:paraId="1DDCEC35" w14:textId="77777777">
      <w:pPr>
        <w:keepNext/>
        <w:keepLines/>
        <w:autoSpaceDE w:val="0"/>
        <w:autoSpaceDN w:val="0"/>
        <w:adjustRightInd w:val="0"/>
        <w:spacing w:line="240" w:lineRule="auto"/>
        <w:ind w:left="720"/>
        <w:jc w:val="both"/>
        <w:rPr>
          <w:rFonts w:eastAsia="Times New Roman" w:cs="Times New Roman"/>
          <w:szCs w:val="20"/>
        </w:rPr>
      </w:pPr>
      <w:r w:rsidRPr="00113BC8">
        <w:rPr>
          <w:rFonts w:eastAsia="Times New Roman" w:cs="Times New Roman"/>
          <w:szCs w:val="20"/>
        </w:rPr>
        <w:tab/>
      </w:r>
      <w:r w:rsidRPr="00113BC8">
        <w:rPr>
          <w:rFonts w:eastAsia="Times New Roman" w:cs="Times New Roman"/>
          <w:szCs w:val="20"/>
        </w:rPr>
        <w:tab/>
      </w:r>
      <w:r w:rsidRPr="00113BC8">
        <w:rPr>
          <w:rFonts w:eastAsia="Times New Roman" w:cs="Times New Roman"/>
          <w:szCs w:val="20"/>
        </w:rPr>
        <w:tab/>
      </w:r>
      <w:r w:rsidRPr="00113BC8">
        <w:rPr>
          <w:rFonts w:eastAsia="Times New Roman" w:cs="Times New Roman"/>
          <w:szCs w:val="20"/>
        </w:rPr>
        <w:tab/>
      </w:r>
      <w:r w:rsidRPr="00113BC8">
        <w:rPr>
          <w:rFonts w:eastAsia="Times New Roman" w:cs="Times New Roman"/>
          <w:szCs w:val="20"/>
        </w:rPr>
        <w:tab/>
        <w:t xml:space="preserve">                       President</w:t>
      </w:r>
    </w:p>
    <w:p w:rsidRPr="00113BC8" w:rsidR="00760E39" w:rsidP="00760E39" w:rsidRDefault="00760E39" w14:paraId="3F5E6E71" w14:textId="77777777">
      <w:pPr>
        <w:keepNext/>
        <w:keepLines/>
        <w:autoSpaceDE w:val="0"/>
        <w:autoSpaceDN w:val="0"/>
        <w:adjustRightInd w:val="0"/>
        <w:spacing w:line="240" w:lineRule="auto"/>
        <w:ind w:left="5040" w:firstLine="0"/>
        <w:jc w:val="both"/>
        <w:rPr>
          <w:rFonts w:eastAsia="Times New Roman" w:cs="Times New Roman"/>
          <w:szCs w:val="20"/>
        </w:rPr>
      </w:pPr>
      <w:r w:rsidRPr="00113BC8">
        <w:rPr>
          <w:rFonts w:eastAsia="Times New Roman" w:cs="Times New Roman"/>
          <w:szCs w:val="20"/>
        </w:rPr>
        <w:t>CLIFFORD RECHTSCHAFFEN</w:t>
      </w:r>
    </w:p>
    <w:p w:rsidRPr="00113BC8" w:rsidR="00760E39" w:rsidP="00760E39" w:rsidRDefault="00760E39" w14:paraId="24BFBFF1" w14:textId="77777777">
      <w:pPr>
        <w:keepNext/>
        <w:keepLines/>
        <w:autoSpaceDE w:val="0"/>
        <w:autoSpaceDN w:val="0"/>
        <w:adjustRightInd w:val="0"/>
        <w:spacing w:line="240" w:lineRule="auto"/>
        <w:ind w:left="5040" w:firstLine="0"/>
        <w:jc w:val="both"/>
        <w:rPr>
          <w:rFonts w:eastAsia="Times New Roman" w:cs="Times New Roman"/>
          <w:szCs w:val="20"/>
        </w:rPr>
      </w:pPr>
      <w:r w:rsidRPr="00113BC8">
        <w:rPr>
          <w:rFonts w:eastAsia="Times New Roman" w:cs="Times New Roman"/>
          <w:szCs w:val="20"/>
        </w:rPr>
        <w:t>GENEVIEVE SHIROMA</w:t>
      </w:r>
    </w:p>
    <w:p w:rsidRPr="00113BC8" w:rsidR="00760E39" w:rsidP="00760E39" w:rsidRDefault="00760E39" w14:paraId="6B3340B0" w14:textId="77777777">
      <w:pPr>
        <w:keepNext/>
        <w:keepLines/>
        <w:autoSpaceDE w:val="0"/>
        <w:autoSpaceDN w:val="0"/>
        <w:adjustRightInd w:val="0"/>
        <w:spacing w:line="240" w:lineRule="auto"/>
        <w:ind w:left="4320"/>
        <w:jc w:val="both"/>
        <w:rPr>
          <w:rFonts w:eastAsia="Times New Roman" w:cs="Times New Roman"/>
          <w:szCs w:val="20"/>
        </w:rPr>
      </w:pPr>
      <w:r w:rsidRPr="00113BC8">
        <w:rPr>
          <w:rFonts w:eastAsia="Times New Roman" w:cs="Times New Roman"/>
          <w:szCs w:val="20"/>
        </w:rPr>
        <w:t>DARCIE L. HOUCK</w:t>
      </w:r>
    </w:p>
    <w:p w:rsidRPr="00113BC8" w:rsidR="00760E39" w:rsidP="00760E39" w:rsidRDefault="00760E39" w14:paraId="28458C5C" w14:textId="77777777">
      <w:pPr>
        <w:autoSpaceDE w:val="0"/>
        <w:autoSpaceDN w:val="0"/>
        <w:adjustRightInd w:val="0"/>
        <w:spacing w:line="240" w:lineRule="auto"/>
        <w:ind w:left="4320"/>
        <w:jc w:val="both"/>
        <w:rPr>
          <w:rFonts w:eastAsia="Times New Roman" w:cs="Times New Roman"/>
          <w:szCs w:val="20"/>
        </w:rPr>
      </w:pPr>
      <w:r w:rsidRPr="00113BC8">
        <w:rPr>
          <w:rFonts w:eastAsia="Times New Roman" w:cs="Times New Roman"/>
          <w:szCs w:val="20"/>
        </w:rPr>
        <w:t>JOHN REYNOLDS</w:t>
      </w:r>
    </w:p>
    <w:p w:rsidRPr="00113BC8" w:rsidR="00760E39" w:rsidP="00760E39" w:rsidRDefault="00760E39" w14:paraId="0F2678F8" w14:textId="77777777">
      <w:pPr>
        <w:autoSpaceDE w:val="0"/>
        <w:autoSpaceDN w:val="0"/>
        <w:adjustRightInd w:val="0"/>
        <w:spacing w:line="240" w:lineRule="auto"/>
        <w:ind w:left="5040"/>
        <w:jc w:val="both"/>
        <w:rPr>
          <w:rFonts w:eastAsia="Times New Roman" w:cs="Times New Roman"/>
          <w:szCs w:val="20"/>
        </w:rPr>
      </w:pPr>
      <w:r w:rsidRPr="00113BC8">
        <w:rPr>
          <w:rFonts w:eastAsia="Times New Roman" w:cs="Times New Roman"/>
          <w:szCs w:val="20"/>
        </w:rPr>
        <w:t xml:space="preserve">            Commissioners</w:t>
      </w:r>
    </w:p>
    <w:p w:rsidRPr="007E3E1F" w:rsidR="00714CF2" w:rsidP="007E3E1F" w:rsidRDefault="00714CF2" w14:paraId="664547D7" w14:textId="34D68582"/>
    <w:sectPr w:rsidRPr="007E3E1F" w:rsidR="00714CF2" w:rsidSect="00A5175D">
      <w:footerReference w:type="first" r:id="rId19"/>
      <w:pgSz w:w="12240" w:h="15840"/>
      <w:pgMar w:top="1728"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3DC1" w14:textId="77777777" w:rsidR="000D5E04" w:rsidRDefault="000D5E04" w:rsidP="0098138E">
      <w:pPr>
        <w:spacing w:line="240" w:lineRule="auto"/>
      </w:pPr>
      <w:r>
        <w:separator/>
      </w:r>
    </w:p>
  </w:endnote>
  <w:endnote w:type="continuationSeparator" w:id="0">
    <w:p w14:paraId="11ADCF36" w14:textId="77777777" w:rsidR="000D5E04" w:rsidRDefault="000D5E04" w:rsidP="0098138E">
      <w:pPr>
        <w:spacing w:line="240" w:lineRule="auto"/>
      </w:pPr>
      <w:r>
        <w:continuationSeparator/>
      </w:r>
    </w:p>
  </w:endnote>
  <w:endnote w:type="continuationNotice" w:id="1">
    <w:p w14:paraId="2C892AB4" w14:textId="77777777" w:rsidR="000D5E04" w:rsidRDefault="000D5E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457099"/>
      <w:docPartObj>
        <w:docPartGallery w:val="Page Numbers (Bottom of Page)"/>
        <w:docPartUnique/>
      </w:docPartObj>
    </w:sdtPr>
    <w:sdtEndPr>
      <w:rPr>
        <w:noProof/>
      </w:rPr>
    </w:sdtEndPr>
    <w:sdtContent>
      <w:p w14:paraId="531EEC6D" w14:textId="53BDBDAA" w:rsidR="00222F2F" w:rsidRDefault="00A5175D" w:rsidP="00A5175D">
        <w:pPr>
          <w:pStyle w:val="Footer"/>
          <w:ind w:firstLine="0"/>
          <w:jc w:val="center"/>
        </w:pPr>
        <w:r>
          <w:t xml:space="preserve">- </w:t>
        </w:r>
        <w:r w:rsidR="00222F2F">
          <w:fldChar w:fldCharType="begin"/>
        </w:r>
        <w:r w:rsidR="00222F2F">
          <w:instrText xml:space="preserve"> PAGE   \* MERGEFORMAT </w:instrText>
        </w:r>
        <w:r w:rsidR="00222F2F">
          <w:fldChar w:fldCharType="separate"/>
        </w:r>
        <w:r w:rsidR="003F2966">
          <w:rPr>
            <w:noProof/>
          </w:rPr>
          <w:t>- 24 -</w:t>
        </w:r>
        <w:r w:rsidR="00222F2F">
          <w:rPr>
            <w:noProof/>
          </w:rPr>
          <w:fldChar w:fldCharType="end"/>
        </w:r>
        <w:r>
          <w:rPr>
            <w:noProof/>
          </w:rPr>
          <w:t xml:space="preserve"> -</w:t>
        </w:r>
      </w:p>
    </w:sdtContent>
  </w:sdt>
  <w:p w14:paraId="433B618B" w14:textId="77777777" w:rsidR="00222F2F" w:rsidRDefault="00222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5A5B" w14:textId="35E65F19" w:rsidR="00222F2F" w:rsidRDefault="00BF0D2A" w:rsidP="00372F10">
    <w:pPr>
      <w:pStyle w:val="Footer"/>
      <w:ind w:firstLine="0"/>
    </w:pPr>
    <w:r w:rsidRPr="00BF0D2A">
      <w:rPr>
        <w:sz w:val="16"/>
        <w:szCs w:val="16"/>
      </w:rPr>
      <w:t>499158023</w:t>
    </w:r>
    <w:r w:rsidR="00222F2F">
      <w:tab/>
    </w:r>
    <w:r w:rsidR="00A5175D">
      <w:t xml:space="preserve">- </w:t>
    </w:r>
    <w:r w:rsidR="00222F2F">
      <w:fldChar w:fldCharType="begin"/>
    </w:r>
    <w:r w:rsidR="00222F2F">
      <w:instrText xml:space="preserve"> PAGE   \* MERGEFORMAT </w:instrText>
    </w:r>
    <w:r w:rsidR="00222F2F">
      <w:fldChar w:fldCharType="separate"/>
    </w:r>
    <w:r w:rsidR="00AB3E01">
      <w:rPr>
        <w:noProof/>
      </w:rPr>
      <w:t>- 1 -</w:t>
    </w:r>
    <w:r w:rsidR="00222F2F">
      <w:rPr>
        <w:noProof/>
      </w:rPr>
      <w:fldChar w:fldCharType="end"/>
    </w:r>
    <w:r w:rsidR="00A5175D">
      <w:rPr>
        <w:noProof/>
      </w:rPr>
      <w:t xml:space="preserve"> -</w:t>
    </w:r>
  </w:p>
  <w:p w14:paraId="63493DE2" w14:textId="77777777" w:rsidR="00222F2F" w:rsidRDefault="00222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27C5" w14:textId="01A20FE2" w:rsidR="00222F2F" w:rsidRDefault="00222F2F" w:rsidP="00F407C8">
    <w:pPr>
      <w:pStyle w:val="Footer"/>
      <w:tabs>
        <w:tab w:val="left" w:pos="4635"/>
      </w:tabs>
      <w:ind w:firstLine="0"/>
    </w:pPr>
    <w:r>
      <w:tab/>
    </w:r>
    <w:r>
      <w:tab/>
    </w:r>
    <w:r>
      <w:fldChar w:fldCharType="begin"/>
    </w:r>
    <w:r>
      <w:instrText xml:space="preserve"> PAGE   \* MERGEFORMAT </w:instrText>
    </w:r>
    <w:r>
      <w:fldChar w:fldCharType="separate"/>
    </w:r>
    <w:r w:rsidR="00AB3E01">
      <w:rPr>
        <w:noProof/>
      </w:rPr>
      <w:t>i</w:t>
    </w:r>
    <w:r>
      <w:rPr>
        <w:noProof/>
      </w:rPr>
      <w:fldChar w:fldCharType="end"/>
    </w:r>
  </w:p>
  <w:p w14:paraId="3AE66FF5" w14:textId="77777777" w:rsidR="00222F2F" w:rsidRDefault="00222F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1777" w14:textId="206A52A5" w:rsidR="00222F2F" w:rsidRDefault="00A5175D" w:rsidP="00A5175D">
    <w:pPr>
      <w:pStyle w:val="Footer"/>
      <w:tabs>
        <w:tab w:val="left" w:pos="4230"/>
      </w:tabs>
      <w:ind w:firstLine="0"/>
      <w:jc w:val="center"/>
    </w:pPr>
    <w:r>
      <w:t xml:space="preserve">- </w:t>
    </w:r>
    <w:r w:rsidR="00222F2F">
      <w:fldChar w:fldCharType="begin"/>
    </w:r>
    <w:r w:rsidR="00222F2F">
      <w:instrText xml:space="preserve"> PAGE   \* MERGEFORMAT </w:instrText>
    </w:r>
    <w:r w:rsidR="00222F2F">
      <w:fldChar w:fldCharType="separate"/>
    </w:r>
    <w:r w:rsidR="00AB3E01">
      <w:rPr>
        <w:noProof/>
      </w:rPr>
      <w:t>- 2 -</w:t>
    </w:r>
    <w:r w:rsidR="00222F2F">
      <w:rPr>
        <w:noProof/>
      </w:rPr>
      <w:fldChar w:fldCharType="end"/>
    </w:r>
    <w:r>
      <w:rPr>
        <w:noProof/>
      </w:rPr>
      <w:t xml:space="preserve"> -</w:t>
    </w:r>
  </w:p>
  <w:p w14:paraId="41131143" w14:textId="77777777" w:rsidR="00222F2F" w:rsidRDefault="00222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735F1" w14:textId="77777777" w:rsidR="000D5E04" w:rsidRDefault="000D5E04" w:rsidP="00DF58E7">
      <w:pPr>
        <w:spacing w:line="240" w:lineRule="auto"/>
        <w:ind w:firstLine="0"/>
      </w:pPr>
      <w:r>
        <w:separator/>
      </w:r>
    </w:p>
  </w:footnote>
  <w:footnote w:type="continuationSeparator" w:id="0">
    <w:p w14:paraId="0336CED1" w14:textId="77777777" w:rsidR="000D5E04" w:rsidRDefault="000D5E04" w:rsidP="00DF58E7">
      <w:pPr>
        <w:spacing w:line="240" w:lineRule="auto"/>
        <w:ind w:firstLine="0"/>
      </w:pPr>
      <w:r>
        <w:continuationSeparator/>
      </w:r>
    </w:p>
  </w:footnote>
  <w:footnote w:type="continuationNotice" w:id="1">
    <w:p w14:paraId="2DE7F345" w14:textId="77777777" w:rsidR="000D5E04" w:rsidRPr="00DF58E7" w:rsidRDefault="000D5E04" w:rsidP="00DF58E7">
      <w:pPr>
        <w:spacing w:line="240" w:lineRule="auto"/>
        <w:ind w:firstLine="0"/>
        <w:jc w:val="right"/>
        <w:rPr>
          <w:i/>
          <w:sz w:val="22"/>
        </w:rPr>
      </w:pPr>
      <w:r w:rsidRPr="00DF58E7">
        <w:rPr>
          <w:i/>
          <w:sz w:val="22"/>
        </w:rPr>
        <w:t>Footnote continued on next page.</w:t>
      </w:r>
    </w:p>
  </w:footnote>
  <w:footnote w:id="2">
    <w:p w14:paraId="40F6EDBE" w14:textId="5B77C18F" w:rsidR="00222F2F" w:rsidRDefault="00222F2F" w:rsidP="007E3E1F">
      <w:pPr>
        <w:pStyle w:val="FootnoteText"/>
      </w:pPr>
      <w:r>
        <w:rPr>
          <w:rStyle w:val="FootnoteReference"/>
        </w:rPr>
        <w:footnoteRef/>
      </w:r>
      <w:r>
        <w:t xml:space="preserve"> DER customer programs are programs offered to ratepayers by utilities, or other load-serving entities, that enable participants to manage their energy use by purchasing energy efficient or electric generation technologies, behavioral changes, or other activities that occur on the customer’s premises (often called “behind-the-meter”).  They are sometimes referred to as “demand</w:t>
      </w:r>
      <w:r>
        <w:noBreakHyphen/>
        <w:t>side management” programs because they allow customers to manage their own demand for electricity or natural gas.  They are also referred to as “distributed energy resource” programs since the technologies used are small, modular devices that can be distributed throughout the electric grid or natural gas system, rather than centrally-stationed like most utility-scale generation (</w:t>
      </w:r>
      <w:r w:rsidRPr="00842D1D">
        <w:rPr>
          <w:i/>
          <w:iCs/>
        </w:rPr>
        <w:t>e.g.,</w:t>
      </w:r>
      <w:r>
        <w:t xml:space="preserve"> power plants).  This proceeding will use the terms DER or customer programs to refer only to behind</w:t>
      </w:r>
      <w:r>
        <w:noBreakHyphen/>
        <w:t>the-meter activities.  The term “distributed energy resources” as used elsewhere often includes small, distributed utility-scale generation.</w:t>
      </w:r>
    </w:p>
  </w:footnote>
  <w:footnote w:id="3">
    <w:p w14:paraId="5C0B5994" w14:textId="77777777" w:rsidR="00222F2F" w:rsidRDefault="00222F2F" w:rsidP="007E3E1F">
      <w:pPr>
        <w:pStyle w:val="FootnoteText"/>
      </w:pPr>
      <w:r>
        <w:rPr>
          <w:rStyle w:val="FootnoteReference"/>
        </w:rPr>
        <w:footnoteRef/>
      </w:r>
      <w:r>
        <w:t xml:space="preserve"> </w:t>
      </w:r>
      <w:hyperlink r:id="rId1" w:history="1">
        <w:r w:rsidRPr="00D33EAA">
          <w:rPr>
            <w:rStyle w:val="Hyperlink"/>
          </w:rPr>
          <w:t>https://www.cpuc.ca.gov/about-cpuc/divisions/energy-division/der-action-plan</w:t>
        </w:r>
      </w:hyperlink>
      <w:r>
        <w:t xml:space="preserve">.  </w:t>
      </w:r>
    </w:p>
  </w:footnote>
  <w:footnote w:id="4">
    <w:p w14:paraId="3A786E83" w14:textId="4C7D7751" w:rsidR="00222F2F" w:rsidRDefault="00222F2F" w:rsidP="007E3E1F">
      <w:pPr>
        <w:pStyle w:val="FootnoteText"/>
      </w:pPr>
      <w:r w:rsidRPr="00D06CAD">
        <w:rPr>
          <w:rStyle w:val="FootnoteReference"/>
        </w:rPr>
        <w:footnoteRef/>
      </w:r>
      <w:r w:rsidRPr="00D06CAD">
        <w:t xml:space="preserve"> California’s energy policies are directed by state law, such as Senate Bill (SB) 350,</w:t>
      </w:r>
      <w:r>
        <w:t xml:space="preserve"> t</w:t>
      </w:r>
      <w:r w:rsidRPr="00D06CAD">
        <w:t>he Clean</w:t>
      </w:r>
      <w:r>
        <w:t> </w:t>
      </w:r>
      <w:r w:rsidRPr="00D06CAD">
        <w:t>Energy and Pollution Reduction Act</w:t>
      </w:r>
      <w:r>
        <w:t xml:space="preserve">, which </w:t>
      </w:r>
      <w:r w:rsidRPr="00D06CAD">
        <w:t>established clean energy, clean air, and greenhouse gas reduction goals</w:t>
      </w:r>
      <w:r>
        <w:t xml:space="preserve">.  A good overview of California’s energy policies can be found in the California Energy Commission’s Integrated Energy Policy Report (IEPR).  Highlights of the 2021 IEPR are available at </w:t>
      </w:r>
      <w:hyperlink r:id="rId2" w:history="1">
        <w:r w:rsidRPr="00640206">
          <w:rPr>
            <w:rStyle w:val="Hyperlink"/>
          </w:rPr>
          <w:t>file:///C:/Users/jym/AppData/Local/Temp/MicrosoftEdgeDownloads/fb02428c-d7e1-4c5d-985b-becb6b0123c2/TN242559_20220405T105019_2021%20IEPR%20Highlights.pdf</w:t>
        </w:r>
      </w:hyperlink>
      <w:r>
        <w:t xml:space="preserve"> .</w:t>
      </w:r>
    </w:p>
  </w:footnote>
  <w:footnote w:id="5">
    <w:p w14:paraId="39347913" w14:textId="273A1456" w:rsidR="00222F2F" w:rsidRDefault="00222F2F" w:rsidP="007E3E1F">
      <w:pPr>
        <w:pStyle w:val="FootnoteText"/>
      </w:pPr>
      <w:r>
        <w:rPr>
          <w:rStyle w:val="FootnoteReference"/>
        </w:rPr>
        <w:footnoteRef/>
      </w:r>
      <w:r>
        <w:t xml:space="preserve"> Hereafter, all references to code are to the Public Utilities Code unless otherwise indicated. </w:t>
      </w:r>
    </w:p>
  </w:footnote>
  <w:footnote w:id="6">
    <w:p w14:paraId="2D158D71" w14:textId="4938C087" w:rsidR="00222F2F" w:rsidRDefault="00222F2F" w:rsidP="007E3E1F">
      <w:pPr>
        <w:pStyle w:val="FootnoteText"/>
      </w:pPr>
      <w:r>
        <w:rPr>
          <w:rStyle w:val="FootnoteReference"/>
        </w:rPr>
        <w:footnoteRef/>
      </w:r>
      <w:r>
        <w:t xml:space="preserve"> Energy efficiency, residential photovoltaics (PV), certain demand response resources, and other DERs are included in the IRP via the demand forecast process.  Also, some DERs are incorporated in IRP modeling as “candidate resources” that can be selected to meet future grid needs.</w:t>
      </w:r>
    </w:p>
  </w:footnote>
  <w:footnote w:id="7">
    <w:p w14:paraId="40C3A5DC" w14:textId="77777777" w:rsidR="00222F2F" w:rsidRDefault="00222F2F" w:rsidP="00CE0F73">
      <w:pPr>
        <w:pStyle w:val="FootnoteText"/>
      </w:pPr>
      <w:r>
        <w:rPr>
          <w:rStyle w:val="FootnoteReference"/>
        </w:rPr>
        <w:footnoteRef/>
      </w:r>
      <w:r>
        <w:t xml:space="preserve"> </w:t>
      </w:r>
      <w:r w:rsidRPr="00E703F6">
        <w:rPr>
          <w:i/>
          <w:iCs/>
        </w:rPr>
        <w:t xml:space="preserve">See </w:t>
      </w:r>
      <w:r>
        <w:t xml:space="preserve">“Reliable and Clean Power Procurement Program Staff Options Paper,” September 2022, </w:t>
      </w:r>
      <w:hyperlink r:id="rId3" w:history="1">
        <w:r w:rsidRPr="00D44373">
          <w:rPr>
            <w:rStyle w:val="Hyperlink"/>
          </w:rPr>
          <w:t>https://docs.cpuc.ca.gov/PublishedDocs/Efile/G000/M496/K684/496684997.PDF</w:t>
        </w:r>
      </w:hyperlink>
      <w:r>
        <w:t xml:space="preserve">. </w:t>
      </w:r>
    </w:p>
  </w:footnote>
  <w:footnote w:id="8">
    <w:p w14:paraId="2EE00317" w14:textId="77777777" w:rsidR="00222F2F" w:rsidRPr="00544D4B" w:rsidRDefault="00222F2F" w:rsidP="0090171F">
      <w:pPr>
        <w:ind w:firstLine="0"/>
        <w:rPr>
          <w:sz w:val="22"/>
        </w:rPr>
      </w:pPr>
      <w:r w:rsidRPr="00544D4B">
        <w:rPr>
          <w:sz w:val="22"/>
          <w:vertAlign w:val="superscript"/>
        </w:rPr>
        <w:footnoteRef/>
      </w:r>
      <w:r w:rsidRPr="00544D4B">
        <w:rPr>
          <w:sz w:val="22"/>
        </w:rPr>
        <w:t xml:space="preserve">  D.05-09-043 at 28, 71. </w:t>
      </w:r>
    </w:p>
  </w:footnote>
  <w:footnote w:id="9">
    <w:p w14:paraId="62E3576E" w14:textId="7A2AF47D" w:rsidR="00222F2F" w:rsidRPr="00D61DB5" w:rsidRDefault="00222F2F" w:rsidP="007E3E1F">
      <w:pPr>
        <w:pStyle w:val="FootnoteText"/>
        <w:rPr>
          <w:szCs w:val="22"/>
        </w:rPr>
      </w:pPr>
      <w:r w:rsidRPr="00544D4B">
        <w:rPr>
          <w:szCs w:val="22"/>
          <w:vertAlign w:val="superscript"/>
        </w:rPr>
        <w:footnoteRef/>
      </w:r>
      <w:r w:rsidRPr="00544D4B">
        <w:rPr>
          <w:szCs w:val="22"/>
        </w:rPr>
        <w:t xml:space="preserve">  C</w:t>
      </w:r>
      <w:r>
        <w:rPr>
          <w:szCs w:val="22"/>
        </w:rPr>
        <w:t>alifornia Public Utilities Commission</w:t>
      </w:r>
      <w:r w:rsidRPr="00544D4B">
        <w:rPr>
          <w:szCs w:val="22"/>
        </w:rPr>
        <w:t xml:space="preserve"> (2008).  California Long-Term Energy Efficiency Strategic Plan.  Available at: </w:t>
      </w:r>
      <w:hyperlink r:id="rId4" w:history="1">
        <w:r w:rsidRPr="002E7084">
          <w:rPr>
            <w:rStyle w:val="Hyperlink"/>
            <w:szCs w:val="22"/>
          </w:rPr>
          <w:t>http://www.cpuc.ca.gov/NR/rdonlyres/D4321448-208C-48F9-9F62-1BBB14A8D717/0/EEStrategicPlan.pdf</w:t>
        </w:r>
      </w:hyperlink>
      <w:r w:rsidRPr="00544D4B">
        <w:rPr>
          <w:szCs w:val="22"/>
        </w:rPr>
        <w:t>.</w:t>
      </w:r>
      <w:r w:rsidRPr="00D61DB5">
        <w:rPr>
          <w:szCs w:val="22"/>
        </w:rPr>
        <w:t xml:space="preserve"> </w:t>
      </w:r>
    </w:p>
  </w:footnote>
  <w:footnote w:id="10">
    <w:p w14:paraId="469DFB24" w14:textId="081CC6B1" w:rsidR="00222F2F" w:rsidRDefault="00222F2F" w:rsidP="007E3E1F">
      <w:pPr>
        <w:pStyle w:val="FootnoteText"/>
      </w:pPr>
      <w:r>
        <w:rPr>
          <w:rStyle w:val="FootnoteReference"/>
        </w:rPr>
        <w:footnoteRef/>
      </w:r>
      <w:r>
        <w:t xml:space="preserve"> R.</w:t>
      </w:r>
      <w:r w:rsidRPr="00D52545">
        <w:t>14</w:t>
      </w:r>
      <w:r>
        <w:t>-</w:t>
      </w:r>
      <w:r w:rsidRPr="00D52545">
        <w:t>10</w:t>
      </w:r>
      <w:r>
        <w:t>-</w:t>
      </w:r>
      <w:r w:rsidRPr="00D52545">
        <w:t xml:space="preserve">003 </w:t>
      </w:r>
      <w:r w:rsidRPr="000911FA">
        <w:rPr>
          <w:i/>
        </w:rPr>
        <w:t>Rulemaking to Create a Consistent Regulatory Framework for the Guidance, Planning and Evaluation of Integrated Demand Side Resources</w:t>
      </w:r>
      <w:r>
        <w:t xml:space="preserve">.  Available at   </w:t>
      </w:r>
      <w:hyperlink r:id="rId5" w:history="1">
        <w:r w:rsidRPr="00640206">
          <w:rPr>
            <w:rStyle w:val="Hyperlink"/>
          </w:rPr>
          <w:t>https://docs.cpuc.ca.gov/SearchRes.aspx?DocFormat=ALL&amp;DocID=116116537</w:t>
        </w:r>
      </w:hyperlink>
      <w:r>
        <w:t xml:space="preserve"> </w:t>
      </w:r>
    </w:p>
  </w:footnote>
  <w:footnote w:id="11">
    <w:p w14:paraId="35B8684C" w14:textId="77777777" w:rsidR="00222F2F" w:rsidRDefault="00222F2F" w:rsidP="007E3E1F">
      <w:pPr>
        <w:pStyle w:val="FootnoteText"/>
      </w:pPr>
      <w:r>
        <w:rPr>
          <w:rStyle w:val="FootnoteReference"/>
        </w:rPr>
        <w:footnoteRef/>
      </w:r>
      <w:r>
        <w:t xml:space="preserve"> A summary of the cost-effectiveness plan is included in an October 9, 2015 ruling in the IDER proceeding.  Available at </w:t>
      </w:r>
      <w:hyperlink r:id="rId6" w:history="1">
        <w:r w:rsidRPr="00640206">
          <w:rPr>
            <w:rStyle w:val="Hyperlink"/>
          </w:rPr>
          <w:t>https://docs.cpuc.ca.gov/PublishedDocs/Efile/G000/M155/K042/155042870.PDF</w:t>
        </w:r>
      </w:hyperlink>
      <w:r>
        <w:t xml:space="preserve"> .</w:t>
      </w:r>
    </w:p>
  </w:footnote>
  <w:footnote w:id="12">
    <w:p w14:paraId="739EC646" w14:textId="3BD1F2EE" w:rsidR="00222F2F" w:rsidRDefault="00222F2F">
      <w:pPr>
        <w:pStyle w:val="FootnoteText"/>
      </w:pPr>
      <w:r>
        <w:rPr>
          <w:rStyle w:val="FootnoteReference"/>
        </w:rPr>
        <w:footnoteRef/>
      </w:r>
      <w:r>
        <w:t xml:space="preserve"> The ACC work is led by a Commission consultant.  This proceeding will also consider the need to authorize additional funding for this work. </w:t>
      </w:r>
    </w:p>
  </w:footnote>
  <w:footnote w:id="13">
    <w:p w14:paraId="4BB12226" w14:textId="77777777" w:rsidR="00222F2F" w:rsidRDefault="00222F2F" w:rsidP="00800C62">
      <w:pPr>
        <w:pStyle w:val="FootnoteText"/>
      </w:pPr>
      <w:r>
        <w:rPr>
          <w:rStyle w:val="FootnoteReference"/>
        </w:rPr>
        <w:footnoteRef/>
      </w:r>
      <w:r>
        <w:t xml:space="preserve"> </w:t>
      </w:r>
      <w:hyperlink r:id="rId7" w:history="1">
        <w:r w:rsidRPr="005D7912">
          <w:rPr>
            <w:rStyle w:val="Hyperlink"/>
          </w:rPr>
          <w:t>https://www.cpuc.ca.gov/esjactionplan/</w:t>
        </w:r>
      </w:hyperlink>
      <w:r>
        <w:t xml:space="preserve"> </w:t>
      </w:r>
    </w:p>
  </w:footnote>
  <w:footnote w:id="14">
    <w:p w14:paraId="6577E797" w14:textId="77777777" w:rsidR="00222F2F" w:rsidRDefault="00222F2F" w:rsidP="00800C62">
      <w:pPr>
        <w:pStyle w:val="FootnoteText"/>
      </w:pPr>
      <w:r>
        <w:rPr>
          <w:rStyle w:val="FootnoteReference"/>
        </w:rPr>
        <w:footnoteRef/>
      </w:r>
      <w:r>
        <w:t xml:space="preserve"> The ESJ Action Plan defines “ESJ communities” as those where residents are:</w:t>
      </w:r>
    </w:p>
    <w:p w14:paraId="43FC7940" w14:textId="77777777" w:rsidR="00222F2F" w:rsidRDefault="00222F2F" w:rsidP="00800C62">
      <w:pPr>
        <w:pStyle w:val="FootnoteText"/>
        <w:numPr>
          <w:ilvl w:val="0"/>
          <w:numId w:val="11"/>
        </w:numPr>
      </w:pPr>
      <w:r>
        <w:t>Predominantly communities of color or low-income;</w:t>
      </w:r>
    </w:p>
    <w:p w14:paraId="47C46D95" w14:textId="77777777" w:rsidR="00222F2F" w:rsidRDefault="00222F2F" w:rsidP="00800C62">
      <w:pPr>
        <w:pStyle w:val="FootnoteText"/>
        <w:numPr>
          <w:ilvl w:val="0"/>
          <w:numId w:val="11"/>
        </w:numPr>
        <w:spacing w:after="0"/>
      </w:pPr>
      <w:r>
        <w:t>Underrepresented in the policy setting or decision-making process;</w:t>
      </w:r>
    </w:p>
    <w:p w14:paraId="55ACC518" w14:textId="77777777" w:rsidR="00222F2F" w:rsidRDefault="00222F2F" w:rsidP="00800C62">
      <w:pPr>
        <w:pStyle w:val="FootnoteText"/>
        <w:numPr>
          <w:ilvl w:val="0"/>
          <w:numId w:val="11"/>
        </w:numPr>
      </w:pPr>
      <w:r>
        <w:t>Subject to a disproportionate impact from one or more environmental hazards; and</w:t>
      </w:r>
    </w:p>
    <w:p w14:paraId="60120CFF" w14:textId="77777777" w:rsidR="00222F2F" w:rsidRDefault="00222F2F" w:rsidP="00800C62">
      <w:pPr>
        <w:pStyle w:val="FootnoteText"/>
        <w:numPr>
          <w:ilvl w:val="0"/>
          <w:numId w:val="11"/>
        </w:numPr>
      </w:pPr>
      <w:r>
        <w:t>Likely to experience disparate implementation of environmental regulations and socioeconomic investments in their communities</w:t>
      </w:r>
    </w:p>
  </w:footnote>
  <w:footnote w:id="15">
    <w:p w14:paraId="036DFEF5" w14:textId="77777777" w:rsidR="00222F2F" w:rsidRDefault="00222F2F" w:rsidP="006E6819">
      <w:pPr>
        <w:pStyle w:val="FootnoteText"/>
      </w:pPr>
      <w:r>
        <w:rPr>
          <w:rStyle w:val="FootnoteReference"/>
        </w:rPr>
        <w:footnoteRef/>
      </w:r>
      <w:r>
        <w:t xml:space="preserve"> </w:t>
      </w:r>
      <w:r w:rsidRPr="00842D1D">
        <w:rPr>
          <w:i/>
          <w:iCs/>
        </w:rPr>
        <w:t>See</w:t>
      </w:r>
      <w:r>
        <w:t xml:space="preserve"> Rachel Gold and Dan York, “Leveraging Advanced Metering Infrastructure to Save Energy” (2020). Available as of June 30, 2022 at:  </w:t>
      </w:r>
      <w:hyperlink r:id="rId8" w:history="1">
        <w:r w:rsidRPr="00F374CD">
          <w:rPr>
            <w:rStyle w:val="Hyperlink"/>
          </w:rPr>
          <w:t>https://www.aceee.org/research-report/u2001</w:t>
        </w:r>
      </w:hyperlink>
      <w:r>
        <w:t xml:space="preserve"> </w:t>
      </w:r>
    </w:p>
  </w:footnote>
  <w:footnote w:id="16">
    <w:p w14:paraId="07B8C8E6" w14:textId="77777777" w:rsidR="00222F2F" w:rsidRDefault="00222F2F" w:rsidP="00C520CB">
      <w:pPr>
        <w:pStyle w:val="FootnoteText"/>
      </w:pPr>
      <w:r>
        <w:rPr>
          <w:rStyle w:val="FootnoteReference"/>
        </w:rPr>
        <w:footnoteRef/>
      </w:r>
      <w:r>
        <w:t xml:space="preserve"> </w:t>
      </w:r>
      <w:r w:rsidRPr="00592BCC">
        <w:t>The CEC collects statewide, electric and gas meter data pursuant to California Code of Regulations, Title 20, Section 1353</w:t>
      </w:r>
      <w:r>
        <w:t>,</w:t>
      </w:r>
      <w:r w:rsidRPr="00592BCC">
        <w:t xml:space="preserve"> “Disaggregated Demand Data,” which mandates energy consumption and associated billing and geographic data collection to fulfill legislative requirements for new and expanded analytic work.</w:t>
      </w:r>
    </w:p>
  </w:footnote>
  <w:footnote w:id="17">
    <w:p w14:paraId="56FFDCD8" w14:textId="77777777" w:rsidR="00222F2F" w:rsidRDefault="00222F2F" w:rsidP="00C520CB">
      <w:pPr>
        <w:pStyle w:val="FootnoteText"/>
      </w:pPr>
      <w:r>
        <w:rPr>
          <w:rStyle w:val="FootnoteReference"/>
        </w:rPr>
        <w:footnoteRef/>
      </w:r>
      <w:r>
        <w:t xml:space="preserve"> PG&amp;E Testimony, A.19-11-03 </w:t>
      </w:r>
      <w:r>
        <w:rPr>
          <w:i/>
          <w:iCs/>
        </w:rPr>
        <w:t xml:space="preserve">et </w:t>
      </w:r>
      <w:r w:rsidRPr="00DD4BD8">
        <w:rPr>
          <w:i/>
          <w:iCs/>
        </w:rPr>
        <w:t>al</w:t>
      </w:r>
      <w:r>
        <w:rPr>
          <w:i/>
          <w:iCs/>
        </w:rPr>
        <w:t>.</w:t>
      </w:r>
      <w:r>
        <w:t xml:space="preserve">, </w:t>
      </w:r>
      <w:r w:rsidRPr="00DD4BD8">
        <w:t>November</w:t>
      </w:r>
      <w:r>
        <w:t xml:space="preserve"> 4, 2019.</w:t>
      </w:r>
    </w:p>
  </w:footnote>
  <w:footnote w:id="18">
    <w:p w14:paraId="30C83AA3" w14:textId="77777777" w:rsidR="00222F2F" w:rsidRDefault="00222F2F" w:rsidP="00C520CB">
      <w:pPr>
        <w:pStyle w:val="FootnoteText"/>
      </w:pPr>
      <w:r>
        <w:rPr>
          <w:rStyle w:val="FootnoteReference"/>
        </w:rPr>
        <w:footnoteRef/>
      </w:r>
      <w:r>
        <w:t xml:space="preserve"> </w:t>
      </w:r>
      <w:r w:rsidRPr="001F6F26">
        <w:rPr>
          <w:i/>
          <w:iCs/>
        </w:rPr>
        <w:t xml:space="preserve">See </w:t>
      </w:r>
      <w:r>
        <w:t>Application (</w:t>
      </w:r>
      <w:r w:rsidRPr="004C196F">
        <w:t>A.</w:t>
      </w:r>
      <w:r>
        <w:t xml:space="preserve">) </w:t>
      </w:r>
      <w:r w:rsidRPr="004C196F">
        <w:t>18-11-015</w:t>
      </w:r>
      <w:r>
        <w:t xml:space="preserve"> </w:t>
      </w:r>
      <w:r>
        <w:rPr>
          <w:i/>
          <w:iCs/>
        </w:rPr>
        <w:t>e</w:t>
      </w:r>
      <w:r w:rsidRPr="0048394F">
        <w:rPr>
          <w:i/>
          <w:iCs/>
        </w:rPr>
        <w:t>t al.</w:t>
      </w:r>
    </w:p>
  </w:footnote>
  <w:footnote w:id="19">
    <w:p w14:paraId="0C7E55D6" w14:textId="2EAC7FDB" w:rsidR="00222F2F" w:rsidRDefault="00222F2F" w:rsidP="00C520CB">
      <w:pPr>
        <w:pStyle w:val="FootnoteText"/>
      </w:pPr>
      <w:r>
        <w:rPr>
          <w:rStyle w:val="FootnoteReference"/>
        </w:rPr>
        <w:footnoteRef/>
      </w:r>
      <w:r>
        <w:t xml:space="preserve"> </w:t>
      </w:r>
      <w:r w:rsidRPr="001F6F26">
        <w:rPr>
          <w:i/>
          <w:iCs/>
        </w:rPr>
        <w:t>See</w:t>
      </w:r>
      <w:r>
        <w:t xml:space="preserve"> </w:t>
      </w:r>
      <w:hyperlink r:id="rId9" w:history="1">
        <w:r w:rsidRPr="00165804">
          <w:rPr>
            <w:rStyle w:val="Hyperlink"/>
          </w:rPr>
          <w:t>https://www.californiadgstats.ca.gov/</w:t>
        </w:r>
      </w:hyperlink>
      <w:r>
        <w:t xml:space="preserve">. </w:t>
      </w:r>
    </w:p>
  </w:footnote>
  <w:footnote w:id="20">
    <w:p w14:paraId="64A4721E" w14:textId="77777777" w:rsidR="00222F2F" w:rsidRDefault="00222F2F" w:rsidP="008A79F9">
      <w:pPr>
        <w:pStyle w:val="FootnoteText"/>
      </w:pPr>
      <w:r>
        <w:rPr>
          <w:rStyle w:val="FootnoteReference"/>
        </w:rPr>
        <w:footnoteRef/>
      </w:r>
      <w:r>
        <w:t xml:space="preserve"> Societal Cost Test Impact Evaluation; Commission Staff Report on the Impact of a Societal Cost Test on Resource Procurement (January 2022), available as of May 31, 2022 at </w:t>
      </w:r>
      <w:hyperlink r:id="rId10" w:history="1">
        <w:r w:rsidRPr="00D33EAA">
          <w:rPr>
            <w:rStyle w:val="Hyperlink"/>
          </w:rPr>
          <w:t>https://www.cpuc.ca.gov/-/media/cpuc-website/divisions/energy-division/documents/integrated-resource-plan-and-long-term-procurement-plan-irp-ltpp/2019-2020-irp-events-and-materials/societal_cost_test_impact_evaluation.pdf</w:t>
        </w:r>
      </w:hyperlink>
      <w:r>
        <w:t xml:space="preserve">. </w:t>
      </w:r>
    </w:p>
  </w:footnote>
  <w:footnote w:id="21">
    <w:p w14:paraId="13BAE881" w14:textId="0E899F02" w:rsidR="00222F2F" w:rsidRDefault="00222F2F" w:rsidP="008A79F9">
      <w:pPr>
        <w:pStyle w:val="FootnoteText"/>
      </w:pPr>
      <w:r>
        <w:rPr>
          <w:rStyle w:val="FootnoteReference"/>
        </w:rPr>
        <w:footnoteRef/>
      </w:r>
      <w:r>
        <w:t xml:space="preserve"> Energy+Environmental Economics; Advanced Power &amp; Energy Program, University of California Irvine, </w:t>
      </w:r>
      <w:r w:rsidRPr="00B0487D">
        <w:t>Quantifying the Air Quality Impacts of Decarbonization and Distributed Energy Programs in California</w:t>
      </w:r>
      <w:r w:rsidRPr="00842D1D">
        <w:t>:</w:t>
      </w:r>
      <w:r w:rsidR="006F6CC6" w:rsidRPr="00842D1D">
        <w:t xml:space="preserve"> </w:t>
      </w:r>
      <w:r w:rsidRPr="00842D1D">
        <w:t xml:space="preserve"> A</w:t>
      </w:r>
      <w:r w:rsidRPr="00B0487D">
        <w:t xml:space="preserve"> sector-specific study of the potential air quality benefits of vehicle electrification, building electrification, energy efficiency, and other clean energy resources</w:t>
      </w:r>
      <w:r>
        <w:t xml:space="preserve"> </w:t>
      </w:r>
      <w:r w:rsidRPr="00971BB6">
        <w:t>(January 2022), available as of May 31, 2022</w:t>
      </w:r>
      <w:r>
        <w:t xml:space="preserve"> at </w:t>
      </w:r>
      <w:hyperlink r:id="rId11" w:history="1">
        <w:r w:rsidRPr="005450A0">
          <w:rPr>
            <w:rStyle w:val="Hyperlink"/>
          </w:rPr>
          <w:t>https://www.cpuc.ca.gov/-/media/cpuc-website/divisions/energy-division/documents/integrated-resource-plan-and-long-term-procurement-plan-irp-ltpp/2019-2020-irp-events-and-materials/quantifying-air-quality-impacts.pdf</w:t>
        </w:r>
      </w:hyperlink>
      <w:r>
        <w:t xml:space="preserve"> </w:t>
      </w:r>
    </w:p>
  </w:footnote>
  <w:footnote w:id="22">
    <w:p w14:paraId="08697C8F" w14:textId="77777777" w:rsidR="00222F2F" w:rsidRDefault="00222F2F" w:rsidP="007E3E1F">
      <w:pPr>
        <w:pStyle w:val="FootnoteText"/>
      </w:pPr>
      <w:r>
        <w:rPr>
          <w:rStyle w:val="FootnoteReference"/>
        </w:rPr>
        <w:footnoteRef/>
      </w:r>
      <w:r>
        <w:t xml:space="preserve"> </w:t>
      </w:r>
      <w:r w:rsidRPr="0007616A">
        <w:rPr>
          <w:i/>
          <w:iCs/>
        </w:rPr>
        <w:t>See,</w:t>
      </w:r>
      <w:r>
        <w:t xml:space="preserve"> for instance, https://data.ca.gov/.</w:t>
      </w:r>
    </w:p>
  </w:footnote>
  <w:footnote w:id="23">
    <w:p w14:paraId="320611C2" w14:textId="1BCEFB20" w:rsidR="00222F2F" w:rsidRDefault="00222F2F" w:rsidP="007E3E1F">
      <w:pPr>
        <w:pStyle w:val="FootnoteText"/>
      </w:pPr>
      <w:r>
        <w:rPr>
          <w:rStyle w:val="FootnoteReference"/>
        </w:rPr>
        <w:footnoteRef/>
      </w:r>
      <w:r>
        <w:t xml:space="preserve"> These documents were released previously in R.14-10-003.  </w:t>
      </w:r>
      <w:r w:rsidRPr="001F6F26">
        <w:rPr>
          <w:i/>
          <w:iCs/>
        </w:rPr>
        <w:t>See</w:t>
      </w:r>
      <w:r>
        <w:t xml:space="preserve"> footnotes 28 and 29 above. </w:t>
      </w:r>
    </w:p>
  </w:footnote>
  <w:footnote w:id="24">
    <w:p w14:paraId="2DE41A71" w14:textId="77777777" w:rsidR="00222F2F" w:rsidRDefault="00222F2F" w:rsidP="007E3E1F">
      <w:pPr>
        <w:pStyle w:val="FootnoteText"/>
      </w:pPr>
      <w:r>
        <w:rPr>
          <w:rStyle w:val="FootnoteReference"/>
        </w:rPr>
        <w:footnoteRef/>
      </w:r>
      <w:r>
        <w:t xml:space="preserve"> </w:t>
      </w:r>
      <w:r w:rsidRPr="001F6F26">
        <w:rPr>
          <w:i/>
          <w:iCs/>
        </w:rPr>
        <w:t xml:space="preserve">See </w:t>
      </w:r>
      <w:r>
        <w:t xml:space="preserve">D.22-05-002 for greater detail on biannual ACC schedules. </w:t>
      </w:r>
    </w:p>
  </w:footnote>
  <w:footnote w:id="25">
    <w:p w14:paraId="22D733A9" w14:textId="77777777" w:rsidR="00222F2F" w:rsidRDefault="00222F2F" w:rsidP="007E3E1F">
      <w:pPr>
        <w:pStyle w:val="FootnoteText"/>
      </w:pPr>
      <w:r>
        <w:rPr>
          <w:rStyle w:val="FootnoteReference"/>
        </w:rPr>
        <w:footnoteRef/>
      </w:r>
      <w:r>
        <w:t xml:space="preserve"> Rule 7.1(a).</w:t>
      </w:r>
    </w:p>
  </w:footnote>
  <w:footnote w:id="26">
    <w:p w14:paraId="69DD3370" w14:textId="77777777" w:rsidR="00222F2F" w:rsidRDefault="00222F2F" w:rsidP="007E3E1F">
      <w:pPr>
        <w:pStyle w:val="FootnoteText"/>
      </w:pPr>
      <w:r>
        <w:rPr>
          <w:rStyle w:val="FootnoteReference"/>
        </w:rPr>
        <w:footnoteRef/>
      </w:r>
      <w:r>
        <w:t xml:space="preserve"> Rule 1.4(a)(2). </w:t>
      </w:r>
    </w:p>
  </w:footnote>
  <w:footnote w:id="27">
    <w:p w14:paraId="660B467C" w14:textId="77777777" w:rsidR="00222F2F" w:rsidRDefault="00222F2F" w:rsidP="007E3E1F">
      <w:pPr>
        <w:pStyle w:val="FootnoteText"/>
      </w:pPr>
      <w:r>
        <w:rPr>
          <w:rStyle w:val="FootnoteReference"/>
        </w:rPr>
        <w:footnoteRef/>
      </w:r>
      <w:r>
        <w:t xml:space="preserve"> Rule 1.9(f).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F5E6" w14:textId="52A3C26C" w:rsidR="00222F2F" w:rsidRDefault="00222F2F" w:rsidP="004A5BF5">
    <w:pPr>
      <w:pStyle w:val="Header"/>
      <w:ind w:firstLine="0"/>
      <w:rPr>
        <w:b/>
        <w:bCs/>
      </w:rPr>
    </w:pPr>
    <w:r w:rsidRPr="00842D1D">
      <w:t>R.</w:t>
    </w:r>
    <w:r w:rsidR="00760E39" w:rsidRPr="00842D1D">
      <w:t>22-11-013</w:t>
    </w:r>
    <w:r w:rsidRPr="00842D1D">
      <w:t xml:space="preserve"> ALJ/CF1/sgu</w:t>
    </w:r>
    <w:r>
      <w:tab/>
    </w:r>
    <w:r>
      <w:tab/>
    </w:r>
  </w:p>
  <w:p w14:paraId="238022BF" w14:textId="625AE16C" w:rsidR="00222F2F" w:rsidRDefault="00222F2F" w:rsidP="004A5BF5">
    <w:pPr>
      <w:pStyle w:val="Header"/>
      <w:ind w:firstLine="0"/>
    </w:pPr>
  </w:p>
  <w:p w14:paraId="5386E7A4" w14:textId="77777777" w:rsidR="00222F2F" w:rsidRDefault="00222F2F" w:rsidP="004A5BF5">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C78D" w14:textId="77777777" w:rsidR="00222F2F" w:rsidRPr="00C82640" w:rsidRDefault="00222F2F" w:rsidP="00C82640">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ABCB" w14:textId="16B1F8D2" w:rsidR="00222F2F" w:rsidRDefault="00222F2F" w:rsidP="00652F81">
    <w:pPr>
      <w:pStyle w:val="Header"/>
      <w:ind w:firstLine="0"/>
    </w:pPr>
    <w:r w:rsidRPr="00842D1D">
      <w:t>R.</w:t>
    </w:r>
    <w:r w:rsidR="00760E39" w:rsidRPr="00842D1D">
      <w:t xml:space="preserve">22-11-013  </w:t>
    </w:r>
    <w:r w:rsidRPr="00842D1D">
      <w:t>ALJ/CF1/sgu</w:t>
    </w:r>
    <w:r>
      <w:tab/>
    </w:r>
    <w:r>
      <w:tab/>
    </w:r>
  </w:p>
  <w:p w14:paraId="42FD6C87" w14:textId="4F97C32E" w:rsidR="00222F2F" w:rsidRDefault="00222F2F">
    <w:pPr>
      <w:pStyle w:val="Header"/>
    </w:pPr>
  </w:p>
  <w:p w14:paraId="0C27ACB5" w14:textId="77777777" w:rsidR="00222F2F" w:rsidRDefault="00222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DA53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66BDA"/>
    <w:multiLevelType w:val="hybridMultilevel"/>
    <w:tmpl w:val="10B6599E"/>
    <w:lvl w:ilvl="0" w:tplc="FFFFFFFF">
      <w:start w:val="1"/>
      <w:numFmt w:val="decimal"/>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B23675D"/>
    <w:multiLevelType w:val="hybridMultilevel"/>
    <w:tmpl w:val="6F301CF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D843361"/>
    <w:multiLevelType w:val="hybridMultilevel"/>
    <w:tmpl w:val="C0D0A7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9D76D9"/>
    <w:multiLevelType w:val="hybridMultilevel"/>
    <w:tmpl w:val="48266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1568AE"/>
    <w:multiLevelType w:val="hybridMultilevel"/>
    <w:tmpl w:val="ECB0D802"/>
    <w:lvl w:ilvl="0" w:tplc="7FF0789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7" w15:restartNumberingAfterBreak="0">
    <w:nsid w:val="15DB1E13"/>
    <w:multiLevelType w:val="hybridMultilevel"/>
    <w:tmpl w:val="F344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056CB"/>
    <w:multiLevelType w:val="multilevel"/>
    <w:tmpl w:val="18F4A5AC"/>
    <w:numStyleLink w:val="FoFCoLOP"/>
  </w:abstractNum>
  <w:abstractNum w:abstractNumId="9" w15:restartNumberingAfterBreak="0">
    <w:nsid w:val="16E92A46"/>
    <w:multiLevelType w:val="hybridMultilevel"/>
    <w:tmpl w:val="E368A3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402E29"/>
    <w:multiLevelType w:val="hybridMultilevel"/>
    <w:tmpl w:val="10B6599E"/>
    <w:lvl w:ilvl="0" w:tplc="FFFFFFFF">
      <w:start w:val="1"/>
      <w:numFmt w:val="decimal"/>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A4F07B9"/>
    <w:multiLevelType w:val="hybridMultilevel"/>
    <w:tmpl w:val="CF20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975FA"/>
    <w:multiLevelType w:val="hybridMultilevel"/>
    <w:tmpl w:val="A16E8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A61FB8"/>
    <w:multiLevelType w:val="hybridMultilevel"/>
    <w:tmpl w:val="FB6869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1EA00D63"/>
    <w:multiLevelType w:val="hybridMultilevel"/>
    <w:tmpl w:val="8C808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DF001A"/>
    <w:multiLevelType w:val="hybridMultilevel"/>
    <w:tmpl w:val="0F2455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8224FF2"/>
    <w:multiLevelType w:val="hybridMultilevel"/>
    <w:tmpl w:val="979CAB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9EC6A87"/>
    <w:multiLevelType w:val="hybridMultilevel"/>
    <w:tmpl w:val="10B6599E"/>
    <w:lvl w:ilvl="0" w:tplc="FFFFFFFF">
      <w:start w:val="1"/>
      <w:numFmt w:val="decimal"/>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BD952EC"/>
    <w:multiLevelType w:val="hybridMultilevel"/>
    <w:tmpl w:val="B9BA9DCC"/>
    <w:styleLink w:val="FoFCoLOP1"/>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C476D0C"/>
    <w:multiLevelType w:val="hybridMultilevel"/>
    <w:tmpl w:val="85242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043591"/>
    <w:multiLevelType w:val="hybridMultilevel"/>
    <w:tmpl w:val="8DA44B20"/>
    <w:lvl w:ilvl="0" w:tplc="51CEE5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26ADA"/>
    <w:multiLevelType w:val="hybridMultilevel"/>
    <w:tmpl w:val="99444836"/>
    <w:lvl w:ilvl="0" w:tplc="08E472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lowerLetter"/>
      <w:pStyle w:val="ListNum"/>
      <w:lvlText w:val="%7."/>
      <w:lvlJc w:val="left"/>
      <w:pPr>
        <w:tabs>
          <w:tab w:val="num" w:pos="1080"/>
        </w:tabs>
        <w:ind w:left="1080" w:hanging="360"/>
      </w:pPr>
      <w:rPr>
        <w:rFonts w:ascii="Book Antiqua" w:eastAsiaTheme="minorHAnsi" w:hAnsi="Book Antiqua" w:cstheme="minorBidi"/>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3" w15:restartNumberingAfterBreak="0">
    <w:nsid w:val="34D345EB"/>
    <w:multiLevelType w:val="hybridMultilevel"/>
    <w:tmpl w:val="2E2A5370"/>
    <w:lvl w:ilvl="0" w:tplc="25D0F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6E3514"/>
    <w:multiLevelType w:val="hybridMultilevel"/>
    <w:tmpl w:val="6F301CF0"/>
    <w:lvl w:ilvl="0" w:tplc="25D0F3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B5535F"/>
    <w:multiLevelType w:val="multilevel"/>
    <w:tmpl w:val="A3240C78"/>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ind w:left="1080" w:hanging="360"/>
      </w:p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6" w15:restartNumberingAfterBreak="0">
    <w:nsid w:val="3B32397E"/>
    <w:multiLevelType w:val="multilevel"/>
    <w:tmpl w:val="A3240C78"/>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ind w:left="1080" w:hanging="360"/>
      </w:p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7" w15:restartNumberingAfterBreak="0">
    <w:nsid w:val="3D907E36"/>
    <w:multiLevelType w:val="hybridMultilevel"/>
    <w:tmpl w:val="4CB419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3EFA4388"/>
    <w:multiLevelType w:val="hybridMultilevel"/>
    <w:tmpl w:val="D7FC82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F8F1871"/>
    <w:multiLevelType w:val="hybridMultilevel"/>
    <w:tmpl w:val="8C8426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3D4549A"/>
    <w:multiLevelType w:val="hybridMultilevel"/>
    <w:tmpl w:val="57F23F00"/>
    <w:lvl w:ilvl="0" w:tplc="6BB4399C">
      <w:start w:val="1"/>
      <w:numFmt w:val="decimal"/>
      <w:pStyle w:val="question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4254B0"/>
    <w:multiLevelType w:val="hybridMultilevel"/>
    <w:tmpl w:val="34EA50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F35DF2"/>
    <w:multiLevelType w:val="hybridMultilevel"/>
    <w:tmpl w:val="912E3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D042D7"/>
    <w:multiLevelType w:val="multilevel"/>
    <w:tmpl w:val="18F4A5AC"/>
    <w:numStyleLink w:val="FoFCoLOP"/>
  </w:abstractNum>
  <w:abstractNum w:abstractNumId="34" w15:restartNumberingAfterBreak="0">
    <w:nsid w:val="5F1A3B63"/>
    <w:multiLevelType w:val="hybridMultilevel"/>
    <w:tmpl w:val="ECE841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F8C52E2"/>
    <w:multiLevelType w:val="hybridMultilevel"/>
    <w:tmpl w:val="BACA54B6"/>
    <w:lvl w:ilvl="0" w:tplc="DFF44DD8">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A25780"/>
    <w:multiLevelType w:val="multilevel"/>
    <w:tmpl w:val="3C526EDE"/>
    <w:numStyleLink w:val="Headings"/>
  </w:abstractNum>
  <w:abstractNum w:abstractNumId="37" w15:restartNumberingAfterBreak="0">
    <w:nsid w:val="69B76DF1"/>
    <w:multiLevelType w:val="hybridMultilevel"/>
    <w:tmpl w:val="FCF87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4F0CD2"/>
    <w:multiLevelType w:val="multilevel"/>
    <w:tmpl w:val="1A5EC8C8"/>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ind w:left="1080" w:hanging="360"/>
      </w:p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39" w15:restartNumberingAfterBreak="0">
    <w:nsid w:val="6C0D0F3E"/>
    <w:multiLevelType w:val="hybridMultilevel"/>
    <w:tmpl w:val="C18832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321E2A"/>
    <w:multiLevelType w:val="hybridMultilevel"/>
    <w:tmpl w:val="43E2A394"/>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4F52C83"/>
    <w:multiLevelType w:val="hybridMultilevel"/>
    <w:tmpl w:val="B62889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89A0AFE"/>
    <w:multiLevelType w:val="multilevel"/>
    <w:tmpl w:val="18F4A5AC"/>
    <w:numStyleLink w:val="FoFCoLOP"/>
  </w:abstractNum>
  <w:abstractNum w:abstractNumId="43" w15:restartNumberingAfterBreak="0">
    <w:nsid w:val="7A653704"/>
    <w:multiLevelType w:val="hybridMultilevel"/>
    <w:tmpl w:val="10B6599E"/>
    <w:lvl w:ilvl="0" w:tplc="65F85E86">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0846E3"/>
    <w:multiLevelType w:val="hybridMultilevel"/>
    <w:tmpl w:val="4F840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056AE6"/>
    <w:multiLevelType w:val="hybridMultilevel"/>
    <w:tmpl w:val="75720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D947A11"/>
    <w:multiLevelType w:val="hybridMultilevel"/>
    <w:tmpl w:val="4B36BE8C"/>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232278954">
    <w:abstractNumId w:val="6"/>
  </w:num>
  <w:num w:numId="2" w16cid:durableId="1550192310">
    <w:abstractNumId w:val="33"/>
  </w:num>
  <w:num w:numId="3" w16cid:durableId="814295925">
    <w:abstractNumId w:val="8"/>
  </w:num>
  <w:num w:numId="4" w16cid:durableId="1818450183">
    <w:abstractNumId w:val="42"/>
  </w:num>
  <w:num w:numId="5" w16cid:durableId="1792820613">
    <w:abstractNumId w:val="22"/>
  </w:num>
  <w:num w:numId="6" w16cid:durableId="839005409">
    <w:abstractNumId w:val="0"/>
  </w:num>
  <w:num w:numId="7" w16cid:durableId="1254051849">
    <w:abstractNumId w:val="36"/>
  </w:num>
  <w:num w:numId="8" w16cid:durableId="1189098248">
    <w:abstractNumId w:val="21"/>
  </w:num>
  <w:num w:numId="9" w16cid:durableId="256402678">
    <w:abstractNumId w:val="30"/>
  </w:num>
  <w:num w:numId="10" w16cid:durableId="644240131">
    <w:abstractNumId w:val="7"/>
  </w:num>
  <w:num w:numId="11" w16cid:durableId="2096129533">
    <w:abstractNumId w:val="11"/>
  </w:num>
  <w:num w:numId="12" w16cid:durableId="872764315">
    <w:abstractNumId w:val="20"/>
  </w:num>
  <w:num w:numId="13" w16cid:durableId="1060178157">
    <w:abstractNumId w:val="19"/>
  </w:num>
  <w:num w:numId="14" w16cid:durableId="822741589">
    <w:abstractNumId w:val="43"/>
  </w:num>
  <w:num w:numId="15" w16cid:durableId="879514750">
    <w:abstractNumId w:val="12"/>
  </w:num>
  <w:num w:numId="16" w16cid:durableId="1204714218">
    <w:abstractNumId w:val="9"/>
  </w:num>
  <w:num w:numId="17" w16cid:durableId="850801393">
    <w:abstractNumId w:val="18"/>
  </w:num>
  <w:num w:numId="18" w16cid:durableId="1596474620">
    <w:abstractNumId w:val="28"/>
  </w:num>
  <w:num w:numId="19" w16cid:durableId="1574898369">
    <w:abstractNumId w:val="41"/>
  </w:num>
  <w:num w:numId="20" w16cid:durableId="819034058">
    <w:abstractNumId w:val="45"/>
  </w:num>
  <w:num w:numId="21" w16cid:durableId="2036879019">
    <w:abstractNumId w:val="34"/>
  </w:num>
  <w:num w:numId="22" w16cid:durableId="1891961597">
    <w:abstractNumId w:val="15"/>
  </w:num>
  <w:num w:numId="23" w16cid:durableId="1382898071">
    <w:abstractNumId w:val="3"/>
  </w:num>
  <w:num w:numId="24" w16cid:durableId="980615401">
    <w:abstractNumId w:val="4"/>
  </w:num>
  <w:num w:numId="25" w16cid:durableId="452098784">
    <w:abstractNumId w:val="32"/>
  </w:num>
  <w:num w:numId="26" w16cid:durableId="1158960146">
    <w:abstractNumId w:val="37"/>
  </w:num>
  <w:num w:numId="27" w16cid:durableId="875846927">
    <w:abstractNumId w:val="14"/>
  </w:num>
  <w:num w:numId="28" w16cid:durableId="271717237">
    <w:abstractNumId w:val="16"/>
  </w:num>
  <w:num w:numId="29" w16cid:durableId="237520521">
    <w:abstractNumId w:val="10"/>
  </w:num>
  <w:num w:numId="30" w16cid:durableId="1174684805">
    <w:abstractNumId w:val="27"/>
  </w:num>
  <w:num w:numId="31" w16cid:durableId="8310270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8346967">
    <w:abstractNumId w:val="13"/>
  </w:num>
  <w:num w:numId="33" w16cid:durableId="917323394">
    <w:abstractNumId w:val="17"/>
  </w:num>
  <w:num w:numId="34" w16cid:durableId="1247959043">
    <w:abstractNumId w:val="1"/>
  </w:num>
  <w:num w:numId="35" w16cid:durableId="743919057">
    <w:abstractNumId w:val="36"/>
  </w:num>
  <w:num w:numId="36" w16cid:durableId="227111598">
    <w:abstractNumId w:val="36"/>
  </w:num>
  <w:num w:numId="37" w16cid:durableId="1826126724">
    <w:abstractNumId w:val="36"/>
  </w:num>
  <w:num w:numId="38" w16cid:durableId="609168139">
    <w:abstractNumId w:val="36"/>
  </w:num>
  <w:num w:numId="39" w16cid:durableId="1848136032">
    <w:abstractNumId w:val="36"/>
  </w:num>
  <w:num w:numId="40" w16cid:durableId="1224296330">
    <w:abstractNumId w:val="36"/>
  </w:num>
  <w:num w:numId="41" w16cid:durableId="1813525086">
    <w:abstractNumId w:val="36"/>
  </w:num>
  <w:num w:numId="42" w16cid:durableId="684792441">
    <w:abstractNumId w:val="36"/>
  </w:num>
  <w:num w:numId="43" w16cid:durableId="597522285">
    <w:abstractNumId w:val="36"/>
  </w:num>
  <w:num w:numId="44" w16cid:durableId="2102489847">
    <w:abstractNumId w:val="36"/>
  </w:num>
  <w:num w:numId="45" w16cid:durableId="1585140630">
    <w:abstractNumId w:val="36"/>
  </w:num>
  <w:num w:numId="46" w16cid:durableId="1617323994">
    <w:abstractNumId w:val="39"/>
  </w:num>
  <w:num w:numId="47" w16cid:durableId="112527590">
    <w:abstractNumId w:val="26"/>
  </w:num>
  <w:num w:numId="48" w16cid:durableId="66073020">
    <w:abstractNumId w:val="38"/>
  </w:num>
  <w:num w:numId="49" w16cid:durableId="2047018412">
    <w:abstractNumId w:val="31"/>
  </w:num>
  <w:num w:numId="50" w16cid:durableId="444926905">
    <w:abstractNumId w:val="44"/>
  </w:num>
  <w:num w:numId="51" w16cid:durableId="2111506453">
    <w:abstractNumId w:val="46"/>
  </w:num>
  <w:num w:numId="52" w16cid:durableId="2111139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97359767">
    <w:abstractNumId w:val="29"/>
  </w:num>
  <w:num w:numId="54" w16cid:durableId="1594974246">
    <w:abstractNumId w:val="25"/>
  </w:num>
  <w:num w:numId="55" w16cid:durableId="109788843">
    <w:abstractNumId w:val="24"/>
  </w:num>
  <w:num w:numId="56" w16cid:durableId="2088139749">
    <w:abstractNumId w:val="40"/>
  </w:num>
  <w:num w:numId="57" w16cid:durableId="695152427">
    <w:abstractNumId w:val="5"/>
  </w:num>
  <w:num w:numId="58" w16cid:durableId="24185792">
    <w:abstractNumId w:val="35"/>
  </w:num>
  <w:num w:numId="59" w16cid:durableId="951283389">
    <w:abstractNumId w:val="2"/>
  </w:num>
  <w:num w:numId="60" w16cid:durableId="281767683">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64" w:dllVersion="6" w:nlCheck="1" w:checkStyle="0" w:appName="MSWord"/>
  <w:activeWritingStyle w:lang="en-US" w:vendorID="64" w:dllVersion="0" w:nlCheck="1" w:checkStyle="0" w:appName="MSWord"/>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122"/>
    <w:rsid w:val="00000F6A"/>
    <w:rsid w:val="0000172E"/>
    <w:rsid w:val="00001AD1"/>
    <w:rsid w:val="00003F39"/>
    <w:rsid w:val="00004F84"/>
    <w:rsid w:val="00005C27"/>
    <w:rsid w:val="00005DD6"/>
    <w:rsid w:val="00006484"/>
    <w:rsid w:val="0000655F"/>
    <w:rsid w:val="00006C91"/>
    <w:rsid w:val="0000761A"/>
    <w:rsid w:val="00007D69"/>
    <w:rsid w:val="00010530"/>
    <w:rsid w:val="00013618"/>
    <w:rsid w:val="000136F5"/>
    <w:rsid w:val="000158F7"/>
    <w:rsid w:val="00016E4F"/>
    <w:rsid w:val="00020D01"/>
    <w:rsid w:val="000212DB"/>
    <w:rsid w:val="00030203"/>
    <w:rsid w:val="000316DD"/>
    <w:rsid w:val="000325A8"/>
    <w:rsid w:val="00032B52"/>
    <w:rsid w:val="00033327"/>
    <w:rsid w:val="00034053"/>
    <w:rsid w:val="00034F47"/>
    <w:rsid w:val="00035FC5"/>
    <w:rsid w:val="00037299"/>
    <w:rsid w:val="0004172B"/>
    <w:rsid w:val="00042A57"/>
    <w:rsid w:val="00043542"/>
    <w:rsid w:val="0004378D"/>
    <w:rsid w:val="0004616E"/>
    <w:rsid w:val="00047449"/>
    <w:rsid w:val="00047F9F"/>
    <w:rsid w:val="000500CE"/>
    <w:rsid w:val="00050222"/>
    <w:rsid w:val="00050402"/>
    <w:rsid w:val="00050CBE"/>
    <w:rsid w:val="00050ECC"/>
    <w:rsid w:val="000519A1"/>
    <w:rsid w:val="000527F7"/>
    <w:rsid w:val="00052BA3"/>
    <w:rsid w:val="0005397F"/>
    <w:rsid w:val="00053DFF"/>
    <w:rsid w:val="00054267"/>
    <w:rsid w:val="000543C5"/>
    <w:rsid w:val="00056001"/>
    <w:rsid w:val="00057A64"/>
    <w:rsid w:val="000610FB"/>
    <w:rsid w:val="00061502"/>
    <w:rsid w:val="00061BF0"/>
    <w:rsid w:val="00062A12"/>
    <w:rsid w:val="00062E7D"/>
    <w:rsid w:val="000639D0"/>
    <w:rsid w:val="0006581E"/>
    <w:rsid w:val="000662C9"/>
    <w:rsid w:val="000663C1"/>
    <w:rsid w:val="0006683F"/>
    <w:rsid w:val="0006736A"/>
    <w:rsid w:val="0007115A"/>
    <w:rsid w:val="0007136F"/>
    <w:rsid w:val="00072C70"/>
    <w:rsid w:val="000737B4"/>
    <w:rsid w:val="0007608C"/>
    <w:rsid w:val="00076281"/>
    <w:rsid w:val="00081E94"/>
    <w:rsid w:val="0008235A"/>
    <w:rsid w:val="000903C7"/>
    <w:rsid w:val="00090A86"/>
    <w:rsid w:val="00090C33"/>
    <w:rsid w:val="000922F2"/>
    <w:rsid w:val="00093266"/>
    <w:rsid w:val="00094D42"/>
    <w:rsid w:val="00094F4F"/>
    <w:rsid w:val="0009509A"/>
    <w:rsid w:val="000960F3"/>
    <w:rsid w:val="00096F4D"/>
    <w:rsid w:val="00096FF7"/>
    <w:rsid w:val="00097053"/>
    <w:rsid w:val="000973C8"/>
    <w:rsid w:val="000A0E96"/>
    <w:rsid w:val="000A2AA9"/>
    <w:rsid w:val="000A4BBA"/>
    <w:rsid w:val="000A54BA"/>
    <w:rsid w:val="000A56F2"/>
    <w:rsid w:val="000A628F"/>
    <w:rsid w:val="000A6748"/>
    <w:rsid w:val="000A6E05"/>
    <w:rsid w:val="000B071F"/>
    <w:rsid w:val="000B0762"/>
    <w:rsid w:val="000B0790"/>
    <w:rsid w:val="000B12FA"/>
    <w:rsid w:val="000B1FD6"/>
    <w:rsid w:val="000B3250"/>
    <w:rsid w:val="000B3EBB"/>
    <w:rsid w:val="000B3F43"/>
    <w:rsid w:val="000B6B19"/>
    <w:rsid w:val="000C05BA"/>
    <w:rsid w:val="000C08BF"/>
    <w:rsid w:val="000C0CF5"/>
    <w:rsid w:val="000C3B9A"/>
    <w:rsid w:val="000C3CB2"/>
    <w:rsid w:val="000C470E"/>
    <w:rsid w:val="000C5034"/>
    <w:rsid w:val="000C6B7B"/>
    <w:rsid w:val="000C6D86"/>
    <w:rsid w:val="000D0B30"/>
    <w:rsid w:val="000D0B84"/>
    <w:rsid w:val="000D0CD5"/>
    <w:rsid w:val="000D0F6E"/>
    <w:rsid w:val="000D2533"/>
    <w:rsid w:val="000D25A8"/>
    <w:rsid w:val="000D45ED"/>
    <w:rsid w:val="000D5809"/>
    <w:rsid w:val="000D5E04"/>
    <w:rsid w:val="000E23F2"/>
    <w:rsid w:val="000E270A"/>
    <w:rsid w:val="000E326F"/>
    <w:rsid w:val="000E4C53"/>
    <w:rsid w:val="000E5475"/>
    <w:rsid w:val="000E6445"/>
    <w:rsid w:val="000F0203"/>
    <w:rsid w:val="000F038F"/>
    <w:rsid w:val="000F08FC"/>
    <w:rsid w:val="000F2880"/>
    <w:rsid w:val="000F4448"/>
    <w:rsid w:val="000F49D2"/>
    <w:rsid w:val="000F4C85"/>
    <w:rsid w:val="000F57BC"/>
    <w:rsid w:val="000F7339"/>
    <w:rsid w:val="000F74A7"/>
    <w:rsid w:val="00100CE2"/>
    <w:rsid w:val="00102D79"/>
    <w:rsid w:val="00102DC6"/>
    <w:rsid w:val="00102F8F"/>
    <w:rsid w:val="00104CCE"/>
    <w:rsid w:val="00105324"/>
    <w:rsid w:val="001061E3"/>
    <w:rsid w:val="0010790B"/>
    <w:rsid w:val="0011031D"/>
    <w:rsid w:val="001118EE"/>
    <w:rsid w:val="001124C5"/>
    <w:rsid w:val="001125AF"/>
    <w:rsid w:val="00112709"/>
    <w:rsid w:val="001129E2"/>
    <w:rsid w:val="00113371"/>
    <w:rsid w:val="00113FA6"/>
    <w:rsid w:val="00116AFB"/>
    <w:rsid w:val="0011728C"/>
    <w:rsid w:val="00121081"/>
    <w:rsid w:val="00121089"/>
    <w:rsid w:val="00121393"/>
    <w:rsid w:val="00122D2A"/>
    <w:rsid w:val="00122E3A"/>
    <w:rsid w:val="00123806"/>
    <w:rsid w:val="00123C9F"/>
    <w:rsid w:val="0012409C"/>
    <w:rsid w:val="00125942"/>
    <w:rsid w:val="001265C6"/>
    <w:rsid w:val="00126C74"/>
    <w:rsid w:val="0012700E"/>
    <w:rsid w:val="00131BDA"/>
    <w:rsid w:val="00131D7B"/>
    <w:rsid w:val="00132743"/>
    <w:rsid w:val="00133133"/>
    <w:rsid w:val="00133181"/>
    <w:rsid w:val="001331B4"/>
    <w:rsid w:val="00134039"/>
    <w:rsid w:val="001340A7"/>
    <w:rsid w:val="001349B2"/>
    <w:rsid w:val="001371C8"/>
    <w:rsid w:val="00137783"/>
    <w:rsid w:val="00143ECA"/>
    <w:rsid w:val="00147717"/>
    <w:rsid w:val="001515D8"/>
    <w:rsid w:val="00151F97"/>
    <w:rsid w:val="00153083"/>
    <w:rsid w:val="001535F0"/>
    <w:rsid w:val="00153C21"/>
    <w:rsid w:val="001566F7"/>
    <w:rsid w:val="001572F3"/>
    <w:rsid w:val="00157EED"/>
    <w:rsid w:val="0016035B"/>
    <w:rsid w:val="00160C83"/>
    <w:rsid w:val="0016115F"/>
    <w:rsid w:val="001643AA"/>
    <w:rsid w:val="00165B26"/>
    <w:rsid w:val="00165B68"/>
    <w:rsid w:val="00166D87"/>
    <w:rsid w:val="001673E4"/>
    <w:rsid w:val="001717A6"/>
    <w:rsid w:val="00171B29"/>
    <w:rsid w:val="001769B9"/>
    <w:rsid w:val="00176B25"/>
    <w:rsid w:val="00176E17"/>
    <w:rsid w:val="00177EF5"/>
    <w:rsid w:val="00181F5F"/>
    <w:rsid w:val="00182517"/>
    <w:rsid w:val="001832D3"/>
    <w:rsid w:val="001864B7"/>
    <w:rsid w:val="00190BC5"/>
    <w:rsid w:val="00191312"/>
    <w:rsid w:val="00191837"/>
    <w:rsid w:val="00197473"/>
    <w:rsid w:val="001976D5"/>
    <w:rsid w:val="00197F8C"/>
    <w:rsid w:val="001A0A0A"/>
    <w:rsid w:val="001A1F43"/>
    <w:rsid w:val="001A3744"/>
    <w:rsid w:val="001A42CA"/>
    <w:rsid w:val="001A45C4"/>
    <w:rsid w:val="001A4943"/>
    <w:rsid w:val="001A772D"/>
    <w:rsid w:val="001B02A1"/>
    <w:rsid w:val="001B06D3"/>
    <w:rsid w:val="001B0CAD"/>
    <w:rsid w:val="001B255D"/>
    <w:rsid w:val="001B25CE"/>
    <w:rsid w:val="001B2E60"/>
    <w:rsid w:val="001B38AC"/>
    <w:rsid w:val="001B431F"/>
    <w:rsid w:val="001B5A70"/>
    <w:rsid w:val="001B5B7F"/>
    <w:rsid w:val="001B5C25"/>
    <w:rsid w:val="001B6271"/>
    <w:rsid w:val="001B7834"/>
    <w:rsid w:val="001C1420"/>
    <w:rsid w:val="001C239B"/>
    <w:rsid w:val="001C2A1A"/>
    <w:rsid w:val="001C363F"/>
    <w:rsid w:val="001C3713"/>
    <w:rsid w:val="001C7C2D"/>
    <w:rsid w:val="001D0F26"/>
    <w:rsid w:val="001D0F89"/>
    <w:rsid w:val="001D1E4A"/>
    <w:rsid w:val="001D226D"/>
    <w:rsid w:val="001D26D6"/>
    <w:rsid w:val="001D4D47"/>
    <w:rsid w:val="001D5121"/>
    <w:rsid w:val="001D5FCB"/>
    <w:rsid w:val="001D7261"/>
    <w:rsid w:val="001D7A85"/>
    <w:rsid w:val="001D7E97"/>
    <w:rsid w:val="001E1F9F"/>
    <w:rsid w:val="001E2A62"/>
    <w:rsid w:val="001E2E10"/>
    <w:rsid w:val="001E3620"/>
    <w:rsid w:val="001E3D95"/>
    <w:rsid w:val="001E427A"/>
    <w:rsid w:val="001E4C8B"/>
    <w:rsid w:val="001E5E85"/>
    <w:rsid w:val="001E7869"/>
    <w:rsid w:val="001F04B1"/>
    <w:rsid w:val="001F165D"/>
    <w:rsid w:val="001F2164"/>
    <w:rsid w:val="001F2819"/>
    <w:rsid w:val="001F2BE2"/>
    <w:rsid w:val="001F2E2D"/>
    <w:rsid w:val="001F5BFB"/>
    <w:rsid w:val="001F6231"/>
    <w:rsid w:val="001F6C57"/>
    <w:rsid w:val="001F6F26"/>
    <w:rsid w:val="002001E3"/>
    <w:rsid w:val="0020125A"/>
    <w:rsid w:val="00204111"/>
    <w:rsid w:val="002043EC"/>
    <w:rsid w:val="00210CA5"/>
    <w:rsid w:val="0021242E"/>
    <w:rsid w:val="00212F4F"/>
    <w:rsid w:val="002135AE"/>
    <w:rsid w:val="0021412C"/>
    <w:rsid w:val="00216F58"/>
    <w:rsid w:val="00220E52"/>
    <w:rsid w:val="00221D21"/>
    <w:rsid w:val="00222691"/>
    <w:rsid w:val="00222F2F"/>
    <w:rsid w:val="00223765"/>
    <w:rsid w:val="002254E7"/>
    <w:rsid w:val="00230D13"/>
    <w:rsid w:val="00231F28"/>
    <w:rsid w:val="0023351F"/>
    <w:rsid w:val="002337F8"/>
    <w:rsid w:val="00236A81"/>
    <w:rsid w:val="002372A0"/>
    <w:rsid w:val="00240270"/>
    <w:rsid w:val="00241169"/>
    <w:rsid w:val="00241C64"/>
    <w:rsid w:val="00242361"/>
    <w:rsid w:val="00243CEB"/>
    <w:rsid w:val="00243DC0"/>
    <w:rsid w:val="00247477"/>
    <w:rsid w:val="0024753D"/>
    <w:rsid w:val="00247BD3"/>
    <w:rsid w:val="00250C4A"/>
    <w:rsid w:val="00250E45"/>
    <w:rsid w:val="00251DFD"/>
    <w:rsid w:val="002522A3"/>
    <w:rsid w:val="002542D0"/>
    <w:rsid w:val="00254658"/>
    <w:rsid w:val="00256BF9"/>
    <w:rsid w:val="00256D30"/>
    <w:rsid w:val="002575F8"/>
    <w:rsid w:val="00257A06"/>
    <w:rsid w:val="00262C3F"/>
    <w:rsid w:val="00262DE8"/>
    <w:rsid w:val="00263B20"/>
    <w:rsid w:val="00265035"/>
    <w:rsid w:val="0026723A"/>
    <w:rsid w:val="00270440"/>
    <w:rsid w:val="00273829"/>
    <w:rsid w:val="00276C92"/>
    <w:rsid w:val="0027792F"/>
    <w:rsid w:val="00277B18"/>
    <w:rsid w:val="0028119E"/>
    <w:rsid w:val="00282673"/>
    <w:rsid w:val="0028267E"/>
    <w:rsid w:val="002831FE"/>
    <w:rsid w:val="002834E2"/>
    <w:rsid w:val="00285334"/>
    <w:rsid w:val="00285FD9"/>
    <w:rsid w:val="002860A6"/>
    <w:rsid w:val="002869BE"/>
    <w:rsid w:val="00287677"/>
    <w:rsid w:val="00287A69"/>
    <w:rsid w:val="00287BC5"/>
    <w:rsid w:val="00291EAC"/>
    <w:rsid w:val="00291EFA"/>
    <w:rsid w:val="00293DEE"/>
    <w:rsid w:val="00294F63"/>
    <w:rsid w:val="002956F3"/>
    <w:rsid w:val="00297871"/>
    <w:rsid w:val="002978F4"/>
    <w:rsid w:val="002A0B5D"/>
    <w:rsid w:val="002A1B11"/>
    <w:rsid w:val="002A2456"/>
    <w:rsid w:val="002A44C2"/>
    <w:rsid w:val="002A5D60"/>
    <w:rsid w:val="002A72C4"/>
    <w:rsid w:val="002A7A09"/>
    <w:rsid w:val="002A7F10"/>
    <w:rsid w:val="002B05AA"/>
    <w:rsid w:val="002B162A"/>
    <w:rsid w:val="002B4EF4"/>
    <w:rsid w:val="002B7F6B"/>
    <w:rsid w:val="002C168E"/>
    <w:rsid w:val="002C35E9"/>
    <w:rsid w:val="002C3ED2"/>
    <w:rsid w:val="002C42C3"/>
    <w:rsid w:val="002C560C"/>
    <w:rsid w:val="002C6E47"/>
    <w:rsid w:val="002C7FE9"/>
    <w:rsid w:val="002D092B"/>
    <w:rsid w:val="002D0DC5"/>
    <w:rsid w:val="002D1DE8"/>
    <w:rsid w:val="002D276B"/>
    <w:rsid w:val="002D2E18"/>
    <w:rsid w:val="002D2FF5"/>
    <w:rsid w:val="002D3E05"/>
    <w:rsid w:val="002D4C38"/>
    <w:rsid w:val="002D4CCC"/>
    <w:rsid w:val="002D4EFD"/>
    <w:rsid w:val="002D56D7"/>
    <w:rsid w:val="002D756E"/>
    <w:rsid w:val="002D7938"/>
    <w:rsid w:val="002E04D7"/>
    <w:rsid w:val="002E11E3"/>
    <w:rsid w:val="002E2496"/>
    <w:rsid w:val="002E308E"/>
    <w:rsid w:val="002E4386"/>
    <w:rsid w:val="002E6828"/>
    <w:rsid w:val="002F0926"/>
    <w:rsid w:val="002F134D"/>
    <w:rsid w:val="002F3706"/>
    <w:rsid w:val="002F3759"/>
    <w:rsid w:val="002F3791"/>
    <w:rsid w:val="002F3B9A"/>
    <w:rsid w:val="002F64BB"/>
    <w:rsid w:val="002F719D"/>
    <w:rsid w:val="002F7604"/>
    <w:rsid w:val="0030134B"/>
    <w:rsid w:val="00301F3F"/>
    <w:rsid w:val="003023FE"/>
    <w:rsid w:val="00303286"/>
    <w:rsid w:val="00305182"/>
    <w:rsid w:val="0030720C"/>
    <w:rsid w:val="00307DB9"/>
    <w:rsid w:val="0031091A"/>
    <w:rsid w:val="00310F14"/>
    <w:rsid w:val="00312259"/>
    <w:rsid w:val="003142A6"/>
    <w:rsid w:val="003157E9"/>
    <w:rsid w:val="00315A97"/>
    <w:rsid w:val="00316071"/>
    <w:rsid w:val="0031613A"/>
    <w:rsid w:val="003164B0"/>
    <w:rsid w:val="0032014F"/>
    <w:rsid w:val="00320D45"/>
    <w:rsid w:val="0032166D"/>
    <w:rsid w:val="00323502"/>
    <w:rsid w:val="00323E18"/>
    <w:rsid w:val="00325A72"/>
    <w:rsid w:val="003265C8"/>
    <w:rsid w:val="00330479"/>
    <w:rsid w:val="003308AB"/>
    <w:rsid w:val="00331332"/>
    <w:rsid w:val="00331BCF"/>
    <w:rsid w:val="003335E3"/>
    <w:rsid w:val="0033755D"/>
    <w:rsid w:val="00340125"/>
    <w:rsid w:val="00342366"/>
    <w:rsid w:val="00343E5C"/>
    <w:rsid w:val="0034436C"/>
    <w:rsid w:val="00344FB8"/>
    <w:rsid w:val="003466B9"/>
    <w:rsid w:val="00346DC8"/>
    <w:rsid w:val="00350798"/>
    <w:rsid w:val="00350A00"/>
    <w:rsid w:val="00350C22"/>
    <w:rsid w:val="00352A66"/>
    <w:rsid w:val="00352D5D"/>
    <w:rsid w:val="003561A5"/>
    <w:rsid w:val="00356AEE"/>
    <w:rsid w:val="003600CE"/>
    <w:rsid w:val="0036017B"/>
    <w:rsid w:val="00360348"/>
    <w:rsid w:val="00361285"/>
    <w:rsid w:val="0036186C"/>
    <w:rsid w:val="00362755"/>
    <w:rsid w:val="00362BCF"/>
    <w:rsid w:val="00363811"/>
    <w:rsid w:val="00363FC5"/>
    <w:rsid w:val="003652E6"/>
    <w:rsid w:val="00366DCD"/>
    <w:rsid w:val="00371565"/>
    <w:rsid w:val="00372F10"/>
    <w:rsid w:val="00373013"/>
    <w:rsid w:val="00373151"/>
    <w:rsid w:val="00373323"/>
    <w:rsid w:val="0037341B"/>
    <w:rsid w:val="00373B93"/>
    <w:rsid w:val="00373C47"/>
    <w:rsid w:val="00374DA8"/>
    <w:rsid w:val="00374EEC"/>
    <w:rsid w:val="003750D2"/>
    <w:rsid w:val="00375C5B"/>
    <w:rsid w:val="0037635F"/>
    <w:rsid w:val="0038040A"/>
    <w:rsid w:val="00380CD1"/>
    <w:rsid w:val="00380E04"/>
    <w:rsid w:val="003815DA"/>
    <w:rsid w:val="00381915"/>
    <w:rsid w:val="00381BFF"/>
    <w:rsid w:val="00386913"/>
    <w:rsid w:val="003879FB"/>
    <w:rsid w:val="00390D06"/>
    <w:rsid w:val="00390F99"/>
    <w:rsid w:val="00393012"/>
    <w:rsid w:val="00393349"/>
    <w:rsid w:val="003936FC"/>
    <w:rsid w:val="0039470E"/>
    <w:rsid w:val="00396CD4"/>
    <w:rsid w:val="00397C2D"/>
    <w:rsid w:val="003A17ED"/>
    <w:rsid w:val="003A1951"/>
    <w:rsid w:val="003A38F0"/>
    <w:rsid w:val="003A55C2"/>
    <w:rsid w:val="003A5C4B"/>
    <w:rsid w:val="003A6A45"/>
    <w:rsid w:val="003A6BB2"/>
    <w:rsid w:val="003A7F20"/>
    <w:rsid w:val="003B1E8C"/>
    <w:rsid w:val="003B2E76"/>
    <w:rsid w:val="003B4E34"/>
    <w:rsid w:val="003B51CB"/>
    <w:rsid w:val="003B6C7F"/>
    <w:rsid w:val="003B7E1B"/>
    <w:rsid w:val="003C18B7"/>
    <w:rsid w:val="003C1F67"/>
    <w:rsid w:val="003C2251"/>
    <w:rsid w:val="003C2790"/>
    <w:rsid w:val="003C2E52"/>
    <w:rsid w:val="003C33E5"/>
    <w:rsid w:val="003C4E5C"/>
    <w:rsid w:val="003C605A"/>
    <w:rsid w:val="003C72E3"/>
    <w:rsid w:val="003C73F0"/>
    <w:rsid w:val="003D070A"/>
    <w:rsid w:val="003D0928"/>
    <w:rsid w:val="003D1547"/>
    <w:rsid w:val="003D1617"/>
    <w:rsid w:val="003D1996"/>
    <w:rsid w:val="003D499D"/>
    <w:rsid w:val="003D65FC"/>
    <w:rsid w:val="003E044D"/>
    <w:rsid w:val="003E0DB9"/>
    <w:rsid w:val="003E2D2A"/>
    <w:rsid w:val="003E379A"/>
    <w:rsid w:val="003E39AC"/>
    <w:rsid w:val="003E50C0"/>
    <w:rsid w:val="003E510C"/>
    <w:rsid w:val="003E5772"/>
    <w:rsid w:val="003E594F"/>
    <w:rsid w:val="003E5BAD"/>
    <w:rsid w:val="003E6E9D"/>
    <w:rsid w:val="003E775E"/>
    <w:rsid w:val="003E7AD8"/>
    <w:rsid w:val="003E7E06"/>
    <w:rsid w:val="003F069A"/>
    <w:rsid w:val="003F09AB"/>
    <w:rsid w:val="003F1A8C"/>
    <w:rsid w:val="003F1FF7"/>
    <w:rsid w:val="003F20CF"/>
    <w:rsid w:val="003F2341"/>
    <w:rsid w:val="003F2966"/>
    <w:rsid w:val="003F4122"/>
    <w:rsid w:val="003F4329"/>
    <w:rsid w:val="003F64C6"/>
    <w:rsid w:val="003F781F"/>
    <w:rsid w:val="00400D2A"/>
    <w:rsid w:val="00400DC7"/>
    <w:rsid w:val="0040388B"/>
    <w:rsid w:val="00403A5B"/>
    <w:rsid w:val="00404968"/>
    <w:rsid w:val="00405ADF"/>
    <w:rsid w:val="004060F7"/>
    <w:rsid w:val="0040692A"/>
    <w:rsid w:val="00407EF3"/>
    <w:rsid w:val="0041096A"/>
    <w:rsid w:val="00410CE3"/>
    <w:rsid w:val="00411360"/>
    <w:rsid w:val="00412534"/>
    <w:rsid w:val="00412C83"/>
    <w:rsid w:val="004142CF"/>
    <w:rsid w:val="0041503D"/>
    <w:rsid w:val="00415BE8"/>
    <w:rsid w:val="0041607F"/>
    <w:rsid w:val="00416309"/>
    <w:rsid w:val="004210B9"/>
    <w:rsid w:val="004211F3"/>
    <w:rsid w:val="0042254D"/>
    <w:rsid w:val="00422C6B"/>
    <w:rsid w:val="0042301E"/>
    <w:rsid w:val="0042523A"/>
    <w:rsid w:val="00426014"/>
    <w:rsid w:val="00426818"/>
    <w:rsid w:val="00427765"/>
    <w:rsid w:val="0043092D"/>
    <w:rsid w:val="0043096A"/>
    <w:rsid w:val="00430D4D"/>
    <w:rsid w:val="004310C8"/>
    <w:rsid w:val="00432F00"/>
    <w:rsid w:val="00434115"/>
    <w:rsid w:val="004359B1"/>
    <w:rsid w:val="0044008C"/>
    <w:rsid w:val="004416E3"/>
    <w:rsid w:val="00443AE9"/>
    <w:rsid w:val="004455C9"/>
    <w:rsid w:val="0044570C"/>
    <w:rsid w:val="0044617E"/>
    <w:rsid w:val="0044618B"/>
    <w:rsid w:val="00446CF0"/>
    <w:rsid w:val="00447611"/>
    <w:rsid w:val="00447BCC"/>
    <w:rsid w:val="00447E3A"/>
    <w:rsid w:val="004500B8"/>
    <w:rsid w:val="00450C85"/>
    <w:rsid w:val="00450F1E"/>
    <w:rsid w:val="00451301"/>
    <w:rsid w:val="0045234A"/>
    <w:rsid w:val="0045279E"/>
    <w:rsid w:val="0045283A"/>
    <w:rsid w:val="00452B49"/>
    <w:rsid w:val="0045511F"/>
    <w:rsid w:val="00455957"/>
    <w:rsid w:val="004565C8"/>
    <w:rsid w:val="00457181"/>
    <w:rsid w:val="004600A1"/>
    <w:rsid w:val="00460B7D"/>
    <w:rsid w:val="004616DE"/>
    <w:rsid w:val="004637FB"/>
    <w:rsid w:val="004675DE"/>
    <w:rsid w:val="0047044C"/>
    <w:rsid w:val="00471326"/>
    <w:rsid w:val="004714B9"/>
    <w:rsid w:val="00471597"/>
    <w:rsid w:val="004716EC"/>
    <w:rsid w:val="00471B7F"/>
    <w:rsid w:val="004725AB"/>
    <w:rsid w:val="004725FB"/>
    <w:rsid w:val="00476FDF"/>
    <w:rsid w:val="00480CB0"/>
    <w:rsid w:val="00481455"/>
    <w:rsid w:val="004815B1"/>
    <w:rsid w:val="0048246F"/>
    <w:rsid w:val="004830D1"/>
    <w:rsid w:val="00484984"/>
    <w:rsid w:val="0048577D"/>
    <w:rsid w:val="00485936"/>
    <w:rsid w:val="00493DB5"/>
    <w:rsid w:val="00493F7A"/>
    <w:rsid w:val="004948E8"/>
    <w:rsid w:val="00495674"/>
    <w:rsid w:val="00495B9E"/>
    <w:rsid w:val="0049703C"/>
    <w:rsid w:val="004974A6"/>
    <w:rsid w:val="00497E0A"/>
    <w:rsid w:val="00497E9D"/>
    <w:rsid w:val="004A12A5"/>
    <w:rsid w:val="004A1687"/>
    <w:rsid w:val="004A195C"/>
    <w:rsid w:val="004A2688"/>
    <w:rsid w:val="004A40A3"/>
    <w:rsid w:val="004A5BF5"/>
    <w:rsid w:val="004A681A"/>
    <w:rsid w:val="004A683B"/>
    <w:rsid w:val="004B0A08"/>
    <w:rsid w:val="004B1534"/>
    <w:rsid w:val="004B2BF5"/>
    <w:rsid w:val="004B2F7F"/>
    <w:rsid w:val="004B3134"/>
    <w:rsid w:val="004B34EA"/>
    <w:rsid w:val="004B3596"/>
    <w:rsid w:val="004B35B1"/>
    <w:rsid w:val="004B35DD"/>
    <w:rsid w:val="004B3DC6"/>
    <w:rsid w:val="004B4685"/>
    <w:rsid w:val="004B4E79"/>
    <w:rsid w:val="004B5494"/>
    <w:rsid w:val="004B6B99"/>
    <w:rsid w:val="004B70E9"/>
    <w:rsid w:val="004C0722"/>
    <w:rsid w:val="004C07F2"/>
    <w:rsid w:val="004C1838"/>
    <w:rsid w:val="004C1D23"/>
    <w:rsid w:val="004C7A2B"/>
    <w:rsid w:val="004C7D3A"/>
    <w:rsid w:val="004D0143"/>
    <w:rsid w:val="004D0D01"/>
    <w:rsid w:val="004D14A8"/>
    <w:rsid w:val="004D2AE9"/>
    <w:rsid w:val="004D4193"/>
    <w:rsid w:val="004D4B76"/>
    <w:rsid w:val="004D4F4C"/>
    <w:rsid w:val="004D5151"/>
    <w:rsid w:val="004D65DC"/>
    <w:rsid w:val="004D77BC"/>
    <w:rsid w:val="004D77D9"/>
    <w:rsid w:val="004E1CA4"/>
    <w:rsid w:val="004E1D71"/>
    <w:rsid w:val="004E34A4"/>
    <w:rsid w:val="004E34D7"/>
    <w:rsid w:val="004E45E0"/>
    <w:rsid w:val="004E4610"/>
    <w:rsid w:val="004E47DD"/>
    <w:rsid w:val="004E5EB8"/>
    <w:rsid w:val="004E6388"/>
    <w:rsid w:val="004F250C"/>
    <w:rsid w:val="004F4AD5"/>
    <w:rsid w:val="004F50AD"/>
    <w:rsid w:val="004F559D"/>
    <w:rsid w:val="004F5D73"/>
    <w:rsid w:val="004F6656"/>
    <w:rsid w:val="005006C5"/>
    <w:rsid w:val="005006CA"/>
    <w:rsid w:val="005007B6"/>
    <w:rsid w:val="005018A8"/>
    <w:rsid w:val="0050411A"/>
    <w:rsid w:val="00504642"/>
    <w:rsid w:val="005056EE"/>
    <w:rsid w:val="00505A39"/>
    <w:rsid w:val="00505AB0"/>
    <w:rsid w:val="005060A2"/>
    <w:rsid w:val="00506A03"/>
    <w:rsid w:val="005103B5"/>
    <w:rsid w:val="00510802"/>
    <w:rsid w:val="005120DF"/>
    <w:rsid w:val="00512AD7"/>
    <w:rsid w:val="00516595"/>
    <w:rsid w:val="00516A68"/>
    <w:rsid w:val="00517C83"/>
    <w:rsid w:val="00520338"/>
    <w:rsid w:val="0052038E"/>
    <w:rsid w:val="00520DF9"/>
    <w:rsid w:val="005225C6"/>
    <w:rsid w:val="00522747"/>
    <w:rsid w:val="00522F4E"/>
    <w:rsid w:val="005240BF"/>
    <w:rsid w:val="00524903"/>
    <w:rsid w:val="005261F0"/>
    <w:rsid w:val="00526405"/>
    <w:rsid w:val="00526DBC"/>
    <w:rsid w:val="00526F2E"/>
    <w:rsid w:val="005308A6"/>
    <w:rsid w:val="005324CB"/>
    <w:rsid w:val="00532728"/>
    <w:rsid w:val="00532B30"/>
    <w:rsid w:val="00534B77"/>
    <w:rsid w:val="0053513C"/>
    <w:rsid w:val="00536859"/>
    <w:rsid w:val="00537535"/>
    <w:rsid w:val="0054028A"/>
    <w:rsid w:val="00540BC1"/>
    <w:rsid w:val="00541015"/>
    <w:rsid w:val="00542169"/>
    <w:rsid w:val="00542B5C"/>
    <w:rsid w:val="00542E2C"/>
    <w:rsid w:val="00543A1B"/>
    <w:rsid w:val="0054435F"/>
    <w:rsid w:val="00545CA7"/>
    <w:rsid w:val="00545E57"/>
    <w:rsid w:val="00547825"/>
    <w:rsid w:val="00550E32"/>
    <w:rsid w:val="00557422"/>
    <w:rsid w:val="00561EC6"/>
    <w:rsid w:val="00562442"/>
    <w:rsid w:val="005633EA"/>
    <w:rsid w:val="00563FC3"/>
    <w:rsid w:val="005676A1"/>
    <w:rsid w:val="00570B9B"/>
    <w:rsid w:val="00570BBC"/>
    <w:rsid w:val="00571942"/>
    <w:rsid w:val="0057200D"/>
    <w:rsid w:val="00572DEE"/>
    <w:rsid w:val="00573493"/>
    <w:rsid w:val="005745AD"/>
    <w:rsid w:val="00575EE8"/>
    <w:rsid w:val="00577AD8"/>
    <w:rsid w:val="00585390"/>
    <w:rsid w:val="00585C3A"/>
    <w:rsid w:val="0059126B"/>
    <w:rsid w:val="00591D27"/>
    <w:rsid w:val="0059201B"/>
    <w:rsid w:val="005939A5"/>
    <w:rsid w:val="00595B72"/>
    <w:rsid w:val="00595DC7"/>
    <w:rsid w:val="0059669C"/>
    <w:rsid w:val="005A148C"/>
    <w:rsid w:val="005A182D"/>
    <w:rsid w:val="005A3D6B"/>
    <w:rsid w:val="005A547E"/>
    <w:rsid w:val="005A571B"/>
    <w:rsid w:val="005A7AC4"/>
    <w:rsid w:val="005B25FE"/>
    <w:rsid w:val="005B2D12"/>
    <w:rsid w:val="005B3325"/>
    <w:rsid w:val="005B652C"/>
    <w:rsid w:val="005B6F70"/>
    <w:rsid w:val="005B78E5"/>
    <w:rsid w:val="005C000E"/>
    <w:rsid w:val="005C024A"/>
    <w:rsid w:val="005C19C3"/>
    <w:rsid w:val="005C3C41"/>
    <w:rsid w:val="005C529F"/>
    <w:rsid w:val="005C58FA"/>
    <w:rsid w:val="005C618E"/>
    <w:rsid w:val="005C67DC"/>
    <w:rsid w:val="005C6880"/>
    <w:rsid w:val="005D077D"/>
    <w:rsid w:val="005D1592"/>
    <w:rsid w:val="005D3CF8"/>
    <w:rsid w:val="005D448C"/>
    <w:rsid w:val="005D79A9"/>
    <w:rsid w:val="005E0B7E"/>
    <w:rsid w:val="005E0E84"/>
    <w:rsid w:val="005E3B98"/>
    <w:rsid w:val="005E4D69"/>
    <w:rsid w:val="005E59CA"/>
    <w:rsid w:val="005E5B3B"/>
    <w:rsid w:val="005E69BD"/>
    <w:rsid w:val="005F0172"/>
    <w:rsid w:val="005F3147"/>
    <w:rsid w:val="005F35AE"/>
    <w:rsid w:val="005F4273"/>
    <w:rsid w:val="005F535D"/>
    <w:rsid w:val="0060054E"/>
    <w:rsid w:val="00601559"/>
    <w:rsid w:val="0060161F"/>
    <w:rsid w:val="0060171C"/>
    <w:rsid w:val="00602874"/>
    <w:rsid w:val="00603E45"/>
    <w:rsid w:val="0060468B"/>
    <w:rsid w:val="00605363"/>
    <w:rsid w:val="0060673C"/>
    <w:rsid w:val="00606913"/>
    <w:rsid w:val="00606CB8"/>
    <w:rsid w:val="006105DA"/>
    <w:rsid w:val="00610D9A"/>
    <w:rsid w:val="00610ECB"/>
    <w:rsid w:val="00610FB7"/>
    <w:rsid w:val="006111B5"/>
    <w:rsid w:val="0061214C"/>
    <w:rsid w:val="0061320A"/>
    <w:rsid w:val="00613399"/>
    <w:rsid w:val="00614467"/>
    <w:rsid w:val="006152BE"/>
    <w:rsid w:val="0061531F"/>
    <w:rsid w:val="00615F1F"/>
    <w:rsid w:val="00616C38"/>
    <w:rsid w:val="00617630"/>
    <w:rsid w:val="00617794"/>
    <w:rsid w:val="00617AF0"/>
    <w:rsid w:val="006208A6"/>
    <w:rsid w:val="00621AA0"/>
    <w:rsid w:val="00622A37"/>
    <w:rsid w:val="00623799"/>
    <w:rsid w:val="006239F7"/>
    <w:rsid w:val="00623AE5"/>
    <w:rsid w:val="0062556C"/>
    <w:rsid w:val="0062640E"/>
    <w:rsid w:val="00626855"/>
    <w:rsid w:val="00631DE0"/>
    <w:rsid w:val="00632207"/>
    <w:rsid w:val="006333E2"/>
    <w:rsid w:val="00633CDE"/>
    <w:rsid w:val="00633D02"/>
    <w:rsid w:val="0063491C"/>
    <w:rsid w:val="00635256"/>
    <w:rsid w:val="006372E0"/>
    <w:rsid w:val="006376C0"/>
    <w:rsid w:val="00640873"/>
    <w:rsid w:val="006417A1"/>
    <w:rsid w:val="006430C1"/>
    <w:rsid w:val="006431B3"/>
    <w:rsid w:val="006445D7"/>
    <w:rsid w:val="00644B26"/>
    <w:rsid w:val="00647567"/>
    <w:rsid w:val="00647E58"/>
    <w:rsid w:val="0065121F"/>
    <w:rsid w:val="00652C06"/>
    <w:rsid w:val="00652F81"/>
    <w:rsid w:val="006572E6"/>
    <w:rsid w:val="00657415"/>
    <w:rsid w:val="00657A10"/>
    <w:rsid w:val="006602DB"/>
    <w:rsid w:val="00660350"/>
    <w:rsid w:val="00660BE1"/>
    <w:rsid w:val="00661821"/>
    <w:rsid w:val="00661AFE"/>
    <w:rsid w:val="00661DEA"/>
    <w:rsid w:val="00662039"/>
    <w:rsid w:val="0066206A"/>
    <w:rsid w:val="006631F0"/>
    <w:rsid w:val="006634D0"/>
    <w:rsid w:val="00665108"/>
    <w:rsid w:val="006675C1"/>
    <w:rsid w:val="00667BB9"/>
    <w:rsid w:val="00670494"/>
    <w:rsid w:val="00671DB5"/>
    <w:rsid w:val="006732B0"/>
    <w:rsid w:val="00673FEE"/>
    <w:rsid w:val="006750EB"/>
    <w:rsid w:val="006757F5"/>
    <w:rsid w:val="00675C72"/>
    <w:rsid w:val="00676924"/>
    <w:rsid w:val="00677461"/>
    <w:rsid w:val="00677FAF"/>
    <w:rsid w:val="00680F19"/>
    <w:rsid w:val="00684C0E"/>
    <w:rsid w:val="00684F13"/>
    <w:rsid w:val="0068509A"/>
    <w:rsid w:val="0068643E"/>
    <w:rsid w:val="0069401A"/>
    <w:rsid w:val="00695002"/>
    <w:rsid w:val="00695A1E"/>
    <w:rsid w:val="006A1CF9"/>
    <w:rsid w:val="006A23EE"/>
    <w:rsid w:val="006A43C6"/>
    <w:rsid w:val="006A6410"/>
    <w:rsid w:val="006A7890"/>
    <w:rsid w:val="006A7D5B"/>
    <w:rsid w:val="006B071A"/>
    <w:rsid w:val="006B0AC5"/>
    <w:rsid w:val="006B297D"/>
    <w:rsid w:val="006B2E28"/>
    <w:rsid w:val="006B312F"/>
    <w:rsid w:val="006B566F"/>
    <w:rsid w:val="006B5E79"/>
    <w:rsid w:val="006B5EC1"/>
    <w:rsid w:val="006B69EC"/>
    <w:rsid w:val="006C00C4"/>
    <w:rsid w:val="006C069F"/>
    <w:rsid w:val="006C1413"/>
    <w:rsid w:val="006C1F10"/>
    <w:rsid w:val="006C4017"/>
    <w:rsid w:val="006C50D0"/>
    <w:rsid w:val="006C6674"/>
    <w:rsid w:val="006C6FF5"/>
    <w:rsid w:val="006D0F0C"/>
    <w:rsid w:val="006D25BD"/>
    <w:rsid w:val="006D28D7"/>
    <w:rsid w:val="006D2EFE"/>
    <w:rsid w:val="006D38CE"/>
    <w:rsid w:val="006D3DF0"/>
    <w:rsid w:val="006D3FB8"/>
    <w:rsid w:val="006D4E00"/>
    <w:rsid w:val="006E22F7"/>
    <w:rsid w:val="006E2770"/>
    <w:rsid w:val="006E2881"/>
    <w:rsid w:val="006E36CE"/>
    <w:rsid w:val="006E4EAD"/>
    <w:rsid w:val="006E5E28"/>
    <w:rsid w:val="006E6574"/>
    <w:rsid w:val="006E6819"/>
    <w:rsid w:val="006E6D71"/>
    <w:rsid w:val="006E7667"/>
    <w:rsid w:val="006E76D0"/>
    <w:rsid w:val="006E791B"/>
    <w:rsid w:val="006F0573"/>
    <w:rsid w:val="006F1129"/>
    <w:rsid w:val="006F1798"/>
    <w:rsid w:val="006F1F72"/>
    <w:rsid w:val="006F3B9C"/>
    <w:rsid w:val="006F4DFA"/>
    <w:rsid w:val="006F6CC6"/>
    <w:rsid w:val="007003F8"/>
    <w:rsid w:val="007025FE"/>
    <w:rsid w:val="007064A0"/>
    <w:rsid w:val="0071035D"/>
    <w:rsid w:val="00712DD7"/>
    <w:rsid w:val="007148FC"/>
    <w:rsid w:val="00714CF2"/>
    <w:rsid w:val="0071524C"/>
    <w:rsid w:val="0071537F"/>
    <w:rsid w:val="007156B9"/>
    <w:rsid w:val="007160E2"/>
    <w:rsid w:val="00716B0A"/>
    <w:rsid w:val="00717852"/>
    <w:rsid w:val="00720817"/>
    <w:rsid w:val="007218F9"/>
    <w:rsid w:val="0072229C"/>
    <w:rsid w:val="00722765"/>
    <w:rsid w:val="00722850"/>
    <w:rsid w:val="00723519"/>
    <w:rsid w:val="007252AD"/>
    <w:rsid w:val="00725A68"/>
    <w:rsid w:val="00726C17"/>
    <w:rsid w:val="00726D93"/>
    <w:rsid w:val="00727656"/>
    <w:rsid w:val="00732EEF"/>
    <w:rsid w:val="0073353F"/>
    <w:rsid w:val="007337C5"/>
    <w:rsid w:val="00733940"/>
    <w:rsid w:val="00733A82"/>
    <w:rsid w:val="007340A8"/>
    <w:rsid w:val="0073597C"/>
    <w:rsid w:val="00735A91"/>
    <w:rsid w:val="00736599"/>
    <w:rsid w:val="00740CE1"/>
    <w:rsid w:val="00742E45"/>
    <w:rsid w:val="0074457F"/>
    <w:rsid w:val="007447AF"/>
    <w:rsid w:val="007449D8"/>
    <w:rsid w:val="00746015"/>
    <w:rsid w:val="00750816"/>
    <w:rsid w:val="00750B92"/>
    <w:rsid w:val="007540FE"/>
    <w:rsid w:val="0075466E"/>
    <w:rsid w:val="00755762"/>
    <w:rsid w:val="00755B29"/>
    <w:rsid w:val="0075747A"/>
    <w:rsid w:val="00757BEF"/>
    <w:rsid w:val="007600F9"/>
    <w:rsid w:val="0076072D"/>
    <w:rsid w:val="00760955"/>
    <w:rsid w:val="00760E39"/>
    <w:rsid w:val="0076193F"/>
    <w:rsid w:val="00761BE0"/>
    <w:rsid w:val="00762E2D"/>
    <w:rsid w:val="00762F74"/>
    <w:rsid w:val="00764BBC"/>
    <w:rsid w:val="007657C1"/>
    <w:rsid w:val="00766667"/>
    <w:rsid w:val="00770A3F"/>
    <w:rsid w:val="0077205A"/>
    <w:rsid w:val="007720A0"/>
    <w:rsid w:val="00774DB2"/>
    <w:rsid w:val="007755E9"/>
    <w:rsid w:val="00776525"/>
    <w:rsid w:val="0077755F"/>
    <w:rsid w:val="00780589"/>
    <w:rsid w:val="00782576"/>
    <w:rsid w:val="0078286D"/>
    <w:rsid w:val="00785C4B"/>
    <w:rsid w:val="00786300"/>
    <w:rsid w:val="007877A9"/>
    <w:rsid w:val="007929BF"/>
    <w:rsid w:val="00792F92"/>
    <w:rsid w:val="0079628B"/>
    <w:rsid w:val="00797D37"/>
    <w:rsid w:val="007A1926"/>
    <w:rsid w:val="007A22F5"/>
    <w:rsid w:val="007A2564"/>
    <w:rsid w:val="007A406D"/>
    <w:rsid w:val="007A6278"/>
    <w:rsid w:val="007A62B0"/>
    <w:rsid w:val="007A7747"/>
    <w:rsid w:val="007B088A"/>
    <w:rsid w:val="007B7912"/>
    <w:rsid w:val="007B7B9A"/>
    <w:rsid w:val="007C3429"/>
    <w:rsid w:val="007C4098"/>
    <w:rsid w:val="007C5A0C"/>
    <w:rsid w:val="007C617A"/>
    <w:rsid w:val="007C6A72"/>
    <w:rsid w:val="007C6CD8"/>
    <w:rsid w:val="007C6EE8"/>
    <w:rsid w:val="007C7F1A"/>
    <w:rsid w:val="007D149A"/>
    <w:rsid w:val="007D27F1"/>
    <w:rsid w:val="007D2AAE"/>
    <w:rsid w:val="007D627A"/>
    <w:rsid w:val="007D663F"/>
    <w:rsid w:val="007D77EB"/>
    <w:rsid w:val="007E085D"/>
    <w:rsid w:val="007E0FEE"/>
    <w:rsid w:val="007E295B"/>
    <w:rsid w:val="007E298A"/>
    <w:rsid w:val="007E3C64"/>
    <w:rsid w:val="007E3E1F"/>
    <w:rsid w:val="007E442B"/>
    <w:rsid w:val="007E5140"/>
    <w:rsid w:val="007E5ADB"/>
    <w:rsid w:val="007E6238"/>
    <w:rsid w:val="007E7822"/>
    <w:rsid w:val="007E78E3"/>
    <w:rsid w:val="007E7A97"/>
    <w:rsid w:val="007F08E5"/>
    <w:rsid w:val="007F1E18"/>
    <w:rsid w:val="007F1F7E"/>
    <w:rsid w:val="007F2017"/>
    <w:rsid w:val="007F3366"/>
    <w:rsid w:val="007F3DF9"/>
    <w:rsid w:val="007F4271"/>
    <w:rsid w:val="007F7A2B"/>
    <w:rsid w:val="008007E2"/>
    <w:rsid w:val="00800C62"/>
    <w:rsid w:val="0080144C"/>
    <w:rsid w:val="008016CE"/>
    <w:rsid w:val="00801C76"/>
    <w:rsid w:val="008032E4"/>
    <w:rsid w:val="0080398A"/>
    <w:rsid w:val="00803FD7"/>
    <w:rsid w:val="008040FB"/>
    <w:rsid w:val="0080597E"/>
    <w:rsid w:val="00805EFB"/>
    <w:rsid w:val="00805FC1"/>
    <w:rsid w:val="00807357"/>
    <w:rsid w:val="00807DAD"/>
    <w:rsid w:val="00810D6F"/>
    <w:rsid w:val="00811963"/>
    <w:rsid w:val="008121B3"/>
    <w:rsid w:val="00813014"/>
    <w:rsid w:val="00814BFF"/>
    <w:rsid w:val="00814E1F"/>
    <w:rsid w:val="008150AA"/>
    <w:rsid w:val="008159CF"/>
    <w:rsid w:val="00816C07"/>
    <w:rsid w:val="00816E05"/>
    <w:rsid w:val="008204E4"/>
    <w:rsid w:val="00820520"/>
    <w:rsid w:val="008206C6"/>
    <w:rsid w:val="00821309"/>
    <w:rsid w:val="00822576"/>
    <w:rsid w:val="00822F27"/>
    <w:rsid w:val="00822FF3"/>
    <w:rsid w:val="00824823"/>
    <w:rsid w:val="00824DFA"/>
    <w:rsid w:val="00826A66"/>
    <w:rsid w:val="00826E24"/>
    <w:rsid w:val="00826F08"/>
    <w:rsid w:val="00827722"/>
    <w:rsid w:val="00827A7E"/>
    <w:rsid w:val="00830592"/>
    <w:rsid w:val="008339BB"/>
    <w:rsid w:val="00835B5E"/>
    <w:rsid w:val="00835F80"/>
    <w:rsid w:val="00837A04"/>
    <w:rsid w:val="00837B04"/>
    <w:rsid w:val="00841C16"/>
    <w:rsid w:val="00842D1D"/>
    <w:rsid w:val="00842D1F"/>
    <w:rsid w:val="0084591E"/>
    <w:rsid w:val="00845F2B"/>
    <w:rsid w:val="008521A4"/>
    <w:rsid w:val="00853BEB"/>
    <w:rsid w:val="00853F7B"/>
    <w:rsid w:val="00856AD8"/>
    <w:rsid w:val="00862024"/>
    <w:rsid w:val="00862D05"/>
    <w:rsid w:val="0086419A"/>
    <w:rsid w:val="00865161"/>
    <w:rsid w:val="00866473"/>
    <w:rsid w:val="00867531"/>
    <w:rsid w:val="0086753D"/>
    <w:rsid w:val="0087023B"/>
    <w:rsid w:val="00870D57"/>
    <w:rsid w:val="008714CA"/>
    <w:rsid w:val="00871E87"/>
    <w:rsid w:val="00872367"/>
    <w:rsid w:val="00874448"/>
    <w:rsid w:val="0087683D"/>
    <w:rsid w:val="00876A44"/>
    <w:rsid w:val="00877D9C"/>
    <w:rsid w:val="00877EF1"/>
    <w:rsid w:val="008811DF"/>
    <w:rsid w:val="00883899"/>
    <w:rsid w:val="0088414D"/>
    <w:rsid w:val="0088492B"/>
    <w:rsid w:val="00884A79"/>
    <w:rsid w:val="00884E8A"/>
    <w:rsid w:val="008871E1"/>
    <w:rsid w:val="00887DB9"/>
    <w:rsid w:val="008905C5"/>
    <w:rsid w:val="00892995"/>
    <w:rsid w:val="00892B27"/>
    <w:rsid w:val="008937F9"/>
    <w:rsid w:val="00896705"/>
    <w:rsid w:val="0089785B"/>
    <w:rsid w:val="008A10A9"/>
    <w:rsid w:val="008A179F"/>
    <w:rsid w:val="008A20C7"/>
    <w:rsid w:val="008A27FA"/>
    <w:rsid w:val="008A351D"/>
    <w:rsid w:val="008A4665"/>
    <w:rsid w:val="008A4A7F"/>
    <w:rsid w:val="008A5971"/>
    <w:rsid w:val="008A609A"/>
    <w:rsid w:val="008A7785"/>
    <w:rsid w:val="008A79F9"/>
    <w:rsid w:val="008B0864"/>
    <w:rsid w:val="008B0AF0"/>
    <w:rsid w:val="008B1A20"/>
    <w:rsid w:val="008B2775"/>
    <w:rsid w:val="008B6296"/>
    <w:rsid w:val="008B7483"/>
    <w:rsid w:val="008B74CA"/>
    <w:rsid w:val="008B7CDA"/>
    <w:rsid w:val="008C03E9"/>
    <w:rsid w:val="008C119F"/>
    <w:rsid w:val="008C1333"/>
    <w:rsid w:val="008C1AD0"/>
    <w:rsid w:val="008C22A0"/>
    <w:rsid w:val="008C2BEB"/>
    <w:rsid w:val="008C3CF9"/>
    <w:rsid w:val="008C5FB2"/>
    <w:rsid w:val="008C7033"/>
    <w:rsid w:val="008C7413"/>
    <w:rsid w:val="008D06F2"/>
    <w:rsid w:val="008D12EA"/>
    <w:rsid w:val="008D16B7"/>
    <w:rsid w:val="008D17CD"/>
    <w:rsid w:val="008D265C"/>
    <w:rsid w:val="008D338D"/>
    <w:rsid w:val="008D3834"/>
    <w:rsid w:val="008D38C8"/>
    <w:rsid w:val="008D60EB"/>
    <w:rsid w:val="008D6550"/>
    <w:rsid w:val="008D6806"/>
    <w:rsid w:val="008D7874"/>
    <w:rsid w:val="008E28B0"/>
    <w:rsid w:val="008E3E57"/>
    <w:rsid w:val="008E5CE7"/>
    <w:rsid w:val="008E6AE6"/>
    <w:rsid w:val="008E6B53"/>
    <w:rsid w:val="008F0116"/>
    <w:rsid w:val="008F143D"/>
    <w:rsid w:val="008F2235"/>
    <w:rsid w:val="008F2331"/>
    <w:rsid w:val="008F391D"/>
    <w:rsid w:val="008F41C9"/>
    <w:rsid w:val="008F67E0"/>
    <w:rsid w:val="008F686C"/>
    <w:rsid w:val="0090171F"/>
    <w:rsid w:val="009018E3"/>
    <w:rsid w:val="00901D1C"/>
    <w:rsid w:val="00901DB0"/>
    <w:rsid w:val="00903666"/>
    <w:rsid w:val="0090489F"/>
    <w:rsid w:val="0090566E"/>
    <w:rsid w:val="009073BE"/>
    <w:rsid w:val="0091002B"/>
    <w:rsid w:val="009129D6"/>
    <w:rsid w:val="00912CB2"/>
    <w:rsid w:val="0091368A"/>
    <w:rsid w:val="00914241"/>
    <w:rsid w:val="0091459E"/>
    <w:rsid w:val="00914D53"/>
    <w:rsid w:val="00915C12"/>
    <w:rsid w:val="00915FE8"/>
    <w:rsid w:val="00916DB1"/>
    <w:rsid w:val="00920A62"/>
    <w:rsid w:val="00920DF9"/>
    <w:rsid w:val="00920EC1"/>
    <w:rsid w:val="00920EDE"/>
    <w:rsid w:val="00921BB1"/>
    <w:rsid w:val="00924199"/>
    <w:rsid w:val="009241A6"/>
    <w:rsid w:val="009251FA"/>
    <w:rsid w:val="00926B1B"/>
    <w:rsid w:val="00926DB2"/>
    <w:rsid w:val="00930066"/>
    <w:rsid w:val="009317C7"/>
    <w:rsid w:val="00932865"/>
    <w:rsid w:val="00932E81"/>
    <w:rsid w:val="0093377E"/>
    <w:rsid w:val="009355D0"/>
    <w:rsid w:val="0093637C"/>
    <w:rsid w:val="00936FCB"/>
    <w:rsid w:val="009374E6"/>
    <w:rsid w:val="0094022A"/>
    <w:rsid w:val="00940B3C"/>
    <w:rsid w:val="009431CB"/>
    <w:rsid w:val="00943980"/>
    <w:rsid w:val="00943FD2"/>
    <w:rsid w:val="00944292"/>
    <w:rsid w:val="0094487F"/>
    <w:rsid w:val="009450C1"/>
    <w:rsid w:val="00945D4D"/>
    <w:rsid w:val="00947CBF"/>
    <w:rsid w:val="00950BFA"/>
    <w:rsid w:val="00951952"/>
    <w:rsid w:val="00951AA5"/>
    <w:rsid w:val="00951E0E"/>
    <w:rsid w:val="00952445"/>
    <w:rsid w:val="00953F7D"/>
    <w:rsid w:val="00954BFF"/>
    <w:rsid w:val="00955763"/>
    <w:rsid w:val="00957B41"/>
    <w:rsid w:val="00961B32"/>
    <w:rsid w:val="00962EDB"/>
    <w:rsid w:val="0096415A"/>
    <w:rsid w:val="009668DD"/>
    <w:rsid w:val="00971A21"/>
    <w:rsid w:val="00972E08"/>
    <w:rsid w:val="00973638"/>
    <w:rsid w:val="0097490B"/>
    <w:rsid w:val="00974F69"/>
    <w:rsid w:val="009753D2"/>
    <w:rsid w:val="00977335"/>
    <w:rsid w:val="009806DE"/>
    <w:rsid w:val="009808A7"/>
    <w:rsid w:val="00980A94"/>
    <w:rsid w:val="0098138E"/>
    <w:rsid w:val="00981792"/>
    <w:rsid w:val="00984A64"/>
    <w:rsid w:val="0098539E"/>
    <w:rsid w:val="00985B82"/>
    <w:rsid w:val="0098655A"/>
    <w:rsid w:val="009879C5"/>
    <w:rsid w:val="00994095"/>
    <w:rsid w:val="00994AF7"/>
    <w:rsid w:val="00994B25"/>
    <w:rsid w:val="009973EA"/>
    <w:rsid w:val="009977FF"/>
    <w:rsid w:val="009A4DA5"/>
    <w:rsid w:val="009A5F04"/>
    <w:rsid w:val="009A6513"/>
    <w:rsid w:val="009A6918"/>
    <w:rsid w:val="009A6E36"/>
    <w:rsid w:val="009A7589"/>
    <w:rsid w:val="009B142E"/>
    <w:rsid w:val="009B218F"/>
    <w:rsid w:val="009B3690"/>
    <w:rsid w:val="009B3D32"/>
    <w:rsid w:val="009B3DAD"/>
    <w:rsid w:val="009B45B4"/>
    <w:rsid w:val="009B622E"/>
    <w:rsid w:val="009B642D"/>
    <w:rsid w:val="009B6AC1"/>
    <w:rsid w:val="009B6E4E"/>
    <w:rsid w:val="009B7367"/>
    <w:rsid w:val="009C2A33"/>
    <w:rsid w:val="009C4AA2"/>
    <w:rsid w:val="009C5D30"/>
    <w:rsid w:val="009D00B8"/>
    <w:rsid w:val="009D4642"/>
    <w:rsid w:val="009D50B5"/>
    <w:rsid w:val="009D53C3"/>
    <w:rsid w:val="009D76FA"/>
    <w:rsid w:val="009D7D46"/>
    <w:rsid w:val="009E095A"/>
    <w:rsid w:val="009E0A4F"/>
    <w:rsid w:val="009E0E8D"/>
    <w:rsid w:val="009E1362"/>
    <w:rsid w:val="009E4C98"/>
    <w:rsid w:val="009E6052"/>
    <w:rsid w:val="009E6331"/>
    <w:rsid w:val="009E7815"/>
    <w:rsid w:val="009E7C7F"/>
    <w:rsid w:val="009E7E45"/>
    <w:rsid w:val="009F06D3"/>
    <w:rsid w:val="009F13CB"/>
    <w:rsid w:val="009F38D1"/>
    <w:rsid w:val="009F3946"/>
    <w:rsid w:val="009F3EC9"/>
    <w:rsid w:val="009F671E"/>
    <w:rsid w:val="009F6EF3"/>
    <w:rsid w:val="009F76CC"/>
    <w:rsid w:val="00A00008"/>
    <w:rsid w:val="00A00027"/>
    <w:rsid w:val="00A001DC"/>
    <w:rsid w:val="00A007C6"/>
    <w:rsid w:val="00A00C34"/>
    <w:rsid w:val="00A029C3"/>
    <w:rsid w:val="00A03EF1"/>
    <w:rsid w:val="00A0425C"/>
    <w:rsid w:val="00A04380"/>
    <w:rsid w:val="00A05256"/>
    <w:rsid w:val="00A056DB"/>
    <w:rsid w:val="00A0626A"/>
    <w:rsid w:val="00A07938"/>
    <w:rsid w:val="00A13B3A"/>
    <w:rsid w:val="00A15EC7"/>
    <w:rsid w:val="00A160B0"/>
    <w:rsid w:val="00A1644E"/>
    <w:rsid w:val="00A17CE0"/>
    <w:rsid w:val="00A209FA"/>
    <w:rsid w:val="00A213A1"/>
    <w:rsid w:val="00A21C6F"/>
    <w:rsid w:val="00A22781"/>
    <w:rsid w:val="00A2342C"/>
    <w:rsid w:val="00A237D9"/>
    <w:rsid w:val="00A23D48"/>
    <w:rsid w:val="00A26824"/>
    <w:rsid w:val="00A27148"/>
    <w:rsid w:val="00A27664"/>
    <w:rsid w:val="00A3148F"/>
    <w:rsid w:val="00A31B55"/>
    <w:rsid w:val="00A31E52"/>
    <w:rsid w:val="00A365B0"/>
    <w:rsid w:val="00A37FA9"/>
    <w:rsid w:val="00A42306"/>
    <w:rsid w:val="00A44199"/>
    <w:rsid w:val="00A44E8D"/>
    <w:rsid w:val="00A4603C"/>
    <w:rsid w:val="00A469C9"/>
    <w:rsid w:val="00A46EA8"/>
    <w:rsid w:val="00A5175D"/>
    <w:rsid w:val="00A51E81"/>
    <w:rsid w:val="00A55ACD"/>
    <w:rsid w:val="00A562B9"/>
    <w:rsid w:val="00A572D6"/>
    <w:rsid w:val="00A6160B"/>
    <w:rsid w:val="00A63308"/>
    <w:rsid w:val="00A636E6"/>
    <w:rsid w:val="00A63C87"/>
    <w:rsid w:val="00A63ECA"/>
    <w:rsid w:val="00A64A20"/>
    <w:rsid w:val="00A651D6"/>
    <w:rsid w:val="00A660BF"/>
    <w:rsid w:val="00A67163"/>
    <w:rsid w:val="00A67362"/>
    <w:rsid w:val="00A67E97"/>
    <w:rsid w:val="00A70307"/>
    <w:rsid w:val="00A708BC"/>
    <w:rsid w:val="00A70E45"/>
    <w:rsid w:val="00A71C59"/>
    <w:rsid w:val="00A72F2A"/>
    <w:rsid w:val="00A733F8"/>
    <w:rsid w:val="00A7499B"/>
    <w:rsid w:val="00A75FC7"/>
    <w:rsid w:val="00A77A51"/>
    <w:rsid w:val="00A80049"/>
    <w:rsid w:val="00A8247A"/>
    <w:rsid w:val="00A82E7D"/>
    <w:rsid w:val="00A832EB"/>
    <w:rsid w:val="00A83F52"/>
    <w:rsid w:val="00A845AA"/>
    <w:rsid w:val="00A84CCC"/>
    <w:rsid w:val="00A84EE0"/>
    <w:rsid w:val="00A85073"/>
    <w:rsid w:val="00A85225"/>
    <w:rsid w:val="00A85D27"/>
    <w:rsid w:val="00A92833"/>
    <w:rsid w:val="00A929A4"/>
    <w:rsid w:val="00A9391A"/>
    <w:rsid w:val="00A93CE2"/>
    <w:rsid w:val="00A93D24"/>
    <w:rsid w:val="00AA25ED"/>
    <w:rsid w:val="00AA2C20"/>
    <w:rsid w:val="00AA3A98"/>
    <w:rsid w:val="00AA4ADA"/>
    <w:rsid w:val="00AA4F02"/>
    <w:rsid w:val="00AA52D2"/>
    <w:rsid w:val="00AA5E6D"/>
    <w:rsid w:val="00AA5E87"/>
    <w:rsid w:val="00AA6395"/>
    <w:rsid w:val="00AA69B5"/>
    <w:rsid w:val="00AA6D54"/>
    <w:rsid w:val="00AB02A1"/>
    <w:rsid w:val="00AB0825"/>
    <w:rsid w:val="00AB1A54"/>
    <w:rsid w:val="00AB2880"/>
    <w:rsid w:val="00AB2E50"/>
    <w:rsid w:val="00AB3138"/>
    <w:rsid w:val="00AB3189"/>
    <w:rsid w:val="00AB374F"/>
    <w:rsid w:val="00AB3C0A"/>
    <w:rsid w:val="00AB3E01"/>
    <w:rsid w:val="00AB4FAC"/>
    <w:rsid w:val="00AB69F3"/>
    <w:rsid w:val="00AB7875"/>
    <w:rsid w:val="00AC1B40"/>
    <w:rsid w:val="00AC5BFA"/>
    <w:rsid w:val="00AC68EE"/>
    <w:rsid w:val="00AD02A6"/>
    <w:rsid w:val="00AD02B7"/>
    <w:rsid w:val="00AD1A23"/>
    <w:rsid w:val="00AD4171"/>
    <w:rsid w:val="00AD58CC"/>
    <w:rsid w:val="00AD6149"/>
    <w:rsid w:val="00AD7238"/>
    <w:rsid w:val="00AE0DA0"/>
    <w:rsid w:val="00AE152B"/>
    <w:rsid w:val="00AE1574"/>
    <w:rsid w:val="00AE2907"/>
    <w:rsid w:val="00AE3350"/>
    <w:rsid w:val="00AE37B5"/>
    <w:rsid w:val="00AE5EF1"/>
    <w:rsid w:val="00AF00B5"/>
    <w:rsid w:val="00AF0443"/>
    <w:rsid w:val="00AF07F8"/>
    <w:rsid w:val="00AF19F8"/>
    <w:rsid w:val="00AF2070"/>
    <w:rsid w:val="00AF3464"/>
    <w:rsid w:val="00AF782A"/>
    <w:rsid w:val="00B00E1D"/>
    <w:rsid w:val="00B011E2"/>
    <w:rsid w:val="00B01F7E"/>
    <w:rsid w:val="00B03817"/>
    <w:rsid w:val="00B04AF6"/>
    <w:rsid w:val="00B062F6"/>
    <w:rsid w:val="00B0733E"/>
    <w:rsid w:val="00B1022B"/>
    <w:rsid w:val="00B10BEF"/>
    <w:rsid w:val="00B14281"/>
    <w:rsid w:val="00B15464"/>
    <w:rsid w:val="00B1698D"/>
    <w:rsid w:val="00B16C2A"/>
    <w:rsid w:val="00B17155"/>
    <w:rsid w:val="00B17B71"/>
    <w:rsid w:val="00B2048F"/>
    <w:rsid w:val="00B2225C"/>
    <w:rsid w:val="00B22783"/>
    <w:rsid w:val="00B23F09"/>
    <w:rsid w:val="00B25221"/>
    <w:rsid w:val="00B26CA2"/>
    <w:rsid w:val="00B2745C"/>
    <w:rsid w:val="00B3087D"/>
    <w:rsid w:val="00B334E0"/>
    <w:rsid w:val="00B34592"/>
    <w:rsid w:val="00B34794"/>
    <w:rsid w:val="00B34965"/>
    <w:rsid w:val="00B365A3"/>
    <w:rsid w:val="00B37604"/>
    <w:rsid w:val="00B37733"/>
    <w:rsid w:val="00B37A99"/>
    <w:rsid w:val="00B37FCA"/>
    <w:rsid w:val="00B4165A"/>
    <w:rsid w:val="00B41979"/>
    <w:rsid w:val="00B42BBF"/>
    <w:rsid w:val="00B42E36"/>
    <w:rsid w:val="00B4331A"/>
    <w:rsid w:val="00B441C6"/>
    <w:rsid w:val="00B44B2F"/>
    <w:rsid w:val="00B504DC"/>
    <w:rsid w:val="00B50BF5"/>
    <w:rsid w:val="00B51366"/>
    <w:rsid w:val="00B520DC"/>
    <w:rsid w:val="00B52585"/>
    <w:rsid w:val="00B56B52"/>
    <w:rsid w:val="00B60421"/>
    <w:rsid w:val="00B6240B"/>
    <w:rsid w:val="00B63E8D"/>
    <w:rsid w:val="00B64B8F"/>
    <w:rsid w:val="00B73BB0"/>
    <w:rsid w:val="00B7652A"/>
    <w:rsid w:val="00B76F30"/>
    <w:rsid w:val="00B81079"/>
    <w:rsid w:val="00B81EB6"/>
    <w:rsid w:val="00B82C18"/>
    <w:rsid w:val="00B8303E"/>
    <w:rsid w:val="00B8327B"/>
    <w:rsid w:val="00B855A0"/>
    <w:rsid w:val="00B85C4D"/>
    <w:rsid w:val="00B85C96"/>
    <w:rsid w:val="00B87912"/>
    <w:rsid w:val="00B918C1"/>
    <w:rsid w:val="00B92B06"/>
    <w:rsid w:val="00B9616D"/>
    <w:rsid w:val="00B96A44"/>
    <w:rsid w:val="00BA043E"/>
    <w:rsid w:val="00BA2FE6"/>
    <w:rsid w:val="00BA3529"/>
    <w:rsid w:val="00BA4EC9"/>
    <w:rsid w:val="00BA6285"/>
    <w:rsid w:val="00BA708B"/>
    <w:rsid w:val="00BB0243"/>
    <w:rsid w:val="00BB02D8"/>
    <w:rsid w:val="00BB0F32"/>
    <w:rsid w:val="00BB1BE0"/>
    <w:rsid w:val="00BB3E56"/>
    <w:rsid w:val="00BB433F"/>
    <w:rsid w:val="00BB5F53"/>
    <w:rsid w:val="00BB7398"/>
    <w:rsid w:val="00BC1137"/>
    <w:rsid w:val="00BC15E1"/>
    <w:rsid w:val="00BC4CD6"/>
    <w:rsid w:val="00BC5B05"/>
    <w:rsid w:val="00BC5F23"/>
    <w:rsid w:val="00BC608D"/>
    <w:rsid w:val="00BC66B3"/>
    <w:rsid w:val="00BC6ABC"/>
    <w:rsid w:val="00BC70AC"/>
    <w:rsid w:val="00BD2F5F"/>
    <w:rsid w:val="00BD4172"/>
    <w:rsid w:val="00BD4A21"/>
    <w:rsid w:val="00BD4FC2"/>
    <w:rsid w:val="00BD5227"/>
    <w:rsid w:val="00BD5A45"/>
    <w:rsid w:val="00BE44DD"/>
    <w:rsid w:val="00BE5184"/>
    <w:rsid w:val="00BE5CB8"/>
    <w:rsid w:val="00BE6378"/>
    <w:rsid w:val="00BE6F34"/>
    <w:rsid w:val="00BF007E"/>
    <w:rsid w:val="00BF0D2A"/>
    <w:rsid w:val="00BF3C92"/>
    <w:rsid w:val="00BF5180"/>
    <w:rsid w:val="00BF5560"/>
    <w:rsid w:val="00BF5747"/>
    <w:rsid w:val="00BF7525"/>
    <w:rsid w:val="00C00303"/>
    <w:rsid w:val="00C04BB2"/>
    <w:rsid w:val="00C06317"/>
    <w:rsid w:val="00C0729D"/>
    <w:rsid w:val="00C107DB"/>
    <w:rsid w:val="00C10B5F"/>
    <w:rsid w:val="00C1103B"/>
    <w:rsid w:val="00C1583B"/>
    <w:rsid w:val="00C16820"/>
    <w:rsid w:val="00C16B92"/>
    <w:rsid w:val="00C22B2F"/>
    <w:rsid w:val="00C2400A"/>
    <w:rsid w:val="00C24192"/>
    <w:rsid w:val="00C2451B"/>
    <w:rsid w:val="00C25D07"/>
    <w:rsid w:val="00C25F9F"/>
    <w:rsid w:val="00C26471"/>
    <w:rsid w:val="00C31AE8"/>
    <w:rsid w:val="00C334FD"/>
    <w:rsid w:val="00C356D4"/>
    <w:rsid w:val="00C35B28"/>
    <w:rsid w:val="00C3638C"/>
    <w:rsid w:val="00C36AE9"/>
    <w:rsid w:val="00C3720F"/>
    <w:rsid w:val="00C37573"/>
    <w:rsid w:val="00C40A70"/>
    <w:rsid w:val="00C41A4B"/>
    <w:rsid w:val="00C43A45"/>
    <w:rsid w:val="00C45DBE"/>
    <w:rsid w:val="00C468F5"/>
    <w:rsid w:val="00C46D06"/>
    <w:rsid w:val="00C46F3F"/>
    <w:rsid w:val="00C47E1B"/>
    <w:rsid w:val="00C520CB"/>
    <w:rsid w:val="00C5264D"/>
    <w:rsid w:val="00C53C11"/>
    <w:rsid w:val="00C559BF"/>
    <w:rsid w:val="00C56087"/>
    <w:rsid w:val="00C57483"/>
    <w:rsid w:val="00C60775"/>
    <w:rsid w:val="00C60A8C"/>
    <w:rsid w:val="00C60BA4"/>
    <w:rsid w:val="00C60BE2"/>
    <w:rsid w:val="00C6193F"/>
    <w:rsid w:val="00C619DC"/>
    <w:rsid w:val="00C631E6"/>
    <w:rsid w:val="00C63828"/>
    <w:rsid w:val="00C64140"/>
    <w:rsid w:val="00C6472E"/>
    <w:rsid w:val="00C7113E"/>
    <w:rsid w:val="00C711B3"/>
    <w:rsid w:val="00C721CC"/>
    <w:rsid w:val="00C73086"/>
    <w:rsid w:val="00C73A01"/>
    <w:rsid w:val="00C741E3"/>
    <w:rsid w:val="00C7576B"/>
    <w:rsid w:val="00C75B77"/>
    <w:rsid w:val="00C75C4C"/>
    <w:rsid w:val="00C771B1"/>
    <w:rsid w:val="00C773F8"/>
    <w:rsid w:val="00C81192"/>
    <w:rsid w:val="00C820EA"/>
    <w:rsid w:val="00C82640"/>
    <w:rsid w:val="00C84CC0"/>
    <w:rsid w:val="00C858FE"/>
    <w:rsid w:val="00C878D5"/>
    <w:rsid w:val="00C87965"/>
    <w:rsid w:val="00C9033B"/>
    <w:rsid w:val="00C913A1"/>
    <w:rsid w:val="00C9459D"/>
    <w:rsid w:val="00C965D2"/>
    <w:rsid w:val="00CA0EDD"/>
    <w:rsid w:val="00CA238B"/>
    <w:rsid w:val="00CA2AA1"/>
    <w:rsid w:val="00CA34D8"/>
    <w:rsid w:val="00CA4366"/>
    <w:rsid w:val="00CA5E26"/>
    <w:rsid w:val="00CA6C37"/>
    <w:rsid w:val="00CA6DE7"/>
    <w:rsid w:val="00CA724C"/>
    <w:rsid w:val="00CB0521"/>
    <w:rsid w:val="00CB06B2"/>
    <w:rsid w:val="00CB1D50"/>
    <w:rsid w:val="00CB2032"/>
    <w:rsid w:val="00CB28F1"/>
    <w:rsid w:val="00CB58A3"/>
    <w:rsid w:val="00CB5BA5"/>
    <w:rsid w:val="00CB6149"/>
    <w:rsid w:val="00CC0291"/>
    <w:rsid w:val="00CC12FE"/>
    <w:rsid w:val="00CC1F71"/>
    <w:rsid w:val="00CC2946"/>
    <w:rsid w:val="00CC3187"/>
    <w:rsid w:val="00CC31F1"/>
    <w:rsid w:val="00CC3B34"/>
    <w:rsid w:val="00CC6970"/>
    <w:rsid w:val="00CC6A99"/>
    <w:rsid w:val="00CD181A"/>
    <w:rsid w:val="00CD31C0"/>
    <w:rsid w:val="00CD3D87"/>
    <w:rsid w:val="00CD6722"/>
    <w:rsid w:val="00CD7141"/>
    <w:rsid w:val="00CD7200"/>
    <w:rsid w:val="00CE0F73"/>
    <w:rsid w:val="00CE197D"/>
    <w:rsid w:val="00CE1E93"/>
    <w:rsid w:val="00CE38C2"/>
    <w:rsid w:val="00CE4710"/>
    <w:rsid w:val="00CE6C26"/>
    <w:rsid w:val="00CF0047"/>
    <w:rsid w:val="00CF27C7"/>
    <w:rsid w:val="00CF2C7C"/>
    <w:rsid w:val="00CF3701"/>
    <w:rsid w:val="00CF5D45"/>
    <w:rsid w:val="00CF7769"/>
    <w:rsid w:val="00D004D0"/>
    <w:rsid w:val="00D00AA3"/>
    <w:rsid w:val="00D02E98"/>
    <w:rsid w:val="00D0504E"/>
    <w:rsid w:val="00D05AA2"/>
    <w:rsid w:val="00D05BD5"/>
    <w:rsid w:val="00D066E2"/>
    <w:rsid w:val="00D066F0"/>
    <w:rsid w:val="00D06CB1"/>
    <w:rsid w:val="00D06E2A"/>
    <w:rsid w:val="00D07A57"/>
    <w:rsid w:val="00D07F73"/>
    <w:rsid w:val="00D11023"/>
    <w:rsid w:val="00D11BDF"/>
    <w:rsid w:val="00D11F3D"/>
    <w:rsid w:val="00D12868"/>
    <w:rsid w:val="00D13A42"/>
    <w:rsid w:val="00D14537"/>
    <w:rsid w:val="00D145EB"/>
    <w:rsid w:val="00D14844"/>
    <w:rsid w:val="00D16029"/>
    <w:rsid w:val="00D2041C"/>
    <w:rsid w:val="00D21325"/>
    <w:rsid w:val="00D2239D"/>
    <w:rsid w:val="00D22709"/>
    <w:rsid w:val="00D2299E"/>
    <w:rsid w:val="00D22B16"/>
    <w:rsid w:val="00D25375"/>
    <w:rsid w:val="00D25ADE"/>
    <w:rsid w:val="00D25E24"/>
    <w:rsid w:val="00D30679"/>
    <w:rsid w:val="00D30F68"/>
    <w:rsid w:val="00D319FB"/>
    <w:rsid w:val="00D322A1"/>
    <w:rsid w:val="00D3261D"/>
    <w:rsid w:val="00D32D97"/>
    <w:rsid w:val="00D3482D"/>
    <w:rsid w:val="00D34F62"/>
    <w:rsid w:val="00D37354"/>
    <w:rsid w:val="00D40F5F"/>
    <w:rsid w:val="00D43297"/>
    <w:rsid w:val="00D4432C"/>
    <w:rsid w:val="00D44425"/>
    <w:rsid w:val="00D44DB6"/>
    <w:rsid w:val="00D45B23"/>
    <w:rsid w:val="00D47386"/>
    <w:rsid w:val="00D474D0"/>
    <w:rsid w:val="00D47BB4"/>
    <w:rsid w:val="00D50119"/>
    <w:rsid w:val="00D5026D"/>
    <w:rsid w:val="00D513D2"/>
    <w:rsid w:val="00D520F1"/>
    <w:rsid w:val="00D5225B"/>
    <w:rsid w:val="00D522B0"/>
    <w:rsid w:val="00D52A70"/>
    <w:rsid w:val="00D554AD"/>
    <w:rsid w:val="00D558C0"/>
    <w:rsid w:val="00D56EF8"/>
    <w:rsid w:val="00D5E9B4"/>
    <w:rsid w:val="00D60600"/>
    <w:rsid w:val="00D606E0"/>
    <w:rsid w:val="00D61926"/>
    <w:rsid w:val="00D61943"/>
    <w:rsid w:val="00D62BDF"/>
    <w:rsid w:val="00D64F7A"/>
    <w:rsid w:val="00D6589C"/>
    <w:rsid w:val="00D65AF5"/>
    <w:rsid w:val="00D66196"/>
    <w:rsid w:val="00D7094E"/>
    <w:rsid w:val="00D70D0E"/>
    <w:rsid w:val="00D71037"/>
    <w:rsid w:val="00D7106A"/>
    <w:rsid w:val="00D73178"/>
    <w:rsid w:val="00D73621"/>
    <w:rsid w:val="00D74576"/>
    <w:rsid w:val="00D74B93"/>
    <w:rsid w:val="00D757FB"/>
    <w:rsid w:val="00D7589C"/>
    <w:rsid w:val="00D759BA"/>
    <w:rsid w:val="00D767B4"/>
    <w:rsid w:val="00D76CD6"/>
    <w:rsid w:val="00D77526"/>
    <w:rsid w:val="00D80962"/>
    <w:rsid w:val="00D80A42"/>
    <w:rsid w:val="00D80A6F"/>
    <w:rsid w:val="00D82A43"/>
    <w:rsid w:val="00D8433D"/>
    <w:rsid w:val="00D852AE"/>
    <w:rsid w:val="00D85E9A"/>
    <w:rsid w:val="00D87C35"/>
    <w:rsid w:val="00D87FF9"/>
    <w:rsid w:val="00D90CD9"/>
    <w:rsid w:val="00D91517"/>
    <w:rsid w:val="00D91F72"/>
    <w:rsid w:val="00D93161"/>
    <w:rsid w:val="00D93B2D"/>
    <w:rsid w:val="00D96223"/>
    <w:rsid w:val="00D96AF1"/>
    <w:rsid w:val="00DA027D"/>
    <w:rsid w:val="00DA0F01"/>
    <w:rsid w:val="00DA1920"/>
    <w:rsid w:val="00DA1B18"/>
    <w:rsid w:val="00DA2105"/>
    <w:rsid w:val="00DA2AD7"/>
    <w:rsid w:val="00DA3992"/>
    <w:rsid w:val="00DA3A6A"/>
    <w:rsid w:val="00DA3D6F"/>
    <w:rsid w:val="00DA41E9"/>
    <w:rsid w:val="00DA4C67"/>
    <w:rsid w:val="00DA6069"/>
    <w:rsid w:val="00DA7B5D"/>
    <w:rsid w:val="00DB1A7E"/>
    <w:rsid w:val="00DB29D2"/>
    <w:rsid w:val="00DB2A06"/>
    <w:rsid w:val="00DB2C46"/>
    <w:rsid w:val="00DB393D"/>
    <w:rsid w:val="00DB39AB"/>
    <w:rsid w:val="00DB412A"/>
    <w:rsid w:val="00DB4E1D"/>
    <w:rsid w:val="00DB53EC"/>
    <w:rsid w:val="00DB6A16"/>
    <w:rsid w:val="00DB7BB0"/>
    <w:rsid w:val="00DC1DA7"/>
    <w:rsid w:val="00DC258B"/>
    <w:rsid w:val="00DC32C8"/>
    <w:rsid w:val="00DC44F2"/>
    <w:rsid w:val="00DD2168"/>
    <w:rsid w:val="00DD3AA7"/>
    <w:rsid w:val="00DD4BD8"/>
    <w:rsid w:val="00DD5116"/>
    <w:rsid w:val="00DD5E91"/>
    <w:rsid w:val="00DD6FA0"/>
    <w:rsid w:val="00DD6FEA"/>
    <w:rsid w:val="00DD76F9"/>
    <w:rsid w:val="00DE042C"/>
    <w:rsid w:val="00DE04E9"/>
    <w:rsid w:val="00DE222F"/>
    <w:rsid w:val="00DE24D2"/>
    <w:rsid w:val="00DE33A8"/>
    <w:rsid w:val="00DE7F6F"/>
    <w:rsid w:val="00DF1A8E"/>
    <w:rsid w:val="00DF2584"/>
    <w:rsid w:val="00DF3798"/>
    <w:rsid w:val="00DF395B"/>
    <w:rsid w:val="00DF39DE"/>
    <w:rsid w:val="00DF4CE9"/>
    <w:rsid w:val="00DF58E7"/>
    <w:rsid w:val="00E000F7"/>
    <w:rsid w:val="00E00660"/>
    <w:rsid w:val="00E02FDD"/>
    <w:rsid w:val="00E03307"/>
    <w:rsid w:val="00E034DB"/>
    <w:rsid w:val="00E03AB6"/>
    <w:rsid w:val="00E04AC4"/>
    <w:rsid w:val="00E05435"/>
    <w:rsid w:val="00E0643C"/>
    <w:rsid w:val="00E0665F"/>
    <w:rsid w:val="00E10DF6"/>
    <w:rsid w:val="00E11267"/>
    <w:rsid w:val="00E11876"/>
    <w:rsid w:val="00E12E18"/>
    <w:rsid w:val="00E14CA3"/>
    <w:rsid w:val="00E1648E"/>
    <w:rsid w:val="00E205EA"/>
    <w:rsid w:val="00E21ACB"/>
    <w:rsid w:val="00E21AFF"/>
    <w:rsid w:val="00E21C5A"/>
    <w:rsid w:val="00E22043"/>
    <w:rsid w:val="00E22327"/>
    <w:rsid w:val="00E22C28"/>
    <w:rsid w:val="00E23273"/>
    <w:rsid w:val="00E23502"/>
    <w:rsid w:val="00E23CBB"/>
    <w:rsid w:val="00E24900"/>
    <w:rsid w:val="00E2652D"/>
    <w:rsid w:val="00E26A0F"/>
    <w:rsid w:val="00E26CAC"/>
    <w:rsid w:val="00E30763"/>
    <w:rsid w:val="00E307F4"/>
    <w:rsid w:val="00E31BF4"/>
    <w:rsid w:val="00E320FE"/>
    <w:rsid w:val="00E324A0"/>
    <w:rsid w:val="00E3285B"/>
    <w:rsid w:val="00E342CF"/>
    <w:rsid w:val="00E35619"/>
    <w:rsid w:val="00E37B59"/>
    <w:rsid w:val="00E403CA"/>
    <w:rsid w:val="00E43E9D"/>
    <w:rsid w:val="00E44DA2"/>
    <w:rsid w:val="00E466AF"/>
    <w:rsid w:val="00E47828"/>
    <w:rsid w:val="00E478B3"/>
    <w:rsid w:val="00E47FF5"/>
    <w:rsid w:val="00E53438"/>
    <w:rsid w:val="00E54712"/>
    <w:rsid w:val="00E55245"/>
    <w:rsid w:val="00E5685B"/>
    <w:rsid w:val="00E56A8C"/>
    <w:rsid w:val="00E57242"/>
    <w:rsid w:val="00E621F5"/>
    <w:rsid w:val="00E624CC"/>
    <w:rsid w:val="00E65A7C"/>
    <w:rsid w:val="00E70076"/>
    <w:rsid w:val="00E703F6"/>
    <w:rsid w:val="00E707CF"/>
    <w:rsid w:val="00E70B70"/>
    <w:rsid w:val="00E725FC"/>
    <w:rsid w:val="00E741A3"/>
    <w:rsid w:val="00E74EE1"/>
    <w:rsid w:val="00E75158"/>
    <w:rsid w:val="00E76BBF"/>
    <w:rsid w:val="00E77A98"/>
    <w:rsid w:val="00E8096B"/>
    <w:rsid w:val="00E81384"/>
    <w:rsid w:val="00E831B0"/>
    <w:rsid w:val="00E87438"/>
    <w:rsid w:val="00E90977"/>
    <w:rsid w:val="00E9176C"/>
    <w:rsid w:val="00E91C57"/>
    <w:rsid w:val="00E94777"/>
    <w:rsid w:val="00E969CF"/>
    <w:rsid w:val="00E969EC"/>
    <w:rsid w:val="00E96D32"/>
    <w:rsid w:val="00EA2B3D"/>
    <w:rsid w:val="00EA2EAE"/>
    <w:rsid w:val="00EA324D"/>
    <w:rsid w:val="00EA36C6"/>
    <w:rsid w:val="00EA512D"/>
    <w:rsid w:val="00EA56A1"/>
    <w:rsid w:val="00EA5B90"/>
    <w:rsid w:val="00EA5E7C"/>
    <w:rsid w:val="00EA6488"/>
    <w:rsid w:val="00EA75B5"/>
    <w:rsid w:val="00EB0FE3"/>
    <w:rsid w:val="00EB1A11"/>
    <w:rsid w:val="00EB2FE4"/>
    <w:rsid w:val="00EB4C4D"/>
    <w:rsid w:val="00EB706D"/>
    <w:rsid w:val="00EC0563"/>
    <w:rsid w:val="00EC0910"/>
    <w:rsid w:val="00EC133E"/>
    <w:rsid w:val="00EC30F9"/>
    <w:rsid w:val="00EC39AA"/>
    <w:rsid w:val="00EC3AA0"/>
    <w:rsid w:val="00EC4409"/>
    <w:rsid w:val="00EC52E4"/>
    <w:rsid w:val="00EC5A89"/>
    <w:rsid w:val="00ED0510"/>
    <w:rsid w:val="00ED0C5D"/>
    <w:rsid w:val="00ED1CA9"/>
    <w:rsid w:val="00ED2E55"/>
    <w:rsid w:val="00ED3CFE"/>
    <w:rsid w:val="00ED47EA"/>
    <w:rsid w:val="00ED47EB"/>
    <w:rsid w:val="00ED5725"/>
    <w:rsid w:val="00ED7031"/>
    <w:rsid w:val="00ED7DC7"/>
    <w:rsid w:val="00EE1735"/>
    <w:rsid w:val="00EE23B9"/>
    <w:rsid w:val="00EE3060"/>
    <w:rsid w:val="00EE311F"/>
    <w:rsid w:val="00EE4315"/>
    <w:rsid w:val="00EE52AD"/>
    <w:rsid w:val="00EE61F2"/>
    <w:rsid w:val="00EE6242"/>
    <w:rsid w:val="00EE6B06"/>
    <w:rsid w:val="00EE749F"/>
    <w:rsid w:val="00EF0ADF"/>
    <w:rsid w:val="00EF2291"/>
    <w:rsid w:val="00EF4D92"/>
    <w:rsid w:val="00EF5005"/>
    <w:rsid w:val="00EF58B6"/>
    <w:rsid w:val="00EF5A33"/>
    <w:rsid w:val="00EF67F4"/>
    <w:rsid w:val="00EF6925"/>
    <w:rsid w:val="00F02402"/>
    <w:rsid w:val="00F02759"/>
    <w:rsid w:val="00F032AC"/>
    <w:rsid w:val="00F03AD8"/>
    <w:rsid w:val="00F066C0"/>
    <w:rsid w:val="00F06A79"/>
    <w:rsid w:val="00F07B90"/>
    <w:rsid w:val="00F118B4"/>
    <w:rsid w:val="00F12118"/>
    <w:rsid w:val="00F12DAC"/>
    <w:rsid w:val="00F13222"/>
    <w:rsid w:val="00F152FC"/>
    <w:rsid w:val="00F15512"/>
    <w:rsid w:val="00F16790"/>
    <w:rsid w:val="00F20C0D"/>
    <w:rsid w:val="00F2149F"/>
    <w:rsid w:val="00F24666"/>
    <w:rsid w:val="00F24BBA"/>
    <w:rsid w:val="00F26BC0"/>
    <w:rsid w:val="00F26ED3"/>
    <w:rsid w:val="00F2794A"/>
    <w:rsid w:val="00F27B6B"/>
    <w:rsid w:val="00F302C6"/>
    <w:rsid w:val="00F322A2"/>
    <w:rsid w:val="00F3294B"/>
    <w:rsid w:val="00F34EF4"/>
    <w:rsid w:val="00F36750"/>
    <w:rsid w:val="00F36C2A"/>
    <w:rsid w:val="00F407C8"/>
    <w:rsid w:val="00F40DFF"/>
    <w:rsid w:val="00F44EB1"/>
    <w:rsid w:val="00F454F3"/>
    <w:rsid w:val="00F46C12"/>
    <w:rsid w:val="00F4735D"/>
    <w:rsid w:val="00F477A6"/>
    <w:rsid w:val="00F47A34"/>
    <w:rsid w:val="00F47ECD"/>
    <w:rsid w:val="00F47FAE"/>
    <w:rsid w:val="00F50DC9"/>
    <w:rsid w:val="00F53272"/>
    <w:rsid w:val="00F5598B"/>
    <w:rsid w:val="00F56308"/>
    <w:rsid w:val="00F57CB8"/>
    <w:rsid w:val="00F6010A"/>
    <w:rsid w:val="00F6020B"/>
    <w:rsid w:val="00F62B7A"/>
    <w:rsid w:val="00F6303D"/>
    <w:rsid w:val="00F6397D"/>
    <w:rsid w:val="00F704DB"/>
    <w:rsid w:val="00F7293E"/>
    <w:rsid w:val="00F75512"/>
    <w:rsid w:val="00F7613B"/>
    <w:rsid w:val="00F76316"/>
    <w:rsid w:val="00F76650"/>
    <w:rsid w:val="00F76B81"/>
    <w:rsid w:val="00F76DA4"/>
    <w:rsid w:val="00F77220"/>
    <w:rsid w:val="00F7723E"/>
    <w:rsid w:val="00F801F9"/>
    <w:rsid w:val="00F820EC"/>
    <w:rsid w:val="00F82AC1"/>
    <w:rsid w:val="00F8320C"/>
    <w:rsid w:val="00F84AD8"/>
    <w:rsid w:val="00F85775"/>
    <w:rsid w:val="00F87829"/>
    <w:rsid w:val="00F87860"/>
    <w:rsid w:val="00F878F7"/>
    <w:rsid w:val="00F90544"/>
    <w:rsid w:val="00F90563"/>
    <w:rsid w:val="00F90CD2"/>
    <w:rsid w:val="00F9187B"/>
    <w:rsid w:val="00F91BF0"/>
    <w:rsid w:val="00F92385"/>
    <w:rsid w:val="00F923DF"/>
    <w:rsid w:val="00F932F9"/>
    <w:rsid w:val="00F9428C"/>
    <w:rsid w:val="00F95268"/>
    <w:rsid w:val="00FA04CE"/>
    <w:rsid w:val="00FA155C"/>
    <w:rsid w:val="00FA1B4F"/>
    <w:rsid w:val="00FA320C"/>
    <w:rsid w:val="00FA3C09"/>
    <w:rsid w:val="00FA3EE9"/>
    <w:rsid w:val="00FA5089"/>
    <w:rsid w:val="00FA5EF1"/>
    <w:rsid w:val="00FA67DB"/>
    <w:rsid w:val="00FB0169"/>
    <w:rsid w:val="00FB05CA"/>
    <w:rsid w:val="00FB0FAD"/>
    <w:rsid w:val="00FB21D0"/>
    <w:rsid w:val="00FB3BCA"/>
    <w:rsid w:val="00FB43F5"/>
    <w:rsid w:val="00FB46B2"/>
    <w:rsid w:val="00FB4CA1"/>
    <w:rsid w:val="00FB5D52"/>
    <w:rsid w:val="00FB6C39"/>
    <w:rsid w:val="00FC47F9"/>
    <w:rsid w:val="00FC54B0"/>
    <w:rsid w:val="00FD137D"/>
    <w:rsid w:val="00FD2160"/>
    <w:rsid w:val="00FD2434"/>
    <w:rsid w:val="00FD24D4"/>
    <w:rsid w:val="00FD31A8"/>
    <w:rsid w:val="00FD375F"/>
    <w:rsid w:val="00FD3761"/>
    <w:rsid w:val="00FD42D2"/>
    <w:rsid w:val="00FD5911"/>
    <w:rsid w:val="00FD7085"/>
    <w:rsid w:val="00FE005B"/>
    <w:rsid w:val="00FE0790"/>
    <w:rsid w:val="00FE2351"/>
    <w:rsid w:val="00FE337D"/>
    <w:rsid w:val="00FE3903"/>
    <w:rsid w:val="00FE5580"/>
    <w:rsid w:val="00FE76B6"/>
    <w:rsid w:val="00FE7A99"/>
    <w:rsid w:val="00FF110C"/>
    <w:rsid w:val="00FF339D"/>
    <w:rsid w:val="00FF50B9"/>
    <w:rsid w:val="00FF62CA"/>
    <w:rsid w:val="00FF76DC"/>
    <w:rsid w:val="01584E03"/>
    <w:rsid w:val="0187456E"/>
    <w:rsid w:val="018DCF88"/>
    <w:rsid w:val="01958A3D"/>
    <w:rsid w:val="022C9055"/>
    <w:rsid w:val="02DA365B"/>
    <w:rsid w:val="03150B38"/>
    <w:rsid w:val="03208619"/>
    <w:rsid w:val="035CB090"/>
    <w:rsid w:val="036556CF"/>
    <w:rsid w:val="04046D50"/>
    <w:rsid w:val="0419216B"/>
    <w:rsid w:val="04417864"/>
    <w:rsid w:val="04AF0B6F"/>
    <w:rsid w:val="04EB4B8A"/>
    <w:rsid w:val="054513BD"/>
    <w:rsid w:val="05AABAED"/>
    <w:rsid w:val="05D78749"/>
    <w:rsid w:val="05E6C9E2"/>
    <w:rsid w:val="05F5D431"/>
    <w:rsid w:val="06056669"/>
    <w:rsid w:val="062BF1F7"/>
    <w:rsid w:val="06337A8B"/>
    <w:rsid w:val="06478B73"/>
    <w:rsid w:val="067DFF75"/>
    <w:rsid w:val="06B15796"/>
    <w:rsid w:val="06DA1C21"/>
    <w:rsid w:val="06E1AE67"/>
    <w:rsid w:val="06FF367F"/>
    <w:rsid w:val="0731C68B"/>
    <w:rsid w:val="075B2ABC"/>
    <w:rsid w:val="075D22FA"/>
    <w:rsid w:val="075EF3FA"/>
    <w:rsid w:val="07631C64"/>
    <w:rsid w:val="0829EC62"/>
    <w:rsid w:val="0884A2B5"/>
    <w:rsid w:val="0889B63D"/>
    <w:rsid w:val="0891BA3F"/>
    <w:rsid w:val="08A0FCD8"/>
    <w:rsid w:val="08A456D7"/>
    <w:rsid w:val="08BA570B"/>
    <w:rsid w:val="08EF92EE"/>
    <w:rsid w:val="093B7991"/>
    <w:rsid w:val="093D5D6A"/>
    <w:rsid w:val="09454108"/>
    <w:rsid w:val="0A298A19"/>
    <w:rsid w:val="0A33857F"/>
    <w:rsid w:val="0A4F3555"/>
    <w:rsid w:val="0A76A42C"/>
    <w:rsid w:val="0A942C44"/>
    <w:rsid w:val="0AC8B355"/>
    <w:rsid w:val="0B1992DE"/>
    <w:rsid w:val="0B2F9CFA"/>
    <w:rsid w:val="0B57FE08"/>
    <w:rsid w:val="0B70AAF1"/>
    <w:rsid w:val="0B76B510"/>
    <w:rsid w:val="0B8EDFA3"/>
    <w:rsid w:val="0BB5203A"/>
    <w:rsid w:val="0BCA239F"/>
    <w:rsid w:val="0C122800"/>
    <w:rsid w:val="0C6D56ED"/>
    <w:rsid w:val="0C80DC2E"/>
    <w:rsid w:val="0C899302"/>
    <w:rsid w:val="0CA915FE"/>
    <w:rsid w:val="0CBE9F3D"/>
    <w:rsid w:val="0CE5873F"/>
    <w:rsid w:val="0D41495B"/>
    <w:rsid w:val="0D43746A"/>
    <w:rsid w:val="0D480646"/>
    <w:rsid w:val="0D8621BE"/>
    <w:rsid w:val="0DC27EBA"/>
    <w:rsid w:val="0DD327DE"/>
    <w:rsid w:val="0E43B5C4"/>
    <w:rsid w:val="0EBC35FA"/>
    <w:rsid w:val="0EDCB515"/>
    <w:rsid w:val="0FB9DF61"/>
    <w:rsid w:val="0FBDC19E"/>
    <w:rsid w:val="0FE0506E"/>
    <w:rsid w:val="101D8CA8"/>
    <w:rsid w:val="105AC8E2"/>
    <w:rsid w:val="11698DD9"/>
    <w:rsid w:val="11C1AFE6"/>
    <w:rsid w:val="11F85FAB"/>
    <w:rsid w:val="1209D89B"/>
    <w:rsid w:val="1234DE3B"/>
    <w:rsid w:val="124B1B83"/>
    <w:rsid w:val="130F9F03"/>
    <w:rsid w:val="132ACBB1"/>
    <w:rsid w:val="134BDF1E"/>
    <w:rsid w:val="13744A14"/>
    <w:rsid w:val="13B5B5DE"/>
    <w:rsid w:val="1432BD58"/>
    <w:rsid w:val="148C858B"/>
    <w:rsid w:val="14A382D9"/>
    <w:rsid w:val="15443BE4"/>
    <w:rsid w:val="154666F3"/>
    <w:rsid w:val="156BA910"/>
    <w:rsid w:val="15C47524"/>
    <w:rsid w:val="15DBAEE5"/>
    <w:rsid w:val="162DC887"/>
    <w:rsid w:val="1637348E"/>
    <w:rsid w:val="1662D14A"/>
    <w:rsid w:val="16665C6F"/>
    <w:rsid w:val="167A3194"/>
    <w:rsid w:val="16881417"/>
    <w:rsid w:val="16B0B0E3"/>
    <w:rsid w:val="16F575FC"/>
    <w:rsid w:val="17023F6D"/>
    <w:rsid w:val="171C18DF"/>
    <w:rsid w:val="1724CFB3"/>
    <w:rsid w:val="172C5847"/>
    <w:rsid w:val="173FFB96"/>
    <w:rsid w:val="1785601E"/>
    <w:rsid w:val="17978D72"/>
    <w:rsid w:val="17DC860C"/>
    <w:rsid w:val="17E246D8"/>
    <w:rsid w:val="18133681"/>
    <w:rsid w:val="18540878"/>
    <w:rsid w:val="18560261"/>
    <w:rsid w:val="185CBF4C"/>
    <w:rsid w:val="186BD0BF"/>
    <w:rsid w:val="18819F1D"/>
    <w:rsid w:val="189E96AE"/>
    <w:rsid w:val="18DB6750"/>
    <w:rsid w:val="192B71F8"/>
    <w:rsid w:val="1954E3A5"/>
    <w:rsid w:val="1995AB04"/>
    <w:rsid w:val="19B46307"/>
    <w:rsid w:val="19DF38BB"/>
    <w:rsid w:val="1AE466C5"/>
    <w:rsid w:val="1BC84DFC"/>
    <w:rsid w:val="1BC94A1B"/>
    <w:rsid w:val="1C49E8B7"/>
    <w:rsid w:val="1C742DF6"/>
    <w:rsid w:val="1CD2193A"/>
    <w:rsid w:val="1D9D9304"/>
    <w:rsid w:val="1DA0551E"/>
    <w:rsid w:val="1DE6EAA9"/>
    <w:rsid w:val="1DE9CB91"/>
    <w:rsid w:val="1E170F59"/>
    <w:rsid w:val="1E235BEA"/>
    <w:rsid w:val="1E4FF575"/>
    <w:rsid w:val="1E85DAF1"/>
    <w:rsid w:val="1EA622E5"/>
    <w:rsid w:val="1EC971CA"/>
    <w:rsid w:val="1EDA1479"/>
    <w:rsid w:val="1F139E50"/>
    <w:rsid w:val="1F200787"/>
    <w:rsid w:val="1F46481E"/>
    <w:rsid w:val="1F643EFE"/>
    <w:rsid w:val="1F76A5CB"/>
    <w:rsid w:val="1FE1A3A4"/>
    <w:rsid w:val="2045F6C1"/>
    <w:rsid w:val="2046C5EB"/>
    <w:rsid w:val="206EC348"/>
    <w:rsid w:val="20C5EB2F"/>
    <w:rsid w:val="20F7B40C"/>
    <w:rsid w:val="21B5F57A"/>
    <w:rsid w:val="21C0B22A"/>
    <w:rsid w:val="21CC26D4"/>
    <w:rsid w:val="21DDAFBD"/>
    <w:rsid w:val="220D75CF"/>
    <w:rsid w:val="221317AC"/>
    <w:rsid w:val="228C9401"/>
    <w:rsid w:val="2304166D"/>
    <w:rsid w:val="23240702"/>
    <w:rsid w:val="232B7DFE"/>
    <w:rsid w:val="2376A401"/>
    <w:rsid w:val="23C289B1"/>
    <w:rsid w:val="23D8A14B"/>
    <w:rsid w:val="23F02056"/>
    <w:rsid w:val="23FB340F"/>
    <w:rsid w:val="2427FFBB"/>
    <w:rsid w:val="246D27D0"/>
    <w:rsid w:val="2474B064"/>
    <w:rsid w:val="24AA640A"/>
    <w:rsid w:val="24C6F003"/>
    <w:rsid w:val="259B007F"/>
    <w:rsid w:val="25AE02C9"/>
    <w:rsid w:val="25DC1856"/>
    <w:rsid w:val="26147CD4"/>
    <w:rsid w:val="2652E7FE"/>
    <w:rsid w:val="268AC763"/>
    <w:rsid w:val="269FCAC8"/>
    <w:rsid w:val="26A0C6E7"/>
    <w:rsid w:val="26CFBE52"/>
    <w:rsid w:val="2722FA10"/>
    <w:rsid w:val="27F8397C"/>
    <w:rsid w:val="281DAD6F"/>
    <w:rsid w:val="2871B5D1"/>
    <w:rsid w:val="28D5621D"/>
    <w:rsid w:val="28E4A661"/>
    <w:rsid w:val="28EB3226"/>
    <w:rsid w:val="293FCB6B"/>
    <w:rsid w:val="2944FA59"/>
    <w:rsid w:val="295AC8B7"/>
    <w:rsid w:val="29859092"/>
    <w:rsid w:val="299C8DE0"/>
    <w:rsid w:val="29B25C3E"/>
    <w:rsid w:val="2A18356C"/>
    <w:rsid w:val="2A90DE94"/>
    <w:rsid w:val="2A92B850"/>
    <w:rsid w:val="2A9D0BAD"/>
    <w:rsid w:val="2AAD40C3"/>
    <w:rsid w:val="2ADD344D"/>
    <w:rsid w:val="2B36A9F6"/>
    <w:rsid w:val="2B63C82C"/>
    <w:rsid w:val="2BB1A715"/>
    <w:rsid w:val="2BCE330E"/>
    <w:rsid w:val="2BD6B8BC"/>
    <w:rsid w:val="2BE72A45"/>
    <w:rsid w:val="2BEEE34F"/>
    <w:rsid w:val="2C545A97"/>
    <w:rsid w:val="2C676385"/>
    <w:rsid w:val="2C8C752C"/>
    <w:rsid w:val="2CA04BA0"/>
    <w:rsid w:val="2D081C90"/>
    <w:rsid w:val="2D2476B3"/>
    <w:rsid w:val="2D70A3BA"/>
    <w:rsid w:val="2DB79C65"/>
    <w:rsid w:val="2DC8BA33"/>
    <w:rsid w:val="2DE2E9F7"/>
    <w:rsid w:val="2DFB153A"/>
    <w:rsid w:val="2E1AC95C"/>
    <w:rsid w:val="2E593486"/>
    <w:rsid w:val="2EE0F5AA"/>
    <w:rsid w:val="2EE5253A"/>
    <w:rsid w:val="2EFFADAD"/>
    <w:rsid w:val="2F3CB8C1"/>
    <w:rsid w:val="2F54E404"/>
    <w:rsid w:val="2F61FB8E"/>
    <w:rsid w:val="2F7FB677"/>
    <w:rsid w:val="2FBCC0DB"/>
    <w:rsid w:val="2FC90D2C"/>
    <w:rsid w:val="300BC1BA"/>
    <w:rsid w:val="303E7DE6"/>
    <w:rsid w:val="3040541A"/>
    <w:rsid w:val="3091E116"/>
    <w:rsid w:val="309A1C4D"/>
    <w:rsid w:val="311494C1"/>
    <w:rsid w:val="31260414"/>
    <w:rsid w:val="313AD558"/>
    <w:rsid w:val="313B0779"/>
    <w:rsid w:val="31793FD2"/>
    <w:rsid w:val="3198F0CC"/>
    <w:rsid w:val="320F4820"/>
    <w:rsid w:val="322B33ED"/>
    <w:rsid w:val="32899069"/>
    <w:rsid w:val="330BF568"/>
    <w:rsid w:val="33709ECE"/>
    <w:rsid w:val="33A1CBE0"/>
    <w:rsid w:val="34470B7F"/>
    <w:rsid w:val="3459B35F"/>
    <w:rsid w:val="3500B738"/>
    <w:rsid w:val="35352035"/>
    <w:rsid w:val="355F46F6"/>
    <w:rsid w:val="35A43F90"/>
    <w:rsid w:val="360032D2"/>
    <w:rsid w:val="36338A43"/>
    <w:rsid w:val="3649AE83"/>
    <w:rsid w:val="364BB586"/>
    <w:rsid w:val="3679AF27"/>
    <w:rsid w:val="36803946"/>
    <w:rsid w:val="3697383A"/>
    <w:rsid w:val="36F6EA08"/>
    <w:rsid w:val="371D58CB"/>
    <w:rsid w:val="37391DDA"/>
    <w:rsid w:val="373FAB4A"/>
    <w:rsid w:val="375D2A64"/>
    <w:rsid w:val="3764EE17"/>
    <w:rsid w:val="3784D35F"/>
    <w:rsid w:val="37A35941"/>
    <w:rsid w:val="37E563CA"/>
    <w:rsid w:val="388D0EE4"/>
    <w:rsid w:val="389651EB"/>
    <w:rsid w:val="38997869"/>
    <w:rsid w:val="38DDA339"/>
    <w:rsid w:val="38F11738"/>
    <w:rsid w:val="39168B2B"/>
    <w:rsid w:val="393C3E32"/>
    <w:rsid w:val="393EF621"/>
    <w:rsid w:val="39CC479B"/>
    <w:rsid w:val="39E769E1"/>
    <w:rsid w:val="3A123AA9"/>
    <w:rsid w:val="3A189548"/>
    <w:rsid w:val="3A820420"/>
    <w:rsid w:val="3AB421F4"/>
    <w:rsid w:val="3B2516B2"/>
    <w:rsid w:val="3B2B4214"/>
    <w:rsid w:val="3B345CDF"/>
    <w:rsid w:val="3BA61E7F"/>
    <w:rsid w:val="3BAED553"/>
    <w:rsid w:val="3BD3B524"/>
    <w:rsid w:val="3C1284F5"/>
    <w:rsid w:val="3C1E3ABE"/>
    <w:rsid w:val="3C7C5A0A"/>
    <w:rsid w:val="3CAA84D1"/>
    <w:rsid w:val="3CD6223D"/>
    <w:rsid w:val="3CE7C10B"/>
    <w:rsid w:val="3D06790E"/>
    <w:rsid w:val="3D282AAC"/>
    <w:rsid w:val="3D2CB7FA"/>
    <w:rsid w:val="3DC5F81B"/>
    <w:rsid w:val="3E471F7B"/>
    <w:rsid w:val="3E718DF7"/>
    <w:rsid w:val="3E7631E5"/>
    <w:rsid w:val="3EA393C0"/>
    <w:rsid w:val="3EF4F010"/>
    <w:rsid w:val="3F1A6403"/>
    <w:rsid w:val="3F1B6022"/>
    <w:rsid w:val="3F3F1C96"/>
    <w:rsid w:val="3F65EB7D"/>
    <w:rsid w:val="4050EC38"/>
    <w:rsid w:val="40A1208A"/>
    <w:rsid w:val="40AF12D2"/>
    <w:rsid w:val="412C5475"/>
    <w:rsid w:val="417971E5"/>
    <w:rsid w:val="41ABF140"/>
    <w:rsid w:val="42221396"/>
    <w:rsid w:val="42325158"/>
    <w:rsid w:val="42721D8E"/>
    <w:rsid w:val="42764D1E"/>
    <w:rsid w:val="428DAD68"/>
    <w:rsid w:val="4292CDCF"/>
    <w:rsid w:val="42A97013"/>
    <w:rsid w:val="433B60B9"/>
    <w:rsid w:val="4361554D"/>
    <w:rsid w:val="43C0D94F"/>
    <w:rsid w:val="445B37BB"/>
    <w:rsid w:val="446B1482"/>
    <w:rsid w:val="4488FB96"/>
    <w:rsid w:val="44A02EAA"/>
    <w:rsid w:val="44C66CE6"/>
    <w:rsid w:val="44C889C6"/>
    <w:rsid w:val="4526C289"/>
    <w:rsid w:val="4526F3AF"/>
    <w:rsid w:val="454F5EA5"/>
    <w:rsid w:val="45642FE9"/>
    <w:rsid w:val="45685F79"/>
    <w:rsid w:val="4582E7EC"/>
    <w:rsid w:val="45FE5E2A"/>
    <w:rsid w:val="46874E3E"/>
    <w:rsid w:val="468AEE4D"/>
    <w:rsid w:val="46933788"/>
    <w:rsid w:val="46C38E59"/>
    <w:rsid w:val="46F381E3"/>
    <w:rsid w:val="47149FB8"/>
    <w:rsid w:val="4745C182"/>
    <w:rsid w:val="47602D62"/>
    <w:rsid w:val="4775702B"/>
    <w:rsid w:val="4796D2E1"/>
    <w:rsid w:val="47D4DB0F"/>
    <w:rsid w:val="4819060A"/>
    <w:rsid w:val="4874FA47"/>
    <w:rsid w:val="48A2C2C2"/>
    <w:rsid w:val="49336D8B"/>
    <w:rsid w:val="493D207E"/>
    <w:rsid w:val="4944AA0D"/>
    <w:rsid w:val="49796099"/>
    <w:rsid w:val="498F2FA7"/>
    <w:rsid w:val="49DCDD6A"/>
    <w:rsid w:val="4A4DE620"/>
    <w:rsid w:val="4A4ED12B"/>
    <w:rsid w:val="4A791169"/>
    <w:rsid w:val="4AEE8C6C"/>
    <w:rsid w:val="4B3EDE1F"/>
    <w:rsid w:val="4B65AC8C"/>
    <w:rsid w:val="4B670CA2"/>
    <w:rsid w:val="4B8F7798"/>
    <w:rsid w:val="4BD4934E"/>
    <w:rsid w:val="4C36BC68"/>
    <w:rsid w:val="4C4EE6FB"/>
    <w:rsid w:val="4C752792"/>
    <w:rsid w:val="4CD01E05"/>
    <w:rsid w:val="4CE3F32A"/>
    <w:rsid w:val="4D40E386"/>
    <w:rsid w:val="4D6B84D3"/>
    <w:rsid w:val="4D7DEE9A"/>
    <w:rsid w:val="4DE09EC7"/>
    <w:rsid w:val="4DE9C53A"/>
    <w:rsid w:val="4DFF56CA"/>
    <w:rsid w:val="4E014F08"/>
    <w:rsid w:val="4E1CADBC"/>
    <w:rsid w:val="4E7CF817"/>
    <w:rsid w:val="4EB9D897"/>
    <w:rsid w:val="4EBE8B20"/>
    <w:rsid w:val="4ECBAC91"/>
    <w:rsid w:val="4EF4495D"/>
    <w:rsid w:val="4F4528E6"/>
    <w:rsid w:val="4FC23060"/>
    <w:rsid w:val="4FDB25EC"/>
    <w:rsid w:val="4FEBDA24"/>
    <w:rsid w:val="4FFF6C9A"/>
    <w:rsid w:val="503F5E84"/>
    <w:rsid w:val="50768CBA"/>
    <w:rsid w:val="50E8E79B"/>
    <w:rsid w:val="50FA1FF9"/>
    <w:rsid w:val="511AD03A"/>
    <w:rsid w:val="51262AFE"/>
    <w:rsid w:val="514E7EF4"/>
    <w:rsid w:val="514FD5FB"/>
    <w:rsid w:val="51944D3F"/>
    <w:rsid w:val="51A5C46B"/>
    <w:rsid w:val="51B40161"/>
    <w:rsid w:val="52330BB1"/>
    <w:rsid w:val="528ECEC8"/>
    <w:rsid w:val="52F87C49"/>
    <w:rsid w:val="530001E2"/>
    <w:rsid w:val="533D3881"/>
    <w:rsid w:val="538CA6D8"/>
    <w:rsid w:val="539EC104"/>
    <w:rsid w:val="53AE71E6"/>
    <w:rsid w:val="53DE1DB5"/>
    <w:rsid w:val="5405298B"/>
    <w:rsid w:val="54A3E8AD"/>
    <w:rsid w:val="54CA59BA"/>
    <w:rsid w:val="54CB55D9"/>
    <w:rsid w:val="54D7806A"/>
    <w:rsid w:val="552421ED"/>
    <w:rsid w:val="55294D9C"/>
    <w:rsid w:val="554C8CE3"/>
    <w:rsid w:val="55615E27"/>
    <w:rsid w:val="556A2A78"/>
    <w:rsid w:val="5580E123"/>
    <w:rsid w:val="559D9E42"/>
    <w:rsid w:val="561FD16B"/>
    <w:rsid w:val="56356EA3"/>
    <w:rsid w:val="56370B2C"/>
    <w:rsid w:val="56847C7C"/>
    <w:rsid w:val="56B8D0BC"/>
    <w:rsid w:val="56CE9F1A"/>
    <w:rsid w:val="57802BFA"/>
    <w:rsid w:val="5786F432"/>
    <w:rsid w:val="578D125E"/>
    <w:rsid w:val="57FD4F37"/>
    <w:rsid w:val="58280EF0"/>
    <w:rsid w:val="5872F37E"/>
    <w:rsid w:val="58993365"/>
    <w:rsid w:val="58AF64BF"/>
    <w:rsid w:val="58B15CFD"/>
    <w:rsid w:val="58E1E274"/>
    <w:rsid w:val="5969687F"/>
    <w:rsid w:val="59768ED7"/>
    <w:rsid w:val="59E5F442"/>
    <w:rsid w:val="59EB7950"/>
    <w:rsid w:val="5A64F5A5"/>
    <w:rsid w:val="5A723E55"/>
    <w:rsid w:val="5A7CA4DD"/>
    <w:rsid w:val="5A9DDBC1"/>
    <w:rsid w:val="5AA6040F"/>
    <w:rsid w:val="5AAF7A8F"/>
    <w:rsid w:val="5ACE3292"/>
    <w:rsid w:val="5AD5BB26"/>
    <w:rsid w:val="5B27FAC5"/>
    <w:rsid w:val="5B8C8505"/>
    <w:rsid w:val="5BA1771A"/>
    <w:rsid w:val="5BB2CFFF"/>
    <w:rsid w:val="5BDE822E"/>
    <w:rsid w:val="5BE50DF3"/>
    <w:rsid w:val="5C04C215"/>
    <w:rsid w:val="5C68A132"/>
    <w:rsid w:val="5C910C28"/>
    <w:rsid w:val="5CC20A2A"/>
    <w:rsid w:val="5CF6EC25"/>
    <w:rsid w:val="5D1E5DA2"/>
    <w:rsid w:val="5D3E4E37"/>
    <w:rsid w:val="5D6966FB"/>
    <w:rsid w:val="5DAFA23E"/>
    <w:rsid w:val="5E0637FB"/>
    <w:rsid w:val="5E35A600"/>
    <w:rsid w:val="5E6088DF"/>
    <w:rsid w:val="5E9095C3"/>
    <w:rsid w:val="5E965E84"/>
    <w:rsid w:val="5F00EB5A"/>
    <w:rsid w:val="5F7050C5"/>
    <w:rsid w:val="5F897922"/>
    <w:rsid w:val="5FA9F033"/>
    <w:rsid w:val="5FD0D889"/>
    <w:rsid w:val="5FE9CD1A"/>
    <w:rsid w:val="5FFB9EB9"/>
    <w:rsid w:val="60B25748"/>
    <w:rsid w:val="60BB0E1C"/>
    <w:rsid w:val="6118FA97"/>
    <w:rsid w:val="61358690"/>
    <w:rsid w:val="613E3F0F"/>
    <w:rsid w:val="614A27A9"/>
    <w:rsid w:val="615CF567"/>
    <w:rsid w:val="615FAB40"/>
    <w:rsid w:val="619A31A1"/>
    <w:rsid w:val="62D24FAB"/>
    <w:rsid w:val="62E03183"/>
    <w:rsid w:val="630118A5"/>
    <w:rsid w:val="632AED4E"/>
    <w:rsid w:val="6349415A"/>
    <w:rsid w:val="643C3A04"/>
    <w:rsid w:val="644F07C2"/>
    <w:rsid w:val="645003E1"/>
    <w:rsid w:val="6464D6D0"/>
    <w:rsid w:val="64BF9C1D"/>
    <w:rsid w:val="6520D399"/>
    <w:rsid w:val="65A38354"/>
    <w:rsid w:val="65E4E3D6"/>
    <w:rsid w:val="65F9B51A"/>
    <w:rsid w:val="66396A3A"/>
    <w:rsid w:val="665B07D7"/>
    <w:rsid w:val="66E24365"/>
    <w:rsid w:val="676D1A8A"/>
    <w:rsid w:val="678285E7"/>
    <w:rsid w:val="679E0B29"/>
    <w:rsid w:val="681882ED"/>
    <w:rsid w:val="687F6455"/>
    <w:rsid w:val="68D31F47"/>
    <w:rsid w:val="68F2FE98"/>
    <w:rsid w:val="6969C180"/>
    <w:rsid w:val="698B855C"/>
    <w:rsid w:val="69A153BA"/>
    <w:rsid w:val="69C83310"/>
    <w:rsid w:val="69E82218"/>
    <w:rsid w:val="6A0501B1"/>
    <w:rsid w:val="6A47CAF0"/>
    <w:rsid w:val="6A4AAF90"/>
    <w:rsid w:val="6A6ADAB7"/>
    <w:rsid w:val="6A7068B2"/>
    <w:rsid w:val="6AF19FBC"/>
    <w:rsid w:val="6AF867F4"/>
    <w:rsid w:val="6B4E9018"/>
    <w:rsid w:val="6B6A1FF2"/>
    <w:rsid w:val="6BA6A5C9"/>
    <w:rsid w:val="6BE5645A"/>
    <w:rsid w:val="6C3F2C8D"/>
    <w:rsid w:val="6C6FC2F6"/>
    <w:rsid w:val="6C858392"/>
    <w:rsid w:val="6CCB76A0"/>
    <w:rsid w:val="6CE145AE"/>
    <w:rsid w:val="6CE80299"/>
    <w:rsid w:val="6D16C82E"/>
    <w:rsid w:val="6D4DA9C9"/>
    <w:rsid w:val="6D7A7625"/>
    <w:rsid w:val="6E23D8D0"/>
    <w:rsid w:val="6E316C1D"/>
    <w:rsid w:val="6E44D203"/>
    <w:rsid w:val="6E5DFA60"/>
    <w:rsid w:val="6EA649A3"/>
    <w:rsid w:val="6EB7C293"/>
    <w:rsid w:val="6EB922A9"/>
    <w:rsid w:val="6F15E1DF"/>
    <w:rsid w:val="6F8E417F"/>
    <w:rsid w:val="6FA0FDB2"/>
    <w:rsid w:val="6FFAC535"/>
    <w:rsid w:val="7011ED8A"/>
    <w:rsid w:val="7022340C"/>
    <w:rsid w:val="704B90E5"/>
    <w:rsid w:val="7094F1CB"/>
    <w:rsid w:val="70A10DE6"/>
    <w:rsid w:val="70A799AB"/>
    <w:rsid w:val="712A11E0"/>
    <w:rsid w:val="7177B235"/>
    <w:rsid w:val="7196A093"/>
    <w:rsid w:val="721EF188"/>
    <w:rsid w:val="728998DD"/>
    <w:rsid w:val="72AF9B56"/>
    <w:rsid w:val="72D5AA17"/>
    <w:rsid w:val="72DC35DC"/>
    <w:rsid w:val="72E51E86"/>
    <w:rsid w:val="730B8F93"/>
    <w:rsid w:val="732D3BF3"/>
    <w:rsid w:val="735E9ADB"/>
    <w:rsid w:val="73870426"/>
    <w:rsid w:val="73CBFCC0"/>
    <w:rsid w:val="73D2B9AB"/>
    <w:rsid w:val="73DFD93E"/>
    <w:rsid w:val="74334A16"/>
    <w:rsid w:val="74437F2C"/>
    <w:rsid w:val="7445776A"/>
    <w:rsid w:val="74A03E62"/>
    <w:rsid w:val="74C12079"/>
    <w:rsid w:val="74E3E17A"/>
    <w:rsid w:val="750AA944"/>
    <w:rsid w:val="750ABA94"/>
    <w:rsid w:val="750FD4F3"/>
    <w:rsid w:val="75297432"/>
    <w:rsid w:val="755EB1A6"/>
    <w:rsid w:val="75B41923"/>
    <w:rsid w:val="75CECFC7"/>
    <w:rsid w:val="75E9CCC9"/>
    <w:rsid w:val="75F91012"/>
    <w:rsid w:val="76072119"/>
    <w:rsid w:val="76107051"/>
    <w:rsid w:val="76804868"/>
    <w:rsid w:val="76B14148"/>
    <w:rsid w:val="7722B881"/>
    <w:rsid w:val="772848D7"/>
    <w:rsid w:val="7753E593"/>
    <w:rsid w:val="779250BD"/>
    <w:rsid w:val="77D2E6F6"/>
    <w:rsid w:val="77D7CB3C"/>
    <w:rsid w:val="781D6BE0"/>
    <w:rsid w:val="7871AF47"/>
    <w:rsid w:val="787637F4"/>
    <w:rsid w:val="787B63A3"/>
    <w:rsid w:val="78888B17"/>
    <w:rsid w:val="789EA2EA"/>
    <w:rsid w:val="78A62B7E"/>
    <w:rsid w:val="78D2E7D0"/>
    <w:rsid w:val="78D2F72A"/>
    <w:rsid w:val="791160A9"/>
    <w:rsid w:val="7A6178A3"/>
    <w:rsid w:val="7B0F7E3B"/>
    <w:rsid w:val="7B87FE71"/>
    <w:rsid w:val="7BEA4C52"/>
    <w:rsid w:val="7C017AC6"/>
    <w:rsid w:val="7C037304"/>
    <w:rsid w:val="7CA330EB"/>
    <w:rsid w:val="7CF821C0"/>
    <w:rsid w:val="7D16217B"/>
    <w:rsid w:val="7D2E4C0E"/>
    <w:rsid w:val="7D3D8F57"/>
    <w:rsid w:val="7D41F00D"/>
    <w:rsid w:val="7DE3D758"/>
    <w:rsid w:val="7DEC07F4"/>
    <w:rsid w:val="7E5D53AD"/>
    <w:rsid w:val="7EB6443A"/>
    <w:rsid w:val="7EB71BE0"/>
    <w:rsid w:val="7EC003DA"/>
    <w:rsid w:val="7EC83C08"/>
    <w:rsid w:val="7EE64471"/>
    <w:rsid w:val="7EFC12CF"/>
    <w:rsid w:val="7F11E12D"/>
    <w:rsid w:val="7F309835"/>
    <w:rsid w:val="7F3A7DF9"/>
    <w:rsid w:val="7F954346"/>
    <w:rsid w:val="7FBAB7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A3AFA"/>
  <w15:chartTrackingRefBased/>
  <w15:docId w15:val="{375C5E47-94D8-42CF-BFEB-E68F9055BA31}"/>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9"/>
    <w:qFormat/>
    <w:rsid w:val="000E270A"/>
    <w:pPr>
      <w:numPr>
        <w:numId w:val="7"/>
      </w:numPr>
      <w:ind w:right="2160"/>
    </w:pPr>
    <w:rPr>
      <w:rFonts w:eastAsiaTheme="majorEastAsia" w:cstheme="majorBidi"/>
      <w:szCs w:val="32"/>
    </w:rPr>
  </w:style>
  <w:style w:type="paragraph" w:styleId="Heading2">
    <w:name w:val="heading 2"/>
    <w:basedOn w:val="Dummy"/>
    <w:next w:val="Standard"/>
    <w:link w:val="Heading2Char"/>
    <w:uiPriority w:val="9"/>
    <w:qFormat/>
    <w:rsid w:val="000E270A"/>
    <w:pPr>
      <w:numPr>
        <w:ilvl w:val="1"/>
        <w:numId w:val="7"/>
      </w:numPr>
      <w:ind w:right="2160"/>
      <w:outlineLvl w:val="1"/>
    </w:pPr>
  </w:style>
  <w:style w:type="paragraph" w:styleId="Heading3">
    <w:name w:val="heading 3"/>
    <w:basedOn w:val="Dummy"/>
    <w:next w:val="Standard"/>
    <w:link w:val="Heading3Char"/>
    <w:uiPriority w:val="9"/>
    <w:qFormat/>
    <w:rsid w:val="000E270A"/>
    <w:pPr>
      <w:numPr>
        <w:ilvl w:val="2"/>
        <w:numId w:val="7"/>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7"/>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7"/>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7"/>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7BC5"/>
    <w:rPr>
      <w:rFonts w:ascii="Arial" w:eastAsiaTheme="majorEastAsia" w:hAnsi="Arial" w:cstheme="majorBidi"/>
      <w:b/>
      <w:sz w:val="26"/>
      <w:szCs w:val="32"/>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9"/>
    <w:rsid w:val="00287BC5"/>
    <w:rPr>
      <w:rFonts w:ascii="Arial" w:hAnsi="Arial" w:cs="Arial"/>
      <w:b/>
      <w:sz w:val="26"/>
      <w:szCs w:val="26"/>
    </w:rPr>
  </w:style>
  <w:style w:type="character" w:customStyle="1" w:styleId="Heading3Char">
    <w:name w:val="Heading 3 Char"/>
    <w:basedOn w:val="DefaultParagraphFont"/>
    <w:link w:val="Heading3"/>
    <w:uiPriority w:val="9"/>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1"/>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rsid w:val="0098138E"/>
    <w:pPr>
      <w:tabs>
        <w:tab w:val="center" w:pos="4680"/>
        <w:tab w:val="right" w:pos="9360"/>
      </w:tabs>
      <w:spacing w:line="240" w:lineRule="auto"/>
    </w:pPr>
  </w:style>
  <w:style w:type="character" w:customStyle="1" w:styleId="HeaderChar">
    <w:name w:val="Header Char"/>
    <w:basedOn w:val="DefaultParagraphFont"/>
    <w:link w:val="Header"/>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99"/>
    <w:rsid w:val="007657C1"/>
    <w:rPr>
      <w:rFonts w:ascii="Book Antiqua" w:hAnsi="Book Antiqua"/>
      <w:szCs w:val="20"/>
    </w:rPr>
  </w:style>
  <w:style w:type="character" w:styleId="FootnoteReference">
    <w:name w:val="footnote reference"/>
    <w:aliases w:val="o,fr,o1,o2,o3,o4,o5,o6,o11,o21,o7"/>
    <w:basedOn w:val="DefaultParagraphFont"/>
    <w:uiPriority w:val="99"/>
    <w:semiHidden/>
    <w:unhideWhenUsed/>
    <w:rsid w:val="00DF58E7"/>
    <w:rPr>
      <w:vertAlign w:val="superscript"/>
    </w:rPr>
  </w:style>
  <w:style w:type="paragraph" w:customStyle="1" w:styleId="FoF">
    <w:name w:val="FoF"/>
    <w:basedOn w:val="Standard"/>
    <w:uiPriority w:val="6"/>
    <w:qFormat/>
    <w:rsid w:val="00602874"/>
    <w:pPr>
      <w:ind w:firstLine="540"/>
    </w:pPr>
  </w:style>
  <w:style w:type="paragraph" w:customStyle="1" w:styleId="CoL">
    <w:name w:val="CoL"/>
    <w:basedOn w:val="Standard"/>
    <w:uiPriority w:val="7"/>
    <w:qFormat/>
    <w:rsid w:val="00602874"/>
    <w:p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602874"/>
    <w:pPr>
      <w:ind w:firstLine="540"/>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5"/>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7"/>
      </w:numPr>
      <w:spacing w:after="120" w:line="240" w:lineRule="auto"/>
    </w:pPr>
  </w:style>
  <w:style w:type="paragraph" w:styleId="ListBullet">
    <w:name w:val="List Bullet"/>
    <w:basedOn w:val="Standard"/>
    <w:uiPriority w:val="4"/>
    <w:qFormat/>
    <w:rsid w:val="001F2819"/>
    <w:pPr>
      <w:numPr>
        <w:numId w:val="6"/>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7"/>
      </w:numPr>
      <w:spacing w:after="120" w:line="240" w:lineRule="auto"/>
    </w:pPr>
  </w:style>
  <w:style w:type="paragraph" w:styleId="Revision">
    <w:name w:val="Revision"/>
    <w:hidden/>
    <w:uiPriority w:val="99"/>
    <w:semiHidden/>
    <w:rsid w:val="00A26824"/>
    <w:pPr>
      <w:spacing w:after="0" w:line="240" w:lineRule="auto"/>
    </w:pPr>
    <w:rPr>
      <w:rFonts w:ascii="Book Antiqua" w:hAnsi="Book Antiqua"/>
      <w:sz w:val="26"/>
    </w:rPr>
  </w:style>
  <w:style w:type="character" w:styleId="CommentReference">
    <w:name w:val="annotation reference"/>
    <w:basedOn w:val="DefaultParagraphFont"/>
    <w:uiPriority w:val="99"/>
    <w:semiHidden/>
    <w:unhideWhenUsed/>
    <w:rsid w:val="00010530"/>
    <w:rPr>
      <w:sz w:val="16"/>
      <w:szCs w:val="16"/>
    </w:rPr>
  </w:style>
  <w:style w:type="paragraph" w:styleId="CommentText">
    <w:name w:val="annotation text"/>
    <w:basedOn w:val="Normal"/>
    <w:link w:val="CommentTextChar"/>
    <w:uiPriority w:val="99"/>
    <w:unhideWhenUsed/>
    <w:rsid w:val="00010530"/>
    <w:pPr>
      <w:spacing w:line="240" w:lineRule="auto"/>
    </w:pPr>
    <w:rPr>
      <w:sz w:val="20"/>
      <w:szCs w:val="20"/>
    </w:rPr>
  </w:style>
  <w:style w:type="character" w:customStyle="1" w:styleId="CommentTextChar">
    <w:name w:val="Comment Text Char"/>
    <w:basedOn w:val="DefaultParagraphFont"/>
    <w:link w:val="CommentText"/>
    <w:uiPriority w:val="99"/>
    <w:rsid w:val="00010530"/>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010530"/>
    <w:rPr>
      <w:b/>
      <w:bCs/>
    </w:rPr>
  </w:style>
  <w:style w:type="character" w:customStyle="1" w:styleId="CommentSubjectChar">
    <w:name w:val="Comment Subject Char"/>
    <w:basedOn w:val="CommentTextChar"/>
    <w:link w:val="CommentSubject"/>
    <w:uiPriority w:val="99"/>
    <w:semiHidden/>
    <w:rsid w:val="00010530"/>
    <w:rPr>
      <w:rFonts w:ascii="Book Antiqua" w:hAnsi="Book Antiqua"/>
      <w:b/>
      <w:bCs/>
      <w:sz w:val="20"/>
      <w:szCs w:val="20"/>
    </w:rPr>
  </w:style>
  <w:style w:type="character" w:customStyle="1" w:styleId="UnresolvedMention1">
    <w:name w:val="Unresolved Mention1"/>
    <w:basedOn w:val="DefaultParagraphFont"/>
    <w:uiPriority w:val="99"/>
    <w:unhideWhenUsed/>
    <w:rsid w:val="007E3E1F"/>
    <w:rPr>
      <w:color w:val="605E5C"/>
      <w:shd w:val="clear" w:color="auto" w:fill="E1DFDD"/>
    </w:rPr>
  </w:style>
  <w:style w:type="paragraph" w:styleId="ListParagraph">
    <w:name w:val="List Paragraph"/>
    <w:basedOn w:val="Normal"/>
    <w:uiPriority w:val="34"/>
    <w:qFormat/>
    <w:rsid w:val="007E3E1F"/>
    <w:pPr>
      <w:spacing w:line="240" w:lineRule="auto"/>
      <w:ind w:left="720" w:firstLine="0"/>
      <w:contextualSpacing/>
    </w:pPr>
    <w:rPr>
      <w:szCs w:val="20"/>
    </w:rPr>
  </w:style>
  <w:style w:type="character" w:customStyle="1" w:styleId="Mention1">
    <w:name w:val="Mention1"/>
    <w:basedOn w:val="DefaultParagraphFont"/>
    <w:uiPriority w:val="99"/>
    <w:unhideWhenUsed/>
    <w:rsid w:val="007E3E1F"/>
    <w:rPr>
      <w:color w:val="2B579A"/>
      <w:shd w:val="clear" w:color="auto" w:fill="E1DFDD"/>
    </w:rPr>
  </w:style>
  <w:style w:type="paragraph" w:styleId="EndnoteText">
    <w:name w:val="endnote text"/>
    <w:basedOn w:val="Normal"/>
    <w:link w:val="EndnoteTextChar"/>
    <w:uiPriority w:val="99"/>
    <w:semiHidden/>
    <w:unhideWhenUsed/>
    <w:rsid w:val="007E3E1F"/>
    <w:pPr>
      <w:spacing w:line="240" w:lineRule="auto"/>
      <w:ind w:firstLine="0"/>
    </w:pPr>
    <w:rPr>
      <w:sz w:val="20"/>
      <w:szCs w:val="20"/>
    </w:rPr>
  </w:style>
  <w:style w:type="character" w:customStyle="1" w:styleId="EndnoteTextChar">
    <w:name w:val="Endnote Text Char"/>
    <w:basedOn w:val="DefaultParagraphFont"/>
    <w:link w:val="EndnoteText"/>
    <w:uiPriority w:val="99"/>
    <w:semiHidden/>
    <w:rsid w:val="007E3E1F"/>
    <w:rPr>
      <w:rFonts w:ascii="Book Antiqua" w:hAnsi="Book Antiqua"/>
      <w:sz w:val="20"/>
      <w:szCs w:val="20"/>
    </w:rPr>
  </w:style>
  <w:style w:type="character" w:styleId="EndnoteReference">
    <w:name w:val="endnote reference"/>
    <w:basedOn w:val="DefaultParagraphFont"/>
    <w:uiPriority w:val="99"/>
    <w:semiHidden/>
    <w:unhideWhenUsed/>
    <w:rsid w:val="007E3E1F"/>
    <w:rPr>
      <w:vertAlign w:val="superscript"/>
    </w:rPr>
  </w:style>
  <w:style w:type="character" w:styleId="FollowedHyperlink">
    <w:name w:val="FollowedHyperlink"/>
    <w:basedOn w:val="DefaultParagraphFont"/>
    <w:uiPriority w:val="99"/>
    <w:semiHidden/>
    <w:unhideWhenUsed/>
    <w:rsid w:val="007E3E1F"/>
    <w:rPr>
      <w:color w:val="954F72" w:themeColor="followedHyperlink"/>
      <w:u w:val="single"/>
    </w:rPr>
  </w:style>
  <w:style w:type="paragraph" w:styleId="Quote">
    <w:name w:val="Quote"/>
    <w:basedOn w:val="Normal"/>
    <w:next w:val="Normal"/>
    <w:link w:val="QuoteChar"/>
    <w:uiPriority w:val="29"/>
    <w:qFormat/>
    <w:rsid w:val="007E3E1F"/>
    <w:pPr>
      <w:spacing w:after="120" w:line="240" w:lineRule="auto"/>
      <w:ind w:left="864" w:right="864" w:firstLine="0"/>
    </w:pPr>
    <w:rPr>
      <w:i/>
      <w:iCs/>
      <w:color w:val="404040" w:themeColor="text1" w:themeTint="BF"/>
      <w:szCs w:val="20"/>
    </w:rPr>
  </w:style>
  <w:style w:type="character" w:customStyle="1" w:styleId="QuoteChar">
    <w:name w:val="Quote Char"/>
    <w:basedOn w:val="DefaultParagraphFont"/>
    <w:link w:val="Quote"/>
    <w:uiPriority w:val="29"/>
    <w:rsid w:val="007E3E1F"/>
    <w:rPr>
      <w:rFonts w:ascii="Book Antiqua" w:hAnsi="Book Antiqua"/>
      <w:i/>
      <w:iCs/>
      <w:color w:val="404040" w:themeColor="text1" w:themeTint="BF"/>
      <w:sz w:val="26"/>
      <w:szCs w:val="20"/>
    </w:rPr>
  </w:style>
  <w:style w:type="table" w:customStyle="1" w:styleId="TableGrid1">
    <w:name w:val="Table Grid1"/>
    <w:basedOn w:val="TableNormal"/>
    <w:next w:val="TableGrid"/>
    <w:uiPriority w:val="39"/>
    <w:rsid w:val="007E3E1F"/>
    <w:pPr>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4">
    <w:name w:val="Header 4"/>
    <w:basedOn w:val="Heading3"/>
    <w:link w:val="Header4Char"/>
    <w:qFormat/>
    <w:rsid w:val="007E3E1F"/>
    <w:pPr>
      <w:numPr>
        <w:ilvl w:val="0"/>
        <w:numId w:val="0"/>
      </w:numPr>
      <w:tabs>
        <w:tab w:val="left" w:pos="360"/>
      </w:tabs>
      <w:ind w:right="0" w:firstLine="1080"/>
      <w:outlineLvl w:val="3"/>
    </w:pPr>
    <w:rPr>
      <w:color w:val="000000" w:themeColor="text1"/>
      <w:szCs w:val="26"/>
    </w:rPr>
  </w:style>
  <w:style w:type="paragraph" w:customStyle="1" w:styleId="Section3subheading">
    <w:name w:val="Section 3 subheading"/>
    <w:basedOn w:val="Normal"/>
    <w:link w:val="Section3subheadingChar"/>
    <w:qFormat/>
    <w:rsid w:val="007E3E1F"/>
    <w:pPr>
      <w:ind w:firstLine="0"/>
    </w:pPr>
    <w:rPr>
      <w:b/>
      <w:bCs/>
      <w:szCs w:val="26"/>
    </w:rPr>
  </w:style>
  <w:style w:type="character" w:customStyle="1" w:styleId="Header4Char">
    <w:name w:val="Header 4 Char"/>
    <w:basedOn w:val="Heading3Char"/>
    <w:link w:val="Header4"/>
    <w:rsid w:val="007E3E1F"/>
    <w:rPr>
      <w:rFonts w:ascii="Arial" w:eastAsiaTheme="majorEastAsia" w:hAnsi="Arial" w:cstheme="majorBidi"/>
      <w:b/>
      <w:color w:val="000000" w:themeColor="text1"/>
      <w:sz w:val="26"/>
      <w:szCs w:val="26"/>
    </w:rPr>
  </w:style>
  <w:style w:type="paragraph" w:customStyle="1" w:styleId="questions">
    <w:name w:val="questions"/>
    <w:basedOn w:val="Normal"/>
    <w:link w:val="questionsChar"/>
    <w:qFormat/>
    <w:rsid w:val="007E3E1F"/>
    <w:pPr>
      <w:numPr>
        <w:numId w:val="9"/>
      </w:numPr>
      <w:tabs>
        <w:tab w:val="left" w:pos="360"/>
      </w:tabs>
    </w:pPr>
    <w:rPr>
      <w:szCs w:val="26"/>
    </w:rPr>
  </w:style>
  <w:style w:type="character" w:customStyle="1" w:styleId="Section3subheadingChar">
    <w:name w:val="Section 3 subheading Char"/>
    <w:basedOn w:val="DefaultParagraphFont"/>
    <w:link w:val="Section3subheading"/>
    <w:rsid w:val="007E3E1F"/>
    <w:rPr>
      <w:rFonts w:ascii="Book Antiqua" w:hAnsi="Book Antiqua"/>
      <w:b/>
      <w:bCs/>
      <w:sz w:val="26"/>
      <w:szCs w:val="26"/>
    </w:rPr>
  </w:style>
  <w:style w:type="character" w:customStyle="1" w:styleId="questionsChar">
    <w:name w:val="questions Char"/>
    <w:basedOn w:val="DefaultParagraphFont"/>
    <w:link w:val="questions"/>
    <w:rsid w:val="007E3E1F"/>
    <w:rPr>
      <w:rFonts w:ascii="Book Antiqua" w:hAnsi="Book Antiqua"/>
      <w:sz w:val="26"/>
      <w:szCs w:val="26"/>
    </w:rPr>
  </w:style>
  <w:style w:type="numbering" w:customStyle="1" w:styleId="FoFCoLOP1">
    <w:name w:val="FoF/CoL/OP1"/>
    <w:uiPriority w:val="99"/>
    <w:rsid w:val="007E3E1F"/>
    <w:pPr>
      <w:numPr>
        <w:numId w:val="17"/>
      </w:numPr>
    </w:pPr>
  </w:style>
  <w:style w:type="character" w:customStyle="1" w:styleId="apple-converted-space">
    <w:name w:val="apple-converted-space"/>
    <w:basedOn w:val="DefaultParagraphFont"/>
    <w:rsid w:val="00E24900"/>
  </w:style>
  <w:style w:type="character" w:styleId="UnresolvedMention">
    <w:name w:val="Unresolved Mention"/>
    <w:basedOn w:val="DefaultParagraphFont"/>
    <w:uiPriority w:val="99"/>
    <w:unhideWhenUsed/>
    <w:rsid w:val="00602874"/>
    <w:rPr>
      <w:color w:val="605E5C"/>
      <w:shd w:val="clear" w:color="auto" w:fill="E1DFDD"/>
    </w:rPr>
  </w:style>
  <w:style w:type="character" w:styleId="Mention">
    <w:name w:val="Mention"/>
    <w:basedOn w:val="DefaultParagraphFont"/>
    <w:uiPriority w:val="99"/>
    <w:unhideWhenUsed/>
    <w:rsid w:val="0060287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4061">
      <w:bodyDiv w:val="1"/>
      <w:marLeft w:val="0"/>
      <w:marRight w:val="0"/>
      <w:marTop w:val="0"/>
      <w:marBottom w:val="0"/>
      <w:divBdr>
        <w:top w:val="none" w:sz="0" w:space="0" w:color="auto"/>
        <w:left w:val="none" w:sz="0" w:space="0" w:color="auto"/>
        <w:bottom w:val="none" w:sz="0" w:space="0" w:color="auto"/>
        <w:right w:val="none" w:sz="0" w:space="0" w:color="auto"/>
      </w:divBdr>
    </w:div>
    <w:div w:id="192159295">
      <w:bodyDiv w:val="1"/>
      <w:marLeft w:val="0"/>
      <w:marRight w:val="0"/>
      <w:marTop w:val="0"/>
      <w:marBottom w:val="0"/>
      <w:divBdr>
        <w:top w:val="none" w:sz="0" w:space="0" w:color="auto"/>
        <w:left w:val="none" w:sz="0" w:space="0" w:color="auto"/>
        <w:bottom w:val="none" w:sz="0" w:space="0" w:color="auto"/>
        <w:right w:val="none" w:sz="0" w:space="0" w:color="auto"/>
      </w:divBdr>
    </w:div>
    <w:div w:id="194732384">
      <w:bodyDiv w:val="1"/>
      <w:marLeft w:val="0"/>
      <w:marRight w:val="0"/>
      <w:marTop w:val="0"/>
      <w:marBottom w:val="0"/>
      <w:divBdr>
        <w:top w:val="none" w:sz="0" w:space="0" w:color="auto"/>
        <w:left w:val="none" w:sz="0" w:space="0" w:color="auto"/>
        <w:bottom w:val="none" w:sz="0" w:space="0" w:color="auto"/>
        <w:right w:val="none" w:sz="0" w:space="0" w:color="auto"/>
      </w:divBdr>
    </w:div>
    <w:div w:id="209734816">
      <w:bodyDiv w:val="1"/>
      <w:marLeft w:val="0"/>
      <w:marRight w:val="0"/>
      <w:marTop w:val="0"/>
      <w:marBottom w:val="0"/>
      <w:divBdr>
        <w:top w:val="none" w:sz="0" w:space="0" w:color="auto"/>
        <w:left w:val="none" w:sz="0" w:space="0" w:color="auto"/>
        <w:bottom w:val="none" w:sz="0" w:space="0" w:color="auto"/>
        <w:right w:val="none" w:sz="0" w:space="0" w:color="auto"/>
      </w:divBdr>
    </w:div>
    <w:div w:id="377825529">
      <w:bodyDiv w:val="1"/>
      <w:marLeft w:val="0"/>
      <w:marRight w:val="0"/>
      <w:marTop w:val="0"/>
      <w:marBottom w:val="0"/>
      <w:divBdr>
        <w:top w:val="none" w:sz="0" w:space="0" w:color="auto"/>
        <w:left w:val="none" w:sz="0" w:space="0" w:color="auto"/>
        <w:bottom w:val="none" w:sz="0" w:space="0" w:color="auto"/>
        <w:right w:val="none" w:sz="0" w:space="0" w:color="auto"/>
      </w:divBdr>
    </w:div>
    <w:div w:id="938442677">
      <w:bodyDiv w:val="1"/>
      <w:marLeft w:val="0"/>
      <w:marRight w:val="0"/>
      <w:marTop w:val="0"/>
      <w:marBottom w:val="0"/>
      <w:divBdr>
        <w:top w:val="none" w:sz="0" w:space="0" w:color="auto"/>
        <w:left w:val="none" w:sz="0" w:space="0" w:color="auto"/>
        <w:bottom w:val="none" w:sz="0" w:space="0" w:color="auto"/>
        <w:right w:val="none" w:sz="0" w:space="0" w:color="auto"/>
      </w:divBdr>
    </w:div>
    <w:div w:id="983587305">
      <w:bodyDiv w:val="1"/>
      <w:marLeft w:val="0"/>
      <w:marRight w:val="0"/>
      <w:marTop w:val="0"/>
      <w:marBottom w:val="0"/>
      <w:divBdr>
        <w:top w:val="none" w:sz="0" w:space="0" w:color="auto"/>
        <w:left w:val="none" w:sz="0" w:space="0" w:color="auto"/>
        <w:bottom w:val="none" w:sz="0" w:space="0" w:color="auto"/>
        <w:right w:val="none" w:sz="0" w:space="0" w:color="auto"/>
      </w:divBdr>
    </w:div>
    <w:div w:id="1132792965">
      <w:bodyDiv w:val="1"/>
      <w:marLeft w:val="0"/>
      <w:marRight w:val="0"/>
      <w:marTop w:val="0"/>
      <w:marBottom w:val="0"/>
      <w:divBdr>
        <w:top w:val="none" w:sz="0" w:space="0" w:color="auto"/>
        <w:left w:val="none" w:sz="0" w:space="0" w:color="auto"/>
        <w:bottom w:val="none" w:sz="0" w:space="0" w:color="auto"/>
        <w:right w:val="none" w:sz="0" w:space="0" w:color="auto"/>
      </w:divBdr>
    </w:div>
    <w:div w:id="1607349495">
      <w:bodyDiv w:val="1"/>
      <w:marLeft w:val="0"/>
      <w:marRight w:val="0"/>
      <w:marTop w:val="0"/>
      <w:marBottom w:val="0"/>
      <w:divBdr>
        <w:top w:val="none" w:sz="0" w:space="0" w:color="auto"/>
        <w:left w:val="none" w:sz="0" w:space="0" w:color="auto"/>
        <w:bottom w:val="none" w:sz="0" w:space="0" w:color="auto"/>
        <w:right w:val="none" w:sz="0" w:space="0" w:color="auto"/>
      </w:divBdr>
    </w:div>
    <w:div w:id="193358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public.advisor@cpuc.c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ess_office@cpuc.ca.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aceee.org/research-report/u2001" TargetMode="External" /><Relationship Id="rId3" Type="http://schemas.openxmlformats.org/officeDocument/2006/relationships/hyperlink" Target="https://docs.cpuc.ca.gov/PublishedDocs/Efile/G000/M496/K684/496684997.PDF" TargetMode="External" /><Relationship Id="rId7" Type="http://schemas.openxmlformats.org/officeDocument/2006/relationships/hyperlink" Target="https://www.cpuc.ca.gov/esjactionplan/" TargetMode="External" /><Relationship Id="rId2" Type="http://schemas.openxmlformats.org/officeDocument/2006/relationships/hyperlink" Target="https://cs.cpuc.ca.gov/otcsdav/nodes/349422304/TN242559_20220405T105019_2021%20IEPR%20Highlights.pdf" TargetMode="External" /><Relationship Id="rId1" Type="http://schemas.openxmlformats.org/officeDocument/2006/relationships/hyperlink" Target="https://www.cpuc.ca.gov/about-cpuc/divisions/energy-division/der-action-plan" TargetMode="External" /><Relationship Id="rId6" Type="http://schemas.openxmlformats.org/officeDocument/2006/relationships/hyperlink" Target="https://docs.cpuc.ca.gov/PublishedDocs/Efile/G000/M155/K042/155042870.PDF" TargetMode="External" /><Relationship Id="rId11" Type="http://schemas.openxmlformats.org/officeDocument/2006/relationships/hyperlink" Target="https://www.cpuc.ca.gov/-/media/cpuc-website/divisions/energy-division/documents/integrated-resource-plan-and-long-term-procurement-plan-irp-ltpp/2019-2020-irp-events-and-materials/quantifying-air-quality-impacts.pdf" TargetMode="External" /><Relationship Id="rId5" Type="http://schemas.openxmlformats.org/officeDocument/2006/relationships/hyperlink" Target="https://docs.cpuc.ca.gov/SearchRes.aspx?DocFormat=ALL&amp;DocID=116116537" TargetMode="External" /><Relationship Id="rId10" Type="http://schemas.openxmlformats.org/officeDocument/2006/relationships/hyperlink" Target="https://www.cpuc.ca.gov/-/media/cpuc-website/divisions/energy-division/documents/integrated-resource-plan-and-long-term-procurement-plan-irp-ltpp/2019-2020-irp-events-and-materials/societal_cost_test_impact_evaluation.pdf" TargetMode="External" /><Relationship Id="rId4" Type="http://schemas.openxmlformats.org/officeDocument/2006/relationships/hyperlink" Target="http://www.cpuc.ca.gov/NR/rdonlyres/D4321448-208C-48F9-9F62-1BBB14A8D717/0/EEStrategicPlan.pdf" TargetMode="External" /><Relationship Id="rId9" Type="http://schemas.openxmlformats.org/officeDocument/2006/relationships/hyperlink" Target="https://www.californiadgstats.c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E41D886DE9148956A09E2A3A9B42A" ma:contentTypeVersion="12" ma:contentTypeDescription="Create a new document." ma:contentTypeScope="" ma:versionID="7329679943beb64631c058c0989140d8">
  <xsd:schema xmlns:xsd="http://www.w3.org/2001/XMLSchema" xmlns:xs="http://www.w3.org/2001/XMLSchema" xmlns:p="http://schemas.microsoft.com/office/2006/metadata/properties" xmlns:ns2="0498a0be-db2a-4749-93ec-e3fb091cf533" xmlns:ns3="e584c501-4907-45a6-a5fc-3e0757d7aab9" targetNamespace="http://schemas.microsoft.com/office/2006/metadata/properties" ma:root="true" ma:fieldsID="f88c144b3946abb3522cf79eb8d415c6" ns2:_="" ns3:_="">
    <xsd:import namespace="0498a0be-db2a-4749-93ec-e3fb091cf533"/>
    <xsd:import namespace="e584c501-4907-45a6-a5fc-3e0757d7a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8a0be-db2a-4749-93ec-e3fb091cf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84c501-4907-45a6-a5fc-3e0757d7aa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0d156c-4b98-47b0-8f3d-5787bb686b96}" ma:internalName="TaxCatchAll" ma:showField="CatchAllData" ma:web="e584c501-4907-45a6-a5fc-3e0757d7aa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584c501-4907-45a6-a5fc-3e0757d7aab9">
      <UserInfo>
        <DisplayName>Doherty, Patrick</DisplayName>
        <AccountId>53</AccountId>
        <AccountType/>
      </UserInfo>
      <UserInfo>
        <DisplayName>McKinney, Jeanne</DisplayName>
        <AccountId>29</AccountId>
        <AccountType/>
      </UserInfo>
      <UserInfo>
        <DisplayName>Kim, Kimberly</DisplayName>
        <AccountId>12</AccountId>
        <AccountType/>
      </UserInfo>
      <UserInfo>
        <DisplayName>MacDonald, Katherine</DisplayName>
        <AccountId>33</AccountId>
        <AccountType/>
      </UserInfo>
      <UserInfo>
        <DisplayName>Odell, Eileen</DisplayName>
        <AccountId>362</AccountId>
        <AccountType/>
      </UserInfo>
    </SharedWithUsers>
    <TaxCatchAll xmlns="e584c501-4907-45a6-a5fc-3e0757d7aab9" xsi:nil="true"/>
    <lcf76f155ced4ddcb4097134ff3c332f xmlns="0498a0be-db2a-4749-93ec-e3fb091cf53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77A33-3336-4D5A-A9E7-59FEA27D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8a0be-db2a-4749-93ec-e3fb091cf533"/>
    <ds:schemaRef ds:uri="e584c501-4907-45a6-a5fc-3e0757d7a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E4752-B270-4867-90BA-5719077E84AA}">
  <ds:schemaRefs>
    <ds:schemaRef ds:uri="http://schemas.microsoft.com/office/2006/metadata/properties"/>
    <ds:schemaRef ds:uri="http://schemas.microsoft.com/office/infopath/2007/PartnerControls"/>
    <ds:schemaRef ds:uri="e584c501-4907-45a6-a5fc-3e0757d7aab9"/>
    <ds:schemaRef ds:uri="0498a0be-db2a-4749-93ec-e3fb091cf533"/>
  </ds:schemaRefs>
</ds:datastoreItem>
</file>

<file path=customXml/itemProps3.xml><?xml version="1.0" encoding="utf-8"?>
<ds:datastoreItem xmlns:ds="http://schemas.openxmlformats.org/officeDocument/2006/customXml" ds:itemID="{139D8089-F924-410F-962B-87BB4017ABA8}">
  <ds:schemaRefs>
    <ds:schemaRef ds:uri="http://schemas.openxmlformats.org/officeDocument/2006/bibliography"/>
  </ds:schemaRefs>
</ds:datastoreItem>
</file>

<file path=customXml/itemProps4.xml><?xml version="1.0" encoding="utf-8"?>
<ds:datastoreItem xmlns:ds="http://schemas.openxmlformats.org/officeDocument/2006/customXml" ds:itemID="{B930DE7C-9577-4EA8-AC89-8E2B6CC952CB}">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34</ap:Pages>
  <ap:Words>7656</ap:Words>
  <ap:Characters>43644</ap:Characters>
  <ap:Application>Microsoft Office Word</ap:Application>
  <ap:DocSecurity>0</ap:DocSecurity>
  <ap:Lines>363</ap:Lines>
  <ap:Paragraphs>102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51198</ap:CharactersWithSpaces>
  <ap:SharedDoc>false</ap:SharedDoc>
  <ap:HLinks>
    <vt:vector baseType="variant" size="228">
      <vt:variant>
        <vt:i4>2359320</vt:i4>
      </vt:variant>
      <vt:variant>
        <vt:i4>153</vt:i4>
      </vt:variant>
      <vt:variant>
        <vt:i4>0</vt:i4>
      </vt:variant>
      <vt:variant>
        <vt:i4>5</vt:i4>
      </vt:variant>
      <vt:variant>
        <vt:lpwstr>mailto:public.advisor@cpuc.ca.gov</vt:lpwstr>
      </vt:variant>
      <vt:variant>
        <vt:lpwstr/>
      </vt:variant>
      <vt:variant>
        <vt:i4>917526</vt:i4>
      </vt:variant>
      <vt:variant>
        <vt:i4>150</vt:i4>
      </vt:variant>
      <vt:variant>
        <vt:i4>0</vt:i4>
      </vt:variant>
      <vt:variant>
        <vt:i4>5</vt:i4>
      </vt:variant>
      <vt:variant>
        <vt:lpwstr>http://subscribecpuc.cpuc.ca.gov/</vt:lpwstr>
      </vt:variant>
      <vt:variant>
        <vt:lpwstr/>
      </vt:variant>
      <vt:variant>
        <vt:i4>7340067</vt:i4>
      </vt:variant>
      <vt:variant>
        <vt:i4>147</vt:i4>
      </vt:variant>
      <vt:variant>
        <vt:i4>0</vt:i4>
      </vt:variant>
      <vt:variant>
        <vt:i4>5</vt:i4>
      </vt:variant>
      <vt:variant>
        <vt:lpwstr>mailto:process_office@cpuc.ca.gov</vt:lpwstr>
      </vt:variant>
      <vt:variant>
        <vt:lpwstr/>
      </vt:variant>
      <vt:variant>
        <vt:i4>1441851</vt:i4>
      </vt:variant>
      <vt:variant>
        <vt:i4>140</vt:i4>
      </vt:variant>
      <vt:variant>
        <vt:i4>0</vt:i4>
      </vt:variant>
      <vt:variant>
        <vt:i4>5</vt:i4>
      </vt:variant>
      <vt:variant>
        <vt:lpwstr/>
      </vt:variant>
      <vt:variant>
        <vt:lpwstr>_Toc118723041</vt:lpwstr>
      </vt:variant>
      <vt:variant>
        <vt:i4>1441851</vt:i4>
      </vt:variant>
      <vt:variant>
        <vt:i4>134</vt:i4>
      </vt:variant>
      <vt:variant>
        <vt:i4>0</vt:i4>
      </vt:variant>
      <vt:variant>
        <vt:i4>5</vt:i4>
      </vt:variant>
      <vt:variant>
        <vt:lpwstr/>
      </vt:variant>
      <vt:variant>
        <vt:lpwstr>_Toc118723040</vt:lpwstr>
      </vt:variant>
      <vt:variant>
        <vt:i4>1114171</vt:i4>
      </vt:variant>
      <vt:variant>
        <vt:i4>128</vt:i4>
      </vt:variant>
      <vt:variant>
        <vt:i4>0</vt:i4>
      </vt:variant>
      <vt:variant>
        <vt:i4>5</vt:i4>
      </vt:variant>
      <vt:variant>
        <vt:lpwstr/>
      </vt:variant>
      <vt:variant>
        <vt:lpwstr>_Toc118723039</vt:lpwstr>
      </vt:variant>
      <vt:variant>
        <vt:i4>1114171</vt:i4>
      </vt:variant>
      <vt:variant>
        <vt:i4>122</vt:i4>
      </vt:variant>
      <vt:variant>
        <vt:i4>0</vt:i4>
      </vt:variant>
      <vt:variant>
        <vt:i4>5</vt:i4>
      </vt:variant>
      <vt:variant>
        <vt:lpwstr/>
      </vt:variant>
      <vt:variant>
        <vt:lpwstr>_Toc118723038</vt:lpwstr>
      </vt:variant>
      <vt:variant>
        <vt:i4>1114171</vt:i4>
      </vt:variant>
      <vt:variant>
        <vt:i4>116</vt:i4>
      </vt:variant>
      <vt:variant>
        <vt:i4>0</vt:i4>
      </vt:variant>
      <vt:variant>
        <vt:i4>5</vt:i4>
      </vt:variant>
      <vt:variant>
        <vt:lpwstr/>
      </vt:variant>
      <vt:variant>
        <vt:lpwstr>_Toc118723037</vt:lpwstr>
      </vt:variant>
      <vt:variant>
        <vt:i4>1114171</vt:i4>
      </vt:variant>
      <vt:variant>
        <vt:i4>110</vt:i4>
      </vt:variant>
      <vt:variant>
        <vt:i4>0</vt:i4>
      </vt:variant>
      <vt:variant>
        <vt:i4>5</vt:i4>
      </vt:variant>
      <vt:variant>
        <vt:lpwstr/>
      </vt:variant>
      <vt:variant>
        <vt:lpwstr>_Toc118723036</vt:lpwstr>
      </vt:variant>
      <vt:variant>
        <vt:i4>1114171</vt:i4>
      </vt:variant>
      <vt:variant>
        <vt:i4>104</vt:i4>
      </vt:variant>
      <vt:variant>
        <vt:i4>0</vt:i4>
      </vt:variant>
      <vt:variant>
        <vt:i4>5</vt:i4>
      </vt:variant>
      <vt:variant>
        <vt:lpwstr/>
      </vt:variant>
      <vt:variant>
        <vt:lpwstr>_Toc118723035</vt:lpwstr>
      </vt:variant>
      <vt:variant>
        <vt:i4>1114171</vt:i4>
      </vt:variant>
      <vt:variant>
        <vt:i4>98</vt:i4>
      </vt:variant>
      <vt:variant>
        <vt:i4>0</vt:i4>
      </vt:variant>
      <vt:variant>
        <vt:i4>5</vt:i4>
      </vt:variant>
      <vt:variant>
        <vt:lpwstr/>
      </vt:variant>
      <vt:variant>
        <vt:lpwstr>_Toc118723034</vt:lpwstr>
      </vt:variant>
      <vt:variant>
        <vt:i4>1114171</vt:i4>
      </vt:variant>
      <vt:variant>
        <vt:i4>92</vt:i4>
      </vt:variant>
      <vt:variant>
        <vt:i4>0</vt:i4>
      </vt:variant>
      <vt:variant>
        <vt:i4>5</vt:i4>
      </vt:variant>
      <vt:variant>
        <vt:lpwstr/>
      </vt:variant>
      <vt:variant>
        <vt:lpwstr>_Toc118723033</vt:lpwstr>
      </vt:variant>
      <vt:variant>
        <vt:i4>1114171</vt:i4>
      </vt:variant>
      <vt:variant>
        <vt:i4>86</vt:i4>
      </vt:variant>
      <vt:variant>
        <vt:i4>0</vt:i4>
      </vt:variant>
      <vt:variant>
        <vt:i4>5</vt:i4>
      </vt:variant>
      <vt:variant>
        <vt:lpwstr/>
      </vt:variant>
      <vt:variant>
        <vt:lpwstr>_Toc118723032</vt:lpwstr>
      </vt:variant>
      <vt:variant>
        <vt:i4>1114171</vt:i4>
      </vt:variant>
      <vt:variant>
        <vt:i4>80</vt:i4>
      </vt:variant>
      <vt:variant>
        <vt:i4>0</vt:i4>
      </vt:variant>
      <vt:variant>
        <vt:i4>5</vt:i4>
      </vt:variant>
      <vt:variant>
        <vt:lpwstr/>
      </vt:variant>
      <vt:variant>
        <vt:lpwstr>_Toc118723031</vt:lpwstr>
      </vt:variant>
      <vt:variant>
        <vt:i4>1114171</vt:i4>
      </vt:variant>
      <vt:variant>
        <vt:i4>74</vt:i4>
      </vt:variant>
      <vt:variant>
        <vt:i4>0</vt:i4>
      </vt:variant>
      <vt:variant>
        <vt:i4>5</vt:i4>
      </vt:variant>
      <vt:variant>
        <vt:lpwstr/>
      </vt:variant>
      <vt:variant>
        <vt:lpwstr>_Toc118723030</vt:lpwstr>
      </vt:variant>
      <vt:variant>
        <vt:i4>1048635</vt:i4>
      </vt:variant>
      <vt:variant>
        <vt:i4>68</vt:i4>
      </vt:variant>
      <vt:variant>
        <vt:i4>0</vt:i4>
      </vt:variant>
      <vt:variant>
        <vt:i4>5</vt:i4>
      </vt:variant>
      <vt:variant>
        <vt:lpwstr/>
      </vt:variant>
      <vt:variant>
        <vt:lpwstr>_Toc118723029</vt:lpwstr>
      </vt:variant>
      <vt:variant>
        <vt:i4>1048635</vt:i4>
      </vt:variant>
      <vt:variant>
        <vt:i4>62</vt:i4>
      </vt:variant>
      <vt:variant>
        <vt:i4>0</vt:i4>
      </vt:variant>
      <vt:variant>
        <vt:i4>5</vt:i4>
      </vt:variant>
      <vt:variant>
        <vt:lpwstr/>
      </vt:variant>
      <vt:variant>
        <vt:lpwstr>_Toc118723028</vt:lpwstr>
      </vt:variant>
      <vt:variant>
        <vt:i4>1048635</vt:i4>
      </vt:variant>
      <vt:variant>
        <vt:i4>56</vt:i4>
      </vt:variant>
      <vt:variant>
        <vt:i4>0</vt:i4>
      </vt:variant>
      <vt:variant>
        <vt:i4>5</vt:i4>
      </vt:variant>
      <vt:variant>
        <vt:lpwstr/>
      </vt:variant>
      <vt:variant>
        <vt:lpwstr>_Toc118723027</vt:lpwstr>
      </vt:variant>
      <vt:variant>
        <vt:i4>1048635</vt:i4>
      </vt:variant>
      <vt:variant>
        <vt:i4>50</vt:i4>
      </vt:variant>
      <vt:variant>
        <vt:i4>0</vt:i4>
      </vt:variant>
      <vt:variant>
        <vt:i4>5</vt:i4>
      </vt:variant>
      <vt:variant>
        <vt:lpwstr/>
      </vt:variant>
      <vt:variant>
        <vt:lpwstr>_Toc118723026</vt:lpwstr>
      </vt:variant>
      <vt:variant>
        <vt:i4>1048635</vt:i4>
      </vt:variant>
      <vt:variant>
        <vt:i4>44</vt:i4>
      </vt:variant>
      <vt:variant>
        <vt:i4>0</vt:i4>
      </vt:variant>
      <vt:variant>
        <vt:i4>5</vt:i4>
      </vt:variant>
      <vt:variant>
        <vt:lpwstr/>
      </vt:variant>
      <vt:variant>
        <vt:lpwstr>_Toc118723025</vt:lpwstr>
      </vt:variant>
      <vt:variant>
        <vt:i4>1048635</vt:i4>
      </vt:variant>
      <vt:variant>
        <vt:i4>38</vt:i4>
      </vt:variant>
      <vt:variant>
        <vt:i4>0</vt:i4>
      </vt:variant>
      <vt:variant>
        <vt:i4>5</vt:i4>
      </vt:variant>
      <vt:variant>
        <vt:lpwstr/>
      </vt:variant>
      <vt:variant>
        <vt:lpwstr>_Toc118723024</vt:lpwstr>
      </vt:variant>
      <vt:variant>
        <vt:i4>1048635</vt:i4>
      </vt:variant>
      <vt:variant>
        <vt:i4>32</vt:i4>
      </vt:variant>
      <vt:variant>
        <vt:i4>0</vt:i4>
      </vt:variant>
      <vt:variant>
        <vt:i4>5</vt:i4>
      </vt:variant>
      <vt:variant>
        <vt:lpwstr/>
      </vt:variant>
      <vt:variant>
        <vt:lpwstr>_Toc118723023</vt:lpwstr>
      </vt:variant>
      <vt:variant>
        <vt:i4>1048635</vt:i4>
      </vt:variant>
      <vt:variant>
        <vt:i4>26</vt:i4>
      </vt:variant>
      <vt:variant>
        <vt:i4>0</vt:i4>
      </vt:variant>
      <vt:variant>
        <vt:i4>5</vt:i4>
      </vt:variant>
      <vt:variant>
        <vt:lpwstr/>
      </vt:variant>
      <vt:variant>
        <vt:lpwstr>_Toc118723022</vt:lpwstr>
      </vt:variant>
      <vt:variant>
        <vt:i4>1048635</vt:i4>
      </vt:variant>
      <vt:variant>
        <vt:i4>20</vt:i4>
      </vt:variant>
      <vt:variant>
        <vt:i4>0</vt:i4>
      </vt:variant>
      <vt:variant>
        <vt:i4>5</vt:i4>
      </vt:variant>
      <vt:variant>
        <vt:lpwstr/>
      </vt:variant>
      <vt:variant>
        <vt:lpwstr>_Toc118723021</vt:lpwstr>
      </vt:variant>
      <vt:variant>
        <vt:i4>1048635</vt:i4>
      </vt:variant>
      <vt:variant>
        <vt:i4>14</vt:i4>
      </vt:variant>
      <vt:variant>
        <vt:i4>0</vt:i4>
      </vt:variant>
      <vt:variant>
        <vt:i4>5</vt:i4>
      </vt:variant>
      <vt:variant>
        <vt:lpwstr/>
      </vt:variant>
      <vt:variant>
        <vt:lpwstr>_Toc118723020</vt:lpwstr>
      </vt:variant>
      <vt:variant>
        <vt:i4>1245243</vt:i4>
      </vt:variant>
      <vt:variant>
        <vt:i4>8</vt:i4>
      </vt:variant>
      <vt:variant>
        <vt:i4>0</vt:i4>
      </vt:variant>
      <vt:variant>
        <vt:i4>5</vt:i4>
      </vt:variant>
      <vt:variant>
        <vt:lpwstr/>
      </vt:variant>
      <vt:variant>
        <vt:lpwstr>_Toc118723019</vt:lpwstr>
      </vt:variant>
      <vt:variant>
        <vt:i4>1245243</vt:i4>
      </vt:variant>
      <vt:variant>
        <vt:i4>2</vt:i4>
      </vt:variant>
      <vt:variant>
        <vt:i4>0</vt:i4>
      </vt:variant>
      <vt:variant>
        <vt:i4>5</vt:i4>
      </vt:variant>
      <vt:variant>
        <vt:lpwstr/>
      </vt:variant>
      <vt:variant>
        <vt:lpwstr>_Toc118723018</vt:lpwstr>
      </vt:variant>
      <vt:variant>
        <vt:i4>786436</vt:i4>
      </vt:variant>
      <vt:variant>
        <vt:i4>30</vt:i4>
      </vt:variant>
      <vt:variant>
        <vt:i4>0</vt:i4>
      </vt:variant>
      <vt:variant>
        <vt:i4>5</vt:i4>
      </vt:variant>
      <vt:variant>
        <vt:lpwstr>https://www.cpuc.ca.gov/-/media/cpuc-website/divisions/energy-division/documents/integrated-resource-plan-and-long-term-procurement-plan-irp-ltpp/2019-2020-irp-events-and-materials/quantifying-air-quality-impacts.pdf</vt:lpwstr>
      </vt:variant>
      <vt:variant>
        <vt:lpwstr/>
      </vt:variant>
      <vt:variant>
        <vt:i4>6029331</vt:i4>
      </vt:variant>
      <vt:variant>
        <vt:i4>27</vt:i4>
      </vt:variant>
      <vt:variant>
        <vt:i4>0</vt:i4>
      </vt:variant>
      <vt:variant>
        <vt:i4>5</vt:i4>
      </vt:variant>
      <vt:variant>
        <vt:lpwstr>https://www.cpuc.ca.gov/-/media/cpuc-website/divisions/energy-division/documents/integrated-resource-plan-and-long-term-procurement-plan-irp-ltpp/2019-2020-irp-events-and-materials/societal_cost_test_impact_evaluation.pdf</vt:lpwstr>
      </vt:variant>
      <vt:variant>
        <vt:lpwstr/>
      </vt:variant>
      <vt:variant>
        <vt:i4>1638421</vt:i4>
      </vt:variant>
      <vt:variant>
        <vt:i4>24</vt:i4>
      </vt:variant>
      <vt:variant>
        <vt:i4>0</vt:i4>
      </vt:variant>
      <vt:variant>
        <vt:i4>5</vt:i4>
      </vt:variant>
      <vt:variant>
        <vt:lpwstr>https://www.californiadgstats.ca.gov/</vt:lpwstr>
      </vt:variant>
      <vt:variant>
        <vt:lpwstr/>
      </vt:variant>
      <vt:variant>
        <vt:i4>7995452</vt:i4>
      </vt:variant>
      <vt:variant>
        <vt:i4>21</vt:i4>
      </vt:variant>
      <vt:variant>
        <vt:i4>0</vt:i4>
      </vt:variant>
      <vt:variant>
        <vt:i4>5</vt:i4>
      </vt:variant>
      <vt:variant>
        <vt:lpwstr>https://www.aceee.org/research-report/u2001</vt:lpwstr>
      </vt:variant>
      <vt:variant>
        <vt:lpwstr/>
      </vt:variant>
      <vt:variant>
        <vt:i4>6357089</vt:i4>
      </vt:variant>
      <vt:variant>
        <vt:i4>18</vt:i4>
      </vt:variant>
      <vt:variant>
        <vt:i4>0</vt:i4>
      </vt:variant>
      <vt:variant>
        <vt:i4>5</vt:i4>
      </vt:variant>
      <vt:variant>
        <vt:lpwstr>https://www.cpuc.ca.gov/esjactionplan/</vt:lpwstr>
      </vt:variant>
      <vt:variant>
        <vt:lpwstr/>
      </vt:variant>
      <vt:variant>
        <vt:i4>65608</vt:i4>
      </vt:variant>
      <vt:variant>
        <vt:i4>15</vt:i4>
      </vt:variant>
      <vt:variant>
        <vt:i4>0</vt:i4>
      </vt:variant>
      <vt:variant>
        <vt:i4>5</vt:i4>
      </vt:variant>
      <vt:variant>
        <vt:lpwstr>https://docs.cpuc.ca.gov/PublishedDocs/Efile/G000/M155/K042/155042870.PDF</vt:lpwstr>
      </vt:variant>
      <vt:variant>
        <vt:lpwstr/>
      </vt:variant>
      <vt:variant>
        <vt:i4>4718676</vt:i4>
      </vt:variant>
      <vt:variant>
        <vt:i4>12</vt:i4>
      </vt:variant>
      <vt:variant>
        <vt:i4>0</vt:i4>
      </vt:variant>
      <vt:variant>
        <vt:i4>5</vt:i4>
      </vt:variant>
      <vt:variant>
        <vt:lpwstr>https://docs.cpuc.ca.gov/SearchRes.aspx?DocFormat=ALL&amp;DocID=116116537</vt:lpwstr>
      </vt:variant>
      <vt:variant>
        <vt:lpwstr/>
      </vt:variant>
      <vt:variant>
        <vt:i4>2687034</vt:i4>
      </vt:variant>
      <vt:variant>
        <vt:i4>9</vt:i4>
      </vt:variant>
      <vt:variant>
        <vt:i4>0</vt:i4>
      </vt:variant>
      <vt:variant>
        <vt:i4>5</vt:i4>
      </vt:variant>
      <vt:variant>
        <vt:lpwstr>http://www.cpuc.ca.gov/NR/rdonlyres/D4321448-208C-48F9-9F62-1BBB14A8D717/0/EEStrategicPlan.pdf</vt:lpwstr>
      </vt:variant>
      <vt:variant>
        <vt:lpwstr/>
      </vt:variant>
      <vt:variant>
        <vt:i4>589896</vt:i4>
      </vt:variant>
      <vt:variant>
        <vt:i4>6</vt:i4>
      </vt:variant>
      <vt:variant>
        <vt:i4>0</vt:i4>
      </vt:variant>
      <vt:variant>
        <vt:i4>5</vt:i4>
      </vt:variant>
      <vt:variant>
        <vt:lpwstr>https://docs.cpuc.ca.gov/PublishedDocs/Efile/G000/M496/K684/496684997.PDF</vt:lpwstr>
      </vt:variant>
      <vt:variant>
        <vt:lpwstr/>
      </vt:variant>
      <vt:variant>
        <vt:i4>1245187</vt:i4>
      </vt:variant>
      <vt:variant>
        <vt:i4>3</vt:i4>
      </vt:variant>
      <vt:variant>
        <vt:i4>0</vt:i4>
      </vt:variant>
      <vt:variant>
        <vt:i4>5</vt:i4>
      </vt:variant>
      <vt:variant>
        <vt:lpwstr>C:\Users\jym\AppData\Local\Temp\MicrosoftEdgeDownloads\fb02428c-d7e1-4c5d-985b-becb6b0123c2\TN242559_20220405T105019_2021 IEPR Highlights.pdf</vt:lpwstr>
      </vt:variant>
      <vt:variant>
        <vt:lpwstr/>
      </vt:variant>
      <vt:variant>
        <vt:i4>786458</vt:i4>
      </vt:variant>
      <vt:variant>
        <vt:i4>0</vt:i4>
      </vt:variant>
      <vt:variant>
        <vt:i4>0</vt:i4>
      </vt:variant>
      <vt:variant>
        <vt:i4>5</vt:i4>
      </vt:variant>
      <vt:variant>
        <vt:lpwstr>https://www.cpuc.ca.gov/about-cpuc/divisions/energy-division/der-action-plan</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2022-11-14T22:59:00Z</cp:lastPrinted>
  <dcterms:created xsi:type="dcterms:W3CDTF">2022-11-23T09:07:25Z</dcterms:created>
  <dcterms:modified xsi:type="dcterms:W3CDTF">2022-11-23T09:07:25Z</dcterms:modified>
</cp:coreProperties>
</file>