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B90" w:rsidP="00F43B59" w:rsidRDefault="005459A7" w14:paraId="6145C829" w14:textId="59A4C032">
      <w:pPr>
        <w:tabs>
          <w:tab w:val="center" w:pos="4680"/>
          <w:tab w:val="right" w:pos="9360"/>
        </w:tabs>
        <w:spacing w:line="240" w:lineRule="auto"/>
        <w:ind w:firstLine="0"/>
        <w:rPr>
          <w:b/>
        </w:rPr>
      </w:pPr>
      <w:r>
        <w:t>ALJ/CF1/</w:t>
      </w:r>
      <w:proofErr w:type="spellStart"/>
      <w:r>
        <w:t>sgu</w:t>
      </w:r>
      <w:proofErr w:type="spellEnd"/>
      <w:r w:rsidR="007E0FEE">
        <w:tab/>
      </w:r>
      <w:r w:rsidR="00F43B59">
        <w:rPr>
          <w:rFonts w:ascii="Arial" w:hAnsi="Arial" w:cs="Arial"/>
          <w:b/>
          <w:sz w:val="28"/>
          <w:szCs w:val="28"/>
        </w:rPr>
        <w:tab/>
      </w:r>
      <w:r w:rsidR="00F43B59">
        <w:rPr>
          <w:b/>
        </w:rPr>
        <w:t>Date of Issuance 12/8/2022</w:t>
      </w:r>
    </w:p>
    <w:p w:rsidRPr="00EE4315" w:rsidR="006F0100" w:rsidP="00632207" w:rsidRDefault="006F0100" w14:paraId="7E1E0A58" w14:textId="77777777">
      <w:pPr>
        <w:spacing w:line="240" w:lineRule="auto"/>
        <w:jc w:val="right"/>
        <w:rPr>
          <w:b/>
        </w:rPr>
      </w:pPr>
    </w:p>
    <w:p w:rsidR="00DA7B5D" w:rsidP="008F0116" w:rsidRDefault="00DA7B5D" w14:paraId="615152C1" w14:textId="77777777">
      <w:pPr>
        <w:ind w:firstLine="0"/>
      </w:pPr>
    </w:p>
    <w:p w:rsidRPr="00EE3060" w:rsidR="00DA7B5D" w:rsidP="0098655A" w:rsidRDefault="00DA7B5D" w14:paraId="07E09FFE" w14:textId="7BB21633">
      <w:pPr>
        <w:ind w:left="1080" w:hanging="1080"/>
      </w:pPr>
      <w:r>
        <w:t xml:space="preserve">Decision </w:t>
      </w:r>
      <w:r w:rsidRPr="00F43B59" w:rsidR="00F43B59">
        <w:t>22-12-021  December 1, 2022</w:t>
      </w:r>
    </w:p>
    <w:p w:rsidR="00DA7B5D" w:rsidP="00EE1868" w:rsidRDefault="00DA7B5D" w14:paraId="4F6679A3" w14:textId="4295EA6D">
      <w:pPr>
        <w:tabs>
          <w:tab w:val="left" w:pos="90"/>
        </w:tabs>
        <w:spacing w:line="240" w:lineRule="auto"/>
        <w:ind w:firstLine="0"/>
        <w:rPr>
          <w:u w:val="single"/>
        </w:rPr>
      </w:pPr>
    </w:p>
    <w:p w:rsidR="00EE1868" w:rsidP="00EE1868" w:rsidRDefault="00EE1868" w14:paraId="0C4F31E4" w14:textId="77777777">
      <w:pPr>
        <w:tabs>
          <w:tab w:val="left" w:pos="90"/>
        </w:tabs>
        <w:spacing w:line="240" w:lineRule="auto"/>
        <w:ind w:firstLine="0"/>
        <w:rPr>
          <w:u w:val="single"/>
        </w:rPr>
      </w:pPr>
    </w:p>
    <w:p w:rsidR="00DA7B5D" w:rsidP="00BB0243" w:rsidRDefault="00DA7B5D" w14:paraId="29553C0E"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5EDB6C2"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trPr>
          <w:jc w:val="center"/>
        </w:trPr>
        <w:tc>
          <w:tcPr>
            <w:tcW w:w="5040" w:type="dxa"/>
            <w:tcBorders>
              <w:top w:val="nil"/>
              <w:left w:val="nil"/>
              <w:bottom w:val="single" w:color="auto" w:sz="4" w:space="0"/>
              <w:right w:val="single" w:color="auto" w:sz="4" w:space="0"/>
            </w:tcBorders>
          </w:tcPr>
          <w:p w:rsidRPr="00DA7B5D" w:rsidR="00DA7B5D" w:rsidP="00C10B5F" w:rsidRDefault="00E1499B" w14:paraId="4B8909DE" w14:textId="56E00CEE">
            <w:pPr>
              <w:spacing w:line="240" w:lineRule="auto"/>
              <w:ind w:firstLine="0"/>
              <w:rPr>
                <w:rFonts w:cs="Arial"/>
                <w:szCs w:val="26"/>
              </w:rPr>
            </w:pPr>
            <w:r w:rsidRPr="00E1499B">
              <w:rPr>
                <w:rFonts w:cs="Arial"/>
                <w:szCs w:val="26"/>
              </w:rPr>
              <w:t>Order Instituting Rulemaking to Establish Policies, Processes, and Rules to Ensure Safe and Reliable Gas Systems in California and perform Long-Term Gas System Plannin</w:t>
            </w:r>
            <w:r>
              <w:rPr>
                <w:rFonts w:cs="Arial"/>
                <w:szCs w:val="26"/>
              </w:rPr>
              <w:t>g</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E1499B" w14:paraId="634C57DF" w14:textId="62F96AB5">
            <w:pPr>
              <w:spacing w:line="240" w:lineRule="auto"/>
              <w:ind w:firstLine="0"/>
              <w:jc w:val="center"/>
              <w:rPr>
                <w:rFonts w:cs="Arial"/>
                <w:szCs w:val="26"/>
              </w:rPr>
            </w:pPr>
            <w:r>
              <w:rPr>
                <w:rFonts w:cs="Arial"/>
                <w:szCs w:val="26"/>
              </w:rPr>
              <w:t>Rulemaking 20-01-007</w:t>
            </w:r>
          </w:p>
        </w:tc>
      </w:tr>
    </w:tbl>
    <w:p w:rsidR="00DA7B5D" w:rsidP="008F0116" w:rsidRDefault="00DA7B5D" w14:paraId="18E2D5F8" w14:textId="6ABFF7CF">
      <w:pPr>
        <w:spacing w:line="240" w:lineRule="auto"/>
        <w:ind w:firstLine="0"/>
        <w:rPr>
          <w:rFonts w:ascii="Arial" w:hAnsi="Arial" w:cs="Arial"/>
          <w:sz w:val="24"/>
          <w:szCs w:val="24"/>
        </w:rPr>
      </w:pPr>
    </w:p>
    <w:p w:rsidR="00EE1868" w:rsidP="008F0116" w:rsidRDefault="00EE1868" w14:paraId="6192B071" w14:textId="5387BCA3">
      <w:pPr>
        <w:spacing w:line="240" w:lineRule="auto"/>
        <w:ind w:firstLine="0"/>
        <w:rPr>
          <w:rFonts w:ascii="Arial" w:hAnsi="Arial" w:cs="Arial"/>
          <w:sz w:val="24"/>
          <w:szCs w:val="24"/>
        </w:rPr>
      </w:pPr>
    </w:p>
    <w:p w:rsidR="00EE1868" w:rsidP="008F0116" w:rsidRDefault="00EE1868" w14:paraId="195C8E09" w14:textId="77777777">
      <w:pPr>
        <w:spacing w:line="240" w:lineRule="auto"/>
        <w:ind w:firstLine="0"/>
        <w:rPr>
          <w:rFonts w:ascii="Arial" w:hAnsi="Arial" w:cs="Arial"/>
          <w:sz w:val="24"/>
          <w:szCs w:val="24"/>
        </w:rPr>
      </w:pPr>
    </w:p>
    <w:p w:rsidR="00DA7B5D" w:rsidP="008F0116" w:rsidRDefault="00DA7B5D" w14:paraId="5137459D" w14:textId="77777777">
      <w:pPr>
        <w:spacing w:line="240" w:lineRule="auto"/>
        <w:ind w:firstLine="0"/>
        <w:rPr>
          <w:rFonts w:ascii="Arial" w:hAnsi="Arial" w:cs="Arial"/>
          <w:sz w:val="24"/>
          <w:szCs w:val="24"/>
        </w:rPr>
      </w:pPr>
    </w:p>
    <w:p w:rsidRPr="00F92385" w:rsidR="00F92385" w:rsidP="00B3087D" w:rsidRDefault="00E1499B" w14:paraId="5076838E" w14:textId="588B57A5">
      <w:pPr>
        <w:pStyle w:val="Dummy"/>
        <w:jc w:val="center"/>
        <w:sectPr w:rsidRPr="00F92385" w:rsidR="00F92385" w:rsidSect="008B1AF1">
          <w:headerReference w:type="first" r:id="rId10"/>
          <w:footerReference w:type="first" r:id="rId11"/>
          <w:pgSz w:w="12240" w:h="15840"/>
          <w:pgMar w:top="1440" w:right="1440" w:bottom="1440" w:left="1440" w:header="720" w:footer="720" w:gutter="0"/>
          <w:pgNumType w:start="1"/>
          <w:cols w:space="720"/>
          <w:titlePg/>
          <w:docGrid w:linePitch="360"/>
        </w:sectPr>
      </w:pPr>
      <w:bookmarkStart w:name="_Toc120692791" w:id="1"/>
      <w:r>
        <w:t xml:space="preserve">DECISION ADOPTING GAS </w:t>
      </w:r>
      <w:r w:rsidR="00EE1868">
        <w:br/>
      </w:r>
      <w:r>
        <w:t xml:space="preserve">INFRASTRUCTURE </w:t>
      </w:r>
      <w:r w:rsidR="005459A7">
        <w:t>G</w:t>
      </w:r>
      <w:r w:rsidR="008B1AF1">
        <w:t>ENERAL ORDER</w:t>
      </w:r>
      <w:bookmarkEnd w:id="1"/>
      <w:r w:rsidR="0047324E">
        <w:t xml:space="preserve"> </w:t>
      </w:r>
    </w:p>
    <w:p w:rsidRPr="001E2A62" w:rsidR="00D50119" w:rsidP="00F76650" w:rsidRDefault="00D50119" w14:paraId="6DA1D186"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73EFF3F1"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szCs w:val="26"/>
        </w:rPr>
      </w:sdtEndPr>
      <w:sdtContent>
        <w:p w:rsidR="00023800" w:rsidRDefault="008C7413" w14:paraId="07F8E8EC" w14:textId="55756E85">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120692791">
            <w:r w:rsidRPr="00AB0A25" w:rsidR="00023800">
              <w:rPr>
                <w:rStyle w:val="Hyperlink"/>
                <w:noProof/>
              </w:rPr>
              <w:t>DECISION ADOPTING GAS  INFRASTRUCTURE GENERAL ORDER</w:t>
            </w:r>
            <w:r w:rsidR="00023800">
              <w:rPr>
                <w:noProof/>
                <w:webHidden/>
              </w:rPr>
              <w:tab/>
            </w:r>
            <w:r w:rsidR="00023800">
              <w:rPr>
                <w:noProof/>
                <w:webHidden/>
              </w:rPr>
              <w:fldChar w:fldCharType="begin"/>
            </w:r>
            <w:r w:rsidR="00023800">
              <w:rPr>
                <w:noProof/>
                <w:webHidden/>
              </w:rPr>
              <w:instrText xml:space="preserve"> PAGEREF _Toc120692791 \h </w:instrText>
            </w:r>
            <w:r w:rsidR="00023800">
              <w:rPr>
                <w:noProof/>
                <w:webHidden/>
              </w:rPr>
            </w:r>
            <w:r w:rsidR="00023800">
              <w:rPr>
                <w:noProof/>
                <w:webHidden/>
              </w:rPr>
              <w:fldChar w:fldCharType="separate"/>
            </w:r>
            <w:r w:rsidR="006A6BEB">
              <w:rPr>
                <w:noProof/>
                <w:webHidden/>
              </w:rPr>
              <w:t>1</w:t>
            </w:r>
            <w:r w:rsidR="00023800">
              <w:rPr>
                <w:noProof/>
                <w:webHidden/>
              </w:rPr>
              <w:fldChar w:fldCharType="end"/>
            </w:r>
          </w:hyperlink>
        </w:p>
        <w:p w:rsidR="00023800" w:rsidRDefault="00CA0F5C" w14:paraId="730C60A0" w14:textId="38CB0344">
          <w:pPr>
            <w:pStyle w:val="TOC1"/>
            <w:tabs>
              <w:tab w:val="right" w:leader="dot" w:pos="9350"/>
            </w:tabs>
            <w:rPr>
              <w:rFonts w:asciiTheme="minorHAnsi" w:hAnsiTheme="minorHAnsi" w:cstheme="minorBidi"/>
              <w:noProof/>
              <w:sz w:val="22"/>
            </w:rPr>
          </w:pPr>
          <w:hyperlink w:history="1" w:anchor="_Toc120692792">
            <w:r w:rsidRPr="00AB0A25" w:rsidR="00023800">
              <w:rPr>
                <w:rStyle w:val="Hyperlink"/>
                <w:noProof/>
              </w:rPr>
              <w:t>Summary</w:t>
            </w:r>
            <w:r w:rsidR="00023800">
              <w:rPr>
                <w:noProof/>
                <w:webHidden/>
              </w:rPr>
              <w:tab/>
            </w:r>
            <w:r w:rsidR="00023800">
              <w:rPr>
                <w:noProof/>
                <w:webHidden/>
              </w:rPr>
              <w:fldChar w:fldCharType="begin"/>
            </w:r>
            <w:r w:rsidR="00023800">
              <w:rPr>
                <w:noProof/>
                <w:webHidden/>
              </w:rPr>
              <w:instrText xml:space="preserve"> PAGEREF _Toc120692792 \h </w:instrText>
            </w:r>
            <w:r w:rsidR="00023800">
              <w:rPr>
                <w:noProof/>
                <w:webHidden/>
              </w:rPr>
            </w:r>
            <w:r w:rsidR="00023800">
              <w:rPr>
                <w:noProof/>
                <w:webHidden/>
              </w:rPr>
              <w:fldChar w:fldCharType="separate"/>
            </w:r>
            <w:r w:rsidR="006A6BEB">
              <w:rPr>
                <w:noProof/>
                <w:webHidden/>
              </w:rPr>
              <w:t>2</w:t>
            </w:r>
            <w:r w:rsidR="00023800">
              <w:rPr>
                <w:noProof/>
                <w:webHidden/>
              </w:rPr>
              <w:fldChar w:fldCharType="end"/>
            </w:r>
          </w:hyperlink>
        </w:p>
        <w:p w:rsidR="00023800" w:rsidRDefault="00CA0F5C" w14:paraId="3CE3D17C" w14:textId="0FB60FEB">
          <w:pPr>
            <w:pStyle w:val="TOC1"/>
            <w:tabs>
              <w:tab w:val="right" w:leader="dot" w:pos="9350"/>
            </w:tabs>
            <w:rPr>
              <w:rFonts w:asciiTheme="minorHAnsi" w:hAnsiTheme="minorHAnsi" w:cstheme="minorBidi"/>
              <w:noProof/>
              <w:sz w:val="22"/>
            </w:rPr>
          </w:pPr>
          <w:hyperlink w:history="1" w:anchor="_Toc120692793">
            <w:r w:rsidRPr="00AB0A25" w:rsidR="00023800">
              <w:rPr>
                <w:rStyle w:val="Hyperlink"/>
                <w:noProof/>
              </w:rPr>
              <w:t>1.</w:t>
            </w:r>
            <w:r w:rsidR="00023800">
              <w:rPr>
                <w:rFonts w:asciiTheme="minorHAnsi" w:hAnsiTheme="minorHAnsi" w:cstheme="minorBidi"/>
                <w:noProof/>
                <w:sz w:val="22"/>
              </w:rPr>
              <w:tab/>
            </w:r>
            <w:r w:rsidRPr="00AB0A25" w:rsidR="00023800">
              <w:rPr>
                <w:rStyle w:val="Hyperlink"/>
                <w:noProof/>
              </w:rPr>
              <w:t>Background</w:t>
            </w:r>
            <w:r w:rsidR="00023800">
              <w:rPr>
                <w:noProof/>
                <w:webHidden/>
              </w:rPr>
              <w:tab/>
            </w:r>
            <w:r w:rsidR="00023800">
              <w:rPr>
                <w:noProof/>
                <w:webHidden/>
              </w:rPr>
              <w:fldChar w:fldCharType="begin"/>
            </w:r>
            <w:r w:rsidR="00023800">
              <w:rPr>
                <w:noProof/>
                <w:webHidden/>
              </w:rPr>
              <w:instrText xml:space="preserve"> PAGEREF _Toc120692793 \h </w:instrText>
            </w:r>
            <w:r w:rsidR="00023800">
              <w:rPr>
                <w:noProof/>
                <w:webHidden/>
              </w:rPr>
            </w:r>
            <w:r w:rsidR="00023800">
              <w:rPr>
                <w:noProof/>
                <w:webHidden/>
              </w:rPr>
              <w:fldChar w:fldCharType="separate"/>
            </w:r>
            <w:r w:rsidR="006A6BEB">
              <w:rPr>
                <w:noProof/>
                <w:webHidden/>
              </w:rPr>
              <w:t>3</w:t>
            </w:r>
            <w:r w:rsidR="00023800">
              <w:rPr>
                <w:noProof/>
                <w:webHidden/>
              </w:rPr>
              <w:fldChar w:fldCharType="end"/>
            </w:r>
          </w:hyperlink>
        </w:p>
        <w:p w:rsidR="00023800" w:rsidRDefault="00CA0F5C" w14:paraId="0AE86987" w14:textId="093C1529">
          <w:pPr>
            <w:pStyle w:val="TOC1"/>
            <w:tabs>
              <w:tab w:val="right" w:leader="dot" w:pos="9350"/>
            </w:tabs>
            <w:rPr>
              <w:rFonts w:asciiTheme="minorHAnsi" w:hAnsiTheme="minorHAnsi" w:cstheme="minorBidi"/>
              <w:noProof/>
              <w:sz w:val="22"/>
            </w:rPr>
          </w:pPr>
          <w:hyperlink w:history="1" w:anchor="_Toc120692794">
            <w:r w:rsidRPr="00AB0A25" w:rsidR="00023800">
              <w:rPr>
                <w:rStyle w:val="Hyperlink"/>
                <w:noProof/>
              </w:rPr>
              <w:t>2.</w:t>
            </w:r>
            <w:r w:rsidR="00023800">
              <w:rPr>
                <w:rFonts w:asciiTheme="minorHAnsi" w:hAnsiTheme="minorHAnsi" w:cstheme="minorBidi"/>
                <w:noProof/>
                <w:sz w:val="22"/>
              </w:rPr>
              <w:tab/>
            </w:r>
            <w:r w:rsidRPr="00AB0A25" w:rsidR="00023800">
              <w:rPr>
                <w:rStyle w:val="Hyperlink"/>
                <w:noProof/>
              </w:rPr>
              <w:t>Issues Before the Commission</w:t>
            </w:r>
            <w:r w:rsidR="00023800">
              <w:rPr>
                <w:noProof/>
                <w:webHidden/>
              </w:rPr>
              <w:tab/>
            </w:r>
            <w:r w:rsidR="00023800">
              <w:rPr>
                <w:noProof/>
                <w:webHidden/>
              </w:rPr>
              <w:fldChar w:fldCharType="begin"/>
            </w:r>
            <w:r w:rsidR="00023800">
              <w:rPr>
                <w:noProof/>
                <w:webHidden/>
              </w:rPr>
              <w:instrText xml:space="preserve"> PAGEREF _Toc120692794 \h </w:instrText>
            </w:r>
            <w:r w:rsidR="00023800">
              <w:rPr>
                <w:noProof/>
                <w:webHidden/>
              </w:rPr>
            </w:r>
            <w:r w:rsidR="00023800">
              <w:rPr>
                <w:noProof/>
                <w:webHidden/>
              </w:rPr>
              <w:fldChar w:fldCharType="separate"/>
            </w:r>
            <w:r w:rsidR="006A6BEB">
              <w:rPr>
                <w:noProof/>
                <w:webHidden/>
              </w:rPr>
              <w:t>6</w:t>
            </w:r>
            <w:r w:rsidR="00023800">
              <w:rPr>
                <w:noProof/>
                <w:webHidden/>
              </w:rPr>
              <w:fldChar w:fldCharType="end"/>
            </w:r>
          </w:hyperlink>
        </w:p>
        <w:p w:rsidR="00023800" w:rsidRDefault="00CA0F5C" w14:paraId="11250D9A" w14:textId="05F5A910">
          <w:pPr>
            <w:pStyle w:val="TOC1"/>
            <w:tabs>
              <w:tab w:val="right" w:leader="dot" w:pos="9350"/>
            </w:tabs>
            <w:rPr>
              <w:rFonts w:asciiTheme="minorHAnsi" w:hAnsiTheme="minorHAnsi" w:cstheme="minorBidi"/>
              <w:noProof/>
              <w:sz w:val="22"/>
            </w:rPr>
          </w:pPr>
          <w:hyperlink w:history="1" w:anchor="_Toc120692795">
            <w:r w:rsidRPr="00AB0A25" w:rsidR="00023800">
              <w:rPr>
                <w:rStyle w:val="Hyperlink"/>
                <w:noProof/>
              </w:rPr>
              <w:t>3.</w:t>
            </w:r>
            <w:r w:rsidR="00023800">
              <w:rPr>
                <w:rFonts w:asciiTheme="minorHAnsi" w:hAnsiTheme="minorHAnsi" w:cstheme="minorBidi"/>
                <w:noProof/>
                <w:sz w:val="22"/>
              </w:rPr>
              <w:tab/>
            </w:r>
            <w:r w:rsidRPr="00AB0A25" w:rsidR="00023800">
              <w:rPr>
                <w:rStyle w:val="Hyperlink"/>
                <w:noProof/>
              </w:rPr>
              <w:t>Jurisdiction</w:t>
            </w:r>
            <w:r w:rsidR="00023800">
              <w:rPr>
                <w:noProof/>
                <w:webHidden/>
              </w:rPr>
              <w:tab/>
            </w:r>
            <w:r w:rsidR="00023800">
              <w:rPr>
                <w:noProof/>
                <w:webHidden/>
              </w:rPr>
              <w:fldChar w:fldCharType="begin"/>
            </w:r>
            <w:r w:rsidR="00023800">
              <w:rPr>
                <w:noProof/>
                <w:webHidden/>
              </w:rPr>
              <w:instrText xml:space="preserve"> PAGEREF _Toc120692795 \h </w:instrText>
            </w:r>
            <w:r w:rsidR="00023800">
              <w:rPr>
                <w:noProof/>
                <w:webHidden/>
              </w:rPr>
            </w:r>
            <w:r w:rsidR="00023800">
              <w:rPr>
                <w:noProof/>
                <w:webHidden/>
              </w:rPr>
              <w:fldChar w:fldCharType="separate"/>
            </w:r>
            <w:r w:rsidR="006A6BEB">
              <w:rPr>
                <w:noProof/>
                <w:webHidden/>
              </w:rPr>
              <w:t>7</w:t>
            </w:r>
            <w:r w:rsidR="00023800">
              <w:rPr>
                <w:noProof/>
                <w:webHidden/>
              </w:rPr>
              <w:fldChar w:fldCharType="end"/>
            </w:r>
          </w:hyperlink>
        </w:p>
        <w:p w:rsidR="00023800" w:rsidRDefault="00CA0F5C" w14:paraId="55879134" w14:textId="519A1B6A">
          <w:pPr>
            <w:pStyle w:val="TOC1"/>
            <w:tabs>
              <w:tab w:val="right" w:leader="dot" w:pos="9350"/>
            </w:tabs>
            <w:rPr>
              <w:rFonts w:asciiTheme="minorHAnsi" w:hAnsiTheme="minorHAnsi" w:cstheme="minorBidi"/>
              <w:noProof/>
              <w:sz w:val="22"/>
            </w:rPr>
          </w:pPr>
          <w:hyperlink w:history="1" w:anchor="_Toc120692796">
            <w:r w:rsidRPr="00AB0A25" w:rsidR="00023800">
              <w:rPr>
                <w:rStyle w:val="Hyperlink"/>
                <w:noProof/>
              </w:rPr>
              <w:t>4.</w:t>
            </w:r>
            <w:r w:rsidR="00023800">
              <w:rPr>
                <w:rFonts w:asciiTheme="minorHAnsi" w:hAnsiTheme="minorHAnsi" w:cstheme="minorBidi"/>
                <w:noProof/>
                <w:sz w:val="22"/>
              </w:rPr>
              <w:tab/>
            </w:r>
            <w:r w:rsidRPr="00AB0A25" w:rsidR="00023800">
              <w:rPr>
                <w:rStyle w:val="Hyperlink"/>
                <w:noProof/>
              </w:rPr>
              <w:t>Parties’ General Responses  to the Staff Proposal</w:t>
            </w:r>
            <w:r w:rsidR="00023800">
              <w:rPr>
                <w:noProof/>
                <w:webHidden/>
              </w:rPr>
              <w:tab/>
            </w:r>
            <w:r w:rsidR="00023800">
              <w:rPr>
                <w:noProof/>
                <w:webHidden/>
              </w:rPr>
              <w:fldChar w:fldCharType="begin"/>
            </w:r>
            <w:r w:rsidR="00023800">
              <w:rPr>
                <w:noProof/>
                <w:webHidden/>
              </w:rPr>
              <w:instrText xml:space="preserve"> PAGEREF _Toc120692796 \h </w:instrText>
            </w:r>
            <w:r w:rsidR="00023800">
              <w:rPr>
                <w:noProof/>
                <w:webHidden/>
              </w:rPr>
            </w:r>
            <w:r w:rsidR="00023800">
              <w:rPr>
                <w:noProof/>
                <w:webHidden/>
              </w:rPr>
              <w:fldChar w:fldCharType="separate"/>
            </w:r>
            <w:r w:rsidR="006A6BEB">
              <w:rPr>
                <w:noProof/>
                <w:webHidden/>
              </w:rPr>
              <w:t>9</w:t>
            </w:r>
            <w:r w:rsidR="00023800">
              <w:rPr>
                <w:noProof/>
                <w:webHidden/>
              </w:rPr>
              <w:fldChar w:fldCharType="end"/>
            </w:r>
          </w:hyperlink>
        </w:p>
        <w:p w:rsidR="00023800" w:rsidRDefault="00CA0F5C" w14:paraId="4CDA63F0" w14:textId="35E4E10E">
          <w:pPr>
            <w:pStyle w:val="TOC1"/>
            <w:tabs>
              <w:tab w:val="right" w:leader="dot" w:pos="9350"/>
            </w:tabs>
            <w:rPr>
              <w:rFonts w:asciiTheme="minorHAnsi" w:hAnsiTheme="minorHAnsi" w:cstheme="minorBidi"/>
              <w:noProof/>
              <w:sz w:val="22"/>
            </w:rPr>
          </w:pPr>
          <w:hyperlink w:history="1" w:anchor="_Toc120692797">
            <w:r w:rsidRPr="00AB0A25" w:rsidR="00023800">
              <w:rPr>
                <w:rStyle w:val="Hyperlink"/>
                <w:noProof/>
              </w:rPr>
              <w:t>5.</w:t>
            </w:r>
            <w:r w:rsidR="00023800">
              <w:rPr>
                <w:rFonts w:asciiTheme="minorHAnsi" w:hAnsiTheme="minorHAnsi" w:cstheme="minorBidi"/>
                <w:noProof/>
                <w:sz w:val="22"/>
              </w:rPr>
              <w:tab/>
            </w:r>
            <w:r w:rsidRPr="00AB0A25" w:rsidR="00023800">
              <w:rPr>
                <w:rStyle w:val="Hyperlink"/>
                <w:noProof/>
              </w:rPr>
              <w:t>Adopting a Gas Infrastructure GO</w:t>
            </w:r>
            <w:r w:rsidR="00023800">
              <w:rPr>
                <w:noProof/>
                <w:webHidden/>
              </w:rPr>
              <w:tab/>
            </w:r>
            <w:r w:rsidR="00023800">
              <w:rPr>
                <w:noProof/>
                <w:webHidden/>
              </w:rPr>
              <w:fldChar w:fldCharType="begin"/>
            </w:r>
            <w:r w:rsidR="00023800">
              <w:rPr>
                <w:noProof/>
                <w:webHidden/>
              </w:rPr>
              <w:instrText xml:space="preserve"> PAGEREF _Toc120692797 \h </w:instrText>
            </w:r>
            <w:r w:rsidR="00023800">
              <w:rPr>
                <w:noProof/>
                <w:webHidden/>
              </w:rPr>
            </w:r>
            <w:r w:rsidR="00023800">
              <w:rPr>
                <w:noProof/>
                <w:webHidden/>
              </w:rPr>
              <w:fldChar w:fldCharType="separate"/>
            </w:r>
            <w:r w:rsidR="006A6BEB">
              <w:rPr>
                <w:noProof/>
                <w:webHidden/>
              </w:rPr>
              <w:t>10</w:t>
            </w:r>
            <w:r w:rsidR="00023800">
              <w:rPr>
                <w:noProof/>
                <w:webHidden/>
              </w:rPr>
              <w:fldChar w:fldCharType="end"/>
            </w:r>
          </w:hyperlink>
        </w:p>
        <w:p w:rsidR="00023800" w:rsidRDefault="00CA0F5C" w14:paraId="7138C52D" w14:textId="51A0E5AA">
          <w:pPr>
            <w:pStyle w:val="TOC1"/>
            <w:tabs>
              <w:tab w:val="right" w:leader="dot" w:pos="9350"/>
            </w:tabs>
            <w:rPr>
              <w:rFonts w:asciiTheme="minorHAnsi" w:hAnsiTheme="minorHAnsi" w:cstheme="minorBidi"/>
              <w:noProof/>
              <w:sz w:val="22"/>
            </w:rPr>
          </w:pPr>
          <w:hyperlink w:history="1" w:anchor="_Toc120692798">
            <w:r w:rsidRPr="00AB0A25" w:rsidR="00023800">
              <w:rPr>
                <w:rStyle w:val="Hyperlink"/>
                <w:noProof/>
              </w:rPr>
              <w:t>6.</w:t>
            </w:r>
            <w:r w:rsidR="00023800">
              <w:rPr>
                <w:rFonts w:asciiTheme="minorHAnsi" w:hAnsiTheme="minorHAnsi" w:cstheme="minorBidi"/>
                <w:noProof/>
                <w:sz w:val="22"/>
              </w:rPr>
              <w:tab/>
            </w:r>
            <w:r w:rsidRPr="00AB0A25" w:rsidR="00023800">
              <w:rPr>
                <w:rStyle w:val="Hyperlink"/>
                <w:noProof/>
              </w:rPr>
              <w:t>GO Purpose</w:t>
            </w:r>
            <w:r w:rsidR="00023800">
              <w:rPr>
                <w:noProof/>
                <w:webHidden/>
              </w:rPr>
              <w:tab/>
            </w:r>
            <w:r w:rsidR="00023800">
              <w:rPr>
                <w:noProof/>
                <w:webHidden/>
              </w:rPr>
              <w:fldChar w:fldCharType="begin"/>
            </w:r>
            <w:r w:rsidR="00023800">
              <w:rPr>
                <w:noProof/>
                <w:webHidden/>
              </w:rPr>
              <w:instrText xml:space="preserve"> PAGEREF _Toc120692798 \h </w:instrText>
            </w:r>
            <w:r w:rsidR="00023800">
              <w:rPr>
                <w:noProof/>
                <w:webHidden/>
              </w:rPr>
            </w:r>
            <w:r w:rsidR="00023800">
              <w:rPr>
                <w:noProof/>
                <w:webHidden/>
              </w:rPr>
              <w:fldChar w:fldCharType="separate"/>
            </w:r>
            <w:r w:rsidR="006A6BEB">
              <w:rPr>
                <w:noProof/>
                <w:webHidden/>
              </w:rPr>
              <w:t>14</w:t>
            </w:r>
            <w:r w:rsidR="00023800">
              <w:rPr>
                <w:noProof/>
                <w:webHidden/>
              </w:rPr>
              <w:fldChar w:fldCharType="end"/>
            </w:r>
          </w:hyperlink>
        </w:p>
        <w:p w:rsidR="00023800" w:rsidRDefault="00CA0F5C" w14:paraId="29F14B22" w14:textId="66225818">
          <w:pPr>
            <w:pStyle w:val="TOC2"/>
            <w:tabs>
              <w:tab w:val="right" w:leader="dot" w:pos="9350"/>
            </w:tabs>
            <w:rPr>
              <w:rFonts w:asciiTheme="minorHAnsi" w:hAnsiTheme="minorHAnsi" w:cstheme="minorBidi"/>
              <w:noProof/>
              <w:sz w:val="22"/>
            </w:rPr>
          </w:pPr>
          <w:hyperlink w:history="1" w:anchor="_Toc120692800">
            <w:r w:rsidRPr="00AB0A25" w:rsidR="00023800">
              <w:rPr>
                <w:rStyle w:val="Hyperlink"/>
                <w:noProof/>
              </w:rPr>
              <w:t>6.1.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_Toc120692800 \h </w:instrText>
            </w:r>
            <w:r w:rsidR="00023800">
              <w:rPr>
                <w:noProof/>
                <w:webHidden/>
              </w:rPr>
            </w:r>
            <w:r w:rsidR="00023800">
              <w:rPr>
                <w:noProof/>
                <w:webHidden/>
              </w:rPr>
              <w:fldChar w:fldCharType="separate"/>
            </w:r>
            <w:r w:rsidR="006A6BEB">
              <w:rPr>
                <w:noProof/>
                <w:webHidden/>
              </w:rPr>
              <w:t>14</w:t>
            </w:r>
            <w:r w:rsidR="00023800">
              <w:rPr>
                <w:noProof/>
                <w:webHidden/>
              </w:rPr>
              <w:fldChar w:fldCharType="end"/>
            </w:r>
          </w:hyperlink>
        </w:p>
        <w:p w:rsidR="00023800" w:rsidRDefault="00CA0F5C" w14:paraId="28DC0D87" w14:textId="176F252C">
          <w:pPr>
            <w:pStyle w:val="TOC2"/>
            <w:tabs>
              <w:tab w:val="right" w:leader="dot" w:pos="9350"/>
            </w:tabs>
            <w:rPr>
              <w:rFonts w:asciiTheme="minorHAnsi" w:hAnsiTheme="minorHAnsi" w:cstheme="minorBidi"/>
              <w:noProof/>
              <w:sz w:val="22"/>
            </w:rPr>
          </w:pPr>
          <w:hyperlink w:history="1" w:anchor="_Toc120692801">
            <w:r w:rsidRPr="00AB0A25" w:rsidR="00023800">
              <w:rPr>
                <w:rStyle w:val="Hyperlink"/>
                <w:noProof/>
              </w:rPr>
              <w:t>6.2.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_Toc120692801 \h </w:instrText>
            </w:r>
            <w:r w:rsidR="00023800">
              <w:rPr>
                <w:noProof/>
                <w:webHidden/>
              </w:rPr>
            </w:r>
            <w:r w:rsidR="00023800">
              <w:rPr>
                <w:noProof/>
                <w:webHidden/>
              </w:rPr>
              <w:fldChar w:fldCharType="separate"/>
            </w:r>
            <w:r w:rsidR="006A6BEB">
              <w:rPr>
                <w:noProof/>
                <w:webHidden/>
              </w:rPr>
              <w:t>14</w:t>
            </w:r>
            <w:r w:rsidR="00023800">
              <w:rPr>
                <w:noProof/>
                <w:webHidden/>
              </w:rPr>
              <w:fldChar w:fldCharType="end"/>
            </w:r>
          </w:hyperlink>
        </w:p>
        <w:p w:rsidR="00023800" w:rsidRDefault="00CA0F5C" w14:paraId="1CFFB409" w14:textId="5FE2F500">
          <w:pPr>
            <w:pStyle w:val="TOC2"/>
            <w:tabs>
              <w:tab w:val="right" w:leader="dot" w:pos="9350"/>
            </w:tabs>
            <w:rPr>
              <w:rFonts w:asciiTheme="minorHAnsi" w:hAnsiTheme="minorHAnsi" w:cstheme="minorBidi"/>
              <w:noProof/>
              <w:sz w:val="22"/>
            </w:rPr>
          </w:pPr>
          <w:hyperlink w:history="1" w:anchor="_Toc120692802">
            <w:r w:rsidRPr="00AB0A25" w:rsidR="00023800">
              <w:rPr>
                <w:rStyle w:val="Hyperlink"/>
                <w:noProof/>
              </w:rPr>
              <w:t>6.3.</w:t>
            </w:r>
            <w:r w:rsidR="00023800">
              <w:rPr>
                <w:rFonts w:asciiTheme="minorHAnsi" w:hAnsiTheme="minorHAnsi" w:cstheme="minorBidi"/>
                <w:noProof/>
                <w:sz w:val="22"/>
              </w:rPr>
              <w:tab/>
            </w:r>
            <w:r w:rsidRPr="00AB0A25" w:rsidR="00023800">
              <w:rPr>
                <w:rStyle w:val="Hyperlink"/>
                <w:noProof/>
              </w:rPr>
              <w:t>Adopting Modified Version of  Staff’s Proposed Purpose</w:t>
            </w:r>
            <w:r w:rsidR="00023800">
              <w:rPr>
                <w:noProof/>
                <w:webHidden/>
              </w:rPr>
              <w:tab/>
            </w:r>
            <w:r w:rsidR="00023800">
              <w:rPr>
                <w:noProof/>
                <w:webHidden/>
              </w:rPr>
              <w:fldChar w:fldCharType="begin"/>
            </w:r>
            <w:r w:rsidR="00023800">
              <w:rPr>
                <w:noProof/>
                <w:webHidden/>
              </w:rPr>
              <w:instrText xml:space="preserve"> PAGEREF _Toc120692802 \h </w:instrText>
            </w:r>
            <w:r w:rsidR="00023800">
              <w:rPr>
                <w:noProof/>
                <w:webHidden/>
              </w:rPr>
            </w:r>
            <w:r w:rsidR="00023800">
              <w:rPr>
                <w:noProof/>
                <w:webHidden/>
              </w:rPr>
              <w:fldChar w:fldCharType="separate"/>
            </w:r>
            <w:r w:rsidR="006A6BEB">
              <w:rPr>
                <w:noProof/>
                <w:webHidden/>
              </w:rPr>
              <w:t>15</w:t>
            </w:r>
            <w:r w:rsidR="00023800">
              <w:rPr>
                <w:noProof/>
                <w:webHidden/>
              </w:rPr>
              <w:fldChar w:fldCharType="end"/>
            </w:r>
          </w:hyperlink>
        </w:p>
        <w:p w:rsidR="00023800" w:rsidRDefault="00CA0F5C" w14:paraId="18AA7565" w14:textId="7CA51ECE">
          <w:pPr>
            <w:pStyle w:val="TOC1"/>
            <w:tabs>
              <w:tab w:val="right" w:leader="dot" w:pos="9350"/>
            </w:tabs>
            <w:rPr>
              <w:rFonts w:asciiTheme="minorHAnsi" w:hAnsiTheme="minorHAnsi" w:cstheme="minorBidi"/>
              <w:noProof/>
              <w:sz w:val="22"/>
            </w:rPr>
          </w:pPr>
          <w:hyperlink w:history="1" w:anchor="_Toc120692803">
            <w:r w:rsidRPr="00AB0A25" w:rsidR="00023800">
              <w:rPr>
                <w:rStyle w:val="Hyperlink"/>
                <w:noProof/>
              </w:rPr>
              <w:t>7.</w:t>
            </w:r>
            <w:r w:rsidR="00023800">
              <w:rPr>
                <w:rFonts w:asciiTheme="minorHAnsi" w:hAnsiTheme="minorHAnsi" w:cstheme="minorBidi"/>
                <w:noProof/>
                <w:sz w:val="22"/>
              </w:rPr>
              <w:tab/>
            </w:r>
            <w:r w:rsidRPr="00AB0A25" w:rsidR="00023800">
              <w:rPr>
                <w:rStyle w:val="Hyperlink"/>
                <w:noProof/>
              </w:rPr>
              <w:t>Adopting a Monetary Trigger for a CPCN Application Requirement</w:t>
            </w:r>
            <w:r w:rsidR="00023800">
              <w:rPr>
                <w:noProof/>
                <w:webHidden/>
              </w:rPr>
              <w:tab/>
            </w:r>
            <w:r w:rsidR="00023800">
              <w:rPr>
                <w:noProof/>
                <w:webHidden/>
              </w:rPr>
              <w:fldChar w:fldCharType="begin"/>
            </w:r>
            <w:r w:rsidR="00023800">
              <w:rPr>
                <w:noProof/>
                <w:webHidden/>
              </w:rPr>
              <w:instrText xml:space="preserve"> PAGEREF _Toc120692803 \h </w:instrText>
            </w:r>
            <w:r w:rsidR="00023800">
              <w:rPr>
                <w:noProof/>
                <w:webHidden/>
              </w:rPr>
            </w:r>
            <w:r w:rsidR="00023800">
              <w:rPr>
                <w:noProof/>
                <w:webHidden/>
              </w:rPr>
              <w:fldChar w:fldCharType="separate"/>
            </w:r>
            <w:r w:rsidR="006A6BEB">
              <w:rPr>
                <w:noProof/>
                <w:webHidden/>
              </w:rPr>
              <w:t>16</w:t>
            </w:r>
            <w:r w:rsidR="00023800">
              <w:rPr>
                <w:noProof/>
                <w:webHidden/>
              </w:rPr>
              <w:fldChar w:fldCharType="end"/>
            </w:r>
          </w:hyperlink>
        </w:p>
        <w:p w:rsidR="00023800" w:rsidRDefault="00CA0F5C" w14:paraId="5E66590A" w14:textId="2375A74C">
          <w:pPr>
            <w:pStyle w:val="TOC2"/>
            <w:tabs>
              <w:tab w:val="right" w:leader="dot" w:pos="9350"/>
            </w:tabs>
            <w:rPr>
              <w:rFonts w:asciiTheme="minorHAnsi" w:hAnsiTheme="minorHAnsi" w:cstheme="minorBidi"/>
              <w:noProof/>
              <w:sz w:val="22"/>
            </w:rPr>
          </w:pPr>
          <w:hyperlink w:history="1" w:anchor="_Toc120692805">
            <w:r w:rsidRPr="00AB0A25" w:rsidR="00023800">
              <w:rPr>
                <w:rStyle w:val="Hyperlink"/>
                <w:noProof/>
              </w:rPr>
              <w:t>7.1.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_Toc120692805 \h </w:instrText>
            </w:r>
            <w:r w:rsidR="00023800">
              <w:rPr>
                <w:noProof/>
                <w:webHidden/>
              </w:rPr>
            </w:r>
            <w:r w:rsidR="00023800">
              <w:rPr>
                <w:noProof/>
                <w:webHidden/>
              </w:rPr>
              <w:fldChar w:fldCharType="separate"/>
            </w:r>
            <w:r w:rsidR="006A6BEB">
              <w:rPr>
                <w:noProof/>
                <w:webHidden/>
              </w:rPr>
              <w:t>16</w:t>
            </w:r>
            <w:r w:rsidR="00023800">
              <w:rPr>
                <w:noProof/>
                <w:webHidden/>
              </w:rPr>
              <w:fldChar w:fldCharType="end"/>
            </w:r>
          </w:hyperlink>
        </w:p>
        <w:p w:rsidR="00023800" w:rsidRDefault="00CA0F5C" w14:paraId="1772BB10" w14:textId="545866FB">
          <w:pPr>
            <w:pStyle w:val="TOC2"/>
            <w:tabs>
              <w:tab w:val="right" w:leader="dot" w:pos="9350"/>
            </w:tabs>
            <w:rPr>
              <w:rFonts w:asciiTheme="minorHAnsi" w:hAnsiTheme="minorHAnsi" w:cstheme="minorBidi"/>
              <w:noProof/>
              <w:sz w:val="22"/>
            </w:rPr>
          </w:pPr>
          <w:hyperlink w:history="1" w:anchor="_Toc120692806">
            <w:r w:rsidRPr="00AB0A25" w:rsidR="00023800">
              <w:rPr>
                <w:rStyle w:val="Hyperlink"/>
                <w:noProof/>
              </w:rPr>
              <w:t>7.2.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_Toc120692806 \h </w:instrText>
            </w:r>
            <w:r w:rsidR="00023800">
              <w:rPr>
                <w:noProof/>
                <w:webHidden/>
              </w:rPr>
            </w:r>
            <w:r w:rsidR="00023800">
              <w:rPr>
                <w:noProof/>
                <w:webHidden/>
              </w:rPr>
              <w:fldChar w:fldCharType="separate"/>
            </w:r>
            <w:r w:rsidR="006A6BEB">
              <w:rPr>
                <w:noProof/>
                <w:webHidden/>
              </w:rPr>
              <w:t>16</w:t>
            </w:r>
            <w:r w:rsidR="00023800">
              <w:rPr>
                <w:noProof/>
                <w:webHidden/>
              </w:rPr>
              <w:fldChar w:fldCharType="end"/>
            </w:r>
          </w:hyperlink>
        </w:p>
        <w:p w:rsidR="00023800" w:rsidRDefault="00CA0F5C" w14:paraId="277F13E7" w14:textId="1186800F">
          <w:pPr>
            <w:pStyle w:val="TOC3"/>
            <w:tabs>
              <w:tab w:val="left" w:pos="1296"/>
              <w:tab w:val="right" w:leader="dot" w:pos="9350"/>
            </w:tabs>
            <w:rPr>
              <w:rFonts w:asciiTheme="minorHAnsi" w:hAnsiTheme="minorHAnsi" w:cstheme="minorBidi"/>
              <w:noProof/>
              <w:sz w:val="22"/>
            </w:rPr>
          </w:pPr>
          <w:hyperlink w:history="1" w:anchor="_Toc120692807">
            <w:r w:rsidRPr="00AB0A25" w:rsidR="00023800">
              <w:rPr>
                <w:rStyle w:val="Hyperlink"/>
                <w:noProof/>
              </w:rPr>
              <w:t>7.2.1.</w:t>
            </w:r>
            <w:r w:rsidR="00023800">
              <w:rPr>
                <w:rFonts w:asciiTheme="minorHAnsi" w:hAnsiTheme="minorHAnsi" w:cstheme="minorBidi"/>
                <w:noProof/>
                <w:sz w:val="22"/>
              </w:rPr>
              <w:tab/>
            </w:r>
            <w:r w:rsidRPr="00AB0A25" w:rsidR="00023800">
              <w:rPr>
                <w:rStyle w:val="Hyperlink"/>
                <w:noProof/>
              </w:rPr>
              <w:t>Monetary Trigger</w:t>
            </w:r>
            <w:r w:rsidR="00023800">
              <w:rPr>
                <w:noProof/>
                <w:webHidden/>
              </w:rPr>
              <w:tab/>
            </w:r>
            <w:r w:rsidR="00023800">
              <w:rPr>
                <w:noProof/>
                <w:webHidden/>
              </w:rPr>
              <w:fldChar w:fldCharType="begin"/>
            </w:r>
            <w:r w:rsidR="00023800">
              <w:rPr>
                <w:noProof/>
                <w:webHidden/>
              </w:rPr>
              <w:instrText xml:space="preserve"> PAGEREF _Toc120692807 \h </w:instrText>
            </w:r>
            <w:r w:rsidR="00023800">
              <w:rPr>
                <w:noProof/>
                <w:webHidden/>
              </w:rPr>
            </w:r>
            <w:r w:rsidR="00023800">
              <w:rPr>
                <w:noProof/>
                <w:webHidden/>
              </w:rPr>
              <w:fldChar w:fldCharType="separate"/>
            </w:r>
            <w:r w:rsidR="006A6BEB">
              <w:rPr>
                <w:noProof/>
                <w:webHidden/>
              </w:rPr>
              <w:t>16</w:t>
            </w:r>
            <w:r w:rsidR="00023800">
              <w:rPr>
                <w:noProof/>
                <w:webHidden/>
              </w:rPr>
              <w:fldChar w:fldCharType="end"/>
            </w:r>
          </w:hyperlink>
        </w:p>
        <w:p w:rsidR="00023800" w:rsidRDefault="00CA0F5C" w14:paraId="512B5C82" w14:textId="3A92D282">
          <w:pPr>
            <w:pStyle w:val="TOC3"/>
            <w:tabs>
              <w:tab w:val="left" w:pos="1296"/>
              <w:tab w:val="right" w:leader="dot" w:pos="9350"/>
            </w:tabs>
            <w:rPr>
              <w:rFonts w:asciiTheme="minorHAnsi" w:hAnsiTheme="minorHAnsi" w:cstheme="minorBidi"/>
              <w:noProof/>
              <w:sz w:val="22"/>
            </w:rPr>
          </w:pPr>
          <w:hyperlink w:history="1" w:anchor="_Toc120692808">
            <w:r w:rsidRPr="00AB0A25" w:rsidR="00023800">
              <w:rPr>
                <w:rStyle w:val="Hyperlink"/>
                <w:noProof/>
              </w:rPr>
              <w:t>7.2.2.</w:t>
            </w:r>
            <w:r w:rsidR="00023800">
              <w:rPr>
                <w:rFonts w:asciiTheme="minorHAnsi" w:hAnsiTheme="minorHAnsi" w:cstheme="minorBidi"/>
                <w:noProof/>
                <w:sz w:val="22"/>
              </w:rPr>
              <w:tab/>
            </w:r>
            <w:r w:rsidRPr="00AB0A25" w:rsidR="00023800">
              <w:rPr>
                <w:rStyle w:val="Hyperlink"/>
                <w:noProof/>
              </w:rPr>
              <w:t>PTC vs. CPCN Application  Requirement</w:t>
            </w:r>
            <w:r w:rsidR="00023800">
              <w:rPr>
                <w:noProof/>
                <w:webHidden/>
              </w:rPr>
              <w:tab/>
            </w:r>
            <w:r w:rsidR="00023800">
              <w:rPr>
                <w:noProof/>
                <w:webHidden/>
              </w:rPr>
              <w:fldChar w:fldCharType="begin"/>
            </w:r>
            <w:r w:rsidR="00023800">
              <w:rPr>
                <w:noProof/>
                <w:webHidden/>
              </w:rPr>
              <w:instrText xml:space="preserve"> PAGEREF _Toc120692808 \h </w:instrText>
            </w:r>
            <w:r w:rsidR="00023800">
              <w:rPr>
                <w:noProof/>
                <w:webHidden/>
              </w:rPr>
            </w:r>
            <w:r w:rsidR="00023800">
              <w:rPr>
                <w:noProof/>
                <w:webHidden/>
              </w:rPr>
              <w:fldChar w:fldCharType="separate"/>
            </w:r>
            <w:r w:rsidR="006A6BEB">
              <w:rPr>
                <w:noProof/>
                <w:webHidden/>
              </w:rPr>
              <w:t>20</w:t>
            </w:r>
            <w:r w:rsidR="00023800">
              <w:rPr>
                <w:noProof/>
                <w:webHidden/>
              </w:rPr>
              <w:fldChar w:fldCharType="end"/>
            </w:r>
          </w:hyperlink>
        </w:p>
        <w:p w:rsidR="00023800" w:rsidRDefault="00CA0F5C" w14:paraId="0788CE08" w14:textId="4F3C4932">
          <w:pPr>
            <w:pStyle w:val="TOC2"/>
            <w:tabs>
              <w:tab w:val="right" w:leader="dot" w:pos="9350"/>
            </w:tabs>
            <w:rPr>
              <w:rFonts w:asciiTheme="minorHAnsi" w:hAnsiTheme="minorHAnsi" w:cstheme="minorBidi"/>
              <w:noProof/>
              <w:sz w:val="22"/>
            </w:rPr>
          </w:pPr>
          <w:hyperlink w:history="1" w:anchor="_Toc120692809">
            <w:r w:rsidRPr="00AB0A25" w:rsidR="00023800">
              <w:rPr>
                <w:rStyle w:val="Hyperlink"/>
                <w:noProof/>
              </w:rPr>
              <w:t>7.3.</w:t>
            </w:r>
            <w:r w:rsidR="00023800">
              <w:rPr>
                <w:rFonts w:asciiTheme="minorHAnsi" w:hAnsiTheme="minorHAnsi" w:cstheme="minorBidi"/>
                <w:noProof/>
                <w:sz w:val="22"/>
              </w:rPr>
              <w:tab/>
            </w:r>
            <w:r w:rsidRPr="00AB0A25" w:rsidR="00023800">
              <w:rPr>
                <w:rStyle w:val="Hyperlink"/>
                <w:noProof/>
              </w:rPr>
              <w:t>Adopting a $75 million Threshold for Gas Infrastructure CPCN Applications</w:t>
            </w:r>
            <w:r w:rsidR="00023800">
              <w:rPr>
                <w:noProof/>
                <w:webHidden/>
              </w:rPr>
              <w:tab/>
            </w:r>
            <w:r w:rsidR="00023800">
              <w:rPr>
                <w:noProof/>
                <w:webHidden/>
              </w:rPr>
              <w:fldChar w:fldCharType="begin"/>
            </w:r>
            <w:r w:rsidR="00023800">
              <w:rPr>
                <w:noProof/>
                <w:webHidden/>
              </w:rPr>
              <w:instrText xml:space="preserve"> PAGEREF _Toc120692809 \h </w:instrText>
            </w:r>
            <w:r w:rsidR="00023800">
              <w:rPr>
                <w:noProof/>
                <w:webHidden/>
              </w:rPr>
            </w:r>
            <w:r w:rsidR="00023800">
              <w:rPr>
                <w:noProof/>
                <w:webHidden/>
              </w:rPr>
              <w:fldChar w:fldCharType="separate"/>
            </w:r>
            <w:r w:rsidR="006A6BEB">
              <w:rPr>
                <w:noProof/>
                <w:webHidden/>
              </w:rPr>
              <w:t>21</w:t>
            </w:r>
            <w:r w:rsidR="00023800">
              <w:rPr>
                <w:noProof/>
                <w:webHidden/>
              </w:rPr>
              <w:fldChar w:fldCharType="end"/>
            </w:r>
          </w:hyperlink>
        </w:p>
        <w:p w:rsidR="00023800" w:rsidRDefault="00CA0F5C" w14:paraId="2654C47A" w14:textId="28A0DFAC">
          <w:pPr>
            <w:pStyle w:val="TOC1"/>
            <w:tabs>
              <w:tab w:val="right" w:leader="dot" w:pos="9350"/>
            </w:tabs>
            <w:rPr>
              <w:rFonts w:asciiTheme="minorHAnsi" w:hAnsiTheme="minorHAnsi" w:cstheme="minorBidi"/>
              <w:noProof/>
              <w:sz w:val="22"/>
            </w:rPr>
          </w:pPr>
          <w:hyperlink w:history="1" w:anchor="_Toc120692810">
            <w:r w:rsidRPr="00AB0A25" w:rsidR="00023800">
              <w:rPr>
                <w:rStyle w:val="Hyperlink"/>
                <w:noProof/>
              </w:rPr>
              <w:t>8.</w:t>
            </w:r>
            <w:r w:rsidR="00023800">
              <w:rPr>
                <w:rFonts w:asciiTheme="minorHAnsi" w:hAnsiTheme="minorHAnsi" w:cstheme="minorBidi"/>
                <w:noProof/>
                <w:sz w:val="22"/>
              </w:rPr>
              <w:tab/>
            </w:r>
            <w:r w:rsidRPr="00AB0A25" w:rsidR="00023800">
              <w:rPr>
                <w:rStyle w:val="Hyperlink"/>
                <w:noProof/>
              </w:rPr>
              <w:t>Sensitive Receptors Trigger Requirements</w:t>
            </w:r>
            <w:r w:rsidR="00023800">
              <w:rPr>
                <w:noProof/>
                <w:webHidden/>
              </w:rPr>
              <w:tab/>
            </w:r>
            <w:r w:rsidR="00023800">
              <w:rPr>
                <w:noProof/>
                <w:webHidden/>
              </w:rPr>
              <w:fldChar w:fldCharType="begin"/>
            </w:r>
            <w:r w:rsidR="00023800">
              <w:rPr>
                <w:noProof/>
                <w:webHidden/>
              </w:rPr>
              <w:instrText xml:space="preserve"> PAGEREF _Toc120692810 \h </w:instrText>
            </w:r>
            <w:r w:rsidR="00023800">
              <w:rPr>
                <w:noProof/>
                <w:webHidden/>
              </w:rPr>
            </w:r>
            <w:r w:rsidR="00023800">
              <w:rPr>
                <w:noProof/>
                <w:webHidden/>
              </w:rPr>
              <w:fldChar w:fldCharType="separate"/>
            </w:r>
            <w:r w:rsidR="006A6BEB">
              <w:rPr>
                <w:noProof/>
                <w:webHidden/>
              </w:rPr>
              <w:t>25</w:t>
            </w:r>
            <w:r w:rsidR="00023800">
              <w:rPr>
                <w:noProof/>
                <w:webHidden/>
              </w:rPr>
              <w:fldChar w:fldCharType="end"/>
            </w:r>
          </w:hyperlink>
        </w:p>
        <w:p w:rsidR="00023800" w:rsidRDefault="00CA0F5C" w14:paraId="1D023F4F" w14:textId="3BA628EF">
          <w:pPr>
            <w:pStyle w:val="TOC2"/>
            <w:tabs>
              <w:tab w:val="right" w:leader="dot" w:pos="9350"/>
            </w:tabs>
            <w:rPr>
              <w:rFonts w:asciiTheme="minorHAnsi" w:hAnsiTheme="minorHAnsi" w:cstheme="minorBidi"/>
              <w:noProof/>
              <w:sz w:val="22"/>
            </w:rPr>
          </w:pPr>
          <w:hyperlink w:history="1" w:anchor="_Toc120692812">
            <w:r w:rsidRPr="00AB0A25" w:rsidR="00023800">
              <w:rPr>
                <w:rStyle w:val="Hyperlink"/>
                <w:noProof/>
              </w:rPr>
              <w:t>8.1.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_Toc120692812 \h </w:instrText>
            </w:r>
            <w:r w:rsidR="00023800">
              <w:rPr>
                <w:noProof/>
                <w:webHidden/>
              </w:rPr>
            </w:r>
            <w:r w:rsidR="00023800">
              <w:rPr>
                <w:noProof/>
                <w:webHidden/>
              </w:rPr>
              <w:fldChar w:fldCharType="separate"/>
            </w:r>
            <w:r w:rsidR="006A6BEB">
              <w:rPr>
                <w:noProof/>
                <w:webHidden/>
              </w:rPr>
              <w:t>25</w:t>
            </w:r>
            <w:r w:rsidR="00023800">
              <w:rPr>
                <w:noProof/>
                <w:webHidden/>
              </w:rPr>
              <w:fldChar w:fldCharType="end"/>
            </w:r>
          </w:hyperlink>
        </w:p>
        <w:p w:rsidR="00023800" w:rsidRDefault="00CA0F5C" w14:paraId="7A437C02" w14:textId="0DC2B8CC">
          <w:pPr>
            <w:pStyle w:val="TOC2"/>
            <w:tabs>
              <w:tab w:val="right" w:leader="dot" w:pos="9350"/>
            </w:tabs>
            <w:rPr>
              <w:rFonts w:asciiTheme="minorHAnsi" w:hAnsiTheme="minorHAnsi" w:cstheme="minorBidi"/>
              <w:noProof/>
              <w:sz w:val="22"/>
            </w:rPr>
          </w:pPr>
          <w:hyperlink w:history="1" w:anchor="_Toc120692813">
            <w:r w:rsidRPr="00AB0A25" w:rsidR="00023800">
              <w:rPr>
                <w:rStyle w:val="Hyperlink"/>
                <w:noProof/>
              </w:rPr>
              <w:t>8.2.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_Toc120692813 \h </w:instrText>
            </w:r>
            <w:r w:rsidR="00023800">
              <w:rPr>
                <w:noProof/>
                <w:webHidden/>
              </w:rPr>
            </w:r>
            <w:r w:rsidR="00023800">
              <w:rPr>
                <w:noProof/>
                <w:webHidden/>
              </w:rPr>
              <w:fldChar w:fldCharType="separate"/>
            </w:r>
            <w:r w:rsidR="006A6BEB">
              <w:rPr>
                <w:noProof/>
                <w:webHidden/>
              </w:rPr>
              <w:t>26</w:t>
            </w:r>
            <w:r w:rsidR="00023800">
              <w:rPr>
                <w:noProof/>
                <w:webHidden/>
              </w:rPr>
              <w:fldChar w:fldCharType="end"/>
            </w:r>
          </w:hyperlink>
        </w:p>
        <w:p w:rsidR="00023800" w:rsidRDefault="00CA0F5C" w14:paraId="09F94F6B" w14:textId="3C91E3A6">
          <w:pPr>
            <w:pStyle w:val="TOC2"/>
            <w:tabs>
              <w:tab w:val="right" w:leader="dot" w:pos="9350"/>
            </w:tabs>
            <w:rPr>
              <w:rFonts w:asciiTheme="minorHAnsi" w:hAnsiTheme="minorHAnsi" w:cstheme="minorBidi"/>
              <w:noProof/>
              <w:sz w:val="22"/>
            </w:rPr>
          </w:pPr>
          <w:hyperlink w:history="1" w:anchor="_Toc120692814">
            <w:r w:rsidRPr="00AB0A25" w:rsidR="00023800">
              <w:rPr>
                <w:rStyle w:val="Hyperlink"/>
                <w:noProof/>
              </w:rPr>
              <w:t>8.3.</w:t>
            </w:r>
            <w:r w:rsidR="00023800">
              <w:rPr>
                <w:rFonts w:asciiTheme="minorHAnsi" w:hAnsiTheme="minorHAnsi" w:cstheme="minorBidi"/>
                <w:noProof/>
                <w:sz w:val="22"/>
              </w:rPr>
              <w:tab/>
            </w:r>
            <w:r w:rsidRPr="00AB0A25" w:rsidR="00023800">
              <w:rPr>
                <w:rStyle w:val="Hyperlink"/>
                <w:noProof/>
              </w:rPr>
              <w:t>Adopting a “Sensitive Receptors” Trigger</w:t>
            </w:r>
            <w:r w:rsidR="00023800">
              <w:rPr>
                <w:noProof/>
                <w:webHidden/>
              </w:rPr>
              <w:tab/>
            </w:r>
            <w:r w:rsidR="00023800">
              <w:rPr>
                <w:noProof/>
                <w:webHidden/>
              </w:rPr>
              <w:fldChar w:fldCharType="begin"/>
            </w:r>
            <w:r w:rsidR="00023800">
              <w:rPr>
                <w:noProof/>
                <w:webHidden/>
              </w:rPr>
              <w:instrText xml:space="preserve"> PAGEREF _Toc120692814 \h </w:instrText>
            </w:r>
            <w:r w:rsidR="00023800">
              <w:rPr>
                <w:noProof/>
                <w:webHidden/>
              </w:rPr>
            </w:r>
            <w:r w:rsidR="00023800">
              <w:rPr>
                <w:noProof/>
                <w:webHidden/>
              </w:rPr>
              <w:fldChar w:fldCharType="separate"/>
            </w:r>
            <w:r w:rsidR="006A6BEB">
              <w:rPr>
                <w:noProof/>
                <w:webHidden/>
              </w:rPr>
              <w:t>29</w:t>
            </w:r>
            <w:r w:rsidR="00023800">
              <w:rPr>
                <w:noProof/>
                <w:webHidden/>
              </w:rPr>
              <w:fldChar w:fldCharType="end"/>
            </w:r>
          </w:hyperlink>
        </w:p>
        <w:p w:rsidR="00023800" w:rsidRDefault="00CA0F5C" w14:paraId="3C68648F" w14:textId="31A1FFD3">
          <w:pPr>
            <w:pStyle w:val="TOC1"/>
            <w:tabs>
              <w:tab w:val="right" w:leader="dot" w:pos="9350"/>
            </w:tabs>
            <w:rPr>
              <w:rFonts w:asciiTheme="minorHAnsi" w:hAnsiTheme="minorHAnsi" w:cstheme="minorBidi"/>
              <w:noProof/>
              <w:sz w:val="22"/>
            </w:rPr>
          </w:pPr>
          <w:hyperlink w:history="1" w:anchor="_Toc120692815">
            <w:r w:rsidRPr="00AB0A25" w:rsidR="00023800">
              <w:rPr>
                <w:rStyle w:val="Hyperlink"/>
                <w:noProof/>
              </w:rPr>
              <w:t>9.</w:t>
            </w:r>
            <w:r w:rsidR="00023800">
              <w:rPr>
                <w:rFonts w:asciiTheme="minorHAnsi" w:hAnsiTheme="minorHAnsi" w:cstheme="minorBidi"/>
                <w:noProof/>
                <w:sz w:val="22"/>
              </w:rPr>
              <w:tab/>
            </w:r>
            <w:r w:rsidRPr="00AB0A25" w:rsidR="00023800">
              <w:rPr>
                <w:rStyle w:val="Hyperlink"/>
                <w:noProof/>
              </w:rPr>
              <w:t>Other Potential Non-Monetary Triggers</w:t>
            </w:r>
            <w:r w:rsidR="00023800">
              <w:rPr>
                <w:noProof/>
                <w:webHidden/>
              </w:rPr>
              <w:tab/>
            </w:r>
            <w:r w:rsidR="00023800">
              <w:rPr>
                <w:noProof/>
                <w:webHidden/>
              </w:rPr>
              <w:fldChar w:fldCharType="begin"/>
            </w:r>
            <w:r w:rsidR="00023800">
              <w:rPr>
                <w:noProof/>
                <w:webHidden/>
              </w:rPr>
              <w:instrText xml:space="preserve"> PAGEREF _Toc120692815 \h </w:instrText>
            </w:r>
            <w:r w:rsidR="00023800">
              <w:rPr>
                <w:noProof/>
                <w:webHidden/>
              </w:rPr>
            </w:r>
            <w:r w:rsidR="00023800">
              <w:rPr>
                <w:noProof/>
                <w:webHidden/>
              </w:rPr>
              <w:fldChar w:fldCharType="separate"/>
            </w:r>
            <w:r w:rsidR="006A6BEB">
              <w:rPr>
                <w:noProof/>
                <w:webHidden/>
              </w:rPr>
              <w:t>33</w:t>
            </w:r>
            <w:r w:rsidR="00023800">
              <w:rPr>
                <w:noProof/>
                <w:webHidden/>
              </w:rPr>
              <w:fldChar w:fldCharType="end"/>
            </w:r>
          </w:hyperlink>
        </w:p>
        <w:p w:rsidR="00023800" w:rsidRDefault="00CA0F5C" w14:paraId="0BE68DA1" w14:textId="64B137C8">
          <w:pPr>
            <w:pStyle w:val="TOC2"/>
            <w:tabs>
              <w:tab w:val="right" w:leader="dot" w:pos="9350"/>
            </w:tabs>
            <w:rPr>
              <w:rFonts w:asciiTheme="minorHAnsi" w:hAnsiTheme="minorHAnsi" w:cstheme="minorBidi"/>
              <w:noProof/>
              <w:sz w:val="22"/>
            </w:rPr>
          </w:pPr>
          <w:hyperlink w:history="1" w:anchor="_Toc120692816">
            <w:r w:rsidRPr="00AB0A25" w:rsidR="00023800">
              <w:rPr>
                <w:rStyle w:val="Hyperlink"/>
                <w:noProof/>
              </w:rPr>
              <w:t>9.1.</w:t>
            </w:r>
            <w:r w:rsidR="00023800">
              <w:rPr>
                <w:rFonts w:asciiTheme="minorHAnsi" w:hAnsiTheme="minorHAnsi" w:cstheme="minorBidi"/>
                <w:noProof/>
                <w:sz w:val="22"/>
              </w:rPr>
              <w:tab/>
            </w:r>
            <w:r w:rsidRPr="00AB0A25" w:rsidR="00023800">
              <w:rPr>
                <w:rStyle w:val="Hyperlink"/>
                <w:noProof/>
              </w:rPr>
              <w:t>Party Proposals</w:t>
            </w:r>
            <w:r w:rsidR="00023800">
              <w:rPr>
                <w:noProof/>
                <w:webHidden/>
              </w:rPr>
              <w:tab/>
            </w:r>
            <w:r w:rsidR="00023800">
              <w:rPr>
                <w:noProof/>
                <w:webHidden/>
              </w:rPr>
              <w:fldChar w:fldCharType="begin"/>
            </w:r>
            <w:r w:rsidR="00023800">
              <w:rPr>
                <w:noProof/>
                <w:webHidden/>
              </w:rPr>
              <w:instrText xml:space="preserve"> PAGEREF _Toc120692816 \h </w:instrText>
            </w:r>
            <w:r w:rsidR="00023800">
              <w:rPr>
                <w:noProof/>
                <w:webHidden/>
              </w:rPr>
            </w:r>
            <w:r w:rsidR="00023800">
              <w:rPr>
                <w:noProof/>
                <w:webHidden/>
              </w:rPr>
              <w:fldChar w:fldCharType="separate"/>
            </w:r>
            <w:r w:rsidR="006A6BEB">
              <w:rPr>
                <w:noProof/>
                <w:webHidden/>
              </w:rPr>
              <w:t>33</w:t>
            </w:r>
            <w:r w:rsidR="00023800">
              <w:rPr>
                <w:noProof/>
                <w:webHidden/>
              </w:rPr>
              <w:fldChar w:fldCharType="end"/>
            </w:r>
          </w:hyperlink>
        </w:p>
        <w:p w:rsidR="00023800" w:rsidRDefault="00CA0F5C" w14:paraId="26D41E80" w14:textId="46B2839B">
          <w:pPr>
            <w:pStyle w:val="TOC2"/>
            <w:tabs>
              <w:tab w:val="right" w:leader="dot" w:pos="9350"/>
            </w:tabs>
            <w:rPr>
              <w:rFonts w:asciiTheme="minorHAnsi" w:hAnsiTheme="minorHAnsi" w:cstheme="minorBidi"/>
              <w:noProof/>
              <w:sz w:val="22"/>
            </w:rPr>
          </w:pPr>
          <w:hyperlink w:history="1" w:anchor="_Toc120692817">
            <w:r w:rsidRPr="00AB0A25" w:rsidR="00023800">
              <w:rPr>
                <w:rStyle w:val="Hyperlink"/>
                <w:noProof/>
              </w:rPr>
              <w:t>9.2.</w:t>
            </w:r>
            <w:r w:rsidR="00023800">
              <w:rPr>
                <w:rFonts w:asciiTheme="minorHAnsi" w:hAnsiTheme="minorHAnsi" w:cstheme="minorBidi"/>
                <w:noProof/>
                <w:sz w:val="22"/>
              </w:rPr>
              <w:tab/>
            </w:r>
            <w:r w:rsidRPr="00AB0A25" w:rsidR="00023800">
              <w:rPr>
                <w:rStyle w:val="Hyperlink"/>
                <w:noProof/>
              </w:rPr>
              <w:t>Declining to Adopt Additional Non-Monetary CPCN Application Triggers</w:t>
            </w:r>
            <w:r w:rsidR="00023800">
              <w:rPr>
                <w:noProof/>
                <w:webHidden/>
              </w:rPr>
              <w:tab/>
            </w:r>
            <w:r w:rsidR="00023800">
              <w:rPr>
                <w:noProof/>
                <w:webHidden/>
              </w:rPr>
              <w:fldChar w:fldCharType="begin"/>
            </w:r>
            <w:r w:rsidR="00023800">
              <w:rPr>
                <w:noProof/>
                <w:webHidden/>
              </w:rPr>
              <w:instrText xml:space="preserve"> PAGEREF _Toc120692817 \h </w:instrText>
            </w:r>
            <w:r w:rsidR="00023800">
              <w:rPr>
                <w:noProof/>
                <w:webHidden/>
              </w:rPr>
            </w:r>
            <w:r w:rsidR="00023800">
              <w:rPr>
                <w:noProof/>
                <w:webHidden/>
              </w:rPr>
              <w:fldChar w:fldCharType="separate"/>
            </w:r>
            <w:r w:rsidR="006A6BEB">
              <w:rPr>
                <w:noProof/>
                <w:webHidden/>
              </w:rPr>
              <w:t>34</w:t>
            </w:r>
            <w:r w:rsidR="00023800">
              <w:rPr>
                <w:noProof/>
                <w:webHidden/>
              </w:rPr>
              <w:fldChar w:fldCharType="end"/>
            </w:r>
          </w:hyperlink>
        </w:p>
        <w:p w:rsidR="00023800" w:rsidRDefault="00CA0F5C" w14:paraId="32A2D324" w14:textId="5AC3B0F6">
          <w:pPr>
            <w:pStyle w:val="TOC1"/>
            <w:tabs>
              <w:tab w:val="right" w:leader="dot" w:pos="9350"/>
            </w:tabs>
            <w:rPr>
              <w:rFonts w:asciiTheme="minorHAnsi" w:hAnsiTheme="minorHAnsi" w:cstheme="minorBidi"/>
              <w:noProof/>
              <w:sz w:val="22"/>
            </w:rPr>
          </w:pPr>
          <w:hyperlink w:history="1" w:anchor="_Toc120692818">
            <w:r w:rsidRPr="00AB0A25" w:rsidR="00023800">
              <w:rPr>
                <w:rStyle w:val="Hyperlink"/>
                <w:noProof/>
              </w:rPr>
              <w:t>10.</w:t>
            </w:r>
            <w:r w:rsidR="00023800">
              <w:rPr>
                <w:rFonts w:asciiTheme="minorHAnsi" w:hAnsiTheme="minorHAnsi" w:cstheme="minorBidi"/>
                <w:noProof/>
                <w:sz w:val="22"/>
              </w:rPr>
              <w:tab/>
            </w:r>
            <w:r w:rsidRPr="00AB0A25" w:rsidR="00023800">
              <w:rPr>
                <w:rStyle w:val="Hyperlink"/>
                <w:noProof/>
              </w:rPr>
              <w:t>Defining “Project” for Purpose of the GO</w:t>
            </w:r>
            <w:r w:rsidR="00023800">
              <w:rPr>
                <w:noProof/>
                <w:webHidden/>
              </w:rPr>
              <w:tab/>
            </w:r>
            <w:r w:rsidR="00023800">
              <w:rPr>
                <w:noProof/>
                <w:webHidden/>
              </w:rPr>
              <w:fldChar w:fldCharType="begin"/>
            </w:r>
            <w:r w:rsidR="00023800">
              <w:rPr>
                <w:noProof/>
                <w:webHidden/>
              </w:rPr>
              <w:instrText xml:space="preserve"> PAGEREF _Toc120692818 \h </w:instrText>
            </w:r>
            <w:r w:rsidR="00023800">
              <w:rPr>
                <w:noProof/>
                <w:webHidden/>
              </w:rPr>
            </w:r>
            <w:r w:rsidR="00023800">
              <w:rPr>
                <w:noProof/>
                <w:webHidden/>
              </w:rPr>
              <w:fldChar w:fldCharType="separate"/>
            </w:r>
            <w:r w:rsidR="006A6BEB">
              <w:rPr>
                <w:noProof/>
                <w:webHidden/>
              </w:rPr>
              <w:t>35</w:t>
            </w:r>
            <w:r w:rsidR="00023800">
              <w:rPr>
                <w:noProof/>
                <w:webHidden/>
              </w:rPr>
              <w:fldChar w:fldCharType="end"/>
            </w:r>
          </w:hyperlink>
        </w:p>
        <w:p w:rsidR="00023800" w:rsidRDefault="00CA0F5C" w14:paraId="2B8AE039" w14:textId="6A002CA1">
          <w:pPr>
            <w:pStyle w:val="TOC2"/>
            <w:tabs>
              <w:tab w:val="left" w:pos="1296"/>
              <w:tab w:val="right" w:leader="dot" w:pos="9350"/>
            </w:tabs>
            <w:rPr>
              <w:rFonts w:asciiTheme="minorHAnsi" w:hAnsiTheme="minorHAnsi" w:cstheme="minorBidi"/>
              <w:noProof/>
              <w:sz w:val="22"/>
            </w:rPr>
          </w:pPr>
          <w:hyperlink w:history="1" w:anchor="_Toc120692819">
            <w:r w:rsidRPr="00AB0A25" w:rsidR="00023800">
              <w:rPr>
                <w:rStyle w:val="Hyperlink"/>
                <w:noProof/>
              </w:rPr>
              <w:t>10.1.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_Toc120692819 \h </w:instrText>
            </w:r>
            <w:r w:rsidR="00023800">
              <w:rPr>
                <w:noProof/>
                <w:webHidden/>
              </w:rPr>
            </w:r>
            <w:r w:rsidR="00023800">
              <w:rPr>
                <w:noProof/>
                <w:webHidden/>
              </w:rPr>
              <w:fldChar w:fldCharType="separate"/>
            </w:r>
            <w:r w:rsidR="006A6BEB">
              <w:rPr>
                <w:noProof/>
                <w:webHidden/>
              </w:rPr>
              <w:t>35</w:t>
            </w:r>
            <w:r w:rsidR="00023800">
              <w:rPr>
                <w:noProof/>
                <w:webHidden/>
              </w:rPr>
              <w:fldChar w:fldCharType="end"/>
            </w:r>
          </w:hyperlink>
        </w:p>
        <w:p w:rsidR="00023800" w:rsidRDefault="00CA0F5C" w14:paraId="09C8C3E0" w14:textId="288409AA">
          <w:pPr>
            <w:pStyle w:val="TOC2"/>
            <w:tabs>
              <w:tab w:val="left" w:pos="1296"/>
              <w:tab w:val="right" w:leader="dot" w:pos="9350"/>
            </w:tabs>
            <w:rPr>
              <w:rFonts w:asciiTheme="minorHAnsi" w:hAnsiTheme="minorHAnsi" w:cstheme="minorBidi"/>
              <w:noProof/>
              <w:sz w:val="22"/>
            </w:rPr>
          </w:pPr>
          <w:hyperlink w:history="1" w:anchor="_Toc120692820">
            <w:r w:rsidRPr="00AB0A25" w:rsidR="00023800">
              <w:rPr>
                <w:rStyle w:val="Hyperlink"/>
                <w:noProof/>
              </w:rPr>
              <w:t>10.2.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_Toc120692820 \h </w:instrText>
            </w:r>
            <w:r w:rsidR="00023800">
              <w:rPr>
                <w:noProof/>
                <w:webHidden/>
              </w:rPr>
            </w:r>
            <w:r w:rsidR="00023800">
              <w:rPr>
                <w:noProof/>
                <w:webHidden/>
              </w:rPr>
              <w:fldChar w:fldCharType="separate"/>
            </w:r>
            <w:r w:rsidR="006A6BEB">
              <w:rPr>
                <w:noProof/>
                <w:webHidden/>
              </w:rPr>
              <w:t>36</w:t>
            </w:r>
            <w:r w:rsidR="00023800">
              <w:rPr>
                <w:noProof/>
                <w:webHidden/>
              </w:rPr>
              <w:fldChar w:fldCharType="end"/>
            </w:r>
          </w:hyperlink>
        </w:p>
        <w:p w:rsidR="00023800" w:rsidRDefault="00CA0F5C" w14:paraId="760F21B1" w14:textId="280E4A23">
          <w:pPr>
            <w:pStyle w:val="TOC2"/>
            <w:tabs>
              <w:tab w:val="left" w:pos="1296"/>
              <w:tab w:val="right" w:leader="dot" w:pos="9350"/>
            </w:tabs>
            <w:rPr>
              <w:rFonts w:asciiTheme="minorHAnsi" w:hAnsiTheme="minorHAnsi" w:cstheme="minorBidi"/>
              <w:noProof/>
              <w:sz w:val="22"/>
            </w:rPr>
          </w:pPr>
          <w:hyperlink w:history="1" w:anchor="_Toc120692821">
            <w:r w:rsidRPr="00AB0A25" w:rsidR="00023800">
              <w:rPr>
                <w:rStyle w:val="Hyperlink"/>
                <w:noProof/>
              </w:rPr>
              <w:t>10.3.</w:t>
            </w:r>
            <w:r w:rsidR="00023800">
              <w:rPr>
                <w:rFonts w:asciiTheme="minorHAnsi" w:hAnsiTheme="minorHAnsi" w:cstheme="minorBidi"/>
                <w:noProof/>
                <w:sz w:val="22"/>
              </w:rPr>
              <w:tab/>
            </w:r>
            <w:r w:rsidRPr="00AB0A25" w:rsidR="00023800">
              <w:rPr>
                <w:rStyle w:val="Hyperlink"/>
                <w:noProof/>
              </w:rPr>
              <w:t>Adopting a Definition of “Project”  for Purposes of the GO</w:t>
            </w:r>
            <w:r w:rsidR="00023800">
              <w:rPr>
                <w:noProof/>
                <w:webHidden/>
              </w:rPr>
              <w:tab/>
            </w:r>
            <w:r w:rsidR="00023800">
              <w:rPr>
                <w:noProof/>
                <w:webHidden/>
              </w:rPr>
              <w:fldChar w:fldCharType="begin"/>
            </w:r>
            <w:r w:rsidR="00023800">
              <w:rPr>
                <w:noProof/>
                <w:webHidden/>
              </w:rPr>
              <w:instrText xml:space="preserve"> PAGEREF _Toc120692821 \h </w:instrText>
            </w:r>
            <w:r w:rsidR="00023800">
              <w:rPr>
                <w:noProof/>
                <w:webHidden/>
              </w:rPr>
            </w:r>
            <w:r w:rsidR="00023800">
              <w:rPr>
                <w:noProof/>
                <w:webHidden/>
              </w:rPr>
              <w:fldChar w:fldCharType="separate"/>
            </w:r>
            <w:r w:rsidR="006A6BEB">
              <w:rPr>
                <w:noProof/>
                <w:webHidden/>
              </w:rPr>
              <w:t>37</w:t>
            </w:r>
            <w:r w:rsidR="00023800">
              <w:rPr>
                <w:noProof/>
                <w:webHidden/>
              </w:rPr>
              <w:fldChar w:fldCharType="end"/>
            </w:r>
          </w:hyperlink>
        </w:p>
        <w:p w:rsidR="00023800" w:rsidRDefault="00CA0F5C" w14:paraId="3D8C81C8" w14:textId="543C00FC">
          <w:pPr>
            <w:pStyle w:val="TOC1"/>
            <w:tabs>
              <w:tab w:val="right" w:leader="dot" w:pos="9350"/>
            </w:tabs>
            <w:rPr>
              <w:rFonts w:asciiTheme="minorHAnsi" w:hAnsiTheme="minorHAnsi" w:cstheme="minorBidi"/>
              <w:noProof/>
              <w:sz w:val="22"/>
            </w:rPr>
          </w:pPr>
          <w:hyperlink w:history="1" w:anchor="_Toc120692822">
            <w:r w:rsidRPr="00AB0A25" w:rsidR="00023800">
              <w:rPr>
                <w:rStyle w:val="Hyperlink"/>
                <w:noProof/>
              </w:rPr>
              <w:t>11.</w:t>
            </w:r>
            <w:r w:rsidR="00023800">
              <w:rPr>
                <w:rFonts w:asciiTheme="minorHAnsi" w:hAnsiTheme="minorHAnsi" w:cstheme="minorBidi"/>
                <w:noProof/>
                <w:sz w:val="22"/>
              </w:rPr>
              <w:tab/>
            </w:r>
            <w:r w:rsidRPr="00AB0A25" w:rsidR="00023800">
              <w:rPr>
                <w:rStyle w:val="Hyperlink"/>
                <w:noProof/>
              </w:rPr>
              <w:t>Emergency Projects</w:t>
            </w:r>
            <w:r w:rsidR="00023800">
              <w:rPr>
                <w:noProof/>
                <w:webHidden/>
              </w:rPr>
              <w:tab/>
            </w:r>
            <w:r w:rsidR="00023800">
              <w:rPr>
                <w:noProof/>
                <w:webHidden/>
              </w:rPr>
              <w:fldChar w:fldCharType="begin"/>
            </w:r>
            <w:r w:rsidR="00023800">
              <w:rPr>
                <w:noProof/>
                <w:webHidden/>
              </w:rPr>
              <w:instrText xml:space="preserve"> PAGEREF _Toc120692822 \h </w:instrText>
            </w:r>
            <w:r w:rsidR="00023800">
              <w:rPr>
                <w:noProof/>
                <w:webHidden/>
              </w:rPr>
            </w:r>
            <w:r w:rsidR="00023800">
              <w:rPr>
                <w:noProof/>
                <w:webHidden/>
              </w:rPr>
              <w:fldChar w:fldCharType="separate"/>
            </w:r>
            <w:r w:rsidR="006A6BEB">
              <w:rPr>
                <w:noProof/>
                <w:webHidden/>
              </w:rPr>
              <w:t>39</w:t>
            </w:r>
            <w:r w:rsidR="00023800">
              <w:rPr>
                <w:noProof/>
                <w:webHidden/>
              </w:rPr>
              <w:fldChar w:fldCharType="end"/>
            </w:r>
          </w:hyperlink>
        </w:p>
        <w:p w:rsidR="00023800" w:rsidRDefault="00CA0F5C" w14:paraId="525BA082" w14:textId="6F1C6E4E">
          <w:pPr>
            <w:pStyle w:val="TOC2"/>
            <w:tabs>
              <w:tab w:val="left" w:pos="1296"/>
              <w:tab w:val="right" w:leader="dot" w:pos="9350"/>
            </w:tabs>
            <w:rPr>
              <w:rFonts w:asciiTheme="minorHAnsi" w:hAnsiTheme="minorHAnsi" w:cstheme="minorBidi"/>
              <w:noProof/>
              <w:sz w:val="22"/>
            </w:rPr>
          </w:pPr>
          <w:hyperlink w:history="1" w:anchor="_Toc120692823">
            <w:r w:rsidRPr="00AB0A25" w:rsidR="00023800">
              <w:rPr>
                <w:rStyle w:val="Hyperlink"/>
                <w:noProof/>
              </w:rPr>
              <w:t>11.1.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_Toc120692823 \h </w:instrText>
            </w:r>
            <w:r w:rsidR="00023800">
              <w:rPr>
                <w:noProof/>
                <w:webHidden/>
              </w:rPr>
            </w:r>
            <w:r w:rsidR="00023800">
              <w:rPr>
                <w:noProof/>
                <w:webHidden/>
              </w:rPr>
              <w:fldChar w:fldCharType="separate"/>
            </w:r>
            <w:r w:rsidR="006A6BEB">
              <w:rPr>
                <w:noProof/>
                <w:webHidden/>
              </w:rPr>
              <w:t>39</w:t>
            </w:r>
            <w:r w:rsidR="00023800">
              <w:rPr>
                <w:noProof/>
                <w:webHidden/>
              </w:rPr>
              <w:fldChar w:fldCharType="end"/>
            </w:r>
          </w:hyperlink>
        </w:p>
        <w:p w:rsidR="00023800" w:rsidRDefault="00CA0F5C" w14:paraId="202986AD" w14:textId="6A124A42">
          <w:pPr>
            <w:pStyle w:val="TOC2"/>
            <w:tabs>
              <w:tab w:val="left" w:pos="1296"/>
              <w:tab w:val="right" w:leader="dot" w:pos="9350"/>
            </w:tabs>
            <w:rPr>
              <w:rFonts w:asciiTheme="minorHAnsi" w:hAnsiTheme="minorHAnsi" w:cstheme="minorBidi"/>
              <w:noProof/>
              <w:sz w:val="22"/>
            </w:rPr>
          </w:pPr>
          <w:hyperlink w:history="1" w:anchor="_Toc120692824">
            <w:r w:rsidRPr="00AB0A25" w:rsidR="00023800">
              <w:rPr>
                <w:rStyle w:val="Hyperlink"/>
                <w:noProof/>
              </w:rPr>
              <w:t>11.2.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_Toc120692824 \h </w:instrText>
            </w:r>
            <w:r w:rsidR="00023800">
              <w:rPr>
                <w:noProof/>
                <w:webHidden/>
              </w:rPr>
            </w:r>
            <w:r w:rsidR="00023800">
              <w:rPr>
                <w:noProof/>
                <w:webHidden/>
              </w:rPr>
              <w:fldChar w:fldCharType="separate"/>
            </w:r>
            <w:r w:rsidR="006A6BEB">
              <w:rPr>
                <w:noProof/>
                <w:webHidden/>
              </w:rPr>
              <w:t>40</w:t>
            </w:r>
            <w:r w:rsidR="00023800">
              <w:rPr>
                <w:noProof/>
                <w:webHidden/>
              </w:rPr>
              <w:fldChar w:fldCharType="end"/>
            </w:r>
          </w:hyperlink>
        </w:p>
        <w:p w:rsidR="00023800" w:rsidRDefault="00CA0F5C" w14:paraId="74206074" w14:textId="52697BDD">
          <w:pPr>
            <w:pStyle w:val="TOC2"/>
            <w:tabs>
              <w:tab w:val="left" w:pos="1296"/>
              <w:tab w:val="right" w:leader="dot" w:pos="9350"/>
            </w:tabs>
            <w:rPr>
              <w:rFonts w:asciiTheme="minorHAnsi" w:hAnsiTheme="minorHAnsi" w:cstheme="minorBidi"/>
              <w:noProof/>
              <w:sz w:val="22"/>
            </w:rPr>
          </w:pPr>
          <w:hyperlink w:history="1" w:anchor="_Toc120692825">
            <w:r w:rsidRPr="00AB0A25" w:rsidR="00023800">
              <w:rPr>
                <w:rStyle w:val="Hyperlink"/>
                <w:noProof/>
              </w:rPr>
              <w:t>11.3.</w:t>
            </w:r>
            <w:r w:rsidR="00023800">
              <w:rPr>
                <w:rFonts w:asciiTheme="minorHAnsi" w:hAnsiTheme="minorHAnsi" w:cstheme="minorBidi"/>
                <w:noProof/>
                <w:sz w:val="22"/>
              </w:rPr>
              <w:tab/>
            </w:r>
            <w:r w:rsidRPr="00AB0A25" w:rsidR="00023800">
              <w:rPr>
                <w:rStyle w:val="Hyperlink"/>
                <w:noProof/>
              </w:rPr>
              <w:t>Exempting Rather Than  Excluding Emergency Projects</w:t>
            </w:r>
            <w:r w:rsidR="00023800">
              <w:rPr>
                <w:noProof/>
                <w:webHidden/>
              </w:rPr>
              <w:tab/>
            </w:r>
            <w:r w:rsidR="00023800">
              <w:rPr>
                <w:noProof/>
                <w:webHidden/>
              </w:rPr>
              <w:fldChar w:fldCharType="begin"/>
            </w:r>
            <w:r w:rsidR="00023800">
              <w:rPr>
                <w:noProof/>
                <w:webHidden/>
              </w:rPr>
              <w:instrText xml:space="preserve"> PAGEREF _Toc120692825 \h </w:instrText>
            </w:r>
            <w:r w:rsidR="00023800">
              <w:rPr>
                <w:noProof/>
                <w:webHidden/>
              </w:rPr>
            </w:r>
            <w:r w:rsidR="00023800">
              <w:rPr>
                <w:noProof/>
                <w:webHidden/>
              </w:rPr>
              <w:fldChar w:fldCharType="separate"/>
            </w:r>
            <w:r w:rsidR="006A6BEB">
              <w:rPr>
                <w:noProof/>
                <w:webHidden/>
              </w:rPr>
              <w:t>40</w:t>
            </w:r>
            <w:r w:rsidR="00023800">
              <w:rPr>
                <w:noProof/>
                <w:webHidden/>
              </w:rPr>
              <w:fldChar w:fldCharType="end"/>
            </w:r>
          </w:hyperlink>
        </w:p>
        <w:p w:rsidR="00023800" w:rsidRDefault="00CA0F5C" w14:paraId="19213888" w14:textId="279FA383">
          <w:pPr>
            <w:pStyle w:val="TOC1"/>
            <w:tabs>
              <w:tab w:val="right" w:leader="dot" w:pos="9350"/>
            </w:tabs>
            <w:rPr>
              <w:rFonts w:asciiTheme="minorHAnsi" w:hAnsiTheme="minorHAnsi" w:cstheme="minorBidi"/>
              <w:noProof/>
              <w:sz w:val="22"/>
            </w:rPr>
          </w:pPr>
          <w:hyperlink w:history="1" w:anchor="_Toc120692826">
            <w:r w:rsidRPr="00AB0A25" w:rsidR="00023800">
              <w:rPr>
                <w:rStyle w:val="Hyperlink"/>
                <w:noProof/>
              </w:rPr>
              <w:t>12.</w:t>
            </w:r>
            <w:r w:rsidR="00023800">
              <w:rPr>
                <w:rFonts w:asciiTheme="minorHAnsi" w:hAnsiTheme="minorHAnsi" w:cstheme="minorBidi"/>
                <w:noProof/>
                <w:sz w:val="22"/>
              </w:rPr>
              <w:tab/>
            </w:r>
            <w:r w:rsidRPr="00AB0A25" w:rsidR="00023800">
              <w:rPr>
                <w:rStyle w:val="Hyperlink"/>
                <w:noProof/>
              </w:rPr>
              <w:t>Exemptions</w:t>
            </w:r>
            <w:r w:rsidR="00023800">
              <w:rPr>
                <w:noProof/>
                <w:webHidden/>
              </w:rPr>
              <w:tab/>
            </w:r>
            <w:r w:rsidR="00023800">
              <w:rPr>
                <w:noProof/>
                <w:webHidden/>
              </w:rPr>
              <w:fldChar w:fldCharType="begin"/>
            </w:r>
            <w:r w:rsidR="00023800">
              <w:rPr>
                <w:noProof/>
                <w:webHidden/>
              </w:rPr>
              <w:instrText xml:space="preserve"> PAGEREF _Toc120692826 \h </w:instrText>
            </w:r>
            <w:r w:rsidR="00023800">
              <w:rPr>
                <w:noProof/>
                <w:webHidden/>
              </w:rPr>
            </w:r>
            <w:r w:rsidR="00023800">
              <w:rPr>
                <w:noProof/>
                <w:webHidden/>
              </w:rPr>
              <w:fldChar w:fldCharType="separate"/>
            </w:r>
            <w:r w:rsidR="006A6BEB">
              <w:rPr>
                <w:noProof/>
                <w:webHidden/>
              </w:rPr>
              <w:t>41</w:t>
            </w:r>
            <w:r w:rsidR="00023800">
              <w:rPr>
                <w:noProof/>
                <w:webHidden/>
              </w:rPr>
              <w:fldChar w:fldCharType="end"/>
            </w:r>
          </w:hyperlink>
        </w:p>
        <w:p w:rsidR="00023800" w:rsidRDefault="00CA0F5C" w14:paraId="2A826C95" w14:textId="5CEE16BA">
          <w:pPr>
            <w:pStyle w:val="TOC2"/>
            <w:tabs>
              <w:tab w:val="left" w:pos="1296"/>
              <w:tab w:val="right" w:leader="dot" w:pos="9350"/>
            </w:tabs>
            <w:rPr>
              <w:rFonts w:asciiTheme="minorHAnsi" w:hAnsiTheme="minorHAnsi" w:cstheme="minorBidi"/>
              <w:noProof/>
              <w:sz w:val="22"/>
            </w:rPr>
          </w:pPr>
          <w:hyperlink w:history="1" w:anchor="_Toc120692827">
            <w:r w:rsidRPr="00AB0A25" w:rsidR="00023800">
              <w:rPr>
                <w:rStyle w:val="Hyperlink"/>
                <w:noProof/>
              </w:rPr>
              <w:t>12.1.</w:t>
            </w:r>
            <w:r w:rsidR="00023800">
              <w:rPr>
                <w:rFonts w:asciiTheme="minorHAnsi" w:hAnsiTheme="minorHAnsi" w:cstheme="minorBidi"/>
                <w:noProof/>
                <w:sz w:val="22"/>
              </w:rPr>
              <w:tab/>
            </w:r>
            <w:r w:rsidRPr="00AB0A25" w:rsidR="00023800">
              <w:rPr>
                <w:rStyle w:val="Hyperlink"/>
                <w:noProof/>
              </w:rPr>
              <w:t>Replacement of Existing Structures by Equivalent Structures</w:t>
            </w:r>
            <w:r w:rsidR="00023800">
              <w:rPr>
                <w:noProof/>
                <w:webHidden/>
              </w:rPr>
              <w:tab/>
            </w:r>
            <w:r w:rsidR="00023800">
              <w:rPr>
                <w:noProof/>
                <w:webHidden/>
              </w:rPr>
              <w:fldChar w:fldCharType="begin"/>
            </w:r>
            <w:r w:rsidR="00023800">
              <w:rPr>
                <w:noProof/>
                <w:webHidden/>
              </w:rPr>
              <w:instrText xml:space="preserve"> PAGEREF _Toc120692827 \h </w:instrText>
            </w:r>
            <w:r w:rsidR="00023800">
              <w:rPr>
                <w:noProof/>
                <w:webHidden/>
              </w:rPr>
            </w:r>
            <w:r w:rsidR="00023800">
              <w:rPr>
                <w:noProof/>
                <w:webHidden/>
              </w:rPr>
              <w:fldChar w:fldCharType="separate"/>
            </w:r>
            <w:r w:rsidR="006A6BEB">
              <w:rPr>
                <w:noProof/>
                <w:webHidden/>
              </w:rPr>
              <w:t>43</w:t>
            </w:r>
            <w:r w:rsidR="00023800">
              <w:rPr>
                <w:noProof/>
                <w:webHidden/>
              </w:rPr>
              <w:fldChar w:fldCharType="end"/>
            </w:r>
          </w:hyperlink>
        </w:p>
        <w:p w:rsidR="00023800" w:rsidRDefault="00CA0F5C" w14:paraId="688C6C4A" w14:textId="2CE6D92B">
          <w:pPr>
            <w:pStyle w:val="TOC3"/>
            <w:tabs>
              <w:tab w:val="left" w:pos="1728"/>
              <w:tab w:val="right" w:leader="dot" w:pos="9350"/>
            </w:tabs>
            <w:rPr>
              <w:rFonts w:asciiTheme="minorHAnsi" w:hAnsiTheme="minorHAnsi" w:cstheme="minorBidi"/>
              <w:noProof/>
              <w:sz w:val="22"/>
            </w:rPr>
          </w:pPr>
          <w:hyperlink w:history="1" w:anchor="_Toc120692828">
            <w:r w:rsidRPr="00AB0A25" w:rsidR="00023800">
              <w:rPr>
                <w:rStyle w:val="Hyperlink"/>
                <w:noProof/>
              </w:rPr>
              <w:t>12.1.1.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_Toc120692828 \h </w:instrText>
            </w:r>
            <w:r w:rsidR="00023800">
              <w:rPr>
                <w:noProof/>
                <w:webHidden/>
              </w:rPr>
            </w:r>
            <w:r w:rsidR="00023800">
              <w:rPr>
                <w:noProof/>
                <w:webHidden/>
              </w:rPr>
              <w:fldChar w:fldCharType="separate"/>
            </w:r>
            <w:r w:rsidR="006A6BEB">
              <w:rPr>
                <w:noProof/>
                <w:webHidden/>
              </w:rPr>
              <w:t>43</w:t>
            </w:r>
            <w:r w:rsidR="00023800">
              <w:rPr>
                <w:noProof/>
                <w:webHidden/>
              </w:rPr>
              <w:fldChar w:fldCharType="end"/>
            </w:r>
          </w:hyperlink>
        </w:p>
        <w:p w:rsidR="00023800" w:rsidRDefault="00CA0F5C" w14:paraId="6E233CC1" w14:textId="64A9C12F">
          <w:pPr>
            <w:pStyle w:val="TOC3"/>
            <w:tabs>
              <w:tab w:val="left" w:pos="1728"/>
              <w:tab w:val="right" w:leader="dot" w:pos="9350"/>
            </w:tabs>
            <w:rPr>
              <w:rFonts w:asciiTheme="minorHAnsi" w:hAnsiTheme="minorHAnsi" w:cstheme="minorBidi"/>
              <w:noProof/>
              <w:sz w:val="22"/>
            </w:rPr>
          </w:pPr>
          <w:hyperlink w:history="1" w:anchor="_Toc120692829">
            <w:r w:rsidRPr="00AB0A25" w:rsidR="00023800">
              <w:rPr>
                <w:rStyle w:val="Hyperlink"/>
                <w:noProof/>
              </w:rPr>
              <w:t>12.1.2.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_Toc120692829 \h </w:instrText>
            </w:r>
            <w:r w:rsidR="00023800">
              <w:rPr>
                <w:noProof/>
                <w:webHidden/>
              </w:rPr>
            </w:r>
            <w:r w:rsidR="00023800">
              <w:rPr>
                <w:noProof/>
                <w:webHidden/>
              </w:rPr>
              <w:fldChar w:fldCharType="separate"/>
            </w:r>
            <w:r w:rsidR="006A6BEB">
              <w:rPr>
                <w:noProof/>
                <w:webHidden/>
              </w:rPr>
              <w:t>43</w:t>
            </w:r>
            <w:r w:rsidR="00023800">
              <w:rPr>
                <w:noProof/>
                <w:webHidden/>
              </w:rPr>
              <w:fldChar w:fldCharType="end"/>
            </w:r>
          </w:hyperlink>
        </w:p>
        <w:p w:rsidR="00023800" w:rsidRDefault="00CA0F5C" w14:paraId="58DEAB34" w14:textId="440C7CE4">
          <w:pPr>
            <w:pStyle w:val="TOC3"/>
            <w:tabs>
              <w:tab w:val="left" w:pos="1728"/>
              <w:tab w:val="right" w:leader="dot" w:pos="9350"/>
            </w:tabs>
            <w:rPr>
              <w:rFonts w:asciiTheme="minorHAnsi" w:hAnsiTheme="minorHAnsi" w:cstheme="minorBidi"/>
              <w:noProof/>
              <w:sz w:val="22"/>
            </w:rPr>
          </w:pPr>
          <w:hyperlink w:history="1" w:anchor="_Toc120692830">
            <w:r w:rsidRPr="00AB0A25" w:rsidR="00023800">
              <w:rPr>
                <w:rStyle w:val="Hyperlink"/>
                <w:noProof/>
              </w:rPr>
              <w:t>12.1.3.</w:t>
            </w:r>
            <w:r w:rsidR="00023800">
              <w:rPr>
                <w:rFonts w:asciiTheme="minorHAnsi" w:hAnsiTheme="minorHAnsi" w:cstheme="minorBidi"/>
                <w:noProof/>
                <w:sz w:val="22"/>
              </w:rPr>
              <w:tab/>
            </w:r>
            <w:r w:rsidRPr="00AB0A25" w:rsidR="00023800">
              <w:rPr>
                <w:rStyle w:val="Hyperlink"/>
                <w:noProof/>
              </w:rPr>
              <w:t>Rejecting Staff’s Proposed Exemption IV(3)(a), Replacement of Existing Structures by Equivalent Structures</w:t>
            </w:r>
            <w:r w:rsidR="00023800">
              <w:rPr>
                <w:noProof/>
                <w:webHidden/>
              </w:rPr>
              <w:tab/>
            </w:r>
            <w:r w:rsidR="00023800">
              <w:rPr>
                <w:noProof/>
                <w:webHidden/>
              </w:rPr>
              <w:fldChar w:fldCharType="begin"/>
            </w:r>
            <w:r w:rsidR="00023800">
              <w:rPr>
                <w:noProof/>
                <w:webHidden/>
              </w:rPr>
              <w:instrText xml:space="preserve"> PAGEREF _Toc120692830 \h </w:instrText>
            </w:r>
            <w:r w:rsidR="00023800">
              <w:rPr>
                <w:noProof/>
                <w:webHidden/>
              </w:rPr>
            </w:r>
            <w:r w:rsidR="00023800">
              <w:rPr>
                <w:noProof/>
                <w:webHidden/>
              </w:rPr>
              <w:fldChar w:fldCharType="separate"/>
            </w:r>
            <w:r w:rsidR="006A6BEB">
              <w:rPr>
                <w:noProof/>
                <w:webHidden/>
              </w:rPr>
              <w:t>44</w:t>
            </w:r>
            <w:r w:rsidR="00023800">
              <w:rPr>
                <w:noProof/>
                <w:webHidden/>
              </w:rPr>
              <w:fldChar w:fldCharType="end"/>
            </w:r>
          </w:hyperlink>
        </w:p>
        <w:p w:rsidR="00023800" w:rsidRDefault="00CA0F5C" w14:paraId="715AC3BA" w14:textId="1FB35BB8">
          <w:pPr>
            <w:pStyle w:val="TOC2"/>
            <w:tabs>
              <w:tab w:val="left" w:pos="1296"/>
              <w:tab w:val="right" w:leader="dot" w:pos="9350"/>
            </w:tabs>
            <w:rPr>
              <w:rFonts w:asciiTheme="minorHAnsi" w:hAnsiTheme="minorHAnsi" w:cstheme="minorBidi"/>
              <w:noProof/>
              <w:sz w:val="22"/>
            </w:rPr>
          </w:pPr>
          <w:hyperlink w:history="1" w:anchor="_Toc120692831">
            <w:r w:rsidRPr="00AB0A25" w:rsidR="00023800">
              <w:rPr>
                <w:rStyle w:val="Hyperlink"/>
                <w:noProof/>
              </w:rPr>
              <w:t>12.2.</w:t>
            </w:r>
            <w:r w:rsidR="00023800">
              <w:rPr>
                <w:rFonts w:asciiTheme="minorHAnsi" w:hAnsiTheme="minorHAnsi" w:cstheme="minorBidi"/>
                <w:noProof/>
                <w:sz w:val="22"/>
              </w:rPr>
              <w:tab/>
            </w:r>
            <w:r w:rsidRPr="00AB0A25" w:rsidR="00023800">
              <w:rPr>
                <w:rStyle w:val="Hyperlink"/>
                <w:noProof/>
              </w:rPr>
              <w:t>Minor Relocations, Repairs,  Maintenance or Alterations</w:t>
            </w:r>
            <w:r w:rsidR="00023800">
              <w:rPr>
                <w:noProof/>
                <w:webHidden/>
              </w:rPr>
              <w:tab/>
            </w:r>
            <w:r w:rsidR="00023800">
              <w:rPr>
                <w:noProof/>
                <w:webHidden/>
              </w:rPr>
              <w:fldChar w:fldCharType="begin"/>
            </w:r>
            <w:r w:rsidR="00023800">
              <w:rPr>
                <w:noProof/>
                <w:webHidden/>
              </w:rPr>
              <w:instrText xml:space="preserve"> PAGEREF _Toc120692831 \h </w:instrText>
            </w:r>
            <w:r w:rsidR="00023800">
              <w:rPr>
                <w:noProof/>
                <w:webHidden/>
              </w:rPr>
            </w:r>
            <w:r w:rsidR="00023800">
              <w:rPr>
                <w:noProof/>
                <w:webHidden/>
              </w:rPr>
              <w:fldChar w:fldCharType="separate"/>
            </w:r>
            <w:r w:rsidR="006A6BEB">
              <w:rPr>
                <w:noProof/>
                <w:webHidden/>
              </w:rPr>
              <w:t>44</w:t>
            </w:r>
            <w:r w:rsidR="00023800">
              <w:rPr>
                <w:noProof/>
                <w:webHidden/>
              </w:rPr>
              <w:fldChar w:fldCharType="end"/>
            </w:r>
          </w:hyperlink>
        </w:p>
        <w:p w:rsidR="00023800" w:rsidRDefault="00CA0F5C" w14:paraId="4213AE9B" w14:textId="25C6E079">
          <w:pPr>
            <w:pStyle w:val="TOC3"/>
            <w:tabs>
              <w:tab w:val="left" w:pos="1728"/>
              <w:tab w:val="right" w:leader="dot" w:pos="9350"/>
            </w:tabs>
            <w:rPr>
              <w:rFonts w:asciiTheme="minorHAnsi" w:hAnsiTheme="minorHAnsi" w:cstheme="minorBidi"/>
              <w:noProof/>
              <w:sz w:val="22"/>
            </w:rPr>
          </w:pPr>
          <w:hyperlink w:history="1" w:anchor="_Toc120692832">
            <w:r w:rsidRPr="00AB0A25" w:rsidR="00023800">
              <w:rPr>
                <w:rStyle w:val="Hyperlink"/>
                <w:noProof/>
              </w:rPr>
              <w:t>12.2.1.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_Toc120692832 \h </w:instrText>
            </w:r>
            <w:r w:rsidR="00023800">
              <w:rPr>
                <w:noProof/>
                <w:webHidden/>
              </w:rPr>
            </w:r>
            <w:r w:rsidR="00023800">
              <w:rPr>
                <w:noProof/>
                <w:webHidden/>
              </w:rPr>
              <w:fldChar w:fldCharType="separate"/>
            </w:r>
            <w:r w:rsidR="006A6BEB">
              <w:rPr>
                <w:noProof/>
                <w:webHidden/>
              </w:rPr>
              <w:t>44</w:t>
            </w:r>
            <w:r w:rsidR="00023800">
              <w:rPr>
                <w:noProof/>
                <w:webHidden/>
              </w:rPr>
              <w:fldChar w:fldCharType="end"/>
            </w:r>
          </w:hyperlink>
        </w:p>
        <w:p w:rsidR="00023800" w:rsidRDefault="00CA0F5C" w14:paraId="081E49DA" w14:textId="27493FEB">
          <w:pPr>
            <w:pStyle w:val="TOC3"/>
            <w:tabs>
              <w:tab w:val="left" w:pos="1728"/>
              <w:tab w:val="right" w:leader="dot" w:pos="9350"/>
            </w:tabs>
            <w:rPr>
              <w:rFonts w:asciiTheme="minorHAnsi" w:hAnsiTheme="minorHAnsi" w:cstheme="minorBidi"/>
              <w:noProof/>
              <w:sz w:val="22"/>
            </w:rPr>
          </w:pPr>
          <w:hyperlink w:history="1" w:anchor="_Toc120692833">
            <w:r w:rsidRPr="00AB0A25" w:rsidR="00023800">
              <w:rPr>
                <w:rStyle w:val="Hyperlink"/>
                <w:noProof/>
              </w:rPr>
              <w:t>12.2.2.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_Toc120692833 \h </w:instrText>
            </w:r>
            <w:r w:rsidR="00023800">
              <w:rPr>
                <w:noProof/>
                <w:webHidden/>
              </w:rPr>
            </w:r>
            <w:r w:rsidR="00023800">
              <w:rPr>
                <w:noProof/>
                <w:webHidden/>
              </w:rPr>
              <w:fldChar w:fldCharType="separate"/>
            </w:r>
            <w:r w:rsidR="006A6BEB">
              <w:rPr>
                <w:noProof/>
                <w:webHidden/>
              </w:rPr>
              <w:t>45</w:t>
            </w:r>
            <w:r w:rsidR="00023800">
              <w:rPr>
                <w:noProof/>
                <w:webHidden/>
              </w:rPr>
              <w:fldChar w:fldCharType="end"/>
            </w:r>
          </w:hyperlink>
        </w:p>
        <w:p w:rsidR="00023800" w:rsidRDefault="00CA0F5C" w14:paraId="0D03E5FF" w14:textId="08170FD3">
          <w:pPr>
            <w:pStyle w:val="TOC3"/>
            <w:tabs>
              <w:tab w:val="left" w:pos="1728"/>
              <w:tab w:val="right" w:leader="dot" w:pos="9350"/>
            </w:tabs>
            <w:rPr>
              <w:rFonts w:asciiTheme="minorHAnsi" w:hAnsiTheme="minorHAnsi" w:cstheme="minorBidi"/>
              <w:noProof/>
              <w:sz w:val="22"/>
            </w:rPr>
          </w:pPr>
          <w:hyperlink w:history="1" w:anchor="_Toc120692834">
            <w:r w:rsidRPr="00AB0A25" w:rsidR="00023800">
              <w:rPr>
                <w:rStyle w:val="Hyperlink"/>
                <w:noProof/>
              </w:rPr>
              <w:t>12.2.3.</w:t>
            </w:r>
            <w:r w:rsidR="00023800">
              <w:rPr>
                <w:rFonts w:asciiTheme="minorHAnsi" w:hAnsiTheme="minorHAnsi" w:cstheme="minorBidi"/>
                <w:noProof/>
                <w:sz w:val="22"/>
              </w:rPr>
              <w:tab/>
            </w:r>
            <w:r w:rsidRPr="00AB0A25" w:rsidR="00023800">
              <w:rPr>
                <w:rStyle w:val="Hyperlink"/>
                <w:noProof/>
              </w:rPr>
              <w:t>Rejecting Staff’s Proposed Exemption Section IV(3)(b), Minor Relocations, Repairs, Maintenance or Alterations</w:t>
            </w:r>
            <w:r w:rsidR="00023800">
              <w:rPr>
                <w:noProof/>
                <w:webHidden/>
              </w:rPr>
              <w:tab/>
            </w:r>
            <w:r w:rsidR="00023800">
              <w:rPr>
                <w:noProof/>
                <w:webHidden/>
              </w:rPr>
              <w:fldChar w:fldCharType="begin"/>
            </w:r>
            <w:r w:rsidR="00023800">
              <w:rPr>
                <w:noProof/>
                <w:webHidden/>
              </w:rPr>
              <w:instrText xml:space="preserve"> PAGEREF _Toc120692834 \h </w:instrText>
            </w:r>
            <w:r w:rsidR="00023800">
              <w:rPr>
                <w:noProof/>
                <w:webHidden/>
              </w:rPr>
            </w:r>
            <w:r w:rsidR="00023800">
              <w:rPr>
                <w:noProof/>
                <w:webHidden/>
              </w:rPr>
              <w:fldChar w:fldCharType="separate"/>
            </w:r>
            <w:r w:rsidR="006A6BEB">
              <w:rPr>
                <w:noProof/>
                <w:webHidden/>
              </w:rPr>
              <w:t>45</w:t>
            </w:r>
            <w:r w:rsidR="00023800">
              <w:rPr>
                <w:noProof/>
                <w:webHidden/>
              </w:rPr>
              <w:fldChar w:fldCharType="end"/>
            </w:r>
          </w:hyperlink>
        </w:p>
        <w:p w:rsidR="00023800" w:rsidRDefault="00CA0F5C" w14:paraId="699B2B25" w14:textId="1D9F8A85">
          <w:pPr>
            <w:pStyle w:val="TOC2"/>
            <w:tabs>
              <w:tab w:val="left" w:pos="1296"/>
              <w:tab w:val="right" w:leader="dot" w:pos="9350"/>
            </w:tabs>
            <w:rPr>
              <w:rFonts w:asciiTheme="minorHAnsi" w:hAnsiTheme="minorHAnsi" w:cstheme="minorBidi"/>
              <w:noProof/>
              <w:sz w:val="22"/>
            </w:rPr>
          </w:pPr>
          <w:hyperlink w:history="1" w:anchor="_Toc120692835">
            <w:r w:rsidRPr="00AB0A25" w:rsidR="00023800">
              <w:rPr>
                <w:rStyle w:val="Hyperlink"/>
                <w:noProof/>
              </w:rPr>
              <w:t>12.3.</w:t>
            </w:r>
            <w:r w:rsidR="00023800">
              <w:rPr>
                <w:rFonts w:asciiTheme="minorHAnsi" w:hAnsiTheme="minorHAnsi" w:cstheme="minorBidi"/>
                <w:noProof/>
                <w:sz w:val="22"/>
              </w:rPr>
              <w:tab/>
            </w:r>
            <w:r w:rsidRPr="00AB0A25" w:rsidR="00023800">
              <w:rPr>
                <w:rStyle w:val="Hyperlink"/>
                <w:noProof/>
              </w:rPr>
              <w:t>Rejecting Staff’s Proposed Exemption  Section IV(3)(c)</w:t>
            </w:r>
            <w:r w:rsidR="00023800">
              <w:rPr>
                <w:noProof/>
                <w:webHidden/>
              </w:rPr>
              <w:tab/>
            </w:r>
            <w:r w:rsidR="00023800">
              <w:rPr>
                <w:noProof/>
                <w:webHidden/>
              </w:rPr>
              <w:fldChar w:fldCharType="begin"/>
            </w:r>
            <w:r w:rsidR="00023800">
              <w:rPr>
                <w:noProof/>
                <w:webHidden/>
              </w:rPr>
              <w:instrText xml:space="preserve"> PAGEREF _Toc120692835 \h </w:instrText>
            </w:r>
            <w:r w:rsidR="00023800">
              <w:rPr>
                <w:noProof/>
                <w:webHidden/>
              </w:rPr>
            </w:r>
            <w:r w:rsidR="00023800">
              <w:rPr>
                <w:noProof/>
                <w:webHidden/>
              </w:rPr>
              <w:fldChar w:fldCharType="separate"/>
            </w:r>
            <w:r w:rsidR="006A6BEB">
              <w:rPr>
                <w:noProof/>
                <w:webHidden/>
              </w:rPr>
              <w:t>46</w:t>
            </w:r>
            <w:r w:rsidR="00023800">
              <w:rPr>
                <w:noProof/>
                <w:webHidden/>
              </w:rPr>
              <w:fldChar w:fldCharType="end"/>
            </w:r>
          </w:hyperlink>
        </w:p>
        <w:p w:rsidR="00023800" w:rsidRDefault="00CA0F5C" w14:paraId="00D31D89" w14:textId="4FE5CAD9">
          <w:pPr>
            <w:pStyle w:val="TOC2"/>
            <w:tabs>
              <w:tab w:val="left" w:pos="1296"/>
              <w:tab w:val="right" w:leader="dot" w:pos="9350"/>
            </w:tabs>
            <w:rPr>
              <w:rFonts w:asciiTheme="minorHAnsi" w:hAnsiTheme="minorHAnsi" w:cstheme="minorBidi"/>
              <w:noProof/>
              <w:sz w:val="22"/>
            </w:rPr>
          </w:pPr>
          <w:hyperlink w:history="1" w:anchor="_Toc120692836">
            <w:r w:rsidRPr="00AB0A25" w:rsidR="00023800">
              <w:rPr>
                <w:rStyle w:val="Hyperlink"/>
                <w:noProof/>
              </w:rPr>
              <w:t>12.4.</w:t>
            </w:r>
            <w:r w:rsidR="00023800">
              <w:rPr>
                <w:rFonts w:asciiTheme="minorHAnsi" w:hAnsiTheme="minorHAnsi" w:cstheme="minorBidi"/>
                <w:noProof/>
                <w:sz w:val="22"/>
              </w:rPr>
              <w:tab/>
            </w:r>
            <w:r w:rsidRPr="00AB0A25" w:rsidR="00023800">
              <w:rPr>
                <w:rStyle w:val="Hyperlink"/>
                <w:noProof/>
              </w:rPr>
              <w:t>Projects with Completed CEQA Documents</w:t>
            </w:r>
            <w:r w:rsidR="00023800">
              <w:rPr>
                <w:noProof/>
                <w:webHidden/>
              </w:rPr>
              <w:tab/>
            </w:r>
            <w:r w:rsidR="00023800">
              <w:rPr>
                <w:noProof/>
                <w:webHidden/>
              </w:rPr>
              <w:fldChar w:fldCharType="begin"/>
            </w:r>
            <w:r w:rsidR="00023800">
              <w:rPr>
                <w:noProof/>
                <w:webHidden/>
              </w:rPr>
              <w:instrText xml:space="preserve"> PAGEREF _Toc120692836 \h </w:instrText>
            </w:r>
            <w:r w:rsidR="00023800">
              <w:rPr>
                <w:noProof/>
                <w:webHidden/>
              </w:rPr>
            </w:r>
            <w:r w:rsidR="00023800">
              <w:rPr>
                <w:noProof/>
                <w:webHidden/>
              </w:rPr>
              <w:fldChar w:fldCharType="separate"/>
            </w:r>
            <w:r w:rsidR="006A6BEB">
              <w:rPr>
                <w:noProof/>
                <w:webHidden/>
              </w:rPr>
              <w:t>46</w:t>
            </w:r>
            <w:r w:rsidR="00023800">
              <w:rPr>
                <w:noProof/>
                <w:webHidden/>
              </w:rPr>
              <w:fldChar w:fldCharType="end"/>
            </w:r>
          </w:hyperlink>
        </w:p>
        <w:p w:rsidR="00023800" w:rsidRDefault="00CA0F5C" w14:paraId="3E20C43F" w14:textId="4E5CD592">
          <w:pPr>
            <w:pStyle w:val="TOC3"/>
            <w:tabs>
              <w:tab w:val="left" w:pos="1728"/>
              <w:tab w:val="right" w:leader="dot" w:pos="9350"/>
            </w:tabs>
            <w:rPr>
              <w:rFonts w:asciiTheme="minorHAnsi" w:hAnsiTheme="minorHAnsi" w:cstheme="minorBidi"/>
              <w:noProof/>
              <w:sz w:val="22"/>
            </w:rPr>
          </w:pPr>
          <w:hyperlink w:history="1" w:anchor="_Toc120692837">
            <w:r w:rsidRPr="00AB0A25" w:rsidR="00023800">
              <w:rPr>
                <w:rStyle w:val="Hyperlink"/>
                <w:noProof/>
              </w:rPr>
              <w:t>12.4.1.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_Toc120692837 \h </w:instrText>
            </w:r>
            <w:r w:rsidR="00023800">
              <w:rPr>
                <w:noProof/>
                <w:webHidden/>
              </w:rPr>
            </w:r>
            <w:r w:rsidR="00023800">
              <w:rPr>
                <w:noProof/>
                <w:webHidden/>
              </w:rPr>
              <w:fldChar w:fldCharType="separate"/>
            </w:r>
            <w:r w:rsidR="006A6BEB">
              <w:rPr>
                <w:noProof/>
                <w:webHidden/>
              </w:rPr>
              <w:t>46</w:t>
            </w:r>
            <w:r w:rsidR="00023800">
              <w:rPr>
                <w:noProof/>
                <w:webHidden/>
              </w:rPr>
              <w:fldChar w:fldCharType="end"/>
            </w:r>
          </w:hyperlink>
        </w:p>
        <w:p w:rsidR="00023800" w:rsidRDefault="00CA0F5C" w14:paraId="0A157690" w14:textId="18A0A304">
          <w:pPr>
            <w:pStyle w:val="TOC3"/>
            <w:tabs>
              <w:tab w:val="left" w:pos="1728"/>
              <w:tab w:val="right" w:leader="dot" w:pos="9350"/>
            </w:tabs>
            <w:rPr>
              <w:rFonts w:asciiTheme="minorHAnsi" w:hAnsiTheme="minorHAnsi" w:cstheme="minorBidi"/>
              <w:noProof/>
              <w:sz w:val="22"/>
            </w:rPr>
          </w:pPr>
          <w:hyperlink w:history="1" w:anchor="_Toc120692838">
            <w:r w:rsidRPr="00AB0A25" w:rsidR="00023800">
              <w:rPr>
                <w:rStyle w:val="Hyperlink"/>
                <w:noProof/>
              </w:rPr>
              <w:t>12.4.2.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_Toc120692838 \h </w:instrText>
            </w:r>
            <w:r w:rsidR="00023800">
              <w:rPr>
                <w:noProof/>
                <w:webHidden/>
              </w:rPr>
            </w:r>
            <w:r w:rsidR="00023800">
              <w:rPr>
                <w:noProof/>
                <w:webHidden/>
              </w:rPr>
              <w:fldChar w:fldCharType="separate"/>
            </w:r>
            <w:r w:rsidR="006A6BEB">
              <w:rPr>
                <w:noProof/>
                <w:webHidden/>
              </w:rPr>
              <w:t>47</w:t>
            </w:r>
            <w:r w:rsidR="00023800">
              <w:rPr>
                <w:noProof/>
                <w:webHidden/>
              </w:rPr>
              <w:fldChar w:fldCharType="end"/>
            </w:r>
          </w:hyperlink>
        </w:p>
        <w:p w:rsidR="00023800" w:rsidRDefault="00CA0F5C" w14:paraId="747230CD" w14:textId="7858DE5D">
          <w:pPr>
            <w:pStyle w:val="TOC3"/>
            <w:tabs>
              <w:tab w:val="left" w:pos="1728"/>
              <w:tab w:val="right" w:leader="dot" w:pos="9350"/>
            </w:tabs>
            <w:rPr>
              <w:rFonts w:asciiTheme="minorHAnsi" w:hAnsiTheme="minorHAnsi" w:cstheme="minorBidi"/>
              <w:noProof/>
              <w:sz w:val="22"/>
            </w:rPr>
          </w:pPr>
          <w:hyperlink w:history="1" w:anchor="_Toc120692839">
            <w:r w:rsidRPr="00AB0A25" w:rsidR="00023800">
              <w:rPr>
                <w:rStyle w:val="Hyperlink"/>
                <w:noProof/>
              </w:rPr>
              <w:t>12.4.3.</w:t>
            </w:r>
            <w:r w:rsidR="00023800">
              <w:rPr>
                <w:rFonts w:asciiTheme="minorHAnsi" w:hAnsiTheme="minorHAnsi" w:cstheme="minorBidi"/>
                <w:noProof/>
                <w:sz w:val="22"/>
              </w:rPr>
              <w:tab/>
            </w:r>
            <w:r w:rsidRPr="00AB0A25" w:rsidR="00023800">
              <w:rPr>
                <w:rStyle w:val="Hyperlink"/>
                <w:noProof/>
              </w:rPr>
              <w:t>Rejecting Staff’s Proposed Exemption Section IV(3)(d), Projects with Completed CEQA Documents</w:t>
            </w:r>
            <w:r w:rsidR="00023800">
              <w:rPr>
                <w:noProof/>
                <w:webHidden/>
              </w:rPr>
              <w:tab/>
            </w:r>
            <w:r w:rsidR="00023800">
              <w:rPr>
                <w:noProof/>
                <w:webHidden/>
              </w:rPr>
              <w:fldChar w:fldCharType="begin"/>
            </w:r>
            <w:r w:rsidR="00023800">
              <w:rPr>
                <w:noProof/>
                <w:webHidden/>
              </w:rPr>
              <w:instrText xml:space="preserve"> PAGEREF _Toc120692839 \h </w:instrText>
            </w:r>
            <w:r w:rsidR="00023800">
              <w:rPr>
                <w:noProof/>
                <w:webHidden/>
              </w:rPr>
            </w:r>
            <w:r w:rsidR="00023800">
              <w:rPr>
                <w:noProof/>
                <w:webHidden/>
              </w:rPr>
              <w:fldChar w:fldCharType="separate"/>
            </w:r>
            <w:r w:rsidR="006A6BEB">
              <w:rPr>
                <w:noProof/>
                <w:webHidden/>
              </w:rPr>
              <w:t>47</w:t>
            </w:r>
            <w:r w:rsidR="00023800">
              <w:rPr>
                <w:noProof/>
                <w:webHidden/>
              </w:rPr>
              <w:fldChar w:fldCharType="end"/>
            </w:r>
          </w:hyperlink>
        </w:p>
        <w:p w:rsidR="00023800" w:rsidRDefault="00CA0F5C" w14:paraId="5BC7150B" w14:textId="300D920E">
          <w:pPr>
            <w:pStyle w:val="TOC2"/>
            <w:tabs>
              <w:tab w:val="left" w:pos="1296"/>
              <w:tab w:val="right" w:leader="dot" w:pos="9350"/>
            </w:tabs>
            <w:rPr>
              <w:rFonts w:asciiTheme="minorHAnsi" w:hAnsiTheme="minorHAnsi" w:cstheme="minorBidi"/>
              <w:noProof/>
              <w:sz w:val="22"/>
            </w:rPr>
          </w:pPr>
          <w:hyperlink w:history="1" w:anchor="_Toc120692840">
            <w:r w:rsidRPr="00AB0A25" w:rsidR="00023800">
              <w:rPr>
                <w:rStyle w:val="Hyperlink"/>
                <w:noProof/>
              </w:rPr>
              <w:t>12.5.</w:t>
            </w:r>
            <w:r w:rsidR="00023800">
              <w:rPr>
                <w:rFonts w:asciiTheme="minorHAnsi" w:hAnsiTheme="minorHAnsi" w:cstheme="minorBidi"/>
                <w:noProof/>
                <w:sz w:val="22"/>
              </w:rPr>
              <w:tab/>
            </w:r>
            <w:r w:rsidRPr="00AB0A25" w:rsidR="00023800">
              <w:rPr>
                <w:rStyle w:val="Hyperlink"/>
                <w:noProof/>
              </w:rPr>
              <w:t>Projects Required by CalGEM, PHMSA,  or Other Regulatory Agency</w:t>
            </w:r>
            <w:r w:rsidR="00023800">
              <w:rPr>
                <w:noProof/>
                <w:webHidden/>
              </w:rPr>
              <w:tab/>
            </w:r>
            <w:r w:rsidR="00023800">
              <w:rPr>
                <w:noProof/>
                <w:webHidden/>
              </w:rPr>
              <w:fldChar w:fldCharType="begin"/>
            </w:r>
            <w:r w:rsidR="00023800">
              <w:rPr>
                <w:noProof/>
                <w:webHidden/>
              </w:rPr>
              <w:instrText xml:space="preserve"> PAGEREF _Toc120692840 \h </w:instrText>
            </w:r>
            <w:r w:rsidR="00023800">
              <w:rPr>
                <w:noProof/>
                <w:webHidden/>
              </w:rPr>
            </w:r>
            <w:r w:rsidR="00023800">
              <w:rPr>
                <w:noProof/>
                <w:webHidden/>
              </w:rPr>
              <w:fldChar w:fldCharType="separate"/>
            </w:r>
            <w:r w:rsidR="006A6BEB">
              <w:rPr>
                <w:noProof/>
                <w:webHidden/>
              </w:rPr>
              <w:t>48</w:t>
            </w:r>
            <w:r w:rsidR="00023800">
              <w:rPr>
                <w:noProof/>
                <w:webHidden/>
              </w:rPr>
              <w:fldChar w:fldCharType="end"/>
            </w:r>
          </w:hyperlink>
        </w:p>
        <w:p w:rsidR="00023800" w:rsidRDefault="00CA0F5C" w14:paraId="7F7F2879" w14:textId="514FEC0F">
          <w:pPr>
            <w:pStyle w:val="TOC3"/>
            <w:tabs>
              <w:tab w:val="left" w:pos="1728"/>
              <w:tab w:val="right" w:leader="dot" w:pos="9350"/>
            </w:tabs>
            <w:rPr>
              <w:rFonts w:asciiTheme="minorHAnsi" w:hAnsiTheme="minorHAnsi" w:cstheme="minorBidi"/>
              <w:noProof/>
              <w:sz w:val="22"/>
            </w:rPr>
          </w:pPr>
          <w:hyperlink w:history="1" w:anchor="_Toc120692841">
            <w:r w:rsidRPr="00AB0A25" w:rsidR="00023800">
              <w:rPr>
                <w:rStyle w:val="Hyperlink"/>
                <w:noProof/>
              </w:rPr>
              <w:t>12.5.1.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_Toc120692841 \h </w:instrText>
            </w:r>
            <w:r w:rsidR="00023800">
              <w:rPr>
                <w:noProof/>
                <w:webHidden/>
              </w:rPr>
            </w:r>
            <w:r w:rsidR="00023800">
              <w:rPr>
                <w:noProof/>
                <w:webHidden/>
              </w:rPr>
              <w:fldChar w:fldCharType="separate"/>
            </w:r>
            <w:r w:rsidR="006A6BEB">
              <w:rPr>
                <w:noProof/>
                <w:webHidden/>
              </w:rPr>
              <w:t>48</w:t>
            </w:r>
            <w:r w:rsidR="00023800">
              <w:rPr>
                <w:noProof/>
                <w:webHidden/>
              </w:rPr>
              <w:fldChar w:fldCharType="end"/>
            </w:r>
          </w:hyperlink>
        </w:p>
        <w:p w:rsidR="00023800" w:rsidRDefault="00CA0F5C" w14:paraId="4C40B639" w14:textId="1AEFE1ED">
          <w:pPr>
            <w:pStyle w:val="TOC3"/>
            <w:tabs>
              <w:tab w:val="left" w:pos="1728"/>
              <w:tab w:val="right" w:leader="dot" w:pos="9350"/>
            </w:tabs>
            <w:rPr>
              <w:rFonts w:asciiTheme="minorHAnsi" w:hAnsiTheme="minorHAnsi" w:cstheme="minorBidi"/>
              <w:noProof/>
              <w:sz w:val="22"/>
            </w:rPr>
          </w:pPr>
          <w:hyperlink w:history="1" w:anchor="_Toc120692842">
            <w:r w:rsidRPr="00AB0A25" w:rsidR="00023800">
              <w:rPr>
                <w:rStyle w:val="Hyperlink"/>
                <w:noProof/>
              </w:rPr>
              <w:t>12.5.2.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_Toc120692842 \h </w:instrText>
            </w:r>
            <w:r w:rsidR="00023800">
              <w:rPr>
                <w:noProof/>
                <w:webHidden/>
              </w:rPr>
            </w:r>
            <w:r w:rsidR="00023800">
              <w:rPr>
                <w:noProof/>
                <w:webHidden/>
              </w:rPr>
              <w:fldChar w:fldCharType="separate"/>
            </w:r>
            <w:r w:rsidR="006A6BEB">
              <w:rPr>
                <w:noProof/>
                <w:webHidden/>
              </w:rPr>
              <w:t>48</w:t>
            </w:r>
            <w:r w:rsidR="00023800">
              <w:rPr>
                <w:noProof/>
                <w:webHidden/>
              </w:rPr>
              <w:fldChar w:fldCharType="end"/>
            </w:r>
          </w:hyperlink>
        </w:p>
        <w:p w:rsidR="00023800" w:rsidRDefault="00CA0F5C" w14:paraId="699B83BE" w14:textId="4602C903">
          <w:pPr>
            <w:pStyle w:val="TOC3"/>
            <w:tabs>
              <w:tab w:val="left" w:pos="1728"/>
              <w:tab w:val="right" w:leader="dot" w:pos="9350"/>
            </w:tabs>
            <w:rPr>
              <w:rFonts w:asciiTheme="minorHAnsi" w:hAnsiTheme="minorHAnsi" w:cstheme="minorBidi"/>
              <w:noProof/>
              <w:sz w:val="22"/>
            </w:rPr>
          </w:pPr>
          <w:hyperlink w:history="1" w:anchor="_Toc120692843">
            <w:r w:rsidRPr="00AB0A25" w:rsidR="00023800">
              <w:rPr>
                <w:rStyle w:val="Hyperlink"/>
                <w:noProof/>
              </w:rPr>
              <w:t>12.5.3.</w:t>
            </w:r>
            <w:r w:rsidR="00023800">
              <w:rPr>
                <w:rFonts w:asciiTheme="minorHAnsi" w:hAnsiTheme="minorHAnsi" w:cstheme="minorBidi"/>
                <w:noProof/>
                <w:sz w:val="22"/>
              </w:rPr>
              <w:tab/>
            </w:r>
            <w:r w:rsidRPr="00AB0A25" w:rsidR="00023800">
              <w:rPr>
                <w:rStyle w:val="Hyperlink"/>
                <w:noProof/>
              </w:rPr>
              <w:t>Adopting a Modified Version of Staff’s Proposed Exemption Section IV(3)(e), Projects Required by CalGEM, PHMSA, or Other Regulatory Agency</w:t>
            </w:r>
            <w:r w:rsidR="00023800">
              <w:rPr>
                <w:noProof/>
                <w:webHidden/>
              </w:rPr>
              <w:tab/>
            </w:r>
            <w:r w:rsidR="00023800">
              <w:rPr>
                <w:noProof/>
                <w:webHidden/>
              </w:rPr>
              <w:fldChar w:fldCharType="begin"/>
            </w:r>
            <w:r w:rsidR="00023800">
              <w:rPr>
                <w:noProof/>
                <w:webHidden/>
              </w:rPr>
              <w:instrText xml:space="preserve"> PAGEREF _Toc120692843 \h </w:instrText>
            </w:r>
            <w:r w:rsidR="00023800">
              <w:rPr>
                <w:noProof/>
                <w:webHidden/>
              </w:rPr>
            </w:r>
            <w:r w:rsidR="00023800">
              <w:rPr>
                <w:noProof/>
                <w:webHidden/>
              </w:rPr>
              <w:fldChar w:fldCharType="separate"/>
            </w:r>
            <w:r w:rsidR="006A6BEB">
              <w:rPr>
                <w:noProof/>
                <w:webHidden/>
              </w:rPr>
              <w:t>49</w:t>
            </w:r>
            <w:r w:rsidR="00023800">
              <w:rPr>
                <w:noProof/>
                <w:webHidden/>
              </w:rPr>
              <w:fldChar w:fldCharType="end"/>
            </w:r>
          </w:hyperlink>
        </w:p>
        <w:p w:rsidR="00023800" w:rsidRDefault="00CA0F5C" w14:paraId="0E1A0477" w14:textId="65CAEA2A">
          <w:pPr>
            <w:pStyle w:val="TOC2"/>
            <w:tabs>
              <w:tab w:val="left" w:pos="1296"/>
              <w:tab w:val="right" w:leader="dot" w:pos="9350"/>
            </w:tabs>
            <w:rPr>
              <w:rFonts w:asciiTheme="minorHAnsi" w:hAnsiTheme="minorHAnsi" w:cstheme="minorBidi"/>
              <w:noProof/>
              <w:sz w:val="22"/>
            </w:rPr>
          </w:pPr>
          <w:hyperlink w:history="1" w:anchor="_Toc120692844">
            <w:r w:rsidRPr="00AB0A25" w:rsidR="00023800">
              <w:rPr>
                <w:rStyle w:val="Hyperlink"/>
                <w:noProof/>
              </w:rPr>
              <w:t>12.6.</w:t>
            </w:r>
            <w:r w:rsidR="00023800">
              <w:rPr>
                <w:rFonts w:asciiTheme="minorHAnsi" w:hAnsiTheme="minorHAnsi" w:cstheme="minorBidi"/>
                <w:noProof/>
                <w:sz w:val="22"/>
              </w:rPr>
              <w:tab/>
            </w:r>
            <w:r w:rsidRPr="00AB0A25" w:rsidR="00023800">
              <w:rPr>
                <w:rStyle w:val="Hyperlink"/>
                <w:noProof/>
              </w:rPr>
              <w:t>Distribution Pipelines</w:t>
            </w:r>
            <w:r w:rsidR="00023800">
              <w:rPr>
                <w:noProof/>
                <w:webHidden/>
              </w:rPr>
              <w:tab/>
            </w:r>
            <w:r w:rsidR="00023800">
              <w:rPr>
                <w:noProof/>
                <w:webHidden/>
              </w:rPr>
              <w:fldChar w:fldCharType="begin"/>
            </w:r>
            <w:r w:rsidR="00023800">
              <w:rPr>
                <w:noProof/>
                <w:webHidden/>
              </w:rPr>
              <w:instrText xml:space="preserve"> PAGEREF _Toc120692844 \h </w:instrText>
            </w:r>
            <w:r w:rsidR="00023800">
              <w:rPr>
                <w:noProof/>
                <w:webHidden/>
              </w:rPr>
            </w:r>
            <w:r w:rsidR="00023800">
              <w:rPr>
                <w:noProof/>
                <w:webHidden/>
              </w:rPr>
              <w:fldChar w:fldCharType="separate"/>
            </w:r>
            <w:r w:rsidR="006A6BEB">
              <w:rPr>
                <w:noProof/>
                <w:webHidden/>
              </w:rPr>
              <w:t>50</w:t>
            </w:r>
            <w:r w:rsidR="00023800">
              <w:rPr>
                <w:noProof/>
                <w:webHidden/>
              </w:rPr>
              <w:fldChar w:fldCharType="end"/>
            </w:r>
          </w:hyperlink>
        </w:p>
        <w:p w:rsidR="00023800" w:rsidRDefault="00CA0F5C" w14:paraId="172A070D" w14:textId="1E7C035F">
          <w:pPr>
            <w:pStyle w:val="TOC3"/>
            <w:tabs>
              <w:tab w:val="left" w:pos="1728"/>
              <w:tab w:val="right" w:leader="dot" w:pos="9350"/>
            </w:tabs>
            <w:rPr>
              <w:rFonts w:asciiTheme="minorHAnsi" w:hAnsiTheme="minorHAnsi" w:cstheme="minorBidi"/>
              <w:noProof/>
              <w:sz w:val="22"/>
            </w:rPr>
          </w:pPr>
          <w:hyperlink w:history="1" w:anchor="_Toc120692845">
            <w:r w:rsidRPr="00AB0A25" w:rsidR="00023800">
              <w:rPr>
                <w:rStyle w:val="Hyperlink"/>
                <w:noProof/>
              </w:rPr>
              <w:t>12.6.1.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_Toc120692845 \h </w:instrText>
            </w:r>
            <w:r w:rsidR="00023800">
              <w:rPr>
                <w:noProof/>
                <w:webHidden/>
              </w:rPr>
            </w:r>
            <w:r w:rsidR="00023800">
              <w:rPr>
                <w:noProof/>
                <w:webHidden/>
              </w:rPr>
              <w:fldChar w:fldCharType="separate"/>
            </w:r>
            <w:r w:rsidR="006A6BEB">
              <w:rPr>
                <w:noProof/>
                <w:webHidden/>
              </w:rPr>
              <w:t>50</w:t>
            </w:r>
            <w:r w:rsidR="00023800">
              <w:rPr>
                <w:noProof/>
                <w:webHidden/>
              </w:rPr>
              <w:fldChar w:fldCharType="end"/>
            </w:r>
          </w:hyperlink>
        </w:p>
        <w:p w:rsidR="00023800" w:rsidRDefault="00CA0F5C" w14:paraId="425D2B94" w14:textId="2EEB1F7F">
          <w:pPr>
            <w:pStyle w:val="TOC3"/>
            <w:tabs>
              <w:tab w:val="left" w:pos="1728"/>
              <w:tab w:val="right" w:leader="dot" w:pos="9350"/>
            </w:tabs>
            <w:rPr>
              <w:rFonts w:asciiTheme="minorHAnsi" w:hAnsiTheme="minorHAnsi" w:cstheme="minorBidi"/>
              <w:noProof/>
              <w:sz w:val="22"/>
            </w:rPr>
          </w:pPr>
          <w:hyperlink w:history="1" w:anchor="_Toc120692846">
            <w:r w:rsidRPr="00AB0A25" w:rsidR="00023800">
              <w:rPr>
                <w:rStyle w:val="Hyperlink"/>
                <w:noProof/>
              </w:rPr>
              <w:t>12.6.2.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_Toc120692846 \h </w:instrText>
            </w:r>
            <w:r w:rsidR="00023800">
              <w:rPr>
                <w:noProof/>
                <w:webHidden/>
              </w:rPr>
            </w:r>
            <w:r w:rsidR="00023800">
              <w:rPr>
                <w:noProof/>
                <w:webHidden/>
              </w:rPr>
              <w:fldChar w:fldCharType="separate"/>
            </w:r>
            <w:r w:rsidR="006A6BEB">
              <w:rPr>
                <w:noProof/>
                <w:webHidden/>
              </w:rPr>
              <w:t>50</w:t>
            </w:r>
            <w:r w:rsidR="00023800">
              <w:rPr>
                <w:noProof/>
                <w:webHidden/>
              </w:rPr>
              <w:fldChar w:fldCharType="end"/>
            </w:r>
          </w:hyperlink>
        </w:p>
        <w:p w:rsidR="00023800" w:rsidRDefault="00CA0F5C" w14:paraId="0B5DACE7" w14:textId="3C6C765C">
          <w:pPr>
            <w:pStyle w:val="TOC3"/>
            <w:tabs>
              <w:tab w:val="left" w:pos="1728"/>
              <w:tab w:val="right" w:leader="dot" w:pos="9350"/>
            </w:tabs>
            <w:rPr>
              <w:rFonts w:asciiTheme="minorHAnsi" w:hAnsiTheme="minorHAnsi" w:cstheme="minorBidi"/>
              <w:noProof/>
              <w:sz w:val="22"/>
            </w:rPr>
          </w:pPr>
          <w:hyperlink w:history="1" w:anchor="_Toc120692847">
            <w:r w:rsidRPr="00AB0A25" w:rsidR="00023800">
              <w:rPr>
                <w:rStyle w:val="Hyperlink"/>
                <w:noProof/>
              </w:rPr>
              <w:t>12.6.3.</w:t>
            </w:r>
            <w:r w:rsidR="00023800">
              <w:rPr>
                <w:rFonts w:asciiTheme="minorHAnsi" w:hAnsiTheme="minorHAnsi" w:cstheme="minorBidi"/>
                <w:noProof/>
                <w:sz w:val="22"/>
              </w:rPr>
              <w:tab/>
            </w:r>
            <w:r w:rsidRPr="00AB0A25" w:rsidR="00023800">
              <w:rPr>
                <w:rStyle w:val="Hyperlink"/>
                <w:noProof/>
              </w:rPr>
              <w:t>Including Distribution Pipelines in the Adopted GO and Rejecting Staff’s Proposed Exemption Section IV(A)(3)(f)</w:t>
            </w:r>
            <w:r w:rsidR="00023800">
              <w:rPr>
                <w:noProof/>
                <w:webHidden/>
              </w:rPr>
              <w:tab/>
            </w:r>
            <w:r w:rsidR="00023800">
              <w:rPr>
                <w:noProof/>
                <w:webHidden/>
              </w:rPr>
              <w:fldChar w:fldCharType="begin"/>
            </w:r>
            <w:r w:rsidR="00023800">
              <w:rPr>
                <w:noProof/>
                <w:webHidden/>
              </w:rPr>
              <w:instrText xml:space="preserve"> PAGEREF _Toc120692847 \h </w:instrText>
            </w:r>
            <w:r w:rsidR="00023800">
              <w:rPr>
                <w:noProof/>
                <w:webHidden/>
              </w:rPr>
            </w:r>
            <w:r w:rsidR="00023800">
              <w:rPr>
                <w:noProof/>
                <w:webHidden/>
              </w:rPr>
              <w:fldChar w:fldCharType="separate"/>
            </w:r>
            <w:r w:rsidR="006A6BEB">
              <w:rPr>
                <w:noProof/>
                <w:webHidden/>
              </w:rPr>
              <w:t>52</w:t>
            </w:r>
            <w:r w:rsidR="00023800">
              <w:rPr>
                <w:noProof/>
                <w:webHidden/>
              </w:rPr>
              <w:fldChar w:fldCharType="end"/>
            </w:r>
          </w:hyperlink>
        </w:p>
        <w:p w:rsidR="00023800" w:rsidRDefault="00CA0F5C" w14:paraId="23BECF1E" w14:textId="73349BED">
          <w:pPr>
            <w:pStyle w:val="TOC2"/>
            <w:tabs>
              <w:tab w:val="left" w:pos="1296"/>
              <w:tab w:val="right" w:leader="dot" w:pos="9350"/>
            </w:tabs>
            <w:rPr>
              <w:rFonts w:asciiTheme="minorHAnsi" w:hAnsiTheme="minorHAnsi" w:cstheme="minorBidi"/>
              <w:noProof/>
              <w:sz w:val="22"/>
            </w:rPr>
          </w:pPr>
          <w:hyperlink w:history="1" w:anchor="_Toc120692848">
            <w:r w:rsidRPr="00AB0A25" w:rsidR="00023800">
              <w:rPr>
                <w:rStyle w:val="Hyperlink"/>
                <w:noProof/>
              </w:rPr>
              <w:t>12.7.</w:t>
            </w:r>
            <w:r w:rsidR="00023800">
              <w:rPr>
                <w:rFonts w:asciiTheme="minorHAnsi" w:hAnsiTheme="minorHAnsi" w:cstheme="minorBidi"/>
                <w:noProof/>
                <w:sz w:val="22"/>
              </w:rPr>
              <w:tab/>
            </w:r>
            <w:r w:rsidRPr="00AB0A25" w:rsidR="00023800">
              <w:rPr>
                <w:rStyle w:val="Hyperlink"/>
                <w:noProof/>
              </w:rPr>
              <w:t>Projects Previously Approved  by this Commission</w:t>
            </w:r>
            <w:r w:rsidR="00023800">
              <w:rPr>
                <w:noProof/>
                <w:webHidden/>
              </w:rPr>
              <w:tab/>
            </w:r>
            <w:r w:rsidR="00023800">
              <w:rPr>
                <w:noProof/>
                <w:webHidden/>
              </w:rPr>
              <w:fldChar w:fldCharType="begin"/>
            </w:r>
            <w:r w:rsidR="00023800">
              <w:rPr>
                <w:noProof/>
                <w:webHidden/>
              </w:rPr>
              <w:instrText xml:space="preserve"> PAGEREF _Toc120692848 \h </w:instrText>
            </w:r>
            <w:r w:rsidR="00023800">
              <w:rPr>
                <w:noProof/>
                <w:webHidden/>
              </w:rPr>
            </w:r>
            <w:r w:rsidR="00023800">
              <w:rPr>
                <w:noProof/>
                <w:webHidden/>
              </w:rPr>
              <w:fldChar w:fldCharType="separate"/>
            </w:r>
            <w:r w:rsidR="006A6BEB">
              <w:rPr>
                <w:noProof/>
                <w:webHidden/>
              </w:rPr>
              <w:t>54</w:t>
            </w:r>
            <w:r w:rsidR="00023800">
              <w:rPr>
                <w:noProof/>
                <w:webHidden/>
              </w:rPr>
              <w:fldChar w:fldCharType="end"/>
            </w:r>
          </w:hyperlink>
        </w:p>
        <w:p w:rsidR="00023800" w:rsidRDefault="00CA0F5C" w14:paraId="6A1C8A63" w14:textId="1F01833D">
          <w:pPr>
            <w:pStyle w:val="TOC3"/>
            <w:tabs>
              <w:tab w:val="left" w:pos="1728"/>
              <w:tab w:val="right" w:leader="dot" w:pos="9350"/>
            </w:tabs>
            <w:rPr>
              <w:rFonts w:asciiTheme="minorHAnsi" w:hAnsiTheme="minorHAnsi" w:cstheme="minorBidi"/>
              <w:noProof/>
              <w:sz w:val="22"/>
            </w:rPr>
          </w:pPr>
          <w:hyperlink w:history="1" w:anchor="_Toc120692849">
            <w:r w:rsidRPr="00AB0A25" w:rsidR="00023800">
              <w:rPr>
                <w:rStyle w:val="Hyperlink"/>
                <w:noProof/>
              </w:rPr>
              <w:t>12.7.1.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_Toc120692849 \h </w:instrText>
            </w:r>
            <w:r w:rsidR="00023800">
              <w:rPr>
                <w:noProof/>
                <w:webHidden/>
              </w:rPr>
            </w:r>
            <w:r w:rsidR="00023800">
              <w:rPr>
                <w:noProof/>
                <w:webHidden/>
              </w:rPr>
              <w:fldChar w:fldCharType="separate"/>
            </w:r>
            <w:r w:rsidR="006A6BEB">
              <w:rPr>
                <w:noProof/>
                <w:webHidden/>
              </w:rPr>
              <w:t>54</w:t>
            </w:r>
            <w:r w:rsidR="00023800">
              <w:rPr>
                <w:noProof/>
                <w:webHidden/>
              </w:rPr>
              <w:fldChar w:fldCharType="end"/>
            </w:r>
          </w:hyperlink>
        </w:p>
        <w:p w:rsidR="00023800" w:rsidRDefault="00CA0F5C" w14:paraId="63F5E5A8" w14:textId="6657AD2E">
          <w:pPr>
            <w:pStyle w:val="TOC3"/>
            <w:tabs>
              <w:tab w:val="left" w:pos="1728"/>
              <w:tab w:val="right" w:leader="dot" w:pos="9350"/>
            </w:tabs>
            <w:rPr>
              <w:rFonts w:asciiTheme="minorHAnsi" w:hAnsiTheme="minorHAnsi" w:cstheme="minorBidi"/>
              <w:noProof/>
              <w:sz w:val="22"/>
            </w:rPr>
          </w:pPr>
          <w:hyperlink w:history="1" w:anchor="_Toc120692850">
            <w:r w:rsidRPr="00AB0A25" w:rsidR="00023800">
              <w:rPr>
                <w:rStyle w:val="Hyperlink"/>
                <w:noProof/>
              </w:rPr>
              <w:t>12.7.2.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_Toc120692850 \h </w:instrText>
            </w:r>
            <w:r w:rsidR="00023800">
              <w:rPr>
                <w:noProof/>
                <w:webHidden/>
              </w:rPr>
            </w:r>
            <w:r w:rsidR="00023800">
              <w:rPr>
                <w:noProof/>
                <w:webHidden/>
              </w:rPr>
              <w:fldChar w:fldCharType="separate"/>
            </w:r>
            <w:r w:rsidR="006A6BEB">
              <w:rPr>
                <w:noProof/>
                <w:webHidden/>
              </w:rPr>
              <w:t>54</w:t>
            </w:r>
            <w:r w:rsidR="00023800">
              <w:rPr>
                <w:noProof/>
                <w:webHidden/>
              </w:rPr>
              <w:fldChar w:fldCharType="end"/>
            </w:r>
          </w:hyperlink>
        </w:p>
        <w:p w:rsidR="00023800" w:rsidRDefault="00CA0F5C" w14:paraId="6B785B3C" w14:textId="0DDFEB09">
          <w:pPr>
            <w:pStyle w:val="TOC3"/>
            <w:tabs>
              <w:tab w:val="left" w:pos="1728"/>
              <w:tab w:val="right" w:leader="dot" w:pos="9350"/>
            </w:tabs>
            <w:rPr>
              <w:rFonts w:asciiTheme="minorHAnsi" w:hAnsiTheme="minorHAnsi" w:cstheme="minorBidi"/>
              <w:noProof/>
              <w:sz w:val="22"/>
            </w:rPr>
          </w:pPr>
          <w:hyperlink w:history="1" w:anchor="_Toc120692851">
            <w:r w:rsidRPr="00AB0A25" w:rsidR="00023800">
              <w:rPr>
                <w:rStyle w:val="Hyperlink"/>
                <w:noProof/>
              </w:rPr>
              <w:t>12.7.3.</w:t>
            </w:r>
            <w:r w:rsidR="00023800">
              <w:rPr>
                <w:rFonts w:asciiTheme="minorHAnsi" w:hAnsiTheme="minorHAnsi" w:cstheme="minorBidi"/>
                <w:noProof/>
                <w:sz w:val="22"/>
              </w:rPr>
              <w:tab/>
            </w:r>
            <w:r w:rsidRPr="00AB0A25" w:rsidR="00023800">
              <w:rPr>
                <w:rStyle w:val="Hyperlink"/>
                <w:noProof/>
              </w:rPr>
              <w:t>Adopting a Modified Version of Staff’s Proposed Exemption Section IV(3)(g), Projects Previously Approved by this Commission</w:t>
            </w:r>
            <w:r w:rsidR="00023800">
              <w:rPr>
                <w:noProof/>
                <w:webHidden/>
              </w:rPr>
              <w:tab/>
            </w:r>
            <w:r w:rsidR="00023800">
              <w:rPr>
                <w:noProof/>
                <w:webHidden/>
              </w:rPr>
              <w:fldChar w:fldCharType="begin"/>
            </w:r>
            <w:r w:rsidR="00023800">
              <w:rPr>
                <w:noProof/>
                <w:webHidden/>
              </w:rPr>
              <w:instrText xml:space="preserve"> PAGEREF _Toc120692851 \h </w:instrText>
            </w:r>
            <w:r w:rsidR="00023800">
              <w:rPr>
                <w:noProof/>
                <w:webHidden/>
              </w:rPr>
            </w:r>
            <w:r w:rsidR="00023800">
              <w:rPr>
                <w:noProof/>
                <w:webHidden/>
              </w:rPr>
              <w:fldChar w:fldCharType="separate"/>
            </w:r>
            <w:r w:rsidR="006A6BEB">
              <w:rPr>
                <w:noProof/>
                <w:webHidden/>
              </w:rPr>
              <w:t>56</w:t>
            </w:r>
            <w:r w:rsidR="00023800">
              <w:rPr>
                <w:noProof/>
                <w:webHidden/>
              </w:rPr>
              <w:fldChar w:fldCharType="end"/>
            </w:r>
          </w:hyperlink>
        </w:p>
        <w:p w:rsidR="00023800" w:rsidRDefault="00CA0F5C" w14:paraId="0350FAA5" w14:textId="11F25230">
          <w:pPr>
            <w:pStyle w:val="TOC2"/>
            <w:tabs>
              <w:tab w:val="left" w:pos="1296"/>
              <w:tab w:val="right" w:leader="dot" w:pos="9350"/>
            </w:tabs>
            <w:rPr>
              <w:rFonts w:asciiTheme="minorHAnsi" w:hAnsiTheme="minorHAnsi" w:cstheme="minorBidi"/>
              <w:noProof/>
              <w:sz w:val="22"/>
            </w:rPr>
          </w:pPr>
          <w:hyperlink w:history="1" w:anchor="_Toc120692852">
            <w:r w:rsidRPr="00AB0A25" w:rsidR="00023800">
              <w:rPr>
                <w:rStyle w:val="Hyperlink"/>
                <w:noProof/>
              </w:rPr>
              <w:t>12.8.</w:t>
            </w:r>
            <w:r w:rsidR="00023800">
              <w:rPr>
                <w:rFonts w:asciiTheme="minorHAnsi" w:hAnsiTheme="minorHAnsi" w:cstheme="minorBidi"/>
                <w:noProof/>
                <w:sz w:val="22"/>
              </w:rPr>
              <w:tab/>
            </w:r>
            <w:r w:rsidRPr="00AB0A25" w:rsidR="00023800">
              <w:rPr>
                <w:rStyle w:val="Hyperlink"/>
                <w:noProof/>
              </w:rPr>
              <w:t>Additional Exemptions  Proposed by Parties</w:t>
            </w:r>
            <w:r w:rsidR="00023800">
              <w:rPr>
                <w:noProof/>
                <w:webHidden/>
              </w:rPr>
              <w:tab/>
            </w:r>
            <w:r w:rsidR="00023800">
              <w:rPr>
                <w:noProof/>
                <w:webHidden/>
              </w:rPr>
              <w:fldChar w:fldCharType="begin"/>
            </w:r>
            <w:r w:rsidR="00023800">
              <w:rPr>
                <w:noProof/>
                <w:webHidden/>
              </w:rPr>
              <w:instrText xml:space="preserve"> PAGEREF _Toc120692852 \h </w:instrText>
            </w:r>
            <w:r w:rsidR="00023800">
              <w:rPr>
                <w:noProof/>
                <w:webHidden/>
              </w:rPr>
            </w:r>
            <w:r w:rsidR="00023800">
              <w:rPr>
                <w:noProof/>
                <w:webHidden/>
              </w:rPr>
              <w:fldChar w:fldCharType="separate"/>
            </w:r>
            <w:r w:rsidR="006A6BEB">
              <w:rPr>
                <w:noProof/>
                <w:webHidden/>
              </w:rPr>
              <w:t>58</w:t>
            </w:r>
            <w:r w:rsidR="00023800">
              <w:rPr>
                <w:noProof/>
                <w:webHidden/>
              </w:rPr>
              <w:fldChar w:fldCharType="end"/>
            </w:r>
          </w:hyperlink>
        </w:p>
        <w:p w:rsidR="00023800" w:rsidRDefault="00CA0F5C" w14:paraId="54AC4A81" w14:textId="120DED2C">
          <w:pPr>
            <w:pStyle w:val="TOC3"/>
            <w:tabs>
              <w:tab w:val="left" w:pos="1728"/>
              <w:tab w:val="right" w:leader="dot" w:pos="9350"/>
            </w:tabs>
            <w:rPr>
              <w:rFonts w:asciiTheme="minorHAnsi" w:hAnsiTheme="minorHAnsi" w:cstheme="minorBidi"/>
              <w:noProof/>
              <w:sz w:val="22"/>
            </w:rPr>
          </w:pPr>
          <w:hyperlink w:history="1" w:anchor="_Toc120692853">
            <w:r w:rsidRPr="00AB0A25" w:rsidR="00023800">
              <w:rPr>
                <w:rStyle w:val="Hyperlink"/>
                <w:noProof/>
              </w:rPr>
              <w:t>12.8.1.</w:t>
            </w:r>
            <w:r w:rsidR="00023800">
              <w:rPr>
                <w:rFonts w:asciiTheme="minorHAnsi" w:hAnsiTheme="minorHAnsi" w:cstheme="minorBidi"/>
                <w:noProof/>
                <w:sz w:val="22"/>
              </w:rPr>
              <w:tab/>
            </w:r>
            <w:r w:rsidRPr="00AB0A25" w:rsidR="00023800">
              <w:rPr>
                <w:rStyle w:val="Hyperlink"/>
                <w:noProof/>
              </w:rPr>
              <w:t>Party Proposals</w:t>
            </w:r>
            <w:r w:rsidR="00023800">
              <w:rPr>
                <w:noProof/>
                <w:webHidden/>
              </w:rPr>
              <w:tab/>
            </w:r>
            <w:r w:rsidR="00023800">
              <w:rPr>
                <w:noProof/>
                <w:webHidden/>
              </w:rPr>
              <w:fldChar w:fldCharType="begin"/>
            </w:r>
            <w:r w:rsidR="00023800">
              <w:rPr>
                <w:noProof/>
                <w:webHidden/>
              </w:rPr>
              <w:instrText xml:space="preserve"> PAGEREF _Toc120692853 \h </w:instrText>
            </w:r>
            <w:r w:rsidR="00023800">
              <w:rPr>
                <w:noProof/>
                <w:webHidden/>
              </w:rPr>
            </w:r>
            <w:r w:rsidR="00023800">
              <w:rPr>
                <w:noProof/>
                <w:webHidden/>
              </w:rPr>
              <w:fldChar w:fldCharType="separate"/>
            </w:r>
            <w:r w:rsidR="006A6BEB">
              <w:rPr>
                <w:noProof/>
                <w:webHidden/>
              </w:rPr>
              <w:t>58</w:t>
            </w:r>
            <w:r w:rsidR="00023800">
              <w:rPr>
                <w:noProof/>
                <w:webHidden/>
              </w:rPr>
              <w:fldChar w:fldCharType="end"/>
            </w:r>
          </w:hyperlink>
        </w:p>
        <w:p w:rsidR="00023800" w:rsidRDefault="00CA0F5C" w14:paraId="70B32A67" w14:textId="18A05838">
          <w:pPr>
            <w:pStyle w:val="TOC3"/>
            <w:tabs>
              <w:tab w:val="left" w:pos="1728"/>
              <w:tab w:val="right" w:leader="dot" w:pos="9350"/>
            </w:tabs>
            <w:rPr>
              <w:rFonts w:asciiTheme="minorHAnsi" w:hAnsiTheme="minorHAnsi" w:cstheme="minorBidi"/>
              <w:noProof/>
              <w:sz w:val="22"/>
            </w:rPr>
          </w:pPr>
          <w:hyperlink w:history="1" w:anchor="_Toc120692854">
            <w:r w:rsidRPr="00AB0A25" w:rsidR="00023800">
              <w:rPr>
                <w:rStyle w:val="Hyperlink"/>
                <w:noProof/>
              </w:rPr>
              <w:t>12.8.2.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_Toc120692854 \h </w:instrText>
            </w:r>
            <w:r w:rsidR="00023800">
              <w:rPr>
                <w:noProof/>
                <w:webHidden/>
              </w:rPr>
            </w:r>
            <w:r w:rsidR="00023800">
              <w:rPr>
                <w:noProof/>
                <w:webHidden/>
              </w:rPr>
              <w:fldChar w:fldCharType="separate"/>
            </w:r>
            <w:r w:rsidR="006A6BEB">
              <w:rPr>
                <w:noProof/>
                <w:webHidden/>
              </w:rPr>
              <w:t>58</w:t>
            </w:r>
            <w:r w:rsidR="00023800">
              <w:rPr>
                <w:noProof/>
                <w:webHidden/>
              </w:rPr>
              <w:fldChar w:fldCharType="end"/>
            </w:r>
          </w:hyperlink>
        </w:p>
        <w:p w:rsidR="00023800" w:rsidRDefault="00CA0F5C" w14:paraId="246EA5B5" w14:textId="74C5FE4F">
          <w:pPr>
            <w:pStyle w:val="TOC3"/>
            <w:tabs>
              <w:tab w:val="left" w:pos="1728"/>
              <w:tab w:val="right" w:leader="dot" w:pos="9350"/>
            </w:tabs>
            <w:rPr>
              <w:rFonts w:asciiTheme="minorHAnsi" w:hAnsiTheme="minorHAnsi" w:cstheme="minorBidi"/>
              <w:noProof/>
              <w:sz w:val="22"/>
            </w:rPr>
          </w:pPr>
          <w:hyperlink w:history="1" w:anchor="_Toc120692855">
            <w:r w:rsidRPr="00AB0A25" w:rsidR="00023800">
              <w:rPr>
                <w:rStyle w:val="Hyperlink"/>
                <w:noProof/>
              </w:rPr>
              <w:t>12.8.3.</w:t>
            </w:r>
            <w:r w:rsidR="00023800">
              <w:rPr>
                <w:rFonts w:asciiTheme="minorHAnsi" w:hAnsiTheme="minorHAnsi" w:cstheme="minorBidi"/>
                <w:noProof/>
                <w:sz w:val="22"/>
              </w:rPr>
              <w:tab/>
            </w:r>
            <w:r w:rsidRPr="00AB0A25" w:rsidR="00023800">
              <w:rPr>
                <w:rStyle w:val="Hyperlink"/>
                <w:noProof/>
              </w:rPr>
              <w:t>Declining to Adopt Additional Exemptions</w:t>
            </w:r>
            <w:r w:rsidR="00023800">
              <w:rPr>
                <w:noProof/>
                <w:webHidden/>
              </w:rPr>
              <w:tab/>
            </w:r>
            <w:r w:rsidR="00023800">
              <w:rPr>
                <w:noProof/>
                <w:webHidden/>
              </w:rPr>
              <w:fldChar w:fldCharType="begin"/>
            </w:r>
            <w:r w:rsidR="00023800">
              <w:rPr>
                <w:noProof/>
                <w:webHidden/>
              </w:rPr>
              <w:instrText xml:space="preserve"> PAGEREF _Toc120692855 \h </w:instrText>
            </w:r>
            <w:r w:rsidR="00023800">
              <w:rPr>
                <w:noProof/>
                <w:webHidden/>
              </w:rPr>
            </w:r>
            <w:r w:rsidR="00023800">
              <w:rPr>
                <w:noProof/>
                <w:webHidden/>
              </w:rPr>
              <w:fldChar w:fldCharType="separate"/>
            </w:r>
            <w:r w:rsidR="006A6BEB">
              <w:rPr>
                <w:noProof/>
                <w:webHidden/>
              </w:rPr>
              <w:t>58</w:t>
            </w:r>
            <w:r w:rsidR="00023800">
              <w:rPr>
                <w:noProof/>
                <w:webHidden/>
              </w:rPr>
              <w:fldChar w:fldCharType="end"/>
            </w:r>
          </w:hyperlink>
        </w:p>
        <w:p w:rsidR="00023800" w:rsidRDefault="00CA0F5C" w14:paraId="43D7E6FF" w14:textId="7E3EDAE7">
          <w:pPr>
            <w:pStyle w:val="TOC1"/>
            <w:tabs>
              <w:tab w:val="right" w:leader="dot" w:pos="9350"/>
            </w:tabs>
            <w:rPr>
              <w:rFonts w:asciiTheme="minorHAnsi" w:hAnsiTheme="minorHAnsi" w:cstheme="minorBidi"/>
              <w:noProof/>
              <w:sz w:val="22"/>
            </w:rPr>
          </w:pPr>
          <w:hyperlink w:history="1" w:anchor="_Toc120692856">
            <w:r w:rsidRPr="00AB0A25" w:rsidR="00023800">
              <w:rPr>
                <w:rStyle w:val="Hyperlink"/>
                <w:noProof/>
              </w:rPr>
              <w:t>13.</w:t>
            </w:r>
            <w:r w:rsidR="00023800">
              <w:rPr>
                <w:rFonts w:asciiTheme="minorHAnsi" w:hAnsiTheme="minorHAnsi" w:cstheme="minorBidi"/>
                <w:noProof/>
                <w:sz w:val="22"/>
              </w:rPr>
              <w:tab/>
            </w:r>
            <w:r w:rsidRPr="00AB0A25" w:rsidR="00023800">
              <w:rPr>
                <w:rStyle w:val="Hyperlink"/>
                <w:noProof/>
              </w:rPr>
              <w:t>Exceptions to Exemptions</w:t>
            </w:r>
            <w:r w:rsidR="00023800">
              <w:rPr>
                <w:noProof/>
                <w:webHidden/>
              </w:rPr>
              <w:tab/>
            </w:r>
            <w:r w:rsidR="00023800">
              <w:rPr>
                <w:noProof/>
                <w:webHidden/>
              </w:rPr>
              <w:fldChar w:fldCharType="begin"/>
            </w:r>
            <w:r w:rsidR="00023800">
              <w:rPr>
                <w:noProof/>
                <w:webHidden/>
              </w:rPr>
              <w:instrText xml:space="preserve"> PAGEREF _Toc120692856 \h </w:instrText>
            </w:r>
            <w:r w:rsidR="00023800">
              <w:rPr>
                <w:noProof/>
                <w:webHidden/>
              </w:rPr>
            </w:r>
            <w:r w:rsidR="00023800">
              <w:rPr>
                <w:noProof/>
                <w:webHidden/>
              </w:rPr>
              <w:fldChar w:fldCharType="separate"/>
            </w:r>
            <w:r w:rsidR="006A6BEB">
              <w:rPr>
                <w:noProof/>
                <w:webHidden/>
              </w:rPr>
              <w:t>59</w:t>
            </w:r>
            <w:r w:rsidR="00023800">
              <w:rPr>
                <w:noProof/>
                <w:webHidden/>
              </w:rPr>
              <w:fldChar w:fldCharType="end"/>
            </w:r>
          </w:hyperlink>
        </w:p>
        <w:p w:rsidR="00023800" w:rsidRDefault="00CA0F5C" w14:paraId="4CC5A119" w14:textId="3A7E972D">
          <w:pPr>
            <w:pStyle w:val="TOC2"/>
            <w:tabs>
              <w:tab w:val="left" w:pos="1296"/>
              <w:tab w:val="right" w:leader="dot" w:pos="9350"/>
            </w:tabs>
            <w:rPr>
              <w:rFonts w:asciiTheme="minorHAnsi" w:hAnsiTheme="minorHAnsi" w:cstheme="minorBidi"/>
              <w:noProof/>
              <w:sz w:val="22"/>
            </w:rPr>
          </w:pPr>
          <w:hyperlink w:history="1" w:anchor="_Toc120692857">
            <w:r w:rsidRPr="00AB0A25" w:rsidR="00023800">
              <w:rPr>
                <w:rStyle w:val="Hyperlink"/>
                <w:noProof/>
              </w:rPr>
              <w:t>13.1.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_Toc120692857 \h </w:instrText>
            </w:r>
            <w:r w:rsidR="00023800">
              <w:rPr>
                <w:noProof/>
                <w:webHidden/>
              </w:rPr>
            </w:r>
            <w:r w:rsidR="00023800">
              <w:rPr>
                <w:noProof/>
                <w:webHidden/>
              </w:rPr>
              <w:fldChar w:fldCharType="separate"/>
            </w:r>
            <w:r w:rsidR="006A6BEB">
              <w:rPr>
                <w:noProof/>
                <w:webHidden/>
              </w:rPr>
              <w:t>59</w:t>
            </w:r>
            <w:r w:rsidR="00023800">
              <w:rPr>
                <w:noProof/>
                <w:webHidden/>
              </w:rPr>
              <w:fldChar w:fldCharType="end"/>
            </w:r>
          </w:hyperlink>
        </w:p>
        <w:p w:rsidR="00023800" w:rsidRDefault="00CA0F5C" w14:paraId="54C21B77" w14:textId="666DE0ED">
          <w:pPr>
            <w:pStyle w:val="TOC2"/>
            <w:tabs>
              <w:tab w:val="left" w:pos="1296"/>
              <w:tab w:val="right" w:leader="dot" w:pos="9350"/>
            </w:tabs>
            <w:rPr>
              <w:rFonts w:asciiTheme="minorHAnsi" w:hAnsiTheme="minorHAnsi" w:cstheme="minorBidi"/>
              <w:noProof/>
              <w:sz w:val="22"/>
            </w:rPr>
          </w:pPr>
          <w:hyperlink w:history="1" w:anchor="_Toc120692858">
            <w:r w:rsidRPr="00AB0A25" w:rsidR="00023800">
              <w:rPr>
                <w:rStyle w:val="Hyperlink"/>
                <w:noProof/>
              </w:rPr>
              <w:t>13.2.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_Toc120692858 \h </w:instrText>
            </w:r>
            <w:r w:rsidR="00023800">
              <w:rPr>
                <w:noProof/>
                <w:webHidden/>
              </w:rPr>
            </w:r>
            <w:r w:rsidR="00023800">
              <w:rPr>
                <w:noProof/>
                <w:webHidden/>
              </w:rPr>
              <w:fldChar w:fldCharType="separate"/>
            </w:r>
            <w:r w:rsidR="006A6BEB">
              <w:rPr>
                <w:noProof/>
                <w:webHidden/>
              </w:rPr>
              <w:t>60</w:t>
            </w:r>
            <w:r w:rsidR="00023800">
              <w:rPr>
                <w:noProof/>
                <w:webHidden/>
              </w:rPr>
              <w:fldChar w:fldCharType="end"/>
            </w:r>
          </w:hyperlink>
        </w:p>
        <w:p w:rsidR="00023800" w:rsidRDefault="00CA0F5C" w14:paraId="35A486D6" w14:textId="564939EF">
          <w:pPr>
            <w:pStyle w:val="TOC2"/>
            <w:tabs>
              <w:tab w:val="left" w:pos="1296"/>
              <w:tab w:val="right" w:leader="dot" w:pos="9350"/>
            </w:tabs>
            <w:rPr>
              <w:rFonts w:asciiTheme="minorHAnsi" w:hAnsiTheme="minorHAnsi" w:cstheme="minorBidi"/>
              <w:noProof/>
              <w:sz w:val="22"/>
            </w:rPr>
          </w:pPr>
          <w:hyperlink w:history="1" w:anchor="_Toc120692859">
            <w:r w:rsidRPr="00AB0A25" w:rsidR="00023800">
              <w:rPr>
                <w:rStyle w:val="Hyperlink"/>
                <w:noProof/>
              </w:rPr>
              <w:t>13.3.</w:t>
            </w:r>
            <w:r w:rsidR="00023800">
              <w:rPr>
                <w:rFonts w:asciiTheme="minorHAnsi" w:hAnsiTheme="minorHAnsi" w:cstheme="minorBidi"/>
                <w:noProof/>
                <w:sz w:val="22"/>
              </w:rPr>
              <w:tab/>
            </w:r>
            <w:r w:rsidRPr="00AB0A25" w:rsidR="00023800">
              <w:rPr>
                <w:rStyle w:val="Hyperlink"/>
                <w:noProof/>
              </w:rPr>
              <w:t>Declining to Adopt Exceptions to  Exemptions as Proposed by Staff  (Section IV(A)(4))</w:t>
            </w:r>
            <w:r w:rsidR="00023800">
              <w:rPr>
                <w:noProof/>
                <w:webHidden/>
              </w:rPr>
              <w:tab/>
            </w:r>
            <w:r w:rsidR="00023800">
              <w:rPr>
                <w:noProof/>
                <w:webHidden/>
              </w:rPr>
              <w:fldChar w:fldCharType="begin"/>
            </w:r>
            <w:r w:rsidR="00023800">
              <w:rPr>
                <w:noProof/>
                <w:webHidden/>
              </w:rPr>
              <w:instrText xml:space="preserve"> PAGEREF _Toc120692859 \h </w:instrText>
            </w:r>
            <w:r w:rsidR="00023800">
              <w:rPr>
                <w:noProof/>
                <w:webHidden/>
              </w:rPr>
            </w:r>
            <w:r w:rsidR="00023800">
              <w:rPr>
                <w:noProof/>
                <w:webHidden/>
              </w:rPr>
              <w:fldChar w:fldCharType="separate"/>
            </w:r>
            <w:r w:rsidR="006A6BEB">
              <w:rPr>
                <w:noProof/>
                <w:webHidden/>
              </w:rPr>
              <w:t>61</w:t>
            </w:r>
            <w:r w:rsidR="00023800">
              <w:rPr>
                <w:noProof/>
                <w:webHidden/>
              </w:rPr>
              <w:fldChar w:fldCharType="end"/>
            </w:r>
          </w:hyperlink>
        </w:p>
        <w:p w:rsidR="00023800" w:rsidRDefault="00CA0F5C" w14:paraId="03D59B15" w14:textId="0B4C66CE">
          <w:pPr>
            <w:pStyle w:val="TOC1"/>
            <w:tabs>
              <w:tab w:val="right" w:leader="dot" w:pos="9350"/>
            </w:tabs>
            <w:rPr>
              <w:rFonts w:asciiTheme="minorHAnsi" w:hAnsiTheme="minorHAnsi" w:cstheme="minorBidi"/>
              <w:noProof/>
              <w:sz w:val="22"/>
            </w:rPr>
          </w:pPr>
          <w:hyperlink w:history="1" w:anchor="_Toc120692860">
            <w:r w:rsidRPr="00AB0A25" w:rsidR="00023800">
              <w:rPr>
                <w:rStyle w:val="Hyperlink"/>
                <w:noProof/>
              </w:rPr>
              <w:t>14.</w:t>
            </w:r>
            <w:r w:rsidR="00023800">
              <w:rPr>
                <w:rFonts w:asciiTheme="minorHAnsi" w:hAnsiTheme="minorHAnsi" w:cstheme="minorBidi"/>
                <w:noProof/>
                <w:sz w:val="22"/>
              </w:rPr>
              <w:tab/>
            </w:r>
            <w:r w:rsidRPr="00AB0A25" w:rsidR="00023800">
              <w:rPr>
                <w:rStyle w:val="Hyperlink"/>
                <w:noProof/>
              </w:rPr>
              <w:t>Notification Requirements for  Claimed Exemptions</w:t>
            </w:r>
            <w:r w:rsidR="00023800">
              <w:rPr>
                <w:noProof/>
                <w:webHidden/>
              </w:rPr>
              <w:tab/>
            </w:r>
            <w:r w:rsidR="00023800">
              <w:rPr>
                <w:noProof/>
                <w:webHidden/>
              </w:rPr>
              <w:fldChar w:fldCharType="begin"/>
            </w:r>
            <w:r w:rsidR="00023800">
              <w:rPr>
                <w:noProof/>
                <w:webHidden/>
              </w:rPr>
              <w:instrText xml:space="preserve"> PAGEREF _Toc120692860 \h </w:instrText>
            </w:r>
            <w:r w:rsidR="00023800">
              <w:rPr>
                <w:noProof/>
                <w:webHidden/>
              </w:rPr>
            </w:r>
            <w:r w:rsidR="00023800">
              <w:rPr>
                <w:noProof/>
                <w:webHidden/>
              </w:rPr>
              <w:fldChar w:fldCharType="separate"/>
            </w:r>
            <w:r w:rsidR="006A6BEB">
              <w:rPr>
                <w:noProof/>
                <w:webHidden/>
              </w:rPr>
              <w:t>62</w:t>
            </w:r>
            <w:r w:rsidR="00023800">
              <w:rPr>
                <w:noProof/>
                <w:webHidden/>
              </w:rPr>
              <w:fldChar w:fldCharType="end"/>
            </w:r>
          </w:hyperlink>
        </w:p>
        <w:p w:rsidR="00023800" w:rsidRDefault="00CA0F5C" w14:paraId="34AB3837" w14:textId="4FE065E2">
          <w:pPr>
            <w:pStyle w:val="TOC2"/>
            <w:tabs>
              <w:tab w:val="left" w:pos="1296"/>
              <w:tab w:val="right" w:leader="dot" w:pos="9350"/>
            </w:tabs>
            <w:rPr>
              <w:rFonts w:asciiTheme="minorHAnsi" w:hAnsiTheme="minorHAnsi" w:cstheme="minorBidi"/>
              <w:noProof/>
              <w:sz w:val="22"/>
            </w:rPr>
          </w:pPr>
          <w:hyperlink w:history="1" w:anchor="_Toc120692861">
            <w:r w:rsidRPr="00AB0A25" w:rsidR="00023800">
              <w:rPr>
                <w:rStyle w:val="Hyperlink"/>
                <w:noProof/>
              </w:rPr>
              <w:t>14.1.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_Toc120692861 \h </w:instrText>
            </w:r>
            <w:r w:rsidR="00023800">
              <w:rPr>
                <w:noProof/>
                <w:webHidden/>
              </w:rPr>
            </w:r>
            <w:r w:rsidR="00023800">
              <w:rPr>
                <w:noProof/>
                <w:webHidden/>
              </w:rPr>
              <w:fldChar w:fldCharType="separate"/>
            </w:r>
            <w:r w:rsidR="006A6BEB">
              <w:rPr>
                <w:noProof/>
                <w:webHidden/>
              </w:rPr>
              <w:t>62</w:t>
            </w:r>
            <w:r w:rsidR="00023800">
              <w:rPr>
                <w:noProof/>
                <w:webHidden/>
              </w:rPr>
              <w:fldChar w:fldCharType="end"/>
            </w:r>
          </w:hyperlink>
        </w:p>
        <w:p w:rsidR="00023800" w:rsidRDefault="00CA0F5C" w14:paraId="279869AD" w14:textId="2852C8DF">
          <w:pPr>
            <w:pStyle w:val="TOC2"/>
            <w:tabs>
              <w:tab w:val="left" w:pos="1296"/>
              <w:tab w:val="right" w:leader="dot" w:pos="9350"/>
            </w:tabs>
            <w:rPr>
              <w:rFonts w:asciiTheme="minorHAnsi" w:hAnsiTheme="minorHAnsi" w:cstheme="minorBidi"/>
              <w:noProof/>
              <w:sz w:val="22"/>
            </w:rPr>
          </w:pPr>
          <w:hyperlink w:history="1" w:anchor="_Toc120692862">
            <w:r w:rsidRPr="00AB0A25" w:rsidR="00023800">
              <w:rPr>
                <w:rStyle w:val="Hyperlink"/>
                <w:noProof/>
              </w:rPr>
              <w:t>14.2.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_Toc120692862 \h </w:instrText>
            </w:r>
            <w:r w:rsidR="00023800">
              <w:rPr>
                <w:noProof/>
                <w:webHidden/>
              </w:rPr>
            </w:r>
            <w:r w:rsidR="00023800">
              <w:rPr>
                <w:noProof/>
                <w:webHidden/>
              </w:rPr>
              <w:fldChar w:fldCharType="separate"/>
            </w:r>
            <w:r w:rsidR="006A6BEB">
              <w:rPr>
                <w:noProof/>
                <w:webHidden/>
              </w:rPr>
              <w:t>63</w:t>
            </w:r>
            <w:r w:rsidR="00023800">
              <w:rPr>
                <w:noProof/>
                <w:webHidden/>
              </w:rPr>
              <w:fldChar w:fldCharType="end"/>
            </w:r>
          </w:hyperlink>
        </w:p>
        <w:p w:rsidR="00023800" w:rsidRDefault="00CA0F5C" w14:paraId="1D1AE791" w14:textId="525D36AF">
          <w:pPr>
            <w:pStyle w:val="TOC2"/>
            <w:tabs>
              <w:tab w:val="left" w:pos="1296"/>
              <w:tab w:val="right" w:leader="dot" w:pos="9350"/>
            </w:tabs>
            <w:rPr>
              <w:rFonts w:asciiTheme="minorHAnsi" w:hAnsiTheme="minorHAnsi" w:cstheme="minorBidi"/>
              <w:noProof/>
              <w:sz w:val="22"/>
            </w:rPr>
          </w:pPr>
          <w:hyperlink w:history="1" w:anchor="_Toc120692863">
            <w:r w:rsidRPr="00AB0A25" w:rsidR="00023800">
              <w:rPr>
                <w:rStyle w:val="Hyperlink"/>
                <w:noProof/>
              </w:rPr>
              <w:t>14.3.</w:t>
            </w:r>
            <w:r w:rsidR="00023800">
              <w:rPr>
                <w:rFonts w:asciiTheme="minorHAnsi" w:hAnsiTheme="minorHAnsi" w:cstheme="minorBidi"/>
                <w:noProof/>
                <w:sz w:val="22"/>
              </w:rPr>
              <w:tab/>
            </w:r>
            <w:r w:rsidRPr="00AB0A25" w:rsidR="00023800">
              <w:rPr>
                <w:rStyle w:val="Hyperlink"/>
                <w:noProof/>
              </w:rPr>
              <w:t>Adopting a Modified Version of  Staff’s Proposed Notification  Requirements (Section V)</w:t>
            </w:r>
            <w:r w:rsidR="00023800">
              <w:rPr>
                <w:noProof/>
                <w:webHidden/>
              </w:rPr>
              <w:tab/>
            </w:r>
            <w:r w:rsidR="00023800">
              <w:rPr>
                <w:noProof/>
                <w:webHidden/>
              </w:rPr>
              <w:fldChar w:fldCharType="begin"/>
            </w:r>
            <w:r w:rsidR="00023800">
              <w:rPr>
                <w:noProof/>
                <w:webHidden/>
              </w:rPr>
              <w:instrText xml:space="preserve"> PAGEREF _Toc120692863 \h </w:instrText>
            </w:r>
            <w:r w:rsidR="00023800">
              <w:rPr>
                <w:noProof/>
                <w:webHidden/>
              </w:rPr>
            </w:r>
            <w:r w:rsidR="00023800">
              <w:rPr>
                <w:noProof/>
                <w:webHidden/>
              </w:rPr>
              <w:fldChar w:fldCharType="separate"/>
            </w:r>
            <w:r w:rsidR="006A6BEB">
              <w:rPr>
                <w:noProof/>
                <w:webHidden/>
              </w:rPr>
              <w:t>65</w:t>
            </w:r>
            <w:r w:rsidR="00023800">
              <w:rPr>
                <w:noProof/>
                <w:webHidden/>
              </w:rPr>
              <w:fldChar w:fldCharType="end"/>
            </w:r>
          </w:hyperlink>
        </w:p>
        <w:p w:rsidR="00023800" w:rsidRDefault="00CA0F5C" w14:paraId="2C3277B9" w14:textId="0D1C6AF0">
          <w:pPr>
            <w:pStyle w:val="TOC1"/>
            <w:tabs>
              <w:tab w:val="right" w:leader="dot" w:pos="9350"/>
            </w:tabs>
            <w:rPr>
              <w:rFonts w:asciiTheme="minorHAnsi" w:hAnsiTheme="minorHAnsi" w:cstheme="minorBidi"/>
              <w:noProof/>
              <w:sz w:val="22"/>
            </w:rPr>
          </w:pPr>
          <w:hyperlink w:history="1" w:anchor="_Toc120692864">
            <w:r w:rsidRPr="00AB0A25" w:rsidR="00023800">
              <w:rPr>
                <w:rStyle w:val="Hyperlink"/>
                <w:noProof/>
              </w:rPr>
              <w:t>15.</w:t>
            </w:r>
            <w:r w:rsidR="00023800">
              <w:rPr>
                <w:rFonts w:asciiTheme="minorHAnsi" w:hAnsiTheme="minorHAnsi" w:cstheme="minorBidi"/>
                <w:noProof/>
                <w:sz w:val="22"/>
              </w:rPr>
              <w:tab/>
            </w:r>
            <w:r w:rsidRPr="00AB0A25" w:rsidR="00023800">
              <w:rPr>
                <w:rStyle w:val="Hyperlink"/>
                <w:noProof/>
              </w:rPr>
              <w:t>CPCN Application Information Submittal Requirements (Section VI)</w:t>
            </w:r>
            <w:r w:rsidR="00023800">
              <w:rPr>
                <w:noProof/>
                <w:webHidden/>
              </w:rPr>
              <w:tab/>
            </w:r>
            <w:r w:rsidR="00023800">
              <w:rPr>
                <w:noProof/>
                <w:webHidden/>
              </w:rPr>
              <w:fldChar w:fldCharType="begin"/>
            </w:r>
            <w:r w:rsidR="00023800">
              <w:rPr>
                <w:noProof/>
                <w:webHidden/>
              </w:rPr>
              <w:instrText xml:space="preserve"> PAGEREF _Toc120692864 \h </w:instrText>
            </w:r>
            <w:r w:rsidR="00023800">
              <w:rPr>
                <w:noProof/>
                <w:webHidden/>
              </w:rPr>
            </w:r>
            <w:r w:rsidR="00023800">
              <w:rPr>
                <w:noProof/>
                <w:webHidden/>
              </w:rPr>
              <w:fldChar w:fldCharType="separate"/>
            </w:r>
            <w:r w:rsidR="006A6BEB">
              <w:rPr>
                <w:noProof/>
                <w:webHidden/>
              </w:rPr>
              <w:t>67</w:t>
            </w:r>
            <w:r w:rsidR="00023800">
              <w:rPr>
                <w:noProof/>
                <w:webHidden/>
              </w:rPr>
              <w:fldChar w:fldCharType="end"/>
            </w:r>
          </w:hyperlink>
        </w:p>
        <w:p w:rsidR="00023800" w:rsidRDefault="00CA0F5C" w14:paraId="2727CA14" w14:textId="1392658D">
          <w:pPr>
            <w:pStyle w:val="TOC2"/>
            <w:tabs>
              <w:tab w:val="left" w:pos="1296"/>
              <w:tab w:val="right" w:leader="dot" w:pos="9350"/>
            </w:tabs>
            <w:rPr>
              <w:rFonts w:asciiTheme="minorHAnsi" w:hAnsiTheme="minorHAnsi" w:cstheme="minorBidi"/>
              <w:noProof/>
              <w:sz w:val="22"/>
            </w:rPr>
          </w:pPr>
          <w:hyperlink w:history="1" w:anchor="_Toc120692865">
            <w:r w:rsidRPr="00AB0A25" w:rsidR="00023800">
              <w:rPr>
                <w:rStyle w:val="Hyperlink"/>
                <w:noProof/>
              </w:rPr>
              <w:t>15.1.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_Toc120692865 \h </w:instrText>
            </w:r>
            <w:r w:rsidR="00023800">
              <w:rPr>
                <w:noProof/>
                <w:webHidden/>
              </w:rPr>
            </w:r>
            <w:r w:rsidR="00023800">
              <w:rPr>
                <w:noProof/>
                <w:webHidden/>
              </w:rPr>
              <w:fldChar w:fldCharType="separate"/>
            </w:r>
            <w:r w:rsidR="006A6BEB">
              <w:rPr>
                <w:noProof/>
                <w:webHidden/>
              </w:rPr>
              <w:t>67</w:t>
            </w:r>
            <w:r w:rsidR="00023800">
              <w:rPr>
                <w:noProof/>
                <w:webHidden/>
              </w:rPr>
              <w:fldChar w:fldCharType="end"/>
            </w:r>
          </w:hyperlink>
        </w:p>
        <w:p w:rsidR="00023800" w:rsidRDefault="00CA0F5C" w14:paraId="3C801AE3" w14:textId="4886000C">
          <w:pPr>
            <w:pStyle w:val="TOC2"/>
            <w:tabs>
              <w:tab w:val="left" w:pos="1296"/>
              <w:tab w:val="right" w:leader="dot" w:pos="9350"/>
            </w:tabs>
            <w:rPr>
              <w:rFonts w:asciiTheme="minorHAnsi" w:hAnsiTheme="minorHAnsi" w:cstheme="minorBidi"/>
              <w:noProof/>
              <w:sz w:val="22"/>
            </w:rPr>
          </w:pPr>
          <w:hyperlink w:history="1" w:anchor="_Toc120692866">
            <w:r w:rsidRPr="00AB0A25" w:rsidR="00023800">
              <w:rPr>
                <w:rStyle w:val="Hyperlink"/>
                <w:noProof/>
              </w:rPr>
              <w:t>15.2.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_Toc120692866 \h </w:instrText>
            </w:r>
            <w:r w:rsidR="00023800">
              <w:rPr>
                <w:noProof/>
                <w:webHidden/>
              </w:rPr>
            </w:r>
            <w:r w:rsidR="00023800">
              <w:rPr>
                <w:noProof/>
                <w:webHidden/>
              </w:rPr>
              <w:fldChar w:fldCharType="separate"/>
            </w:r>
            <w:r w:rsidR="006A6BEB">
              <w:rPr>
                <w:noProof/>
                <w:webHidden/>
              </w:rPr>
              <w:t>67</w:t>
            </w:r>
            <w:r w:rsidR="00023800">
              <w:rPr>
                <w:noProof/>
                <w:webHidden/>
              </w:rPr>
              <w:fldChar w:fldCharType="end"/>
            </w:r>
          </w:hyperlink>
        </w:p>
        <w:p w:rsidR="00023800" w:rsidRDefault="00CA0F5C" w14:paraId="19944418" w14:textId="78DF5F9D">
          <w:pPr>
            <w:pStyle w:val="TOC2"/>
            <w:tabs>
              <w:tab w:val="left" w:pos="1296"/>
              <w:tab w:val="right" w:leader="dot" w:pos="9350"/>
            </w:tabs>
            <w:rPr>
              <w:rFonts w:asciiTheme="minorHAnsi" w:hAnsiTheme="minorHAnsi" w:cstheme="minorBidi"/>
              <w:noProof/>
              <w:sz w:val="22"/>
            </w:rPr>
          </w:pPr>
          <w:hyperlink w:history="1" w:anchor="_Toc120692867">
            <w:r w:rsidRPr="00AB0A25" w:rsidR="00023800">
              <w:rPr>
                <w:rStyle w:val="Hyperlink"/>
                <w:noProof/>
              </w:rPr>
              <w:t>15.3.</w:t>
            </w:r>
            <w:r w:rsidR="00023800">
              <w:rPr>
                <w:rFonts w:asciiTheme="minorHAnsi" w:hAnsiTheme="minorHAnsi" w:cstheme="minorBidi"/>
                <w:noProof/>
                <w:sz w:val="22"/>
              </w:rPr>
              <w:tab/>
            </w:r>
            <w:r w:rsidRPr="00AB0A25" w:rsidR="00023800">
              <w:rPr>
                <w:rStyle w:val="Hyperlink"/>
                <w:noProof/>
              </w:rPr>
              <w:t>Adopting a Modified Version of Staff’s Information Requirements (Section VI)</w:t>
            </w:r>
            <w:r w:rsidR="00023800">
              <w:rPr>
                <w:noProof/>
                <w:webHidden/>
              </w:rPr>
              <w:tab/>
            </w:r>
            <w:r w:rsidR="00023800">
              <w:rPr>
                <w:noProof/>
                <w:webHidden/>
              </w:rPr>
              <w:fldChar w:fldCharType="begin"/>
            </w:r>
            <w:r w:rsidR="00023800">
              <w:rPr>
                <w:noProof/>
                <w:webHidden/>
              </w:rPr>
              <w:instrText xml:space="preserve"> PAGEREF _Toc120692867 \h </w:instrText>
            </w:r>
            <w:r w:rsidR="00023800">
              <w:rPr>
                <w:noProof/>
                <w:webHidden/>
              </w:rPr>
            </w:r>
            <w:r w:rsidR="00023800">
              <w:rPr>
                <w:noProof/>
                <w:webHidden/>
              </w:rPr>
              <w:fldChar w:fldCharType="separate"/>
            </w:r>
            <w:r w:rsidR="006A6BEB">
              <w:rPr>
                <w:noProof/>
                <w:webHidden/>
              </w:rPr>
              <w:t>70</w:t>
            </w:r>
            <w:r w:rsidR="00023800">
              <w:rPr>
                <w:noProof/>
                <w:webHidden/>
              </w:rPr>
              <w:fldChar w:fldCharType="end"/>
            </w:r>
          </w:hyperlink>
        </w:p>
        <w:p w:rsidR="00023800" w:rsidRDefault="00CA0F5C" w14:paraId="68050716" w14:textId="138AE7B0">
          <w:pPr>
            <w:pStyle w:val="TOC2"/>
            <w:tabs>
              <w:tab w:val="left" w:pos="1296"/>
              <w:tab w:val="right" w:leader="dot" w:pos="9350"/>
            </w:tabs>
            <w:rPr>
              <w:rFonts w:asciiTheme="minorHAnsi" w:hAnsiTheme="minorHAnsi" w:cstheme="minorBidi"/>
              <w:noProof/>
              <w:sz w:val="22"/>
            </w:rPr>
          </w:pPr>
          <w:hyperlink w:history="1" w:anchor="_Toc120692868">
            <w:r w:rsidRPr="00AB0A25" w:rsidR="00023800">
              <w:rPr>
                <w:rStyle w:val="Hyperlink"/>
                <w:noProof/>
              </w:rPr>
              <w:t>15.4</w:t>
            </w:r>
            <w:r w:rsidR="00023800">
              <w:rPr>
                <w:rFonts w:asciiTheme="minorHAnsi" w:hAnsiTheme="minorHAnsi" w:cstheme="minorBidi"/>
                <w:noProof/>
                <w:sz w:val="22"/>
              </w:rPr>
              <w:tab/>
            </w:r>
            <w:r w:rsidRPr="00AB0A25" w:rsidR="00023800">
              <w:rPr>
                <w:rStyle w:val="Hyperlink"/>
                <w:noProof/>
              </w:rPr>
              <w:t>Clarifying PEA Requirements  (Section VI(A)(12))</w:t>
            </w:r>
            <w:r w:rsidR="00023800">
              <w:rPr>
                <w:noProof/>
                <w:webHidden/>
              </w:rPr>
              <w:tab/>
            </w:r>
            <w:r w:rsidR="00023800">
              <w:rPr>
                <w:noProof/>
                <w:webHidden/>
              </w:rPr>
              <w:fldChar w:fldCharType="begin"/>
            </w:r>
            <w:r w:rsidR="00023800">
              <w:rPr>
                <w:noProof/>
                <w:webHidden/>
              </w:rPr>
              <w:instrText xml:space="preserve"> PAGEREF _Toc120692868 \h </w:instrText>
            </w:r>
            <w:r w:rsidR="00023800">
              <w:rPr>
                <w:noProof/>
                <w:webHidden/>
              </w:rPr>
            </w:r>
            <w:r w:rsidR="00023800">
              <w:rPr>
                <w:noProof/>
                <w:webHidden/>
              </w:rPr>
              <w:fldChar w:fldCharType="separate"/>
            </w:r>
            <w:r w:rsidR="006A6BEB">
              <w:rPr>
                <w:noProof/>
                <w:webHidden/>
              </w:rPr>
              <w:t>73</w:t>
            </w:r>
            <w:r w:rsidR="00023800">
              <w:rPr>
                <w:noProof/>
                <w:webHidden/>
              </w:rPr>
              <w:fldChar w:fldCharType="end"/>
            </w:r>
          </w:hyperlink>
        </w:p>
        <w:p w:rsidR="00023800" w:rsidRDefault="00CA0F5C" w14:paraId="23EDC3F1" w14:textId="045047F3">
          <w:pPr>
            <w:pStyle w:val="TOC1"/>
            <w:tabs>
              <w:tab w:val="right" w:leader="dot" w:pos="9350"/>
            </w:tabs>
            <w:rPr>
              <w:rFonts w:asciiTheme="minorHAnsi" w:hAnsiTheme="minorHAnsi" w:cstheme="minorBidi"/>
              <w:noProof/>
              <w:sz w:val="22"/>
            </w:rPr>
          </w:pPr>
          <w:hyperlink w:history="1" w:anchor="_Toc120692869">
            <w:r w:rsidRPr="00AB0A25" w:rsidR="00023800">
              <w:rPr>
                <w:rStyle w:val="Hyperlink"/>
                <w:noProof/>
              </w:rPr>
              <w:t>16.</w:t>
            </w:r>
            <w:r w:rsidR="00023800">
              <w:rPr>
                <w:rFonts w:asciiTheme="minorHAnsi" w:hAnsiTheme="minorHAnsi" w:cstheme="minorBidi"/>
                <w:noProof/>
                <w:sz w:val="22"/>
              </w:rPr>
              <w:tab/>
            </w:r>
            <w:r w:rsidRPr="00AB0A25" w:rsidR="00023800">
              <w:rPr>
                <w:rStyle w:val="Hyperlink"/>
                <w:noProof/>
              </w:rPr>
              <w:t>Reporting Requirements</w:t>
            </w:r>
            <w:r w:rsidR="00023800">
              <w:rPr>
                <w:noProof/>
                <w:webHidden/>
              </w:rPr>
              <w:tab/>
            </w:r>
            <w:r w:rsidR="00023800">
              <w:rPr>
                <w:noProof/>
                <w:webHidden/>
              </w:rPr>
              <w:fldChar w:fldCharType="begin"/>
            </w:r>
            <w:r w:rsidR="00023800">
              <w:rPr>
                <w:noProof/>
                <w:webHidden/>
              </w:rPr>
              <w:instrText xml:space="preserve"> PAGEREF _Toc120692869 \h </w:instrText>
            </w:r>
            <w:r w:rsidR="00023800">
              <w:rPr>
                <w:noProof/>
                <w:webHidden/>
              </w:rPr>
            </w:r>
            <w:r w:rsidR="00023800">
              <w:rPr>
                <w:noProof/>
                <w:webHidden/>
              </w:rPr>
              <w:fldChar w:fldCharType="separate"/>
            </w:r>
            <w:r w:rsidR="006A6BEB">
              <w:rPr>
                <w:noProof/>
                <w:webHidden/>
              </w:rPr>
              <w:t>74</w:t>
            </w:r>
            <w:r w:rsidR="00023800">
              <w:rPr>
                <w:noProof/>
                <w:webHidden/>
              </w:rPr>
              <w:fldChar w:fldCharType="end"/>
            </w:r>
          </w:hyperlink>
        </w:p>
        <w:p w:rsidR="00023800" w:rsidRDefault="00CA0F5C" w14:paraId="7382AC12" w14:textId="65D93042">
          <w:pPr>
            <w:pStyle w:val="TOC2"/>
            <w:tabs>
              <w:tab w:val="left" w:pos="1296"/>
              <w:tab w:val="right" w:leader="dot" w:pos="9350"/>
            </w:tabs>
            <w:rPr>
              <w:rFonts w:asciiTheme="minorHAnsi" w:hAnsiTheme="minorHAnsi" w:cstheme="minorBidi"/>
              <w:noProof/>
              <w:sz w:val="22"/>
            </w:rPr>
          </w:pPr>
          <w:hyperlink w:history="1" w:anchor="_Toc120692870">
            <w:r w:rsidRPr="00AB0A25" w:rsidR="00023800">
              <w:rPr>
                <w:rStyle w:val="Hyperlink"/>
                <w:noProof/>
              </w:rPr>
              <w:t>16.1.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_Toc120692870 \h </w:instrText>
            </w:r>
            <w:r w:rsidR="00023800">
              <w:rPr>
                <w:noProof/>
                <w:webHidden/>
              </w:rPr>
            </w:r>
            <w:r w:rsidR="00023800">
              <w:rPr>
                <w:noProof/>
                <w:webHidden/>
              </w:rPr>
              <w:fldChar w:fldCharType="separate"/>
            </w:r>
            <w:r w:rsidR="006A6BEB">
              <w:rPr>
                <w:noProof/>
                <w:webHidden/>
              </w:rPr>
              <w:t>74</w:t>
            </w:r>
            <w:r w:rsidR="00023800">
              <w:rPr>
                <w:noProof/>
                <w:webHidden/>
              </w:rPr>
              <w:fldChar w:fldCharType="end"/>
            </w:r>
          </w:hyperlink>
        </w:p>
        <w:p w:rsidR="00023800" w:rsidRDefault="00CA0F5C" w14:paraId="77101F3A" w14:textId="766A2EF1">
          <w:pPr>
            <w:pStyle w:val="TOC2"/>
            <w:tabs>
              <w:tab w:val="left" w:pos="1296"/>
              <w:tab w:val="right" w:leader="dot" w:pos="9350"/>
            </w:tabs>
            <w:rPr>
              <w:rFonts w:asciiTheme="minorHAnsi" w:hAnsiTheme="minorHAnsi" w:cstheme="minorBidi"/>
              <w:noProof/>
              <w:sz w:val="22"/>
            </w:rPr>
          </w:pPr>
          <w:hyperlink w:history="1" w:anchor="_Toc120692871">
            <w:r w:rsidRPr="00AB0A25" w:rsidR="00023800">
              <w:rPr>
                <w:rStyle w:val="Hyperlink"/>
                <w:noProof/>
              </w:rPr>
              <w:t>16.2.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_Toc120692871 \h </w:instrText>
            </w:r>
            <w:r w:rsidR="00023800">
              <w:rPr>
                <w:noProof/>
                <w:webHidden/>
              </w:rPr>
            </w:r>
            <w:r w:rsidR="00023800">
              <w:rPr>
                <w:noProof/>
                <w:webHidden/>
              </w:rPr>
              <w:fldChar w:fldCharType="separate"/>
            </w:r>
            <w:r w:rsidR="006A6BEB">
              <w:rPr>
                <w:noProof/>
                <w:webHidden/>
              </w:rPr>
              <w:t>75</w:t>
            </w:r>
            <w:r w:rsidR="00023800">
              <w:rPr>
                <w:noProof/>
                <w:webHidden/>
              </w:rPr>
              <w:fldChar w:fldCharType="end"/>
            </w:r>
          </w:hyperlink>
        </w:p>
        <w:p w:rsidR="00023800" w:rsidRDefault="00CA0F5C" w14:paraId="408AFB77" w14:textId="76080068">
          <w:pPr>
            <w:pStyle w:val="TOC2"/>
            <w:tabs>
              <w:tab w:val="left" w:pos="1296"/>
              <w:tab w:val="right" w:leader="dot" w:pos="9350"/>
            </w:tabs>
            <w:rPr>
              <w:rFonts w:asciiTheme="minorHAnsi" w:hAnsiTheme="minorHAnsi" w:cstheme="minorBidi"/>
              <w:noProof/>
              <w:sz w:val="22"/>
            </w:rPr>
          </w:pPr>
          <w:hyperlink w:history="1" w:anchor="_Toc120692872">
            <w:r w:rsidRPr="00AB0A25" w:rsidR="00023800">
              <w:rPr>
                <w:rStyle w:val="Hyperlink"/>
                <w:noProof/>
              </w:rPr>
              <w:t>16.3.</w:t>
            </w:r>
            <w:r w:rsidR="00023800">
              <w:rPr>
                <w:rFonts w:asciiTheme="minorHAnsi" w:hAnsiTheme="minorHAnsi" w:cstheme="minorBidi"/>
                <w:noProof/>
                <w:sz w:val="22"/>
              </w:rPr>
              <w:tab/>
            </w:r>
            <w:r w:rsidRPr="00AB0A25" w:rsidR="00023800">
              <w:rPr>
                <w:rStyle w:val="Hyperlink"/>
                <w:noProof/>
              </w:rPr>
              <w:t>Adopting a Modified Version of  Staff’s Proposed Reporting  Requirements (Section X)</w:t>
            </w:r>
            <w:r w:rsidR="00023800">
              <w:rPr>
                <w:noProof/>
                <w:webHidden/>
              </w:rPr>
              <w:tab/>
            </w:r>
            <w:r w:rsidR="00023800">
              <w:rPr>
                <w:noProof/>
                <w:webHidden/>
              </w:rPr>
              <w:fldChar w:fldCharType="begin"/>
            </w:r>
            <w:r w:rsidR="00023800">
              <w:rPr>
                <w:noProof/>
                <w:webHidden/>
              </w:rPr>
              <w:instrText xml:space="preserve"> PAGEREF _Toc120692872 \h </w:instrText>
            </w:r>
            <w:r w:rsidR="00023800">
              <w:rPr>
                <w:noProof/>
                <w:webHidden/>
              </w:rPr>
            </w:r>
            <w:r w:rsidR="00023800">
              <w:rPr>
                <w:noProof/>
                <w:webHidden/>
              </w:rPr>
              <w:fldChar w:fldCharType="separate"/>
            </w:r>
            <w:r w:rsidR="006A6BEB">
              <w:rPr>
                <w:noProof/>
                <w:webHidden/>
              </w:rPr>
              <w:t>78</w:t>
            </w:r>
            <w:r w:rsidR="00023800">
              <w:rPr>
                <w:noProof/>
                <w:webHidden/>
              </w:rPr>
              <w:fldChar w:fldCharType="end"/>
            </w:r>
          </w:hyperlink>
        </w:p>
        <w:p w:rsidR="00023800" w:rsidRDefault="00CA0F5C" w14:paraId="2EDDE6C3" w14:textId="44A1F166">
          <w:pPr>
            <w:pStyle w:val="TOC1"/>
            <w:tabs>
              <w:tab w:val="right" w:leader="dot" w:pos="9350"/>
            </w:tabs>
            <w:rPr>
              <w:rFonts w:asciiTheme="minorHAnsi" w:hAnsiTheme="minorHAnsi" w:cstheme="minorBidi"/>
              <w:noProof/>
              <w:sz w:val="22"/>
            </w:rPr>
          </w:pPr>
          <w:hyperlink w:history="1" w:anchor="_Toc120692873">
            <w:r w:rsidRPr="00AB0A25" w:rsidR="00023800">
              <w:rPr>
                <w:rStyle w:val="Hyperlink"/>
                <w:noProof/>
              </w:rPr>
              <w:t>17.</w:t>
            </w:r>
            <w:r w:rsidR="00023800">
              <w:rPr>
                <w:rFonts w:asciiTheme="minorHAnsi" w:hAnsiTheme="minorHAnsi" w:cstheme="minorBidi"/>
                <w:noProof/>
                <w:sz w:val="22"/>
              </w:rPr>
              <w:tab/>
            </w:r>
            <w:r w:rsidRPr="00AB0A25" w:rsidR="00023800">
              <w:rPr>
                <w:rStyle w:val="Hyperlink"/>
                <w:noProof/>
              </w:rPr>
              <w:t>Definitions</w:t>
            </w:r>
            <w:r w:rsidR="00023800">
              <w:rPr>
                <w:noProof/>
                <w:webHidden/>
              </w:rPr>
              <w:tab/>
            </w:r>
            <w:r w:rsidR="00023800">
              <w:rPr>
                <w:noProof/>
                <w:webHidden/>
              </w:rPr>
              <w:fldChar w:fldCharType="begin"/>
            </w:r>
            <w:r w:rsidR="00023800">
              <w:rPr>
                <w:noProof/>
                <w:webHidden/>
              </w:rPr>
              <w:instrText xml:space="preserve"> PAGEREF _Toc120692873 \h </w:instrText>
            </w:r>
            <w:r w:rsidR="00023800">
              <w:rPr>
                <w:noProof/>
                <w:webHidden/>
              </w:rPr>
            </w:r>
            <w:r w:rsidR="00023800">
              <w:rPr>
                <w:noProof/>
                <w:webHidden/>
              </w:rPr>
              <w:fldChar w:fldCharType="separate"/>
            </w:r>
            <w:r w:rsidR="006A6BEB">
              <w:rPr>
                <w:noProof/>
                <w:webHidden/>
              </w:rPr>
              <w:t>83</w:t>
            </w:r>
            <w:r w:rsidR="00023800">
              <w:rPr>
                <w:noProof/>
                <w:webHidden/>
              </w:rPr>
              <w:fldChar w:fldCharType="end"/>
            </w:r>
          </w:hyperlink>
        </w:p>
        <w:p w:rsidR="00023800" w:rsidRDefault="00CA0F5C" w14:paraId="11EA9B36" w14:textId="616462EC">
          <w:pPr>
            <w:pStyle w:val="TOC2"/>
            <w:tabs>
              <w:tab w:val="left" w:pos="1296"/>
              <w:tab w:val="right" w:leader="dot" w:pos="9350"/>
            </w:tabs>
            <w:rPr>
              <w:rFonts w:asciiTheme="minorHAnsi" w:hAnsiTheme="minorHAnsi" w:cstheme="minorBidi"/>
              <w:noProof/>
              <w:sz w:val="22"/>
            </w:rPr>
          </w:pPr>
          <w:hyperlink w:history="1" w:anchor="_Toc120692874">
            <w:r w:rsidRPr="00AB0A25" w:rsidR="00023800">
              <w:rPr>
                <w:rStyle w:val="Hyperlink"/>
                <w:noProof/>
              </w:rPr>
              <w:t>17.1.</w:t>
            </w:r>
            <w:r w:rsidR="00023800">
              <w:rPr>
                <w:rFonts w:asciiTheme="minorHAnsi" w:hAnsiTheme="minorHAnsi" w:cstheme="minorBidi"/>
                <w:noProof/>
                <w:sz w:val="22"/>
              </w:rPr>
              <w:tab/>
            </w:r>
            <w:r w:rsidRPr="00AB0A25" w:rsidR="00023800">
              <w:rPr>
                <w:rStyle w:val="Hyperlink"/>
                <w:noProof/>
              </w:rPr>
              <w:t>Staff Proposal</w:t>
            </w:r>
            <w:r w:rsidR="00023800">
              <w:rPr>
                <w:noProof/>
                <w:webHidden/>
              </w:rPr>
              <w:tab/>
            </w:r>
            <w:r w:rsidR="00023800">
              <w:rPr>
                <w:noProof/>
                <w:webHidden/>
              </w:rPr>
              <w:fldChar w:fldCharType="begin"/>
            </w:r>
            <w:r w:rsidR="00023800">
              <w:rPr>
                <w:noProof/>
                <w:webHidden/>
              </w:rPr>
              <w:instrText xml:space="preserve"> PAGEREF _Toc120692874 \h </w:instrText>
            </w:r>
            <w:r w:rsidR="00023800">
              <w:rPr>
                <w:noProof/>
                <w:webHidden/>
              </w:rPr>
            </w:r>
            <w:r w:rsidR="00023800">
              <w:rPr>
                <w:noProof/>
                <w:webHidden/>
              </w:rPr>
              <w:fldChar w:fldCharType="separate"/>
            </w:r>
            <w:r w:rsidR="006A6BEB">
              <w:rPr>
                <w:noProof/>
                <w:webHidden/>
              </w:rPr>
              <w:t>83</w:t>
            </w:r>
            <w:r w:rsidR="00023800">
              <w:rPr>
                <w:noProof/>
                <w:webHidden/>
              </w:rPr>
              <w:fldChar w:fldCharType="end"/>
            </w:r>
          </w:hyperlink>
        </w:p>
        <w:p w:rsidR="00023800" w:rsidRDefault="00CA0F5C" w14:paraId="70512E52" w14:textId="5ACCEE98">
          <w:pPr>
            <w:pStyle w:val="TOC2"/>
            <w:tabs>
              <w:tab w:val="left" w:pos="1296"/>
              <w:tab w:val="right" w:leader="dot" w:pos="9350"/>
            </w:tabs>
            <w:rPr>
              <w:rFonts w:asciiTheme="minorHAnsi" w:hAnsiTheme="minorHAnsi" w:cstheme="minorBidi"/>
              <w:noProof/>
              <w:sz w:val="22"/>
            </w:rPr>
          </w:pPr>
          <w:hyperlink w:history="1" w:anchor="_Toc120692875">
            <w:r w:rsidRPr="00AB0A25" w:rsidR="00023800">
              <w:rPr>
                <w:rStyle w:val="Hyperlink"/>
                <w:noProof/>
              </w:rPr>
              <w:t>17.2.</w:t>
            </w:r>
            <w:r w:rsidR="00023800">
              <w:rPr>
                <w:rFonts w:asciiTheme="minorHAnsi" w:hAnsiTheme="minorHAnsi" w:cstheme="minorBidi"/>
                <w:noProof/>
                <w:sz w:val="22"/>
              </w:rPr>
              <w:tab/>
            </w:r>
            <w:r w:rsidRPr="00AB0A25" w:rsidR="00023800">
              <w:rPr>
                <w:rStyle w:val="Hyperlink"/>
                <w:noProof/>
              </w:rPr>
              <w:t>Party Comments</w:t>
            </w:r>
            <w:r w:rsidR="00023800">
              <w:rPr>
                <w:noProof/>
                <w:webHidden/>
              </w:rPr>
              <w:tab/>
            </w:r>
            <w:r w:rsidR="00023800">
              <w:rPr>
                <w:noProof/>
                <w:webHidden/>
              </w:rPr>
              <w:fldChar w:fldCharType="begin"/>
            </w:r>
            <w:r w:rsidR="00023800">
              <w:rPr>
                <w:noProof/>
                <w:webHidden/>
              </w:rPr>
              <w:instrText xml:space="preserve"> PAGEREF _Toc120692875 \h </w:instrText>
            </w:r>
            <w:r w:rsidR="00023800">
              <w:rPr>
                <w:noProof/>
                <w:webHidden/>
              </w:rPr>
            </w:r>
            <w:r w:rsidR="00023800">
              <w:rPr>
                <w:noProof/>
                <w:webHidden/>
              </w:rPr>
              <w:fldChar w:fldCharType="separate"/>
            </w:r>
            <w:r w:rsidR="006A6BEB">
              <w:rPr>
                <w:noProof/>
                <w:webHidden/>
              </w:rPr>
              <w:t>83</w:t>
            </w:r>
            <w:r w:rsidR="00023800">
              <w:rPr>
                <w:noProof/>
                <w:webHidden/>
              </w:rPr>
              <w:fldChar w:fldCharType="end"/>
            </w:r>
          </w:hyperlink>
        </w:p>
        <w:p w:rsidR="00023800" w:rsidRDefault="00CA0F5C" w14:paraId="756AF978" w14:textId="68F69275">
          <w:pPr>
            <w:pStyle w:val="TOC2"/>
            <w:tabs>
              <w:tab w:val="left" w:pos="1296"/>
              <w:tab w:val="right" w:leader="dot" w:pos="9350"/>
            </w:tabs>
            <w:rPr>
              <w:rFonts w:asciiTheme="minorHAnsi" w:hAnsiTheme="minorHAnsi" w:cstheme="minorBidi"/>
              <w:noProof/>
              <w:sz w:val="22"/>
            </w:rPr>
          </w:pPr>
          <w:hyperlink w:history="1" w:anchor="_Toc120692876">
            <w:r w:rsidRPr="00AB0A25" w:rsidR="00023800">
              <w:rPr>
                <w:rStyle w:val="Hyperlink"/>
                <w:noProof/>
              </w:rPr>
              <w:t>17.3.</w:t>
            </w:r>
            <w:r w:rsidR="00023800">
              <w:rPr>
                <w:rFonts w:asciiTheme="minorHAnsi" w:hAnsiTheme="minorHAnsi" w:cstheme="minorBidi"/>
                <w:noProof/>
                <w:sz w:val="22"/>
              </w:rPr>
              <w:tab/>
            </w:r>
            <w:r w:rsidRPr="00AB0A25" w:rsidR="00023800">
              <w:rPr>
                <w:rStyle w:val="Hyperlink"/>
                <w:noProof/>
              </w:rPr>
              <w:t>Adopting Modified Versions of  Staff’s Proposed Definitions (Section III)</w:t>
            </w:r>
            <w:r w:rsidR="00023800">
              <w:rPr>
                <w:noProof/>
                <w:webHidden/>
              </w:rPr>
              <w:tab/>
            </w:r>
            <w:r w:rsidR="00023800">
              <w:rPr>
                <w:noProof/>
                <w:webHidden/>
              </w:rPr>
              <w:fldChar w:fldCharType="begin"/>
            </w:r>
            <w:r w:rsidR="00023800">
              <w:rPr>
                <w:noProof/>
                <w:webHidden/>
              </w:rPr>
              <w:instrText xml:space="preserve"> PAGEREF _Toc120692876 \h </w:instrText>
            </w:r>
            <w:r w:rsidR="00023800">
              <w:rPr>
                <w:noProof/>
                <w:webHidden/>
              </w:rPr>
            </w:r>
            <w:r w:rsidR="00023800">
              <w:rPr>
                <w:noProof/>
                <w:webHidden/>
              </w:rPr>
              <w:fldChar w:fldCharType="separate"/>
            </w:r>
            <w:r w:rsidR="006A6BEB">
              <w:rPr>
                <w:noProof/>
                <w:webHidden/>
              </w:rPr>
              <w:t>84</w:t>
            </w:r>
            <w:r w:rsidR="00023800">
              <w:rPr>
                <w:noProof/>
                <w:webHidden/>
              </w:rPr>
              <w:fldChar w:fldCharType="end"/>
            </w:r>
          </w:hyperlink>
        </w:p>
        <w:p w:rsidR="00023800" w:rsidRDefault="00CA0F5C" w14:paraId="23F17033" w14:textId="5A8523F6">
          <w:pPr>
            <w:pStyle w:val="TOC1"/>
            <w:tabs>
              <w:tab w:val="right" w:leader="dot" w:pos="9350"/>
            </w:tabs>
            <w:rPr>
              <w:rFonts w:asciiTheme="minorHAnsi" w:hAnsiTheme="minorHAnsi" w:cstheme="minorBidi"/>
              <w:noProof/>
              <w:sz w:val="22"/>
            </w:rPr>
          </w:pPr>
          <w:hyperlink w:history="1" w:anchor="_Toc120692877">
            <w:r w:rsidRPr="00AB0A25" w:rsidR="00023800">
              <w:rPr>
                <w:rStyle w:val="Hyperlink"/>
                <w:noProof/>
              </w:rPr>
              <w:t>18.</w:t>
            </w:r>
            <w:r w:rsidR="00023800">
              <w:rPr>
                <w:rFonts w:asciiTheme="minorHAnsi" w:hAnsiTheme="minorHAnsi" w:cstheme="minorBidi"/>
                <w:noProof/>
                <w:sz w:val="22"/>
              </w:rPr>
              <w:tab/>
            </w:r>
            <w:r w:rsidRPr="00AB0A25" w:rsidR="00023800">
              <w:rPr>
                <w:rStyle w:val="Hyperlink"/>
                <w:noProof/>
              </w:rPr>
              <w:t>Adopting All Other GO Sections as Proposed by Staff or With Minor Modifications</w:t>
            </w:r>
            <w:r w:rsidR="00023800">
              <w:rPr>
                <w:noProof/>
                <w:webHidden/>
              </w:rPr>
              <w:tab/>
            </w:r>
            <w:r w:rsidR="00023800">
              <w:rPr>
                <w:noProof/>
                <w:webHidden/>
              </w:rPr>
              <w:fldChar w:fldCharType="begin"/>
            </w:r>
            <w:r w:rsidR="00023800">
              <w:rPr>
                <w:noProof/>
                <w:webHidden/>
              </w:rPr>
              <w:instrText xml:space="preserve"> PAGEREF _Toc120692877 \h </w:instrText>
            </w:r>
            <w:r w:rsidR="00023800">
              <w:rPr>
                <w:noProof/>
                <w:webHidden/>
              </w:rPr>
            </w:r>
            <w:r w:rsidR="00023800">
              <w:rPr>
                <w:noProof/>
                <w:webHidden/>
              </w:rPr>
              <w:fldChar w:fldCharType="separate"/>
            </w:r>
            <w:r w:rsidR="006A6BEB">
              <w:rPr>
                <w:noProof/>
                <w:webHidden/>
              </w:rPr>
              <w:t>86</w:t>
            </w:r>
            <w:r w:rsidR="00023800">
              <w:rPr>
                <w:noProof/>
                <w:webHidden/>
              </w:rPr>
              <w:fldChar w:fldCharType="end"/>
            </w:r>
          </w:hyperlink>
        </w:p>
        <w:p w:rsidR="00023800" w:rsidRDefault="00CA0F5C" w14:paraId="006A14E5" w14:textId="57127FE9">
          <w:pPr>
            <w:pStyle w:val="TOC1"/>
            <w:tabs>
              <w:tab w:val="right" w:leader="dot" w:pos="9350"/>
            </w:tabs>
            <w:rPr>
              <w:rFonts w:asciiTheme="minorHAnsi" w:hAnsiTheme="minorHAnsi" w:cstheme="minorBidi"/>
              <w:noProof/>
              <w:sz w:val="22"/>
            </w:rPr>
          </w:pPr>
          <w:hyperlink w:history="1" w:anchor="_Toc120692878">
            <w:r w:rsidRPr="00AB0A25" w:rsidR="00023800">
              <w:rPr>
                <w:rStyle w:val="Hyperlink"/>
                <w:noProof/>
              </w:rPr>
              <w:t>19.</w:t>
            </w:r>
            <w:r w:rsidR="00023800">
              <w:rPr>
                <w:rFonts w:asciiTheme="minorHAnsi" w:hAnsiTheme="minorHAnsi" w:cstheme="minorBidi"/>
                <w:noProof/>
                <w:sz w:val="22"/>
              </w:rPr>
              <w:tab/>
            </w:r>
            <w:r w:rsidRPr="00AB0A25" w:rsidR="00023800">
              <w:rPr>
                <w:rStyle w:val="Hyperlink"/>
                <w:noProof/>
              </w:rPr>
              <w:t>Comments on Proposed Decision</w:t>
            </w:r>
            <w:r w:rsidR="00023800">
              <w:rPr>
                <w:noProof/>
                <w:webHidden/>
              </w:rPr>
              <w:tab/>
            </w:r>
            <w:r w:rsidR="00023800">
              <w:rPr>
                <w:noProof/>
                <w:webHidden/>
              </w:rPr>
              <w:fldChar w:fldCharType="begin"/>
            </w:r>
            <w:r w:rsidR="00023800">
              <w:rPr>
                <w:noProof/>
                <w:webHidden/>
              </w:rPr>
              <w:instrText xml:space="preserve"> PAGEREF _Toc120692878 \h </w:instrText>
            </w:r>
            <w:r w:rsidR="00023800">
              <w:rPr>
                <w:noProof/>
                <w:webHidden/>
              </w:rPr>
            </w:r>
            <w:r w:rsidR="00023800">
              <w:rPr>
                <w:noProof/>
                <w:webHidden/>
              </w:rPr>
              <w:fldChar w:fldCharType="separate"/>
            </w:r>
            <w:r w:rsidR="006A6BEB">
              <w:rPr>
                <w:noProof/>
                <w:webHidden/>
              </w:rPr>
              <w:t>87</w:t>
            </w:r>
            <w:r w:rsidR="00023800">
              <w:rPr>
                <w:noProof/>
                <w:webHidden/>
              </w:rPr>
              <w:fldChar w:fldCharType="end"/>
            </w:r>
          </w:hyperlink>
        </w:p>
        <w:p w:rsidR="00023800" w:rsidRDefault="00CA0F5C" w14:paraId="00B049CC" w14:textId="57A3DFAF">
          <w:pPr>
            <w:pStyle w:val="TOC1"/>
            <w:tabs>
              <w:tab w:val="right" w:leader="dot" w:pos="9350"/>
            </w:tabs>
            <w:rPr>
              <w:rFonts w:asciiTheme="minorHAnsi" w:hAnsiTheme="minorHAnsi" w:cstheme="minorBidi"/>
              <w:noProof/>
              <w:sz w:val="22"/>
            </w:rPr>
          </w:pPr>
          <w:hyperlink w:history="1" w:anchor="_Toc120692879">
            <w:r w:rsidRPr="00AB0A25" w:rsidR="00023800">
              <w:rPr>
                <w:rStyle w:val="Hyperlink"/>
                <w:noProof/>
              </w:rPr>
              <w:t>20.</w:t>
            </w:r>
            <w:r w:rsidR="00023800">
              <w:rPr>
                <w:rFonts w:asciiTheme="minorHAnsi" w:hAnsiTheme="minorHAnsi" w:cstheme="minorBidi"/>
                <w:noProof/>
                <w:sz w:val="22"/>
              </w:rPr>
              <w:tab/>
            </w:r>
            <w:r w:rsidRPr="00AB0A25" w:rsidR="00023800">
              <w:rPr>
                <w:rStyle w:val="Hyperlink"/>
                <w:noProof/>
              </w:rPr>
              <w:t>Assignment of Proceeding</w:t>
            </w:r>
            <w:r w:rsidR="00023800">
              <w:rPr>
                <w:noProof/>
                <w:webHidden/>
              </w:rPr>
              <w:tab/>
            </w:r>
            <w:r w:rsidR="00023800">
              <w:rPr>
                <w:noProof/>
                <w:webHidden/>
              </w:rPr>
              <w:fldChar w:fldCharType="begin"/>
            </w:r>
            <w:r w:rsidR="00023800">
              <w:rPr>
                <w:noProof/>
                <w:webHidden/>
              </w:rPr>
              <w:instrText xml:space="preserve"> PAGEREF _Toc120692879 \h </w:instrText>
            </w:r>
            <w:r w:rsidR="00023800">
              <w:rPr>
                <w:noProof/>
                <w:webHidden/>
              </w:rPr>
            </w:r>
            <w:r w:rsidR="00023800">
              <w:rPr>
                <w:noProof/>
                <w:webHidden/>
              </w:rPr>
              <w:fldChar w:fldCharType="separate"/>
            </w:r>
            <w:r w:rsidR="006A6BEB">
              <w:rPr>
                <w:noProof/>
                <w:webHidden/>
              </w:rPr>
              <w:t>87</w:t>
            </w:r>
            <w:r w:rsidR="00023800">
              <w:rPr>
                <w:noProof/>
                <w:webHidden/>
              </w:rPr>
              <w:fldChar w:fldCharType="end"/>
            </w:r>
          </w:hyperlink>
        </w:p>
        <w:p w:rsidR="00023800" w:rsidRDefault="00CA0F5C" w14:paraId="060BB7DC" w14:textId="74D78ADD">
          <w:pPr>
            <w:pStyle w:val="TOC1"/>
            <w:tabs>
              <w:tab w:val="right" w:leader="dot" w:pos="9350"/>
            </w:tabs>
            <w:rPr>
              <w:rFonts w:asciiTheme="minorHAnsi" w:hAnsiTheme="minorHAnsi" w:cstheme="minorBidi"/>
              <w:noProof/>
              <w:sz w:val="22"/>
            </w:rPr>
          </w:pPr>
          <w:hyperlink w:history="1" w:anchor="_Toc120692880">
            <w:r w:rsidRPr="00AB0A25" w:rsidR="00023800">
              <w:rPr>
                <w:rStyle w:val="Hyperlink"/>
                <w:noProof/>
              </w:rPr>
              <w:t>Findings of Fact</w:t>
            </w:r>
            <w:r w:rsidR="00023800">
              <w:rPr>
                <w:noProof/>
                <w:webHidden/>
              </w:rPr>
              <w:tab/>
            </w:r>
            <w:r w:rsidR="00023800">
              <w:rPr>
                <w:noProof/>
                <w:webHidden/>
              </w:rPr>
              <w:fldChar w:fldCharType="begin"/>
            </w:r>
            <w:r w:rsidR="00023800">
              <w:rPr>
                <w:noProof/>
                <w:webHidden/>
              </w:rPr>
              <w:instrText xml:space="preserve"> PAGEREF _Toc120692880 \h </w:instrText>
            </w:r>
            <w:r w:rsidR="00023800">
              <w:rPr>
                <w:noProof/>
                <w:webHidden/>
              </w:rPr>
            </w:r>
            <w:r w:rsidR="00023800">
              <w:rPr>
                <w:noProof/>
                <w:webHidden/>
              </w:rPr>
              <w:fldChar w:fldCharType="separate"/>
            </w:r>
            <w:r w:rsidR="006A6BEB">
              <w:rPr>
                <w:noProof/>
                <w:webHidden/>
              </w:rPr>
              <w:t>87</w:t>
            </w:r>
            <w:r w:rsidR="00023800">
              <w:rPr>
                <w:noProof/>
                <w:webHidden/>
              </w:rPr>
              <w:fldChar w:fldCharType="end"/>
            </w:r>
          </w:hyperlink>
        </w:p>
        <w:p w:rsidR="00023800" w:rsidRDefault="00CA0F5C" w14:paraId="0A991A00" w14:textId="239AB963">
          <w:pPr>
            <w:pStyle w:val="TOC1"/>
            <w:tabs>
              <w:tab w:val="right" w:leader="dot" w:pos="9350"/>
            </w:tabs>
            <w:rPr>
              <w:rFonts w:asciiTheme="minorHAnsi" w:hAnsiTheme="minorHAnsi" w:cstheme="minorBidi"/>
              <w:noProof/>
              <w:sz w:val="22"/>
            </w:rPr>
          </w:pPr>
          <w:hyperlink w:history="1" w:anchor="_Toc120692881">
            <w:r w:rsidRPr="00AB0A25" w:rsidR="00023800">
              <w:rPr>
                <w:rStyle w:val="Hyperlink"/>
                <w:noProof/>
              </w:rPr>
              <w:t>Conclusions of Law</w:t>
            </w:r>
            <w:r w:rsidR="00023800">
              <w:rPr>
                <w:noProof/>
                <w:webHidden/>
              </w:rPr>
              <w:tab/>
            </w:r>
            <w:r w:rsidR="00023800">
              <w:rPr>
                <w:noProof/>
                <w:webHidden/>
              </w:rPr>
              <w:fldChar w:fldCharType="begin"/>
            </w:r>
            <w:r w:rsidR="00023800">
              <w:rPr>
                <w:noProof/>
                <w:webHidden/>
              </w:rPr>
              <w:instrText xml:space="preserve"> PAGEREF _Toc120692881 \h </w:instrText>
            </w:r>
            <w:r w:rsidR="00023800">
              <w:rPr>
                <w:noProof/>
                <w:webHidden/>
              </w:rPr>
            </w:r>
            <w:r w:rsidR="00023800">
              <w:rPr>
                <w:noProof/>
                <w:webHidden/>
              </w:rPr>
              <w:fldChar w:fldCharType="separate"/>
            </w:r>
            <w:r w:rsidR="006A6BEB">
              <w:rPr>
                <w:noProof/>
                <w:webHidden/>
              </w:rPr>
              <w:t>95</w:t>
            </w:r>
            <w:r w:rsidR="00023800">
              <w:rPr>
                <w:noProof/>
                <w:webHidden/>
              </w:rPr>
              <w:fldChar w:fldCharType="end"/>
            </w:r>
          </w:hyperlink>
        </w:p>
        <w:p w:rsidR="00023800" w:rsidRDefault="00CA0F5C" w14:paraId="2E871723" w14:textId="45BD6A96">
          <w:pPr>
            <w:pStyle w:val="TOC1"/>
            <w:tabs>
              <w:tab w:val="right" w:leader="dot" w:pos="9350"/>
            </w:tabs>
            <w:rPr>
              <w:rFonts w:asciiTheme="minorHAnsi" w:hAnsiTheme="minorHAnsi" w:cstheme="minorBidi"/>
              <w:noProof/>
              <w:sz w:val="22"/>
            </w:rPr>
          </w:pPr>
          <w:hyperlink w:history="1" w:anchor="_Toc120692882">
            <w:r w:rsidRPr="00AB0A25" w:rsidR="00023800">
              <w:rPr>
                <w:rStyle w:val="Hyperlink"/>
                <w:noProof/>
              </w:rPr>
              <w:t>ORDER</w:t>
            </w:r>
            <w:r w:rsidR="00023800">
              <w:rPr>
                <w:noProof/>
                <w:webHidden/>
              </w:rPr>
              <w:tab/>
            </w:r>
            <w:r w:rsidR="00023800">
              <w:rPr>
                <w:noProof/>
                <w:webHidden/>
              </w:rPr>
              <w:fldChar w:fldCharType="begin"/>
            </w:r>
            <w:r w:rsidR="00023800">
              <w:rPr>
                <w:noProof/>
                <w:webHidden/>
              </w:rPr>
              <w:instrText xml:space="preserve"> PAGEREF _Toc120692882 \h </w:instrText>
            </w:r>
            <w:r w:rsidR="00023800">
              <w:rPr>
                <w:noProof/>
                <w:webHidden/>
              </w:rPr>
            </w:r>
            <w:r w:rsidR="00023800">
              <w:rPr>
                <w:noProof/>
                <w:webHidden/>
              </w:rPr>
              <w:fldChar w:fldCharType="separate"/>
            </w:r>
            <w:r w:rsidR="006A6BEB">
              <w:rPr>
                <w:noProof/>
                <w:webHidden/>
              </w:rPr>
              <w:t>99</w:t>
            </w:r>
            <w:r w:rsidR="00023800">
              <w:rPr>
                <w:noProof/>
                <w:webHidden/>
              </w:rPr>
              <w:fldChar w:fldCharType="end"/>
            </w:r>
          </w:hyperlink>
        </w:p>
        <w:p w:rsidRPr="008B1AF1" w:rsidR="00D82A43" w:rsidP="008C7413" w:rsidRDefault="008C7413" w14:paraId="04C22229" w14:textId="0F8F6FBF">
          <w:pPr>
            <w:pStyle w:val="TOC1"/>
            <w:tabs>
              <w:tab w:val="right" w:leader="dot" w:pos="9350"/>
            </w:tabs>
            <w:rPr>
              <w:szCs w:val="26"/>
            </w:rPr>
          </w:pPr>
          <w:r>
            <w:rPr>
              <w:rFonts w:asciiTheme="minorHAnsi" w:hAnsiTheme="minorHAnsi"/>
              <w:sz w:val="22"/>
            </w:rPr>
            <w:fldChar w:fldCharType="end"/>
          </w:r>
          <w:r w:rsidRPr="008B1AF1" w:rsidR="008B1AF1">
            <w:rPr>
              <w:szCs w:val="26"/>
            </w:rPr>
            <w:t>APPENDIX A</w:t>
          </w:r>
        </w:p>
      </w:sdtContent>
    </w:sdt>
    <w:p w:rsidR="00D44DB6" w:rsidP="00D44DB6" w:rsidRDefault="00D44DB6" w14:paraId="2CC006E1" w14:textId="77777777">
      <w:pPr>
        <w:spacing w:line="240" w:lineRule="auto"/>
        <w:ind w:firstLine="0"/>
        <w:rPr>
          <w:rFonts w:cs="Arial"/>
          <w:i/>
          <w:szCs w:val="26"/>
        </w:rPr>
      </w:pPr>
    </w:p>
    <w:p w:rsidRPr="00D44DB6" w:rsidR="008B1AF1" w:rsidP="00D44DB6" w:rsidRDefault="008B1AF1" w14:paraId="378EED0C" w14:textId="6011FA66">
      <w:pPr>
        <w:spacing w:line="240" w:lineRule="auto"/>
        <w:ind w:firstLine="0"/>
        <w:rPr>
          <w:rFonts w:cs="Arial"/>
          <w:i/>
          <w:szCs w:val="26"/>
        </w:rPr>
        <w:sectPr w:rsidRPr="00D44DB6" w:rsidR="008B1AF1" w:rsidSect="00D44DB6">
          <w:headerReference w:type="default" r:id="rId12"/>
          <w:footerReference w:type="default" r:id="rId13"/>
          <w:pgSz w:w="12240" w:h="15840"/>
          <w:pgMar w:top="1728" w:right="1440" w:bottom="1440" w:left="1440" w:header="720" w:footer="720" w:gutter="0"/>
          <w:pgNumType w:fmt="lowerRoman" w:start="1"/>
          <w:cols w:space="720"/>
          <w:docGrid w:linePitch="360"/>
        </w:sectPr>
      </w:pPr>
    </w:p>
    <w:p w:rsidR="0098655A" w:rsidP="00D82A43" w:rsidRDefault="00E1499B" w14:paraId="0128A906" w14:textId="27700D4A">
      <w:pPr>
        <w:pStyle w:val="Main"/>
        <w:spacing w:after="240"/>
      </w:pPr>
      <w:r>
        <w:lastRenderedPageBreak/>
        <w:t xml:space="preserve">DECISION ADOPTING GAS </w:t>
      </w:r>
      <w:r w:rsidR="00EE1868">
        <w:br/>
      </w:r>
      <w:r w:rsidRPr="00FD6CAD">
        <w:t xml:space="preserve">INFRASTRUCTURE </w:t>
      </w:r>
      <w:r w:rsidRPr="00FD6CAD" w:rsidR="005459A7">
        <w:t>G</w:t>
      </w:r>
      <w:r w:rsidRPr="00FD6CAD" w:rsidR="008B1AF1">
        <w:t xml:space="preserve">ENERAL </w:t>
      </w:r>
      <w:r w:rsidRPr="00FD6CAD" w:rsidR="005459A7">
        <w:t>O</w:t>
      </w:r>
      <w:r w:rsidRPr="00FD6CAD" w:rsidR="008B1AF1">
        <w:t>RDER</w:t>
      </w:r>
    </w:p>
    <w:p w:rsidR="005A148C" w:rsidP="005A148C" w:rsidRDefault="005A148C" w14:paraId="0FE8FF7C" w14:textId="77777777">
      <w:pPr>
        <w:pStyle w:val="Dummy"/>
      </w:pPr>
      <w:bookmarkStart w:name="_Toc8123714" w:id="2"/>
      <w:bookmarkStart w:name="_Toc120692792" w:id="3"/>
      <w:r>
        <w:t>Summary</w:t>
      </w:r>
      <w:bookmarkEnd w:id="2"/>
      <w:bookmarkEnd w:id="3"/>
    </w:p>
    <w:p w:rsidR="00C61B65" w:rsidP="00045B42" w:rsidRDefault="00266F48" w14:paraId="02B64886" w14:textId="2C456425">
      <w:pPr>
        <w:pStyle w:val="Standard"/>
      </w:pPr>
      <w:r>
        <w:t>This decision adopt</w:t>
      </w:r>
      <w:r w:rsidR="00155CD3">
        <w:t>s</w:t>
      </w:r>
      <w:r>
        <w:t xml:space="preserve"> a gas infrastructure </w:t>
      </w:r>
      <w:r w:rsidR="005459A7">
        <w:t>General Order (GO)</w:t>
      </w:r>
      <w:r w:rsidR="00E30EFE">
        <w:t xml:space="preserve">, GO </w:t>
      </w:r>
      <w:r w:rsidR="0047324E">
        <w:t>177</w:t>
      </w:r>
      <w:r w:rsidR="00E30EFE">
        <w:t>,</w:t>
      </w:r>
      <w:r w:rsidR="0047324E">
        <w:t xml:space="preserve"> </w:t>
      </w:r>
      <w:r w:rsidR="00567D1A">
        <w:t>as contained in Appendix A</w:t>
      </w:r>
      <w:r>
        <w:t xml:space="preserve">.  The </w:t>
      </w:r>
      <w:r w:rsidR="005459A7">
        <w:t>GO</w:t>
      </w:r>
      <w:r>
        <w:t xml:space="preserve"> requires regulated gas corporations to file an application for a certificate of public convenience and necessity (CPCN) prior to commencing construction on any gas infrastructure that meets </w:t>
      </w:r>
      <w:r w:rsidR="00BC381F">
        <w:t xml:space="preserve">either of </w:t>
      </w:r>
      <w:r w:rsidR="004E37BE">
        <w:t xml:space="preserve">these </w:t>
      </w:r>
      <w:r>
        <w:t xml:space="preserve">criteria: </w:t>
      </w:r>
      <w:r w:rsidR="000C5EB2">
        <w:t xml:space="preserve"> </w:t>
      </w:r>
      <w:r w:rsidR="00D02217">
        <w:t xml:space="preserve">the project cost exceeds $75 million; or, </w:t>
      </w:r>
      <w:r w:rsidRPr="00B1026D" w:rsidR="00045B42">
        <w:t xml:space="preserve">(1) project is located within 1,000 feet of a </w:t>
      </w:r>
      <w:r w:rsidR="00045B42">
        <w:t>“</w:t>
      </w:r>
      <w:r w:rsidRPr="00B1026D" w:rsidR="00045B42">
        <w:t>sensitive receptor</w:t>
      </w:r>
      <w:r w:rsidR="00045B42">
        <w:t>” (including housing, educational institutions or health care facilities)</w:t>
      </w:r>
      <w:r w:rsidRPr="00B1026D" w:rsidR="00045B42">
        <w:t xml:space="preserve"> and (2) operation of the completed project </w:t>
      </w:r>
      <w:r w:rsidRPr="00045B42" w:rsidR="00045B42">
        <w:t xml:space="preserve">by the gas corporation </w:t>
      </w:r>
      <w:r w:rsidRPr="00B1026D" w:rsidR="00045B42">
        <w:t>requires a permit from the relevant local air quality district for an increase in levels of (a) a toxic air contaminant or (b) a criteria air pollutant</w:t>
      </w:r>
      <w:r w:rsidR="005E3595">
        <w:t>,</w:t>
      </w:r>
      <w:r w:rsidRPr="00B1026D" w:rsidR="00045B42">
        <w:t xml:space="preserve"> if the area is listed as a serious, severe, or extreme non-attainment area for that pollutant.</w:t>
      </w:r>
      <w:r w:rsidR="00045B42">
        <w:t xml:space="preserve">  </w:t>
      </w:r>
      <w:r w:rsidR="00FB00BA">
        <w:t xml:space="preserve">The </w:t>
      </w:r>
      <w:r w:rsidR="005459A7">
        <w:t>GO</w:t>
      </w:r>
      <w:r w:rsidR="00FB00BA">
        <w:t xml:space="preserve"> outlines CPCN application information</w:t>
      </w:r>
      <w:r w:rsidR="00B267C8">
        <w:t xml:space="preserve"> and </w:t>
      </w:r>
      <w:r w:rsidR="00FB00BA">
        <w:t>notification</w:t>
      </w:r>
      <w:r w:rsidR="00E152A9">
        <w:t xml:space="preserve"> </w:t>
      </w:r>
      <w:r w:rsidR="00B267C8">
        <w:t>r</w:t>
      </w:r>
      <w:r w:rsidR="00FB00BA">
        <w:t xml:space="preserve">equirements </w:t>
      </w:r>
      <w:r w:rsidR="005C7AE1">
        <w:t xml:space="preserve">and </w:t>
      </w:r>
      <w:r w:rsidR="00FB00BA">
        <w:t xml:space="preserve">specific </w:t>
      </w:r>
      <w:r w:rsidR="007D7EEC">
        <w:t xml:space="preserve">types of </w:t>
      </w:r>
      <w:r w:rsidR="00564540">
        <w:t xml:space="preserve">exempt </w:t>
      </w:r>
      <w:r w:rsidR="007D7EEC">
        <w:t>project</w:t>
      </w:r>
      <w:r w:rsidR="00AF0A8C">
        <w:t>s</w:t>
      </w:r>
      <w:r w:rsidR="007D7EEC">
        <w:t xml:space="preserve"> </w:t>
      </w:r>
      <w:r w:rsidR="00FB00BA">
        <w:t xml:space="preserve">for which </w:t>
      </w:r>
      <w:r w:rsidR="00C26015">
        <w:t xml:space="preserve">CPCN </w:t>
      </w:r>
      <w:r w:rsidR="00FB00BA">
        <w:t xml:space="preserve">applications are not required. </w:t>
      </w:r>
    </w:p>
    <w:p w:rsidR="00FB00BA" w:rsidP="007D7EEC" w:rsidRDefault="00F303C6" w14:paraId="039A0941" w14:textId="1D28CF7F">
      <w:pPr>
        <w:pStyle w:val="Standard"/>
      </w:pPr>
      <w:r>
        <w:t>Th</w:t>
      </w:r>
      <w:r w:rsidR="00B267C8">
        <w:t xml:space="preserve">e </w:t>
      </w:r>
      <w:r w:rsidR="005459A7">
        <w:t>GO</w:t>
      </w:r>
      <w:r w:rsidR="00B267C8">
        <w:t xml:space="preserve"> and th</w:t>
      </w:r>
      <w:r>
        <w:t xml:space="preserve">is decision </w:t>
      </w:r>
      <w:r w:rsidR="000A3691">
        <w:t xml:space="preserve">require gas corporations to </w:t>
      </w:r>
      <w:r w:rsidR="00CE71A5">
        <w:t>annually file a Report</w:t>
      </w:r>
      <w:r w:rsidR="00F93CE0">
        <w:t> </w:t>
      </w:r>
      <w:r w:rsidR="00CE71A5">
        <w:t>of Planned Gas Investments</w:t>
      </w:r>
      <w:r w:rsidR="00AC0D74">
        <w:t xml:space="preserve"> (gas reports)</w:t>
      </w:r>
      <w:r w:rsidR="00CE71A5">
        <w:t xml:space="preserve">, starting </w:t>
      </w:r>
      <w:r w:rsidR="008D40DC">
        <w:t xml:space="preserve">March 1, 2023.  This decision </w:t>
      </w:r>
      <w:r>
        <w:t xml:space="preserve">directs </w:t>
      </w:r>
      <w:r w:rsidRPr="00C61B65" w:rsidR="00C61B65">
        <w:t>Pacific</w:t>
      </w:r>
      <w:r w:rsidR="00FB57A9">
        <w:t> </w:t>
      </w:r>
      <w:r w:rsidRPr="00C61B65" w:rsidR="00C61B65">
        <w:t>Gas and Electric Company</w:t>
      </w:r>
      <w:r w:rsidR="004C2E59">
        <w:t xml:space="preserve"> (PG&amp;E)</w:t>
      </w:r>
      <w:r w:rsidRPr="00C61B65" w:rsidR="00C61B65">
        <w:t>, Southern California Gas Company</w:t>
      </w:r>
      <w:r w:rsidR="004C2E59">
        <w:t xml:space="preserve"> (SoCalGas)</w:t>
      </w:r>
      <w:r w:rsidRPr="00C61B65" w:rsidR="00C61B65">
        <w:t xml:space="preserve">, and San Diego Gas &amp; Electric Company </w:t>
      </w:r>
      <w:r w:rsidR="008262A5">
        <w:t>(</w:t>
      </w:r>
      <w:r w:rsidR="004C2E59">
        <w:t>SDG&amp;E</w:t>
      </w:r>
      <w:r w:rsidR="008262A5">
        <w:t>)</w:t>
      </w:r>
      <w:r w:rsidR="004C2E59">
        <w:t xml:space="preserve"> </w:t>
      </w:r>
      <w:r>
        <w:t xml:space="preserve">to </w:t>
      </w:r>
      <w:r w:rsidRPr="00C61B65" w:rsidR="00C61B65">
        <w:t>jointly convene a Planned Gas Investments Worksho</w:t>
      </w:r>
      <w:r>
        <w:t>p during the years 2023, 2024, and 2025.</w:t>
      </w:r>
      <w:r w:rsidDel="00AF0A8C" w:rsidR="00FB00BA">
        <w:t xml:space="preserve">  </w:t>
      </w:r>
      <w:r w:rsidR="00B267C8">
        <w:t>It</w:t>
      </w:r>
      <w:r w:rsidR="00D71AA6">
        <w:t xml:space="preserve"> authorizes </w:t>
      </w:r>
      <w:r w:rsidR="000A3691">
        <w:t xml:space="preserve">parties to file comments on the </w:t>
      </w:r>
      <w:r w:rsidR="007D3066">
        <w:t xml:space="preserve">gas </w:t>
      </w:r>
      <w:r w:rsidR="000A3691">
        <w:t>reports</w:t>
      </w:r>
      <w:r w:rsidR="00975653">
        <w:t>,</w:t>
      </w:r>
      <w:r w:rsidR="000A3691">
        <w:t xml:space="preserve"> </w:t>
      </w:r>
      <w:r w:rsidR="00975653">
        <w:t xml:space="preserve">and on the reporting requirements contained in the adopted </w:t>
      </w:r>
      <w:r w:rsidR="005459A7">
        <w:t>GO</w:t>
      </w:r>
      <w:r w:rsidR="00A67325">
        <w:t xml:space="preserve">, </w:t>
      </w:r>
      <w:r w:rsidR="00AA09B0">
        <w:t>in the years 2023, 2024, and 2025</w:t>
      </w:r>
      <w:r w:rsidR="00442B40">
        <w:t xml:space="preserve">.  </w:t>
      </w:r>
      <w:r w:rsidR="00163673">
        <w:t xml:space="preserve">This decision authorizes </w:t>
      </w:r>
      <w:r w:rsidR="004C2E59">
        <w:t>PG&amp;E, SoCalGas, and SDG&amp;E to submit a Tier</w:t>
      </w:r>
      <w:r w:rsidR="00F93CE0">
        <w:t> </w:t>
      </w:r>
      <w:r w:rsidR="00A80ED6">
        <w:t>3</w:t>
      </w:r>
      <w:r w:rsidR="004C2E59">
        <w:t xml:space="preserve"> </w:t>
      </w:r>
      <w:r w:rsidRPr="00FD6CAD" w:rsidR="00EE1868">
        <w:t>A</w:t>
      </w:r>
      <w:r w:rsidRPr="00FD6CAD" w:rsidR="004C2E59">
        <w:t xml:space="preserve">dvice </w:t>
      </w:r>
      <w:r w:rsidRPr="00FD6CAD" w:rsidR="00EE1868">
        <w:t>L</w:t>
      </w:r>
      <w:r w:rsidRPr="00FD6CAD" w:rsidR="004C2E59">
        <w:t>etter</w:t>
      </w:r>
      <w:r w:rsidR="004C2E59">
        <w:t xml:space="preserve"> </w:t>
      </w:r>
      <w:r w:rsidRPr="00976BEC" w:rsidR="00976BEC">
        <w:t xml:space="preserve">requesting changes to the reporting requirements contained </w:t>
      </w:r>
      <w:r w:rsidRPr="00976BEC" w:rsidR="00976BEC">
        <w:lastRenderedPageBreak/>
        <w:t xml:space="preserve">in the </w:t>
      </w:r>
      <w:r w:rsidR="005459A7">
        <w:t>GO</w:t>
      </w:r>
      <w:r w:rsidRPr="00976BEC" w:rsidR="00976BEC">
        <w:t xml:space="preserve"> in Appendix A suggested by parties and agreed to by the gas corporations</w:t>
      </w:r>
      <w:r w:rsidR="00263A93">
        <w:t>, in the years 2023, 2024, and 2025</w:t>
      </w:r>
      <w:r w:rsidRPr="00976BEC" w:rsidR="00976BEC">
        <w:t>.</w:t>
      </w:r>
    </w:p>
    <w:p w:rsidR="00FB4D49" w:rsidP="007D7EEC" w:rsidRDefault="005459A7" w14:paraId="02E7CCB7" w14:textId="424E6239">
      <w:pPr>
        <w:pStyle w:val="Standard"/>
      </w:pPr>
      <w:r>
        <w:t>Rulemaking 20-01-007</w:t>
      </w:r>
      <w:r w:rsidR="00FB4D49">
        <w:t xml:space="preserve"> remains open. </w:t>
      </w:r>
    </w:p>
    <w:p w:rsidRPr="00121089" w:rsidR="005A148C" w:rsidP="0009044A" w:rsidRDefault="002C7FE9" w14:paraId="2D24FD11" w14:textId="16EA6268">
      <w:pPr>
        <w:pStyle w:val="Heading1"/>
      </w:pPr>
      <w:bookmarkStart w:name="_Toc8123715" w:id="4"/>
      <w:bookmarkStart w:name="_Toc120692793" w:id="5"/>
      <w:r w:rsidRPr="005A0E26">
        <w:t>Background</w:t>
      </w:r>
      <w:bookmarkEnd w:id="4"/>
      <w:bookmarkEnd w:id="5"/>
    </w:p>
    <w:p w:rsidR="004C7B74" w:rsidP="00564540" w:rsidRDefault="004579FB" w14:paraId="1006C3D0" w14:textId="48C72A79">
      <w:pPr>
        <w:pStyle w:val="Standard"/>
      </w:pPr>
      <w:r>
        <w:t xml:space="preserve">The California Public Utilities Commission (Commission) adopted an </w:t>
      </w:r>
      <w:r w:rsidRPr="00E1499B">
        <w:rPr>
          <w:i/>
          <w:iCs/>
        </w:rPr>
        <w:t>Order Instituting Rulemaking to Establish Policies, Processes, and Rules to Ensure Safe and Reliable Gas Systems in California and perform Long-Term Gas System Planning</w:t>
      </w:r>
      <w:r>
        <w:t xml:space="preserve"> on January 16, 2020.  This is the </w:t>
      </w:r>
      <w:r w:rsidR="00785B01">
        <w:t xml:space="preserve">fourth </w:t>
      </w:r>
      <w:r>
        <w:t>decision in this case</w:t>
      </w:r>
      <w:r w:rsidR="00D451CB">
        <w:t>.</w:t>
      </w:r>
      <w:r w:rsidR="00D451CB">
        <w:rPr>
          <w:rStyle w:val="FootnoteReference"/>
        </w:rPr>
        <w:footnoteReference w:id="2"/>
      </w:r>
      <w:r w:rsidR="00D451CB">
        <w:t xml:space="preserve">  </w:t>
      </w:r>
      <w:r w:rsidR="004C7B74">
        <w:t>Th</w:t>
      </w:r>
      <w:r w:rsidR="008C41C4">
        <w:t>is decision addresses Scoping Issue (</w:t>
      </w:r>
      <w:r w:rsidRPr="008C41C4" w:rsidR="008C41C4">
        <w:t>a) of Track 2(a)</w:t>
      </w:r>
      <w:r w:rsidR="008C41C4">
        <w:t xml:space="preserve"> as set forth in the </w:t>
      </w:r>
      <w:r w:rsidRPr="001E021A" w:rsidR="008C41C4">
        <w:rPr>
          <w:i/>
          <w:iCs/>
        </w:rPr>
        <w:t xml:space="preserve">Assigned Commissioner’s </w:t>
      </w:r>
      <w:r w:rsidRPr="001E021A" w:rsidR="0028206E">
        <w:rPr>
          <w:i/>
          <w:iCs/>
        </w:rPr>
        <w:t>Amended Scoping Memo and Ruling</w:t>
      </w:r>
      <w:r w:rsidR="0028206E">
        <w:t xml:space="preserve"> (</w:t>
      </w:r>
      <w:r w:rsidR="008C41C4">
        <w:t>Second Amended Scoping Memo</w:t>
      </w:r>
      <w:r w:rsidR="0028206E">
        <w:t>) on January 5, 2022</w:t>
      </w:r>
      <w:bookmarkStart w:name="_Hlk115083200" w:id="6"/>
      <w:r w:rsidR="00A0096B">
        <w:t>, which asks</w:t>
      </w:r>
      <w:r w:rsidR="00564540">
        <w:t xml:space="preserve"> whether the Commission should </w:t>
      </w:r>
      <w:r w:rsidRPr="008C41C4" w:rsidR="008C41C4">
        <w:t xml:space="preserve">consider adopting a </w:t>
      </w:r>
      <w:r w:rsidR="003D428A">
        <w:t xml:space="preserve">gas </w:t>
      </w:r>
      <w:r w:rsidR="005459A7">
        <w:t>General Order (GO)</w:t>
      </w:r>
      <w:r w:rsidR="0076788D">
        <w:t xml:space="preserve">.  </w:t>
      </w:r>
    </w:p>
    <w:p w:rsidR="0097375F" w:rsidP="00DE0581" w:rsidRDefault="002F4F10" w14:paraId="5B8B64ED" w14:textId="0F7A721B">
      <w:pPr>
        <w:pStyle w:val="Standard"/>
      </w:pPr>
      <w:r>
        <w:t>T</w:t>
      </w:r>
      <w:r w:rsidR="00403AEF">
        <w:t>rack 2 of this proceeding addresses long-term natural gas policy and planning</w:t>
      </w:r>
      <w:r w:rsidR="00786B7F">
        <w:t xml:space="preserve">.  </w:t>
      </w:r>
      <w:r w:rsidR="0076788D">
        <w:t>A</w:t>
      </w:r>
      <w:r w:rsidR="00786B7F">
        <w:t xml:space="preserve">s discussed in the Order Instituting Rulemaking (OIR), </w:t>
      </w:r>
      <w:r w:rsidR="004846A9">
        <w:t xml:space="preserve">compliance with local and statewide greenhouse gas legislation will cause demand for natural gas to decline over the next 25 years. </w:t>
      </w:r>
      <w:r w:rsidR="00B745DC">
        <w:t xml:space="preserve"> </w:t>
      </w:r>
      <w:r w:rsidR="00DE0581">
        <w:t xml:space="preserve">California </w:t>
      </w:r>
      <w:r w:rsidR="0097375F">
        <w:t xml:space="preserve">is </w:t>
      </w:r>
      <w:r w:rsidR="00DE0581">
        <w:t>transition</w:t>
      </w:r>
      <w:r w:rsidR="0097375F">
        <w:t>ing</w:t>
      </w:r>
      <w:r w:rsidR="00DE0581">
        <w:t xml:space="preserve"> away from natural gas-fueled technologies to meet decarbonization goals</w:t>
      </w:r>
      <w:r w:rsidR="0097375F">
        <w:t xml:space="preserve"> while simultaneously demanding less electricity from gas-fired generators as renewable electricity </w:t>
      </w:r>
      <w:r w:rsidR="003B23B8">
        <w:t xml:space="preserve">and </w:t>
      </w:r>
      <w:r w:rsidR="00A87CAF">
        <w:t xml:space="preserve">energy </w:t>
      </w:r>
      <w:r w:rsidR="003B23B8">
        <w:t>storage res</w:t>
      </w:r>
      <w:r w:rsidR="001F4F25">
        <w:t>ources</w:t>
      </w:r>
      <w:r w:rsidR="003B23B8">
        <w:t xml:space="preserve"> </w:t>
      </w:r>
      <w:r w:rsidR="0097375F">
        <w:t>increase.</w:t>
      </w:r>
      <w:bookmarkStart w:name="_Toc8123717" w:id="7"/>
      <w:bookmarkEnd w:id="6"/>
      <w:r w:rsidR="00D14C9F">
        <w:t xml:space="preserve">  Th</w:t>
      </w:r>
      <w:r w:rsidR="00BF609E">
        <w:t xml:space="preserve">is portion of Track 2, </w:t>
      </w:r>
      <w:r w:rsidR="005B6E79">
        <w:t xml:space="preserve">consideration of a gas infrastructure </w:t>
      </w:r>
      <w:r w:rsidR="005459A7">
        <w:t>GO</w:t>
      </w:r>
      <w:r w:rsidR="005B6E79">
        <w:t xml:space="preserve">, </w:t>
      </w:r>
      <w:r w:rsidR="000900E0">
        <w:t>addresses an identified gap in the Commission’s active regulation of gas infrastructure.  It also</w:t>
      </w:r>
      <w:r w:rsidDel="0039365D" w:rsidR="005B6E79">
        <w:t xml:space="preserve"> </w:t>
      </w:r>
      <w:r w:rsidR="005B6E79">
        <w:t xml:space="preserve">serves as an </w:t>
      </w:r>
      <w:r w:rsidR="005B6E79">
        <w:lastRenderedPageBreak/>
        <w:t xml:space="preserve">intermediary step towards </w:t>
      </w:r>
      <w:r w:rsidR="0076788D">
        <w:t xml:space="preserve">development of a more </w:t>
      </w:r>
      <w:r w:rsidR="005B6E79">
        <w:t xml:space="preserve">a comprehensive long-term gas </w:t>
      </w:r>
      <w:r w:rsidR="000B27B1">
        <w:t>planning process</w:t>
      </w:r>
      <w:r w:rsidR="0076788D">
        <w:t xml:space="preserve"> later in this proceeding</w:t>
      </w:r>
      <w:r w:rsidR="000B27B1">
        <w:t>.</w:t>
      </w:r>
    </w:p>
    <w:p w:rsidR="000900E0" w:rsidP="00DE0581" w:rsidRDefault="00EE1868" w14:paraId="4D4101A6" w14:textId="282A413D">
      <w:pPr>
        <w:pStyle w:val="Standard"/>
      </w:pPr>
      <w:r w:rsidRPr="00FD6CAD">
        <w:t>D.</w:t>
      </w:r>
      <w:r w:rsidRPr="00FD6CAD" w:rsidR="00234931">
        <w:t>94-06-014</w:t>
      </w:r>
      <w:r w:rsidR="005B5060">
        <w:t xml:space="preserve"> </w:t>
      </w:r>
      <w:r w:rsidRPr="00FD6CAD" w:rsidR="00E545BC">
        <w:t>adopt</w:t>
      </w:r>
      <w:r w:rsidR="00AC0D74">
        <w:t>ed</w:t>
      </w:r>
      <w:r w:rsidRPr="00FD6CAD" w:rsidR="00E545BC">
        <w:t xml:space="preserve"> </w:t>
      </w:r>
      <w:r w:rsidRPr="00FD6CAD" w:rsidR="005459A7">
        <w:t>GO</w:t>
      </w:r>
      <w:r w:rsidRPr="00FD6CAD" w:rsidR="00E545BC">
        <w:t xml:space="preserve"> 131-D</w:t>
      </w:r>
      <w:r w:rsidR="005B5060">
        <w:t xml:space="preserve">, </w:t>
      </w:r>
      <w:r w:rsidRPr="00AC7C56" w:rsidR="005B5060">
        <w:rPr>
          <w:i/>
          <w:iCs/>
        </w:rPr>
        <w:t>“Rules Relating to the Planning and Construction of Electric Generation, Transmission/ Power/ Distribution Line Facilities and Substations Located in California</w:t>
      </w:r>
      <w:r w:rsidRPr="00AC7C56" w:rsidR="002A5D4B">
        <w:rPr>
          <w:i/>
          <w:iCs/>
        </w:rPr>
        <w:t>,</w:t>
      </w:r>
      <w:r w:rsidRPr="00AC7C56" w:rsidR="005B5060">
        <w:rPr>
          <w:i/>
          <w:iCs/>
        </w:rPr>
        <w:t>”</w:t>
      </w:r>
      <w:r w:rsidRPr="00FD6CAD" w:rsidR="00234931">
        <w:t xml:space="preserve"> </w:t>
      </w:r>
      <w:r w:rsidR="005B5060">
        <w:t xml:space="preserve">which </w:t>
      </w:r>
      <w:r w:rsidRPr="00FD6CAD" w:rsidR="00541529">
        <w:t>addressed a similar ga</w:t>
      </w:r>
      <w:r w:rsidRPr="00FD6CAD" w:rsidR="00190D02">
        <w:t xml:space="preserve">p in </w:t>
      </w:r>
      <w:r w:rsidRPr="00FD6CAD" w:rsidR="002A5D4B">
        <w:t xml:space="preserve">our active regulation </w:t>
      </w:r>
      <w:r w:rsidRPr="00FD6CAD" w:rsidR="00073388">
        <w:t>of electric transmission lines of between 50</w:t>
      </w:r>
      <w:r w:rsidRPr="00FD6CAD">
        <w:t> </w:t>
      </w:r>
      <w:r w:rsidRPr="00FD6CAD" w:rsidR="00073388">
        <w:t>and 200</w:t>
      </w:r>
      <w:r w:rsidRPr="00FD6CAD">
        <w:t> k</w:t>
      </w:r>
      <w:r w:rsidRPr="00FD6CAD" w:rsidR="00073388">
        <w:t>ilovolts</w:t>
      </w:r>
      <w:r w:rsidRPr="00FD6CAD">
        <w:t xml:space="preserve"> (kV)</w:t>
      </w:r>
      <w:r w:rsidRPr="00FD6CAD" w:rsidR="00073388">
        <w:t>.</w:t>
      </w:r>
      <w:r w:rsidRPr="00FD6CAD" w:rsidR="00896672">
        <w:rPr>
          <w:rStyle w:val="FootnoteReference"/>
        </w:rPr>
        <w:footnoteReference w:id="3"/>
      </w:r>
      <w:r w:rsidRPr="00FD6CAD" w:rsidR="00073388">
        <w:t xml:space="preserve">  </w:t>
      </w:r>
    </w:p>
    <w:p w:rsidR="00B31E60" w:rsidP="00960C2E" w:rsidRDefault="004C6D14" w14:paraId="38B7259D" w14:textId="0E1CE712">
      <w:pPr>
        <w:pStyle w:val="Standard"/>
      </w:pPr>
      <w:bookmarkStart w:name="_Toc116485486" w:id="8"/>
      <w:bookmarkStart w:name="_Toc116485629" w:id="9"/>
      <w:bookmarkStart w:name="_Toc116485818" w:id="10"/>
      <w:bookmarkEnd w:id="7"/>
      <w:bookmarkEnd w:id="8"/>
      <w:bookmarkEnd w:id="9"/>
      <w:bookmarkEnd w:id="10"/>
      <w:r>
        <w:t xml:space="preserve">On October 14, 2021, the </w:t>
      </w:r>
      <w:r w:rsidR="00CC01F4">
        <w:t>a</w:t>
      </w:r>
      <w:r>
        <w:t>ssigned Commissioner issued a</w:t>
      </w:r>
      <w:r w:rsidR="00AF3430">
        <w:t xml:space="preserve">n Amended Scoping Memo and Ruling </w:t>
      </w:r>
      <w:r>
        <w:t xml:space="preserve">addressing Track 2 issues and schedule and invited party comment.  The </w:t>
      </w:r>
      <w:r w:rsidR="00FB4D49">
        <w:t>a</w:t>
      </w:r>
      <w:r>
        <w:t xml:space="preserve">ssigned Commissioner issued an updated </w:t>
      </w:r>
      <w:r w:rsidR="00AF3430">
        <w:t>Second Amended Scoping Memo</w:t>
      </w:r>
      <w:r w:rsidR="0028206E">
        <w:t xml:space="preserve"> </w:t>
      </w:r>
      <w:r w:rsidR="00672313">
        <w:t xml:space="preserve">on </w:t>
      </w:r>
      <w:r w:rsidR="00AF3430">
        <w:t xml:space="preserve">Track 2 issues </w:t>
      </w:r>
      <w:r>
        <w:t xml:space="preserve">and schedule on </w:t>
      </w:r>
      <w:r w:rsidR="00672313">
        <w:t>January 5, 2022</w:t>
      </w:r>
      <w:r w:rsidR="00AF3430">
        <w:t>.</w:t>
      </w:r>
      <w:r w:rsidR="00960C2E">
        <w:t xml:space="preserve">  </w:t>
      </w:r>
      <w:r w:rsidR="002875D1">
        <w:t xml:space="preserve">On January </w:t>
      </w:r>
      <w:r w:rsidR="00D95038">
        <w:t>10</w:t>
      </w:r>
      <w:r w:rsidR="002875D1">
        <w:t xml:space="preserve">, 2022, </w:t>
      </w:r>
      <w:r w:rsidR="00D95038">
        <w:t xml:space="preserve">the Commission hosted a virtual workshop on Track 2(a) issues </w:t>
      </w:r>
      <w:r w:rsidR="00A20768">
        <w:t>(</w:t>
      </w:r>
      <w:r w:rsidR="00D95038">
        <w:t>a</w:t>
      </w:r>
      <w:r w:rsidR="00A20768">
        <w:t>)</w:t>
      </w:r>
      <w:r w:rsidR="00D95038">
        <w:t xml:space="preserve"> </w:t>
      </w:r>
      <w:r w:rsidR="00681621">
        <w:t>–</w:t>
      </w:r>
      <w:r w:rsidR="00D95038">
        <w:t xml:space="preserve"> </w:t>
      </w:r>
      <w:r w:rsidR="00A20768">
        <w:t>(</w:t>
      </w:r>
      <w:r w:rsidR="00D95038">
        <w:t>d</w:t>
      </w:r>
      <w:r w:rsidR="00A20768">
        <w:t>)</w:t>
      </w:r>
      <w:r w:rsidR="00681621">
        <w:t xml:space="preserve">.  </w:t>
      </w:r>
    </w:p>
    <w:p w:rsidR="0080367A" w:rsidP="00CC01F4" w:rsidRDefault="00EE16AA" w14:paraId="69268426" w14:textId="68D6C3FA">
      <w:pPr>
        <w:pStyle w:val="Standard"/>
      </w:pPr>
      <w:r>
        <w:t xml:space="preserve">On </w:t>
      </w:r>
      <w:r w:rsidR="00D91877">
        <w:t xml:space="preserve">February 4, 2022, </w:t>
      </w:r>
      <w:r w:rsidR="00CC01F4">
        <w:t xml:space="preserve">an </w:t>
      </w:r>
      <w:r w:rsidR="00D91877">
        <w:t>Administrative Law Judge</w:t>
      </w:r>
      <w:r>
        <w:t xml:space="preserve"> (ALJ) issued a </w:t>
      </w:r>
      <w:r w:rsidR="00D91877">
        <w:t xml:space="preserve">ruling </w:t>
      </w:r>
      <w:r w:rsidR="005B5060">
        <w:t>inviting</w:t>
      </w:r>
      <w:r>
        <w:t xml:space="preserve"> </w:t>
      </w:r>
      <w:r w:rsidR="00CC01F4">
        <w:t>o</w:t>
      </w:r>
      <w:r w:rsidR="007C1C08">
        <w:t xml:space="preserve">pening </w:t>
      </w:r>
      <w:r w:rsidR="00960C2E">
        <w:t xml:space="preserve">and </w:t>
      </w:r>
      <w:r w:rsidR="00CC01F4">
        <w:t>r</w:t>
      </w:r>
      <w:r w:rsidR="00960C2E">
        <w:t xml:space="preserve">eply </w:t>
      </w:r>
      <w:r w:rsidR="00CC01F4">
        <w:t>b</w:t>
      </w:r>
      <w:r w:rsidR="007C1C08">
        <w:t xml:space="preserve">riefs on </w:t>
      </w:r>
      <w:r w:rsidR="00A51000">
        <w:t xml:space="preserve">the </w:t>
      </w:r>
      <w:r w:rsidR="007C1C08">
        <w:t>Track 2(a)</w:t>
      </w:r>
      <w:r w:rsidR="00CC01F4">
        <w:t>(a) issue in this proceeding</w:t>
      </w:r>
      <w:r w:rsidR="00FB4D49">
        <w:t xml:space="preserve">.  </w:t>
      </w:r>
      <w:r w:rsidR="0080367A">
        <w:t xml:space="preserve">On February 28, 2022, </w:t>
      </w:r>
      <w:r w:rsidR="00D44FB7">
        <w:t xml:space="preserve">Environmental Defense Fund (EDF), </w:t>
      </w:r>
      <w:r w:rsidR="00F823BB">
        <w:t xml:space="preserve">the Sierra Club and </w:t>
      </w:r>
      <w:r w:rsidR="005258A1">
        <w:t xml:space="preserve">the </w:t>
      </w:r>
      <w:r w:rsidR="008102B4">
        <w:t>C</w:t>
      </w:r>
      <w:r w:rsidR="005258A1">
        <w:t xml:space="preserve">alifornia </w:t>
      </w:r>
      <w:r w:rsidR="008102B4">
        <w:t>E</w:t>
      </w:r>
      <w:r w:rsidR="005258A1">
        <w:t xml:space="preserve">nvironmental </w:t>
      </w:r>
      <w:r w:rsidR="008102B4">
        <w:t>J</w:t>
      </w:r>
      <w:r w:rsidR="005258A1">
        <w:t xml:space="preserve">ustice </w:t>
      </w:r>
      <w:r w:rsidR="008102B4">
        <w:t>A</w:t>
      </w:r>
      <w:r w:rsidR="005258A1">
        <w:t>lliance</w:t>
      </w:r>
      <w:r w:rsidR="008102B4">
        <w:t xml:space="preserve"> </w:t>
      </w:r>
      <w:r w:rsidR="00F823BB">
        <w:t xml:space="preserve">(Sierra Club/CEJA), </w:t>
      </w:r>
      <w:r w:rsidR="00095846">
        <w:t xml:space="preserve">Utility Consumer’s Action Network (UCAN), PG&amp;E, SDG&amp;E, SoCalGas, </w:t>
      </w:r>
      <w:r w:rsidR="004450B7">
        <w:t xml:space="preserve">the </w:t>
      </w:r>
      <w:r w:rsidR="00095846">
        <w:t>Southern California Generation Coalition (SCGC)</w:t>
      </w:r>
      <w:r w:rsidR="00F825D4">
        <w:t>, Rocky</w:t>
      </w:r>
      <w:r w:rsidR="00F93CE0">
        <w:t> </w:t>
      </w:r>
      <w:r w:rsidR="00F825D4">
        <w:t>Mountain Institute (RMI)</w:t>
      </w:r>
      <w:r w:rsidR="001B1691">
        <w:t xml:space="preserve">, </w:t>
      </w:r>
      <w:r w:rsidR="00D40518">
        <w:t>and Central Valley Gas Storage, LLC (CVGS) filed Opening Briefs and the Center for Accessible Technology (</w:t>
      </w:r>
      <w:proofErr w:type="spellStart"/>
      <w:r w:rsidR="00D40518">
        <w:t>CforAT</w:t>
      </w:r>
      <w:proofErr w:type="spellEnd"/>
      <w:r w:rsidR="00D40518">
        <w:t>) filed Opening Comments.  On April 1, 2022, Sierra Club/CEJA, E</w:t>
      </w:r>
      <w:r w:rsidR="003F4419">
        <w:t xml:space="preserve">DF, Wild Goose Storage, LLC and Lodi Gas Storage, LLC (Wild Goose and Lodi), </w:t>
      </w:r>
      <w:r w:rsidR="00324649">
        <w:t>SCG</w:t>
      </w:r>
      <w:r w:rsidR="00AA0BB2">
        <w:t xml:space="preserve">C, the Public Advocates Office (Cal Advocates), </w:t>
      </w:r>
      <w:r w:rsidR="000501E7">
        <w:lastRenderedPageBreak/>
        <w:t>PG&amp;E, SoCalGas, UCAN, SDG&amp;E, Indicated Shippers</w:t>
      </w:r>
      <w:r w:rsidR="00E55DA0">
        <w:t>, and RMI filed Reply Briefs.</w:t>
      </w:r>
    </w:p>
    <w:p w:rsidR="006B21D6" w:rsidP="00A946B8" w:rsidRDefault="00A946B8" w14:paraId="19CE51D6" w14:textId="5EA6C36B">
      <w:pPr>
        <w:pStyle w:val="Standard"/>
      </w:pPr>
      <w:r>
        <w:t xml:space="preserve">On March 1, 2022, </w:t>
      </w:r>
      <w:r w:rsidR="001D2423">
        <w:t xml:space="preserve">an </w:t>
      </w:r>
      <w:r>
        <w:t xml:space="preserve">ALJ ruling </w:t>
      </w:r>
      <w:r w:rsidR="00506454">
        <w:t xml:space="preserve">provided a </w:t>
      </w:r>
      <w:r>
        <w:t>draft workshop report for the January 10, 2022 workshop</w:t>
      </w:r>
      <w:r w:rsidR="00506454">
        <w:t xml:space="preserve">, entered the draft report into the record of this proceeding, and </w:t>
      </w:r>
      <w:r>
        <w:t>invited comments</w:t>
      </w:r>
      <w:r w:rsidR="00DD46A8">
        <w:t xml:space="preserve"> </w:t>
      </w:r>
      <w:r w:rsidR="00B76706">
        <w:t>on</w:t>
      </w:r>
      <w:r w:rsidR="00E269D0">
        <w:t xml:space="preserve"> the</w:t>
      </w:r>
      <w:r w:rsidR="00B76706">
        <w:t xml:space="preserve"> </w:t>
      </w:r>
      <w:r w:rsidRPr="00B76706" w:rsidR="00B76706">
        <w:t>draft workshop report, correcting inaccurate statements or informational gaps</w:t>
      </w:r>
      <w:r w:rsidR="006B21D6">
        <w:t xml:space="preserve">.  On </w:t>
      </w:r>
      <w:r>
        <w:t>March 15, 2022</w:t>
      </w:r>
      <w:r w:rsidR="006B21D6">
        <w:t xml:space="preserve">, </w:t>
      </w:r>
      <w:r w:rsidR="00362E3F">
        <w:t>EDF, the Independent Energy Producers Association (IEPA), the Small Business Utility Advocates (SBUA), the Green Hydrogen Coalition (</w:t>
      </w:r>
      <w:r w:rsidR="00F10660">
        <w:t>Hydrogen Coalition), the California Independent System Operator Corporation (</w:t>
      </w:r>
      <w:proofErr w:type="spellStart"/>
      <w:r w:rsidR="00F10660">
        <w:t>CalISO</w:t>
      </w:r>
      <w:proofErr w:type="spellEnd"/>
      <w:r w:rsidR="00F10660">
        <w:t>), Indicated Shippers, SCGC, PG&amp;E, SoCalGas</w:t>
      </w:r>
      <w:r w:rsidR="007858F2">
        <w:t xml:space="preserve">, Cal Advocates, </w:t>
      </w:r>
      <w:r w:rsidR="00AF7203">
        <w:t>Southwest Gas Corporation (</w:t>
      </w:r>
      <w:r w:rsidR="007858F2">
        <w:t>Southwest</w:t>
      </w:r>
      <w:r w:rsidR="00AF7203">
        <w:t>)</w:t>
      </w:r>
      <w:r w:rsidR="007858F2">
        <w:t xml:space="preserve">, and UCAN filed comments on the workshop report. </w:t>
      </w:r>
    </w:p>
    <w:p w:rsidR="00A946B8" w:rsidP="00A946B8" w:rsidRDefault="0030381F" w14:paraId="1B9946D9" w14:textId="0CC06CE3">
      <w:pPr>
        <w:pStyle w:val="Standard"/>
      </w:pPr>
      <w:r>
        <w:t>On</w:t>
      </w:r>
      <w:r w:rsidR="00A5653E">
        <w:t xml:space="preserve"> </w:t>
      </w:r>
      <w:r w:rsidR="00A946B8">
        <w:t xml:space="preserve">March 1, 2022 </w:t>
      </w:r>
      <w:r w:rsidR="00A5653E">
        <w:t>a</w:t>
      </w:r>
      <w:r w:rsidR="00CC01F4">
        <w:t xml:space="preserve">n </w:t>
      </w:r>
      <w:r w:rsidR="00A946B8">
        <w:t>ALJ ruling required PG&amp;E, SDG&amp;E, SoCalGas</w:t>
      </w:r>
      <w:r w:rsidR="00AF7203">
        <w:t>,</w:t>
      </w:r>
      <w:r w:rsidR="00A946B8">
        <w:t xml:space="preserve"> and </w:t>
      </w:r>
      <w:r w:rsidR="00D10029">
        <w:t>Southwest</w:t>
      </w:r>
      <w:r w:rsidR="00A946B8">
        <w:t xml:space="preserve"> to </w:t>
      </w:r>
      <w:r w:rsidR="006B2354">
        <w:t xml:space="preserve">file </w:t>
      </w:r>
      <w:r w:rsidR="00A946B8">
        <w:t>gas distribution system and gas consumption information</w:t>
      </w:r>
      <w:r w:rsidR="006B2354">
        <w:t xml:space="preserve">.  The ruling </w:t>
      </w:r>
      <w:r w:rsidR="00A946B8">
        <w:t>invited the cities of Long Beach, Palo Alto</w:t>
      </w:r>
      <w:r w:rsidR="00AF7203">
        <w:t>,</w:t>
      </w:r>
      <w:r w:rsidR="00A946B8">
        <w:t xml:space="preserve"> and Vernon to </w:t>
      </w:r>
      <w:r w:rsidR="006B2354">
        <w:t>file</w:t>
      </w:r>
      <w:r w:rsidR="00A946B8">
        <w:t xml:space="preserve"> the same information.  On May</w:t>
      </w:r>
      <w:r w:rsidR="00FB57A9">
        <w:t> </w:t>
      </w:r>
      <w:r w:rsidR="00A946B8">
        <w:t xml:space="preserve">20, 2022, </w:t>
      </w:r>
      <w:r w:rsidR="00A5653E">
        <w:t xml:space="preserve">the </w:t>
      </w:r>
      <w:r w:rsidR="00A946B8">
        <w:t>Sempra Companies</w:t>
      </w:r>
      <w:r w:rsidR="00D10029">
        <w:t>, Southwest</w:t>
      </w:r>
      <w:r w:rsidR="008F3A45">
        <w:t xml:space="preserve">, </w:t>
      </w:r>
      <w:r w:rsidR="005258A1">
        <w:t xml:space="preserve">and </w:t>
      </w:r>
      <w:r w:rsidR="008F3A45">
        <w:t>PG&amp;E</w:t>
      </w:r>
      <w:r w:rsidR="005258A1">
        <w:t xml:space="preserve"> each filed responses</w:t>
      </w:r>
      <w:r w:rsidR="006C1351">
        <w:t>, and the cities of Long</w:t>
      </w:r>
      <w:r w:rsidR="00FB57A9">
        <w:t> </w:t>
      </w:r>
      <w:r w:rsidR="006C1351">
        <w:t>Beach, Palo Alto</w:t>
      </w:r>
      <w:r w:rsidR="00AF7203">
        <w:t>,</w:t>
      </w:r>
      <w:r w:rsidR="006C1351">
        <w:t xml:space="preserve"> and Vernon</w:t>
      </w:r>
      <w:r w:rsidR="00D40CE2">
        <w:t xml:space="preserve"> jointly</w:t>
      </w:r>
      <w:r w:rsidR="00A946B8">
        <w:t xml:space="preserve"> filed </w:t>
      </w:r>
      <w:r w:rsidR="005258A1">
        <w:t xml:space="preserve">a </w:t>
      </w:r>
      <w:r w:rsidR="00A946B8">
        <w:t>response to the March 1, 2022 ALJ</w:t>
      </w:r>
      <w:r w:rsidR="00FB57A9">
        <w:t> </w:t>
      </w:r>
      <w:r w:rsidR="00A946B8">
        <w:t xml:space="preserve">ruling providing </w:t>
      </w:r>
      <w:r w:rsidR="00D10029">
        <w:t xml:space="preserve">gas data. </w:t>
      </w:r>
    </w:p>
    <w:p w:rsidR="00BF4D71" w:rsidP="0080367A" w:rsidRDefault="00A946B8" w14:paraId="4AFF07D6" w14:textId="20BBC79C">
      <w:pPr>
        <w:pStyle w:val="Standard"/>
      </w:pPr>
      <w:r>
        <w:t xml:space="preserve">On June 27, 2022, an </w:t>
      </w:r>
      <w:r w:rsidRPr="006B2354">
        <w:t xml:space="preserve">ALJ </w:t>
      </w:r>
      <w:r w:rsidR="007C662F">
        <w:t>r</w:t>
      </w:r>
      <w:r w:rsidRPr="006B2354" w:rsidR="00F141E7">
        <w:t>uling</w:t>
      </w:r>
      <w:r w:rsidRPr="003045A4" w:rsidR="00F141E7">
        <w:rPr>
          <w:i/>
          <w:iCs/>
        </w:rPr>
        <w:t xml:space="preserve"> </w:t>
      </w:r>
      <w:r>
        <w:t xml:space="preserve">provided parties with a </w:t>
      </w:r>
      <w:r w:rsidR="001C76BE">
        <w:t xml:space="preserve">draft </w:t>
      </w:r>
      <w:r>
        <w:t xml:space="preserve">gas infrastructure </w:t>
      </w:r>
      <w:r w:rsidR="005459A7">
        <w:t>GO</w:t>
      </w:r>
      <w:r>
        <w:t xml:space="preserve"> </w:t>
      </w:r>
      <w:r w:rsidR="001C76BE">
        <w:t xml:space="preserve">proposed by Staff (Staff Proposal) </w:t>
      </w:r>
      <w:r>
        <w:t xml:space="preserve">and invited comment.  </w:t>
      </w:r>
      <w:r w:rsidR="004025E2">
        <w:t xml:space="preserve">The ruling included a number of specific questions for party comment. </w:t>
      </w:r>
      <w:r w:rsidR="00B2181C">
        <w:t xml:space="preserve"> The ruling additionally directed PG&amp;E, SDG&amp;E</w:t>
      </w:r>
      <w:r w:rsidR="00AF7203">
        <w:t>,</w:t>
      </w:r>
      <w:r w:rsidR="00B2181C">
        <w:t xml:space="preserve"> and SoCalGas to file a list of gas</w:t>
      </w:r>
      <w:r w:rsidR="00F93CE0">
        <w:t> </w:t>
      </w:r>
      <w:r w:rsidR="00B2181C">
        <w:t>infrastructure projects completed over the last 10 years that exceeded $100</w:t>
      </w:r>
      <w:r w:rsidR="00F93CE0">
        <w:t> </w:t>
      </w:r>
      <w:r w:rsidR="00B2181C">
        <w:t xml:space="preserve">million in capital expenditure.  </w:t>
      </w:r>
    </w:p>
    <w:p w:rsidR="002F405B" w:rsidP="00BF4D71" w:rsidRDefault="00B2181C" w14:paraId="686539CE" w14:textId="5EE5801D">
      <w:pPr>
        <w:pStyle w:val="Standard"/>
      </w:pPr>
      <w:r>
        <w:t xml:space="preserve">On </w:t>
      </w:r>
      <w:r w:rsidR="004F79E9">
        <w:t>June 28, 2022, EDF filed a Motion to Augment</w:t>
      </w:r>
      <w:r w:rsidR="007F0C78">
        <w:t xml:space="preserve"> the June 27, 2022 ALJ</w:t>
      </w:r>
      <w:r w:rsidR="00FB57A9">
        <w:t> </w:t>
      </w:r>
      <w:r w:rsidR="007F0C78">
        <w:t>ruling, requesting that the threshold for the list of gas infrastructure projects be lowered to $50 million</w:t>
      </w:r>
      <w:r w:rsidR="00F31FC5">
        <w:t xml:space="preserve">.  On </w:t>
      </w:r>
      <w:r w:rsidR="00063CD9">
        <w:t xml:space="preserve">July </w:t>
      </w:r>
      <w:r w:rsidR="002172DD">
        <w:t xml:space="preserve">8, 2022, an ALJ ruling </w:t>
      </w:r>
      <w:r w:rsidR="00063CD9">
        <w:t xml:space="preserve">granted the </w:t>
      </w:r>
      <w:r w:rsidR="00063CD9">
        <w:lastRenderedPageBreak/>
        <w:t>EDF</w:t>
      </w:r>
      <w:r w:rsidR="00FB57A9">
        <w:t> </w:t>
      </w:r>
      <w:r w:rsidR="00063CD9">
        <w:t xml:space="preserve">motion, </w:t>
      </w:r>
      <w:r w:rsidR="002172DD">
        <w:t xml:space="preserve">directed </w:t>
      </w:r>
      <w:r w:rsidR="00470370">
        <w:t>PG&amp;E, SDG&amp;E</w:t>
      </w:r>
      <w:r w:rsidR="00AF7203">
        <w:t>,</w:t>
      </w:r>
      <w:r w:rsidR="00470370">
        <w:t xml:space="preserve"> and SoCalGas to file a list of gas infrastructure projects completed over the last 10 years that exceeded $50</w:t>
      </w:r>
      <w:r w:rsidR="00F93CE0">
        <w:t> </w:t>
      </w:r>
      <w:r w:rsidR="00470370">
        <w:t>million in capital expenditure</w:t>
      </w:r>
      <w:r w:rsidR="00063CD9">
        <w:t xml:space="preserve">, </w:t>
      </w:r>
      <w:r w:rsidR="00F10E5A">
        <w:t xml:space="preserve">and provided other direction.  </w:t>
      </w:r>
      <w:r w:rsidR="002F405B">
        <w:t xml:space="preserve">On July </w:t>
      </w:r>
      <w:r w:rsidR="001C781F">
        <w:t xml:space="preserve">18, 2022, PG&amp;E, SDG&amp;E, and SoCalGas filed responses to the March 1, 2022 ALJ ruling requiring provision of </w:t>
      </w:r>
      <w:r w:rsidR="00DF6E6C">
        <w:t xml:space="preserve">gas infrastructure project data. </w:t>
      </w:r>
      <w:r w:rsidR="00123B8A">
        <w:t xml:space="preserve"> </w:t>
      </w:r>
    </w:p>
    <w:p w:rsidR="00BF4D71" w:rsidP="00BF4D71" w:rsidRDefault="00BF4D71" w14:paraId="4A00FDE4" w14:textId="2570CD93">
      <w:pPr>
        <w:pStyle w:val="Standard"/>
      </w:pPr>
      <w:r>
        <w:t xml:space="preserve">On July 25, 2022, </w:t>
      </w:r>
      <w:r w:rsidR="00F703F2">
        <w:t xml:space="preserve">CVGS, </w:t>
      </w:r>
      <w:proofErr w:type="spellStart"/>
      <w:r w:rsidR="00F703F2">
        <w:t>CforAT</w:t>
      </w:r>
      <w:proofErr w:type="spellEnd"/>
      <w:r w:rsidR="00F703F2">
        <w:t>, Indicated Shippers, PG&amp;E, UCAN, SCGC, Sierra Club/CEJA</w:t>
      </w:r>
      <w:r w:rsidR="00CD4C86">
        <w:t>/RMI</w:t>
      </w:r>
      <w:r w:rsidR="000D7F4E">
        <w:t>, SDG&amp;E, Cal Advocates, SoCalGas, Southwest</w:t>
      </w:r>
      <w:r w:rsidR="00AF7203">
        <w:t>,</w:t>
      </w:r>
      <w:r w:rsidR="00FF7B50">
        <w:t xml:space="preserve"> and EDF filed comments on the draft proposed </w:t>
      </w:r>
      <w:r w:rsidR="005459A7">
        <w:t>GO</w:t>
      </w:r>
      <w:r w:rsidR="00FF7B50">
        <w:t xml:space="preserve"> contained in the June</w:t>
      </w:r>
      <w:r w:rsidR="00F93CE0">
        <w:t> </w:t>
      </w:r>
      <w:r w:rsidR="00FF7B50">
        <w:t>27,</w:t>
      </w:r>
      <w:r w:rsidR="00F93CE0">
        <w:t> </w:t>
      </w:r>
      <w:r w:rsidR="00FF7B50">
        <w:t xml:space="preserve">2022 ALJ ruling.  On August 1, 2022, </w:t>
      </w:r>
      <w:r w:rsidR="00D915BE">
        <w:t>Sierra Club/CEJ</w:t>
      </w:r>
      <w:r w:rsidR="00CD4C86">
        <w:t xml:space="preserve">A/RMI, </w:t>
      </w:r>
      <w:r w:rsidR="00EF7E1B">
        <w:t xml:space="preserve">CVGS, UCAN, SoCalGas, PG&amp;E, SDG&amp;E, SCGC, and EDF filed reply comments on the draft proposed </w:t>
      </w:r>
      <w:r w:rsidR="005459A7">
        <w:t>GO</w:t>
      </w:r>
      <w:r w:rsidR="00EF7E1B">
        <w:t>.</w:t>
      </w:r>
    </w:p>
    <w:p w:rsidR="005A148C" w:rsidP="0009044A" w:rsidRDefault="005939A5" w14:paraId="61D863E7" w14:textId="44851E80">
      <w:pPr>
        <w:pStyle w:val="Heading1"/>
      </w:pPr>
      <w:bookmarkStart w:name="_Toc8123719" w:id="11"/>
      <w:bookmarkStart w:name="_Toc120692794" w:id="12"/>
      <w:r>
        <w:t xml:space="preserve">Issues </w:t>
      </w:r>
      <w:r w:rsidRPr="005A0E26">
        <w:t>Before</w:t>
      </w:r>
      <w:r>
        <w:t xml:space="preserve"> the Commission</w:t>
      </w:r>
      <w:bookmarkEnd w:id="11"/>
      <w:bookmarkEnd w:id="12"/>
    </w:p>
    <w:p w:rsidR="009C24D8" w:rsidP="00EA62AE" w:rsidRDefault="00CF3217" w14:paraId="03014033" w14:textId="0602735A">
      <w:pPr>
        <w:pStyle w:val="Standard"/>
      </w:pPr>
      <w:r>
        <w:t xml:space="preserve">This decision addresses </w:t>
      </w:r>
      <w:r w:rsidR="00D91877">
        <w:t xml:space="preserve">issue (a) of </w:t>
      </w:r>
      <w:r>
        <w:t>Track 2(a)</w:t>
      </w:r>
      <w:r w:rsidR="006C1818">
        <w:t xml:space="preserve"> identified in the Second</w:t>
      </w:r>
      <w:r w:rsidR="00FB57A9">
        <w:t> </w:t>
      </w:r>
      <w:r w:rsidR="006C1818">
        <w:t>Amended Scoping Memo on Track 2 issues</w:t>
      </w:r>
      <w:r>
        <w:t xml:space="preserve">:  </w:t>
      </w:r>
    </w:p>
    <w:p w:rsidR="00BA3D37" w:rsidP="00F93CE0" w:rsidRDefault="00CF3217" w14:paraId="2C8A7606" w14:textId="198FF493">
      <w:pPr>
        <w:pStyle w:val="BlockQuote"/>
        <w:tabs>
          <w:tab w:val="left" w:pos="8190"/>
        </w:tabs>
        <w:ind w:right="1440"/>
      </w:pPr>
      <w:r w:rsidRPr="00CF3217">
        <w:t xml:space="preserve">Should the Commission consider adopting a </w:t>
      </w:r>
      <w:r w:rsidR="005459A7">
        <w:t>GO</w:t>
      </w:r>
      <w:r w:rsidR="00C85E9C">
        <w:t xml:space="preserve"> </w:t>
      </w:r>
      <w:r w:rsidRPr="00CF3217">
        <w:t>analogous to GO</w:t>
      </w:r>
      <w:r w:rsidR="00FB57A9">
        <w:t> </w:t>
      </w:r>
      <w:r w:rsidRPr="00CF3217">
        <w:t>131-D for electric infrastructure projects, that would require site</w:t>
      </w:r>
      <w:r w:rsidR="00544C18">
        <w:noBreakHyphen/>
      </w:r>
      <w:r w:rsidRPr="00CF3217">
        <w:t>specific approvals for gas infrastructure projects that exceed a certain size or cost?</w:t>
      </w:r>
      <w:r w:rsidR="00EF7E1B">
        <w:t xml:space="preserve"> </w:t>
      </w:r>
    </w:p>
    <w:p w:rsidR="00E16AE5" w:rsidP="00EA62AE" w:rsidRDefault="00F1293E" w14:paraId="6F2DDEFA" w14:textId="30292CDB">
      <w:pPr>
        <w:pStyle w:val="Standard"/>
      </w:pPr>
      <w:r>
        <w:t xml:space="preserve">In the course of </w:t>
      </w:r>
      <w:r w:rsidR="000317C4">
        <w:t>reviewing party comments on the</w:t>
      </w:r>
      <w:r>
        <w:t xml:space="preserve"> Staff Proposal, </w:t>
      </w:r>
      <w:r w:rsidR="000317C4">
        <w:t xml:space="preserve">we identified </w:t>
      </w:r>
      <w:r w:rsidR="00AC6AF3">
        <w:t xml:space="preserve">the following </w:t>
      </w:r>
      <w:r>
        <w:t>su</w:t>
      </w:r>
      <w:r w:rsidR="001B2E31">
        <w:t>b-</w:t>
      </w:r>
      <w:r>
        <w:t>issues</w:t>
      </w:r>
      <w:r w:rsidR="00906F5B">
        <w:t xml:space="preserve"> to </w:t>
      </w:r>
      <w:r w:rsidR="001B2E31">
        <w:t>the Second Amended Scoping Memo</w:t>
      </w:r>
      <w:r w:rsidDel="00ED2399" w:rsidR="001B2E31">
        <w:t xml:space="preserve"> </w:t>
      </w:r>
      <w:r w:rsidR="00906F5B">
        <w:t>question</w:t>
      </w:r>
      <w:r w:rsidR="001B2E31">
        <w:t xml:space="preserve">.  We use these sub-issues </w:t>
      </w:r>
      <w:r w:rsidR="00464B6E">
        <w:t xml:space="preserve">to </w:t>
      </w:r>
      <w:r w:rsidR="00AC6AF3">
        <w:t xml:space="preserve">structure this decision: </w:t>
      </w:r>
    </w:p>
    <w:p w:rsidR="001A1F5D" w:rsidP="0009044A" w:rsidRDefault="001A1F5D" w14:paraId="71733FA6" w14:textId="484ED83F">
      <w:pPr>
        <w:pStyle w:val="ListAlpha"/>
        <w:ind w:right="1440"/>
      </w:pPr>
      <w:r>
        <w:t xml:space="preserve">What </w:t>
      </w:r>
      <w:r w:rsidR="00173F58">
        <w:t xml:space="preserve">should be the </w:t>
      </w:r>
      <w:r w:rsidR="00786FA5">
        <w:t xml:space="preserve">main objectives </w:t>
      </w:r>
      <w:r>
        <w:t xml:space="preserve">of the </w:t>
      </w:r>
      <w:r w:rsidR="00173F58">
        <w:t xml:space="preserve">proposed </w:t>
      </w:r>
      <w:r w:rsidR="005459A7">
        <w:t>GO</w:t>
      </w:r>
      <w:r>
        <w:t xml:space="preserve">? </w:t>
      </w:r>
    </w:p>
    <w:p w:rsidR="00F1293E" w:rsidP="0009044A" w:rsidRDefault="00F56A7F" w14:paraId="5789C6EF" w14:textId="40AA4A3A">
      <w:pPr>
        <w:pStyle w:val="ListAlpha"/>
        <w:ind w:right="1440"/>
      </w:pPr>
      <w:r>
        <w:t xml:space="preserve">Should the </w:t>
      </w:r>
      <w:r w:rsidRPr="005A0E26">
        <w:t>Commission</w:t>
      </w:r>
      <w:r>
        <w:t xml:space="preserve"> adopt a monetary threshold t</w:t>
      </w:r>
      <w:r w:rsidR="00173F58">
        <w:t xml:space="preserve">o </w:t>
      </w:r>
      <w:r>
        <w:t xml:space="preserve">trigger a permit </w:t>
      </w:r>
      <w:r w:rsidR="00334D0B">
        <w:t>to construct</w:t>
      </w:r>
      <w:r w:rsidR="00E9389F">
        <w:t xml:space="preserve"> </w:t>
      </w:r>
      <w:r w:rsidR="000D3EB1">
        <w:t xml:space="preserve">(PTC) </w:t>
      </w:r>
      <w:r w:rsidR="005B5060">
        <w:t>and/</w:t>
      </w:r>
      <w:r w:rsidR="005C4AD1">
        <w:t>or a</w:t>
      </w:r>
      <w:r w:rsidRPr="005C4AD1" w:rsidR="005C4AD1">
        <w:t xml:space="preserve"> </w:t>
      </w:r>
      <w:r w:rsidR="005C4AD1">
        <w:t>certificate of public</w:t>
      </w:r>
      <w:r w:rsidR="00F93CE0">
        <w:t> </w:t>
      </w:r>
      <w:r w:rsidR="005C4AD1">
        <w:t xml:space="preserve">convenience and necessity </w:t>
      </w:r>
      <w:r w:rsidR="00E9389F">
        <w:t>(</w:t>
      </w:r>
      <w:r w:rsidR="005C4AD1">
        <w:t>CPCN</w:t>
      </w:r>
      <w:r w:rsidR="00E9389F">
        <w:t>)</w:t>
      </w:r>
      <w:r w:rsidDel="00FD1E6D">
        <w:t xml:space="preserve"> </w:t>
      </w:r>
      <w:r>
        <w:t xml:space="preserve">application requirement for gas infrastructure? </w:t>
      </w:r>
    </w:p>
    <w:p w:rsidR="000246D6" w:rsidP="0009044A" w:rsidRDefault="000246D6" w14:paraId="60E44963" w14:textId="77777777">
      <w:pPr>
        <w:pStyle w:val="ListAlpha"/>
        <w:ind w:right="1440"/>
      </w:pPr>
      <w:r>
        <w:t xml:space="preserve">Should the Commission adopt </w:t>
      </w:r>
      <w:r w:rsidRPr="005A0E26">
        <w:t>different</w:t>
      </w:r>
      <w:r>
        <w:t xml:space="preserve"> requirements for PTC versus CPCN applications regarding gas infrastructure? </w:t>
      </w:r>
    </w:p>
    <w:p w:rsidR="00F56A7F" w:rsidP="0009044A" w:rsidRDefault="00F56A7F" w14:paraId="4513E7F9" w14:textId="5CDD0308">
      <w:pPr>
        <w:pStyle w:val="ListAlpha"/>
        <w:ind w:right="1440"/>
      </w:pPr>
      <w:r>
        <w:lastRenderedPageBreak/>
        <w:t>Should the Commission adopt a</w:t>
      </w:r>
      <w:r w:rsidR="00DC3357">
        <w:t xml:space="preserve">n environmental impact </w:t>
      </w:r>
      <w:r w:rsidR="00C25669">
        <w:t xml:space="preserve">threshold to </w:t>
      </w:r>
      <w:r w:rsidR="00DC3357">
        <w:t xml:space="preserve">trigger a </w:t>
      </w:r>
      <w:r w:rsidR="00FE6C8B">
        <w:t xml:space="preserve">CPCN </w:t>
      </w:r>
      <w:r w:rsidR="00DC3357">
        <w:t xml:space="preserve">application requirement for gas infrastructure? </w:t>
      </w:r>
    </w:p>
    <w:p w:rsidR="006E615D" w:rsidP="0009044A" w:rsidRDefault="006E615D" w14:paraId="26B6F380" w14:textId="0DE24DD7">
      <w:pPr>
        <w:pStyle w:val="ListAlpha"/>
        <w:ind w:right="1440"/>
      </w:pPr>
      <w:r>
        <w:t xml:space="preserve">Should the </w:t>
      </w:r>
      <w:r w:rsidRPr="005A0E26">
        <w:t>Commission</w:t>
      </w:r>
      <w:r>
        <w:t xml:space="preserve"> adopt any additional criteria to trigger a </w:t>
      </w:r>
      <w:r w:rsidR="000246D6">
        <w:t xml:space="preserve">CPCN </w:t>
      </w:r>
      <w:r>
        <w:t xml:space="preserve">application requirement for gas infrastructure? </w:t>
      </w:r>
    </w:p>
    <w:p w:rsidR="006755D6" w:rsidP="0009044A" w:rsidRDefault="006755D6" w14:paraId="0A4B4633" w14:textId="66BC72CC">
      <w:pPr>
        <w:pStyle w:val="ListAlpha"/>
        <w:ind w:right="1440"/>
      </w:pPr>
      <w:r>
        <w:t xml:space="preserve">Should the Commission define the term “project” for purposes of the </w:t>
      </w:r>
      <w:r w:rsidR="005459A7">
        <w:t>GO</w:t>
      </w:r>
      <w:r w:rsidR="00E05CBA">
        <w:t xml:space="preserve"> and, if so, how? </w:t>
      </w:r>
    </w:p>
    <w:p w:rsidR="006755D6" w:rsidP="0009044A" w:rsidRDefault="006755D6" w14:paraId="329F2BA5" w14:textId="47E98F8E">
      <w:pPr>
        <w:pStyle w:val="ListAlpha"/>
        <w:ind w:right="1440"/>
      </w:pPr>
      <w:r>
        <w:t xml:space="preserve">Should the Commission exclude </w:t>
      </w:r>
      <w:r w:rsidR="00480B7D">
        <w:t xml:space="preserve">or exempt </w:t>
      </w:r>
      <w:r w:rsidRPr="005A0E26" w:rsidR="00480B7D">
        <w:t>emergency</w:t>
      </w:r>
      <w:r w:rsidR="00480B7D">
        <w:t xml:space="preserve"> projects from the </w:t>
      </w:r>
      <w:r w:rsidR="005459A7">
        <w:t>GO</w:t>
      </w:r>
      <w:r w:rsidR="00480B7D">
        <w:t xml:space="preserve">? </w:t>
      </w:r>
    </w:p>
    <w:p w:rsidR="00480B7D" w:rsidP="0009044A" w:rsidRDefault="00480B7D" w14:paraId="1A131AD7" w14:textId="6459C7B6">
      <w:pPr>
        <w:pStyle w:val="ListAlpha"/>
        <w:ind w:right="1440"/>
      </w:pPr>
      <w:r>
        <w:t xml:space="preserve">What types of </w:t>
      </w:r>
      <w:r w:rsidR="00E05CBA">
        <w:t xml:space="preserve">gas infrastructure </w:t>
      </w:r>
      <w:r>
        <w:t>projects</w:t>
      </w:r>
      <w:r w:rsidR="00E05CBA">
        <w:t xml:space="preserve">, if any, </w:t>
      </w:r>
      <w:r>
        <w:t xml:space="preserve">should be exempt from </w:t>
      </w:r>
      <w:r w:rsidR="00FE6C8B">
        <w:t xml:space="preserve">CPCN </w:t>
      </w:r>
      <w:r>
        <w:t xml:space="preserve">application requirements? </w:t>
      </w:r>
    </w:p>
    <w:p w:rsidR="001A72B4" w:rsidP="0009044A" w:rsidRDefault="001A72B4" w14:paraId="688776A1" w14:textId="50176A8E">
      <w:pPr>
        <w:pStyle w:val="ListAlpha"/>
        <w:ind w:right="1440"/>
      </w:pPr>
      <w:r>
        <w:t xml:space="preserve">Should the Commission adopt </w:t>
      </w:r>
      <w:r w:rsidR="00E05CBA">
        <w:t xml:space="preserve">any </w:t>
      </w:r>
      <w:r>
        <w:t>“exceptions” to exemptions from</w:t>
      </w:r>
      <w:r w:rsidR="00E05CBA">
        <w:t xml:space="preserve"> </w:t>
      </w:r>
      <w:r w:rsidR="00FE6C8B">
        <w:t xml:space="preserve">CPCN </w:t>
      </w:r>
      <w:r w:rsidR="00E05CBA">
        <w:t>application requirements</w:t>
      </w:r>
      <w:r>
        <w:t xml:space="preserve">? </w:t>
      </w:r>
    </w:p>
    <w:p w:rsidR="001A72B4" w:rsidP="0009044A" w:rsidRDefault="001A72B4" w14:paraId="4B7EB91C" w14:textId="1EFE3885">
      <w:pPr>
        <w:pStyle w:val="ListAlpha"/>
        <w:ind w:right="1440"/>
      </w:pPr>
      <w:r>
        <w:t xml:space="preserve">What </w:t>
      </w:r>
      <w:r w:rsidR="00E05CBA">
        <w:t>n</w:t>
      </w:r>
      <w:r>
        <w:t xml:space="preserve">otification </w:t>
      </w:r>
      <w:r w:rsidRPr="005A0E26">
        <w:t>requirements</w:t>
      </w:r>
      <w:r>
        <w:t xml:space="preserve"> </w:t>
      </w:r>
      <w:r w:rsidR="00E05CBA">
        <w:t xml:space="preserve">should the </w:t>
      </w:r>
      <w:r w:rsidR="005459A7">
        <w:t>GO</w:t>
      </w:r>
      <w:r w:rsidR="00E05CBA">
        <w:t xml:space="preserve"> contain</w:t>
      </w:r>
      <w:r>
        <w:t xml:space="preserve">? </w:t>
      </w:r>
    </w:p>
    <w:p w:rsidR="001A1F5D" w:rsidP="0009044A" w:rsidRDefault="001A1F5D" w14:paraId="158356B6" w14:textId="1D3C3722">
      <w:pPr>
        <w:pStyle w:val="ListAlpha"/>
        <w:ind w:right="1440"/>
      </w:pPr>
      <w:r>
        <w:t xml:space="preserve">What information </w:t>
      </w:r>
      <w:r w:rsidRPr="005A0E26" w:rsidR="00746D89">
        <w:t>should</w:t>
      </w:r>
      <w:r w:rsidR="00746D89">
        <w:t xml:space="preserve"> </w:t>
      </w:r>
      <w:r w:rsidR="00FE6C8B">
        <w:t xml:space="preserve">CPCN </w:t>
      </w:r>
      <w:r w:rsidR="00746D89">
        <w:t xml:space="preserve">applications covered by the </w:t>
      </w:r>
      <w:r w:rsidR="005459A7">
        <w:t>GO</w:t>
      </w:r>
      <w:r w:rsidR="00746D89">
        <w:t xml:space="preserve"> contain?   </w:t>
      </w:r>
      <w:r>
        <w:t xml:space="preserve"> </w:t>
      </w:r>
    </w:p>
    <w:p w:rsidR="001A1F5D" w:rsidP="0009044A" w:rsidRDefault="001A1F5D" w14:paraId="394E8887" w14:textId="0881CF5A">
      <w:pPr>
        <w:pStyle w:val="ListAlpha"/>
        <w:ind w:right="1440"/>
      </w:pPr>
      <w:r>
        <w:t xml:space="preserve">What </w:t>
      </w:r>
      <w:r w:rsidR="00746D89">
        <w:t xml:space="preserve">type of </w:t>
      </w:r>
      <w:r w:rsidRPr="005A0E26" w:rsidR="00746D89">
        <w:t>additional</w:t>
      </w:r>
      <w:r w:rsidR="00746D89">
        <w:t xml:space="preserve"> </w:t>
      </w:r>
      <w:r>
        <w:t xml:space="preserve">reporting </w:t>
      </w:r>
      <w:r w:rsidR="00746D89">
        <w:t xml:space="preserve">on gas infrastructure projects should the </w:t>
      </w:r>
      <w:r w:rsidR="005459A7">
        <w:t>GO</w:t>
      </w:r>
      <w:r w:rsidR="00746D89">
        <w:t xml:space="preserve"> require</w:t>
      </w:r>
      <w:r>
        <w:t>?</w:t>
      </w:r>
    </w:p>
    <w:p w:rsidR="001A1F5D" w:rsidP="0009044A" w:rsidRDefault="001A1F5D" w14:paraId="4C0A395B" w14:textId="4CF96F32">
      <w:pPr>
        <w:pStyle w:val="ListAlpha"/>
        <w:ind w:right="1440"/>
      </w:pPr>
      <w:r>
        <w:t xml:space="preserve">Are all terms appropriately </w:t>
      </w:r>
      <w:r w:rsidRPr="005A0E26">
        <w:t>defined</w:t>
      </w:r>
      <w:r>
        <w:t xml:space="preserve"> in the </w:t>
      </w:r>
      <w:r w:rsidR="005459A7">
        <w:t>GO</w:t>
      </w:r>
      <w:r>
        <w:t xml:space="preserve">? </w:t>
      </w:r>
    </w:p>
    <w:p w:rsidR="003351D6" w:rsidP="0009044A" w:rsidRDefault="003351D6" w14:paraId="3EA26F17" w14:textId="2A9F3A17">
      <w:pPr>
        <w:pStyle w:val="Heading1"/>
      </w:pPr>
      <w:bookmarkStart w:name="_Toc120692795" w:id="13"/>
      <w:bookmarkStart w:name="_Toc8123723" w:id="14"/>
      <w:r w:rsidRPr="005A0E26">
        <w:t>Jurisdiction</w:t>
      </w:r>
      <w:bookmarkEnd w:id="13"/>
    </w:p>
    <w:p w:rsidR="00092A5F" w:rsidP="00092A5F" w:rsidRDefault="00A3347D" w14:paraId="46841DB4" w14:textId="068BCFB9">
      <w:pPr>
        <w:pStyle w:val="Standard"/>
      </w:pPr>
      <w:r>
        <w:t>The Public Utilities Code (Pub. Util. Code) Section</w:t>
      </w:r>
      <w:r w:rsidR="00F805A6">
        <w:t xml:space="preserve"> 216 defines </w:t>
      </w:r>
      <w:r w:rsidR="00092A5F">
        <w:t xml:space="preserve">gas corporations as public utilities subject to this Commission’s jurisdiction.  </w:t>
      </w:r>
      <w:r w:rsidR="00C32503">
        <w:t>Pub. Util. Code Section</w:t>
      </w:r>
      <w:r w:rsidR="00A41A9C">
        <w:t>s</w:t>
      </w:r>
      <w:r w:rsidR="00C32503">
        <w:t xml:space="preserve"> 221</w:t>
      </w:r>
      <w:r w:rsidR="003A56D1">
        <w:t xml:space="preserve">, </w:t>
      </w:r>
      <w:r w:rsidR="00A41A9C">
        <w:t>222</w:t>
      </w:r>
      <w:r w:rsidR="003A56D1">
        <w:t xml:space="preserve">, and 891 </w:t>
      </w:r>
      <w:r w:rsidR="00C32503">
        <w:t>define “gas plant</w:t>
      </w:r>
      <w:r w:rsidR="003A56D1">
        <w:t>,</w:t>
      </w:r>
      <w:r w:rsidR="00C32503">
        <w:t>”</w:t>
      </w:r>
      <w:r w:rsidR="003A56D1">
        <w:t xml:space="preserve"> </w:t>
      </w:r>
      <w:r w:rsidR="00A41A9C">
        <w:t xml:space="preserve">“gas corporations,” </w:t>
      </w:r>
      <w:r w:rsidR="003A56D1">
        <w:t xml:space="preserve">and “gas utility,” </w:t>
      </w:r>
      <w:r w:rsidR="00A41A9C">
        <w:t xml:space="preserve">respectively. </w:t>
      </w:r>
      <w:r w:rsidR="00C32503">
        <w:t xml:space="preserve"> </w:t>
      </w:r>
      <w:r>
        <w:t xml:space="preserve"> </w:t>
      </w:r>
    </w:p>
    <w:p w:rsidR="00A3347D" w:rsidP="00092A5F" w:rsidRDefault="00092A5F" w14:paraId="2115BB00" w14:textId="1171C968">
      <w:pPr>
        <w:pStyle w:val="Standard"/>
      </w:pPr>
      <w:r>
        <w:t xml:space="preserve">Pub. Util. Code Section </w:t>
      </w:r>
      <w:r w:rsidR="00A3347D">
        <w:t>451 requires gas rates to be just and reasonable.</w:t>
      </w:r>
      <w:r w:rsidR="00307DF4">
        <w:t xml:space="preserve">  </w:t>
      </w:r>
      <w:r w:rsidR="00A41A9C">
        <w:t xml:space="preserve">Pub. Util. Code </w:t>
      </w:r>
      <w:r w:rsidR="00A3347D">
        <w:t xml:space="preserve">Section 701.1(b) states that natural gas utilities should seek to exploit all practicable and cost-effective conservation and improvements in the efficiency of energy use and distribution that offer equivalent or better system </w:t>
      </w:r>
      <w:r w:rsidR="00A3347D">
        <w:lastRenderedPageBreak/>
        <w:t xml:space="preserve">reliability.  Consideration of cost-effectiveness shall include a value for any costs and benefits to the environment, including air quality.   </w:t>
      </w:r>
    </w:p>
    <w:p w:rsidR="00065EFD" w:rsidP="00092A5F" w:rsidRDefault="00653079" w14:paraId="0E065E16" w14:textId="4127E469">
      <w:pPr>
        <w:pStyle w:val="Standard"/>
      </w:pPr>
      <w:r>
        <w:t xml:space="preserve">Pub. Util. Code Section </w:t>
      </w:r>
      <w:r w:rsidR="00F62860">
        <w:t xml:space="preserve">454.52(a)(1)(I) states that </w:t>
      </w:r>
      <w:r w:rsidR="00B525A7">
        <w:t xml:space="preserve">the Commission should adopt a process for utilities </w:t>
      </w:r>
      <w:r w:rsidR="00D460E4">
        <w:t xml:space="preserve">to adopt plans that minimize </w:t>
      </w:r>
      <w:r w:rsidR="008C09DB">
        <w:t>localized</w:t>
      </w:r>
      <w:r w:rsidR="001D6A71">
        <w:t xml:space="preserve"> air pollutants and other </w:t>
      </w:r>
      <w:r w:rsidR="008C09DB">
        <w:t>greenhouse gas</w:t>
      </w:r>
      <w:r w:rsidR="002A5062">
        <w:t xml:space="preserve"> emissions, with </w:t>
      </w:r>
      <w:r w:rsidR="00656853">
        <w:t xml:space="preserve">an early priority on disadvantaged communities. </w:t>
      </w:r>
    </w:p>
    <w:p w:rsidR="00A3347D" w:rsidP="00422243" w:rsidRDefault="00A41A9C" w14:paraId="5CA925C4" w14:textId="4B225969">
      <w:pPr>
        <w:pStyle w:val="Standard"/>
      </w:pPr>
      <w:r>
        <w:t xml:space="preserve">Pub. Util. Code </w:t>
      </w:r>
      <w:r w:rsidR="00A3347D">
        <w:t>Section 701 states that the Commission may supervise and regulate every public utility in the State and may do all things</w:t>
      </w:r>
      <w:r w:rsidR="003A56D1">
        <w:t xml:space="preserve"> </w:t>
      </w:r>
      <w:r w:rsidR="00A3347D">
        <w:t>which are necessary and convenient in the exercise of such power and jurisdiction.</w:t>
      </w:r>
      <w:r w:rsidR="00422243">
        <w:t xml:space="preserve">  </w:t>
      </w:r>
      <w:r>
        <w:t xml:space="preserve">Pub. Util. Code </w:t>
      </w:r>
      <w:r w:rsidR="00A3347D">
        <w:t xml:space="preserve">Section 702 states that every public utility shall comply with every order, decision, direction, or rule made or prescribed by the Commission and shall do everything necessary or proper to secure compliance therewith by all of its officers, agents, and employees.  </w:t>
      </w:r>
    </w:p>
    <w:p w:rsidR="00A3347D" w:rsidP="00A3347D" w:rsidRDefault="00A41A9C" w14:paraId="601AB0A2" w14:textId="42B401F7">
      <w:pPr>
        <w:pStyle w:val="Standard"/>
      </w:pPr>
      <w:r>
        <w:t xml:space="preserve">Pub. Util. Code </w:t>
      </w:r>
      <w:r w:rsidR="00A3347D">
        <w:t xml:space="preserve">Section 761 provides that, whenever the Commission, after a hearing, finds that the rules, practices, equipment, appliances, facilities, or service of any public utility, or the methods of manufacture, distribution, transmission, storage, or supply employed by it, are unjust, unreasonable, unsafe, improper, inadequate, or insufficient, the Commission shall determine and, by order or rule, fix the rules, practices, equipment, appliances, facilities, service, or methods to be observed, furnished, constructed, enforced, or employed. </w:t>
      </w:r>
    </w:p>
    <w:p w:rsidR="00A3347D" w:rsidP="00A3347D" w:rsidRDefault="00A41A9C" w14:paraId="7AF72E49" w14:textId="3A65D417">
      <w:pPr>
        <w:pStyle w:val="Standard"/>
      </w:pPr>
      <w:r>
        <w:t xml:space="preserve">Pub. Util. Code </w:t>
      </w:r>
      <w:r w:rsidR="00A3347D">
        <w:t xml:space="preserve">Section 762 </w:t>
      </w:r>
      <w:r w:rsidR="003A7D7C">
        <w:t>provides</w:t>
      </w:r>
      <w:r w:rsidR="00A3347D">
        <w:t xml:space="preserve"> that, whenever the Commission, after a hearing, finds that additions, extensions, repairs, or improvements to, or changes in, the existing plant, equipment, apparatus, facilities, or other physical property of any public utility or of any two or more public utilities ought reasonably to be made, or that new structures should be erected, to promote the </w:t>
      </w:r>
      <w:r w:rsidR="00A3347D">
        <w:lastRenderedPageBreak/>
        <w:t xml:space="preserve">security or convenience of its employees or the public, or in any other way to secure adequate service or facilities, the </w:t>
      </w:r>
      <w:r w:rsidR="003A56D1">
        <w:t>C</w:t>
      </w:r>
      <w:r w:rsidR="00A3347D">
        <w:t xml:space="preserve">ommission shall make and serve an order directing that such additions, extensions, repairs, improvements, or changes be made or such structures be erected in the manner and within the time specified in the order. </w:t>
      </w:r>
      <w:r>
        <w:t xml:space="preserve"> Pub. Util. Code </w:t>
      </w:r>
      <w:r w:rsidR="00A3347D">
        <w:t>Section 762.5 proposes that, the Commission shall give consideration to the factors of (a) community values; (b)</w:t>
      </w:r>
      <w:r w:rsidR="00FD0338">
        <w:t> </w:t>
      </w:r>
      <w:r w:rsidR="00A3347D">
        <w:t>recreational and park areas; (c) historical and aesthetic values; and (d)</w:t>
      </w:r>
      <w:r w:rsidR="00F93CE0">
        <w:t> </w:t>
      </w:r>
      <w:r w:rsidR="00A3347D">
        <w:t xml:space="preserve">influence on the environment, when making orders pursuant to </w:t>
      </w:r>
      <w:r>
        <w:t xml:space="preserve">Pub. Util. Code </w:t>
      </w:r>
      <w:r w:rsidR="00A3347D">
        <w:t>Section</w:t>
      </w:r>
      <w:r w:rsidR="00FD0338">
        <w:t> </w:t>
      </w:r>
      <w:r w:rsidR="00A3347D">
        <w:t xml:space="preserve">762.  </w:t>
      </w:r>
    </w:p>
    <w:p w:rsidR="00A3347D" w:rsidP="00A3347D" w:rsidRDefault="00A3347D" w14:paraId="77B794E3" w14:textId="0B050AC7">
      <w:pPr>
        <w:pStyle w:val="Standard"/>
      </w:pPr>
      <w:r>
        <w:t xml:space="preserve">Pub. Util. Code Section 1001 </w:t>
      </w:r>
      <w:r w:rsidRPr="008D6735">
        <w:rPr>
          <w:i/>
          <w:iCs/>
        </w:rPr>
        <w:t>et seq</w:t>
      </w:r>
      <w:r>
        <w:t xml:space="preserve"> </w:t>
      </w:r>
      <w:r w:rsidR="008D6735">
        <w:t>sets forth requirements for gas</w:t>
      </w:r>
      <w:r w:rsidR="00F93CE0">
        <w:t> </w:t>
      </w:r>
      <w:r w:rsidR="008D6735">
        <w:t>infrastructure CPC</w:t>
      </w:r>
      <w:r w:rsidR="00151324">
        <w:t>N</w:t>
      </w:r>
      <w:r w:rsidR="008D6735">
        <w:t xml:space="preserve"> applications.  Pub. Util. Code Section 1</w:t>
      </w:r>
      <w:r>
        <w:t xml:space="preserve">005.5(a) provides that the Commission should determine the maximum cost for </w:t>
      </w:r>
      <w:r w:rsidR="00C2654D">
        <w:t xml:space="preserve">gas infrastructure </w:t>
      </w:r>
      <w:r>
        <w:t>projects exceeding $50 million using an estimate of the anticipated construction cost</w:t>
      </w:r>
      <w:r w:rsidR="00151324">
        <w:t xml:space="preserve"> and t</w:t>
      </w:r>
      <w:r>
        <w:t xml:space="preserve">aking into consideration </w:t>
      </w:r>
      <w:r w:rsidR="008D6735">
        <w:t xml:space="preserve">various factors.  </w:t>
      </w:r>
      <w:r>
        <w:t xml:space="preserve">Section 1005.5(b) specifies that, after a CPCN has been issued, the gas corporation may apply to the Commission for an increase in the maximum cost specified in it. </w:t>
      </w:r>
    </w:p>
    <w:p w:rsidR="003351D6" w:rsidP="00A3347D" w:rsidRDefault="00A3347D" w14:paraId="4681CA4D" w14:textId="58D7B7BB">
      <w:pPr>
        <w:pStyle w:val="Standard"/>
      </w:pPr>
      <w:r>
        <w:t>Article XI, Section 8 of the California Constitution states that, “[a] city, county, or other public body may not regulate matters over which the Legislature grants regulatory power to the Commission.”</w:t>
      </w:r>
    </w:p>
    <w:p w:rsidR="00746D89" w:rsidP="0009044A" w:rsidRDefault="00746D89" w14:paraId="2B085B26" w14:textId="58021B5D">
      <w:pPr>
        <w:pStyle w:val="Heading1"/>
      </w:pPr>
      <w:bookmarkStart w:name="_Toc120692796" w:id="15"/>
      <w:r>
        <w:t>Part</w:t>
      </w:r>
      <w:r w:rsidR="00BB3BD5">
        <w:t>ies</w:t>
      </w:r>
      <w:r w:rsidR="00011615">
        <w:t>’</w:t>
      </w:r>
      <w:r w:rsidR="00BB3BD5">
        <w:t xml:space="preserve"> General Responses</w:t>
      </w:r>
      <w:r w:rsidR="00456BAF">
        <w:t xml:space="preserve"> </w:t>
      </w:r>
      <w:r w:rsidR="00544C18">
        <w:br/>
      </w:r>
      <w:r w:rsidR="00456BAF">
        <w:t>to the Staff Proposal</w:t>
      </w:r>
      <w:bookmarkEnd w:id="15"/>
    </w:p>
    <w:p w:rsidR="00BB3BD5" w:rsidP="00BB3BD5" w:rsidRDefault="00055F50" w14:paraId="62300216" w14:textId="4D1DF2D1">
      <w:pPr>
        <w:pStyle w:val="Standard"/>
      </w:pPr>
      <w:r>
        <w:t>Parties</w:t>
      </w:r>
      <w:r w:rsidR="00011615">
        <w:t>’</w:t>
      </w:r>
      <w:r>
        <w:t xml:space="preserve"> responses to the Staff Proposal generally </w:t>
      </w:r>
      <w:r w:rsidR="0090788B">
        <w:t xml:space="preserve">differ </w:t>
      </w:r>
      <w:r>
        <w:t>between gas corporations, on the one hand, and intervenors on the other.</w:t>
      </w:r>
      <w:r w:rsidR="00356A5D">
        <w:t xml:space="preserve">  The gas corporations (PG&amp;E, SoCalGas, SDG&amp;E, Southwest) generally support</w:t>
      </w:r>
      <w:r w:rsidR="00B833EB">
        <w:t xml:space="preserve"> </w:t>
      </w:r>
      <w:r w:rsidR="00356A5D">
        <w:t>the Staff Proposal, with some exceptions.</w:t>
      </w:r>
      <w:r w:rsidR="00456BAF">
        <w:t xml:space="preserve">  The gas corporations</w:t>
      </w:r>
      <w:r w:rsidR="00B833EB">
        <w:t xml:space="preserve"> </w:t>
      </w:r>
      <w:r w:rsidR="00F54F96">
        <w:t xml:space="preserve">support a </w:t>
      </w:r>
      <w:r w:rsidR="00B833EB">
        <w:t>$100</w:t>
      </w:r>
      <w:r w:rsidR="00F93CE0">
        <w:t> </w:t>
      </w:r>
      <w:r w:rsidR="00B833EB">
        <w:t>million threshold for a</w:t>
      </w:r>
      <w:r w:rsidR="00FE6C8B">
        <w:t xml:space="preserve">n </w:t>
      </w:r>
      <w:r w:rsidR="00B833EB">
        <w:t>application</w:t>
      </w:r>
      <w:r w:rsidR="00F54F96">
        <w:t xml:space="preserve"> </w:t>
      </w:r>
      <w:r w:rsidR="00FE6C8B">
        <w:t xml:space="preserve">requirement </w:t>
      </w:r>
      <w:r w:rsidR="00F54F96">
        <w:t xml:space="preserve">but raise concerns with Staff’s proposed </w:t>
      </w:r>
      <w:r w:rsidR="00F54F96">
        <w:lastRenderedPageBreak/>
        <w:t>environmental criteria</w:t>
      </w:r>
      <w:r w:rsidR="00EC75AA">
        <w:t xml:space="preserve">.  Gas corporations also raise concerns about </w:t>
      </w:r>
      <w:r w:rsidR="0028627A">
        <w:t xml:space="preserve">notification requirements for projects exempt from a permit requirement, particularly gas distribution lines less than 12 inches in diameter. </w:t>
      </w:r>
      <w:r w:rsidR="00D15290">
        <w:t xml:space="preserve"> </w:t>
      </w:r>
      <w:r w:rsidR="004D400F">
        <w:t xml:space="preserve">Some gas corporations </w:t>
      </w:r>
      <w:r w:rsidR="00835335">
        <w:t xml:space="preserve">argue that </w:t>
      </w:r>
      <w:r w:rsidR="0001500D">
        <w:t xml:space="preserve">the </w:t>
      </w:r>
      <w:r w:rsidR="005459A7">
        <w:t>GO</w:t>
      </w:r>
      <w:r w:rsidR="0001500D">
        <w:t xml:space="preserve"> requirements should not apply to any </w:t>
      </w:r>
      <w:r w:rsidR="00835335">
        <w:t>distribution lines</w:t>
      </w:r>
      <w:r w:rsidR="0001500D">
        <w:t xml:space="preserve">.  </w:t>
      </w:r>
    </w:p>
    <w:p w:rsidRPr="00BB3BD5" w:rsidR="0028627A" w:rsidP="00BB3BD5" w:rsidRDefault="0028627A" w14:paraId="7B15D818" w14:textId="68819443">
      <w:pPr>
        <w:pStyle w:val="Standard"/>
      </w:pPr>
      <w:r>
        <w:t xml:space="preserve">Intervenor parties </w:t>
      </w:r>
      <w:r w:rsidR="00896B1D">
        <w:t xml:space="preserve">generally </w:t>
      </w:r>
      <w:r w:rsidR="00077384">
        <w:t xml:space="preserve">support </w:t>
      </w:r>
      <w:r w:rsidR="00896B1D">
        <w:t xml:space="preserve">Staff’s proposed </w:t>
      </w:r>
      <w:r w:rsidR="00077384">
        <w:t>environmental criterion and a lower monetary threshold</w:t>
      </w:r>
      <w:r w:rsidR="00D24879">
        <w:t xml:space="preserve"> ($50 million or $25 million)</w:t>
      </w:r>
      <w:r w:rsidR="00077384">
        <w:t>, or no monetary threshold</w:t>
      </w:r>
      <w:r w:rsidR="00896B1D">
        <w:t>,</w:t>
      </w:r>
      <w:r w:rsidR="00077384">
        <w:t xml:space="preserve"> </w:t>
      </w:r>
      <w:r w:rsidR="00B82A04">
        <w:t xml:space="preserve">and </w:t>
      </w:r>
      <w:r w:rsidR="00C12CF7">
        <w:t xml:space="preserve">broader </w:t>
      </w:r>
      <w:r w:rsidR="00B82A04">
        <w:t xml:space="preserve">application requirements.  Industry members represented by Indicated Shippers advocate </w:t>
      </w:r>
      <w:r w:rsidR="0002728F">
        <w:t xml:space="preserve">stronger reporting requirements.  </w:t>
      </w:r>
    </w:p>
    <w:p w:rsidR="00CE7963" w:rsidP="0009044A" w:rsidRDefault="00CE7963" w14:paraId="0FC70D85" w14:textId="22F9AD50">
      <w:pPr>
        <w:pStyle w:val="Heading1"/>
      </w:pPr>
      <w:bookmarkStart w:name="_Toc120692797" w:id="16"/>
      <w:r w:rsidRPr="005A0E26">
        <w:t>Adopting</w:t>
      </w:r>
      <w:r>
        <w:t xml:space="preserve"> a Gas Infrastructure </w:t>
      </w:r>
      <w:r w:rsidR="005459A7">
        <w:t>GO</w:t>
      </w:r>
      <w:bookmarkEnd w:id="16"/>
    </w:p>
    <w:p w:rsidR="00724F51" w:rsidP="00142B86" w:rsidRDefault="00763584" w14:paraId="28296CF1" w14:textId="5F630ACC">
      <w:pPr>
        <w:pStyle w:val="Standard"/>
      </w:pPr>
      <w:r>
        <w:t xml:space="preserve">This decision adopts a gas infrastructure </w:t>
      </w:r>
      <w:r w:rsidR="005459A7">
        <w:t>GO</w:t>
      </w:r>
      <w:r w:rsidR="00B32285">
        <w:t xml:space="preserve">, General Order </w:t>
      </w:r>
      <w:r w:rsidR="0047324E">
        <w:t>177</w:t>
      </w:r>
      <w:r w:rsidR="00B32285">
        <w:t>,</w:t>
      </w:r>
      <w:r>
        <w:t xml:space="preserve"> as contained in A</w:t>
      </w:r>
      <w:r w:rsidR="00724F51">
        <w:t>ppendix</w:t>
      </w:r>
      <w:r>
        <w:t xml:space="preserve"> </w:t>
      </w:r>
      <w:r w:rsidR="009E791E">
        <w:t>A.</w:t>
      </w:r>
      <w:r w:rsidR="009601A0">
        <w:t xml:space="preserve">  </w:t>
      </w:r>
      <w:r w:rsidR="005E510B">
        <w:t xml:space="preserve">The </w:t>
      </w:r>
      <w:r w:rsidR="005459A7">
        <w:t>GO</w:t>
      </w:r>
      <w:r w:rsidR="005E510B">
        <w:t xml:space="preserve"> and this decision require gas corporations to file CPCN applications under certain conditions describe</w:t>
      </w:r>
      <w:r w:rsidR="009A0E2C">
        <w:t>d</w:t>
      </w:r>
      <w:r w:rsidR="005E510B">
        <w:t xml:space="preserve"> below. </w:t>
      </w:r>
      <w:r w:rsidR="009601A0">
        <w:t>T</w:t>
      </w:r>
      <w:r w:rsidR="005A3994">
        <w:t xml:space="preserve">hree converging trends necessitate </w:t>
      </w:r>
      <w:r w:rsidR="00FE4E40">
        <w:t xml:space="preserve">adoption of </w:t>
      </w:r>
      <w:r w:rsidR="0085661C">
        <w:t xml:space="preserve">a gas </w:t>
      </w:r>
      <w:r w:rsidR="005459A7">
        <w:t>GO</w:t>
      </w:r>
      <w:r w:rsidR="0085661C">
        <w:t xml:space="preserve"> at this time.  </w:t>
      </w:r>
    </w:p>
    <w:p w:rsidR="00142B86" w:rsidP="00142B86" w:rsidRDefault="00142B86" w14:paraId="722A38E3" w14:textId="19595C48">
      <w:pPr>
        <w:pStyle w:val="Standard"/>
      </w:pPr>
      <w:r>
        <w:t>First, work to advance California’s landmark greenhouse gas emission reduction goals has led to steadily declining gas consumption levels within California, at the rate of approximately one percent annually.</w:t>
      </w:r>
      <w:r>
        <w:rPr>
          <w:rStyle w:val="FootnoteReference"/>
        </w:rPr>
        <w:footnoteReference w:id="4"/>
      </w:r>
      <w:r>
        <w:t xml:space="preserve"> </w:t>
      </w:r>
      <w:r w:rsidR="00CB0BA1">
        <w:t xml:space="preserve"> </w:t>
      </w:r>
      <w:r>
        <w:t>Declining gas consumption levels in turn have t</w:t>
      </w:r>
      <w:r w:rsidR="00863AF3">
        <w:t xml:space="preserve">hree </w:t>
      </w:r>
      <w:r>
        <w:t>main causes:  the installation of more renewable electricity resources on the grid</w:t>
      </w:r>
      <w:r w:rsidR="00D672A3">
        <w:t>,</w:t>
      </w:r>
      <w:r>
        <w:t xml:space="preserve"> city ordinances banning the installation of gas appliances in new homes and commercial buildings</w:t>
      </w:r>
      <w:r w:rsidR="00707FA0">
        <w:t>,</w:t>
      </w:r>
      <w:r w:rsidR="00EC2754">
        <w:t xml:space="preserve"> </w:t>
      </w:r>
      <w:r w:rsidR="00707FA0">
        <w:t>a</w:t>
      </w:r>
      <w:r w:rsidR="00863AF3">
        <w:t xml:space="preserve">nd </w:t>
      </w:r>
      <w:r w:rsidR="000246CF">
        <w:t>progression</w:t>
      </w:r>
      <w:r w:rsidR="00707FA0">
        <w:t xml:space="preserve"> of </w:t>
      </w:r>
      <w:r w:rsidR="000246CF">
        <w:t>the State’s building code</w:t>
      </w:r>
      <w:r w:rsidR="00860FC2">
        <w:t xml:space="preserve"> toward </w:t>
      </w:r>
      <w:r w:rsidR="004D3A28">
        <w:t>all electric buildings</w:t>
      </w:r>
      <w:r>
        <w:t xml:space="preserve">.  As more renewable electricity resources are installed, demand for gas-powered base load </w:t>
      </w:r>
      <w:r>
        <w:lastRenderedPageBreak/>
        <w:t>generation declines.</w:t>
      </w:r>
      <w:r>
        <w:rPr>
          <w:rStyle w:val="FootnoteReference"/>
        </w:rPr>
        <w:footnoteReference w:id="5"/>
      </w:r>
      <w:r>
        <w:t xml:space="preserve">  Senate Bill (SB) 1477 </w:t>
      </w:r>
      <w:r w:rsidR="00C12CF7">
        <w:t xml:space="preserve">(Stern, Stats. 2019, Chapter 582) </w:t>
      </w:r>
      <w:r>
        <w:t>promotes decarbonization of California’s building supply</w:t>
      </w:r>
      <w:r w:rsidRPr="008F37DD" w:rsidR="008F37DD">
        <w:t>.</w:t>
      </w:r>
      <w:r>
        <w:t xml:space="preserve"> </w:t>
      </w:r>
      <w:r w:rsidR="00FB57A9">
        <w:t xml:space="preserve"> </w:t>
      </w:r>
      <w:r w:rsidR="00332DA3">
        <w:t>I</w:t>
      </w:r>
      <w:r>
        <w:t xml:space="preserve">ncentive programs and pilot projects to advance </w:t>
      </w:r>
      <w:r w:rsidR="0089047B">
        <w:t xml:space="preserve">building decarbonization </w:t>
      </w:r>
      <w:r>
        <w:t>are rapidly emerging.</w:t>
      </w:r>
      <w:r>
        <w:rPr>
          <w:rStyle w:val="FootnoteReference"/>
        </w:rPr>
        <w:footnoteReference w:id="6"/>
      </w:r>
      <w:r>
        <w:t xml:space="preserve">  </w:t>
      </w:r>
      <w:r w:rsidR="00332DA3">
        <w:t>As of Fall 2022, nearly 50 cities and counties in California have adopted local ordinances requiring all-electric appliances in new homes or buildings, in some form.</w:t>
      </w:r>
      <w:r w:rsidR="00332DA3">
        <w:rPr>
          <w:rStyle w:val="FootnoteReference"/>
        </w:rPr>
        <w:footnoteReference w:id="7"/>
      </w:r>
      <w:r w:rsidR="00332DA3">
        <w:t xml:space="preserve">  </w:t>
      </w:r>
      <w:r>
        <w:t>These trends and related decreases in natural gas consumption in California are predicted to continue</w:t>
      </w:r>
      <w:r w:rsidR="00905A17">
        <w:t xml:space="preserve">, particularly with the passage of </w:t>
      </w:r>
      <w:r w:rsidR="00ED2F00">
        <w:t>Assembly Bill (</w:t>
      </w:r>
      <w:r w:rsidR="00905A17">
        <w:t>AB</w:t>
      </w:r>
      <w:r w:rsidR="00ED2F00">
        <w:t>)</w:t>
      </w:r>
      <w:r w:rsidR="00905A17">
        <w:t xml:space="preserve"> 1279 </w:t>
      </w:r>
      <w:r w:rsidR="00843C05">
        <w:t xml:space="preserve">(Muratsuchi, </w:t>
      </w:r>
      <w:r w:rsidR="000F5778">
        <w:t xml:space="preserve">Stats. </w:t>
      </w:r>
      <w:r w:rsidR="00843C05">
        <w:t>2022</w:t>
      </w:r>
      <w:r w:rsidR="000F5778">
        <w:t>, Chapter 337</w:t>
      </w:r>
      <w:r w:rsidR="00843C05">
        <w:t>)</w:t>
      </w:r>
      <w:r w:rsidR="00905A17">
        <w:t xml:space="preserve"> establishing a</w:t>
      </w:r>
      <w:r w:rsidR="00E726D1">
        <w:t xml:space="preserve">n </w:t>
      </w:r>
      <w:r w:rsidR="00EA3EA9">
        <w:t>economy</w:t>
      </w:r>
      <w:r w:rsidR="00E726D1">
        <w:t>-</w:t>
      </w:r>
      <w:r w:rsidR="00EA3EA9">
        <w:t xml:space="preserve">wide </w:t>
      </w:r>
      <w:r w:rsidR="00B05D65">
        <w:t xml:space="preserve">target of </w:t>
      </w:r>
      <w:r w:rsidR="00EA3EA9">
        <w:t>carbon neutrality by 2045</w:t>
      </w:r>
      <w:r>
        <w:t xml:space="preserve">. </w:t>
      </w:r>
    </w:p>
    <w:p w:rsidR="006553EC" w:rsidP="00142B86" w:rsidRDefault="00142B86" w14:paraId="09B5991D" w14:textId="569BD8A2">
      <w:pPr>
        <w:pStyle w:val="Standard"/>
      </w:pPr>
      <w:r>
        <w:t>This declin</w:t>
      </w:r>
      <w:r w:rsidR="009D7A9C">
        <w:t xml:space="preserve">e in demand </w:t>
      </w:r>
      <w:r>
        <w:t xml:space="preserve">means there may be less need for large </w:t>
      </w:r>
      <w:r w:rsidR="00987A34">
        <w:t xml:space="preserve">gas </w:t>
      </w:r>
      <w:r>
        <w:t>infrastructure projects in the future</w:t>
      </w:r>
      <w:r w:rsidR="009D7A9C">
        <w:t>. It also means</w:t>
      </w:r>
      <w:r>
        <w:t xml:space="preserve"> there may be a declining customer base across which to distribute the costs of existing and any new infrastructure.</w:t>
      </w:r>
      <w:r w:rsidR="004F31F2">
        <w:rPr>
          <w:rStyle w:val="FootnoteReference"/>
        </w:rPr>
        <w:footnoteReference w:id="8"/>
      </w:r>
      <w:r>
        <w:t xml:space="preserve">  Together, these trends amplify the Commission’s responsibility </w:t>
      </w:r>
      <w:r>
        <w:lastRenderedPageBreak/>
        <w:t>to carefully scrutinize large gas infrastructure projects to ensure they are necessary</w:t>
      </w:r>
      <w:r w:rsidR="00737518">
        <w:t>.</w:t>
      </w:r>
      <w:r>
        <w:t xml:space="preserve"> </w:t>
      </w:r>
      <w:r w:rsidR="009D4557">
        <w:t xml:space="preserve"> </w:t>
      </w:r>
      <w:r>
        <w:t xml:space="preserve">If a given facility is not necessary over its estimated useful life, a project could become a “stranded asset,” imposing costs but </w:t>
      </w:r>
      <w:r w:rsidR="0077402F">
        <w:t xml:space="preserve">providing </w:t>
      </w:r>
      <w:r>
        <w:t>limited benefits to a declining pool of ratepayers</w:t>
      </w:r>
      <w:r w:rsidR="000D0D29">
        <w:t xml:space="preserve"> </w:t>
      </w:r>
      <w:r w:rsidR="006553EC">
        <w:t xml:space="preserve">and </w:t>
      </w:r>
      <w:r w:rsidR="000D0D29">
        <w:t>increasing rates for the customers left behind on the gas system</w:t>
      </w:r>
      <w:r>
        <w:t>.</w:t>
      </w:r>
      <w:r w:rsidR="00AA0439">
        <w:rPr>
          <w:rStyle w:val="FootnoteReference"/>
        </w:rPr>
        <w:footnoteReference w:id="9"/>
      </w:r>
      <w:r>
        <w:t xml:space="preserve">  </w:t>
      </w:r>
      <w:r w:rsidR="001A5966">
        <w:t xml:space="preserve">Alternatively, </w:t>
      </w:r>
      <w:r w:rsidR="00E55A6D">
        <w:t xml:space="preserve">some projects may be necessary </w:t>
      </w:r>
      <w:r w:rsidR="00D74A77">
        <w:t>for</w:t>
      </w:r>
      <w:r w:rsidR="00E55A6D">
        <w:t xml:space="preserve"> reliability </w:t>
      </w:r>
      <w:r w:rsidR="00D74A77">
        <w:t>in the next 10 to 25 years,</w:t>
      </w:r>
      <w:r w:rsidR="00E55A6D">
        <w:t xml:space="preserve"> even if they are not used for their full us</w:t>
      </w:r>
      <w:r w:rsidR="002B3EF9">
        <w:t xml:space="preserve">eful life. </w:t>
      </w:r>
      <w:r w:rsidR="001A5966">
        <w:t xml:space="preserve"> </w:t>
      </w:r>
      <w:r w:rsidR="002B3EF9">
        <w:t xml:space="preserve">This balance between reliability and cost </w:t>
      </w:r>
      <w:r w:rsidR="001A5966">
        <w:t>requires</w:t>
      </w:r>
      <w:r w:rsidR="002B3EF9">
        <w:t xml:space="preserve"> careful scrutiny in the years ahead.</w:t>
      </w:r>
    </w:p>
    <w:p w:rsidR="00217EAB" w:rsidP="00142B86" w:rsidRDefault="00695BF2" w14:paraId="50236748" w14:textId="5AA1BB9B">
      <w:pPr>
        <w:pStyle w:val="Standard"/>
      </w:pPr>
      <w:r>
        <w:t xml:space="preserve">The </w:t>
      </w:r>
      <w:r w:rsidR="005459A7">
        <w:t>GO</w:t>
      </w:r>
      <w:r>
        <w:t xml:space="preserve"> we adopt here provides a </w:t>
      </w:r>
      <w:r w:rsidR="00217133">
        <w:t xml:space="preserve">mechanism for </w:t>
      </w:r>
      <w:r w:rsidR="00C145D2">
        <w:t xml:space="preserve">project </w:t>
      </w:r>
      <w:r>
        <w:t>review</w:t>
      </w:r>
      <w:r w:rsidDel="00C47CCB">
        <w:t xml:space="preserve"> </w:t>
      </w:r>
      <w:r w:rsidR="00C145D2">
        <w:t xml:space="preserve">for </w:t>
      </w:r>
      <w:r>
        <w:t xml:space="preserve">large and environmentally significant gas infrastructure projects </w:t>
      </w:r>
      <w:r w:rsidR="00DC5EB8">
        <w:t xml:space="preserve">in the near term </w:t>
      </w:r>
      <w:r>
        <w:t xml:space="preserve">as we </w:t>
      </w:r>
      <w:r w:rsidR="004C5E57">
        <w:t xml:space="preserve">continue to work towards developing </w:t>
      </w:r>
      <w:r>
        <w:t>a long-term gas planning process</w:t>
      </w:r>
      <w:r w:rsidR="00C145D2">
        <w:t xml:space="preserve"> and strategy</w:t>
      </w:r>
      <w:r>
        <w:t xml:space="preserve"> later in this proceeding.</w:t>
      </w:r>
      <w:r w:rsidR="00BC0043">
        <w:t xml:space="preserve">  The long-term gas planning process and strategy will consider additional ways to avoid </w:t>
      </w:r>
      <w:r w:rsidR="00175B2E">
        <w:t xml:space="preserve">the risk of </w:t>
      </w:r>
      <w:r w:rsidR="00BC0043">
        <w:t xml:space="preserve">stranded assets </w:t>
      </w:r>
      <w:r w:rsidR="00E116AA">
        <w:t xml:space="preserve">and may build upon or refine the </w:t>
      </w:r>
      <w:r w:rsidR="005459A7">
        <w:t>GO</w:t>
      </w:r>
      <w:r w:rsidR="00E116AA">
        <w:t xml:space="preserve"> we adopt here.</w:t>
      </w:r>
    </w:p>
    <w:p w:rsidR="00D72F32" w:rsidP="00332DA3" w:rsidRDefault="00D85F2B" w14:paraId="411F94A5" w14:textId="26E9FE9E">
      <w:pPr>
        <w:pStyle w:val="Standard"/>
      </w:pPr>
      <w:r>
        <w:t>Second,</w:t>
      </w:r>
      <w:r w:rsidR="00A9356F">
        <w:t xml:space="preserve"> public controversy over large or environmentally significant </w:t>
      </w:r>
      <w:r w:rsidR="00CF605E">
        <w:t xml:space="preserve">gas infrastructure </w:t>
      </w:r>
      <w:r w:rsidR="002D1D30">
        <w:t xml:space="preserve">projects </w:t>
      </w:r>
      <w:r w:rsidR="00CF605E">
        <w:t xml:space="preserve">in recent years </w:t>
      </w:r>
      <w:r w:rsidR="002D1D30">
        <w:t xml:space="preserve">has </w:t>
      </w:r>
      <w:r w:rsidR="00EA5EE8">
        <w:t>demonstrate</w:t>
      </w:r>
      <w:r w:rsidR="002D1D30">
        <w:t xml:space="preserve">d to us </w:t>
      </w:r>
      <w:r w:rsidR="00EA5EE8">
        <w:t xml:space="preserve">the need to </w:t>
      </w:r>
      <w:r w:rsidR="00CF605E">
        <w:t>s</w:t>
      </w:r>
      <w:r w:rsidR="000669D5">
        <w:t>trengthen public participation opportunities</w:t>
      </w:r>
      <w:r w:rsidR="00E116AA">
        <w:t xml:space="preserve"> </w:t>
      </w:r>
      <w:r w:rsidR="00EA5EE8">
        <w:t xml:space="preserve">to </w:t>
      </w:r>
      <w:r w:rsidR="00EB6B3F">
        <w:t xml:space="preserve">ensure that </w:t>
      </w:r>
      <w:r w:rsidR="00EA5EE8">
        <w:t xml:space="preserve">impacted </w:t>
      </w:r>
      <w:r w:rsidR="00EB6B3F">
        <w:t>residents</w:t>
      </w:r>
      <w:r w:rsidR="00EA5EE8">
        <w:t xml:space="preserve"> and stakeholders </w:t>
      </w:r>
      <w:r w:rsidR="00EB6B3F">
        <w:t>have appropriate means to voice concerns and shape project design.</w:t>
      </w:r>
      <w:r w:rsidR="00F314C0">
        <w:t xml:space="preserve">  </w:t>
      </w:r>
      <w:r w:rsidR="00CA7645">
        <w:t xml:space="preserve">The Commission’s Environmental and Social Justice </w:t>
      </w:r>
      <w:r w:rsidR="00087D29">
        <w:t xml:space="preserve">(ESJ) </w:t>
      </w:r>
      <w:r w:rsidR="00CA7645">
        <w:t>Action Plan</w:t>
      </w:r>
      <w:r w:rsidR="009D7A9C">
        <w:t xml:space="preserve"> </w:t>
      </w:r>
      <w:r w:rsidR="00CA7645">
        <w:t>underscores the need for public participation opportunities in disadvantaged or historically pollution-burdened communities.</w:t>
      </w:r>
      <w:r w:rsidR="002B7202">
        <w:rPr>
          <w:rStyle w:val="FootnoteReference"/>
        </w:rPr>
        <w:footnoteReference w:id="10"/>
      </w:r>
      <w:r w:rsidR="00332DA3">
        <w:t xml:space="preserve">  </w:t>
      </w:r>
      <w:r w:rsidR="00D72F32">
        <w:t xml:space="preserve">The California Environmental Quality Act (CEQA) applies to discretionary projects to be carried out or </w:t>
      </w:r>
      <w:r w:rsidR="00D72F32">
        <w:lastRenderedPageBreak/>
        <w:t>approved by public agencies.</w:t>
      </w:r>
      <w:r w:rsidR="00D72F32">
        <w:rPr>
          <w:rStyle w:val="FootnoteReference"/>
        </w:rPr>
        <w:footnoteReference w:id="11"/>
      </w:r>
      <w:r w:rsidR="00D72F32">
        <w:t xml:space="preserve">  However, this Commission has not previously required permit applications or </w:t>
      </w:r>
      <w:r w:rsidRPr="00FD6CAD" w:rsidR="00D72F32">
        <w:t>CPCN for gas infrastructure</w:t>
      </w:r>
      <w:r w:rsidRPr="00FD6CAD" w:rsidR="001608A7">
        <w:t xml:space="preserve"> projects</w:t>
      </w:r>
      <w:r w:rsidRPr="00FD6CAD" w:rsidR="00D72F32">
        <w:t>.  Instead, gas infrastructure project</w:t>
      </w:r>
      <w:r w:rsidRPr="00FD6CAD" w:rsidR="007F63CB">
        <w:t>s</w:t>
      </w:r>
      <w:r w:rsidRPr="00FD6CAD" w:rsidR="00D72F32">
        <w:t xml:space="preserve"> have generally been included within Commission approvals of utility general rate case</w:t>
      </w:r>
      <w:r w:rsidRPr="00FD6CAD" w:rsidR="00EE1868">
        <w:t xml:space="preserve"> (GRC)</w:t>
      </w:r>
      <w:r w:rsidR="00D72F32">
        <w:t xml:space="preserve"> applications.  As a result, this Commission has conducted relatively few CEQA reviews of gas infrastructure projects</w:t>
      </w:r>
      <w:r w:rsidR="00540929">
        <w:t>.</w:t>
      </w:r>
    </w:p>
    <w:p w:rsidR="00D72F32" w:rsidP="00D72F32" w:rsidRDefault="00D72F32" w14:paraId="078A2AAD" w14:textId="6761A4D0">
      <w:pPr>
        <w:pStyle w:val="Standard"/>
      </w:pPr>
      <w:r>
        <w:t>This decision changes this</w:t>
      </w:r>
      <w:r w:rsidR="006174A6">
        <w:t xml:space="preserve"> framework to</w:t>
      </w:r>
      <w:r>
        <w:t xml:space="preserve"> requir</w:t>
      </w:r>
      <w:r w:rsidR="006174A6">
        <w:t>e</w:t>
      </w:r>
      <w:r>
        <w:t xml:space="preserve"> CPCN applications for gas infrastructure </w:t>
      </w:r>
      <w:r w:rsidR="005146E5">
        <w:t xml:space="preserve">projects </w:t>
      </w:r>
      <w:r>
        <w:t xml:space="preserve">under certain conditions.  Following adoption of this decision, when a complete gas infrastructure CPCN application is filed with this Commission, we will complete a CEQA review pursuant to statutory requirements.  Stakeholders and local communities will have the opportunity to review and comment on proposed gas infrastructure projects subject to a CPCN application requirement during both the application review process and the accompanying CEQA review process. </w:t>
      </w:r>
    </w:p>
    <w:p w:rsidR="00FC3182" w:rsidP="00FC3182" w:rsidRDefault="00D04AA4" w14:paraId="43EEB4E5" w14:textId="3B1235A9">
      <w:pPr>
        <w:pStyle w:val="Standard"/>
      </w:pPr>
      <w:r>
        <w:t>These two factors converge on a third rationale for</w:t>
      </w:r>
      <w:r w:rsidR="00332DA3">
        <w:t>,</w:t>
      </w:r>
      <w:r>
        <w:t xml:space="preserve"> and benefit of</w:t>
      </w:r>
      <w:r w:rsidR="00332DA3">
        <w:t>,</w:t>
      </w:r>
      <w:r>
        <w:t xml:space="preserve"> a gas </w:t>
      </w:r>
      <w:r w:rsidR="005459A7">
        <w:t>GO</w:t>
      </w:r>
      <w:r w:rsidR="00CC742B">
        <w:t xml:space="preserve"> at this time</w:t>
      </w:r>
      <w:r>
        <w:t>.</w:t>
      </w:r>
      <w:r w:rsidR="00FC3182">
        <w:t xml:space="preserve">  </w:t>
      </w:r>
      <w:r w:rsidR="00F527D6">
        <w:t xml:space="preserve">The </w:t>
      </w:r>
      <w:r w:rsidR="005459A7">
        <w:t>GO</w:t>
      </w:r>
      <w:r w:rsidR="00C11118">
        <w:t xml:space="preserve"> </w:t>
      </w:r>
      <w:r w:rsidR="00F527D6">
        <w:t xml:space="preserve">we adopt here </w:t>
      </w:r>
      <w:r w:rsidR="00FC3182">
        <w:t>align</w:t>
      </w:r>
      <w:r w:rsidR="00F527D6">
        <w:t xml:space="preserve">s Commission </w:t>
      </w:r>
      <w:r w:rsidR="00FC3182">
        <w:t xml:space="preserve">gas infrastructure review processes with Pub. Util. Code Section 1001 </w:t>
      </w:r>
      <w:r w:rsidRPr="00580596" w:rsidR="00FC3182">
        <w:rPr>
          <w:i/>
          <w:iCs/>
        </w:rPr>
        <w:t>et seq</w:t>
      </w:r>
      <w:r w:rsidR="00FC3182">
        <w:t>.</w:t>
      </w:r>
      <w:r w:rsidRPr="00580596" w:rsidR="00FC3182">
        <w:t xml:space="preserve"> </w:t>
      </w:r>
      <w:r w:rsidR="00FC3182">
        <w:t xml:space="preserve"> Pub. Util. Code </w:t>
      </w:r>
      <w:r w:rsidRPr="00580596" w:rsidR="00FC3182">
        <w:t>Section</w:t>
      </w:r>
      <w:r w:rsidR="00EE7193">
        <w:t> </w:t>
      </w:r>
      <w:r w:rsidRPr="00580596" w:rsidR="00FC3182">
        <w:t>1001</w:t>
      </w:r>
      <w:r w:rsidR="00EE7193">
        <w:t> </w:t>
      </w:r>
      <w:r w:rsidRPr="009D6CF4" w:rsidR="00FC3182">
        <w:rPr>
          <w:i/>
          <w:iCs/>
        </w:rPr>
        <w:t>et</w:t>
      </w:r>
      <w:r w:rsidR="00EE7193">
        <w:rPr>
          <w:i/>
          <w:iCs/>
        </w:rPr>
        <w:t> </w:t>
      </w:r>
      <w:r w:rsidRPr="009D6CF4" w:rsidR="00FC3182">
        <w:rPr>
          <w:i/>
          <w:iCs/>
        </w:rPr>
        <w:t>seq</w:t>
      </w:r>
      <w:r w:rsidR="00FC3182">
        <w:t xml:space="preserve"> </w:t>
      </w:r>
      <w:r w:rsidRPr="00580596" w:rsidR="00FC3182">
        <w:t xml:space="preserve">provides that </w:t>
      </w:r>
      <w:r w:rsidR="00FC3182">
        <w:t>regulated energy utilities</w:t>
      </w:r>
      <w:r w:rsidRPr="00580596" w:rsidR="00FC3182">
        <w:t xml:space="preserve"> shall not begin the construction </w:t>
      </w:r>
      <w:r w:rsidR="00FC3182">
        <w:t xml:space="preserve">or modification of a gas </w:t>
      </w:r>
      <w:r w:rsidRPr="00580596" w:rsidR="00FC3182">
        <w:t>line, plant, or system</w:t>
      </w:r>
      <w:r w:rsidR="00FC3182">
        <w:t xml:space="preserve"> </w:t>
      </w:r>
      <w:r w:rsidRPr="00580596" w:rsidR="00FC3182">
        <w:t>without having first obtained from the Commission a CPCN</w:t>
      </w:r>
      <w:r w:rsidR="00FC3182">
        <w:t xml:space="preserve"> </w:t>
      </w:r>
      <w:r w:rsidRPr="00580596" w:rsidR="00FC3182">
        <w:t xml:space="preserve">that the present or future public </w:t>
      </w:r>
      <w:r w:rsidR="00332DA3">
        <w:t xml:space="preserve">“convenience and necessity” </w:t>
      </w:r>
      <w:r w:rsidRPr="00580596" w:rsidR="00FC3182">
        <w:t xml:space="preserve">require such construction. </w:t>
      </w:r>
      <w:r w:rsidR="00FC3182">
        <w:t xml:space="preserve">  </w:t>
      </w:r>
    </w:p>
    <w:p w:rsidRPr="00580596" w:rsidR="00FC3182" w:rsidP="00FC3182" w:rsidRDefault="00FC3182" w14:paraId="379E7AF3" w14:textId="76E33F42">
      <w:pPr>
        <w:pStyle w:val="Standard"/>
      </w:pPr>
      <w:r>
        <w:lastRenderedPageBreak/>
        <w:t xml:space="preserve">To implement Section 1001 </w:t>
      </w:r>
      <w:r w:rsidRPr="00E813F1">
        <w:rPr>
          <w:i/>
          <w:iCs/>
        </w:rPr>
        <w:t>et seq</w:t>
      </w:r>
      <w:r>
        <w:rPr>
          <w:i/>
          <w:iCs/>
        </w:rPr>
        <w:t xml:space="preserve"> </w:t>
      </w:r>
      <w:r>
        <w:t xml:space="preserve">for </w:t>
      </w:r>
      <w:r w:rsidRPr="0099377F">
        <w:t>electric transmission projects, the</w:t>
      </w:r>
      <w:r>
        <w:t xml:space="preserve"> Commission adopted GO 131-D in 1994.</w:t>
      </w:r>
      <w:r>
        <w:rPr>
          <w:rStyle w:val="FootnoteReference"/>
        </w:rPr>
        <w:footnoteReference w:id="12"/>
      </w:r>
      <w:r>
        <w:t xml:space="preserve">  </w:t>
      </w:r>
      <w:r w:rsidR="00BB5C5E">
        <w:t xml:space="preserve">The </w:t>
      </w:r>
      <w:r w:rsidR="005459A7">
        <w:t>GO</w:t>
      </w:r>
      <w:r w:rsidR="00BB5C5E">
        <w:t xml:space="preserve"> we adopt here </w:t>
      </w:r>
      <w:r>
        <w:t xml:space="preserve">draws on </w:t>
      </w:r>
      <w:r w:rsidR="009D7A9C">
        <w:t xml:space="preserve">the design of </w:t>
      </w:r>
      <w:r>
        <w:t xml:space="preserve">GO 131-D as well as the unique circumstances surrounding gas infrastructure projects. </w:t>
      </w:r>
    </w:p>
    <w:p w:rsidR="00B86454" w:rsidP="00D85F2B" w:rsidRDefault="00B86454" w14:paraId="351A49B1" w14:textId="20302928">
      <w:pPr>
        <w:pStyle w:val="Standard"/>
      </w:pPr>
      <w:r>
        <w:t xml:space="preserve">The remainder of this decision </w:t>
      </w:r>
      <w:r w:rsidR="00E30AE7">
        <w:t xml:space="preserve">reviews and adopts each element of the gas </w:t>
      </w:r>
      <w:r w:rsidR="005459A7">
        <w:t>GO</w:t>
      </w:r>
      <w:r w:rsidR="00E30AE7">
        <w:t xml:space="preserve"> contained in A</w:t>
      </w:r>
      <w:r w:rsidR="00724F51">
        <w:t xml:space="preserve">ppendix </w:t>
      </w:r>
      <w:r w:rsidR="00E30AE7">
        <w:t xml:space="preserve">A. </w:t>
      </w:r>
    </w:p>
    <w:p w:rsidRPr="0002728F" w:rsidR="00FC69E0" w:rsidP="00FC69E0" w:rsidRDefault="00FC69E0" w14:paraId="72A7B6C6" w14:textId="0EAD2B5D">
      <w:pPr>
        <w:pStyle w:val="Heading1"/>
      </w:pPr>
      <w:bookmarkStart w:name="_Toc120692798" w:id="18"/>
      <w:r>
        <w:t>GO Purpose</w:t>
      </w:r>
      <w:bookmarkEnd w:id="18"/>
    </w:p>
    <w:p w:rsidR="00EA4643" w:rsidP="0009044A" w:rsidRDefault="00EA4643" w14:paraId="5922C7BF" w14:textId="52E29A9F">
      <w:pPr>
        <w:pStyle w:val="Heading2"/>
        <w:numPr>
          <w:ilvl w:val="1"/>
          <w:numId w:val="112"/>
        </w:numPr>
      </w:pPr>
      <w:bookmarkStart w:name="_Toc120641435" w:id="19"/>
      <w:bookmarkStart w:name="_Toc120644124" w:id="20"/>
      <w:bookmarkStart w:name="_Toc120692799" w:id="21"/>
      <w:bookmarkStart w:name="_Toc120692800" w:id="22"/>
      <w:bookmarkEnd w:id="19"/>
      <w:bookmarkEnd w:id="20"/>
      <w:bookmarkEnd w:id="21"/>
      <w:r>
        <w:t>Staff Proposal</w:t>
      </w:r>
      <w:bookmarkEnd w:id="22"/>
      <w:r>
        <w:t xml:space="preserve"> </w:t>
      </w:r>
    </w:p>
    <w:p w:rsidR="00EA4643" w:rsidP="00EA4643" w:rsidRDefault="004B4A7E" w14:paraId="45ED28CF" w14:textId="65BFF482">
      <w:pPr>
        <w:pStyle w:val="Standard"/>
      </w:pPr>
      <w:r>
        <w:t xml:space="preserve">Section II of the </w:t>
      </w:r>
      <w:r w:rsidR="00EA4643">
        <w:t xml:space="preserve">Staff Proposal </w:t>
      </w:r>
      <w:r w:rsidR="0065269D">
        <w:t>contain</w:t>
      </w:r>
      <w:r>
        <w:t>s</w:t>
      </w:r>
      <w:r w:rsidR="0065269D">
        <w:t xml:space="preserve"> the following explanation of purpose of the proposed </w:t>
      </w:r>
      <w:r w:rsidR="005459A7">
        <w:t>GO</w:t>
      </w:r>
      <w:r w:rsidR="0065269D">
        <w:t xml:space="preserve">: </w:t>
      </w:r>
    </w:p>
    <w:p w:rsidRPr="004B4A7E" w:rsidR="004B4A7E" w:rsidP="004B4A7E" w:rsidRDefault="004B4A7E" w14:paraId="26185EDC" w14:textId="6BA277B0">
      <w:pPr>
        <w:pStyle w:val="Standard"/>
      </w:pPr>
      <w:r w:rsidRPr="004B4A7E">
        <w:t xml:space="preserve">The Commission has adopted this </w:t>
      </w:r>
      <w:r w:rsidR="005459A7">
        <w:t>GO</w:t>
      </w:r>
      <w:r w:rsidRPr="004B4A7E">
        <w:t xml:space="preserve"> to be responsive to:</w:t>
      </w:r>
    </w:p>
    <w:p w:rsidRPr="004B4A7E" w:rsidR="004B4A7E" w:rsidP="0009044A" w:rsidRDefault="004B4A7E" w14:paraId="0FFBDCCA" w14:textId="76688A40">
      <w:pPr>
        <w:pStyle w:val="ListAlpha"/>
        <w:ind w:right="1440"/>
      </w:pPr>
      <w:r w:rsidRPr="004B4A7E">
        <w:t>the requirements of CEQA (Public Resources (Pub. Res.) Code § 21000 et seq.);</w:t>
      </w:r>
    </w:p>
    <w:p w:rsidRPr="004B4A7E" w:rsidR="004B4A7E" w:rsidP="0009044A" w:rsidRDefault="004B4A7E" w14:paraId="4C51F412" w14:textId="77777777">
      <w:pPr>
        <w:pStyle w:val="ListAlpha"/>
        <w:ind w:right="1440"/>
      </w:pPr>
      <w:r w:rsidRPr="004B4A7E">
        <w:t>the need for public notice and the opportunity for affected parties and members of the public to be heard by the Commission;</w:t>
      </w:r>
    </w:p>
    <w:p w:rsidRPr="004B4A7E" w:rsidR="004B4A7E" w:rsidP="0009044A" w:rsidRDefault="004B4A7E" w14:paraId="7F0D2356" w14:textId="77777777">
      <w:pPr>
        <w:pStyle w:val="ListAlpha"/>
        <w:ind w:right="1440"/>
      </w:pPr>
      <w:r w:rsidRPr="004B4A7E">
        <w:t xml:space="preserve">the obligation of the utilities to serve their customers in a timely and efficient manner; and </w:t>
      </w:r>
    </w:p>
    <w:p w:rsidRPr="00EA4643" w:rsidR="0065269D" w:rsidP="0009044A" w:rsidRDefault="004B4A7E" w14:paraId="2A9452EA" w14:textId="1A783944">
      <w:pPr>
        <w:pStyle w:val="ListAlpha"/>
        <w:ind w:right="1440"/>
      </w:pPr>
      <w:r w:rsidRPr="004B4A7E">
        <w:t>the need to review significant investments in gas infrastructure for consistency with California’s long-term greenhouse gas emission reduction and safety and reliability goals.</w:t>
      </w:r>
    </w:p>
    <w:p w:rsidR="00EA4643" w:rsidP="0009044A" w:rsidRDefault="00261131" w14:paraId="2CFA1BAB" w14:textId="0DF19A32">
      <w:pPr>
        <w:pStyle w:val="Heading2"/>
      </w:pPr>
      <w:bookmarkStart w:name="_Toc120692801" w:id="23"/>
      <w:r w:rsidRPr="005A0E26">
        <w:t>Party</w:t>
      </w:r>
      <w:r>
        <w:t xml:space="preserve"> Comments</w:t>
      </w:r>
      <w:bookmarkEnd w:id="23"/>
      <w:r>
        <w:t xml:space="preserve"> </w:t>
      </w:r>
      <w:r w:rsidR="00EA4643">
        <w:t xml:space="preserve"> </w:t>
      </w:r>
    </w:p>
    <w:p w:rsidR="00261131" w:rsidP="004B4A7E" w:rsidRDefault="00DB367F" w14:paraId="2D78C73A" w14:textId="51090E34">
      <w:pPr>
        <w:pStyle w:val="Standard"/>
      </w:pPr>
      <w:r>
        <w:t>Few parties comment directly on the purpose proposed by Staff.</w:t>
      </w:r>
      <w:r w:rsidR="00505423">
        <w:t xml:space="preserve">  Sierra</w:t>
      </w:r>
      <w:r w:rsidR="00EE7193">
        <w:t> </w:t>
      </w:r>
      <w:r w:rsidR="00505423">
        <w:t xml:space="preserve">Club/CEJA/RMI </w:t>
      </w:r>
      <w:r w:rsidR="005545CE">
        <w:t xml:space="preserve">suggest the </w:t>
      </w:r>
      <w:r w:rsidR="00341590">
        <w:t xml:space="preserve">purpose reference air quality and equity goals.  </w:t>
      </w:r>
      <w:r w:rsidR="00410317">
        <w:t>PG&amp;E observes</w:t>
      </w:r>
      <w:r w:rsidR="007B442C">
        <w:t xml:space="preserve"> that, other than the </w:t>
      </w:r>
      <w:r w:rsidR="008C03A2">
        <w:t xml:space="preserve">SoCalGas </w:t>
      </w:r>
      <w:r w:rsidR="007B442C">
        <w:t xml:space="preserve">Ventura </w:t>
      </w:r>
      <w:r w:rsidR="008C03A2">
        <w:t xml:space="preserve">Compressor Station </w:t>
      </w:r>
      <w:r w:rsidR="007B442C">
        <w:lastRenderedPageBreak/>
        <w:t xml:space="preserve">project and the </w:t>
      </w:r>
      <w:r w:rsidR="00F671C2">
        <w:t xml:space="preserve">Line 1600 project, there is little record supporting the need for a </w:t>
      </w:r>
      <w:r w:rsidR="005459A7">
        <w:t>GO</w:t>
      </w:r>
      <w:r w:rsidR="00F671C2">
        <w:t xml:space="preserve">.  PG&amp;E notes </w:t>
      </w:r>
      <w:r w:rsidR="00430143">
        <w:t>a lack of complaints regarding its gas infrastructure projects.</w:t>
      </w:r>
      <w:r w:rsidR="00592EF0">
        <w:rPr>
          <w:rStyle w:val="FootnoteReference"/>
        </w:rPr>
        <w:footnoteReference w:id="13"/>
      </w:r>
    </w:p>
    <w:p w:rsidR="00261131" w:rsidP="0009044A" w:rsidRDefault="00221C3A" w14:paraId="00F91D1B" w14:textId="3646B792">
      <w:pPr>
        <w:pStyle w:val="Heading2"/>
      </w:pPr>
      <w:bookmarkStart w:name="_Toc120692802" w:id="24"/>
      <w:r w:rsidRPr="005A0E26">
        <w:t>Adopting</w:t>
      </w:r>
      <w:r>
        <w:t xml:space="preserve"> Modified Version of </w:t>
      </w:r>
      <w:r w:rsidR="00544C18">
        <w:br/>
      </w:r>
      <w:r>
        <w:t>Staff’s Proposed Purpose</w:t>
      </w:r>
      <w:bookmarkEnd w:id="24"/>
    </w:p>
    <w:p w:rsidR="005249B8" w:rsidP="00833FFD" w:rsidRDefault="00341590" w14:paraId="437AD031" w14:textId="454A783E">
      <w:pPr>
        <w:pStyle w:val="Standard"/>
      </w:pPr>
      <w:r>
        <w:t>The</w:t>
      </w:r>
      <w:r w:rsidR="00B90372">
        <w:t xml:space="preserve"> </w:t>
      </w:r>
      <w:r w:rsidR="005249B8">
        <w:t xml:space="preserve">recommendation of </w:t>
      </w:r>
      <w:r w:rsidR="008C05C0">
        <w:t xml:space="preserve">Sierra Club/CEJA/RMI </w:t>
      </w:r>
      <w:r w:rsidR="005249B8">
        <w:t>to re</w:t>
      </w:r>
      <w:r w:rsidR="00B90372">
        <w:t xml:space="preserve">ference air quality and equity goals within </w:t>
      </w:r>
      <w:r w:rsidR="00677FC6">
        <w:t>S</w:t>
      </w:r>
      <w:r w:rsidR="00B90372">
        <w:t xml:space="preserve">ection </w:t>
      </w:r>
      <w:r w:rsidR="004B018F">
        <w:t>I</w:t>
      </w:r>
      <w:r w:rsidR="009D7A9C">
        <w:t>I, Purpose</w:t>
      </w:r>
      <w:r w:rsidR="004B018F">
        <w:t xml:space="preserve"> of the </w:t>
      </w:r>
      <w:r w:rsidR="005459A7">
        <w:t>GO</w:t>
      </w:r>
      <w:r w:rsidR="009D7A9C">
        <w:t>,</w:t>
      </w:r>
      <w:r w:rsidR="004B018F">
        <w:t xml:space="preserve"> </w:t>
      </w:r>
      <w:r>
        <w:t>are reasonable</w:t>
      </w:r>
      <w:r w:rsidR="00AE4AF2">
        <w:t xml:space="preserve"> and are adopted</w:t>
      </w:r>
      <w:r w:rsidR="00496E96">
        <w:t>.</w:t>
      </w:r>
      <w:r w:rsidR="008C05C0">
        <w:t xml:space="preserve">  </w:t>
      </w:r>
      <w:r w:rsidR="00832422">
        <w:t>A</w:t>
      </w:r>
      <w:r w:rsidR="00496E96">
        <w:t>ir</w:t>
      </w:r>
      <w:r w:rsidR="00F93CE0">
        <w:t> </w:t>
      </w:r>
      <w:r w:rsidR="00496E96">
        <w:t xml:space="preserve">quality issues </w:t>
      </w:r>
      <w:r w:rsidR="00832422">
        <w:t xml:space="preserve">often </w:t>
      </w:r>
      <w:r w:rsidR="00496E96">
        <w:t xml:space="preserve">arise in relation to natural gas infrastructure projects.  </w:t>
      </w:r>
      <w:r w:rsidR="009B7862">
        <w:t xml:space="preserve">Additionally, equity is a </w:t>
      </w:r>
      <w:r w:rsidR="009774F7">
        <w:t xml:space="preserve">primary </w:t>
      </w:r>
      <w:r w:rsidR="009B7862">
        <w:t>goal of the Commission</w:t>
      </w:r>
      <w:r w:rsidR="009774F7">
        <w:t xml:space="preserve">, as reflected in the </w:t>
      </w:r>
      <w:r w:rsidR="009B7862">
        <w:t>ESJ</w:t>
      </w:r>
      <w:r w:rsidR="00EE7193">
        <w:t> </w:t>
      </w:r>
      <w:r w:rsidR="009B7862">
        <w:t>Action Plan</w:t>
      </w:r>
      <w:r w:rsidR="00DD6B8C">
        <w:t xml:space="preserve">, and merits </w:t>
      </w:r>
      <w:r w:rsidR="00B3614B">
        <w:t xml:space="preserve">ongoing </w:t>
      </w:r>
      <w:r w:rsidR="00DD6B8C">
        <w:t xml:space="preserve">consideration as </w:t>
      </w:r>
      <w:r w:rsidR="00B3614B">
        <w:t xml:space="preserve">we </w:t>
      </w:r>
      <w:r w:rsidR="00DD6B8C">
        <w:t>implement</w:t>
      </w:r>
      <w:r w:rsidR="00B3614B">
        <w:t xml:space="preserve"> </w:t>
      </w:r>
      <w:r w:rsidR="00DD6B8C">
        <w:t xml:space="preserve">the </w:t>
      </w:r>
      <w:r w:rsidR="005459A7">
        <w:t>GO</w:t>
      </w:r>
      <w:r w:rsidR="00DD6B8C">
        <w:t>.</w:t>
      </w:r>
      <w:r w:rsidR="00DA4BE2">
        <w:t xml:space="preserve"> </w:t>
      </w:r>
    </w:p>
    <w:p w:rsidR="00114BFA" w:rsidP="00833FFD" w:rsidRDefault="00547D46" w14:paraId="65896725" w14:textId="15EAD62C">
      <w:pPr>
        <w:pStyle w:val="Standard"/>
      </w:pPr>
      <w:r>
        <w:t>W</w:t>
      </w:r>
      <w:r w:rsidR="005F4851">
        <w:t xml:space="preserve">e retain Staff’s proposed bullet stating that this </w:t>
      </w:r>
      <w:r w:rsidR="005459A7">
        <w:t>GO</w:t>
      </w:r>
      <w:r w:rsidR="005F4851">
        <w:t xml:space="preserve"> is responsive to CEQA requirements</w:t>
      </w:r>
      <w:r>
        <w:t xml:space="preserve">.  However, we </w:t>
      </w:r>
      <w:r w:rsidR="005F4851">
        <w:t xml:space="preserve">emphasize that </w:t>
      </w:r>
      <w:r>
        <w:t>the CPCN application requirements we adopt here</w:t>
      </w:r>
      <w:r w:rsidR="00203920">
        <w:t xml:space="preserve"> both</w:t>
      </w:r>
      <w:r>
        <w:t xml:space="preserve"> </w:t>
      </w:r>
      <w:r w:rsidR="00E83C10">
        <w:t>initiate</w:t>
      </w:r>
      <w:r w:rsidR="00DC5B2F">
        <w:t xml:space="preserve"> </w:t>
      </w:r>
      <w:r w:rsidR="00503790">
        <w:t xml:space="preserve">and </w:t>
      </w:r>
      <w:r w:rsidR="00DC5B2F">
        <w:t xml:space="preserve">are </w:t>
      </w:r>
      <w:r w:rsidR="00503790">
        <w:t>distinct from</w:t>
      </w:r>
      <w:r w:rsidR="001050C2">
        <w:t xml:space="preserve"> </w:t>
      </w:r>
      <w:r w:rsidR="00203920">
        <w:t xml:space="preserve">Commission </w:t>
      </w:r>
      <w:r w:rsidR="00503790">
        <w:t>CEQA review</w:t>
      </w:r>
      <w:r w:rsidR="001050C2">
        <w:t xml:space="preserve"> of a project.</w:t>
      </w:r>
      <w:r w:rsidR="0021126B">
        <w:t xml:space="preserve">  </w:t>
      </w:r>
    </w:p>
    <w:p w:rsidR="00CB1AAA" w:rsidP="00833FFD" w:rsidRDefault="008F762D" w14:paraId="1262D935" w14:textId="238CA54C">
      <w:pPr>
        <w:pStyle w:val="Standard"/>
      </w:pPr>
      <w:r>
        <w:t>A</w:t>
      </w:r>
      <w:r w:rsidR="009A4D97">
        <w:t xml:space="preserve"> </w:t>
      </w:r>
      <w:r>
        <w:t>gas corporation’s filing of a</w:t>
      </w:r>
      <w:r w:rsidR="00DC5B2F">
        <w:t xml:space="preserve"> CPC</w:t>
      </w:r>
      <w:r w:rsidR="009471BA">
        <w:t>N</w:t>
      </w:r>
      <w:r w:rsidR="00DC5B2F">
        <w:t xml:space="preserve"> </w:t>
      </w:r>
      <w:r>
        <w:t xml:space="preserve">application </w:t>
      </w:r>
      <w:r w:rsidR="00DC5B2F">
        <w:t xml:space="preserve">pursuant to this decision will </w:t>
      </w:r>
      <w:r>
        <w:t>initiate the environmental review required by CEQA.</w:t>
      </w:r>
      <w:r w:rsidR="002367D7">
        <w:rPr>
          <w:rStyle w:val="FootnoteReference"/>
        </w:rPr>
        <w:footnoteReference w:id="14"/>
      </w:r>
      <w:r>
        <w:t xml:space="preserve">  </w:t>
      </w:r>
      <w:r w:rsidR="0083645D">
        <w:t>Depending on the results of this environmental review, the Commission may take several actions</w:t>
      </w:r>
      <w:r w:rsidR="00285EF7">
        <w:t>.</w:t>
      </w:r>
      <w:r w:rsidR="000C1989">
        <w:t xml:space="preserve">  </w:t>
      </w:r>
      <w:r w:rsidR="009D7A9C">
        <w:t>Specificall</w:t>
      </w:r>
      <w:r w:rsidR="0070303A">
        <w:t xml:space="preserve">y, </w:t>
      </w:r>
      <w:r w:rsidR="00013266">
        <w:t xml:space="preserve">once a gas CPCN application is filed with this Commission, </w:t>
      </w:r>
      <w:r w:rsidR="00114BFA">
        <w:t xml:space="preserve">CEQA requires us </w:t>
      </w:r>
      <w:r w:rsidR="009D4C6A">
        <w:t>to p</w:t>
      </w:r>
      <w:r w:rsidR="0070303A">
        <w:t xml:space="preserve">repare and review an Environmental Impact Report (EIR) </w:t>
      </w:r>
      <w:r w:rsidR="009D4C6A">
        <w:t xml:space="preserve">for the project </w:t>
      </w:r>
      <w:r w:rsidR="0070303A">
        <w:t>or to issue a Negative Declaration, unless the project qualifies for an exemption under CEQA.</w:t>
      </w:r>
    </w:p>
    <w:p w:rsidR="00193BC0" w:rsidP="00193BC0" w:rsidRDefault="0070303A" w14:paraId="70746C4E" w14:textId="65AE2BC0">
      <w:pPr>
        <w:pStyle w:val="Standard"/>
      </w:pPr>
      <w:r>
        <w:t xml:space="preserve">However, </w:t>
      </w:r>
      <w:r w:rsidR="00956AD5">
        <w:t xml:space="preserve">a </w:t>
      </w:r>
      <w:r w:rsidR="00C11945">
        <w:t xml:space="preserve">gas corporation’s filing of a </w:t>
      </w:r>
      <w:r w:rsidR="00956AD5">
        <w:t xml:space="preserve">CPCN application </w:t>
      </w:r>
      <w:r w:rsidR="00013266">
        <w:t>also entails</w:t>
      </w:r>
      <w:r w:rsidR="009516D7">
        <w:t xml:space="preserve"> the parallel review by this Commission of the application, pursuant to the </w:t>
      </w:r>
      <w:r w:rsidR="009516D7">
        <w:lastRenderedPageBreak/>
        <w:t xml:space="preserve">Commission’s Rules of </w:t>
      </w:r>
      <w:r w:rsidR="00743242">
        <w:t xml:space="preserve">Practice and Procedure (Rules).  </w:t>
      </w:r>
      <w:r w:rsidR="004C48D2">
        <w:t xml:space="preserve">As set forth in the Rules, </w:t>
      </w:r>
      <w:r w:rsidR="00380321">
        <w:t xml:space="preserve">the application review </w:t>
      </w:r>
      <w:r w:rsidR="00895850">
        <w:t xml:space="preserve">process </w:t>
      </w:r>
      <w:r w:rsidR="00BE448E">
        <w:t xml:space="preserve">provides </w:t>
      </w:r>
      <w:r w:rsidR="00345CE1">
        <w:t>o</w:t>
      </w:r>
      <w:r w:rsidR="002D0861">
        <w:t>pportunit</w:t>
      </w:r>
      <w:r w:rsidR="00345CE1">
        <w:t xml:space="preserve">ies </w:t>
      </w:r>
      <w:r w:rsidR="002D0861">
        <w:t>for party comment</w:t>
      </w:r>
      <w:r w:rsidR="00345CE1">
        <w:t xml:space="preserve"> </w:t>
      </w:r>
      <w:r w:rsidR="00DB01AE">
        <w:t xml:space="preserve">and </w:t>
      </w:r>
      <w:r w:rsidR="00A03C83">
        <w:t xml:space="preserve">discovery and </w:t>
      </w:r>
      <w:r w:rsidR="002D0861">
        <w:t xml:space="preserve">may include </w:t>
      </w:r>
      <w:r w:rsidR="00345CE1">
        <w:t xml:space="preserve">evidentiary or </w:t>
      </w:r>
      <w:r w:rsidR="002D0861">
        <w:t>public participation hearings</w:t>
      </w:r>
      <w:r w:rsidR="00A03C83">
        <w:t xml:space="preserve"> or other steps.  At the conclusion of this, and considering the outcome of the CEQA review process, thi</w:t>
      </w:r>
      <w:r w:rsidR="006713F9">
        <w:t>s Commission w</w:t>
      </w:r>
      <w:r w:rsidR="00B21FF4">
        <w:t xml:space="preserve">ill render a decision on the public </w:t>
      </w:r>
      <w:r w:rsidR="008F5DBB">
        <w:t xml:space="preserve">convenience and </w:t>
      </w:r>
      <w:r w:rsidR="00B21FF4">
        <w:t>necessity of the proposed project</w:t>
      </w:r>
      <w:r w:rsidR="00193BC0">
        <w:t xml:space="preserve"> as well as on any </w:t>
      </w:r>
      <w:r w:rsidR="001A22F4">
        <w:t xml:space="preserve">mitigations or alterations to the project identified as part of the CEQA review.  </w:t>
      </w:r>
    </w:p>
    <w:p w:rsidR="005249B8" w:rsidP="00833FFD" w:rsidRDefault="006D75CA" w14:paraId="153A4914" w14:textId="675DEBCB">
      <w:pPr>
        <w:pStyle w:val="Standard"/>
      </w:pPr>
      <w:r>
        <w:t xml:space="preserve">The Staff Proposal language otherwise aligns with the goals and objectives for this </w:t>
      </w:r>
      <w:r w:rsidR="005459A7">
        <w:t>GO</w:t>
      </w:r>
      <w:r>
        <w:t xml:space="preserve"> as discussed </w:t>
      </w:r>
      <w:r w:rsidR="00A114B0">
        <w:t>herein</w:t>
      </w:r>
      <w:r w:rsidR="00691632">
        <w:t xml:space="preserve"> and is adopted with minor clarifications</w:t>
      </w:r>
      <w:r w:rsidR="00A6049F">
        <w:t xml:space="preserve"> as set out in Appendix</w:t>
      </w:r>
      <w:r w:rsidR="00E1312C">
        <w:t xml:space="preserve"> A</w:t>
      </w:r>
      <w:r>
        <w:t xml:space="preserve">. </w:t>
      </w:r>
    </w:p>
    <w:p w:rsidR="00FC69E0" w:rsidP="00FC69E0" w:rsidRDefault="00FC69E0" w14:paraId="192BCB2D" w14:textId="3EC4B1C4">
      <w:pPr>
        <w:pStyle w:val="Heading1"/>
      </w:pPr>
      <w:bookmarkStart w:name="_Toc120692803" w:id="25"/>
      <w:r>
        <w:t>Adopting a Monetary Trigger for a CPCN Application Requirement</w:t>
      </w:r>
      <w:bookmarkEnd w:id="25"/>
    </w:p>
    <w:p w:rsidR="00691632" w:rsidP="0009044A" w:rsidRDefault="00691632" w14:paraId="17C8B036" w14:textId="0A83E75D">
      <w:pPr>
        <w:pStyle w:val="Heading2"/>
      </w:pPr>
      <w:bookmarkStart w:name="_Toc120641440" w:id="26"/>
      <w:bookmarkStart w:name="_Toc120644129" w:id="27"/>
      <w:bookmarkStart w:name="_Toc120692804" w:id="28"/>
      <w:bookmarkStart w:name="_Toc120692805" w:id="29"/>
      <w:bookmarkEnd w:id="26"/>
      <w:bookmarkEnd w:id="27"/>
      <w:bookmarkEnd w:id="28"/>
      <w:r w:rsidRPr="005A0E26">
        <w:t>Staff</w:t>
      </w:r>
      <w:r>
        <w:t xml:space="preserve"> Proposal</w:t>
      </w:r>
      <w:bookmarkEnd w:id="29"/>
      <w:r>
        <w:t xml:space="preserve"> </w:t>
      </w:r>
    </w:p>
    <w:p w:rsidR="008C03A2" w:rsidP="00E9195A" w:rsidRDefault="00CA4ACA" w14:paraId="4757A2C1" w14:textId="5CB4F873">
      <w:pPr>
        <w:pStyle w:val="Standard"/>
      </w:pPr>
      <w:r>
        <w:t>Section</w:t>
      </w:r>
      <w:r w:rsidR="00044501">
        <w:t xml:space="preserve"> IV(A) of the Staff Proposal proposed a $100 million threshold to require </w:t>
      </w:r>
      <w:r w:rsidR="00F14BBD">
        <w:t xml:space="preserve">gas utilities to file a </w:t>
      </w:r>
      <w:r w:rsidR="000D3EB1">
        <w:t>PTC</w:t>
      </w:r>
      <w:r w:rsidR="00FE6C8B">
        <w:t xml:space="preserve"> application </w:t>
      </w:r>
      <w:r w:rsidR="00F34EA3">
        <w:t>for all gas infrastructure other than new gas storage facilities.</w:t>
      </w:r>
      <w:r w:rsidR="002E581D">
        <w:t xml:space="preserve">  </w:t>
      </w:r>
      <w:r w:rsidR="000D3EB1">
        <w:t xml:space="preserve">The </w:t>
      </w:r>
      <w:r w:rsidRPr="00D04B0F" w:rsidR="000D3EB1">
        <w:t xml:space="preserve">Staff Proposal distinguishes between projects for which a PTC application would be required and those for which a CPCN is required.  </w:t>
      </w:r>
      <w:r w:rsidR="000D3EB1">
        <w:t>In Section IV(B), Staff recommend</w:t>
      </w:r>
      <w:r w:rsidR="008F5DBB">
        <w:t>ed</w:t>
      </w:r>
      <w:r w:rsidRPr="00D04B0F" w:rsidR="000D3EB1">
        <w:t xml:space="preserve"> that</w:t>
      </w:r>
      <w:r w:rsidR="000D3EB1">
        <w:t xml:space="preserve"> the Commission </w:t>
      </w:r>
      <w:r w:rsidRPr="00D04B0F" w:rsidR="000D3EB1">
        <w:t>require</w:t>
      </w:r>
      <w:r w:rsidR="000D3EB1">
        <w:t xml:space="preserve"> a CPCN</w:t>
      </w:r>
      <w:r w:rsidRPr="00D04B0F" w:rsidR="000D3EB1">
        <w:t xml:space="preserve"> </w:t>
      </w:r>
      <w:r w:rsidR="002E581D">
        <w:t xml:space="preserve">application </w:t>
      </w:r>
      <w:r w:rsidRPr="00D04B0F" w:rsidR="000D3EB1">
        <w:t>for “any entity seeking to operate a new gas storage field or to expand Commission</w:t>
      </w:r>
      <w:r w:rsidR="00F93CE0">
        <w:noBreakHyphen/>
      </w:r>
      <w:r w:rsidRPr="00D04B0F" w:rsidR="000D3EB1">
        <w:t>authorized footprint for an existing gas storage field.”</w:t>
      </w:r>
      <w:r w:rsidR="000D3EB1">
        <w:rPr>
          <w:rStyle w:val="FootnoteReference"/>
        </w:rPr>
        <w:footnoteReference w:id="15"/>
      </w:r>
    </w:p>
    <w:p w:rsidR="00691632" w:rsidP="0009044A" w:rsidRDefault="00691632" w14:paraId="42587AEA" w14:textId="14467CA5">
      <w:pPr>
        <w:pStyle w:val="Heading2"/>
      </w:pPr>
      <w:bookmarkStart w:name="_Toc120692806" w:id="30"/>
      <w:r>
        <w:t>Party Comments</w:t>
      </w:r>
      <w:bookmarkEnd w:id="30"/>
    </w:p>
    <w:p w:rsidR="000D3EB1" w:rsidP="0009044A" w:rsidRDefault="000D3EB1" w14:paraId="7929F485" w14:textId="17C8252F">
      <w:pPr>
        <w:pStyle w:val="Heading3"/>
      </w:pPr>
      <w:bookmarkStart w:name="_Toc120692807" w:id="31"/>
      <w:r w:rsidRPr="005A0E26">
        <w:t>Monetary</w:t>
      </w:r>
      <w:r>
        <w:t xml:space="preserve"> Trigger</w:t>
      </w:r>
      <w:bookmarkEnd w:id="31"/>
    </w:p>
    <w:p w:rsidR="00632A34" w:rsidP="00632A34" w:rsidRDefault="00380374" w14:paraId="502B1951" w14:textId="4E9AF0AD">
      <w:pPr>
        <w:pStyle w:val="Standard"/>
      </w:pPr>
      <w:r>
        <w:t xml:space="preserve">PG&amp;E, SoCalGas and SDG&amp;E (collectively, investor-owned utilities or </w:t>
      </w:r>
      <w:r w:rsidRPr="00E1312C" w:rsidR="00632A34">
        <w:t>IOUs</w:t>
      </w:r>
      <w:r w:rsidRPr="00E1312C" w:rsidR="00183B3D">
        <w:t>)</w:t>
      </w:r>
      <w:r w:rsidR="00632A34">
        <w:t xml:space="preserve"> and intervenors differ on the question of an appropriate monetary threshold to trigger PTC application requirements.  The IOUs generally support </w:t>
      </w:r>
      <w:r w:rsidR="00632A34">
        <w:lastRenderedPageBreak/>
        <w:t xml:space="preserve">a triggering threshold of $100 million while intervenors generally support lower thresholds of $50 million (EDF, </w:t>
      </w:r>
      <w:proofErr w:type="spellStart"/>
      <w:r w:rsidR="00632A34">
        <w:t>CforAT</w:t>
      </w:r>
      <w:proofErr w:type="spellEnd"/>
      <w:r w:rsidR="00632A34">
        <w:t xml:space="preserve">) or $25 million (UCAN).  Sierra Club/CEJA/RMI oppose any monetary threshold for PTCs but support a $50 million threshold for CPCN applications.  Sierra Club argues the threshold for CPCNs should be $50 million to capture projects like expansion of compressor station capacity.  </w:t>
      </w:r>
    </w:p>
    <w:p w:rsidR="00632A34" w:rsidP="00632A34" w:rsidRDefault="00632A34" w14:paraId="20770634" w14:textId="7FF4E2BC">
      <w:pPr>
        <w:pStyle w:val="Standard"/>
      </w:pPr>
      <w:r>
        <w:t xml:space="preserve">The </w:t>
      </w:r>
      <w:r w:rsidRPr="00E1312C">
        <w:t>IOUs</w:t>
      </w:r>
      <w:r>
        <w:t xml:space="preserve"> argue that the $100 million threshold represents a balance between costs to customers and the costs of potential delays in projects versus the benefits of pre-construction review.  The $100 million threshold would maintain a focus on the larger projects most likely to have significant environmental impacts, they argue.  </w:t>
      </w:r>
      <w:r w:rsidRPr="0090250D">
        <w:t xml:space="preserve">SDG&amp;E </w:t>
      </w:r>
      <w:r>
        <w:t xml:space="preserve">supports a </w:t>
      </w:r>
      <w:r w:rsidRPr="0090250D">
        <w:t xml:space="preserve">$100 million threshold </w:t>
      </w:r>
      <w:r>
        <w:t xml:space="preserve">and recommends this be </w:t>
      </w:r>
      <w:r w:rsidRPr="0090250D">
        <w:t xml:space="preserve">annually automatically adjusted to address inflation, using </w:t>
      </w:r>
      <w:r w:rsidR="0041108B">
        <w:t xml:space="preserve">a </w:t>
      </w:r>
      <w:r w:rsidRPr="0090250D">
        <w:t>construction cost index (HIS/Markit Global Insight Utility Cost Information Service</w:t>
      </w:r>
      <w:r w:rsidR="00464E6A">
        <w:t>)</w:t>
      </w:r>
      <w:r w:rsidRPr="0090250D">
        <w:t xml:space="preserve">.  </w:t>
      </w:r>
      <w:r w:rsidRPr="00E1312C">
        <w:t>In reply comments, SoCalGas supports a $50 million triggering threshold.</w:t>
      </w:r>
      <w:r>
        <w:t xml:space="preserve">  </w:t>
      </w:r>
    </w:p>
    <w:p w:rsidR="00632A34" w:rsidP="00632A34" w:rsidRDefault="00632A34" w14:paraId="56417FDE" w14:textId="25AC4539">
      <w:pPr>
        <w:pStyle w:val="Standard"/>
      </w:pPr>
      <w:r>
        <w:t>Cal Advocates argues there is insufficient evidence to support a $100</w:t>
      </w:r>
      <w:r w:rsidR="00EE7193">
        <w:t> </w:t>
      </w:r>
      <w:r>
        <w:t>million threshold and the Commission should not exempt from review projects with potentially significant environmental impacts.  Sierra</w:t>
      </w:r>
      <w:r w:rsidR="00EE7193">
        <w:t> </w:t>
      </w:r>
      <w:r>
        <w:t xml:space="preserve">Club/CEJA/RMI concur, noting that the Commission has not adopted a monetary threshold to trigger application requirements for electrical or telecommunications projects. </w:t>
      </w:r>
      <w:r w:rsidR="006A5F05">
        <w:t xml:space="preserve"> </w:t>
      </w:r>
      <w:r w:rsidRPr="005F305A">
        <w:t>Cal Advocates argues that the Commission should review the environmental analyses undertaken by the IOUs for the 24 projects identified in their July 18, 2022 filings prior to making a decision on an appropriate monetary threshold.</w:t>
      </w:r>
      <w:r>
        <w:t xml:space="preserve"> </w:t>
      </w:r>
    </w:p>
    <w:p w:rsidR="00632A34" w:rsidP="00632A34" w:rsidRDefault="00632A34" w14:paraId="29D34649" w14:textId="57384F7C">
      <w:pPr>
        <w:pStyle w:val="Standard"/>
      </w:pPr>
      <w:r>
        <w:t xml:space="preserve">Sierra Club/CEJA/RMI argue that precedent requires environmental review for any project that is discretionary and does not qualify for a </w:t>
      </w:r>
      <w:r w:rsidRPr="001E3F8B">
        <w:t>CEQA</w:t>
      </w:r>
      <w:r>
        <w:t xml:space="preserve"> </w:t>
      </w:r>
      <w:r>
        <w:lastRenderedPageBreak/>
        <w:t>exemption.  These parties contend that m</w:t>
      </w:r>
      <w:r w:rsidRPr="001B6816">
        <w:t>onetary thresholds cannot be used to determine whether a project requires a PTC, because CEQA doesn’t</w:t>
      </w:r>
      <w:r w:rsidR="002E581D">
        <w:t xml:space="preserve"> </w:t>
      </w:r>
      <w:r w:rsidRPr="001B6816">
        <w:t>recognize</w:t>
      </w:r>
      <w:r w:rsidR="002E581D">
        <w:t xml:space="preserve"> monetary thresholds </w:t>
      </w:r>
      <w:r w:rsidRPr="001B6816">
        <w:t xml:space="preserve">for determining whether a project has significant environmental impacts or not. </w:t>
      </w:r>
      <w:r>
        <w:t xml:space="preserve"> Adopting a monetary threshold would violate CEQA, they contend, as enabling legislation does not state that this is a legitimate basis to determine the applicability of CEQA.  SoCalGas opposes these arguments</w:t>
      </w:r>
      <w:r w:rsidR="00275352">
        <w:t>,</w:t>
      </w:r>
      <w:r w:rsidR="007E1815">
        <w:t xml:space="preserve"> asserting that </w:t>
      </w:r>
      <w:r w:rsidRPr="007E1815" w:rsidR="007E1815">
        <w:t xml:space="preserve">the Commission is </w:t>
      </w:r>
      <w:r w:rsidR="007E1815">
        <w:t xml:space="preserve">not constrained </w:t>
      </w:r>
      <w:r w:rsidRPr="007E1815" w:rsidR="007E1815">
        <w:t>by CEQA in exercising its authority to determine which projects require a permit</w:t>
      </w:r>
      <w:r w:rsidR="007E1815">
        <w:t xml:space="preserve">. </w:t>
      </w:r>
      <w:r w:rsidR="00EE7193">
        <w:t xml:space="preserve"> </w:t>
      </w:r>
      <w:r w:rsidR="007E1815">
        <w:t xml:space="preserve">They argue that a </w:t>
      </w:r>
      <w:r w:rsidRPr="007E1815" w:rsidR="007E1815">
        <w:t xml:space="preserve">monetary threshold </w:t>
      </w:r>
      <w:r w:rsidR="001E3F8B">
        <w:t xml:space="preserve">that determines when a discretionary </w:t>
      </w:r>
      <w:r w:rsidRPr="007E1815" w:rsidR="007E1815">
        <w:t>permit</w:t>
      </w:r>
      <w:r w:rsidR="001E3F8B">
        <w:t xml:space="preserve"> is required</w:t>
      </w:r>
      <w:r w:rsidRPr="007E1815" w:rsidR="007E1815">
        <w:t xml:space="preserve"> does not</w:t>
      </w:r>
      <w:r w:rsidR="007E1815">
        <w:t>, in and of itself,</w:t>
      </w:r>
      <w:r w:rsidRPr="007E1815" w:rsidR="007E1815">
        <w:t xml:space="preserve"> violate CEQA</w:t>
      </w:r>
      <w:r w:rsidR="001E3F8B">
        <w:t>, which still applies in full once an application has been filed</w:t>
      </w:r>
      <w:r>
        <w:t xml:space="preserve">. </w:t>
      </w:r>
    </w:p>
    <w:p w:rsidR="00632A34" w:rsidP="00632A34" w:rsidRDefault="00632A34" w14:paraId="293C21CF" w14:textId="77777777">
      <w:pPr>
        <w:pStyle w:val="Standard"/>
      </w:pPr>
      <w:r>
        <w:t xml:space="preserve">UCAN proposes the Commission adopt a $25 million triggering threshold, stating that this would avoid </w:t>
      </w:r>
      <w:r w:rsidRPr="00587822">
        <w:t xml:space="preserve">including routine maintenance but </w:t>
      </w:r>
      <w:r>
        <w:t xml:space="preserve">would </w:t>
      </w:r>
      <w:r w:rsidRPr="00587822">
        <w:t xml:space="preserve">capture projects that </w:t>
      </w:r>
      <w:r>
        <w:t xml:space="preserve">could negatively </w:t>
      </w:r>
      <w:r w:rsidRPr="00587822">
        <w:t>impact communit</w:t>
      </w:r>
      <w:r>
        <w:t>ies</w:t>
      </w:r>
      <w:r w:rsidRPr="00587822">
        <w:t xml:space="preserve">.  </w:t>
      </w:r>
    </w:p>
    <w:p w:rsidR="00EF5061" w:rsidP="00632A34" w:rsidRDefault="00632A34" w14:paraId="10EADF78" w14:textId="77777777">
      <w:pPr>
        <w:pStyle w:val="Standard"/>
      </w:pPr>
      <w:r>
        <w:t xml:space="preserve">Regarding determination of a project’s actual costs for purposes of implementing a monetary trigger, SoCalGas states that project estimates should be based on “direct costs.”  SDG&amp;E states that the $100 million level should be based on an IOU’s prudent estimate of a project’s cost before </w:t>
      </w:r>
      <w:r w:rsidR="006C6BFF">
        <w:t xml:space="preserve">the </w:t>
      </w:r>
      <w:r>
        <w:t>utility proceeds</w:t>
      </w:r>
      <w:r w:rsidR="00C43229">
        <w:t xml:space="preserve"> with the project</w:t>
      </w:r>
      <w:r>
        <w:t xml:space="preserve">.  SDG&amp;E further contends that the Commission should evaluate utility compliance with the threshold based on a utility’s reasonable, good-faith estimate before post-planning work begins.  </w:t>
      </w:r>
    </w:p>
    <w:p w:rsidR="000353F8" w:rsidP="00632A34" w:rsidRDefault="009A77AE" w14:paraId="6B191159" w14:textId="77777777">
      <w:pPr>
        <w:pStyle w:val="Standard"/>
      </w:pPr>
      <w:r>
        <w:t xml:space="preserve">In comments on the proposed decision, </w:t>
      </w:r>
      <w:r w:rsidR="00C35D38">
        <w:t xml:space="preserve">PG&amp;E states that it understands “direct costs” to </w:t>
      </w:r>
      <w:r w:rsidR="00BA530B">
        <w:t xml:space="preserve">mean the </w:t>
      </w:r>
      <w:r w:rsidRPr="00EF5061" w:rsidR="00EF5061">
        <w:t>“all-in cost of a project, including capital costs and indirect costs, such as allowance funds used during construction.”</w:t>
      </w:r>
      <w:r w:rsidR="00EF5061">
        <w:rPr>
          <w:rStyle w:val="FootnoteReference"/>
        </w:rPr>
        <w:footnoteReference w:id="16"/>
      </w:r>
      <w:r w:rsidR="00EF5061">
        <w:t xml:space="preserve">  In reply </w:t>
      </w:r>
      <w:r w:rsidR="00EF5061">
        <w:lastRenderedPageBreak/>
        <w:t xml:space="preserve">comments on the proposed decision, PG&amp;E recommends </w:t>
      </w:r>
      <w:r w:rsidR="009524C1">
        <w:t xml:space="preserve">defining “direct costs” commensurate with Pub. Util. Code Section </w:t>
      </w:r>
      <w:r w:rsidR="005304D6">
        <w:t>1005</w:t>
      </w:r>
      <w:r w:rsidR="00590048">
        <w:t>.5(a)</w:t>
      </w:r>
      <w:r w:rsidR="00E43146">
        <w:t xml:space="preserve"> to </w:t>
      </w:r>
      <w:r w:rsidR="00345142">
        <w:t>use “</w:t>
      </w:r>
      <w:r w:rsidRPr="00345142" w:rsidR="00345142">
        <w:t>an estimate of the anticipated construction cost, taking into consideration the design of the project, the expected duration of construction, an estimate of the effects of economic inflation, and any known engineering difficulties associated with the project.”</w:t>
      </w:r>
      <w:r w:rsidR="00345142">
        <w:rPr>
          <w:rStyle w:val="FootnoteReference"/>
        </w:rPr>
        <w:footnoteReference w:id="17"/>
      </w:r>
      <w:r w:rsidR="00391BA0">
        <w:t xml:space="preserve"> </w:t>
      </w:r>
    </w:p>
    <w:p w:rsidR="00DF30B7" w:rsidP="00632A34" w:rsidRDefault="00F06B9A" w14:paraId="45C7AB56" w14:textId="53EC58B1">
      <w:pPr>
        <w:pStyle w:val="Standard"/>
      </w:pPr>
      <w:r>
        <w:t xml:space="preserve">In comments on the proposed decision, SDG&amp;E states that </w:t>
      </w:r>
      <w:r w:rsidR="00451B44">
        <w:t>industry practice is to consider project costs in terms of either direct costs or fully loaded cost</w:t>
      </w:r>
      <w:r w:rsidR="00BF34AA">
        <w:t>s.</w:t>
      </w:r>
      <w:r w:rsidR="000353F8">
        <w:t xml:space="preserve">  </w:t>
      </w:r>
      <w:r w:rsidR="0047605F">
        <w:t xml:space="preserve">SDG&amp;E </w:t>
      </w:r>
      <w:r w:rsidR="000353F8">
        <w:t xml:space="preserve">further </w:t>
      </w:r>
      <w:r w:rsidR="0047605F">
        <w:t xml:space="preserve">states that </w:t>
      </w:r>
      <w:r w:rsidR="00EF5801">
        <w:t>“f</w:t>
      </w:r>
      <w:r w:rsidRPr="00EF5801" w:rsidR="00EF5801">
        <w:t xml:space="preserve">ully loaded costs are the sum of direct costs and indirect costs. </w:t>
      </w:r>
      <w:r w:rsidR="00247CEA">
        <w:t xml:space="preserve"> </w:t>
      </w:r>
      <w:r w:rsidRPr="00EF5801" w:rsidR="00EF5801">
        <w:t xml:space="preserve">Direct costs are costs for labor, material, services and other expenses incurred to design, engineer, plan, permit, execute and document a project. </w:t>
      </w:r>
      <w:r w:rsidR="00247CEA">
        <w:t xml:space="preserve"> </w:t>
      </w:r>
      <w:r w:rsidRPr="00EF5801" w:rsidR="00EF5801">
        <w:t>This includes the development costs, project management, material, construction, inspection, environmental and other project execution activities. Indirect costs are for Administrative &amp; General, purchasing, warehousing, pension and benefits, payroll tax and other costs that are overhead in nature. Allowance for Funds Used During Construction (AFUDC) and property taxes are also costs that may be included in the presentation of fully loaded project costs.</w:t>
      </w:r>
      <w:r w:rsidR="00EF5801">
        <w:t>”</w:t>
      </w:r>
      <w:r w:rsidR="00EF5801">
        <w:rPr>
          <w:rStyle w:val="FootnoteReference"/>
        </w:rPr>
        <w:footnoteReference w:id="18"/>
      </w:r>
      <w:r w:rsidR="000353F8">
        <w:t xml:space="preserve">  </w:t>
      </w:r>
      <w:r w:rsidR="004E5E12">
        <w:t>SDG&amp;E recommends that the Commission r</w:t>
      </w:r>
      <w:r w:rsidRPr="004E5E12" w:rsidR="004E5E12">
        <w:t xml:space="preserve">equire gas utilities to </w:t>
      </w:r>
      <w:r w:rsidR="004E5E12">
        <w:t>“</w:t>
      </w:r>
      <w:r w:rsidRPr="004E5E12" w:rsidR="004E5E12">
        <w:t>include direct costs and other capitalized expenditures, i.e. escalation, allowed overheads, allowance for funds used during construction and capitalized property tax</w:t>
      </w:r>
      <w:r w:rsidR="004E5E12">
        <w:t xml:space="preserve">” </w:t>
      </w:r>
      <w:r w:rsidR="005A6EA5">
        <w:t>as the basis of determining costs for purposes of the GO.</w:t>
      </w:r>
      <w:r w:rsidR="006723A7">
        <w:rPr>
          <w:rStyle w:val="FootnoteReference"/>
        </w:rPr>
        <w:footnoteReference w:id="19"/>
      </w:r>
      <w:r w:rsidR="005A6EA5">
        <w:t xml:space="preserve"> </w:t>
      </w:r>
      <w:r w:rsidR="007E1CB2">
        <w:t xml:space="preserve"> Indicated Shippers also comments on cost issues in its comments on the proposed decision.</w:t>
      </w:r>
    </w:p>
    <w:p w:rsidR="00F55896" w:rsidP="00632A34" w:rsidRDefault="00F55896" w14:paraId="4A0B329B" w14:textId="1A1CD3E3">
      <w:pPr>
        <w:pStyle w:val="Standard"/>
      </w:pPr>
      <w:r>
        <w:lastRenderedPageBreak/>
        <w:t xml:space="preserve">In comments on the proposed decision, PG&amp;E, SoCalGas, and SDG&amp;E object to the inclusion of an estimate of “utility proceeds” in the project cost for purposes of the monetary threshold.  The Sempra companies observe that this idea was based on a misreading of SDG&amp;E’s comments.  PG&amp;E observes that including utility proceeds, defined in the proposed decision as </w:t>
      </w:r>
      <w:r w:rsidRPr="00E51A29">
        <w:t>an estimate of the guaranteed cost of capital investment benefit</w:t>
      </w:r>
      <w:r>
        <w:t xml:space="preserve"> to a utility from a project, would alter the calculus of a project’s cost and would bring additional projects under the monetary threshold.  PG&amp;E observes that the list of projects filed by the utilities on July 18, 2022 did not include utility proceeds.  PG&amp;E comments that a more appropriate location for inclusion of this information would be in the CPCN application itself.</w:t>
      </w:r>
      <w:r w:rsidR="00B55E26">
        <w:rPr>
          <w:rStyle w:val="FootnoteReference"/>
        </w:rPr>
        <w:footnoteReference w:id="20"/>
      </w:r>
    </w:p>
    <w:p w:rsidR="00632A34" w:rsidP="00632A34" w:rsidRDefault="00632A34" w14:paraId="02E9BA06" w14:textId="499D23B2">
      <w:pPr>
        <w:pStyle w:val="Standard"/>
      </w:pPr>
      <w:r>
        <w:t xml:space="preserve">EDF recommends requiring utilities to use the high end of the cost range of a cost estimate or opinion of probable construction costs to determine whether a project meets the dollar threshold.  PG&amp;E responds that the </w:t>
      </w:r>
      <w:r w:rsidR="005459A7">
        <w:t>GO</w:t>
      </w:r>
      <w:r>
        <w:t xml:space="preserve"> should not direct a cost estimation method, as the IOUs meet industry standards, which are rigorous and proven to be accurate in their</w:t>
      </w:r>
      <w:r w:rsidR="007214CD">
        <w:t xml:space="preserve"> e</w:t>
      </w:r>
      <w:r w:rsidR="00C43229">
        <w:t>stimat</w:t>
      </w:r>
      <w:r>
        <w:t xml:space="preserve">ion methods.  PG&amp;E states that </w:t>
      </w:r>
      <w:r w:rsidR="007214CD">
        <w:t>it</w:t>
      </w:r>
      <w:r>
        <w:t xml:space="preserve"> uses the Association for the Advancement of Cost Engineering cost estimating methodology for “Class 2” estimates.  </w:t>
      </w:r>
      <w:r w:rsidR="00646E39">
        <w:t xml:space="preserve">In comments on the proposed decision, the IOUs state that </w:t>
      </w:r>
      <w:r w:rsidR="00AD18FA">
        <w:t xml:space="preserve">the utility should be afforded the discretion to use </w:t>
      </w:r>
      <w:r w:rsidR="000611C7">
        <w:t xml:space="preserve">a cost estimation method commensurate with the circumstances and stage of development of the proposed project. </w:t>
      </w:r>
    </w:p>
    <w:p w:rsidR="00D878C5" w:rsidP="00632A34" w:rsidRDefault="00D878C5" w14:paraId="59A2DEE0" w14:textId="2C6F3C15">
      <w:pPr>
        <w:pStyle w:val="Standard"/>
      </w:pPr>
      <w:r>
        <w:t xml:space="preserve">In comments on the proposed decision, </w:t>
      </w:r>
      <w:proofErr w:type="spellStart"/>
      <w:r>
        <w:t>CforAT</w:t>
      </w:r>
      <w:proofErr w:type="spellEnd"/>
      <w:r>
        <w:t xml:space="preserve"> recommends the Commission review the monetary threshold </w:t>
      </w:r>
      <w:r w:rsidR="0017036C">
        <w:t>in three years to assess the need for changes.</w:t>
      </w:r>
      <w:r w:rsidR="00ED5A6A">
        <w:t xml:space="preserve">  </w:t>
      </w:r>
    </w:p>
    <w:p w:rsidR="000D3EB1" w:rsidP="0009044A" w:rsidRDefault="000D3EB1" w14:paraId="5A390B61" w14:textId="77B8A50C">
      <w:pPr>
        <w:pStyle w:val="Heading3"/>
      </w:pPr>
      <w:bookmarkStart w:name="_Toc120692808" w:id="32"/>
      <w:r>
        <w:lastRenderedPageBreak/>
        <w:t xml:space="preserve">PTC vs. CPCN Application </w:t>
      </w:r>
      <w:r w:rsidR="00544C18">
        <w:br/>
      </w:r>
      <w:r>
        <w:t>Requirement</w:t>
      </w:r>
      <w:bookmarkEnd w:id="32"/>
    </w:p>
    <w:p w:rsidR="00345119" w:rsidP="00345119" w:rsidRDefault="00345119" w14:paraId="04521580" w14:textId="746E1C21">
      <w:pPr>
        <w:pStyle w:val="Standard"/>
      </w:pPr>
      <w:r>
        <w:t>Several parties, including SoCalGas, SDG&amp;E, SCGC, and Cal Advocates, comment that the Commission should merge the separate categories of “PTC” and “CPCN” into a single unified category.  SoCalGas observes that the requirements for the two categories are effectively the same in the Staff Proposal.  This is because the Staff Proposal would require applications for both categories to explain why a project is necessary to promote the safety, health, comfort, and convenience of the public, and is required by the public convenience and necessity.</w:t>
      </w:r>
      <w:r>
        <w:rPr>
          <w:rStyle w:val="FootnoteReference"/>
        </w:rPr>
        <w:footnoteReference w:id="21"/>
      </w:r>
      <w:r>
        <w:t xml:space="preserve">  </w:t>
      </w:r>
    </w:p>
    <w:p w:rsidRPr="00B100BF" w:rsidR="007159A6" w:rsidP="00B100BF" w:rsidRDefault="00345119" w14:paraId="07D870A9" w14:textId="22E91FED">
      <w:pPr>
        <w:pStyle w:val="Standard"/>
      </w:pPr>
      <w:r>
        <w:t xml:space="preserve">Sierra Club/CEJA/RMI recommend maintaining the two categories and adopting differing qualifying thresholds for each—a $50 million threshold for CPCN applications and no threshold for PTC applications.  Cal Advocates and SCGC express concerns that, as worded, the Staff Proposal is not clear whether the provisions of Pub. Util. Code Section 1005.5 apply to PTC applications.  </w:t>
      </w:r>
    </w:p>
    <w:p w:rsidRPr="00365A2E" w:rsidR="00365A2E" w:rsidP="0009044A" w:rsidRDefault="00365A2E" w14:paraId="2A8FB858" w14:textId="30E7EBFF">
      <w:pPr>
        <w:pStyle w:val="Heading2"/>
      </w:pPr>
      <w:bookmarkStart w:name="_Toc115947570" w:id="33"/>
      <w:bookmarkStart w:name="_Toc120692809" w:id="34"/>
      <w:bookmarkEnd w:id="33"/>
      <w:r>
        <w:t xml:space="preserve">Adopting a $75 million </w:t>
      </w:r>
      <w:r w:rsidRPr="005A0E26">
        <w:t>Threshold</w:t>
      </w:r>
      <w:r>
        <w:t xml:space="preserve"> for Gas </w:t>
      </w:r>
      <w:r w:rsidR="00345119">
        <w:t xml:space="preserve">Infrastructure </w:t>
      </w:r>
      <w:r>
        <w:t>CPCN Applications</w:t>
      </w:r>
      <w:bookmarkEnd w:id="34"/>
    </w:p>
    <w:p w:rsidR="00F707FE" w:rsidP="00E1312D" w:rsidRDefault="006D75CA" w14:paraId="0B410305" w14:textId="22A7F55F">
      <w:pPr>
        <w:pStyle w:val="Standard"/>
      </w:pPr>
      <w:r>
        <w:t>W</w:t>
      </w:r>
      <w:r w:rsidR="005249B8">
        <w:t>e adopt a monetary threshold of $75 million for gas infrastructure projects requiring a CPCN application</w:t>
      </w:r>
      <w:r w:rsidR="0025247C">
        <w:t xml:space="preserve"> and do not adopt Staff’s recommendation for a </w:t>
      </w:r>
      <w:r w:rsidR="0052513F">
        <w:t xml:space="preserve">separate </w:t>
      </w:r>
      <w:r w:rsidR="0025247C">
        <w:t xml:space="preserve">PTC application requirement. </w:t>
      </w:r>
      <w:r>
        <w:t xml:space="preserve"> </w:t>
      </w:r>
      <w:r w:rsidR="00E1312D">
        <w:t xml:space="preserve">A $75 million threshold for a CPCN application ensures focus on the largest projects with the greatest </w:t>
      </w:r>
      <w:r w:rsidR="00F73C80">
        <w:t xml:space="preserve">potential </w:t>
      </w:r>
      <w:r w:rsidR="00E1312D">
        <w:t>to create stranded assets</w:t>
      </w:r>
      <w:r w:rsidR="00C632BF">
        <w:t xml:space="preserve"> and environmental impacts</w:t>
      </w:r>
      <w:r w:rsidR="00E1312D">
        <w:t xml:space="preserve">.  </w:t>
      </w:r>
      <w:r w:rsidR="00D826E3">
        <w:t xml:space="preserve">As observed by several </w:t>
      </w:r>
      <w:r w:rsidR="00D826E3">
        <w:lastRenderedPageBreak/>
        <w:t>parties, we find the requirements for the CPCN and PTC categories proposed by Staff to be very similar, with no useful purpose served by maintaining them as separate.</w:t>
      </w:r>
      <w:r w:rsidR="000246D6">
        <w:t xml:space="preserve">  </w:t>
      </w:r>
      <w:r w:rsidR="003F0107">
        <w:t>Close review of need, project alternatives, and ways to eliminate or mitigate environmental impacts will be helpful for all projects meeting our adopted monetary threshold.</w:t>
      </w:r>
      <w:r w:rsidR="000246D6">
        <w:t xml:space="preserve">  </w:t>
      </w:r>
    </w:p>
    <w:p w:rsidR="00E1312D" w:rsidP="00E1312D" w:rsidRDefault="00E1312D" w14:paraId="380FD2CD" w14:textId="6099AA35">
      <w:pPr>
        <w:pStyle w:val="Standard"/>
      </w:pPr>
      <w:r>
        <w:t xml:space="preserve">Review of gas infrastructure projects </w:t>
      </w:r>
      <w:r w:rsidR="00DB124A">
        <w:t>submitted by the gas corporations</w:t>
      </w:r>
      <w:r>
        <w:t xml:space="preserve">, </w:t>
      </w:r>
      <w:r w:rsidR="000078EB">
        <w:t xml:space="preserve">other than </w:t>
      </w:r>
      <w:r w:rsidRPr="00E364FA">
        <w:t>Pipeline Safety and Enhancement Projects</w:t>
      </w:r>
      <w:r>
        <w:t xml:space="preserve"> (PSEP) and Transmission Integrity Management Program projects (TIMP), which we</w:t>
      </w:r>
      <w:r w:rsidR="002E581D">
        <w:t xml:space="preserve"> exempt</w:t>
      </w:r>
      <w:r>
        <w:t xml:space="preserve"> from </w:t>
      </w:r>
      <w:r w:rsidR="00E0736D">
        <w:t xml:space="preserve">CPCN </w:t>
      </w:r>
      <w:r>
        <w:t>application requirements</w:t>
      </w:r>
      <w:r w:rsidR="00DB124A">
        <w:t xml:space="preserve"> as discussed below</w:t>
      </w:r>
      <w:r>
        <w:t xml:space="preserve">, </w:t>
      </w:r>
      <w:r w:rsidR="004063F4">
        <w:t xml:space="preserve">leads to the conclusion </w:t>
      </w:r>
      <w:r>
        <w:t xml:space="preserve">that three </w:t>
      </w:r>
      <w:r w:rsidR="00DB124A">
        <w:t xml:space="preserve">gas infrastructure </w:t>
      </w:r>
      <w:r>
        <w:t xml:space="preserve">projects </w:t>
      </w:r>
      <w:r w:rsidR="00DB124A">
        <w:t xml:space="preserve">in the last </w:t>
      </w:r>
      <w:r w:rsidR="00F93CE0">
        <w:t>ten</w:t>
      </w:r>
      <w:r w:rsidR="00DB124A">
        <w:t xml:space="preserve"> years </w:t>
      </w:r>
      <w:r>
        <w:t>exceed</w:t>
      </w:r>
      <w:r w:rsidR="00DB124A">
        <w:t>ed</w:t>
      </w:r>
      <w:r>
        <w:t xml:space="preserve"> </w:t>
      </w:r>
      <w:r w:rsidR="002E581D">
        <w:t xml:space="preserve">a </w:t>
      </w:r>
      <w:r>
        <w:t>$100 million</w:t>
      </w:r>
      <w:r w:rsidR="002E581D">
        <w:t xml:space="preserve"> cost threshold</w:t>
      </w:r>
      <w:r w:rsidR="00237775">
        <w:t>, f</w:t>
      </w:r>
      <w:r w:rsidR="009D0F4E">
        <w:t>ive</w:t>
      </w:r>
      <w:r w:rsidR="00237775">
        <w:t xml:space="preserve"> exceeded </w:t>
      </w:r>
      <w:r w:rsidR="002E581D">
        <w:t xml:space="preserve">a </w:t>
      </w:r>
      <w:r w:rsidR="004572A8">
        <w:t>$75 million</w:t>
      </w:r>
      <w:r w:rsidR="002E581D">
        <w:t xml:space="preserve"> cost threshold</w:t>
      </w:r>
      <w:r w:rsidR="004572A8">
        <w:t>,</w:t>
      </w:r>
      <w:r>
        <w:t xml:space="preserve"> and </w:t>
      </w:r>
      <w:r w:rsidR="00355005">
        <w:t>nine</w:t>
      </w:r>
      <w:r>
        <w:t xml:space="preserve"> exceed</w:t>
      </w:r>
      <w:r w:rsidR="00DB124A">
        <w:t>ed</w:t>
      </w:r>
      <w:r>
        <w:t xml:space="preserve"> </w:t>
      </w:r>
      <w:r w:rsidR="002E581D">
        <w:t xml:space="preserve">a </w:t>
      </w:r>
      <w:r>
        <w:t>$50 million cost</w:t>
      </w:r>
      <w:r w:rsidR="002E581D">
        <w:t xml:space="preserve"> threshold</w:t>
      </w:r>
      <w:r>
        <w:t>.</w:t>
      </w:r>
      <w:r w:rsidR="002004D7">
        <w:rPr>
          <w:rStyle w:val="FootnoteReference"/>
        </w:rPr>
        <w:footnoteReference w:id="22"/>
      </w:r>
      <w:r>
        <w:t xml:space="preserve"> </w:t>
      </w:r>
      <w:r w:rsidR="00551CE6">
        <w:t xml:space="preserve"> </w:t>
      </w:r>
      <w:r w:rsidR="008153C7">
        <w:t xml:space="preserve">All </w:t>
      </w:r>
      <w:r w:rsidR="00EA6050">
        <w:t xml:space="preserve">SDG&amp;E </w:t>
      </w:r>
      <w:r w:rsidR="00EB7537">
        <w:t xml:space="preserve">gas infrastructure </w:t>
      </w:r>
      <w:r w:rsidR="008153C7">
        <w:t>projects over the last decade</w:t>
      </w:r>
      <w:r w:rsidR="00551CE6">
        <w:t>, which were all PSEP projects,</w:t>
      </w:r>
      <w:r w:rsidR="008153C7">
        <w:t xml:space="preserve"> fell within </w:t>
      </w:r>
      <w:r w:rsidR="00551CE6">
        <w:t xml:space="preserve">the </w:t>
      </w:r>
      <w:r w:rsidR="008153C7">
        <w:t>$50</w:t>
      </w:r>
      <w:r w:rsidR="00551CE6">
        <w:t xml:space="preserve"> to </w:t>
      </w:r>
      <w:r w:rsidR="008153C7">
        <w:t>$75 million</w:t>
      </w:r>
      <w:r w:rsidR="00551CE6">
        <w:t xml:space="preserve"> </w:t>
      </w:r>
      <w:r w:rsidR="002E581D">
        <w:t xml:space="preserve">cost </w:t>
      </w:r>
      <w:r w:rsidR="00551CE6">
        <w:t xml:space="preserve">range. </w:t>
      </w:r>
      <w:r w:rsidR="001135B9">
        <w:t xml:space="preserve"> </w:t>
      </w:r>
      <w:r>
        <w:t>Every project for which a CPCN application is required results in direct costs to ratepayers</w:t>
      </w:r>
      <w:r w:rsidR="00D36717">
        <w:t xml:space="preserve">, </w:t>
      </w:r>
      <w:r w:rsidR="00C32802">
        <w:t xml:space="preserve">including costs to </w:t>
      </w:r>
      <w:r>
        <w:t>prepar</w:t>
      </w:r>
      <w:r w:rsidR="004063F4">
        <w:t>e</w:t>
      </w:r>
      <w:r>
        <w:t xml:space="preserve"> environmental reports, </w:t>
      </w:r>
      <w:r w:rsidR="006B0C47">
        <w:t xml:space="preserve">indirect costs, and other costs such as those arising from </w:t>
      </w:r>
      <w:r w:rsidR="002B5090">
        <w:t xml:space="preserve">potential </w:t>
      </w:r>
      <w:r>
        <w:t>delay</w:t>
      </w:r>
      <w:r w:rsidR="006B0C47">
        <w:t>s</w:t>
      </w:r>
      <w:r>
        <w:t xml:space="preserve"> </w:t>
      </w:r>
      <w:r w:rsidR="002B5090">
        <w:t xml:space="preserve">from the need to review </w:t>
      </w:r>
      <w:r>
        <w:t>projects</w:t>
      </w:r>
      <w:r w:rsidR="002B5090">
        <w:t xml:space="preserve">.  However, it is necessary to </w:t>
      </w:r>
      <w:r w:rsidR="002E581D">
        <w:t xml:space="preserve">scrutinize large </w:t>
      </w:r>
      <w:r w:rsidR="00442C9A">
        <w:t xml:space="preserve">projects to ensure that they </w:t>
      </w:r>
      <w:r w:rsidR="0065127F">
        <w:t xml:space="preserve">create </w:t>
      </w:r>
      <w:r w:rsidR="003B7709">
        <w:t xml:space="preserve">net </w:t>
      </w:r>
      <w:r w:rsidR="00F94911">
        <w:t>benefit</w:t>
      </w:r>
      <w:r w:rsidR="003B7709">
        <w:t>s</w:t>
      </w:r>
      <w:r w:rsidR="00F94911">
        <w:t xml:space="preserve"> </w:t>
      </w:r>
      <w:r w:rsidR="003B7709">
        <w:t xml:space="preserve">for </w:t>
      </w:r>
      <w:r w:rsidR="007F64C1">
        <w:t>customer</w:t>
      </w:r>
      <w:r w:rsidR="003B7709">
        <w:t>s</w:t>
      </w:r>
      <w:r w:rsidR="00BC4F89">
        <w:t xml:space="preserve"> and</w:t>
      </w:r>
      <w:r w:rsidR="007F64C1">
        <w:t xml:space="preserve"> local communities</w:t>
      </w:r>
      <w:r w:rsidR="00C60EDE">
        <w:t xml:space="preserve"> and avoid </w:t>
      </w:r>
      <w:r w:rsidR="002E581D">
        <w:t xml:space="preserve">creating </w:t>
      </w:r>
      <w:r w:rsidR="00C60EDE">
        <w:t>strand</w:t>
      </w:r>
      <w:r w:rsidR="00645E1C">
        <w:t>ed</w:t>
      </w:r>
      <w:r w:rsidR="00C60EDE">
        <w:t xml:space="preserve"> assets</w:t>
      </w:r>
      <w:r>
        <w:t>.</w:t>
      </w:r>
      <w:r w:rsidR="00D36717">
        <w:t xml:space="preserve">  A</w:t>
      </w:r>
      <w:r>
        <w:t xml:space="preserve"> $75</w:t>
      </w:r>
      <w:r w:rsidR="00EE7193">
        <w:t> </w:t>
      </w:r>
      <w:r>
        <w:t xml:space="preserve">million threshold reasonably balances these costs, risks, and benefits to ratepayers and local residents.  </w:t>
      </w:r>
    </w:p>
    <w:p w:rsidR="00277227" w:rsidP="000D409F" w:rsidRDefault="00091B2A" w14:paraId="4DFA0E79" w14:textId="022396EA">
      <w:pPr>
        <w:pStyle w:val="Standard"/>
      </w:pPr>
      <w:r>
        <w:lastRenderedPageBreak/>
        <w:t xml:space="preserve">We disagree with </w:t>
      </w:r>
      <w:r w:rsidR="00735AAF">
        <w:t>parties that propose a $50 million threshold (</w:t>
      </w:r>
      <w:r w:rsidR="00277227">
        <w:t xml:space="preserve">EDF, </w:t>
      </w:r>
      <w:proofErr w:type="spellStart"/>
      <w:r w:rsidR="00277227">
        <w:t>CforAT</w:t>
      </w:r>
      <w:proofErr w:type="spellEnd"/>
      <w:r w:rsidR="00275352">
        <w:t>)</w:t>
      </w:r>
      <w:r w:rsidR="00277227">
        <w:t xml:space="preserve"> or a </w:t>
      </w:r>
      <w:r w:rsidR="00735AAF">
        <w:t>$25 million threshold (UCAN)</w:t>
      </w:r>
      <w:r w:rsidR="00673A9D">
        <w:t xml:space="preserve"> for the reasons indicated above:  each </w:t>
      </w:r>
      <w:r w:rsidR="00450788">
        <w:t>CPCN</w:t>
      </w:r>
      <w:r w:rsidR="00673A9D">
        <w:t xml:space="preserve"> application process entails costs as well as benefits and we elect to focus our </w:t>
      </w:r>
      <w:r w:rsidR="00FB5AE6">
        <w:t xml:space="preserve">Commission </w:t>
      </w:r>
      <w:r w:rsidR="00673A9D">
        <w:t xml:space="preserve">resources on the </w:t>
      </w:r>
      <w:r w:rsidR="009D7A1E">
        <w:t xml:space="preserve">largest, </w:t>
      </w:r>
      <w:r w:rsidR="00673A9D">
        <w:t>most</w:t>
      </w:r>
      <w:r w:rsidR="001E19A7">
        <w:t xml:space="preserve"> </w:t>
      </w:r>
      <w:r w:rsidR="007B634D">
        <w:t>costly</w:t>
      </w:r>
      <w:r w:rsidR="00673A9D">
        <w:t xml:space="preserve"> and potentially environmentally significant projects.</w:t>
      </w:r>
    </w:p>
    <w:p w:rsidR="00605C49" w:rsidP="00483117" w:rsidRDefault="00440625" w14:paraId="140ECFAB" w14:textId="0942600E">
      <w:pPr>
        <w:pStyle w:val="Standard"/>
      </w:pPr>
      <w:r>
        <w:t>We disagree with Sierra Club/CEJA and Cal Advocates that we have insufficient evidence to adopt a</w:t>
      </w:r>
      <w:r w:rsidR="00670C32">
        <w:t xml:space="preserve"> </w:t>
      </w:r>
      <w:r>
        <w:t>monetary threshold for a</w:t>
      </w:r>
      <w:r w:rsidR="00450788">
        <w:t>n</w:t>
      </w:r>
      <w:r>
        <w:t xml:space="preserve"> application requirement.  </w:t>
      </w:r>
      <w:r w:rsidR="009A5A8D">
        <w:t xml:space="preserve">Pursuant to Pub. Res. Code Section </w:t>
      </w:r>
      <w:r w:rsidRPr="003A6FF7" w:rsidR="003A6FF7">
        <w:t>Code 21080(a)</w:t>
      </w:r>
      <w:r w:rsidR="003A6FF7">
        <w:t xml:space="preserve">, CEQA applies to discretionary projects approved by this Commission.  </w:t>
      </w:r>
      <w:r w:rsidR="00FC0455">
        <w:t>Our adopted monetary threshold reflect</w:t>
      </w:r>
      <w:r w:rsidR="00C558DD">
        <w:t>s</w:t>
      </w:r>
      <w:r w:rsidR="00FC0455">
        <w:t xml:space="preserve"> a reasonable inference of the gas infrastructure projects </w:t>
      </w:r>
      <w:r w:rsidR="33D3C5AF">
        <w:t xml:space="preserve">that should receive additional scrutiny by the </w:t>
      </w:r>
      <w:r w:rsidR="31B4537C">
        <w:t>Commission – for both policy and environmental protection reasons.</w:t>
      </w:r>
      <w:r>
        <w:t xml:space="preserve">  </w:t>
      </w:r>
      <w:r w:rsidR="15BCB2F0">
        <w:t>The Commission</w:t>
      </w:r>
      <w:r w:rsidR="496CF8F4">
        <w:t xml:space="preserve"> is creating a new discretionary review process for a class of projects where </w:t>
      </w:r>
      <w:r w:rsidR="0DF57F59">
        <w:t>this level of scrutiny was previously not required.</w:t>
      </w:r>
      <w:r w:rsidR="00605C49">
        <w:t xml:space="preserve">  Correspondingly, CEQA creates no obligation for this Commission to require CPCN or PTC applications for gas infrastructure projects that do not meet the thresholds adopted here.</w:t>
      </w:r>
    </w:p>
    <w:p w:rsidR="00440625" w:rsidP="00440625" w:rsidRDefault="00440625" w14:paraId="408E41AB" w14:textId="6775EC2D">
      <w:pPr>
        <w:pStyle w:val="Standard"/>
      </w:pPr>
      <w:r>
        <w:t xml:space="preserve">We decline to review utility environmental information regarding the project lists submitted </w:t>
      </w:r>
      <w:r w:rsidR="00033D0A">
        <w:t xml:space="preserve">on </w:t>
      </w:r>
      <w:r>
        <w:t xml:space="preserve">June </w:t>
      </w:r>
      <w:r w:rsidR="00796533">
        <w:t xml:space="preserve">18, 2022 </w:t>
      </w:r>
      <w:r>
        <w:t xml:space="preserve">by the gas utilities, as recommended by Cal Advocates.  This information is not currently part of the record of this proceeding.  However, we may consider this information in the future as part of the long-term gas planning process that is scoped to occur later in this proceeding. </w:t>
      </w:r>
    </w:p>
    <w:p w:rsidR="002F4CC5" w:rsidP="00440625" w:rsidRDefault="007D3ACC" w14:paraId="43FDBCB9" w14:textId="6CA88BBC">
      <w:pPr>
        <w:pStyle w:val="Standard"/>
      </w:pPr>
      <w:r>
        <w:t xml:space="preserve">We do not use the </w:t>
      </w:r>
      <w:r w:rsidR="00440625">
        <w:t>physical properties of infrastructure projects that merit additional review</w:t>
      </w:r>
      <w:r w:rsidR="00422C42">
        <w:t xml:space="preserve"> because the monetary threshold concept aligns with a similar approach in Pub. Util. Code Section 1005.5 and is relevant</w:t>
      </w:r>
      <w:r w:rsidR="00087E32">
        <w:t xml:space="preserve"> </w:t>
      </w:r>
      <w:r w:rsidR="00A72013">
        <w:t>for</w:t>
      </w:r>
      <w:r w:rsidR="00087E32">
        <w:t xml:space="preserve"> </w:t>
      </w:r>
      <w:r w:rsidR="00A72013">
        <w:t xml:space="preserve">our </w:t>
      </w:r>
      <w:r w:rsidR="00087E32">
        <w:t xml:space="preserve">consideration </w:t>
      </w:r>
      <w:r w:rsidR="00A72013">
        <w:t>of potential</w:t>
      </w:r>
      <w:r w:rsidR="00087E32">
        <w:t xml:space="preserve"> stranded assets. </w:t>
      </w:r>
      <w:r w:rsidR="00A41365">
        <w:t xml:space="preserve"> We also do not adopt a $50 million </w:t>
      </w:r>
      <w:r w:rsidR="00CD0F36">
        <w:t xml:space="preserve">monetary </w:t>
      </w:r>
      <w:r w:rsidR="00A41365">
        <w:lastRenderedPageBreak/>
        <w:t>threshold as</w:t>
      </w:r>
      <w:r w:rsidR="00F1157A">
        <w:t xml:space="preserve"> is</w:t>
      </w:r>
      <w:r w:rsidR="00A41365">
        <w:t xml:space="preserve"> included in Pub. Util. Code Section 1005.5 because </w:t>
      </w:r>
      <w:r w:rsidR="00E525FC">
        <w:t xml:space="preserve">legislation </w:t>
      </w:r>
      <w:r w:rsidR="0003423E">
        <w:t>establishing that</w:t>
      </w:r>
      <w:r w:rsidR="00F1157A">
        <w:t xml:space="preserve"> statute was </w:t>
      </w:r>
      <w:r w:rsidR="00E525FC">
        <w:t xml:space="preserve">adopted </w:t>
      </w:r>
      <w:r w:rsidR="0003423E">
        <w:t>in 1985</w:t>
      </w:r>
      <w:r w:rsidR="00A72013">
        <w:t xml:space="preserve"> and </w:t>
      </w:r>
      <w:r w:rsidR="005D5B83">
        <w:t xml:space="preserve">inflation </w:t>
      </w:r>
      <w:r w:rsidR="00A72013">
        <w:t xml:space="preserve">since then results in an equivalent value in </w:t>
      </w:r>
      <w:r w:rsidR="009C3169">
        <w:t xml:space="preserve">2022 </w:t>
      </w:r>
      <w:r w:rsidR="00A72013">
        <w:t xml:space="preserve">real dollars of approximately $130 million. </w:t>
      </w:r>
      <w:r w:rsidR="00EE7193">
        <w:t xml:space="preserve"> </w:t>
      </w:r>
      <w:r w:rsidR="7DA3E4F2">
        <w:t>Thus,</w:t>
      </w:r>
      <w:r w:rsidR="00130B59">
        <w:t xml:space="preserve"> </w:t>
      </w:r>
      <w:r w:rsidR="7DA3E4F2">
        <w:t>a $75 million dollar threshold strike</w:t>
      </w:r>
      <w:r w:rsidR="0312ECC0">
        <w:t>s</w:t>
      </w:r>
      <w:r w:rsidR="7DA3E4F2">
        <w:t xml:space="preserve"> </w:t>
      </w:r>
      <w:r w:rsidR="00130B59">
        <w:t>an</w:t>
      </w:r>
      <w:r w:rsidR="7DA3E4F2">
        <w:t xml:space="preserve"> appropriate balance</w:t>
      </w:r>
      <w:r w:rsidR="00130B59">
        <w:t xml:space="preserve">.  It </w:t>
      </w:r>
      <w:r w:rsidR="69D3A0AA">
        <w:t xml:space="preserve">does not require the Commission to expend scarce resources to scrutinize routine </w:t>
      </w:r>
      <w:r w:rsidR="34CA1664">
        <w:t xml:space="preserve">repair, maintenance, replacement and minor projects </w:t>
      </w:r>
      <w:r w:rsidR="00130B59">
        <w:t xml:space="preserve">that are </w:t>
      </w:r>
      <w:r w:rsidR="34CA1664">
        <w:t>necessary to ensure th</w:t>
      </w:r>
      <w:r w:rsidR="0BA025B5">
        <w:t>e</w:t>
      </w:r>
      <w:r w:rsidR="34CA1664">
        <w:t xml:space="preserve"> safety and reliability of the g</w:t>
      </w:r>
      <w:r w:rsidR="0E2F6FFF">
        <w:t>as system.</w:t>
      </w:r>
    </w:p>
    <w:p w:rsidR="004A390D" w:rsidP="00440625" w:rsidRDefault="00440625" w14:paraId="52E4F7C0" w14:textId="36DDCA29">
      <w:pPr>
        <w:pStyle w:val="Standard"/>
      </w:pPr>
      <w:r>
        <w:t>We direct the gas utilities to use cost estimation methods based on proven and rigorous industry standards</w:t>
      </w:r>
      <w:r w:rsidR="00241067">
        <w:t>.  Utilities shall use “fully loaded” cost estimates</w:t>
      </w:r>
      <w:r w:rsidR="00AA0320">
        <w:t xml:space="preserve"> that </w:t>
      </w:r>
      <w:r>
        <w:t xml:space="preserve">include </w:t>
      </w:r>
      <w:r w:rsidR="00AA0320">
        <w:t xml:space="preserve">both </w:t>
      </w:r>
      <w:r>
        <w:t xml:space="preserve">direct </w:t>
      </w:r>
      <w:r w:rsidR="00C43229">
        <w:t xml:space="preserve">and indirect </w:t>
      </w:r>
      <w:r>
        <w:t xml:space="preserve">costs </w:t>
      </w:r>
      <w:r w:rsidR="00AA0320">
        <w:t xml:space="preserve">and shall </w:t>
      </w:r>
      <w:r w:rsidR="002340AA">
        <w:t>take into consideration the design of the project, the expected duration of construction, an estimate of the effects of economic inflation, and any known engineering difficulties associated with the project</w:t>
      </w:r>
      <w:r>
        <w:t>.</w:t>
      </w:r>
      <w:r w:rsidR="00027575">
        <w:rPr>
          <w:rStyle w:val="FootnoteReference"/>
        </w:rPr>
        <w:footnoteReference w:id="23"/>
      </w:r>
      <w:r w:rsidR="00796533">
        <w:t xml:space="preserve">  </w:t>
      </w:r>
      <w:r w:rsidR="00D47E54">
        <w:t xml:space="preserve">We do not require the utilities to use a particular method as proposed by some parties. </w:t>
      </w:r>
      <w:r w:rsidR="00EE7193">
        <w:t xml:space="preserve"> </w:t>
      </w:r>
      <w:r w:rsidR="00FB15E3">
        <w:t>However, t</w:t>
      </w:r>
      <w:r>
        <w:t>he utilities shall use a cost estimation method</w:t>
      </w:r>
      <w:r w:rsidR="00B13E23">
        <w:t xml:space="preserve"> </w:t>
      </w:r>
      <w:r w:rsidR="0032149D">
        <w:t xml:space="preserve">consistent with </w:t>
      </w:r>
      <w:r w:rsidR="0065676A">
        <w:t xml:space="preserve">Association for the Advancement of Cost Engineering </w:t>
      </w:r>
      <w:r>
        <w:t>methodolog</w:t>
      </w:r>
      <w:r w:rsidR="00B13E23">
        <w:t xml:space="preserve">ies and </w:t>
      </w:r>
      <w:r w:rsidR="0032149D">
        <w:t>appropriate to the project’s stage of development</w:t>
      </w:r>
      <w:r w:rsidR="004D20D0">
        <w:t xml:space="preserve"> and anticipated technical construction or scope change risk</w:t>
      </w:r>
      <w:r>
        <w:t xml:space="preserve">.  This approach is reasonable and practicable.  </w:t>
      </w:r>
    </w:p>
    <w:p w:rsidR="008E1CF1" w:rsidP="00440625" w:rsidRDefault="000C11D5" w14:paraId="4B3E8FE6" w14:textId="4C8FCC61">
      <w:pPr>
        <w:pStyle w:val="Standard"/>
      </w:pPr>
      <w:r>
        <w:t xml:space="preserve">We do not require utilities to include an estimate of </w:t>
      </w:r>
      <w:r w:rsidR="003A7A59">
        <w:t xml:space="preserve">“utility proceeds,” </w:t>
      </w:r>
      <w:r w:rsidR="001B53C4">
        <w:t xml:space="preserve">defined in the proposed decision as </w:t>
      </w:r>
      <w:r>
        <w:t>the guaranteed cost of capital investment benefit</w:t>
      </w:r>
      <w:r w:rsidR="00E32390">
        <w:t>,</w:t>
      </w:r>
      <w:r>
        <w:t xml:space="preserve"> </w:t>
      </w:r>
      <w:r w:rsidR="00AC05FD">
        <w:t xml:space="preserve">within its estimate of direct and indirect costs.  The proposed decision’s </w:t>
      </w:r>
      <w:r w:rsidR="00AC05FD">
        <w:lastRenderedPageBreak/>
        <w:t xml:space="preserve">inclusion of this </w:t>
      </w:r>
      <w:r w:rsidR="00BA463F">
        <w:t xml:space="preserve">requirement </w:t>
      </w:r>
      <w:r w:rsidR="00AC05FD">
        <w:t xml:space="preserve">was </w:t>
      </w:r>
      <w:r w:rsidR="004A390D">
        <w:t xml:space="preserve">based on a misreading of SDG&amp;E’s comments and does not reflect our considerations regarding the appropriate monetary threshold level for </w:t>
      </w:r>
      <w:r w:rsidR="00F20F7C">
        <w:t xml:space="preserve">a CPCN </w:t>
      </w:r>
      <w:r w:rsidR="00B65F35">
        <w:t xml:space="preserve">application </w:t>
      </w:r>
      <w:r w:rsidR="00F20F7C">
        <w:t xml:space="preserve">requirement.  However, </w:t>
      </w:r>
      <w:r w:rsidR="00D22B65">
        <w:t>w</w:t>
      </w:r>
      <w:r w:rsidR="00F20F7C">
        <w:t xml:space="preserve">e </w:t>
      </w:r>
      <w:r w:rsidR="00D22B65">
        <w:t xml:space="preserve">modify Section </w:t>
      </w:r>
      <w:r w:rsidR="00435167">
        <w:t>VI</w:t>
      </w:r>
      <w:r w:rsidR="00911E20">
        <w:t>(A)</w:t>
      </w:r>
      <w:r w:rsidR="00940F87">
        <w:t>(6)</w:t>
      </w:r>
      <w:r w:rsidR="00435167">
        <w:t xml:space="preserve"> of our </w:t>
      </w:r>
      <w:r w:rsidR="00D22B65">
        <w:t xml:space="preserve">adopted GO to </w:t>
      </w:r>
      <w:r w:rsidR="00F20F7C">
        <w:t xml:space="preserve">require utilities to include an estimate of </w:t>
      </w:r>
      <w:r w:rsidR="008D617E">
        <w:t xml:space="preserve">the guaranteed cost of capital investment </w:t>
      </w:r>
      <w:r w:rsidR="001B53C4">
        <w:t xml:space="preserve">benefit to the utility </w:t>
      </w:r>
      <w:r w:rsidR="00F20F7C">
        <w:t>in their CPCN application</w:t>
      </w:r>
      <w:r w:rsidR="007A36E2">
        <w:t xml:space="preserve">s.  We agree with PG&amp;E that this </w:t>
      </w:r>
      <w:r w:rsidR="008C2BD9">
        <w:t xml:space="preserve">information may be useful to consider as part of the application review process, rather than as part of the determination of a project’s monetary cost for purposes of triggering a CPCN application. </w:t>
      </w:r>
    </w:p>
    <w:p w:rsidR="009B245F" w:rsidP="00670C32" w:rsidRDefault="00440625" w14:paraId="7FC70F34" w14:textId="4AAFA902">
      <w:pPr>
        <w:pStyle w:val="Standard"/>
      </w:pPr>
      <w:r>
        <w:t xml:space="preserve">We decline to </w:t>
      </w:r>
      <w:r w:rsidRPr="0090250D">
        <w:t>annually automatically adjust</w:t>
      </w:r>
      <w:r>
        <w:t xml:space="preserve"> our adopted monetary trigger level to ad</w:t>
      </w:r>
      <w:r w:rsidRPr="0090250D">
        <w:t xml:space="preserve">dress inflation, </w:t>
      </w:r>
      <w:r>
        <w:t>as suggested by SDG&amp;E.</w:t>
      </w:r>
      <w:r w:rsidR="00996D59">
        <w:t xml:space="preserve">  </w:t>
      </w:r>
      <w:r>
        <w:t>Our threshold level is reasonable and clear.  However, we may from time to time</w:t>
      </w:r>
      <w:r w:rsidR="008B5F3D">
        <w:t>, in a Commission decision,</w:t>
      </w:r>
      <w:r>
        <w:t xml:space="preserve"> reconsider this level and adjust it in the future. </w:t>
      </w:r>
      <w:r w:rsidR="009B245F">
        <w:t xml:space="preserve"> </w:t>
      </w:r>
    </w:p>
    <w:p w:rsidR="00DA313A" w:rsidP="00DA313A" w:rsidRDefault="00DA313A" w14:paraId="162820CB" w14:textId="6134A76F">
      <w:pPr>
        <w:pStyle w:val="Standard"/>
      </w:pPr>
      <w:r>
        <w:t xml:space="preserve">We clarify that all projects meeting our adopted criteria and submitting </w:t>
      </w:r>
      <w:r w:rsidR="00450788">
        <w:t xml:space="preserve">a CPCN </w:t>
      </w:r>
      <w:r>
        <w:t>application will be required to comply with Pub. Util. Code Section</w:t>
      </w:r>
      <w:r w:rsidR="00EE7193">
        <w:t> </w:t>
      </w:r>
      <w:r>
        <w:t>1001</w:t>
      </w:r>
      <w:r w:rsidR="00EE7193">
        <w:t> </w:t>
      </w:r>
      <w:r w:rsidRPr="00F461B1">
        <w:rPr>
          <w:i/>
          <w:iCs/>
        </w:rPr>
        <w:t>et seq.</w:t>
      </w:r>
      <w:r>
        <w:t xml:space="preserve">  Requiring this aligns this </w:t>
      </w:r>
      <w:r w:rsidR="005459A7">
        <w:t>GO</w:t>
      </w:r>
      <w:r>
        <w:t xml:space="preserve"> with Pub. Util. Code Section</w:t>
      </w:r>
      <w:r w:rsidR="00EE7193">
        <w:t> </w:t>
      </w:r>
      <w:r>
        <w:t xml:space="preserve">1001 et seq. and ensures attention to the accuracy and reasonableness of the cost estimates provided in applications. </w:t>
      </w:r>
    </w:p>
    <w:p w:rsidR="00DA313A" w:rsidP="00DA313A" w:rsidRDefault="00DA313A" w14:paraId="580ECE90" w14:textId="05EB26A7">
      <w:pPr>
        <w:pStyle w:val="Standard"/>
      </w:pPr>
      <w:r>
        <w:t xml:space="preserve">Specifically, when approving projects subject to this </w:t>
      </w:r>
      <w:r w:rsidR="005459A7">
        <w:t>GO</w:t>
      </w:r>
      <w:r>
        <w:t xml:space="preserve">, we </w:t>
      </w:r>
      <w:r w:rsidR="005E18E2">
        <w:t xml:space="preserve">will </w:t>
      </w:r>
      <w:r>
        <w:t xml:space="preserve">specify the maximum cost determined to be reasonable and prudent for the facility pursuant to Pub. Util. Code Section 1005.5.  Section </w:t>
      </w:r>
      <w:r w:rsidRPr="008A1E09">
        <w:t>1</w:t>
      </w:r>
      <w:r w:rsidR="00B9314B">
        <w:t>5</w:t>
      </w:r>
      <w:r w:rsidRPr="008A1E09">
        <w:t>.3</w:t>
      </w:r>
      <w:r w:rsidRPr="00E923F6">
        <w:t xml:space="preserve"> below</w:t>
      </w:r>
      <w:r>
        <w:t xml:space="preserve"> outlines the cost information we require in </w:t>
      </w:r>
      <w:r w:rsidR="00450788">
        <w:t>CPCN</w:t>
      </w:r>
      <w:r>
        <w:t xml:space="preserve"> applications to support determination of a maximum project cost pursuant to Pub. Util. Code Section 1005.5.  </w:t>
      </w:r>
    </w:p>
    <w:p w:rsidR="00756274" w:rsidP="00DA313A" w:rsidRDefault="00756274" w14:paraId="29369AE1" w14:textId="27AEE636">
      <w:pPr>
        <w:pStyle w:val="Standard"/>
      </w:pPr>
      <w:r>
        <w:t xml:space="preserve">Additionally, </w:t>
      </w:r>
      <w:r w:rsidR="00C31C50">
        <w:t xml:space="preserve">we authorize </w:t>
      </w:r>
      <w:r>
        <w:t>Commission Staff</w:t>
      </w:r>
      <w:r w:rsidR="00C31C50">
        <w:t xml:space="preserve">, in </w:t>
      </w:r>
      <w:r>
        <w:t>approximately three years</w:t>
      </w:r>
      <w:r w:rsidR="00434AAF">
        <w:t xml:space="preserve">, </w:t>
      </w:r>
      <w:r w:rsidR="00C31C50">
        <w:t xml:space="preserve">or when feasible, to prepare a short review of implementation of this GO </w:t>
      </w:r>
      <w:r w:rsidR="00C31C50">
        <w:lastRenderedPageBreak/>
        <w:t xml:space="preserve">using the $75 million monetary trigger and to recommend revisions </w:t>
      </w:r>
      <w:r w:rsidR="00434AAF">
        <w:t xml:space="preserve">as warranted. </w:t>
      </w:r>
    </w:p>
    <w:p w:rsidR="00FC69E0" w:rsidP="00FC69E0" w:rsidRDefault="00FC69E0" w14:paraId="7BC260A8" w14:textId="52FCFED0">
      <w:pPr>
        <w:pStyle w:val="Heading1"/>
      </w:pPr>
      <w:bookmarkStart w:name="_Toc120692810" w:id="36"/>
      <w:r>
        <w:t>Sensitive Receptors Trigger Requirements</w:t>
      </w:r>
      <w:bookmarkEnd w:id="36"/>
    </w:p>
    <w:p w:rsidRPr="00705342" w:rsidR="00705342" w:rsidP="0009044A" w:rsidRDefault="00705342" w14:paraId="0568C567" w14:textId="05CCCC1F">
      <w:pPr>
        <w:pStyle w:val="Heading2"/>
      </w:pPr>
      <w:bookmarkStart w:name="_Toc120641447" w:id="37"/>
      <w:bookmarkStart w:name="_Toc120644136" w:id="38"/>
      <w:bookmarkStart w:name="_Toc120692811" w:id="39"/>
      <w:bookmarkStart w:name="_Toc120692812" w:id="40"/>
      <w:bookmarkEnd w:id="37"/>
      <w:bookmarkEnd w:id="38"/>
      <w:bookmarkEnd w:id="39"/>
      <w:r w:rsidRPr="005A0E26">
        <w:t>Staff</w:t>
      </w:r>
      <w:r>
        <w:t xml:space="preserve"> Proposal</w:t>
      </w:r>
      <w:bookmarkEnd w:id="40"/>
      <w:r>
        <w:t xml:space="preserve"> </w:t>
      </w:r>
    </w:p>
    <w:p w:rsidR="00321268" w:rsidP="00321268" w:rsidRDefault="00705342" w14:paraId="4507C38B" w14:textId="258DD5F4">
      <w:pPr>
        <w:pStyle w:val="Standard"/>
      </w:pPr>
      <w:r>
        <w:t xml:space="preserve">The </w:t>
      </w:r>
      <w:r w:rsidR="006F7694">
        <w:t>Staff Proposal</w:t>
      </w:r>
      <w:r w:rsidR="008E7A51">
        <w:t xml:space="preserve"> </w:t>
      </w:r>
      <w:r>
        <w:t>contain</w:t>
      </w:r>
      <w:r w:rsidR="00450788">
        <w:t>s</w:t>
      </w:r>
      <w:r>
        <w:t xml:space="preserve"> the following environmental trigger requirement for a</w:t>
      </w:r>
      <w:r w:rsidR="00450788">
        <w:t>n</w:t>
      </w:r>
      <w:r>
        <w:t xml:space="preserve"> application</w:t>
      </w:r>
      <w:r w:rsidR="00450788">
        <w:t xml:space="preserve"> requirement</w:t>
      </w:r>
      <w:r>
        <w:t xml:space="preserve">: </w:t>
      </w:r>
    </w:p>
    <w:p w:rsidR="006F7694" w:rsidP="00F93CE0" w:rsidRDefault="006F7694" w14:paraId="2303D257" w14:textId="067DCF2A">
      <w:pPr>
        <w:pStyle w:val="BlockQuote"/>
        <w:ind w:right="1440"/>
      </w:pPr>
      <w:r w:rsidRPr="006F7694">
        <w:t>project is located within 1,000 feet of a sensitive receptor, and operation of the relevant plant, line or extension is likely to result in an increase in criteria air pollutants in a severe or extreme non-attainment area.</w:t>
      </w:r>
      <w:r w:rsidRPr="00466691">
        <w:rPr>
          <w:rStyle w:val="FootnoteReference"/>
        </w:rPr>
        <w:footnoteReference w:id="24"/>
      </w:r>
      <w:r w:rsidRPr="00466691">
        <w:rPr>
          <w:vertAlign w:val="superscript"/>
        </w:rPr>
        <w:t xml:space="preserve"> </w:t>
      </w:r>
    </w:p>
    <w:p w:rsidR="005461B8" w:rsidP="001E2423" w:rsidRDefault="0030257A" w14:paraId="189D3A86" w14:textId="39631B92">
      <w:pPr>
        <w:pStyle w:val="Standard"/>
      </w:pPr>
      <w:r>
        <w:t>Related to this, the June 27, 2022 ALJ Ruling asked p</w:t>
      </w:r>
      <w:r w:rsidR="005461B8">
        <w:t xml:space="preserve">arties </w:t>
      </w:r>
      <w:r>
        <w:t xml:space="preserve">to respond to the following </w:t>
      </w:r>
      <w:r w:rsidR="005461B8">
        <w:t>question</w:t>
      </w:r>
      <w:r>
        <w:t>s</w:t>
      </w:r>
      <w:r w:rsidR="005461B8">
        <w:t xml:space="preserve">: </w:t>
      </w:r>
    </w:p>
    <w:p w:rsidR="005461B8" w:rsidP="00672818" w:rsidRDefault="005461B8" w14:paraId="07148526" w14:textId="30C079D4">
      <w:pPr>
        <w:pStyle w:val="ListBullet"/>
        <w:ind w:left="1080" w:right="1440"/>
      </w:pPr>
      <w:r w:rsidRPr="005461B8">
        <w:t xml:space="preserve">Should significant localized environmental impacts from a proposed gas infrastructure project beyond exposure to criteria air pollutants trigger review under the </w:t>
      </w:r>
      <w:r w:rsidR="005459A7">
        <w:t>GO</w:t>
      </w:r>
      <w:r w:rsidRPr="005461B8">
        <w:t xml:space="preserve"> as specified in Section IV(A)(1)? If so, what types of environmental impacts should be considered?</w:t>
      </w:r>
    </w:p>
    <w:p w:rsidR="007979A6" w:rsidP="00672818" w:rsidRDefault="007979A6" w14:paraId="0D0C2038" w14:textId="48C040F7">
      <w:pPr>
        <w:pStyle w:val="ListBullet"/>
        <w:ind w:left="1080" w:right="1440"/>
      </w:pPr>
      <w:r w:rsidRPr="00010DF8">
        <w:t>Should other types of parameters (</w:t>
      </w:r>
      <w:r w:rsidRPr="00FD6CAD">
        <w:rPr>
          <w:i/>
          <w:iCs/>
        </w:rPr>
        <w:t>e.g.,</w:t>
      </w:r>
      <w:r w:rsidRPr="00010DF8">
        <w:t xml:space="preserve"> project size) be included in addition to, or instead of, the triggers specified in Section IV(A)(1)?</w:t>
      </w:r>
    </w:p>
    <w:p w:rsidRPr="00D41BC1" w:rsidR="00705342" w:rsidP="0009044A" w:rsidRDefault="00705342" w14:paraId="0FB7D848" w14:textId="1C735AC4">
      <w:pPr>
        <w:pStyle w:val="Heading2"/>
      </w:pPr>
      <w:bookmarkStart w:name="_Toc120692813" w:id="41"/>
      <w:r>
        <w:t>Party Comments</w:t>
      </w:r>
      <w:bookmarkEnd w:id="41"/>
      <w:r>
        <w:t xml:space="preserve"> </w:t>
      </w:r>
    </w:p>
    <w:p w:rsidR="006D4D44" w:rsidP="001E2423" w:rsidRDefault="00BF6AC4" w14:paraId="15FB298B" w14:textId="14263F34">
      <w:pPr>
        <w:pStyle w:val="Standard"/>
      </w:pPr>
      <w:r>
        <w:t xml:space="preserve">IOUs generally oppose </w:t>
      </w:r>
      <w:r w:rsidR="005461B8">
        <w:t xml:space="preserve">Staff’s proposed </w:t>
      </w:r>
      <w:r w:rsidR="00997E16">
        <w:t>sensitive receptors</w:t>
      </w:r>
      <w:r>
        <w:t xml:space="preserve"> trigger</w:t>
      </w:r>
      <w:r w:rsidR="0030744F">
        <w:t xml:space="preserve"> for a</w:t>
      </w:r>
      <w:r w:rsidR="00450788">
        <w:t>n</w:t>
      </w:r>
      <w:r w:rsidR="0030744F">
        <w:t xml:space="preserve"> application</w:t>
      </w:r>
      <w:r w:rsidR="00EF3801">
        <w:t xml:space="preserve"> </w:t>
      </w:r>
      <w:r w:rsidR="005461B8">
        <w:t xml:space="preserve">requirement </w:t>
      </w:r>
      <w:r w:rsidR="00EF3801">
        <w:t>as being vague</w:t>
      </w:r>
      <w:r w:rsidR="008A2E93">
        <w:t>,</w:t>
      </w:r>
      <w:r w:rsidR="00EF3801">
        <w:t xml:space="preserve"> and th</w:t>
      </w:r>
      <w:r w:rsidR="008A2E93">
        <w:t>us</w:t>
      </w:r>
      <w:r w:rsidR="00EF3801">
        <w:t xml:space="preserve"> difficult to implement</w:t>
      </w:r>
      <w:r w:rsidR="00997E16">
        <w:t xml:space="preserve">.  The IOUs also allege that the requirement as worded is too </w:t>
      </w:r>
      <w:r w:rsidR="00EF3801">
        <w:t>broad</w:t>
      </w:r>
      <w:r w:rsidR="004240C2">
        <w:t xml:space="preserve">.  </w:t>
      </w:r>
      <w:r w:rsidR="008A2E93">
        <w:t xml:space="preserve">The IOUs </w:t>
      </w:r>
      <w:r w:rsidR="001E2423">
        <w:t xml:space="preserve">recommend </w:t>
      </w:r>
      <w:r w:rsidR="00506978">
        <w:t xml:space="preserve">the Commission not adopt </w:t>
      </w:r>
      <w:r w:rsidR="00DC4BF0">
        <w:t xml:space="preserve">this </w:t>
      </w:r>
      <w:r w:rsidR="001E2423">
        <w:t>criteri</w:t>
      </w:r>
      <w:r w:rsidR="005461B8">
        <w:t xml:space="preserve">on </w:t>
      </w:r>
      <w:r w:rsidR="00DC4BF0">
        <w:t xml:space="preserve">or revise it substantially if adopted. </w:t>
      </w:r>
      <w:r w:rsidR="001E2423">
        <w:t xml:space="preserve"> </w:t>
      </w:r>
    </w:p>
    <w:p w:rsidR="003253AA" w:rsidP="00A0364A" w:rsidRDefault="00BA376E" w14:paraId="410C12EB" w14:textId="38C025E4">
      <w:pPr>
        <w:pStyle w:val="Standard"/>
      </w:pPr>
      <w:r>
        <w:t xml:space="preserve">Sierra Club/CEJQ/RMI </w:t>
      </w:r>
      <w:r w:rsidR="00400D17">
        <w:t xml:space="preserve">argue </w:t>
      </w:r>
      <w:r w:rsidR="00A0364A">
        <w:t xml:space="preserve">that Staff’s proposal in this area should be broadened, not further targeted. </w:t>
      </w:r>
      <w:r w:rsidR="00DC4BF0">
        <w:t xml:space="preserve"> </w:t>
      </w:r>
      <w:r w:rsidR="00A0364A">
        <w:t xml:space="preserve">They state that the </w:t>
      </w:r>
      <w:r w:rsidR="00A76AEF">
        <w:t xml:space="preserve">sensitive receptors </w:t>
      </w:r>
      <w:r w:rsidR="00A0364A">
        <w:t xml:space="preserve">trigger </w:t>
      </w:r>
      <w:r w:rsidR="00A0364A">
        <w:lastRenderedPageBreak/>
        <w:t xml:space="preserve">should apply to </w:t>
      </w:r>
      <w:r w:rsidR="004264B5">
        <w:t xml:space="preserve">toxic air contaminants in addition to </w:t>
      </w:r>
      <w:r w:rsidR="00A76AEF">
        <w:t>criteria air pollutants</w:t>
      </w:r>
      <w:r w:rsidR="003253AA">
        <w:t xml:space="preserve"> and t</w:t>
      </w:r>
      <w:r w:rsidR="00865302">
        <w:t>he trigger should apply to all types of non-attainment areas</w:t>
      </w:r>
      <w:r w:rsidR="00687553">
        <w:t xml:space="preserve"> including “serious”</w:t>
      </w:r>
      <w:r w:rsidR="00F61278">
        <w:t xml:space="preserve"> non-attainment areas</w:t>
      </w:r>
      <w:r w:rsidR="00865302">
        <w:t xml:space="preserve">, not just </w:t>
      </w:r>
      <w:r w:rsidRPr="00865302" w:rsidR="00865302">
        <w:t>severe or extreme non-attainment area</w:t>
      </w:r>
      <w:r w:rsidR="00865302">
        <w:t xml:space="preserve">s.  </w:t>
      </w:r>
    </w:p>
    <w:p w:rsidR="00A0364A" w:rsidP="00A0364A" w:rsidRDefault="00400D17" w14:paraId="173143BF" w14:textId="3FC6FBB1">
      <w:pPr>
        <w:pStyle w:val="Standard"/>
      </w:pPr>
      <w:r>
        <w:t xml:space="preserve">Sierra Club/CEJA/RMI </w:t>
      </w:r>
      <w:r w:rsidR="004B1AF0">
        <w:t xml:space="preserve">propose </w:t>
      </w:r>
      <w:r>
        <w:t xml:space="preserve">the Commission restructure </w:t>
      </w:r>
      <w:r w:rsidR="00833B98">
        <w:t>this provision so that it serves</w:t>
      </w:r>
      <w:r>
        <w:t xml:space="preserve"> </w:t>
      </w:r>
      <w:r w:rsidR="004B1AF0">
        <w:t>as an exception to the exemptions</w:t>
      </w:r>
      <w:r w:rsidR="005203E4">
        <w:t xml:space="preserve"> </w:t>
      </w:r>
      <w:r w:rsidR="00833B98">
        <w:t xml:space="preserve">included </w:t>
      </w:r>
      <w:r w:rsidR="005203E4">
        <w:t xml:space="preserve">in the </w:t>
      </w:r>
      <w:r w:rsidR="005459A7">
        <w:t>GO</w:t>
      </w:r>
      <w:r w:rsidR="00833B98">
        <w:t xml:space="preserve"> in Section IV(A)(4)</w:t>
      </w:r>
      <w:r w:rsidR="005203E4">
        <w:t xml:space="preserve"> </w:t>
      </w:r>
      <w:r>
        <w:t xml:space="preserve">rather than </w:t>
      </w:r>
      <w:r w:rsidR="004506C9">
        <w:t xml:space="preserve">serving </w:t>
      </w:r>
      <w:r>
        <w:t>as a threshold to determine if a</w:t>
      </w:r>
      <w:r w:rsidR="00DD3939">
        <w:t xml:space="preserve"> </w:t>
      </w:r>
      <w:r>
        <w:t xml:space="preserve">PTC application is required.  </w:t>
      </w:r>
      <w:r w:rsidR="00D2327C">
        <w:t xml:space="preserve">Sierra Club/CEJA/RMI propose that </w:t>
      </w:r>
      <w:r w:rsidR="0003505E">
        <w:t xml:space="preserve">the Commission </w:t>
      </w:r>
      <w:r w:rsidRPr="00D2327C" w:rsidR="00D2327C">
        <w:t>require a</w:t>
      </w:r>
      <w:r w:rsidR="00450788">
        <w:t>n</w:t>
      </w:r>
      <w:r w:rsidRPr="00D2327C" w:rsidR="00D2327C">
        <w:t xml:space="preserve"> application for all gas infrastructure projects one mile </w:t>
      </w:r>
      <w:r w:rsidR="00044C38">
        <w:t>or</w:t>
      </w:r>
      <w:r w:rsidR="00C404CE">
        <w:t xml:space="preserve"> greater </w:t>
      </w:r>
      <w:r w:rsidRPr="00D2327C" w:rsidR="00D2327C">
        <w:t>in length.</w:t>
      </w:r>
      <w:r w:rsidR="0003505E">
        <w:rPr>
          <w:rStyle w:val="FootnoteReference"/>
        </w:rPr>
        <w:footnoteReference w:id="25"/>
      </w:r>
      <w:r w:rsidRPr="00D2327C" w:rsidR="00D2327C">
        <w:t xml:space="preserve">  </w:t>
      </w:r>
    </w:p>
    <w:p w:rsidR="003253AA" w:rsidP="00A0364A" w:rsidRDefault="003253AA" w14:paraId="05A1D1A4" w14:textId="4C2A3B18">
      <w:pPr>
        <w:pStyle w:val="Standard"/>
      </w:pPr>
      <w:r>
        <w:t xml:space="preserve">Sierra Club/CEJA/RMI propose that the Commission reconceptualize this proposed trigger </w:t>
      </w:r>
      <w:r w:rsidR="00EA73E5">
        <w:t xml:space="preserve">for </w:t>
      </w:r>
      <w:r>
        <w:t xml:space="preserve">areas </w:t>
      </w:r>
      <w:r w:rsidR="00F61278">
        <w:t xml:space="preserve">experiencing </w:t>
      </w:r>
      <w:r>
        <w:t xml:space="preserve">legacy pollution impacts.  </w:t>
      </w:r>
      <w:r w:rsidR="000D20E3">
        <w:t>These parties asse</w:t>
      </w:r>
      <w:r w:rsidR="00E40101">
        <w:t>r</w:t>
      </w:r>
      <w:r w:rsidR="000D20E3">
        <w:t>t that i</w:t>
      </w:r>
      <w:r>
        <w:t xml:space="preserve">n areas </w:t>
      </w:r>
      <w:r w:rsidR="00F61278">
        <w:t xml:space="preserve">experiencing </w:t>
      </w:r>
      <w:r>
        <w:t xml:space="preserve">legacy pollution impacts, the Commission should </w:t>
      </w:r>
      <w:r w:rsidR="00EA73E5">
        <w:t xml:space="preserve">use gas infrastructure applications as opportunities to </w:t>
      </w:r>
      <w:r>
        <w:t xml:space="preserve">examine </w:t>
      </w:r>
      <w:r w:rsidR="0068029A">
        <w:t xml:space="preserve">pathways to </w:t>
      </w:r>
      <w:r>
        <w:t>more meaningful reductions of</w:t>
      </w:r>
      <w:r w:rsidR="0068029A">
        <w:t xml:space="preserve"> </w:t>
      </w:r>
      <w:r>
        <w:t>criteria air pollutant or toxic air contaminant</w:t>
      </w:r>
      <w:r w:rsidR="0068029A">
        <w:t xml:space="preserve"> emissions</w:t>
      </w:r>
      <w:r>
        <w:t xml:space="preserve">, rather than simply limiting </w:t>
      </w:r>
      <w:r w:rsidR="0068029A">
        <w:t xml:space="preserve">levels of additional </w:t>
      </w:r>
      <w:r>
        <w:t>emissions.</w:t>
      </w:r>
    </w:p>
    <w:p w:rsidR="00141703" w:rsidP="000F79A0" w:rsidRDefault="00732CAF" w14:paraId="768B454A" w14:textId="3688D024">
      <w:pPr>
        <w:pStyle w:val="Standard"/>
      </w:pPr>
      <w:r>
        <w:t xml:space="preserve">SoCalGas opposes Sierra Club/CEJA/RMI’s proposals.  </w:t>
      </w:r>
      <w:r w:rsidR="004F018F">
        <w:t xml:space="preserve">SoCalGas states that </w:t>
      </w:r>
      <w:r w:rsidR="004506C9">
        <w:t xml:space="preserve">reworking this requirement to somehow trigger investigation of </w:t>
      </w:r>
      <w:r w:rsidR="004F018F">
        <w:t xml:space="preserve">more meaningful </w:t>
      </w:r>
      <w:r w:rsidR="003253AA">
        <w:t xml:space="preserve">criteria air pollutant or toxic air </w:t>
      </w:r>
      <w:r w:rsidR="00687553">
        <w:t>contaminant</w:t>
      </w:r>
      <w:r w:rsidR="004506C9">
        <w:t xml:space="preserve"> emission </w:t>
      </w:r>
      <w:r w:rsidR="004F018F">
        <w:t xml:space="preserve">reductions </w:t>
      </w:r>
      <w:r w:rsidR="004506C9">
        <w:t>c</w:t>
      </w:r>
      <w:r w:rsidR="004F018F">
        <w:t xml:space="preserve">ould deter </w:t>
      </w:r>
      <w:r w:rsidR="004506C9">
        <w:t xml:space="preserve">safety </w:t>
      </w:r>
      <w:r w:rsidR="004F018F">
        <w:t xml:space="preserve">improvements.  </w:t>
      </w:r>
    </w:p>
    <w:p w:rsidR="000F79A0" w:rsidP="000F79A0" w:rsidRDefault="001B14CF" w14:paraId="1861D7C2" w14:textId="3E42732E">
      <w:pPr>
        <w:pStyle w:val="Standard"/>
      </w:pPr>
      <w:r>
        <w:t>SoCalGas</w:t>
      </w:r>
      <w:r w:rsidR="0076230D">
        <w:t xml:space="preserve"> </w:t>
      </w:r>
      <w:r>
        <w:t xml:space="preserve">opposes Sierra Club/CEJA/RMI’s proposal that the </w:t>
      </w:r>
      <w:r w:rsidR="0076230D">
        <w:t>requirement</w:t>
      </w:r>
      <w:r>
        <w:t xml:space="preserve"> </w:t>
      </w:r>
      <w:r w:rsidR="00454864">
        <w:t>include “serious” non-attainment areas</w:t>
      </w:r>
      <w:r w:rsidR="0076230D">
        <w:t xml:space="preserve">.  </w:t>
      </w:r>
      <w:r w:rsidR="007A0521">
        <w:t>SoCalGas states that nearly all of its gas</w:t>
      </w:r>
      <w:r w:rsidR="00F93CE0">
        <w:t> </w:t>
      </w:r>
      <w:r w:rsidR="007A0521">
        <w:t xml:space="preserve">infrastructure is located 1,000 feet from sensitive receptors and, if this trigger is adopted, it should be revised to only target more substantial projects.  </w:t>
      </w:r>
    </w:p>
    <w:p w:rsidR="000F79A0" w:rsidP="000F79A0" w:rsidRDefault="000F79A0" w14:paraId="7C9EDD5A" w14:textId="0D3BEB82">
      <w:pPr>
        <w:pStyle w:val="Standard"/>
      </w:pPr>
      <w:proofErr w:type="spellStart"/>
      <w:r>
        <w:lastRenderedPageBreak/>
        <w:t>CforAT</w:t>
      </w:r>
      <w:proofErr w:type="spellEnd"/>
      <w:r>
        <w:t xml:space="preserve"> recommends</w:t>
      </w:r>
      <w:r w:rsidR="00246151">
        <w:t xml:space="preserve"> the </w:t>
      </w:r>
      <w:r w:rsidR="005459A7">
        <w:t>GO</w:t>
      </w:r>
      <w:r w:rsidR="00246151">
        <w:t xml:space="preserve"> require </w:t>
      </w:r>
      <w:r>
        <w:t>measure</w:t>
      </w:r>
      <w:r w:rsidR="00246151">
        <w:t>ment of</w:t>
      </w:r>
      <w:r>
        <w:t xml:space="preserve"> ambient noise prior to constructi</w:t>
      </w:r>
      <w:r w:rsidR="00057C81">
        <w:t>n</w:t>
      </w:r>
      <w:r w:rsidR="00246151">
        <w:t xml:space="preserve">g gas infrastructure projects </w:t>
      </w:r>
      <w:r>
        <w:t xml:space="preserve">and </w:t>
      </w:r>
      <w:r w:rsidR="00246151">
        <w:t>a</w:t>
      </w:r>
      <w:r>
        <w:t xml:space="preserve"> forecast </w:t>
      </w:r>
      <w:r w:rsidR="00246151">
        <w:t xml:space="preserve">of </w:t>
      </w:r>
      <w:r>
        <w:t>how much construction will increase ambient noise</w:t>
      </w:r>
      <w:r w:rsidR="003462E5">
        <w:t xml:space="preserve">.  </w:t>
      </w:r>
      <w:proofErr w:type="spellStart"/>
      <w:r w:rsidR="005577CA">
        <w:t>CforAT</w:t>
      </w:r>
      <w:proofErr w:type="spellEnd"/>
      <w:r w:rsidR="005577CA">
        <w:t xml:space="preserve"> contends the Commission should require </w:t>
      </w:r>
      <w:r w:rsidR="001107B5">
        <w:t>a</w:t>
      </w:r>
      <w:r w:rsidR="00450788">
        <w:t>n</w:t>
      </w:r>
      <w:r w:rsidR="005577CA">
        <w:t xml:space="preserve"> application for m</w:t>
      </w:r>
      <w:r w:rsidRPr="00AA4221" w:rsidR="00AA4221">
        <w:t>ajor infrastructure projects anticipated to have a substantial localized noise, traffic, vibrations, fugitive dust, or other air pollution effects on a neighborhood for more than three-months</w:t>
      </w:r>
      <w:r w:rsidR="005577CA">
        <w:t xml:space="preserve">.  </w:t>
      </w:r>
    </w:p>
    <w:p w:rsidR="00AD2739" w:rsidP="002801E6" w:rsidRDefault="00C438CD" w14:paraId="3275855A" w14:textId="791F193B">
      <w:pPr>
        <w:pStyle w:val="Standard"/>
      </w:pPr>
      <w:r>
        <w:t>IOUs</w:t>
      </w:r>
      <w:r w:rsidR="003462E5">
        <w:t xml:space="preserve"> </w:t>
      </w:r>
      <w:r w:rsidR="009B6BD2">
        <w:t xml:space="preserve">oppose </w:t>
      </w:r>
      <w:proofErr w:type="spellStart"/>
      <w:r w:rsidR="009B6BD2">
        <w:t>CforAT’s</w:t>
      </w:r>
      <w:proofErr w:type="spellEnd"/>
      <w:r w:rsidR="009B6BD2">
        <w:t xml:space="preserve"> suggestions.  PG&amp;E and SDG&amp;E state that determining if significant impact</w:t>
      </w:r>
      <w:r w:rsidR="00141703">
        <w:t>s</w:t>
      </w:r>
      <w:r w:rsidR="009B6BD2">
        <w:t xml:space="preserve"> were occurring</w:t>
      </w:r>
      <w:r w:rsidR="00141703">
        <w:t xml:space="preserve"> </w:t>
      </w:r>
      <w:r w:rsidR="009B6BD2">
        <w:t>would require gas utilities to perform an environmental assessment for each project</w:t>
      </w:r>
      <w:r w:rsidR="001107B5">
        <w:t xml:space="preserve"> prior to submitting a</w:t>
      </w:r>
      <w:r w:rsidR="00450788">
        <w:t>n</w:t>
      </w:r>
      <w:r w:rsidR="001107B5">
        <w:t xml:space="preserve"> application</w:t>
      </w:r>
      <w:r w:rsidR="009B6BD2">
        <w:t xml:space="preserve">, </w:t>
      </w:r>
      <w:r w:rsidR="001107B5">
        <w:t>subverting the appropriate sequence of assessment of impacts.</w:t>
      </w:r>
      <w:r w:rsidR="009B6BD2">
        <w:t xml:space="preserve">  PG&amp;E states that local air quality permitting, traffic</w:t>
      </w:r>
      <w:r w:rsidR="00F93CE0">
        <w:t> </w:t>
      </w:r>
      <w:r w:rsidR="009B6BD2">
        <w:t>control and local encroachment permit requirements already address the issues</w:t>
      </w:r>
      <w:r w:rsidR="004F0118">
        <w:t xml:space="preserve"> identified by </w:t>
      </w:r>
      <w:proofErr w:type="spellStart"/>
      <w:r w:rsidR="004F0118">
        <w:t>CforAT</w:t>
      </w:r>
      <w:proofErr w:type="spellEnd"/>
      <w:r w:rsidR="009B6BD2">
        <w:t>.</w:t>
      </w:r>
      <w:r w:rsidR="002801E6">
        <w:t xml:space="preserve">  </w:t>
      </w:r>
      <w:r w:rsidR="00AD2739">
        <w:t xml:space="preserve">SoCalGas states </w:t>
      </w:r>
      <w:r w:rsidR="007B2BDC">
        <w:t xml:space="preserve">the </w:t>
      </w:r>
      <w:r w:rsidRPr="00AD2739" w:rsidR="00AD2739">
        <w:t xml:space="preserve">majority of larger gas </w:t>
      </w:r>
      <w:r w:rsidR="007B2BDC">
        <w:t xml:space="preserve">infrastructure </w:t>
      </w:r>
      <w:r w:rsidRPr="00AD2739" w:rsidR="00AD2739">
        <w:t>projects require a discretionary permit</w:t>
      </w:r>
      <w:r w:rsidR="002801E6">
        <w:t>.  SoCalGas states that i</w:t>
      </w:r>
      <w:r w:rsidRPr="00AD2739" w:rsidR="00AD2739">
        <w:t>n the rare circumstance when a discretionary permit is not required</w:t>
      </w:r>
      <w:r w:rsidR="007B2BDC">
        <w:t xml:space="preserve"> from another agency</w:t>
      </w:r>
      <w:r w:rsidRPr="00AD2739" w:rsidR="00AD2739">
        <w:t>, the utilities must obtain ministerial permits, which affords local agenc</w:t>
      </w:r>
      <w:r w:rsidR="007B2BDC">
        <w:t xml:space="preserve">ies </w:t>
      </w:r>
      <w:r w:rsidRPr="00AD2739" w:rsidR="00AD2739">
        <w:t>the opportunity to review the project for localized impacts, such as for dust control, drainage, and traffic management.</w:t>
      </w:r>
    </w:p>
    <w:p w:rsidR="00E125CD" w:rsidP="002801E6" w:rsidRDefault="00A77DED" w14:paraId="7A717736" w14:textId="3A4D3B10">
      <w:pPr>
        <w:pStyle w:val="Standard"/>
      </w:pPr>
      <w:r>
        <w:t xml:space="preserve">In comments on the proposed decision, PG&amp;E </w:t>
      </w:r>
      <w:r w:rsidR="00FB15E3">
        <w:t>recommends</w:t>
      </w:r>
      <w:r>
        <w:t xml:space="preserve"> reword</w:t>
      </w:r>
      <w:r w:rsidR="00FB15E3">
        <w:t>ing the environmental criterion</w:t>
      </w:r>
      <w:r>
        <w:t xml:space="preserve"> </w:t>
      </w:r>
      <w:r w:rsidR="001E5EAC">
        <w:t>to require all qualifying projects to be located in a serious, severe or extreme non-attainment area</w:t>
      </w:r>
      <w:r w:rsidR="00323808">
        <w:t xml:space="preserve">.  In comments on the proposed decision, SoCalGas states that </w:t>
      </w:r>
      <w:r w:rsidR="00027442">
        <w:t xml:space="preserve">toxic </w:t>
      </w:r>
      <w:r w:rsidR="00443F76">
        <w:t>air contaminant</w:t>
      </w:r>
      <w:r w:rsidR="00FB15E3">
        <w:t xml:space="preserve"> emissions </w:t>
      </w:r>
      <w:r w:rsidR="00443F76">
        <w:t xml:space="preserve">may sometimes increase when </w:t>
      </w:r>
      <w:r w:rsidR="006B6A6E">
        <w:t xml:space="preserve">criteria air pollutant emission </w:t>
      </w:r>
      <w:r w:rsidR="00D36E8E">
        <w:t>reduction technologies are installed. SoCalGas also states that</w:t>
      </w:r>
      <w:r w:rsidR="00826733">
        <w:t xml:space="preserve"> local air districts </w:t>
      </w:r>
      <w:r w:rsidR="00BD3515">
        <w:t>some</w:t>
      </w:r>
      <w:r w:rsidR="00FA726B">
        <w:t xml:space="preserve">times have rules that establish </w:t>
      </w:r>
      <w:r w:rsidR="00FA726B">
        <w:lastRenderedPageBreak/>
        <w:t xml:space="preserve">“allowable risks” for </w:t>
      </w:r>
      <w:r w:rsidR="00DC41CB">
        <w:t>equipment emitting toxic air contaminants.</w:t>
      </w:r>
      <w:r w:rsidR="004A3662">
        <w:rPr>
          <w:rStyle w:val="FootnoteReference"/>
        </w:rPr>
        <w:footnoteReference w:id="26"/>
      </w:r>
      <w:r w:rsidR="00DC41CB">
        <w:t xml:space="preserve">  </w:t>
      </w:r>
      <w:r w:rsidR="00B5158D">
        <w:t>SoCalGas recommend</w:t>
      </w:r>
      <w:r w:rsidR="00FB15E3">
        <w:t>s</w:t>
      </w:r>
      <w:r w:rsidR="00B5158D">
        <w:t xml:space="preserve"> </w:t>
      </w:r>
      <w:r w:rsidR="00E42616">
        <w:t xml:space="preserve">the Commission establish a procedure involving the Commission Executive Director </w:t>
      </w:r>
      <w:r w:rsidR="00DB4FCE">
        <w:t xml:space="preserve">to exempt projects resulting in only a </w:t>
      </w:r>
      <w:r w:rsidR="00E42616">
        <w:t xml:space="preserve">“de minimis” levels of </w:t>
      </w:r>
      <w:r w:rsidR="00AC5DE3">
        <w:t>pollutant emissions</w:t>
      </w:r>
      <w:r w:rsidR="00DB4FCE">
        <w:t xml:space="preserve"> from a CPCN application requirement</w:t>
      </w:r>
      <w:r w:rsidR="00AC5DE3">
        <w:t xml:space="preserve">.  </w:t>
      </w:r>
      <w:r w:rsidR="000546EA">
        <w:t xml:space="preserve">In comments on the proposed decision, Sierra </w:t>
      </w:r>
      <w:r w:rsidR="003826EC">
        <w:t>Club/NRDC/CEJA recommend that</w:t>
      </w:r>
      <w:r w:rsidR="00FB15E3">
        <w:t xml:space="preserve"> the Commission delink</w:t>
      </w:r>
      <w:r w:rsidR="003826EC">
        <w:t xml:space="preserve"> toxic air contaminants from any requirement </w:t>
      </w:r>
      <w:r w:rsidR="00622147">
        <w:t>to be located in a serious, severe, or extreme non-attainment area</w:t>
      </w:r>
      <w:r w:rsidR="00DB4FCE">
        <w:t xml:space="preserve">, stating that </w:t>
      </w:r>
      <w:r w:rsidR="00AB371B">
        <w:t>these pertain to criteria air pollutants</w:t>
      </w:r>
      <w:r w:rsidR="008D0C37">
        <w:t xml:space="preserve"> only</w:t>
      </w:r>
      <w:r w:rsidR="00622147">
        <w:t>.</w:t>
      </w:r>
      <w:r w:rsidR="00AD13FA">
        <w:t xml:space="preserve"> </w:t>
      </w:r>
      <w:r w:rsidR="00AB371B">
        <w:t xml:space="preserve"> </w:t>
      </w:r>
      <w:r w:rsidR="00FB15E3">
        <w:t xml:space="preserve">Sierra Club/NRDC/CEJS </w:t>
      </w:r>
      <w:r w:rsidR="00AD13FA">
        <w:t xml:space="preserve">state that </w:t>
      </w:r>
      <w:r w:rsidR="00AB371B">
        <w:t xml:space="preserve">some </w:t>
      </w:r>
      <w:r w:rsidR="00AD13FA">
        <w:t xml:space="preserve">toxic air contaminants </w:t>
      </w:r>
      <w:r w:rsidR="00127423">
        <w:t xml:space="preserve">may have no safe exposure levels.  </w:t>
      </w:r>
    </w:p>
    <w:p w:rsidR="00A77DED" w:rsidP="002801E6" w:rsidRDefault="00E125CD" w14:paraId="525ABD41" w14:textId="69604504">
      <w:pPr>
        <w:pStyle w:val="Standard"/>
      </w:pPr>
      <w:r>
        <w:t xml:space="preserve">In comments on the proposed decision, PG&amp;E and SoCalGas express concerns that the environmental criterion </w:t>
      </w:r>
      <w:r w:rsidR="0053352B">
        <w:t>should not trigger</w:t>
      </w:r>
      <w:r>
        <w:t xml:space="preserve"> a CPCN application if a gas corporation installs or deploys an emergency backup generator at a compressor station</w:t>
      </w:r>
      <w:r w:rsidR="000546EA">
        <w:t xml:space="preserve"> </w:t>
      </w:r>
      <w:r w:rsidR="00FB31FD">
        <w:t xml:space="preserve">particularly </w:t>
      </w:r>
      <w:r>
        <w:t>when</w:t>
      </w:r>
      <w:r w:rsidR="00FB31FD">
        <w:t xml:space="preserve"> the utility is replacing a</w:t>
      </w:r>
      <w:r w:rsidR="009A24C4">
        <w:t xml:space="preserve">n older backup generator that </w:t>
      </w:r>
      <w:r w:rsidR="00AC46C9">
        <w:t xml:space="preserve">was installed without a permit </w:t>
      </w:r>
      <w:r w:rsidR="0053352B">
        <w:t xml:space="preserve">from a local air quality district </w:t>
      </w:r>
      <w:r w:rsidR="009A24C4">
        <w:t>with a cleaner one that now requires an air permi</w:t>
      </w:r>
      <w:r w:rsidR="0053352B">
        <w:t>t</w:t>
      </w:r>
      <w:r>
        <w:t xml:space="preserve">.   </w:t>
      </w:r>
      <w:r w:rsidR="005C25CF">
        <w:t xml:space="preserve">In comments on the proposed decision, Southwest Gas </w:t>
      </w:r>
      <w:r w:rsidR="00DB17F2">
        <w:t>suggests the Commission clarify</w:t>
      </w:r>
      <w:r w:rsidR="00927C7A">
        <w:t xml:space="preserve"> </w:t>
      </w:r>
      <w:r w:rsidR="00DB17F2">
        <w:t>that the</w:t>
      </w:r>
      <w:r w:rsidR="002E55B0">
        <w:t xml:space="preserve"> entity obtaining the permit </w:t>
      </w:r>
      <w:r w:rsidR="004E0766">
        <w:t xml:space="preserve">be clearly identified as the gas corporation operating the </w:t>
      </w:r>
      <w:r w:rsidR="00817D6C">
        <w:t>completed project</w:t>
      </w:r>
      <w:r w:rsidR="005A3A31">
        <w:t xml:space="preserve">, not a downstream industrial customer. </w:t>
      </w:r>
    </w:p>
    <w:p w:rsidR="005A6F29" w:rsidP="0009044A" w:rsidRDefault="005A6F29" w14:paraId="16AA54E0" w14:textId="0897E74C">
      <w:pPr>
        <w:pStyle w:val="Heading2"/>
      </w:pPr>
      <w:bookmarkStart w:name="_Toc120692814" w:id="42"/>
      <w:r w:rsidRPr="005A0E26">
        <w:t>Adopting</w:t>
      </w:r>
      <w:r>
        <w:t xml:space="preserve"> a “Sensitive Receptors” Trigger</w:t>
      </w:r>
      <w:bookmarkEnd w:id="42"/>
    </w:p>
    <w:p w:rsidR="001A4B74" w:rsidP="000D1AAF" w:rsidRDefault="005A6F29" w14:paraId="071920D3" w14:textId="30F00C4A">
      <w:pPr>
        <w:pStyle w:val="Standard"/>
      </w:pPr>
      <w:r>
        <w:t xml:space="preserve">We adopt a second trigger for when a </w:t>
      </w:r>
      <w:r w:rsidR="00450788">
        <w:t>CPCN</w:t>
      </w:r>
      <w:r>
        <w:t xml:space="preserve"> application is required, namely, when </w:t>
      </w:r>
      <w:r w:rsidR="0012120F">
        <w:t>“</w:t>
      </w:r>
      <w:r w:rsidRPr="00B1026D" w:rsidR="000D1AAF">
        <w:t xml:space="preserve">(1) </w:t>
      </w:r>
      <w:r w:rsidR="00FD3ECF">
        <w:t xml:space="preserve">the </w:t>
      </w:r>
      <w:r w:rsidRPr="00B1026D" w:rsidR="000D1AAF">
        <w:t xml:space="preserve">project is located within 1,000 feet of a sensitive receptor; and (2) operation of the completed project </w:t>
      </w:r>
      <w:r w:rsidRPr="000D1AAF" w:rsidR="000D1AAF">
        <w:t xml:space="preserve">by the gas corporation </w:t>
      </w:r>
      <w:r w:rsidRPr="00B1026D" w:rsidR="000D1AAF">
        <w:t>requires a permit from the relevant local air quality district for</w:t>
      </w:r>
      <w:r w:rsidR="00F67645">
        <w:t>:</w:t>
      </w:r>
      <w:r w:rsidRPr="00B1026D" w:rsidR="000D1AAF">
        <w:t xml:space="preserve"> (a) </w:t>
      </w:r>
      <w:r w:rsidRPr="00B1026D" w:rsidR="00F67645">
        <w:t xml:space="preserve">an increase in levels of </w:t>
      </w:r>
      <w:r w:rsidRPr="00B1026D" w:rsidR="000D1AAF">
        <w:t xml:space="preserve">a </w:t>
      </w:r>
      <w:r w:rsidRPr="00B1026D" w:rsidR="000D1AAF">
        <w:lastRenderedPageBreak/>
        <w:t>toxic air contaminant</w:t>
      </w:r>
      <w:r w:rsidR="009B0DA9">
        <w:t>;</w:t>
      </w:r>
      <w:r w:rsidR="00F67645">
        <w:rPr>
          <w:rStyle w:val="FootnoteReference"/>
        </w:rPr>
        <w:footnoteReference w:id="27"/>
      </w:r>
      <w:r w:rsidR="009B0DA9">
        <w:t xml:space="preserve"> </w:t>
      </w:r>
      <w:r w:rsidRPr="00B1026D" w:rsidR="000D1AAF">
        <w:t xml:space="preserve">or (b) </w:t>
      </w:r>
      <w:r w:rsidR="00C83599">
        <w:t xml:space="preserve">an increase in levels of </w:t>
      </w:r>
      <w:r w:rsidRPr="00B1026D" w:rsidR="000D1AAF">
        <w:t>a criteria air pollutant</w:t>
      </w:r>
      <w:r w:rsidRPr="000D1AAF" w:rsidR="000D1AAF">
        <w:t>,</w:t>
      </w:r>
      <w:r w:rsidRPr="00B1026D" w:rsidR="000D1AAF">
        <w:t xml:space="preserve"> if the area is listed as a serious, severe, or extreme non-attainment area for that pollutant</w:t>
      </w:r>
      <w:r w:rsidR="002801E6">
        <w:t>.</w:t>
      </w:r>
      <w:r w:rsidR="0012120F">
        <w:t>”</w:t>
      </w:r>
      <w:r w:rsidR="002801E6">
        <w:t xml:space="preserve">  </w:t>
      </w:r>
    </w:p>
    <w:p w:rsidR="00400C7B" w:rsidP="005A6F29" w:rsidRDefault="005A6F29" w14:paraId="7AB7E257" w14:textId="6ED54620">
      <w:pPr>
        <w:pStyle w:val="Standard"/>
      </w:pPr>
      <w:r>
        <w:t xml:space="preserve">This criterion will trigger a </w:t>
      </w:r>
      <w:r w:rsidR="00450788">
        <w:t>CPCN</w:t>
      </w:r>
      <w:r>
        <w:t xml:space="preserve"> application requirement and public</w:t>
      </w:r>
      <w:r w:rsidR="00F93CE0">
        <w:t> </w:t>
      </w:r>
      <w:r>
        <w:t xml:space="preserve">review for </w:t>
      </w:r>
      <w:r w:rsidR="0001706E">
        <w:t xml:space="preserve">gas </w:t>
      </w:r>
      <w:r w:rsidR="00571F31">
        <w:t xml:space="preserve">infrastructure projects </w:t>
      </w:r>
      <w:r w:rsidR="00C3293B">
        <w:t xml:space="preserve">projected to </w:t>
      </w:r>
      <w:r w:rsidR="00FB15E3">
        <w:t xml:space="preserve">increase </w:t>
      </w:r>
      <w:r>
        <w:t xml:space="preserve">local </w:t>
      </w:r>
      <w:r w:rsidR="00AE366F">
        <w:t xml:space="preserve">criteria </w:t>
      </w:r>
      <w:r w:rsidR="001C2398">
        <w:t xml:space="preserve">air pollution </w:t>
      </w:r>
      <w:r w:rsidR="00AE366F">
        <w:t>or toxic air contaminant</w:t>
      </w:r>
      <w:r w:rsidR="00FB15E3">
        <w:t xml:space="preserve"> emissions </w:t>
      </w:r>
      <w:r w:rsidR="004B638A">
        <w:t xml:space="preserve">such that the </w:t>
      </w:r>
      <w:r w:rsidR="00C3293B">
        <w:t xml:space="preserve">gas corporation is required to </w:t>
      </w:r>
      <w:r w:rsidR="00CC6B07">
        <w:t>acquire a</w:t>
      </w:r>
      <w:r w:rsidR="00BB3CA5">
        <w:t xml:space="preserve"> permit from a local</w:t>
      </w:r>
      <w:r w:rsidR="00F93CE0">
        <w:t> </w:t>
      </w:r>
      <w:r w:rsidR="00BB3CA5">
        <w:t xml:space="preserve">air quality district </w:t>
      </w:r>
      <w:r w:rsidR="00DE2B82">
        <w:t>agency</w:t>
      </w:r>
      <w:r w:rsidR="00975925">
        <w:t>.</w:t>
      </w:r>
      <w:r w:rsidR="00C3293B">
        <w:t xml:space="preserve">  </w:t>
      </w:r>
      <w:r w:rsidR="0022539D">
        <w:t xml:space="preserve">Such projects should be closely scrutinized </w:t>
      </w:r>
      <w:r w:rsidR="00C45D93">
        <w:t>to identify potential alternatives, including non-pipeline alternatives</w:t>
      </w:r>
      <w:r w:rsidR="00AE366F">
        <w:t>.  T</w:t>
      </w:r>
      <w:r w:rsidR="009950C6">
        <w:t xml:space="preserve">his </w:t>
      </w:r>
      <w:r w:rsidR="00C45D93">
        <w:t xml:space="preserve">additional scrutiny is </w:t>
      </w:r>
      <w:r w:rsidR="003D44D3">
        <w:t xml:space="preserve">necessary regardless of </w:t>
      </w:r>
      <w:r w:rsidR="00AE366F">
        <w:t xml:space="preserve">cost, </w:t>
      </w:r>
      <w:r w:rsidR="00C45D93">
        <w:t>w</w:t>
      </w:r>
      <w:r w:rsidR="003D44D3">
        <w:t>here</w:t>
      </w:r>
      <w:r w:rsidR="00C45D93">
        <w:t xml:space="preserve"> the potential </w:t>
      </w:r>
      <w:r w:rsidR="003D44D3">
        <w:t xml:space="preserve">gas infrastructure project </w:t>
      </w:r>
      <w:r w:rsidR="00C45D93">
        <w:t xml:space="preserve">would </w:t>
      </w:r>
      <w:r w:rsidR="003D44D3">
        <w:t>be located</w:t>
      </w:r>
      <w:r w:rsidR="002639A7">
        <w:t xml:space="preserve"> or what type of infrastructure project it is</w:t>
      </w:r>
      <w:r w:rsidR="005D0C3A">
        <w:t xml:space="preserve">.  </w:t>
      </w:r>
      <w:r w:rsidR="00866D85">
        <w:t>Additionally,</w:t>
      </w:r>
      <w:r w:rsidR="006123A0">
        <w:t xml:space="preserve"> in </w:t>
      </w:r>
      <w:r w:rsidR="00FD0338">
        <w:t>S</w:t>
      </w:r>
      <w:r w:rsidR="006123A0">
        <w:t>ection</w:t>
      </w:r>
      <w:r w:rsidR="00EE7193">
        <w:t> </w:t>
      </w:r>
      <w:r w:rsidRPr="00500B76" w:rsidR="00104F70">
        <w:t>15.3</w:t>
      </w:r>
      <w:r w:rsidR="006123A0">
        <w:t xml:space="preserve"> below, we adopt requirements that </w:t>
      </w:r>
      <w:r w:rsidR="00C45D93">
        <w:t xml:space="preserve">will trigger additional </w:t>
      </w:r>
      <w:r w:rsidR="00C0106C">
        <w:t xml:space="preserve">scrutiny of </w:t>
      </w:r>
      <w:r w:rsidR="006123A0">
        <w:t>project</w:t>
      </w:r>
      <w:r w:rsidR="00C0106C">
        <w:t>s</w:t>
      </w:r>
      <w:r w:rsidR="006123A0">
        <w:t xml:space="preserve"> proposed to be located in disadvantaged or ESJ communities.  </w:t>
      </w:r>
    </w:p>
    <w:p w:rsidR="005A6F29" w:rsidP="005A6F29" w:rsidRDefault="006123A0" w14:paraId="1F86E075" w14:textId="43E95285">
      <w:pPr>
        <w:pStyle w:val="Standard"/>
      </w:pPr>
      <w:r>
        <w:t xml:space="preserve">The approach we adopt </w:t>
      </w:r>
      <w:r w:rsidR="00C0106C">
        <w:t xml:space="preserve">contains </w:t>
      </w:r>
      <w:r w:rsidR="005A6F29">
        <w:t>a clear threshold</w:t>
      </w:r>
      <w:r w:rsidR="00574B14">
        <w:t>, which will assist us with</w:t>
      </w:r>
      <w:r w:rsidR="00720632">
        <w:t xml:space="preserve"> implementation and ensuring</w:t>
      </w:r>
      <w:r w:rsidR="00574B14">
        <w:t xml:space="preserve"> compliance </w:t>
      </w:r>
      <w:r w:rsidR="00720632">
        <w:t xml:space="preserve">with the </w:t>
      </w:r>
      <w:r w:rsidR="005459A7">
        <w:t>GO</w:t>
      </w:r>
      <w:r w:rsidR="00574B14">
        <w:t>.  As such, the</w:t>
      </w:r>
      <w:r w:rsidR="005A6F29">
        <w:t xml:space="preserve"> requirement</w:t>
      </w:r>
      <w:r w:rsidR="00BD4299">
        <w:t xml:space="preserve"> </w:t>
      </w:r>
      <w:r w:rsidR="00720632">
        <w:t xml:space="preserve">will </w:t>
      </w:r>
      <w:r w:rsidR="00BD4299">
        <w:t xml:space="preserve">advance the aims of this </w:t>
      </w:r>
      <w:r w:rsidR="005459A7">
        <w:t>GO</w:t>
      </w:r>
      <w:r w:rsidR="000F5D60">
        <w:t xml:space="preserve">.  Parties did not identify an alternative practicable method to implement this criterion.  </w:t>
      </w:r>
    </w:p>
    <w:p w:rsidR="000800CF" w:rsidP="005A6F29" w:rsidRDefault="005A6F29" w14:paraId="7CDB12F6" w14:textId="77777777">
      <w:pPr>
        <w:pStyle w:val="Standard"/>
      </w:pPr>
      <w:r>
        <w:t xml:space="preserve">We include “toxic air contaminants” in this criterion, as air quality or air pollution permits are also </w:t>
      </w:r>
      <w:r w:rsidR="0038307D">
        <w:t xml:space="preserve">often </w:t>
      </w:r>
      <w:r>
        <w:t>required for this class of pollutants.  We define toxic air contaminants as “</w:t>
      </w:r>
      <w:r w:rsidRPr="00361BE6">
        <w:t xml:space="preserve">an air pollutant which may cause or contribute to an increase in mortality or an increase in serious illness, or which may pose a present or potential hazard to human health, pursuant to </w:t>
      </w:r>
      <w:r w:rsidR="001D4133">
        <w:t>S</w:t>
      </w:r>
      <w:r w:rsidRPr="00361BE6">
        <w:t>ection 39655 of the California Health and Safety Code</w:t>
      </w:r>
      <w:r>
        <w:t>,” as suggested by Sierra Club/CEJA/RMI</w:t>
      </w:r>
      <w:r w:rsidRPr="00720632">
        <w:t>.</w:t>
      </w:r>
      <w:r>
        <w:t xml:space="preserve">    The California Air Resources Board (CARB) has extensively reviewed toxic air </w:t>
      </w:r>
      <w:r>
        <w:lastRenderedPageBreak/>
        <w:t xml:space="preserve">contaminants as required by </w:t>
      </w:r>
      <w:r w:rsidR="00747920">
        <w:t>state and</w:t>
      </w:r>
      <w:r>
        <w:t xml:space="preserve"> federal law</w:t>
      </w:r>
      <w:r w:rsidR="0089432F">
        <w:t xml:space="preserve"> </w:t>
      </w:r>
      <w:r>
        <w:t xml:space="preserve">and documented </w:t>
      </w:r>
      <w:r w:rsidR="00773536">
        <w:t>that they</w:t>
      </w:r>
      <w:r w:rsidDel="00773536">
        <w:t xml:space="preserve"> </w:t>
      </w:r>
      <w:r>
        <w:t xml:space="preserve">cause significant health impacts to humans at a variety of exposure thresholds.  </w:t>
      </w:r>
      <w:r w:rsidR="009950C6">
        <w:t>I</w:t>
      </w:r>
      <w:r>
        <w:t xml:space="preserve">n such cases, alternatives </w:t>
      </w:r>
      <w:r w:rsidR="00A14379">
        <w:t xml:space="preserve">to the proposed infrastructure and emission mitigation </w:t>
      </w:r>
      <w:r w:rsidR="0094360A">
        <w:t xml:space="preserve">options </w:t>
      </w:r>
      <w:r>
        <w:t xml:space="preserve">must be carefully examined.  </w:t>
      </w:r>
    </w:p>
    <w:p w:rsidR="005A6F29" w:rsidP="005A6F29" w:rsidRDefault="007E6507" w14:paraId="145D9C22" w14:textId="5EC1DBD1">
      <w:pPr>
        <w:pStyle w:val="Standard"/>
      </w:pPr>
      <w:r>
        <w:t xml:space="preserve">In response to comments on the proposed decision, we clarify the environmental </w:t>
      </w:r>
      <w:r w:rsidR="0091666E">
        <w:t xml:space="preserve">criterion to delink </w:t>
      </w:r>
      <w:r w:rsidR="006C4264">
        <w:t xml:space="preserve">toxic air contaminant emissions from </w:t>
      </w:r>
      <w:r w:rsidR="009B31CD">
        <w:t>non-attainment areas, which</w:t>
      </w:r>
      <w:r w:rsidR="00096291">
        <w:t xml:space="preserve">, as parties observe, </w:t>
      </w:r>
      <w:r w:rsidR="009B31CD">
        <w:t xml:space="preserve">apply to criteria air pollutants only.  We also define </w:t>
      </w:r>
      <w:r w:rsidR="000D242B">
        <w:t xml:space="preserve">“increase in toxic air contaminants” </w:t>
      </w:r>
      <w:r w:rsidRPr="000D242B" w:rsidR="000D242B">
        <w:t xml:space="preserve">as </w:t>
      </w:r>
      <w:r w:rsidR="00F00F18">
        <w:t>“</w:t>
      </w:r>
      <w:r w:rsidRPr="000D242B" w:rsidR="000D242B">
        <w:t>an increase exceeding (1) de minimis levels or (2), where relevant, allowable limits set by the local air quality district.</w:t>
      </w:r>
      <w:r w:rsidR="00F00F18">
        <w:t xml:space="preserve">”  These modifications retain the focus </w:t>
      </w:r>
      <w:r w:rsidR="00096291">
        <w:t xml:space="preserve">of this criterion </w:t>
      </w:r>
      <w:r w:rsidR="00F00F18">
        <w:t xml:space="preserve">on projects with the </w:t>
      </w:r>
      <w:r w:rsidR="003654E9">
        <w:t xml:space="preserve">greatest </w:t>
      </w:r>
      <w:r w:rsidR="00F00F18">
        <w:t>potential for significant environmental impacts, wherever located, while reducing the likelihood tha</w:t>
      </w:r>
      <w:r w:rsidR="00603EF7">
        <w:t xml:space="preserve">t </w:t>
      </w:r>
      <w:r w:rsidR="00096291">
        <w:t xml:space="preserve">the criterion </w:t>
      </w:r>
      <w:r w:rsidR="00603EF7">
        <w:t>will result in</w:t>
      </w:r>
      <w:r w:rsidR="00976B19">
        <w:t xml:space="preserve"> </w:t>
      </w:r>
      <w:r w:rsidR="00A2551B">
        <w:t xml:space="preserve">a large number of </w:t>
      </w:r>
      <w:r w:rsidR="00976B19">
        <w:t xml:space="preserve">CPCN applications for </w:t>
      </w:r>
      <w:r w:rsidR="00603EF7">
        <w:t>projects with</w:t>
      </w:r>
      <w:r w:rsidR="00EA3ED4">
        <w:t xml:space="preserve"> </w:t>
      </w:r>
      <w:r w:rsidR="00976B19">
        <w:t xml:space="preserve">only </w:t>
      </w:r>
      <w:r w:rsidR="00EA3ED4">
        <w:t xml:space="preserve">“de minimis” </w:t>
      </w:r>
      <w:r w:rsidR="00A2551B">
        <w:t xml:space="preserve">toxic air pollutant </w:t>
      </w:r>
      <w:r w:rsidR="00EA3ED4">
        <w:t>emission</w:t>
      </w:r>
      <w:r w:rsidR="00976B19">
        <w:t xml:space="preserve"> levels.</w:t>
      </w:r>
      <w:r w:rsidR="00FA52BF">
        <w:t xml:space="preserve">  Gas corporations </w:t>
      </w:r>
      <w:r w:rsidR="00A111F3">
        <w:t xml:space="preserve">must use discretion when claiming a project is exempt from the environmental criterion for this reason. </w:t>
      </w:r>
      <w:r w:rsidR="00EA3ED4">
        <w:t xml:space="preserve"> </w:t>
      </w:r>
    </w:p>
    <w:p w:rsidR="00B63068" w:rsidP="005A6F29" w:rsidRDefault="005A6F29" w14:paraId="48AF04AD" w14:textId="61B5B56A">
      <w:pPr>
        <w:pStyle w:val="Standard"/>
      </w:pPr>
      <w:r>
        <w:t>We</w:t>
      </w:r>
      <w:r w:rsidR="00A76B51">
        <w:t xml:space="preserve"> include </w:t>
      </w:r>
      <w:r>
        <w:t xml:space="preserve">“serious” non-attainment areas in </w:t>
      </w:r>
      <w:r w:rsidR="00C26F74">
        <w:t xml:space="preserve">the definition of </w:t>
      </w:r>
      <w:r>
        <w:t>this criterion</w:t>
      </w:r>
      <w:r w:rsidR="00A76B51">
        <w:t xml:space="preserve"> </w:t>
      </w:r>
      <w:r w:rsidR="007877A9">
        <w:t>because we seek</w:t>
      </w:r>
      <w:r w:rsidR="0094360A">
        <w:t xml:space="preserve"> </w:t>
      </w:r>
      <w:r w:rsidR="00674AF7">
        <w:t xml:space="preserve">to </w:t>
      </w:r>
      <w:r w:rsidR="007877A9">
        <w:t xml:space="preserve">ensure environmental protections to the most historically burdened </w:t>
      </w:r>
      <w:r w:rsidR="00773536">
        <w:t xml:space="preserve">communities </w:t>
      </w:r>
      <w:r w:rsidR="007877A9">
        <w:t>that may be impacted by gas infrastructure.  Areas designated as in a “serious non-attainment area</w:t>
      </w:r>
      <w:r w:rsidR="00D94B38">
        <w:t>”</w:t>
      </w:r>
      <w:r w:rsidR="007877A9">
        <w:t xml:space="preserve"> for a particular pollutant are likely to disproportionally im</w:t>
      </w:r>
      <w:r w:rsidR="00D94B38">
        <w:t>plicate</w:t>
      </w:r>
      <w:r w:rsidR="007877A9">
        <w:t xml:space="preserve"> ESJ communities as defined in our ESJ</w:t>
      </w:r>
      <w:r w:rsidR="00EE7193">
        <w:t> </w:t>
      </w:r>
      <w:r w:rsidR="007877A9">
        <w:t xml:space="preserve">Action Plan.  </w:t>
      </w:r>
      <w:r w:rsidR="00570ACA">
        <w:t xml:space="preserve">Including “serious non-attainment areas” in this criterion </w:t>
      </w:r>
      <w:r w:rsidR="00814A9F">
        <w:t>provides a clear threshold and is reasonable</w:t>
      </w:r>
      <w:r w:rsidR="00674AF7">
        <w:t xml:space="preserve">.  </w:t>
      </w:r>
    </w:p>
    <w:p w:rsidR="00D8773E" w:rsidP="005A6F29" w:rsidRDefault="00D8773E" w14:paraId="2E829925" w14:textId="16C809CD">
      <w:pPr>
        <w:pStyle w:val="Standard"/>
      </w:pPr>
      <w:r>
        <w:t>We clarify in the</w:t>
      </w:r>
      <w:r w:rsidR="00BB265D">
        <w:t xml:space="preserve"> </w:t>
      </w:r>
      <w:r>
        <w:t>definition of “project”</w:t>
      </w:r>
      <w:r w:rsidR="00BB265D">
        <w:t xml:space="preserve"> included in our adopted GO</w:t>
      </w:r>
      <w:r w:rsidR="003654E9">
        <w:t xml:space="preserve"> </w:t>
      </w:r>
      <w:r>
        <w:t xml:space="preserve">that </w:t>
      </w:r>
      <w:r w:rsidR="0096422C">
        <w:t xml:space="preserve">the </w:t>
      </w:r>
      <w:r w:rsidR="00DA5971">
        <w:t xml:space="preserve">replacement </w:t>
      </w:r>
      <w:r w:rsidR="0096422C">
        <w:t xml:space="preserve">of an emergency </w:t>
      </w:r>
      <w:r w:rsidR="00996980">
        <w:t xml:space="preserve">diesel </w:t>
      </w:r>
      <w:r w:rsidR="0096422C">
        <w:t xml:space="preserve">backup generator </w:t>
      </w:r>
      <w:r w:rsidR="00996980">
        <w:t>with a lower</w:t>
      </w:r>
      <w:r w:rsidR="00C149E7">
        <w:t>-</w:t>
      </w:r>
      <w:r w:rsidR="00996980">
        <w:t xml:space="preserve">emission </w:t>
      </w:r>
      <w:r w:rsidR="00C149E7">
        <w:t xml:space="preserve">emergency </w:t>
      </w:r>
      <w:r w:rsidR="0096422C">
        <w:t>backup generator is not considered a “project” for purposes of GO</w:t>
      </w:r>
      <w:r w:rsidR="003654E9">
        <w:t xml:space="preserve"> 177</w:t>
      </w:r>
      <w:r w:rsidR="00BB265D">
        <w:t xml:space="preserve"> </w:t>
      </w:r>
      <w:r w:rsidR="0096422C">
        <w:t xml:space="preserve">and does not trigger a CPCN application requirement.  We agree with PG&amp;E </w:t>
      </w:r>
      <w:r w:rsidR="0096422C">
        <w:lastRenderedPageBreak/>
        <w:t xml:space="preserve">and SoCalGas that </w:t>
      </w:r>
      <w:r w:rsidR="009A22EA">
        <w:t xml:space="preserve">we do not intend to </w:t>
      </w:r>
      <w:r w:rsidR="002320F7">
        <w:t xml:space="preserve">require a CPCN application for such projects </w:t>
      </w:r>
      <w:r w:rsidR="009A22EA">
        <w:t>as the</w:t>
      </w:r>
      <w:r w:rsidR="002320F7">
        <w:t>y</w:t>
      </w:r>
      <w:r w:rsidR="009A22EA">
        <w:t xml:space="preserve"> do not represent </w:t>
      </w:r>
      <w:r w:rsidR="00BB265D">
        <w:t xml:space="preserve">the projects with the greatest potential environmental impacts or </w:t>
      </w:r>
      <w:r w:rsidR="002320F7">
        <w:t xml:space="preserve">ratepayer </w:t>
      </w:r>
      <w:r w:rsidR="00BB265D">
        <w:t xml:space="preserve">costs.   </w:t>
      </w:r>
    </w:p>
    <w:p w:rsidR="00F62E62" w:rsidP="005A6F29" w:rsidRDefault="00F62E62" w14:paraId="10A0DF19" w14:textId="690F9E4B">
      <w:pPr>
        <w:pStyle w:val="Standard"/>
      </w:pPr>
      <w:r>
        <w:t xml:space="preserve">We reject Sierra Club/CEJA/RMI’s proposal to </w:t>
      </w:r>
      <w:r w:rsidRPr="00864572" w:rsidR="00AF3C31">
        <w:t>require a</w:t>
      </w:r>
      <w:r w:rsidR="00450788">
        <w:t>n</w:t>
      </w:r>
      <w:r w:rsidRPr="00864572" w:rsidR="00AF3C31">
        <w:t xml:space="preserve"> application for all gas infrastructure projects </w:t>
      </w:r>
      <w:r w:rsidR="00104F70">
        <w:t>o</w:t>
      </w:r>
      <w:r w:rsidRPr="00864572" w:rsidR="00AF3C31">
        <w:t xml:space="preserve">ne mile </w:t>
      </w:r>
      <w:r w:rsidR="00104F70">
        <w:t xml:space="preserve">or greater </w:t>
      </w:r>
      <w:r w:rsidRPr="00864572" w:rsidR="00AF3C31">
        <w:t>in length</w:t>
      </w:r>
      <w:r w:rsidRPr="00864572" w:rsidR="00081807">
        <w:t>.</w:t>
      </w:r>
      <w:r w:rsidR="00081807">
        <w:t xml:space="preserve">  </w:t>
      </w:r>
      <w:r w:rsidR="00AF3C31">
        <w:t xml:space="preserve">This approach is impracticable </w:t>
      </w:r>
      <w:r w:rsidR="007C1F99">
        <w:t>to implement</w:t>
      </w:r>
      <w:r w:rsidR="00783208">
        <w:t xml:space="preserve">, </w:t>
      </w:r>
      <w:r w:rsidR="00704418">
        <w:t xml:space="preserve">and </w:t>
      </w:r>
      <w:r w:rsidR="00081807">
        <w:t xml:space="preserve">the record of this proceeding does not </w:t>
      </w:r>
      <w:r w:rsidR="00755388">
        <w:t xml:space="preserve">support such a broad requirement. </w:t>
      </w:r>
      <w:r w:rsidR="00AE366F">
        <w:t xml:space="preserve"> We also reject SoCalGas’s assertion that our adopted criterion impacts thousands of projects located within 1,000 feet of sensitive receptors, because our adopted criterion only addresses projects that additionally would result in an increase in permitted air pollutants during operation of the gas pipeline or facility. </w:t>
      </w:r>
    </w:p>
    <w:p w:rsidR="006E1DD4" w:rsidP="00BC0269" w:rsidRDefault="009950C6" w14:paraId="2BBBAB93" w14:textId="7AED173A">
      <w:pPr>
        <w:pStyle w:val="Standard"/>
      </w:pPr>
      <w:r>
        <w:t xml:space="preserve">We reject </w:t>
      </w:r>
      <w:proofErr w:type="spellStart"/>
      <w:r>
        <w:t>CforAT’s</w:t>
      </w:r>
      <w:proofErr w:type="spellEnd"/>
      <w:r>
        <w:t xml:space="preserve"> suggestion </w:t>
      </w:r>
      <w:r w:rsidR="000B0029">
        <w:t xml:space="preserve">for </w:t>
      </w:r>
      <w:r w:rsidR="00783208">
        <w:t xml:space="preserve">an </w:t>
      </w:r>
      <w:r w:rsidR="000B0029">
        <w:t xml:space="preserve">additional assessment of ambient noise </w:t>
      </w:r>
      <w:r w:rsidR="004174CE">
        <w:t>or to require a</w:t>
      </w:r>
      <w:r w:rsidR="00450788">
        <w:t>n</w:t>
      </w:r>
      <w:r w:rsidR="004174CE">
        <w:t xml:space="preserve"> application for m</w:t>
      </w:r>
      <w:r w:rsidRPr="00AA4221" w:rsidR="004174CE">
        <w:t xml:space="preserve">ajor infrastructure projects anticipated to have a substantial localized noise, traffic, vibrations, </w:t>
      </w:r>
      <w:r w:rsidR="00AE366F">
        <w:t xml:space="preserve">or </w:t>
      </w:r>
      <w:r w:rsidRPr="00AA4221" w:rsidR="004174CE">
        <w:t>fugitive dust</w:t>
      </w:r>
      <w:r w:rsidR="00AE366F">
        <w:t xml:space="preserve"> </w:t>
      </w:r>
      <w:r w:rsidR="00D21077">
        <w:t>on a neighborhood</w:t>
      </w:r>
      <w:r w:rsidRPr="00AA4221" w:rsidR="004174CE">
        <w:t xml:space="preserve"> </w:t>
      </w:r>
      <w:r w:rsidR="00D21077">
        <w:t>beyond those addressed by the sensitive receptors criterion adopted here</w:t>
      </w:r>
      <w:r w:rsidR="00783208">
        <w:t xml:space="preserve"> or otherwise addressed </w:t>
      </w:r>
      <w:r w:rsidR="000C3C1B">
        <w:t xml:space="preserve">in the course of the Proponent’s Environmental Assessment (PEA) that will be filed concurrent with a </w:t>
      </w:r>
      <w:r w:rsidR="00450788">
        <w:t>CPCN</w:t>
      </w:r>
      <w:r w:rsidR="000C3C1B">
        <w:t xml:space="preserve"> application</w:t>
      </w:r>
      <w:r w:rsidR="004174CE">
        <w:t xml:space="preserve">.  We concur with PG&amp;E </w:t>
      </w:r>
      <w:r w:rsidR="006D3B3A">
        <w:t xml:space="preserve">and SoCalGas </w:t>
      </w:r>
      <w:r w:rsidR="004174CE">
        <w:t xml:space="preserve">that </w:t>
      </w:r>
      <w:r w:rsidR="00413375">
        <w:t>the appropriate locus of review of such potential impacts is</w:t>
      </w:r>
      <w:r w:rsidR="00081807">
        <w:t xml:space="preserve"> with</w:t>
      </w:r>
      <w:r w:rsidR="00413375">
        <w:t xml:space="preserve"> </w:t>
      </w:r>
      <w:r w:rsidR="002C486A">
        <w:t>local agencies</w:t>
      </w:r>
      <w:r w:rsidR="00413375">
        <w:t>.</w:t>
      </w:r>
      <w:r w:rsidR="002C486A">
        <w:t xml:space="preserve"> </w:t>
      </w:r>
    </w:p>
    <w:p w:rsidR="00941037" w:rsidP="00941037" w:rsidRDefault="002911EA" w14:paraId="04D20CCB" w14:textId="13C0212D">
      <w:pPr>
        <w:pStyle w:val="Standard"/>
      </w:pPr>
      <w:r>
        <w:t>Regarding local ju</w:t>
      </w:r>
      <w:r w:rsidR="0060164C">
        <w:t xml:space="preserve">risdictions, </w:t>
      </w:r>
      <w:r w:rsidR="001E1DCC">
        <w:t xml:space="preserve">we </w:t>
      </w:r>
      <w:r>
        <w:t>not</w:t>
      </w:r>
      <w:r w:rsidR="0060164C">
        <w:t>e</w:t>
      </w:r>
      <w:r>
        <w:t xml:space="preserve"> that our adopted </w:t>
      </w:r>
      <w:r w:rsidR="005459A7">
        <w:t>GO</w:t>
      </w:r>
      <w:r w:rsidR="0060164C">
        <w:t xml:space="preserve">, Section VI, Complaints and Preemption of Local Authority, </w:t>
      </w:r>
      <w:r w:rsidR="00735377">
        <w:t xml:space="preserve">addresses distinctions between local and state jurisdiction on gas corporation infrastructure.  </w:t>
      </w:r>
      <w:r w:rsidR="00A30AEA">
        <w:t xml:space="preserve">This Commission retains exclusive authority to regulate </w:t>
      </w:r>
      <w:r w:rsidR="00706CBD">
        <w:t xml:space="preserve">gas corporations pursuant to </w:t>
      </w:r>
      <w:r w:rsidR="00941037">
        <w:t xml:space="preserve">Article XI, Section 8 of the California Constitution, which states that, “[a] city, county, or other public body may not regulate matters over which the Legislature grants </w:t>
      </w:r>
      <w:r w:rsidR="00941037">
        <w:lastRenderedPageBreak/>
        <w:t xml:space="preserve">regulatory power to the Commission.”  </w:t>
      </w:r>
      <w:r w:rsidR="004F0170">
        <w:t>Section VII</w:t>
      </w:r>
      <w:r w:rsidR="00CB1EC2">
        <w:t xml:space="preserve">(B) of the </w:t>
      </w:r>
      <w:r w:rsidR="005459A7">
        <w:t>GO</w:t>
      </w:r>
      <w:r w:rsidR="00CB1EC2">
        <w:t xml:space="preserve"> restates this principle but also states</w:t>
      </w:r>
      <w:r w:rsidR="00E5446C">
        <w:t xml:space="preserve"> that, in locating gas infras</w:t>
      </w:r>
      <w:r w:rsidR="00ED739D">
        <w:t>tructure projects</w:t>
      </w:r>
      <w:r w:rsidR="00CB1EC2">
        <w:t xml:space="preserve">: </w:t>
      </w:r>
    </w:p>
    <w:p w:rsidR="001E1DCC" w:rsidP="00F93CE0" w:rsidRDefault="00E5446C" w14:paraId="26FC620B" w14:textId="12FD9FBE">
      <w:pPr>
        <w:pStyle w:val="BlockQuote"/>
        <w:ind w:right="1440"/>
      </w:pPr>
      <w:r w:rsidRPr="00E5446C">
        <w:t xml:space="preserve">the public utilities shall consult with local agencies regarding land use matters. </w:t>
      </w:r>
      <w:r w:rsidR="00EE7193">
        <w:t xml:space="preserve"> </w:t>
      </w:r>
      <w:r w:rsidRPr="00E5446C">
        <w:t>In instances where the public utilities and local agencies are unable to resolve their differences, the local agency should promptly file a complaint with the Commission.</w:t>
      </w:r>
      <w:r w:rsidR="004D689B">
        <w:rPr>
          <w:rStyle w:val="FootnoteReference"/>
        </w:rPr>
        <w:footnoteReference w:id="28"/>
      </w:r>
    </w:p>
    <w:p w:rsidR="002124E0" w:rsidP="00BC0269" w:rsidRDefault="005A2616" w14:paraId="56BBF770" w14:textId="23921AE7">
      <w:pPr>
        <w:pStyle w:val="Standard"/>
      </w:pPr>
      <w:r>
        <w:t xml:space="preserve">We emphasize </w:t>
      </w:r>
      <w:r w:rsidR="00C11F2C">
        <w:t>S</w:t>
      </w:r>
      <w:r>
        <w:t>ection</w:t>
      </w:r>
      <w:r w:rsidR="00C11F2C">
        <w:t xml:space="preserve"> VII(B)</w:t>
      </w:r>
      <w:r>
        <w:t xml:space="preserve"> of the </w:t>
      </w:r>
      <w:r w:rsidR="005459A7">
        <w:t>GO</w:t>
      </w:r>
      <w:r>
        <w:t xml:space="preserve"> here, although no party commented on it.</w:t>
      </w:r>
      <w:r w:rsidR="00EB7420">
        <w:t xml:space="preserve">  </w:t>
      </w:r>
      <w:r w:rsidR="00E9195A">
        <w:t xml:space="preserve">The </w:t>
      </w:r>
      <w:r w:rsidR="00B569B9">
        <w:t xml:space="preserve">Commission’s complaint process </w:t>
      </w:r>
      <w:r w:rsidR="00E9195A">
        <w:t xml:space="preserve">is paramount </w:t>
      </w:r>
      <w:r w:rsidR="00B569B9">
        <w:t>should disputes arise in the course of such consultations and related CPCN applications.</w:t>
      </w:r>
      <w:r w:rsidR="00EB7420">
        <w:t xml:space="preserve">  </w:t>
      </w:r>
      <w:r w:rsidR="00C75EF7">
        <w:t>Pursuant to state law and statute, t</w:t>
      </w:r>
      <w:r w:rsidR="007A4A34">
        <w:t>his Commission retains jurisdiction to respond to complain</w:t>
      </w:r>
      <w:r w:rsidR="00D027BA">
        <w:t>t</w:t>
      </w:r>
      <w:r w:rsidR="007A4A34">
        <w:t>s from local agencies or others</w:t>
      </w:r>
      <w:r w:rsidR="00F80214">
        <w:t xml:space="preserve"> for ultimate resolution of any conflicts regarding gas corporation infrastructure. </w:t>
      </w:r>
      <w:r w:rsidR="0004581C">
        <w:t xml:space="preserve"> This Commission also retains jurisdiction over </w:t>
      </w:r>
      <w:r w:rsidR="00EB2DF6">
        <w:t>gas utility activities for which a CPCN</w:t>
      </w:r>
      <w:r w:rsidR="00EE7193">
        <w:t> </w:t>
      </w:r>
      <w:r w:rsidR="00EB2DF6">
        <w:t xml:space="preserve">application </w:t>
      </w:r>
      <w:r w:rsidR="4AB3D390">
        <w:t>is not required</w:t>
      </w:r>
      <w:r w:rsidR="00EB2DF6">
        <w:t xml:space="preserve">. </w:t>
      </w:r>
      <w:r w:rsidR="00323C91">
        <w:t xml:space="preserve"> </w:t>
      </w:r>
    </w:p>
    <w:p w:rsidR="00BC0269" w:rsidP="00BC0269" w:rsidRDefault="00420806" w14:paraId="49E77B83" w14:textId="4AD4EAF1">
      <w:pPr>
        <w:pStyle w:val="Standard"/>
      </w:pPr>
      <w:r>
        <w:t xml:space="preserve">Although we </w:t>
      </w:r>
      <w:r w:rsidR="006D3B3A">
        <w:t xml:space="preserve">understand </w:t>
      </w:r>
      <w:r>
        <w:t xml:space="preserve">the concern, we decline to design this </w:t>
      </w:r>
      <w:r w:rsidR="005459A7">
        <w:t>GO</w:t>
      </w:r>
      <w:r w:rsidR="00BC0269">
        <w:t xml:space="preserve"> </w:t>
      </w:r>
      <w:r>
        <w:t xml:space="preserve">as a vehicle to reduce pollution in </w:t>
      </w:r>
      <w:r w:rsidR="00BC0269">
        <w:t>communities experiencing historical</w:t>
      </w:r>
      <w:r w:rsidR="008510BB">
        <w:t xml:space="preserve"> </w:t>
      </w:r>
      <w:r w:rsidR="002C40F8">
        <w:t>emissions burdens</w:t>
      </w:r>
      <w:r w:rsidR="00C648C7">
        <w:t xml:space="preserve"> beyond what we can accomplish by closely </w:t>
      </w:r>
      <w:r w:rsidR="00E9195A">
        <w:t>reviewing</w:t>
      </w:r>
      <w:r w:rsidR="00C648C7">
        <w:t xml:space="preserve"> every project subject to </w:t>
      </w:r>
      <w:r w:rsidR="006D3B3A">
        <w:t xml:space="preserve">the </w:t>
      </w:r>
      <w:r w:rsidR="00C648C7">
        <w:t xml:space="preserve">adopted </w:t>
      </w:r>
      <w:r w:rsidR="005459A7">
        <w:t>GO</w:t>
      </w:r>
      <w:r w:rsidR="00C90B95">
        <w:t>.  The requirement</w:t>
      </w:r>
      <w:r w:rsidR="00333A31">
        <w:t xml:space="preserve"> </w:t>
      </w:r>
      <w:r w:rsidR="00C90B95">
        <w:t xml:space="preserve">of </w:t>
      </w:r>
      <w:r w:rsidR="00333A31">
        <w:t xml:space="preserve">a </w:t>
      </w:r>
      <w:r w:rsidR="00450788">
        <w:t>CPCN</w:t>
      </w:r>
      <w:r w:rsidR="00C90B95">
        <w:t xml:space="preserve"> application for projects </w:t>
      </w:r>
      <w:r w:rsidR="00333A31">
        <w:t>that trigger a</w:t>
      </w:r>
      <w:r w:rsidR="00E9195A">
        <w:t xml:space="preserve">n increase in </w:t>
      </w:r>
      <w:r w:rsidR="00333A31">
        <w:t>permit</w:t>
      </w:r>
      <w:r w:rsidR="00E9195A">
        <w:t>ted levels of a</w:t>
      </w:r>
      <w:r w:rsidR="00E33BF7">
        <w:t xml:space="preserve"> criteria air </w:t>
      </w:r>
      <w:r w:rsidR="00E9195A">
        <w:t>pollutant</w:t>
      </w:r>
      <w:r w:rsidR="00E33BF7">
        <w:t xml:space="preserve"> or </w:t>
      </w:r>
      <w:r w:rsidR="00E9195A">
        <w:t xml:space="preserve">a </w:t>
      </w:r>
      <w:r w:rsidR="00E33BF7">
        <w:t xml:space="preserve">toxic air contaminant </w:t>
      </w:r>
      <w:r w:rsidR="00FC2381">
        <w:t xml:space="preserve">will result in significant scrutiny of such projects.  The </w:t>
      </w:r>
      <w:r w:rsidR="00B5214C">
        <w:t xml:space="preserve">Commission’s </w:t>
      </w:r>
      <w:r w:rsidR="00450788">
        <w:t>CPCN</w:t>
      </w:r>
      <w:r w:rsidR="00FC2381">
        <w:t xml:space="preserve"> application requirement in such cases may result in </w:t>
      </w:r>
      <w:r w:rsidR="00B5214C">
        <w:t xml:space="preserve">a utility </w:t>
      </w:r>
      <w:r w:rsidR="00FC2381">
        <w:t>redesign</w:t>
      </w:r>
      <w:r w:rsidR="00B5214C">
        <w:t>ing</w:t>
      </w:r>
      <w:r w:rsidR="00FC2381">
        <w:t xml:space="preserve"> </w:t>
      </w:r>
      <w:r w:rsidR="00E9195A">
        <w:t xml:space="preserve">a project </w:t>
      </w:r>
      <w:r w:rsidR="00FC2381">
        <w:t xml:space="preserve">such that a </w:t>
      </w:r>
      <w:r w:rsidR="00450788">
        <w:t>CPCN</w:t>
      </w:r>
      <w:r w:rsidR="00FC2381">
        <w:t xml:space="preserve"> application with this Commission is no longer trigger</w:t>
      </w:r>
      <w:r w:rsidR="00CB6097">
        <w:t>ed</w:t>
      </w:r>
      <w:r w:rsidR="00E9195A">
        <w:t xml:space="preserve"> or relocating it</w:t>
      </w:r>
      <w:r w:rsidR="00FC2381">
        <w:t xml:space="preserve">.  Both results should help </w:t>
      </w:r>
      <w:r w:rsidR="00CB6097">
        <w:t xml:space="preserve">avoid </w:t>
      </w:r>
      <w:r w:rsidR="00E9195A">
        <w:t>and</w:t>
      </w:r>
      <w:r w:rsidR="00CB6097">
        <w:t xml:space="preserve"> </w:t>
      </w:r>
      <w:r w:rsidR="00FC2381">
        <w:t xml:space="preserve">decrease pollutant emissions in historically burdened communities.  </w:t>
      </w:r>
      <w:r w:rsidR="00396FD1">
        <w:t>Beyond that, reducing</w:t>
      </w:r>
      <w:r w:rsidR="00AD24CB">
        <w:t xml:space="preserve"> </w:t>
      </w:r>
      <w:r w:rsidR="00743506">
        <w:t>pollution</w:t>
      </w:r>
      <w:r w:rsidR="00E9195A">
        <w:t>-burden</w:t>
      </w:r>
      <w:r w:rsidR="00743506">
        <w:t xml:space="preserve"> in l</w:t>
      </w:r>
      <w:r w:rsidR="00F26576">
        <w:t xml:space="preserve">egacy communities through </w:t>
      </w:r>
      <w:r w:rsidR="00E9195A">
        <w:t xml:space="preserve">the </w:t>
      </w:r>
      <w:r w:rsidR="00F26576">
        <w:t xml:space="preserve">targeted </w:t>
      </w:r>
      <w:r w:rsidR="00F26576">
        <w:lastRenderedPageBreak/>
        <w:t>retirement of gas</w:t>
      </w:r>
      <w:r w:rsidR="00F93CE0">
        <w:t> </w:t>
      </w:r>
      <w:r w:rsidR="00F26576">
        <w:t>infrastructure is a</w:t>
      </w:r>
      <w:r w:rsidR="009A473C">
        <w:t xml:space="preserve">n element </w:t>
      </w:r>
      <w:r w:rsidR="006B0195">
        <w:t>for consideration in</w:t>
      </w:r>
      <w:r w:rsidR="00F26576">
        <w:t xml:space="preserve"> our long</w:t>
      </w:r>
      <w:r w:rsidR="00EA25D3">
        <w:t>-</w:t>
      </w:r>
      <w:r w:rsidR="00F26576">
        <w:t xml:space="preserve">term gas planning </w:t>
      </w:r>
      <w:r w:rsidR="006B1F85">
        <w:t>efforts.</w:t>
      </w:r>
      <w:r w:rsidR="00FC2381">
        <w:t xml:space="preserve">  </w:t>
      </w:r>
    </w:p>
    <w:p w:rsidR="003C603E" w:rsidP="0009044A" w:rsidRDefault="003C603E" w14:paraId="4B65D999" w14:textId="63B44D3B">
      <w:pPr>
        <w:pStyle w:val="Heading1"/>
      </w:pPr>
      <w:bookmarkStart w:name="_Toc120692815" w:id="43"/>
      <w:r>
        <w:t xml:space="preserve">Other </w:t>
      </w:r>
      <w:r w:rsidRPr="005A0E26" w:rsidR="00FD46E9">
        <w:t>Potential</w:t>
      </w:r>
      <w:r w:rsidR="00FD46E9">
        <w:t xml:space="preserve"> </w:t>
      </w:r>
      <w:r>
        <w:t>Non-Monetary Triggers</w:t>
      </w:r>
      <w:bookmarkEnd w:id="43"/>
    </w:p>
    <w:p w:rsidRPr="00D24629" w:rsidR="00D24629" w:rsidP="0009044A" w:rsidRDefault="00D24629" w14:paraId="1E0EAD3D" w14:textId="2D3E0BCA">
      <w:pPr>
        <w:pStyle w:val="Heading2"/>
      </w:pPr>
      <w:bookmarkStart w:name="_Toc120692816" w:id="44"/>
      <w:r>
        <w:t xml:space="preserve">Party </w:t>
      </w:r>
      <w:r w:rsidRPr="005A0E26">
        <w:t>Proposals</w:t>
      </w:r>
      <w:bookmarkEnd w:id="44"/>
      <w:r>
        <w:t xml:space="preserve"> </w:t>
      </w:r>
    </w:p>
    <w:p w:rsidR="007943A0" w:rsidP="00C0137C" w:rsidRDefault="007943A0" w14:paraId="6A44316A" w14:textId="1BFEDB48">
      <w:pPr>
        <w:pStyle w:val="Standard"/>
      </w:pPr>
      <w:r>
        <w:t>S</w:t>
      </w:r>
      <w:r w:rsidR="00485F74">
        <w:t>everal parties propose additio</w:t>
      </w:r>
      <w:r w:rsidR="00D24629">
        <w:t xml:space="preserve">nal </w:t>
      </w:r>
      <w:r w:rsidR="00485F74">
        <w:t>non-monetary triggers</w:t>
      </w:r>
      <w:r w:rsidR="0076230D">
        <w:t xml:space="preserve"> for a</w:t>
      </w:r>
      <w:r w:rsidR="00450788">
        <w:t>n</w:t>
      </w:r>
      <w:r w:rsidR="00413375">
        <w:t xml:space="preserve"> </w:t>
      </w:r>
      <w:r w:rsidR="0076230D">
        <w:t>application</w:t>
      </w:r>
      <w:r w:rsidR="00413375">
        <w:t xml:space="preserve"> requirement</w:t>
      </w:r>
      <w:r w:rsidR="006B0195">
        <w:t>,</w:t>
      </w:r>
      <w:r w:rsidR="00D24629">
        <w:t xml:space="preserve"> including that a</w:t>
      </w:r>
      <w:r w:rsidR="00450788">
        <w:t>n</w:t>
      </w:r>
      <w:r w:rsidR="00D24629">
        <w:t xml:space="preserve"> </w:t>
      </w:r>
      <w:r w:rsidR="0076230D">
        <w:t xml:space="preserve">application should be required for: </w:t>
      </w:r>
    </w:p>
    <w:p w:rsidRPr="005F079D" w:rsidR="00B12CEC" w:rsidP="0009044A" w:rsidRDefault="00FE1E69" w14:paraId="4C46486D" w14:textId="14795001">
      <w:pPr>
        <w:pStyle w:val="ListAlpha"/>
        <w:ind w:right="1440"/>
      </w:pPr>
      <w:bookmarkStart w:name="_Hlk115160741" w:id="45"/>
      <w:r w:rsidRPr="005F079D">
        <w:t>S</w:t>
      </w:r>
      <w:r w:rsidRPr="005F079D" w:rsidR="00DD5E78">
        <w:t xml:space="preserve">ubstantial </w:t>
      </w:r>
      <w:r w:rsidRPr="005A0E26" w:rsidR="00DD5E78">
        <w:t>project</w:t>
      </w:r>
      <w:r w:rsidRPr="005A0E26">
        <w:t>s</w:t>
      </w:r>
      <w:r w:rsidRPr="005F079D" w:rsidR="00DD5E78">
        <w:t xml:space="preserve"> </w:t>
      </w:r>
      <w:r w:rsidRPr="005F079D" w:rsidR="00B12CEC">
        <w:t xml:space="preserve">located </w:t>
      </w:r>
      <w:r w:rsidRPr="005F079D" w:rsidR="00DD5E78">
        <w:t>in an environmental and social</w:t>
      </w:r>
      <w:r w:rsidR="00EE7193">
        <w:t> </w:t>
      </w:r>
      <w:r w:rsidRPr="005F079D" w:rsidR="00DD5E78">
        <w:t>justice community (ESJ community)</w:t>
      </w:r>
      <w:r w:rsidRPr="005F079D" w:rsidR="00970EE3">
        <w:t>,</w:t>
      </w:r>
      <w:r w:rsidRPr="005F079D" w:rsidR="00DD5E78">
        <w:t xml:space="preserve"> as defined by the Commission’s Environmental and Social Justice Action Plan</w:t>
      </w:r>
      <w:r w:rsidRPr="005F079D" w:rsidR="00970EE3">
        <w:t xml:space="preserve">, or in a disadvantaged community, as defined by </w:t>
      </w:r>
      <w:r w:rsidRPr="00FD6CAD" w:rsidR="00C22A55">
        <w:t>SB </w:t>
      </w:r>
      <w:r w:rsidRPr="00FD6CAD" w:rsidR="00970EE3">
        <w:t>5</w:t>
      </w:r>
      <w:r w:rsidRPr="005F079D" w:rsidR="00970EE3">
        <w:t xml:space="preserve">35 </w:t>
      </w:r>
      <w:r w:rsidR="0096443A">
        <w:t xml:space="preserve">(De Leon, </w:t>
      </w:r>
      <w:r w:rsidR="00C04484">
        <w:t xml:space="preserve">Stats. </w:t>
      </w:r>
      <w:r w:rsidR="0096443A">
        <w:t xml:space="preserve">2012, Chapter 830) </w:t>
      </w:r>
      <w:r w:rsidRPr="005F079D" w:rsidR="00970EE3">
        <w:t>(</w:t>
      </w:r>
      <w:r w:rsidRPr="005F079D" w:rsidR="00D24629">
        <w:t xml:space="preserve">proposed by </w:t>
      </w:r>
      <w:r w:rsidRPr="005F079D" w:rsidR="00970EE3">
        <w:t xml:space="preserve">UCAN, EDF, </w:t>
      </w:r>
      <w:proofErr w:type="spellStart"/>
      <w:r w:rsidRPr="005F079D" w:rsidR="00970EE3">
        <w:t>CforAT</w:t>
      </w:r>
      <w:proofErr w:type="spellEnd"/>
      <w:r w:rsidRPr="005F079D" w:rsidR="00970EE3">
        <w:t>)</w:t>
      </w:r>
      <w:r w:rsidRPr="005F079D">
        <w:t xml:space="preserve">; </w:t>
      </w:r>
    </w:p>
    <w:p w:rsidRPr="005F079D" w:rsidR="00FE1E69" w:rsidP="0009044A" w:rsidRDefault="00FE1E69" w14:paraId="22833ACD" w14:textId="64575906">
      <w:pPr>
        <w:pStyle w:val="ListAlpha"/>
        <w:ind w:right="1440"/>
      </w:pPr>
      <w:r w:rsidRPr="005F079D">
        <w:t>Project</w:t>
      </w:r>
      <w:r w:rsidRPr="005F079D" w:rsidR="0076230D">
        <w:t xml:space="preserve">s that </w:t>
      </w:r>
      <w:r w:rsidRPr="005F079D">
        <w:t>may result in significant environmental impact as defined by CEQA (</w:t>
      </w:r>
      <w:r w:rsidRPr="005F079D" w:rsidR="008C724B">
        <w:t xml:space="preserve">proposed by </w:t>
      </w:r>
      <w:r w:rsidRPr="005F079D">
        <w:t>EDF);</w:t>
      </w:r>
    </w:p>
    <w:p w:rsidRPr="005F079D" w:rsidR="00FE1E69" w:rsidP="0009044A" w:rsidRDefault="00FE1E69" w14:paraId="1F7394CE" w14:textId="16272561">
      <w:pPr>
        <w:pStyle w:val="ListAlpha"/>
        <w:ind w:right="1440"/>
      </w:pPr>
      <w:r w:rsidRPr="005F079D">
        <w:t>Projects located in Location Classes #3 and #4 and/or Location Classes #1 and #2 that are also located in High</w:t>
      </w:r>
      <w:r w:rsidR="00F93CE0">
        <w:t> </w:t>
      </w:r>
      <w:r w:rsidRPr="005F079D">
        <w:t>Consequence Areas as defined in the PSEP</w:t>
      </w:r>
      <w:r w:rsidRPr="005F079D" w:rsidR="008C724B">
        <w:t xml:space="preserve"> program</w:t>
      </w:r>
      <w:r w:rsidRPr="005F079D" w:rsidR="00A62201">
        <w:t xml:space="preserve"> (</w:t>
      </w:r>
      <w:r w:rsidRPr="005F079D" w:rsidR="008C724B">
        <w:t xml:space="preserve">proposed by </w:t>
      </w:r>
      <w:r w:rsidRPr="005F079D" w:rsidR="00A62201">
        <w:t>EDF)</w:t>
      </w:r>
      <w:r w:rsidRPr="005F079D">
        <w:t xml:space="preserve">; </w:t>
      </w:r>
    </w:p>
    <w:p w:rsidRPr="005F079D" w:rsidR="00B76114" w:rsidP="0009044A" w:rsidRDefault="000D2C6A" w14:paraId="333BF1C8" w14:textId="1A925AE5">
      <w:pPr>
        <w:pStyle w:val="ListAlpha"/>
        <w:ind w:right="1440"/>
      </w:pPr>
      <w:r w:rsidRPr="005F079D">
        <w:t>Project</w:t>
      </w:r>
      <w:r w:rsidRPr="005F079D" w:rsidR="008C724B">
        <w:t>s</w:t>
      </w:r>
      <w:r w:rsidRPr="005F079D">
        <w:t xml:space="preserve"> entailing </w:t>
      </w:r>
      <w:r w:rsidRPr="005F079D" w:rsidR="00B76114">
        <w:t xml:space="preserve">pipeline </w:t>
      </w:r>
      <w:r w:rsidRPr="005F079D">
        <w:t xml:space="preserve">construction to </w:t>
      </w:r>
      <w:r w:rsidRPr="005F079D" w:rsidR="00B76114">
        <w:t>increase the backbone system design capacity by more than 150 million cubic feet per day (</w:t>
      </w:r>
      <w:r w:rsidRPr="005F079D" w:rsidR="008C724B">
        <w:t xml:space="preserve">proposed by </w:t>
      </w:r>
      <w:r w:rsidRPr="005F079D" w:rsidR="00B76114">
        <w:t>SoCalGas);</w:t>
      </w:r>
    </w:p>
    <w:p w:rsidRPr="005F079D" w:rsidR="00B76114" w:rsidP="0009044A" w:rsidRDefault="000D2C6A" w14:paraId="1DB745A6" w14:textId="18F11010">
      <w:pPr>
        <w:pStyle w:val="ListAlpha"/>
        <w:ind w:right="1440"/>
      </w:pPr>
      <w:r w:rsidRPr="005F079D">
        <w:t>Project</w:t>
      </w:r>
      <w:r w:rsidRPr="005F079D" w:rsidR="0076230D">
        <w:t>s</w:t>
      </w:r>
      <w:r w:rsidRPr="005F079D">
        <w:t xml:space="preserve"> entailing c</w:t>
      </w:r>
      <w:r w:rsidRPr="005F079D" w:rsidR="00B76114">
        <w:t>onstruction add</w:t>
      </w:r>
      <w:r w:rsidRPr="005F079D" w:rsidR="0076230D">
        <w:t>ing</w:t>
      </w:r>
      <w:r w:rsidRPr="005F079D" w:rsidR="00B76114">
        <w:t xml:space="preserve"> an incremental increase of 4,000 compressor </w:t>
      </w:r>
      <w:r w:rsidRPr="005F079D" w:rsidR="00E5018A">
        <w:t xml:space="preserve">horsepower </w:t>
      </w:r>
      <w:r w:rsidRPr="005F079D" w:rsidR="00B76114">
        <w:t>or greater at a compressor station or storage field (</w:t>
      </w:r>
      <w:r w:rsidRPr="005F079D" w:rsidR="008C724B">
        <w:t xml:space="preserve">proposed by </w:t>
      </w:r>
      <w:r w:rsidRPr="005F079D" w:rsidR="00B76114">
        <w:t>SoCalGas);</w:t>
      </w:r>
    </w:p>
    <w:p w:rsidRPr="005F079D" w:rsidR="00485F74" w:rsidP="0009044A" w:rsidRDefault="0088754A" w14:paraId="71B75209" w14:textId="6C0B2595">
      <w:pPr>
        <w:pStyle w:val="ListAlpha"/>
        <w:ind w:right="1440"/>
      </w:pPr>
      <w:r w:rsidRPr="005F079D">
        <w:t>Projects that significantly expand backbone or compressor</w:t>
      </w:r>
      <w:r w:rsidRPr="005F079D" w:rsidR="00E81AE8">
        <w:t xml:space="preserve"> capacity (</w:t>
      </w:r>
      <w:r w:rsidRPr="005F079D" w:rsidR="008C724B">
        <w:t xml:space="preserve">proposed by </w:t>
      </w:r>
      <w:r w:rsidRPr="005F079D" w:rsidR="00E81AE8">
        <w:t>SDG&amp;E);</w:t>
      </w:r>
      <w:r w:rsidRPr="005F079D" w:rsidR="003104BA">
        <w:t xml:space="preserve"> or, </w:t>
      </w:r>
    </w:p>
    <w:p w:rsidRPr="005F079D" w:rsidR="00E81AE8" w:rsidP="0009044A" w:rsidRDefault="00E81AE8" w14:paraId="4D627D1B" w14:textId="60E22B77">
      <w:pPr>
        <w:pStyle w:val="ListAlpha"/>
        <w:ind w:right="1440"/>
      </w:pPr>
      <w:r w:rsidRPr="005F079D">
        <w:t>Projects driving expansion or addition of capacity at the transmission and backbone level (</w:t>
      </w:r>
      <w:r w:rsidRPr="005F079D" w:rsidR="008C724B">
        <w:t xml:space="preserve">proposed by </w:t>
      </w:r>
      <w:r w:rsidRPr="005F079D">
        <w:t>EDF)</w:t>
      </w:r>
      <w:r w:rsidRPr="005F079D" w:rsidR="003104BA">
        <w:t>.</w:t>
      </w:r>
    </w:p>
    <w:p w:rsidR="00CF03A6" w:rsidP="0009044A" w:rsidRDefault="00CF03A6" w14:paraId="357E89C1" w14:textId="244951EB">
      <w:pPr>
        <w:pStyle w:val="Heading2"/>
      </w:pPr>
      <w:bookmarkStart w:name="_Toc120692817" w:id="46"/>
      <w:r w:rsidRPr="005A0E26">
        <w:t>Declining</w:t>
      </w:r>
      <w:r>
        <w:t xml:space="preserve"> to Adopt Additional Non-Monetary </w:t>
      </w:r>
      <w:r w:rsidR="00450788">
        <w:t>CPCN</w:t>
      </w:r>
      <w:r>
        <w:t xml:space="preserve"> Application Triggers</w:t>
      </w:r>
      <w:bookmarkEnd w:id="46"/>
    </w:p>
    <w:p w:rsidR="00CF03A6" w:rsidP="00E77A93" w:rsidRDefault="00CF03A6" w14:paraId="5512AC2D" w14:textId="46262613">
      <w:pPr>
        <w:pStyle w:val="Standard"/>
      </w:pPr>
      <w:r>
        <w:t xml:space="preserve">We decline to adopt the additional non-monetary application triggers proposed by parties.  Our adopted triggers as discussed above are practicable </w:t>
      </w:r>
      <w:r>
        <w:lastRenderedPageBreak/>
        <w:t xml:space="preserve">and will encompass the most potentially environmentally significant projects for which project alternatives should be most closely scrutinized.  </w:t>
      </w:r>
    </w:p>
    <w:p w:rsidR="00CF03A6" w:rsidP="00E77A93" w:rsidRDefault="00BF5D39" w14:paraId="444FF120" w14:textId="0DF6A25F">
      <w:pPr>
        <w:pStyle w:val="Standard"/>
      </w:pPr>
      <w:r>
        <w:t xml:space="preserve">We reject the proposal by UCAN, EDF, and </w:t>
      </w:r>
      <w:proofErr w:type="spellStart"/>
      <w:r>
        <w:t>CforAT</w:t>
      </w:r>
      <w:proofErr w:type="spellEnd"/>
      <w:r>
        <w:t xml:space="preserve"> to require applications for </w:t>
      </w:r>
      <w:r w:rsidR="00DF7A57">
        <w:t xml:space="preserve">all </w:t>
      </w:r>
      <w:r w:rsidRPr="00BF5D39">
        <w:t xml:space="preserve">projects located in </w:t>
      </w:r>
      <w:r w:rsidR="007D5C9C">
        <w:t xml:space="preserve">ESJ or disadvantaged communities.  </w:t>
      </w:r>
      <w:r w:rsidR="002861F0">
        <w:t xml:space="preserve">We concur with the </w:t>
      </w:r>
      <w:r w:rsidR="00DF7A57">
        <w:t xml:space="preserve">large IOUs </w:t>
      </w:r>
      <w:r w:rsidR="002861F0">
        <w:t xml:space="preserve">that </w:t>
      </w:r>
      <w:r w:rsidR="00DF7A57">
        <w:t xml:space="preserve">doing so could cause </w:t>
      </w:r>
      <w:r w:rsidR="002861F0">
        <w:t xml:space="preserve">additional delays </w:t>
      </w:r>
      <w:r w:rsidR="00DF7A57">
        <w:t xml:space="preserve">for projects located in such communities which may otherwise be benign.  </w:t>
      </w:r>
      <w:r w:rsidR="00EE4E14">
        <w:t xml:space="preserve">This has the potential to harm such communities by delaying implementation of necessary safety </w:t>
      </w:r>
      <w:r w:rsidR="00C1747F">
        <w:t xml:space="preserve">or reliability </w:t>
      </w:r>
      <w:r w:rsidR="00EE4E14">
        <w:t>improvements</w:t>
      </w:r>
      <w:r w:rsidR="009E5946">
        <w:t>.  Instead, our sensitive receptors trigger, adopted above, will capture the most potentially impactful projects</w:t>
      </w:r>
      <w:r w:rsidR="00C1747F">
        <w:t xml:space="preserve"> </w:t>
      </w:r>
      <w:r w:rsidR="0045124A">
        <w:t xml:space="preserve">in </w:t>
      </w:r>
      <w:r w:rsidR="008B5FEE">
        <w:t xml:space="preserve">communities most </w:t>
      </w:r>
      <w:r w:rsidR="00A728F1">
        <w:t xml:space="preserve">heavily impacted by </w:t>
      </w:r>
      <w:r w:rsidR="009F413A">
        <w:t>poor air quality</w:t>
      </w:r>
      <w:r w:rsidR="00537F73">
        <w:t xml:space="preserve">. </w:t>
      </w:r>
      <w:r w:rsidR="00EE7193">
        <w:t xml:space="preserve"> </w:t>
      </w:r>
      <w:r w:rsidR="009E5946">
        <w:t xml:space="preserve">Additionally, in </w:t>
      </w:r>
      <w:r w:rsidR="00FD0338">
        <w:t>S</w:t>
      </w:r>
      <w:r w:rsidRPr="00C97252" w:rsidR="009E5946">
        <w:t xml:space="preserve">ection </w:t>
      </w:r>
      <w:r w:rsidRPr="008A1E09" w:rsidR="00DF7A57">
        <w:t>15</w:t>
      </w:r>
      <w:r w:rsidRPr="005C4BEA" w:rsidR="00C97252">
        <w:t>.</w:t>
      </w:r>
      <w:r w:rsidR="00C97252">
        <w:t>3 below</w:t>
      </w:r>
      <w:r w:rsidR="009E5946">
        <w:t xml:space="preserve"> we require additional scrutiny </w:t>
      </w:r>
      <w:r w:rsidR="00C1747F">
        <w:t xml:space="preserve">in </w:t>
      </w:r>
      <w:r w:rsidR="00E9195A">
        <w:t>a</w:t>
      </w:r>
      <w:r w:rsidR="00C1747F">
        <w:t xml:space="preserve"> gas corporation’s </w:t>
      </w:r>
      <w:r w:rsidR="00450788">
        <w:t>CPCN</w:t>
      </w:r>
      <w:r w:rsidR="00C1747F">
        <w:t xml:space="preserve"> application</w:t>
      </w:r>
      <w:r w:rsidR="00E9195A">
        <w:t xml:space="preserve"> of projects proposed to be located in ESJ or disadvantaged communities</w:t>
      </w:r>
      <w:r w:rsidR="00C1747F">
        <w:t xml:space="preserve">. </w:t>
      </w:r>
    </w:p>
    <w:p w:rsidR="00506C12" w:rsidP="00506C12" w:rsidRDefault="00085EDE" w14:paraId="489DE7A4" w14:textId="13C68D27">
      <w:pPr>
        <w:pStyle w:val="Standard"/>
      </w:pPr>
      <w:r>
        <w:t xml:space="preserve">We decline to adopt </w:t>
      </w:r>
      <w:r w:rsidR="00302091">
        <w:t>EDF’s proposal</w:t>
      </w:r>
      <w:r w:rsidR="00980E7A">
        <w:t xml:space="preserve"> to adopt the criterion “project may result in a significant environmental impact as defined by CEQA” because this is not a clear threshold and determining whether the threshold was triggered would require </w:t>
      </w:r>
      <w:r w:rsidR="00BB7E23">
        <w:t xml:space="preserve">an a priori assessment of environmental impacts of the nature intended to be conducted following a </w:t>
      </w:r>
      <w:r w:rsidR="00450788">
        <w:t>CPCN</w:t>
      </w:r>
      <w:r w:rsidR="00BB7E23">
        <w:t xml:space="preserve"> application</w:t>
      </w:r>
      <w:r w:rsidR="00506C12">
        <w:t>, if</w:t>
      </w:r>
      <w:r w:rsidR="00574F49">
        <w:t xml:space="preserve"> it is determined that </w:t>
      </w:r>
      <w:r w:rsidR="00506C12">
        <w:t>a full CEQA review is necessary.  We also decline to adopt EDF’s proposal reg</w:t>
      </w:r>
      <w:r w:rsidR="000F7542">
        <w:t>arding High Consequence Areas, as these areas were defined for a different purpose.</w:t>
      </w:r>
      <w:r w:rsidR="00007AEB">
        <w:rPr>
          <w:rStyle w:val="FootnoteReference"/>
        </w:rPr>
        <w:footnoteReference w:id="29"/>
      </w:r>
      <w:r w:rsidR="000F7542">
        <w:t xml:space="preserve">  </w:t>
      </w:r>
    </w:p>
    <w:p w:rsidR="000F7542" w:rsidP="00506C12" w:rsidRDefault="000F7542" w14:paraId="7B6110F1" w14:textId="64A33B6B">
      <w:pPr>
        <w:pStyle w:val="Standard"/>
      </w:pPr>
      <w:r>
        <w:t xml:space="preserve">We decline </w:t>
      </w:r>
      <w:r w:rsidR="004C1687">
        <w:t xml:space="preserve">to </w:t>
      </w:r>
      <w:r>
        <w:t xml:space="preserve">adopt </w:t>
      </w:r>
      <w:r w:rsidR="007E1232">
        <w:t xml:space="preserve">proposals (d) – (g) above proposed by SoCalGas, SDG&amp;E, and EDF, as these specific </w:t>
      </w:r>
      <w:r w:rsidR="008E7D39">
        <w:t xml:space="preserve">types of infrastructure projects </w:t>
      </w:r>
      <w:r w:rsidR="00574F49">
        <w:t xml:space="preserve">are </w:t>
      </w:r>
      <w:r w:rsidR="009E027F">
        <w:t xml:space="preserve">likely to be </w:t>
      </w:r>
      <w:r w:rsidR="008E7D39">
        <w:t xml:space="preserve">captured in </w:t>
      </w:r>
      <w:r w:rsidR="00574F49">
        <w:t xml:space="preserve">the </w:t>
      </w:r>
      <w:r w:rsidR="008E7D39">
        <w:t xml:space="preserve">$75 million monetary threshold adopted above.  Adopting a monetary threshold is preferable to adopting thresholds based on specific project </w:t>
      </w:r>
      <w:r w:rsidR="008E7D39">
        <w:lastRenderedPageBreak/>
        <w:t>types as the monetary threshold will capture a greater number and type of</w:t>
      </w:r>
      <w:r w:rsidR="00A228E1">
        <w:t xml:space="preserve"> high</w:t>
      </w:r>
      <w:r w:rsidR="00F93CE0">
        <w:noBreakHyphen/>
      </w:r>
      <w:r w:rsidR="00A228E1">
        <w:t>cost</w:t>
      </w:r>
      <w:r w:rsidR="008E7D39">
        <w:t xml:space="preserve"> project</w:t>
      </w:r>
      <w:r w:rsidR="00060C21">
        <w:t xml:space="preserve">s of potential environmental concern that should be closely </w:t>
      </w:r>
      <w:r w:rsidR="00574F49">
        <w:t xml:space="preserve">examined </w:t>
      </w:r>
      <w:r w:rsidR="00060C21">
        <w:t xml:space="preserve">for alternatives and need.  </w:t>
      </w:r>
    </w:p>
    <w:p w:rsidR="001E28FB" w:rsidP="0009044A" w:rsidRDefault="001E28FB" w14:paraId="6770760F" w14:textId="5938A08F">
      <w:pPr>
        <w:pStyle w:val="Heading1"/>
      </w:pPr>
      <w:bookmarkStart w:name="_Toc115947579" w:id="47"/>
      <w:bookmarkStart w:name="_Toc115947580" w:id="48"/>
      <w:bookmarkStart w:name="_Toc115947581" w:id="49"/>
      <w:bookmarkStart w:name="_Toc115947582" w:id="50"/>
      <w:bookmarkStart w:name="_Toc115947583" w:id="51"/>
      <w:bookmarkStart w:name="_Toc115947584" w:id="52"/>
      <w:bookmarkStart w:name="_Toc115947585" w:id="53"/>
      <w:bookmarkStart w:name="_Toc115947586" w:id="54"/>
      <w:bookmarkStart w:name="_Toc115947587" w:id="55"/>
      <w:bookmarkStart w:name="_Toc115947588" w:id="56"/>
      <w:bookmarkStart w:name="_Toc120692818" w:id="57"/>
      <w:bookmarkEnd w:id="47"/>
      <w:bookmarkEnd w:id="48"/>
      <w:bookmarkEnd w:id="49"/>
      <w:bookmarkEnd w:id="50"/>
      <w:bookmarkEnd w:id="51"/>
      <w:bookmarkEnd w:id="52"/>
      <w:bookmarkEnd w:id="53"/>
      <w:bookmarkEnd w:id="54"/>
      <w:bookmarkEnd w:id="55"/>
      <w:bookmarkEnd w:id="56"/>
      <w:r>
        <w:t xml:space="preserve">Defining </w:t>
      </w:r>
      <w:r w:rsidR="00113DA1">
        <w:t>“</w:t>
      </w:r>
      <w:r>
        <w:t>Project”</w:t>
      </w:r>
      <w:r w:rsidR="00113DA1">
        <w:t xml:space="preserve"> for </w:t>
      </w:r>
      <w:r w:rsidRPr="005646D9" w:rsidR="00113DA1">
        <w:t>Purpose</w:t>
      </w:r>
      <w:r w:rsidR="00113DA1">
        <w:t xml:space="preserve"> of the </w:t>
      </w:r>
      <w:r w:rsidR="005459A7">
        <w:t>GO</w:t>
      </w:r>
      <w:bookmarkEnd w:id="57"/>
      <w:r w:rsidR="00B520F2">
        <w:t xml:space="preserve"> </w:t>
      </w:r>
    </w:p>
    <w:p w:rsidR="002B2C1A" w:rsidP="0009044A" w:rsidRDefault="002B2C1A" w14:paraId="135C9C96" w14:textId="5D3350B7">
      <w:pPr>
        <w:pStyle w:val="Heading2"/>
      </w:pPr>
      <w:bookmarkStart w:name="_Toc120692819" w:id="58"/>
      <w:r>
        <w:t>Staff Proposal</w:t>
      </w:r>
      <w:bookmarkEnd w:id="58"/>
    </w:p>
    <w:p w:rsidR="005D6C5E" w:rsidP="005D6C5E" w:rsidRDefault="00631FC4" w14:paraId="6F7A084D" w14:textId="1F9AA033">
      <w:pPr>
        <w:pStyle w:val="Standard"/>
      </w:pPr>
      <w:r>
        <w:t xml:space="preserve">The </w:t>
      </w:r>
      <w:r w:rsidR="005D6C5E">
        <w:t>Staff Proposal</w:t>
      </w:r>
      <w:r>
        <w:t xml:space="preserve"> d</w:t>
      </w:r>
      <w:r w:rsidR="00E9195A">
        <w:t>oes</w:t>
      </w:r>
      <w:r>
        <w:t xml:space="preserve"> not explicitly define a “project” for purposes of the </w:t>
      </w:r>
      <w:r w:rsidR="005459A7">
        <w:t>GO</w:t>
      </w:r>
      <w:r>
        <w:t xml:space="preserve">.  </w:t>
      </w:r>
      <w:r w:rsidR="00D96E33">
        <w:t>Instead, Staff align their proposed criteria for a</w:t>
      </w:r>
      <w:r w:rsidR="00450788">
        <w:t>n</w:t>
      </w:r>
      <w:r w:rsidR="00D96E33">
        <w:t xml:space="preserve"> application</w:t>
      </w:r>
      <w:r w:rsidR="00450788">
        <w:t xml:space="preserve"> requirement</w:t>
      </w:r>
      <w:r w:rsidR="00D96E33">
        <w:t xml:space="preserve"> with statutory language </w:t>
      </w:r>
      <w:r w:rsidR="007F16B1">
        <w:t>defining Commission jurisdiction over gas corporations</w:t>
      </w:r>
      <w:r w:rsidR="004709A4">
        <w:t xml:space="preserve">.  </w:t>
      </w:r>
      <w:r w:rsidR="00E9195A">
        <w:t>The concept of “p</w:t>
      </w:r>
      <w:r w:rsidR="004709A4">
        <w:t>rojects</w:t>
      </w:r>
      <w:r w:rsidR="00E9195A">
        <w:t>” in the Staff Proposal</w:t>
      </w:r>
      <w:r w:rsidR="004709A4">
        <w:t xml:space="preserve"> refer</w:t>
      </w:r>
      <w:r w:rsidR="00E9195A">
        <w:t xml:space="preserve">s </w:t>
      </w:r>
      <w:r w:rsidR="004709A4">
        <w:t>to activities involving the</w:t>
      </w:r>
      <w:r w:rsidR="007F16B1">
        <w:t xml:space="preserve"> “</w:t>
      </w:r>
      <w:r w:rsidR="00FF3B30">
        <w:t>construction or modification… of any plant, line or extension.”</w:t>
      </w:r>
      <w:r w:rsidR="00FF3B30">
        <w:rPr>
          <w:rStyle w:val="FootnoteReference"/>
        </w:rPr>
        <w:footnoteReference w:id="30"/>
      </w:r>
      <w:r w:rsidRPr="008C3574" w:rsidR="00E0325B">
        <w:rPr>
          <w:vertAlign w:val="superscript"/>
        </w:rPr>
        <w:t>,</w:t>
      </w:r>
      <w:r w:rsidR="00395016">
        <w:t xml:space="preserve"> </w:t>
      </w:r>
      <w:r w:rsidR="00395016">
        <w:rPr>
          <w:rStyle w:val="FootnoteReference"/>
        </w:rPr>
        <w:footnoteReference w:id="31"/>
      </w:r>
    </w:p>
    <w:p w:rsidRPr="002B2C1A" w:rsidR="002B2C1A" w:rsidP="0009044A" w:rsidRDefault="002B2C1A" w14:paraId="747BA754" w14:textId="6A45C7EE">
      <w:pPr>
        <w:pStyle w:val="Heading2"/>
      </w:pPr>
      <w:bookmarkStart w:name="_Toc120692820" w:id="59"/>
      <w:r>
        <w:t xml:space="preserve">Party </w:t>
      </w:r>
      <w:r w:rsidRPr="005646D9">
        <w:t>Comments</w:t>
      </w:r>
      <w:bookmarkEnd w:id="59"/>
      <w:r>
        <w:t xml:space="preserve"> </w:t>
      </w:r>
    </w:p>
    <w:p w:rsidR="003A4675" w:rsidP="00412DAA" w:rsidRDefault="001B4C29" w14:paraId="055C5AEF" w14:textId="5C055825">
      <w:pPr>
        <w:pStyle w:val="Standard"/>
      </w:pPr>
      <w:r>
        <w:t xml:space="preserve">A number of parties recommend the Commission define “project” for purposes of the </w:t>
      </w:r>
      <w:r w:rsidR="005459A7">
        <w:t>GO</w:t>
      </w:r>
      <w:r w:rsidR="00C37F9E">
        <w:t>.</w:t>
      </w:r>
      <w:r w:rsidR="00FF3B30">
        <w:t xml:space="preserve">  </w:t>
      </w:r>
      <w:r w:rsidR="008725A5">
        <w:t>ED</w:t>
      </w:r>
      <w:r w:rsidR="003A4675">
        <w:t xml:space="preserve">F recommends the Commission adopt </w:t>
      </w:r>
      <w:r w:rsidR="008E2984">
        <w:t xml:space="preserve">the definition of project included in CEQA Guidelines Section 15378, a definition which revolves around the concept of the “whole of an action.”  </w:t>
      </w:r>
      <w:r w:rsidR="009B2088">
        <w:t>EDF posits this would help ensure that projects exceeding the adopted monetary threshold over a long</w:t>
      </w:r>
      <w:r w:rsidR="00B8352F">
        <w:t>er time</w:t>
      </w:r>
      <w:r w:rsidR="009B2088">
        <w:t xml:space="preserve"> period </w:t>
      </w:r>
      <w:r w:rsidR="00F10AEB">
        <w:t>will be captured</w:t>
      </w:r>
      <w:r w:rsidR="009B2088">
        <w:t>.</w:t>
      </w:r>
      <w:r w:rsidR="00460DC9">
        <w:rPr>
          <w:rStyle w:val="FootnoteReference"/>
        </w:rPr>
        <w:footnoteReference w:id="32"/>
      </w:r>
      <w:r w:rsidR="00460DC9">
        <w:t xml:space="preserve"> </w:t>
      </w:r>
      <w:r w:rsidR="00854623">
        <w:t xml:space="preserve"> EDF </w:t>
      </w:r>
      <w:r w:rsidR="008725A5">
        <w:t xml:space="preserve">further </w:t>
      </w:r>
      <w:r w:rsidR="00854623">
        <w:t xml:space="preserve">recommends the </w:t>
      </w:r>
      <w:r w:rsidR="003B2F55">
        <w:t xml:space="preserve">Commission direct </w:t>
      </w:r>
      <w:r w:rsidR="00873662">
        <w:lastRenderedPageBreak/>
        <w:t xml:space="preserve">gas corporations </w:t>
      </w:r>
      <w:r w:rsidR="003B2F55">
        <w:t xml:space="preserve">to consolidate “related projects” to ensure </w:t>
      </w:r>
      <w:r w:rsidR="00AC039C">
        <w:t xml:space="preserve">that multi-year projects are not allowed to circumvent the requirements of the </w:t>
      </w:r>
      <w:r w:rsidR="005459A7">
        <w:t>GO</w:t>
      </w:r>
      <w:r w:rsidR="00AC039C">
        <w:t xml:space="preserve">. </w:t>
      </w:r>
      <w:r w:rsidR="00E13396">
        <w:t xml:space="preserve"> UCAN expresses similar concerns </w:t>
      </w:r>
      <w:r w:rsidR="00B87460">
        <w:t xml:space="preserve">regarding “piecemealing.” </w:t>
      </w:r>
      <w:r w:rsidR="00E13396">
        <w:t xml:space="preserve"> </w:t>
      </w:r>
    </w:p>
    <w:p w:rsidR="00B56286" w:rsidP="00412DAA" w:rsidRDefault="003B3A03" w14:paraId="5E7DBCEC" w14:textId="2AE53C8F">
      <w:pPr>
        <w:pStyle w:val="Standard"/>
      </w:pPr>
      <w:r>
        <w:t xml:space="preserve">SDG&amp;E and SoCalGas oppose these recommendations.  SDG&amp;E contends the “whole of the action” </w:t>
      </w:r>
      <w:r w:rsidR="00C1671C">
        <w:t xml:space="preserve">concept </w:t>
      </w:r>
      <w:r>
        <w:t xml:space="preserve">is a “CEQA term of art,” and the IOUs </w:t>
      </w:r>
      <w:r w:rsidR="00C1671C">
        <w:t>sh</w:t>
      </w:r>
      <w:r>
        <w:t xml:space="preserve">ould not </w:t>
      </w:r>
      <w:r w:rsidR="00C47B3F">
        <w:t xml:space="preserve">use this definition to determine applicability and requirements under the </w:t>
      </w:r>
      <w:r w:rsidR="005459A7">
        <w:t>GO</w:t>
      </w:r>
      <w:r w:rsidR="00070897">
        <w:t xml:space="preserve">.  </w:t>
      </w:r>
      <w:r w:rsidRPr="00685A32" w:rsidR="00685A32">
        <w:t>If the Commission wishes to adopt a definition of “project,” SDG&amp;E suggests that it be defined as “a temporary endeavor with a defined scope that has independent utility in the gas system, has a start and completion date, and does not include routine maintenance.”</w:t>
      </w:r>
      <w:r w:rsidR="00685A32">
        <w:rPr>
          <w:rStyle w:val="FootnoteReference"/>
        </w:rPr>
        <w:footnoteReference w:id="33"/>
      </w:r>
      <w:r w:rsidR="009C5A07">
        <w:t xml:space="preserve">  SDG&amp;E argues this definition would guard against </w:t>
      </w:r>
      <w:r w:rsidR="00217877">
        <w:t xml:space="preserve">UCAN’s </w:t>
      </w:r>
      <w:r w:rsidR="00F740E5">
        <w:t xml:space="preserve">concern by </w:t>
      </w:r>
      <w:r w:rsidR="00217877">
        <w:t>defining</w:t>
      </w:r>
      <w:r w:rsidR="00F740E5">
        <w:t xml:space="preserve"> a project </w:t>
      </w:r>
      <w:r w:rsidR="00217877">
        <w:t>as  something that is “</w:t>
      </w:r>
      <w:r w:rsidR="00F740E5">
        <w:t>stand-alone,</w:t>
      </w:r>
      <w:r w:rsidR="00217877">
        <w:t xml:space="preserve">” or </w:t>
      </w:r>
      <w:r w:rsidR="00F740E5">
        <w:t>“independent.”</w:t>
      </w:r>
      <w:r w:rsidR="00725E11">
        <w:rPr>
          <w:rStyle w:val="FootnoteReference"/>
        </w:rPr>
        <w:footnoteReference w:id="34"/>
      </w:r>
      <w:r w:rsidR="00F740E5">
        <w:t xml:space="preserve"> </w:t>
      </w:r>
      <w:r w:rsidR="00AB2E24">
        <w:t xml:space="preserve"> </w:t>
      </w:r>
      <w:r w:rsidR="00F90F7B">
        <w:t xml:space="preserve">In comments on the proposed decision, SoCalGas observes that </w:t>
      </w:r>
      <w:r w:rsidR="007C2F18">
        <w:t xml:space="preserve">the definition of “gas plant” contained in Pub. Util. Code Section 221 includes </w:t>
      </w:r>
      <w:r w:rsidR="00033360">
        <w:t>office buildings.</w:t>
      </w:r>
      <w:r w:rsidR="001E30AD">
        <w:rPr>
          <w:rStyle w:val="FootnoteReference"/>
        </w:rPr>
        <w:footnoteReference w:id="35"/>
      </w:r>
    </w:p>
    <w:p w:rsidR="009D0E29" w:rsidP="00412DAA" w:rsidRDefault="00AB2E24" w14:paraId="2905184B" w14:textId="532D4050">
      <w:pPr>
        <w:pStyle w:val="Standard"/>
      </w:pPr>
      <w:r>
        <w:t xml:space="preserve">Southwest proposes that the Commission </w:t>
      </w:r>
      <w:r w:rsidR="00A62381">
        <w:t xml:space="preserve">define </w:t>
      </w:r>
      <w:r>
        <w:t>project</w:t>
      </w:r>
      <w:r w:rsidR="00725E11">
        <w:t xml:space="preserve"> types</w:t>
      </w:r>
      <w:r>
        <w:t xml:space="preserve"> </w:t>
      </w:r>
      <w:r w:rsidR="00A62381">
        <w:t xml:space="preserve">covered by the </w:t>
      </w:r>
      <w:r w:rsidR="005459A7">
        <w:t>GO</w:t>
      </w:r>
      <w:r w:rsidR="00A62381">
        <w:t xml:space="preserve"> to </w:t>
      </w:r>
      <w:r w:rsidRPr="00AB2E24">
        <w:t xml:space="preserve">include </w:t>
      </w:r>
      <w:r w:rsidR="00725E11">
        <w:t xml:space="preserve">only </w:t>
      </w:r>
      <w:r w:rsidRPr="00AB2E24">
        <w:t>construction or physical modification of</w:t>
      </w:r>
      <w:r w:rsidR="00A62381">
        <w:t xml:space="preserve"> a</w:t>
      </w:r>
      <w:r w:rsidRPr="00AB2E24">
        <w:t>: (1)</w:t>
      </w:r>
      <w:r w:rsidR="00F93CE0">
        <w:t> </w:t>
      </w:r>
      <w:r w:rsidRPr="00AB2E24">
        <w:t>liquified natural gas plant or storage facility; (2) compressor station; (3) gas storage facility; or (4) transmission line.</w:t>
      </w:r>
    </w:p>
    <w:p w:rsidR="00DF18EB" w:rsidP="00BD036D" w:rsidRDefault="00702DF1" w14:paraId="023061BD" w14:textId="108BDBB7">
      <w:pPr>
        <w:pStyle w:val="Standard"/>
      </w:pPr>
      <w:r>
        <w:t xml:space="preserve">Cal Advocates recommends the </w:t>
      </w:r>
      <w:r w:rsidR="005459A7">
        <w:t>GO</w:t>
      </w:r>
      <w:r>
        <w:t xml:space="preserve"> explicitly </w:t>
      </w:r>
      <w:r w:rsidR="00643DA0">
        <w:t>identify</w:t>
      </w:r>
      <w:r w:rsidR="00B56286">
        <w:t xml:space="preserve"> </w:t>
      </w:r>
      <w:r w:rsidR="00AC17FB">
        <w:t>hydrogen</w:t>
      </w:r>
      <w:r w:rsidR="00B56286">
        <w:t xml:space="preserve"> gas</w:t>
      </w:r>
      <w:r w:rsidR="00F93CE0">
        <w:t> </w:t>
      </w:r>
      <w:r w:rsidR="00AC17FB">
        <w:t xml:space="preserve">infrastructure projects </w:t>
      </w:r>
      <w:r w:rsidR="00B56286">
        <w:t xml:space="preserve">as covered in the </w:t>
      </w:r>
      <w:r w:rsidR="005459A7">
        <w:t>GO</w:t>
      </w:r>
      <w:r w:rsidR="00AC17FB">
        <w:t xml:space="preserve">.  </w:t>
      </w:r>
      <w:r w:rsidR="00A85FA7">
        <w:t>SoCalGas opposes this</w:t>
      </w:r>
      <w:r w:rsidR="00B56286">
        <w:t xml:space="preserve">, instead </w:t>
      </w:r>
      <w:r w:rsidR="00A85FA7">
        <w:t>recommend</w:t>
      </w:r>
      <w:r w:rsidR="00B56286">
        <w:t xml:space="preserve">ing that the Commission </w:t>
      </w:r>
      <w:r w:rsidR="00E538CF">
        <w:t xml:space="preserve">require an expedited permit review process for </w:t>
      </w:r>
      <w:r w:rsidR="00A85FA7">
        <w:t xml:space="preserve">“clean fuel activities” </w:t>
      </w:r>
      <w:r w:rsidR="00E538CF">
        <w:t xml:space="preserve">such as hydrogen gas infrastructure to </w:t>
      </w:r>
      <w:r w:rsidR="0076624C">
        <w:t xml:space="preserve">reflect the importance of these fuels </w:t>
      </w:r>
      <w:r w:rsidR="00643DA0">
        <w:t>to</w:t>
      </w:r>
      <w:r w:rsidR="0076624C">
        <w:t xml:space="preserve"> California’s carbon-neutrality goals</w:t>
      </w:r>
      <w:r w:rsidR="00A85FA7">
        <w:t xml:space="preserve">. </w:t>
      </w:r>
      <w:r w:rsidR="0076624C">
        <w:t xml:space="preserve">  </w:t>
      </w:r>
    </w:p>
    <w:p w:rsidR="007704E4" w:rsidP="0009044A" w:rsidRDefault="003A5811" w14:paraId="0C6335C4" w14:textId="414E5969">
      <w:pPr>
        <w:pStyle w:val="Heading2"/>
      </w:pPr>
      <w:bookmarkStart w:name="_Toc120692821" w:id="60"/>
      <w:r>
        <w:lastRenderedPageBreak/>
        <w:t xml:space="preserve">Adopting </w:t>
      </w:r>
      <w:r w:rsidR="004709A4">
        <w:t xml:space="preserve">a </w:t>
      </w:r>
      <w:r w:rsidRPr="005646D9" w:rsidR="004709A4">
        <w:t>Definition</w:t>
      </w:r>
      <w:r w:rsidR="004709A4">
        <w:t xml:space="preserve"> of “</w:t>
      </w:r>
      <w:r>
        <w:t>Project</w:t>
      </w:r>
      <w:r w:rsidR="004709A4">
        <w:t xml:space="preserve">” </w:t>
      </w:r>
      <w:r w:rsidR="00C22A55">
        <w:br/>
      </w:r>
      <w:r w:rsidRPr="00FD6CAD" w:rsidR="004709A4">
        <w:t xml:space="preserve">for Purposes of the </w:t>
      </w:r>
      <w:r w:rsidRPr="00FD6CAD" w:rsidR="005459A7">
        <w:t>GO</w:t>
      </w:r>
      <w:bookmarkEnd w:id="60"/>
    </w:p>
    <w:p w:rsidR="00990614" w:rsidP="00AC7C56" w:rsidRDefault="004709A4" w14:paraId="11E34F3D" w14:textId="76550031">
      <w:pPr>
        <w:pStyle w:val="Standard"/>
      </w:pPr>
      <w:r w:rsidRPr="004709A4">
        <w:t xml:space="preserve">We define “project” for purposes of this </w:t>
      </w:r>
      <w:r w:rsidR="005459A7">
        <w:t>GO</w:t>
      </w:r>
      <w:r w:rsidRPr="004709A4">
        <w:t xml:space="preserve"> as</w:t>
      </w:r>
      <w:r w:rsidR="00A607BC">
        <w:t xml:space="preserve"> </w:t>
      </w:r>
      <w:r w:rsidR="00EA3553">
        <w:t>the “</w:t>
      </w:r>
      <w:r w:rsidRPr="002B2848" w:rsidR="002B2848">
        <w:t xml:space="preserve">construction or physical modification of any </w:t>
      </w:r>
      <w:r w:rsidR="00826C11">
        <w:t xml:space="preserve">gas </w:t>
      </w:r>
      <w:r w:rsidRPr="002B2848" w:rsidR="002B2848">
        <w:t>plant</w:t>
      </w:r>
      <w:r w:rsidR="00826C11">
        <w:t xml:space="preserve"> with independent utility in the gas system, including </w:t>
      </w:r>
      <w:r w:rsidRPr="002B2848" w:rsidR="002B2848">
        <w:t xml:space="preserve">compressor </w:t>
      </w:r>
      <w:r w:rsidR="00826C11">
        <w:t xml:space="preserve">or regulator </w:t>
      </w:r>
      <w:r w:rsidRPr="002B2848" w:rsidR="002B2848">
        <w:t>station</w:t>
      </w:r>
      <w:r w:rsidR="00826C11">
        <w:t>s</w:t>
      </w:r>
      <w:r w:rsidRPr="002B2848" w:rsidR="002B2848">
        <w:t xml:space="preserve">, </w:t>
      </w:r>
      <w:r w:rsidR="00AE5AE9">
        <w:t>any pipe</w:t>
      </w:r>
      <w:r w:rsidRPr="002B2848" w:rsidR="002B2848">
        <w:t xml:space="preserve">line or </w:t>
      </w:r>
      <w:r w:rsidR="00AE5AE9">
        <w:t xml:space="preserve">pipeline </w:t>
      </w:r>
      <w:r w:rsidRPr="002B2848" w:rsidR="002B2848">
        <w:t xml:space="preserve">extension, or </w:t>
      </w:r>
      <w:r w:rsidR="00950056">
        <w:t xml:space="preserve">any </w:t>
      </w:r>
      <w:r w:rsidRPr="002B2848" w:rsidR="002B2848">
        <w:t>expansion of an existing gas storage field.</w:t>
      </w:r>
      <w:r w:rsidR="002B2848">
        <w:t xml:space="preserve">”  </w:t>
      </w:r>
      <w:r w:rsidR="00D42C6B">
        <w:t xml:space="preserve">Defining a project in this way </w:t>
      </w:r>
      <w:r w:rsidRPr="00746701" w:rsidR="00D42C6B">
        <w:t xml:space="preserve">will </w:t>
      </w:r>
      <w:r w:rsidR="00D42C6B">
        <w:t xml:space="preserve">help </w:t>
      </w:r>
      <w:r w:rsidR="00A92DCB">
        <w:t xml:space="preserve">clearly demarcate individual projects </w:t>
      </w:r>
      <w:r w:rsidR="00213AA8">
        <w:t xml:space="preserve">within the broad range of </w:t>
      </w:r>
      <w:r w:rsidR="00EA28C8">
        <w:t>utilit</w:t>
      </w:r>
      <w:r w:rsidR="00D368F4">
        <w:t>y</w:t>
      </w:r>
      <w:r w:rsidR="00EA28C8">
        <w:t xml:space="preserve"> </w:t>
      </w:r>
      <w:r w:rsidR="00213AA8">
        <w:t>infrastructure activities</w:t>
      </w:r>
      <w:r w:rsidR="00097402">
        <w:t xml:space="preserve">. </w:t>
      </w:r>
      <w:r w:rsidR="00EE7193">
        <w:t xml:space="preserve"> </w:t>
      </w:r>
      <w:r w:rsidRPr="004709A4" w:rsidR="008464AD">
        <w:t>A</w:t>
      </w:r>
      <w:r w:rsidR="00990614">
        <w:t>dditionally, a</w:t>
      </w:r>
      <w:r w:rsidRPr="004709A4" w:rsidR="008464AD">
        <w:t>dopting this</w:t>
      </w:r>
      <w:r w:rsidR="008464AD">
        <w:t xml:space="preserve"> definition will help ensure that infrastructure projects for which revenue recovery is requested sequentially over time will be considered as a single project and subjected to a single </w:t>
      </w:r>
      <w:r w:rsidR="00450788">
        <w:t>CPCN</w:t>
      </w:r>
      <w:r w:rsidR="008464AD">
        <w:t xml:space="preserve"> application requirement.</w:t>
      </w:r>
      <w:r w:rsidR="00990614">
        <w:t xml:space="preserve">  Gas corporations must not skirt our CPCN application requirement by proposing various phases of a single project over time, each phase of which may cost less than our $75 million threshold.  </w:t>
      </w:r>
    </w:p>
    <w:p w:rsidR="009E1235" w:rsidP="00834BFD" w:rsidRDefault="009E1235" w14:paraId="35F5414D" w14:textId="55DF24AE">
      <w:pPr>
        <w:pStyle w:val="Standard"/>
      </w:pPr>
      <w:bookmarkStart w:name="_Hlk119674126" w:id="61"/>
      <w:r>
        <w:t>For purposes of this GO, “gas plant” excludes gas corporation office buildings.</w:t>
      </w:r>
      <w:bookmarkEnd w:id="61"/>
      <w:r w:rsidR="00AD45CB">
        <w:t xml:space="preserve">  </w:t>
      </w:r>
      <w:r>
        <w:t>This is a reasonable clarification to avoid unintended outcomes</w:t>
      </w:r>
      <w:r w:rsidR="00F62EA0">
        <w:t xml:space="preserve"> related to the installation of heating or cooling equipment at gas corporations’ office</w:t>
      </w:r>
      <w:r w:rsidR="0063078F">
        <w:t xml:space="preserve"> buildings</w:t>
      </w:r>
      <w:r w:rsidR="00F62EA0">
        <w:t>.</w:t>
      </w:r>
      <w:r w:rsidR="00834BFD">
        <w:t xml:space="preserve">  The installation </w:t>
      </w:r>
      <w:r w:rsidR="00F76988">
        <w:t xml:space="preserve">at a gas corporation office building </w:t>
      </w:r>
      <w:r w:rsidR="00834BFD">
        <w:t>of equipment such as a boiler or electric generator that requires a permit from an air quality management district does not trigger the requirement for the gas utility to obtain a CPCN.</w:t>
      </w:r>
      <w:r w:rsidR="00FD4819">
        <w:t xml:space="preserve">  We add</w:t>
      </w:r>
      <w:r w:rsidR="00C45B3E">
        <w:t xml:space="preserve"> this exclusion to those listed in the footnote to the definition of a “project</w:t>
      </w:r>
      <w:r w:rsidR="00F4473F">
        <w:t xml:space="preserve">” </w:t>
      </w:r>
      <w:r w:rsidR="00C45B3E">
        <w:t>of the G</w:t>
      </w:r>
      <w:r w:rsidR="0077161D">
        <w:t>O</w:t>
      </w:r>
      <w:r w:rsidR="00C45B3E">
        <w:t xml:space="preserve"> in Appendix A. </w:t>
      </w:r>
    </w:p>
    <w:p w:rsidRPr="00D42C6B" w:rsidR="009430EA" w:rsidP="0009044A" w:rsidRDefault="001167DA" w14:paraId="74B7FFCB" w14:textId="044AC37C">
      <w:pPr>
        <w:pStyle w:val="FoF"/>
        <w:numPr>
          <w:ilvl w:val="0"/>
          <w:numId w:val="0"/>
        </w:numPr>
        <w:ind w:firstLine="540"/>
      </w:pPr>
      <w:r>
        <w:rPr>
          <w:bCs/>
        </w:rPr>
        <w:t xml:space="preserve">We do not adopt CEQA language </w:t>
      </w:r>
      <w:r w:rsidR="009A129C">
        <w:rPr>
          <w:bCs/>
        </w:rPr>
        <w:t>defining a “project,” including with the phrase “whole of the action,”</w:t>
      </w:r>
      <w:r>
        <w:rPr>
          <w:bCs/>
        </w:rPr>
        <w:t xml:space="preserve"> as this is not necessary</w:t>
      </w:r>
      <w:r w:rsidR="001402DE">
        <w:rPr>
          <w:bCs/>
        </w:rPr>
        <w:t xml:space="preserve"> here.  The CEQA review that accompanies the CPCN application </w:t>
      </w:r>
      <w:r w:rsidR="00C26350">
        <w:rPr>
          <w:bCs/>
        </w:rPr>
        <w:t>will adhere to CEQA requirements</w:t>
      </w:r>
      <w:r w:rsidR="000B0848">
        <w:rPr>
          <w:bCs/>
        </w:rPr>
        <w:t>,</w:t>
      </w:r>
      <w:r w:rsidR="00C26350">
        <w:rPr>
          <w:bCs/>
        </w:rPr>
        <w:t xml:space="preserve"> but a simple definition of project is sufficient for purposes of the application</w:t>
      </w:r>
      <w:r w:rsidR="000A15C1">
        <w:rPr>
          <w:bCs/>
        </w:rPr>
        <w:t xml:space="preserve"> </w:t>
      </w:r>
      <w:r w:rsidR="000A15C1">
        <w:rPr>
          <w:bCs/>
        </w:rPr>
        <w:lastRenderedPageBreak/>
        <w:t>requirement</w:t>
      </w:r>
      <w:r w:rsidR="004173D4">
        <w:rPr>
          <w:bCs/>
        </w:rPr>
        <w:t xml:space="preserve"> under this GO</w:t>
      </w:r>
      <w:r w:rsidR="00C26350">
        <w:rPr>
          <w:bCs/>
        </w:rPr>
        <w:t xml:space="preserve">.  </w:t>
      </w:r>
      <w:r w:rsidR="00990614">
        <w:t>We do not adopt either SDG&amp;E or UCAN’s proposed definitions as they lacked clarity or were inappropriate for our purposes here.</w:t>
      </w:r>
    </w:p>
    <w:p w:rsidR="00F37CD9" w:rsidP="00F37CD9" w:rsidRDefault="00EA3553" w14:paraId="5D3A3980" w14:textId="24296282">
      <w:pPr>
        <w:pStyle w:val="Standard"/>
      </w:pPr>
      <w:r>
        <w:rPr>
          <w:bCs/>
        </w:rPr>
        <w:t xml:space="preserve">  We do not limit the types of activities that may qualify as a “project” under this definition to those identified by Southwest.  This is because, as discussed </w:t>
      </w:r>
      <w:r>
        <w:t xml:space="preserve">in </w:t>
      </w:r>
      <w:r w:rsidR="00FD0338">
        <w:t>S</w:t>
      </w:r>
      <w:r>
        <w:t>ection 12.6</w:t>
      </w:r>
      <w:r w:rsidR="006E6023">
        <w:t xml:space="preserve">.3 </w:t>
      </w:r>
      <w:r w:rsidR="000A15C1">
        <w:t>below</w:t>
      </w:r>
      <w:r>
        <w:t xml:space="preserve">, we include all </w:t>
      </w:r>
      <w:r w:rsidR="00E16C72">
        <w:t xml:space="preserve">sizes of </w:t>
      </w:r>
      <w:r>
        <w:t xml:space="preserve">pipelines </w:t>
      </w:r>
      <w:r w:rsidR="008B671B">
        <w:t xml:space="preserve">within </w:t>
      </w:r>
      <w:r w:rsidR="002B2848">
        <w:t xml:space="preserve">the </w:t>
      </w:r>
      <w:r w:rsidR="008B671B">
        <w:t xml:space="preserve">scope of the </w:t>
      </w:r>
      <w:r w:rsidR="005459A7">
        <w:t>GO</w:t>
      </w:r>
      <w:r w:rsidR="008B671B">
        <w:t xml:space="preserve">, </w:t>
      </w:r>
      <w:r w:rsidRPr="0060057E">
        <w:t xml:space="preserve">with the exception of service </w:t>
      </w:r>
      <w:r w:rsidRPr="0060057E" w:rsidR="00067359">
        <w:t>pipe</w:t>
      </w:r>
      <w:r w:rsidRPr="0060057E">
        <w:t>lines</w:t>
      </w:r>
      <w:r>
        <w:t xml:space="preserve"> connecting to customer facilities</w:t>
      </w:r>
      <w:r w:rsidR="000138A2">
        <w:t xml:space="preserve"> and work on customer meters</w:t>
      </w:r>
      <w:r>
        <w:t>.</w:t>
      </w:r>
      <w:r w:rsidR="0001480C">
        <w:rPr>
          <w:rStyle w:val="FootnoteReference"/>
        </w:rPr>
        <w:footnoteReference w:id="36"/>
      </w:r>
      <w:r>
        <w:t xml:space="preserve">  As discussed with regard to our adopted sensitive receptors trigger threshold, it is appropriate for this Commission to require a </w:t>
      </w:r>
      <w:r w:rsidR="00450788">
        <w:t>CPCN</w:t>
      </w:r>
      <w:r>
        <w:t xml:space="preserve"> application for any type of project that meets this criterion, regardless of size</w:t>
      </w:r>
      <w:r w:rsidR="00FD1A01">
        <w:t xml:space="preserve"> or cost</w:t>
      </w:r>
      <w:r w:rsidR="00963F00">
        <w:t xml:space="preserve">, subject to </w:t>
      </w:r>
      <w:r w:rsidR="00687B71">
        <w:t xml:space="preserve">the </w:t>
      </w:r>
      <w:r w:rsidR="00171C93">
        <w:t xml:space="preserve">GO </w:t>
      </w:r>
      <w:r w:rsidR="00963F00">
        <w:t>exemptions outlined here</w:t>
      </w:r>
      <w:r w:rsidR="00323B00">
        <w:t>.</w:t>
      </w:r>
      <w:r>
        <w:t xml:space="preserve"> </w:t>
      </w:r>
      <w:r w:rsidR="00EE7193">
        <w:t xml:space="preserve"> </w:t>
      </w:r>
      <w:r w:rsidR="003B61F7">
        <w:t xml:space="preserve">Southwest does not provide </w:t>
      </w:r>
      <w:r w:rsidR="006A47D8">
        <w:t xml:space="preserve">any </w:t>
      </w:r>
      <w:r w:rsidR="00123F54">
        <w:t xml:space="preserve">rationale to explain why </w:t>
      </w:r>
      <w:r w:rsidR="006A610C">
        <w:t xml:space="preserve">an </w:t>
      </w:r>
      <w:r w:rsidR="00123F54">
        <w:t xml:space="preserve">infrastructure </w:t>
      </w:r>
      <w:r w:rsidR="00B16221">
        <w:t>project f</w:t>
      </w:r>
      <w:r w:rsidR="00B87460">
        <w:t xml:space="preserve">alling </w:t>
      </w:r>
      <w:r w:rsidR="00B16221">
        <w:t xml:space="preserve">outside </w:t>
      </w:r>
      <w:r w:rsidR="00922E79">
        <w:t xml:space="preserve">certain </w:t>
      </w:r>
      <w:r w:rsidR="00123F54">
        <w:t>categories</w:t>
      </w:r>
      <w:r w:rsidR="00B16221">
        <w:t xml:space="preserve"> </w:t>
      </w:r>
      <w:r w:rsidR="00544C18">
        <w:t>(</w:t>
      </w:r>
      <w:r w:rsidRPr="00FD6CAD" w:rsidR="00C22A55">
        <w:rPr>
          <w:i/>
          <w:iCs/>
        </w:rPr>
        <w:t>i</w:t>
      </w:r>
      <w:r w:rsidRPr="00FD6CAD" w:rsidR="00EE7193">
        <w:rPr>
          <w:i/>
          <w:iCs/>
        </w:rPr>
        <w:t>.</w:t>
      </w:r>
      <w:r w:rsidRPr="00FD6CAD" w:rsidR="00B16221">
        <w:rPr>
          <w:i/>
          <w:iCs/>
        </w:rPr>
        <w:t>e.</w:t>
      </w:r>
      <w:r w:rsidR="00544C18">
        <w:t> </w:t>
      </w:r>
      <w:r w:rsidR="00B16221">
        <w:t>(1)</w:t>
      </w:r>
      <w:r w:rsidR="00544C18">
        <w:t> </w:t>
      </w:r>
      <w:r w:rsidRPr="002F24E4" w:rsidR="002F24E4">
        <w:t>liquified natural gas plant or storage facility; (2) compressor station; (3)</w:t>
      </w:r>
      <w:r w:rsidR="00544C18">
        <w:t> </w:t>
      </w:r>
      <w:r w:rsidRPr="002F24E4" w:rsidR="002F24E4">
        <w:t>gas storage facility; or (4) transmission line</w:t>
      </w:r>
      <w:r w:rsidR="00B16221">
        <w:t xml:space="preserve">) should not </w:t>
      </w:r>
      <w:r w:rsidR="006A610C">
        <w:t xml:space="preserve">receive scrutiny under this </w:t>
      </w:r>
      <w:r w:rsidR="005459A7">
        <w:t>GO</w:t>
      </w:r>
      <w:r w:rsidR="006A610C">
        <w:t xml:space="preserve"> if it meets</w:t>
      </w:r>
      <w:r w:rsidRPr="002F24E4" w:rsidR="002F24E4">
        <w:t xml:space="preserve"> </w:t>
      </w:r>
      <w:r w:rsidR="006A610C">
        <w:t>the monetary</w:t>
      </w:r>
      <w:r w:rsidR="00197512">
        <w:t xml:space="preserve"> or </w:t>
      </w:r>
      <w:r w:rsidR="006A610C">
        <w:t xml:space="preserve">environmental </w:t>
      </w:r>
      <w:r w:rsidR="00921706">
        <w:t>triggers</w:t>
      </w:r>
      <w:r w:rsidR="00197512">
        <w:t xml:space="preserve"> we adopt here</w:t>
      </w:r>
      <w:r w:rsidR="00921706">
        <w:t xml:space="preserve">. </w:t>
      </w:r>
    </w:p>
    <w:p w:rsidR="00F260D0" w:rsidP="00F37CD9" w:rsidRDefault="00F37CD9" w14:paraId="6C973F7A" w14:textId="487CEAFE">
      <w:pPr>
        <w:pStyle w:val="Standard"/>
      </w:pPr>
      <w:r>
        <w:t xml:space="preserve">We </w:t>
      </w:r>
      <w:r w:rsidR="00EB4AA6">
        <w:t xml:space="preserve">decline to specifically </w:t>
      </w:r>
      <w:r w:rsidR="00945F54">
        <w:t>identify</w:t>
      </w:r>
      <w:r w:rsidR="00EB4AA6">
        <w:t xml:space="preserve"> hydrogen gas infrastructure projects </w:t>
      </w:r>
      <w:r w:rsidR="00945F54">
        <w:t xml:space="preserve">as covered by </w:t>
      </w:r>
      <w:r w:rsidR="00EB4AA6">
        <w:t xml:space="preserve">the </w:t>
      </w:r>
      <w:r w:rsidR="005459A7">
        <w:t>GO</w:t>
      </w:r>
      <w:r w:rsidR="00EB4AA6">
        <w:t xml:space="preserve"> at this time.</w:t>
      </w:r>
      <w:r w:rsidR="00531760">
        <w:t xml:space="preserve">  </w:t>
      </w:r>
    </w:p>
    <w:p w:rsidR="00017F91" w:rsidP="0009044A" w:rsidRDefault="00114536" w14:paraId="17739CB6" w14:textId="13EA3DD0">
      <w:pPr>
        <w:pStyle w:val="Heading1"/>
      </w:pPr>
      <w:bookmarkStart w:name="_Toc120692822" w:id="62"/>
      <w:r w:rsidRPr="005646D9">
        <w:t>Emergency</w:t>
      </w:r>
      <w:r>
        <w:t xml:space="preserve"> Project</w:t>
      </w:r>
      <w:r w:rsidR="0015388F">
        <w:t>s</w:t>
      </w:r>
      <w:bookmarkEnd w:id="62"/>
    </w:p>
    <w:p w:rsidR="002B2C1A" w:rsidP="0009044A" w:rsidRDefault="002B2C1A" w14:paraId="0D7D71D0" w14:textId="1445512A">
      <w:pPr>
        <w:pStyle w:val="Heading2"/>
      </w:pPr>
      <w:bookmarkStart w:name="_Toc120692823" w:id="63"/>
      <w:r>
        <w:t>Staff Proposal</w:t>
      </w:r>
      <w:bookmarkEnd w:id="63"/>
    </w:p>
    <w:p w:rsidR="002B2C1A" w:rsidP="002B2C1A" w:rsidRDefault="002B2C1A" w14:paraId="2083F70E" w14:textId="5BE55159">
      <w:pPr>
        <w:pStyle w:val="Standard"/>
      </w:pPr>
      <w:r w:rsidRPr="00904DDF">
        <w:t>The</w:t>
      </w:r>
      <w:r>
        <w:t xml:space="preserve"> preamble to</w:t>
      </w:r>
      <w:r w:rsidRPr="00904DDF">
        <w:t xml:space="preserve"> </w:t>
      </w:r>
      <w:r>
        <w:t xml:space="preserve">Section IV of the </w:t>
      </w:r>
      <w:r w:rsidRPr="00904DDF">
        <w:t xml:space="preserve">Staff </w:t>
      </w:r>
      <w:r>
        <w:t xml:space="preserve">Proposal identifies certain work that would </w:t>
      </w:r>
      <w:r w:rsidRPr="00904DDF">
        <w:t xml:space="preserve">not </w:t>
      </w:r>
      <w:r>
        <w:t xml:space="preserve">be </w:t>
      </w:r>
      <w:r w:rsidRPr="00904DDF">
        <w:t xml:space="preserve">covered by the proposed </w:t>
      </w:r>
      <w:r w:rsidR="005459A7">
        <w:t>GO</w:t>
      </w:r>
      <w:r w:rsidRPr="00904DDF">
        <w:t xml:space="preserve">, including emergency projects as </w:t>
      </w:r>
      <w:r w:rsidRPr="00904DDF">
        <w:lastRenderedPageBreak/>
        <w:t>defined</w:t>
      </w:r>
      <w:r>
        <w:t xml:space="preserve"> by </w:t>
      </w:r>
      <w:r w:rsidRPr="00904DDF">
        <w:t>CEQA</w:t>
      </w:r>
      <w:r>
        <w:t xml:space="preserve"> Guidelines Section 15269 and Pub. Res. Code Section 21060.3</w:t>
      </w:r>
      <w:r w:rsidR="003E530D">
        <w:t>.</w:t>
      </w:r>
      <w:r w:rsidR="003E530D">
        <w:rPr>
          <w:rStyle w:val="FootnoteReference"/>
        </w:rPr>
        <w:footnoteReference w:id="37"/>
      </w:r>
      <w:r w:rsidR="003E530D">
        <w:t xml:space="preserve">  </w:t>
      </w:r>
      <w:r w:rsidR="001E60AE">
        <w:rPr>
          <w:rFonts w:cstheme="minorHAnsi"/>
        </w:rPr>
        <w:t>Staff propose, however, that gas utilities invoking an exemption for emergency projects shall nonetheless comply with the notification requirements set forth in Section V(C)</w:t>
      </w:r>
      <w:r w:rsidR="00453A82">
        <w:rPr>
          <w:rFonts w:cstheme="minorHAnsi"/>
        </w:rPr>
        <w:t xml:space="preserve"> (“Notification Requirements for Claimed Exemptions”)</w:t>
      </w:r>
      <w:r w:rsidR="001E60AE">
        <w:rPr>
          <w:rFonts w:cstheme="minorHAnsi"/>
        </w:rPr>
        <w:t>.</w:t>
      </w:r>
      <w:r w:rsidR="001E60AE">
        <w:rPr>
          <w:rStyle w:val="FootnoteReference"/>
          <w:rFonts w:cstheme="minorHAnsi"/>
        </w:rPr>
        <w:footnoteReference w:id="38"/>
      </w:r>
      <w:r w:rsidR="001E60AE">
        <w:rPr>
          <w:rFonts w:cstheme="minorHAnsi"/>
        </w:rPr>
        <w:t xml:space="preserve"> </w:t>
      </w:r>
    </w:p>
    <w:p w:rsidRPr="002B2C1A" w:rsidR="002B2C1A" w:rsidP="0009044A" w:rsidRDefault="00B520F2" w14:paraId="5BDB7752" w14:textId="6325D603">
      <w:pPr>
        <w:pStyle w:val="Heading2"/>
      </w:pPr>
      <w:bookmarkStart w:name="_Toc120692824" w:id="64"/>
      <w:r w:rsidRPr="005646D9">
        <w:t>Party</w:t>
      </w:r>
      <w:r>
        <w:t xml:space="preserve"> Comments</w:t>
      </w:r>
      <w:bookmarkEnd w:id="64"/>
      <w:r>
        <w:t xml:space="preserve"> </w:t>
      </w:r>
    </w:p>
    <w:p w:rsidR="00A53847" w:rsidP="0083522B" w:rsidRDefault="004E058F" w14:paraId="37F8AC61" w14:textId="3CF48B9A">
      <w:pPr>
        <w:pStyle w:val="Standard"/>
      </w:pPr>
      <w:r>
        <w:t xml:space="preserve">SDG&amp;E supports </w:t>
      </w:r>
      <w:r w:rsidR="00D9249B">
        <w:t xml:space="preserve">excluding </w:t>
      </w:r>
      <w:r w:rsidR="00A53847">
        <w:t>emergency projects f</w:t>
      </w:r>
      <w:r w:rsidR="00D9249B">
        <w:t xml:space="preserve">rom the </w:t>
      </w:r>
      <w:r w:rsidR="005459A7">
        <w:t>GO</w:t>
      </w:r>
      <w:r w:rsidR="00D9249B">
        <w:t>.  S</w:t>
      </w:r>
      <w:r w:rsidR="007B10C1">
        <w:t>DG&amp;E re</w:t>
      </w:r>
      <w:r w:rsidR="00E55460">
        <w:t>commends</w:t>
      </w:r>
      <w:r w:rsidR="009C5218">
        <w:t xml:space="preserve"> </w:t>
      </w:r>
      <w:r w:rsidR="007B10C1">
        <w:t xml:space="preserve">that </w:t>
      </w:r>
      <w:r w:rsidR="00E55460">
        <w:t xml:space="preserve">the Commission </w:t>
      </w:r>
      <w:r w:rsidR="00F13E8A">
        <w:t xml:space="preserve">not require compliance with Section V(C) notification requirements for excluded </w:t>
      </w:r>
      <w:r w:rsidR="007B10C1">
        <w:t>emergency projects</w:t>
      </w:r>
      <w:r w:rsidR="00F13E8A">
        <w:t>.  SDG&amp;E observes that the</w:t>
      </w:r>
      <w:r w:rsidR="00EF37AA">
        <w:t xml:space="preserve"> Staff Proposal would require notifications of emergency projects </w:t>
      </w:r>
      <w:r w:rsidRPr="00E55460" w:rsidR="00EF37AA">
        <w:t>even if the emergency project would not otherwise trigger a</w:t>
      </w:r>
      <w:r w:rsidR="00450788">
        <w:t>n</w:t>
      </w:r>
      <w:r w:rsidR="00F13E8A">
        <w:t xml:space="preserve"> </w:t>
      </w:r>
      <w:r w:rsidR="00EF37AA">
        <w:t xml:space="preserve">application </w:t>
      </w:r>
      <w:r w:rsidRPr="00E55460" w:rsidR="00EF37AA">
        <w:t xml:space="preserve">requirement, </w:t>
      </w:r>
      <w:r w:rsidR="00F727AE">
        <w:t xml:space="preserve">making </w:t>
      </w:r>
      <w:r w:rsidRPr="00E55460" w:rsidR="00EF37AA">
        <w:t>the notic</w:t>
      </w:r>
      <w:r w:rsidR="00F727AE">
        <w:t>ing</w:t>
      </w:r>
      <w:r w:rsidRPr="00E55460" w:rsidR="00EF37AA">
        <w:t xml:space="preserve"> requirement for emergency projects broader than for any other category of </w:t>
      </w:r>
      <w:r w:rsidR="00F13E8A">
        <w:t xml:space="preserve">exempted </w:t>
      </w:r>
      <w:r w:rsidRPr="00E55460" w:rsidR="00EF37AA">
        <w:t>project</w:t>
      </w:r>
      <w:r w:rsidR="00F13E8A">
        <w:t>s</w:t>
      </w:r>
      <w:r w:rsidRPr="00E55460" w:rsidR="00EF37AA">
        <w:t>.</w:t>
      </w:r>
      <w:r w:rsidR="00F727AE">
        <w:t xml:space="preserve">  </w:t>
      </w:r>
      <w:r w:rsidRPr="00E55460" w:rsidR="00EF37AA">
        <w:t xml:space="preserve">SDG&amp;E </w:t>
      </w:r>
      <w:r w:rsidR="00F13E8A">
        <w:t xml:space="preserve">argues </w:t>
      </w:r>
      <w:r w:rsidRPr="00E55460" w:rsidR="00EF37AA">
        <w:t>that giving notice of such projects serves no useful purpose and adds burden to both the noticing utility and the receiving entities.</w:t>
      </w:r>
      <w:r w:rsidR="00E3125F">
        <w:t xml:space="preserve">  </w:t>
      </w:r>
      <w:r w:rsidR="00F13E8A">
        <w:t>SDG&amp;E request</w:t>
      </w:r>
      <w:r w:rsidR="00E3125F">
        <w:t>s</w:t>
      </w:r>
      <w:r w:rsidR="00F13E8A">
        <w:t xml:space="preserve"> </w:t>
      </w:r>
      <w:r w:rsidR="00E55460">
        <w:t xml:space="preserve">the Commission </w:t>
      </w:r>
      <w:r w:rsidRPr="00E55460" w:rsidR="00E55460">
        <w:t>clarif</w:t>
      </w:r>
      <w:r w:rsidR="00E55460">
        <w:t>y</w:t>
      </w:r>
      <w:r w:rsidR="00E3125F">
        <w:t>, at minimum,</w:t>
      </w:r>
      <w:r w:rsidR="00E55460">
        <w:t xml:space="preserve"> </w:t>
      </w:r>
      <w:r w:rsidRPr="00E55460" w:rsidR="00E55460">
        <w:t xml:space="preserve">that </w:t>
      </w:r>
      <w:r w:rsidR="00E3125F">
        <w:t xml:space="preserve">the required </w:t>
      </w:r>
      <w:r w:rsidRPr="00E55460" w:rsidR="00E55460">
        <w:t>notice may be given after implementation of the emergency project</w:t>
      </w:r>
      <w:r w:rsidR="00E3125F">
        <w:t xml:space="preserve"> has begun</w:t>
      </w:r>
      <w:r w:rsidRPr="00E55460" w:rsidR="00E55460">
        <w:t xml:space="preserve">. </w:t>
      </w:r>
      <w:r w:rsidR="00F13107">
        <w:t xml:space="preserve"> </w:t>
      </w:r>
    </w:p>
    <w:p w:rsidR="0083522B" w:rsidP="00A53847" w:rsidRDefault="0083522B" w14:paraId="7F28E549" w14:textId="55FDEF6D">
      <w:pPr>
        <w:pStyle w:val="Standard"/>
      </w:pPr>
      <w:r w:rsidRPr="0083522B">
        <w:t>PG&amp;E</w:t>
      </w:r>
      <w:r>
        <w:t xml:space="preserve"> concurs with SDG&amp;E on this point, observing that GO </w:t>
      </w:r>
      <w:r w:rsidRPr="0083522B">
        <w:t>131</w:t>
      </w:r>
      <w:r>
        <w:t>-D</w:t>
      </w:r>
      <w:r w:rsidRPr="0083522B">
        <w:t xml:space="preserve"> requires neither</w:t>
      </w:r>
      <w:r w:rsidR="009C5218">
        <w:t xml:space="preserve"> a</w:t>
      </w:r>
      <w:r w:rsidR="00450788">
        <w:t>n</w:t>
      </w:r>
      <w:r w:rsidR="009C5218">
        <w:t xml:space="preserve"> application</w:t>
      </w:r>
      <w:r w:rsidRPr="0083522B">
        <w:t xml:space="preserve"> </w:t>
      </w:r>
      <w:r w:rsidR="00E3125F">
        <w:t>n</w:t>
      </w:r>
      <w:r w:rsidRPr="0083522B">
        <w:t xml:space="preserve">or </w:t>
      </w:r>
      <w:r w:rsidR="00245C5F">
        <w:t xml:space="preserve">a </w:t>
      </w:r>
      <w:r w:rsidRPr="0083522B">
        <w:t xml:space="preserve">notice for </w:t>
      </w:r>
      <w:r>
        <w:t xml:space="preserve">emergency projects.  UCAN disagrees and recommends the Commission require notifications regarding temporary emergency repair projects. </w:t>
      </w:r>
    </w:p>
    <w:p w:rsidR="0011377E" w:rsidP="00A53847" w:rsidRDefault="0011377E" w14:paraId="09D702AA" w14:textId="39349EDB">
      <w:pPr>
        <w:pStyle w:val="Standard"/>
      </w:pPr>
      <w:r>
        <w:t>In comments on the proposed decision, EDF requests</w:t>
      </w:r>
      <w:r w:rsidR="003654E9">
        <w:t xml:space="preserve"> that</w:t>
      </w:r>
      <w:r>
        <w:t xml:space="preserve"> the filing deadline for notifications of claimed emergency exemptions be reduced from 90 </w:t>
      </w:r>
      <w:r>
        <w:lastRenderedPageBreak/>
        <w:t>to 60 days</w:t>
      </w:r>
      <w:r w:rsidR="005F74A5">
        <w:t xml:space="preserve">, stating that this better balances utilities’ ability to carry out emergency projects and </w:t>
      </w:r>
      <w:r w:rsidR="002A7F71">
        <w:t xml:space="preserve">the opportunity for stakeholders to provide meaningful input. </w:t>
      </w:r>
      <w:r w:rsidR="00D71D47">
        <w:t xml:space="preserve"> </w:t>
      </w:r>
      <w:r w:rsidR="003654E9">
        <w:t>I</w:t>
      </w:r>
      <w:r w:rsidR="00D71D47">
        <w:t>n comments on the proposed decision, Sierra Club/CEJA</w:t>
      </w:r>
      <w:r w:rsidR="003654E9">
        <w:t>/NRDC</w:t>
      </w:r>
      <w:r w:rsidR="00D71D47">
        <w:t xml:space="preserve"> indicate concerns that the definition of “emergency project” may be too broad. </w:t>
      </w:r>
    </w:p>
    <w:p w:rsidR="00BA0AC4" w:rsidP="0009044A" w:rsidRDefault="00BA0AC4" w14:paraId="3497596E" w14:textId="35FE7420">
      <w:pPr>
        <w:pStyle w:val="Heading2"/>
      </w:pPr>
      <w:bookmarkStart w:name="_Toc120692825" w:id="65"/>
      <w:r>
        <w:t xml:space="preserve">Exempting Rather Than </w:t>
      </w:r>
      <w:r w:rsidR="00544C18">
        <w:br/>
      </w:r>
      <w:r w:rsidRPr="005646D9">
        <w:t>Excluding</w:t>
      </w:r>
      <w:r>
        <w:t xml:space="preserve"> Emergency Projects</w:t>
      </w:r>
      <w:bookmarkEnd w:id="65"/>
    </w:p>
    <w:p w:rsidR="00E3125F" w:rsidP="00E3125F" w:rsidRDefault="00B64CE1" w14:paraId="0FFE3700" w14:textId="0896EFAC">
      <w:pPr>
        <w:pStyle w:val="Standard"/>
      </w:pPr>
      <w:r>
        <w:t xml:space="preserve">We add </w:t>
      </w:r>
      <w:r w:rsidR="0050229A">
        <w:t>emergency projects as an exempted project type into Section</w:t>
      </w:r>
      <w:r w:rsidR="00FD0338">
        <w:t> </w:t>
      </w:r>
      <w:r w:rsidR="00B67AC8">
        <w:t>I</w:t>
      </w:r>
      <w:r w:rsidR="0050229A">
        <w:t>V(</w:t>
      </w:r>
      <w:r w:rsidR="00B67AC8">
        <w:t>B</w:t>
      </w:r>
      <w:r w:rsidR="0050229A">
        <w:t>)(</w:t>
      </w:r>
      <w:r w:rsidR="00B67AC8">
        <w:t>c</w:t>
      </w:r>
      <w:r w:rsidR="0050229A">
        <w:t>)</w:t>
      </w:r>
      <w:r w:rsidR="00BE6965">
        <w:t xml:space="preserve">, defined as follows: </w:t>
      </w:r>
    </w:p>
    <w:p w:rsidR="00BE6965" w:rsidP="00F93CE0" w:rsidRDefault="00BE6965" w14:paraId="0D93766B" w14:textId="132CB0A7">
      <w:pPr>
        <w:pStyle w:val="BlockQuote"/>
        <w:ind w:right="1440"/>
      </w:pPr>
      <w:r w:rsidRPr="00BE6965">
        <w:t xml:space="preserve">emergency projects </w:t>
      </w:r>
      <w:r w:rsidR="00495B6E">
        <w:t xml:space="preserve">(for example: repairs, upgrades, replacements, restorations) </w:t>
      </w:r>
      <w:r w:rsidRPr="00BE6965">
        <w:t>as defined by CEQA Guideline § 15269 and Pub.</w:t>
      </w:r>
      <w:r w:rsidR="00F93CE0">
        <w:t> </w:t>
      </w:r>
      <w:r w:rsidRPr="00BE6965">
        <w:t>Res. Code §</w:t>
      </w:r>
      <w:r w:rsidRPr="00BE6965" w:rsidR="00495B6E">
        <w:t>§</w:t>
      </w:r>
      <w:r w:rsidRPr="00BE6965">
        <w:t xml:space="preserve"> 21060.3 and 21080(b)(2) &amp; (4)</w:t>
      </w:r>
      <w:r w:rsidR="00495B6E">
        <w:t xml:space="preserve"> </w:t>
      </w:r>
      <w:r w:rsidRPr="00BE6965">
        <w:t>to ensure reliable gas supplies.</w:t>
      </w:r>
    </w:p>
    <w:p w:rsidR="005F338A" w:rsidP="005F338A" w:rsidRDefault="00BE6965" w14:paraId="0BD01820" w14:textId="3481AC78">
      <w:pPr>
        <w:pStyle w:val="Standard"/>
      </w:pPr>
      <w:r>
        <w:t xml:space="preserve">We </w:t>
      </w:r>
      <w:r w:rsidR="005F338A">
        <w:t>continue to require exemption notices for emergency projects</w:t>
      </w:r>
      <w:r w:rsidR="00603F17">
        <w:t xml:space="preserve">, so defined, </w:t>
      </w:r>
      <w:r w:rsidR="005F338A">
        <w:t xml:space="preserve">that also meet </w:t>
      </w:r>
      <w:r w:rsidR="00BA696F">
        <w:t xml:space="preserve">our adopted thresholds for a </w:t>
      </w:r>
      <w:r w:rsidR="00450788">
        <w:t>CPCN</w:t>
      </w:r>
      <w:r w:rsidR="005F338A">
        <w:t xml:space="preserve"> application </w:t>
      </w:r>
      <w:r w:rsidR="00A53847">
        <w:t>requirement</w:t>
      </w:r>
      <w:r w:rsidR="00BA696F">
        <w:t xml:space="preserve">.  </w:t>
      </w:r>
      <w:r w:rsidR="005F338A">
        <w:t xml:space="preserve">However, we </w:t>
      </w:r>
      <w:r w:rsidR="00C560D0">
        <w:t>w</w:t>
      </w:r>
      <w:r w:rsidR="00D81C63">
        <w:t xml:space="preserve">ill </w:t>
      </w:r>
      <w:r w:rsidR="00C560D0">
        <w:t xml:space="preserve">not require </w:t>
      </w:r>
      <w:r w:rsidR="00D81C63">
        <w:t xml:space="preserve">gas corporations to submit </w:t>
      </w:r>
      <w:r w:rsidR="00C560D0">
        <w:t xml:space="preserve">notices of claimed exemptions for emergency projects until </w:t>
      </w:r>
      <w:r w:rsidR="0011377E">
        <w:t>6</w:t>
      </w:r>
      <w:r w:rsidR="00C560D0">
        <w:t xml:space="preserve">0 days after the </w:t>
      </w:r>
      <w:r w:rsidR="00603F17">
        <w:t xml:space="preserve">emergency </w:t>
      </w:r>
      <w:r w:rsidR="00C560D0">
        <w:t xml:space="preserve">project has commenced construction.  </w:t>
      </w:r>
      <w:r w:rsidR="00A134CB">
        <w:t xml:space="preserve">We find this achieves a reasonable balance that allows gas corporations to begin work on urgent emergency projects as necessary, but that also provides </w:t>
      </w:r>
      <w:r w:rsidR="00D81C63">
        <w:t xml:space="preserve">an opportunity for </w:t>
      </w:r>
      <w:r w:rsidR="00A134CB">
        <w:t>affected community members, local governments, stakeholders and this Commission</w:t>
      </w:r>
      <w:r w:rsidR="00D81C63">
        <w:t xml:space="preserve"> to learn about the project</w:t>
      </w:r>
      <w:r w:rsidR="00A134CB">
        <w:t>.</w:t>
      </w:r>
      <w:r w:rsidR="00B01C14">
        <w:t xml:space="preserve">  </w:t>
      </w:r>
      <w:r w:rsidR="00245C5F">
        <w:t xml:space="preserve">A </w:t>
      </w:r>
      <w:r w:rsidR="006814F7">
        <w:t xml:space="preserve">noticing requirement prior to commencement of construction of emergency projects is inappropriate because the focus </w:t>
      </w:r>
      <w:r w:rsidR="00046600">
        <w:t xml:space="preserve">at that time </w:t>
      </w:r>
      <w:r w:rsidR="006814F7">
        <w:t>should be on addressing the emergency</w:t>
      </w:r>
      <w:r w:rsidR="00B01C14">
        <w:t xml:space="preserve"> situation</w:t>
      </w:r>
      <w:r w:rsidR="006814F7">
        <w:t xml:space="preserve"> </w:t>
      </w:r>
      <w:r w:rsidR="00B01C14">
        <w:t xml:space="preserve">in an </w:t>
      </w:r>
      <w:r w:rsidR="00046600">
        <w:t xml:space="preserve">expedited </w:t>
      </w:r>
      <w:r w:rsidR="00B01C14">
        <w:t>fashion</w:t>
      </w:r>
      <w:r w:rsidR="006814F7">
        <w:t xml:space="preserve">. </w:t>
      </w:r>
    </w:p>
    <w:p w:rsidRPr="00E3125F" w:rsidR="00BE6965" w:rsidP="00A17EFB" w:rsidRDefault="00E373BA" w14:paraId="5E1AB42A" w14:textId="00E1BF5D">
      <w:pPr>
        <w:pStyle w:val="Standard"/>
      </w:pPr>
      <w:r>
        <w:t>Based on comments on the proposed decision, we do not</w:t>
      </w:r>
      <w:r w:rsidR="006814F7">
        <w:t xml:space="preserve"> expand the definition of projects covered by this exemptio</w:t>
      </w:r>
      <w:r w:rsidR="00A17EFB">
        <w:t xml:space="preserve">n from Staff’s proposed language to include “emergency repairs or upgrades to ensure reliable gas supplies.”  </w:t>
      </w:r>
      <w:r>
        <w:t xml:space="preserve"> Instead, the final decision clarifies the emergency situations where this exemption may be claimed.  This retains the intent of the </w:t>
      </w:r>
      <w:r w:rsidR="005459A7">
        <w:t>GO</w:t>
      </w:r>
      <w:r w:rsidR="00A17EFB">
        <w:t xml:space="preserve"> </w:t>
      </w:r>
      <w:r>
        <w:t xml:space="preserve">to </w:t>
      </w:r>
      <w:r w:rsidR="00A17EFB">
        <w:t xml:space="preserve">not impede </w:t>
      </w:r>
      <w:r w:rsidR="003F2F94">
        <w:t xml:space="preserve">rapid </w:t>
      </w:r>
      <w:r w:rsidR="003F2F94">
        <w:lastRenderedPageBreak/>
        <w:t xml:space="preserve">implementation of repairs or improvements to address emergency situations, including when the </w:t>
      </w:r>
      <w:r w:rsidRPr="0012635B" w:rsidR="00577670">
        <w:t>ability</w:t>
      </w:r>
      <w:r w:rsidR="00D25861">
        <w:t xml:space="preserve"> of </w:t>
      </w:r>
      <w:r w:rsidR="00040F97">
        <w:t xml:space="preserve">the </w:t>
      </w:r>
      <w:r w:rsidRPr="0012635B" w:rsidR="00577670">
        <w:t>utility's gas system to meet its backbone, peak day, and cold day design standards</w:t>
      </w:r>
      <w:r w:rsidR="008A7D01">
        <w:t xml:space="preserve"> </w:t>
      </w:r>
      <w:r w:rsidR="003F2F94">
        <w:t>is</w:t>
      </w:r>
      <w:r w:rsidDel="00091CBF" w:rsidR="003F2F94">
        <w:t xml:space="preserve"> </w:t>
      </w:r>
      <w:r w:rsidR="003F2F94">
        <w:t>threatened</w:t>
      </w:r>
      <w:r>
        <w:t xml:space="preserve">, while also </w:t>
      </w:r>
      <w:r w:rsidR="004A71AB">
        <w:t xml:space="preserve">minimizing potentially inappropriate exemption claims. </w:t>
      </w:r>
    </w:p>
    <w:p w:rsidR="00130E04" w:rsidP="0009044A" w:rsidRDefault="00130E04" w14:paraId="19D26DF6" w14:textId="7B396E4E">
      <w:pPr>
        <w:pStyle w:val="Heading1"/>
      </w:pPr>
      <w:bookmarkStart w:name="_Toc120692826" w:id="66"/>
      <w:r w:rsidRPr="005646D9">
        <w:t>Ex</w:t>
      </w:r>
      <w:r w:rsidRPr="005646D9" w:rsidR="00B1675D">
        <w:t>emptions</w:t>
      </w:r>
      <w:bookmarkEnd w:id="66"/>
    </w:p>
    <w:p w:rsidR="00137923" w:rsidP="00B1675D" w:rsidRDefault="00874C93" w14:paraId="12A2264F" w14:textId="62BAB47B">
      <w:pPr>
        <w:pStyle w:val="Standard"/>
      </w:pPr>
      <w:r>
        <w:t xml:space="preserve">In </w:t>
      </w:r>
      <w:r w:rsidR="00B1675D">
        <w:t>Section IV(</w:t>
      </w:r>
      <w:r w:rsidR="0014410D">
        <w:t>A</w:t>
      </w:r>
      <w:r w:rsidR="00B1675D">
        <w:t xml:space="preserve">)(3) of the </w:t>
      </w:r>
      <w:r>
        <w:t>Staff Proposal</w:t>
      </w:r>
      <w:r w:rsidR="5EA934C7">
        <w:t>,</w:t>
      </w:r>
      <w:r>
        <w:t xml:space="preserve"> Staff </w:t>
      </w:r>
      <w:r w:rsidR="00B1675D">
        <w:t xml:space="preserve">propose </w:t>
      </w:r>
      <w:r w:rsidR="00A52CB5">
        <w:t xml:space="preserve">seven exemptions </w:t>
      </w:r>
      <w:r>
        <w:t xml:space="preserve">to the general application criteria </w:t>
      </w:r>
      <w:r w:rsidR="009D0888">
        <w:t>included in Section IV(A)(1)</w:t>
      </w:r>
      <w:r w:rsidR="00137923">
        <w:t xml:space="preserve"> of the </w:t>
      </w:r>
      <w:r w:rsidR="005459A7">
        <w:t>GO</w:t>
      </w:r>
      <w:r w:rsidR="009D0888">
        <w:t xml:space="preserve">.  </w:t>
      </w:r>
      <w:r w:rsidR="006E4B76">
        <w:t xml:space="preserve">Staff propose that </w:t>
      </w:r>
      <w:r w:rsidR="00630A1E">
        <w:t>projects</w:t>
      </w:r>
      <w:r w:rsidR="00FF556F">
        <w:t xml:space="preserve"> that meet the </w:t>
      </w:r>
      <w:r w:rsidR="002D07CD">
        <w:t xml:space="preserve">two threshold criteria for a CPCN application requirement </w:t>
      </w:r>
      <w:r w:rsidR="00044856">
        <w:t>that also</w:t>
      </w:r>
      <w:r w:rsidR="00630A1E">
        <w:t xml:space="preserve"> meet</w:t>
      </w:r>
      <w:r w:rsidR="00044856">
        <w:t xml:space="preserve"> the defined</w:t>
      </w:r>
      <w:r w:rsidR="00630A1E">
        <w:t xml:space="preserve"> exemption criteria</w:t>
      </w:r>
      <w:r w:rsidR="00044856">
        <w:t xml:space="preserve"> would not be required to file a CPCN application</w:t>
      </w:r>
      <w:r w:rsidR="00982B7D">
        <w:t xml:space="preserve">.  However, </w:t>
      </w:r>
      <w:r w:rsidR="00E7053A">
        <w:t>Staff propose that</w:t>
      </w:r>
      <w:r w:rsidR="00982B7D">
        <w:t xml:space="preserve"> such projects </w:t>
      </w:r>
      <w:r w:rsidR="005F4EFE">
        <w:t xml:space="preserve">would be required to </w:t>
      </w:r>
      <w:r w:rsidR="000C3D18">
        <w:t xml:space="preserve">comply with notification requirements </w:t>
      </w:r>
      <w:r w:rsidR="00980E0F">
        <w:t xml:space="preserve">for claimed exemptions.  </w:t>
      </w:r>
      <w:r w:rsidR="00351802">
        <w:t>Below are Staff’s proposed exemption criteria</w:t>
      </w:r>
      <w:r w:rsidR="00DD6DD3">
        <w:t>:</w:t>
      </w:r>
      <w:r w:rsidR="00351802">
        <w:t xml:space="preserve"> </w:t>
      </w:r>
    </w:p>
    <w:p w:rsidRPr="00CD2A5E" w:rsidR="00CD2A5E" w:rsidP="00544C18" w:rsidRDefault="00ED5993" w14:paraId="3A28C13C" w14:textId="52827FF4">
      <w:pPr>
        <w:pStyle w:val="ListAlpha"/>
        <w:numPr>
          <w:ilvl w:val="7"/>
          <w:numId w:val="54"/>
        </w:numPr>
        <w:ind w:right="1440"/>
      </w:pPr>
      <w:r>
        <w:t xml:space="preserve">replacement of existing facilities or structures with equivalent </w:t>
      </w:r>
      <w:r w:rsidRPr="00CD2A5E" w:rsidR="00CD2A5E">
        <w:t xml:space="preserve">facilities or structures in a manner consistent with CEQA Guidelines §§ 15300.4 and 15302(c); or </w:t>
      </w:r>
    </w:p>
    <w:p w:rsidRPr="00CD2A5E" w:rsidR="00CD2A5E" w:rsidP="00544C18" w:rsidRDefault="00ED5993" w14:paraId="0A965B7B" w14:textId="00C2BFD1">
      <w:pPr>
        <w:pStyle w:val="ListAlpha"/>
        <w:numPr>
          <w:ilvl w:val="7"/>
          <w:numId w:val="54"/>
        </w:numPr>
        <w:ind w:right="1440"/>
      </w:pPr>
      <w:r>
        <w:t xml:space="preserve">minor relocation, repairs, maintenance or alterations of existing </w:t>
      </w:r>
      <w:r w:rsidR="00CD2A5E">
        <w:t xml:space="preserve">facilities in a manner consistent with CEQA Guidelines §§ 15300.4 </w:t>
      </w:r>
      <w:r w:rsidRPr="00CD2A5E" w:rsidR="00CD2A5E">
        <w:t xml:space="preserve">and 15301(b); or </w:t>
      </w:r>
    </w:p>
    <w:p w:rsidRPr="00CD2A5E" w:rsidR="00CD2A5E" w:rsidP="00544C18" w:rsidRDefault="00ED5993" w14:paraId="4D8CDA48" w14:textId="7174A0FF">
      <w:pPr>
        <w:pStyle w:val="ListAlpha"/>
        <w:numPr>
          <w:ilvl w:val="7"/>
          <w:numId w:val="54"/>
        </w:numPr>
        <w:ind w:right="1440"/>
      </w:pPr>
      <w:r>
        <w:t xml:space="preserve">the placing of new equipment on or replacement of supporting </w:t>
      </w:r>
      <w:r w:rsidR="00CD2A5E">
        <w:t xml:space="preserve">structures already built consistent with CEQA Guidelines </w:t>
      </w:r>
      <w:r w:rsidRPr="00CD2A5E" w:rsidR="00CD2A5E">
        <w:t xml:space="preserve">§§ 15300.4, 15301(b), and 15302(c); or </w:t>
      </w:r>
    </w:p>
    <w:p w:rsidRPr="00CD2A5E" w:rsidR="00CD2A5E" w:rsidP="00544C18" w:rsidRDefault="00ED5993" w14:paraId="43CC9A0B" w14:textId="7E181F8B">
      <w:pPr>
        <w:pStyle w:val="ListAlpha"/>
        <w:numPr>
          <w:ilvl w:val="7"/>
          <w:numId w:val="54"/>
        </w:numPr>
        <w:ind w:right="1440"/>
      </w:pPr>
      <w:r>
        <w:t xml:space="preserve">facilities to be relocated, modified or constructed which have </w:t>
      </w:r>
      <w:r w:rsidRPr="00CD2A5E" w:rsidR="00CD2A5E">
        <w:t xml:space="preserve">undergone environmental review pursuant to CEQA as part of a larger project, and for which the final CEQA certified document (Environmental Impact Report (EIR) or Negative Declaration) finds no significant unavoidable environmental impacts caused by the proposed line or substation; or </w:t>
      </w:r>
    </w:p>
    <w:p w:rsidR="00ED5993" w:rsidP="00544C18" w:rsidRDefault="00ED5993" w14:paraId="1319619D" w14:textId="245300C8">
      <w:pPr>
        <w:pStyle w:val="ListAlpha"/>
        <w:numPr>
          <w:ilvl w:val="7"/>
          <w:numId w:val="54"/>
        </w:numPr>
        <w:ind w:right="1440"/>
      </w:pPr>
      <w:r>
        <w:t>any plant, line or extension that is required by the California Geologic Energy Management Division (</w:t>
      </w:r>
      <w:proofErr w:type="spellStart"/>
      <w:r>
        <w:t>CalGEM</w:t>
      </w:r>
      <w:proofErr w:type="spellEnd"/>
      <w:r>
        <w:t xml:space="preserve">) or the Pipeline and Hazardous Materials Safety </w:t>
      </w:r>
      <w:r>
        <w:lastRenderedPageBreak/>
        <w:t>Administration (PHMSA) for safety or reliability reasons; or</w:t>
      </w:r>
    </w:p>
    <w:p w:rsidRPr="000722C5" w:rsidR="00CD2A5E" w:rsidP="00544C18" w:rsidRDefault="00ED5993" w14:paraId="622F6D8D" w14:textId="53233390">
      <w:pPr>
        <w:pStyle w:val="ListAlpha"/>
        <w:numPr>
          <w:ilvl w:val="7"/>
          <w:numId w:val="54"/>
        </w:numPr>
        <w:ind w:right="1440"/>
      </w:pPr>
      <w:r>
        <w:t>construction, replacement or repair of distribution pipelines that are 12 inches in diameter or less; or</w:t>
      </w:r>
    </w:p>
    <w:p w:rsidR="00ED5993" w:rsidP="00544C18" w:rsidRDefault="00ED5993" w14:paraId="7B9735D6" w14:textId="24EA9903">
      <w:pPr>
        <w:pStyle w:val="ListAlpha"/>
        <w:numPr>
          <w:ilvl w:val="7"/>
          <w:numId w:val="54"/>
        </w:numPr>
        <w:ind w:right="1440"/>
      </w:pPr>
      <w:r>
        <w:t>projects previously approved in a General Rate Case or other Commission decision which are currently underway.</w:t>
      </w:r>
    </w:p>
    <w:p w:rsidR="0047275C" w:rsidP="007A08C7" w:rsidRDefault="009D0888" w14:paraId="6E8FC30B" w14:textId="10DC5095">
      <w:pPr>
        <w:pStyle w:val="Standard"/>
      </w:pPr>
      <w:r>
        <w:t>We adopt a modified version of the Staff Proposal</w:t>
      </w:r>
      <w:r w:rsidR="00137923">
        <w:t xml:space="preserve"> for </w:t>
      </w:r>
      <w:r w:rsidR="000C6E97">
        <w:t>two</w:t>
      </w:r>
      <w:r w:rsidR="00F728ED">
        <w:t xml:space="preserve"> </w:t>
      </w:r>
      <w:r w:rsidR="00774837">
        <w:t>of Staff’s proposed exemption</w:t>
      </w:r>
      <w:r w:rsidR="00603F17">
        <w:t>s, exemptions (e) and (g).  We do</w:t>
      </w:r>
      <w:r w:rsidR="008537DD">
        <w:t xml:space="preserve"> not adopt Staff’s proposal to exempt </w:t>
      </w:r>
      <w:r w:rsidR="00640567">
        <w:t xml:space="preserve">all </w:t>
      </w:r>
      <w:r w:rsidR="008F16A1">
        <w:t xml:space="preserve">pipelines 12 inches </w:t>
      </w:r>
      <w:r w:rsidR="00203E8A">
        <w:t xml:space="preserve">or less </w:t>
      </w:r>
      <w:r w:rsidR="008F16A1">
        <w:t xml:space="preserve">in diameter from a </w:t>
      </w:r>
      <w:r w:rsidR="00450788">
        <w:t>CPCN</w:t>
      </w:r>
      <w:r w:rsidR="008F16A1">
        <w:t xml:space="preserve"> application requirement.  </w:t>
      </w:r>
      <w:r w:rsidR="00141AAB">
        <w:t>Instead, any pipeline project</w:t>
      </w:r>
      <w:r w:rsidR="00BA3AC0">
        <w:t>,</w:t>
      </w:r>
      <w:r w:rsidR="00141AAB">
        <w:t xml:space="preserve"> other than </w:t>
      </w:r>
      <w:r w:rsidR="00AE1F6F">
        <w:t xml:space="preserve">on </w:t>
      </w:r>
      <w:r w:rsidR="00141AAB">
        <w:t xml:space="preserve">service </w:t>
      </w:r>
      <w:r w:rsidR="00067359">
        <w:t>pipe</w:t>
      </w:r>
      <w:r w:rsidR="00141AAB">
        <w:t>line</w:t>
      </w:r>
      <w:r w:rsidR="00067359">
        <w:t>s</w:t>
      </w:r>
      <w:r w:rsidR="00141AAB">
        <w:t xml:space="preserve"> </w:t>
      </w:r>
      <w:r w:rsidR="00067359">
        <w:t>connecting to customer facilities</w:t>
      </w:r>
      <w:r w:rsidR="000536FC">
        <w:t xml:space="preserve"> and work on customer meters</w:t>
      </w:r>
      <w:r w:rsidR="00BA3AC0">
        <w:t>,</w:t>
      </w:r>
      <w:r w:rsidR="00067359">
        <w:t xml:space="preserve"> </w:t>
      </w:r>
      <w:r w:rsidR="00141AAB">
        <w:t>that meet</w:t>
      </w:r>
      <w:r w:rsidR="00640567">
        <w:t>s</w:t>
      </w:r>
      <w:r w:rsidR="00141AAB">
        <w:t xml:space="preserve"> </w:t>
      </w:r>
      <w:r w:rsidR="00640567">
        <w:t xml:space="preserve">the </w:t>
      </w:r>
      <w:r w:rsidR="00141AAB">
        <w:t xml:space="preserve">threshold criteria </w:t>
      </w:r>
      <w:r w:rsidR="00640567">
        <w:t xml:space="preserve">adopted in </w:t>
      </w:r>
      <w:r w:rsidR="00FD0338">
        <w:t>S</w:t>
      </w:r>
      <w:r w:rsidR="00640567">
        <w:t xml:space="preserve">ections </w:t>
      </w:r>
      <w:r w:rsidR="005A6F57">
        <w:t>7.</w:t>
      </w:r>
      <w:r w:rsidR="00232755">
        <w:t>3</w:t>
      </w:r>
      <w:r w:rsidR="00640567">
        <w:t xml:space="preserve"> and </w:t>
      </w:r>
      <w:r w:rsidR="00232755">
        <w:t>8</w:t>
      </w:r>
      <w:r w:rsidR="00175DFF">
        <w:t>.3 above</w:t>
      </w:r>
      <w:r w:rsidR="00203E8A">
        <w:t xml:space="preserve"> (Section IV(A) of the </w:t>
      </w:r>
      <w:r w:rsidR="005459A7">
        <w:t>GO</w:t>
      </w:r>
      <w:r w:rsidR="00203E8A">
        <w:t>)</w:t>
      </w:r>
      <w:r w:rsidR="00175DFF">
        <w:t xml:space="preserve">, will be </w:t>
      </w:r>
      <w:r w:rsidR="00141AAB">
        <w:t xml:space="preserve">required to file a </w:t>
      </w:r>
      <w:r w:rsidR="00450788">
        <w:t>CPCN</w:t>
      </w:r>
      <w:r w:rsidR="00141AAB">
        <w:t xml:space="preserve"> application pursuant to the </w:t>
      </w:r>
      <w:r w:rsidR="005459A7">
        <w:t>GO</w:t>
      </w:r>
      <w:r w:rsidR="00141AAB">
        <w:t xml:space="preserve">, unless </w:t>
      </w:r>
      <w:r w:rsidR="003622BC">
        <w:t xml:space="preserve">one of our adopted </w:t>
      </w:r>
      <w:r w:rsidR="00C26B6B">
        <w:t>exemption</w:t>
      </w:r>
      <w:r w:rsidR="003622BC">
        <w:t>s apply</w:t>
      </w:r>
      <w:r w:rsidR="00245C5F">
        <w:t>.</w:t>
      </w:r>
      <w:r w:rsidR="008B422F">
        <w:t xml:space="preserve">  </w:t>
      </w:r>
    </w:p>
    <w:p w:rsidR="0047275C" w:rsidP="007A08C7" w:rsidRDefault="0047275C" w14:paraId="4071BB05" w14:textId="44D65BE2">
      <w:pPr>
        <w:pStyle w:val="Standard"/>
      </w:pPr>
      <w:r>
        <w:t xml:space="preserve">We do not adopt Staff’s proposed exemptions (a), (b), or (c), as we find these unnecessary given the other requirements adopted here.  We do not adopt Staff’s proposed exemption (d) because we do not find it reasonable. </w:t>
      </w:r>
    </w:p>
    <w:p w:rsidR="00695F81" w:rsidP="007A08C7" w:rsidRDefault="008B422F" w14:paraId="4FC0C301" w14:textId="6F0C0C96">
      <w:pPr>
        <w:pStyle w:val="Standard"/>
      </w:pPr>
      <w:r>
        <w:t xml:space="preserve">We adopt Staff’s proposal that gas corporations must </w:t>
      </w:r>
      <w:r w:rsidR="00672533">
        <w:t xml:space="preserve">submit notices of claimed exemptions for all exempted projects.  </w:t>
      </w:r>
    </w:p>
    <w:p w:rsidR="000C3CD5" w:rsidP="0009044A" w:rsidRDefault="000C3CD5" w14:paraId="6C86CE21" w14:textId="46CFE9D2">
      <w:pPr>
        <w:pStyle w:val="Heading2"/>
      </w:pPr>
      <w:bookmarkStart w:name="_Toc120692827" w:id="67"/>
      <w:r w:rsidRPr="005646D9">
        <w:t>Replacement</w:t>
      </w:r>
      <w:r>
        <w:t xml:space="preserve"> of Existing Structures by Equivalent Structures</w:t>
      </w:r>
      <w:bookmarkEnd w:id="67"/>
    </w:p>
    <w:p w:rsidRPr="00F03657" w:rsidR="00F03657" w:rsidP="0009044A" w:rsidRDefault="00F03657" w14:paraId="255E7A73" w14:textId="23BB2A79">
      <w:pPr>
        <w:pStyle w:val="Heading3"/>
      </w:pPr>
      <w:bookmarkStart w:name="_Toc120692828" w:id="68"/>
      <w:r w:rsidRPr="005646D9">
        <w:t>Staff</w:t>
      </w:r>
      <w:r>
        <w:t xml:space="preserve"> Proposal</w:t>
      </w:r>
      <w:bookmarkEnd w:id="68"/>
      <w:r>
        <w:t xml:space="preserve"> </w:t>
      </w:r>
    </w:p>
    <w:p w:rsidR="001034E0" w:rsidP="00F03657" w:rsidRDefault="00F03657" w14:paraId="3B46779D" w14:textId="4BF5D8F8">
      <w:pPr>
        <w:pStyle w:val="Standard"/>
      </w:pPr>
      <w:r w:rsidRPr="00F03657">
        <w:t xml:space="preserve">The Staff </w:t>
      </w:r>
      <w:r>
        <w:t>Proposal</w:t>
      </w:r>
      <w:r w:rsidR="00C90E93">
        <w:t xml:space="preserve"> </w:t>
      </w:r>
      <w:r w:rsidR="00933564">
        <w:t xml:space="preserve">at </w:t>
      </w:r>
      <w:r w:rsidRPr="00933564" w:rsidR="00933564">
        <w:t>Section IV(A)(3)(a)</w:t>
      </w:r>
      <w:r w:rsidR="00933564">
        <w:t xml:space="preserve"> would </w:t>
      </w:r>
      <w:r w:rsidRPr="00F03657">
        <w:t xml:space="preserve">exempt from </w:t>
      </w:r>
      <w:r w:rsidR="00450788">
        <w:t>an</w:t>
      </w:r>
      <w:r w:rsidR="00940E73">
        <w:t xml:space="preserve"> application </w:t>
      </w:r>
      <w:r w:rsidRPr="00F03657">
        <w:t>requirement “replacement of existing facilities or structures with equivalent facilities or structures in a manner consistent with CEQA Guidelines §§ 15300.4 and 15302(c).”</w:t>
      </w:r>
      <w:r w:rsidR="001034E0">
        <w:rPr>
          <w:rStyle w:val="FootnoteReference"/>
        </w:rPr>
        <w:footnoteReference w:id="39"/>
      </w:r>
      <w:r w:rsidRPr="00F03657">
        <w:t xml:space="preserve"> </w:t>
      </w:r>
    </w:p>
    <w:p w:rsidR="00C90E93" w:rsidP="0009044A" w:rsidRDefault="00C90E93" w14:paraId="587C2D3B" w14:textId="67F3BB64">
      <w:pPr>
        <w:pStyle w:val="Heading3"/>
      </w:pPr>
      <w:bookmarkStart w:name="_Toc120692829" w:id="69"/>
      <w:r>
        <w:lastRenderedPageBreak/>
        <w:t>Party Comments</w:t>
      </w:r>
      <w:bookmarkEnd w:id="69"/>
    </w:p>
    <w:p w:rsidR="001E0F86" w:rsidP="0047275C" w:rsidRDefault="00F03657" w14:paraId="3EA9BAEE" w14:textId="349BCDD2">
      <w:pPr>
        <w:pStyle w:val="Standard"/>
      </w:pPr>
      <w:r w:rsidRPr="00F03657">
        <w:t>SDG&amp;E suggests th</w:t>
      </w:r>
      <w:r w:rsidR="000142EB">
        <w:t>is</w:t>
      </w:r>
      <w:r w:rsidRPr="00F03657">
        <w:t xml:space="preserve"> exemption use the same “replacement or reconstruction” language found in CEQA Guideline § 15302. </w:t>
      </w:r>
      <w:r w:rsidR="00AB627F">
        <w:t xml:space="preserve"> </w:t>
      </w:r>
      <w:r w:rsidRPr="00F03657">
        <w:t xml:space="preserve">SDG&amp;E requests that the Commission </w:t>
      </w:r>
      <w:r w:rsidR="00C90E93">
        <w:t>clarify</w:t>
      </w:r>
      <w:r w:rsidRPr="00F03657">
        <w:t xml:space="preserve"> that the location of a replacement pipeline or other structure may be adjusted to enhance safety, ease construction or reduce costs. </w:t>
      </w:r>
      <w:r w:rsidR="00C90E93">
        <w:t xml:space="preserve"> </w:t>
      </w:r>
      <w:r w:rsidR="00E5186B">
        <w:t>SDG&amp;E contends that r</w:t>
      </w:r>
      <w:r w:rsidRPr="00E46520" w:rsidR="00E46520">
        <w:t>eplacing gas system facilities in a somewhat different location often makes sense for safety, construction, cost or development reasons</w:t>
      </w:r>
      <w:r w:rsidR="0076344E">
        <w:t xml:space="preserve">, </w:t>
      </w:r>
      <w:r w:rsidR="00E5186B">
        <w:t xml:space="preserve">and </w:t>
      </w:r>
      <w:r w:rsidR="0076344E">
        <w:t xml:space="preserve">argues </w:t>
      </w:r>
      <w:r w:rsidR="00305FBC">
        <w:t xml:space="preserve">that </w:t>
      </w:r>
      <w:r w:rsidR="00C66587">
        <w:t>c</w:t>
      </w:r>
      <w:r w:rsidRPr="00E46520" w:rsidR="00E46520">
        <w:t>oncern about potential environmental impacts should be mitigated if the new location is located in franchise (usually roads) or existing utility easements</w:t>
      </w:r>
      <w:r w:rsidR="0076344E">
        <w:t xml:space="preserve">. </w:t>
      </w:r>
    </w:p>
    <w:p w:rsidR="001E0F86" w:rsidP="00D257BA" w:rsidRDefault="001E0F86" w14:paraId="3FA34D89" w14:textId="05253AE0">
      <w:pPr>
        <w:pStyle w:val="Standard"/>
      </w:pPr>
      <w:r>
        <w:t>Sierra Club/CEJA/RMI oppose</w:t>
      </w:r>
      <w:r w:rsidDel="00ED75A8" w:rsidR="009D77B3">
        <w:t xml:space="preserve"> </w:t>
      </w:r>
      <w:r>
        <w:t>SDG&amp;E’s recommendations</w:t>
      </w:r>
      <w:r w:rsidR="00C95F65">
        <w:t xml:space="preserve"> stating that </w:t>
      </w:r>
      <w:r w:rsidR="00651ADB">
        <w:t xml:space="preserve">SDG&amp;E </w:t>
      </w:r>
      <w:r w:rsidRPr="005A5135" w:rsidR="005A5135">
        <w:t>fails to provide any evidence that pipeline relocation projects will not have a significant environmental effect</w:t>
      </w:r>
      <w:r w:rsidR="00097A62">
        <w:t xml:space="preserve">.  </w:t>
      </w:r>
    </w:p>
    <w:p w:rsidR="001E0F86" w:rsidP="0009044A" w:rsidRDefault="00F61019" w14:paraId="55B518D7" w14:textId="79FC24F2">
      <w:pPr>
        <w:pStyle w:val="Heading3"/>
      </w:pPr>
      <w:bookmarkStart w:name="_Toc120692830" w:id="70"/>
      <w:r>
        <w:t xml:space="preserve">Rejecting </w:t>
      </w:r>
      <w:r w:rsidR="00374E86">
        <w:t>Staff’s Propos</w:t>
      </w:r>
      <w:r w:rsidR="00363C4F">
        <w:t xml:space="preserve">ed </w:t>
      </w:r>
      <w:r w:rsidRPr="00FD6CAD" w:rsidR="00363C4F">
        <w:t>Exemption</w:t>
      </w:r>
      <w:r w:rsidRPr="00FD6CAD" w:rsidR="00C22A55">
        <w:t> </w:t>
      </w:r>
      <w:r w:rsidRPr="005646D9" w:rsidR="0031299A">
        <w:t>IV</w:t>
      </w:r>
      <w:r w:rsidRPr="00FD6CAD" w:rsidR="0031299A">
        <w:t>(</w:t>
      </w:r>
      <w:r w:rsidR="0031299A">
        <w:t>3)</w:t>
      </w:r>
      <w:r w:rsidR="00363C4F">
        <w:t>(a)</w:t>
      </w:r>
      <w:r w:rsidR="004351DD">
        <w:t xml:space="preserve">, </w:t>
      </w:r>
      <w:r w:rsidRPr="004351DD" w:rsidR="004351DD">
        <w:t>Replacement of Existing Structures by Equivalent Structures</w:t>
      </w:r>
      <w:bookmarkEnd w:id="70"/>
    </w:p>
    <w:p w:rsidR="0047275C" w:rsidP="006C669A" w:rsidRDefault="009D77B3" w14:paraId="107E662A" w14:textId="1A1C5B3A">
      <w:pPr>
        <w:pStyle w:val="Standard"/>
      </w:pPr>
      <w:r>
        <w:t xml:space="preserve">We </w:t>
      </w:r>
      <w:r w:rsidR="00F33878">
        <w:t xml:space="preserve">decline to </w:t>
      </w:r>
      <w:r w:rsidR="00FB2290">
        <w:t xml:space="preserve">adopt </w:t>
      </w:r>
      <w:r w:rsidR="0044475C">
        <w:t xml:space="preserve">Staff’s </w:t>
      </w:r>
      <w:r w:rsidR="00536DA3">
        <w:t>p</w:t>
      </w:r>
      <w:r w:rsidR="0044475C">
        <w:t xml:space="preserve">roposed </w:t>
      </w:r>
      <w:r w:rsidR="00536DA3">
        <w:t>e</w:t>
      </w:r>
      <w:r w:rsidR="0044475C">
        <w:t xml:space="preserve">xemption IV(3)(a). </w:t>
      </w:r>
      <w:r w:rsidR="00EE7193">
        <w:t xml:space="preserve"> </w:t>
      </w:r>
      <w:r w:rsidRPr="003D36BC" w:rsidR="003D36BC">
        <w:t xml:space="preserve">We anticipate that projects entailing replacement of existing structures by equivalent structures are unlikely to meet the $75 million monetary trigger or the sensitive receptors trigger, which are pre-requisites for </w:t>
      </w:r>
      <w:r w:rsidR="00A579A6">
        <w:t>a CPCN application requirement</w:t>
      </w:r>
      <w:r w:rsidRPr="003D36BC" w:rsidR="003D36BC">
        <w:t xml:space="preserve">. </w:t>
      </w:r>
      <w:r w:rsidR="00925B7B">
        <w:t xml:space="preserve"> </w:t>
      </w:r>
      <w:r w:rsidRPr="003D36BC" w:rsidR="003D36BC">
        <w:t xml:space="preserve">Further, this exemption duplicates a CEQA categorical exemption </w:t>
      </w:r>
      <w:r w:rsidR="00A579A6">
        <w:t>that</w:t>
      </w:r>
      <w:r w:rsidRPr="003D36BC" w:rsidR="003D36BC">
        <w:t xml:space="preserve"> will apply as part of the Commission’s CEQA review of any CPCN application. </w:t>
      </w:r>
      <w:r w:rsidR="00A579A6">
        <w:t xml:space="preserve"> </w:t>
      </w:r>
      <w:r w:rsidRPr="003D36BC" w:rsidR="003D36BC">
        <w:t>Once a</w:t>
      </w:r>
      <w:r w:rsidR="00AE360A">
        <w:t xml:space="preserve"> CPCN</w:t>
      </w:r>
      <w:r w:rsidRPr="003D36BC" w:rsidR="003D36BC">
        <w:t xml:space="preserve"> application is filed, Commission staff </w:t>
      </w:r>
      <w:r w:rsidR="00BF1186">
        <w:t xml:space="preserve">will </w:t>
      </w:r>
      <w:r w:rsidRPr="003D36BC" w:rsidR="003D36BC">
        <w:t xml:space="preserve">consider whether any CEQA exemptions apply as part of the Commission’s environmental review process. </w:t>
      </w:r>
    </w:p>
    <w:p w:rsidRPr="00793CCE" w:rsidR="001A44CB" w:rsidP="006C669A" w:rsidRDefault="003D36BC" w14:paraId="775EFC4D" w14:textId="7060EA62">
      <w:pPr>
        <w:pStyle w:val="Standard"/>
      </w:pPr>
      <w:r w:rsidRPr="003D36BC">
        <w:t xml:space="preserve">Including this exemption in this </w:t>
      </w:r>
      <w:r w:rsidR="005459A7">
        <w:t>GO</w:t>
      </w:r>
      <w:r w:rsidRPr="003D36BC">
        <w:t xml:space="preserve"> would make it more complicated without a corresponding benefit. </w:t>
      </w:r>
      <w:r w:rsidR="00536DA3">
        <w:t xml:space="preserve"> </w:t>
      </w:r>
      <w:r w:rsidR="0047275C">
        <w:t>E</w:t>
      </w:r>
      <w:r w:rsidRPr="003D36BC">
        <w:t xml:space="preserve">liminating this exemption will simplify and streamline implementation of this </w:t>
      </w:r>
      <w:r w:rsidR="005459A7">
        <w:t>GO</w:t>
      </w:r>
      <w:r w:rsidRPr="003D36BC">
        <w:t>.</w:t>
      </w:r>
    </w:p>
    <w:p w:rsidR="000C3CD5" w:rsidP="0009044A" w:rsidRDefault="000C3CD5" w14:paraId="0A9EA966" w14:textId="592253EB">
      <w:pPr>
        <w:pStyle w:val="Heading2"/>
      </w:pPr>
      <w:bookmarkStart w:name="_Toc120692831" w:id="71"/>
      <w:r>
        <w:lastRenderedPageBreak/>
        <w:t xml:space="preserve">Minor </w:t>
      </w:r>
      <w:r w:rsidRPr="005646D9">
        <w:t>Relocations</w:t>
      </w:r>
      <w:r>
        <w:t xml:space="preserve">, Repairs, </w:t>
      </w:r>
      <w:r w:rsidR="00C22A55">
        <w:br/>
      </w:r>
      <w:r w:rsidRPr="00FD6CAD">
        <w:t>Maintenance or Alterations</w:t>
      </w:r>
      <w:bookmarkEnd w:id="71"/>
    </w:p>
    <w:p w:rsidR="0083021A" w:rsidP="0009044A" w:rsidRDefault="0083021A" w14:paraId="04EE4A6F" w14:textId="363EB579">
      <w:pPr>
        <w:pStyle w:val="Heading3"/>
      </w:pPr>
      <w:bookmarkStart w:name="_Toc120692832" w:id="72"/>
      <w:r w:rsidRPr="005646D9">
        <w:t>Staff</w:t>
      </w:r>
      <w:r>
        <w:t xml:space="preserve"> Proposal</w:t>
      </w:r>
      <w:bookmarkEnd w:id="72"/>
      <w:r>
        <w:t xml:space="preserve"> </w:t>
      </w:r>
    </w:p>
    <w:p w:rsidRPr="0083021A" w:rsidR="0083021A" w:rsidP="00940E73" w:rsidRDefault="0083021A" w14:paraId="4C3F8DDE" w14:textId="5088FC66">
      <w:pPr>
        <w:pStyle w:val="Standard"/>
      </w:pPr>
      <w:r>
        <w:t xml:space="preserve">The Staff Proposal </w:t>
      </w:r>
      <w:r w:rsidR="00066EDA">
        <w:t xml:space="preserve">at Section IV(A)(3)(b) </w:t>
      </w:r>
      <w:r w:rsidR="00940E73">
        <w:t xml:space="preserve">exempts from </w:t>
      </w:r>
      <w:r w:rsidR="00450788">
        <w:t>an</w:t>
      </w:r>
      <w:r w:rsidR="00940E73">
        <w:t xml:space="preserve"> application requirement “</w:t>
      </w:r>
      <w:r w:rsidRPr="00940E73" w:rsidR="00940E73">
        <w:t>minor relocation, repairs, maintenance or alterations of existing facilities in a manner consistent with CEQA Guidelines §§ 15300.4 and 15301(b)</w:t>
      </w:r>
      <w:r w:rsidR="00940E73">
        <w:t>.”</w:t>
      </w:r>
      <w:r w:rsidR="00940E73">
        <w:rPr>
          <w:rStyle w:val="FootnoteReference"/>
        </w:rPr>
        <w:footnoteReference w:id="40"/>
      </w:r>
      <w:r w:rsidR="00B92CD9">
        <w:t xml:space="preserve">  </w:t>
      </w:r>
      <w:r w:rsidRPr="00B92CD9" w:rsidR="00B92CD9">
        <w:t>CEQA Guideline § 15301 exempts from CEQA “the operation, repair, maintenance, … or minor alteration of existing public or private structure</w:t>
      </w:r>
      <w:r w:rsidR="0039239B">
        <w:t>s</w:t>
      </w:r>
      <w:r w:rsidRPr="00B92CD9" w:rsidR="00B92CD9">
        <w:t xml:space="preserve"> [or] facilities … involving negligible or no expansion of existing or former use,” including, under Section 15301(b), “[e]</w:t>
      </w:r>
      <w:proofErr w:type="spellStart"/>
      <w:r w:rsidRPr="00B92CD9" w:rsidR="00B92CD9">
        <w:t>xisting</w:t>
      </w:r>
      <w:proofErr w:type="spellEnd"/>
      <w:r w:rsidRPr="00B92CD9" w:rsidR="00B92CD9">
        <w:t xml:space="preserve"> facilities of both investor and publicly owned utilities used to provide electric power, natural gas, sewerage, or other public utility services.”</w:t>
      </w:r>
      <w:r w:rsidR="00B87FA0">
        <w:rPr>
          <w:rStyle w:val="FootnoteReference"/>
        </w:rPr>
        <w:footnoteReference w:id="41"/>
      </w:r>
    </w:p>
    <w:p w:rsidRPr="0083021A" w:rsidR="0083021A" w:rsidP="0009044A" w:rsidRDefault="0083021A" w14:paraId="02C0AA3B" w14:textId="1953352A">
      <w:pPr>
        <w:pStyle w:val="Heading3"/>
      </w:pPr>
      <w:bookmarkStart w:name="_Toc120692833" w:id="73"/>
      <w:r>
        <w:t xml:space="preserve">Party </w:t>
      </w:r>
      <w:r w:rsidRPr="005646D9">
        <w:t>Comments</w:t>
      </w:r>
      <w:bookmarkEnd w:id="73"/>
    </w:p>
    <w:p w:rsidR="0083021A" w:rsidP="0083021A" w:rsidRDefault="0083021A" w14:paraId="75AF0A4B" w14:textId="226EF4CF">
      <w:pPr>
        <w:pStyle w:val="Standard"/>
      </w:pPr>
      <w:r>
        <w:t>SDG&amp;E supports Staff’s proposal</w:t>
      </w:r>
      <w:r w:rsidR="00940E73">
        <w:t xml:space="preserve"> in this area</w:t>
      </w:r>
      <w:r>
        <w:t xml:space="preserve"> and requests the Commission clarify that projects undertaken to comply </w:t>
      </w:r>
      <w:r w:rsidR="0033581A">
        <w:t xml:space="preserve">with </w:t>
      </w:r>
      <w:r w:rsidR="00BE6E65">
        <w:t xml:space="preserve">federal regulations are included in this </w:t>
      </w:r>
      <w:r>
        <w:t>exempt</w:t>
      </w:r>
      <w:r w:rsidR="00BE6E65">
        <w:t>ion</w:t>
      </w:r>
      <w:r w:rsidR="006B3CF7">
        <w:t xml:space="preserve">.  </w:t>
      </w:r>
      <w:r>
        <w:t>SDG&amp;E states that</w:t>
      </w:r>
      <w:r w:rsidR="00D2388B">
        <w:t xml:space="preserve"> it is continuously undertaking</w:t>
      </w:r>
      <w:r>
        <w:t xml:space="preserve"> thousands of </w:t>
      </w:r>
      <w:r w:rsidR="006A0D44">
        <w:t xml:space="preserve">such </w:t>
      </w:r>
      <w:r w:rsidR="00624083">
        <w:t>projects,</w:t>
      </w:r>
      <w:r w:rsidR="00D2388B">
        <w:t xml:space="preserve"> and </w:t>
      </w:r>
      <w:r>
        <w:t xml:space="preserve">it is not helpful nor cost-efficient to require noticing </w:t>
      </w:r>
      <w:r w:rsidR="002C1D84">
        <w:t xml:space="preserve">of </w:t>
      </w:r>
      <w:r>
        <w:t xml:space="preserve">such projects under the </w:t>
      </w:r>
      <w:r w:rsidR="005459A7">
        <w:t>GO</w:t>
      </w:r>
      <w:r>
        <w:t xml:space="preserve">.  </w:t>
      </w:r>
      <w:r w:rsidR="00A217A8">
        <w:t xml:space="preserve"> </w:t>
      </w:r>
    </w:p>
    <w:p w:rsidR="00D257BA" w:rsidP="0083021A" w:rsidRDefault="0083021A" w14:paraId="7F11D0FE" w14:textId="31EBCC65">
      <w:pPr>
        <w:pStyle w:val="Standard"/>
      </w:pPr>
      <w:r>
        <w:t xml:space="preserve">SDG&amp;E requests the Commission clarify that work undertaken to recondition an existing pipeline </w:t>
      </w:r>
      <w:r w:rsidR="00C2585C">
        <w:t xml:space="preserve">as </w:t>
      </w:r>
      <w:r>
        <w:t>defined in GO 112-F, Section 125.3(c)</w:t>
      </w:r>
      <w:r w:rsidR="004F5FC1">
        <w:t xml:space="preserve"> </w:t>
      </w:r>
      <w:r w:rsidR="00096807">
        <w:t xml:space="preserve">and </w:t>
      </w:r>
      <w:r>
        <w:t xml:space="preserve">work to install pressure regulation devices, automatic shut-off valves, block valves or similar devices on existing pipelines, or to retrofit existing pipelines to accommodate in-line inspection devices falls under </w:t>
      </w:r>
      <w:r w:rsidR="00DE53F0">
        <w:t xml:space="preserve">this exemption, contending </w:t>
      </w:r>
      <w:r>
        <w:lastRenderedPageBreak/>
        <w:t xml:space="preserve">that </w:t>
      </w:r>
      <w:r w:rsidR="000F5A55">
        <w:t xml:space="preserve">such </w:t>
      </w:r>
      <w:r>
        <w:t>work is required to comply with Pub. Util. Code Section 957 and 958</w:t>
      </w:r>
      <w:r w:rsidR="000F5A55">
        <w:t>.</w:t>
      </w:r>
      <w:r>
        <w:t xml:space="preserve">5 and enhances the safety and reliability of the existing gas system.  </w:t>
      </w:r>
    </w:p>
    <w:p w:rsidR="008B5E46" w:rsidP="0009044A" w:rsidRDefault="00806278" w14:paraId="50E6FC28" w14:textId="4503A2A6">
      <w:pPr>
        <w:pStyle w:val="Heading3"/>
      </w:pPr>
      <w:bookmarkStart w:name="_Toc120692834" w:id="74"/>
      <w:r>
        <w:t xml:space="preserve">Rejecting Staff’s </w:t>
      </w:r>
      <w:r w:rsidRPr="005646D9">
        <w:t>Proposed</w:t>
      </w:r>
      <w:r>
        <w:t xml:space="preserve"> </w:t>
      </w:r>
      <w:r w:rsidR="00BB2BA4">
        <w:t xml:space="preserve">Exemption </w:t>
      </w:r>
      <w:r w:rsidR="00375AF9">
        <w:t>Section IV(3)</w:t>
      </w:r>
      <w:r w:rsidR="00BB2BA4">
        <w:t>(b)</w:t>
      </w:r>
      <w:r w:rsidR="00BF0CD6">
        <w:t xml:space="preserve">, </w:t>
      </w:r>
      <w:r w:rsidRPr="00BF0CD6" w:rsidR="00BF0CD6">
        <w:t>Minor Relocations, Repairs, Maintenance or Alterations</w:t>
      </w:r>
      <w:bookmarkEnd w:id="74"/>
      <w:r w:rsidR="00BB2BA4">
        <w:t xml:space="preserve"> </w:t>
      </w:r>
    </w:p>
    <w:p w:rsidRPr="000F5A55" w:rsidR="003E3A63" w:rsidP="00EF1ADC" w:rsidRDefault="00374E86" w14:paraId="59D79B29" w14:textId="510CAF7B">
      <w:pPr>
        <w:pStyle w:val="Standard"/>
      </w:pPr>
      <w:r>
        <w:t xml:space="preserve">We </w:t>
      </w:r>
      <w:r w:rsidR="002326D1">
        <w:t xml:space="preserve">decline to </w:t>
      </w:r>
      <w:r>
        <w:t>adopt Staff’s proposal for exemption (</w:t>
      </w:r>
      <w:r w:rsidR="00BB2BA4">
        <w:t xml:space="preserve">b) </w:t>
      </w:r>
      <w:r w:rsidR="00BA3816">
        <w:t xml:space="preserve">regarding </w:t>
      </w:r>
      <w:r w:rsidR="00536DA3">
        <w:t>m</w:t>
      </w:r>
      <w:r w:rsidRPr="00BA3816" w:rsidR="00BA3816">
        <w:t xml:space="preserve">inor </w:t>
      </w:r>
      <w:r w:rsidR="00536DA3">
        <w:t>r</w:t>
      </w:r>
      <w:r w:rsidRPr="00BA3816" w:rsidR="00BA3816">
        <w:t xml:space="preserve">elocations, </w:t>
      </w:r>
      <w:r w:rsidR="00536DA3">
        <w:t>r</w:t>
      </w:r>
      <w:r w:rsidRPr="00BA3816" w:rsidR="00BA3816">
        <w:t xml:space="preserve">epairs, </w:t>
      </w:r>
      <w:r w:rsidR="00536DA3">
        <w:t>m</w:t>
      </w:r>
      <w:r w:rsidRPr="00BA3816" w:rsidR="00BA3816">
        <w:t xml:space="preserve">aintenance or </w:t>
      </w:r>
      <w:r w:rsidR="00536DA3">
        <w:t>a</w:t>
      </w:r>
      <w:r w:rsidRPr="00BA3816" w:rsidR="00BA3816">
        <w:t>lterations</w:t>
      </w:r>
      <w:r w:rsidR="003E3A63">
        <w:t xml:space="preserve"> based on the </w:t>
      </w:r>
      <w:r w:rsidR="009429DE">
        <w:t xml:space="preserve">same reasoning that we used to reject Staff’s </w:t>
      </w:r>
      <w:r w:rsidR="00536DA3">
        <w:t>p</w:t>
      </w:r>
      <w:r w:rsidRPr="009429DE" w:rsidR="009429DE">
        <w:t xml:space="preserve">roposed </w:t>
      </w:r>
      <w:r w:rsidR="00536DA3">
        <w:t>e</w:t>
      </w:r>
      <w:r w:rsidRPr="009429DE" w:rsidR="009429DE">
        <w:t xml:space="preserve">xemption IV(3)(a), </w:t>
      </w:r>
      <w:r w:rsidR="00C84443">
        <w:t xml:space="preserve">regarding </w:t>
      </w:r>
      <w:r w:rsidR="00536DA3">
        <w:t>r</w:t>
      </w:r>
      <w:r w:rsidRPr="009429DE" w:rsidR="009429DE">
        <w:t xml:space="preserve">eplacement of </w:t>
      </w:r>
      <w:r w:rsidR="00536DA3">
        <w:t>e</w:t>
      </w:r>
      <w:r w:rsidRPr="009429DE" w:rsidR="009429DE">
        <w:t xml:space="preserve">xisting </w:t>
      </w:r>
      <w:r w:rsidR="00536DA3">
        <w:t>s</w:t>
      </w:r>
      <w:r w:rsidRPr="009429DE" w:rsidR="009429DE">
        <w:t xml:space="preserve">tructures by </w:t>
      </w:r>
      <w:r w:rsidR="00536DA3">
        <w:t>e</w:t>
      </w:r>
      <w:r w:rsidRPr="009429DE" w:rsidR="009429DE">
        <w:t xml:space="preserve">quivalent </w:t>
      </w:r>
      <w:r w:rsidR="00536DA3">
        <w:t>s</w:t>
      </w:r>
      <w:r w:rsidRPr="009429DE" w:rsidR="009429DE">
        <w:t>tructures</w:t>
      </w:r>
      <w:r w:rsidR="003E3A63">
        <w:t xml:space="preserve">. </w:t>
      </w:r>
      <w:r w:rsidR="00536DA3">
        <w:t xml:space="preserve"> </w:t>
      </w:r>
      <w:r w:rsidR="00623D8B">
        <w:t>P</w:t>
      </w:r>
      <w:r w:rsidRPr="003D36BC" w:rsidR="003E3A63">
        <w:t xml:space="preserve">rojects entailing </w:t>
      </w:r>
      <w:r w:rsidR="009B2376">
        <w:t xml:space="preserve">minor relocations, repairs, maintenance or alternations are </w:t>
      </w:r>
      <w:r w:rsidRPr="003D36BC" w:rsidR="003E3A63">
        <w:t xml:space="preserve">unlikely to meet the $75 million monetary trigger or the sensitive receptors trigger, which are pre-requisites for </w:t>
      </w:r>
      <w:r w:rsidR="00EF1ADC">
        <w:t>a CPCN application requirement</w:t>
      </w:r>
      <w:r w:rsidRPr="003D36BC" w:rsidR="003E3A63">
        <w:t>.</w:t>
      </w:r>
      <w:r w:rsidR="00EF1ADC">
        <w:t xml:space="preserve"> </w:t>
      </w:r>
      <w:r w:rsidRPr="003D36BC" w:rsidR="003E3A63">
        <w:t xml:space="preserve"> </w:t>
      </w:r>
      <w:r w:rsidR="00E218F0">
        <w:t xml:space="preserve">Similar to Staff’s </w:t>
      </w:r>
      <w:r w:rsidR="00C84443">
        <w:t>p</w:t>
      </w:r>
      <w:r w:rsidRPr="009429DE" w:rsidR="00E218F0">
        <w:t xml:space="preserve">roposed </w:t>
      </w:r>
      <w:r w:rsidR="00C84443">
        <w:t>e</w:t>
      </w:r>
      <w:r w:rsidRPr="009429DE" w:rsidR="00E218F0">
        <w:t>xemption IV(3)(a)</w:t>
      </w:r>
      <w:r w:rsidR="00E218F0">
        <w:t xml:space="preserve">, </w:t>
      </w:r>
      <w:r w:rsidRPr="003D36BC" w:rsidR="003E3A63">
        <w:t>this exemption duplicates a CEQA categorical exemption which will apply as part of the Commission’s CEQA review of any CPCN application.</w:t>
      </w:r>
      <w:r w:rsidR="00EF1ADC">
        <w:t xml:space="preserve"> </w:t>
      </w:r>
      <w:r w:rsidRPr="003D36BC" w:rsidR="003E3A63">
        <w:t xml:space="preserve"> </w:t>
      </w:r>
      <w:r w:rsidR="008955DD">
        <w:t>E</w:t>
      </w:r>
      <w:r w:rsidRPr="003D36BC" w:rsidR="003E3A63">
        <w:t xml:space="preserve">liminating this exemption will simplify and streamline implementation of this </w:t>
      </w:r>
      <w:r w:rsidR="005459A7">
        <w:t>GO</w:t>
      </w:r>
      <w:r w:rsidRPr="003D36BC" w:rsidR="003E3A63">
        <w:t>.</w:t>
      </w:r>
    </w:p>
    <w:p w:rsidR="000C3CD5" w:rsidP="0009044A" w:rsidRDefault="002326D1" w14:paraId="03D566A1" w14:textId="4544EF3E">
      <w:pPr>
        <w:pStyle w:val="Heading2"/>
      </w:pPr>
      <w:bookmarkStart w:name="_Toc120692835" w:id="75"/>
      <w:r w:rsidRPr="00FB6E6B">
        <w:t>Rejecting</w:t>
      </w:r>
      <w:r>
        <w:t xml:space="preserve"> </w:t>
      </w:r>
      <w:r w:rsidR="00BB2BA4">
        <w:t xml:space="preserve">Staff’s Proposed Exemption </w:t>
      </w:r>
      <w:r w:rsidR="00544C18">
        <w:br/>
      </w:r>
      <w:r w:rsidR="00375AF9">
        <w:t>Section IV(3)</w:t>
      </w:r>
      <w:r w:rsidR="00BB2BA4">
        <w:t>(c)</w:t>
      </w:r>
      <w:bookmarkEnd w:id="75"/>
    </w:p>
    <w:p w:rsidR="001A673A" w:rsidP="001A673A" w:rsidRDefault="001A673A" w14:paraId="55D0A209" w14:textId="77777777">
      <w:pPr>
        <w:pStyle w:val="Standard"/>
      </w:pPr>
      <w:r>
        <w:t xml:space="preserve">No party commented on this element.   </w:t>
      </w:r>
    </w:p>
    <w:p w:rsidRPr="00081CE7" w:rsidR="00EC64BA" w:rsidP="006C669A" w:rsidRDefault="00F01F88" w14:paraId="455ECE43" w14:textId="2C3C6B02">
      <w:pPr>
        <w:pStyle w:val="Standard"/>
      </w:pPr>
      <w:r>
        <w:t xml:space="preserve">We decline to adopt Staff’s proposal for exemption (c) regarding </w:t>
      </w:r>
      <w:r w:rsidRPr="00081CE7" w:rsidR="00081CE7">
        <w:t>the placing of new equipment on or replacement of supporting structures already built consistent with CEQA Guidelines §§ 15300.4, 15301(b), and 15302(c)</w:t>
      </w:r>
      <w:r w:rsidR="00081CE7">
        <w:rPr>
          <w:rStyle w:val="FootnoteReference"/>
        </w:rPr>
        <w:footnoteReference w:id="42"/>
      </w:r>
      <w:r w:rsidR="00473EF7">
        <w:t xml:space="preserve"> based on the same reasoning that we used to reject Staff’s </w:t>
      </w:r>
      <w:r w:rsidR="00C84443">
        <w:t>p</w:t>
      </w:r>
      <w:r w:rsidRPr="009429DE" w:rsidR="00473EF7">
        <w:t xml:space="preserve">roposed </w:t>
      </w:r>
      <w:r w:rsidR="00C84443">
        <w:t>e</w:t>
      </w:r>
      <w:r w:rsidRPr="009429DE" w:rsidR="00473EF7">
        <w:t>xemption</w:t>
      </w:r>
      <w:r w:rsidR="00473EF7">
        <w:t>s</w:t>
      </w:r>
      <w:r w:rsidRPr="009429DE" w:rsidR="00473EF7">
        <w:t xml:space="preserve"> IV(3)(a)</w:t>
      </w:r>
      <w:r w:rsidR="00473EF7">
        <w:t xml:space="preserve"> and IV(3)(b)</w:t>
      </w:r>
      <w:r w:rsidR="00EE75B8">
        <w:t xml:space="preserve"> above</w:t>
      </w:r>
      <w:r w:rsidR="00473EF7">
        <w:t xml:space="preserve">. </w:t>
      </w:r>
      <w:r w:rsidR="00EF1ADC">
        <w:t xml:space="preserve"> </w:t>
      </w:r>
      <w:r w:rsidR="00473EF7">
        <w:t>P</w:t>
      </w:r>
      <w:r w:rsidRPr="003D36BC" w:rsidR="00473EF7">
        <w:t xml:space="preserve">rojects </w:t>
      </w:r>
      <w:r w:rsidR="00473EF7">
        <w:t xml:space="preserve">falling under this category are </w:t>
      </w:r>
      <w:r w:rsidRPr="003D36BC" w:rsidR="00473EF7">
        <w:t>unlikely to meet the $75 million monetary trigger or the sensitive receptors trigger, which are pre</w:t>
      </w:r>
      <w:r w:rsidR="00F93CE0">
        <w:noBreakHyphen/>
      </w:r>
      <w:r w:rsidRPr="003D36BC" w:rsidR="00473EF7">
        <w:t xml:space="preserve">requisites for </w:t>
      </w:r>
      <w:r w:rsidR="00EF1ADC">
        <w:t>a CPCN application requirement</w:t>
      </w:r>
      <w:r w:rsidRPr="003D36BC" w:rsidR="00473EF7">
        <w:t xml:space="preserve">. </w:t>
      </w:r>
      <w:r w:rsidR="00075004">
        <w:t xml:space="preserve"> </w:t>
      </w:r>
      <w:r w:rsidR="00473EF7">
        <w:t xml:space="preserve">Similar to Staff’s </w:t>
      </w:r>
      <w:r w:rsidR="00075004">
        <w:t>p</w:t>
      </w:r>
      <w:r w:rsidRPr="009429DE" w:rsidR="00473EF7">
        <w:t>roposed</w:t>
      </w:r>
      <w:r w:rsidR="006C6E62">
        <w:t> </w:t>
      </w:r>
      <w:r w:rsidR="00075004">
        <w:t>e</w:t>
      </w:r>
      <w:r w:rsidRPr="009429DE" w:rsidR="00473EF7">
        <w:t>xemption</w:t>
      </w:r>
      <w:r w:rsidR="00473EF7">
        <w:t xml:space="preserve">s </w:t>
      </w:r>
      <w:r w:rsidRPr="009429DE" w:rsidR="00473EF7">
        <w:t>IV(3)(a)</w:t>
      </w:r>
      <w:r w:rsidR="00473EF7">
        <w:t xml:space="preserve"> and IV(3)(b), </w:t>
      </w:r>
      <w:r w:rsidRPr="003D36BC" w:rsidR="00473EF7">
        <w:t xml:space="preserve">this exemption duplicates a CEQA </w:t>
      </w:r>
      <w:r w:rsidRPr="003D36BC" w:rsidR="00473EF7">
        <w:lastRenderedPageBreak/>
        <w:t xml:space="preserve">categorical exemption which will apply as part of the Commission’s CEQA review of any CPCN application. </w:t>
      </w:r>
      <w:r w:rsidR="00EF1ADC">
        <w:t xml:space="preserve"> </w:t>
      </w:r>
      <w:r w:rsidR="0047275C">
        <w:t>E</w:t>
      </w:r>
      <w:r w:rsidRPr="003D36BC" w:rsidR="00473EF7">
        <w:t xml:space="preserve">liminating this exemption will simplify and streamline implementation of this </w:t>
      </w:r>
      <w:r w:rsidR="005459A7">
        <w:t>GO</w:t>
      </w:r>
      <w:r w:rsidRPr="003D36BC" w:rsidR="00473EF7">
        <w:t>.</w:t>
      </w:r>
    </w:p>
    <w:p w:rsidR="000C3CD5" w:rsidP="0009044A" w:rsidRDefault="000C3CD5" w14:paraId="15B626B1" w14:textId="4F61189F">
      <w:pPr>
        <w:pStyle w:val="Heading2"/>
      </w:pPr>
      <w:bookmarkStart w:name="_Toc120692836" w:id="77"/>
      <w:r>
        <w:t xml:space="preserve">Projects </w:t>
      </w:r>
      <w:r w:rsidRPr="00FB6E6B">
        <w:t>with</w:t>
      </w:r>
      <w:r>
        <w:t xml:space="preserve"> Completed CEQA Documents</w:t>
      </w:r>
      <w:bookmarkEnd w:id="77"/>
    </w:p>
    <w:p w:rsidR="000C3CD5" w:rsidP="0009044A" w:rsidRDefault="000C3CD5" w14:paraId="07F71F3C" w14:textId="634ADAA3">
      <w:pPr>
        <w:pStyle w:val="Heading3"/>
      </w:pPr>
      <w:bookmarkStart w:name="_Toc120692837" w:id="78"/>
      <w:r w:rsidRPr="00FB6E6B">
        <w:t>Staff</w:t>
      </w:r>
      <w:r>
        <w:t xml:space="preserve"> Proposal</w:t>
      </w:r>
      <w:bookmarkEnd w:id="78"/>
      <w:r>
        <w:t xml:space="preserve"> </w:t>
      </w:r>
    </w:p>
    <w:p w:rsidR="000C3CD5" w:rsidP="000C3CD5" w:rsidRDefault="001B55E3" w14:paraId="2E75E67D" w14:textId="24E1EE7D">
      <w:pPr>
        <w:pStyle w:val="Standard"/>
      </w:pPr>
      <w:r>
        <w:t xml:space="preserve">The </w:t>
      </w:r>
      <w:r w:rsidR="000C3CD5">
        <w:t xml:space="preserve">Staff </w:t>
      </w:r>
      <w:r>
        <w:t xml:space="preserve">Proposal </w:t>
      </w:r>
      <w:r w:rsidR="00EC64BA">
        <w:t xml:space="preserve">Section IV(A)(3)(d) </w:t>
      </w:r>
      <w:r>
        <w:t xml:space="preserve">recommends </w:t>
      </w:r>
      <w:r w:rsidR="00EC64BA">
        <w:t xml:space="preserve">the Commission </w:t>
      </w:r>
      <w:r>
        <w:t xml:space="preserve">exempt </w:t>
      </w:r>
      <w:r w:rsidR="000C3CD5">
        <w:t xml:space="preserve">projects with </w:t>
      </w:r>
      <w:r w:rsidR="00A05AE8">
        <w:t xml:space="preserve">completed final </w:t>
      </w:r>
      <w:r w:rsidR="000C3CD5">
        <w:t>CEQA</w:t>
      </w:r>
      <w:r w:rsidR="00EE7193">
        <w:t> </w:t>
      </w:r>
      <w:r w:rsidR="000C3CD5">
        <w:t>documents</w:t>
      </w:r>
      <w:r w:rsidRPr="00BC0935" w:rsidR="00BC0935">
        <w:t xml:space="preserve"> </w:t>
      </w:r>
      <w:r w:rsidR="00BC0935">
        <w:t>from application requirements</w:t>
      </w:r>
      <w:r w:rsidR="00EC64BA">
        <w:t>,</w:t>
      </w:r>
      <w:r>
        <w:t xml:space="preserve"> </w:t>
      </w:r>
      <w:r w:rsidR="000C3CD5">
        <w:t xml:space="preserve">as follows: </w:t>
      </w:r>
    </w:p>
    <w:p w:rsidRPr="0078740E" w:rsidR="000C3CD5" w:rsidP="000C3CD5" w:rsidRDefault="000C3CD5" w14:paraId="7C180AE5" w14:textId="231F3F40">
      <w:pPr>
        <w:pStyle w:val="BlockQuote"/>
      </w:pPr>
      <w:r w:rsidRPr="0078740E">
        <w:t>facilities to be relocated, modified or constructed which have undergone environmental review pursuant to CEQA as part of a larger project, and for which the final CEQA certified document (Environmental Impact Report (EIR) or Negative Declaration) finds no significant unavoidable environmental impacts caused by the proposed line or substation</w:t>
      </w:r>
      <w:r w:rsidR="001B55E3">
        <w:t>.</w:t>
      </w:r>
      <w:r w:rsidR="001B55E3">
        <w:rPr>
          <w:rStyle w:val="FootnoteReference"/>
        </w:rPr>
        <w:footnoteReference w:id="43"/>
      </w:r>
    </w:p>
    <w:p w:rsidR="000C3CD5" w:rsidP="0009044A" w:rsidRDefault="000C3CD5" w14:paraId="4166E9F4" w14:textId="088C1E75">
      <w:pPr>
        <w:pStyle w:val="Heading3"/>
      </w:pPr>
      <w:bookmarkStart w:name="_Toc120692838" w:id="79"/>
      <w:r>
        <w:t xml:space="preserve">Party </w:t>
      </w:r>
      <w:r w:rsidRPr="00FB6E6B">
        <w:t>Comments</w:t>
      </w:r>
      <w:bookmarkEnd w:id="79"/>
    </w:p>
    <w:p w:rsidR="001B55E3" w:rsidP="000C3CD5" w:rsidRDefault="001B55E3" w14:paraId="07479E1F" w14:textId="53DBA100">
      <w:pPr>
        <w:pStyle w:val="Standard"/>
      </w:pPr>
      <w:r>
        <w:t xml:space="preserve">SDG&amp;E, </w:t>
      </w:r>
      <w:r w:rsidR="000C3CD5">
        <w:t>SoCalGas</w:t>
      </w:r>
      <w:r w:rsidR="00BC0935">
        <w:t>,</w:t>
      </w:r>
      <w:r w:rsidR="000C3CD5">
        <w:t xml:space="preserve"> and CVGS recommend the </w:t>
      </w:r>
      <w:r w:rsidR="00436E62">
        <w:t>Commission</w:t>
      </w:r>
      <w:r w:rsidR="000C3CD5">
        <w:t xml:space="preserve"> exempt all </w:t>
      </w:r>
      <w:r w:rsidR="00436E62">
        <w:t xml:space="preserve">gas infrastructure </w:t>
      </w:r>
      <w:r w:rsidR="000C3CD5">
        <w:t>projects that have previously undergone CEQA review</w:t>
      </w:r>
      <w:r w:rsidR="00436E62">
        <w:t xml:space="preserve"> from application requirement</w:t>
      </w:r>
      <w:r w:rsidR="00450788">
        <w:t>s</w:t>
      </w:r>
      <w:r w:rsidR="000C3CD5">
        <w:t xml:space="preserve">, </w:t>
      </w:r>
      <w:r w:rsidR="00436E62">
        <w:t xml:space="preserve">rather than identify a limited number of CEQA review outcomes where the exemption would apply.  </w:t>
      </w:r>
      <w:r w:rsidR="00E1222A">
        <w:t xml:space="preserve"> </w:t>
      </w:r>
    </w:p>
    <w:p w:rsidRPr="008A680A" w:rsidR="000C3CD5" w:rsidP="000C3CD5" w:rsidRDefault="000C3CD5" w14:paraId="242A0BBC" w14:textId="3EFDB3D9">
      <w:pPr>
        <w:pStyle w:val="Standard"/>
      </w:pPr>
      <w:r>
        <w:t xml:space="preserve">Sierra Club opposes </w:t>
      </w:r>
      <w:r w:rsidR="000462DA">
        <w:t>SDG&amp;E’s recommendation</w:t>
      </w:r>
      <w:r>
        <w:t xml:space="preserve">, stating that the Commission should instead analyze projects that have </w:t>
      </w:r>
      <w:r w:rsidR="00892246">
        <w:t xml:space="preserve">undergone </w:t>
      </w:r>
      <w:r>
        <w:t xml:space="preserve">prior CEQA review to see if CEQA supplemental review requirements apply.  </w:t>
      </w:r>
    </w:p>
    <w:p w:rsidR="000C3CD5" w:rsidP="0009044A" w:rsidRDefault="00D01A2C" w14:paraId="324CD4EB" w14:textId="0A87052F">
      <w:pPr>
        <w:pStyle w:val="Heading3"/>
      </w:pPr>
      <w:bookmarkStart w:name="_Toc120692839" w:id="80"/>
      <w:r>
        <w:t xml:space="preserve">Rejecting </w:t>
      </w:r>
      <w:r w:rsidR="00454C3B">
        <w:t xml:space="preserve">Staff’s Proposed Exemption </w:t>
      </w:r>
      <w:r w:rsidR="00375AF9">
        <w:t>Section IV(3)</w:t>
      </w:r>
      <w:r w:rsidR="006678F7">
        <w:t>(</w:t>
      </w:r>
      <w:r w:rsidR="003613E7">
        <w:t>d</w:t>
      </w:r>
      <w:r w:rsidR="006678F7">
        <w:t>)</w:t>
      </w:r>
      <w:r w:rsidR="00E6764E">
        <w:t xml:space="preserve">, </w:t>
      </w:r>
      <w:r w:rsidRPr="00E6764E" w:rsidR="00E6764E">
        <w:t>Projects with Completed CEQA Documents</w:t>
      </w:r>
      <w:bookmarkEnd w:id="80"/>
    </w:p>
    <w:p w:rsidR="00505854" w:rsidP="009D10B0" w:rsidRDefault="00892246" w14:paraId="1AD34C9C" w14:textId="21753E5A">
      <w:pPr>
        <w:pStyle w:val="Standard"/>
      </w:pPr>
      <w:r>
        <w:t xml:space="preserve">We </w:t>
      </w:r>
      <w:r w:rsidR="0071151D">
        <w:t xml:space="preserve">decline to adopt </w:t>
      </w:r>
      <w:r w:rsidR="00802992">
        <w:t>Staff’s proposed exemption (d)</w:t>
      </w:r>
      <w:r w:rsidR="00E6764E">
        <w:t xml:space="preserve">, </w:t>
      </w:r>
      <w:bookmarkStart w:name="_Hlk117089761" w:id="81"/>
      <w:r w:rsidR="00075004">
        <w:t>p</w:t>
      </w:r>
      <w:r w:rsidRPr="00E6764E" w:rsidR="00E6764E">
        <w:t xml:space="preserve">rojects with </w:t>
      </w:r>
      <w:r w:rsidR="00075004">
        <w:t>c</w:t>
      </w:r>
      <w:r w:rsidRPr="00E6764E" w:rsidR="00E6764E">
        <w:t xml:space="preserve">ompleted CEQA </w:t>
      </w:r>
      <w:r w:rsidR="00075004">
        <w:t>d</w:t>
      </w:r>
      <w:r w:rsidRPr="00E6764E" w:rsidR="00E6764E">
        <w:t>ocuments</w:t>
      </w:r>
      <w:r w:rsidR="0071151D">
        <w:t xml:space="preserve">. </w:t>
      </w:r>
      <w:r w:rsidR="00B5452D">
        <w:t xml:space="preserve"> </w:t>
      </w:r>
      <w:r w:rsidR="009D10B0">
        <w:t xml:space="preserve">Under CEQA, review </w:t>
      </w:r>
      <w:r w:rsidR="00B432C3">
        <w:t xml:space="preserve">by a </w:t>
      </w:r>
      <w:r w:rsidR="00BC0935">
        <w:t xml:space="preserve">lead </w:t>
      </w:r>
      <w:r w:rsidR="00B432C3">
        <w:t xml:space="preserve">agency </w:t>
      </w:r>
      <w:r w:rsidR="009D10B0">
        <w:t xml:space="preserve">does not </w:t>
      </w:r>
      <w:r w:rsidR="009D10B0">
        <w:lastRenderedPageBreak/>
        <w:t xml:space="preserve">relieve other agencies from their CEQA </w:t>
      </w:r>
      <w:r w:rsidR="00B432C3">
        <w:t xml:space="preserve">review </w:t>
      </w:r>
      <w:r w:rsidR="009D10B0">
        <w:t>obligations</w:t>
      </w:r>
      <w:r w:rsidR="003C5F20">
        <w:t xml:space="preserve">. </w:t>
      </w:r>
      <w:r w:rsidR="00075004">
        <w:t xml:space="preserve"> </w:t>
      </w:r>
      <w:r w:rsidR="007B005A">
        <w:t xml:space="preserve">Further, there </w:t>
      </w:r>
      <w:r w:rsidR="006C0FDF">
        <w:t xml:space="preserve">may be circumstances under which </w:t>
      </w:r>
      <w:r w:rsidR="00344FBE">
        <w:t xml:space="preserve">another agency </w:t>
      </w:r>
      <w:r w:rsidR="00871669">
        <w:t xml:space="preserve">performs </w:t>
      </w:r>
      <w:r w:rsidR="00344FBE">
        <w:t xml:space="preserve">CEQA review of </w:t>
      </w:r>
      <w:r w:rsidR="0047275C">
        <w:t xml:space="preserve">a </w:t>
      </w:r>
      <w:r w:rsidR="00344FBE">
        <w:t xml:space="preserve">proposed gas infrastructure </w:t>
      </w:r>
      <w:r w:rsidR="0047275C">
        <w:t xml:space="preserve">facility </w:t>
      </w:r>
      <w:r w:rsidR="00344FBE">
        <w:t xml:space="preserve">as part of </w:t>
      </w:r>
      <w:r w:rsidR="0047275C">
        <w:t xml:space="preserve">review of </w:t>
      </w:r>
      <w:r w:rsidR="00344FBE">
        <w:t>a</w:t>
      </w:r>
      <w:r w:rsidR="0047275C">
        <w:t xml:space="preserve"> </w:t>
      </w:r>
      <w:r w:rsidR="00344FBE">
        <w:t xml:space="preserve">larger project. </w:t>
      </w:r>
      <w:r w:rsidR="00075004">
        <w:t xml:space="preserve"> </w:t>
      </w:r>
      <w:r w:rsidR="00344FBE">
        <w:t>It</w:t>
      </w:r>
      <w:r w:rsidR="0047275C">
        <w:t xml:space="preserve"> is</w:t>
      </w:r>
      <w:r w:rsidR="00344FBE">
        <w:t xml:space="preserve"> not reasonable for a proposed project to be exempt from </w:t>
      </w:r>
      <w:r w:rsidR="00456E09">
        <w:t xml:space="preserve">submitting an application </w:t>
      </w:r>
      <w:r w:rsidR="00F81928">
        <w:t xml:space="preserve">to the Commission for review </w:t>
      </w:r>
      <w:r w:rsidR="00344FBE">
        <w:t xml:space="preserve">under this </w:t>
      </w:r>
      <w:r w:rsidR="005459A7">
        <w:t>GO</w:t>
      </w:r>
      <w:r w:rsidR="0047275C">
        <w:t xml:space="preserve"> based on this criterion</w:t>
      </w:r>
      <w:r w:rsidR="00227627">
        <w:t xml:space="preserve">. </w:t>
      </w:r>
    </w:p>
    <w:p w:rsidR="00DB6E3B" w:rsidP="0009044A" w:rsidRDefault="00DB6E3B" w14:paraId="30D12729" w14:textId="61D7986C">
      <w:pPr>
        <w:pStyle w:val="Heading2"/>
      </w:pPr>
      <w:bookmarkStart w:name="_Toc120692840" w:id="82"/>
      <w:bookmarkEnd w:id="81"/>
      <w:r>
        <w:t xml:space="preserve">Projects </w:t>
      </w:r>
      <w:r w:rsidRPr="00FB6E6B">
        <w:t>Required</w:t>
      </w:r>
      <w:r>
        <w:t xml:space="preserve"> by </w:t>
      </w:r>
      <w:proofErr w:type="spellStart"/>
      <w:r>
        <w:t>CalGEM</w:t>
      </w:r>
      <w:proofErr w:type="spellEnd"/>
      <w:r>
        <w:t xml:space="preserve">, PHMSA, </w:t>
      </w:r>
      <w:r w:rsidR="00AE4B94">
        <w:br/>
      </w:r>
      <w:r>
        <w:t xml:space="preserve">or </w:t>
      </w:r>
      <w:r w:rsidRPr="00FD6CAD" w:rsidR="00C22A55">
        <w:t>O</w:t>
      </w:r>
      <w:r>
        <w:t>ther Regulatory Agency</w:t>
      </w:r>
      <w:bookmarkEnd w:id="82"/>
    </w:p>
    <w:p w:rsidR="00DB6E3B" w:rsidP="0009044A" w:rsidRDefault="00DB6E3B" w14:paraId="62D8167A" w14:textId="59CF9770">
      <w:pPr>
        <w:pStyle w:val="Heading3"/>
      </w:pPr>
      <w:bookmarkStart w:name="_Toc120692841" w:id="83"/>
      <w:r>
        <w:t xml:space="preserve">Staff </w:t>
      </w:r>
      <w:r w:rsidRPr="00FB6E6B">
        <w:t>Proposal</w:t>
      </w:r>
      <w:bookmarkEnd w:id="83"/>
      <w:r>
        <w:t xml:space="preserve"> </w:t>
      </w:r>
    </w:p>
    <w:p w:rsidR="00DB6E3B" w:rsidP="00DB6E3B" w:rsidRDefault="00DB6E3B" w14:paraId="16E33B36" w14:textId="126A7C37">
      <w:pPr>
        <w:pStyle w:val="Standard"/>
      </w:pPr>
      <w:r>
        <w:t xml:space="preserve">The Staff </w:t>
      </w:r>
      <w:r w:rsidR="00BB6110">
        <w:t>P</w:t>
      </w:r>
      <w:r>
        <w:t xml:space="preserve">roposal </w:t>
      </w:r>
      <w:r w:rsidR="00BB6110">
        <w:t xml:space="preserve">at Section IV(A)(3)(e) </w:t>
      </w:r>
      <w:r>
        <w:t xml:space="preserve">recommends </w:t>
      </w:r>
      <w:r w:rsidR="00BB6110">
        <w:t xml:space="preserve">the Commission </w:t>
      </w:r>
      <w:r>
        <w:t>exempt</w:t>
      </w:r>
      <w:r w:rsidR="00BB6110">
        <w:t xml:space="preserve"> </w:t>
      </w:r>
      <w:r>
        <w:t xml:space="preserve">from </w:t>
      </w:r>
      <w:r w:rsidR="00BB6110">
        <w:t xml:space="preserve">application requirements the following: </w:t>
      </w:r>
    </w:p>
    <w:p w:rsidRPr="009119B4" w:rsidR="00DB6E3B" w:rsidP="006C6E62" w:rsidRDefault="00DB6E3B" w14:paraId="266347E2" w14:textId="77777777">
      <w:pPr>
        <w:pStyle w:val="BlockQuote"/>
        <w:ind w:right="1440"/>
      </w:pPr>
      <w:r w:rsidRPr="00E3670F">
        <w:t>any plant, line or extension that is required by the California Geologic Energy Management Division (</w:t>
      </w:r>
      <w:proofErr w:type="spellStart"/>
      <w:r w:rsidRPr="00E3670F">
        <w:t>CalGEM</w:t>
      </w:r>
      <w:proofErr w:type="spellEnd"/>
      <w:r w:rsidRPr="00E3670F">
        <w:t>) or the Pipeline and Hazardous Materials Safety Administration (PHMSA) for safety or reliability reasons</w:t>
      </w:r>
      <w:r>
        <w:t>.</w:t>
      </w:r>
      <w:r>
        <w:rPr>
          <w:rStyle w:val="FootnoteReference"/>
        </w:rPr>
        <w:footnoteReference w:id="44"/>
      </w:r>
    </w:p>
    <w:p w:rsidR="00DB6E3B" w:rsidP="0009044A" w:rsidRDefault="00DB6E3B" w14:paraId="49C96498" w14:textId="2A80DAD8">
      <w:pPr>
        <w:pStyle w:val="Heading3"/>
      </w:pPr>
      <w:bookmarkStart w:name="_Toc120692842" w:id="84"/>
      <w:r w:rsidRPr="00FB6E6B">
        <w:t>Party</w:t>
      </w:r>
      <w:r>
        <w:t xml:space="preserve"> Comments</w:t>
      </w:r>
      <w:bookmarkEnd w:id="84"/>
      <w:r>
        <w:t xml:space="preserve"> </w:t>
      </w:r>
    </w:p>
    <w:p w:rsidR="00DB6E3B" w:rsidP="00BB6110" w:rsidRDefault="00DB6E3B" w14:paraId="7C21C360" w14:textId="3A63D754">
      <w:pPr>
        <w:pStyle w:val="Standard"/>
      </w:pPr>
      <w:r>
        <w:t xml:space="preserve">The </w:t>
      </w:r>
      <w:r w:rsidR="00BB6110">
        <w:t xml:space="preserve">gas corporations </w:t>
      </w:r>
      <w:r>
        <w:t xml:space="preserve">support </w:t>
      </w:r>
      <w:r w:rsidR="00BB6110">
        <w:t xml:space="preserve">this </w:t>
      </w:r>
      <w:r>
        <w:t>exemption</w:t>
      </w:r>
      <w:r w:rsidR="00E83DC2">
        <w:t xml:space="preserve"> and recommend expanding it</w:t>
      </w:r>
      <w:r>
        <w:t>.</w:t>
      </w:r>
      <w:r w:rsidR="00BB6110">
        <w:t xml:space="preserve">  </w:t>
      </w:r>
      <w:r>
        <w:t xml:space="preserve">SoCalGas contends the </w:t>
      </w:r>
      <w:r w:rsidR="00E83DC2">
        <w:t xml:space="preserve">Commission should exempt from application requirements </w:t>
      </w:r>
      <w:r w:rsidRPr="00EB71B5">
        <w:t xml:space="preserve">all activities required </w:t>
      </w:r>
      <w:r w:rsidRPr="00EB71B5" w:rsidR="0053357E">
        <w:t xml:space="preserve">to ensure </w:t>
      </w:r>
      <w:r w:rsidRPr="00EB71B5">
        <w:t>gas system safety and reliability required by any regulatory</w:t>
      </w:r>
      <w:r>
        <w:t xml:space="preserve"> agency, not just </w:t>
      </w:r>
      <w:r w:rsidR="00E83DC2">
        <w:t xml:space="preserve">by </w:t>
      </w:r>
      <w:proofErr w:type="spellStart"/>
      <w:r>
        <w:t>CalGEM</w:t>
      </w:r>
      <w:proofErr w:type="spellEnd"/>
      <w:r>
        <w:t xml:space="preserve"> or PHMSA.  SoCalGas</w:t>
      </w:r>
      <w:r w:rsidR="00EB71B5">
        <w:t xml:space="preserve"> </w:t>
      </w:r>
      <w:r>
        <w:t>recommends th</w:t>
      </w:r>
      <w:r w:rsidR="0053357E">
        <w:t xml:space="preserve">is exemption apply to </w:t>
      </w:r>
      <w:r>
        <w:t>all regulatory compliance projects, including environmental compliance projects such as those required by air</w:t>
      </w:r>
      <w:r w:rsidR="006C6E62">
        <w:t> </w:t>
      </w:r>
      <w:r>
        <w:t xml:space="preserve">quality management districts and regional water quality control boards, </w:t>
      </w:r>
      <w:r w:rsidRPr="00EB088A">
        <w:t xml:space="preserve">not </w:t>
      </w:r>
      <w:r w:rsidR="00600824">
        <w:t xml:space="preserve">just </w:t>
      </w:r>
      <w:r w:rsidRPr="00EB088A">
        <w:t xml:space="preserve">safety </w:t>
      </w:r>
      <w:r>
        <w:t xml:space="preserve">regulatory compliance projects.  SoCalGas states that requiring the utilities to seek approval from the </w:t>
      </w:r>
      <w:r w:rsidRPr="00600EEB">
        <w:t xml:space="preserve">Commission for mandatory compliance work being performed under the primary discretionary authority of another public </w:t>
      </w:r>
      <w:r w:rsidRPr="00600EEB">
        <w:lastRenderedPageBreak/>
        <w:t>agency with the greatest responsibility for approving the project is duplicative and risks causing undue delay</w:t>
      </w:r>
      <w:r>
        <w:t xml:space="preserve">.  </w:t>
      </w:r>
    </w:p>
    <w:p w:rsidRPr="00A95687" w:rsidR="00A95687" w:rsidP="00A95687" w:rsidRDefault="00DB6E3B" w14:paraId="46F6CCEE" w14:textId="60988BF0">
      <w:pPr>
        <w:pStyle w:val="Standard"/>
      </w:pPr>
      <w:r>
        <w:t xml:space="preserve">SDG&amp;E supports Staff’s proposal and requests the Commission </w:t>
      </w:r>
      <w:r w:rsidRPr="00DB60F1" w:rsidR="00DB60F1">
        <w:t>amend</w:t>
      </w:r>
      <w:r w:rsidR="00DB60F1">
        <w:t xml:space="preserve"> </w:t>
      </w:r>
      <w:r w:rsidR="0047275C">
        <w:t xml:space="preserve">the </w:t>
      </w:r>
      <w:r w:rsidR="00DB60F1">
        <w:t xml:space="preserve">exemption </w:t>
      </w:r>
      <w:r w:rsidRPr="00DB60F1" w:rsidR="00DB60F1">
        <w:t xml:space="preserve">to include </w:t>
      </w:r>
      <w:r w:rsidR="00D02069">
        <w:t>“</w:t>
      </w:r>
      <w:r w:rsidRPr="00DB60F1" w:rsidR="00DB60F1">
        <w:t>modifications</w:t>
      </w:r>
      <w:r w:rsidR="00D02069">
        <w:t>”</w:t>
      </w:r>
      <w:r w:rsidRPr="00DB60F1" w:rsidR="00DB60F1">
        <w:t xml:space="preserve"> and to apply to any work required by a regulatory agency with jurisdiction over </w:t>
      </w:r>
      <w:r w:rsidR="00670D45">
        <w:t>gas</w:t>
      </w:r>
      <w:r w:rsidRPr="00DB60F1" w:rsidR="00DB60F1">
        <w:t xml:space="preserve"> infrastructure</w:t>
      </w:r>
      <w:r>
        <w:t>.</w:t>
      </w:r>
      <w:r w:rsidR="007E0D44">
        <w:t xml:space="preserve">  </w:t>
      </w:r>
      <w:r w:rsidR="00670D45">
        <w:t xml:space="preserve">SDG&amp;E states this exemption </w:t>
      </w:r>
      <w:r w:rsidR="00A52F15">
        <w:t xml:space="preserve">should also </w:t>
      </w:r>
      <w:r w:rsidR="00670D45">
        <w:t xml:space="preserve">apply to </w:t>
      </w:r>
      <w:r w:rsidR="00B0146D">
        <w:t xml:space="preserve">work undertaken to </w:t>
      </w:r>
      <w:r w:rsidRPr="00FB054E" w:rsidR="00FB054E">
        <w:t>clear conflicts required by franchise agreements when triggered by government road, water</w:t>
      </w:r>
      <w:r w:rsidR="000B1BD8">
        <w:t>,</w:t>
      </w:r>
      <w:r w:rsidRPr="00FB054E" w:rsidR="00FB054E">
        <w:t xml:space="preserve"> or sewer projects</w:t>
      </w:r>
      <w:r w:rsidR="00701DE5">
        <w:t xml:space="preserve"> and work </w:t>
      </w:r>
      <w:r w:rsidRPr="00701DE5" w:rsidR="00701DE5">
        <w:t>pursuant to the requirements specified in GO 112-F</w:t>
      </w:r>
      <w:r w:rsidR="007E0D44">
        <w:t>.</w:t>
      </w:r>
      <w:r w:rsidR="00701DE5">
        <w:t xml:space="preserve">  </w:t>
      </w:r>
    </w:p>
    <w:p w:rsidRPr="007501E9" w:rsidR="00DB6E3B" w:rsidP="00DB6E3B" w:rsidRDefault="008B570F" w14:paraId="63B27415" w14:textId="5969DFC9">
      <w:pPr>
        <w:pStyle w:val="Standard"/>
      </w:pPr>
      <w:r>
        <w:t>S</w:t>
      </w:r>
      <w:r w:rsidRPr="0017339A" w:rsidR="00DB6E3B">
        <w:t>ierra Club</w:t>
      </w:r>
      <w:r>
        <w:t>/CEJA/RMI</w:t>
      </w:r>
      <w:r w:rsidR="00DB6E3B">
        <w:t xml:space="preserve"> </w:t>
      </w:r>
      <w:r w:rsidRPr="0017339A" w:rsidR="00DB6E3B">
        <w:t>oppose</w:t>
      </w:r>
      <w:r w:rsidR="00670D45">
        <w:t xml:space="preserve"> exempting</w:t>
      </w:r>
      <w:r>
        <w:t xml:space="preserve"> any safety or reliability work</w:t>
      </w:r>
      <w:r w:rsidR="00670D45">
        <w:t xml:space="preserve"> from application requirement</w:t>
      </w:r>
      <w:r w:rsidRPr="0017339A" w:rsidR="00DB6E3B">
        <w:t>s</w:t>
      </w:r>
      <w:r>
        <w:t xml:space="preserve">, </w:t>
      </w:r>
      <w:r w:rsidR="00DB6E3B">
        <w:t xml:space="preserve">stating that </w:t>
      </w:r>
      <w:r w:rsidRPr="0017339A" w:rsidR="00DB6E3B">
        <w:t xml:space="preserve">there is no legal or evidentiary basis for </w:t>
      </w:r>
      <w:r>
        <w:t xml:space="preserve">this.  </w:t>
      </w:r>
    </w:p>
    <w:p w:rsidR="00DB6E3B" w:rsidP="0009044A" w:rsidRDefault="006678F7" w14:paraId="501C30E1" w14:textId="4DBB0C31">
      <w:pPr>
        <w:pStyle w:val="Heading3"/>
      </w:pPr>
      <w:bookmarkStart w:name="_Toc120692843" w:id="85"/>
      <w:r>
        <w:t xml:space="preserve">Adopting a Modified Version of Staff’s Proposed Exemption </w:t>
      </w:r>
      <w:r w:rsidR="00375AF9">
        <w:t>Section IV(3)</w:t>
      </w:r>
      <w:r w:rsidR="00B32C9D">
        <w:t>(</w:t>
      </w:r>
      <w:r w:rsidR="00FB22E1">
        <w:t>e</w:t>
      </w:r>
      <w:r w:rsidR="00B32C9D">
        <w:t>)</w:t>
      </w:r>
      <w:r w:rsidR="007A4737">
        <w:t xml:space="preserve">, </w:t>
      </w:r>
      <w:r w:rsidRPr="007A4737" w:rsidR="007A4737">
        <w:t xml:space="preserve">Projects </w:t>
      </w:r>
      <w:r w:rsidRPr="00FB6E6B" w:rsidR="007A4737">
        <w:t>Required</w:t>
      </w:r>
      <w:r w:rsidRPr="007A4737" w:rsidR="007A4737">
        <w:t xml:space="preserve"> by </w:t>
      </w:r>
      <w:proofErr w:type="spellStart"/>
      <w:r w:rsidRPr="007A4737" w:rsidR="007A4737">
        <w:t>CalGEM</w:t>
      </w:r>
      <w:proofErr w:type="spellEnd"/>
      <w:r w:rsidRPr="007A4737" w:rsidR="007A4737">
        <w:t xml:space="preserve">, PHMSA, or </w:t>
      </w:r>
      <w:r w:rsidR="000B1BD8">
        <w:t>O</w:t>
      </w:r>
      <w:r w:rsidRPr="007A4737" w:rsidR="007A4737">
        <w:t>ther Regulatory Agency</w:t>
      </w:r>
      <w:bookmarkEnd w:id="85"/>
      <w:r w:rsidR="00B32C9D">
        <w:t xml:space="preserve"> </w:t>
      </w:r>
    </w:p>
    <w:p w:rsidR="008D4909" w:rsidP="0047275C" w:rsidRDefault="00C03373" w14:paraId="06533241" w14:textId="28B00267">
      <w:pPr>
        <w:pStyle w:val="Standard"/>
      </w:pPr>
      <w:r>
        <w:t>We adopt Staff’s proposed exemption (</w:t>
      </w:r>
      <w:r w:rsidR="00875CEA">
        <w:t>e</w:t>
      </w:r>
      <w:r>
        <w:t>)</w:t>
      </w:r>
      <w:r w:rsidR="00183D74">
        <w:t xml:space="preserve"> </w:t>
      </w:r>
      <w:r w:rsidR="0047275C">
        <w:t>regarding p</w:t>
      </w:r>
      <w:r w:rsidRPr="00183D74" w:rsidR="00183D74">
        <w:t xml:space="preserve">rojects </w:t>
      </w:r>
      <w:r w:rsidR="0047275C">
        <w:t>r</w:t>
      </w:r>
      <w:r w:rsidRPr="00183D74" w:rsidR="00183D74">
        <w:t xml:space="preserve">equired by </w:t>
      </w:r>
      <w:proofErr w:type="spellStart"/>
      <w:r w:rsidRPr="00183D74" w:rsidR="00183D74">
        <w:t>CalGEM</w:t>
      </w:r>
      <w:proofErr w:type="spellEnd"/>
      <w:r w:rsidRPr="00183D74" w:rsidR="00183D74">
        <w:t xml:space="preserve">, PHMSA, or other </w:t>
      </w:r>
      <w:r w:rsidR="0047275C">
        <w:t>r</w:t>
      </w:r>
      <w:r w:rsidRPr="00183D74" w:rsidR="00183D74">
        <w:t xml:space="preserve">egulatory </w:t>
      </w:r>
      <w:r w:rsidR="0047275C">
        <w:t>a</w:t>
      </w:r>
      <w:r w:rsidRPr="00183D74" w:rsidR="00183D74">
        <w:t>gency</w:t>
      </w:r>
      <w:r>
        <w:t xml:space="preserve"> with modifications to reflect</w:t>
      </w:r>
      <w:r w:rsidR="00CA4E05">
        <w:t xml:space="preserve"> </w:t>
      </w:r>
      <w:r w:rsidR="006915D7">
        <w:t>IOU</w:t>
      </w:r>
      <w:r>
        <w:t xml:space="preserve"> comments</w:t>
      </w:r>
      <w:r w:rsidR="00073E5F">
        <w:t xml:space="preserve"> and to provide additional clarification</w:t>
      </w:r>
      <w:r w:rsidR="008D4909">
        <w:t xml:space="preserve">, as follows: </w:t>
      </w:r>
    </w:p>
    <w:p w:rsidR="008D4909" w:rsidP="00396C24" w:rsidRDefault="000E71F6" w14:paraId="757392F8" w14:textId="793DFD68">
      <w:pPr>
        <w:pStyle w:val="BlockQuote"/>
        <w:ind w:right="1440"/>
      </w:pPr>
      <w:r w:rsidRPr="000E71F6">
        <w:t xml:space="preserve">any plant, line, extension, </w:t>
      </w:r>
      <w:r w:rsidRPr="00173CEA" w:rsidR="00642D85">
        <w:rPr>
          <w:u w:val="single"/>
        </w:rPr>
        <w:t xml:space="preserve">repair, replacement, </w:t>
      </w:r>
      <w:r w:rsidRPr="00642D85">
        <w:rPr>
          <w:u w:val="single"/>
        </w:rPr>
        <w:t>or</w:t>
      </w:r>
      <w:r w:rsidRPr="000E71F6">
        <w:rPr>
          <w:u w:val="single"/>
        </w:rPr>
        <w:t xml:space="preserve"> modification</w:t>
      </w:r>
      <w:r w:rsidR="00642D85">
        <w:rPr>
          <w:u w:val="single"/>
        </w:rPr>
        <w:t xml:space="preserve"> of existing facili</w:t>
      </w:r>
      <w:r w:rsidR="00A16AE6">
        <w:rPr>
          <w:u w:val="single"/>
        </w:rPr>
        <w:t>ties or structures</w:t>
      </w:r>
      <w:r w:rsidRPr="000E71F6">
        <w:t xml:space="preserve"> that is required </w:t>
      </w:r>
      <w:r w:rsidRPr="00154C62" w:rsidR="00FF286B">
        <w:rPr>
          <w:u w:val="single"/>
        </w:rPr>
        <w:t>pursuant to a</w:t>
      </w:r>
      <w:r w:rsidR="00FF286B">
        <w:t xml:space="preserve"> </w:t>
      </w:r>
      <w:r w:rsidRPr="000E71F6">
        <w:t>California Geologic Energy Management Division (</w:t>
      </w:r>
      <w:proofErr w:type="spellStart"/>
      <w:r w:rsidRPr="000E71F6">
        <w:t>CalGEM</w:t>
      </w:r>
      <w:proofErr w:type="spellEnd"/>
      <w:r w:rsidRPr="000E71F6">
        <w:t>)</w:t>
      </w:r>
      <w:r w:rsidR="00FF286B">
        <w:t xml:space="preserve"> </w:t>
      </w:r>
      <w:r w:rsidRPr="00154C62" w:rsidR="00FF286B">
        <w:rPr>
          <w:u w:val="single"/>
        </w:rPr>
        <w:t>Emergency Order or regulation</w:t>
      </w:r>
      <w:r w:rsidRPr="00154C62">
        <w:rPr>
          <w:u w:val="single"/>
        </w:rPr>
        <w:t>,</w:t>
      </w:r>
      <w:r w:rsidRPr="000E71F6">
        <w:t xml:space="preserve"> the Pipeline and Hazardous Materials Safety Administration (PHMSA), </w:t>
      </w:r>
      <w:r w:rsidRPr="000E71F6">
        <w:rPr>
          <w:u w:val="single"/>
        </w:rPr>
        <w:t>this Commission, or any other regulatory agency</w:t>
      </w:r>
      <w:r w:rsidRPr="000E71F6">
        <w:t xml:space="preserve"> for safety reasons</w:t>
      </w:r>
      <w:r w:rsidR="00572799">
        <w:t>.</w:t>
      </w:r>
    </w:p>
    <w:p w:rsidR="00073E5F" w:rsidP="00DB6E3B" w:rsidRDefault="00C03373" w14:paraId="0E0052FF" w14:textId="0358FBB1">
      <w:pPr>
        <w:pStyle w:val="Standard"/>
      </w:pPr>
      <w:r>
        <w:t xml:space="preserve">We concur with the </w:t>
      </w:r>
      <w:r w:rsidR="006915D7">
        <w:t xml:space="preserve">IOUs </w:t>
      </w:r>
      <w:r>
        <w:t>that projects required by any regulatory agency for safety reasons</w:t>
      </w:r>
      <w:r w:rsidR="000E71F6">
        <w:t xml:space="preserve"> </w:t>
      </w:r>
      <w:r>
        <w:t xml:space="preserve">should be exempt from </w:t>
      </w:r>
      <w:r w:rsidR="00450788">
        <w:t>CPCN</w:t>
      </w:r>
      <w:r>
        <w:t xml:space="preserve"> application requirements.</w:t>
      </w:r>
      <w:r w:rsidR="00D11C0A">
        <w:t xml:space="preserve">  Exempting </w:t>
      </w:r>
      <w:r w:rsidR="005A0603">
        <w:t xml:space="preserve">projects required by other agencies for safety reasons from permit requirements helps ensure timely utility compliance with those regulations and </w:t>
      </w:r>
      <w:r w:rsidR="005A0603">
        <w:lastRenderedPageBreak/>
        <w:t>the accompanying public safety or reliability of gas supplies.</w:t>
      </w:r>
      <w:r w:rsidR="00073E5F">
        <w:t xml:space="preserve"> </w:t>
      </w:r>
      <w:r w:rsidR="000E71F6">
        <w:t xml:space="preserve"> </w:t>
      </w:r>
      <w:r w:rsidR="0047275C">
        <w:t>T</w:t>
      </w:r>
      <w:r w:rsidR="00073E5F">
        <w:t xml:space="preserve">his includes PSEP projects previously approved by this Commission.  </w:t>
      </w:r>
    </w:p>
    <w:p w:rsidRPr="000C3CD5" w:rsidR="00DB6E3B" w:rsidP="00DB6E3B" w:rsidRDefault="005A0603" w14:paraId="648C0D1D" w14:textId="6C0350BD">
      <w:pPr>
        <w:pStyle w:val="Standard"/>
      </w:pPr>
      <w:r>
        <w:t xml:space="preserve">Our adopted </w:t>
      </w:r>
      <w:r w:rsidR="005459A7">
        <w:t>GO</w:t>
      </w:r>
      <w:r>
        <w:t xml:space="preserve"> will require gas corporations to file notices of a claimed exemption for such projects, so we will have the ability to study and revisit the scope of this exemption in the future, if warranted.  </w:t>
      </w:r>
    </w:p>
    <w:p w:rsidR="00130E04" w:rsidP="0009044A" w:rsidRDefault="000A1E3F" w14:paraId="04F69AC0" w14:textId="4289B1A0">
      <w:pPr>
        <w:pStyle w:val="Heading2"/>
      </w:pPr>
      <w:bookmarkStart w:name="_Toc120692844" w:id="86"/>
      <w:r w:rsidRPr="00FB6E6B">
        <w:t>Distribution</w:t>
      </w:r>
      <w:r>
        <w:t xml:space="preserve"> </w:t>
      </w:r>
      <w:r w:rsidR="00525BB4">
        <w:t>Pipel</w:t>
      </w:r>
      <w:r>
        <w:t>ines</w:t>
      </w:r>
      <w:bookmarkEnd w:id="86"/>
    </w:p>
    <w:p w:rsidR="00C952FF" w:rsidP="0009044A" w:rsidRDefault="00C952FF" w14:paraId="4BBF852F" w14:textId="3DB62E2A">
      <w:pPr>
        <w:pStyle w:val="Heading3"/>
      </w:pPr>
      <w:bookmarkStart w:name="_Toc120692845" w:id="87"/>
      <w:r w:rsidRPr="00FB6E6B">
        <w:t>Staff</w:t>
      </w:r>
      <w:r>
        <w:t xml:space="preserve"> Proposal</w:t>
      </w:r>
      <w:bookmarkEnd w:id="87"/>
    </w:p>
    <w:p w:rsidR="00AA43D4" w:rsidP="00AA43D4" w:rsidRDefault="008A4D53" w14:paraId="68EC201D" w14:textId="64960EBC">
      <w:pPr>
        <w:pStyle w:val="Standard"/>
      </w:pPr>
      <w:r>
        <w:t xml:space="preserve">The Staff Proposal at </w:t>
      </w:r>
      <w:r w:rsidR="004F4D8C">
        <w:t>Section IV(a)(3)</w:t>
      </w:r>
      <w:r w:rsidR="000E0270">
        <w:t>(f)</w:t>
      </w:r>
      <w:r>
        <w:t xml:space="preserve"> recommends the Commission exempt from application requirements </w:t>
      </w:r>
      <w:r w:rsidR="000E0270">
        <w:t>the “</w:t>
      </w:r>
      <w:r w:rsidRPr="00F54A3D" w:rsidR="00F54A3D">
        <w:t>construction, replacement or repair of distribution pipelines that are 12 inches in diameter or less</w:t>
      </w:r>
      <w:r w:rsidR="000E0270">
        <w:t>.”</w:t>
      </w:r>
      <w:r w:rsidR="003D2B5E">
        <w:t xml:space="preserve">  As with other exemptions, Staff propose requiring gas corporations to file a notice of claimed exemption</w:t>
      </w:r>
      <w:r w:rsidR="00E15C2C">
        <w:t xml:space="preserve"> for such projects.  </w:t>
      </w:r>
    </w:p>
    <w:p w:rsidR="00E77A6A" w:rsidP="00AA43D4" w:rsidRDefault="00AA43D4" w14:paraId="58EAB2DF" w14:textId="732052A9">
      <w:pPr>
        <w:pStyle w:val="Standard"/>
      </w:pPr>
      <w:r>
        <w:t xml:space="preserve">The June 27, 2022 ALJ </w:t>
      </w:r>
      <w:r w:rsidR="008A4D53">
        <w:t>r</w:t>
      </w:r>
      <w:r>
        <w:t xml:space="preserve">uling </w:t>
      </w:r>
      <w:r w:rsidR="00E77A6A">
        <w:t>request</w:t>
      </w:r>
      <w:r w:rsidR="008A4D53">
        <w:t>s</w:t>
      </w:r>
      <w:r w:rsidR="00E77A6A">
        <w:t xml:space="preserve"> party comment on the following questions: </w:t>
      </w:r>
    </w:p>
    <w:p w:rsidR="008A4D53" w:rsidP="00672818" w:rsidRDefault="00AA43D4" w14:paraId="27945660" w14:textId="77777777">
      <w:pPr>
        <w:pStyle w:val="ListBullet"/>
        <w:ind w:left="1080" w:right="1440"/>
      </w:pPr>
      <w:r w:rsidRPr="00AA43D4">
        <w:t xml:space="preserve">Should this exemption be </w:t>
      </w:r>
      <w:r w:rsidRPr="00AE4B94">
        <w:t>modified</w:t>
      </w:r>
      <w:r w:rsidRPr="00AA43D4">
        <w:t xml:space="preserve">? If so, how? </w:t>
      </w:r>
    </w:p>
    <w:p w:rsidRPr="00C952FF" w:rsidR="00AA43D4" w:rsidP="00672818" w:rsidRDefault="00AA43D4" w14:paraId="5FA1B4F2" w14:textId="636238A7">
      <w:pPr>
        <w:pStyle w:val="ListBullet"/>
        <w:ind w:left="1080" w:right="1440"/>
      </w:pPr>
      <w:r w:rsidRPr="00AA43D4">
        <w:t>Should other parameters such as pipeline length, volume of gas delivered</w:t>
      </w:r>
      <w:r w:rsidR="008A4D53">
        <w:t>,</w:t>
      </w:r>
      <w:r w:rsidRPr="00AA43D4">
        <w:t xml:space="preserve"> or pipeline operating pressure also be considered in determining whether a distribution pipeline should be exempt?</w:t>
      </w:r>
    </w:p>
    <w:p w:rsidR="00C952FF" w:rsidP="0009044A" w:rsidRDefault="00C952FF" w14:paraId="07FF7621" w14:textId="4259DEEC">
      <w:pPr>
        <w:pStyle w:val="Heading3"/>
      </w:pPr>
      <w:bookmarkStart w:name="_Toc120692846" w:id="88"/>
      <w:r>
        <w:t>Party Comments</w:t>
      </w:r>
      <w:bookmarkEnd w:id="88"/>
    </w:p>
    <w:p w:rsidR="00B548C7" w:rsidP="000E0270" w:rsidRDefault="00B548C7" w14:paraId="5946C4C1" w14:textId="2A9D5E96">
      <w:pPr>
        <w:pStyle w:val="Standard"/>
      </w:pPr>
      <w:r>
        <w:t xml:space="preserve">The gas corporations generally support Staff’s proposed exemption for pipelines with a diameter of 12 inches </w:t>
      </w:r>
      <w:r w:rsidR="005A4A86">
        <w:t>in diameter or less</w:t>
      </w:r>
      <w:r w:rsidR="006915D7">
        <w:t>.  I</w:t>
      </w:r>
      <w:r>
        <w:t xml:space="preserve">ntervenor parties generally </w:t>
      </w:r>
      <w:r w:rsidR="005A4A86">
        <w:t>oppose this exemption</w:t>
      </w:r>
      <w:r>
        <w:t xml:space="preserve">. </w:t>
      </w:r>
    </w:p>
    <w:p w:rsidR="00E470AC" w:rsidP="000E0270" w:rsidRDefault="00051409" w14:paraId="32EC0722" w14:textId="21D5F00D">
      <w:pPr>
        <w:pStyle w:val="Standard"/>
      </w:pPr>
      <w:r>
        <w:t xml:space="preserve">SoCalGas, PG&amp;E, and SDG&amp;E </w:t>
      </w:r>
      <w:r w:rsidR="003D2B5E">
        <w:t xml:space="preserve">argue the Commission should </w:t>
      </w:r>
      <w:r>
        <w:t>exclu</w:t>
      </w:r>
      <w:r w:rsidR="003D2B5E">
        <w:t xml:space="preserve">de </w:t>
      </w:r>
      <w:r>
        <w:t xml:space="preserve">distribution </w:t>
      </w:r>
      <w:r w:rsidR="00965DE3">
        <w:t xml:space="preserve">pipelines 12 inches in diameter or less from the </w:t>
      </w:r>
      <w:r w:rsidR="005459A7">
        <w:t>GO</w:t>
      </w:r>
      <w:r w:rsidR="003D2B5E">
        <w:t>, rather than exempt such projects from application requirements</w:t>
      </w:r>
      <w:r w:rsidR="00346155">
        <w:t>.</w:t>
      </w:r>
      <w:r w:rsidR="00291FD1">
        <w:t xml:space="preserve">  </w:t>
      </w:r>
      <w:r w:rsidR="00930ACA">
        <w:t xml:space="preserve">The gas utilities argue that excluding rather than exempting smaller distribution pipeline projects </w:t>
      </w:r>
      <w:r w:rsidR="009F086A">
        <w:t xml:space="preserve">would </w:t>
      </w:r>
      <w:r w:rsidR="00863E64">
        <w:t xml:space="preserve">mean that gas utilities would not be required to file </w:t>
      </w:r>
      <w:r w:rsidR="009F086A">
        <w:t xml:space="preserve">thousands of notices of </w:t>
      </w:r>
      <w:r w:rsidR="009F086A">
        <w:lastRenderedPageBreak/>
        <w:t xml:space="preserve">claimed exemptions </w:t>
      </w:r>
      <w:r w:rsidR="00863E64">
        <w:t xml:space="preserve">for </w:t>
      </w:r>
      <w:r w:rsidR="00790E7B">
        <w:t xml:space="preserve">routine </w:t>
      </w:r>
      <w:r w:rsidR="00863E64">
        <w:t xml:space="preserve">repair </w:t>
      </w:r>
      <w:r w:rsidR="00790E7B">
        <w:t>activities</w:t>
      </w:r>
      <w:r w:rsidR="00863E64">
        <w:t>.  This would reduce uncer</w:t>
      </w:r>
      <w:r w:rsidR="00790E7B">
        <w:t>tainty</w:t>
      </w:r>
      <w:r w:rsidR="0055694A">
        <w:t xml:space="preserve"> </w:t>
      </w:r>
      <w:r w:rsidR="0055361C">
        <w:t xml:space="preserve">and </w:t>
      </w:r>
      <w:r w:rsidR="0055694A">
        <w:t>avoid</w:t>
      </w:r>
      <w:r w:rsidR="00AD0F74">
        <w:t xml:space="preserve"> unnecessary </w:t>
      </w:r>
      <w:r w:rsidR="00863E64">
        <w:t xml:space="preserve">costs and </w:t>
      </w:r>
      <w:r w:rsidR="00AD0F74">
        <w:t>delay</w:t>
      </w:r>
      <w:r w:rsidR="00863E64">
        <w:t>s</w:t>
      </w:r>
      <w:r w:rsidR="0055361C">
        <w:t xml:space="preserve"> to ratepayers</w:t>
      </w:r>
      <w:r w:rsidR="00863E64">
        <w:t xml:space="preserve">, they argue. </w:t>
      </w:r>
      <w:r w:rsidR="009F4CD2">
        <w:t xml:space="preserve"> SoCalGas states that it installed 27,000 </w:t>
      </w:r>
      <w:r w:rsidR="006D7CA0">
        <w:t xml:space="preserve">new customer meters </w:t>
      </w:r>
      <w:r w:rsidR="009F4CD2">
        <w:t xml:space="preserve">in </w:t>
      </w:r>
      <w:r w:rsidR="00711226">
        <w:t>2021</w:t>
      </w:r>
      <w:r w:rsidR="00E7456E">
        <w:t xml:space="preserve"> and such </w:t>
      </w:r>
      <w:r w:rsidR="00711226">
        <w:t>activities are unlikely to have significant environmental impacts</w:t>
      </w:r>
      <w:r w:rsidR="004A2C6C">
        <w:t>.</w:t>
      </w:r>
      <w:r w:rsidR="006D7CA0">
        <w:rPr>
          <w:rStyle w:val="FootnoteReference"/>
        </w:rPr>
        <w:footnoteReference w:id="45"/>
      </w:r>
      <w:r w:rsidR="004A2C6C">
        <w:t xml:space="preserve">  </w:t>
      </w:r>
    </w:p>
    <w:p w:rsidR="000E0270" w:rsidP="000E0270" w:rsidRDefault="00DB4274" w14:paraId="2F6D61A2" w14:textId="2766DD05">
      <w:pPr>
        <w:pStyle w:val="Standard"/>
      </w:pPr>
      <w:r>
        <w:t xml:space="preserve">SDG&amp;E </w:t>
      </w:r>
      <w:r w:rsidR="009C05B2">
        <w:t>propos</w:t>
      </w:r>
      <w:r w:rsidR="006D39A9">
        <w:t>es</w:t>
      </w:r>
      <w:r w:rsidR="009C05B2">
        <w:t xml:space="preserve"> that </w:t>
      </w:r>
      <w:r w:rsidR="006D39A9">
        <w:t xml:space="preserve">the Commission exclude </w:t>
      </w:r>
      <w:r w:rsidR="009C05B2">
        <w:t xml:space="preserve">distribution mains and </w:t>
      </w:r>
      <w:r w:rsidRPr="00261FFE" w:rsidR="009C05B2">
        <w:t>distribution service laterals</w:t>
      </w:r>
      <w:r w:rsidR="009C05B2">
        <w:t xml:space="preserve"> as defined in Gas Tariff Rule 16 from the </w:t>
      </w:r>
      <w:r w:rsidR="005459A7">
        <w:t>GO</w:t>
      </w:r>
      <w:r w:rsidR="009C05B2">
        <w:t>, rather than exempt</w:t>
      </w:r>
      <w:r w:rsidR="00E3748B">
        <w:t>ing them from a</w:t>
      </w:r>
      <w:r w:rsidR="00450788">
        <w:t>n</w:t>
      </w:r>
      <w:r w:rsidR="00E3748B">
        <w:t xml:space="preserve"> application requirement</w:t>
      </w:r>
      <w:r w:rsidR="009C05B2">
        <w:t xml:space="preserve">. </w:t>
      </w:r>
      <w:r w:rsidR="001F42DC">
        <w:t xml:space="preserve"> PG&amp;E supports excluding distribution pipelines </w:t>
      </w:r>
      <w:r w:rsidR="00E3748B">
        <w:t xml:space="preserve">from the </w:t>
      </w:r>
      <w:r w:rsidR="005459A7">
        <w:t>GO</w:t>
      </w:r>
      <w:r w:rsidR="00E3748B">
        <w:t xml:space="preserve"> an</w:t>
      </w:r>
      <w:r w:rsidR="008F1DB1">
        <w:t xml:space="preserve">d argues that stakeholders may use Commission complaint processes should they have concerns about </w:t>
      </w:r>
      <w:r w:rsidR="0055361C">
        <w:t>small</w:t>
      </w:r>
      <w:r w:rsidR="007B5262">
        <w:t xml:space="preserve"> </w:t>
      </w:r>
      <w:r w:rsidR="008F1DB1">
        <w:t xml:space="preserve">diameter </w:t>
      </w:r>
      <w:r w:rsidR="007B5262">
        <w:t>distribution pipeline</w:t>
      </w:r>
      <w:r w:rsidR="008F1DB1">
        <w:t xml:space="preserve"> projects</w:t>
      </w:r>
      <w:r w:rsidR="007B5262">
        <w:t xml:space="preserve">. </w:t>
      </w:r>
    </w:p>
    <w:p w:rsidR="00F86FAC" w:rsidP="000E0270" w:rsidRDefault="00F86FAC" w14:paraId="2C26B3A6" w14:textId="3039C86F">
      <w:pPr>
        <w:pStyle w:val="Standard"/>
      </w:pPr>
      <w:r>
        <w:t xml:space="preserve">UCAN </w:t>
      </w:r>
      <w:r w:rsidR="008F1DB1">
        <w:t xml:space="preserve">also </w:t>
      </w:r>
      <w:r>
        <w:t xml:space="preserve">supports </w:t>
      </w:r>
      <w:r w:rsidR="00FA633C">
        <w:t xml:space="preserve">excluding distribution networks and minor relocations of </w:t>
      </w:r>
      <w:r w:rsidRPr="00BD0196" w:rsidR="00FA633C">
        <w:t xml:space="preserve">pipelines from the </w:t>
      </w:r>
      <w:r w:rsidR="005459A7">
        <w:t>GO</w:t>
      </w:r>
      <w:r w:rsidRPr="00BD0196" w:rsidR="00FA633C">
        <w:t>, stating that such projects are typic</w:t>
      </w:r>
      <w:r w:rsidRPr="00BD0196" w:rsidR="003D7244">
        <w:t xml:space="preserve">ally small, low cost, and necessary for safety.  Instead, UCAN proposes that </w:t>
      </w:r>
      <w:r w:rsidR="008F1DB1">
        <w:t xml:space="preserve">the gas utilities </w:t>
      </w:r>
      <w:r w:rsidR="00E02D33">
        <w:t xml:space="preserve">be required to file applications for </w:t>
      </w:r>
      <w:r w:rsidRPr="00BD0196" w:rsidR="00BD0196">
        <w:t xml:space="preserve">any proposed line that will operate at 60 lbs. per sq. inch </w:t>
      </w:r>
      <w:r w:rsidR="00764844">
        <w:t xml:space="preserve">(psi) </w:t>
      </w:r>
      <w:r w:rsidRPr="00BD0196" w:rsidR="00BD0196">
        <w:t>or higher, or where the combined lengths of the pipelines being built or replaced exceeds ten miles in length</w:t>
      </w:r>
      <w:r w:rsidR="00BD0196">
        <w:t xml:space="preserve">.  </w:t>
      </w:r>
      <w:r w:rsidR="00D26E76">
        <w:t>PG&amp;E and SDG&amp;E oppose this UCAN suggestion</w:t>
      </w:r>
      <w:r w:rsidR="00AB53F3">
        <w:t>.  PG&amp;E states</w:t>
      </w:r>
      <w:r w:rsidR="00764844">
        <w:t xml:space="preserve"> that </w:t>
      </w:r>
      <w:r w:rsidR="003A70A8">
        <w:t>there is no evidence that higher pressure distribution lines result in significantly greater environmental</w:t>
      </w:r>
      <w:r w:rsidR="00AB53F3">
        <w:t xml:space="preserve"> impacts, costs or increased risk of stranded costs.  </w:t>
      </w:r>
      <w:r w:rsidR="00F06745">
        <w:t>SDG&amp;E stat</w:t>
      </w:r>
      <w:r w:rsidR="00AB53F3">
        <w:t>e</w:t>
      </w:r>
      <w:r w:rsidR="00E02D33">
        <w:t>s</w:t>
      </w:r>
      <w:r w:rsidR="00F06745">
        <w:t xml:space="preserve"> that nearly all of SDG&amp;E’s distribution system operates at a Maximum Allowable Operating Pressure (MAOP) of 60 psi</w:t>
      </w:r>
      <w:r w:rsidR="00AB53F3">
        <w:t xml:space="preserve">, thus UCAN’s suggestion is </w:t>
      </w:r>
      <w:r w:rsidR="00333F38">
        <w:t xml:space="preserve">impracticable. </w:t>
      </w:r>
    </w:p>
    <w:p w:rsidR="00101642" w:rsidP="00220D83" w:rsidRDefault="00333F38" w14:paraId="22B4DD28" w14:textId="54D50A6C">
      <w:pPr>
        <w:pStyle w:val="Standard"/>
      </w:pPr>
      <w:r>
        <w:t>Sierra Club</w:t>
      </w:r>
      <w:r w:rsidR="001864DF">
        <w:t>/CEJA/RMI</w:t>
      </w:r>
      <w:r>
        <w:t xml:space="preserve"> argue that </w:t>
      </w:r>
      <w:r w:rsidRPr="00760ED5" w:rsidR="00760ED5">
        <w:t>some distribution projects are highly likely to create environmental impacts</w:t>
      </w:r>
      <w:r w:rsidR="0014500D">
        <w:t xml:space="preserve"> and this this type of activity should not be categorically excluded from the </w:t>
      </w:r>
      <w:r w:rsidR="005459A7">
        <w:t>GO</w:t>
      </w:r>
      <w:r w:rsidR="0014500D">
        <w:t>.</w:t>
      </w:r>
      <w:r w:rsidR="002324C9">
        <w:t xml:space="preserve">  </w:t>
      </w:r>
      <w:r w:rsidR="00FF68B8">
        <w:t>Sierra Club</w:t>
      </w:r>
      <w:r w:rsidR="001864DF">
        <w:t>/CEJA/RMI</w:t>
      </w:r>
      <w:r w:rsidR="00FF68B8">
        <w:t xml:space="preserve"> </w:t>
      </w:r>
      <w:r w:rsidR="00E02D33">
        <w:t xml:space="preserve">state that </w:t>
      </w:r>
      <w:r w:rsidRPr="00760ED5" w:rsidR="00760ED5">
        <w:lastRenderedPageBreak/>
        <w:t>repurposing distribution lines to carry hydrogen</w:t>
      </w:r>
      <w:r w:rsidR="00FF68B8">
        <w:t xml:space="preserve"> or </w:t>
      </w:r>
      <w:r w:rsidR="007A101C">
        <w:t>c</w:t>
      </w:r>
      <w:r w:rsidRPr="00760ED5" w:rsidR="00760ED5">
        <w:t>hanges in large industrial companies</w:t>
      </w:r>
      <w:r w:rsidR="00425480">
        <w:t>’</w:t>
      </w:r>
      <w:r w:rsidRPr="00760ED5" w:rsidR="00760ED5">
        <w:t xml:space="preserve"> pipelines and throughput</w:t>
      </w:r>
      <w:r w:rsidR="00425480">
        <w:t xml:space="preserve"> </w:t>
      </w:r>
      <w:r w:rsidRPr="00760ED5" w:rsidR="00760ED5">
        <w:t>a</w:t>
      </w:r>
      <w:r w:rsidR="00E02D33">
        <w:t xml:space="preserve">re examples of </w:t>
      </w:r>
      <w:r w:rsidR="00220D83">
        <w:t xml:space="preserve">distribution projects </w:t>
      </w:r>
      <w:r w:rsidR="00425480">
        <w:t xml:space="preserve">that </w:t>
      </w:r>
      <w:r w:rsidR="00220D83">
        <w:t>should be reviewed.  Sierra Club</w:t>
      </w:r>
      <w:r w:rsidR="001864DF">
        <w:t xml:space="preserve">/CEJA/RMI </w:t>
      </w:r>
      <w:r w:rsidR="00220D83">
        <w:t xml:space="preserve">further contend that </w:t>
      </w:r>
      <w:r w:rsidR="006243B5">
        <w:t xml:space="preserve">such projects should not be addressed through a complaint process because </w:t>
      </w:r>
      <w:r w:rsidR="004F27C1">
        <w:t xml:space="preserve">communities </w:t>
      </w:r>
      <w:r w:rsidR="008A5B00">
        <w:t xml:space="preserve">by pipeline projects </w:t>
      </w:r>
      <w:r w:rsidR="004F27C1">
        <w:t xml:space="preserve">are </w:t>
      </w:r>
      <w:r w:rsidR="00C07A9E">
        <w:t xml:space="preserve">not </w:t>
      </w:r>
      <w:r w:rsidR="004F27C1">
        <w:t xml:space="preserve">likely to be aware of </w:t>
      </w:r>
      <w:r w:rsidR="00D30739">
        <w:t xml:space="preserve">such </w:t>
      </w:r>
      <w:r w:rsidR="004F27C1">
        <w:t>project</w:t>
      </w:r>
      <w:r w:rsidR="00D30739">
        <w:t xml:space="preserve">s without a </w:t>
      </w:r>
      <w:r w:rsidR="00F95E43">
        <w:t>notification process</w:t>
      </w:r>
      <w:r w:rsidR="004F27C1">
        <w:t xml:space="preserve">. </w:t>
      </w:r>
    </w:p>
    <w:p w:rsidR="00333F38" w:rsidP="00220D83" w:rsidRDefault="002324C9" w14:paraId="4925B3AC" w14:textId="6BC03768">
      <w:pPr>
        <w:pStyle w:val="Standard"/>
      </w:pPr>
      <w:r>
        <w:t>Sierra Club</w:t>
      </w:r>
      <w:r w:rsidR="000B1458">
        <w:t>/CEJA/RMI</w:t>
      </w:r>
      <w:r>
        <w:t xml:space="preserve"> </w:t>
      </w:r>
      <w:r w:rsidR="00FC17F7">
        <w:t>recommend the</w:t>
      </w:r>
      <w:r w:rsidR="001864DF">
        <w:t xml:space="preserve"> </w:t>
      </w:r>
      <w:r>
        <w:t xml:space="preserve">Commission exclude residential meters and connections from </w:t>
      </w:r>
      <w:r w:rsidR="009F25B0">
        <w:t xml:space="preserve">claimed distribution pipeline exemption </w:t>
      </w:r>
      <w:r>
        <w:t>noticing requirements</w:t>
      </w:r>
      <w:r w:rsidR="00FC17F7">
        <w:t xml:space="preserve">.  </w:t>
      </w:r>
    </w:p>
    <w:p w:rsidR="00F078F0" w:rsidP="00220D83" w:rsidRDefault="00F078F0" w14:paraId="2A3B4FC5" w14:textId="208427F4">
      <w:pPr>
        <w:pStyle w:val="Standard"/>
      </w:pPr>
      <w:r>
        <w:t xml:space="preserve">EDF proposes the </w:t>
      </w:r>
      <w:r w:rsidR="005459A7">
        <w:t>GO</w:t>
      </w:r>
      <w:r>
        <w:t xml:space="preserve"> </w:t>
      </w:r>
      <w:r w:rsidR="0089496A">
        <w:t xml:space="preserve">apply to all distribution projects because </w:t>
      </w:r>
      <w:r w:rsidR="00BF17DF">
        <w:t xml:space="preserve">all </w:t>
      </w:r>
      <w:r w:rsidR="00CA1155">
        <w:t xml:space="preserve">pipelines </w:t>
      </w:r>
      <w:r w:rsidR="00BF17DF">
        <w:t xml:space="preserve">can </w:t>
      </w:r>
      <w:r w:rsidR="00CA1155">
        <w:t>leak methane</w:t>
      </w:r>
      <w:r w:rsidR="00BF17DF">
        <w:t>, regardless of size</w:t>
      </w:r>
      <w:r w:rsidR="00CA1155">
        <w:t xml:space="preserve">.  </w:t>
      </w:r>
      <w:r w:rsidR="00BF17DF">
        <w:t xml:space="preserve">Design of </w:t>
      </w:r>
      <w:r w:rsidR="005A3A1C">
        <w:t xml:space="preserve">an exemption </w:t>
      </w:r>
      <w:r w:rsidR="00BF17DF">
        <w:t xml:space="preserve">from application requirements for </w:t>
      </w:r>
      <w:r w:rsidR="009A1276">
        <w:t xml:space="preserve">distribution projects should </w:t>
      </w:r>
      <w:r w:rsidR="0089496A">
        <w:t>consider factors like leakage rates</w:t>
      </w:r>
      <w:r w:rsidR="009A1276">
        <w:t xml:space="preserve">, </w:t>
      </w:r>
      <w:r w:rsidR="0089496A">
        <w:t>pipeline materials</w:t>
      </w:r>
      <w:r w:rsidR="009A1276">
        <w:t xml:space="preserve">, and non-pipeline materials, EDF states. </w:t>
      </w:r>
    </w:p>
    <w:p w:rsidR="009A1276" w:rsidP="00220D83" w:rsidRDefault="009A1276" w14:paraId="792789D4" w14:textId="7FCFDB46">
      <w:pPr>
        <w:pStyle w:val="Standard"/>
      </w:pPr>
      <w:r>
        <w:t xml:space="preserve">PG&amp;E and SDG&amp;E oppose these intervenor recommendations.  PG&amp;E </w:t>
      </w:r>
      <w:r w:rsidR="000216FC">
        <w:t>states that w</w:t>
      </w:r>
      <w:r w:rsidRPr="00907322" w:rsidR="00907322">
        <w:t xml:space="preserve">ork on PG&amp;E’s distribution pipelines that are 12 inches in diameter or less includes dozens of categories of capital </w:t>
      </w:r>
      <w:r w:rsidR="005A3A1C">
        <w:t xml:space="preserve">projects </w:t>
      </w:r>
      <w:r w:rsidRPr="00907322" w:rsidR="00907322">
        <w:t xml:space="preserve">ranging from service replacements to installation of meters. </w:t>
      </w:r>
      <w:r w:rsidR="000216FC">
        <w:t xml:space="preserve"> </w:t>
      </w:r>
      <w:r w:rsidR="00BF592D">
        <w:t xml:space="preserve">SDG&amp;E similarly argues that </w:t>
      </w:r>
      <w:r w:rsidR="00F51B37">
        <w:t xml:space="preserve">requiring </w:t>
      </w:r>
      <w:r w:rsidR="005A3A1C">
        <w:t>a</w:t>
      </w:r>
      <w:r w:rsidR="00450788">
        <w:t>n</w:t>
      </w:r>
      <w:r w:rsidR="00490A6F">
        <w:t xml:space="preserve"> application </w:t>
      </w:r>
      <w:r w:rsidR="00F51B37">
        <w:t xml:space="preserve">for distribution pipeline projects </w:t>
      </w:r>
      <w:r w:rsidR="00490A6F">
        <w:t>c</w:t>
      </w:r>
      <w:r w:rsidR="00F51B37">
        <w:t xml:space="preserve">ould </w:t>
      </w:r>
      <w:r w:rsidR="00C5078E">
        <w:t xml:space="preserve">affect thousands of projects annually.  </w:t>
      </w:r>
    </w:p>
    <w:p w:rsidR="00C952FF" w:rsidP="0009044A" w:rsidRDefault="000A665F" w14:paraId="05E4FD62" w14:textId="7DF2DFB0">
      <w:pPr>
        <w:pStyle w:val="Heading3"/>
      </w:pPr>
      <w:bookmarkStart w:name="_Toc120692847" w:id="89"/>
      <w:r w:rsidRPr="00FB6E6B">
        <w:t>Including</w:t>
      </w:r>
      <w:r>
        <w:t xml:space="preserve"> Distribution Pipelines in the Adopted </w:t>
      </w:r>
      <w:r w:rsidR="005459A7">
        <w:t>GO</w:t>
      </w:r>
      <w:r>
        <w:t xml:space="preserve"> </w:t>
      </w:r>
      <w:r w:rsidR="00AA4A4A">
        <w:t>and Rejecting Staff’s Proposed E</w:t>
      </w:r>
      <w:r w:rsidR="00DE38CB">
        <w:t xml:space="preserve">xemption </w:t>
      </w:r>
      <w:r w:rsidR="00AA4A4A">
        <w:t>Section IV(A)(3)(</w:t>
      </w:r>
      <w:r w:rsidR="00FE1178">
        <w:t>f</w:t>
      </w:r>
      <w:r w:rsidR="00AA4A4A">
        <w:t>)</w:t>
      </w:r>
      <w:bookmarkEnd w:id="89"/>
    </w:p>
    <w:p w:rsidR="00656AF4" w:rsidP="0009044A" w:rsidRDefault="000466E2" w14:paraId="0716939C" w14:textId="257A930F">
      <w:pPr>
        <w:pStyle w:val="FoF"/>
        <w:numPr>
          <w:ilvl w:val="0"/>
          <w:numId w:val="0"/>
        </w:numPr>
        <w:ind w:firstLine="540"/>
      </w:pPr>
      <w:r>
        <w:t>W</w:t>
      </w:r>
      <w:r w:rsidRPr="00207B2D" w:rsidR="00207B2D">
        <w:t xml:space="preserve">ith the exception of service </w:t>
      </w:r>
      <w:r w:rsidR="00BA3AC0">
        <w:t>pipe</w:t>
      </w:r>
      <w:r w:rsidRPr="00207B2D" w:rsidR="00207B2D">
        <w:t>lines connecting to customer facilities</w:t>
      </w:r>
      <w:r w:rsidR="000138A2">
        <w:t xml:space="preserve"> and work on customer meters</w:t>
      </w:r>
      <w:r w:rsidR="00207B2D">
        <w:t xml:space="preserve">, we </w:t>
      </w:r>
      <w:r>
        <w:t>neither exempt nor exclude distribution pipelines of 12 inches in diameter or less from th</w:t>
      </w:r>
      <w:r w:rsidR="00CF43D1">
        <w:t>e adopted</w:t>
      </w:r>
      <w:r>
        <w:t xml:space="preserve"> </w:t>
      </w:r>
      <w:r w:rsidR="005459A7">
        <w:t>GO</w:t>
      </w:r>
      <w:r w:rsidR="00207B2D">
        <w:t xml:space="preserve">.  </w:t>
      </w:r>
      <w:r>
        <w:t xml:space="preserve">Instead, as discussed above, </w:t>
      </w:r>
      <w:r w:rsidR="00034E4D">
        <w:t xml:space="preserve">gas corporations are required to file a </w:t>
      </w:r>
      <w:r w:rsidR="00450788">
        <w:t>CPCN</w:t>
      </w:r>
      <w:r w:rsidR="00034E4D">
        <w:t xml:space="preserve"> application </w:t>
      </w:r>
      <w:r w:rsidR="000F28D7">
        <w:t xml:space="preserve">for any </w:t>
      </w:r>
      <w:r w:rsidR="00034E4D">
        <w:t xml:space="preserve">distribution pipeline of </w:t>
      </w:r>
      <w:r w:rsidR="000F28D7">
        <w:t xml:space="preserve">12 inches in diameter or less that meets one of our </w:t>
      </w:r>
      <w:r w:rsidR="000F28D7">
        <w:lastRenderedPageBreak/>
        <w:t>adopted threshold criteria</w:t>
      </w:r>
      <w:r w:rsidR="0061137A">
        <w:t>, namely the $75 million monetary threshold and the sensitive receptors criterion</w:t>
      </w:r>
      <w:r w:rsidR="000F28D7">
        <w:t xml:space="preserve"> (</w:t>
      </w:r>
      <w:r w:rsidRPr="00FD0338" w:rsidR="000F28D7">
        <w:rPr>
          <w:i/>
          <w:iCs/>
        </w:rPr>
        <w:t xml:space="preserve">see </w:t>
      </w:r>
      <w:r w:rsidR="00FD0338">
        <w:rPr>
          <w:i/>
          <w:iCs/>
        </w:rPr>
        <w:t>S</w:t>
      </w:r>
      <w:r w:rsidRPr="008A1E09" w:rsidR="000F28D7">
        <w:t>ection</w:t>
      </w:r>
      <w:r w:rsidRPr="008A1E09" w:rsidR="008A1E09">
        <w:t>s</w:t>
      </w:r>
      <w:r w:rsidRPr="008A1E09" w:rsidR="000F28D7">
        <w:t xml:space="preserve"> </w:t>
      </w:r>
      <w:r w:rsidRPr="008A1E09" w:rsidR="00F85ADB">
        <w:t>7.3</w:t>
      </w:r>
      <w:r w:rsidRPr="008A1E09" w:rsidR="000F28D7">
        <w:t xml:space="preserve"> and </w:t>
      </w:r>
      <w:r w:rsidRPr="008A1E09" w:rsidR="00F85ADB">
        <w:t>8</w:t>
      </w:r>
      <w:r w:rsidRPr="008A1E09" w:rsidR="000F28D7">
        <w:t>.3</w:t>
      </w:r>
      <w:r w:rsidR="008A1E09">
        <w:t xml:space="preserve"> above</w:t>
      </w:r>
      <w:r w:rsidRPr="008A1E09" w:rsidR="0061137A">
        <w:t>).</w:t>
      </w:r>
      <w:r w:rsidR="0061137A">
        <w:t xml:space="preserve">  </w:t>
      </w:r>
      <w:r w:rsidR="00C4328E">
        <w:t xml:space="preserve">We expect this to be a modest number of distribution pipeline projects. </w:t>
      </w:r>
    </w:p>
    <w:p w:rsidR="006D2CC4" w:rsidP="0009044A" w:rsidRDefault="001D0CE4" w14:paraId="4C4C8AC2" w14:textId="0A9C6A5F">
      <w:pPr>
        <w:pStyle w:val="FoF"/>
        <w:numPr>
          <w:ilvl w:val="0"/>
          <w:numId w:val="0"/>
        </w:numPr>
        <w:ind w:firstLine="540"/>
      </w:pPr>
      <w:r>
        <w:t xml:space="preserve">In substantiating concerns with the inclusion of distribution pipeline projects in this </w:t>
      </w:r>
      <w:r w:rsidR="005459A7">
        <w:t>GO</w:t>
      </w:r>
      <w:r>
        <w:t xml:space="preserve">, the gas utilities primarily refer to the potential for unnecessary delay and waste of resources if work on service lines and residential meters is subject to the CPCN application requirements we adopt here. </w:t>
      </w:r>
      <w:r w:rsidR="00511713">
        <w:t xml:space="preserve"> </w:t>
      </w:r>
      <w:r w:rsidR="0075335E">
        <w:t xml:space="preserve">We </w:t>
      </w:r>
      <w:r>
        <w:t xml:space="preserve">address these concerns by </w:t>
      </w:r>
      <w:r w:rsidR="0075335E">
        <w:t>exclud</w:t>
      </w:r>
      <w:r>
        <w:t>ing</w:t>
      </w:r>
      <w:r w:rsidR="0075335E">
        <w:t xml:space="preserve"> </w:t>
      </w:r>
      <w:r w:rsidRPr="00207B2D" w:rsidR="0075335E">
        <w:t xml:space="preserve">service </w:t>
      </w:r>
      <w:r w:rsidR="00BA3AC0">
        <w:t>pipe</w:t>
      </w:r>
      <w:r w:rsidRPr="00207B2D" w:rsidR="0075335E">
        <w:t>lines connecting to customer facilities</w:t>
      </w:r>
      <w:r w:rsidR="0075335E">
        <w:t xml:space="preserve"> </w:t>
      </w:r>
      <w:r w:rsidR="004D17F9">
        <w:t xml:space="preserve">and work on customer meters </w:t>
      </w:r>
      <w:r w:rsidR="0075335E">
        <w:t xml:space="preserve">from the </w:t>
      </w:r>
      <w:r w:rsidR="005459A7">
        <w:t>GO</w:t>
      </w:r>
      <w:r w:rsidR="0075335E">
        <w:t xml:space="preserve"> completely</w:t>
      </w:r>
      <w:r w:rsidR="009F25B0">
        <w:t xml:space="preserve">.  This </w:t>
      </w:r>
      <w:r w:rsidR="0075335E">
        <w:t>mean</w:t>
      </w:r>
      <w:r w:rsidR="009F25B0">
        <w:t>s</w:t>
      </w:r>
      <w:r w:rsidR="0075335E">
        <w:t xml:space="preserve"> that no exemption notices would be required for such projects in the extremely unlikely event that such a project would meet our </w:t>
      </w:r>
      <w:r w:rsidR="00450788">
        <w:t>CPCN</w:t>
      </w:r>
      <w:r w:rsidR="0075335E">
        <w:t xml:space="preserve"> application requirement thresholds. </w:t>
      </w:r>
      <w:r w:rsidR="00314105">
        <w:t xml:space="preserve">As noted above, </w:t>
      </w:r>
      <w:r w:rsidR="00F82324">
        <w:t xml:space="preserve">the intent of the </w:t>
      </w:r>
      <w:r w:rsidR="005459A7">
        <w:t>GO</w:t>
      </w:r>
      <w:r w:rsidR="00F82324">
        <w:t xml:space="preserve"> is to ensure that </w:t>
      </w:r>
      <w:r w:rsidR="00CC6599">
        <w:t xml:space="preserve">only </w:t>
      </w:r>
      <w:r w:rsidR="00ED0B6E">
        <w:t xml:space="preserve">projects likely to have significant environmental </w:t>
      </w:r>
      <w:r w:rsidR="00337658">
        <w:t xml:space="preserve">and/or community </w:t>
      </w:r>
      <w:r w:rsidR="00ED0B6E">
        <w:t>impact</w:t>
      </w:r>
      <w:r w:rsidR="00E272EB">
        <w:t>s</w:t>
      </w:r>
      <w:r w:rsidR="00ED0B6E">
        <w:t xml:space="preserve"> are </w:t>
      </w:r>
      <w:r w:rsidR="009F25B0">
        <w:t xml:space="preserve">deeply </w:t>
      </w:r>
      <w:r w:rsidR="00ED0B6E">
        <w:t xml:space="preserve">scrutinized.  </w:t>
      </w:r>
    </w:p>
    <w:p w:rsidR="001D0CE4" w:rsidP="0009044A" w:rsidRDefault="002C40DE" w14:paraId="2B2381AE" w14:textId="6BB132A6">
      <w:pPr>
        <w:pStyle w:val="FoF"/>
        <w:numPr>
          <w:ilvl w:val="0"/>
          <w:numId w:val="0"/>
        </w:numPr>
        <w:ind w:firstLine="540"/>
      </w:pPr>
      <w:r>
        <w:t xml:space="preserve">We decline to exclude smaller distribution pipelines </w:t>
      </w:r>
      <w:r w:rsidR="006F716E">
        <w:t xml:space="preserve">entirely from the </w:t>
      </w:r>
      <w:r w:rsidR="005459A7">
        <w:t>GO</w:t>
      </w:r>
      <w:r w:rsidR="006F716E">
        <w:t xml:space="preserve"> as recommended by the </w:t>
      </w:r>
      <w:r w:rsidR="00E26B11">
        <w:t>IOUs</w:t>
      </w:r>
      <w:r w:rsidR="00C4328E">
        <w:t xml:space="preserve"> as this is not necessary given our threshold criteria</w:t>
      </w:r>
      <w:r w:rsidR="000F7A77">
        <w:t xml:space="preserve">.  Additionally, we wish to collect information on planned distribution projects that meet </w:t>
      </w:r>
      <w:r w:rsidR="00BB0797">
        <w:t xml:space="preserve">our adopted </w:t>
      </w:r>
      <w:r w:rsidR="00DC3F1C">
        <w:t xml:space="preserve">threshold criteria </w:t>
      </w:r>
      <w:r w:rsidR="00FD4E3F">
        <w:t xml:space="preserve">but qualify for other exemptions.  Section 16 below, addressing Section X </w:t>
      </w:r>
      <w:r w:rsidR="00B31A74">
        <w:t>(</w:t>
      </w:r>
      <w:r w:rsidR="00FD4E3F">
        <w:t xml:space="preserve">Report of Planned Gas Investments) of the </w:t>
      </w:r>
      <w:r w:rsidR="005459A7">
        <w:t>GO</w:t>
      </w:r>
      <w:r w:rsidR="00FD4E3F">
        <w:t xml:space="preserve"> discusses reporting requirements.</w:t>
      </w:r>
      <w:r w:rsidR="002F4C02">
        <w:t xml:space="preserve">  </w:t>
      </w:r>
      <w:r w:rsidR="00CA7819">
        <w:t xml:space="preserve"> </w:t>
      </w:r>
    </w:p>
    <w:p w:rsidR="001D0CE4" w:rsidP="0009044A" w:rsidRDefault="005F727E" w14:paraId="78AC3FBD" w14:textId="740BB4AB">
      <w:pPr>
        <w:pStyle w:val="FoF"/>
        <w:numPr>
          <w:ilvl w:val="0"/>
          <w:numId w:val="0"/>
        </w:numPr>
        <w:ind w:firstLine="540"/>
      </w:pPr>
      <w:r>
        <w:t>This approach ensures that we f</w:t>
      </w:r>
      <w:r w:rsidR="0084766D">
        <w:t xml:space="preserve">ocus </w:t>
      </w:r>
      <w:r>
        <w:t xml:space="preserve">Commission </w:t>
      </w:r>
      <w:r w:rsidR="0084766D">
        <w:t>review on the projects most likely to cause significant environmental harms or substantial costs to ratepayers.</w:t>
      </w:r>
      <w:r w:rsidR="00474954">
        <w:t xml:space="preserve">  </w:t>
      </w:r>
    </w:p>
    <w:p w:rsidR="00170C34" w:rsidP="00490A6F" w:rsidRDefault="00170C34" w14:paraId="6B6514EF" w14:textId="59641E9F">
      <w:pPr>
        <w:pStyle w:val="Standard"/>
      </w:pPr>
      <w:r>
        <w:t xml:space="preserve">We disagree with intervenor parties that this </w:t>
      </w:r>
      <w:r w:rsidR="005459A7">
        <w:t>GO</w:t>
      </w:r>
      <w:r>
        <w:t xml:space="preserve"> should be designed to result in Commission-level review of the majority of new distribution line extension projects.  Such an outcome is impracticable </w:t>
      </w:r>
      <w:r w:rsidR="000B6460">
        <w:t xml:space="preserve">and would not be a good </w:t>
      </w:r>
      <w:r w:rsidR="000B6460">
        <w:lastRenderedPageBreak/>
        <w:t xml:space="preserve">use of </w:t>
      </w:r>
      <w:r>
        <w:t xml:space="preserve">Commission </w:t>
      </w:r>
      <w:r w:rsidR="00B71E76">
        <w:t>resources</w:t>
      </w:r>
      <w:r w:rsidR="000B6460">
        <w:t xml:space="preserve"> given th</w:t>
      </w:r>
      <w:r w:rsidR="009F25B0">
        <w:t xml:space="preserve">at </w:t>
      </w:r>
      <w:r w:rsidR="008F71F3">
        <w:t>such</w:t>
      </w:r>
      <w:r w:rsidR="009F25B0">
        <w:t xml:space="preserve"> projects are </w:t>
      </w:r>
      <w:r w:rsidR="000B6460">
        <w:t>likely to have limited community and environmental impacts</w:t>
      </w:r>
      <w:r w:rsidR="00A14A03">
        <w:t xml:space="preserve">.  We </w:t>
      </w:r>
      <w:r w:rsidR="001A32A0">
        <w:t>also</w:t>
      </w:r>
      <w:r w:rsidR="00A14A03">
        <w:t xml:space="preserve"> </w:t>
      </w:r>
      <w:r w:rsidR="00B71E76">
        <w:t xml:space="preserve">do not believe this would support positive outcomes for local communities, as this could result in </w:t>
      </w:r>
      <w:r w:rsidR="00F518B2">
        <w:t xml:space="preserve">the </w:t>
      </w:r>
      <w:r w:rsidR="00B71E76">
        <w:t xml:space="preserve">delay of </w:t>
      </w:r>
      <w:r w:rsidR="004B16C1">
        <w:t xml:space="preserve">innocuous projects necessary to support reliable gas service in the short term.  Instead, </w:t>
      </w:r>
      <w:r w:rsidR="000262B5">
        <w:t>much of</w:t>
      </w:r>
      <w:r w:rsidR="004B16C1">
        <w:t xml:space="preserve"> the remainder of Track 2 work in this proceeding will </w:t>
      </w:r>
      <w:r w:rsidR="008F3A43">
        <w:t>develop a process to identify criteria to selectively</w:t>
      </w:r>
      <w:r w:rsidR="00F518B2">
        <w:t xml:space="preserve"> avoid new </w:t>
      </w:r>
      <w:r w:rsidR="00C7344B">
        <w:t xml:space="preserve">distribution </w:t>
      </w:r>
      <w:r w:rsidR="00F518B2">
        <w:t>line in</w:t>
      </w:r>
      <w:r w:rsidR="00C7344B">
        <w:t>frastructure and</w:t>
      </w:r>
      <w:r w:rsidR="009F25B0">
        <w:t xml:space="preserve"> to</w:t>
      </w:r>
      <w:r w:rsidR="00C7344B">
        <w:t xml:space="preserve"> </w:t>
      </w:r>
      <w:r w:rsidR="008F3A43">
        <w:t xml:space="preserve">“prune” </w:t>
      </w:r>
      <w:r w:rsidR="00C7344B">
        <w:t xml:space="preserve">existing </w:t>
      </w:r>
      <w:r w:rsidR="008F3A43">
        <w:t xml:space="preserve">gas distribution line infrastructure, where feasible and beneficial.   </w:t>
      </w:r>
    </w:p>
    <w:p w:rsidRPr="00490A6F" w:rsidR="0053238D" w:rsidP="00490A6F" w:rsidRDefault="008F3A43" w14:paraId="642ED279" w14:textId="29E5C442">
      <w:pPr>
        <w:pStyle w:val="Standard"/>
      </w:pPr>
      <w:r>
        <w:t>We decline to adopt UCAN’s suggested criteria regarding gas infrastructure operating at 60 psi or greater</w:t>
      </w:r>
      <w:r w:rsidR="005A5165">
        <w:t xml:space="preserve">, as we do not find this to be a practicable method to distinguish between projects.  We also </w:t>
      </w:r>
      <w:r w:rsidR="0066438A">
        <w:t xml:space="preserve">do not envision this </w:t>
      </w:r>
      <w:r w:rsidR="005459A7">
        <w:t>GO</w:t>
      </w:r>
      <w:r w:rsidR="0066438A">
        <w:t xml:space="preserve"> as addressing leaking pipelines per se, and as such decline to adopt EDF’s suggested approach as well. </w:t>
      </w:r>
      <w:r w:rsidR="00635E3B">
        <w:t xml:space="preserve"> </w:t>
      </w:r>
      <w:r w:rsidR="006D2652">
        <w:t xml:space="preserve">The Commission </w:t>
      </w:r>
      <w:r w:rsidR="002A5B55">
        <w:t xml:space="preserve">addressed </w:t>
      </w:r>
      <w:r w:rsidR="002D3E07">
        <w:t>the</w:t>
      </w:r>
      <w:r w:rsidR="002A5B55">
        <w:t xml:space="preserve"> issue </w:t>
      </w:r>
      <w:r w:rsidR="002D3E07">
        <w:t>of leak abatement in D.17-</w:t>
      </w:r>
      <w:r w:rsidR="00B0157F">
        <w:t xml:space="preserve">06-015, </w:t>
      </w:r>
      <w:r w:rsidR="00957217">
        <w:t xml:space="preserve">which </w:t>
      </w:r>
      <w:r w:rsidR="00EE2B6A">
        <w:t>created</w:t>
      </w:r>
      <w:r w:rsidR="00957217">
        <w:t xml:space="preserve"> a </w:t>
      </w:r>
      <w:r w:rsidR="00C65FC5">
        <w:t xml:space="preserve">Natural Gas </w:t>
      </w:r>
      <w:r w:rsidR="00957217">
        <w:t>Leak Abatement Program in accordance with SB 1371.</w:t>
      </w:r>
    </w:p>
    <w:p w:rsidR="000A1E3F" w:rsidP="0009044A" w:rsidRDefault="008F3719" w14:paraId="56546A59" w14:textId="26FF42B9">
      <w:pPr>
        <w:pStyle w:val="Heading2"/>
      </w:pPr>
      <w:bookmarkStart w:name="_Toc120692848" w:id="90"/>
      <w:r>
        <w:t>P</w:t>
      </w:r>
      <w:r w:rsidR="00465D61">
        <w:t xml:space="preserve">rojects </w:t>
      </w:r>
      <w:r w:rsidRPr="00FB6E6B" w:rsidR="00465D61">
        <w:t>P</w:t>
      </w:r>
      <w:r w:rsidRPr="00FB6E6B">
        <w:t>reviously</w:t>
      </w:r>
      <w:r>
        <w:t xml:space="preserve"> Approved </w:t>
      </w:r>
      <w:r w:rsidR="00C22A55">
        <w:br/>
      </w:r>
      <w:r w:rsidRPr="00FD6CAD" w:rsidR="00465D61">
        <w:t>by this Commission</w:t>
      </w:r>
      <w:bookmarkEnd w:id="90"/>
    </w:p>
    <w:p w:rsidRPr="008B5E46" w:rsidR="008B5E46" w:rsidP="0009044A" w:rsidRDefault="008B5E46" w14:paraId="30ED53EC" w14:textId="6996CCDA">
      <w:pPr>
        <w:pStyle w:val="Heading3"/>
      </w:pPr>
      <w:bookmarkStart w:name="_Toc120692849" w:id="91"/>
      <w:r>
        <w:t xml:space="preserve">Staff </w:t>
      </w:r>
      <w:r w:rsidRPr="00FB6E6B">
        <w:t>Proposal</w:t>
      </w:r>
      <w:bookmarkEnd w:id="91"/>
      <w:r>
        <w:t xml:space="preserve"> </w:t>
      </w:r>
    </w:p>
    <w:p w:rsidR="00315137" w:rsidP="00832522" w:rsidRDefault="00832522" w14:paraId="4A458801" w14:textId="2F999654">
      <w:pPr>
        <w:pStyle w:val="Standard"/>
      </w:pPr>
      <w:r>
        <w:t xml:space="preserve">The </w:t>
      </w:r>
      <w:r w:rsidR="008B5E46">
        <w:t xml:space="preserve">Staff Proposal </w:t>
      </w:r>
      <w:r w:rsidR="0061735D">
        <w:t>in Section IV(A)</w:t>
      </w:r>
      <w:r w:rsidR="00843E2D">
        <w:t xml:space="preserve">(3)(g) </w:t>
      </w:r>
      <w:r w:rsidR="00490A6F">
        <w:t xml:space="preserve">recommends </w:t>
      </w:r>
      <w:r>
        <w:t>that</w:t>
      </w:r>
      <w:r w:rsidR="00BF0E44">
        <w:t xml:space="preserve"> “</w:t>
      </w:r>
      <w:r w:rsidRPr="00BF0E44" w:rsidR="00BF0E44">
        <w:t xml:space="preserve">projects previously approved in a </w:t>
      </w:r>
      <w:r w:rsidRPr="00FD6CAD" w:rsidR="00C22A55">
        <w:t>GRC</w:t>
      </w:r>
      <w:r w:rsidRPr="00BF0E44" w:rsidR="00BF0E44">
        <w:t xml:space="preserve"> or other Commission decision which are currently underway</w:t>
      </w:r>
      <w:r>
        <w:t>” should be exempt</w:t>
      </w:r>
      <w:r w:rsidR="00843E2D">
        <w:t xml:space="preserve"> from a</w:t>
      </w:r>
      <w:r w:rsidR="00450788">
        <w:t>n</w:t>
      </w:r>
      <w:r w:rsidR="00843E2D">
        <w:t xml:space="preserve"> application requirement.</w:t>
      </w:r>
      <w:r>
        <w:t xml:space="preserve">  </w:t>
      </w:r>
      <w:r w:rsidR="00BF0E44">
        <w:t xml:space="preserve"> </w:t>
      </w:r>
      <w:r w:rsidR="00880B1B">
        <w:t xml:space="preserve"> </w:t>
      </w:r>
    </w:p>
    <w:p w:rsidR="0039161B" w:rsidP="0009044A" w:rsidRDefault="0039161B" w14:paraId="269FD8F3" w14:textId="2A193E44">
      <w:pPr>
        <w:pStyle w:val="Heading3"/>
      </w:pPr>
      <w:bookmarkStart w:name="_Toc120692850" w:id="92"/>
      <w:r>
        <w:t xml:space="preserve">Party </w:t>
      </w:r>
      <w:r w:rsidRPr="00FB6E6B">
        <w:t>Comments</w:t>
      </w:r>
      <w:bookmarkEnd w:id="92"/>
    </w:p>
    <w:p w:rsidR="00443290" w:rsidP="00D73D25" w:rsidRDefault="00835D49" w14:paraId="57263D0E" w14:textId="4C22AFC9">
      <w:pPr>
        <w:pStyle w:val="Standard"/>
      </w:pPr>
      <w:r>
        <w:t xml:space="preserve">IOUs and intervenors generally differ on </w:t>
      </w:r>
      <w:r w:rsidR="00107F10">
        <w:t xml:space="preserve">which projects should be grandfathered in as exempt from </w:t>
      </w:r>
      <w:r w:rsidR="00F04791">
        <w:t>a</w:t>
      </w:r>
      <w:r w:rsidR="00450788">
        <w:t>n</w:t>
      </w:r>
      <w:r w:rsidR="00F04791">
        <w:t xml:space="preserve"> application requirement,</w:t>
      </w:r>
      <w:r w:rsidR="00D73D25">
        <w:t xml:space="preserve"> with intervenors contending the grandfathering exemption as proposed by Staff is too broad, and </w:t>
      </w:r>
      <w:r w:rsidR="00F04791">
        <w:t>gas corporations largely supporting it</w:t>
      </w:r>
      <w:r w:rsidR="00D73D25">
        <w:t>.</w:t>
      </w:r>
      <w:r w:rsidR="00053844">
        <w:t xml:space="preserve">  </w:t>
      </w:r>
      <w:r w:rsidR="00107F10">
        <w:t>Cal Advocates propose</w:t>
      </w:r>
      <w:r w:rsidR="00D73D25">
        <w:t>s</w:t>
      </w:r>
      <w:r w:rsidR="00107F10">
        <w:t xml:space="preserve"> defining projects </w:t>
      </w:r>
      <w:r w:rsidR="007815D0">
        <w:t xml:space="preserve">that </w:t>
      </w:r>
      <w:r w:rsidRPr="00401B91" w:rsidR="00832522">
        <w:t xml:space="preserve">are </w:t>
      </w:r>
      <w:r w:rsidR="007815D0">
        <w:t>“</w:t>
      </w:r>
      <w:r w:rsidRPr="00401B91" w:rsidR="0077458D">
        <w:t xml:space="preserve">currently underway,” </w:t>
      </w:r>
      <w:r w:rsidR="007815D0">
        <w:t xml:space="preserve">as previously approved </w:t>
      </w:r>
      <w:r w:rsidR="00645800">
        <w:t xml:space="preserve">projects that have </w:t>
      </w:r>
      <w:r w:rsidR="00645800">
        <w:lastRenderedPageBreak/>
        <w:t xml:space="preserve">approved </w:t>
      </w:r>
      <w:r w:rsidRPr="00401B91" w:rsidR="008E74D7">
        <w:t xml:space="preserve">permits or are in construction. </w:t>
      </w:r>
      <w:r w:rsidRPr="00401B91" w:rsidR="00DF0416">
        <w:t xml:space="preserve"> The </w:t>
      </w:r>
      <w:r w:rsidRPr="00401B91" w:rsidR="008E74D7">
        <w:t>Sierra Club</w:t>
      </w:r>
      <w:r w:rsidRPr="00401B91" w:rsidR="00DF0416">
        <w:t xml:space="preserve"> and EDF </w:t>
      </w:r>
      <w:r w:rsidR="005A206E">
        <w:t xml:space="preserve">propose </w:t>
      </w:r>
      <w:r w:rsidR="00484680">
        <w:t xml:space="preserve">the Commission </w:t>
      </w:r>
      <w:r w:rsidR="00443290">
        <w:t>exempt</w:t>
      </w:r>
      <w:r w:rsidR="00484680">
        <w:t xml:space="preserve"> from application requirement</w:t>
      </w:r>
      <w:r w:rsidR="00450788">
        <w:t>s</w:t>
      </w:r>
      <w:r w:rsidR="00443290">
        <w:t xml:space="preserve"> </w:t>
      </w:r>
      <w:r w:rsidRPr="00401B91" w:rsidR="008E74D7">
        <w:t>those projects that have commenced construction by June 1, 2022</w:t>
      </w:r>
      <w:r w:rsidRPr="00401B91" w:rsidR="00832522">
        <w:t>.</w:t>
      </w:r>
      <w:r w:rsidRPr="00401B91" w:rsidR="00CE416F">
        <w:t xml:space="preserve"> </w:t>
      </w:r>
    </w:p>
    <w:p w:rsidR="00FD4A43" w:rsidP="00D73D25" w:rsidRDefault="0045701F" w14:paraId="153AE76C" w14:textId="7399520E">
      <w:pPr>
        <w:pStyle w:val="Standard"/>
      </w:pPr>
      <w:r w:rsidRPr="00401B91">
        <w:t>The</w:t>
      </w:r>
      <w:r>
        <w:t xml:space="preserve"> </w:t>
      </w:r>
      <w:r w:rsidR="005E525F">
        <w:t>gas corporations,</w:t>
      </w:r>
      <w:r>
        <w:t xml:space="preserve"> particularly PG&amp;E, d</w:t>
      </w:r>
      <w:r w:rsidRPr="00CE416F" w:rsidR="00CE416F">
        <w:t>isagree</w:t>
      </w:r>
      <w:r w:rsidR="005E525F">
        <w:t xml:space="preserve"> with </w:t>
      </w:r>
      <w:r w:rsidRPr="00CE416F" w:rsidR="00CE416F">
        <w:t xml:space="preserve">limiting </w:t>
      </w:r>
      <w:r w:rsidR="00443290">
        <w:t xml:space="preserve">the </w:t>
      </w:r>
      <w:r w:rsidRPr="00CE416F" w:rsidR="00CE416F">
        <w:t>grandfathering</w:t>
      </w:r>
      <w:r w:rsidR="00443290">
        <w:t xml:space="preserve"> exemption</w:t>
      </w:r>
      <w:r w:rsidRPr="00CE416F" w:rsidR="00CE416F">
        <w:t xml:space="preserve"> to projects that have secured all required permits</w:t>
      </w:r>
      <w:r w:rsidR="004E5E5C">
        <w:t xml:space="preserve"> </w:t>
      </w:r>
      <w:r w:rsidRPr="00CE416F" w:rsidR="00CE416F">
        <w:t>or have commenced construction</w:t>
      </w:r>
      <w:r w:rsidR="0039161B">
        <w:t xml:space="preserve">. </w:t>
      </w:r>
      <w:r w:rsidR="00443290">
        <w:t xml:space="preserve"> </w:t>
      </w:r>
      <w:r w:rsidR="0039161B">
        <w:t xml:space="preserve">PG&amp;E observes there are significant </w:t>
      </w:r>
      <w:r w:rsidRPr="00CE416F" w:rsidR="00CE416F">
        <w:t>cost</w:t>
      </w:r>
      <w:r w:rsidR="0039161B">
        <w:t xml:space="preserve">s </w:t>
      </w:r>
      <w:r w:rsidRPr="00CE416F" w:rsidR="00CE416F">
        <w:t xml:space="preserve">and </w:t>
      </w:r>
      <w:r w:rsidR="0039161B">
        <w:t>that it take</w:t>
      </w:r>
      <w:r w:rsidR="005E525F">
        <w:t>s</w:t>
      </w:r>
      <w:r w:rsidR="0039161B">
        <w:t xml:space="preserve"> </w:t>
      </w:r>
      <w:r w:rsidRPr="00CE416F" w:rsidR="00CE416F">
        <w:t xml:space="preserve">many years </w:t>
      </w:r>
      <w:r w:rsidR="0039161B">
        <w:t xml:space="preserve">to </w:t>
      </w:r>
      <w:r w:rsidRPr="00CE416F" w:rsidR="00CE416F">
        <w:t xml:space="preserve">bring projects to </w:t>
      </w:r>
      <w:r w:rsidR="004E5E5C">
        <w:t xml:space="preserve">the </w:t>
      </w:r>
      <w:r w:rsidRPr="00CE416F" w:rsidR="00CE416F">
        <w:t>permitting phase</w:t>
      </w:r>
      <w:r w:rsidR="005E525F">
        <w:t>.</w:t>
      </w:r>
      <w:r w:rsidR="00053844">
        <w:t xml:space="preserve">  </w:t>
      </w:r>
      <w:r w:rsidR="0039161B">
        <w:t xml:space="preserve">PG&amp;E </w:t>
      </w:r>
      <w:r w:rsidR="00856F44">
        <w:t xml:space="preserve">further </w:t>
      </w:r>
      <w:r w:rsidR="0039161B">
        <w:t xml:space="preserve">contends that </w:t>
      </w:r>
      <w:r w:rsidRPr="00CE416F" w:rsidR="00CE416F">
        <w:t>system planners assume</w:t>
      </w:r>
      <w:r w:rsidR="004E5E5C">
        <w:t xml:space="preserve"> </w:t>
      </w:r>
      <w:r w:rsidRPr="00CE416F" w:rsidR="00CE416F">
        <w:t>that</w:t>
      </w:r>
      <w:r w:rsidR="00856F44">
        <w:t xml:space="preserve"> </w:t>
      </w:r>
      <w:r w:rsidRPr="00CE416F" w:rsidR="00CE416F">
        <w:t xml:space="preserve">projects </w:t>
      </w:r>
      <w:r w:rsidR="00856F44">
        <w:t xml:space="preserve">that have been previously approved by the Commission </w:t>
      </w:r>
      <w:r w:rsidRPr="00CE416F" w:rsidR="00CE416F">
        <w:t xml:space="preserve">will </w:t>
      </w:r>
      <w:r w:rsidR="0006786C">
        <w:t>be placed into serv</w:t>
      </w:r>
      <w:r w:rsidR="00CF1846">
        <w:t>ic</w:t>
      </w:r>
      <w:r w:rsidR="0006786C">
        <w:t xml:space="preserve">e on their </w:t>
      </w:r>
      <w:r w:rsidR="00FD4A43">
        <w:t>in-s</w:t>
      </w:r>
      <w:r w:rsidRPr="00CE416F" w:rsidR="00CE416F">
        <w:t xml:space="preserve">ervice </w:t>
      </w:r>
      <w:r w:rsidR="00D928D2">
        <w:t xml:space="preserve">date </w:t>
      </w:r>
      <w:r w:rsidRPr="00CE416F" w:rsidR="00CE416F">
        <w:t>as planned</w:t>
      </w:r>
      <w:r w:rsidR="00FD4A43">
        <w:t>.  De</w:t>
      </w:r>
      <w:r w:rsidR="00BB6B2C">
        <w:t>laying or discontinuing s</w:t>
      </w:r>
      <w:r w:rsidR="00FD4A43">
        <w:t>u</w:t>
      </w:r>
      <w:r w:rsidR="00BB6B2C">
        <w:t>ch projects creates risk</w:t>
      </w:r>
      <w:r w:rsidR="00FD4A43">
        <w:t>, PG&amp;E states</w:t>
      </w:r>
      <w:r w:rsidR="00BB6B2C">
        <w:t xml:space="preserve">.  </w:t>
      </w:r>
    </w:p>
    <w:p w:rsidR="008E74D7" w:rsidP="00D73D25" w:rsidRDefault="000C2378" w14:paraId="4C876A19" w14:textId="4385996A">
      <w:pPr>
        <w:pStyle w:val="Standard"/>
      </w:pPr>
      <w:r>
        <w:t xml:space="preserve">SoCalGas </w:t>
      </w:r>
      <w:r w:rsidR="000D7943">
        <w:t>opposes any “</w:t>
      </w:r>
      <w:proofErr w:type="spellStart"/>
      <w:r w:rsidR="000D7943">
        <w:t>relitigation</w:t>
      </w:r>
      <w:proofErr w:type="spellEnd"/>
      <w:r w:rsidR="000D7943">
        <w:t xml:space="preserve">” of </w:t>
      </w:r>
      <w:r w:rsidR="00FD4A43">
        <w:t xml:space="preserve">projects </w:t>
      </w:r>
      <w:r w:rsidR="000D7943">
        <w:t xml:space="preserve">previously approved </w:t>
      </w:r>
      <w:r w:rsidR="00FD4A43">
        <w:t>in a GRC application</w:t>
      </w:r>
      <w:r w:rsidR="001D58B4">
        <w:t xml:space="preserve">.  SoCalGas states that requiring additional Commission review of such projects </w:t>
      </w:r>
      <w:r w:rsidR="00BF1631">
        <w:t>c</w:t>
      </w:r>
      <w:r w:rsidR="000D7943">
        <w:t xml:space="preserve">ould halt </w:t>
      </w:r>
      <w:r w:rsidRPr="00455CC8" w:rsidR="00455CC8">
        <w:t xml:space="preserve">authorized projects </w:t>
      </w:r>
      <w:r w:rsidR="001D58B4">
        <w:t xml:space="preserve">that have been </w:t>
      </w:r>
      <w:r w:rsidR="00BB6B2C">
        <w:t>under development for many years</w:t>
      </w:r>
      <w:r w:rsidR="001D58B4">
        <w:t xml:space="preserve">.  </w:t>
      </w:r>
    </w:p>
    <w:p w:rsidR="00900EF6" w:rsidP="003572EE" w:rsidRDefault="009F1B0B" w14:paraId="1D913757" w14:textId="614BA6A3">
      <w:pPr>
        <w:pStyle w:val="Standard"/>
      </w:pPr>
      <w:r>
        <w:t xml:space="preserve">SDG&amp;E contends that work undertaken </w:t>
      </w:r>
      <w:r w:rsidR="00450788">
        <w:t>according</w:t>
      </w:r>
      <w:r>
        <w:t xml:space="preserve"> to the gas </w:t>
      </w:r>
      <w:r w:rsidR="003572EE">
        <w:t xml:space="preserve">PSEP </w:t>
      </w:r>
      <w:r>
        <w:t>plans required in D.11-06-017</w:t>
      </w:r>
      <w:r w:rsidR="003572EE">
        <w:t xml:space="preserve"> or D.14-06-007</w:t>
      </w:r>
      <w:r w:rsidR="00450788">
        <w:t>,</w:t>
      </w:r>
      <w:r w:rsidR="003572EE">
        <w:t xml:space="preserve"> pursuant to</w:t>
      </w:r>
      <w:r>
        <w:t xml:space="preserve"> Pub. Util. Section 958</w:t>
      </w:r>
      <w:r w:rsidR="00450788">
        <w:t>,</w:t>
      </w:r>
      <w:r w:rsidR="003572EE">
        <w:t xml:space="preserve"> </w:t>
      </w:r>
      <w:r>
        <w:t xml:space="preserve">should be exempt from </w:t>
      </w:r>
      <w:r w:rsidR="00FC31EE">
        <w:t xml:space="preserve">the </w:t>
      </w:r>
      <w:r>
        <w:t>application requirement.</w:t>
      </w:r>
      <w:r w:rsidR="003572EE">
        <w:t xml:space="preserve">  </w:t>
      </w:r>
      <w:r w:rsidR="00900EF6">
        <w:t xml:space="preserve">SDG&amp;E opposes the intervenor’s proposals </w:t>
      </w:r>
      <w:r w:rsidR="003572EE">
        <w:t xml:space="preserve">for defining work “currently in process,” stating </w:t>
      </w:r>
      <w:r w:rsidR="00900EF6">
        <w:t xml:space="preserve">that adopting them could cause delays of up to 38 months for necessary safety or reliability work. </w:t>
      </w:r>
    </w:p>
    <w:p w:rsidR="003D5856" w:rsidP="003572EE" w:rsidRDefault="003D5856" w14:paraId="39E68AF2" w14:textId="45F68FDB">
      <w:pPr>
        <w:pStyle w:val="Standard"/>
      </w:pPr>
      <w:r>
        <w:t xml:space="preserve">In comments on the proposed decision, SoCalGas and SDG&amp;E suggest that the </w:t>
      </w:r>
      <w:r w:rsidR="00D16074">
        <w:t xml:space="preserve">“grandfathering” clause should be revised to include projects </w:t>
      </w:r>
      <w:r w:rsidRPr="002E4B14" w:rsidR="002E4B14">
        <w:t>that have submitted an application for the approval of a compliance project from an air district, prior to the effective date of th</w:t>
      </w:r>
      <w:r w:rsidR="000F04D4">
        <w:t xml:space="preserve">e GO. </w:t>
      </w:r>
      <w:r w:rsidR="002E4B14">
        <w:t xml:space="preserve"> </w:t>
      </w:r>
    </w:p>
    <w:p w:rsidRPr="008E74D7" w:rsidR="0039161B" w:rsidP="0009044A" w:rsidRDefault="00B32C9D" w14:paraId="7E226514" w14:textId="0737600C">
      <w:pPr>
        <w:pStyle w:val="Heading3"/>
      </w:pPr>
      <w:bookmarkStart w:name="_Toc120692851" w:id="93"/>
      <w:r>
        <w:lastRenderedPageBreak/>
        <w:t xml:space="preserve">Adopting a Modified Version of Staff’s Proposed Exemption </w:t>
      </w:r>
      <w:r w:rsidR="00005777">
        <w:t>Section IV(3)</w:t>
      </w:r>
      <w:r>
        <w:t>(</w:t>
      </w:r>
      <w:r w:rsidR="008203A0">
        <w:t>g</w:t>
      </w:r>
      <w:r w:rsidR="00D70303">
        <w:t>)</w:t>
      </w:r>
      <w:r w:rsidR="00F61FEA">
        <w:t xml:space="preserve">, </w:t>
      </w:r>
      <w:r w:rsidRPr="008203A0" w:rsidR="008203A0">
        <w:t>Projects Previously Approved by this Commission</w:t>
      </w:r>
      <w:bookmarkEnd w:id="93"/>
    </w:p>
    <w:p w:rsidR="009F25B0" w:rsidP="00847E7D" w:rsidRDefault="00E8437B" w14:paraId="38AC6587" w14:textId="6F76FAA5">
      <w:pPr>
        <w:pStyle w:val="Standard"/>
      </w:pPr>
      <w:r>
        <w:t>We modify Staff’s proposed exemption (</w:t>
      </w:r>
      <w:r w:rsidR="00EA0068">
        <w:t>g</w:t>
      </w:r>
      <w:r>
        <w:t>)</w:t>
      </w:r>
      <w:r w:rsidR="002A63FC">
        <w:t xml:space="preserve"> to address previously approved projects.  We determine that p</w:t>
      </w:r>
      <w:r w:rsidRPr="002A63FC" w:rsidR="002A63FC">
        <w:t>rojects that have a</w:t>
      </w:r>
      <w:r w:rsidR="0085306F">
        <w:t xml:space="preserve"> scheduled </w:t>
      </w:r>
      <w:r w:rsidRPr="002A63FC" w:rsidR="002A63FC">
        <w:t>in-service date</w:t>
      </w:r>
      <w:r w:rsidR="0085306F">
        <w:t xml:space="preserve"> occurring </w:t>
      </w:r>
      <w:r w:rsidR="0096443A">
        <w:t xml:space="preserve"> </w:t>
      </w:r>
      <w:r w:rsidRPr="002A63FC" w:rsidR="002A63FC">
        <w:t>before January 1, 2024</w:t>
      </w:r>
      <w:r w:rsidR="00D56FE3">
        <w:t>, and p</w:t>
      </w:r>
      <w:r w:rsidRPr="00D56FE3" w:rsidR="00D56FE3">
        <w:t>rojects for which an application for approval has been submitted to an air quality management district for compliance with an environmental rule</w:t>
      </w:r>
      <w:r w:rsidR="0036776A">
        <w:t>,</w:t>
      </w:r>
      <w:r w:rsidRPr="00D56FE3" w:rsidR="00D56FE3">
        <w:t xml:space="preserve"> prior to the effective date of this </w:t>
      </w:r>
      <w:r w:rsidR="000F04D4">
        <w:t xml:space="preserve">GO, </w:t>
      </w:r>
      <w:r w:rsidR="002A63FC">
        <w:t xml:space="preserve">shall be exempt from filing a </w:t>
      </w:r>
      <w:r w:rsidR="00450788">
        <w:t>CPCN</w:t>
      </w:r>
      <w:r w:rsidR="002A63FC">
        <w:t xml:space="preserve"> application.</w:t>
      </w:r>
      <w:r w:rsidR="00847E7D">
        <w:t xml:space="preserve">  </w:t>
      </w:r>
      <w:r w:rsidR="00C66FFD">
        <w:t xml:space="preserve">We agree with PG&amp;E that significant </w:t>
      </w:r>
      <w:r w:rsidR="00F93288">
        <w:t xml:space="preserve">work and </w:t>
      </w:r>
      <w:r w:rsidR="00C66FFD">
        <w:t>costs</w:t>
      </w:r>
      <w:r w:rsidR="00F93288">
        <w:t xml:space="preserve"> are incurred to bring large infrastructure projects to the point of readiness to apply for required permits, of which there may be man</w:t>
      </w:r>
      <w:r w:rsidR="00BF2AD6">
        <w:t xml:space="preserve">y.  </w:t>
      </w:r>
      <w:r w:rsidR="00847E7D">
        <w:t xml:space="preserve">However, PG&amp;E did not provide us with </w:t>
      </w:r>
      <w:r w:rsidR="006C6DF7">
        <w:t xml:space="preserve">information </w:t>
      </w:r>
      <w:r w:rsidR="00C807E8">
        <w:t>to substantiate this concern</w:t>
      </w:r>
      <w:r w:rsidR="00285EA3">
        <w:t xml:space="preserve"> </w:t>
      </w:r>
      <w:r w:rsidR="00C807E8">
        <w:t xml:space="preserve">or identify </w:t>
      </w:r>
      <w:r w:rsidR="006C6DF7">
        <w:t xml:space="preserve">the types of projects it may be referring to.  </w:t>
      </w:r>
      <w:r w:rsidR="007D3FDF">
        <w:t xml:space="preserve">The record of this proceeding lacks information on how significant </w:t>
      </w:r>
      <w:r w:rsidR="000E51F8">
        <w:t xml:space="preserve">the </w:t>
      </w:r>
      <w:r w:rsidR="007D3FDF">
        <w:t xml:space="preserve">expenses incurred to bring a </w:t>
      </w:r>
      <w:r w:rsidR="0078700A">
        <w:t xml:space="preserve">project to the permitting application stage </w:t>
      </w:r>
      <w:r w:rsidR="000E51F8">
        <w:t>might be</w:t>
      </w:r>
      <w:r w:rsidR="00C313B2">
        <w:t xml:space="preserve">. </w:t>
      </w:r>
      <w:r w:rsidR="00511713">
        <w:t xml:space="preserve"> </w:t>
      </w:r>
      <w:r w:rsidR="00986BAE">
        <w:t xml:space="preserve">We anticipate that </w:t>
      </w:r>
      <w:r w:rsidR="00AD7E36">
        <w:t>many such projects</w:t>
      </w:r>
      <w:r w:rsidR="004C441C">
        <w:t xml:space="preserve"> are likely to</w:t>
      </w:r>
      <w:r w:rsidR="00AD7E36">
        <w:t xml:space="preserve"> be exempt under other provisions of </w:t>
      </w:r>
      <w:r w:rsidR="00986BAE">
        <w:t xml:space="preserve">the </w:t>
      </w:r>
      <w:r w:rsidR="005459A7">
        <w:t>GO</w:t>
      </w:r>
      <w:r w:rsidR="00AD7E36">
        <w:t>.</w:t>
      </w:r>
      <w:r w:rsidR="00286061">
        <w:t xml:space="preserve"> </w:t>
      </w:r>
      <w:r w:rsidR="00AD7E36">
        <w:t xml:space="preserve"> </w:t>
      </w:r>
    </w:p>
    <w:p w:rsidR="00C33F66" w:rsidP="00847E7D" w:rsidRDefault="00AD7E36" w14:paraId="01183144" w14:textId="506B442C">
      <w:pPr>
        <w:pStyle w:val="Standard"/>
      </w:pPr>
      <w:r>
        <w:t xml:space="preserve">It is reasonable that we </w:t>
      </w:r>
      <w:r w:rsidR="00161237">
        <w:t xml:space="preserve">require </w:t>
      </w:r>
      <w:r w:rsidR="00450788">
        <w:t>CPCN</w:t>
      </w:r>
      <w:r w:rsidR="00161237">
        <w:t xml:space="preserve"> applications for </w:t>
      </w:r>
      <w:r>
        <w:t xml:space="preserve">projects </w:t>
      </w:r>
      <w:r w:rsidR="009E1EC6">
        <w:t>with a scheduled</w:t>
      </w:r>
      <w:r w:rsidR="00C04BE8">
        <w:t xml:space="preserve"> in-service </w:t>
      </w:r>
      <w:r w:rsidR="009E1EC6">
        <w:t xml:space="preserve">date </w:t>
      </w:r>
      <w:r w:rsidR="00C04BE8">
        <w:t xml:space="preserve">on or after January 1, 2024 that are </w:t>
      </w:r>
      <w:r>
        <w:t xml:space="preserve">not </w:t>
      </w:r>
      <w:r w:rsidR="00161237">
        <w:t>otherwise exempt</w:t>
      </w:r>
      <w:r w:rsidR="00C04BE8">
        <w:t>.</w:t>
      </w:r>
      <w:r w:rsidR="00D44B5A">
        <w:t xml:space="preserve"> </w:t>
      </w:r>
      <w:r w:rsidR="00200405">
        <w:t xml:space="preserve"> </w:t>
      </w:r>
      <w:r w:rsidR="00D44B5A">
        <w:t xml:space="preserve">Adopting an in-service date that is over 12 months away from the date of this decision </w:t>
      </w:r>
      <w:r w:rsidR="002C2039">
        <w:t>give</w:t>
      </w:r>
      <w:r w:rsidR="0064532D">
        <w:t>s</w:t>
      </w:r>
      <w:r w:rsidR="002C2039">
        <w:t xml:space="preserve"> utilities </w:t>
      </w:r>
      <w:r w:rsidR="00844649">
        <w:t xml:space="preserve">sufficient planning and </w:t>
      </w:r>
      <w:r w:rsidR="002C2039">
        <w:t>lead time</w:t>
      </w:r>
      <w:r w:rsidR="00200405">
        <w:t xml:space="preserve"> while </w:t>
      </w:r>
      <w:r w:rsidR="006608D7">
        <w:t>exempt</w:t>
      </w:r>
      <w:r w:rsidR="00200405">
        <w:t>ing</w:t>
      </w:r>
      <w:r w:rsidR="006608D7">
        <w:t xml:space="preserve"> </w:t>
      </w:r>
      <w:r w:rsidR="002C2039">
        <w:t xml:space="preserve">projects that are relatively close to fruition. </w:t>
      </w:r>
    </w:p>
    <w:p w:rsidR="00845207" w:rsidP="00847E7D" w:rsidRDefault="00845207" w14:paraId="3F557E30" w14:textId="229FBF3D">
      <w:pPr>
        <w:pStyle w:val="Standard"/>
      </w:pPr>
      <w:r>
        <w:t xml:space="preserve">Likewise, it is reasonable to exempt from </w:t>
      </w:r>
      <w:r w:rsidR="009023C2">
        <w:t xml:space="preserve">a CPCN application requirement projects </w:t>
      </w:r>
      <w:r w:rsidRPr="00D56FE3" w:rsidR="009023C2">
        <w:t xml:space="preserve">for which an application for approval has been submitted to an air quality management district for compliance with an environmental rule prior to the effective date of this </w:t>
      </w:r>
      <w:r w:rsidR="009023C2">
        <w:t xml:space="preserve">GO.  </w:t>
      </w:r>
      <w:r w:rsidR="0007338B">
        <w:t xml:space="preserve">Including this exemption allows projects planned to comply with local air quality management district environmental </w:t>
      </w:r>
      <w:r w:rsidR="0007338B">
        <w:lastRenderedPageBreak/>
        <w:t xml:space="preserve">requirements that </w:t>
      </w:r>
      <w:r w:rsidR="00C92AC7">
        <w:t xml:space="preserve">required substantive time and resources to develop </w:t>
      </w:r>
      <w:r w:rsidR="000D56C4">
        <w:t xml:space="preserve">to </w:t>
      </w:r>
      <w:r w:rsidR="0007338B">
        <w:t xml:space="preserve">move forward in a streamlined fashion. </w:t>
      </w:r>
    </w:p>
    <w:p w:rsidR="009F25B0" w:rsidP="009F25B0" w:rsidRDefault="009F25B0" w14:paraId="76A9D75E" w14:textId="26A5DECE">
      <w:pPr>
        <w:pStyle w:val="Standard"/>
      </w:pPr>
      <w:r>
        <w:t>We agree with parties that Section IV(A)(3)(g) of the Staff Proposal – which recommends that “</w:t>
      </w:r>
      <w:r w:rsidRPr="00BF0E44">
        <w:t>projects previously approved in a General Rate Case or other Commission decision which are currently underway</w:t>
      </w:r>
      <w:r>
        <w:t>” should be exempt from the application – lacks clarity and is subject to interpretation</w:t>
      </w:r>
      <w:r w:rsidR="008E0528">
        <w:t xml:space="preserve"> without the adopted clarification</w:t>
      </w:r>
      <w:r>
        <w:t xml:space="preserve">.    </w:t>
      </w:r>
    </w:p>
    <w:p w:rsidRPr="00E268E0" w:rsidR="009E24B1" w:rsidP="00E268E0" w:rsidRDefault="009E24B1" w14:paraId="2E11AC0E" w14:textId="7B3242F8">
      <w:pPr>
        <w:pStyle w:val="Standard"/>
        <w:rPr>
          <w:bCs/>
        </w:rPr>
      </w:pPr>
      <w:r w:rsidRPr="009E24B1">
        <w:t xml:space="preserve">Within 60 days of </w:t>
      </w:r>
      <w:r w:rsidR="005801D9">
        <w:t>issuance</w:t>
      </w:r>
      <w:r w:rsidRPr="009E24B1">
        <w:t xml:space="preserve"> of this decision, each </w:t>
      </w:r>
      <w:r w:rsidRPr="003E2708">
        <w:t>respondent</w:t>
      </w:r>
      <w:r w:rsidRPr="009E24B1">
        <w:t xml:space="preserve"> gas utility</w:t>
      </w:r>
      <w:r w:rsidR="00434794">
        <w:rPr>
          <w:rStyle w:val="FootnoteReference"/>
        </w:rPr>
        <w:footnoteReference w:id="46"/>
      </w:r>
      <w:r w:rsidRPr="009E24B1">
        <w:t xml:space="preserve"> shall file and serve a list of gas infrastructure projects </w:t>
      </w:r>
      <w:r w:rsidRPr="00E045A1" w:rsidR="00F04DCE">
        <w:rPr>
          <w:bCs/>
        </w:rPr>
        <w:t xml:space="preserve">that </w:t>
      </w:r>
      <w:r w:rsidR="00F04DCE">
        <w:rPr>
          <w:bCs/>
        </w:rPr>
        <w:t xml:space="preserve">are </w:t>
      </w:r>
      <w:r w:rsidRPr="00E045A1" w:rsidR="00F04DCE">
        <w:rPr>
          <w:bCs/>
        </w:rPr>
        <w:t xml:space="preserve">scheduled to be in-service </w:t>
      </w:r>
      <w:r w:rsidR="00F04DCE">
        <w:rPr>
          <w:bCs/>
        </w:rPr>
        <w:t>before</w:t>
      </w:r>
      <w:r w:rsidRPr="00E045A1" w:rsidR="00F04DCE">
        <w:rPr>
          <w:bCs/>
        </w:rPr>
        <w:t xml:space="preserve"> January 1, 2024</w:t>
      </w:r>
      <w:r w:rsidR="00F04DCE">
        <w:rPr>
          <w:bCs/>
        </w:rPr>
        <w:t xml:space="preserve"> that have a </w:t>
      </w:r>
      <w:r w:rsidRPr="00E045A1">
        <w:rPr>
          <w:bCs/>
        </w:rPr>
        <w:t>cost exceeding $75</w:t>
      </w:r>
      <w:r w:rsidR="00511713">
        <w:rPr>
          <w:bCs/>
        </w:rPr>
        <w:t> </w:t>
      </w:r>
      <w:r w:rsidRPr="00E045A1">
        <w:rPr>
          <w:bCs/>
        </w:rPr>
        <w:t xml:space="preserve">million or </w:t>
      </w:r>
      <w:r w:rsidR="00E268E0">
        <w:rPr>
          <w:bCs/>
        </w:rPr>
        <w:t xml:space="preserve">where </w:t>
      </w:r>
      <w:r w:rsidRPr="00B1026D" w:rsidR="00E268E0">
        <w:rPr>
          <w:bCs/>
        </w:rPr>
        <w:t xml:space="preserve">(1) </w:t>
      </w:r>
      <w:r w:rsidRPr="00E268E0" w:rsidR="00E268E0">
        <w:rPr>
          <w:bCs/>
        </w:rPr>
        <w:t xml:space="preserve">the </w:t>
      </w:r>
      <w:r w:rsidRPr="00B1026D" w:rsidR="00E268E0">
        <w:rPr>
          <w:bCs/>
        </w:rPr>
        <w:t xml:space="preserve">project is located within 1,000 feet of a sensitive receptor; and (2) operation of the completed project </w:t>
      </w:r>
      <w:r w:rsidRPr="00E268E0" w:rsidR="00E268E0">
        <w:rPr>
          <w:bCs/>
        </w:rPr>
        <w:t xml:space="preserve">by the gas corporation </w:t>
      </w:r>
      <w:r w:rsidRPr="00B1026D" w:rsidR="00E268E0">
        <w:rPr>
          <w:bCs/>
        </w:rPr>
        <w:t>requires a permit from the relevant local air quality district for</w:t>
      </w:r>
      <w:r w:rsidR="00F04584">
        <w:rPr>
          <w:bCs/>
        </w:rPr>
        <w:t xml:space="preserve">: </w:t>
      </w:r>
      <w:r w:rsidRPr="00B1026D" w:rsidR="00E268E0">
        <w:rPr>
          <w:bCs/>
        </w:rPr>
        <w:t xml:space="preserve">(a) </w:t>
      </w:r>
      <w:r w:rsidR="00F04584">
        <w:rPr>
          <w:bCs/>
        </w:rPr>
        <w:t xml:space="preserve">an increase in levels of </w:t>
      </w:r>
      <w:r w:rsidRPr="00B1026D" w:rsidR="00E268E0">
        <w:rPr>
          <w:bCs/>
        </w:rPr>
        <w:t>a toxic air contaminant;</w:t>
      </w:r>
      <w:r w:rsidR="00F04584">
        <w:rPr>
          <w:rStyle w:val="FootnoteReference"/>
          <w:bCs/>
        </w:rPr>
        <w:footnoteReference w:id="47"/>
      </w:r>
      <w:r w:rsidRPr="00B1026D" w:rsidR="00E268E0">
        <w:rPr>
          <w:bCs/>
        </w:rPr>
        <w:t xml:space="preserve"> or (b) </w:t>
      </w:r>
      <w:r w:rsidR="00954DD6">
        <w:rPr>
          <w:bCs/>
        </w:rPr>
        <w:t xml:space="preserve">an increase in levels of </w:t>
      </w:r>
      <w:r w:rsidRPr="00B1026D" w:rsidR="00E268E0">
        <w:rPr>
          <w:bCs/>
        </w:rPr>
        <w:t>a criteria air pollutant</w:t>
      </w:r>
      <w:r w:rsidRPr="00E268E0" w:rsidR="00E268E0">
        <w:rPr>
          <w:bCs/>
        </w:rPr>
        <w:t>,</w:t>
      </w:r>
      <w:r w:rsidRPr="00B1026D" w:rsidR="00E268E0">
        <w:rPr>
          <w:bCs/>
        </w:rPr>
        <w:t xml:space="preserve"> if the area is listed as a serious, severe, or extreme non-attainment area for that pollutant</w:t>
      </w:r>
      <w:r w:rsidRPr="00E045A1" w:rsidR="002E6623">
        <w:rPr>
          <w:bCs/>
        </w:rPr>
        <w:t xml:space="preserve">.  </w:t>
      </w:r>
      <w:r w:rsidR="00980C99">
        <w:rPr>
          <w:bCs/>
        </w:rPr>
        <w:t>Each respond</w:t>
      </w:r>
      <w:r w:rsidR="005A08C7">
        <w:rPr>
          <w:bCs/>
        </w:rPr>
        <w:t xml:space="preserve">ent </w:t>
      </w:r>
      <w:r w:rsidR="00DA2DA4">
        <w:rPr>
          <w:bCs/>
        </w:rPr>
        <w:t>shall include in t</w:t>
      </w:r>
      <w:r w:rsidR="005A08C7">
        <w:rPr>
          <w:bCs/>
        </w:rPr>
        <w:t>his list</w:t>
      </w:r>
      <w:r w:rsidR="00DA2DA4">
        <w:rPr>
          <w:bCs/>
        </w:rPr>
        <w:t xml:space="preserve">, clearly indicated, </w:t>
      </w:r>
      <w:r w:rsidR="005A08C7">
        <w:t>p</w:t>
      </w:r>
      <w:r w:rsidRPr="00D56FE3" w:rsidR="005A08C7">
        <w:t>rojects for which an application for approval has been submitted to an air quality management district for compliance with an environmental rule</w:t>
      </w:r>
      <w:r w:rsidR="00D932C5">
        <w:t>,</w:t>
      </w:r>
      <w:r w:rsidRPr="00D56FE3" w:rsidR="005A08C7">
        <w:t xml:space="preserve"> prior to the effective date of this </w:t>
      </w:r>
      <w:r w:rsidR="005A08C7">
        <w:t xml:space="preserve">GO.  </w:t>
      </w:r>
      <w:r w:rsidRPr="00E045A1" w:rsidR="002E6623">
        <w:rPr>
          <w:bCs/>
        </w:rPr>
        <w:t xml:space="preserve">Each respondent gas utility shall </w:t>
      </w:r>
      <w:r w:rsidRPr="00E045A1">
        <w:rPr>
          <w:bCs/>
        </w:rPr>
        <w:t>provid</w:t>
      </w:r>
      <w:r w:rsidRPr="00E045A1" w:rsidR="002E6623">
        <w:rPr>
          <w:bCs/>
        </w:rPr>
        <w:t>e</w:t>
      </w:r>
      <w:r w:rsidR="008E0528">
        <w:rPr>
          <w:bCs/>
        </w:rPr>
        <w:t>,</w:t>
      </w:r>
      <w:r w:rsidRPr="00E045A1" w:rsidR="002E6623">
        <w:rPr>
          <w:bCs/>
        </w:rPr>
        <w:t xml:space="preserve"> </w:t>
      </w:r>
      <w:r w:rsidRPr="00E045A1">
        <w:rPr>
          <w:bCs/>
        </w:rPr>
        <w:t>for each project listed</w:t>
      </w:r>
      <w:r w:rsidR="008E0528">
        <w:rPr>
          <w:bCs/>
        </w:rPr>
        <w:t>,</w:t>
      </w:r>
      <w:r w:rsidRPr="00E045A1">
        <w:rPr>
          <w:bCs/>
        </w:rPr>
        <w:t xml:space="preserve"> the information</w:t>
      </w:r>
      <w:r w:rsidRPr="009E24B1">
        <w:rPr>
          <w:bCs/>
        </w:rPr>
        <w:t xml:space="preserve"> </w:t>
      </w:r>
      <w:r w:rsidR="002E6623">
        <w:rPr>
          <w:bCs/>
        </w:rPr>
        <w:t>identified</w:t>
      </w:r>
      <w:r w:rsidRPr="009E24B1">
        <w:rPr>
          <w:bCs/>
        </w:rPr>
        <w:t xml:space="preserve"> in Section V(C)(2) of </w:t>
      </w:r>
      <w:r w:rsidR="002E6623">
        <w:rPr>
          <w:bCs/>
        </w:rPr>
        <w:t xml:space="preserve">the adopted </w:t>
      </w:r>
      <w:r w:rsidR="005459A7">
        <w:rPr>
          <w:bCs/>
        </w:rPr>
        <w:t>GO</w:t>
      </w:r>
      <w:r w:rsidR="002E6623">
        <w:rPr>
          <w:bCs/>
        </w:rPr>
        <w:t>.</w:t>
      </w:r>
    </w:p>
    <w:p w:rsidR="005325A0" w:rsidP="0009044A" w:rsidRDefault="00A620F8" w14:paraId="7D1F933C" w14:textId="3228E78A">
      <w:pPr>
        <w:pStyle w:val="Heading2"/>
      </w:pPr>
      <w:bookmarkStart w:name="_Toc120692852" w:id="94"/>
      <w:r w:rsidRPr="00FB6E6B">
        <w:lastRenderedPageBreak/>
        <w:t>Additional</w:t>
      </w:r>
      <w:r>
        <w:t xml:space="preserve"> Exemptions </w:t>
      </w:r>
      <w:r w:rsidR="00C22A55">
        <w:br/>
      </w:r>
      <w:r>
        <w:t>Proposed by Parties</w:t>
      </w:r>
      <w:bookmarkEnd w:id="94"/>
    </w:p>
    <w:p w:rsidR="00A620F8" w:rsidP="0009044A" w:rsidRDefault="00422F50" w14:paraId="7AB84935" w14:textId="5AA0DE29">
      <w:pPr>
        <w:pStyle w:val="Heading3"/>
      </w:pPr>
      <w:bookmarkStart w:name="_Toc120692853" w:id="95"/>
      <w:r>
        <w:t>Party Proposals</w:t>
      </w:r>
      <w:bookmarkEnd w:id="95"/>
      <w:r>
        <w:t xml:space="preserve"> </w:t>
      </w:r>
    </w:p>
    <w:p w:rsidR="00422F50" w:rsidP="00422F50" w:rsidRDefault="004E1BAD" w14:paraId="3B73A7FA" w14:textId="738B6D48">
      <w:pPr>
        <w:pStyle w:val="Standard"/>
      </w:pPr>
      <w:r>
        <w:t>In response to the June 27, 2022 ALJ ruling, several parties</w:t>
      </w:r>
      <w:r w:rsidR="006B4C57">
        <w:t xml:space="preserve"> </w:t>
      </w:r>
      <w:r w:rsidR="00422F50">
        <w:t>propose additional exemptions from</w:t>
      </w:r>
      <w:r>
        <w:t xml:space="preserve"> </w:t>
      </w:r>
      <w:r w:rsidR="00450788">
        <w:t>an</w:t>
      </w:r>
      <w:r>
        <w:t xml:space="preserve"> application requirement</w:t>
      </w:r>
      <w:r w:rsidR="00422F50">
        <w:t xml:space="preserve">. </w:t>
      </w:r>
      <w:r w:rsidR="002E0110">
        <w:t xml:space="preserve"> </w:t>
      </w:r>
      <w:r w:rsidR="00076249">
        <w:t>P</w:t>
      </w:r>
      <w:r w:rsidR="00161021">
        <w:t xml:space="preserve">G&amp;E and SDG&amp;E </w:t>
      </w:r>
      <w:r w:rsidR="00076249">
        <w:t xml:space="preserve">propose the Commission exempt from </w:t>
      </w:r>
      <w:r w:rsidR="00450788">
        <w:t>an</w:t>
      </w:r>
      <w:r w:rsidR="00076249">
        <w:t xml:space="preserve"> application requirement</w:t>
      </w:r>
      <w:r w:rsidR="00964C28">
        <w:t xml:space="preserve"> the following</w:t>
      </w:r>
      <w:r w:rsidR="00076249">
        <w:t xml:space="preserve">: </w:t>
      </w:r>
    </w:p>
    <w:p w:rsidRPr="009F25B0" w:rsidR="002F3732" w:rsidP="0009044A" w:rsidRDefault="002F3732" w14:paraId="1B6AFED9" w14:textId="13F62DDD">
      <w:pPr>
        <w:pStyle w:val="ListAlpha"/>
        <w:ind w:right="1440"/>
      </w:pPr>
      <w:r w:rsidRPr="00FB6E6B">
        <w:t>Projects</w:t>
      </w:r>
      <w:r w:rsidRPr="009F25B0">
        <w:t xml:space="preserve"> in an existing franchise or public utility easement</w:t>
      </w:r>
      <w:r w:rsidRPr="009F25B0" w:rsidR="00076249">
        <w:t xml:space="preserve">; </w:t>
      </w:r>
    </w:p>
    <w:p w:rsidRPr="009F25B0" w:rsidR="00BA0738" w:rsidP="0009044A" w:rsidRDefault="00BA0738" w14:paraId="047A88B0" w14:textId="7B2ED7BF">
      <w:pPr>
        <w:pStyle w:val="ListAlpha"/>
        <w:ind w:right="1440"/>
      </w:pPr>
      <w:r w:rsidRPr="009F25B0">
        <w:t>Projects required for reliability purpose</w:t>
      </w:r>
      <w:r w:rsidRPr="009F25B0" w:rsidR="00421161">
        <w:t xml:space="preserve">s; and, </w:t>
      </w:r>
    </w:p>
    <w:p w:rsidRPr="009F25B0" w:rsidR="00421161" w:rsidP="0009044A" w:rsidRDefault="00421161" w14:paraId="08282DFF" w14:textId="74D7CD20">
      <w:pPr>
        <w:pStyle w:val="ListAlpha"/>
        <w:ind w:right="1440"/>
      </w:pPr>
      <w:r w:rsidRPr="009F25B0">
        <w:t>Projects statutorily or categorically exempt from CEQA.</w:t>
      </w:r>
    </w:p>
    <w:p w:rsidR="003C0816" w:rsidP="003C0816" w:rsidRDefault="003C0816" w14:paraId="2B67A1DF" w14:textId="44615B87">
      <w:pPr>
        <w:pStyle w:val="Standard"/>
      </w:pPr>
      <w:r w:rsidRPr="003C0816">
        <w:t xml:space="preserve">CVGS requests the Commission clarify that projects undertaken by independent storage providers included within the scope of existing CPCN and CEQA approvals are exempt from </w:t>
      </w:r>
      <w:r w:rsidR="00BD5AB4">
        <w:t xml:space="preserve">any additional application requirements.  </w:t>
      </w:r>
      <w:r w:rsidRPr="003C0816">
        <w:t xml:space="preserve">CVGS identifies the natural </w:t>
      </w:r>
      <w:r w:rsidR="00BD5AB4">
        <w:t xml:space="preserve">gas </w:t>
      </w:r>
      <w:r w:rsidRPr="003C0816">
        <w:t>facility approved</w:t>
      </w:r>
      <w:r w:rsidR="00BD5AB4">
        <w:t xml:space="preserve"> by the Commission</w:t>
      </w:r>
      <w:r w:rsidRPr="003C0816">
        <w:t xml:space="preserve"> in D.10</w:t>
      </w:r>
      <w:r w:rsidR="00511713">
        <w:noBreakHyphen/>
      </w:r>
      <w:r w:rsidRPr="003C0816">
        <w:t>10</w:t>
      </w:r>
      <w:r w:rsidR="00511713">
        <w:noBreakHyphen/>
      </w:r>
      <w:r w:rsidRPr="003C0816">
        <w:t xml:space="preserve">001 as an example of the type of storage project that should be exempt from </w:t>
      </w:r>
      <w:r w:rsidR="00450788">
        <w:t>an</w:t>
      </w:r>
      <w:r w:rsidR="008046E6">
        <w:t>y</w:t>
      </w:r>
      <w:r w:rsidR="005068E5">
        <w:t xml:space="preserve"> </w:t>
      </w:r>
      <w:r w:rsidR="008046E6">
        <w:t xml:space="preserve">additional </w:t>
      </w:r>
      <w:r w:rsidR="005068E5">
        <w:t xml:space="preserve">application requirement.  </w:t>
      </w:r>
    </w:p>
    <w:p w:rsidR="00E364AD" w:rsidP="0009044A" w:rsidRDefault="00D77442" w14:paraId="3B3687F1" w14:textId="260021DA">
      <w:pPr>
        <w:pStyle w:val="Heading3"/>
      </w:pPr>
      <w:bookmarkStart w:name="_Toc120692854" w:id="96"/>
      <w:r>
        <w:t xml:space="preserve">Party </w:t>
      </w:r>
      <w:r w:rsidR="006039E6">
        <w:t>Comments</w:t>
      </w:r>
      <w:bookmarkEnd w:id="96"/>
      <w:r w:rsidR="006039E6">
        <w:t xml:space="preserve"> </w:t>
      </w:r>
    </w:p>
    <w:p w:rsidR="006039E6" w:rsidP="00AC7C56" w:rsidRDefault="0017339A" w14:paraId="76B8FCCC" w14:textId="4198D9E6">
      <w:pPr>
        <w:pStyle w:val="Standard"/>
      </w:pPr>
      <w:r w:rsidRPr="0017339A">
        <w:t>Sierra Club</w:t>
      </w:r>
      <w:r w:rsidR="00D77442">
        <w:t xml:space="preserve">/CEJA/RMI oppose </w:t>
      </w:r>
      <w:r w:rsidR="00433F51">
        <w:t xml:space="preserve">the additional </w:t>
      </w:r>
      <w:r w:rsidRPr="0017339A">
        <w:t xml:space="preserve">exemptions </w:t>
      </w:r>
      <w:r w:rsidR="00DD4CA2">
        <w:t xml:space="preserve">from application requirements </w:t>
      </w:r>
      <w:r w:rsidR="00433F51">
        <w:t>proposed by SDG&amp;E and PG&amp;E</w:t>
      </w:r>
      <w:r w:rsidRPr="0017339A">
        <w:t>.</w:t>
      </w:r>
      <w:r w:rsidR="00DD4CA2">
        <w:t xml:space="preserve">  </w:t>
      </w:r>
    </w:p>
    <w:p w:rsidRPr="006039E6" w:rsidR="002355CC" w:rsidP="002355CC" w:rsidRDefault="002355CC" w14:paraId="786453B8" w14:textId="54F9BA57">
      <w:pPr>
        <w:pStyle w:val="Standard"/>
      </w:pPr>
      <w:r w:rsidRPr="002355CC">
        <w:t>UCAN opposes CVGS’s proposal, stating that if a substantial expansion such as the installation of a compressor station is planned, the project should be required to file an additional application.</w:t>
      </w:r>
    </w:p>
    <w:p w:rsidR="006039E6" w:rsidP="0009044A" w:rsidRDefault="00421161" w14:paraId="1E75E5E9" w14:textId="7C988F72">
      <w:pPr>
        <w:pStyle w:val="Heading3"/>
      </w:pPr>
      <w:bookmarkStart w:name="_Toc120692855" w:id="97"/>
      <w:r>
        <w:t xml:space="preserve">Declining to </w:t>
      </w:r>
      <w:r w:rsidR="002355CC">
        <w:t>Adopt</w:t>
      </w:r>
      <w:r>
        <w:t xml:space="preserve"> Additional </w:t>
      </w:r>
      <w:r w:rsidRPr="00FB6E6B" w:rsidR="002355CC">
        <w:t>Exemption</w:t>
      </w:r>
      <w:r w:rsidRPr="00FB6E6B">
        <w:t>s</w:t>
      </w:r>
      <w:bookmarkEnd w:id="97"/>
    </w:p>
    <w:p w:rsidR="003D6965" w:rsidP="00FF4C81" w:rsidRDefault="00421161" w14:paraId="54E277AB" w14:textId="404B10A8">
      <w:pPr>
        <w:pStyle w:val="Standard"/>
      </w:pPr>
      <w:r>
        <w:t xml:space="preserve">We do not adopt any of the additional exemptions proposed by parties. </w:t>
      </w:r>
      <w:r w:rsidR="003D6965">
        <w:t xml:space="preserve">These exemptions are too broad as proposed.  </w:t>
      </w:r>
      <w:r w:rsidRPr="00520573" w:rsidR="0054317D">
        <w:t xml:space="preserve">In </w:t>
      </w:r>
      <w:r w:rsidR="00FD0338">
        <w:t>S</w:t>
      </w:r>
      <w:r w:rsidRPr="008A1E09" w:rsidR="0054317D">
        <w:t xml:space="preserve">ection </w:t>
      </w:r>
      <w:r w:rsidRPr="008A1E09" w:rsidR="00F61C8E">
        <w:t>11.3</w:t>
      </w:r>
      <w:r w:rsidRPr="008A1E09" w:rsidR="0054317D">
        <w:t xml:space="preserve"> above</w:t>
      </w:r>
      <w:r w:rsidR="0054317D">
        <w:t>, we</w:t>
      </w:r>
      <w:r w:rsidR="00D56DC9">
        <w:t xml:space="preserve"> adopt</w:t>
      </w:r>
      <w:r w:rsidR="0054317D">
        <w:t xml:space="preserve"> </w:t>
      </w:r>
      <w:r w:rsidR="002567C1">
        <w:t>a new exemption for emergency and emergency</w:t>
      </w:r>
      <w:r w:rsidRPr="006C34EB" w:rsidR="006C34EB">
        <w:t xml:space="preserve"> repairs or upgrades to ensure safe and </w:t>
      </w:r>
      <w:r w:rsidR="002567C1">
        <w:t>reliab</w:t>
      </w:r>
      <w:r w:rsidR="00FA3CB1">
        <w:t>le gas service</w:t>
      </w:r>
      <w:r w:rsidR="002567C1">
        <w:t>.</w:t>
      </w:r>
      <w:r w:rsidR="00F61C8E">
        <w:t xml:space="preserve">  </w:t>
      </w:r>
      <w:r w:rsidR="002567C1">
        <w:t xml:space="preserve">This appropriately limits the types of </w:t>
      </w:r>
      <w:r w:rsidR="00D92D25">
        <w:t xml:space="preserve">safety and </w:t>
      </w:r>
      <w:r w:rsidR="002567C1">
        <w:t xml:space="preserve">reliability projects that should be exempt from additional scrutiny.  </w:t>
      </w:r>
      <w:r w:rsidR="00C9531F">
        <w:t xml:space="preserve">We do not </w:t>
      </w:r>
      <w:r w:rsidR="00C9531F">
        <w:lastRenderedPageBreak/>
        <w:t>adopt PG&amp;E and SDG&amp;E’s proposed exemption for p</w:t>
      </w:r>
      <w:r w:rsidRPr="00C9531F" w:rsidR="00C9531F">
        <w:t>rojects statutorily or categorically exempt from CEQA</w:t>
      </w:r>
      <w:r w:rsidR="00C9531F">
        <w:t>, because this is too broad</w:t>
      </w:r>
      <w:r w:rsidR="00863546">
        <w:t xml:space="preserve">.  </w:t>
      </w:r>
    </w:p>
    <w:p w:rsidRPr="00FF4C81" w:rsidR="00FF4C81" w:rsidP="00FF4C81" w:rsidRDefault="00C41F1E" w14:paraId="14C5D92A" w14:textId="4210D70A">
      <w:pPr>
        <w:pStyle w:val="Standard"/>
      </w:pPr>
      <w:r>
        <w:t xml:space="preserve">We clarify that </w:t>
      </w:r>
      <w:r w:rsidR="002F5BD8">
        <w:t xml:space="preserve">independent storage projects that have previously undergone CEQA review and are included in </w:t>
      </w:r>
      <w:r w:rsidR="006E4D42">
        <w:t xml:space="preserve">the </w:t>
      </w:r>
      <w:r w:rsidRPr="00B479D5" w:rsidR="006E4D42">
        <w:t xml:space="preserve">existing </w:t>
      </w:r>
      <w:r w:rsidR="0074432D">
        <w:t xml:space="preserve">property boundary </w:t>
      </w:r>
      <w:r w:rsidR="006E4D42">
        <w:t xml:space="preserve">of </w:t>
      </w:r>
      <w:r w:rsidR="002F5BD8">
        <w:t xml:space="preserve">a current CPCN are excluded from additional </w:t>
      </w:r>
      <w:r w:rsidR="00AB1C47">
        <w:t>CPCN</w:t>
      </w:r>
      <w:r w:rsidR="002F5BD8">
        <w:t xml:space="preserve"> application requirements</w:t>
      </w:r>
      <w:r w:rsidR="00C06EC1">
        <w:t xml:space="preserve"> under the </w:t>
      </w:r>
      <w:r w:rsidR="005459A7">
        <w:t>GO</w:t>
      </w:r>
      <w:r w:rsidR="002F5BD8">
        <w:t xml:space="preserve">.  However, </w:t>
      </w:r>
      <w:r w:rsidR="00850DA4">
        <w:t xml:space="preserve">any </w:t>
      </w:r>
      <w:r w:rsidR="003B762E">
        <w:t>storage expansion project</w:t>
      </w:r>
      <w:r w:rsidR="00850DA4">
        <w:t xml:space="preserve"> </w:t>
      </w:r>
      <w:r w:rsidR="002F5BD8">
        <w:t xml:space="preserve">that meets the </w:t>
      </w:r>
      <w:r w:rsidR="003B762E">
        <w:t xml:space="preserve">criteria </w:t>
      </w:r>
      <w:r w:rsidR="00850DA4">
        <w:t xml:space="preserve">and definitions </w:t>
      </w:r>
      <w:r w:rsidR="003B762E">
        <w:t xml:space="preserve">adopted here must apply for a </w:t>
      </w:r>
      <w:r w:rsidR="00AB1C47">
        <w:t>CPCN</w:t>
      </w:r>
      <w:r w:rsidR="003B762E">
        <w:t xml:space="preserve"> application as stated in our adopted </w:t>
      </w:r>
      <w:r w:rsidR="005459A7">
        <w:t>GO</w:t>
      </w:r>
      <w:r w:rsidR="003B762E">
        <w:t xml:space="preserve">. </w:t>
      </w:r>
      <w:r w:rsidR="006E4D42">
        <w:t xml:space="preserve"> </w:t>
      </w:r>
      <w:r w:rsidR="00FA2F17">
        <w:t>Amongst other issues, t</w:t>
      </w:r>
      <w:r w:rsidR="006E4D42">
        <w:t xml:space="preserve">his </w:t>
      </w:r>
      <w:r w:rsidR="005459A7">
        <w:t>GO</w:t>
      </w:r>
      <w:r w:rsidR="006E4D42">
        <w:t xml:space="preserve"> </w:t>
      </w:r>
      <w:r w:rsidR="00F60D30">
        <w:t xml:space="preserve">is concerned with </w:t>
      </w:r>
      <w:r w:rsidR="00AE132D">
        <w:t xml:space="preserve">ensuring prudent investments in </w:t>
      </w:r>
      <w:r w:rsidR="002C18CF">
        <w:t>the gas infrastructure system</w:t>
      </w:r>
      <w:r w:rsidR="0097548F">
        <w:t>,</w:t>
      </w:r>
      <w:r w:rsidR="00F60D30">
        <w:t xml:space="preserve"> and this includes gas </w:t>
      </w:r>
      <w:r w:rsidR="00FA2F17">
        <w:t xml:space="preserve">storage </w:t>
      </w:r>
      <w:r w:rsidR="00F60D30">
        <w:t xml:space="preserve">infrastructure </w:t>
      </w:r>
      <w:r w:rsidR="00FA2F17">
        <w:t xml:space="preserve">expansions beyond the existing </w:t>
      </w:r>
      <w:r w:rsidR="005454F8">
        <w:t xml:space="preserve">property boundary </w:t>
      </w:r>
      <w:r w:rsidR="00FA2F17">
        <w:t>of a CPCN</w:t>
      </w:r>
      <w:r w:rsidR="00F60D30">
        <w:t>.</w:t>
      </w:r>
      <w:r w:rsidR="0097548F">
        <w:t xml:space="preserve">  Section 1</w:t>
      </w:r>
      <w:r w:rsidR="00124014">
        <w:t>7.3</w:t>
      </w:r>
      <w:r w:rsidR="0097548F">
        <w:t xml:space="preserve"> defines “expansion of an existing gas storage field.”</w:t>
      </w:r>
    </w:p>
    <w:p w:rsidR="005A3802" w:rsidP="0009044A" w:rsidRDefault="005A3802" w14:paraId="031C3A38" w14:textId="18C63ED6">
      <w:pPr>
        <w:pStyle w:val="Heading1"/>
      </w:pPr>
      <w:bookmarkStart w:name="_Toc120692856" w:id="98"/>
      <w:r w:rsidRPr="00FB6E6B">
        <w:t>Exceptions</w:t>
      </w:r>
      <w:r>
        <w:t xml:space="preserve"> to Exemptions</w:t>
      </w:r>
      <w:bookmarkEnd w:id="98"/>
    </w:p>
    <w:p w:rsidR="00C51C1C" w:rsidP="0009044A" w:rsidRDefault="00C51C1C" w14:paraId="7E43F6E6" w14:textId="573761F3">
      <w:pPr>
        <w:pStyle w:val="Heading2"/>
      </w:pPr>
      <w:bookmarkStart w:name="_Toc120692857" w:id="99"/>
      <w:r w:rsidRPr="00FB6E6B">
        <w:t>Staff</w:t>
      </w:r>
      <w:r>
        <w:t xml:space="preserve"> Proposal</w:t>
      </w:r>
      <w:bookmarkEnd w:id="99"/>
      <w:r>
        <w:t xml:space="preserve"> </w:t>
      </w:r>
    </w:p>
    <w:p w:rsidR="00FB41EA" w:rsidP="00F94457" w:rsidRDefault="00FB41EA" w14:paraId="2DF53FFA" w14:textId="3F423C9E">
      <w:pPr>
        <w:pStyle w:val="Standard"/>
      </w:pPr>
      <w:r>
        <w:t xml:space="preserve">The </w:t>
      </w:r>
      <w:r w:rsidR="007E1080">
        <w:t>Staff Proposal recommend</w:t>
      </w:r>
      <w:r w:rsidR="00F94457">
        <w:t>s</w:t>
      </w:r>
      <w:r w:rsidR="007E1080">
        <w:t xml:space="preserve"> the </w:t>
      </w:r>
      <w:r w:rsidR="00F94457">
        <w:t xml:space="preserve">Commission adopt six exceptions to </w:t>
      </w:r>
      <w:r w:rsidRPr="00785726">
        <w:t xml:space="preserve">the exemptions listed in </w:t>
      </w:r>
      <w:r>
        <w:t>Section </w:t>
      </w:r>
      <w:r w:rsidRPr="00785726">
        <w:t>I</w:t>
      </w:r>
      <w:r>
        <w:t>V</w:t>
      </w:r>
      <w:r w:rsidRPr="00785726">
        <w:t>(A)(</w:t>
      </w:r>
      <w:r>
        <w:t>3</w:t>
      </w:r>
      <w:r w:rsidRPr="00785726">
        <w:t>)</w:t>
      </w:r>
      <w:r w:rsidR="00103A49">
        <w:t xml:space="preserve">.  </w:t>
      </w:r>
      <w:r w:rsidR="001B4EE8">
        <w:t>As proposed by Staff,</w:t>
      </w:r>
      <w:r w:rsidR="0018305C">
        <w:t xml:space="preserve"> an </w:t>
      </w:r>
      <w:r w:rsidR="00937237">
        <w:t>“</w:t>
      </w:r>
      <w:r w:rsidR="0018305C">
        <w:t xml:space="preserve">exception to </w:t>
      </w:r>
      <w:r w:rsidR="00962F4C">
        <w:t xml:space="preserve">an </w:t>
      </w:r>
      <w:r w:rsidR="0018305C">
        <w:t>exemption</w:t>
      </w:r>
      <w:r w:rsidR="00937237">
        <w:t>”</w:t>
      </w:r>
      <w:r w:rsidR="0018305C">
        <w:t xml:space="preserve"> means that</w:t>
      </w:r>
      <w:r w:rsidR="00D24547">
        <w:t xml:space="preserve"> a </w:t>
      </w:r>
      <w:r w:rsidR="00937237">
        <w:t xml:space="preserve">project </w:t>
      </w:r>
      <w:r w:rsidR="00EA61CF">
        <w:t xml:space="preserve">that would otherwise not be </w:t>
      </w:r>
      <w:r w:rsidR="00F636E9">
        <w:t xml:space="preserve">subject to </w:t>
      </w:r>
      <w:r w:rsidR="005A7991">
        <w:t xml:space="preserve">a </w:t>
      </w:r>
      <w:r w:rsidR="00F636E9">
        <w:t xml:space="preserve">CPCN </w:t>
      </w:r>
      <w:r w:rsidR="00EA61CF">
        <w:t>application</w:t>
      </w:r>
      <w:r w:rsidR="00A6569A">
        <w:t xml:space="preserve">, </w:t>
      </w:r>
      <w:r w:rsidR="005A7991">
        <w:t xml:space="preserve">because it met the </w:t>
      </w:r>
      <w:r w:rsidR="005459A7">
        <w:t>GO</w:t>
      </w:r>
      <w:r w:rsidR="005A7991">
        <w:t xml:space="preserve">’s exemption criteria, would have to file such an application if it met </w:t>
      </w:r>
      <w:r w:rsidR="00A6569A">
        <w:t>the criteria of an exception to an exemption.</w:t>
      </w:r>
      <w:r w:rsidR="0018305C">
        <w:t xml:space="preserve"> </w:t>
      </w:r>
      <w:r w:rsidR="00F94457">
        <w:t xml:space="preserve"> </w:t>
      </w:r>
      <w:r w:rsidR="0018305C">
        <w:t xml:space="preserve">Staff’s </w:t>
      </w:r>
      <w:r w:rsidR="001A2BA0">
        <w:t xml:space="preserve">proposed exceptions to </w:t>
      </w:r>
      <w:r w:rsidRPr="00785726" w:rsidR="001A2BA0">
        <w:t>the exemptions</w:t>
      </w:r>
      <w:r w:rsidR="001A2BA0">
        <w:t xml:space="preserve"> are</w:t>
      </w:r>
      <w:r w:rsidR="00F94457">
        <w:t xml:space="preserve"> as follows: </w:t>
      </w:r>
    </w:p>
    <w:p w:rsidRPr="00691188" w:rsidR="00FB41EA" w:rsidP="0009044A" w:rsidRDefault="00FB41EA" w14:paraId="172B70ED" w14:textId="6CE709DA">
      <w:pPr>
        <w:pStyle w:val="ListAlpha"/>
        <w:ind w:right="1440"/>
      </w:pPr>
      <w:r w:rsidRPr="0045288E">
        <w:t xml:space="preserve">there </w:t>
      </w:r>
      <w:r w:rsidRPr="0011177E">
        <w:t>is</w:t>
      </w:r>
      <w:r w:rsidRPr="0045288E">
        <w:t xml:space="preserve"> a reasonable possibility that the project may impact an environmental resource of hazardous or critical concern designated, precisely mapped, and officially adopted pursuant to law by federal, state, or local agencies; </w:t>
      </w:r>
    </w:p>
    <w:p w:rsidRPr="00691188" w:rsidR="00FB41EA" w:rsidP="0011177E" w:rsidRDefault="00FB41EA" w14:paraId="7897FEB9" w14:textId="20CEAF51">
      <w:pPr>
        <w:pStyle w:val="ListAlpha"/>
        <w:ind w:right="1440"/>
      </w:pPr>
      <w:r w:rsidRPr="0045288E">
        <w:t xml:space="preserve">the cumulative impact of successive projects of the same types, in the same place, over time is significant; </w:t>
      </w:r>
    </w:p>
    <w:p w:rsidRPr="00691188" w:rsidR="00FB41EA" w:rsidP="0011177E" w:rsidRDefault="00FB41EA" w14:paraId="7A13FC1C" w14:textId="0EB865FB">
      <w:pPr>
        <w:pStyle w:val="ListAlpha"/>
        <w:ind w:right="1440"/>
      </w:pPr>
      <w:r w:rsidRPr="0045288E">
        <w:t xml:space="preserve">there is a reasonable possibility that the project will have a significant effect on the environment due to unusual circumstances; </w:t>
      </w:r>
    </w:p>
    <w:p w:rsidRPr="00691188" w:rsidR="00FB41EA" w:rsidP="0011177E" w:rsidRDefault="00FB41EA" w14:paraId="6BBBB694" w14:textId="7FC82C05">
      <w:pPr>
        <w:pStyle w:val="ListAlpha"/>
        <w:ind w:right="1440"/>
      </w:pPr>
      <w:r w:rsidRPr="0045288E">
        <w:lastRenderedPageBreak/>
        <w:t xml:space="preserve">the project may result in damage to scenic resources, including but not limited to, trees, historic buildings, rock outcroppings, or similar resources, within a highway officially designated as a state scenic highway.  However, this exception does not apply to improvements which are required as </w:t>
      </w:r>
      <w:r>
        <w:t xml:space="preserve">a </w:t>
      </w:r>
      <w:r w:rsidRPr="0045288E">
        <w:t xml:space="preserve">mitigation by an adopted negative declaration or certified EIR; </w:t>
      </w:r>
    </w:p>
    <w:p w:rsidRPr="00691188" w:rsidR="00FB41EA" w:rsidP="0011177E" w:rsidRDefault="00FB41EA" w14:paraId="1B584813" w14:textId="3E7A47F9">
      <w:pPr>
        <w:pStyle w:val="ListAlpha"/>
        <w:ind w:right="1440"/>
      </w:pPr>
      <w:r w:rsidRPr="0045288E">
        <w:t xml:space="preserve">the project is located on a site which is included on any list compiled pursuant to </w:t>
      </w:r>
      <w:r>
        <w:t>Section </w:t>
      </w:r>
      <w:r w:rsidRPr="0045288E">
        <w:t xml:space="preserve">65962.5 of the Government Code; </w:t>
      </w:r>
      <w:r w:rsidR="00F94457">
        <w:t xml:space="preserve">or, </w:t>
      </w:r>
    </w:p>
    <w:p w:rsidRPr="00691188" w:rsidR="00FB41EA" w:rsidP="0011177E" w:rsidRDefault="00FB41EA" w14:paraId="24D1C191" w14:textId="77777777">
      <w:pPr>
        <w:pStyle w:val="ListAlpha"/>
        <w:ind w:right="1440"/>
      </w:pPr>
      <w:r w:rsidRPr="0045288E">
        <w:t>the project may cause a substantial adverse change in the significance of a historical resource.</w:t>
      </w:r>
    </w:p>
    <w:p w:rsidR="0083561E" w:rsidP="0009044A" w:rsidRDefault="007942B5" w14:paraId="581CC715" w14:textId="0D2C74A2">
      <w:pPr>
        <w:pStyle w:val="Heading2"/>
      </w:pPr>
      <w:bookmarkStart w:name="_Toc120692858" w:id="100"/>
      <w:r>
        <w:t>Party Comments</w:t>
      </w:r>
      <w:bookmarkEnd w:id="100"/>
      <w:r>
        <w:t xml:space="preserve"> </w:t>
      </w:r>
    </w:p>
    <w:p w:rsidRPr="00C510ED" w:rsidR="00C510ED" w:rsidP="00C510ED" w:rsidRDefault="00C510ED" w14:paraId="5FC115A8" w14:textId="6B1C4B5E">
      <w:pPr>
        <w:pStyle w:val="Standard"/>
      </w:pPr>
      <w:r>
        <w:t xml:space="preserve">Party comments on Staff’s proposed exceptions to exemptions in the </w:t>
      </w:r>
      <w:r w:rsidR="005459A7">
        <w:t>GO</w:t>
      </w:r>
      <w:r w:rsidR="00396C24">
        <w:t> </w:t>
      </w:r>
      <w:r>
        <w:t xml:space="preserve">address three areas: (1) how the Commission should structure exceptions to exemptions; (2) </w:t>
      </w:r>
      <w:r w:rsidR="00210EFF">
        <w:t xml:space="preserve">disadvantaged communities; and (3) </w:t>
      </w:r>
      <w:r w:rsidR="007750BA">
        <w:t xml:space="preserve">Staff’s proposed </w:t>
      </w:r>
      <w:r w:rsidR="00210EFF">
        <w:t>sensitive receptors</w:t>
      </w:r>
      <w:r w:rsidR="007750BA">
        <w:t xml:space="preserve"> criterion</w:t>
      </w:r>
      <w:r w:rsidR="00210EFF">
        <w:t xml:space="preserve">.  </w:t>
      </w:r>
    </w:p>
    <w:p w:rsidRPr="00511480" w:rsidR="00511480" w:rsidP="00511480" w:rsidRDefault="00EC0BC9" w14:paraId="1E92EB70" w14:textId="37844A69">
      <w:pPr>
        <w:pStyle w:val="Standard"/>
      </w:pPr>
      <w:r>
        <w:t xml:space="preserve">SoCalGas argues that </w:t>
      </w:r>
      <w:r w:rsidR="005B2250">
        <w:t xml:space="preserve">the Staff Proposal inappropriately </w:t>
      </w:r>
      <w:r w:rsidRPr="00EC0BC9">
        <w:t xml:space="preserve">incorporates CEQA exceptions into </w:t>
      </w:r>
      <w:r w:rsidR="00F94457">
        <w:t>utility determinations of whether a</w:t>
      </w:r>
      <w:r w:rsidR="00AB1C47">
        <w:t>n</w:t>
      </w:r>
      <w:r w:rsidR="005B2250">
        <w:t xml:space="preserve"> application</w:t>
      </w:r>
      <w:r w:rsidR="00F94457">
        <w:t xml:space="preserve"> is required.  SoCalGas recommends </w:t>
      </w:r>
      <w:r w:rsidR="006C099E">
        <w:t xml:space="preserve">Commission delete </w:t>
      </w:r>
      <w:r w:rsidR="00F94457">
        <w:t xml:space="preserve">all of Staff’s proposed exceptions </w:t>
      </w:r>
      <w:r w:rsidR="006C099E">
        <w:t xml:space="preserve">from the adopted </w:t>
      </w:r>
      <w:r w:rsidR="005459A7">
        <w:t>GO</w:t>
      </w:r>
      <w:r w:rsidR="006C099E">
        <w:t xml:space="preserve">.  SoCalGas argues that </w:t>
      </w:r>
      <w:r w:rsidR="00F94457">
        <w:t xml:space="preserve">doing so would help </w:t>
      </w:r>
      <w:r w:rsidRPr="00EC0BC9">
        <w:t>restructur</w:t>
      </w:r>
      <w:r w:rsidR="006C099E">
        <w:t xml:space="preserve">e </w:t>
      </w:r>
      <w:r w:rsidR="006B3F0F">
        <w:t xml:space="preserve">the adopted </w:t>
      </w:r>
      <w:r w:rsidR="005459A7">
        <w:t>GO</w:t>
      </w:r>
      <w:r w:rsidR="006B3F0F">
        <w:t xml:space="preserve"> </w:t>
      </w:r>
      <w:r w:rsidRPr="00EC0BC9">
        <w:t xml:space="preserve">to </w:t>
      </w:r>
      <w:r w:rsidR="00F94457">
        <w:t xml:space="preserve">better </w:t>
      </w:r>
      <w:r w:rsidRPr="00EC0BC9">
        <w:t xml:space="preserve">align </w:t>
      </w:r>
      <w:r w:rsidR="00F94457">
        <w:t xml:space="preserve">it </w:t>
      </w:r>
      <w:r w:rsidRPr="00EC0BC9">
        <w:t>with CEQA</w:t>
      </w:r>
      <w:r w:rsidR="00F94457">
        <w:t xml:space="preserve"> requirements</w:t>
      </w:r>
      <w:r w:rsidR="006B3F0F">
        <w:t>.</w:t>
      </w:r>
      <w:r w:rsidR="003658AD">
        <w:t xml:space="preserve">  </w:t>
      </w:r>
      <w:r>
        <w:t>SoCalGas contends that</w:t>
      </w:r>
      <w:r w:rsidR="007750BA">
        <w:t xml:space="preserve">, </w:t>
      </w:r>
      <w:r>
        <w:t>u</w:t>
      </w:r>
      <w:r w:rsidRPr="00EC0BC9">
        <w:t xml:space="preserve">nder CEQA, the exceptions determine if a project no longer qualifies for a CEQA exemption </w:t>
      </w:r>
      <w:r w:rsidR="004E7DF0">
        <w:t xml:space="preserve">only after </w:t>
      </w:r>
      <w:r w:rsidRPr="00EC0BC9">
        <w:t>an application has been submitted</w:t>
      </w:r>
      <w:r w:rsidR="001C2B43">
        <w:t xml:space="preserve">.  </w:t>
      </w:r>
      <w:r w:rsidRPr="00EC0BC9">
        <w:t xml:space="preserve"> </w:t>
      </w:r>
    </w:p>
    <w:p w:rsidR="008E224F" w:rsidP="002E11A1" w:rsidRDefault="001C2B43" w14:paraId="2038B740" w14:textId="78A6BE7E">
      <w:pPr>
        <w:pStyle w:val="Standard"/>
      </w:pPr>
      <w:r>
        <w:t xml:space="preserve">With regards to disadvantaged and ESJ communities, </w:t>
      </w:r>
      <w:r w:rsidR="00A159E2">
        <w:t xml:space="preserve">PG&amp;E </w:t>
      </w:r>
      <w:r w:rsidR="008E224F">
        <w:t xml:space="preserve">proposes </w:t>
      </w:r>
      <w:r w:rsidRPr="00A159E2" w:rsidR="008E224F">
        <w:t xml:space="preserve">that the Commission add a new exception to </w:t>
      </w:r>
      <w:r w:rsidR="008E224F">
        <w:t xml:space="preserve">the list of </w:t>
      </w:r>
      <w:r w:rsidR="000D6F0F">
        <w:t xml:space="preserve">Staff’s proposed </w:t>
      </w:r>
      <w:r w:rsidRPr="00A159E2" w:rsidR="008E224F">
        <w:t>exemptions</w:t>
      </w:r>
      <w:r w:rsidR="008E224F">
        <w:t xml:space="preserve"> as follows</w:t>
      </w:r>
      <w:r w:rsidRPr="00A159E2" w:rsidR="008E224F">
        <w:t xml:space="preserve">: </w:t>
      </w:r>
    </w:p>
    <w:p w:rsidR="008E224F" w:rsidP="00FD6CAD" w:rsidRDefault="008E224F" w14:paraId="7A60EE61" w14:textId="78303DAE">
      <w:pPr>
        <w:pStyle w:val="BlockQuote"/>
        <w:ind w:right="1440"/>
      </w:pPr>
      <w:r w:rsidRPr="00A159E2">
        <w:lastRenderedPageBreak/>
        <w:t xml:space="preserve">there is a reasonable possibility that the activity will have a significant effect on the environment due to its location within an </w:t>
      </w:r>
      <w:r w:rsidRPr="00010E7F">
        <w:t>[ESJ or SB 535 disadvantaged] community</w:t>
      </w:r>
      <w:r w:rsidRPr="00A159E2">
        <w:t>.”</w:t>
      </w:r>
      <w:r w:rsidR="00046A9E">
        <w:rPr>
          <w:rStyle w:val="FootnoteReference"/>
        </w:rPr>
        <w:footnoteReference w:id="48"/>
      </w:r>
    </w:p>
    <w:p w:rsidR="002E11A1" w:rsidP="002E11A1" w:rsidRDefault="008E224F" w14:paraId="05099231" w14:textId="7F3FA0DE">
      <w:pPr>
        <w:pStyle w:val="Standard"/>
      </w:pPr>
      <w:r>
        <w:t xml:space="preserve">PG&amp;E argues that </w:t>
      </w:r>
      <w:r w:rsidRPr="00A159E2" w:rsidR="00A159E2">
        <w:t xml:space="preserve">projects occurring in </w:t>
      </w:r>
      <w:r>
        <w:t xml:space="preserve">disadvantaged </w:t>
      </w:r>
      <w:r w:rsidRPr="00A159E2" w:rsidR="00A159E2">
        <w:t>or ESJ</w:t>
      </w:r>
      <w:r>
        <w:t xml:space="preserve"> communities</w:t>
      </w:r>
      <w:r w:rsidRPr="00A159E2" w:rsidR="00A159E2">
        <w:t xml:space="preserve"> deserve special consideration</w:t>
      </w:r>
      <w:r>
        <w:t xml:space="preserve">.  As such, PG&amp;E contends the </w:t>
      </w:r>
      <w:r w:rsidR="00A159E2">
        <w:t xml:space="preserve">Commission could </w:t>
      </w:r>
      <w:r w:rsidRPr="00A159E2" w:rsidR="00A159E2">
        <w:t>consider a project’s location within a</w:t>
      </w:r>
      <w:r>
        <w:t xml:space="preserve"> disadvantaged or </w:t>
      </w:r>
      <w:r w:rsidRPr="00A159E2" w:rsidR="00A159E2">
        <w:t xml:space="preserve">ESJ community as a factor in determining whether </w:t>
      </w:r>
      <w:r>
        <w:t>a</w:t>
      </w:r>
      <w:r w:rsidR="00AB1C47">
        <w:t>n</w:t>
      </w:r>
      <w:r>
        <w:t xml:space="preserve"> application is required </w:t>
      </w:r>
      <w:r w:rsidRPr="00A159E2" w:rsidR="00A159E2">
        <w:t>for an otherwise-exempt project</w:t>
      </w:r>
      <w:r w:rsidR="002B4101">
        <w:t xml:space="preserve">.  </w:t>
      </w:r>
      <w:r w:rsidR="00A651BD">
        <w:t>PG&amp;E states that t</w:t>
      </w:r>
      <w:r w:rsidR="002B4101">
        <w:t xml:space="preserve">his is preferable to adopting a </w:t>
      </w:r>
      <w:r w:rsidRPr="00A159E2" w:rsidR="00A159E2">
        <w:t xml:space="preserve">permit trigger </w:t>
      </w:r>
      <w:r w:rsidR="002B4101">
        <w:t xml:space="preserve">for all </w:t>
      </w:r>
      <w:r w:rsidR="002A0BEE">
        <w:t>projects located in disadvantaged or ESJ communities, which PG&amp;E opposes</w:t>
      </w:r>
      <w:r w:rsidR="00C5724F">
        <w:t xml:space="preserve">.  </w:t>
      </w:r>
      <w:r w:rsidR="00A159E2">
        <w:t xml:space="preserve"> </w:t>
      </w:r>
    </w:p>
    <w:p w:rsidR="00E377DB" w:rsidP="00077B43" w:rsidRDefault="00A1008E" w14:paraId="5D58F8BC" w14:textId="1D9D9590">
      <w:pPr>
        <w:pStyle w:val="Standard"/>
      </w:pPr>
      <w:r>
        <w:t xml:space="preserve">As discussed in </w:t>
      </w:r>
      <w:r w:rsidR="00FD0338">
        <w:t>S</w:t>
      </w:r>
      <w:r w:rsidRPr="008A1E09">
        <w:t xml:space="preserve">ection </w:t>
      </w:r>
      <w:r w:rsidRPr="008A1E09" w:rsidR="00D0673D">
        <w:t>8</w:t>
      </w:r>
      <w:r w:rsidRPr="008A1E09" w:rsidR="00661A03">
        <w:t>.2</w:t>
      </w:r>
      <w:r w:rsidRPr="008A1E09" w:rsidR="00D0673D">
        <w:t xml:space="preserve"> above</w:t>
      </w:r>
      <w:r w:rsidRPr="008A1E09" w:rsidR="00661A03">
        <w:t xml:space="preserve">, </w:t>
      </w:r>
      <w:r w:rsidRPr="008A1E09" w:rsidR="005C181E">
        <w:t>Sierra</w:t>
      </w:r>
      <w:r w:rsidR="005C181E">
        <w:t xml:space="preserve"> Club</w:t>
      </w:r>
      <w:r w:rsidR="00C5724F">
        <w:t>/CEJA/RMI</w:t>
      </w:r>
      <w:r w:rsidR="005C181E">
        <w:t xml:space="preserve"> argue that the</w:t>
      </w:r>
      <w:r w:rsidR="00C5724F">
        <w:t xml:space="preserve"> Commission should adopt a sensitive receptors </w:t>
      </w:r>
      <w:r w:rsidR="009D4309">
        <w:t xml:space="preserve">criterion </w:t>
      </w:r>
      <w:r w:rsidR="00C63EF0">
        <w:t xml:space="preserve">as an </w:t>
      </w:r>
      <w:r w:rsidRPr="005C181E" w:rsidR="005C181E">
        <w:t xml:space="preserve">exception to </w:t>
      </w:r>
      <w:r w:rsidR="00C63EF0">
        <w:t xml:space="preserve">the list of </w:t>
      </w:r>
      <w:r w:rsidRPr="005C181E" w:rsidR="005C181E">
        <w:t>exemption</w:t>
      </w:r>
      <w:r w:rsidR="00AA3E50">
        <w:t>s</w:t>
      </w:r>
      <w:r w:rsidR="00C63EF0">
        <w:t xml:space="preserve"> rather than as a threshold trigger</w:t>
      </w:r>
      <w:r w:rsidR="00AA3E50">
        <w:t xml:space="preserve"> for a</w:t>
      </w:r>
      <w:r w:rsidR="00AB1C47">
        <w:t>n</w:t>
      </w:r>
      <w:r w:rsidR="00AA3E50">
        <w:t xml:space="preserve"> application requirement</w:t>
      </w:r>
      <w:r w:rsidR="00C63EF0">
        <w:t>.</w:t>
      </w:r>
      <w:r w:rsidR="001C79F7">
        <w:rPr>
          <w:rStyle w:val="FootnoteReference"/>
        </w:rPr>
        <w:footnoteReference w:id="49"/>
      </w:r>
      <w:r w:rsidR="00AA2C8B">
        <w:t xml:space="preserve">  </w:t>
      </w:r>
    </w:p>
    <w:p w:rsidR="00C952FF" w:rsidP="0009044A" w:rsidRDefault="00AD7588" w14:paraId="56B0B6AA" w14:textId="3158F56A">
      <w:pPr>
        <w:pStyle w:val="Heading2"/>
      </w:pPr>
      <w:bookmarkStart w:name="_Toc120692859" w:id="101"/>
      <w:r>
        <w:t xml:space="preserve">Declining to Adopt </w:t>
      </w:r>
      <w:r w:rsidR="00D57DB4">
        <w:t xml:space="preserve">Exceptions to </w:t>
      </w:r>
      <w:r w:rsidR="00C22A55">
        <w:br/>
      </w:r>
      <w:r w:rsidRPr="00FB6E6B" w:rsidR="00D57DB4">
        <w:t>Exemptions</w:t>
      </w:r>
      <w:r w:rsidRPr="00FD6CAD" w:rsidR="00D57DB4">
        <w:t xml:space="preserve"> as Proposed by Staff</w:t>
      </w:r>
      <w:r w:rsidRPr="00FD6CAD" w:rsidR="00005777">
        <w:t xml:space="preserve"> </w:t>
      </w:r>
      <w:r w:rsidRPr="00FD6CAD" w:rsidR="00C22A55">
        <w:br/>
      </w:r>
      <w:r w:rsidRPr="00FD6CAD" w:rsidR="00005777">
        <w:t>(Section</w:t>
      </w:r>
      <w:r w:rsidRPr="00FD6CAD" w:rsidR="00506937">
        <w:t xml:space="preserve"> IV(</w:t>
      </w:r>
      <w:r w:rsidRPr="00FD6CAD" w:rsidR="00491C64">
        <w:t>A)(4)</w:t>
      </w:r>
      <w:r w:rsidRPr="00FD6CAD" w:rsidR="002864EA">
        <w:t>)</w:t>
      </w:r>
      <w:bookmarkEnd w:id="101"/>
    </w:p>
    <w:p w:rsidR="00CD5805" w:rsidP="001C1B7D" w:rsidRDefault="00884EAA" w14:paraId="4481D03E" w14:textId="6C62F113">
      <w:pPr>
        <w:pStyle w:val="Standard"/>
      </w:pPr>
      <w:r>
        <w:t xml:space="preserve">We </w:t>
      </w:r>
      <w:r w:rsidR="00AD7588">
        <w:t xml:space="preserve">do not </w:t>
      </w:r>
      <w:r w:rsidR="00B157D5">
        <w:t xml:space="preserve">adopt the </w:t>
      </w:r>
      <w:r>
        <w:t xml:space="preserve">exceptions to exemptions </w:t>
      </w:r>
      <w:r w:rsidR="00B157D5">
        <w:t xml:space="preserve">contained in the </w:t>
      </w:r>
      <w:r w:rsidRPr="00FD6CAD" w:rsidR="00B157D5">
        <w:t>Staff</w:t>
      </w:r>
      <w:r w:rsidRPr="00FD6CAD" w:rsidR="00C22A55">
        <w:t> </w:t>
      </w:r>
      <w:r w:rsidRPr="00FD6CAD" w:rsidR="00B157D5">
        <w:t>P</w:t>
      </w:r>
      <w:r w:rsidR="00B157D5">
        <w:t>roposal.</w:t>
      </w:r>
      <w:r w:rsidR="006F229F">
        <w:t xml:space="preserve">  </w:t>
      </w:r>
      <w:r w:rsidR="00B26B5A">
        <w:t xml:space="preserve">These broadly worded exceptions can introduce uncertainty into implementation, and as SoCalGas notes, create </w:t>
      </w:r>
      <w:r w:rsidR="00F41328">
        <w:t xml:space="preserve">a </w:t>
      </w:r>
      <w:r w:rsidR="00E460C1">
        <w:t xml:space="preserve">frequently </w:t>
      </w:r>
      <w:r w:rsidR="00B26B5A">
        <w:t>disputed,</w:t>
      </w:r>
      <w:r w:rsidR="00B6259B">
        <w:t xml:space="preserve"> and</w:t>
      </w:r>
      <w:r w:rsidR="00B26B5A">
        <w:t xml:space="preserve"> </w:t>
      </w:r>
      <w:r w:rsidR="00F41328">
        <w:t>unnecessarily</w:t>
      </w:r>
      <w:r w:rsidR="00B26B5A">
        <w:t xml:space="preserve"> burdensome administrative process to determine applicability of the </w:t>
      </w:r>
      <w:r w:rsidR="005459A7">
        <w:t>GO</w:t>
      </w:r>
      <w:r w:rsidR="00B26B5A">
        <w:t xml:space="preserve">. </w:t>
      </w:r>
      <w:r w:rsidR="003D72AF">
        <w:t xml:space="preserve"> </w:t>
      </w:r>
      <w:r w:rsidR="00B26B5A">
        <w:t>Further, t</w:t>
      </w:r>
      <w:r w:rsidR="00232FE6">
        <w:t>he exceptions as written are in some cases vague.  Exceptions</w:t>
      </w:r>
      <w:r w:rsidR="00A52FDF">
        <w:t xml:space="preserve"> (b) and (c) overlap </w:t>
      </w:r>
      <w:r w:rsidR="005D5332">
        <w:t xml:space="preserve">substantially </w:t>
      </w:r>
      <w:r w:rsidR="00A52FDF">
        <w:t>with our adopted sensitive receptors criterion</w:t>
      </w:r>
      <w:r w:rsidR="00D91915">
        <w:t>, especially since the criterion is triggered in heavily impacted air</w:t>
      </w:r>
      <w:r w:rsidR="00A82013">
        <w:t xml:space="preserve"> communities.</w:t>
      </w:r>
      <w:r w:rsidR="00D91915">
        <w:t xml:space="preserve"> </w:t>
      </w:r>
    </w:p>
    <w:p w:rsidR="00A52FDF" w:rsidP="00A8505B" w:rsidRDefault="005D5332" w14:paraId="73868CF8" w14:textId="57F5C002">
      <w:pPr>
        <w:pStyle w:val="Standard"/>
      </w:pPr>
      <w:r>
        <w:t xml:space="preserve">We believe that it is preferable to omit these exceptions </w:t>
      </w:r>
      <w:r w:rsidR="00606701">
        <w:t>at present.</w:t>
      </w:r>
      <w:r w:rsidR="00124BD6">
        <w:t xml:space="preserve">  </w:t>
      </w:r>
      <w:r w:rsidR="006877ED">
        <w:t xml:space="preserve">There may, however, be instances where </w:t>
      </w:r>
      <w:r w:rsidR="001315FD">
        <w:t xml:space="preserve">a gas utility’s exemption claim is not well </w:t>
      </w:r>
      <w:r w:rsidR="001315FD">
        <w:lastRenderedPageBreak/>
        <w:t xml:space="preserve">supported. </w:t>
      </w:r>
      <w:r w:rsidR="00511713">
        <w:t xml:space="preserve"> </w:t>
      </w:r>
      <w:r w:rsidR="00363A0E">
        <w:t xml:space="preserve">The </w:t>
      </w:r>
      <w:r w:rsidR="001315FD">
        <w:t xml:space="preserve">Commission’s </w:t>
      </w:r>
      <w:r w:rsidR="00363A0E">
        <w:t xml:space="preserve">complaint process </w:t>
      </w:r>
      <w:r w:rsidR="001315FD">
        <w:t xml:space="preserve">gives </w:t>
      </w:r>
      <w:r w:rsidR="00363A0E">
        <w:t xml:space="preserve">stakeholders </w:t>
      </w:r>
      <w:r w:rsidR="001315FD">
        <w:t xml:space="preserve">a mechanism to </w:t>
      </w:r>
      <w:r w:rsidR="00722E87">
        <w:t xml:space="preserve">contest a gas utility’s exemption claim. </w:t>
      </w:r>
      <w:r w:rsidR="00511713">
        <w:t xml:space="preserve"> </w:t>
      </w:r>
      <w:r w:rsidR="00722E87">
        <w:t>Similarly</w:t>
      </w:r>
      <w:r w:rsidDel="00722E87" w:rsidR="00CD5805">
        <w:t xml:space="preserve">, </w:t>
      </w:r>
      <w:r w:rsidR="00606701">
        <w:t xml:space="preserve">Commission Staff should </w:t>
      </w:r>
      <w:r w:rsidR="00124BD6">
        <w:t xml:space="preserve">inform </w:t>
      </w:r>
      <w:r w:rsidR="00606701">
        <w:t xml:space="preserve">the </w:t>
      </w:r>
      <w:r w:rsidR="007F173A">
        <w:t xml:space="preserve">Executive Director, and the </w:t>
      </w:r>
      <w:r w:rsidR="00F72C2D">
        <w:t xml:space="preserve">assigned </w:t>
      </w:r>
      <w:r w:rsidR="00EC0E43">
        <w:t xml:space="preserve">ALJ </w:t>
      </w:r>
      <w:r w:rsidR="00F72C2D">
        <w:t>and Commissioner in this or any successor proceeding</w:t>
      </w:r>
      <w:r w:rsidR="00606701">
        <w:t xml:space="preserve"> </w:t>
      </w:r>
      <w:r w:rsidR="004372A1">
        <w:t xml:space="preserve">of </w:t>
      </w:r>
      <w:r w:rsidR="00606701">
        <w:t>any instances where</w:t>
      </w:r>
      <w:r w:rsidR="00F72C2D">
        <w:t xml:space="preserve"> Staff believe a gas utility has inappropriate</w:t>
      </w:r>
      <w:r w:rsidR="00CD5805">
        <w:t>ly</w:t>
      </w:r>
      <w:r w:rsidR="00F72C2D">
        <w:t xml:space="preserve"> </w:t>
      </w:r>
      <w:r w:rsidR="00184380">
        <w:t>claimed an exemption</w:t>
      </w:r>
      <w:r w:rsidR="00CD5805">
        <w:t xml:space="preserve"> under our adopted </w:t>
      </w:r>
      <w:r w:rsidR="005459A7">
        <w:t>GO</w:t>
      </w:r>
      <w:r w:rsidR="00184380">
        <w:t xml:space="preserve">.  This Commission will investigate such instances as warranted. </w:t>
      </w:r>
    </w:p>
    <w:p w:rsidR="00A8505B" w:rsidP="00A8505B" w:rsidRDefault="00287A7E" w14:paraId="156D96AE" w14:textId="0643AB92">
      <w:pPr>
        <w:pStyle w:val="Standard"/>
      </w:pPr>
      <w:r>
        <w:t xml:space="preserve">We </w:t>
      </w:r>
      <w:r w:rsidR="00746BD2">
        <w:t xml:space="preserve">also </w:t>
      </w:r>
      <w:r>
        <w:t>do not adopt</w:t>
      </w:r>
      <w:r w:rsidR="001F42DB">
        <w:t xml:space="preserve"> the</w:t>
      </w:r>
      <w:r>
        <w:t xml:space="preserve"> additional exceptions to exemptions proposed by PG&amp;E and Sierra Club/CEJA/RMI.</w:t>
      </w:r>
      <w:r w:rsidR="001F42DB">
        <w:t xml:space="preserve">  </w:t>
      </w:r>
      <w:r w:rsidR="00567EBE">
        <w:t xml:space="preserve">Instead, regarding PG&amp;E’s proposal, we address the potential location of a gas infrastructure </w:t>
      </w:r>
      <w:r w:rsidR="007510D4">
        <w:t xml:space="preserve">facility </w:t>
      </w:r>
      <w:r w:rsidR="00567EBE">
        <w:t xml:space="preserve">in a disadvantaged or ESJ community by requiring additional information in relevant project </w:t>
      </w:r>
      <w:r w:rsidR="00CB11E6">
        <w:t xml:space="preserve">CPCN </w:t>
      </w:r>
      <w:r w:rsidR="00567EBE">
        <w:t xml:space="preserve">applications, as discussed in </w:t>
      </w:r>
      <w:r w:rsidR="00FD0338">
        <w:t>S</w:t>
      </w:r>
      <w:r w:rsidRPr="008A1E09" w:rsidR="00567EBE">
        <w:t>ection 15.3 below</w:t>
      </w:r>
      <w:r w:rsidR="00567EBE">
        <w:t>.</w:t>
      </w:r>
      <w:r w:rsidR="008B51EF">
        <w:t xml:space="preserve">  Requiring corporations </w:t>
      </w:r>
      <w:r w:rsidR="00787650">
        <w:t>to</w:t>
      </w:r>
      <w:r w:rsidR="008B51EF">
        <w:t xml:space="preserve"> </w:t>
      </w:r>
      <w:r w:rsidR="00786A49">
        <w:t xml:space="preserve">consider, </w:t>
      </w:r>
      <w:r w:rsidR="000B61DC">
        <w:t xml:space="preserve">and for the Commission </w:t>
      </w:r>
      <w:r w:rsidR="008B51EF">
        <w:t>to undertake</w:t>
      </w:r>
      <w:r w:rsidR="000B33FC">
        <w:t>,</w:t>
      </w:r>
      <w:r w:rsidR="008B51EF">
        <w:t xml:space="preserve"> additional evaluation of alternatives for projects proposed to be located in a disadvantaged or ESJ</w:t>
      </w:r>
      <w:r w:rsidR="00511713">
        <w:t> </w:t>
      </w:r>
      <w:r w:rsidR="008B51EF">
        <w:t>community</w:t>
      </w:r>
      <w:r w:rsidR="00D0469D">
        <w:t xml:space="preserve"> </w:t>
      </w:r>
      <w:r w:rsidR="00E8494F">
        <w:t xml:space="preserve">addresses </w:t>
      </w:r>
      <w:r w:rsidR="00D0469D">
        <w:t>the</w:t>
      </w:r>
      <w:r w:rsidDel="00E8494F" w:rsidR="00D0469D">
        <w:t xml:space="preserve"> </w:t>
      </w:r>
      <w:r w:rsidR="00924F21">
        <w:t>similar</w:t>
      </w:r>
      <w:r w:rsidR="00D0469D">
        <w:t xml:space="preserve"> </w:t>
      </w:r>
      <w:r w:rsidR="00E8494F">
        <w:t xml:space="preserve">concerns identified </w:t>
      </w:r>
      <w:r w:rsidR="00D0469D">
        <w:t xml:space="preserve">by PG&amp;E, </w:t>
      </w:r>
      <w:r w:rsidR="00136CC5">
        <w:t xml:space="preserve">but with </w:t>
      </w:r>
      <w:r w:rsidR="00D0469D">
        <w:t>greater clarity</w:t>
      </w:r>
      <w:r w:rsidR="00136CC5">
        <w:t xml:space="preserve"> and specificity to the circumstances surrounding actual proposed projects</w:t>
      </w:r>
      <w:r w:rsidR="0049744D">
        <w:t xml:space="preserve">.  </w:t>
      </w:r>
    </w:p>
    <w:p w:rsidRPr="00397C64" w:rsidR="0049744D" w:rsidP="00986716" w:rsidRDefault="0049744D" w14:paraId="488E100B" w14:textId="5139985F">
      <w:pPr>
        <w:pStyle w:val="Standard"/>
      </w:pPr>
      <w:r>
        <w:t xml:space="preserve">We do not adopt Sierra Club/CEJA/RMI’s proposal because </w:t>
      </w:r>
      <w:r w:rsidR="0093444C">
        <w:t xml:space="preserve">in </w:t>
      </w:r>
      <w:r w:rsidR="00FD0338">
        <w:t>S</w:t>
      </w:r>
      <w:r w:rsidR="0093444C">
        <w:t xml:space="preserve">ection </w:t>
      </w:r>
      <w:r w:rsidR="004A3929">
        <w:t>8</w:t>
      </w:r>
      <w:r w:rsidR="0093444C">
        <w:t xml:space="preserve">.3 above we </w:t>
      </w:r>
      <w:r>
        <w:t xml:space="preserve">have adopted a threshold criterion for sensitive receptors that is clear and </w:t>
      </w:r>
      <w:r w:rsidR="0093444C">
        <w:t>practicable.</w:t>
      </w:r>
    </w:p>
    <w:p w:rsidR="00F21729" w:rsidP="0009044A" w:rsidRDefault="00FA6BBB" w14:paraId="7FAB8094" w14:textId="64FF9D9C">
      <w:pPr>
        <w:pStyle w:val="Heading1"/>
      </w:pPr>
      <w:bookmarkStart w:name="_Toc120692860" w:id="102"/>
      <w:r>
        <w:t>Noti</w:t>
      </w:r>
      <w:r w:rsidR="00E77A6A">
        <w:t>fication</w:t>
      </w:r>
      <w:r>
        <w:t xml:space="preserve"> </w:t>
      </w:r>
      <w:r w:rsidRPr="00FB6E6B">
        <w:t>Requirements</w:t>
      </w:r>
      <w:r w:rsidR="00D126C6">
        <w:t xml:space="preserve"> for </w:t>
      </w:r>
      <w:r w:rsidR="00AE4B94">
        <w:br/>
      </w:r>
      <w:r w:rsidR="00D126C6">
        <w:t>Claimed Exemptions</w:t>
      </w:r>
      <w:bookmarkEnd w:id="102"/>
    </w:p>
    <w:p w:rsidR="00FA6BBB" w:rsidP="0009044A" w:rsidRDefault="00FA6BBB" w14:paraId="3E5E2832" w14:textId="714C0BAA">
      <w:pPr>
        <w:pStyle w:val="Heading2"/>
      </w:pPr>
      <w:bookmarkStart w:name="_Toc120692861" w:id="103"/>
      <w:r>
        <w:t xml:space="preserve">Staff </w:t>
      </w:r>
      <w:r w:rsidRPr="00FB6E6B">
        <w:t>Proposal</w:t>
      </w:r>
      <w:bookmarkEnd w:id="103"/>
      <w:r>
        <w:t xml:space="preserve"> </w:t>
      </w:r>
    </w:p>
    <w:p w:rsidR="00FA6BBB" w:rsidP="00FA6BBB" w:rsidRDefault="004F6488" w14:paraId="1C162A57" w14:textId="74506DA1">
      <w:pPr>
        <w:pStyle w:val="Standard"/>
      </w:pPr>
      <w:r>
        <w:t xml:space="preserve">Section V of the Staff Proposal sets forth </w:t>
      </w:r>
      <w:r w:rsidR="005B099D">
        <w:t>Staff’s proposed noti</w:t>
      </w:r>
      <w:r w:rsidR="00E77A6A">
        <w:t xml:space="preserve">fication </w:t>
      </w:r>
      <w:r w:rsidR="005B099D">
        <w:t>requirements</w:t>
      </w:r>
      <w:r w:rsidR="001D63C3">
        <w:t xml:space="preserve"> for claimed exem</w:t>
      </w:r>
      <w:r w:rsidR="00D126C6">
        <w:t>ption</w:t>
      </w:r>
      <w:r w:rsidR="001E480E">
        <w:t>s</w:t>
      </w:r>
      <w:r w:rsidR="00194806">
        <w:t xml:space="preserve">.  </w:t>
      </w:r>
      <w:r w:rsidR="005B099D">
        <w:t xml:space="preserve"> </w:t>
      </w:r>
    </w:p>
    <w:p w:rsidR="00E77A6A" w:rsidP="00FA6BBB" w:rsidRDefault="00E77A6A" w14:paraId="0AC23151" w14:textId="323FB7BE">
      <w:pPr>
        <w:pStyle w:val="Standard"/>
      </w:pPr>
      <w:r>
        <w:t xml:space="preserve">The June 27, 2022 ALJ </w:t>
      </w:r>
      <w:r w:rsidR="00F91CA0">
        <w:t>r</w:t>
      </w:r>
      <w:r>
        <w:t xml:space="preserve">uling asks the following regarding Staff’s proposed notification requirements: </w:t>
      </w:r>
    </w:p>
    <w:p w:rsidR="00E77A6A" w:rsidP="00396C24" w:rsidRDefault="00E77A6A" w14:paraId="04090D0D" w14:textId="26AFA50B">
      <w:pPr>
        <w:pStyle w:val="BlockQuote"/>
        <w:ind w:right="1440"/>
      </w:pPr>
      <w:r w:rsidRPr="00D44D06">
        <w:lastRenderedPageBreak/>
        <w:t>Should certain types of infrastructure projects be exempt from any of the notification requirements in Section V? If so, what types of projects should be exempt?</w:t>
      </w:r>
      <w:r w:rsidR="001B778F">
        <w:t xml:space="preserve">  </w:t>
      </w:r>
      <w:r w:rsidRPr="00D44D06">
        <w:t>Should any modifications be made to the notification</w:t>
      </w:r>
      <w:r w:rsidR="001B778F">
        <w:t>…</w:t>
      </w:r>
      <w:r w:rsidRPr="00D44D06">
        <w:t>requirements provided in Section</w:t>
      </w:r>
      <w:r w:rsidR="00396C24">
        <w:t> </w:t>
      </w:r>
      <w:r w:rsidRPr="00D44D06">
        <w:t>V?</w:t>
      </w:r>
    </w:p>
    <w:p w:rsidR="00FA6BBB" w:rsidP="0009044A" w:rsidRDefault="00FA6BBB" w14:paraId="2DD908FE" w14:textId="757DD739">
      <w:pPr>
        <w:pStyle w:val="Heading2"/>
      </w:pPr>
      <w:bookmarkStart w:name="_Toc120692862" w:id="104"/>
      <w:r>
        <w:t xml:space="preserve">Party </w:t>
      </w:r>
      <w:r w:rsidRPr="00FB6E6B">
        <w:t>Comments</w:t>
      </w:r>
      <w:bookmarkEnd w:id="104"/>
    </w:p>
    <w:p w:rsidR="00B25949" w:rsidP="00945F62" w:rsidRDefault="00D117F4" w14:paraId="3957FDE1" w14:textId="3CB4428C">
      <w:pPr>
        <w:pStyle w:val="Standard"/>
      </w:pPr>
      <w:r>
        <w:t>Intervenor p</w:t>
      </w:r>
      <w:r w:rsidR="00960F5A">
        <w:t xml:space="preserve">arties generally support Staff’s proposal </w:t>
      </w:r>
      <w:r w:rsidR="0028731D">
        <w:t>regarding notification requirements</w:t>
      </w:r>
      <w:r w:rsidR="00960F5A">
        <w:t xml:space="preserve">, </w:t>
      </w:r>
      <w:r>
        <w:t>while gas corporations generally oppose them</w:t>
      </w:r>
      <w:r w:rsidR="00960F5A">
        <w:t xml:space="preserve">.  The </w:t>
      </w:r>
      <w:r w:rsidR="00AC1713">
        <w:t xml:space="preserve">gas corporations state that </w:t>
      </w:r>
      <w:r>
        <w:t xml:space="preserve">the </w:t>
      </w:r>
      <w:r w:rsidR="00AC1713">
        <w:t>notification requirements in t</w:t>
      </w:r>
      <w:r w:rsidR="00960F5A">
        <w:t xml:space="preserve">he Staff Proposal </w:t>
      </w:r>
      <w:r w:rsidR="00AC1713">
        <w:t xml:space="preserve">are </w:t>
      </w:r>
      <w:r w:rsidR="00C22D96">
        <w:t xml:space="preserve">too </w:t>
      </w:r>
      <w:r w:rsidR="00960F5A">
        <w:t>broad</w:t>
      </w:r>
      <w:r w:rsidR="00C22D96">
        <w:t>.</w:t>
      </w:r>
      <w:r w:rsidR="00945F62">
        <w:t xml:space="preserve">  </w:t>
      </w:r>
      <w:r w:rsidR="00BC5FD3">
        <w:t xml:space="preserve">SoCalGas proposes deleting the </w:t>
      </w:r>
      <w:r w:rsidR="00A705F7">
        <w:t>entirety of Section V</w:t>
      </w:r>
      <w:r w:rsidR="00E94198">
        <w:t>(</w:t>
      </w:r>
      <w:r w:rsidR="00A705F7">
        <w:t>C</w:t>
      </w:r>
      <w:r w:rsidR="00E94198">
        <w:t>) of the Staff</w:t>
      </w:r>
      <w:r w:rsidR="00396C24">
        <w:t> </w:t>
      </w:r>
      <w:r w:rsidR="00E94198">
        <w:t>Proposal</w:t>
      </w:r>
      <w:r w:rsidR="00DD30FA">
        <w:t xml:space="preserve"> </w:t>
      </w:r>
      <w:r w:rsidR="00E94198">
        <w:t xml:space="preserve">from the adopted </w:t>
      </w:r>
      <w:r w:rsidR="005459A7">
        <w:t>GO</w:t>
      </w:r>
      <w:r w:rsidR="00E94198">
        <w:t xml:space="preserve">. </w:t>
      </w:r>
      <w:r w:rsidR="00863C6A">
        <w:t xml:space="preserve"> </w:t>
      </w:r>
      <w:r w:rsidR="00DD30FA">
        <w:t xml:space="preserve">Section V(C) addresses notification requirements for </w:t>
      </w:r>
      <w:r w:rsidR="00863C6A">
        <w:t xml:space="preserve">all </w:t>
      </w:r>
      <w:r w:rsidR="00DD30FA">
        <w:t>claimed exemptions.</w:t>
      </w:r>
      <w:r w:rsidR="00945F62">
        <w:t xml:space="preserve">  </w:t>
      </w:r>
    </w:p>
    <w:p w:rsidR="001A38ED" w:rsidP="003B5800" w:rsidRDefault="00631AAB" w14:paraId="3849BFCA" w14:textId="17CACA75">
      <w:pPr>
        <w:pStyle w:val="Standard"/>
      </w:pPr>
      <w:r>
        <w:t xml:space="preserve">SDG&amp;E </w:t>
      </w:r>
      <w:r w:rsidR="005E4F0E">
        <w:t xml:space="preserve">objects that </w:t>
      </w:r>
      <w:r>
        <w:t>the Staff Proposal as worded would require noticing for thousands of maintenance projects</w:t>
      </w:r>
      <w:r w:rsidR="00C25033">
        <w:t>.</w:t>
      </w:r>
      <w:r w:rsidR="00B25949">
        <w:t xml:space="preserve">  </w:t>
      </w:r>
      <w:r w:rsidR="005C5269">
        <w:t xml:space="preserve">SDG&amp;E </w:t>
      </w:r>
      <w:r w:rsidR="00C71947">
        <w:t xml:space="preserve">asserts </w:t>
      </w:r>
      <w:r w:rsidR="005C5269">
        <w:t xml:space="preserve">that </w:t>
      </w:r>
      <w:r w:rsidR="005B5318">
        <w:t>it undertakes</w:t>
      </w:r>
      <w:r w:rsidR="00656A42">
        <w:t xml:space="preserve"> thousands</w:t>
      </w:r>
      <w:r w:rsidR="005C5269">
        <w:t xml:space="preserve"> of</w:t>
      </w:r>
      <w:r w:rsidR="00656A42">
        <w:t xml:space="preserve"> </w:t>
      </w:r>
      <w:r w:rsidRPr="00656A42" w:rsidR="00656A42">
        <w:t>maintenance, repair and relocation of existing gas infrastructure</w:t>
      </w:r>
      <w:r w:rsidR="00656A42">
        <w:t xml:space="preserve"> projects </w:t>
      </w:r>
      <w:r w:rsidR="002513D3">
        <w:t xml:space="preserve">for service lines </w:t>
      </w:r>
      <w:r w:rsidR="00EB3738">
        <w:t>each year</w:t>
      </w:r>
      <w:r w:rsidR="000A27D9">
        <w:t xml:space="preserve">.  </w:t>
      </w:r>
      <w:r w:rsidR="009502CA">
        <w:t>SDG&amp;E states t</w:t>
      </w:r>
      <w:r w:rsidR="000A27D9">
        <w:t xml:space="preserve">hese projects are </w:t>
      </w:r>
      <w:r w:rsidR="00B25949">
        <w:t xml:space="preserve">typically </w:t>
      </w:r>
      <w:r w:rsidR="000A27D9">
        <w:t xml:space="preserve">triggered by </w:t>
      </w:r>
      <w:r w:rsidRPr="00656A42" w:rsidR="00656A42">
        <w:t xml:space="preserve">requirements specified in GO 112-F and PHMSA regulations, as well as </w:t>
      </w:r>
      <w:r w:rsidR="000A27D9">
        <w:t xml:space="preserve">by </w:t>
      </w:r>
      <w:r w:rsidRPr="00656A42" w:rsidR="00656A42">
        <w:t xml:space="preserve">work to clear conflicts required by franchise agreements </w:t>
      </w:r>
      <w:r w:rsidR="000A27D9">
        <w:t xml:space="preserve">relating to </w:t>
      </w:r>
      <w:r w:rsidRPr="00656A42" w:rsidR="00656A42">
        <w:t>government road, water</w:t>
      </w:r>
      <w:r w:rsidR="009502CA">
        <w:t>,</w:t>
      </w:r>
      <w:r w:rsidRPr="00656A42" w:rsidR="00656A42">
        <w:t xml:space="preserve"> or </w:t>
      </w:r>
      <w:r w:rsidR="00147F18">
        <w:t xml:space="preserve">sewer projects.  </w:t>
      </w:r>
      <w:r w:rsidR="00131457">
        <w:t xml:space="preserve">SDG&amp;E </w:t>
      </w:r>
      <w:r w:rsidR="00F00DD4">
        <w:t xml:space="preserve">states </w:t>
      </w:r>
      <w:r w:rsidR="00131457">
        <w:t>that alt</w:t>
      </w:r>
      <w:r w:rsidR="00147F18">
        <w:t xml:space="preserve">hough this work would be exempt from application requirements </w:t>
      </w:r>
      <w:r w:rsidR="00050C01">
        <w:t xml:space="preserve">under </w:t>
      </w:r>
      <w:r w:rsidR="00147F18">
        <w:t>Staff’s proposed exemptions in Sections IV</w:t>
      </w:r>
      <w:r w:rsidR="00131457">
        <w:t>(A)(3), notification pursuant to Staff’s proposed Section V(C) would still be required</w:t>
      </w:r>
      <w:r w:rsidR="001B4D77">
        <w:t xml:space="preserve">. </w:t>
      </w:r>
      <w:r w:rsidR="003F2D76">
        <w:t xml:space="preserve">SDG&amp;E states that at a minimum, new service lines should not require advice letters or other notifications. </w:t>
      </w:r>
      <w:r w:rsidR="00511713">
        <w:t xml:space="preserve"> </w:t>
      </w:r>
      <w:r w:rsidR="004D6C53">
        <w:t xml:space="preserve">SDG&amp;E further argues that </w:t>
      </w:r>
      <w:r w:rsidR="003B5800">
        <w:t>maintenance, repair</w:t>
      </w:r>
      <w:r w:rsidR="009502CA">
        <w:t>,</w:t>
      </w:r>
      <w:r w:rsidR="003B5800">
        <w:t xml:space="preserve"> and relocation</w:t>
      </w:r>
      <w:r w:rsidR="004D6C53">
        <w:t xml:space="preserve"> </w:t>
      </w:r>
      <w:r w:rsidR="003B5800">
        <w:t xml:space="preserve">work on the existing gas system </w:t>
      </w:r>
      <w:r w:rsidR="004D6C53">
        <w:t xml:space="preserve">should be </w:t>
      </w:r>
      <w:r w:rsidR="003B5800">
        <w:t>excluded from the Section V</w:t>
      </w:r>
      <w:r w:rsidR="003B10C9">
        <w:t>(</w:t>
      </w:r>
      <w:r w:rsidR="003B5800">
        <w:t>C</w:t>
      </w:r>
      <w:r w:rsidR="003B10C9">
        <w:t>)</w:t>
      </w:r>
      <w:r w:rsidR="003B5800">
        <w:t xml:space="preserve"> notification requirement.</w:t>
      </w:r>
    </w:p>
    <w:p w:rsidR="00EC69AB" w:rsidP="006225FD" w:rsidRDefault="00AC399E" w14:paraId="291AC71E" w14:textId="65C70FF3">
      <w:pPr>
        <w:pStyle w:val="Standard"/>
      </w:pPr>
      <w:r>
        <w:t xml:space="preserve">Sierra Club/CEJA/RMI state that </w:t>
      </w:r>
      <w:r w:rsidR="003D0E5E">
        <w:t xml:space="preserve">notifications should be required </w:t>
      </w:r>
      <w:r w:rsidR="001C4466">
        <w:t xml:space="preserve">in </w:t>
      </w:r>
      <w:r w:rsidR="003D0E5E">
        <w:t>all</w:t>
      </w:r>
      <w:r w:rsidR="001C4466">
        <w:t xml:space="preserve"> instances whe</w:t>
      </w:r>
      <w:r w:rsidR="000A27D9">
        <w:t xml:space="preserve">n a gas corporation </w:t>
      </w:r>
      <w:r w:rsidR="001C4466">
        <w:t>asserts an</w:t>
      </w:r>
      <w:r w:rsidR="003D0E5E">
        <w:t xml:space="preserve"> exemption</w:t>
      </w:r>
      <w:r w:rsidR="001C4466">
        <w:t xml:space="preserve"> to </w:t>
      </w:r>
      <w:r w:rsidR="00AE2075">
        <w:t>a permit requirement</w:t>
      </w:r>
      <w:r w:rsidR="003D0E5E">
        <w:t xml:space="preserve">.  Sierra Club/CEJA/RMI propose additions to Staff’s proposed Section V to reflect </w:t>
      </w:r>
      <w:r w:rsidR="003D0E5E">
        <w:lastRenderedPageBreak/>
        <w:t xml:space="preserve">requirements contained in </w:t>
      </w:r>
      <w:r w:rsidR="00D06C71">
        <w:t xml:space="preserve">recently passed legislation, </w:t>
      </w:r>
      <w:r w:rsidR="002042A7">
        <w:t>AB 819</w:t>
      </w:r>
      <w:r w:rsidR="006912CA">
        <w:t xml:space="preserve"> (Levine, Stat</w:t>
      </w:r>
      <w:r w:rsidR="00BB7143">
        <w:t>s.</w:t>
      </w:r>
      <w:r w:rsidR="006912CA">
        <w:t xml:space="preserve"> 2021, Chapter 97)</w:t>
      </w:r>
      <w:r w:rsidR="002042A7">
        <w:t xml:space="preserve">, regarding </w:t>
      </w:r>
      <w:r w:rsidR="006D009F">
        <w:t xml:space="preserve">CEQA </w:t>
      </w:r>
      <w:r w:rsidR="002042A7">
        <w:t>notice and reporting requirements.</w:t>
      </w:r>
      <w:r w:rsidR="00841A46">
        <w:rPr>
          <w:rStyle w:val="FootnoteReference"/>
        </w:rPr>
        <w:footnoteReference w:id="50"/>
      </w:r>
      <w:r w:rsidR="002042A7">
        <w:t xml:space="preserve">  </w:t>
      </w:r>
      <w:r w:rsidR="00EC69AB">
        <w:t>Sierra Club/CEJA/RMI suggest changes to Staff’s proposed Section V(C) to require not</w:t>
      </w:r>
      <w:r w:rsidR="00560052">
        <w:t xml:space="preserve">icing provisions contained in the Commission’s </w:t>
      </w:r>
      <w:r w:rsidR="007E2B64">
        <w:t xml:space="preserve">ESJ </w:t>
      </w:r>
      <w:r w:rsidR="00560052">
        <w:t>Action Plan related to accessibility, understandability and availability of information.</w:t>
      </w:r>
      <w:r w:rsidR="003373EF">
        <w:t xml:space="preserve"> </w:t>
      </w:r>
      <w:r w:rsidR="00511713">
        <w:t xml:space="preserve"> </w:t>
      </w:r>
      <w:r w:rsidR="003373EF">
        <w:t xml:space="preserve">They further assert that the </w:t>
      </w:r>
      <w:r w:rsidR="005459A7">
        <w:t>GO</w:t>
      </w:r>
      <w:r w:rsidR="009A66C1">
        <w:t xml:space="preserve"> </w:t>
      </w:r>
      <w:r w:rsidR="003373EF">
        <w:t xml:space="preserve">should require </w:t>
      </w:r>
      <w:r w:rsidR="009A0BCC">
        <w:t xml:space="preserve">that </w:t>
      </w:r>
      <w:r w:rsidRPr="003373EF" w:rsidR="003373EF">
        <w:t xml:space="preserve">all requests for exemptions </w:t>
      </w:r>
      <w:r w:rsidR="00D73BCD">
        <w:t xml:space="preserve">and </w:t>
      </w:r>
      <w:r w:rsidRPr="003373EF" w:rsidR="003373EF">
        <w:t xml:space="preserve">notices of exemption </w:t>
      </w:r>
      <w:r w:rsidR="006D009F">
        <w:t xml:space="preserve">are </w:t>
      </w:r>
      <w:r w:rsidR="009A0BCC">
        <w:t xml:space="preserve">posted </w:t>
      </w:r>
      <w:r w:rsidRPr="003373EF" w:rsidR="003373EF">
        <w:t>on the C</w:t>
      </w:r>
      <w:r w:rsidR="006D009F">
        <w:t>ommission’s</w:t>
      </w:r>
      <w:r w:rsidRPr="003373EF" w:rsidR="003373EF">
        <w:t xml:space="preserve"> website</w:t>
      </w:r>
      <w:r w:rsidR="008756FA">
        <w:t xml:space="preserve"> and</w:t>
      </w:r>
      <w:r w:rsidRPr="003373EF" w:rsidR="003373EF">
        <w:t xml:space="preserve"> </w:t>
      </w:r>
      <w:r w:rsidR="006D009F">
        <w:t xml:space="preserve">are </w:t>
      </w:r>
      <w:r w:rsidRPr="003373EF" w:rsidR="003373EF">
        <w:t>easy to access.</w:t>
      </w:r>
    </w:p>
    <w:p w:rsidR="006D009F" w:rsidP="006225FD" w:rsidRDefault="002042A7" w14:paraId="18C24D65" w14:textId="77777777">
      <w:pPr>
        <w:pStyle w:val="Standard"/>
      </w:pPr>
      <w:r>
        <w:t xml:space="preserve">PG&amp;E </w:t>
      </w:r>
      <w:r w:rsidR="00AE2075">
        <w:t>opposes the suggestion that information required of CEQA lead agencies under AB 8</w:t>
      </w:r>
      <w:r w:rsidR="00AF16B4">
        <w:t xml:space="preserve">19 </w:t>
      </w:r>
      <w:r w:rsidR="007E2B64">
        <w:t xml:space="preserve">is </w:t>
      </w:r>
      <w:r w:rsidR="00AF16B4">
        <w:t xml:space="preserve">required in the </w:t>
      </w:r>
      <w:r w:rsidR="005459A7">
        <w:t>GO</w:t>
      </w:r>
      <w:r w:rsidR="00AF16B4">
        <w:t xml:space="preserve">. </w:t>
      </w:r>
      <w:r w:rsidR="00F4410A">
        <w:t xml:space="preserve"> PG&amp;E observes that Staff’s proposed Section V governs the notices provided by the utilities to various agencies and stakeholders to alert them to the filing of applications at the C</w:t>
      </w:r>
      <w:r w:rsidR="006225FD">
        <w:t>ommission</w:t>
      </w:r>
      <w:r w:rsidR="00F4410A">
        <w:t>, or to claims of exemptions from C</w:t>
      </w:r>
      <w:r w:rsidR="006225FD">
        <w:t xml:space="preserve">ommission </w:t>
      </w:r>
      <w:r w:rsidR="00F4410A">
        <w:t xml:space="preserve">permit requirements. </w:t>
      </w:r>
      <w:r w:rsidR="006225FD">
        <w:t xml:space="preserve"> As such, t</w:t>
      </w:r>
      <w:r w:rsidR="00F4410A">
        <w:t>hese actions by private companies are not subject to CEQA</w:t>
      </w:r>
      <w:r w:rsidR="006225FD">
        <w:t xml:space="preserve"> noticing requirements as contained in AB 819, PG&amp;E asserts.  </w:t>
      </w:r>
    </w:p>
    <w:p w:rsidRPr="00973D73" w:rsidR="00AC399E" w:rsidP="006225FD" w:rsidRDefault="006225FD" w14:paraId="298834A9" w14:textId="524029C4">
      <w:pPr>
        <w:pStyle w:val="Standard"/>
      </w:pPr>
      <w:r>
        <w:t>PG&amp;E states that the o</w:t>
      </w:r>
      <w:r w:rsidR="00F4410A">
        <w:t>ther suggestions</w:t>
      </w:r>
      <w:r>
        <w:t xml:space="preserve"> provided by Sierra Club/CEJA/RMI about noticing</w:t>
      </w:r>
      <w:r w:rsidR="00F4410A">
        <w:t xml:space="preserve"> </w:t>
      </w:r>
      <w:r w:rsidR="00A950E6">
        <w:t xml:space="preserve">are </w:t>
      </w:r>
      <w:r w:rsidR="00F4410A">
        <w:t xml:space="preserve">reasonable, </w:t>
      </w:r>
      <w:r>
        <w:t>for in</w:t>
      </w:r>
      <w:r w:rsidR="00E65C4A">
        <w:t xml:space="preserve">stance </w:t>
      </w:r>
      <w:r w:rsidR="00F4410A">
        <w:t xml:space="preserve">that notices of </w:t>
      </w:r>
      <w:r w:rsidR="00E65C4A">
        <w:t>a</w:t>
      </w:r>
      <w:r w:rsidR="00FC6405">
        <w:t xml:space="preserve"> gas corporation’s </w:t>
      </w:r>
      <w:r w:rsidR="00E65C4A">
        <w:t xml:space="preserve">application </w:t>
      </w:r>
      <w:r w:rsidR="00F4410A">
        <w:t xml:space="preserve">filing </w:t>
      </w:r>
      <w:r w:rsidR="00E65C4A">
        <w:t xml:space="preserve">should include </w:t>
      </w:r>
      <w:r w:rsidR="00F4410A">
        <w:t xml:space="preserve">references to </w:t>
      </w:r>
      <w:r w:rsidR="00E65C4A">
        <w:t xml:space="preserve">the Commission’s </w:t>
      </w:r>
      <w:r w:rsidR="00F4410A">
        <w:t xml:space="preserve">website. </w:t>
      </w:r>
      <w:r w:rsidR="00E65C4A">
        <w:t xml:space="preserve"> The Commission’s </w:t>
      </w:r>
      <w:r w:rsidR="00F4410A">
        <w:t xml:space="preserve">Public Advisor’s </w:t>
      </w:r>
      <w:r w:rsidR="00F4473F">
        <w:t>O</w:t>
      </w:r>
      <w:r w:rsidR="00F4410A">
        <w:t xml:space="preserve">ffice could consider </w:t>
      </w:r>
      <w:r w:rsidR="00EC69AB">
        <w:t xml:space="preserve">these Sierra Club/CEJA/RMI suggestions </w:t>
      </w:r>
      <w:r w:rsidR="00F4410A">
        <w:t>when working with IOUs to develop an agreed-upon template for the notices</w:t>
      </w:r>
      <w:r w:rsidR="00EC69AB">
        <w:t xml:space="preserve">, PG&amp;E states. </w:t>
      </w:r>
    </w:p>
    <w:p w:rsidR="00FA6BBB" w:rsidP="0009044A" w:rsidRDefault="00CF5057" w14:paraId="740032F2" w14:textId="00413617">
      <w:pPr>
        <w:pStyle w:val="Heading2"/>
      </w:pPr>
      <w:bookmarkStart w:name="_Toc120692863" w:id="105"/>
      <w:r>
        <w:lastRenderedPageBreak/>
        <w:t xml:space="preserve">Adopting a Modified Version of </w:t>
      </w:r>
      <w:r w:rsidR="00AE4B94">
        <w:br/>
      </w:r>
      <w:r>
        <w:t xml:space="preserve">Staff’s Proposed </w:t>
      </w:r>
      <w:r w:rsidR="002864EA">
        <w:t xml:space="preserve">Notification </w:t>
      </w:r>
      <w:r w:rsidR="00AE4B94">
        <w:br/>
      </w:r>
      <w:r w:rsidR="002864EA">
        <w:t>Requirements (</w:t>
      </w:r>
      <w:r>
        <w:t>Section V</w:t>
      </w:r>
      <w:r w:rsidR="002864EA">
        <w:t>)</w:t>
      </w:r>
      <w:bookmarkEnd w:id="105"/>
    </w:p>
    <w:p w:rsidR="00CF5057" w:rsidP="00CF5057" w:rsidRDefault="00CF5057" w14:paraId="6FB24A07" w14:textId="2BF64C42">
      <w:pPr>
        <w:pStyle w:val="Standard"/>
      </w:pPr>
      <w:r>
        <w:t>We adopt a modified version of Staff’s proposed Section V regarding notices of projects and notices of claimed exemptions.  First, regarding distribution lines,</w:t>
      </w:r>
      <w:r w:rsidR="00010E7F">
        <w:t xml:space="preserve"> as discussed in </w:t>
      </w:r>
      <w:r w:rsidR="00FD0338">
        <w:t>S</w:t>
      </w:r>
      <w:r w:rsidR="00010E7F">
        <w:t xml:space="preserve">ection </w:t>
      </w:r>
      <w:r w:rsidR="005059F6">
        <w:t>12.6.3</w:t>
      </w:r>
      <w:r w:rsidR="008B1046">
        <w:t xml:space="preserve"> above</w:t>
      </w:r>
      <w:r w:rsidR="005059F6">
        <w:t xml:space="preserve">, the way we have structured the </w:t>
      </w:r>
      <w:r w:rsidR="00AB1C47">
        <w:t>CPCN</w:t>
      </w:r>
      <w:r w:rsidR="005059F6">
        <w:t xml:space="preserve"> application thresholds of this </w:t>
      </w:r>
      <w:r w:rsidR="005459A7">
        <w:t>GO</w:t>
      </w:r>
      <w:r w:rsidR="005059F6">
        <w:t xml:space="preserve"> (adopted in </w:t>
      </w:r>
      <w:r w:rsidR="00AE4B94">
        <w:t>S</w:t>
      </w:r>
      <w:r w:rsidR="005059F6">
        <w:t>ection</w:t>
      </w:r>
      <w:r w:rsidR="00654165">
        <w:t>s</w:t>
      </w:r>
      <w:r w:rsidR="005059F6">
        <w:t xml:space="preserve"> </w:t>
      </w:r>
      <w:r w:rsidR="00D7156F">
        <w:t>7.3</w:t>
      </w:r>
      <w:r w:rsidR="005059F6">
        <w:t xml:space="preserve"> and </w:t>
      </w:r>
      <w:r w:rsidR="00D7156F">
        <w:t>8</w:t>
      </w:r>
      <w:r w:rsidR="005059F6">
        <w:t xml:space="preserve">.3 above, </w:t>
      </w:r>
      <w:r w:rsidRPr="00FD0338" w:rsidR="005059F6">
        <w:rPr>
          <w:i/>
          <w:iCs/>
        </w:rPr>
        <w:t>see</w:t>
      </w:r>
      <w:r w:rsidR="005059F6">
        <w:t xml:space="preserve"> Section IV(A) of the </w:t>
      </w:r>
      <w:r w:rsidR="005459A7">
        <w:t>GO</w:t>
      </w:r>
      <w:r w:rsidR="005059F6">
        <w:t xml:space="preserve">) </w:t>
      </w:r>
      <w:r w:rsidR="0004722D">
        <w:t xml:space="preserve">means that only a limited number of distribution pipeline projects will meet these </w:t>
      </w:r>
      <w:r w:rsidRPr="00700B58" w:rsidR="0004722D">
        <w:t>thresholds</w:t>
      </w:r>
      <w:r w:rsidRPr="00700B58" w:rsidR="001D33ED">
        <w:t>.  Thus</w:t>
      </w:r>
      <w:r w:rsidRPr="00700B58" w:rsidR="00A73295">
        <w:t>,</w:t>
      </w:r>
      <w:r w:rsidRPr="00700B58" w:rsidR="001D33ED">
        <w:t xml:space="preserve"> </w:t>
      </w:r>
      <w:r w:rsidRPr="006F3A23" w:rsidR="0049142D">
        <w:t xml:space="preserve">a </w:t>
      </w:r>
      <w:r w:rsidRPr="006F3A23" w:rsidR="00FB3900">
        <w:t>manageable</w:t>
      </w:r>
      <w:r w:rsidRPr="006F3A23" w:rsidR="0049142D">
        <w:t xml:space="preserve"> number of</w:t>
      </w:r>
      <w:r w:rsidRPr="00700B58" w:rsidR="001D33ED">
        <w:t xml:space="preserve"> </w:t>
      </w:r>
      <w:r w:rsidRPr="00700B58" w:rsidR="00AB1C47">
        <w:t>CPCN</w:t>
      </w:r>
      <w:r w:rsidRPr="00700B58" w:rsidR="001D33ED">
        <w:t xml:space="preserve"> applications are likely to be required pursuant to our adopted </w:t>
      </w:r>
      <w:r w:rsidR="005459A7">
        <w:t>GO</w:t>
      </w:r>
      <w:r w:rsidRPr="00700B58" w:rsidR="001D33ED">
        <w:t xml:space="preserve"> for distribution projects, which in turn means that </w:t>
      </w:r>
      <w:r w:rsidRPr="00700B58" w:rsidR="00BD749D">
        <w:t xml:space="preserve">the number of exemption notices for distribution projects are also likely to be </w:t>
      </w:r>
      <w:r w:rsidR="00E25E30">
        <w:t>manageable</w:t>
      </w:r>
      <w:r w:rsidRPr="00700B58" w:rsidR="00BD749D">
        <w:t>.</w:t>
      </w:r>
      <w:r w:rsidR="00BD749D">
        <w:t xml:space="preserve">  </w:t>
      </w:r>
    </w:p>
    <w:p w:rsidR="00CF5057" w:rsidP="00CF5057" w:rsidRDefault="00CF5057" w14:paraId="73455637" w14:textId="5103FD2C">
      <w:pPr>
        <w:pStyle w:val="Standard"/>
      </w:pPr>
      <w:r>
        <w:t xml:space="preserve">Second, </w:t>
      </w:r>
      <w:r w:rsidR="00B27B2B">
        <w:t xml:space="preserve">regarding Section V(A), </w:t>
      </w:r>
      <w:r>
        <w:t>we incorporate some of the changes suggested by Sierra Club/CEJA/RMI</w:t>
      </w:r>
      <w:r w:rsidR="00B27B2B">
        <w:t xml:space="preserve">.  </w:t>
      </w:r>
      <w:r w:rsidR="00950B96">
        <w:t>To the extent possible, w</w:t>
      </w:r>
      <w:r w:rsidR="00B27B2B">
        <w:t xml:space="preserve">e </w:t>
      </w:r>
      <w:r>
        <w:t xml:space="preserve">require </w:t>
      </w:r>
      <w:r w:rsidR="00B27B2B">
        <w:t xml:space="preserve">gas corporations to submit </w:t>
      </w:r>
      <w:r>
        <w:t>notices</w:t>
      </w:r>
      <w:r w:rsidR="001D119A">
        <w:t xml:space="preserve"> regarding a </w:t>
      </w:r>
      <w:r w:rsidR="00AB1C47">
        <w:t>CPCN</w:t>
      </w:r>
      <w:r w:rsidR="001D119A">
        <w:t xml:space="preserve"> application pursuant to our adopted </w:t>
      </w:r>
      <w:r w:rsidR="005459A7">
        <w:t>GO</w:t>
      </w:r>
      <w:r>
        <w:t xml:space="preserve"> in </w:t>
      </w:r>
      <w:r w:rsidR="00C449F8">
        <w:t>a</w:t>
      </w:r>
      <w:r w:rsidR="002D5B5B">
        <w:t xml:space="preserve"> </w:t>
      </w:r>
      <w:r>
        <w:t>format</w:t>
      </w:r>
      <w:r w:rsidR="002D5B5B">
        <w:t xml:space="preserve"> </w:t>
      </w:r>
      <w:r>
        <w:t xml:space="preserve">accessible </w:t>
      </w:r>
      <w:r w:rsidR="002D5B5B">
        <w:t>to the visually impaired</w:t>
      </w:r>
      <w:r w:rsidR="00366557">
        <w:t xml:space="preserve"> </w:t>
      </w:r>
      <w:r w:rsidR="00B27B2B">
        <w:t>and</w:t>
      </w:r>
      <w:r w:rsidR="00C449F8">
        <w:t xml:space="preserve"> to </w:t>
      </w:r>
      <w:r w:rsidR="00B27B2B">
        <w:t xml:space="preserve">serve them to </w:t>
      </w:r>
      <w:r w:rsidR="00C449F8">
        <w:t>relevant service lists</w:t>
      </w:r>
      <w:r w:rsidR="00527B1A">
        <w:t xml:space="preserve">, which shall include the </w:t>
      </w:r>
      <w:r w:rsidR="008D52EA">
        <w:t>service list of R.20-01-007 and any successor proceeding</w:t>
      </w:r>
      <w:r w:rsidR="00950B96">
        <w:t>, as well as the service list of each utility’s most recent general rate case application</w:t>
      </w:r>
      <w:r w:rsidR="008F109C">
        <w:t xml:space="preserve"> proceeding</w:t>
      </w:r>
      <w:r w:rsidR="000E1034">
        <w:t xml:space="preserve">.  </w:t>
      </w:r>
      <w:r w:rsidR="00A0092B">
        <w:t xml:space="preserve">We require gas corporations to consult with the Commission’s Public Advisor’s Office regarding the format of both project CPCN application and exemption notice requirements, including ways to ensure the notices are easily accessible.  </w:t>
      </w:r>
      <w:r w:rsidR="00E21AB4">
        <w:t xml:space="preserve">Further, we direct Commission staff to post </w:t>
      </w:r>
      <w:r w:rsidR="000E4865">
        <w:t xml:space="preserve">submitted notices to the </w:t>
      </w:r>
      <w:r w:rsidR="00227C09">
        <w:t>webpage on Long</w:t>
      </w:r>
      <w:r w:rsidR="00F979DD">
        <w:t>-</w:t>
      </w:r>
      <w:r w:rsidR="00227C09">
        <w:t xml:space="preserve">Term Gas Planning on the Commission’s </w:t>
      </w:r>
      <w:r w:rsidR="000E4865">
        <w:t>website within 30 days of receiving it.</w:t>
      </w:r>
      <w:r w:rsidR="006D009F">
        <w:t xml:space="preserve">  </w:t>
      </w:r>
    </w:p>
    <w:p w:rsidR="007D25A6" w:rsidP="00CF5057" w:rsidRDefault="00DB47D3" w14:paraId="5A9AE8FC" w14:textId="64FD737F">
      <w:pPr>
        <w:pStyle w:val="Standard"/>
      </w:pPr>
      <w:r>
        <w:t xml:space="preserve">Third, regarding Section V(B), </w:t>
      </w:r>
      <w:r w:rsidR="00050C01">
        <w:t xml:space="preserve">which addresses </w:t>
      </w:r>
      <w:r w:rsidR="00A0092B">
        <w:t xml:space="preserve">the information required in </w:t>
      </w:r>
      <w:r w:rsidR="00AB1C47">
        <w:t>CPCN</w:t>
      </w:r>
      <w:r w:rsidR="00050C01">
        <w:t xml:space="preserve"> application</w:t>
      </w:r>
      <w:r w:rsidR="00A0092B">
        <w:t xml:space="preserve"> notice</w:t>
      </w:r>
      <w:r w:rsidR="00050C01">
        <w:t xml:space="preserve">s, </w:t>
      </w:r>
      <w:r>
        <w:t xml:space="preserve">we require gas corporations to include </w:t>
      </w:r>
      <w:r w:rsidR="001D46D9">
        <w:t xml:space="preserve">information about how individuals or organizations may electronically file comments on the </w:t>
      </w:r>
      <w:r w:rsidR="001D46D9">
        <w:lastRenderedPageBreak/>
        <w:t xml:space="preserve">application.  </w:t>
      </w:r>
      <w:r w:rsidRPr="00245450" w:rsidR="001D46D9">
        <w:t xml:space="preserve">We also </w:t>
      </w:r>
      <w:r w:rsidRPr="00245450" w:rsidR="009F57BF">
        <w:t>require the notices to include a summary of potential environmental impacts, including emissions, from the proposed facility.</w:t>
      </w:r>
      <w:r w:rsidR="009F57BF">
        <w:t xml:space="preserve"> </w:t>
      </w:r>
    </w:p>
    <w:p w:rsidR="00527B1A" w:rsidP="00CF5057" w:rsidRDefault="00ED3152" w14:paraId="2F0FC10A" w14:textId="1C672A1B">
      <w:pPr>
        <w:pStyle w:val="Standard"/>
      </w:pPr>
      <w:r>
        <w:t>Fourth, r</w:t>
      </w:r>
      <w:r w:rsidR="00956975">
        <w:t>egarding Section V(C)</w:t>
      </w:r>
      <w:r w:rsidR="00C024E5">
        <w:t xml:space="preserve">, </w:t>
      </w:r>
      <w:r w:rsidR="002563E6">
        <w:t xml:space="preserve">which addresses notification requirements for claimed exemptions, </w:t>
      </w:r>
      <w:r w:rsidR="00C024E5">
        <w:t xml:space="preserve">we clarify that </w:t>
      </w:r>
      <w:r w:rsidR="00527B1A">
        <w:t xml:space="preserve">gas corporations must </w:t>
      </w:r>
      <w:r w:rsidR="00436DCA">
        <w:t xml:space="preserve">submit the required information no </w:t>
      </w:r>
      <w:r w:rsidR="00274939">
        <w:t xml:space="preserve">later than </w:t>
      </w:r>
      <w:r w:rsidR="00436DCA">
        <w:t>60</w:t>
      </w:r>
      <w:r w:rsidR="00BD5F4D">
        <w:t xml:space="preserve"> </w:t>
      </w:r>
      <w:r w:rsidR="00274939">
        <w:t>days prior to</w:t>
      </w:r>
      <w:r w:rsidR="002563E6">
        <w:t xml:space="preserve"> </w:t>
      </w:r>
      <w:r w:rsidR="00436DCA">
        <w:t xml:space="preserve">the </w:t>
      </w:r>
      <w:r w:rsidR="002563E6">
        <w:t>planned commencement date</w:t>
      </w:r>
      <w:r w:rsidR="00436DCA">
        <w:t xml:space="preserve"> of construction</w:t>
      </w:r>
      <w:r w:rsidR="002563E6">
        <w:t>.</w:t>
      </w:r>
      <w:r w:rsidR="00436DCA">
        <w:t xml:space="preserve">  </w:t>
      </w:r>
      <w:r w:rsidR="000D5242">
        <w:t xml:space="preserve">Setting a date certain for the notices of claimed exemptions will contribute to orderly implementation of the </w:t>
      </w:r>
      <w:r w:rsidR="005459A7">
        <w:t>GO</w:t>
      </w:r>
      <w:r w:rsidR="000D5242">
        <w:t xml:space="preserve"> and provide Staff and stakeholders with </w:t>
      </w:r>
      <w:r w:rsidR="00050C01">
        <w:t xml:space="preserve">a </w:t>
      </w:r>
      <w:r w:rsidR="000D5242">
        <w:t xml:space="preserve">reasonable </w:t>
      </w:r>
      <w:r>
        <w:t xml:space="preserve">level of advance notification. </w:t>
      </w:r>
    </w:p>
    <w:p w:rsidR="00ED3152" w:rsidP="00CF5057" w:rsidRDefault="00ED3152" w14:paraId="22AE733A" w14:textId="028F1FD8">
      <w:pPr>
        <w:pStyle w:val="Standard"/>
      </w:pPr>
      <w:r>
        <w:t xml:space="preserve">Fifth, </w:t>
      </w:r>
      <w:r w:rsidR="005E4413">
        <w:t xml:space="preserve">as discussed in </w:t>
      </w:r>
      <w:r w:rsidRPr="008A1E09" w:rsidR="005E4413">
        <w:t xml:space="preserve">section </w:t>
      </w:r>
      <w:r w:rsidRPr="008A1E09" w:rsidR="0067335F">
        <w:t>11.3</w:t>
      </w:r>
      <w:r w:rsidRPr="008A1E09" w:rsidR="00193F08">
        <w:t xml:space="preserve"> above</w:t>
      </w:r>
      <w:r w:rsidR="0067335F">
        <w:t xml:space="preserve">, </w:t>
      </w:r>
      <w:r>
        <w:t>w</w:t>
      </w:r>
      <w:r w:rsidR="00436DCA">
        <w:t xml:space="preserve">e clarify that notices of a claimed exemption for emergency projects must be submitted no later than </w:t>
      </w:r>
      <w:r w:rsidR="0011377E">
        <w:t>6</w:t>
      </w:r>
      <w:r w:rsidR="00436DCA">
        <w:t>0</w:t>
      </w:r>
      <w:r w:rsidR="00511713">
        <w:t> </w:t>
      </w:r>
      <w:r w:rsidR="00436DCA">
        <w:t xml:space="preserve">days </w:t>
      </w:r>
      <w:r w:rsidR="00BE44E9">
        <w:t xml:space="preserve">after </w:t>
      </w:r>
      <w:r w:rsidR="00FF6E02">
        <w:t>the commencement of construction on the project.</w:t>
      </w:r>
      <w:r>
        <w:t xml:space="preserve">  </w:t>
      </w:r>
      <w:r w:rsidR="005E4413">
        <w:t>This</w:t>
      </w:r>
      <w:r w:rsidR="0067335F">
        <w:t xml:space="preserve"> achieves a reasonable balance that allows gas corporations to begin work on urgent emergency projects as necessary, but that also provides an opportunity for affected community members, local governments, stakeholders and this Commission to learn about the project</w:t>
      </w:r>
      <w:r w:rsidR="00D15B50">
        <w:t xml:space="preserve"> within a reasonable amount of time</w:t>
      </w:r>
      <w:r w:rsidR="00935EB8">
        <w:t xml:space="preserve"> from project commencement</w:t>
      </w:r>
      <w:r w:rsidR="0067335F">
        <w:t xml:space="preserve">.  </w:t>
      </w:r>
    </w:p>
    <w:p w:rsidRPr="00FC6405" w:rsidR="00FC6405" w:rsidP="00D86964" w:rsidRDefault="0067335F" w14:paraId="7A5EDD42" w14:textId="1A0741AB">
      <w:pPr>
        <w:pStyle w:val="Standard"/>
      </w:pPr>
      <w:r>
        <w:t>Finally, w</w:t>
      </w:r>
      <w:r w:rsidR="00347566">
        <w:t xml:space="preserve">e </w:t>
      </w:r>
      <w:r w:rsidR="00412054">
        <w:t>retain the requirement that gas corporations must submit a Tier</w:t>
      </w:r>
      <w:r w:rsidR="00AE4B94">
        <w:t> </w:t>
      </w:r>
      <w:r w:rsidR="00412054">
        <w:t xml:space="preserve">1 information-only advice letter when claiming an exemption under the </w:t>
      </w:r>
      <w:r w:rsidR="005459A7">
        <w:t>GO</w:t>
      </w:r>
      <w:r w:rsidR="00412054">
        <w:t xml:space="preserve">.  </w:t>
      </w:r>
      <w:r>
        <w:t xml:space="preserve">Pursuant to GO 96, </w:t>
      </w:r>
      <w:r w:rsidR="00A4250A">
        <w:t>Tier 1 information-only advice letters are effective immediately upon submittal and protests are not permitted.</w:t>
      </w:r>
      <w:r w:rsidR="00D36740">
        <w:rPr>
          <w:rStyle w:val="FootnoteReference"/>
        </w:rPr>
        <w:footnoteReference w:id="51"/>
      </w:r>
      <w:r w:rsidR="000F4792">
        <w:t xml:space="preserve">  As discussed above</w:t>
      </w:r>
      <w:r w:rsidR="0003063A">
        <w:t>,</w:t>
      </w:r>
      <w:r w:rsidR="000F4792">
        <w:t xml:space="preserve"> Commission Staff should inform the </w:t>
      </w:r>
      <w:r w:rsidR="00D83052">
        <w:t xml:space="preserve">Executive Director, and the </w:t>
      </w:r>
      <w:r w:rsidR="000F4792">
        <w:t xml:space="preserve">assigned </w:t>
      </w:r>
      <w:r w:rsidR="00DC3A60">
        <w:t xml:space="preserve">ALJ </w:t>
      </w:r>
      <w:r w:rsidR="000F4792">
        <w:t>and Commissioner in this or any successor proceeding</w:t>
      </w:r>
      <w:r w:rsidR="00A0092B">
        <w:t>,</w:t>
      </w:r>
      <w:r w:rsidR="000F4792">
        <w:t xml:space="preserve"> </w:t>
      </w:r>
      <w:r w:rsidR="00DC3A60">
        <w:t xml:space="preserve">of </w:t>
      </w:r>
      <w:r w:rsidR="000F4792">
        <w:t xml:space="preserve">any instances where Staff believe a gas utility has inappropriately claimed an exemption under our adopted </w:t>
      </w:r>
      <w:r w:rsidR="005459A7">
        <w:t>GO</w:t>
      </w:r>
      <w:r w:rsidR="000F4792">
        <w:t xml:space="preserve">.  This Commission will investigate such instances as warranted. </w:t>
      </w:r>
    </w:p>
    <w:p w:rsidR="008608D6" w:rsidP="0009044A" w:rsidRDefault="00AB1C47" w14:paraId="4BE023C0" w14:textId="59642D2C">
      <w:pPr>
        <w:pStyle w:val="Heading1"/>
      </w:pPr>
      <w:bookmarkStart w:name="_Toc120692864" w:id="106"/>
      <w:r>
        <w:lastRenderedPageBreak/>
        <w:t xml:space="preserve">CPCN </w:t>
      </w:r>
      <w:r w:rsidR="00EE039B">
        <w:t>A</w:t>
      </w:r>
      <w:r>
        <w:t>pplication</w:t>
      </w:r>
      <w:r w:rsidR="001E132D">
        <w:t xml:space="preserve"> </w:t>
      </w:r>
      <w:r w:rsidRPr="00FB6E6B" w:rsidR="008608D6">
        <w:t>Information</w:t>
      </w:r>
      <w:r w:rsidR="008608D6">
        <w:t xml:space="preserve"> Submittal Requirements</w:t>
      </w:r>
      <w:r w:rsidR="00895630">
        <w:t xml:space="preserve"> (Section </w:t>
      </w:r>
      <w:r w:rsidR="00C14FDB">
        <w:t>VI)</w:t>
      </w:r>
      <w:bookmarkEnd w:id="106"/>
    </w:p>
    <w:p w:rsidR="00DE35C8" w:rsidP="0009044A" w:rsidRDefault="00DE35C8" w14:paraId="657032A4" w14:textId="464F772C">
      <w:pPr>
        <w:pStyle w:val="Heading2"/>
      </w:pPr>
      <w:bookmarkStart w:name="_Toc120692865" w:id="107"/>
      <w:r w:rsidRPr="00FB6E6B">
        <w:t>Staff</w:t>
      </w:r>
      <w:r>
        <w:t xml:space="preserve"> Proposal</w:t>
      </w:r>
      <w:bookmarkEnd w:id="107"/>
    </w:p>
    <w:p w:rsidRPr="00DE35C8" w:rsidR="00F71F00" w:rsidP="002853FF" w:rsidRDefault="00D03D95" w14:paraId="044661E0" w14:textId="6A44BA5B">
      <w:pPr>
        <w:pStyle w:val="Standard"/>
      </w:pPr>
      <w:r>
        <w:t>Section VI of the Staff Proposal</w:t>
      </w:r>
      <w:r w:rsidR="00D86964">
        <w:t xml:space="preserve"> contains </w:t>
      </w:r>
      <w:r w:rsidR="00213A6B">
        <w:t xml:space="preserve">Staff’s proposed </w:t>
      </w:r>
      <w:r w:rsidR="00F15428">
        <w:t xml:space="preserve">information submittal requirements </w:t>
      </w:r>
      <w:r w:rsidR="00A0092B">
        <w:t xml:space="preserve">for CPCN </w:t>
      </w:r>
      <w:r w:rsidR="000531E8">
        <w:t>application</w:t>
      </w:r>
      <w:r w:rsidR="00F15428">
        <w:t xml:space="preserve">s.  </w:t>
      </w:r>
      <w:r w:rsidR="00E72A14">
        <w:t xml:space="preserve">Amongst other required information, Staff propose that </w:t>
      </w:r>
      <w:r w:rsidR="008F1301">
        <w:t xml:space="preserve">gas utilities file a PEA with each CPCN application.  </w:t>
      </w:r>
      <w:r w:rsidR="00194806">
        <w:t xml:space="preserve">   </w:t>
      </w:r>
    </w:p>
    <w:p w:rsidR="00DE35C8" w:rsidP="0009044A" w:rsidRDefault="00DE35C8" w14:paraId="3B0AE46D" w14:textId="6E8163D7">
      <w:pPr>
        <w:pStyle w:val="Heading2"/>
      </w:pPr>
      <w:bookmarkStart w:name="_Toc120692866" w:id="108"/>
      <w:r w:rsidRPr="00FB6E6B">
        <w:t>Party</w:t>
      </w:r>
      <w:r>
        <w:t xml:space="preserve"> Comments</w:t>
      </w:r>
      <w:bookmarkEnd w:id="108"/>
    </w:p>
    <w:p w:rsidRPr="00453288" w:rsidR="00453288" w:rsidP="00453288" w:rsidRDefault="00453288" w14:paraId="4ECD0134" w14:textId="69AE327D">
      <w:pPr>
        <w:pStyle w:val="Standard"/>
      </w:pPr>
      <w:r>
        <w:t xml:space="preserve">Party comments address three main </w:t>
      </w:r>
      <w:r w:rsidR="009B02B7">
        <w:t xml:space="preserve">areas regarding Staff’s proposed </w:t>
      </w:r>
      <w:r w:rsidR="007111E8">
        <w:t xml:space="preserve">application </w:t>
      </w:r>
      <w:r>
        <w:t xml:space="preserve">information </w:t>
      </w:r>
      <w:r w:rsidR="007111E8">
        <w:t xml:space="preserve">requirements.  </w:t>
      </w:r>
      <w:r>
        <w:t>These are:</w:t>
      </w:r>
      <w:r w:rsidR="000C5EB2">
        <w:t xml:space="preserve"> </w:t>
      </w:r>
      <w:r>
        <w:t xml:space="preserve">(1) non-pipeline alternatives; (2) health impacts; and (3) </w:t>
      </w:r>
      <w:r w:rsidR="007111E8">
        <w:t xml:space="preserve">unique considerations for </w:t>
      </w:r>
      <w:r w:rsidR="00D471EE">
        <w:t xml:space="preserve">gas storage projects.  </w:t>
      </w:r>
    </w:p>
    <w:p w:rsidR="008C7467" w:rsidP="00EC77C9" w:rsidRDefault="002D75C1" w14:paraId="2ABF5A35" w14:textId="71571BE3">
      <w:pPr>
        <w:pStyle w:val="Standard"/>
      </w:pPr>
      <w:r>
        <w:t>Regarding non-pipeline alternatives, s</w:t>
      </w:r>
      <w:r w:rsidR="00177E58">
        <w:t xml:space="preserve">everal intervenors </w:t>
      </w:r>
      <w:r w:rsidR="00EA5716">
        <w:t>(</w:t>
      </w:r>
      <w:proofErr w:type="spellStart"/>
      <w:r w:rsidR="00EA5716">
        <w:t>CforAT</w:t>
      </w:r>
      <w:proofErr w:type="spellEnd"/>
      <w:r w:rsidR="00EA5716">
        <w:t>, EDF,</w:t>
      </w:r>
      <w:r>
        <w:t xml:space="preserve"> </w:t>
      </w:r>
      <w:r w:rsidR="00EA5716">
        <w:t xml:space="preserve">UCAN) </w:t>
      </w:r>
      <w:r w:rsidR="007111E8">
        <w:t>recommend</w:t>
      </w:r>
      <w:r w:rsidR="00177E58">
        <w:t xml:space="preserve"> </w:t>
      </w:r>
      <w:r w:rsidR="00E544A3">
        <w:t xml:space="preserve">the Commission </w:t>
      </w:r>
      <w:r w:rsidR="006312B0">
        <w:t xml:space="preserve">adopt more detailed requirements regarding </w:t>
      </w:r>
      <w:r w:rsidR="00D471EE">
        <w:t xml:space="preserve">how </w:t>
      </w:r>
      <w:r w:rsidR="00EA5716">
        <w:t xml:space="preserve">gas corporations </w:t>
      </w:r>
      <w:r w:rsidR="007111E8">
        <w:t xml:space="preserve">should </w:t>
      </w:r>
      <w:r w:rsidR="00EA5716">
        <w:t xml:space="preserve">assess non-pipeline alternatives in their applications.  </w:t>
      </w:r>
      <w:r w:rsidR="00E24D0E">
        <w:t xml:space="preserve">EDF states that </w:t>
      </w:r>
      <w:r w:rsidR="00460319">
        <w:t>additional clarity w</w:t>
      </w:r>
      <w:r w:rsidRPr="00460319" w:rsidR="00460319">
        <w:t xml:space="preserve">ill help </w:t>
      </w:r>
      <w:r w:rsidR="00460319">
        <w:t xml:space="preserve">the Commission </w:t>
      </w:r>
      <w:r w:rsidRPr="00460319" w:rsidR="00460319">
        <w:t xml:space="preserve">more fully evaluate </w:t>
      </w:r>
      <w:r w:rsidR="00460319">
        <w:t xml:space="preserve">proposed </w:t>
      </w:r>
      <w:r w:rsidRPr="00460319" w:rsidR="00460319">
        <w:t>project</w:t>
      </w:r>
      <w:r w:rsidR="00460319">
        <w:t>s</w:t>
      </w:r>
      <w:r w:rsidR="00E24D0E">
        <w:t xml:space="preserve">, </w:t>
      </w:r>
      <w:r w:rsidRPr="00460319" w:rsidR="00460319">
        <w:t xml:space="preserve">support safe and reliable natural gas service for Californians at just and reasonable rates, and help </w:t>
      </w:r>
      <w:r w:rsidR="00E24D0E">
        <w:t>achieve California’s</w:t>
      </w:r>
      <w:r w:rsidRPr="00460319" w:rsidR="00460319">
        <w:t xml:space="preserve"> decarbonization goals.</w:t>
      </w:r>
      <w:r w:rsidR="00A12F33">
        <w:t xml:space="preserve">  </w:t>
      </w:r>
    </w:p>
    <w:p w:rsidR="00EC77C9" w:rsidP="00EC77C9" w:rsidRDefault="00347E8D" w14:paraId="3B46991F" w14:textId="62F34C34">
      <w:pPr>
        <w:pStyle w:val="Standard"/>
      </w:pPr>
      <w:proofErr w:type="spellStart"/>
      <w:r>
        <w:t>CforAT</w:t>
      </w:r>
      <w:proofErr w:type="spellEnd"/>
      <w:r>
        <w:t xml:space="preserve"> provides a </w:t>
      </w:r>
      <w:r w:rsidR="00A12F33">
        <w:t>number of specific recommendations in this area</w:t>
      </w:r>
      <w:r>
        <w:t>, namely</w:t>
      </w:r>
      <w:r w:rsidR="00780477">
        <w:t>:</w:t>
      </w:r>
    </w:p>
    <w:p w:rsidRPr="0011177E" w:rsidR="00780477" w:rsidP="0011177E" w:rsidRDefault="00780477" w14:paraId="6CD6BD20" w14:textId="31BA2191">
      <w:pPr>
        <w:pStyle w:val="ListAlpha"/>
        <w:numPr>
          <w:ilvl w:val="7"/>
          <w:numId w:val="78"/>
        </w:numPr>
        <w:ind w:right="1440"/>
      </w:pPr>
      <w:r w:rsidRPr="0011177E">
        <w:t xml:space="preserve">The analysis should describe </w:t>
      </w:r>
      <w:r w:rsidRPr="0011177E" w:rsidR="00261B60">
        <w:t>w</w:t>
      </w:r>
      <w:r w:rsidRPr="0011177E">
        <w:t>ho is intended to be served by proposed project and what options for efficiency or managed consumption may be available to reduce need for project</w:t>
      </w:r>
      <w:r w:rsidRPr="0011177E" w:rsidR="00261B60">
        <w:t>;</w:t>
      </w:r>
    </w:p>
    <w:p w:rsidRPr="00780477" w:rsidR="00780477" w:rsidP="0011177E" w:rsidRDefault="00780477" w14:paraId="05225EA7" w14:textId="6499D0A7">
      <w:pPr>
        <w:pStyle w:val="ListAlpha"/>
        <w:numPr>
          <w:ilvl w:val="7"/>
          <w:numId w:val="78"/>
        </w:numPr>
        <w:ind w:right="1440"/>
      </w:pPr>
      <w:r w:rsidRPr="00780477">
        <w:t>If a project is primarily intended to serve residential customers, electrification options should be considered, including direct support for electrification if it could be done at lower cost than the construction project</w:t>
      </w:r>
      <w:r w:rsidR="00261B60">
        <w:t>;</w:t>
      </w:r>
    </w:p>
    <w:p w:rsidRPr="00780477" w:rsidR="00780477" w:rsidP="0011177E" w:rsidRDefault="00780477" w14:paraId="1295E10C" w14:textId="342B37C9">
      <w:pPr>
        <w:pStyle w:val="ListAlpha"/>
        <w:numPr>
          <w:ilvl w:val="7"/>
          <w:numId w:val="78"/>
        </w:numPr>
        <w:ind w:right="1440"/>
      </w:pPr>
      <w:r w:rsidRPr="00780477">
        <w:lastRenderedPageBreak/>
        <w:t>Consideration of cost should include external costs, such as the environmental impacts and the public health impacts of the proposed gas infrastructure project, as well as the direct dollar costs</w:t>
      </w:r>
      <w:r w:rsidR="00261B60">
        <w:t>; and,</w:t>
      </w:r>
    </w:p>
    <w:p w:rsidRPr="00780477" w:rsidR="00780477" w:rsidP="0011177E" w:rsidRDefault="00780477" w14:paraId="1AE73B90" w14:textId="624842FF">
      <w:pPr>
        <w:pStyle w:val="ListAlpha"/>
        <w:numPr>
          <w:ilvl w:val="7"/>
          <w:numId w:val="78"/>
        </w:numPr>
        <w:ind w:right="1440"/>
      </w:pPr>
      <w:r w:rsidRPr="00780477">
        <w:t>If the project is primarily intended to serve commercial and industrial customers, consideration should be included regarding alternative methods to provide necessary energy supplies, again considering both direct and externalized costs of new infrastructure.</w:t>
      </w:r>
      <w:r w:rsidRPr="0011177E" w:rsidR="0059551B">
        <w:footnoteReference w:id="52"/>
      </w:r>
      <w:r w:rsidRPr="0011177E">
        <w:t xml:space="preserve"> </w:t>
      </w:r>
    </w:p>
    <w:p w:rsidR="00EC77C9" w:rsidP="00EC77C9" w:rsidRDefault="008238F0" w14:paraId="7831A7B3" w14:textId="411576E8">
      <w:pPr>
        <w:pStyle w:val="Standard"/>
      </w:pPr>
      <w:r>
        <w:t xml:space="preserve">UCAN proposes </w:t>
      </w:r>
      <w:r w:rsidR="00261B60">
        <w:t xml:space="preserve">that </w:t>
      </w:r>
      <w:r w:rsidR="00B658E7">
        <w:t xml:space="preserve">the Commission require </w:t>
      </w:r>
      <w:r w:rsidR="00261B60">
        <w:t>applications</w:t>
      </w:r>
      <w:r w:rsidR="00B658E7">
        <w:t xml:space="preserve"> to</w:t>
      </w:r>
      <w:r w:rsidR="00261B60">
        <w:t xml:space="preserve"> </w:t>
      </w:r>
      <w:r w:rsidR="00EC77C9">
        <w:t>demonstrate:</w:t>
      </w:r>
    </w:p>
    <w:p w:rsidR="00EC77C9" w:rsidP="0011177E" w:rsidRDefault="00261B60" w14:paraId="7B4E38F7" w14:textId="10620669">
      <w:pPr>
        <w:pStyle w:val="ListAlpha"/>
        <w:numPr>
          <w:ilvl w:val="7"/>
          <w:numId w:val="81"/>
        </w:numPr>
        <w:ind w:right="1440"/>
      </w:pPr>
      <w:r>
        <w:t>T</w:t>
      </w:r>
      <w:r w:rsidR="00EC77C9">
        <w:t xml:space="preserve">hat the potential facility will be needed in light of the </w:t>
      </w:r>
      <w:r w:rsidR="00424ACA">
        <w:t>California Energy Commission’s</w:t>
      </w:r>
      <w:r w:rsidR="00834145">
        <w:t xml:space="preserve"> </w:t>
      </w:r>
      <w:r w:rsidRPr="00424ACA" w:rsidR="00EC77C9">
        <w:t>long</w:t>
      </w:r>
      <w:r w:rsidR="00EC77C9">
        <w:t xml:space="preserve">-term </w:t>
      </w:r>
      <w:r w:rsidR="00644238">
        <w:t>projections</w:t>
      </w:r>
      <w:r w:rsidR="00EC77C9">
        <w:t xml:space="preserve"> of natural gas demand;</w:t>
      </w:r>
    </w:p>
    <w:p w:rsidR="00EC77C9" w:rsidP="0011177E" w:rsidRDefault="00261B60" w14:paraId="02EC659A" w14:textId="53F0B179">
      <w:pPr>
        <w:pStyle w:val="ListAlpha"/>
        <w:numPr>
          <w:ilvl w:val="7"/>
          <w:numId w:val="78"/>
        </w:numPr>
        <w:ind w:right="1440"/>
      </w:pPr>
      <w:r>
        <w:t>T</w:t>
      </w:r>
      <w:r w:rsidR="00C55280">
        <w:t xml:space="preserve">hat </w:t>
      </w:r>
      <w:r w:rsidR="00EC77C9">
        <w:t xml:space="preserve">existing facilities are inadequate or need repair to meet applicable safety standards; </w:t>
      </w:r>
    </w:p>
    <w:p w:rsidR="00EC77C9" w:rsidP="0011177E" w:rsidRDefault="00B658E7" w14:paraId="420280D0" w14:textId="4B915FF6">
      <w:pPr>
        <w:pStyle w:val="ListAlpha"/>
        <w:numPr>
          <w:ilvl w:val="7"/>
          <w:numId w:val="78"/>
        </w:numPr>
        <w:ind w:right="1440"/>
      </w:pPr>
      <w:r>
        <w:t>T</w:t>
      </w:r>
      <w:r w:rsidR="00C55280">
        <w:t xml:space="preserve">hat </w:t>
      </w:r>
      <w:r w:rsidR="00EC77C9">
        <w:t xml:space="preserve">no reasonable alternatives exist to the proposed project; </w:t>
      </w:r>
    </w:p>
    <w:p w:rsidR="00EC77C9" w:rsidP="0011177E" w:rsidRDefault="00B658E7" w14:paraId="75148A6C" w14:textId="69DC2F29">
      <w:pPr>
        <w:pStyle w:val="ListAlpha"/>
        <w:numPr>
          <w:ilvl w:val="7"/>
          <w:numId w:val="78"/>
        </w:numPr>
        <w:ind w:right="1440"/>
      </w:pPr>
      <w:r>
        <w:t>T</w:t>
      </w:r>
      <w:r w:rsidR="00EC77C9">
        <w:t>hat the adverse environmental effects of the project can be adequately mitigated; and,</w:t>
      </w:r>
    </w:p>
    <w:p w:rsidR="00177E58" w:rsidP="0011177E" w:rsidRDefault="00B658E7" w14:paraId="00AD09FB" w14:textId="0DD53DD2">
      <w:pPr>
        <w:pStyle w:val="ListAlpha"/>
        <w:numPr>
          <w:ilvl w:val="7"/>
          <w:numId w:val="78"/>
        </w:numPr>
        <w:ind w:right="1440"/>
      </w:pPr>
      <w:r>
        <w:t>T</w:t>
      </w:r>
      <w:r w:rsidR="00C55280">
        <w:t xml:space="preserve">hat </w:t>
      </w:r>
      <w:r w:rsidR="00EC77C9">
        <w:t>the proposed project does not substantially increase the density of existing infrastructure facilities in a given location without offsetting substantial economic benefits.</w:t>
      </w:r>
      <w:r w:rsidRPr="0011177E" w:rsidR="0059551B">
        <w:footnoteReference w:id="53"/>
      </w:r>
    </w:p>
    <w:p w:rsidRPr="00177E58" w:rsidR="008238F0" w:rsidP="00C55280" w:rsidRDefault="00C55280" w14:paraId="41DFD79A" w14:textId="2A26DAE4">
      <w:pPr>
        <w:pStyle w:val="Standard"/>
      </w:pPr>
      <w:r>
        <w:t xml:space="preserve">SoCalGas opposes </w:t>
      </w:r>
      <w:r w:rsidR="00390287">
        <w:t xml:space="preserve">adopting </w:t>
      </w:r>
      <w:r>
        <w:t xml:space="preserve">additional details regarding </w:t>
      </w:r>
      <w:r w:rsidR="00C922D7">
        <w:t>how non-pipeline alternatives should be evaluated by permit applicants</w:t>
      </w:r>
      <w:r w:rsidR="00390287">
        <w:t xml:space="preserve"> at this time</w:t>
      </w:r>
      <w:r w:rsidR="00C922D7">
        <w:t xml:space="preserve">.  SoCalGas observes that </w:t>
      </w:r>
      <w:r w:rsidR="003C7773">
        <w:t xml:space="preserve">questions regarding </w:t>
      </w:r>
      <w:r w:rsidRPr="008238F0" w:rsidR="008238F0">
        <w:t>non-pipe alternative</w:t>
      </w:r>
      <w:r w:rsidR="00E21584">
        <w:t xml:space="preserve">s </w:t>
      </w:r>
      <w:r w:rsidR="00AF07E1">
        <w:t>are scoped into Track 2a</w:t>
      </w:r>
      <w:r w:rsidR="00834145">
        <w:t xml:space="preserve"> of this proceeding regarding initial steps to </w:t>
      </w:r>
      <w:r w:rsidR="000455B5">
        <w:t>develop a long</w:t>
      </w:r>
      <w:r w:rsidR="00252E7C">
        <w:t>-</w:t>
      </w:r>
      <w:r w:rsidR="000455B5">
        <w:t xml:space="preserve">term </w:t>
      </w:r>
      <w:r w:rsidR="00161225">
        <w:t xml:space="preserve">gas </w:t>
      </w:r>
      <w:r w:rsidR="000455B5">
        <w:t xml:space="preserve">planning process </w:t>
      </w:r>
      <w:r w:rsidR="00161225">
        <w:t>in this proceeding</w:t>
      </w:r>
      <w:r w:rsidR="000455B5">
        <w:t>.</w:t>
      </w:r>
      <w:r w:rsidR="00161225">
        <w:t xml:space="preserve">  </w:t>
      </w:r>
      <w:r w:rsidR="00E21584">
        <w:t xml:space="preserve">SoCalGas contends that </w:t>
      </w:r>
      <w:r w:rsidR="00252E7C">
        <w:t>requiring analysis of non</w:t>
      </w:r>
      <w:r w:rsidR="00396C24">
        <w:noBreakHyphen/>
      </w:r>
      <w:r w:rsidR="00252E7C">
        <w:t xml:space="preserve">pipeline alternatives in </w:t>
      </w:r>
      <w:r w:rsidR="00E736D9">
        <w:t xml:space="preserve">the </w:t>
      </w:r>
      <w:r w:rsidRPr="008238F0" w:rsidR="008238F0">
        <w:t xml:space="preserve">proposed </w:t>
      </w:r>
      <w:r w:rsidR="005459A7">
        <w:t>GO</w:t>
      </w:r>
      <w:r w:rsidRPr="008238F0" w:rsidR="008238F0">
        <w:t xml:space="preserve"> </w:t>
      </w:r>
      <w:r w:rsidR="00E736D9">
        <w:t xml:space="preserve">is </w:t>
      </w:r>
      <w:r w:rsidR="002E08FE">
        <w:t xml:space="preserve">therefore </w:t>
      </w:r>
      <w:r w:rsidRPr="008238F0" w:rsidR="008238F0">
        <w:t>premature</w:t>
      </w:r>
      <w:r w:rsidR="008564D9">
        <w:t>.</w:t>
      </w:r>
      <w:r w:rsidR="00442217">
        <w:t xml:space="preserve"> </w:t>
      </w:r>
    </w:p>
    <w:p w:rsidR="005C06C6" w:rsidP="005C06C6" w:rsidRDefault="0059551B" w14:paraId="5D22402C" w14:textId="032A99BA">
      <w:pPr>
        <w:pStyle w:val="Standard"/>
      </w:pPr>
      <w:r>
        <w:lastRenderedPageBreak/>
        <w:t xml:space="preserve">Regarding health impacts, </w:t>
      </w:r>
      <w:proofErr w:type="spellStart"/>
      <w:r w:rsidR="005C06C6">
        <w:t>CforAT</w:t>
      </w:r>
      <w:proofErr w:type="spellEnd"/>
      <w:r w:rsidR="005C06C6">
        <w:t xml:space="preserve"> recommends the Commission modify Staff’s proposal to </w:t>
      </w:r>
      <w:r w:rsidR="00192135">
        <w:t xml:space="preserve">ensure more meaningful </w:t>
      </w:r>
      <w:r w:rsidR="005C06C6">
        <w:t xml:space="preserve">review </w:t>
      </w:r>
      <w:r w:rsidR="00ED3D09">
        <w:t xml:space="preserve">of </w:t>
      </w:r>
      <w:r w:rsidR="005C06C6">
        <w:t>the public health impacts of proposed gas infrastructure projec</w:t>
      </w:r>
      <w:r w:rsidR="00192135">
        <w:t>ts</w:t>
      </w:r>
      <w:r w:rsidR="005C06C6">
        <w:t xml:space="preserve">.  </w:t>
      </w:r>
      <w:proofErr w:type="spellStart"/>
      <w:r w:rsidR="005C06C6">
        <w:t>CforAT</w:t>
      </w:r>
      <w:proofErr w:type="spellEnd"/>
      <w:r w:rsidR="005C06C6">
        <w:t xml:space="preserve"> suggests the Commissi</w:t>
      </w:r>
      <w:r w:rsidR="00192135">
        <w:t xml:space="preserve">on require </w:t>
      </w:r>
      <w:r w:rsidR="005C06C6">
        <w:t>consider</w:t>
      </w:r>
      <w:r w:rsidR="001A0B9E">
        <w:t>ation of</w:t>
      </w:r>
      <w:r w:rsidR="005C06C6">
        <w:t xml:space="preserve"> the impacts of new gas infrastructure on public health, including risks of air pollution, increased rates of asthma and other chronic health issues in communities located near gas infrastructure, and the public health risks of gas leaks.</w:t>
      </w:r>
    </w:p>
    <w:p w:rsidRPr="00442217" w:rsidR="00442217" w:rsidP="008102F7" w:rsidRDefault="005C06C6" w14:paraId="008D99CF" w14:textId="6282CC7E">
      <w:pPr>
        <w:pStyle w:val="Standard"/>
      </w:pPr>
      <w:r>
        <w:t xml:space="preserve">The gas </w:t>
      </w:r>
      <w:r w:rsidR="001A0B9E">
        <w:t>corporations</w:t>
      </w:r>
      <w:r>
        <w:t xml:space="preserve"> oppose </w:t>
      </w:r>
      <w:proofErr w:type="spellStart"/>
      <w:r>
        <w:t>CforAT’s</w:t>
      </w:r>
      <w:proofErr w:type="spellEnd"/>
      <w:r>
        <w:t xml:space="preserve"> suggestion.  PG&amp;E</w:t>
      </w:r>
      <w:r w:rsidR="008102F7">
        <w:t xml:space="preserve"> and SDG&amp;E</w:t>
      </w:r>
      <w:r w:rsidR="00D214CE">
        <w:t xml:space="preserve"> </w:t>
      </w:r>
      <w:r w:rsidR="0048201C">
        <w:t>state</w:t>
      </w:r>
      <w:r w:rsidR="00D214CE">
        <w:t xml:space="preserve"> that Commission </w:t>
      </w:r>
      <w:r>
        <w:t xml:space="preserve">PEA </w:t>
      </w:r>
      <w:r w:rsidR="00D214CE">
        <w:t xml:space="preserve">requirements, </w:t>
      </w:r>
      <w:r>
        <w:t>which include a Health and Safety Plan and a Health Risk Assessment</w:t>
      </w:r>
      <w:r w:rsidR="00D214CE">
        <w:t xml:space="preserve">, already address these concerns. </w:t>
      </w:r>
      <w:r>
        <w:t xml:space="preserve"> </w:t>
      </w:r>
      <w:r w:rsidR="0048201C">
        <w:t>SoCalGas observes that there is substantial oversight from various agencies to evaluate air emissions and public health impacts from projects, through PHMSA requirements, the Environmental Protection</w:t>
      </w:r>
      <w:r w:rsidR="00AE70B2">
        <w:t xml:space="preserve"> Agency</w:t>
      </w:r>
      <w:r w:rsidR="0048201C">
        <w:t xml:space="preserve"> </w:t>
      </w:r>
      <w:r w:rsidR="009D135A">
        <w:t>(EPA)</w:t>
      </w:r>
      <w:r w:rsidR="0048201C">
        <w:t xml:space="preserve">, </w:t>
      </w:r>
      <w:r w:rsidR="009D135A">
        <w:t>CARB</w:t>
      </w:r>
      <w:r w:rsidR="0048201C">
        <w:t xml:space="preserve">, and regional air quality districts.   </w:t>
      </w:r>
    </w:p>
    <w:p w:rsidR="002D75C1" w:rsidP="00013F8E" w:rsidRDefault="0048201C" w14:paraId="7C792170" w14:textId="4EEBE613">
      <w:pPr>
        <w:pStyle w:val="Standard"/>
      </w:pPr>
      <w:r>
        <w:t xml:space="preserve">Regarding independent storage projects, </w:t>
      </w:r>
      <w:r w:rsidR="00C309F7">
        <w:t xml:space="preserve">CVGS argues that </w:t>
      </w:r>
      <w:r>
        <w:t xml:space="preserve">such </w:t>
      </w:r>
      <w:r w:rsidR="0064124D">
        <w:t xml:space="preserve">projects </w:t>
      </w:r>
      <w:r w:rsidR="00C80AC0">
        <w:t>should not</w:t>
      </w:r>
      <w:r w:rsidR="0064124D">
        <w:t xml:space="preserve"> be required </w:t>
      </w:r>
      <w:r w:rsidR="00C80AC0">
        <w:t xml:space="preserve">to comply with several Section VI </w:t>
      </w:r>
      <w:r w:rsidR="009D135A">
        <w:t xml:space="preserve">information </w:t>
      </w:r>
      <w:r w:rsidR="00C80AC0">
        <w:t>requirements</w:t>
      </w:r>
      <w:r w:rsidR="00F134D3">
        <w:t xml:space="preserve"> because </w:t>
      </w:r>
      <w:r>
        <w:t xml:space="preserve">the projects </w:t>
      </w:r>
      <w:r w:rsidR="00C309F7">
        <w:t xml:space="preserve">were </w:t>
      </w:r>
      <w:r w:rsidR="00C80AC0">
        <w:t>not approved under cost-based rates</w:t>
      </w:r>
      <w:r w:rsidR="00F134D3">
        <w:t>.  CVGS states that independent storage provider</w:t>
      </w:r>
      <w:r w:rsidR="006A2C86">
        <w:t>s’</w:t>
      </w:r>
      <w:r w:rsidR="00FE621F">
        <w:t xml:space="preserve"> </w:t>
      </w:r>
      <w:r w:rsidR="00AB1C47">
        <w:t>CPCN</w:t>
      </w:r>
      <w:r w:rsidR="00FE621F">
        <w:t xml:space="preserve"> applications </w:t>
      </w:r>
      <w:r w:rsidR="00F134D3">
        <w:t xml:space="preserve">should not have to </w:t>
      </w:r>
      <w:r w:rsidR="00C80AC0">
        <w:t>consider alternative routes</w:t>
      </w:r>
      <w:r w:rsidR="0002287C">
        <w:t xml:space="preserve"> </w:t>
      </w:r>
      <w:r w:rsidR="00FE621F">
        <w:t>or</w:t>
      </w:r>
      <w:r w:rsidR="00C80AC0">
        <w:t xml:space="preserve"> non-pipeline alternatives </w:t>
      </w:r>
      <w:r w:rsidR="005B208E">
        <w:t xml:space="preserve">or </w:t>
      </w:r>
      <w:r w:rsidR="00C80AC0">
        <w:t>provid</w:t>
      </w:r>
      <w:r w:rsidR="00C309F7">
        <w:t xml:space="preserve">e </w:t>
      </w:r>
      <w:r w:rsidR="00C80AC0">
        <w:t>capital</w:t>
      </w:r>
      <w:r w:rsidR="00C309F7">
        <w:t xml:space="preserve"> and </w:t>
      </w:r>
      <w:r w:rsidR="00C80AC0">
        <w:t>budget estimates</w:t>
      </w:r>
      <w:r w:rsidR="005B208E">
        <w:t>.  CVGS a</w:t>
      </w:r>
      <w:r w:rsidR="009452AE">
        <w:t>s</w:t>
      </w:r>
      <w:r w:rsidR="005B208E">
        <w:t xml:space="preserve">serts that independent storage providers </w:t>
      </w:r>
      <w:r w:rsidR="009452AE">
        <w:t>should</w:t>
      </w:r>
      <w:r w:rsidR="005B208E">
        <w:t xml:space="preserve"> not </w:t>
      </w:r>
      <w:r w:rsidR="009452AE">
        <w:t xml:space="preserve">have to </w:t>
      </w:r>
      <w:r w:rsidR="0002287C">
        <w:t>provide the</w:t>
      </w:r>
      <w:r w:rsidR="00C80AC0">
        <w:t xml:space="preserve"> information requested in </w:t>
      </w:r>
      <w:r w:rsidR="00013F8E">
        <w:t xml:space="preserve">Staff’s proposed </w:t>
      </w:r>
      <w:r w:rsidR="00C80AC0">
        <w:t>Section VI</w:t>
      </w:r>
      <w:r w:rsidR="0002287C">
        <w:t>(A)(1</w:t>
      </w:r>
      <w:r w:rsidR="009D135A">
        <w:t>0</w:t>
      </w:r>
      <w:r w:rsidR="0002287C">
        <w:t>)</w:t>
      </w:r>
      <w:r w:rsidR="005B208E">
        <w:t>, which addresses government agencies that have been consulte</w:t>
      </w:r>
      <w:r w:rsidR="002D75C1">
        <w:t>d on the route of a proposed project and their responses.</w:t>
      </w:r>
    </w:p>
    <w:p w:rsidR="00194806" w:rsidP="00013F8E" w:rsidRDefault="00C80AC0" w14:paraId="527F485A" w14:textId="5986EE47">
      <w:pPr>
        <w:pStyle w:val="Standard"/>
      </w:pPr>
      <w:r>
        <w:t>Sierra Club</w:t>
      </w:r>
      <w:r w:rsidR="002B59D8">
        <w:t xml:space="preserve">/CEJA/RMI </w:t>
      </w:r>
      <w:r>
        <w:t xml:space="preserve">object to </w:t>
      </w:r>
      <w:r w:rsidR="003B0991">
        <w:t xml:space="preserve">the </w:t>
      </w:r>
      <w:r>
        <w:t>exclusion of</w:t>
      </w:r>
      <w:r w:rsidR="009D135A">
        <w:t xml:space="preserve"> information required in Section VI from the CPCN applications of </w:t>
      </w:r>
      <w:r>
        <w:t>storag</w:t>
      </w:r>
      <w:r w:rsidR="003B0991">
        <w:t xml:space="preserve">e projects.  </w:t>
      </w:r>
    </w:p>
    <w:p w:rsidRPr="00194806" w:rsidR="00DB392C" w:rsidP="00013F8E" w:rsidRDefault="00DB392C" w14:paraId="1ED4D88E" w14:textId="5CD6E1B1">
      <w:pPr>
        <w:pStyle w:val="Standard"/>
      </w:pPr>
      <w:r>
        <w:lastRenderedPageBreak/>
        <w:t xml:space="preserve">In comments on the proposed decision, SoCalGas </w:t>
      </w:r>
      <w:r w:rsidR="00902E95">
        <w:t xml:space="preserve">states that </w:t>
      </w:r>
      <w:r w:rsidR="008474B6">
        <w:t>considerations</w:t>
      </w:r>
      <w:r w:rsidR="004B02BF">
        <w:t xml:space="preserve"> surrounding </w:t>
      </w:r>
      <w:r w:rsidR="0080530F">
        <w:t>the Ventura Compressor Station</w:t>
      </w:r>
      <w:r w:rsidR="00E97453">
        <w:t xml:space="preserve"> mean that it would be helpful if the requirement for submittal of a draft PEA </w:t>
      </w:r>
      <w:r w:rsidR="00894529">
        <w:t xml:space="preserve">at least three months prior to filing a CPCN application </w:t>
      </w:r>
      <w:r w:rsidR="00C444F9">
        <w:t>could apply to an amended application.</w:t>
      </w:r>
    </w:p>
    <w:p w:rsidR="00DE35C8" w:rsidP="0009044A" w:rsidRDefault="002D75C1" w14:paraId="02C5E2EE" w14:textId="00DE4A36">
      <w:pPr>
        <w:pStyle w:val="Heading2"/>
      </w:pPr>
      <w:bookmarkStart w:name="_Toc120692867" w:id="109"/>
      <w:r>
        <w:t>Adopting a Modified Version of Staff’s Information Requirements (Section VI</w:t>
      </w:r>
      <w:r w:rsidR="00E675FA">
        <w:t>)</w:t>
      </w:r>
      <w:bookmarkEnd w:id="109"/>
    </w:p>
    <w:p w:rsidR="00FF1F5E" w:rsidP="00AC36B1" w:rsidRDefault="00E675FA" w14:paraId="508836FA" w14:textId="286FFEA6">
      <w:pPr>
        <w:pStyle w:val="Standard"/>
      </w:pPr>
      <w:r>
        <w:t xml:space="preserve">We adopt a modified version of Staff’s proposed </w:t>
      </w:r>
      <w:r w:rsidR="00AB1C47">
        <w:t>CPCN</w:t>
      </w:r>
      <w:r w:rsidR="009452AE">
        <w:t xml:space="preserve"> application information requirements.</w:t>
      </w:r>
      <w:r w:rsidR="00676A13">
        <w:t xml:space="preserve">  We adopt many intervenor recommendations</w:t>
      </w:r>
      <w:r w:rsidR="00B60287">
        <w:t>, including</w:t>
      </w:r>
      <w:r w:rsidR="00FF2618">
        <w:t xml:space="preserve"> providing </w:t>
      </w:r>
      <w:r w:rsidR="00874252">
        <w:t xml:space="preserve">more </w:t>
      </w:r>
      <w:r w:rsidR="00FF2618">
        <w:t xml:space="preserve">guidance on </w:t>
      </w:r>
      <w:r w:rsidR="003B1F5A">
        <w:t xml:space="preserve">our </w:t>
      </w:r>
      <w:r w:rsidR="00FF2618">
        <w:t xml:space="preserve">expectations for </w:t>
      </w:r>
      <w:r w:rsidR="003B1F5A">
        <w:t xml:space="preserve">utility </w:t>
      </w:r>
      <w:r w:rsidR="00B60287">
        <w:t>evaluati</w:t>
      </w:r>
      <w:r w:rsidR="00FF2618">
        <w:t>on of</w:t>
      </w:r>
      <w:r w:rsidR="00B60287">
        <w:t xml:space="preserve"> non-pipeline alternatives.  </w:t>
      </w:r>
      <w:r w:rsidR="00404CCE">
        <w:t xml:space="preserve">The suggestions are reasonable and adopting them will ensure that the </w:t>
      </w:r>
      <w:r w:rsidR="00874252">
        <w:t xml:space="preserve">information contained in </w:t>
      </w:r>
      <w:r w:rsidR="009D135A">
        <w:t xml:space="preserve">the CPCN </w:t>
      </w:r>
      <w:r w:rsidR="00404CCE">
        <w:t xml:space="preserve">applications </w:t>
      </w:r>
      <w:r w:rsidR="00874252">
        <w:t xml:space="preserve">is sufficiently </w:t>
      </w:r>
      <w:r w:rsidR="00404CCE">
        <w:t>robust for this Commission to</w:t>
      </w:r>
      <w:r w:rsidR="00DB10AB">
        <w:t xml:space="preserve"> appropriately review and take action on the application.  Requiring the additional information proposed by intervenors will </w:t>
      </w:r>
      <w:r w:rsidR="00874252">
        <w:t xml:space="preserve">help avoid unnecessary costs to </w:t>
      </w:r>
      <w:r w:rsidR="00780BD9">
        <w:t xml:space="preserve">ratepayers and </w:t>
      </w:r>
      <w:r w:rsidR="00874252">
        <w:t xml:space="preserve">will </w:t>
      </w:r>
      <w:r w:rsidR="00780BD9">
        <w:t xml:space="preserve">assist this Commission in evaluating and addressing potential environmental harms to local communities </w:t>
      </w:r>
      <w:r w:rsidR="00874252">
        <w:t xml:space="preserve">surrounding proposed </w:t>
      </w:r>
      <w:r w:rsidR="00780BD9">
        <w:t>infrastructure</w:t>
      </w:r>
      <w:r w:rsidR="00874252">
        <w:t>.</w:t>
      </w:r>
      <w:r w:rsidR="00780BD9">
        <w:t xml:space="preserve"> </w:t>
      </w:r>
    </w:p>
    <w:p w:rsidR="00147CF1" w:rsidP="00AC36B1" w:rsidRDefault="008E57E9" w14:paraId="784BA018" w14:textId="4D823A9F">
      <w:pPr>
        <w:pStyle w:val="Standard"/>
      </w:pPr>
      <w:r>
        <w:t xml:space="preserve">Specifically, we </w:t>
      </w:r>
      <w:r w:rsidR="00147CF1">
        <w:t>require the following elements to be included in any analysis of non-pipeline alternatives:</w:t>
      </w:r>
    </w:p>
    <w:p w:rsidR="00A1098A" w:rsidP="0009044A" w:rsidRDefault="00AC36B1" w14:paraId="4FF88F62" w14:textId="77777777">
      <w:pPr>
        <w:pStyle w:val="ListAlpha"/>
        <w:ind w:right="1440"/>
      </w:pPr>
      <w:r w:rsidRPr="00A1098A">
        <w:t xml:space="preserve">The customers to be served by the </w:t>
      </w:r>
      <w:r w:rsidRPr="00FB6E6B">
        <w:t>proposed</w:t>
      </w:r>
      <w:r w:rsidRPr="00A1098A">
        <w:t xml:space="preserve"> project, and whether direct support for electrification, consumption reduction (energy efficiency, conservation and demand response), and/or alternative methods to provide necessary energy supplies for these customers could be accomplished at a lower cost and/or with lesser environmental impact than the proposed project;</w:t>
      </w:r>
      <w:r w:rsidR="00A1098A">
        <w:t xml:space="preserve"> </w:t>
      </w:r>
    </w:p>
    <w:p w:rsidRPr="00A1098A" w:rsidR="00AC36B1" w:rsidP="0009044A" w:rsidRDefault="00A1098A" w14:paraId="0ACFDF45" w14:textId="0090D99A">
      <w:pPr>
        <w:pStyle w:val="ListAlpha"/>
        <w:ind w:right="1440"/>
      </w:pPr>
      <w:r w:rsidRPr="00A1098A">
        <w:t>The potential environmental impacts of alternatives, including emissions; and</w:t>
      </w:r>
    </w:p>
    <w:p w:rsidRPr="00A1098A" w:rsidR="00780BD9" w:rsidP="0009044A" w:rsidRDefault="00AC36B1" w14:paraId="3879C931" w14:textId="284BD05F">
      <w:pPr>
        <w:pStyle w:val="ListAlpha"/>
        <w:ind w:right="1440"/>
      </w:pPr>
      <w:r w:rsidRPr="00A1098A">
        <w:t>An estimate of the environmental and health impacts of the project, as well as the direct costs of the project.</w:t>
      </w:r>
    </w:p>
    <w:p w:rsidR="00580C0F" w:rsidP="00E675FA" w:rsidRDefault="00FF2D27" w14:paraId="1BF265FA" w14:textId="725C0F45">
      <w:pPr>
        <w:pStyle w:val="Standard"/>
      </w:pPr>
      <w:r>
        <w:lastRenderedPageBreak/>
        <w:t>W</w:t>
      </w:r>
      <w:r w:rsidR="00580C0F">
        <w:t xml:space="preserve">e </w:t>
      </w:r>
      <w:r w:rsidR="00592580">
        <w:t>also</w:t>
      </w:r>
      <w:r w:rsidR="00F06779">
        <w:t xml:space="preserve"> direct</w:t>
      </w:r>
      <w:r w:rsidR="00580C0F">
        <w:t xml:space="preserve"> the inclusion </w:t>
      </w:r>
      <w:r w:rsidR="00773963">
        <w:t xml:space="preserve">in CPCN applications </w:t>
      </w:r>
      <w:r w:rsidR="009D135A">
        <w:t xml:space="preserve">of information required </w:t>
      </w:r>
      <w:r w:rsidR="00580C0F">
        <w:t>pursuant to Pub. Util. Code Sections 100</w:t>
      </w:r>
      <w:r w:rsidR="00773963">
        <w:t>3</w:t>
      </w:r>
      <w:r w:rsidR="002660EC">
        <w:rPr>
          <w:rStyle w:val="FootnoteReference"/>
        </w:rPr>
        <w:footnoteReference w:id="54"/>
      </w:r>
      <w:r w:rsidR="00773963">
        <w:t xml:space="preserve"> and 1005.5</w:t>
      </w:r>
      <w:r w:rsidR="009D135A">
        <w:t>.</w:t>
      </w:r>
      <w:r w:rsidR="003C70D1">
        <w:rPr>
          <w:rStyle w:val="FootnoteReference"/>
        </w:rPr>
        <w:footnoteReference w:id="55"/>
      </w:r>
      <w:r w:rsidR="00773963">
        <w:t xml:space="preserve">  Requiring this information is reasonable and will prepare</w:t>
      </w:r>
      <w:r w:rsidR="009F3B09">
        <w:t xml:space="preserve"> </w:t>
      </w:r>
      <w:r w:rsidR="008E42E9">
        <w:t xml:space="preserve">this Commission </w:t>
      </w:r>
      <w:r w:rsidR="009F3B09">
        <w:t xml:space="preserve">to make a determination regarding the maximum cost </w:t>
      </w:r>
      <w:r w:rsidR="0064329F">
        <w:t xml:space="preserve">that is </w:t>
      </w:r>
      <w:r w:rsidR="009F3B09">
        <w:t>reasonable and prudent for each infrastructure project</w:t>
      </w:r>
      <w:r w:rsidR="008E42E9">
        <w:t xml:space="preserve"> for which a</w:t>
      </w:r>
      <w:r w:rsidR="00294622">
        <w:t xml:space="preserve"> CPCN</w:t>
      </w:r>
      <w:r w:rsidR="008E42E9">
        <w:t xml:space="preserve"> application is filed. </w:t>
      </w:r>
      <w:r w:rsidR="00773963">
        <w:t xml:space="preserve"> </w:t>
      </w:r>
      <w:r w:rsidR="00D47BCA">
        <w:t>Information added for this purpose i</w:t>
      </w:r>
      <w:r w:rsidR="0064329F">
        <w:t>s contained in</w:t>
      </w:r>
      <w:r w:rsidR="00D47BCA">
        <w:t xml:space="preserve"> Section VI(A)(5) and Section</w:t>
      </w:r>
      <w:r w:rsidR="00FD0338">
        <w:t> </w:t>
      </w:r>
      <w:r w:rsidR="00D47BCA">
        <w:t>V</w:t>
      </w:r>
      <w:r w:rsidR="003F0624">
        <w:t>I</w:t>
      </w:r>
      <w:r w:rsidR="00D47BCA">
        <w:t xml:space="preserve">(A)(6) of the adopted </w:t>
      </w:r>
      <w:r w:rsidR="005459A7">
        <w:t>GO</w:t>
      </w:r>
      <w:r w:rsidR="00D47BCA">
        <w:t xml:space="preserve"> in Appendix A.</w:t>
      </w:r>
    </w:p>
    <w:p w:rsidR="00E675FA" w:rsidP="00E675FA" w:rsidRDefault="00780BD9" w14:paraId="69B20191" w14:textId="51BADD9C">
      <w:pPr>
        <w:pStyle w:val="Standard"/>
      </w:pPr>
      <w:r>
        <w:t xml:space="preserve">We disagree with SoCalGas that the </w:t>
      </w:r>
      <w:r w:rsidR="005459A7">
        <w:t>GO</w:t>
      </w:r>
      <w:r>
        <w:t xml:space="preserve"> should not explicate expectations regarding consideration of non-pipeline alternatives.  </w:t>
      </w:r>
      <w:r w:rsidR="00434C17">
        <w:t xml:space="preserve">Undertaking this type of analysis for large infrastructure projects is a central rationale driving the need for this </w:t>
      </w:r>
      <w:r w:rsidR="005459A7">
        <w:t>GO</w:t>
      </w:r>
      <w:r w:rsidR="00434C17">
        <w:t xml:space="preserve">.  Although </w:t>
      </w:r>
      <w:r w:rsidR="00AA02D2">
        <w:t xml:space="preserve">questions regarding </w:t>
      </w:r>
      <w:r w:rsidR="000C0880">
        <w:t xml:space="preserve">analysis of </w:t>
      </w:r>
      <w:r w:rsidR="00AA02D2">
        <w:t xml:space="preserve">non-pipeline </w:t>
      </w:r>
      <w:r w:rsidR="000C0880">
        <w:t xml:space="preserve">alternatives </w:t>
      </w:r>
      <w:r w:rsidR="00AA02D2">
        <w:t>are scoped into other elements of Track 2a</w:t>
      </w:r>
      <w:r w:rsidR="00EE2ED4">
        <w:t xml:space="preserve"> of this proceeding</w:t>
      </w:r>
      <w:r w:rsidR="00AA02D2">
        <w:t xml:space="preserve">, it </w:t>
      </w:r>
      <w:r w:rsidR="000A382A">
        <w:t xml:space="preserve">would be inappropriate to </w:t>
      </w:r>
      <w:r w:rsidR="00874252">
        <w:t xml:space="preserve">delay </w:t>
      </w:r>
      <w:r w:rsidR="00DE2CA7">
        <w:t xml:space="preserve">to a later date </w:t>
      </w:r>
      <w:r w:rsidR="00BD0ED1">
        <w:t xml:space="preserve">consideration of </w:t>
      </w:r>
      <w:r w:rsidR="00D84E16">
        <w:t xml:space="preserve">such alternatives </w:t>
      </w:r>
      <w:r w:rsidR="00DE2CA7">
        <w:t>for projects subject to a CPCN application</w:t>
      </w:r>
      <w:r w:rsidR="000A382A">
        <w:t xml:space="preserve">. </w:t>
      </w:r>
      <w:r w:rsidR="002A71D5">
        <w:t xml:space="preserve"> </w:t>
      </w:r>
      <w:r w:rsidR="00634DAB">
        <w:t>There is an urgent need to minimize the risk of stranded assets</w:t>
      </w:r>
      <w:r w:rsidR="00763651">
        <w:t xml:space="preserve"> and rising energy bills</w:t>
      </w:r>
      <w:r w:rsidR="003E0327">
        <w:t>, which place an especially heavy burden on low-income customers</w:t>
      </w:r>
      <w:r w:rsidR="00763651">
        <w:t xml:space="preserve">. </w:t>
      </w:r>
      <w:r w:rsidR="00DE2CA7">
        <w:t xml:space="preserve"> </w:t>
      </w:r>
      <w:r w:rsidR="000A382A">
        <w:t xml:space="preserve">As needed, </w:t>
      </w:r>
      <w:r w:rsidR="000908BD">
        <w:t xml:space="preserve">we can refine </w:t>
      </w:r>
      <w:r w:rsidR="00AD694D">
        <w:t xml:space="preserve">our </w:t>
      </w:r>
      <w:r w:rsidR="000908BD">
        <w:t xml:space="preserve">requirements </w:t>
      </w:r>
      <w:r w:rsidR="000908BD">
        <w:lastRenderedPageBreak/>
        <w:t xml:space="preserve">for </w:t>
      </w:r>
      <w:r w:rsidR="00AD694D">
        <w:t xml:space="preserve">evaluating </w:t>
      </w:r>
      <w:r w:rsidR="000908BD">
        <w:t xml:space="preserve">non-pipeline </w:t>
      </w:r>
      <w:r w:rsidR="00AD694D">
        <w:t xml:space="preserve">alternatives for projects subject to this </w:t>
      </w:r>
      <w:r w:rsidR="005459A7">
        <w:t>GO</w:t>
      </w:r>
      <w:r w:rsidR="00AD694D">
        <w:t xml:space="preserve"> as work on a long-term gas planning strategy continues</w:t>
      </w:r>
      <w:r w:rsidR="00EF77F6">
        <w:t xml:space="preserve">. </w:t>
      </w:r>
    </w:p>
    <w:p w:rsidR="00696085" w:rsidP="00E675FA" w:rsidRDefault="00696085" w14:paraId="0C268306" w14:textId="1F69D84B">
      <w:pPr>
        <w:pStyle w:val="Standard"/>
      </w:pPr>
      <w:r>
        <w:t xml:space="preserve">In this regard, we require </w:t>
      </w:r>
      <w:r w:rsidR="00893F96">
        <w:t xml:space="preserve">an additional information element to reflect </w:t>
      </w:r>
      <w:r w:rsidR="001761B0">
        <w:t xml:space="preserve">recommendations from </w:t>
      </w:r>
      <w:r w:rsidR="005F079D">
        <w:t xml:space="preserve">Sierra Club/CEJA/RMI, </w:t>
      </w:r>
      <w:r w:rsidR="001761B0">
        <w:t xml:space="preserve">EDF, </w:t>
      </w:r>
      <w:proofErr w:type="spellStart"/>
      <w:r w:rsidR="001761B0">
        <w:t>CforAT</w:t>
      </w:r>
      <w:proofErr w:type="spellEnd"/>
      <w:r w:rsidR="001761B0">
        <w:t>, PG&amp;E and other parties regarding disadvantaged communities</w:t>
      </w:r>
      <w:r w:rsidR="005F079D">
        <w:t xml:space="preserve">.  </w:t>
      </w:r>
      <w:r w:rsidRPr="00F60F08" w:rsidR="00F60F08">
        <w:t>If the proposed project is located within a</w:t>
      </w:r>
      <w:r w:rsidR="00F60F08">
        <w:t xml:space="preserve">n </w:t>
      </w:r>
      <w:r w:rsidRPr="00F60F08" w:rsidR="00F60F08">
        <w:t xml:space="preserve">ESJ Community as defined in the most recent version of the Commission’s ESJ Action Plan, </w:t>
      </w:r>
      <w:r w:rsidR="00E61522">
        <w:t xml:space="preserve">we </w:t>
      </w:r>
      <w:r w:rsidR="00586523">
        <w:t>require gas corporations to consider in their CPCN applications</w:t>
      </w:r>
      <w:r w:rsidR="00055776">
        <w:t>, as part of consideration of alternatives</w:t>
      </w:r>
      <w:r w:rsidR="00B366B4">
        <w:t xml:space="preserve">, </w:t>
      </w:r>
      <w:r w:rsidRPr="00E61522" w:rsidR="00E61522">
        <w:t>whether it is possible to relocate the project and, if so, steps taken to locate the project outside such areas</w:t>
      </w:r>
      <w:r w:rsidR="00E61522">
        <w:t>.  This requirement reflects the Commission’s ESJ Action Plan</w:t>
      </w:r>
      <w:r w:rsidR="001A6BCB">
        <w:t xml:space="preserve"> and helps minimize environmental impacts from gas infrastructure in such communities</w:t>
      </w:r>
      <w:r w:rsidR="00E61522">
        <w:t xml:space="preserve">, </w:t>
      </w:r>
      <w:r w:rsidR="006F3B90">
        <w:t>reflect</w:t>
      </w:r>
      <w:r w:rsidR="00DE2CA7">
        <w:t>ing</w:t>
      </w:r>
      <w:r w:rsidR="006F3B90">
        <w:t xml:space="preserve"> </w:t>
      </w:r>
      <w:r w:rsidR="0016369E">
        <w:t xml:space="preserve">the equity purpose of the </w:t>
      </w:r>
      <w:r w:rsidR="005459A7">
        <w:t>GO</w:t>
      </w:r>
      <w:r w:rsidR="00DE2CA7">
        <w:t xml:space="preserve">.  It also </w:t>
      </w:r>
      <w:r w:rsidR="00E61522">
        <w:t>helps implement Pub. Util. Code Section 454.52(a)(1)(I)</w:t>
      </w:r>
      <w:r w:rsidR="0016369E">
        <w:t xml:space="preserve">, which </w:t>
      </w:r>
      <w:r w:rsidR="00E61522">
        <w:t xml:space="preserve">states that the Commission should adopt a process </w:t>
      </w:r>
      <w:r w:rsidR="006F3B90">
        <w:t xml:space="preserve">to develop </w:t>
      </w:r>
      <w:r w:rsidR="00E61522">
        <w:t>plans that minimize localized air pollutants and other greenhouse gas emissions, with an early priority on disadvantaged communities.</w:t>
      </w:r>
      <w:r w:rsidR="0016369E">
        <w:t xml:space="preserve"> </w:t>
      </w:r>
      <w:r w:rsidR="002225F8">
        <w:t xml:space="preserve">  We also require in </w:t>
      </w:r>
      <w:r w:rsidRPr="002225F8" w:rsidR="002225F8">
        <w:t>Section VI(A)(7)(b)</w:t>
      </w:r>
      <w:r w:rsidR="002225F8">
        <w:t xml:space="preserve">, as proposed by Staff, that </w:t>
      </w:r>
      <w:r w:rsidRPr="002225F8" w:rsidR="002225F8">
        <w:t>gas corporations provide a summary of outreach to, and engagement undertaken with, local communities (including relevant community-based organizations), likely to be impacted by the proposed project.</w:t>
      </w:r>
    </w:p>
    <w:p w:rsidR="00752D10" w:rsidP="00E675FA" w:rsidRDefault="00752D10" w14:paraId="5611C3BD" w14:textId="4530267D">
      <w:pPr>
        <w:pStyle w:val="Standard"/>
      </w:pPr>
      <w:r>
        <w:t xml:space="preserve">We do not modify our adopted </w:t>
      </w:r>
      <w:r w:rsidR="005459A7">
        <w:t>GO</w:t>
      </w:r>
      <w:r>
        <w:t xml:space="preserve"> to reflect </w:t>
      </w:r>
      <w:proofErr w:type="spellStart"/>
      <w:r>
        <w:t>CforAT’s</w:t>
      </w:r>
      <w:proofErr w:type="spellEnd"/>
      <w:r>
        <w:t xml:space="preserve"> comments on health impacts.  We concur with the gas corporations that these issues are adequately addressed in </w:t>
      </w:r>
      <w:r w:rsidR="006D04BC">
        <w:t xml:space="preserve">the </w:t>
      </w:r>
      <w:r w:rsidR="007B426E">
        <w:t>PEAs</w:t>
      </w:r>
      <w:r w:rsidR="006D04BC">
        <w:t xml:space="preserve"> that </w:t>
      </w:r>
      <w:r w:rsidR="00806563">
        <w:t>must be filed concurrent</w:t>
      </w:r>
      <w:r w:rsidR="00E72A14">
        <w:t xml:space="preserve"> </w:t>
      </w:r>
      <w:r w:rsidR="00806563">
        <w:t xml:space="preserve">with </w:t>
      </w:r>
      <w:r w:rsidR="00E72A14">
        <w:t xml:space="preserve">the </w:t>
      </w:r>
      <w:r w:rsidR="00AB1C47">
        <w:t>CPCN</w:t>
      </w:r>
      <w:r w:rsidR="007F6754">
        <w:t xml:space="preserve"> </w:t>
      </w:r>
      <w:r w:rsidR="00806563">
        <w:t>application</w:t>
      </w:r>
      <w:r w:rsidR="00A22125">
        <w:t>s</w:t>
      </w:r>
      <w:r w:rsidR="007B426E">
        <w:t xml:space="preserve">.  </w:t>
      </w:r>
    </w:p>
    <w:p w:rsidR="005F5E49" w:rsidP="00E675FA" w:rsidRDefault="007B426E" w14:paraId="3F31C725" w14:textId="47C55A90">
      <w:pPr>
        <w:pStyle w:val="Standard"/>
      </w:pPr>
      <w:r>
        <w:t xml:space="preserve">Regarding information requirements for independent storage providers, </w:t>
      </w:r>
      <w:r w:rsidR="006D405F">
        <w:t xml:space="preserve">we modify our adopted </w:t>
      </w:r>
      <w:r w:rsidR="005459A7">
        <w:t>GO</w:t>
      </w:r>
      <w:r w:rsidR="006D405F">
        <w:t xml:space="preserve"> to clarify that independent storage providers need not include </w:t>
      </w:r>
      <w:r w:rsidR="00804A57">
        <w:t xml:space="preserve">an </w:t>
      </w:r>
      <w:r w:rsidR="00ED4D39">
        <w:t xml:space="preserve">analysis of non-pipeline alternatives </w:t>
      </w:r>
      <w:r w:rsidR="00A40973">
        <w:t>in the</w:t>
      </w:r>
      <w:r w:rsidR="006D405F">
        <w:t>ir CPCN applications</w:t>
      </w:r>
      <w:r w:rsidR="00A40973">
        <w:t>,</w:t>
      </w:r>
      <w:r w:rsidR="00CD4E29">
        <w:t xml:space="preserve"> </w:t>
      </w:r>
      <w:r w:rsidR="00ED4D39">
        <w:t xml:space="preserve">as outlined in </w:t>
      </w:r>
      <w:r w:rsidR="00AB50FC">
        <w:t>Section V</w:t>
      </w:r>
      <w:r w:rsidR="00FF2FA1">
        <w:t>I</w:t>
      </w:r>
      <w:r w:rsidR="00AB50FC">
        <w:t>(A)</w:t>
      </w:r>
      <w:r w:rsidR="00687678">
        <w:t>(4)</w:t>
      </w:r>
      <w:r w:rsidR="000B6FC5">
        <w:t>(a)</w:t>
      </w:r>
      <w:r w:rsidR="009F4661">
        <w:t xml:space="preserve">, </w:t>
      </w:r>
      <w:r w:rsidR="00DE2CA7">
        <w:t>n</w:t>
      </w:r>
      <w:r w:rsidR="009F4661">
        <w:t xml:space="preserve">or </w:t>
      </w:r>
      <w:r w:rsidR="00DE2CA7">
        <w:t xml:space="preserve">an analysis </w:t>
      </w:r>
      <w:r w:rsidR="009F4661">
        <w:t xml:space="preserve">of alternative routes, as </w:t>
      </w:r>
      <w:r w:rsidR="009F4661">
        <w:lastRenderedPageBreak/>
        <w:t>outlined in Sect</w:t>
      </w:r>
      <w:r w:rsidR="0059526D">
        <w:t>ion</w:t>
      </w:r>
      <w:r w:rsidR="00DE2CA7">
        <w:t>s</w:t>
      </w:r>
      <w:r w:rsidR="00FD0338">
        <w:t> </w:t>
      </w:r>
      <w:r w:rsidR="0059526D">
        <w:t xml:space="preserve">VI(A)(4)(b), </w:t>
      </w:r>
      <w:r w:rsidR="00912EE0">
        <w:t>VI(A)(4)(d) and VI(A)(</w:t>
      </w:r>
      <w:r w:rsidR="00251E9D">
        <w:t>5)(</w:t>
      </w:r>
      <w:r w:rsidR="00466D07">
        <w:t xml:space="preserve">c).  </w:t>
      </w:r>
      <w:r w:rsidR="002F23DE">
        <w:t xml:space="preserve">Additionally, </w:t>
      </w:r>
      <w:r w:rsidR="007E2185">
        <w:t xml:space="preserve">regarding cost information required in Section IV(A)(6), </w:t>
      </w:r>
      <w:r w:rsidR="00E40404">
        <w:t>i</w:t>
      </w:r>
      <w:r w:rsidR="00942A56">
        <w:t>ndep</w:t>
      </w:r>
      <w:r w:rsidR="00ED4D39">
        <w:t xml:space="preserve">endent </w:t>
      </w:r>
      <w:r w:rsidR="00942A56">
        <w:t>storage providers may file a motion f</w:t>
      </w:r>
      <w:r w:rsidR="00DE2CA7">
        <w:t xml:space="preserve">or this </w:t>
      </w:r>
      <w:r w:rsidR="007E2185">
        <w:t xml:space="preserve">information </w:t>
      </w:r>
      <w:r w:rsidR="00DE2CA7">
        <w:t xml:space="preserve">to be filed </w:t>
      </w:r>
      <w:r w:rsidR="00ED4D39">
        <w:t xml:space="preserve">under seal as confidential.  </w:t>
      </w:r>
      <w:r w:rsidR="002F23DE">
        <w:t xml:space="preserve">These are reasonable modifications to required information elements to reflect the different circumstances of independent storage providers as compared to other gas corporations. </w:t>
      </w:r>
      <w:r w:rsidR="006526C1">
        <w:t xml:space="preserve">  </w:t>
      </w:r>
    </w:p>
    <w:p w:rsidRPr="00E675FA" w:rsidR="007B426E" w:rsidP="00E556FD" w:rsidRDefault="00EE40B9" w14:paraId="7C3E1770" w14:textId="23ADFAC8">
      <w:pPr>
        <w:pStyle w:val="Standard"/>
      </w:pPr>
      <w:r>
        <w:t>R</w:t>
      </w:r>
      <w:r w:rsidR="005E7F75">
        <w:t>eview of the required cost information</w:t>
      </w:r>
      <w:r w:rsidR="002D3D6A">
        <w:t xml:space="preserve"> </w:t>
      </w:r>
      <w:r w:rsidR="005E7F75">
        <w:t xml:space="preserve">will </w:t>
      </w:r>
      <w:r w:rsidR="002D3D6A">
        <w:t xml:space="preserve">enable </w:t>
      </w:r>
      <w:r>
        <w:t xml:space="preserve">a broader understanding of the </w:t>
      </w:r>
      <w:r w:rsidR="0001727A">
        <w:t xml:space="preserve">pass-through costs from gas storage to utility customers, which will in turn support broader consideration of alternatives to minimize </w:t>
      </w:r>
      <w:r w:rsidR="00340BF6">
        <w:t xml:space="preserve">costs to ratepayers and stranded costs in this era of declining gas consumption. </w:t>
      </w:r>
    </w:p>
    <w:p w:rsidR="00404684" w:rsidP="00F20BF5" w:rsidRDefault="005C0E87" w14:paraId="4E289FEB" w14:textId="4B2BBA2A">
      <w:pPr>
        <w:pStyle w:val="Heading2"/>
        <w:numPr>
          <w:ilvl w:val="1"/>
          <w:numId w:val="0"/>
        </w:numPr>
        <w:ind w:left="1080" w:hanging="720"/>
      </w:pPr>
      <w:bookmarkStart w:name="_Toc120692868" w:id="110"/>
      <w:r>
        <w:t>15.4</w:t>
      </w:r>
      <w:r>
        <w:tab/>
      </w:r>
      <w:r w:rsidR="00245C31">
        <w:t xml:space="preserve">Clarifying </w:t>
      </w:r>
      <w:r w:rsidR="00404684">
        <w:t>P</w:t>
      </w:r>
      <w:r w:rsidR="00C96A70">
        <w:t xml:space="preserve">EA </w:t>
      </w:r>
      <w:r w:rsidR="002864EA">
        <w:t xml:space="preserve">Requirements </w:t>
      </w:r>
      <w:r w:rsidR="00F20BF5">
        <w:br/>
      </w:r>
      <w:r w:rsidR="009F11C7">
        <w:t xml:space="preserve">(Section </w:t>
      </w:r>
      <w:r w:rsidR="00A11787">
        <w:t>VI</w:t>
      </w:r>
      <w:r w:rsidR="00DE2CA7">
        <w:t>(A)(12)</w:t>
      </w:r>
      <w:r w:rsidR="00A11787">
        <w:t>)</w:t>
      </w:r>
      <w:bookmarkEnd w:id="110"/>
      <w:r w:rsidR="00A11787">
        <w:t xml:space="preserve"> </w:t>
      </w:r>
    </w:p>
    <w:p w:rsidR="00680154" w:rsidP="00DE2CA7" w:rsidRDefault="006C6F8B" w14:paraId="2D8BC1AD" w14:textId="79302FE3">
      <w:pPr>
        <w:pStyle w:val="Standard"/>
      </w:pPr>
      <w:r>
        <w:t xml:space="preserve">Regarding the </w:t>
      </w:r>
      <w:r w:rsidR="00447804">
        <w:t xml:space="preserve">required PEA, </w:t>
      </w:r>
      <w:r w:rsidR="00DE2CA7">
        <w:t>we</w:t>
      </w:r>
      <w:r w:rsidR="00447804">
        <w:t xml:space="preserve"> </w:t>
      </w:r>
      <w:r w:rsidR="00C96A70">
        <w:t xml:space="preserve">modify </w:t>
      </w:r>
      <w:r w:rsidR="008A427D">
        <w:t xml:space="preserve">and adopt </w:t>
      </w:r>
      <w:r w:rsidR="00447804">
        <w:t xml:space="preserve">here Staff’s proposed </w:t>
      </w:r>
      <w:r w:rsidR="00C96A70">
        <w:t>Section VI on CPCN application requirements to indicate that t</w:t>
      </w:r>
      <w:r w:rsidR="00404684">
        <w:t xml:space="preserve">he </w:t>
      </w:r>
      <w:r w:rsidR="00EC627C">
        <w:t xml:space="preserve">PEA </w:t>
      </w:r>
      <w:r w:rsidR="00486C88">
        <w:t xml:space="preserve">filed with the CPCN application </w:t>
      </w:r>
      <w:r w:rsidR="00EC627C">
        <w:t>must be prepared</w:t>
      </w:r>
      <w:r w:rsidRPr="0013073C" w:rsidR="0013073C">
        <w:t xml:space="preserve"> according to the most recent version of the Commission’s Guidelines for Energy Project Applications Requiring CEQA Compliance:  Pre-filing and Proponent’s Environmental Assessments (PEA</w:t>
      </w:r>
      <w:r w:rsidR="00AE4B94">
        <w:t> </w:t>
      </w:r>
      <w:r w:rsidRPr="0013073C" w:rsidR="0013073C">
        <w:t>Guidelines)</w:t>
      </w:r>
      <w:r w:rsidR="0013073C">
        <w:t>.</w:t>
      </w:r>
      <w:r w:rsidRPr="00DA304B" w:rsidR="00AA4626">
        <w:rPr>
          <w:rStyle w:val="FootnoteReference"/>
        </w:rPr>
        <w:footnoteReference w:id="56"/>
      </w:r>
      <w:r w:rsidR="00AA4626">
        <w:t xml:space="preserve">  </w:t>
      </w:r>
      <w:r w:rsidR="00C96A70">
        <w:t xml:space="preserve">We clarify </w:t>
      </w:r>
      <w:r w:rsidR="00486C88">
        <w:t xml:space="preserve">Staff’s proposed Section IV to indicate that </w:t>
      </w:r>
      <w:r w:rsidR="00C96A70">
        <w:t>that g</w:t>
      </w:r>
      <w:r w:rsidR="009724FC">
        <w:t>as corporations</w:t>
      </w:r>
      <w:r w:rsidRPr="00AA4626" w:rsidR="00AA4626">
        <w:t xml:space="preserve"> may provide </w:t>
      </w:r>
      <w:r w:rsidR="00486C88">
        <w:t xml:space="preserve">the required </w:t>
      </w:r>
      <w:r w:rsidR="00AA4626">
        <w:t xml:space="preserve">information elements </w:t>
      </w:r>
      <w:r w:rsidR="00486C88">
        <w:t xml:space="preserve">as part of their </w:t>
      </w:r>
      <w:r w:rsidRPr="00AA4626" w:rsidR="00AA4626">
        <w:t xml:space="preserve">PEA </w:t>
      </w:r>
      <w:r w:rsidR="001A07EC">
        <w:t xml:space="preserve">if </w:t>
      </w:r>
      <w:r w:rsidR="00D8741C">
        <w:t xml:space="preserve">they provide </w:t>
      </w:r>
      <w:r w:rsidRPr="00AA4626" w:rsidR="00AA4626">
        <w:t>a clear mapping to the location of the required information within the PEA.</w:t>
      </w:r>
      <w:r w:rsidR="009A061C">
        <w:t xml:space="preserve">  We </w:t>
      </w:r>
      <w:r w:rsidR="00486C88">
        <w:t xml:space="preserve">modify Staff’s proposed Section IV </w:t>
      </w:r>
      <w:r w:rsidR="00524554">
        <w:t xml:space="preserve">to </w:t>
      </w:r>
      <w:r w:rsidR="009A061C">
        <w:t xml:space="preserve">require gas corporations to </w:t>
      </w:r>
      <w:r w:rsidRPr="009724FC" w:rsidR="009724FC">
        <w:t>initiate a prefiling meeting with Commission CEQA Staff no later than 60 days prior to filing of the application to assist with ensuring the completeness of the CPCN filing</w:t>
      </w:r>
      <w:r w:rsidR="00524554">
        <w:t xml:space="preserve">.  </w:t>
      </w:r>
      <w:r w:rsidR="002234FF">
        <w:t xml:space="preserve">With the exception of CPCN applications filed </w:t>
      </w:r>
      <w:r w:rsidR="002234FF">
        <w:lastRenderedPageBreak/>
        <w:t>within 120 days from issuance of this decision, w</w:t>
      </w:r>
      <w:r w:rsidR="00524554">
        <w:t xml:space="preserve">e require gas corporations to </w:t>
      </w:r>
      <w:r w:rsidRPr="009724FC" w:rsidR="009724FC">
        <w:t>submit a draft PEA to Commission CEQA Staff at least three months prior to application filing</w:t>
      </w:r>
      <w:r w:rsidR="009A061C">
        <w:t>.  These are reasonable requirements that will ensure the Commission has a robust PEA with which to consider potential environmental impacts and to initiate CEQA review</w:t>
      </w:r>
      <w:r w:rsidR="00680154">
        <w:t xml:space="preserve"> of the proposed project</w:t>
      </w:r>
      <w:r w:rsidR="009A061C">
        <w:t>.</w:t>
      </w:r>
      <w:r w:rsidR="002234FF">
        <w:t xml:space="preserve">  Exempting </w:t>
      </w:r>
      <w:r w:rsidR="0058087D">
        <w:t xml:space="preserve">the </w:t>
      </w:r>
      <w:r w:rsidR="001E72AA">
        <w:t xml:space="preserve">requirement for submittal of a draft PEA three months before </w:t>
      </w:r>
      <w:r w:rsidR="00A47904">
        <w:t xml:space="preserve">a CPCN application is filed for </w:t>
      </w:r>
      <w:r w:rsidR="00443792">
        <w:t>CPCN</w:t>
      </w:r>
      <w:r w:rsidR="00A47904">
        <w:t xml:space="preserve"> applications filed within 120 days from issuance of this decision </w:t>
      </w:r>
      <w:r w:rsidR="001539A1">
        <w:t xml:space="preserve">is </w:t>
      </w:r>
      <w:r w:rsidR="00C557E9">
        <w:t>reasonable because thi</w:t>
      </w:r>
      <w:r w:rsidR="00B01D66">
        <w:t>s</w:t>
      </w:r>
      <w:r w:rsidR="001307BD">
        <w:t xml:space="preserve"> help</w:t>
      </w:r>
      <w:r w:rsidR="00B01D66">
        <w:t>s</w:t>
      </w:r>
      <w:r w:rsidR="001307BD">
        <w:t xml:space="preserve"> </w:t>
      </w:r>
      <w:r w:rsidR="00C557E9">
        <w:t xml:space="preserve">avoid </w:t>
      </w:r>
      <w:r w:rsidR="00256C06">
        <w:t>delay</w:t>
      </w:r>
      <w:r w:rsidR="00E96FC8">
        <w:t xml:space="preserve"> in </w:t>
      </w:r>
      <w:r w:rsidR="00625F45">
        <w:t xml:space="preserve">timely application </w:t>
      </w:r>
      <w:r w:rsidR="00B74123">
        <w:t xml:space="preserve">filings or the filing </w:t>
      </w:r>
      <w:r w:rsidR="001307BD">
        <w:t xml:space="preserve">of </w:t>
      </w:r>
      <w:r w:rsidR="00B01D66">
        <w:t xml:space="preserve">both an initial and </w:t>
      </w:r>
      <w:r w:rsidR="00323C2F">
        <w:t xml:space="preserve">an </w:t>
      </w:r>
      <w:r w:rsidR="001307BD">
        <w:t xml:space="preserve">amended application, review of which expends scarce Staff resources with little gain. </w:t>
      </w:r>
    </w:p>
    <w:p w:rsidR="00DF3687" w:rsidP="00DF3687" w:rsidRDefault="00DF3687" w14:paraId="77574796" w14:textId="52AAD1B2">
      <w:pPr>
        <w:pStyle w:val="Standard"/>
      </w:pPr>
      <w:r>
        <w:t xml:space="preserve">Commission Staff will </w:t>
      </w:r>
      <w:r w:rsidRPr="00DF3687">
        <w:t xml:space="preserve">conduct </w:t>
      </w:r>
      <w:r>
        <w:t xml:space="preserve">the </w:t>
      </w:r>
      <w:r w:rsidRPr="00DF3687">
        <w:t xml:space="preserve">CEQA review simultaneous to the </w:t>
      </w:r>
      <w:r w:rsidR="00BC5611">
        <w:t xml:space="preserve">consideration within the formal </w:t>
      </w:r>
      <w:r w:rsidRPr="00DF3687">
        <w:t xml:space="preserve">proceeding </w:t>
      </w:r>
      <w:r w:rsidR="00BC5611">
        <w:t xml:space="preserve">of the </w:t>
      </w:r>
      <w:r w:rsidRPr="00DF3687">
        <w:t xml:space="preserve">substantive policy issues associated with the project. </w:t>
      </w:r>
      <w:r w:rsidR="00BC5611">
        <w:t xml:space="preserve"> The</w:t>
      </w:r>
      <w:r w:rsidRPr="00DF3687">
        <w:t xml:space="preserve"> CEQA review may inform the policy considerations of the proceeding - especially the costs and benefits of alternatives</w:t>
      </w:r>
      <w:r w:rsidR="00BC5611">
        <w:t xml:space="preserve"> and </w:t>
      </w:r>
      <w:r w:rsidRPr="00DF3687">
        <w:t>impacts on overburdened communities.</w:t>
      </w:r>
    </w:p>
    <w:p w:rsidRPr="00DF3687" w:rsidR="00DE2CA7" w:rsidP="00DF3687" w:rsidRDefault="00DE2CA7" w14:paraId="7E3B8E06" w14:textId="1F6F3DDA">
      <w:pPr>
        <w:pStyle w:val="Standard"/>
      </w:pPr>
      <w:r>
        <w:t xml:space="preserve">We note that this decision adopts Staff’s proposed definition of a PEA in Section III of the GO.  This definition indicates that the PEA filed as part of the CPCN application must include </w:t>
      </w:r>
      <w:r w:rsidRPr="00EC627C">
        <w:t>all information and studies required under the Commission’s Information and Criteria List adopted pursuant to Chapter 1200 of the Statutes of 1977 (Government Code Sections 65940 through 65942), which is published on the Commission’s website (Section 1701, Public</w:t>
      </w:r>
      <w:r>
        <w:t> </w:t>
      </w:r>
      <w:r w:rsidRPr="00EC627C">
        <w:t>Utilities Code).</w:t>
      </w:r>
      <w:r>
        <w:t xml:space="preserve">  </w:t>
      </w:r>
    </w:p>
    <w:p w:rsidR="008608D6" w:rsidP="0009044A" w:rsidRDefault="008608D6" w14:paraId="0610A6EC" w14:textId="0EBFA8A6">
      <w:pPr>
        <w:pStyle w:val="Heading1"/>
      </w:pPr>
      <w:bookmarkStart w:name="_Toc120692869" w:id="111"/>
      <w:r>
        <w:t xml:space="preserve">Reporting </w:t>
      </w:r>
      <w:r w:rsidRPr="00DF5253">
        <w:t>Requirements</w:t>
      </w:r>
      <w:bookmarkEnd w:id="111"/>
    </w:p>
    <w:p w:rsidRPr="00AE1BA9" w:rsidR="00AE1BA9" w:rsidP="0009044A" w:rsidRDefault="00AE1BA9" w14:paraId="1F6F2C50" w14:textId="69A5CBA6">
      <w:pPr>
        <w:pStyle w:val="Heading2"/>
      </w:pPr>
      <w:bookmarkStart w:name="_Toc120692870" w:id="112"/>
      <w:r>
        <w:t>Staff Proposal</w:t>
      </w:r>
      <w:bookmarkEnd w:id="112"/>
    </w:p>
    <w:p w:rsidR="00AC13F4" w:rsidP="00AC13F4" w:rsidRDefault="00AA0CE2" w14:paraId="4E77793E" w14:textId="069349C3">
      <w:pPr>
        <w:pStyle w:val="Standard"/>
      </w:pPr>
      <w:r>
        <w:t xml:space="preserve">In </w:t>
      </w:r>
      <w:r w:rsidR="00AC13F4">
        <w:t>Section X of the Staff Proposal</w:t>
      </w:r>
      <w:r>
        <w:t xml:space="preserve">, Staff recommend </w:t>
      </w:r>
      <w:r w:rsidR="008F7384">
        <w:t>gas corporations report annually</w:t>
      </w:r>
      <w:r w:rsidR="001207A1">
        <w:t xml:space="preserve"> on </w:t>
      </w:r>
      <w:r w:rsidRPr="00E04AC4" w:rsidR="001207A1">
        <w:t>planned gas investments for any system expansions or projects that are expected to exceed $</w:t>
      </w:r>
      <w:r w:rsidR="001207A1">
        <w:t>100 million</w:t>
      </w:r>
      <w:r w:rsidR="00764EB6">
        <w:t xml:space="preserve">.  Staff recommend the Commission require </w:t>
      </w:r>
      <w:r w:rsidR="00764EB6">
        <w:lastRenderedPageBreak/>
        <w:t xml:space="preserve">gas corporations to </w:t>
      </w:r>
      <w:r w:rsidRPr="00E04AC4" w:rsidR="001207A1">
        <w:t>provid</w:t>
      </w:r>
      <w:r w:rsidR="00764EB6">
        <w:t>e</w:t>
      </w:r>
      <w:r w:rsidRPr="00E04AC4" w:rsidR="001207A1">
        <w:t xml:space="preserve"> a 1</w:t>
      </w:r>
      <w:r w:rsidR="001207A1">
        <w:t>5</w:t>
      </w:r>
      <w:r w:rsidRPr="00E04AC4" w:rsidR="001207A1">
        <w:t xml:space="preserve">-year forecast </w:t>
      </w:r>
      <w:r w:rsidR="001207A1">
        <w:t xml:space="preserve">for </w:t>
      </w:r>
      <w:r w:rsidRPr="00E04AC4" w:rsidR="001207A1">
        <w:t>investments</w:t>
      </w:r>
      <w:r w:rsidR="00764EB6">
        <w:t xml:space="preserve"> subject to a CPCN application requirement</w:t>
      </w:r>
      <w:r w:rsidR="001207A1">
        <w:t xml:space="preserve">.  </w:t>
      </w:r>
      <w:r w:rsidR="008108BF">
        <w:t xml:space="preserve">Staff recommend the Commission require gas corporations to file additional detailed information for projects scheduled to be in-service within five years. </w:t>
      </w:r>
    </w:p>
    <w:p w:rsidR="008734CD" w:rsidP="00AC13F4" w:rsidRDefault="008734CD" w14:paraId="2D278FEA" w14:textId="14B26E83">
      <w:pPr>
        <w:pStyle w:val="Standard"/>
      </w:pPr>
      <w:r>
        <w:t xml:space="preserve">The June 27, 2022 ALJ </w:t>
      </w:r>
      <w:r w:rsidR="00A22125">
        <w:t>r</w:t>
      </w:r>
      <w:r>
        <w:t>uling invite</w:t>
      </w:r>
      <w:r w:rsidR="005229A1">
        <w:t>d</w:t>
      </w:r>
      <w:r>
        <w:t xml:space="preserve"> comments on the following questions: </w:t>
      </w:r>
    </w:p>
    <w:p w:rsidR="00A22125" w:rsidP="00672818" w:rsidRDefault="008734CD" w14:paraId="72092386" w14:textId="77777777">
      <w:pPr>
        <w:pStyle w:val="ListBullet"/>
        <w:tabs>
          <w:tab w:val="left" w:pos="8550"/>
        </w:tabs>
        <w:ind w:left="1080" w:right="1440"/>
      </w:pPr>
      <w:r w:rsidRPr="00D44D06">
        <w:t xml:space="preserve">Should certain types of infrastructure projects be exempt from the reporting requirements in Section X? If so, what types of projects should be exempt? </w:t>
      </w:r>
    </w:p>
    <w:p w:rsidR="008734CD" w:rsidP="00672818" w:rsidRDefault="008734CD" w14:paraId="7ECE7A91" w14:textId="752A4795">
      <w:pPr>
        <w:pStyle w:val="ListBullet"/>
        <w:tabs>
          <w:tab w:val="left" w:pos="8550"/>
        </w:tabs>
        <w:ind w:left="1080" w:right="1440"/>
      </w:pPr>
      <w:r w:rsidRPr="00D44D06">
        <w:t>Should any modifications be made to the</w:t>
      </w:r>
      <w:r w:rsidR="00F226C9">
        <w:t xml:space="preserve">… </w:t>
      </w:r>
      <w:r w:rsidRPr="00D44D06">
        <w:t>reporting requirements provided in</w:t>
      </w:r>
      <w:r w:rsidR="00F226C9">
        <w:t xml:space="preserve">… </w:t>
      </w:r>
      <w:r w:rsidRPr="00D44D06">
        <w:t>Section X?</w:t>
      </w:r>
    </w:p>
    <w:p w:rsidR="00AE1BA9" w:rsidP="0009044A" w:rsidRDefault="00AE1BA9" w14:paraId="2D4424C6" w14:textId="3D095793">
      <w:pPr>
        <w:pStyle w:val="Heading2"/>
      </w:pPr>
      <w:bookmarkStart w:name="_Toc120692871" w:id="113"/>
      <w:r>
        <w:t xml:space="preserve">Party </w:t>
      </w:r>
      <w:r w:rsidRPr="00DF5253">
        <w:t>Comments</w:t>
      </w:r>
      <w:bookmarkEnd w:id="113"/>
    </w:p>
    <w:p w:rsidR="00AE1BA9" w:rsidP="00AE1BA9" w:rsidRDefault="00692C01" w14:paraId="5501B5D8" w14:textId="10AE390C">
      <w:pPr>
        <w:pStyle w:val="Standard"/>
      </w:pPr>
      <w:r>
        <w:t xml:space="preserve">Gas </w:t>
      </w:r>
      <w:r w:rsidR="005018D0">
        <w:t xml:space="preserve">corporations </w:t>
      </w:r>
      <w:r>
        <w:t>generally support Staff’s proposed reporting requirements with few changes</w:t>
      </w:r>
      <w:r w:rsidR="005018D0">
        <w:t xml:space="preserve">.  Intervenors and Indicated Shippers </w:t>
      </w:r>
      <w:r w:rsidR="004E6584">
        <w:t xml:space="preserve">generally advocate expanding Staff’s proposed </w:t>
      </w:r>
      <w:r>
        <w:t xml:space="preserve">reporting requirements. </w:t>
      </w:r>
    </w:p>
    <w:p w:rsidR="00236C1F" w:rsidP="00F43B25" w:rsidRDefault="004231E4" w14:paraId="486ADAC7" w14:textId="77777777">
      <w:pPr>
        <w:pStyle w:val="Standard"/>
      </w:pPr>
      <w:r>
        <w:t>Indicated Shippers,</w:t>
      </w:r>
      <w:r w:rsidR="00D55A10">
        <w:t xml:space="preserve"> </w:t>
      </w:r>
      <w:r>
        <w:t>Sierra Club/CEJA/RMI, and ED</w:t>
      </w:r>
      <w:r w:rsidR="00BA02B4">
        <w:t xml:space="preserve">F </w:t>
      </w:r>
      <w:r>
        <w:t xml:space="preserve">propose lowering the </w:t>
      </w:r>
      <w:r w:rsidR="004A46E6">
        <w:t xml:space="preserve">reporting threshold to $50 million </w:t>
      </w:r>
      <w:r w:rsidR="00F6728D">
        <w:t>and requiring utilities to provide detailed description</w:t>
      </w:r>
      <w:r w:rsidR="00BA02B4">
        <w:t>s</w:t>
      </w:r>
      <w:r w:rsidR="00F6728D">
        <w:t xml:space="preserve"> of each planned system expansion</w:t>
      </w:r>
      <w:r w:rsidR="00BA02B4">
        <w:t xml:space="preserve"> including its</w:t>
      </w:r>
      <w:r w:rsidR="00236C1F">
        <w:t xml:space="preserve"> </w:t>
      </w:r>
      <w:r w:rsidR="00611FB2">
        <w:t xml:space="preserve">intended purpose.  </w:t>
      </w:r>
      <w:r w:rsidR="00D55A10">
        <w:t xml:space="preserve">Indicated Shippers </w:t>
      </w:r>
      <w:r w:rsidR="00236C1F">
        <w:t xml:space="preserve">recommends </w:t>
      </w:r>
      <w:r w:rsidR="00D55A10">
        <w:t>th</w:t>
      </w:r>
      <w:r w:rsidR="00611FB2">
        <w:t>is detailed description include</w:t>
      </w:r>
      <w:r w:rsidR="00D55A10">
        <w:t xml:space="preserve">: </w:t>
      </w:r>
    </w:p>
    <w:p w:rsidR="00236C1F" w:rsidP="0009044A" w:rsidRDefault="00611FB2" w14:paraId="317C0C59" w14:textId="1AAB63B2">
      <w:pPr>
        <w:pStyle w:val="ListAlpha"/>
        <w:ind w:right="1440"/>
      </w:pPr>
      <w:r>
        <w:t xml:space="preserve">the </w:t>
      </w:r>
      <w:r w:rsidRPr="00CE583D" w:rsidR="00CE583D">
        <w:t xml:space="preserve">projected </w:t>
      </w:r>
      <w:r w:rsidRPr="00DF5253" w:rsidR="00CE583D">
        <w:t>capital</w:t>
      </w:r>
      <w:r w:rsidRPr="00CE583D" w:rsidR="00CE583D">
        <w:t xml:space="preserve"> expenditure</w:t>
      </w:r>
      <w:r w:rsidR="00D55A10">
        <w:t xml:space="preserve">; </w:t>
      </w:r>
    </w:p>
    <w:p w:rsidR="00236C1F" w:rsidP="0009044A" w:rsidRDefault="00CE583D" w14:paraId="372C85DC" w14:textId="70C983F2">
      <w:pPr>
        <w:pStyle w:val="ListAlpha"/>
        <w:ind w:right="1440"/>
      </w:pPr>
      <w:r w:rsidRPr="00CE583D">
        <w:t>a detailed description of the gas infrastructure project that includes what will be modified or constructed, what specific actions will be taken, and why the project will be conducted</w:t>
      </w:r>
      <w:r w:rsidR="00975A61">
        <w:t xml:space="preserve">; </w:t>
      </w:r>
    </w:p>
    <w:p w:rsidR="00236C1F" w:rsidP="0009044A" w:rsidRDefault="00B2767B" w14:paraId="317935D8" w14:textId="60914EF5">
      <w:pPr>
        <w:pStyle w:val="ListAlpha"/>
        <w:ind w:right="1440"/>
      </w:pPr>
      <w:r w:rsidRPr="007B52B5">
        <w:t>projected operating costs over the expected life of the asset as of the year the report is filed</w:t>
      </w:r>
      <w:r>
        <w:t xml:space="preserve"> (in both nominal and net</w:t>
      </w:r>
      <w:r w:rsidR="00396C24">
        <w:noBreakHyphen/>
      </w:r>
      <w:r>
        <w:t>present value terms)</w:t>
      </w:r>
      <w:r w:rsidR="00975A61">
        <w:t xml:space="preserve">; </w:t>
      </w:r>
    </w:p>
    <w:p w:rsidR="00236C1F" w:rsidP="0009044A" w:rsidRDefault="00B2767B" w14:paraId="0C95463E" w14:textId="66A410D8">
      <w:pPr>
        <w:pStyle w:val="ListAlpha"/>
        <w:ind w:right="1440"/>
      </w:pPr>
      <w:r w:rsidRPr="00480913">
        <w:t>a description of the cost driver</w:t>
      </w:r>
      <w:r w:rsidRPr="00480913" w:rsidR="00386DC0">
        <w:t>s</w:t>
      </w:r>
      <w:r w:rsidR="00975A61">
        <w:t xml:space="preserve">; </w:t>
      </w:r>
      <w:r w:rsidR="00236C1F">
        <w:t xml:space="preserve">and </w:t>
      </w:r>
    </w:p>
    <w:p w:rsidR="00236C1F" w:rsidP="0009044A" w:rsidRDefault="00386DC0" w14:paraId="053E5213" w14:textId="4BDA4BDB">
      <w:pPr>
        <w:pStyle w:val="ListAlpha"/>
        <w:ind w:right="1440"/>
      </w:pPr>
      <w:r w:rsidRPr="00480913">
        <w:lastRenderedPageBreak/>
        <w:t xml:space="preserve">total projected </w:t>
      </w:r>
      <w:r w:rsidR="00495668">
        <w:t xml:space="preserve">quantified </w:t>
      </w:r>
      <w:r w:rsidRPr="00480913">
        <w:t>reliability benefits over the expected life of each project expected to come online within the next 5 years from the date the report is filed</w:t>
      </w:r>
      <w:r w:rsidR="00F43B25">
        <w:t>.</w:t>
      </w:r>
      <w:r w:rsidRPr="0009044A" w:rsidR="00236C1F">
        <w:footnoteReference w:id="57"/>
      </w:r>
      <w:r w:rsidRPr="0009044A" w:rsidR="00F43B25">
        <w:t xml:space="preserve">  </w:t>
      </w:r>
    </w:p>
    <w:p w:rsidR="00692C01" w:rsidP="00F43B25" w:rsidRDefault="00480913" w14:paraId="17F81FFC" w14:textId="5614CFCA">
      <w:pPr>
        <w:pStyle w:val="Standard"/>
      </w:pPr>
      <w:r>
        <w:t>In addition to helping the Commission avoid stranded infrastructure costs</w:t>
      </w:r>
      <w:r w:rsidR="00BA7E87">
        <w:t xml:space="preserve">, </w:t>
      </w:r>
      <w:r w:rsidR="00F43B25">
        <w:t>Indicated Shippers contend</w:t>
      </w:r>
      <w:r w:rsidR="00DE2CA7">
        <w:t>s</w:t>
      </w:r>
      <w:r w:rsidR="00F43B25">
        <w:t xml:space="preserve"> that </w:t>
      </w:r>
      <w:r w:rsidR="00BA7E87">
        <w:t>the report</w:t>
      </w:r>
      <w:r w:rsidR="00236C1F">
        <w:t xml:space="preserve">, with the additional information recommended, </w:t>
      </w:r>
      <w:r w:rsidR="00BA7E87">
        <w:t xml:space="preserve">would benefit new and existing gas industrial customers by providing </w:t>
      </w:r>
      <w:r w:rsidRPr="00D55A10" w:rsidR="00D55A10">
        <w:t xml:space="preserve">information about the repair and replacement schedule of relevant transmission and distribution lines. </w:t>
      </w:r>
      <w:r w:rsidR="009C0B86">
        <w:t xml:space="preserve"> </w:t>
      </w:r>
      <w:r w:rsidR="0082675D">
        <w:t>Indicated Shippers assert</w:t>
      </w:r>
      <w:r w:rsidR="00DE2CA7">
        <w:t>s</w:t>
      </w:r>
      <w:r w:rsidR="0082675D">
        <w:t xml:space="preserve"> that a</w:t>
      </w:r>
      <w:r w:rsidRPr="00D55A10" w:rsidR="00D55A10">
        <w:t xml:space="preserve">nnual reports reflecting planned infrastructure investments would provide new </w:t>
      </w:r>
      <w:r w:rsidR="009C0B86">
        <w:t xml:space="preserve">industrial </w:t>
      </w:r>
      <w:r w:rsidRPr="00D55A10" w:rsidR="00D55A10">
        <w:t>customers with insight into these schedules and help them to understand the potential risks and costs of interconnection</w:t>
      </w:r>
      <w:r w:rsidR="009C0B86">
        <w:t>.</w:t>
      </w:r>
      <w:r w:rsidR="0082675D">
        <w:t xml:space="preserve">  Indicated Shippers recomme</w:t>
      </w:r>
      <w:r w:rsidR="0095473C">
        <w:t>nd</w:t>
      </w:r>
      <w:r w:rsidR="00544FA7">
        <w:t>s</w:t>
      </w:r>
      <w:r w:rsidR="0082675D">
        <w:t xml:space="preserve"> the C</w:t>
      </w:r>
      <w:r w:rsidRPr="00480913" w:rsidR="0082675D">
        <w:t xml:space="preserve">ommission </w:t>
      </w:r>
      <w:r w:rsidR="0082675D">
        <w:t>require use of</w:t>
      </w:r>
      <w:r w:rsidRPr="00480913" w:rsidR="0082675D">
        <w:t xml:space="preserve"> a reporting template</w:t>
      </w:r>
      <w:r w:rsidR="0082675D">
        <w:t xml:space="preserve">.  </w:t>
      </w:r>
    </w:p>
    <w:p w:rsidR="00B06F16" w:rsidP="00B06F16" w:rsidRDefault="00112C23" w14:paraId="5A4CEDAC" w14:textId="06CF46D2">
      <w:pPr>
        <w:pStyle w:val="Standard"/>
      </w:pPr>
      <w:r>
        <w:t xml:space="preserve">Sierra Club/CEJA/RMI </w:t>
      </w:r>
      <w:r w:rsidR="001C45B9">
        <w:t>a</w:t>
      </w:r>
      <w:r w:rsidR="0082675D">
        <w:t>ssert</w:t>
      </w:r>
      <w:r w:rsidR="001C45B9">
        <w:t xml:space="preserve"> </w:t>
      </w:r>
      <w:r w:rsidR="009C0B86">
        <w:t>the Commission should require reporting on all planned capital investments,</w:t>
      </w:r>
      <w:r w:rsidR="00BD6976">
        <w:t xml:space="preserve"> regardless of cost.  </w:t>
      </w:r>
      <w:r w:rsidR="00007DB9">
        <w:t xml:space="preserve">Sierra Club/CEJA/RMI </w:t>
      </w:r>
      <w:r w:rsidR="0082675D">
        <w:t>state</w:t>
      </w:r>
      <w:r w:rsidR="00007DB9">
        <w:t xml:space="preserve"> t</w:t>
      </w:r>
      <w:r w:rsidRPr="00007DB9" w:rsidR="00007DB9">
        <w:t>he report should indicate if the project is located in a disadvantaged or ESJ</w:t>
      </w:r>
      <w:r w:rsidR="00AE4B94">
        <w:t> </w:t>
      </w:r>
      <w:r w:rsidRPr="00007DB9" w:rsidR="00007DB9">
        <w:t>community</w:t>
      </w:r>
      <w:r w:rsidR="00764EB6">
        <w:t xml:space="preserve"> or i</w:t>
      </w:r>
      <w:r w:rsidRPr="00007DB9" w:rsidR="00007DB9">
        <w:t xml:space="preserve">n a </w:t>
      </w:r>
      <w:r w:rsidR="00EE7439">
        <w:t>H</w:t>
      </w:r>
      <w:r w:rsidRPr="00007DB9" w:rsidR="00007DB9">
        <w:t xml:space="preserve">igh </w:t>
      </w:r>
      <w:r w:rsidR="00EE7439">
        <w:t>C</w:t>
      </w:r>
      <w:r w:rsidRPr="00007DB9" w:rsidR="00007DB9">
        <w:t xml:space="preserve">onsequence </w:t>
      </w:r>
      <w:r w:rsidR="00EE7439">
        <w:t>A</w:t>
      </w:r>
      <w:r w:rsidRPr="00007DB9" w:rsidR="00007DB9">
        <w:t>rea, the expected level of gas throughput over the project’s useful life, and the expected customer utilization of the project by customer class.</w:t>
      </w:r>
      <w:r w:rsidR="00F83CDE">
        <w:t xml:space="preserve">  </w:t>
      </w:r>
      <w:r w:rsidR="001F6992">
        <w:t>These parties recommend the Commission undertake a</w:t>
      </w:r>
      <w:r w:rsidR="00AC456C">
        <w:t xml:space="preserve"> systematic </w:t>
      </w:r>
      <w:r w:rsidR="001F6992">
        <w:t xml:space="preserve">review </w:t>
      </w:r>
      <w:r w:rsidR="00AC456C">
        <w:t xml:space="preserve">process </w:t>
      </w:r>
      <w:r w:rsidR="001F6992">
        <w:t>of the c</w:t>
      </w:r>
      <w:r w:rsidR="00AC456C">
        <w:t xml:space="preserve">ontents </w:t>
      </w:r>
      <w:r w:rsidR="00EE7439">
        <w:t>of the reports</w:t>
      </w:r>
      <w:r w:rsidR="001F6992">
        <w:t xml:space="preserve"> </w:t>
      </w:r>
      <w:r w:rsidR="00AC456C">
        <w:t xml:space="preserve">to </w:t>
      </w:r>
      <w:r w:rsidRPr="00244CC4" w:rsidR="00244CC4">
        <w:t xml:space="preserve">provide visibility </w:t>
      </w:r>
      <w:r w:rsidR="001F6992">
        <w:t xml:space="preserve">into </w:t>
      </w:r>
      <w:r w:rsidRPr="00244CC4" w:rsidR="00244CC4">
        <w:t xml:space="preserve">future </w:t>
      </w:r>
      <w:r w:rsidR="001F6992">
        <w:t xml:space="preserve">planned </w:t>
      </w:r>
      <w:r w:rsidRPr="00244CC4" w:rsidR="00244CC4">
        <w:t xml:space="preserve">investments and </w:t>
      </w:r>
      <w:r w:rsidR="001F6992">
        <w:t xml:space="preserve">to provide </w:t>
      </w:r>
      <w:r w:rsidRPr="00244CC4" w:rsidR="00244CC4">
        <w:t>opportunit</w:t>
      </w:r>
      <w:r w:rsidR="001F6992">
        <w:t>ies</w:t>
      </w:r>
      <w:r w:rsidRPr="00244CC4" w:rsidR="00244CC4">
        <w:t xml:space="preserve"> to identify non-pipeline alternatives</w:t>
      </w:r>
      <w:r w:rsidR="00244CC4">
        <w:t xml:space="preserve">.  UCAN proposes a $25 million threshold for reporting requirements.  </w:t>
      </w:r>
    </w:p>
    <w:p w:rsidR="00B06F16" w:rsidP="00A9478A" w:rsidRDefault="00B06F16" w14:paraId="7CBB23BC" w14:textId="58DCA860">
      <w:pPr>
        <w:pStyle w:val="Standard"/>
      </w:pPr>
      <w:r>
        <w:t xml:space="preserve">CVGS suggests the Commission exempt independent storage projects within </w:t>
      </w:r>
      <w:r w:rsidR="00257420">
        <w:t xml:space="preserve">the </w:t>
      </w:r>
      <w:r>
        <w:t xml:space="preserve">scope of existing CPCN and CEQA approvals from </w:t>
      </w:r>
      <w:r w:rsidR="00052D9A">
        <w:t xml:space="preserve">Staff’s proposed </w:t>
      </w:r>
      <w:r>
        <w:t>reporting</w:t>
      </w:r>
      <w:r w:rsidR="00052D9A">
        <w:t xml:space="preserve"> requirements.  CVGS states it </w:t>
      </w:r>
      <w:r>
        <w:t xml:space="preserve">would be competitively damaging </w:t>
      </w:r>
      <w:r w:rsidR="001F2ED0">
        <w:t xml:space="preserve">for </w:t>
      </w:r>
      <w:r w:rsidR="001F2ED0">
        <w:lastRenderedPageBreak/>
        <w:t xml:space="preserve">these entities </w:t>
      </w:r>
      <w:r>
        <w:t xml:space="preserve">to provide </w:t>
      </w:r>
      <w:r w:rsidR="00295AF4">
        <w:t xml:space="preserve">the </w:t>
      </w:r>
      <w:r>
        <w:t>cost data</w:t>
      </w:r>
      <w:r w:rsidR="001F2ED0">
        <w:t xml:space="preserve"> </w:t>
      </w:r>
      <w:r w:rsidR="00295AF4">
        <w:t xml:space="preserve">recommended by </w:t>
      </w:r>
      <w:r w:rsidR="001F2ED0">
        <w:t>Staff</w:t>
      </w:r>
      <w:r w:rsidR="00295AF4">
        <w:t xml:space="preserve"> in </w:t>
      </w:r>
      <w:r w:rsidR="001F2ED0">
        <w:t>Section X</w:t>
      </w:r>
      <w:r w:rsidR="00A9478A">
        <w:t>(D)(2)</w:t>
      </w:r>
      <w:r>
        <w:t xml:space="preserve">. </w:t>
      </w:r>
      <w:r w:rsidR="00A9478A">
        <w:t>CVGS argues that Indicated Shipper</w:t>
      </w:r>
      <w:r w:rsidR="00AB1B4F">
        <w:t>s</w:t>
      </w:r>
      <w:r w:rsidR="00A9478A">
        <w:t xml:space="preserve">’ </w:t>
      </w:r>
      <w:r>
        <w:t xml:space="preserve">concerns about </w:t>
      </w:r>
      <w:r w:rsidR="00C4423B">
        <w:t xml:space="preserve">the risks of </w:t>
      </w:r>
      <w:r>
        <w:t>stranded cost</w:t>
      </w:r>
      <w:r w:rsidR="00C4423B">
        <w:t>s</w:t>
      </w:r>
      <w:r>
        <w:t xml:space="preserve"> do</w:t>
      </w:r>
      <w:r w:rsidR="008665DF">
        <w:t xml:space="preserve"> </w:t>
      </w:r>
      <w:r>
        <w:t>n</w:t>
      </w:r>
      <w:r w:rsidR="008665DF">
        <w:t>o</w:t>
      </w:r>
      <w:r>
        <w:t>t apply</w:t>
      </w:r>
      <w:r w:rsidR="00A9478A">
        <w:t xml:space="preserve"> to independent storage projects as the</w:t>
      </w:r>
      <w:r w:rsidR="00904ACC">
        <w:t xml:space="preserve">se projects </w:t>
      </w:r>
      <w:r>
        <w:t>don’t recover costs</w:t>
      </w:r>
      <w:r w:rsidR="00904ACC">
        <w:t xml:space="preserve"> </w:t>
      </w:r>
      <w:r>
        <w:t>through rates</w:t>
      </w:r>
      <w:r w:rsidR="00180D6A">
        <w:t>, including any reporting costs</w:t>
      </w:r>
      <w:r>
        <w:t xml:space="preserve">.  </w:t>
      </w:r>
      <w:r w:rsidR="00180D6A">
        <w:t xml:space="preserve">CVGS observes that </w:t>
      </w:r>
      <w:bookmarkStart w:name="_Hlk119667389" w:id="114"/>
      <w:r w:rsidRPr="00AE4B94" w:rsidR="0008020F">
        <w:t>D.10-10-001</w:t>
      </w:r>
      <w:r w:rsidR="0008020F">
        <w:t xml:space="preserve"> waived both cost caps and cost data reporting requirements for independent storage projects</w:t>
      </w:r>
      <w:r w:rsidR="00180D6A">
        <w:t xml:space="preserve">. </w:t>
      </w:r>
    </w:p>
    <w:p w:rsidR="00FA1886" w:rsidP="00A9478A" w:rsidRDefault="0008020F" w14:paraId="5BD8631D" w14:textId="574EC5EE">
      <w:pPr>
        <w:pStyle w:val="Standard"/>
      </w:pPr>
      <w:r>
        <w:t xml:space="preserve">SoCalGas </w:t>
      </w:r>
      <w:r w:rsidR="00180D6A">
        <w:t xml:space="preserve">asserts that </w:t>
      </w:r>
      <w:r w:rsidR="00FA1886">
        <w:t xml:space="preserve">only projects subject to the </w:t>
      </w:r>
      <w:r w:rsidR="005459A7">
        <w:t>GO</w:t>
      </w:r>
      <w:r w:rsidR="00FA1886">
        <w:t xml:space="preserve"> should be required to comply with reporting requirements.  </w:t>
      </w:r>
      <w:r w:rsidR="00464BEB">
        <w:t xml:space="preserve">SDG&amp;E </w:t>
      </w:r>
      <w:r w:rsidR="00A659EB">
        <w:t xml:space="preserve">requests clarification </w:t>
      </w:r>
      <w:r w:rsidR="00544FA7">
        <w:t xml:space="preserve">whether </w:t>
      </w:r>
      <w:r w:rsidR="00A659EB">
        <w:t xml:space="preserve">exempt projects are subject to the </w:t>
      </w:r>
      <w:r w:rsidR="005459A7">
        <w:t>GO</w:t>
      </w:r>
      <w:r w:rsidR="00A659EB">
        <w:t xml:space="preserve">’s reporting requirements.  </w:t>
      </w:r>
    </w:p>
    <w:p w:rsidR="00004399" w:rsidP="00A9478A" w:rsidRDefault="00D8415E" w14:paraId="202D6B0C" w14:textId="73EC4A6B">
      <w:pPr>
        <w:pStyle w:val="Standard"/>
      </w:pPr>
      <w:r>
        <w:t>PG&amp;E supports Staff’s propo</w:t>
      </w:r>
      <w:r w:rsidR="007A21F2">
        <w:t xml:space="preserve">sed $100 million </w:t>
      </w:r>
      <w:r w:rsidR="00D740A5">
        <w:t xml:space="preserve">reporting </w:t>
      </w:r>
      <w:r w:rsidR="007A21F2">
        <w:t>threshold but observes that the 10 to 15-year forecast</w:t>
      </w:r>
      <w:r w:rsidR="00004399">
        <w:t xml:space="preserve"> period is</w:t>
      </w:r>
      <w:r w:rsidR="007A21F2">
        <w:t xml:space="preserve"> inconsistent with GO 131-D, which only requires a five</w:t>
      </w:r>
      <w:r w:rsidR="00237178">
        <w:t>-</w:t>
      </w:r>
      <w:r w:rsidR="007A21F2">
        <w:t>year forecast for smaller projects</w:t>
      </w:r>
      <w:r w:rsidR="00237178">
        <w:t xml:space="preserve">.  </w:t>
      </w:r>
    </w:p>
    <w:p w:rsidR="0008020F" w:rsidP="00A9478A" w:rsidRDefault="00237178" w14:paraId="0331493E" w14:textId="58829C33">
      <w:pPr>
        <w:pStyle w:val="Standard"/>
      </w:pPr>
      <w:r>
        <w:t xml:space="preserve">PG&amp;E and SoCalGas contend that </w:t>
      </w:r>
      <w:r w:rsidR="00004399">
        <w:t xml:space="preserve">GRC applications </w:t>
      </w:r>
      <w:r w:rsidR="00764EB6">
        <w:t xml:space="preserve">already </w:t>
      </w:r>
      <w:r w:rsidR="00004399">
        <w:t xml:space="preserve">contain the additional information suggested by </w:t>
      </w:r>
      <w:r w:rsidR="0073772D">
        <w:t>Indicated Shipper</w:t>
      </w:r>
      <w:r w:rsidR="00004399">
        <w:t>s</w:t>
      </w:r>
      <w:r w:rsidR="0092642A">
        <w:t>.</w:t>
      </w:r>
      <w:r w:rsidR="0029662A">
        <w:t xml:space="preserve">  </w:t>
      </w:r>
      <w:r w:rsidR="00211283">
        <w:t xml:space="preserve">PG&amp;E states that </w:t>
      </w:r>
      <w:r w:rsidR="0092642A">
        <w:t xml:space="preserve">GRC applications </w:t>
      </w:r>
      <w:r w:rsidR="00E064C8">
        <w:t xml:space="preserve">review the </w:t>
      </w:r>
      <w:r w:rsidRPr="00E064C8" w:rsidR="00E064C8">
        <w:t>prudency of projected operating costs, a description of the cost drivers, and quantification of projected reliability benefits over the life of the asset and</w:t>
      </w:r>
      <w:r w:rsidR="00E064C8">
        <w:t xml:space="preserve"> would contain more accurate </w:t>
      </w:r>
      <w:r w:rsidRPr="00E064C8" w:rsidR="00E064C8">
        <w:t>information tha</w:t>
      </w:r>
      <w:r w:rsidR="00FD119F">
        <w:t>n</w:t>
      </w:r>
      <w:r w:rsidRPr="00E064C8" w:rsidR="00E064C8">
        <w:t xml:space="preserve"> a 15-year projection. </w:t>
      </w:r>
      <w:r w:rsidR="0029662A">
        <w:t xml:space="preserve"> PG&amp;E asserts that it would be inefficient and problematic t</w:t>
      </w:r>
      <w:r w:rsidRPr="00E064C8" w:rsidR="00E064C8">
        <w:t xml:space="preserve">o litigate the need for projects in multiple </w:t>
      </w:r>
      <w:r w:rsidR="0029662A">
        <w:t xml:space="preserve">proceedings. </w:t>
      </w:r>
    </w:p>
    <w:p w:rsidR="00D22C8D" w:rsidP="00A9478A" w:rsidRDefault="00D22C8D" w14:paraId="25AF257F" w14:textId="1942B246">
      <w:pPr>
        <w:pStyle w:val="Standard"/>
      </w:pPr>
      <w:r>
        <w:t>In comments on the proposed decision</w:t>
      </w:r>
      <w:r w:rsidR="000E64AA">
        <w:t>:</w:t>
      </w:r>
      <w:r>
        <w:t xml:space="preserve"> </w:t>
      </w:r>
      <w:r w:rsidR="000E64AA">
        <w:t xml:space="preserve">(a) </w:t>
      </w:r>
      <w:r>
        <w:t xml:space="preserve">UCAN expresses concern with </w:t>
      </w:r>
      <w:r w:rsidR="00032F54">
        <w:t>allowing gas utilit</w:t>
      </w:r>
      <w:r w:rsidR="00EA6965">
        <w:t>ies</w:t>
      </w:r>
      <w:r w:rsidR="00032F54">
        <w:t xml:space="preserve"> to file annual gas reports in the years 2023, 2024, and 2025 that have been revised to respond to party comments</w:t>
      </w:r>
      <w:r w:rsidR="000E64AA">
        <w:t xml:space="preserve">; (b) </w:t>
      </w:r>
      <w:r w:rsidR="00BF4214">
        <w:t xml:space="preserve">PG&amp;E requests additional time for utilities to consider changes to reporting requirements proposed by </w:t>
      </w:r>
      <w:r w:rsidR="006668D5">
        <w:t>parties, from 60 to 90 days</w:t>
      </w:r>
      <w:r w:rsidR="000E64AA">
        <w:t>; and (c)</w:t>
      </w:r>
      <w:r w:rsidR="002C6ABA">
        <w:t>,</w:t>
      </w:r>
      <w:r w:rsidR="000E64AA">
        <w:t xml:space="preserve"> SDG&amp;E requests gas utilities be given 45 </w:t>
      </w:r>
      <w:r w:rsidR="000C2EE7">
        <w:t xml:space="preserve">rather than 30 </w:t>
      </w:r>
      <w:r w:rsidR="000E64AA">
        <w:t xml:space="preserve">days to </w:t>
      </w:r>
      <w:r w:rsidR="000C2EE7">
        <w:t xml:space="preserve">respond to party comments on their reports. </w:t>
      </w:r>
    </w:p>
    <w:p w:rsidR="00AE1BA9" w:rsidP="0009044A" w:rsidRDefault="0029662A" w14:paraId="648D218F" w14:textId="065885AC">
      <w:pPr>
        <w:pStyle w:val="Heading2"/>
      </w:pPr>
      <w:bookmarkStart w:name="_Toc120692872" w:id="115"/>
      <w:r>
        <w:lastRenderedPageBreak/>
        <w:t xml:space="preserve">Adopting a Modified Version of </w:t>
      </w:r>
      <w:r w:rsidR="00AE4B94">
        <w:br/>
      </w:r>
      <w:r>
        <w:t xml:space="preserve">Staff’s Proposed </w:t>
      </w:r>
      <w:r w:rsidR="00551903">
        <w:t xml:space="preserve">Reporting </w:t>
      </w:r>
      <w:r w:rsidR="00AE4B94">
        <w:br/>
      </w:r>
      <w:r w:rsidR="00551903">
        <w:t>Requirements (Section X)</w:t>
      </w:r>
      <w:bookmarkEnd w:id="115"/>
    </w:p>
    <w:p w:rsidR="00A2704D" w:rsidP="008102F7" w:rsidRDefault="00D644F1" w14:paraId="336E3225" w14:textId="146EFB40">
      <w:pPr>
        <w:pStyle w:val="Standard"/>
      </w:pPr>
      <w:r>
        <w:t xml:space="preserve">We adopt a modified version of Staff’s proposed reporting requirements.  </w:t>
      </w:r>
      <w:r w:rsidR="00AC30E5">
        <w:t xml:space="preserve">First, we lower the reporting threshold to projects with a cost of $50 million or more, </w:t>
      </w:r>
      <w:r w:rsidR="00FE5A08">
        <w:t xml:space="preserve">with </w:t>
      </w:r>
      <w:r w:rsidR="0082675D">
        <w:t>“</w:t>
      </w:r>
      <w:r w:rsidR="00FE5A08">
        <w:t>costs</w:t>
      </w:r>
      <w:r w:rsidR="0082675D">
        <w:t>”</w:t>
      </w:r>
      <w:r w:rsidR="00FE5A08">
        <w:t xml:space="preserve"> defined as </w:t>
      </w:r>
      <w:r w:rsidR="00417CFB">
        <w:t xml:space="preserve">the “fully loaded” cost estimate, including </w:t>
      </w:r>
      <w:r w:rsidR="00FE5A08">
        <w:t xml:space="preserve">direct </w:t>
      </w:r>
      <w:r w:rsidR="00C43229">
        <w:t xml:space="preserve">and indirect </w:t>
      </w:r>
      <w:r w:rsidR="00FE5A08">
        <w:t>costs</w:t>
      </w:r>
      <w:r w:rsidR="000D7105">
        <w:t>, and taking into consideration the design of the project, the expected duration of construction, an estimate of the effects of economic inflation, and any known engineering difficulties associated with the project</w:t>
      </w:r>
      <w:r w:rsidR="00FE5A08">
        <w:t>.</w:t>
      </w:r>
      <w:r w:rsidR="00BA791C">
        <w:rPr>
          <w:rStyle w:val="FootnoteReference"/>
        </w:rPr>
        <w:footnoteReference w:id="58"/>
      </w:r>
      <w:r w:rsidR="00FE5A08">
        <w:t xml:space="preserve">  This lower threshold will </w:t>
      </w:r>
      <w:r w:rsidR="00D740A5">
        <w:t xml:space="preserve">help provide transparency into utility infrastructure planning processes and will </w:t>
      </w:r>
      <w:r w:rsidR="00FE5A08">
        <w:t>give us insight into a greater range of planned projects</w:t>
      </w:r>
      <w:r w:rsidR="00FF11B1">
        <w:t xml:space="preserve"> than will be covered by our </w:t>
      </w:r>
      <w:r w:rsidR="00AB1C47">
        <w:t>CPCN</w:t>
      </w:r>
      <w:r w:rsidR="00FF11B1">
        <w:t xml:space="preserve"> application requirements</w:t>
      </w:r>
      <w:r w:rsidR="00C17788">
        <w:t xml:space="preserve">.  The additional information will allow </w:t>
      </w:r>
      <w:r w:rsidR="003255F9">
        <w:t xml:space="preserve">us to evaluate </w:t>
      </w:r>
      <w:r w:rsidR="008371B5">
        <w:t xml:space="preserve">the impact of </w:t>
      </w:r>
      <w:r w:rsidR="003255F9">
        <w:t>our adopted threshold of $75</w:t>
      </w:r>
      <w:r w:rsidR="00AE4B94">
        <w:t> </w:t>
      </w:r>
      <w:r w:rsidR="003255F9">
        <w:t>million</w:t>
      </w:r>
      <w:r w:rsidR="008371B5">
        <w:t xml:space="preserve"> and adjust this </w:t>
      </w:r>
      <w:r w:rsidR="00A2704D">
        <w:t xml:space="preserve">threshold </w:t>
      </w:r>
      <w:r w:rsidR="008371B5">
        <w:t>as necessary</w:t>
      </w:r>
      <w:r w:rsidR="003255F9">
        <w:t>.</w:t>
      </w:r>
      <w:r w:rsidR="004873F0">
        <w:t xml:space="preserve"> </w:t>
      </w:r>
      <w:r w:rsidR="006C3BDC">
        <w:t xml:space="preserve"> T</w:t>
      </w:r>
      <w:r w:rsidR="004873F0">
        <w:t xml:space="preserve">he reporting requirements in Section X, as adopted, are </w:t>
      </w:r>
      <w:r w:rsidR="006C3BDC">
        <w:t xml:space="preserve">not </w:t>
      </w:r>
      <w:r w:rsidR="004873F0">
        <w:t xml:space="preserve">overly burdensome or onerous enough to justify a higher </w:t>
      </w:r>
      <w:r w:rsidR="00764EB6">
        <w:t xml:space="preserve">monetary value </w:t>
      </w:r>
      <w:r w:rsidR="004873F0">
        <w:t xml:space="preserve">reporting threshold. </w:t>
      </w:r>
    </w:p>
    <w:p w:rsidR="00A67986" w:rsidP="00A15F76" w:rsidRDefault="00A2704D" w14:paraId="705BDB7D" w14:textId="23DB60D5">
      <w:pPr>
        <w:pStyle w:val="Standard"/>
      </w:pPr>
      <w:r>
        <w:t xml:space="preserve">Second, we clarify that reporting shall include </w:t>
      </w:r>
      <w:r w:rsidR="0082675D">
        <w:t xml:space="preserve">projects that the gas corporations anticipate claiming as </w:t>
      </w:r>
      <w:r>
        <w:t>exempt</w:t>
      </w:r>
      <w:r w:rsidR="0040443F">
        <w:t xml:space="preserve"> from </w:t>
      </w:r>
      <w:r w:rsidR="00AB1C47">
        <w:t>CPCN</w:t>
      </w:r>
      <w:r w:rsidR="0040443F">
        <w:t xml:space="preserve"> application requirements pursuant to the </w:t>
      </w:r>
      <w:r w:rsidR="005459A7">
        <w:t>GO</w:t>
      </w:r>
      <w:r w:rsidR="0040443F">
        <w:t xml:space="preserve">.  </w:t>
      </w:r>
      <w:r w:rsidR="00A856BE">
        <w:t>Including</w:t>
      </w:r>
      <w:r w:rsidDel="001A4DA2" w:rsidR="0040443F">
        <w:t xml:space="preserve"> </w:t>
      </w:r>
      <w:r w:rsidR="00A856BE">
        <w:t xml:space="preserve">projects for which gas corporations </w:t>
      </w:r>
      <w:r w:rsidR="00486C66">
        <w:t xml:space="preserve">intend to </w:t>
      </w:r>
      <w:r w:rsidR="00A856BE">
        <w:t xml:space="preserve">claim exemptions </w:t>
      </w:r>
      <w:r w:rsidR="001A4DA2">
        <w:t xml:space="preserve">in the annual reports </w:t>
      </w:r>
      <w:r w:rsidR="00A856BE">
        <w:t>will</w:t>
      </w:r>
      <w:r w:rsidR="0040443F">
        <w:t xml:space="preserve"> </w:t>
      </w:r>
      <w:r w:rsidR="00C2026C">
        <w:t>enhance transparency</w:t>
      </w:r>
      <w:r w:rsidR="00F05F78">
        <w:t xml:space="preserve"> and</w:t>
      </w:r>
      <w:r w:rsidR="00C2026C">
        <w:t xml:space="preserve"> give stakeholders and Commission staff visibility into planned projects</w:t>
      </w:r>
      <w:r w:rsidR="00F05F78">
        <w:t>.</w:t>
      </w:r>
      <w:r w:rsidR="00511713">
        <w:t xml:space="preserve"> </w:t>
      </w:r>
      <w:r w:rsidR="00F05F78">
        <w:t xml:space="preserve"> This will also </w:t>
      </w:r>
      <w:r w:rsidR="001A4DA2">
        <w:t xml:space="preserve">give </w:t>
      </w:r>
      <w:r w:rsidR="00F05F78">
        <w:t xml:space="preserve">stakeholders the opportunity to </w:t>
      </w:r>
      <w:r w:rsidR="00217262">
        <w:t xml:space="preserve">track projects and assess whether there is a sufficient basis for </w:t>
      </w:r>
      <w:r w:rsidR="005E3360">
        <w:t xml:space="preserve">potential exemption claims. </w:t>
      </w:r>
    </w:p>
    <w:p w:rsidR="00A15F76" w:rsidP="00A15F76" w:rsidRDefault="00FF0B99" w14:paraId="77E58172" w14:textId="7015780A">
      <w:pPr>
        <w:pStyle w:val="Standard"/>
      </w:pPr>
      <w:r>
        <w:t>For projects for which the g</w:t>
      </w:r>
      <w:r w:rsidR="00A67986">
        <w:t>as corporation</w:t>
      </w:r>
      <w:r>
        <w:t xml:space="preserve"> anticipates claiming as exempt</w:t>
      </w:r>
      <w:r w:rsidRPr="008F6A9A" w:rsidR="00010CCB">
        <w:t xml:space="preserve"> from a </w:t>
      </w:r>
      <w:r w:rsidR="00AB1C47">
        <w:t>CPCN</w:t>
      </w:r>
      <w:r w:rsidRPr="008F6A9A" w:rsidR="00010CCB">
        <w:t xml:space="preserve"> application requirement</w:t>
      </w:r>
      <w:r>
        <w:t xml:space="preserve">, the gas corporation is not required </w:t>
      </w:r>
      <w:r w:rsidR="00B43AAD">
        <w:t xml:space="preserve">to </w:t>
      </w:r>
      <w:r>
        <w:lastRenderedPageBreak/>
        <w:t>include in the</w:t>
      </w:r>
      <w:r w:rsidR="00B43AAD">
        <w:t xml:space="preserve"> annual </w:t>
      </w:r>
      <w:r>
        <w:t>report</w:t>
      </w:r>
      <w:r w:rsidR="00B43AAD">
        <w:t xml:space="preserve"> information </w:t>
      </w:r>
      <w:r w:rsidR="004946C1">
        <w:t>describing non-pipeline alternatives considered,</w:t>
      </w:r>
      <w:r w:rsidR="00B43AAD">
        <w:t xml:space="preserve"> </w:t>
      </w:r>
      <w:r w:rsidR="00764EB6">
        <w:t xml:space="preserve">as </w:t>
      </w:r>
      <w:r w:rsidR="0025444A">
        <w:t>require</w:t>
      </w:r>
      <w:r w:rsidR="00B43AAD">
        <w:t>d in</w:t>
      </w:r>
      <w:r w:rsidR="0025444A">
        <w:t xml:space="preserve"> Section X(D)</w:t>
      </w:r>
      <w:r w:rsidR="00600F0B">
        <w:t xml:space="preserve">, </w:t>
      </w:r>
      <w:r w:rsidR="005455E8">
        <w:t xml:space="preserve">and </w:t>
      </w:r>
      <w:r w:rsidR="00B43AAD">
        <w:t xml:space="preserve">information </w:t>
      </w:r>
      <w:r w:rsidR="00C15D10">
        <w:t>regarding cumulative environmental impacts of successive projects</w:t>
      </w:r>
      <w:r w:rsidR="00A503C8">
        <w:t xml:space="preserve">, </w:t>
      </w:r>
      <w:r w:rsidR="00764EB6">
        <w:t xml:space="preserve">as </w:t>
      </w:r>
      <w:r w:rsidR="00A503C8">
        <w:t>required in Section X(C)(6).</w:t>
      </w:r>
      <w:r w:rsidR="00C15D10">
        <w:t xml:space="preserve"> </w:t>
      </w:r>
      <w:r w:rsidR="00600F0B">
        <w:t xml:space="preserve"> It is reasonable to not require gas corporations to report this information for exempt projects, </w:t>
      </w:r>
      <w:r w:rsidR="00B43AAD">
        <w:t xml:space="preserve">as these </w:t>
      </w:r>
      <w:r w:rsidR="00600F0B">
        <w:t xml:space="preserve">will consist of </w:t>
      </w:r>
      <w:r w:rsidR="005455E8">
        <w:t xml:space="preserve">required safety projects, </w:t>
      </w:r>
      <w:r w:rsidR="00762D0A">
        <w:t>minor relocations or repairs, emergency projects, and other exempt project types as outlined in Section IV(</w:t>
      </w:r>
      <w:r w:rsidR="00E95BAE">
        <w:t>B</w:t>
      </w:r>
      <w:r w:rsidR="00762D0A">
        <w:t xml:space="preserve">) of the adopted </w:t>
      </w:r>
      <w:r w:rsidR="005459A7">
        <w:t>GO</w:t>
      </w:r>
      <w:r w:rsidR="00762D0A">
        <w:t>.</w:t>
      </w:r>
    </w:p>
    <w:p w:rsidR="00010CCB" w:rsidP="00A15F76" w:rsidRDefault="00010CCB" w14:paraId="78EAD640" w14:textId="14F90EBB">
      <w:pPr>
        <w:pStyle w:val="Standard"/>
      </w:pPr>
      <w:r>
        <w:t xml:space="preserve">Third, we reduce the forecast </w:t>
      </w:r>
      <w:r w:rsidR="00365D9A">
        <w:t>period for reporting from 15 to 10 years.  This will allow for more accurate and useful reporting</w:t>
      </w:r>
      <w:r w:rsidR="00C6003B">
        <w:t xml:space="preserve">.  Requiring a 15-year projection </w:t>
      </w:r>
      <w:r w:rsidR="00C94D67">
        <w:t>c</w:t>
      </w:r>
      <w:r w:rsidR="00C6003B">
        <w:t xml:space="preserve">ould introduce </w:t>
      </w:r>
      <w:r w:rsidR="00B82974">
        <w:t>too m</w:t>
      </w:r>
      <w:r w:rsidR="003D1964">
        <w:t>uch</w:t>
      </w:r>
      <w:r w:rsidR="00C6003B">
        <w:t xml:space="preserve"> uncertainty into the reporting </w:t>
      </w:r>
      <w:r w:rsidR="00967BA4">
        <w:t xml:space="preserve">on anticipated projects </w:t>
      </w:r>
      <w:r w:rsidR="00C6003B">
        <w:t xml:space="preserve">because </w:t>
      </w:r>
      <w:r w:rsidR="00967BA4">
        <w:t xml:space="preserve">so many contingencies may play out in unexpected ways over such a long time period. </w:t>
      </w:r>
      <w:r w:rsidR="008108BF">
        <w:t xml:space="preserve"> We disagree with PG&amp;E and SoCalGas that requiring cost and related information in the annual gas reports conflicts with information provided in GRC applications. The filings serve different purposes at different time frames in project development and the information we require here is reasonable to provide on a 10-year advance timeframe. </w:t>
      </w:r>
      <w:r w:rsidR="00967BA4">
        <w:t xml:space="preserve"> </w:t>
      </w:r>
      <w:r w:rsidR="00365D9A">
        <w:t xml:space="preserve"> </w:t>
      </w:r>
    </w:p>
    <w:p w:rsidR="00935363" w:rsidP="00A15F76" w:rsidRDefault="00935363" w14:paraId="7EB92B10" w14:textId="056DA473">
      <w:pPr>
        <w:pStyle w:val="Standard"/>
      </w:pPr>
      <w:r>
        <w:t xml:space="preserve">Fourth, we require the gas corporations to include </w:t>
      </w:r>
      <w:r w:rsidR="008108BF">
        <w:t xml:space="preserve">for all reported projects </w:t>
      </w:r>
      <w:r w:rsidR="00632A1A">
        <w:t xml:space="preserve">the following </w:t>
      </w:r>
      <w:r>
        <w:t>information recommended by Indicated Shippers</w:t>
      </w:r>
      <w:r w:rsidR="00F54FF9">
        <w:t xml:space="preserve">: </w:t>
      </w:r>
    </w:p>
    <w:p w:rsidR="00FD0230" w:rsidP="00672818" w:rsidRDefault="00FD0230" w14:paraId="0789DA6D" w14:textId="1A3C4C0C">
      <w:pPr>
        <w:pStyle w:val="ListBullet"/>
        <w:ind w:left="1080" w:right="1440"/>
      </w:pPr>
      <w:r w:rsidRPr="00D60D4E">
        <w:t>detailed description of the gas infrastructure project that includes what will be modified or constructed, what specific actions will be taken, and why the project will be conducted;</w:t>
      </w:r>
      <w:r w:rsidR="00D3130A">
        <w:t xml:space="preserve"> and,</w:t>
      </w:r>
    </w:p>
    <w:p w:rsidR="00D3130A" w:rsidP="00672818" w:rsidRDefault="00D3130A" w14:paraId="6471D246" w14:textId="3D61AF39">
      <w:pPr>
        <w:pStyle w:val="ListBullet"/>
        <w:ind w:left="1080" w:right="1440"/>
      </w:pPr>
      <w:r w:rsidRPr="00D60D4E">
        <w:t>the projected capital expenditure</w:t>
      </w:r>
      <w:r>
        <w:t xml:space="preserve"> and </w:t>
      </w:r>
      <w:r w:rsidRPr="00D60D4E">
        <w:t>a description of the cost drivers</w:t>
      </w:r>
      <w:r>
        <w:t>.</w:t>
      </w:r>
    </w:p>
    <w:p w:rsidR="00D3130A" w:rsidP="00D3130A" w:rsidRDefault="00D3130A" w14:paraId="678BF931" w14:textId="480ECA2E">
      <w:pPr>
        <w:pStyle w:val="Standard"/>
      </w:pPr>
      <w:r>
        <w:t xml:space="preserve">Including this </w:t>
      </w:r>
      <w:r w:rsidR="00512008">
        <w:t xml:space="preserve">basic </w:t>
      </w:r>
      <w:r>
        <w:t xml:space="preserve">information in the report will contribute to </w:t>
      </w:r>
      <w:r w:rsidR="00512008">
        <w:t xml:space="preserve">the Commission and parties’ understanding of the planned investment and support </w:t>
      </w:r>
      <w:r w:rsidR="0013530A">
        <w:t xml:space="preserve">long-term planning. </w:t>
      </w:r>
    </w:p>
    <w:p w:rsidR="0013530A" w:rsidP="00D3130A" w:rsidRDefault="00F3705A" w14:paraId="7A6F0F63" w14:textId="0F19F222">
      <w:pPr>
        <w:pStyle w:val="Standard"/>
      </w:pPr>
      <w:r>
        <w:lastRenderedPageBreak/>
        <w:t>F</w:t>
      </w:r>
      <w:r w:rsidR="0013530A">
        <w:t xml:space="preserve">ifth, we augment the information that we require gas corporations to include in the reports regarding </w:t>
      </w:r>
      <w:r w:rsidR="004754EA">
        <w:t xml:space="preserve">facilities </w:t>
      </w:r>
      <w:r w:rsidR="00AE70B2">
        <w:t>scheduled</w:t>
      </w:r>
      <w:r w:rsidR="004754EA">
        <w:t xml:space="preserve"> to be in</w:t>
      </w:r>
      <w:r w:rsidR="008108BF">
        <w:t>-</w:t>
      </w:r>
      <w:r w:rsidR="004754EA">
        <w:t>service within five</w:t>
      </w:r>
      <w:r w:rsidR="00396C24">
        <w:t> </w:t>
      </w:r>
      <w:r w:rsidR="004754EA">
        <w:t xml:space="preserve">years of the date of the report. </w:t>
      </w:r>
      <w:r w:rsidR="004A1245">
        <w:t xml:space="preserve"> </w:t>
      </w:r>
      <w:r w:rsidR="003949C0">
        <w:t xml:space="preserve">Based on </w:t>
      </w:r>
      <w:r w:rsidR="004A1245">
        <w:t>Indicated Shippers’ recommendations</w:t>
      </w:r>
      <w:r w:rsidR="003949C0">
        <w:t xml:space="preserve">, we </w:t>
      </w:r>
      <w:r w:rsidR="000E31D1">
        <w:t xml:space="preserve">add to the </w:t>
      </w:r>
      <w:r w:rsidR="00C5156C">
        <w:t>information elements proposed by Staff</w:t>
      </w:r>
      <w:r w:rsidR="00AE70B2">
        <w:t xml:space="preserve">.  We </w:t>
      </w:r>
      <w:r w:rsidR="003949C0">
        <w:t>require gas corporations to</w:t>
      </w:r>
      <w:r w:rsidR="00476605">
        <w:t xml:space="preserve"> include</w:t>
      </w:r>
      <w:r w:rsidR="00C5156C">
        <w:t xml:space="preserve"> in their annual reports</w:t>
      </w:r>
      <w:r w:rsidR="00AE70B2">
        <w:t xml:space="preserve"> for facilities scheduled to be in-service within five years of the date of the report</w:t>
      </w:r>
      <w:r w:rsidR="00C9583B">
        <w:t xml:space="preserve"> the following additional elements</w:t>
      </w:r>
      <w:r w:rsidR="00476605">
        <w:t xml:space="preserve">: </w:t>
      </w:r>
    </w:p>
    <w:p w:rsidR="00A96E2D" w:rsidP="00672818" w:rsidRDefault="00A96E2D" w14:paraId="12546679" w14:textId="3B38154E">
      <w:pPr>
        <w:pStyle w:val="ListBullet"/>
        <w:ind w:left="1080" w:right="1440"/>
      </w:pPr>
      <w:r>
        <w:t xml:space="preserve">total projected quantified reliability </w:t>
      </w:r>
      <w:r w:rsidR="002C4087">
        <w:t>cost savings</w:t>
      </w:r>
      <w:r>
        <w:t xml:space="preserve"> over the expected life of the project;</w:t>
      </w:r>
      <w:r w:rsidR="00CF5579">
        <w:rPr>
          <w:rStyle w:val="FootnoteReference"/>
        </w:rPr>
        <w:footnoteReference w:id="59"/>
      </w:r>
      <w:r>
        <w:t xml:space="preserve"> and, </w:t>
      </w:r>
    </w:p>
    <w:p w:rsidR="00476605" w:rsidP="00672818" w:rsidRDefault="00A96E2D" w14:paraId="0148D51C" w14:textId="6F3128DC">
      <w:pPr>
        <w:pStyle w:val="ListBullet"/>
        <w:ind w:left="1080" w:right="1440"/>
      </w:pPr>
      <w:r>
        <w:t>projected operating costs over the expected life of the asset as of the year the report is filed (in both nominal and net</w:t>
      </w:r>
      <w:r w:rsidR="00396C24">
        <w:noBreakHyphen/>
      </w:r>
      <w:r>
        <w:t>present value terms).</w:t>
      </w:r>
    </w:p>
    <w:p w:rsidR="009C0FA5" w:rsidP="00AC7C0D" w:rsidRDefault="004211FD" w14:paraId="1F153A6F" w14:textId="7DAADDF2">
      <w:pPr>
        <w:pStyle w:val="Standard"/>
      </w:pPr>
      <w:r w:rsidRPr="00E92A5A">
        <w:t xml:space="preserve">We clarify Indicated Shippers’ suggestion </w:t>
      </w:r>
      <w:r w:rsidR="00AE70B2">
        <w:t xml:space="preserve">regarding quantified reliability benefits </w:t>
      </w:r>
      <w:r w:rsidRPr="00E92A5A" w:rsidR="002B7A35">
        <w:t xml:space="preserve">by requiring </w:t>
      </w:r>
      <w:r w:rsidRPr="00500B76" w:rsidR="00E92A5A">
        <w:t xml:space="preserve">a </w:t>
      </w:r>
      <w:r w:rsidRPr="00E92A5A" w:rsidR="002B7A35">
        <w:t xml:space="preserve">projection of </w:t>
      </w:r>
      <w:r w:rsidRPr="00500B76" w:rsidR="00E92A5A">
        <w:t xml:space="preserve">anticipated </w:t>
      </w:r>
      <w:r w:rsidRPr="00E92A5A" w:rsidR="002B7A35">
        <w:t>cost savings</w:t>
      </w:r>
      <w:r w:rsidRPr="00500B76" w:rsidR="00E92A5A">
        <w:t xml:space="preserve"> from the </w:t>
      </w:r>
      <w:r w:rsidRPr="00E92A5A" w:rsidR="002B7A35">
        <w:t>project, and by specifying that gas corporations shall consider</w:t>
      </w:r>
      <w:r w:rsidRPr="00500B76" w:rsidR="002B7A35">
        <w:t xml:space="preserve"> </w:t>
      </w:r>
      <w:r w:rsidRPr="00E92A5A" w:rsidR="002B7A35">
        <w:t>“1 in 10”</w:t>
      </w:r>
      <w:r w:rsidRPr="00E92A5A" w:rsidR="00781B30">
        <w:t xml:space="preserve"> </w:t>
      </w:r>
      <w:r w:rsidRPr="00500B76" w:rsidR="007061E4">
        <w:t xml:space="preserve"> winter </w:t>
      </w:r>
      <w:r w:rsidRPr="00E92A5A" w:rsidR="00781B30">
        <w:t xml:space="preserve">days when making such projections.  </w:t>
      </w:r>
      <w:r w:rsidR="00AE70B2">
        <w:t>The definition of gas demand on a 1-in-10 winter day should reflect the approach used by the gas utility in its design standard, including adjustments based on changing weather patterns, adapted to extend over the life of the project.  G</w:t>
      </w:r>
      <w:r w:rsidRPr="00E92A5A" w:rsidR="00781B30">
        <w:t>as</w:t>
      </w:r>
      <w:r w:rsidR="00396C24">
        <w:t> </w:t>
      </w:r>
      <w:r w:rsidR="00781B30">
        <w:t xml:space="preserve">corporations </w:t>
      </w:r>
      <w:r w:rsidR="00AE70B2">
        <w:t xml:space="preserve">shall </w:t>
      </w:r>
      <w:r w:rsidR="00781B30">
        <w:t xml:space="preserve">disclose the methods and assumptions used to make </w:t>
      </w:r>
      <w:r w:rsidR="00AE70B2">
        <w:t>these</w:t>
      </w:r>
      <w:r w:rsidR="00781B30">
        <w:t xml:space="preserve"> projection</w:t>
      </w:r>
      <w:r w:rsidR="00F143AD">
        <w:t>s</w:t>
      </w:r>
      <w:r w:rsidR="00781B30">
        <w:t xml:space="preserve"> in their </w:t>
      </w:r>
      <w:r w:rsidR="00207445">
        <w:t>CPCN application</w:t>
      </w:r>
      <w:r w:rsidR="00AE70B2">
        <w:t>s</w:t>
      </w:r>
      <w:r w:rsidR="00207445">
        <w:t xml:space="preserve">.  </w:t>
      </w:r>
      <w:r w:rsidR="00AC7C0D">
        <w:t xml:space="preserve">Including this information in the report will contribute to the Commission and parties’ understanding of the planned investment and support long-term planning.  </w:t>
      </w:r>
    </w:p>
    <w:p w:rsidR="00D3130A" w:rsidP="00AC7C0D" w:rsidRDefault="000A4140" w14:paraId="32CFAECE" w14:textId="093F5CAA">
      <w:pPr>
        <w:pStyle w:val="Standard"/>
      </w:pPr>
      <w:r>
        <w:t>Sixth</w:t>
      </w:r>
      <w:r w:rsidR="006B1551">
        <w:t>, r</w:t>
      </w:r>
      <w:r w:rsidR="0065500B">
        <w:t xml:space="preserve">egarding facilities </w:t>
      </w:r>
      <w:r w:rsidR="00AE70B2">
        <w:t xml:space="preserve">scheduled </w:t>
      </w:r>
      <w:r w:rsidR="0065500B">
        <w:t>to be in</w:t>
      </w:r>
      <w:r w:rsidR="00AE70B2">
        <w:t>-</w:t>
      </w:r>
      <w:r w:rsidR="0065500B">
        <w:t xml:space="preserve">service within five years of the date of a given report, we </w:t>
      </w:r>
      <w:r w:rsidR="00AC7C0D">
        <w:t xml:space="preserve">retain Staff’s recommended information element – </w:t>
      </w:r>
      <w:r w:rsidR="00AC7C0D">
        <w:lastRenderedPageBreak/>
        <w:t xml:space="preserve">“analysis </w:t>
      </w:r>
      <w:r w:rsidRPr="00D013B5" w:rsidR="00AC7C0D">
        <w:t xml:space="preserve">of non-pipeline alternatives” – </w:t>
      </w:r>
      <w:r w:rsidRPr="00D013B5" w:rsidR="0065500B">
        <w:t xml:space="preserve">and </w:t>
      </w:r>
      <w:r w:rsidRPr="00D013B5" w:rsidR="00AE5012">
        <w:t xml:space="preserve">specify that </w:t>
      </w:r>
      <w:r w:rsidRPr="00D013B5" w:rsidR="00C5156C">
        <w:t>gas corporations</w:t>
      </w:r>
      <w:r w:rsidR="00AE70B2">
        <w:t xml:space="preserve"> should</w:t>
      </w:r>
      <w:r w:rsidRPr="00D013B5" w:rsidR="00C5156C">
        <w:t xml:space="preserve"> </w:t>
      </w:r>
      <w:r w:rsidRPr="00D013B5" w:rsidR="00896BCA">
        <w:t>summar</w:t>
      </w:r>
      <w:r w:rsidR="00CE04CC">
        <w:t>ize</w:t>
      </w:r>
      <w:r w:rsidR="00896BCA">
        <w:t xml:space="preserve"> the</w:t>
      </w:r>
      <w:r w:rsidR="00F43494">
        <w:t xml:space="preserve"> </w:t>
      </w:r>
      <w:r w:rsidR="00E86A67">
        <w:t>ana</w:t>
      </w:r>
      <w:r w:rsidR="00896BCA">
        <w:t>lysis</w:t>
      </w:r>
      <w:r w:rsidR="00F43494">
        <w:t xml:space="preserve"> </w:t>
      </w:r>
      <w:r w:rsidR="00896BCA">
        <w:t>conducted.</w:t>
      </w:r>
      <w:r w:rsidR="0065500B">
        <w:t xml:space="preserve">  </w:t>
      </w:r>
      <w:r w:rsidR="00863B51">
        <w:t>G</w:t>
      </w:r>
      <w:r w:rsidR="00045076">
        <w:t>as corporations</w:t>
      </w:r>
      <w:r w:rsidR="00D57B91">
        <w:t xml:space="preserve"> </w:t>
      </w:r>
      <w:r w:rsidR="00863B51">
        <w:t>should</w:t>
      </w:r>
      <w:r w:rsidR="00400E59">
        <w:t xml:space="preserve"> </w:t>
      </w:r>
      <w:r w:rsidR="00045076">
        <w:t>address</w:t>
      </w:r>
      <w:r w:rsidR="00D013B5">
        <w:t xml:space="preserve"> </w:t>
      </w:r>
      <w:r w:rsidR="003D132F">
        <w:t>at a high</w:t>
      </w:r>
      <w:r w:rsidR="00396C24">
        <w:t> </w:t>
      </w:r>
      <w:r w:rsidR="003D132F">
        <w:t xml:space="preserve">level </w:t>
      </w:r>
      <w:r w:rsidR="00045076">
        <w:t xml:space="preserve">the </w:t>
      </w:r>
      <w:r w:rsidR="009702D5">
        <w:t>analytical questions</w:t>
      </w:r>
      <w:r w:rsidR="0065500B">
        <w:t xml:space="preserve"> regarding non-pipeline alternatives adopted</w:t>
      </w:r>
      <w:r w:rsidR="00203674">
        <w:t xml:space="preserve"> in </w:t>
      </w:r>
      <w:r w:rsidR="00FD0338">
        <w:t>S</w:t>
      </w:r>
      <w:r w:rsidR="00203674">
        <w:t xml:space="preserve">ection </w:t>
      </w:r>
      <w:r w:rsidRPr="00500B76" w:rsidR="00203674">
        <w:t>15.3</w:t>
      </w:r>
      <w:r w:rsidRPr="003221B0" w:rsidR="00203674">
        <w:t xml:space="preserve"> above</w:t>
      </w:r>
      <w:r w:rsidR="00203674">
        <w:t xml:space="preserve"> (pertaining to </w:t>
      </w:r>
      <w:r w:rsidR="009702D5">
        <w:t xml:space="preserve">Section </w:t>
      </w:r>
      <w:r w:rsidR="001A5A52">
        <w:t>VI(A)(4)</w:t>
      </w:r>
      <w:r w:rsidR="00203674">
        <w:t xml:space="preserve"> of the </w:t>
      </w:r>
      <w:r w:rsidR="005459A7">
        <w:t>GO</w:t>
      </w:r>
      <w:r w:rsidR="00203674">
        <w:t xml:space="preserve"> regarding </w:t>
      </w:r>
      <w:r w:rsidR="00AB1C47">
        <w:t>CPCN</w:t>
      </w:r>
      <w:r w:rsidR="00203674">
        <w:t xml:space="preserve"> application information requirements)</w:t>
      </w:r>
      <w:r w:rsidR="003A3729">
        <w:t>.</w:t>
      </w:r>
      <w:r w:rsidR="00E335CE">
        <w:t xml:space="preserve"> </w:t>
      </w:r>
      <w:r w:rsidR="00045076">
        <w:t xml:space="preserve"> </w:t>
      </w:r>
    </w:p>
    <w:p w:rsidR="004876F8" w:rsidP="00AC7C0D" w:rsidRDefault="003916A2" w14:paraId="45B0CEE3" w14:textId="232E75CA">
      <w:pPr>
        <w:pStyle w:val="Standard"/>
      </w:pPr>
      <w:r>
        <w:t xml:space="preserve">Seventh, </w:t>
      </w:r>
      <w:r w:rsidR="004876F8">
        <w:t xml:space="preserve">we </w:t>
      </w:r>
      <w:r w:rsidR="0013571C">
        <w:t xml:space="preserve">require gas corporations to indicate if the planned project is located in an </w:t>
      </w:r>
      <w:r w:rsidRPr="00007DB9" w:rsidR="0013571C">
        <w:t>ESJ</w:t>
      </w:r>
      <w:r w:rsidR="0013571C">
        <w:t> </w:t>
      </w:r>
      <w:r w:rsidRPr="00007DB9" w:rsidR="0013571C">
        <w:t>community</w:t>
      </w:r>
      <w:r w:rsidR="0013571C">
        <w:t xml:space="preserve"> as defined in the Commission’s ESJ Action Plan. This is not an onerous requirement</w:t>
      </w:r>
      <w:r w:rsidR="00296903">
        <w:t xml:space="preserve"> and requiring this will advance ESJ Action Plan aims. </w:t>
      </w:r>
    </w:p>
    <w:p w:rsidR="003916A2" w:rsidP="00AC7C0D" w:rsidRDefault="00296903" w14:paraId="5ED28DC5" w14:textId="4B05C7F6">
      <w:pPr>
        <w:pStyle w:val="Standard"/>
      </w:pPr>
      <w:r>
        <w:t>Eighth</w:t>
      </w:r>
      <w:r w:rsidR="004876F8">
        <w:t xml:space="preserve">, </w:t>
      </w:r>
      <w:r w:rsidR="003916A2">
        <w:t>w</w:t>
      </w:r>
      <w:r w:rsidR="008847C7">
        <w:t xml:space="preserve">ith the exception of </w:t>
      </w:r>
      <w:r w:rsidR="00225D88">
        <w:t xml:space="preserve">the </w:t>
      </w:r>
      <w:r w:rsidRPr="008847C7" w:rsidR="008847C7">
        <w:t xml:space="preserve">information </w:t>
      </w:r>
      <w:r w:rsidR="00225D88">
        <w:t>required in Section X(</w:t>
      </w:r>
      <w:r w:rsidRPr="008847C7" w:rsidR="008847C7">
        <w:t>D</w:t>
      </w:r>
      <w:r w:rsidR="00225D88">
        <w:t>)</w:t>
      </w:r>
      <w:r w:rsidRPr="008847C7" w:rsidR="008847C7">
        <w:t>(1)</w:t>
      </w:r>
      <w:r w:rsidR="008847C7">
        <w:t xml:space="preserve"> regarding non-pipeline alternatives, we do not </w:t>
      </w:r>
      <w:r w:rsidR="003916A2">
        <w:t>exempt independent storage providers from our adopted reporting requirements</w:t>
      </w:r>
      <w:r w:rsidR="00042207">
        <w:t xml:space="preserve">.  We </w:t>
      </w:r>
      <w:r w:rsidR="003916A2">
        <w:t>emphasize</w:t>
      </w:r>
      <w:r w:rsidR="00042207">
        <w:t>, however,</w:t>
      </w:r>
      <w:r w:rsidR="003916A2">
        <w:t xml:space="preserve"> that </w:t>
      </w:r>
      <w:r w:rsidR="00042207">
        <w:t xml:space="preserve">independent storage providers </w:t>
      </w:r>
      <w:r w:rsidR="003916A2">
        <w:t>may file</w:t>
      </w:r>
      <w:r w:rsidR="00FB6481">
        <w:t xml:space="preserve"> concurrent with their annual reports</w:t>
      </w:r>
      <w:r w:rsidR="003916A2">
        <w:t xml:space="preserve"> a motion t</w:t>
      </w:r>
      <w:r w:rsidR="00FB6481">
        <w:t>o file information under seal as confidential</w:t>
      </w:r>
      <w:r w:rsidR="008847C7">
        <w:t xml:space="preserve">.  </w:t>
      </w:r>
      <w:r w:rsidRPr="007C677B" w:rsidR="007C677B">
        <w:t>Review of the required cost information will enable a broader understanding of the pass-through costs from gas storage to utility customers, which will in turn support broader consideration of alternatives to minimize costs to ratepayers and stranded costs in this era of declining gas consumption.</w:t>
      </w:r>
    </w:p>
    <w:p w:rsidR="00581256" w:rsidP="004B0A1B" w:rsidRDefault="00B013F3" w14:paraId="247A1047" w14:textId="3E8BC88B">
      <w:pPr>
        <w:pStyle w:val="Standard"/>
      </w:pPr>
      <w:bookmarkStart w:name="_Hlk116400747" w:id="116"/>
      <w:r w:rsidRPr="004B0A1B">
        <w:t>Finally</w:t>
      </w:r>
      <w:r w:rsidRPr="004B0A1B" w:rsidR="000A4140">
        <w:t xml:space="preserve">, </w:t>
      </w:r>
      <w:bookmarkStart w:name="_Hlk116400513" w:id="117"/>
      <w:r w:rsidRPr="004B0A1B" w:rsidR="004013FE">
        <w:t xml:space="preserve">we </w:t>
      </w:r>
      <w:r w:rsidRPr="004B0A1B" w:rsidR="00D93EA3">
        <w:t>adopt a process</w:t>
      </w:r>
      <w:r w:rsidRPr="004B0A1B" w:rsidR="00085ADA">
        <w:t xml:space="preserve"> that will support careful review of the filed reports in the initial implementation years of this </w:t>
      </w:r>
      <w:r w:rsidR="005459A7">
        <w:t>GO</w:t>
      </w:r>
      <w:r w:rsidR="00581256">
        <w:t xml:space="preserve"> and provide an opportunity for parties to recommend revisions to the report, </w:t>
      </w:r>
      <w:r w:rsidR="00521E65">
        <w:t xml:space="preserve">and to the reporting requirements, </w:t>
      </w:r>
      <w:r w:rsidR="00581256">
        <w:t>as needed</w:t>
      </w:r>
      <w:r w:rsidRPr="004B0A1B" w:rsidR="00085ADA">
        <w:t xml:space="preserve">.  </w:t>
      </w:r>
      <w:bookmarkEnd w:id="117"/>
    </w:p>
    <w:p w:rsidR="00FE7857" w:rsidP="004B0A1B" w:rsidRDefault="00085ADA" w14:paraId="741CBAC5" w14:textId="00A9832C">
      <w:pPr>
        <w:pStyle w:val="Standard"/>
      </w:pPr>
      <w:r w:rsidRPr="004B0A1B">
        <w:t xml:space="preserve">We direct </w:t>
      </w:r>
      <w:r w:rsidRPr="004B0A1B" w:rsidR="00E30D10">
        <w:t xml:space="preserve">PG&amp;E, SoCalGas, </w:t>
      </w:r>
      <w:r w:rsidRPr="004B0A1B" w:rsidR="004B3B0C">
        <w:t xml:space="preserve">and </w:t>
      </w:r>
      <w:r w:rsidRPr="004B0A1B" w:rsidR="00E30D10">
        <w:t>SDG&amp;E</w:t>
      </w:r>
      <w:r w:rsidRPr="004B0A1B" w:rsidR="004B3B0C">
        <w:t xml:space="preserve"> </w:t>
      </w:r>
      <w:r w:rsidRPr="004B0A1B" w:rsidR="00146092">
        <w:t xml:space="preserve">to jointly </w:t>
      </w:r>
      <w:r w:rsidRPr="004B0A1B" w:rsidR="0065031F">
        <w:t xml:space="preserve">convene a </w:t>
      </w:r>
      <w:r w:rsidRPr="004B0A1B" w:rsidR="00166EE8">
        <w:t xml:space="preserve">“Report of Planned </w:t>
      </w:r>
      <w:r w:rsidRPr="004B0A1B" w:rsidR="008C7795">
        <w:t xml:space="preserve">Gas </w:t>
      </w:r>
      <w:r w:rsidRPr="004B0A1B" w:rsidR="00166EE8">
        <w:t xml:space="preserve">Investments </w:t>
      </w:r>
      <w:r w:rsidRPr="004B0A1B" w:rsidR="001B7B89">
        <w:t>Workshop</w:t>
      </w:r>
      <w:r w:rsidRPr="004B0A1B" w:rsidR="00166EE8">
        <w:t>”</w:t>
      </w:r>
      <w:r w:rsidRPr="004B0A1B" w:rsidR="0065031F">
        <w:t xml:space="preserve"> </w:t>
      </w:r>
      <w:r w:rsidRPr="004B0A1B" w:rsidR="00D93B05">
        <w:t xml:space="preserve">no less than 60 days from </w:t>
      </w:r>
      <w:r w:rsidRPr="004B0A1B" w:rsidR="008C48AF">
        <w:t xml:space="preserve">the date </w:t>
      </w:r>
      <w:r w:rsidRPr="004B0A1B" w:rsidR="00C17A1F">
        <w:t xml:space="preserve">of filing their annual </w:t>
      </w:r>
      <w:r w:rsidRPr="004B0A1B" w:rsidR="00544964">
        <w:t xml:space="preserve">gas reports pursuant to Section </w:t>
      </w:r>
      <w:r w:rsidRPr="004B0A1B" w:rsidR="00166EE8">
        <w:t xml:space="preserve">X of the </w:t>
      </w:r>
      <w:r w:rsidR="005459A7">
        <w:t>GO</w:t>
      </w:r>
      <w:r w:rsidRPr="004B0A1B" w:rsidR="00166EE8">
        <w:t xml:space="preserve"> adopted here, for the years 2023, 2024 and 2025.  </w:t>
      </w:r>
      <w:r w:rsidRPr="004B0A1B" w:rsidR="005F0762">
        <w:t>The workshop shall be designed so that</w:t>
      </w:r>
      <w:r w:rsidRPr="004B0A1B" w:rsidR="00682C11">
        <w:t xml:space="preserve"> utility </w:t>
      </w:r>
      <w:r w:rsidRPr="004B0A1B" w:rsidR="00682C11">
        <w:lastRenderedPageBreak/>
        <w:t>representatives provide an overview of projects listed in the report</w:t>
      </w:r>
      <w:r w:rsidRPr="004B0A1B" w:rsidR="00B81B76">
        <w:t xml:space="preserve"> and </w:t>
      </w:r>
      <w:r w:rsidRPr="004B0A1B" w:rsidR="00D20B2A">
        <w:t>stakeholders</w:t>
      </w:r>
      <w:r w:rsidRPr="004B0A1B" w:rsidR="00F527BE">
        <w:t xml:space="preserve"> are afforded an opportunity to</w:t>
      </w:r>
      <w:r w:rsidRPr="004B0A1B" w:rsidR="00D20B2A">
        <w:t xml:space="preserve"> ask questions</w:t>
      </w:r>
      <w:r w:rsidRPr="004B0A1B" w:rsidR="00B81B76">
        <w:t>.  Each utilit</w:t>
      </w:r>
      <w:r w:rsidR="006A7391">
        <w:t>y</w:t>
      </w:r>
      <w:r w:rsidRPr="004B0A1B" w:rsidR="00B81B76">
        <w:t>’</w:t>
      </w:r>
      <w:r w:rsidR="006A7391">
        <w:t>s</w:t>
      </w:r>
      <w:r w:rsidRPr="004B0A1B" w:rsidR="00B81B76">
        <w:t xml:space="preserve"> overview </w:t>
      </w:r>
      <w:r w:rsidRPr="004B0A1B" w:rsidR="006827D2">
        <w:t xml:space="preserve">shall provide </w:t>
      </w:r>
      <w:r w:rsidR="002A211B">
        <w:t>explanatory</w:t>
      </w:r>
      <w:r w:rsidRPr="004B0A1B" w:rsidR="006827D2">
        <w:t xml:space="preserve"> information </w:t>
      </w:r>
      <w:r w:rsidRPr="004B0A1B" w:rsidR="00F527BE">
        <w:t xml:space="preserve">on listed projects </w:t>
      </w:r>
      <w:r w:rsidR="000236D1">
        <w:t xml:space="preserve">that is additional </w:t>
      </w:r>
      <w:r w:rsidRPr="004B0A1B" w:rsidR="006827D2">
        <w:t>to that included in the filed report</w:t>
      </w:r>
      <w:r w:rsidRPr="004B0A1B" w:rsidR="00592788">
        <w:t xml:space="preserve">. </w:t>
      </w:r>
      <w:r w:rsidRPr="004B0A1B" w:rsidR="004B3B0C">
        <w:t xml:space="preserve"> </w:t>
      </w:r>
      <w:r w:rsidRPr="004B0A1B" w:rsidR="007A3CC9">
        <w:t xml:space="preserve">To the extent a gas </w:t>
      </w:r>
      <w:r w:rsidRPr="004B0A1B" w:rsidR="00894627">
        <w:t xml:space="preserve">corporation other than </w:t>
      </w:r>
      <w:r w:rsidRPr="004B0A1B" w:rsidR="008508AA">
        <w:t xml:space="preserve">PG&amp;E, SoCalGas, and SDG&amp;E </w:t>
      </w:r>
      <w:r w:rsidRPr="004B0A1B" w:rsidR="00387561">
        <w:t xml:space="preserve">has </w:t>
      </w:r>
      <w:r w:rsidRPr="004B0A1B" w:rsidR="00B74EA3">
        <w:t xml:space="preserve">upcoming projects listed in </w:t>
      </w:r>
      <w:r w:rsidRPr="004B0A1B" w:rsidR="001D5BCE">
        <w:t xml:space="preserve">that year’s annual </w:t>
      </w:r>
      <w:r w:rsidRPr="004B0A1B" w:rsidR="0004218A">
        <w:t>Report of Planned Gas Investments</w:t>
      </w:r>
      <w:r w:rsidRPr="004B0A1B" w:rsidR="001D5BCE">
        <w:t>, the</w:t>
      </w:r>
      <w:r w:rsidRPr="004B0A1B" w:rsidR="0004218A">
        <w:t xml:space="preserve"> gas corporation </w:t>
      </w:r>
      <w:r w:rsidRPr="004B0A1B" w:rsidR="008508AA">
        <w:t xml:space="preserve">shall </w:t>
      </w:r>
      <w:r w:rsidRPr="004B0A1B" w:rsidR="00894627">
        <w:t xml:space="preserve">participate in the workshop and present on </w:t>
      </w:r>
      <w:r w:rsidRPr="004B0A1B" w:rsidR="0004218A">
        <w:t xml:space="preserve">such projects. </w:t>
      </w:r>
      <w:r w:rsidRPr="004B0A1B" w:rsidR="00715E3C">
        <w:t xml:space="preserve"> </w:t>
      </w:r>
      <w:r w:rsidRPr="004B0A1B" w:rsidR="006B01C1">
        <w:t xml:space="preserve">PG&amp;E, SoCalGas, and SDG&amp;E shall </w:t>
      </w:r>
      <w:r w:rsidRPr="004B0A1B" w:rsidR="001F2159">
        <w:t>provide 30</w:t>
      </w:r>
      <w:r w:rsidRPr="004B0A1B" w:rsidR="00984053">
        <w:t>-</w:t>
      </w:r>
      <w:r w:rsidRPr="004B0A1B" w:rsidR="001F2159">
        <w:t xml:space="preserve">day advance </w:t>
      </w:r>
      <w:r w:rsidRPr="004B0A1B" w:rsidR="00B00686">
        <w:t xml:space="preserve">notice </w:t>
      </w:r>
      <w:r w:rsidRPr="004B0A1B" w:rsidR="001F2159">
        <w:t xml:space="preserve">to </w:t>
      </w:r>
      <w:r w:rsidRPr="004B0A1B" w:rsidR="00B00686">
        <w:t>the service list of R.20-0</w:t>
      </w:r>
      <w:r w:rsidRPr="004B0A1B" w:rsidR="00C071D6">
        <w:t>1-007</w:t>
      </w:r>
      <w:r w:rsidRPr="004B0A1B" w:rsidR="006A13DB">
        <w:t xml:space="preserve">, or a successor proceeding, of each annual workshop. </w:t>
      </w:r>
      <w:r w:rsidRPr="004B0A1B" w:rsidR="00C071D6">
        <w:t xml:space="preserve"> </w:t>
      </w:r>
    </w:p>
    <w:p w:rsidR="00EC3D30" w:rsidP="004B3420" w:rsidRDefault="00FE7857" w14:paraId="6235F3D4" w14:textId="49F7C2AC">
      <w:pPr>
        <w:pStyle w:val="Standard"/>
      </w:pPr>
      <w:r>
        <w:t xml:space="preserve">Parties may </w:t>
      </w:r>
      <w:r w:rsidR="006D27E1">
        <w:t xml:space="preserve">serve and </w:t>
      </w:r>
      <w:r>
        <w:t>file comments</w:t>
      </w:r>
      <w:r w:rsidR="006D27E1">
        <w:t xml:space="preserve"> </w:t>
      </w:r>
      <w:r>
        <w:t>on the annual report</w:t>
      </w:r>
      <w:r w:rsidR="00034FA0">
        <w:t>s</w:t>
      </w:r>
      <w:r w:rsidR="00175711">
        <w:t xml:space="preserve"> recommending changes to </w:t>
      </w:r>
      <w:r w:rsidR="004B3420">
        <w:t>them</w:t>
      </w:r>
      <w:r w:rsidR="00175711">
        <w:t>, as needed</w:t>
      </w:r>
      <w:r w:rsidR="00034FA0">
        <w:t>,</w:t>
      </w:r>
      <w:r w:rsidR="004B3420">
        <w:t xml:space="preserve"> </w:t>
      </w:r>
      <w:r w:rsidR="00521E65">
        <w:t xml:space="preserve">to the docket of R.20-01-007, or a successor proceeding, </w:t>
      </w:r>
      <w:r w:rsidR="004B3420">
        <w:t>in</w:t>
      </w:r>
      <w:r w:rsidR="00034FA0">
        <w:t xml:space="preserve"> the years 2023, 2024, and 2025, </w:t>
      </w:r>
      <w:r w:rsidR="0001483E">
        <w:t xml:space="preserve">no later than 15 days from </w:t>
      </w:r>
      <w:r w:rsidR="00175711">
        <w:t xml:space="preserve">the date </w:t>
      </w:r>
      <w:r w:rsidR="004B3420">
        <w:t xml:space="preserve">of </w:t>
      </w:r>
      <w:r w:rsidR="0001483E">
        <w:t xml:space="preserve">each annual </w:t>
      </w:r>
      <w:r w:rsidR="004B3420">
        <w:t>Report of Planned Gas Investments W</w:t>
      </w:r>
      <w:r w:rsidR="0001483E">
        <w:t>orkshop</w:t>
      </w:r>
      <w:r w:rsidR="00175711">
        <w:t xml:space="preserve">. </w:t>
      </w:r>
      <w:r w:rsidR="00EC3D30">
        <w:t xml:space="preserve"> </w:t>
      </w:r>
      <w:r w:rsidR="00AE70B2">
        <w:t>In their comments, p</w:t>
      </w:r>
      <w:r w:rsidRPr="009F1177" w:rsidR="00751814">
        <w:t xml:space="preserve">arties may also suggest changes to the reporting requirements </w:t>
      </w:r>
      <w:r w:rsidR="00AE70B2">
        <w:t xml:space="preserve">adopted here and contained in the GO in Appendix A </w:t>
      </w:r>
      <w:r w:rsidRPr="009F1177" w:rsidR="00751814">
        <w:t xml:space="preserve">that would </w:t>
      </w:r>
      <w:r w:rsidRPr="009F1177" w:rsidR="001F2166">
        <w:t>improve the usefulness of the reports.</w:t>
      </w:r>
      <w:r w:rsidR="00175711">
        <w:t xml:space="preserve"> </w:t>
      </w:r>
    </w:p>
    <w:p w:rsidR="00EC3D30" w:rsidP="004B3420" w:rsidRDefault="001723FC" w14:paraId="0A86AFE9" w14:textId="23CDAB31">
      <w:pPr>
        <w:pStyle w:val="Standard"/>
      </w:pPr>
      <w:r>
        <w:t>During the years 2023, 2024, and 2025, g</w:t>
      </w:r>
      <w:r w:rsidR="000E2F23">
        <w:t>as corporations</w:t>
      </w:r>
      <w:r>
        <w:t xml:space="preserve"> shall consider </w:t>
      </w:r>
      <w:r w:rsidR="004B3420">
        <w:t xml:space="preserve">filed </w:t>
      </w:r>
      <w:r>
        <w:t xml:space="preserve">party comments </w:t>
      </w:r>
      <w:r w:rsidR="004B3420">
        <w:t>on their report</w:t>
      </w:r>
      <w:r w:rsidR="00AE70B2">
        <w:t>s</w:t>
      </w:r>
      <w:r w:rsidR="004B3420">
        <w:t xml:space="preserve">, </w:t>
      </w:r>
      <w:r>
        <w:t xml:space="preserve">and </w:t>
      </w:r>
      <w:r w:rsidR="004B3420">
        <w:t xml:space="preserve">shall </w:t>
      </w:r>
      <w:r>
        <w:t>refile their reports</w:t>
      </w:r>
      <w:r w:rsidR="004B3420">
        <w:t>,</w:t>
      </w:r>
      <w:r>
        <w:t xml:space="preserve"> with revisions </w:t>
      </w:r>
      <w:r w:rsidR="00E37DEC">
        <w:t xml:space="preserve">that </w:t>
      </w:r>
      <w:r w:rsidR="00071075">
        <w:t>add additional information or clarifications t</w:t>
      </w:r>
      <w:r w:rsidR="00E37DEC">
        <w:t>o</w:t>
      </w:r>
      <w:r w:rsidR="00071075">
        <w:t xml:space="preserve"> address </w:t>
      </w:r>
      <w:r w:rsidR="004B3420">
        <w:t xml:space="preserve">party comments, </w:t>
      </w:r>
      <w:r>
        <w:t xml:space="preserve">no later than </w:t>
      </w:r>
      <w:r w:rsidR="000E64AA">
        <w:t>45</w:t>
      </w:r>
      <w:r>
        <w:t xml:space="preserve"> days from the date party comments are filed.</w:t>
      </w:r>
      <w:r w:rsidR="004B3420">
        <w:t xml:space="preserve">  Gas corporations shall include in their refiled reports an appendix that summarizes how each party comment was addressed.  If no party comments on a gas corporation’s annual Report of Planned Gas Investments during the years 2023, 2024, and 2025, the gas corporation is not required to refile a revised report as described here. </w:t>
      </w:r>
      <w:r w:rsidR="00FB1C41">
        <w:t xml:space="preserve"> </w:t>
      </w:r>
      <w:r w:rsidR="00E37DEC">
        <w:t xml:space="preserve">These are reasonable requirements that </w:t>
      </w:r>
      <w:r w:rsidR="00551DD5">
        <w:t xml:space="preserve">add transparency to the reporting process. </w:t>
      </w:r>
    </w:p>
    <w:p w:rsidRPr="004B0A1B" w:rsidR="004B0A1B" w:rsidP="004B0A1B" w:rsidRDefault="00D645F7" w14:paraId="0BE1A5C9" w14:textId="242D325F">
      <w:pPr>
        <w:pStyle w:val="Standard"/>
      </w:pPr>
      <w:r>
        <w:lastRenderedPageBreak/>
        <w:t>N</w:t>
      </w:r>
      <w:r w:rsidR="00FB1C41">
        <w:t xml:space="preserve">o later than </w:t>
      </w:r>
      <w:r w:rsidR="00F80FCA">
        <w:t>9</w:t>
      </w:r>
      <w:r w:rsidR="00FB1C41">
        <w:t>0 days from the date party comments are filed</w:t>
      </w:r>
      <w:r w:rsidR="00EC3D30">
        <w:t xml:space="preserve"> in 2023, 2024, and 2025</w:t>
      </w:r>
      <w:r w:rsidR="00FB1C41">
        <w:t xml:space="preserve">, </w:t>
      </w:r>
      <w:r w:rsidRPr="009F1177" w:rsidR="009F1177">
        <w:t>PG&amp;E, SoCalGas, and SDG&amp;E, and other gas corporations as interested,</w:t>
      </w:r>
      <w:r w:rsidRPr="009F1177" w:rsidR="003156A0">
        <w:t xml:space="preserve"> shall </w:t>
      </w:r>
      <w:r w:rsidRPr="0089233C" w:rsidR="00E77AB1">
        <w:t xml:space="preserve">jointly </w:t>
      </w:r>
      <w:r w:rsidRPr="009F1177" w:rsidR="003156A0">
        <w:t>submit a Tier 3 Advice Letter</w:t>
      </w:r>
      <w:r w:rsidRPr="009F1177" w:rsidR="00BE4172">
        <w:t xml:space="preserve"> </w:t>
      </w:r>
      <w:r w:rsidRPr="009F1177" w:rsidR="00932C30">
        <w:t>requesting</w:t>
      </w:r>
      <w:r w:rsidRPr="009F1177" w:rsidR="00AB769A">
        <w:t xml:space="preserve"> any changes to the reporting requirements </w:t>
      </w:r>
      <w:r w:rsidRPr="009F1177" w:rsidR="00CF5156">
        <w:t xml:space="preserve">suggested by parties and agreed to by the </w:t>
      </w:r>
      <w:r w:rsidRPr="009F1177" w:rsidR="004B7E18">
        <w:t>gas</w:t>
      </w:r>
      <w:r w:rsidR="00396C24">
        <w:t> </w:t>
      </w:r>
      <w:r w:rsidRPr="009F1177" w:rsidR="004B7E18">
        <w:t>corporation</w:t>
      </w:r>
      <w:r w:rsidRPr="0089233C">
        <w:t>s.</w:t>
      </w:r>
      <w:r w:rsidR="00FC1087">
        <w:t xml:space="preserve"> </w:t>
      </w:r>
      <w:r w:rsidR="0045476D">
        <w:t xml:space="preserve"> </w:t>
      </w:r>
      <w:r w:rsidRPr="0045476D" w:rsidR="0045476D">
        <w:t xml:space="preserve">If no changes to the reporting requirements were proposed by parties and agreed to by the </w:t>
      </w:r>
      <w:r w:rsidR="00B471CB">
        <w:t>gas corporations</w:t>
      </w:r>
      <w:r w:rsidRPr="0045476D" w:rsidR="0045476D">
        <w:t xml:space="preserve">, </w:t>
      </w:r>
      <w:r w:rsidR="0045476D">
        <w:t xml:space="preserve">PG&amp;E, SoCalGas, and SDG&amp;E </w:t>
      </w:r>
      <w:r w:rsidRPr="0045476D" w:rsidR="0045476D">
        <w:t>are not required to file a Tier 3 Advice Letter</w:t>
      </w:r>
      <w:r w:rsidR="002D3C39">
        <w:t>.</w:t>
      </w:r>
    </w:p>
    <w:p w:rsidRPr="004B0A1B" w:rsidR="004B3420" w:rsidP="004B3420" w:rsidRDefault="004B3420" w14:paraId="51D34283" w14:textId="6D556E55">
      <w:pPr>
        <w:pStyle w:val="Standard"/>
      </w:pPr>
      <w:r>
        <w:t>Requiring</w:t>
      </w:r>
      <w:r w:rsidR="005C2A70">
        <w:t xml:space="preserve"> an</w:t>
      </w:r>
      <w:r>
        <w:t xml:space="preserve"> annual </w:t>
      </w:r>
      <w:r w:rsidRPr="004B0A1B">
        <w:t>Report of Planned Gas Investments Workshop</w:t>
      </w:r>
      <w:r w:rsidR="005C2A70">
        <w:t xml:space="preserve"> during the years 2023, 2024, and 2025, </w:t>
      </w:r>
      <w:r w:rsidR="0081361D">
        <w:t xml:space="preserve">and providing an opportunity for parties to comment on the reports </w:t>
      </w:r>
      <w:r w:rsidRPr="004B4F87" w:rsidR="00A665DB">
        <w:t>and reporting requirements</w:t>
      </w:r>
      <w:r w:rsidR="0081361D">
        <w:t xml:space="preserve"> in a way that </w:t>
      </w:r>
      <w:r w:rsidR="005B30D1">
        <w:t>may result in revisions to them, adds transparency, accountability, and the opportunity for engagement</w:t>
      </w:r>
      <w:r w:rsidR="00AE70B2">
        <w:t xml:space="preserve">.  This process will help </w:t>
      </w:r>
      <w:r w:rsidR="005B30D1">
        <w:t>improve</w:t>
      </w:r>
      <w:r w:rsidR="00AE70B2">
        <w:t xml:space="preserve"> </w:t>
      </w:r>
      <w:r w:rsidR="005B30D1">
        <w:t xml:space="preserve">the report information and its use in the early years of implementation of this </w:t>
      </w:r>
      <w:r w:rsidR="005459A7">
        <w:t>GO</w:t>
      </w:r>
      <w:r w:rsidR="005B30D1">
        <w:t xml:space="preserve">. </w:t>
      </w:r>
    </w:p>
    <w:p w:rsidR="008608D6" w:rsidP="0009044A" w:rsidRDefault="008608D6" w14:paraId="6C99C819" w14:textId="15608F8F">
      <w:pPr>
        <w:pStyle w:val="Heading1"/>
      </w:pPr>
      <w:bookmarkStart w:name="_Toc120692873" w:id="118"/>
      <w:bookmarkEnd w:id="116"/>
      <w:r w:rsidRPr="00DF5253">
        <w:t>Definitions</w:t>
      </w:r>
      <w:bookmarkEnd w:id="118"/>
    </w:p>
    <w:p w:rsidR="00D052FB" w:rsidP="0009044A" w:rsidRDefault="00D052FB" w14:paraId="35A7F4FB" w14:textId="444CA2A6">
      <w:pPr>
        <w:pStyle w:val="Heading2"/>
      </w:pPr>
      <w:bookmarkStart w:name="_Toc120692874" w:id="119"/>
      <w:r w:rsidRPr="00DF5253">
        <w:t>Staff</w:t>
      </w:r>
      <w:r>
        <w:t xml:space="preserve"> Proposal</w:t>
      </w:r>
      <w:bookmarkEnd w:id="119"/>
    </w:p>
    <w:p w:rsidR="005864C1" w:rsidP="005864C1" w:rsidRDefault="005864C1" w14:paraId="07A9BC66" w14:textId="29660F7E">
      <w:pPr>
        <w:pStyle w:val="Standard"/>
      </w:pPr>
      <w:r>
        <w:t xml:space="preserve">Section III of the Staff Proposal contains proposed definitions for a variety of terms used in the draft </w:t>
      </w:r>
      <w:r w:rsidR="005459A7">
        <w:t>GO</w:t>
      </w:r>
      <w:r>
        <w:t xml:space="preserve">.   </w:t>
      </w:r>
    </w:p>
    <w:p w:rsidR="00D052FB" w:rsidP="0009044A" w:rsidRDefault="00D052FB" w14:paraId="41014DD8" w14:textId="0B36C62B">
      <w:pPr>
        <w:pStyle w:val="Heading2"/>
      </w:pPr>
      <w:bookmarkStart w:name="_Toc120692875" w:id="120"/>
      <w:r>
        <w:t xml:space="preserve">Party </w:t>
      </w:r>
      <w:r w:rsidRPr="00DF5253">
        <w:t>Comments</w:t>
      </w:r>
      <w:bookmarkEnd w:id="120"/>
    </w:p>
    <w:p w:rsidR="00FE3099" w:rsidP="005864C1" w:rsidRDefault="00C01967" w14:paraId="25D7870F" w14:textId="5E7A71E9">
      <w:pPr>
        <w:pStyle w:val="Standard"/>
      </w:pPr>
      <w:r>
        <w:t xml:space="preserve">Several parties propose modest refinements to definitions </w:t>
      </w:r>
      <w:r w:rsidR="00E306A0">
        <w:t>included in Section I</w:t>
      </w:r>
      <w:r w:rsidR="00772483">
        <w:t>I</w:t>
      </w:r>
      <w:r w:rsidR="00E306A0">
        <w:t>I of the Staff Proposal.</w:t>
      </w:r>
      <w:r w:rsidR="00961B3D">
        <w:t xml:space="preserve"> </w:t>
      </w:r>
    </w:p>
    <w:p w:rsidR="008448CD" w:rsidP="005864C1" w:rsidRDefault="00385A59" w14:paraId="3FAD2D03" w14:textId="7E163B15">
      <w:pPr>
        <w:pStyle w:val="Standard"/>
      </w:pPr>
      <w:r>
        <w:t>SoCalGas</w:t>
      </w:r>
      <w:r w:rsidR="00FA4620">
        <w:t xml:space="preserve"> </w:t>
      </w:r>
      <w:r w:rsidR="003A3AE5">
        <w:t xml:space="preserve">recommends </w:t>
      </w:r>
      <w:r w:rsidR="00FE3099">
        <w:t>modifying</w:t>
      </w:r>
      <w:r w:rsidR="003A3AE5">
        <w:t xml:space="preserve"> definition</w:t>
      </w:r>
      <w:r w:rsidR="00FE3099">
        <w:t>s</w:t>
      </w:r>
      <w:r w:rsidR="003A3AE5">
        <w:t xml:space="preserve"> of the </w:t>
      </w:r>
      <w:r w:rsidR="00F26DC2">
        <w:t xml:space="preserve">terms: </w:t>
      </w:r>
    </w:p>
    <w:p w:rsidR="008448CD" w:rsidP="0011177E" w:rsidRDefault="00F26DC2" w14:paraId="564F5863" w14:textId="272C36AD">
      <w:pPr>
        <w:pStyle w:val="ListAlpha"/>
        <w:numPr>
          <w:ilvl w:val="7"/>
          <w:numId w:val="82"/>
        </w:numPr>
        <w:ind w:right="1440"/>
      </w:pPr>
      <w:r>
        <w:t xml:space="preserve">“non-attainment area,” which </w:t>
      </w:r>
      <w:r w:rsidR="008448CD">
        <w:t xml:space="preserve">SoCalGas states </w:t>
      </w:r>
      <w:r>
        <w:t>should be adjusted to align with the Federal Clean Air Act</w:t>
      </w:r>
      <w:r w:rsidR="00385A59">
        <w:t>, Part D</w:t>
      </w:r>
      <w:r>
        <w:t>;</w:t>
      </w:r>
      <w:r w:rsidR="00CA4C5D">
        <w:rPr>
          <w:rStyle w:val="FootnoteReference"/>
        </w:rPr>
        <w:footnoteReference w:id="60"/>
      </w:r>
      <w:r w:rsidR="008448CD">
        <w:t xml:space="preserve"> </w:t>
      </w:r>
    </w:p>
    <w:p w:rsidR="00D87A7F" w:rsidP="0011177E" w:rsidRDefault="00D87A7F" w14:paraId="663A4883" w14:textId="41CF5DA8">
      <w:pPr>
        <w:pStyle w:val="ListAlpha"/>
        <w:numPr>
          <w:ilvl w:val="7"/>
          <w:numId w:val="82"/>
        </w:numPr>
        <w:ind w:right="1440"/>
      </w:pPr>
      <w:r>
        <w:t>“severe and extreme non-attainment area,” which SoCalGas states should be revised to alig</w:t>
      </w:r>
      <w:r w:rsidR="00A63BC4">
        <w:t>n</w:t>
      </w:r>
      <w:r>
        <w:t xml:space="preserve"> with the </w:t>
      </w:r>
      <w:r w:rsidR="00764565">
        <w:t>US E</w:t>
      </w:r>
      <w:r w:rsidR="00AE70B2">
        <w:t>PA</w:t>
      </w:r>
      <w:r w:rsidR="002225F8">
        <w:t xml:space="preserve">’s </w:t>
      </w:r>
      <w:r w:rsidR="00764565">
        <w:t xml:space="preserve">“Green Book” of National Ambient Air Quality </w:t>
      </w:r>
      <w:r w:rsidR="00764565">
        <w:lastRenderedPageBreak/>
        <w:t>Standards based on the area’s design value for a specific criteria pollutant;</w:t>
      </w:r>
      <w:r w:rsidRPr="0011177E" w:rsidR="00764565">
        <w:footnoteReference w:id="61"/>
      </w:r>
    </w:p>
    <w:p w:rsidR="00385A59" w:rsidP="0011177E" w:rsidRDefault="00584DF8" w14:paraId="1E3B30AD" w14:textId="73AF1E70">
      <w:pPr>
        <w:pStyle w:val="ListAlpha"/>
        <w:numPr>
          <w:ilvl w:val="7"/>
          <w:numId w:val="82"/>
        </w:numPr>
        <w:ind w:right="1440"/>
      </w:pPr>
      <w:r>
        <w:t xml:space="preserve">“sensitive receptor,” which </w:t>
      </w:r>
      <w:r w:rsidR="008448CD">
        <w:t>SoCalGas states s</w:t>
      </w:r>
      <w:r>
        <w:t xml:space="preserve">hould be adjusted to align with the California Health </w:t>
      </w:r>
      <w:r w:rsidR="003A4483">
        <w:t>&amp; S</w:t>
      </w:r>
      <w:r>
        <w:t>afety Code</w:t>
      </w:r>
      <w:r w:rsidR="00DD007E">
        <w:t xml:space="preserve">, which is the same definition used in the Commission’s </w:t>
      </w:r>
      <w:r w:rsidRPr="00E43422" w:rsidR="00DD007E">
        <w:t>PEA Guidelines</w:t>
      </w:r>
      <w:r w:rsidRPr="00E43422" w:rsidR="008448CD">
        <w:t>.</w:t>
      </w:r>
      <w:r w:rsidRPr="0011177E" w:rsidR="00D65779">
        <w:footnoteReference w:id="62"/>
      </w:r>
    </w:p>
    <w:p w:rsidR="0037334E" w:rsidP="0037334E" w:rsidRDefault="0037334E" w14:paraId="0713E6F7" w14:textId="52400802">
      <w:pPr>
        <w:pStyle w:val="Standard"/>
      </w:pPr>
      <w:r>
        <w:t xml:space="preserve">SoCalGas recommends that the Commission define “gas storage field” to ensure that CPCN applications are only </w:t>
      </w:r>
      <w:r w:rsidRPr="00A41D0C">
        <w:t xml:space="preserve">required for </w:t>
      </w:r>
      <w:r>
        <w:t xml:space="preserve">a </w:t>
      </w:r>
      <w:r w:rsidRPr="00A41D0C">
        <w:t>“new storage field or the expansion of the property boundary of a storage field due to acquisition in fee of property with the intent to install new gas infrastructure on the newly acquired property.”</w:t>
      </w:r>
      <w:r>
        <w:rPr>
          <w:rStyle w:val="FootnoteReference"/>
        </w:rPr>
        <w:footnoteReference w:id="63"/>
      </w:r>
      <w:r>
        <w:t xml:space="preserve">  SoCalGas states that expansion or construction within “b</w:t>
      </w:r>
      <w:r w:rsidRPr="00A41D0C">
        <w:t>uffer areas</w:t>
      </w:r>
      <w:r>
        <w:t xml:space="preserve">”— </w:t>
      </w:r>
      <w:r w:rsidRPr="00A41D0C">
        <w:t xml:space="preserve">land acquired to establish a greater distance between an adjacent landowner and </w:t>
      </w:r>
      <w:r>
        <w:t xml:space="preserve">a gas storage </w:t>
      </w:r>
      <w:r w:rsidRPr="00A41D0C">
        <w:t>facility</w:t>
      </w:r>
      <w:r>
        <w:t>—</w:t>
      </w:r>
      <w:r w:rsidRPr="00A41D0C">
        <w:t xml:space="preserve">should </w:t>
      </w:r>
      <w:r>
        <w:t xml:space="preserve">not trigger a CPCN application requirement. </w:t>
      </w:r>
    </w:p>
    <w:p w:rsidR="002B6915" w:rsidP="002B6915" w:rsidRDefault="003264C3" w14:paraId="33F35D77" w14:textId="5FCCFFBC">
      <w:pPr>
        <w:pStyle w:val="Standard"/>
      </w:pPr>
      <w:r>
        <w:t>In line with its proposal that the</w:t>
      </w:r>
      <w:r w:rsidR="004A7396">
        <w:t xml:space="preserve"> sensitive receptors criterion include toxic air contaminants</w:t>
      </w:r>
      <w:r w:rsidR="000B6F5F">
        <w:t xml:space="preserve">, Sierra Club/CEJA/RMI propose </w:t>
      </w:r>
      <w:r w:rsidR="00FE3099">
        <w:t xml:space="preserve">the Commission </w:t>
      </w:r>
      <w:r w:rsidR="000B6F5F">
        <w:t>defin</w:t>
      </w:r>
      <w:r w:rsidR="00FE3099">
        <w:t xml:space="preserve">e </w:t>
      </w:r>
      <w:r w:rsidR="0022765C">
        <w:t>toxic</w:t>
      </w:r>
      <w:r w:rsidR="00396C24">
        <w:t> </w:t>
      </w:r>
      <w:r w:rsidR="0022765C">
        <w:t xml:space="preserve">air contaminants </w:t>
      </w:r>
      <w:r w:rsidR="00FE3099">
        <w:t>as:</w:t>
      </w:r>
      <w:r w:rsidR="002B6915">
        <w:t xml:space="preserve"> </w:t>
      </w:r>
    </w:p>
    <w:p w:rsidR="003264C3" w:rsidP="00396C24" w:rsidRDefault="002B6915" w14:paraId="147324C2" w14:textId="67C2455F">
      <w:pPr>
        <w:pStyle w:val="BlockQuote"/>
        <w:ind w:right="1440"/>
      </w:pPr>
      <w:r>
        <w:t>Air pollutants identified by the California Air Resources Board that may cause or contribute to an increase in mortality or an increase in serious illness, or which may pose a present or potential hazard to human health.</w:t>
      </w:r>
      <w:r>
        <w:rPr>
          <w:rStyle w:val="FootnoteReference"/>
        </w:rPr>
        <w:footnoteReference w:id="64"/>
      </w:r>
    </w:p>
    <w:p w:rsidR="00D052FB" w:rsidP="0009044A" w:rsidRDefault="004A7396" w14:paraId="137DA4B0" w14:textId="2C9D2DA9">
      <w:pPr>
        <w:pStyle w:val="Heading2"/>
      </w:pPr>
      <w:bookmarkStart w:name="_Toc120692876" w:id="121"/>
      <w:r>
        <w:t xml:space="preserve">Adopting Modified Versions of </w:t>
      </w:r>
      <w:r w:rsidR="00731185">
        <w:br/>
      </w:r>
      <w:r>
        <w:t xml:space="preserve">Staff’s Proposed </w:t>
      </w:r>
      <w:r w:rsidRPr="00DF5253">
        <w:t>Definitions</w:t>
      </w:r>
      <w:r>
        <w:t xml:space="preserve"> (Section III)</w:t>
      </w:r>
      <w:bookmarkEnd w:id="121"/>
    </w:p>
    <w:p w:rsidR="004A7396" w:rsidP="004A7396" w:rsidRDefault="00A13553" w14:paraId="570DC87B" w14:textId="7A8C57F7">
      <w:pPr>
        <w:pStyle w:val="Standard"/>
      </w:pPr>
      <w:r>
        <w:t xml:space="preserve">We adopt many of the parties proposed revisions to Staff’s definitions.  </w:t>
      </w:r>
      <w:r w:rsidR="00CA632B">
        <w:t xml:space="preserve">We also define </w:t>
      </w:r>
      <w:r w:rsidR="00462CEE">
        <w:t>three</w:t>
      </w:r>
      <w:r w:rsidR="004F0970">
        <w:t xml:space="preserve"> </w:t>
      </w:r>
      <w:r w:rsidR="00CA632B">
        <w:t xml:space="preserve">new phrases. </w:t>
      </w:r>
    </w:p>
    <w:p w:rsidR="00CA632B" w:rsidP="004A7396" w:rsidRDefault="00534EBA" w14:paraId="1EC87774" w14:textId="631BD963">
      <w:pPr>
        <w:pStyle w:val="Standard"/>
      </w:pPr>
      <w:r>
        <w:lastRenderedPageBreak/>
        <w:t xml:space="preserve">First, we define the following </w:t>
      </w:r>
      <w:r w:rsidR="00D14C94">
        <w:t>new phrase</w:t>
      </w:r>
      <w:r w:rsidR="00AB3343">
        <w:t>s</w:t>
      </w:r>
      <w:r w:rsidR="00BB2A13">
        <w:t>:</w:t>
      </w:r>
      <w:r>
        <w:t xml:space="preserve"> </w:t>
      </w:r>
    </w:p>
    <w:p w:rsidRPr="001A6CF7" w:rsidR="00C85C73" w:rsidP="0011177E" w:rsidRDefault="00C85C73" w14:paraId="095613DE" w14:textId="7E0C9400">
      <w:pPr>
        <w:pStyle w:val="ListAlpha"/>
        <w:numPr>
          <w:ilvl w:val="7"/>
          <w:numId w:val="84"/>
        </w:numPr>
        <w:ind w:right="1440"/>
      </w:pPr>
      <w:r w:rsidRPr="001A6CF7">
        <w:t>“Toxic air contaminant”</w:t>
      </w:r>
      <w:r w:rsidRPr="001A6CF7" w:rsidR="001C3093">
        <w:t>—</w:t>
      </w:r>
      <w:r w:rsidRPr="001A6CF7">
        <w:t xml:space="preserve"> an air pollutant which may cause or contribute to an increase in mortality or an increase in serious illness, or which may pose a present or potential hazard to human health, pursuant to </w:t>
      </w:r>
      <w:r w:rsidR="00772483">
        <w:t>S</w:t>
      </w:r>
      <w:r w:rsidRPr="001A6CF7">
        <w:t>ection</w:t>
      </w:r>
      <w:r w:rsidR="00FD0338">
        <w:t> </w:t>
      </w:r>
      <w:r w:rsidRPr="001A6CF7">
        <w:t>39655 of the California Health and Safety Code;</w:t>
      </w:r>
    </w:p>
    <w:p w:rsidRPr="001A6CF7" w:rsidR="00A6393B" w:rsidP="0011177E" w:rsidRDefault="00A6393B" w14:paraId="35E25F3D" w14:textId="3C902C41">
      <w:pPr>
        <w:pStyle w:val="ListAlpha"/>
        <w:numPr>
          <w:ilvl w:val="7"/>
          <w:numId w:val="84"/>
        </w:numPr>
        <w:ind w:right="1440"/>
      </w:pPr>
      <w:r w:rsidRPr="001A6CF7">
        <w:t>“</w:t>
      </w:r>
      <w:r w:rsidRPr="001A6CF7" w:rsidR="00747307">
        <w:t>P</w:t>
      </w:r>
      <w:r w:rsidRPr="001A6CF7">
        <w:t>roject”—</w:t>
      </w:r>
      <w:r w:rsidRPr="001A6CF7" w:rsidR="000B30DE">
        <w:t xml:space="preserve"> construction or physical modification of any </w:t>
      </w:r>
      <w:r w:rsidRPr="001A6CF7" w:rsidR="000C2463">
        <w:t xml:space="preserve">gas </w:t>
      </w:r>
      <w:r w:rsidRPr="001A6CF7" w:rsidR="000B30DE">
        <w:t>plant</w:t>
      </w:r>
      <w:r w:rsidRPr="001A6CF7" w:rsidR="000C2463">
        <w:t xml:space="preserve"> with independent utility in the gas system</w:t>
      </w:r>
      <w:r w:rsidRPr="001A6CF7" w:rsidR="000B30DE">
        <w:t xml:space="preserve">, </w:t>
      </w:r>
      <w:r w:rsidRPr="001A6CF7" w:rsidR="000C2463">
        <w:t xml:space="preserve">including any </w:t>
      </w:r>
      <w:r w:rsidRPr="001A6CF7" w:rsidR="000B30DE">
        <w:t>compressor</w:t>
      </w:r>
      <w:r w:rsidRPr="001A6CF7" w:rsidR="000C2463">
        <w:t xml:space="preserve"> or reg</w:t>
      </w:r>
      <w:r w:rsidRPr="001A6CF7" w:rsidR="007C3EC3">
        <w:t>ulator</w:t>
      </w:r>
      <w:r w:rsidRPr="001A6CF7" w:rsidR="000B30DE">
        <w:t xml:space="preserve"> station</w:t>
      </w:r>
      <w:r w:rsidRPr="001A6CF7" w:rsidR="007C3EC3">
        <w:t>s</w:t>
      </w:r>
      <w:r w:rsidRPr="001A6CF7" w:rsidR="000B30DE">
        <w:t xml:space="preserve">, </w:t>
      </w:r>
      <w:r w:rsidRPr="001A6CF7" w:rsidR="007C3EC3">
        <w:t>any pipe</w:t>
      </w:r>
      <w:r w:rsidRPr="001A6CF7" w:rsidR="000B30DE">
        <w:t xml:space="preserve">line or </w:t>
      </w:r>
      <w:r w:rsidRPr="001A6CF7" w:rsidR="007C3EC3">
        <w:t xml:space="preserve">pipeline </w:t>
      </w:r>
      <w:r w:rsidRPr="001A6CF7" w:rsidR="000B30DE">
        <w:t xml:space="preserve">extension, or </w:t>
      </w:r>
      <w:r w:rsidRPr="001A6CF7" w:rsidR="007C3EC3">
        <w:t xml:space="preserve">any </w:t>
      </w:r>
      <w:r w:rsidRPr="001A6CF7" w:rsidR="000B30DE">
        <w:t>expansion of an existing gas storage field.</w:t>
      </w:r>
      <w:r w:rsidRPr="00A74237" w:rsidR="00757380">
        <w:rPr>
          <w:vertAlign w:val="superscript"/>
        </w:rPr>
        <w:footnoteReference w:id="65"/>
      </w:r>
    </w:p>
    <w:p w:rsidRPr="001A6CF7" w:rsidR="00534EBA" w:rsidP="0011177E" w:rsidRDefault="00534EBA" w14:paraId="0666F2C3" w14:textId="3E6F967D">
      <w:pPr>
        <w:pStyle w:val="ListAlpha"/>
        <w:numPr>
          <w:ilvl w:val="7"/>
          <w:numId w:val="84"/>
        </w:numPr>
        <w:ind w:right="1440"/>
      </w:pPr>
      <w:r w:rsidRPr="001A6CF7">
        <w:t>“Expansion of an existing gas storage field”</w:t>
      </w:r>
      <w:r w:rsidRPr="001A6CF7" w:rsidR="005309D6">
        <w:t>—</w:t>
      </w:r>
      <w:r w:rsidRPr="001A6CF7">
        <w:t xml:space="preserve"> expansion of the property boundary of a Commission</w:t>
      </w:r>
      <w:r w:rsidR="00396C24">
        <w:noBreakHyphen/>
      </w:r>
      <w:r w:rsidRPr="001A6CF7">
        <w:t xml:space="preserve">authorized storage field </w:t>
      </w:r>
      <w:r w:rsidRPr="001A6CF7" w:rsidR="004C6D51">
        <w:t>to increase natural</w:t>
      </w:r>
      <w:r w:rsidR="00396C24">
        <w:t> </w:t>
      </w:r>
      <w:r w:rsidRPr="001A6CF7" w:rsidR="004C6D51">
        <w:t xml:space="preserve">gas storage </w:t>
      </w:r>
      <w:r w:rsidRPr="001A6CF7" w:rsidR="00F520D2">
        <w:t xml:space="preserve">inventory </w:t>
      </w:r>
      <w:r w:rsidRPr="001A6CF7" w:rsidR="004C6D51">
        <w:t>capacity</w:t>
      </w:r>
      <w:r w:rsidRPr="001A6CF7">
        <w:t xml:space="preserve">. </w:t>
      </w:r>
    </w:p>
    <w:p w:rsidR="004F0970" w:rsidP="00415081" w:rsidRDefault="00037A5A" w14:paraId="142D7DEE" w14:textId="49EBCFE4">
      <w:pPr>
        <w:pStyle w:val="Standard"/>
      </w:pPr>
      <w:r>
        <w:t>We discussed the first t</w:t>
      </w:r>
      <w:r w:rsidR="00462CEE">
        <w:t xml:space="preserve">wo </w:t>
      </w:r>
      <w:r w:rsidR="002043D8">
        <w:t xml:space="preserve">terms and </w:t>
      </w:r>
      <w:r>
        <w:t>definitions earlier in this decision. These are reasonable clarifications</w:t>
      </w:r>
      <w:r w:rsidR="002043D8">
        <w:t xml:space="preserve">.  We also adopt here SoCalGas’s suggested definition of “expansion of an existing gas storage field.” </w:t>
      </w:r>
      <w:r w:rsidR="00AA6E9A">
        <w:t xml:space="preserve"> </w:t>
      </w:r>
      <w:r w:rsidRPr="00AA6E9A" w:rsidR="00AA6E9A">
        <w:t>We agree with SoCalGas’s suggestion because this clarifies that the “expansion” in question pertains to the land base where equipment is located rather than to expansion of equipment placed on the land for which a CPCN has already been granted.  This definition excludes land acquired to create or expand a buffer zone.  We agree this is a reasonable clarification.</w:t>
      </w:r>
      <w:r w:rsidR="00415081">
        <w:t xml:space="preserve">  </w:t>
      </w:r>
      <w:r w:rsidR="002225F8">
        <w:t>As we stated in Section 12.8.3, a</w:t>
      </w:r>
      <w:r w:rsidR="00AA6E9A">
        <w:t xml:space="preserve">lthough </w:t>
      </w:r>
      <w:r w:rsidRPr="00AA6E9A" w:rsidR="00AA6E9A">
        <w:t xml:space="preserve">gas utilities need not submit applications for new projects </w:t>
      </w:r>
      <w:r w:rsidR="00EF3340">
        <w:t>within</w:t>
      </w:r>
      <w:r w:rsidRPr="00AA6E9A" w:rsidR="00EF3340">
        <w:t xml:space="preserve"> </w:t>
      </w:r>
      <w:r w:rsidRPr="00AA6E9A" w:rsidR="00AA6E9A">
        <w:t xml:space="preserve">the existing </w:t>
      </w:r>
      <w:r w:rsidR="00E27668">
        <w:t>property boundary</w:t>
      </w:r>
      <w:r w:rsidR="00AA6E9A">
        <w:t xml:space="preserve">, </w:t>
      </w:r>
      <w:r w:rsidRPr="001F7C3A" w:rsidR="001F7C3A">
        <w:t xml:space="preserve">any storage expansion project that </w:t>
      </w:r>
      <w:r w:rsidR="00415081">
        <w:t xml:space="preserve">otherwise </w:t>
      </w:r>
      <w:r w:rsidRPr="001F7C3A" w:rsidR="001F7C3A">
        <w:t xml:space="preserve">meets the criteria and definitions adopted here must apply for a </w:t>
      </w:r>
      <w:r w:rsidR="00AB1C47">
        <w:t>CPCN</w:t>
      </w:r>
      <w:r w:rsidRPr="001F7C3A" w:rsidR="001F7C3A">
        <w:t xml:space="preserve"> application as stated in our adopted </w:t>
      </w:r>
      <w:r w:rsidR="005459A7">
        <w:t>GO</w:t>
      </w:r>
      <w:r w:rsidRPr="001F7C3A" w:rsidR="001F7C3A">
        <w:t xml:space="preserve">.  </w:t>
      </w:r>
    </w:p>
    <w:p w:rsidR="009864FB" w:rsidP="005325C7" w:rsidRDefault="00A23494" w14:paraId="4486A46B" w14:textId="2FE07856">
      <w:pPr>
        <w:pStyle w:val="Standard"/>
      </w:pPr>
      <w:r>
        <w:lastRenderedPageBreak/>
        <w:t xml:space="preserve">We </w:t>
      </w:r>
      <w:r w:rsidR="005E4D25">
        <w:t xml:space="preserve">redefine the term “non-attainment area” as recommended by SoCalGas, such that our adopted definition is: </w:t>
      </w:r>
    </w:p>
    <w:p w:rsidR="005E4D25" w:rsidP="00AE4B94" w:rsidRDefault="006C7C1D" w14:paraId="1C9D6A62" w14:textId="785A1B0F">
      <w:pPr>
        <w:pStyle w:val="BlockQuote"/>
        <w:ind w:right="1440"/>
      </w:pPr>
      <w:r w:rsidRPr="00854B1D">
        <w:t xml:space="preserve">for any air pollutant, an area which is designated </w:t>
      </w:r>
      <w:r>
        <w:t>“</w:t>
      </w:r>
      <w:r w:rsidRPr="00854B1D">
        <w:t>nonattainment</w:t>
      </w:r>
      <w:r>
        <w:t>”</w:t>
      </w:r>
      <w:r w:rsidRPr="00854B1D">
        <w:t xml:space="preserve"> with respect to that pollutant within the meaning of </w:t>
      </w:r>
      <w:r w:rsidR="00FD0338">
        <w:t>S</w:t>
      </w:r>
      <w:r w:rsidRPr="00854B1D">
        <w:t>ection 7407(d) of the Clean Air Act (CAA). CAA</w:t>
      </w:r>
      <w:r w:rsidR="00396C24">
        <w:t> </w:t>
      </w:r>
      <w:r w:rsidRPr="00854B1D">
        <w:t>Section 7501(2).</w:t>
      </w:r>
    </w:p>
    <w:p w:rsidR="00851DCB" w:rsidP="00AE4B94" w:rsidRDefault="000E2F48" w14:paraId="32313936" w14:textId="77777777">
      <w:pPr>
        <w:pStyle w:val="Standard"/>
      </w:pPr>
      <w:r>
        <w:t>We clarify the definition of “s</w:t>
      </w:r>
      <w:r w:rsidRPr="000E2F48">
        <w:t>evere and extreme non-attainment areas</w:t>
      </w:r>
      <w:r w:rsidR="009A2715">
        <w:t xml:space="preserve">” so that our adopted definition reads: </w:t>
      </w:r>
    </w:p>
    <w:p w:rsidR="000E2F48" w:rsidP="00AE4B94" w:rsidRDefault="009A2715" w14:paraId="1B25CC65" w14:textId="22ABCA8A">
      <w:pPr>
        <w:pStyle w:val="BlockQuote"/>
        <w:ind w:right="1440"/>
      </w:pPr>
      <w:r>
        <w:t>n</w:t>
      </w:r>
      <w:r w:rsidRPr="000E2F48" w:rsidR="000E2F48">
        <w:t xml:space="preserve">on-attainment areas designated as </w:t>
      </w:r>
      <w:r w:rsidR="00716198">
        <w:t xml:space="preserve">“serious,” </w:t>
      </w:r>
      <w:r w:rsidRPr="000E2F48" w:rsidR="000E2F48">
        <w:t>“severe” or “extreme” by the US EPA in the “Green Book” of National Ambient Air Quality Standards (NAAQS) based on the area’s design value for a specific criteria pollutant type.</w:t>
      </w:r>
    </w:p>
    <w:p w:rsidR="00271C4F" w:rsidP="00271C4F" w:rsidRDefault="002225F8" w14:paraId="57A3AFDF" w14:textId="2EF89A79">
      <w:pPr>
        <w:pStyle w:val="Standard"/>
      </w:pPr>
      <w:r>
        <w:t>W</w:t>
      </w:r>
      <w:r w:rsidR="00271C4F">
        <w:t xml:space="preserve">e do not modify </w:t>
      </w:r>
      <w:r w:rsidR="000852E2">
        <w:t xml:space="preserve">the definition of </w:t>
      </w:r>
      <w:r w:rsidR="00271C4F">
        <w:t>sensitive receptors in response to SoCalGas’s comments.  The phrase we adopt</w:t>
      </w:r>
      <w:r w:rsidR="000852E2">
        <w:t xml:space="preserve"> in </w:t>
      </w:r>
      <w:r w:rsidR="00FD0338">
        <w:t>S</w:t>
      </w:r>
      <w:r w:rsidR="000852E2">
        <w:t xml:space="preserve">ection </w:t>
      </w:r>
      <w:r w:rsidRPr="00500B76" w:rsidR="000852E2">
        <w:t>7.3</w:t>
      </w:r>
      <w:r w:rsidRPr="0022765C" w:rsidR="00271C4F">
        <w:t xml:space="preserve"> originates</w:t>
      </w:r>
      <w:r w:rsidR="00271C4F">
        <w:t xml:space="preserve"> with Pub. Util. Code Section 1103(b), which pertains to CPCN requirements for gas</w:t>
      </w:r>
      <w:r w:rsidR="00396C24">
        <w:t> </w:t>
      </w:r>
      <w:r w:rsidR="00271C4F">
        <w:t>storage facilities</w:t>
      </w:r>
      <w:r>
        <w:t xml:space="preserve">, and </w:t>
      </w:r>
      <w:r w:rsidR="00271C4F">
        <w:t>is appropriate for use here.</w:t>
      </w:r>
      <w:r w:rsidR="00C06074">
        <w:t xml:space="preserve">  The definition of sensitive receptors in the Commission’s PEA guidelines</w:t>
      </w:r>
      <w:r w:rsidR="00262044">
        <w:t>, referencing the California Health and Safety Code, is more general</w:t>
      </w:r>
      <w:r>
        <w:t>, and we decline to change the definition to this usage</w:t>
      </w:r>
      <w:r w:rsidR="00262044">
        <w:t xml:space="preserve">. </w:t>
      </w:r>
    </w:p>
    <w:p w:rsidRPr="004A7396" w:rsidR="002B6915" w:rsidP="002B6915" w:rsidRDefault="002B6915" w14:paraId="2CF693A3" w14:textId="179C0955">
      <w:pPr>
        <w:pStyle w:val="Standard"/>
      </w:pPr>
      <w:r>
        <w:t xml:space="preserve">These are reasonable </w:t>
      </w:r>
      <w:r w:rsidR="00686B98">
        <w:t xml:space="preserve">modifications that add clarity and will assist in the efficient and beneficial implementation of the </w:t>
      </w:r>
      <w:r w:rsidR="005459A7">
        <w:t>GO</w:t>
      </w:r>
      <w:r w:rsidR="00686B98">
        <w:t xml:space="preserve">. </w:t>
      </w:r>
    </w:p>
    <w:p w:rsidR="002A7CFD" w:rsidP="0009044A" w:rsidRDefault="002A7CFD" w14:paraId="0787484F" w14:textId="124ADFCA">
      <w:pPr>
        <w:pStyle w:val="Heading1"/>
      </w:pPr>
      <w:bookmarkStart w:name="_Toc120692877" w:id="122"/>
      <w:r>
        <w:t>Ad</w:t>
      </w:r>
      <w:r w:rsidR="000F1961">
        <w:t>opti</w:t>
      </w:r>
      <w:r w:rsidR="00AC0D74">
        <w:t>ng A</w:t>
      </w:r>
      <w:r w:rsidR="000F1961">
        <w:t xml:space="preserve">ll Other </w:t>
      </w:r>
      <w:r w:rsidR="005459A7">
        <w:t>GO</w:t>
      </w:r>
      <w:r w:rsidR="000F1961">
        <w:t xml:space="preserve"> Sections as Proposed by Staff or With Minor Modifications</w:t>
      </w:r>
      <w:bookmarkEnd w:id="122"/>
      <w:r>
        <w:t xml:space="preserve"> </w:t>
      </w:r>
    </w:p>
    <w:p w:rsidRPr="002A7CFD" w:rsidR="002A7CFD" w:rsidP="002A7CFD" w:rsidRDefault="00065816" w14:paraId="2C2AC9B1" w14:textId="6C24CC4E">
      <w:pPr>
        <w:pStyle w:val="Standard"/>
      </w:pPr>
      <w:r w:rsidRPr="0030497B">
        <w:t>Parties generally did not file comments concerning Section I</w:t>
      </w:r>
      <w:r w:rsidRPr="0030497B" w:rsidR="001E03D8">
        <w:t xml:space="preserve"> (General), </w:t>
      </w:r>
      <w:r w:rsidRPr="0030497B" w:rsidR="0075686A">
        <w:t>Section VII (Complaints and Preemption of Local Authority), Section VI</w:t>
      </w:r>
      <w:r w:rsidR="006912CA">
        <w:t>I</w:t>
      </w:r>
      <w:r w:rsidRPr="0030497B" w:rsidR="0075686A">
        <w:t xml:space="preserve">I (Review of Gas Infrastructure Projects by Other State or Federal Agencies), </w:t>
      </w:r>
      <w:r w:rsidRPr="0030497B" w:rsidR="0030497B">
        <w:t xml:space="preserve">or </w:t>
      </w:r>
      <w:r w:rsidRPr="0030497B" w:rsidR="009B5716">
        <w:t>Section IV (CEQA Compliance)</w:t>
      </w:r>
      <w:r w:rsidRPr="0030497B" w:rsidR="0030497B">
        <w:t xml:space="preserve">. </w:t>
      </w:r>
      <w:r w:rsidR="0030497B">
        <w:t xml:space="preserve"> These sections are reasonable and are adopted in full or with minor modifications to provide clarity. </w:t>
      </w:r>
    </w:p>
    <w:p w:rsidR="005939A5" w:rsidP="0009044A" w:rsidRDefault="005A3802" w14:paraId="781DF3CD" w14:textId="445B2036">
      <w:pPr>
        <w:pStyle w:val="Heading1"/>
      </w:pPr>
      <w:bookmarkStart w:name="_Toc120692878" w:id="123"/>
      <w:r>
        <w:lastRenderedPageBreak/>
        <w:t>C</w:t>
      </w:r>
      <w:r w:rsidR="005939A5">
        <w:t xml:space="preserve">omments on </w:t>
      </w:r>
      <w:r w:rsidRPr="00DF5253" w:rsidR="005939A5">
        <w:t>Proposed</w:t>
      </w:r>
      <w:r w:rsidR="005939A5">
        <w:t xml:space="preserve"> Decision</w:t>
      </w:r>
      <w:bookmarkEnd w:id="14"/>
      <w:bookmarkEnd w:id="123"/>
    </w:p>
    <w:p w:rsidR="005939A5" w:rsidP="005C58FA" w:rsidRDefault="005C58FA" w14:paraId="2CFC075C" w14:textId="43CC0755">
      <w:pPr>
        <w:pStyle w:val="Standard"/>
      </w:pPr>
      <w:r w:rsidRPr="00D2091C">
        <w:t>The proposed decision of ALJ</w:t>
      </w:r>
      <w:r w:rsidRPr="00D2091C" w:rsidR="00D2091C">
        <w:t xml:space="preserve"> Cathleen A. Fogel </w:t>
      </w:r>
      <w:r w:rsidRPr="00D2091C">
        <w:t>in this matter</w:t>
      </w:r>
      <w:r>
        <w:t xml:space="preserve"> was mailed to the parties in accordance with Section 311 of the Public Utilities Code and comments were allowed under Rule 14.3 of the Commission’s Rules of Practice and Procedure.  </w:t>
      </w:r>
      <w:r w:rsidR="00AB0427">
        <w:t xml:space="preserve">On November 15, 2022, </w:t>
      </w:r>
      <w:r w:rsidR="00A752AB">
        <w:t>CVGS, SoCalGas, SDG&amp;E, EDF, Southwest, PG&amp;E, Indicated Shippers</w:t>
      </w:r>
      <w:r w:rsidR="00BB3515">
        <w:t xml:space="preserve">, UCAN, </w:t>
      </w:r>
      <w:proofErr w:type="spellStart"/>
      <w:r w:rsidR="00BB3515">
        <w:t>CforAT</w:t>
      </w:r>
      <w:proofErr w:type="spellEnd"/>
      <w:r w:rsidR="00BB3515">
        <w:t xml:space="preserve">, and Sierra Club/CEJA/RMI filed </w:t>
      </w:r>
      <w:r w:rsidR="0016681A">
        <w:t xml:space="preserve">opening </w:t>
      </w:r>
      <w:r w:rsidR="00BB3515">
        <w:t xml:space="preserve">comments.  On November </w:t>
      </w:r>
      <w:r w:rsidR="0016681A">
        <w:t xml:space="preserve">21, </w:t>
      </w:r>
      <w:r w:rsidR="00826F2C">
        <w:t xml:space="preserve">2022, </w:t>
      </w:r>
      <w:r w:rsidR="009667DC">
        <w:t>NRDC/</w:t>
      </w:r>
      <w:r w:rsidR="001D7D09">
        <w:t xml:space="preserve">Sierra Club/CEJA, PG&amp;E, SoCalGas, EDF, UCAN, and SDG&amp;E </w:t>
      </w:r>
      <w:r w:rsidR="0016681A">
        <w:t xml:space="preserve">filed </w:t>
      </w:r>
      <w:r>
        <w:t>reply comments.</w:t>
      </w:r>
      <w:r w:rsidRPr="00C878D5" w:rsidR="00C878D5">
        <w:t xml:space="preserve"> </w:t>
      </w:r>
    </w:p>
    <w:p w:rsidR="00971F6E" w:rsidP="005C58FA" w:rsidRDefault="001D7D09" w14:paraId="76F22F90" w14:textId="52E7E87C">
      <w:pPr>
        <w:pStyle w:val="Standard"/>
      </w:pPr>
      <w:r>
        <w:t xml:space="preserve">The final decision contains revisions based on party comments on the proposed decision in </w:t>
      </w:r>
      <w:r w:rsidR="00971F6E">
        <w:t xml:space="preserve">the Summary </w:t>
      </w:r>
      <w:r w:rsidR="001E78AB">
        <w:t xml:space="preserve">section, </w:t>
      </w:r>
      <w:r w:rsidR="00971F6E">
        <w:t xml:space="preserve">in </w:t>
      </w:r>
      <w:r w:rsidRPr="001E78AB" w:rsidR="001E78AB">
        <w:t xml:space="preserve">sections 7.2.1, 7.3, 8.2, 8.3, 10.2, 10.3, 11.2, 11.3, 12.7.2, 12.7.3, 14.3, 15.3, </w:t>
      </w:r>
      <w:r w:rsidR="00BE4636">
        <w:t xml:space="preserve">15.4, </w:t>
      </w:r>
      <w:r w:rsidRPr="001E78AB" w:rsidR="001E78AB">
        <w:t>16.2, 16.3, 17.3</w:t>
      </w:r>
      <w:r w:rsidR="001E78AB">
        <w:t xml:space="preserve">., </w:t>
      </w:r>
      <w:r w:rsidR="00003F9B">
        <w:t xml:space="preserve">in several Findings of Fact, Conclusions of Law, and Ordering Paragraphs, and in the GO contained in Appendix A. </w:t>
      </w:r>
    </w:p>
    <w:p w:rsidR="005939A5" w:rsidP="0009044A" w:rsidRDefault="005939A5" w14:paraId="5BB31C80" w14:textId="0A802A1D">
      <w:pPr>
        <w:pStyle w:val="Heading1"/>
      </w:pPr>
      <w:bookmarkStart w:name="_Toc8123724" w:id="124"/>
      <w:bookmarkStart w:name="_Toc120692879" w:id="125"/>
      <w:r w:rsidRPr="00DF5253">
        <w:t>Assignment</w:t>
      </w:r>
      <w:r>
        <w:t xml:space="preserve"> of Proceeding</w:t>
      </w:r>
      <w:bookmarkEnd w:id="124"/>
      <w:bookmarkEnd w:id="125"/>
    </w:p>
    <w:p w:rsidR="005939A5" w:rsidP="006E6574" w:rsidRDefault="00D2091C" w14:paraId="015950AB" w14:textId="0D02D55F">
      <w:pPr>
        <w:pStyle w:val="Standard"/>
      </w:pPr>
      <w:r>
        <w:t xml:space="preserve">Clifford Rechtschaffen </w:t>
      </w:r>
      <w:r w:rsidR="005939A5">
        <w:t xml:space="preserve">is the assigned Commissioner and </w:t>
      </w:r>
      <w:r>
        <w:t>Cathleen</w:t>
      </w:r>
      <w:r w:rsidR="00AE4B94">
        <w:t> </w:t>
      </w:r>
      <w:r>
        <w:t>A.</w:t>
      </w:r>
      <w:r w:rsidR="00AE4B94">
        <w:t> </w:t>
      </w:r>
      <w:r>
        <w:t xml:space="preserve">Fogel </w:t>
      </w:r>
      <w:r w:rsidR="005939A5">
        <w:t xml:space="preserve">is the assigned </w:t>
      </w:r>
      <w:r w:rsidR="00FE3E6D">
        <w:t>ALJ</w:t>
      </w:r>
      <w:r w:rsidR="005939A5">
        <w:t xml:space="preserve"> in this proceeding.</w:t>
      </w:r>
    </w:p>
    <w:p w:rsidR="005939A5" w:rsidP="005939A5" w:rsidRDefault="005939A5" w14:paraId="5A784E64" w14:textId="77777777">
      <w:pPr>
        <w:pStyle w:val="Dummy"/>
      </w:pPr>
      <w:bookmarkStart w:name="_Toc8123725" w:id="126"/>
      <w:bookmarkStart w:name="_Toc120692880" w:id="127"/>
      <w:r>
        <w:t>Findings of Fact</w:t>
      </w:r>
      <w:bookmarkEnd w:id="126"/>
      <w:bookmarkEnd w:id="127"/>
    </w:p>
    <w:p w:rsidR="00AE129D" w:rsidP="00AE4B94" w:rsidRDefault="003D05DF" w14:paraId="671F9AC9" w14:textId="0FD49E35">
      <w:pPr>
        <w:pStyle w:val="FoF"/>
        <w:numPr>
          <w:ilvl w:val="0"/>
          <w:numId w:val="62"/>
        </w:numPr>
        <w:ind w:left="0" w:firstLine="360"/>
      </w:pPr>
      <w:r>
        <w:t xml:space="preserve">Utility-served statewide natural gas consumption is projected to decrease at an annual average rate of 1.1 percent per year through 2035. </w:t>
      </w:r>
      <w:r w:rsidR="00AE129D">
        <w:t xml:space="preserve"> </w:t>
      </w:r>
    </w:p>
    <w:p w:rsidR="00F218C9" w:rsidP="00AE4B94" w:rsidRDefault="007E5AE3" w14:paraId="503AC8BC" w14:textId="3F77100E">
      <w:pPr>
        <w:pStyle w:val="FoF"/>
        <w:numPr>
          <w:ilvl w:val="0"/>
          <w:numId w:val="62"/>
        </w:numPr>
        <w:ind w:left="0" w:firstLine="360"/>
      </w:pPr>
      <w:r>
        <w:t>D</w:t>
      </w:r>
      <w:r w:rsidRPr="007E5AE3">
        <w:t xml:space="preserve">eclining </w:t>
      </w:r>
      <w:r>
        <w:t xml:space="preserve">gas consumption </w:t>
      </w:r>
      <w:r w:rsidRPr="007E5AE3">
        <w:t xml:space="preserve">means there may be less need for large </w:t>
      </w:r>
      <w:r w:rsidR="00F54DBC">
        <w:t xml:space="preserve">natural gas </w:t>
      </w:r>
      <w:r w:rsidRPr="007E5AE3">
        <w:t>infrastructure projects in the future</w:t>
      </w:r>
      <w:r w:rsidR="00F218C9">
        <w:t>.</w:t>
      </w:r>
    </w:p>
    <w:p w:rsidR="00A93693" w:rsidP="00AE4B94" w:rsidRDefault="00F218C9" w14:paraId="0A9CAABB" w14:textId="709DF704">
      <w:pPr>
        <w:pStyle w:val="FoF"/>
        <w:numPr>
          <w:ilvl w:val="0"/>
          <w:numId w:val="62"/>
        </w:numPr>
        <w:ind w:left="0" w:firstLine="360"/>
      </w:pPr>
      <w:r>
        <w:t>Declining gas consumption suggests there may be a</w:t>
      </w:r>
      <w:r w:rsidR="00DE30A4">
        <w:t xml:space="preserve"> </w:t>
      </w:r>
      <w:r w:rsidRPr="007E5AE3" w:rsidR="007E5AE3">
        <w:t xml:space="preserve">declining customer base across which to distribute the costs of existing and any new infrastructure.  </w:t>
      </w:r>
    </w:p>
    <w:p w:rsidR="00D803F6" w:rsidP="00AE4B94" w:rsidRDefault="00D803F6" w14:paraId="057984BF" w14:textId="55795F13">
      <w:pPr>
        <w:pStyle w:val="FoF"/>
        <w:numPr>
          <w:ilvl w:val="0"/>
          <w:numId w:val="62"/>
        </w:numPr>
        <w:ind w:left="0" w:firstLine="360"/>
      </w:pPr>
      <w:r>
        <w:t xml:space="preserve">If a given </w:t>
      </w:r>
      <w:r w:rsidR="00A3103D">
        <w:t xml:space="preserve">gas infrastructure </w:t>
      </w:r>
      <w:r>
        <w:t xml:space="preserve">facility is not necessary over its estimated useful life, </w:t>
      </w:r>
      <w:r w:rsidR="00A3103D">
        <w:t xml:space="preserve">it </w:t>
      </w:r>
      <w:r>
        <w:t xml:space="preserve">could become a stranded asset, imposing costs but limited benefits </w:t>
      </w:r>
      <w:r>
        <w:lastRenderedPageBreak/>
        <w:t>to a declining pool of</w:t>
      </w:r>
      <w:r w:rsidR="00752A58">
        <w:t xml:space="preserve"> </w:t>
      </w:r>
      <w:r>
        <w:t>ratepayers</w:t>
      </w:r>
      <w:r w:rsidR="00752A58">
        <w:t xml:space="preserve">, </w:t>
      </w:r>
      <w:r w:rsidR="00C1165C">
        <w:t xml:space="preserve">and </w:t>
      </w:r>
      <w:r w:rsidR="00AB21BA">
        <w:t>increasing the cost burden on individual ratepayers</w:t>
      </w:r>
      <w:r>
        <w:t xml:space="preserve">.  </w:t>
      </w:r>
    </w:p>
    <w:p w:rsidR="008B7084" w:rsidP="00AE4B94" w:rsidRDefault="006957CE" w14:paraId="66804355" w14:textId="178D93E3">
      <w:pPr>
        <w:pStyle w:val="FoF"/>
        <w:numPr>
          <w:ilvl w:val="0"/>
          <w:numId w:val="62"/>
        </w:numPr>
        <w:ind w:left="0" w:firstLine="360"/>
      </w:pPr>
      <w:r>
        <w:t xml:space="preserve">Recent controversies </w:t>
      </w:r>
      <w:r w:rsidR="00F022FB">
        <w:t>and the</w:t>
      </w:r>
      <w:r w:rsidR="008B7084">
        <w:t xml:space="preserve"> Commission’s ESJ Action Plan </w:t>
      </w:r>
      <w:r w:rsidR="00D7592F">
        <w:t>underscore the need for public participation opportunities</w:t>
      </w:r>
      <w:r w:rsidR="00F022FB">
        <w:t xml:space="preserve"> regarding gas infrastructure projects</w:t>
      </w:r>
      <w:r w:rsidR="003D135C">
        <w:t>.</w:t>
      </w:r>
    </w:p>
    <w:p w:rsidR="00E66837" w:rsidP="00AE4B94" w:rsidRDefault="006159B5" w14:paraId="522E4C05" w14:textId="36667C67">
      <w:pPr>
        <w:pStyle w:val="FoF"/>
        <w:numPr>
          <w:ilvl w:val="0"/>
          <w:numId w:val="62"/>
        </w:numPr>
        <w:ind w:left="0" w:firstLine="360"/>
      </w:pPr>
      <w:r>
        <w:t>The Commission has not previously required permit or CPCN applications for gas infrastructure</w:t>
      </w:r>
      <w:r w:rsidR="00B31D2B">
        <w:t xml:space="preserve"> and has </w:t>
      </w:r>
      <w:r w:rsidRPr="00B31D2B" w:rsidR="00B31D2B">
        <w:t>conducted relatively few CEQA reviews of gas infrastructure projects</w:t>
      </w:r>
      <w:r w:rsidR="004F57C8">
        <w:t>.</w:t>
      </w:r>
    </w:p>
    <w:p w:rsidR="00933A68" w:rsidP="00AE4B94" w:rsidRDefault="00933A68" w14:paraId="7D57EEDC" w14:textId="5E9BC69C">
      <w:pPr>
        <w:pStyle w:val="FoF"/>
        <w:numPr>
          <w:ilvl w:val="0"/>
          <w:numId w:val="62"/>
        </w:numPr>
        <w:ind w:left="0" w:firstLine="360"/>
      </w:pPr>
      <w:r>
        <w:t xml:space="preserve">Establishing a gas infrastructure </w:t>
      </w:r>
      <w:r w:rsidR="005459A7">
        <w:t>GO</w:t>
      </w:r>
      <w:r>
        <w:t xml:space="preserve"> will </w:t>
      </w:r>
      <w:r w:rsidR="009C4B37">
        <w:t xml:space="preserve">allow </w:t>
      </w:r>
      <w:r w:rsidR="00ED1621">
        <w:t xml:space="preserve">the </w:t>
      </w:r>
      <w:r>
        <w:t>Commission</w:t>
      </w:r>
      <w:r w:rsidR="00ED1621">
        <w:t xml:space="preserve"> to exercise</w:t>
      </w:r>
      <w:r w:rsidR="00F022FB">
        <w:t xml:space="preserve"> </w:t>
      </w:r>
      <w:r w:rsidR="000425E7">
        <w:t>discretionary approval</w:t>
      </w:r>
      <w:r>
        <w:t xml:space="preserve"> </w:t>
      </w:r>
      <w:r w:rsidR="00ED1621">
        <w:t>authority over certain gas infrastructure</w:t>
      </w:r>
      <w:r w:rsidR="006C0ED6">
        <w:t>.</w:t>
      </w:r>
    </w:p>
    <w:p w:rsidR="00897BD4" w:rsidP="00AE4B94" w:rsidRDefault="000425E7" w14:paraId="7CA2BA7C" w14:textId="25808497">
      <w:pPr>
        <w:pStyle w:val="FoF"/>
        <w:numPr>
          <w:ilvl w:val="0"/>
          <w:numId w:val="62"/>
        </w:numPr>
        <w:ind w:left="0" w:firstLine="360"/>
      </w:pPr>
      <w:r>
        <w:t>A gas infrastructure</w:t>
      </w:r>
      <w:r w:rsidR="00A3103D">
        <w:t xml:space="preserve"> </w:t>
      </w:r>
      <w:r w:rsidR="005459A7">
        <w:t>GO</w:t>
      </w:r>
      <w:r w:rsidR="00897BD4">
        <w:t xml:space="preserve"> is responsive to: </w:t>
      </w:r>
    </w:p>
    <w:p w:rsidRPr="00DF5253" w:rsidR="00592A75" w:rsidP="0009044A" w:rsidRDefault="00592A75" w14:paraId="0CF7BED8" w14:textId="00AE87E4">
      <w:pPr>
        <w:pStyle w:val="ListAlpha"/>
        <w:ind w:right="1440"/>
      </w:pPr>
      <w:r w:rsidRPr="00DF5253">
        <w:t xml:space="preserve">the requirements of </w:t>
      </w:r>
      <w:r w:rsidRPr="00DF5253" w:rsidR="004C4899">
        <w:t>CEQA</w:t>
      </w:r>
      <w:r w:rsidRPr="00DF5253">
        <w:t>;</w:t>
      </w:r>
    </w:p>
    <w:p w:rsidRPr="00DF5253" w:rsidR="00592A75" w:rsidP="0009044A" w:rsidRDefault="00592A75" w14:paraId="17612582" w14:textId="77777777">
      <w:pPr>
        <w:pStyle w:val="ListAlpha"/>
        <w:ind w:right="1440"/>
      </w:pPr>
      <w:r w:rsidRPr="00DF5253">
        <w:t>the need for public notice and the opportunity for affected parties and members of the public to be heard by the Commission;</w:t>
      </w:r>
    </w:p>
    <w:p w:rsidRPr="00DF5253" w:rsidR="00592A75" w:rsidP="0009044A" w:rsidRDefault="00592A75" w14:paraId="04E8B92F" w14:textId="77777777">
      <w:pPr>
        <w:pStyle w:val="ListAlpha"/>
        <w:ind w:right="1440"/>
      </w:pPr>
      <w:r w:rsidRPr="00DF5253">
        <w:t xml:space="preserve">the obligation of the utilities to serve their customers in a timely and efficient manner; and </w:t>
      </w:r>
    </w:p>
    <w:p w:rsidRPr="00DF5253" w:rsidR="00F62B7A" w:rsidP="0009044A" w:rsidRDefault="00592A75" w14:paraId="54643ADA" w14:textId="66B32479">
      <w:pPr>
        <w:pStyle w:val="ListAlpha"/>
        <w:ind w:right="1440"/>
      </w:pPr>
      <w:r w:rsidRPr="00DF5253">
        <w:t>the need to review significant investments in gas infrastructure for consistency with California’s long-term greenhouse gas emission reductio</w:t>
      </w:r>
      <w:r w:rsidRPr="00DF5253" w:rsidR="00503687">
        <w:t>n</w:t>
      </w:r>
      <w:r w:rsidRPr="00DF5253" w:rsidR="00D55C9A">
        <w:t xml:space="preserve">, air quality, equity, </w:t>
      </w:r>
      <w:r w:rsidRPr="00DF5253">
        <w:t>safety and reliability goals.</w:t>
      </w:r>
    </w:p>
    <w:p w:rsidR="00557731" w:rsidP="00AE4B94" w:rsidRDefault="00557731" w14:paraId="755F5355" w14:textId="39A26D35">
      <w:pPr>
        <w:pStyle w:val="FoF"/>
        <w:numPr>
          <w:ilvl w:val="0"/>
          <w:numId w:val="62"/>
        </w:numPr>
        <w:ind w:left="0" w:firstLine="360"/>
      </w:pPr>
      <w:r>
        <w:t>T</w:t>
      </w:r>
      <w:r w:rsidRPr="00557731">
        <w:t xml:space="preserve">he CPCN application requirements we adopt here both initiate and are distinct from Commission CEQA review of a project.  </w:t>
      </w:r>
    </w:p>
    <w:p w:rsidR="00FB11EF" w:rsidP="00AE4B94" w:rsidRDefault="00FB11EF" w14:paraId="5AB5999B" w14:textId="48F5C35C">
      <w:pPr>
        <w:pStyle w:val="FoF"/>
        <w:numPr>
          <w:ilvl w:val="0"/>
          <w:numId w:val="62"/>
        </w:numPr>
        <w:ind w:left="0" w:firstLine="360"/>
      </w:pPr>
      <w:r>
        <w:t xml:space="preserve">Stakeholders and local communities will have the opportunity to review and comment on proposed gas infrastructure projects subject to a CPCN application requirement </w:t>
      </w:r>
      <w:r w:rsidR="00375493">
        <w:t xml:space="preserve">pursuant to </w:t>
      </w:r>
      <w:r>
        <w:t>this decision during both the application review process and the accompanying CEQA review process.</w:t>
      </w:r>
      <w:r w:rsidR="002225F8">
        <w:t xml:space="preserve">  Section VI(A)(7)(b) of the adopted GO</w:t>
      </w:r>
      <w:r w:rsidR="00B317C3">
        <w:t xml:space="preserve"> </w:t>
      </w:r>
      <w:r w:rsidR="002225F8">
        <w:t xml:space="preserve">requires gas corporations to </w:t>
      </w:r>
      <w:r w:rsidR="00B317C3">
        <w:t xml:space="preserve">undertake outreach to and </w:t>
      </w:r>
      <w:r w:rsidRPr="002225F8" w:rsidR="002225F8">
        <w:lastRenderedPageBreak/>
        <w:t>engagement with local communities likely to be impacted by proposed project</w:t>
      </w:r>
      <w:r w:rsidR="002225F8">
        <w:t>s</w:t>
      </w:r>
      <w:r w:rsidR="00B317C3">
        <w:t xml:space="preserve"> </w:t>
      </w:r>
      <w:r w:rsidRPr="002225F8" w:rsidR="00B317C3">
        <w:t>(including relevant community-based organizations</w:t>
      </w:r>
      <w:r w:rsidR="00B317C3">
        <w:t>) and to provide a summary of these activities in their CPCN applications</w:t>
      </w:r>
      <w:r w:rsidRPr="002225F8" w:rsidR="002225F8">
        <w:t xml:space="preserve">. </w:t>
      </w:r>
    </w:p>
    <w:p w:rsidR="00EE21FF" w:rsidP="00AE4B94" w:rsidRDefault="004E53C4" w14:paraId="1C96032C" w14:textId="178385EC">
      <w:pPr>
        <w:pStyle w:val="FoF"/>
        <w:numPr>
          <w:ilvl w:val="0"/>
          <w:numId w:val="62"/>
        </w:numPr>
        <w:ind w:left="0" w:firstLine="360"/>
      </w:pPr>
      <w:r w:rsidRPr="004E53C4">
        <w:t>A $75 million threshold for a CPCN application</w:t>
      </w:r>
      <w:r>
        <w:t xml:space="preserve"> under a new gas</w:t>
      </w:r>
      <w:r w:rsidR="00396C24">
        <w:t> </w:t>
      </w:r>
      <w:r>
        <w:t xml:space="preserve">infrastructure </w:t>
      </w:r>
      <w:r w:rsidR="005459A7">
        <w:t>GO</w:t>
      </w:r>
      <w:r>
        <w:t xml:space="preserve"> will</w:t>
      </w:r>
      <w:r w:rsidRPr="004E53C4">
        <w:t xml:space="preserve"> ensure </w:t>
      </w:r>
      <w:r w:rsidR="00B317C3">
        <w:t xml:space="preserve">Commission </w:t>
      </w:r>
      <w:r w:rsidRPr="004E53C4">
        <w:t xml:space="preserve">focus on the largest projects with the greatest </w:t>
      </w:r>
      <w:r w:rsidR="00D363A1">
        <w:t>potential</w:t>
      </w:r>
      <w:r w:rsidRPr="004E53C4">
        <w:t xml:space="preserve"> to create stranded assets </w:t>
      </w:r>
      <w:r w:rsidR="003C0F6C">
        <w:t xml:space="preserve">and </w:t>
      </w:r>
      <w:r w:rsidRPr="004E53C4">
        <w:t>environmental impacts.</w:t>
      </w:r>
    </w:p>
    <w:p w:rsidR="000D1178" w:rsidP="00AE4B94" w:rsidRDefault="00416D54" w14:paraId="1DEDE127" w14:textId="5C9FBDC0">
      <w:pPr>
        <w:pStyle w:val="FoF"/>
        <w:numPr>
          <w:ilvl w:val="0"/>
          <w:numId w:val="62"/>
        </w:numPr>
        <w:ind w:left="0" w:firstLine="360"/>
      </w:pPr>
      <w:r>
        <w:t>R</w:t>
      </w:r>
      <w:r w:rsidR="00891C36">
        <w:t>equir</w:t>
      </w:r>
      <w:r w:rsidR="00D5169C">
        <w:t>ing</w:t>
      </w:r>
      <w:r w:rsidR="00891C36">
        <w:t xml:space="preserve"> </w:t>
      </w:r>
      <w:r w:rsidRPr="00891C36" w:rsidR="00891C36">
        <w:t xml:space="preserve">gas utilities to </w:t>
      </w:r>
      <w:r w:rsidR="004F6F18">
        <w:t xml:space="preserve">use “fully loaded” cost estimates, </w:t>
      </w:r>
      <w:r w:rsidRPr="00891C36" w:rsidR="00891C36">
        <w:t>includ</w:t>
      </w:r>
      <w:r w:rsidR="004F6F18">
        <w:t>ing</w:t>
      </w:r>
      <w:r w:rsidRPr="00891C36" w:rsidR="00891C36">
        <w:t xml:space="preserve"> direct costs </w:t>
      </w:r>
      <w:r w:rsidR="00FF5B71">
        <w:t xml:space="preserve">and </w:t>
      </w:r>
      <w:r w:rsidR="00C43229">
        <w:t>indirect costs</w:t>
      </w:r>
      <w:r w:rsidR="004F6F18">
        <w:t>,</w:t>
      </w:r>
      <w:r w:rsidR="00C43229">
        <w:t xml:space="preserve"> </w:t>
      </w:r>
      <w:r w:rsidRPr="00891C36" w:rsidR="00891C36">
        <w:t>in their estimates</w:t>
      </w:r>
      <w:r w:rsidR="00FF5B71">
        <w:t xml:space="preserve"> of project costs</w:t>
      </w:r>
      <w:r w:rsidR="009C3169">
        <w:t>,</w:t>
      </w:r>
      <w:r w:rsidR="00FF5B71">
        <w:t xml:space="preserve"> for purposes of assessing if a project cost exceeds $75</w:t>
      </w:r>
      <w:r w:rsidR="00511713">
        <w:t> </w:t>
      </w:r>
      <w:r w:rsidR="00FF5B71">
        <w:t xml:space="preserve">million for purposes of a gas </w:t>
      </w:r>
      <w:r w:rsidR="005459A7">
        <w:t>GO</w:t>
      </w:r>
      <w:r w:rsidR="009C3169">
        <w:t>,</w:t>
      </w:r>
      <w:r>
        <w:t xml:space="preserve"> will help ensure that t</w:t>
      </w:r>
      <w:r w:rsidR="007941C9">
        <w:t>he full costs to ratepayers of the project and potential alternatives are considered</w:t>
      </w:r>
      <w:r w:rsidR="00FF5B71">
        <w:t xml:space="preserve">.  </w:t>
      </w:r>
    </w:p>
    <w:p w:rsidR="00B26AFD" w:rsidP="00CD72D6" w:rsidRDefault="00944A1C" w14:paraId="4BCE5944" w14:textId="48404FDE">
      <w:pPr>
        <w:pStyle w:val="FoF"/>
        <w:numPr>
          <w:ilvl w:val="0"/>
          <w:numId w:val="62"/>
        </w:numPr>
        <w:ind w:left="0" w:firstLine="360"/>
      </w:pPr>
      <w:r>
        <w:t xml:space="preserve">Requiring a CPCN application if </w:t>
      </w:r>
      <w:r w:rsidRPr="00B1026D" w:rsidR="00CD72D6">
        <w:t xml:space="preserve">(1) </w:t>
      </w:r>
      <w:r w:rsidR="00CD72D6">
        <w:t xml:space="preserve">a </w:t>
      </w:r>
      <w:r w:rsidRPr="00B1026D" w:rsidR="00CD72D6">
        <w:t xml:space="preserve">project is located within 1,000 feet of a sensitive receptor; and (2) operation of the completed project </w:t>
      </w:r>
      <w:r w:rsidRPr="00CD72D6" w:rsidR="00CD72D6">
        <w:t xml:space="preserve">by the gas corporation </w:t>
      </w:r>
      <w:r w:rsidRPr="00B1026D" w:rsidR="00CD72D6">
        <w:t>requires a permit from the relevant local air quality district for</w:t>
      </w:r>
      <w:r w:rsidR="00333A90">
        <w:t>:</w:t>
      </w:r>
      <w:r w:rsidRPr="00B1026D" w:rsidR="00CD72D6">
        <w:t xml:space="preserve"> (a) </w:t>
      </w:r>
      <w:r w:rsidR="00333A90">
        <w:t xml:space="preserve">an increase in levels of </w:t>
      </w:r>
      <w:r w:rsidRPr="00B1026D" w:rsidR="00CD72D6">
        <w:t>a toxic air contaminant</w:t>
      </w:r>
      <w:r w:rsidR="00333A90">
        <w:t xml:space="preserve"> (as defined in this decision)</w:t>
      </w:r>
      <w:r w:rsidRPr="00B1026D" w:rsidR="00CD72D6">
        <w:t xml:space="preserve">; or (b) </w:t>
      </w:r>
      <w:r w:rsidR="00333A90">
        <w:t xml:space="preserve">an increase in levels of </w:t>
      </w:r>
      <w:r w:rsidRPr="00B1026D" w:rsidR="00CD72D6">
        <w:t>a criteria air pollutant</w:t>
      </w:r>
      <w:r w:rsidRPr="00CD72D6" w:rsidR="00CD72D6">
        <w:t>,</w:t>
      </w:r>
      <w:r w:rsidRPr="00B1026D" w:rsidR="00CD72D6">
        <w:t xml:space="preserve"> if the area is listed as a serious, severe, or extreme non-attainment area for that pollutant</w:t>
      </w:r>
      <w:r w:rsidR="00784E2B">
        <w:t>,</w:t>
      </w:r>
      <w:r w:rsidR="00CD72D6">
        <w:t xml:space="preserve"> </w:t>
      </w:r>
      <w:r w:rsidR="0086717D">
        <w:t>will focus Commission review on those gas infrastructure projects most likely to have significant local air pollution impacts</w:t>
      </w:r>
      <w:r w:rsidR="00521898">
        <w:t xml:space="preserve">, including </w:t>
      </w:r>
      <w:r w:rsidR="00D8386B">
        <w:t xml:space="preserve">projects </w:t>
      </w:r>
      <w:r w:rsidR="00521898">
        <w:t xml:space="preserve">located </w:t>
      </w:r>
      <w:r w:rsidR="00D8386B">
        <w:t>in historically pollution-burdened communities</w:t>
      </w:r>
      <w:r w:rsidR="00B26AFD">
        <w:t xml:space="preserve">.  </w:t>
      </w:r>
    </w:p>
    <w:p w:rsidR="00850A21" w:rsidP="00AE4B94" w:rsidRDefault="00CB4CCE" w14:paraId="01A24169" w14:textId="6A9E801C">
      <w:pPr>
        <w:pStyle w:val="FoF"/>
        <w:numPr>
          <w:ilvl w:val="0"/>
          <w:numId w:val="62"/>
        </w:numPr>
        <w:ind w:left="0" w:firstLine="360"/>
      </w:pPr>
      <w:r>
        <w:t xml:space="preserve">Areas designated as a </w:t>
      </w:r>
      <w:r w:rsidR="00B317C3">
        <w:t>“</w:t>
      </w:r>
      <w:r>
        <w:t>serious</w:t>
      </w:r>
      <w:r w:rsidR="00B317C3">
        <w:t>”</w:t>
      </w:r>
      <w:r>
        <w:t xml:space="preserve"> non-attainment area for a particular pollutant are likely to disproportionally implicate ESJ communities as defined in our ESJ Action Plan. </w:t>
      </w:r>
    </w:p>
    <w:p w:rsidR="00BB61FF" w:rsidP="00AE4B94" w:rsidRDefault="00BB61FF" w14:paraId="516D1389" w14:textId="55D3AF81">
      <w:pPr>
        <w:pStyle w:val="FoF"/>
        <w:numPr>
          <w:ilvl w:val="0"/>
          <w:numId w:val="62"/>
        </w:numPr>
        <w:ind w:left="0" w:firstLine="360"/>
      </w:pPr>
      <w:r>
        <w:t xml:space="preserve">It is reasonable to </w:t>
      </w:r>
      <w:r w:rsidR="00A87CB8">
        <w:t xml:space="preserve">base </w:t>
      </w:r>
      <w:r w:rsidR="00F33789">
        <w:t xml:space="preserve">the criterion described in Finding of Fact </w:t>
      </w:r>
      <w:r w:rsidR="00C243F6">
        <w:t>1</w:t>
      </w:r>
      <w:r w:rsidR="001A1DF4">
        <w:t>3</w:t>
      </w:r>
      <w:r w:rsidR="00F33789">
        <w:t xml:space="preserve"> on criteria pollutants </w:t>
      </w:r>
      <w:r w:rsidRPr="00015D41" w:rsidR="00015D41">
        <w:t>for which there is an established National Ambient Air Quality Standard (40 C.F.R. Part 50)</w:t>
      </w:r>
      <w:r w:rsidR="00015D41">
        <w:t xml:space="preserve">, </w:t>
      </w:r>
      <w:r w:rsidR="0039257A">
        <w:t xml:space="preserve">and </w:t>
      </w:r>
      <w:r w:rsidR="0039328C">
        <w:t>to limit application of the criterion</w:t>
      </w:r>
      <w:r w:rsidR="00B5614B">
        <w:t xml:space="preserve">, for any air </w:t>
      </w:r>
      <w:r w:rsidR="00B5614B">
        <w:lastRenderedPageBreak/>
        <w:t>pollutant,</w:t>
      </w:r>
      <w:r w:rsidR="0039328C">
        <w:t xml:space="preserve"> to </w:t>
      </w:r>
      <w:r w:rsidR="00572F96">
        <w:t xml:space="preserve">any non-attainment area within the meaning of </w:t>
      </w:r>
      <w:r w:rsidR="00FD0338">
        <w:t>S</w:t>
      </w:r>
      <w:r w:rsidR="00572F96">
        <w:t xml:space="preserve">ection </w:t>
      </w:r>
      <w:r w:rsidRPr="00854B1D" w:rsidR="00B5614B">
        <w:t>7407(d) of the CAA Section 7501(2)</w:t>
      </w:r>
      <w:r w:rsidR="00B5614B">
        <w:t xml:space="preserve"> for that </w:t>
      </w:r>
      <w:r w:rsidR="0039328C">
        <w:t>air pollutant</w:t>
      </w:r>
      <w:r w:rsidR="0005241F">
        <w:t>, with “</w:t>
      </w:r>
      <w:r w:rsidR="0039257A">
        <w:t xml:space="preserve">serious,” </w:t>
      </w:r>
      <w:r w:rsidR="0005241F">
        <w:t xml:space="preserve">“severe” or “extreme” based on an area’s design value for a specific criteria pollutant in the US EPA’s Green Book of </w:t>
      </w:r>
      <w:r w:rsidRPr="004F3EF9" w:rsidR="0005241F">
        <w:t>NA</w:t>
      </w:r>
      <w:r w:rsidRPr="004F3EF9" w:rsidR="000C0ECF">
        <w:t>AQS.</w:t>
      </w:r>
      <w:r w:rsidR="000C0ECF">
        <w:t xml:space="preserve">  </w:t>
      </w:r>
    </w:p>
    <w:p w:rsidR="000D1178" w:rsidP="00AE4B94" w:rsidRDefault="00F342B5" w14:paraId="0946133B" w14:textId="1440B50A">
      <w:pPr>
        <w:pStyle w:val="FoF"/>
        <w:numPr>
          <w:ilvl w:val="0"/>
          <w:numId w:val="62"/>
        </w:numPr>
        <w:ind w:left="0" w:firstLine="360"/>
      </w:pPr>
      <w:r>
        <w:t xml:space="preserve">Including toxic air contaminants </w:t>
      </w:r>
      <w:r w:rsidR="009B298F">
        <w:t xml:space="preserve">in the criterion described in Finding of Fact </w:t>
      </w:r>
      <w:r w:rsidR="00712537">
        <w:t>1</w:t>
      </w:r>
      <w:r w:rsidR="001A1DF4">
        <w:t>3</w:t>
      </w:r>
      <w:r w:rsidR="009B298F">
        <w:t xml:space="preserve"> is </w:t>
      </w:r>
      <w:r w:rsidR="00CB1526">
        <w:t>reasonable because such pollutants may ca</w:t>
      </w:r>
      <w:r w:rsidR="00BA0F55">
        <w:t>u</w:t>
      </w:r>
      <w:r w:rsidR="00CB1526">
        <w:t xml:space="preserve">se or contribute to an increase in mortality or </w:t>
      </w:r>
      <w:r w:rsidR="009D3423">
        <w:t xml:space="preserve">an increase in serious illness, have been extensively reviewed by CARB, and are documented to cause significant human health impacts at a variety of exposure levels. </w:t>
      </w:r>
    </w:p>
    <w:p w:rsidR="00B12926" w:rsidP="00AE4B94" w:rsidRDefault="002B36E3" w14:paraId="6C9D45F6" w14:textId="77777777">
      <w:pPr>
        <w:pStyle w:val="FoF"/>
        <w:numPr>
          <w:ilvl w:val="0"/>
          <w:numId w:val="62"/>
        </w:numPr>
        <w:ind w:left="0" w:firstLine="360"/>
      </w:pPr>
      <w:r>
        <w:t xml:space="preserve">The appropriate locus of review of </w:t>
      </w:r>
      <w:r w:rsidRPr="00AA4221" w:rsidR="000C14DA">
        <w:t xml:space="preserve">localized noise, traffic, vibrations, </w:t>
      </w:r>
      <w:r w:rsidR="00D21077">
        <w:t xml:space="preserve">or </w:t>
      </w:r>
      <w:r w:rsidRPr="00AA4221" w:rsidR="000C14DA">
        <w:t>fugitive dust</w:t>
      </w:r>
      <w:r w:rsidR="00D21077">
        <w:t xml:space="preserve"> </w:t>
      </w:r>
      <w:r w:rsidRPr="00AA4221" w:rsidR="000C14DA">
        <w:t>effects on a neighborhood</w:t>
      </w:r>
      <w:r w:rsidR="00D21077">
        <w:t xml:space="preserve"> </w:t>
      </w:r>
      <w:r w:rsidR="00FC57D3">
        <w:t xml:space="preserve">associated with gas infrastructure projects </w:t>
      </w:r>
      <w:r w:rsidR="00D21077">
        <w:t>is with local agencies.</w:t>
      </w:r>
    </w:p>
    <w:p w:rsidR="004401FC" w:rsidP="00AE4B94" w:rsidRDefault="00DB1ACC" w14:paraId="2A56C885" w14:textId="3EED5B45">
      <w:pPr>
        <w:pStyle w:val="FoF"/>
        <w:numPr>
          <w:ilvl w:val="0"/>
          <w:numId w:val="62"/>
        </w:numPr>
        <w:ind w:left="0" w:firstLine="360"/>
      </w:pPr>
      <w:r>
        <w:t xml:space="preserve">Requiring gas </w:t>
      </w:r>
      <w:r w:rsidRPr="00B12926" w:rsidR="00B12926">
        <w:t xml:space="preserve">utilities </w:t>
      </w:r>
      <w:r>
        <w:t>to</w:t>
      </w:r>
      <w:r w:rsidRPr="00B12926" w:rsidR="00B12926">
        <w:t xml:space="preserve"> consult with local agencies regarding land use matters</w:t>
      </w:r>
      <w:r w:rsidR="00504155">
        <w:t xml:space="preserve"> involving gas infrastructure</w:t>
      </w:r>
      <w:r>
        <w:t xml:space="preserve"> </w:t>
      </w:r>
      <w:r w:rsidR="0009006D">
        <w:t>support</w:t>
      </w:r>
      <w:r w:rsidR="00504155">
        <w:t xml:space="preserve">s </w:t>
      </w:r>
      <w:r w:rsidR="0009006D">
        <w:t xml:space="preserve">resolution of </w:t>
      </w:r>
      <w:r w:rsidR="00607609">
        <w:t xml:space="preserve">conflicts </w:t>
      </w:r>
      <w:r w:rsidR="00504155">
        <w:t>between utilities and local agencies in a timely manner</w:t>
      </w:r>
      <w:r w:rsidR="004401FC">
        <w:t>.</w:t>
      </w:r>
    </w:p>
    <w:p w:rsidR="000D1178" w:rsidP="00AE4B94" w:rsidRDefault="00645321" w14:paraId="5531AD53" w14:textId="7E59D810">
      <w:pPr>
        <w:pStyle w:val="FoF"/>
        <w:numPr>
          <w:ilvl w:val="0"/>
          <w:numId w:val="62"/>
        </w:numPr>
        <w:ind w:left="0" w:firstLine="360"/>
      </w:pPr>
      <w:r>
        <w:t xml:space="preserve">Because </w:t>
      </w:r>
      <w:r w:rsidR="00B22044">
        <w:t>the Commission</w:t>
      </w:r>
      <w:r>
        <w:t xml:space="preserve"> has exclusive </w:t>
      </w:r>
      <w:r w:rsidR="00B22044">
        <w:t xml:space="preserve">jurisdiction over state gas </w:t>
      </w:r>
      <w:r>
        <w:t>infrastructure, i</w:t>
      </w:r>
      <w:r w:rsidR="004401FC">
        <w:t>n</w:t>
      </w:r>
      <w:r w:rsidRPr="00B12926" w:rsidR="004401FC">
        <w:t xml:space="preserve"> instances where the public utilities and local agencies are unable to resolve their differences, the local agency should promptly file a complaint with the Commission</w:t>
      </w:r>
      <w:r w:rsidR="004401FC">
        <w:t>.</w:t>
      </w:r>
    </w:p>
    <w:p w:rsidR="006912CA" w:rsidP="00AE4B94" w:rsidRDefault="00746701" w14:paraId="52307111" w14:textId="508967FE">
      <w:pPr>
        <w:pStyle w:val="FoF"/>
        <w:numPr>
          <w:ilvl w:val="0"/>
          <w:numId w:val="62"/>
        </w:numPr>
        <w:ind w:left="0" w:firstLine="360"/>
      </w:pPr>
      <w:r>
        <w:t xml:space="preserve">Defining a project for purposes of a gas </w:t>
      </w:r>
      <w:r w:rsidR="005459A7">
        <w:t>GO</w:t>
      </w:r>
      <w:r>
        <w:t xml:space="preserve"> as the </w:t>
      </w:r>
      <w:r w:rsidRPr="00746701">
        <w:t>“</w:t>
      </w:r>
      <w:r w:rsidRPr="00144DD5" w:rsidR="00144DD5">
        <w:t xml:space="preserve">construction or physical modification of any </w:t>
      </w:r>
      <w:r w:rsidR="00AD6013">
        <w:t xml:space="preserve">gas </w:t>
      </w:r>
      <w:r w:rsidRPr="00144DD5" w:rsidR="00144DD5">
        <w:t>plant</w:t>
      </w:r>
      <w:r w:rsidR="00AD6013">
        <w:t xml:space="preserve"> with independent utility in the gas system, including </w:t>
      </w:r>
      <w:r w:rsidRPr="00144DD5" w:rsidR="00144DD5">
        <w:t xml:space="preserve">compressor </w:t>
      </w:r>
      <w:r w:rsidR="00AD6013">
        <w:t xml:space="preserve">or regulator </w:t>
      </w:r>
      <w:r w:rsidRPr="00144DD5" w:rsidR="00144DD5">
        <w:t>station</w:t>
      </w:r>
      <w:r w:rsidR="00AD6013">
        <w:t>s</w:t>
      </w:r>
      <w:r w:rsidRPr="00144DD5" w:rsidR="00144DD5">
        <w:t xml:space="preserve">, </w:t>
      </w:r>
      <w:r w:rsidR="00AD6013">
        <w:t>any pipe</w:t>
      </w:r>
      <w:r w:rsidRPr="00144DD5" w:rsidR="00144DD5">
        <w:t>line or</w:t>
      </w:r>
      <w:r w:rsidR="00AD6013">
        <w:t xml:space="preserve"> pipeline</w:t>
      </w:r>
      <w:r w:rsidRPr="00144DD5" w:rsidR="00144DD5">
        <w:t xml:space="preserve"> extension, or </w:t>
      </w:r>
      <w:r w:rsidR="00AD6013">
        <w:t xml:space="preserve">any </w:t>
      </w:r>
      <w:r w:rsidRPr="00144DD5" w:rsidR="00144DD5">
        <w:t>expansion of an existing gas storage field</w:t>
      </w:r>
      <w:r>
        <w:t>” help</w:t>
      </w:r>
      <w:r w:rsidR="00B317C3">
        <w:t>s</w:t>
      </w:r>
      <w:r>
        <w:t xml:space="preserve"> </w:t>
      </w:r>
      <w:r w:rsidRPr="00746701">
        <w:t xml:space="preserve">ensure that </w:t>
      </w:r>
      <w:r w:rsidR="00417940">
        <w:t>gas corporations’</w:t>
      </w:r>
      <w:r w:rsidR="00D67AA9">
        <w:t xml:space="preserve"> proposed</w:t>
      </w:r>
      <w:r>
        <w:t xml:space="preserve"> </w:t>
      </w:r>
      <w:r w:rsidR="00B317C3">
        <w:t xml:space="preserve">projects address a single set of </w:t>
      </w:r>
      <w:r w:rsidRPr="00746701">
        <w:t xml:space="preserve">infrastructure modifications </w:t>
      </w:r>
      <w:r w:rsidR="00417940">
        <w:t>over time</w:t>
      </w:r>
      <w:r w:rsidRPr="00746701">
        <w:t xml:space="preserve">, regardless of the </w:t>
      </w:r>
      <w:r w:rsidR="00417940">
        <w:t>time period</w:t>
      </w:r>
      <w:r w:rsidRPr="00746701">
        <w:t xml:space="preserve"> over which the </w:t>
      </w:r>
      <w:r w:rsidR="00417940">
        <w:t>project</w:t>
      </w:r>
      <w:r w:rsidRPr="00746701">
        <w:t xml:space="preserve"> is </w:t>
      </w:r>
      <w:r w:rsidR="00417940">
        <w:t>implemented</w:t>
      </w:r>
      <w:r w:rsidR="006912CA">
        <w:t>.</w:t>
      </w:r>
    </w:p>
    <w:p w:rsidRPr="006912CA" w:rsidR="004F3EF9" w:rsidP="00F20BF5" w:rsidRDefault="006912CA" w14:paraId="7BA506E7" w14:textId="2FFA3861">
      <w:pPr>
        <w:pStyle w:val="FoF"/>
        <w:numPr>
          <w:ilvl w:val="0"/>
          <w:numId w:val="62"/>
        </w:numPr>
        <w:ind w:left="0" w:firstLine="360"/>
      </w:pPr>
      <w:r w:rsidRPr="006912CA">
        <w:lastRenderedPageBreak/>
        <w:t xml:space="preserve">This decision does not address whether hydrogen gas infrastructure projects </w:t>
      </w:r>
      <w:r w:rsidR="00A64307">
        <w:t xml:space="preserve">should be </w:t>
      </w:r>
      <w:r w:rsidRPr="006912CA">
        <w:t>covered by the adopted GO.</w:t>
      </w:r>
    </w:p>
    <w:p w:rsidR="00D11375" w:rsidP="00AE4B94" w:rsidRDefault="004A71AB" w14:paraId="32E28CE2" w14:textId="2D8AEC50">
      <w:pPr>
        <w:pStyle w:val="FoF"/>
        <w:numPr>
          <w:ilvl w:val="0"/>
          <w:numId w:val="62"/>
        </w:numPr>
        <w:ind w:left="0" w:firstLine="360"/>
      </w:pPr>
      <w:r>
        <w:t>T</w:t>
      </w:r>
      <w:r w:rsidR="00D11375">
        <w:t xml:space="preserve">his </w:t>
      </w:r>
      <w:r w:rsidR="005459A7">
        <w:t>GO</w:t>
      </w:r>
      <w:r w:rsidR="00D11375">
        <w:t xml:space="preserve"> </w:t>
      </w:r>
      <w:r w:rsidR="00CC27E1">
        <w:t>is</w:t>
      </w:r>
      <w:r w:rsidR="00D11375">
        <w:t xml:space="preserve"> </w:t>
      </w:r>
      <w:r>
        <w:t xml:space="preserve">intended to </w:t>
      </w:r>
      <w:r w:rsidR="00052371">
        <w:t>minimize potentially inappropriate</w:t>
      </w:r>
      <w:r w:rsidR="0017518A">
        <w:t xml:space="preserve"> </w:t>
      </w:r>
      <w:r w:rsidR="00052371">
        <w:t xml:space="preserve">exemption claims while </w:t>
      </w:r>
      <w:r w:rsidR="00D11375">
        <w:t>not imped</w:t>
      </w:r>
      <w:r w:rsidR="00052371">
        <w:t>ing</w:t>
      </w:r>
      <w:r w:rsidR="00D11375">
        <w:t xml:space="preserve"> rapid implementation of gas infrastructure repairs or improvements to address emergency situations, including when the reliability of gas supplies is urgently threatened</w:t>
      </w:r>
      <w:r w:rsidR="00052371">
        <w:t>.</w:t>
      </w:r>
    </w:p>
    <w:p w:rsidRPr="00292038" w:rsidR="00292038" w:rsidP="000B5D51" w:rsidRDefault="00292038" w14:paraId="19011719" w14:textId="459885A4">
      <w:pPr>
        <w:pStyle w:val="ListParagraph"/>
        <w:numPr>
          <w:ilvl w:val="0"/>
          <w:numId w:val="62"/>
        </w:numPr>
        <w:spacing w:line="360" w:lineRule="auto"/>
        <w:ind w:left="0" w:firstLine="360"/>
        <w:rPr>
          <w:rFonts w:ascii="Book Antiqua" w:hAnsi="Book Antiqua"/>
          <w:sz w:val="26"/>
        </w:rPr>
      </w:pPr>
      <w:r w:rsidRPr="00292038">
        <w:rPr>
          <w:rFonts w:ascii="Book Antiqua" w:hAnsi="Book Antiqua"/>
          <w:sz w:val="26"/>
        </w:rPr>
        <w:t xml:space="preserve">Requiring utilities to file claims of exemptions for gas emergency projects no later than </w:t>
      </w:r>
      <w:r w:rsidR="00AE0644">
        <w:rPr>
          <w:rFonts w:ascii="Book Antiqua" w:hAnsi="Book Antiqua"/>
          <w:sz w:val="26"/>
        </w:rPr>
        <w:t>6</w:t>
      </w:r>
      <w:r w:rsidRPr="00292038">
        <w:rPr>
          <w:rFonts w:ascii="Book Antiqua" w:hAnsi="Book Antiqua"/>
          <w:sz w:val="26"/>
        </w:rPr>
        <w:t xml:space="preserve">0 days from commencement of the project allows utilities to begin work on urgent emergency projects while providing an opportunity for affected community members, local governments, stakeholders and this Commission to learn about the project.  </w:t>
      </w:r>
    </w:p>
    <w:p w:rsidR="00D1546F" w:rsidP="00AE4B94" w:rsidRDefault="00CC27E1" w14:paraId="45A273C4" w14:textId="450368CE">
      <w:pPr>
        <w:pStyle w:val="FoF"/>
        <w:numPr>
          <w:ilvl w:val="0"/>
          <w:numId w:val="62"/>
        </w:numPr>
        <w:ind w:left="0" w:firstLine="360"/>
      </w:pPr>
      <w:r>
        <w:t>Exempting p</w:t>
      </w:r>
      <w:r w:rsidRPr="00D112E9" w:rsidR="00D112E9">
        <w:t xml:space="preserve">rojects required by any regulatory agency for safety reasons from </w:t>
      </w:r>
      <w:r w:rsidR="00AB1C47">
        <w:t>CPCN</w:t>
      </w:r>
      <w:r w:rsidRPr="00D112E9" w:rsidR="00D112E9">
        <w:t xml:space="preserve"> application requirement</w:t>
      </w:r>
      <w:r w:rsidR="00D112E9">
        <w:t xml:space="preserve">s </w:t>
      </w:r>
      <w:r w:rsidRPr="00D112E9" w:rsidR="00D112E9">
        <w:t>ensure</w:t>
      </w:r>
      <w:r>
        <w:t>s</w:t>
      </w:r>
      <w:r w:rsidRPr="00D112E9" w:rsidR="00D112E9">
        <w:t xml:space="preserve"> timely utility compliance with those regulations and the accompanying public safety of gas supplies</w:t>
      </w:r>
      <w:r w:rsidR="002B2AA0">
        <w:t>.</w:t>
      </w:r>
    </w:p>
    <w:p w:rsidR="00D1546F" w:rsidP="00AE4B94" w:rsidRDefault="00CC27E1" w14:paraId="27B007C3" w14:textId="4528E35C">
      <w:pPr>
        <w:pStyle w:val="FoF"/>
        <w:numPr>
          <w:ilvl w:val="0"/>
          <w:numId w:val="62"/>
        </w:numPr>
        <w:ind w:left="0" w:firstLine="360"/>
      </w:pPr>
      <w:r>
        <w:t>Excluding s</w:t>
      </w:r>
      <w:r w:rsidRPr="00375E43" w:rsidR="00375E43">
        <w:t xml:space="preserve">ervice lines connecting </w:t>
      </w:r>
      <w:r w:rsidR="00D342A5">
        <w:t xml:space="preserve">gas infrastructure </w:t>
      </w:r>
      <w:r w:rsidRPr="00375E43" w:rsidR="00375E43">
        <w:t>to customer facilities</w:t>
      </w:r>
      <w:r w:rsidR="00D342A5">
        <w:t xml:space="preserve"> </w:t>
      </w:r>
      <w:r w:rsidR="006F1222">
        <w:t xml:space="preserve">and </w:t>
      </w:r>
      <w:r w:rsidR="00883D5B">
        <w:t xml:space="preserve">work on </w:t>
      </w:r>
      <w:r w:rsidR="006F1222">
        <w:t xml:space="preserve">customer meters </w:t>
      </w:r>
      <w:r w:rsidR="00D342A5">
        <w:t xml:space="preserve">from the </w:t>
      </w:r>
      <w:r w:rsidR="005459A7">
        <w:t>GO</w:t>
      </w:r>
      <w:r>
        <w:t xml:space="preserve"> is reasonable</w:t>
      </w:r>
      <w:r w:rsidR="00D342A5">
        <w:t xml:space="preserve"> as these projects are unlikely to cause </w:t>
      </w:r>
      <w:r w:rsidR="00883D5B">
        <w:t xml:space="preserve">significant </w:t>
      </w:r>
      <w:r w:rsidR="00D342A5">
        <w:t xml:space="preserve">environmental impacts. </w:t>
      </w:r>
    </w:p>
    <w:p w:rsidR="00495A9F" w:rsidP="00AE4B94" w:rsidRDefault="00A74A3A" w14:paraId="79BA4F7F" w14:textId="38C398BA">
      <w:pPr>
        <w:pStyle w:val="FoF"/>
        <w:numPr>
          <w:ilvl w:val="0"/>
          <w:numId w:val="62"/>
        </w:numPr>
        <w:ind w:left="0" w:firstLine="360"/>
      </w:pPr>
      <w:r>
        <w:t>R</w:t>
      </w:r>
      <w:r w:rsidR="00050FD0">
        <w:t>equir</w:t>
      </w:r>
      <w:r>
        <w:t>ing</w:t>
      </w:r>
      <w:r w:rsidR="00050FD0">
        <w:t xml:space="preserve"> a CPCN application for any sized distribution pipeline, other than service</w:t>
      </w:r>
      <w:r w:rsidR="00BA3AC0">
        <w:t xml:space="preserve"> pipe</w:t>
      </w:r>
      <w:r w:rsidR="00050FD0">
        <w:t>lines</w:t>
      </w:r>
      <w:r w:rsidR="00BA3AC0">
        <w:t xml:space="preserve"> that connect to customer facilities</w:t>
      </w:r>
      <w:r w:rsidR="004D17F9">
        <w:t xml:space="preserve"> and work on customer meters</w:t>
      </w:r>
      <w:r w:rsidR="00050FD0">
        <w:t xml:space="preserve">, that otherwise meet our adopted criteria, will focus </w:t>
      </w:r>
      <w:r w:rsidR="0036363C">
        <w:t xml:space="preserve">Commission </w:t>
      </w:r>
      <w:r w:rsidR="00050FD0">
        <w:t xml:space="preserve">review on the </w:t>
      </w:r>
      <w:r w:rsidR="0036363C">
        <w:t>distribution</w:t>
      </w:r>
      <w:r w:rsidR="00050FD0">
        <w:t xml:space="preserve"> projects most likely to cause environmental harms or substantial costs to ratepayers</w:t>
      </w:r>
      <w:r w:rsidR="00495A9F">
        <w:t>.</w:t>
      </w:r>
    </w:p>
    <w:p w:rsidR="00480C62" w:rsidP="00AE4B94" w:rsidRDefault="00480C62" w14:paraId="56BF1C7A" w14:textId="26DCF20D">
      <w:pPr>
        <w:pStyle w:val="FoF"/>
        <w:numPr>
          <w:ilvl w:val="0"/>
          <w:numId w:val="62"/>
        </w:numPr>
        <w:ind w:left="0" w:firstLine="360"/>
      </w:pPr>
      <w:r>
        <w:t xml:space="preserve">The record of this proceeding lacks information </w:t>
      </w:r>
      <w:r w:rsidR="002F71A5">
        <w:t xml:space="preserve">on </w:t>
      </w:r>
      <w:r>
        <w:t xml:space="preserve">the </w:t>
      </w:r>
      <w:r w:rsidR="002F71A5">
        <w:t>cost</w:t>
      </w:r>
      <w:r>
        <w:t>s incurred to bring a project from conception to the permit application stage.</w:t>
      </w:r>
    </w:p>
    <w:p w:rsidR="00037B43" w:rsidP="00AE4B94" w:rsidRDefault="00E63869" w14:paraId="36705FEA" w14:textId="33132E18">
      <w:pPr>
        <w:pStyle w:val="FoF"/>
        <w:numPr>
          <w:ilvl w:val="0"/>
          <w:numId w:val="62"/>
        </w:numPr>
        <w:ind w:left="0" w:firstLine="360"/>
      </w:pPr>
      <w:r>
        <w:t>Authorizing an exemption from filing a CPCN application for p</w:t>
      </w:r>
      <w:r w:rsidRPr="002A63FC">
        <w:t xml:space="preserve">rojects that have an in-service date </w:t>
      </w:r>
      <w:r>
        <w:t>scheduled to</w:t>
      </w:r>
      <w:r w:rsidRPr="002A63FC">
        <w:t xml:space="preserve"> occur before January 1, 2024</w:t>
      </w:r>
      <w:r w:rsidR="000D0B1D">
        <w:t xml:space="preserve"> </w:t>
      </w:r>
      <w:r w:rsidRPr="00A61C43" w:rsidR="00A61C43">
        <w:t xml:space="preserve">gives utilities </w:t>
      </w:r>
      <w:r w:rsidRPr="00A61C43" w:rsidR="00A61C43">
        <w:lastRenderedPageBreak/>
        <w:t xml:space="preserve">sufficient planning time while exempting projects that are relatively close to fruition. </w:t>
      </w:r>
    </w:p>
    <w:p w:rsidR="0011099F" w:rsidP="00AE4B94" w:rsidRDefault="0011099F" w14:paraId="5E5E30E0" w14:textId="1E744C6B">
      <w:pPr>
        <w:pStyle w:val="FoF"/>
        <w:numPr>
          <w:ilvl w:val="0"/>
          <w:numId w:val="62"/>
        </w:numPr>
        <w:ind w:left="0" w:firstLine="360"/>
      </w:pPr>
      <w:r>
        <w:t>Authori</w:t>
      </w:r>
      <w:r w:rsidR="00CA5412">
        <w:t xml:space="preserve">zing an exemption from filing a CPCN application for projects </w:t>
      </w:r>
      <w:r w:rsidRPr="0043029F" w:rsidR="0043029F">
        <w:t>for which an application for approval has been submitted to an air quality management district for compliance with an environmental rule prior to the effective date of this GO</w:t>
      </w:r>
      <w:r w:rsidR="0043029F">
        <w:t xml:space="preserve"> </w:t>
      </w:r>
      <w:r w:rsidRPr="0043029F" w:rsidR="0043029F">
        <w:t xml:space="preserve">allows projects planned to comply with local air quality management district environmental requirements that </w:t>
      </w:r>
      <w:r w:rsidR="009E622C">
        <w:t xml:space="preserve">required substantive time and resources to develop </w:t>
      </w:r>
      <w:r w:rsidRPr="0043029F" w:rsidR="0043029F">
        <w:t>to move forward in a streamlined fashion.</w:t>
      </w:r>
    </w:p>
    <w:p w:rsidR="007719C6" w:rsidP="00AE4B94" w:rsidRDefault="007719C6" w14:paraId="57D17FE3" w14:textId="591A3B34">
      <w:pPr>
        <w:pStyle w:val="FoF"/>
        <w:numPr>
          <w:ilvl w:val="0"/>
          <w:numId w:val="62"/>
        </w:numPr>
        <w:ind w:left="0" w:firstLine="360"/>
      </w:pPr>
      <w:r>
        <w:t xml:space="preserve">It is not necessary to adopt exemptions </w:t>
      </w:r>
      <w:r w:rsidR="006346A8">
        <w:t xml:space="preserve">to CPCN application </w:t>
      </w:r>
      <w:r w:rsidR="004D1594">
        <w:t xml:space="preserve">requirements for projects involving the </w:t>
      </w:r>
      <w:r w:rsidR="00D41168">
        <w:t xml:space="preserve">replacement of existing </w:t>
      </w:r>
      <w:r w:rsidR="00D8132C">
        <w:t xml:space="preserve">facilities </w:t>
      </w:r>
      <w:r w:rsidR="00D41168">
        <w:t xml:space="preserve">by </w:t>
      </w:r>
      <w:r w:rsidR="00EF20E8">
        <w:t xml:space="preserve">equivalent </w:t>
      </w:r>
      <w:r w:rsidR="00D8132C">
        <w:t>facilities, minor relocation</w:t>
      </w:r>
      <w:r w:rsidR="0039597F">
        <w:t xml:space="preserve">s, repairs, maintenance or alternations of existing facilities in a manner consistent with CEQA guidelines, </w:t>
      </w:r>
      <w:r w:rsidR="005958AB">
        <w:t>or the placement of new equipment on structures already built consistent with CEQA guidelines</w:t>
      </w:r>
      <w:r w:rsidR="004D1594">
        <w:t xml:space="preserve"> because these projects are </w:t>
      </w:r>
      <w:r w:rsidRPr="004D1594" w:rsidR="004D1594">
        <w:t xml:space="preserve">unlikely to meet </w:t>
      </w:r>
      <w:r w:rsidR="004D1594">
        <w:t>our adopted threshold criteria and the</w:t>
      </w:r>
      <w:r w:rsidR="00B317C3">
        <w:t>s</w:t>
      </w:r>
      <w:r w:rsidR="004D1594">
        <w:t>e exem</w:t>
      </w:r>
      <w:r w:rsidRPr="004D1594" w:rsidR="004D1594">
        <w:t>ption</w:t>
      </w:r>
      <w:r w:rsidR="004D1594">
        <w:t>s</w:t>
      </w:r>
      <w:r w:rsidRPr="004D1594" w:rsidR="004D1594">
        <w:t xml:space="preserve"> duplicate CEQA categorical exemption</w:t>
      </w:r>
      <w:r w:rsidR="004D1594">
        <w:t>s</w:t>
      </w:r>
      <w:r w:rsidRPr="004D1594" w:rsidR="004D1594">
        <w:t xml:space="preserve"> that will apply as part of the Commission’s CEQA review of any CPCN application. </w:t>
      </w:r>
    </w:p>
    <w:p w:rsidR="004D1594" w:rsidP="00AE4B94" w:rsidRDefault="004D1594" w14:paraId="5190441D" w14:textId="22A81D80">
      <w:pPr>
        <w:pStyle w:val="FoF"/>
        <w:numPr>
          <w:ilvl w:val="0"/>
          <w:numId w:val="62"/>
        </w:numPr>
        <w:ind w:left="0" w:firstLine="360"/>
      </w:pPr>
      <w:r>
        <w:t xml:space="preserve">It is not reasonable to exempt from a CPCN application requirement those </w:t>
      </w:r>
      <w:r w:rsidRPr="004D1594">
        <w:t>projects with completed CEQA documents</w:t>
      </w:r>
      <w:r w:rsidR="006D736D">
        <w:t xml:space="preserve"> because</w:t>
      </w:r>
      <w:r w:rsidR="008326C7">
        <w:t xml:space="preserve"> project</w:t>
      </w:r>
      <w:r w:rsidR="006D736D">
        <w:t xml:space="preserve"> </w:t>
      </w:r>
      <w:r w:rsidRPr="004D1594">
        <w:t xml:space="preserve">review by </w:t>
      </w:r>
      <w:r w:rsidR="006D736D">
        <w:t xml:space="preserve">one </w:t>
      </w:r>
      <w:r w:rsidRPr="004D1594">
        <w:t>agency does not relieve other agencies from their CEQA review obligations</w:t>
      </w:r>
      <w:r w:rsidR="008326C7">
        <w:t xml:space="preserve"> and</w:t>
      </w:r>
      <w:r w:rsidR="006D736D">
        <w:t xml:space="preserve"> </w:t>
      </w:r>
      <w:r w:rsidRPr="004D1594">
        <w:t xml:space="preserve">there may be circumstances under which another agency performs CEQA review of </w:t>
      </w:r>
      <w:r w:rsidR="006D736D">
        <w:t xml:space="preserve">a </w:t>
      </w:r>
      <w:r w:rsidRPr="004D1594">
        <w:t xml:space="preserve">proposed gas infrastructure project </w:t>
      </w:r>
      <w:r w:rsidR="008326C7">
        <w:t xml:space="preserve">only </w:t>
      </w:r>
      <w:r w:rsidRPr="004D1594">
        <w:t xml:space="preserve">as part of a larger </w:t>
      </w:r>
      <w:r w:rsidR="00814A0A">
        <w:t xml:space="preserve">project. </w:t>
      </w:r>
    </w:p>
    <w:p w:rsidR="00704FFE" w:rsidP="00AE4B94" w:rsidRDefault="00747464" w14:paraId="45075AE5" w14:textId="441FB18F">
      <w:pPr>
        <w:pStyle w:val="FoF"/>
        <w:numPr>
          <w:ilvl w:val="0"/>
          <w:numId w:val="62"/>
        </w:numPr>
        <w:ind w:left="0" w:firstLine="360"/>
      </w:pPr>
      <w:r>
        <w:t xml:space="preserve">Adopting broadly worded exceptions to the exemptions adopted here </w:t>
      </w:r>
      <w:r w:rsidR="00093221">
        <w:t xml:space="preserve">could introduce uncertainty into implementation of the </w:t>
      </w:r>
      <w:r w:rsidR="005459A7">
        <w:t>GO</w:t>
      </w:r>
      <w:r w:rsidR="00093221">
        <w:t xml:space="preserve"> and is not necessary. </w:t>
      </w:r>
    </w:p>
    <w:p w:rsidR="00495A9F" w:rsidP="00AE4B94" w:rsidRDefault="000F4792" w14:paraId="4520A607" w14:textId="7F5F377D">
      <w:pPr>
        <w:pStyle w:val="FoF"/>
        <w:numPr>
          <w:ilvl w:val="0"/>
          <w:numId w:val="62"/>
        </w:numPr>
        <w:ind w:left="0" w:firstLine="360"/>
      </w:pPr>
      <w:r>
        <w:t xml:space="preserve">The notification requirements in the adopted </w:t>
      </w:r>
      <w:r w:rsidR="005459A7">
        <w:t>GO</w:t>
      </w:r>
      <w:r>
        <w:t xml:space="preserve"> are reasonable. </w:t>
      </w:r>
    </w:p>
    <w:p w:rsidR="00F730D9" w:rsidP="00AE4B94" w:rsidRDefault="00F730D9" w14:paraId="68FC2AC8" w14:textId="7F57D2F9">
      <w:pPr>
        <w:pStyle w:val="FoF"/>
        <w:numPr>
          <w:ilvl w:val="0"/>
          <w:numId w:val="62"/>
        </w:numPr>
        <w:ind w:left="0" w:firstLine="360"/>
      </w:pPr>
      <w:r>
        <w:t xml:space="preserve">Requiring </w:t>
      </w:r>
      <w:r w:rsidR="00CE3D4E">
        <w:t xml:space="preserve">a </w:t>
      </w:r>
      <w:r>
        <w:t xml:space="preserve">robust set of information </w:t>
      </w:r>
      <w:r w:rsidR="00D614BD">
        <w:t xml:space="preserve">in </w:t>
      </w:r>
      <w:r>
        <w:t xml:space="preserve">gas CPCN applications </w:t>
      </w:r>
      <w:r w:rsidR="00D51940">
        <w:t xml:space="preserve">filed under this </w:t>
      </w:r>
      <w:r w:rsidR="005459A7">
        <w:t>GO</w:t>
      </w:r>
      <w:r w:rsidR="00D51940">
        <w:t xml:space="preserve"> </w:t>
      </w:r>
      <w:r>
        <w:t xml:space="preserve">will help avoid unnecessary costs to ratepayers and will assist this </w:t>
      </w:r>
      <w:r>
        <w:lastRenderedPageBreak/>
        <w:t>Commission in evaluating and addressing potential environmental harms to local communities</w:t>
      </w:r>
      <w:r w:rsidR="00CE3D4E">
        <w:t>.</w:t>
      </w:r>
    </w:p>
    <w:p w:rsidR="00495A9F" w:rsidP="00AE4B94" w:rsidRDefault="00C80BC8" w14:paraId="0F6877AB" w14:textId="71ECA96E">
      <w:pPr>
        <w:pStyle w:val="FoF"/>
        <w:numPr>
          <w:ilvl w:val="0"/>
          <w:numId w:val="62"/>
        </w:numPr>
        <w:ind w:left="0" w:firstLine="360"/>
      </w:pPr>
      <w:r>
        <w:t xml:space="preserve">The need for analysis of non-pipeline alternatives is a central rationale for adoption of a gas infrastructure </w:t>
      </w:r>
      <w:r w:rsidR="005459A7">
        <w:t>GO</w:t>
      </w:r>
      <w:r>
        <w:t xml:space="preserve"> at this time. </w:t>
      </w:r>
    </w:p>
    <w:p w:rsidR="00811143" w:rsidP="00AE4B94" w:rsidRDefault="0032466C" w14:paraId="3EA8A732" w14:textId="074BB07C">
      <w:pPr>
        <w:pStyle w:val="FoF"/>
        <w:numPr>
          <w:ilvl w:val="0"/>
          <w:numId w:val="62"/>
        </w:numPr>
        <w:ind w:left="0" w:firstLine="360"/>
      </w:pPr>
      <w:r>
        <w:t>Requiring</w:t>
      </w:r>
      <w:r w:rsidR="003A3AB1">
        <w:t xml:space="preserve"> </w:t>
      </w:r>
      <w:r>
        <w:t xml:space="preserve">gas corporations in their </w:t>
      </w:r>
      <w:r w:rsidR="003A3AB1">
        <w:t xml:space="preserve">CPCN </w:t>
      </w:r>
      <w:r>
        <w:t>applications</w:t>
      </w:r>
      <w:r w:rsidR="00B317C3">
        <w:t>,</w:t>
      </w:r>
      <w:r>
        <w:t xml:space="preserve"> if</w:t>
      </w:r>
      <w:r w:rsidR="003A3AB1">
        <w:t xml:space="preserve"> a </w:t>
      </w:r>
      <w:r w:rsidRPr="0032466C">
        <w:t xml:space="preserve">proposed project is located within an ESJ </w:t>
      </w:r>
      <w:r w:rsidR="009865E8">
        <w:t>c</w:t>
      </w:r>
      <w:r w:rsidRPr="0032466C">
        <w:t>ommunity</w:t>
      </w:r>
      <w:r>
        <w:t xml:space="preserve">, </w:t>
      </w:r>
      <w:r w:rsidRPr="0032466C">
        <w:t xml:space="preserve">to consider whether it is possible to relocate the project </w:t>
      </w:r>
      <w:r>
        <w:t>out</w:t>
      </w:r>
      <w:r w:rsidRPr="0032466C">
        <w:t>side such areas</w:t>
      </w:r>
      <w:r>
        <w:t>,</w:t>
      </w:r>
      <w:r w:rsidRPr="0032466C">
        <w:t xml:space="preserve"> </w:t>
      </w:r>
      <w:r>
        <w:t>and, i</w:t>
      </w:r>
      <w:r w:rsidRPr="0032466C">
        <w:t>f so, steps taken to</w:t>
      </w:r>
      <w:r>
        <w:t xml:space="preserve"> do so, </w:t>
      </w:r>
      <w:r w:rsidRPr="0032466C">
        <w:t>reflects the Commission’s ESJ Action Plan</w:t>
      </w:r>
      <w:r>
        <w:t xml:space="preserve">, </w:t>
      </w:r>
      <w:r w:rsidRPr="0032466C">
        <w:t>helps minimize environmental impacts from gas</w:t>
      </w:r>
      <w:r w:rsidR="000B5D51">
        <w:t> </w:t>
      </w:r>
      <w:r w:rsidRPr="0032466C">
        <w:t xml:space="preserve">infrastructure in such communities, </w:t>
      </w:r>
      <w:r>
        <w:t xml:space="preserve">and </w:t>
      </w:r>
      <w:r w:rsidRPr="0032466C">
        <w:t xml:space="preserve">reflects the equity purpose of the </w:t>
      </w:r>
      <w:r w:rsidR="005459A7">
        <w:t>GO</w:t>
      </w:r>
      <w:r>
        <w:t>.</w:t>
      </w:r>
    </w:p>
    <w:p w:rsidR="006F0F34" w:rsidP="00AE4B94" w:rsidRDefault="00880F2D" w14:paraId="7F96064A" w14:textId="0A71F91C">
      <w:pPr>
        <w:pStyle w:val="FoF"/>
        <w:numPr>
          <w:ilvl w:val="0"/>
          <w:numId w:val="62"/>
        </w:numPr>
        <w:ind w:left="0" w:firstLine="360"/>
      </w:pPr>
      <w:r>
        <w:t xml:space="preserve">Due to </w:t>
      </w:r>
      <w:r w:rsidR="00554E28">
        <w:t xml:space="preserve">the </w:t>
      </w:r>
      <w:r>
        <w:t>unique circumstances</w:t>
      </w:r>
      <w:r w:rsidR="00554E28">
        <w:t xml:space="preserve"> of </w:t>
      </w:r>
      <w:bookmarkStart w:name="_Hlk119668209" w:id="128"/>
      <w:r w:rsidR="00D96A5A">
        <w:t>independent storage providers</w:t>
      </w:r>
      <w:r w:rsidR="00554E28">
        <w:t xml:space="preserve">, it is reasonable that such gas corporations </w:t>
      </w:r>
      <w:r w:rsidR="00D96A5A">
        <w:t>are not required to provide information elements</w:t>
      </w:r>
      <w:r w:rsidRPr="00F879D9" w:rsidR="00F879D9">
        <w:t xml:space="preserve"> </w:t>
      </w:r>
      <w:r w:rsidR="00F879D9">
        <w:t xml:space="preserve">contained in </w:t>
      </w:r>
      <w:r w:rsidRPr="00F879D9" w:rsidR="00F879D9">
        <w:t>Section V</w:t>
      </w:r>
      <w:r>
        <w:t>I</w:t>
      </w:r>
      <w:r w:rsidRPr="00F879D9" w:rsidR="00F879D9">
        <w:t>(A)(4)(a)</w:t>
      </w:r>
      <w:r w:rsidR="00F57C5E">
        <w:t xml:space="preserve"> </w:t>
      </w:r>
      <w:r w:rsidRPr="00F879D9" w:rsidR="00F879D9">
        <w:t xml:space="preserve">Section </w:t>
      </w:r>
      <w:r w:rsidR="00A2295F">
        <w:t>VI</w:t>
      </w:r>
      <w:r w:rsidRPr="00F879D9" w:rsidR="00F879D9">
        <w:t>(A)(</w:t>
      </w:r>
      <w:r w:rsidR="00A2295F">
        <w:t>4)(b), VI(A)(4)(d) and VI(A)(5)(c</w:t>
      </w:r>
      <w:r w:rsidRPr="00F879D9" w:rsidR="00F879D9">
        <w:t xml:space="preserve">), regarding </w:t>
      </w:r>
      <w:r>
        <w:t>non-pipeline alternatives and alternate routes, in their CPCN applications</w:t>
      </w:r>
      <w:r w:rsidR="00AB77AB">
        <w:t xml:space="preserve">, or information element </w:t>
      </w:r>
      <w:r w:rsidR="001942ED">
        <w:t>Section X(</w:t>
      </w:r>
      <w:r w:rsidR="007B7D33">
        <w:t>D</w:t>
      </w:r>
      <w:r w:rsidR="001942ED">
        <w:t>)</w:t>
      </w:r>
      <w:r w:rsidR="007B7D33">
        <w:t>(1) in their annual Report of Planned Gas Investments.</w:t>
      </w:r>
    </w:p>
    <w:p w:rsidR="00495A9F" w:rsidP="00AE4B94" w:rsidRDefault="001942ED" w14:paraId="15188225" w14:textId="7CF2C129">
      <w:pPr>
        <w:pStyle w:val="FoF"/>
        <w:numPr>
          <w:ilvl w:val="0"/>
          <w:numId w:val="62"/>
        </w:numPr>
        <w:ind w:left="0" w:firstLine="360"/>
      </w:pPr>
      <w:r>
        <w:t>R</w:t>
      </w:r>
      <w:r w:rsidRPr="006F0F34" w:rsidR="006F0F34">
        <w:t xml:space="preserve">eview of cost information </w:t>
      </w:r>
      <w:r w:rsidR="0056156A">
        <w:t xml:space="preserve">provided by independent storage providers </w:t>
      </w:r>
      <w:r w:rsidRPr="006F0F34" w:rsidR="006F0F34">
        <w:t>will enable a broader understanding of the pass-through costs from gas storage to utility customers, which will in turn support broader consideration of alternatives to minimize costs to ratepayers and stranded costs in this era of declining gas consumption</w:t>
      </w:r>
      <w:r w:rsidR="00A2295F">
        <w:t>.</w:t>
      </w:r>
      <w:r w:rsidR="00D96A5A">
        <w:t xml:space="preserve"> </w:t>
      </w:r>
    </w:p>
    <w:p w:rsidR="00906D02" w:rsidP="00AE4B94" w:rsidRDefault="00FE76E7" w14:paraId="5CA2733E" w14:textId="015146D3">
      <w:pPr>
        <w:pStyle w:val="FoF"/>
        <w:numPr>
          <w:ilvl w:val="0"/>
          <w:numId w:val="62"/>
        </w:numPr>
        <w:ind w:left="0" w:firstLine="360"/>
      </w:pPr>
      <w:r>
        <w:t>Requiring gas corporations to initiate prefiling meetings with Commission</w:t>
      </w:r>
      <w:r w:rsidR="000B5D51">
        <w:t> </w:t>
      </w:r>
      <w:r>
        <w:t>Staff and</w:t>
      </w:r>
      <w:r w:rsidR="00402E4D">
        <w:t xml:space="preserve">, with the exception of CPCN applications filed within 120 days from issuance of this decision, </w:t>
      </w:r>
      <w:r>
        <w:t>to submit a draft PEA at least three months prior to filing a CPCN</w:t>
      </w:r>
      <w:r w:rsidR="00511713">
        <w:t> </w:t>
      </w:r>
      <w:r>
        <w:t xml:space="preserve">application will ensure the Commission has a robust PEA </w:t>
      </w:r>
      <w:r>
        <w:lastRenderedPageBreak/>
        <w:t xml:space="preserve">with which to consider </w:t>
      </w:r>
      <w:r w:rsidR="004B697C">
        <w:t>potential</w:t>
      </w:r>
      <w:r>
        <w:t xml:space="preserve"> </w:t>
      </w:r>
      <w:r w:rsidR="004B697C">
        <w:t>environmental impacts and to initiate CEQA review of the proposed project.</w:t>
      </w:r>
    </w:p>
    <w:p w:rsidR="00633BF4" w:rsidP="00AE4B94" w:rsidRDefault="00633BF4" w14:paraId="7223BEAB" w14:textId="52E681A0">
      <w:pPr>
        <w:pStyle w:val="FoF"/>
        <w:numPr>
          <w:ilvl w:val="0"/>
          <w:numId w:val="62"/>
        </w:numPr>
        <w:ind w:left="0" w:firstLine="360"/>
      </w:pPr>
      <w:r>
        <w:t xml:space="preserve">Requiring gas utilities to report on projects they intend to claim as exempt from a CPCN application requirement in their annual </w:t>
      </w:r>
      <w:r w:rsidR="00140339">
        <w:t xml:space="preserve">Report of Planned Gas Investments </w:t>
      </w:r>
      <w:r>
        <w:t>will assist stakeholders and the Commission in evaluating the effectiveness and implementation of these exemptions.</w:t>
      </w:r>
    </w:p>
    <w:p w:rsidR="00495A9F" w:rsidP="00AE4B94" w:rsidRDefault="00712EAF" w14:paraId="4CD7DA0F" w14:textId="1FC3F874">
      <w:pPr>
        <w:pStyle w:val="FoF"/>
        <w:numPr>
          <w:ilvl w:val="0"/>
          <w:numId w:val="62"/>
        </w:numPr>
        <w:ind w:left="0" w:firstLine="360"/>
      </w:pPr>
      <w:r>
        <w:t>Adopting a</w:t>
      </w:r>
      <w:r w:rsidR="002D7414">
        <w:t xml:space="preserve">n annual reporting requirement for projects with costs in excess of </w:t>
      </w:r>
      <w:r>
        <w:t xml:space="preserve">$50 million </w:t>
      </w:r>
      <w:r w:rsidR="006643AE">
        <w:t xml:space="preserve">over a </w:t>
      </w:r>
      <w:r w:rsidR="00880F2D">
        <w:t>10</w:t>
      </w:r>
      <w:r w:rsidR="00F93E71">
        <w:t>-</w:t>
      </w:r>
      <w:r w:rsidR="006643AE">
        <w:t>year horizon</w:t>
      </w:r>
      <w:r w:rsidR="00416ED3">
        <w:t xml:space="preserve"> and projects meeting the sensitive receptors</w:t>
      </w:r>
      <w:r w:rsidR="00B317C3">
        <w:t xml:space="preserve"> criterion described in Finding of Fact 13</w:t>
      </w:r>
      <w:r w:rsidR="00416ED3">
        <w:t xml:space="preserve">, </w:t>
      </w:r>
      <w:r w:rsidR="00594D6A">
        <w:t xml:space="preserve">including projects </w:t>
      </w:r>
      <w:r w:rsidR="00DC4550">
        <w:t xml:space="preserve">a </w:t>
      </w:r>
      <w:r w:rsidR="00594D6A">
        <w:t>gas corporation</w:t>
      </w:r>
      <w:r w:rsidR="00DC4550">
        <w:t xml:space="preserve"> </w:t>
      </w:r>
      <w:r w:rsidR="00594D6A">
        <w:t>plan</w:t>
      </w:r>
      <w:r w:rsidR="00DC4550">
        <w:t>s</w:t>
      </w:r>
      <w:r w:rsidR="00594D6A">
        <w:t xml:space="preserve"> to claim as exempt from a CPCN application requirement, </w:t>
      </w:r>
      <w:r w:rsidR="00CE3D4E">
        <w:t>adds transparency</w:t>
      </w:r>
      <w:r w:rsidR="00416ED3">
        <w:t>, is not onerous,</w:t>
      </w:r>
      <w:r w:rsidR="00CE3D4E">
        <w:t xml:space="preserve"> and </w:t>
      </w:r>
      <w:r w:rsidRPr="00712EAF">
        <w:t xml:space="preserve">will </w:t>
      </w:r>
      <w:r>
        <w:t xml:space="preserve">provide </w:t>
      </w:r>
      <w:r w:rsidR="0013548A">
        <w:t xml:space="preserve">stakeholders and </w:t>
      </w:r>
      <w:r>
        <w:t xml:space="preserve">the Commission with </w:t>
      </w:r>
      <w:r w:rsidRPr="00712EAF">
        <w:t>insight into a greater range of planned projects than</w:t>
      </w:r>
      <w:r w:rsidR="00B317C3">
        <w:t xml:space="preserve"> addressed </w:t>
      </w:r>
      <w:r w:rsidRPr="00712EAF">
        <w:t xml:space="preserve">by our </w:t>
      </w:r>
      <w:r w:rsidR="00AB1C47">
        <w:t>CPCN</w:t>
      </w:r>
      <w:r w:rsidRPr="00712EAF">
        <w:t xml:space="preserve"> application requirements</w:t>
      </w:r>
      <w:r w:rsidR="002D7414">
        <w:t xml:space="preserve">.  </w:t>
      </w:r>
    </w:p>
    <w:p w:rsidR="0023344F" w:rsidP="00AE4B94" w:rsidRDefault="0023344F" w14:paraId="5882C586" w14:textId="3C1F363C">
      <w:pPr>
        <w:pStyle w:val="FoF"/>
        <w:numPr>
          <w:ilvl w:val="0"/>
          <w:numId w:val="62"/>
        </w:numPr>
        <w:ind w:left="0" w:firstLine="360"/>
      </w:pPr>
      <w:r w:rsidRPr="0023344F">
        <w:t xml:space="preserve">For projects the gas corporation anticipates claiming as exempt from a CPCN application requirement, </w:t>
      </w:r>
      <w:r>
        <w:t xml:space="preserve">it is reasonable </w:t>
      </w:r>
      <w:r w:rsidR="00ED66FE">
        <w:t xml:space="preserve">that </w:t>
      </w:r>
      <w:r w:rsidRPr="0023344F">
        <w:t>gas corporation</w:t>
      </w:r>
      <w:r w:rsidR="00ED66FE">
        <w:t xml:space="preserve">s not </w:t>
      </w:r>
      <w:r w:rsidR="00911330">
        <w:t xml:space="preserve">be </w:t>
      </w:r>
      <w:r w:rsidR="00ED66FE">
        <w:t>required</w:t>
      </w:r>
      <w:r w:rsidRPr="0023344F">
        <w:t xml:space="preserve"> to include in the annual</w:t>
      </w:r>
      <w:r w:rsidR="00ED66FE">
        <w:t xml:space="preserve"> Report of Planned Gas Investments </w:t>
      </w:r>
      <w:r w:rsidRPr="0023344F">
        <w:t>information describing non-pipeline alternatives considered</w:t>
      </w:r>
      <w:r w:rsidR="007D07F7">
        <w:t xml:space="preserve"> (</w:t>
      </w:r>
      <w:r w:rsidRPr="0023344F">
        <w:t>Section X(D)</w:t>
      </w:r>
      <w:r w:rsidR="007D07F7">
        <w:t>)</w:t>
      </w:r>
      <w:r w:rsidRPr="0023344F">
        <w:t>, and information regarding cumulative environmental impacts of successive projects</w:t>
      </w:r>
      <w:r w:rsidR="007D07F7">
        <w:t xml:space="preserve"> (</w:t>
      </w:r>
      <w:r w:rsidRPr="0023344F">
        <w:t>Section</w:t>
      </w:r>
      <w:r w:rsidR="00FD0338">
        <w:t> </w:t>
      </w:r>
      <w:r w:rsidRPr="0023344F">
        <w:t>X(C)(6)</w:t>
      </w:r>
      <w:r w:rsidR="007D07F7">
        <w:t>)</w:t>
      </w:r>
      <w:r w:rsidR="00B8641B">
        <w:t>.</w:t>
      </w:r>
    </w:p>
    <w:p w:rsidRPr="00FD0216" w:rsidR="00FD0216" w:rsidP="00AE4B94" w:rsidRDefault="00FD0216" w14:paraId="3D75C093" w14:textId="48050BA2">
      <w:pPr>
        <w:pStyle w:val="FoF"/>
        <w:numPr>
          <w:ilvl w:val="0"/>
          <w:numId w:val="62"/>
        </w:numPr>
        <w:ind w:left="0" w:firstLine="360"/>
      </w:pPr>
      <w:r w:rsidRPr="00FD0216">
        <w:t xml:space="preserve">Requiring an annual Report of Planned Gas Investments Workshop during the years 2023, 2024, and 2025, and providing an opportunity for parties to comment on the reports </w:t>
      </w:r>
      <w:r w:rsidR="00740C3E">
        <w:t xml:space="preserve">and reporting requirements </w:t>
      </w:r>
      <w:r w:rsidRPr="00FD0216">
        <w:t xml:space="preserve">in a way that may result in revisions to them, adds transparency, </w:t>
      </w:r>
      <w:r w:rsidR="00F30F23">
        <w:t xml:space="preserve">and </w:t>
      </w:r>
      <w:r w:rsidRPr="00FD0216">
        <w:t xml:space="preserve">accountability, and </w:t>
      </w:r>
      <w:r w:rsidR="00F30F23">
        <w:t xml:space="preserve">provides an </w:t>
      </w:r>
      <w:r w:rsidRPr="00FD0216">
        <w:t xml:space="preserve">opportunity for engagement in and improvement in the report information and its use in the early years of implementation of this </w:t>
      </w:r>
      <w:r w:rsidR="005459A7">
        <w:t>GO</w:t>
      </w:r>
      <w:r w:rsidRPr="00FD0216">
        <w:t xml:space="preserve">. </w:t>
      </w:r>
    </w:p>
    <w:p w:rsidR="00536796" w:rsidP="00AE4B94" w:rsidRDefault="00C50972" w14:paraId="17E25518" w14:textId="419AF66C">
      <w:pPr>
        <w:pStyle w:val="FoF"/>
        <w:numPr>
          <w:ilvl w:val="0"/>
          <w:numId w:val="62"/>
        </w:numPr>
        <w:ind w:left="0" w:firstLine="360"/>
      </w:pPr>
      <w:r>
        <w:lastRenderedPageBreak/>
        <w:t xml:space="preserve">Requiring additional information </w:t>
      </w:r>
      <w:r w:rsidRPr="0023344F" w:rsidR="00740C3E">
        <w:t>in the annual</w:t>
      </w:r>
      <w:r w:rsidR="00740C3E">
        <w:t xml:space="preserve"> </w:t>
      </w:r>
      <w:r w:rsidR="00BF6AC2">
        <w:t>R</w:t>
      </w:r>
      <w:r w:rsidR="00740C3E">
        <w:t>eport of</w:t>
      </w:r>
      <w:r w:rsidR="00BF6AC2">
        <w:t xml:space="preserve"> Planned Gas Investments </w:t>
      </w:r>
      <w:r w:rsidR="00E22E15">
        <w:t xml:space="preserve">on </w:t>
      </w:r>
      <w:r>
        <w:t xml:space="preserve">projects planned to be in-service within five years of the date of a given </w:t>
      </w:r>
      <w:r w:rsidR="00E22E15">
        <w:t xml:space="preserve">annual </w:t>
      </w:r>
      <w:r>
        <w:t xml:space="preserve">report </w:t>
      </w:r>
      <w:r w:rsidR="00AB2E74">
        <w:t>provides transparency and is reasonable.</w:t>
      </w:r>
    </w:p>
    <w:p w:rsidR="00E2081A" w:rsidP="00AE4B94" w:rsidRDefault="00AB2E74" w14:paraId="064F0D6A" w14:textId="77777777">
      <w:pPr>
        <w:pStyle w:val="FoF"/>
        <w:numPr>
          <w:ilvl w:val="0"/>
          <w:numId w:val="62"/>
        </w:numPr>
        <w:ind w:left="0" w:firstLine="360"/>
      </w:pPr>
      <w:r>
        <w:t xml:space="preserve">The definitions contained in the adopted </w:t>
      </w:r>
      <w:r w:rsidR="005459A7">
        <w:t>GO</w:t>
      </w:r>
      <w:r>
        <w:t xml:space="preserve"> are reasonable</w:t>
      </w:r>
      <w:r w:rsidR="00E2081A">
        <w:t>.</w:t>
      </w:r>
    </w:p>
    <w:p w:rsidRPr="001E2A62" w:rsidR="00C50972" w:rsidP="00AE4B94" w:rsidRDefault="00E2081A" w14:paraId="316C5D76" w14:textId="2616CD64">
      <w:pPr>
        <w:pStyle w:val="FoF"/>
        <w:numPr>
          <w:ilvl w:val="0"/>
          <w:numId w:val="62"/>
        </w:numPr>
        <w:ind w:left="0" w:firstLine="360"/>
      </w:pPr>
      <w:r>
        <w:t xml:space="preserve">The </w:t>
      </w:r>
      <w:r w:rsidR="00AC21E0">
        <w:t>information required to be included in the annual Report of Planned Gas Investments is reasonable.</w:t>
      </w:r>
    </w:p>
    <w:p w:rsidR="005939A5" w:rsidP="005939A5" w:rsidRDefault="005939A5" w14:paraId="18976175" w14:textId="3C06985D">
      <w:pPr>
        <w:pStyle w:val="Dummy"/>
      </w:pPr>
      <w:bookmarkStart w:name="_Toc8123726" w:id="129"/>
      <w:bookmarkStart w:name="_Toc120692881" w:id="130"/>
      <w:r>
        <w:t>Conclusions of Law</w:t>
      </w:r>
      <w:bookmarkEnd w:id="129"/>
      <w:bookmarkEnd w:id="130"/>
    </w:p>
    <w:p w:rsidRPr="001E2A62" w:rsidR="00932865" w:rsidP="00AE4B94" w:rsidRDefault="00FF78CB" w14:paraId="02827E27" w14:textId="41400C46">
      <w:pPr>
        <w:pStyle w:val="CoL"/>
        <w:numPr>
          <w:ilvl w:val="0"/>
          <w:numId w:val="74"/>
        </w:numPr>
        <w:ind w:left="0" w:firstLine="360"/>
      </w:pPr>
      <w:r w:rsidRPr="00FF78CB">
        <w:t>This Commission retains exclusive authority to regulate gas corporations pursuant to Article XI, Section 8 of the California Constitution, which states that, “[a] city, county, or other public body may not regulate matters over which the Legislature grants regulatory power to the Commission</w:t>
      </w:r>
      <w:r>
        <w:t>,</w:t>
      </w:r>
      <w:r w:rsidRPr="00FF78CB">
        <w:t xml:space="preserve">” </w:t>
      </w:r>
      <w:r>
        <w:t xml:space="preserve">including </w:t>
      </w:r>
      <w:r w:rsidR="00985CF6">
        <w:t>jurisdiction to regulate all aspects of the design, construction, modification, or relocation of public utilities.</w:t>
      </w:r>
    </w:p>
    <w:p w:rsidRPr="00B1026D" w:rsidR="00784E2B" w:rsidP="00784E2B" w:rsidRDefault="00B003EC" w14:paraId="38F977E9" w14:textId="53D24CC5">
      <w:pPr>
        <w:pStyle w:val="CoL"/>
        <w:numPr>
          <w:ilvl w:val="0"/>
          <w:numId w:val="74"/>
        </w:numPr>
        <w:ind w:left="0" w:firstLine="360"/>
        <w:rPr>
          <w:bCs/>
        </w:rPr>
      </w:pPr>
      <w:r>
        <w:t xml:space="preserve">The Commission has </w:t>
      </w:r>
      <w:r w:rsidR="00D93147">
        <w:t xml:space="preserve">discretion to require CPCN applications for gas infrastructure projects </w:t>
      </w:r>
      <w:r w:rsidR="00D93147">
        <w:rPr>
          <w:bCs/>
        </w:rPr>
        <w:t xml:space="preserve">with costs exceeding $75 million or </w:t>
      </w:r>
      <w:r w:rsidR="00784E2B">
        <w:rPr>
          <w:bCs/>
        </w:rPr>
        <w:t>where</w:t>
      </w:r>
      <w:r w:rsidR="00D93147">
        <w:rPr>
          <w:bCs/>
        </w:rPr>
        <w:t xml:space="preserve"> </w:t>
      </w:r>
      <w:r w:rsidRPr="00B1026D" w:rsidR="00784E2B">
        <w:rPr>
          <w:bCs/>
        </w:rPr>
        <w:t xml:space="preserve">(1) </w:t>
      </w:r>
      <w:r w:rsidRPr="00784E2B" w:rsidR="00784E2B">
        <w:rPr>
          <w:bCs/>
        </w:rPr>
        <w:t xml:space="preserve">the </w:t>
      </w:r>
      <w:r w:rsidRPr="00B1026D" w:rsidR="00784E2B">
        <w:rPr>
          <w:bCs/>
        </w:rPr>
        <w:t xml:space="preserve">project is located within 1,000 feet of a sensitive receptor; and (2) operation of the completed project </w:t>
      </w:r>
      <w:r w:rsidRPr="00784E2B" w:rsidR="00784E2B">
        <w:rPr>
          <w:bCs/>
        </w:rPr>
        <w:t xml:space="preserve">by the gas corporation </w:t>
      </w:r>
      <w:r w:rsidRPr="00B1026D" w:rsidR="00784E2B">
        <w:rPr>
          <w:bCs/>
        </w:rPr>
        <w:t>requires a permit from the relevant local air quality district for</w:t>
      </w:r>
      <w:r w:rsidR="00677454">
        <w:rPr>
          <w:bCs/>
        </w:rPr>
        <w:t xml:space="preserve">: </w:t>
      </w:r>
      <w:r w:rsidRPr="00B1026D" w:rsidR="00784E2B">
        <w:rPr>
          <w:bCs/>
        </w:rPr>
        <w:t xml:space="preserve">(a) </w:t>
      </w:r>
      <w:r w:rsidR="00677454">
        <w:rPr>
          <w:bCs/>
        </w:rPr>
        <w:t xml:space="preserve">an increase in levels of </w:t>
      </w:r>
      <w:r w:rsidRPr="00B1026D" w:rsidR="00784E2B">
        <w:rPr>
          <w:bCs/>
        </w:rPr>
        <w:t>a toxic air contaminant</w:t>
      </w:r>
      <w:r w:rsidR="00677454">
        <w:rPr>
          <w:bCs/>
        </w:rPr>
        <w:t xml:space="preserve"> (as defined in this decision)</w:t>
      </w:r>
      <w:r w:rsidRPr="00B1026D" w:rsidR="00784E2B">
        <w:rPr>
          <w:bCs/>
        </w:rPr>
        <w:t xml:space="preserve">; or (b) </w:t>
      </w:r>
      <w:r w:rsidR="00677454">
        <w:rPr>
          <w:bCs/>
        </w:rPr>
        <w:t xml:space="preserve">an increase in levels of </w:t>
      </w:r>
      <w:r w:rsidRPr="00B1026D" w:rsidR="00784E2B">
        <w:rPr>
          <w:bCs/>
        </w:rPr>
        <w:t>a criteria air pollutant</w:t>
      </w:r>
      <w:r w:rsidRPr="00784E2B" w:rsidR="00784E2B">
        <w:rPr>
          <w:bCs/>
        </w:rPr>
        <w:t>,</w:t>
      </w:r>
      <w:r w:rsidRPr="00B1026D" w:rsidR="00784E2B">
        <w:rPr>
          <w:bCs/>
        </w:rPr>
        <w:t xml:space="preserve"> if the area is listed as a serious, severe, or extreme non-attainment area for that pollutant.</w:t>
      </w:r>
    </w:p>
    <w:p w:rsidRPr="00FD6CBC" w:rsidR="00932865" w:rsidP="00AE4B94" w:rsidRDefault="002A5473" w14:paraId="632E5DEE" w14:textId="210767D9">
      <w:pPr>
        <w:pStyle w:val="CoL"/>
        <w:numPr>
          <w:ilvl w:val="0"/>
          <w:numId w:val="74"/>
        </w:numPr>
        <w:ind w:left="0" w:firstLine="360"/>
      </w:pPr>
      <w:r>
        <w:rPr>
          <w:bCs/>
        </w:rPr>
        <w:t xml:space="preserve">The $75 million monetary threshold we adopt here </w:t>
      </w:r>
      <w:r w:rsidR="00452020">
        <w:rPr>
          <w:bCs/>
        </w:rPr>
        <w:t>for a CPCN application encompasses all phases of a project</w:t>
      </w:r>
      <w:r w:rsidR="00D93147">
        <w:rPr>
          <w:bCs/>
        </w:rPr>
        <w:t>.</w:t>
      </w:r>
      <w:r w:rsidR="004A170A">
        <w:rPr>
          <w:bCs/>
        </w:rPr>
        <w:t xml:space="preserve"> </w:t>
      </w:r>
    </w:p>
    <w:p w:rsidRPr="00FD6CBC" w:rsidR="0012428B" w:rsidP="00AE4B94" w:rsidRDefault="00A461EF" w14:paraId="1A4D0B28" w14:textId="6245F6F2">
      <w:pPr>
        <w:pStyle w:val="CoL"/>
        <w:numPr>
          <w:ilvl w:val="0"/>
          <w:numId w:val="74"/>
        </w:numPr>
        <w:ind w:left="0" w:firstLine="360"/>
      </w:pPr>
      <w:r>
        <w:t xml:space="preserve">Projects meeting the criteria described in Conclusion of Law 2 should </w:t>
      </w:r>
      <w:r w:rsidRPr="00B26AFD">
        <w:t xml:space="preserve">be </w:t>
      </w:r>
      <w:r w:rsidR="00851A11">
        <w:t xml:space="preserve">subject to CEQA review and </w:t>
      </w:r>
      <w:r w:rsidRPr="00B26AFD">
        <w:t>closely scrutinized to</w:t>
      </w:r>
      <w:r>
        <w:t xml:space="preserve"> determine need, </w:t>
      </w:r>
      <w:r w:rsidRPr="00B26AFD">
        <w:t xml:space="preserve">identify </w:t>
      </w:r>
      <w:r w:rsidRPr="00B26AFD">
        <w:lastRenderedPageBreak/>
        <w:t>potential alternatives including non-pipeline alternatives</w:t>
      </w:r>
      <w:r>
        <w:t>, and identify ways to eliminate or mitigate environmental impacts.</w:t>
      </w:r>
    </w:p>
    <w:p w:rsidRPr="008B12D2" w:rsidR="008B12D2" w:rsidP="00AE4B94" w:rsidRDefault="00DE1BE1" w14:paraId="3E18DA02" w14:textId="7EE57E93">
      <w:pPr>
        <w:pStyle w:val="CoL"/>
        <w:numPr>
          <w:ilvl w:val="0"/>
          <w:numId w:val="74"/>
        </w:numPr>
        <w:ind w:left="0" w:firstLine="360"/>
      </w:pPr>
      <w:r>
        <w:rPr>
          <w:bCs/>
        </w:rPr>
        <w:t>D</w:t>
      </w:r>
      <w:r w:rsidR="00FD6CBC">
        <w:rPr>
          <w:bCs/>
        </w:rPr>
        <w:t>eclaring that CPCN applications are not required for gas infrastructure projects that do not meet the criteria in Conclusion of Law 2</w:t>
      </w:r>
      <w:r>
        <w:rPr>
          <w:bCs/>
        </w:rPr>
        <w:t xml:space="preserve"> allows the Commission to focus its resources on </w:t>
      </w:r>
      <w:r w:rsidR="00BF6AC2">
        <w:rPr>
          <w:bCs/>
        </w:rPr>
        <w:t xml:space="preserve">costs and need for and </w:t>
      </w:r>
      <w:r w:rsidR="00012D65">
        <w:rPr>
          <w:bCs/>
        </w:rPr>
        <w:t xml:space="preserve">the </w:t>
      </w:r>
      <w:r w:rsidR="00233ABA">
        <w:rPr>
          <w:bCs/>
        </w:rPr>
        <w:t xml:space="preserve">environmental </w:t>
      </w:r>
      <w:r w:rsidR="00012D65">
        <w:rPr>
          <w:bCs/>
        </w:rPr>
        <w:t xml:space="preserve">impacts </w:t>
      </w:r>
      <w:r w:rsidR="00233ABA">
        <w:rPr>
          <w:bCs/>
        </w:rPr>
        <w:t xml:space="preserve">of projects most likely to </w:t>
      </w:r>
      <w:r w:rsidR="00012D65">
        <w:rPr>
          <w:bCs/>
        </w:rPr>
        <w:t xml:space="preserve">effect </w:t>
      </w:r>
      <w:r w:rsidR="00671643">
        <w:rPr>
          <w:bCs/>
        </w:rPr>
        <w:t>local communities.</w:t>
      </w:r>
    </w:p>
    <w:p w:rsidRPr="00657E00" w:rsidR="00F8398A" w:rsidP="00AE4B94" w:rsidRDefault="008B12D2" w14:paraId="5A567188" w14:textId="70EC6C8B">
      <w:pPr>
        <w:pStyle w:val="CoL"/>
        <w:numPr>
          <w:ilvl w:val="0"/>
          <w:numId w:val="74"/>
        </w:numPr>
        <w:ind w:left="0" w:firstLine="360"/>
      </w:pPr>
      <w:r>
        <w:rPr>
          <w:bCs/>
        </w:rPr>
        <w:t>Requiring a CPCN application would serve no useful regulatory</w:t>
      </w:r>
      <w:r w:rsidR="00722407">
        <w:rPr>
          <w:bCs/>
        </w:rPr>
        <w:t xml:space="preserve"> purpose for</w:t>
      </w:r>
      <w:r>
        <w:rPr>
          <w:bCs/>
        </w:rPr>
        <w:t xml:space="preserve"> </w:t>
      </w:r>
      <w:r w:rsidR="004B5DFE">
        <w:rPr>
          <w:bCs/>
        </w:rPr>
        <w:t xml:space="preserve">projects </w:t>
      </w:r>
      <w:r w:rsidR="00452020">
        <w:rPr>
          <w:bCs/>
        </w:rPr>
        <w:t>that meet the following criteria</w:t>
      </w:r>
      <w:r>
        <w:rPr>
          <w:bCs/>
        </w:rPr>
        <w:t xml:space="preserve">: </w:t>
      </w:r>
    </w:p>
    <w:p w:rsidRPr="00657E00" w:rsidR="00F8398A" w:rsidP="006754C1" w:rsidRDefault="00F8398A" w14:paraId="414E4566" w14:textId="3DFD39E5">
      <w:pPr>
        <w:pStyle w:val="ListAlpha"/>
        <w:numPr>
          <w:ilvl w:val="7"/>
          <w:numId w:val="86"/>
        </w:numPr>
        <w:ind w:right="1440"/>
      </w:pPr>
      <w:r w:rsidRPr="00657E00">
        <w:t xml:space="preserve">any plant, line, extension, </w:t>
      </w:r>
      <w:r>
        <w:t xml:space="preserve">repair, replacement, </w:t>
      </w:r>
      <w:r w:rsidRPr="00657E00">
        <w:t xml:space="preserve">or modification </w:t>
      </w:r>
      <w:r w:rsidR="00575039">
        <w:t xml:space="preserve">of </w:t>
      </w:r>
      <w:r w:rsidR="004D52A2">
        <w:t>existing</w:t>
      </w:r>
      <w:r w:rsidR="00DC7129">
        <w:t xml:space="preserve"> facilities or structures </w:t>
      </w:r>
      <w:r w:rsidRPr="00657E00">
        <w:t xml:space="preserve">that is required </w:t>
      </w:r>
      <w:r>
        <w:t xml:space="preserve">pursuant to a </w:t>
      </w:r>
      <w:proofErr w:type="spellStart"/>
      <w:r w:rsidRPr="00657E00">
        <w:t>CalGEM</w:t>
      </w:r>
      <w:proofErr w:type="spellEnd"/>
      <w:r>
        <w:t xml:space="preserve"> Emergency Order or regulation</w:t>
      </w:r>
      <w:r w:rsidRPr="00657E00">
        <w:t>, PHMSA</w:t>
      </w:r>
      <w:r>
        <w:t>,</w:t>
      </w:r>
      <w:r w:rsidRPr="00657E00">
        <w:t xml:space="preserve"> </w:t>
      </w:r>
      <w:r>
        <w:t xml:space="preserve">this Commission, </w:t>
      </w:r>
      <w:r w:rsidRPr="00657E00">
        <w:t xml:space="preserve">or any other regulatory agency for safety reasons; </w:t>
      </w:r>
    </w:p>
    <w:p w:rsidRPr="00657E00" w:rsidR="00F8398A" w:rsidP="006754C1" w:rsidRDefault="00F8398A" w14:paraId="72C92F78" w14:textId="32548FF3">
      <w:pPr>
        <w:pStyle w:val="ListAlpha"/>
        <w:numPr>
          <w:ilvl w:val="7"/>
          <w:numId w:val="86"/>
        </w:numPr>
        <w:ind w:right="1440"/>
      </w:pPr>
      <w:r w:rsidRPr="00657E00">
        <w:t xml:space="preserve">projects </w:t>
      </w:r>
      <w:r>
        <w:t xml:space="preserve">that </w:t>
      </w:r>
      <w:r w:rsidRPr="00FA03A1">
        <w:t>have a</w:t>
      </w:r>
      <w:r w:rsidR="00146485">
        <w:t xml:space="preserve"> scheduled </w:t>
      </w:r>
      <w:r w:rsidRPr="00FA03A1">
        <w:t>in-service date occurring before January 1, 202</w:t>
      </w:r>
      <w:r>
        <w:t>4</w:t>
      </w:r>
      <w:r w:rsidR="0034613D">
        <w:t xml:space="preserve"> </w:t>
      </w:r>
      <w:r w:rsidRPr="0034613D" w:rsidR="0034613D">
        <w:t>and projects for which an application for approval has been submitted to an air quality management district for compliance with an environmental rule, prior to the effective date of this GO</w:t>
      </w:r>
      <w:r>
        <w:t>; or,</w:t>
      </w:r>
    </w:p>
    <w:p w:rsidRPr="001E2A62" w:rsidR="00FD6CBC" w:rsidP="006754C1" w:rsidRDefault="00F8398A" w14:paraId="6242A0A8" w14:textId="45D6ACEA">
      <w:pPr>
        <w:pStyle w:val="ListAlpha"/>
        <w:numPr>
          <w:ilvl w:val="7"/>
          <w:numId w:val="86"/>
        </w:numPr>
        <w:ind w:right="1440"/>
      </w:pPr>
      <w:r>
        <w:t xml:space="preserve">emergency projects </w:t>
      </w:r>
      <w:r w:rsidR="00A00DD7">
        <w:t xml:space="preserve">(for example: repairs, upgrades, replacements, restorations) </w:t>
      </w:r>
      <w:r>
        <w:t>as defined by CEQA Guideline § 15269 and Pub. Res. Code §</w:t>
      </w:r>
      <w:r w:rsidR="004371C3">
        <w:t xml:space="preserve">§ </w:t>
      </w:r>
      <w:r>
        <w:t>21060.3 and 21080(b)(2) &amp; (4)</w:t>
      </w:r>
      <w:r w:rsidR="00A00DD7">
        <w:t xml:space="preserve"> </w:t>
      </w:r>
      <w:r>
        <w:t>to ensure safe and reliable gas supplies.</w:t>
      </w:r>
    </w:p>
    <w:p w:rsidR="00745AFA" w:rsidP="00784E2B" w:rsidRDefault="00FF2AF9" w14:paraId="006A6E19" w14:textId="793216E5">
      <w:pPr>
        <w:pStyle w:val="CoL"/>
        <w:numPr>
          <w:ilvl w:val="0"/>
          <w:numId w:val="74"/>
        </w:numPr>
        <w:ind w:left="0" w:firstLine="360"/>
      </w:pPr>
      <w:r>
        <w:t>Th</w:t>
      </w:r>
      <w:r w:rsidR="00784E2B">
        <w:t>e</w:t>
      </w:r>
      <w:r>
        <w:t xml:space="preserve"> Commission </w:t>
      </w:r>
      <w:r w:rsidR="005801D9">
        <w:t>should require, w</w:t>
      </w:r>
      <w:r w:rsidRPr="00FF2AF9" w:rsidR="005801D9">
        <w:t xml:space="preserve">ithin 60 days of the </w:t>
      </w:r>
      <w:r w:rsidR="005801D9">
        <w:t xml:space="preserve">issuance </w:t>
      </w:r>
      <w:r w:rsidRPr="00FF2AF9" w:rsidR="005801D9">
        <w:t>of this decision</w:t>
      </w:r>
      <w:r w:rsidR="00CC1EA4">
        <w:t>,</w:t>
      </w:r>
      <w:r w:rsidRPr="00FF2AF9" w:rsidR="005801D9">
        <w:t xml:space="preserve"> </w:t>
      </w:r>
      <w:r w:rsidR="005801D9">
        <w:t xml:space="preserve">each respondent gas corporation to this rulemaking to </w:t>
      </w:r>
      <w:r w:rsidRPr="00FF2AF9">
        <w:t xml:space="preserve">file and serve a list of gas infrastructure projects </w:t>
      </w:r>
      <w:r w:rsidRPr="00FF2AF9" w:rsidR="00B33DD8">
        <w:t xml:space="preserve">that </w:t>
      </w:r>
      <w:r w:rsidR="00B33DD8">
        <w:t xml:space="preserve">are </w:t>
      </w:r>
      <w:r w:rsidRPr="00FF2AF9" w:rsidR="00B33DD8">
        <w:t xml:space="preserve">scheduled to be in-service </w:t>
      </w:r>
      <w:r w:rsidR="00A970C1">
        <w:t>before</w:t>
      </w:r>
      <w:r w:rsidRPr="00FF2AF9" w:rsidR="00A970C1">
        <w:t xml:space="preserve"> </w:t>
      </w:r>
      <w:r w:rsidRPr="00FF2AF9" w:rsidR="00B33DD8">
        <w:t>January</w:t>
      </w:r>
      <w:r w:rsidR="000B5D51">
        <w:t> </w:t>
      </w:r>
      <w:r w:rsidRPr="00FF2AF9" w:rsidR="00B33DD8">
        <w:t>1,</w:t>
      </w:r>
      <w:r w:rsidR="000B5D51">
        <w:t> </w:t>
      </w:r>
      <w:r w:rsidRPr="00FF2AF9" w:rsidR="00B33DD8">
        <w:t>2024</w:t>
      </w:r>
      <w:r w:rsidR="00B33DD8">
        <w:t xml:space="preserve">, that have </w:t>
      </w:r>
      <w:r w:rsidRPr="00FF2AF9">
        <w:t>a cost exceeding $75 million or</w:t>
      </w:r>
      <w:r w:rsidR="00784E2B">
        <w:t xml:space="preserve"> where</w:t>
      </w:r>
      <w:r w:rsidRPr="00FF2AF9">
        <w:t xml:space="preserve"> </w:t>
      </w:r>
      <w:r w:rsidRPr="00B1026D" w:rsidR="00784E2B">
        <w:t xml:space="preserve">(1) </w:t>
      </w:r>
      <w:r w:rsidRPr="00784E2B" w:rsidR="00784E2B">
        <w:t xml:space="preserve">the </w:t>
      </w:r>
      <w:r w:rsidRPr="00B1026D" w:rsidR="00784E2B">
        <w:t xml:space="preserve">project is located within 1,000 feet of a sensitive receptor; and (2) operation of the completed project </w:t>
      </w:r>
      <w:r w:rsidRPr="00784E2B" w:rsidR="00784E2B">
        <w:t xml:space="preserve">by the gas corporation </w:t>
      </w:r>
      <w:r w:rsidRPr="00B1026D" w:rsidR="00784E2B">
        <w:t>requires a permit from the relevant local air quality district for</w:t>
      </w:r>
      <w:r w:rsidR="00600059">
        <w:t xml:space="preserve">: </w:t>
      </w:r>
      <w:r w:rsidRPr="00B1026D" w:rsidR="00784E2B">
        <w:t>(a)</w:t>
      </w:r>
      <w:r w:rsidR="00600059">
        <w:t xml:space="preserve"> an increase in levels of</w:t>
      </w:r>
      <w:r w:rsidRPr="00B1026D" w:rsidR="00784E2B">
        <w:t xml:space="preserve"> a toxic air contaminant</w:t>
      </w:r>
      <w:r w:rsidR="00600059">
        <w:t xml:space="preserve"> (as </w:t>
      </w:r>
      <w:r w:rsidR="00600059">
        <w:lastRenderedPageBreak/>
        <w:t>defined in this decision)</w:t>
      </w:r>
      <w:r w:rsidRPr="00B1026D" w:rsidR="00784E2B">
        <w:t xml:space="preserve">; or (b) </w:t>
      </w:r>
      <w:r w:rsidR="00600059">
        <w:t xml:space="preserve">an increase in levels of </w:t>
      </w:r>
      <w:r w:rsidRPr="00B1026D" w:rsidR="00784E2B">
        <w:t>a criteria air pollutant</w:t>
      </w:r>
      <w:r w:rsidRPr="00784E2B" w:rsidR="00784E2B">
        <w:t>,</w:t>
      </w:r>
      <w:r w:rsidRPr="00B1026D" w:rsidR="00784E2B">
        <w:t xml:space="preserve"> if the area is listed as a serious, severe, or extreme non-attainment area for that pollutant</w:t>
      </w:r>
      <w:r w:rsidR="00784E2B">
        <w:t xml:space="preserve">, </w:t>
      </w:r>
      <w:r w:rsidR="00117C44">
        <w:t xml:space="preserve">should require this list to include, </w:t>
      </w:r>
      <w:r w:rsidRPr="00117C44" w:rsidR="00117C44">
        <w:t>clearly indicated, projects for which an application for approval has been submitted to an air quality management district for compliance with an environmental rule prior to the effective date of this GO</w:t>
      </w:r>
      <w:r w:rsidR="00117C44">
        <w:t xml:space="preserve">, </w:t>
      </w:r>
      <w:r w:rsidR="007618B9">
        <w:t>and should require e</w:t>
      </w:r>
      <w:r w:rsidRPr="00FF2AF9">
        <w:t>ach respondent gas utility</w:t>
      </w:r>
      <w:r w:rsidR="007618B9">
        <w:t xml:space="preserve"> to provide </w:t>
      </w:r>
      <w:r w:rsidRPr="00FF2AF9">
        <w:t xml:space="preserve">for each project listed the information identified in Section V(C)(2) of the adopted </w:t>
      </w:r>
      <w:r w:rsidR="005459A7">
        <w:t>GO</w:t>
      </w:r>
      <w:r w:rsidRPr="00FF2AF9">
        <w:t>.</w:t>
      </w:r>
    </w:p>
    <w:p w:rsidRPr="003F38D2" w:rsidR="00DB0B72" w:rsidP="007019A7" w:rsidRDefault="002D6D60" w14:paraId="19BFCE04" w14:textId="0DDACD83">
      <w:pPr>
        <w:pStyle w:val="CoL"/>
        <w:numPr>
          <w:ilvl w:val="0"/>
          <w:numId w:val="74"/>
        </w:numPr>
        <w:ind w:left="0" w:firstLine="360"/>
      </w:pPr>
      <w:r>
        <w:t>For gas infrastructure project</w:t>
      </w:r>
      <w:r w:rsidR="003F38D2">
        <w:t>s</w:t>
      </w:r>
      <w:r>
        <w:t xml:space="preserve"> with costs </w:t>
      </w:r>
      <w:r w:rsidR="003F38D2">
        <w:t xml:space="preserve">below </w:t>
      </w:r>
      <w:r>
        <w:t xml:space="preserve">$75 million or </w:t>
      </w:r>
      <w:r w:rsidR="007019A7">
        <w:t xml:space="preserve">where </w:t>
      </w:r>
      <w:r w:rsidRPr="00B1026D" w:rsidR="007019A7">
        <w:t xml:space="preserve">(1) </w:t>
      </w:r>
      <w:r w:rsidRPr="007019A7" w:rsidR="007019A7">
        <w:t xml:space="preserve">the </w:t>
      </w:r>
      <w:r w:rsidRPr="00B1026D" w:rsidR="007019A7">
        <w:t xml:space="preserve">project is </w:t>
      </w:r>
      <w:r w:rsidR="007019A7">
        <w:t xml:space="preserve">not </w:t>
      </w:r>
      <w:r w:rsidRPr="00B1026D" w:rsidR="007019A7">
        <w:t xml:space="preserve">located within 1,000 feet of a sensitive receptor; and (2) operation of the completed project </w:t>
      </w:r>
      <w:r w:rsidRPr="007019A7" w:rsidR="007019A7">
        <w:t xml:space="preserve">by the gas corporation </w:t>
      </w:r>
      <w:r w:rsidR="007019A7">
        <w:t xml:space="preserve">does not </w:t>
      </w:r>
      <w:r w:rsidRPr="00B1026D" w:rsidR="007019A7">
        <w:t>require a permit from the relevant local air quality district for</w:t>
      </w:r>
      <w:r w:rsidR="00795106">
        <w:t xml:space="preserve">: </w:t>
      </w:r>
      <w:r w:rsidRPr="00B1026D" w:rsidR="007019A7">
        <w:t xml:space="preserve">(a) </w:t>
      </w:r>
      <w:r w:rsidR="00795106">
        <w:t xml:space="preserve">an increase in levels of </w:t>
      </w:r>
      <w:r w:rsidRPr="00B1026D" w:rsidR="007019A7">
        <w:t>a toxic air contaminant</w:t>
      </w:r>
      <w:r w:rsidR="00795106">
        <w:t xml:space="preserve"> (as defined in this decision)</w:t>
      </w:r>
      <w:r w:rsidRPr="00B1026D" w:rsidR="007019A7">
        <w:t xml:space="preserve">; or (b) </w:t>
      </w:r>
      <w:r w:rsidR="00795106">
        <w:t xml:space="preserve">an increase in levels of </w:t>
      </w:r>
      <w:r w:rsidRPr="00B1026D" w:rsidR="007019A7">
        <w:t>a criteria air pollutant</w:t>
      </w:r>
      <w:r w:rsidRPr="007019A7" w:rsidR="007019A7">
        <w:t>,</w:t>
      </w:r>
      <w:r w:rsidRPr="00B1026D" w:rsidR="007019A7">
        <w:t xml:space="preserve"> if the area is listed as a serious, severe, or extreme non-attainment area for that pollutant</w:t>
      </w:r>
      <w:r w:rsidRPr="007019A7">
        <w:rPr>
          <w:bCs/>
        </w:rPr>
        <w:t xml:space="preserve">, the </w:t>
      </w:r>
      <w:r w:rsidRPr="007019A7" w:rsidR="00A850DC">
        <w:rPr>
          <w:bCs/>
        </w:rPr>
        <w:t xml:space="preserve">Commission’s complaint procedure is adequate for addressing concerns public agencies or the public may have with regard to utility projects. </w:t>
      </w:r>
    </w:p>
    <w:p w:rsidR="0032466C" w:rsidP="00AE4B94" w:rsidRDefault="0032466C" w14:paraId="7575A2CC" w14:textId="1E0ACAD9">
      <w:pPr>
        <w:pStyle w:val="CoL"/>
        <w:numPr>
          <w:ilvl w:val="0"/>
          <w:numId w:val="74"/>
        </w:numPr>
        <w:ind w:left="0" w:firstLine="360"/>
      </w:pPr>
      <w:r>
        <w:t>Requiring gas corporations</w:t>
      </w:r>
      <w:r w:rsidR="00CA62FF">
        <w:t>,</w:t>
      </w:r>
      <w:r>
        <w:t xml:space="preserve"> if a </w:t>
      </w:r>
      <w:r w:rsidRPr="0032466C">
        <w:t xml:space="preserve">proposed project is located within an ESJ </w:t>
      </w:r>
      <w:r w:rsidR="009865E8">
        <w:t>c</w:t>
      </w:r>
      <w:r w:rsidRPr="0032466C">
        <w:t>ommunity</w:t>
      </w:r>
      <w:r>
        <w:t xml:space="preserve">, </w:t>
      </w:r>
      <w:r w:rsidRPr="0032466C">
        <w:t xml:space="preserve">to consider </w:t>
      </w:r>
      <w:r w:rsidR="00CA62FF">
        <w:t xml:space="preserve">in their CPCN applications </w:t>
      </w:r>
      <w:r w:rsidRPr="0032466C">
        <w:t xml:space="preserve">whether it is possible to relocate the project </w:t>
      </w:r>
      <w:r>
        <w:t>out</w:t>
      </w:r>
      <w:r w:rsidRPr="0032466C">
        <w:t>side such areas</w:t>
      </w:r>
      <w:r>
        <w:t>,</w:t>
      </w:r>
      <w:r w:rsidRPr="0032466C">
        <w:t xml:space="preserve"> </w:t>
      </w:r>
      <w:r>
        <w:t>and, i</w:t>
      </w:r>
      <w:r w:rsidRPr="0032466C">
        <w:t>f so, steps taken to</w:t>
      </w:r>
      <w:r>
        <w:t xml:space="preserve"> do so, </w:t>
      </w:r>
      <w:r w:rsidR="0041268A">
        <w:t xml:space="preserve">reflects the intent of </w:t>
      </w:r>
      <w:r w:rsidRPr="0032466C">
        <w:t>Pub. Util. Code Section 454.52(a)(1)(I)</w:t>
      </w:r>
      <w:r>
        <w:t>.</w:t>
      </w:r>
    </w:p>
    <w:p w:rsidR="003E3499" w:rsidP="00AE4B94" w:rsidRDefault="00717DEE" w14:paraId="1F436517" w14:textId="77777777">
      <w:pPr>
        <w:pStyle w:val="CoL"/>
        <w:numPr>
          <w:ilvl w:val="0"/>
          <w:numId w:val="74"/>
        </w:numPr>
        <w:ind w:left="0" w:firstLine="360"/>
      </w:pPr>
      <w:r>
        <w:t xml:space="preserve">Independent storage projects that have previously undergone CEQA review and are included in the </w:t>
      </w:r>
      <w:r w:rsidRPr="00646696">
        <w:t xml:space="preserve">existing </w:t>
      </w:r>
      <w:r w:rsidR="00B479D5">
        <w:t xml:space="preserve">property boundary </w:t>
      </w:r>
      <w:r>
        <w:t xml:space="preserve">of a current CPCN </w:t>
      </w:r>
      <w:r w:rsidR="00CA62FF">
        <w:t xml:space="preserve">should be </w:t>
      </w:r>
      <w:r>
        <w:t xml:space="preserve">excluded from additional CPCN application requirements under the </w:t>
      </w:r>
      <w:r w:rsidR="005459A7">
        <w:t>GO</w:t>
      </w:r>
      <w:r>
        <w:t xml:space="preserve">.  However, any storage expansion project that meets the criteria and definitions adopted here </w:t>
      </w:r>
      <w:r w:rsidR="00CA62FF">
        <w:t xml:space="preserve">should </w:t>
      </w:r>
      <w:r>
        <w:t xml:space="preserve">apply for a CPCN application as stated in our adopted </w:t>
      </w:r>
      <w:r w:rsidR="005459A7">
        <w:t>GO</w:t>
      </w:r>
      <w:r w:rsidR="003E3499">
        <w:t>.</w:t>
      </w:r>
    </w:p>
    <w:p w:rsidRPr="001E2A62" w:rsidR="00717DEE" w:rsidP="00AE4B94" w:rsidRDefault="003E3499" w14:paraId="6189E52E" w14:textId="1F149969">
      <w:pPr>
        <w:pStyle w:val="CoL"/>
        <w:numPr>
          <w:ilvl w:val="0"/>
          <w:numId w:val="74"/>
        </w:numPr>
        <w:ind w:left="0" w:firstLine="360"/>
      </w:pPr>
      <w:r>
        <w:lastRenderedPageBreak/>
        <w:t xml:space="preserve">The Commission should </w:t>
      </w:r>
      <w:r w:rsidR="00B66F45">
        <w:t xml:space="preserve">require independent storage providers to </w:t>
      </w:r>
      <w:r w:rsidR="00ED61F5">
        <w:t xml:space="preserve">provide </w:t>
      </w:r>
      <w:r w:rsidR="00822068">
        <w:t xml:space="preserve">the same information </w:t>
      </w:r>
      <w:r w:rsidR="00ED61F5">
        <w:t xml:space="preserve">as other gas corporations </w:t>
      </w:r>
      <w:r w:rsidR="00822068">
        <w:t>in CPCN application</w:t>
      </w:r>
      <w:r w:rsidR="00ED61F5">
        <w:t>s</w:t>
      </w:r>
      <w:r w:rsidR="00822068">
        <w:t xml:space="preserve"> and annual report</w:t>
      </w:r>
      <w:r w:rsidR="00ED61F5">
        <w:t>s</w:t>
      </w:r>
      <w:r w:rsidR="007B09C9">
        <w:t xml:space="preserve">, </w:t>
      </w:r>
      <w:r w:rsidR="00822068">
        <w:t>with the exception</w:t>
      </w:r>
      <w:r w:rsidR="00ED61F5">
        <w:t xml:space="preserve">, in CPCN applications, </w:t>
      </w:r>
      <w:r w:rsidR="00822068">
        <w:t xml:space="preserve">of </w:t>
      </w:r>
      <w:r w:rsidR="00ED61F5">
        <w:t xml:space="preserve">the </w:t>
      </w:r>
      <w:r w:rsidRPr="00ED61F5" w:rsidR="00ED61F5">
        <w:t>information elements contained in Section VI(A)(4)(a) Section VI(A)(4)(b), VI(A)(4)(d) and VI(A)(5)(c)</w:t>
      </w:r>
      <w:r w:rsidR="008847C7">
        <w:t xml:space="preserve">, and with the </w:t>
      </w:r>
      <w:r w:rsidR="009F1E95">
        <w:t xml:space="preserve">exception, in </w:t>
      </w:r>
      <w:r w:rsidR="008847C7">
        <w:t>the annual Report of Planned Gas Investments, o</w:t>
      </w:r>
      <w:r w:rsidR="009F1E95">
        <w:t>f</w:t>
      </w:r>
      <w:r w:rsidR="008847C7">
        <w:t xml:space="preserve"> information element D(1)</w:t>
      </w:r>
      <w:r w:rsidR="00971AF4">
        <w:t xml:space="preserve"> in Section X</w:t>
      </w:r>
      <w:r w:rsidR="00ED61F5">
        <w:t>.</w:t>
      </w:r>
    </w:p>
    <w:p w:rsidRPr="00435864" w:rsidR="00435864" w:rsidP="00AE4B94" w:rsidRDefault="004B0A1B" w14:paraId="5732E499" w14:textId="39C911CB">
      <w:pPr>
        <w:pStyle w:val="CoL"/>
        <w:numPr>
          <w:ilvl w:val="0"/>
          <w:numId w:val="74"/>
        </w:numPr>
        <w:ind w:left="0" w:firstLine="360"/>
      </w:pPr>
      <w:r>
        <w:rPr>
          <w:bCs/>
        </w:rPr>
        <w:t xml:space="preserve">The Commission should direct </w:t>
      </w:r>
      <w:r w:rsidRPr="004B0A1B">
        <w:rPr>
          <w:bCs/>
        </w:rPr>
        <w:t xml:space="preserve">PG&amp;E, SoCalGas, and SDG&amp;E to jointly convene a Report of Planned Gas Investments Workshop no less than 60 days from the date of filing their annual gas reports pursuant to Section X of the </w:t>
      </w:r>
      <w:r w:rsidR="005459A7">
        <w:rPr>
          <w:bCs/>
        </w:rPr>
        <w:t>GO</w:t>
      </w:r>
      <w:r w:rsidR="00FD0338">
        <w:rPr>
          <w:bCs/>
        </w:rPr>
        <w:t> </w:t>
      </w:r>
      <w:r w:rsidRPr="004B0A1B">
        <w:rPr>
          <w:bCs/>
        </w:rPr>
        <w:t>adopted here, for the years 2023, 2024 and 2025.  To the extent a gas</w:t>
      </w:r>
      <w:r w:rsidR="000B5D51">
        <w:rPr>
          <w:bCs/>
        </w:rPr>
        <w:t> </w:t>
      </w:r>
      <w:r w:rsidRPr="004B0A1B">
        <w:rPr>
          <w:bCs/>
        </w:rPr>
        <w:t xml:space="preserve">corporation other than PG&amp;E, SoCalGas, and SDG&amp;E has upcoming projects listed in that year’s annual Report of Planned Gas Investments, the </w:t>
      </w:r>
      <w:r>
        <w:rPr>
          <w:bCs/>
        </w:rPr>
        <w:t xml:space="preserve">Commission should require that </w:t>
      </w:r>
      <w:r w:rsidRPr="004B0A1B">
        <w:rPr>
          <w:bCs/>
        </w:rPr>
        <w:t xml:space="preserve">gas corporation </w:t>
      </w:r>
      <w:r>
        <w:rPr>
          <w:bCs/>
        </w:rPr>
        <w:t xml:space="preserve">to </w:t>
      </w:r>
      <w:r w:rsidRPr="004B0A1B">
        <w:rPr>
          <w:bCs/>
        </w:rPr>
        <w:t>participate in the workshop and present on such projects.</w:t>
      </w:r>
    </w:p>
    <w:p w:rsidRPr="005B6B5B" w:rsidR="005B6B5B" w:rsidP="00AE4B94" w:rsidRDefault="00435864" w14:paraId="5E95BBB0" w14:textId="73921136">
      <w:pPr>
        <w:pStyle w:val="CoL"/>
        <w:numPr>
          <w:ilvl w:val="0"/>
          <w:numId w:val="74"/>
        </w:numPr>
        <w:ind w:left="0" w:firstLine="360"/>
      </w:pPr>
      <w:r>
        <w:rPr>
          <w:bCs/>
        </w:rPr>
        <w:t>The Commission should allow p</w:t>
      </w:r>
      <w:r w:rsidRPr="00435864">
        <w:rPr>
          <w:bCs/>
        </w:rPr>
        <w:t xml:space="preserve">arties </w:t>
      </w:r>
      <w:r>
        <w:rPr>
          <w:bCs/>
        </w:rPr>
        <w:t xml:space="preserve">to </w:t>
      </w:r>
      <w:r w:rsidR="00CA62FF">
        <w:rPr>
          <w:bCs/>
        </w:rPr>
        <w:t xml:space="preserve">file and </w:t>
      </w:r>
      <w:r w:rsidR="00F328DC">
        <w:rPr>
          <w:bCs/>
        </w:rPr>
        <w:t xml:space="preserve">serve </w:t>
      </w:r>
      <w:r w:rsidRPr="00435864">
        <w:rPr>
          <w:bCs/>
        </w:rPr>
        <w:t xml:space="preserve">comments on the annual </w:t>
      </w:r>
      <w:r w:rsidRPr="004B0A1B">
        <w:rPr>
          <w:bCs/>
        </w:rPr>
        <w:t xml:space="preserve">Report of Planned Gas Investments </w:t>
      </w:r>
      <w:r>
        <w:rPr>
          <w:bCs/>
        </w:rPr>
        <w:t xml:space="preserve">and to </w:t>
      </w:r>
      <w:r w:rsidRPr="00435864">
        <w:rPr>
          <w:bCs/>
        </w:rPr>
        <w:t>recommend</w:t>
      </w:r>
      <w:r>
        <w:rPr>
          <w:bCs/>
        </w:rPr>
        <w:t xml:space="preserve"> c</w:t>
      </w:r>
      <w:r w:rsidRPr="00435864">
        <w:rPr>
          <w:bCs/>
        </w:rPr>
        <w:t>hanges to the</w:t>
      </w:r>
      <w:r>
        <w:rPr>
          <w:bCs/>
        </w:rPr>
        <w:t xml:space="preserve"> reports</w:t>
      </w:r>
      <w:r w:rsidR="00050FDA">
        <w:rPr>
          <w:bCs/>
        </w:rPr>
        <w:t xml:space="preserve"> and to reporting requirements, as needed, in R.20-01-007 or a successor proceeding</w:t>
      </w:r>
      <w:r w:rsidRPr="00435864">
        <w:rPr>
          <w:bCs/>
        </w:rPr>
        <w:t xml:space="preserve">, in the years 2023, 2024, and 2025, no later than 15 days from the date of each annual Report of Planned Gas Investments Workshop.  During the years 2023, 2024, and 2025, </w:t>
      </w:r>
      <w:r w:rsidR="001D57F8">
        <w:rPr>
          <w:bCs/>
        </w:rPr>
        <w:t xml:space="preserve">the Commission should require </w:t>
      </w:r>
      <w:r w:rsidRPr="00435864">
        <w:rPr>
          <w:bCs/>
        </w:rPr>
        <w:t xml:space="preserve">gas corporations </w:t>
      </w:r>
      <w:r w:rsidR="001D57F8">
        <w:rPr>
          <w:bCs/>
        </w:rPr>
        <w:t xml:space="preserve">to </w:t>
      </w:r>
      <w:r w:rsidRPr="00435864">
        <w:rPr>
          <w:bCs/>
        </w:rPr>
        <w:t xml:space="preserve">consider filed party comments on their report, and </w:t>
      </w:r>
      <w:r w:rsidR="001D57F8">
        <w:rPr>
          <w:bCs/>
        </w:rPr>
        <w:t xml:space="preserve">to </w:t>
      </w:r>
      <w:r w:rsidRPr="00435864">
        <w:rPr>
          <w:bCs/>
        </w:rPr>
        <w:t xml:space="preserve">refile their reports, with revisions </w:t>
      </w:r>
      <w:r w:rsidR="005158BD">
        <w:t xml:space="preserve">that </w:t>
      </w:r>
      <w:r w:rsidR="00C56D4A">
        <w:t>add additional information or clarifications t</w:t>
      </w:r>
      <w:r w:rsidR="005158BD">
        <w:t xml:space="preserve">o </w:t>
      </w:r>
      <w:r w:rsidR="00C56D4A">
        <w:t xml:space="preserve">address </w:t>
      </w:r>
      <w:r w:rsidRPr="00435864">
        <w:rPr>
          <w:bCs/>
        </w:rPr>
        <w:t xml:space="preserve">party comments, no later than </w:t>
      </w:r>
      <w:r w:rsidR="0096111E">
        <w:rPr>
          <w:bCs/>
        </w:rPr>
        <w:t>45</w:t>
      </w:r>
      <w:r w:rsidRPr="00435864">
        <w:rPr>
          <w:bCs/>
        </w:rPr>
        <w:t xml:space="preserve"> days from the date party comments are filed</w:t>
      </w:r>
      <w:r w:rsidR="001D57F8">
        <w:rPr>
          <w:bCs/>
        </w:rPr>
        <w:t xml:space="preserve">, </w:t>
      </w:r>
      <w:r w:rsidRPr="00435864">
        <w:rPr>
          <w:bCs/>
        </w:rPr>
        <w:t>includ</w:t>
      </w:r>
      <w:r w:rsidR="001D57F8">
        <w:rPr>
          <w:bCs/>
        </w:rPr>
        <w:t>ing</w:t>
      </w:r>
      <w:r w:rsidRPr="00435864">
        <w:rPr>
          <w:bCs/>
        </w:rPr>
        <w:t xml:space="preserve"> in the refiled reports an appendix that summarizes how each party comment was addressed</w:t>
      </w:r>
      <w:r w:rsidR="00606214">
        <w:rPr>
          <w:bCs/>
        </w:rPr>
        <w:t>.</w:t>
      </w:r>
    </w:p>
    <w:p w:rsidRPr="00E9125E" w:rsidR="00E9125E" w:rsidP="00AE4B94" w:rsidRDefault="005B6B5B" w14:paraId="16A4687B" w14:textId="45AB34C9">
      <w:pPr>
        <w:pStyle w:val="CoL"/>
        <w:numPr>
          <w:ilvl w:val="0"/>
          <w:numId w:val="74"/>
        </w:numPr>
        <w:ind w:left="0" w:firstLine="360"/>
      </w:pPr>
      <w:r>
        <w:rPr>
          <w:bCs/>
        </w:rPr>
        <w:lastRenderedPageBreak/>
        <w:t>The Commission should require</w:t>
      </w:r>
      <w:r>
        <w:t xml:space="preserve"> </w:t>
      </w:r>
      <w:r w:rsidRPr="009F1177">
        <w:t xml:space="preserve">PG&amp;E, SoCalGas, and SDG&amp;E, and other gas corporations as interested, </w:t>
      </w:r>
      <w:r>
        <w:t xml:space="preserve">no later than </w:t>
      </w:r>
      <w:r w:rsidR="00F80FCA">
        <w:t>9</w:t>
      </w:r>
      <w:r>
        <w:t xml:space="preserve">0 days from the date party comments are served and filed on the </w:t>
      </w:r>
      <w:r w:rsidRPr="00435864">
        <w:rPr>
          <w:bCs/>
        </w:rPr>
        <w:t xml:space="preserve">annual </w:t>
      </w:r>
      <w:r w:rsidRPr="004B0A1B">
        <w:rPr>
          <w:bCs/>
        </w:rPr>
        <w:t>Report of Planned Gas Investments</w:t>
      </w:r>
      <w:r>
        <w:t xml:space="preserve"> in 2023, 2024, and 2025, to </w:t>
      </w:r>
      <w:r w:rsidRPr="00F84D2F">
        <w:t xml:space="preserve">jointly </w:t>
      </w:r>
      <w:r w:rsidRPr="009F1177">
        <w:t>submit a Tier 3 Advice Letter requesting any changes to the reporting requirements suggested by parties and agreed to by the gas corporation</w:t>
      </w:r>
      <w:r w:rsidRPr="00F84D2F">
        <w:t>s.</w:t>
      </w:r>
      <w:r>
        <w:t xml:space="preserve">  </w:t>
      </w:r>
      <w:r w:rsidRPr="0045476D">
        <w:t xml:space="preserve">If no changes to the reporting requirements were proposed by parties and agreed to by the </w:t>
      </w:r>
      <w:r>
        <w:t>gas corporations</w:t>
      </w:r>
      <w:r w:rsidRPr="0045476D">
        <w:t xml:space="preserve">, </w:t>
      </w:r>
      <w:r>
        <w:t xml:space="preserve">the Commission should not require PG&amp;E, SoCalGas, and SDG&amp;E </w:t>
      </w:r>
      <w:r w:rsidRPr="0045476D">
        <w:t>to file a Tier 3 Advice Lette</w:t>
      </w:r>
      <w:r>
        <w:t>r.</w:t>
      </w:r>
    </w:p>
    <w:p w:rsidRPr="001E2A62" w:rsidR="004B0A1B" w:rsidP="00AE4B94" w:rsidRDefault="00E9125E" w14:paraId="379A16C0" w14:textId="38128922">
      <w:pPr>
        <w:pStyle w:val="CoL"/>
        <w:numPr>
          <w:ilvl w:val="0"/>
          <w:numId w:val="74"/>
        </w:numPr>
        <w:ind w:left="0" w:firstLine="360"/>
      </w:pPr>
      <w:r>
        <w:t xml:space="preserve">The Commission should adopt the </w:t>
      </w:r>
      <w:r w:rsidR="00CA62FF">
        <w:t>GO set forth in Appendix A</w:t>
      </w:r>
      <w:r>
        <w:t xml:space="preserve">. </w:t>
      </w:r>
      <w:r w:rsidRPr="00E9125E" w:rsidR="00435864">
        <w:rPr>
          <w:bCs/>
        </w:rPr>
        <w:t xml:space="preserve"> </w:t>
      </w:r>
      <w:r w:rsidRPr="00E9125E" w:rsidR="004B0A1B">
        <w:rPr>
          <w:bCs/>
        </w:rPr>
        <w:t xml:space="preserve">  </w:t>
      </w:r>
    </w:p>
    <w:p w:rsidR="00BB0243" w:rsidP="000A6E05" w:rsidRDefault="005939A5" w14:paraId="2FB0657F" w14:textId="77777777">
      <w:pPr>
        <w:pStyle w:val="Mainex"/>
      </w:pPr>
      <w:bookmarkStart w:name="_Toc120692882" w:id="131"/>
      <w:r>
        <w:t>O</w:t>
      </w:r>
      <w:r w:rsidR="00722850">
        <w:t>RDER</w:t>
      </w:r>
      <w:bookmarkEnd w:id="131"/>
    </w:p>
    <w:p w:rsidR="00BB0243" w:rsidP="000A6E05" w:rsidRDefault="00BB0243" w14:paraId="1D329560" w14:textId="77777777">
      <w:pPr>
        <w:keepNext/>
      </w:pPr>
      <w:r w:rsidRPr="00BB0243">
        <w:rPr>
          <w:b/>
        </w:rPr>
        <w:t>IT IS ORDERED</w:t>
      </w:r>
      <w:r>
        <w:t xml:space="preserve"> that:</w:t>
      </w:r>
    </w:p>
    <w:p w:rsidR="00932865" w:rsidP="00672818" w:rsidRDefault="00B528B1" w14:paraId="38994E5B" w14:textId="3C519A79">
      <w:pPr>
        <w:pStyle w:val="OP"/>
      </w:pPr>
      <w:r>
        <w:t xml:space="preserve">The </w:t>
      </w:r>
      <w:r w:rsidR="005459A7">
        <w:t>General Order</w:t>
      </w:r>
      <w:r>
        <w:t xml:space="preserve"> </w:t>
      </w:r>
      <w:r w:rsidR="007437B9">
        <w:t xml:space="preserve">attached to this decision as </w:t>
      </w:r>
      <w:r w:rsidR="0050619C">
        <w:t>Appendix A</w:t>
      </w:r>
      <w:r w:rsidR="00893A27">
        <w:t xml:space="preserve">, </w:t>
      </w:r>
      <w:r w:rsidR="00672104">
        <w:t xml:space="preserve">General Order 177, </w:t>
      </w:r>
      <w:r w:rsidR="00B41E8A">
        <w:t>which</w:t>
      </w:r>
      <w:r>
        <w:t xml:space="preserve"> </w:t>
      </w:r>
      <w:r w:rsidR="00B41E8A">
        <w:t xml:space="preserve">prescribes the rules relating to the planning and construction of gas infrastructure located in California, is adopted. </w:t>
      </w:r>
    </w:p>
    <w:p w:rsidR="00B41E8A" w:rsidP="00672818" w:rsidRDefault="00B41E8A" w14:paraId="57E4DB26" w14:textId="3DDB0233">
      <w:pPr>
        <w:pStyle w:val="OP"/>
      </w:pPr>
      <w:r>
        <w:t xml:space="preserve">Gas infrastructure </w:t>
      </w:r>
      <w:r w:rsidR="002E7A91">
        <w:t xml:space="preserve">planned or constructed by California gas </w:t>
      </w:r>
      <w:r w:rsidR="002C33C9">
        <w:t>utilities</w:t>
      </w:r>
      <w:r w:rsidR="002E7A91">
        <w:t xml:space="preserve"> under this Commission’s jurisdiction shall </w:t>
      </w:r>
      <w:r w:rsidR="005D33C0">
        <w:t xml:space="preserve">adhere to the </w:t>
      </w:r>
      <w:r w:rsidR="002E7A91">
        <w:t xml:space="preserve">rules set forth in </w:t>
      </w:r>
      <w:r w:rsidR="005459A7">
        <w:t xml:space="preserve">General Order </w:t>
      </w:r>
      <w:r w:rsidR="00672104">
        <w:t>177</w:t>
      </w:r>
      <w:r w:rsidRPr="003469F5" w:rsidR="00B528B1">
        <w:t>.</w:t>
      </w:r>
      <w:r w:rsidR="002E7A91">
        <w:t xml:space="preserve"> </w:t>
      </w:r>
    </w:p>
    <w:p w:rsidRPr="00D90BF0" w:rsidR="002E7A91" w:rsidP="00672818" w:rsidRDefault="002E7A91" w14:paraId="3314A164" w14:textId="11B3FF2E">
      <w:pPr>
        <w:pStyle w:val="OP"/>
        <w:rPr>
          <w:bCs/>
        </w:rPr>
      </w:pPr>
      <w:r>
        <w:t xml:space="preserve">Prior to </w:t>
      </w:r>
      <w:r w:rsidR="00FD6E29">
        <w:t xml:space="preserve">the </w:t>
      </w:r>
      <w:r w:rsidRPr="0041218C" w:rsidR="0041218C">
        <w:t xml:space="preserve">construction or physical modification of any </w:t>
      </w:r>
      <w:r w:rsidR="00B2588C">
        <w:t xml:space="preserve">gas </w:t>
      </w:r>
      <w:r w:rsidRPr="0041218C" w:rsidR="0041218C">
        <w:t>plant</w:t>
      </w:r>
      <w:r w:rsidR="00B2588C">
        <w:t xml:space="preserve"> with independent utility in the gas syst</w:t>
      </w:r>
      <w:r w:rsidR="00AE02DE">
        <w:t>em w</w:t>
      </w:r>
      <w:r w:rsidR="007B1101">
        <w:rPr>
          <w:bCs/>
        </w:rPr>
        <w:t xml:space="preserve">ith a cost </w:t>
      </w:r>
      <w:r w:rsidR="00073A57">
        <w:rPr>
          <w:bCs/>
        </w:rPr>
        <w:t xml:space="preserve">exceeding </w:t>
      </w:r>
      <w:r w:rsidR="007B1101">
        <w:rPr>
          <w:bCs/>
        </w:rPr>
        <w:t>$75 million</w:t>
      </w:r>
      <w:r w:rsidR="00B5580D">
        <w:rPr>
          <w:bCs/>
        </w:rPr>
        <w:t>,</w:t>
      </w:r>
      <w:r w:rsidR="007B1101">
        <w:rPr>
          <w:bCs/>
        </w:rPr>
        <w:t xml:space="preserve"> </w:t>
      </w:r>
      <w:r w:rsidR="00073A57">
        <w:rPr>
          <w:bCs/>
        </w:rPr>
        <w:t>or</w:t>
      </w:r>
      <w:r w:rsidR="003F3AB3">
        <w:rPr>
          <w:bCs/>
        </w:rPr>
        <w:t xml:space="preserve"> </w:t>
      </w:r>
      <w:r w:rsidR="00D90BF0">
        <w:rPr>
          <w:bCs/>
        </w:rPr>
        <w:t xml:space="preserve">where </w:t>
      </w:r>
      <w:r w:rsidRPr="00B1026D" w:rsidR="00D90BF0">
        <w:rPr>
          <w:bCs/>
        </w:rPr>
        <w:t xml:space="preserve">(1) </w:t>
      </w:r>
      <w:r w:rsidRPr="00D90BF0" w:rsidR="00D90BF0">
        <w:rPr>
          <w:bCs/>
        </w:rPr>
        <w:t xml:space="preserve">the </w:t>
      </w:r>
      <w:r w:rsidRPr="00B1026D" w:rsidR="00D90BF0">
        <w:rPr>
          <w:bCs/>
        </w:rPr>
        <w:t xml:space="preserve">project is located within 1,000 feet of a sensitive receptor; and (2) operation of the completed project </w:t>
      </w:r>
      <w:r w:rsidRPr="00D90BF0" w:rsidR="00D90BF0">
        <w:rPr>
          <w:bCs/>
        </w:rPr>
        <w:t xml:space="preserve">by the gas corporation </w:t>
      </w:r>
      <w:r w:rsidRPr="00B1026D" w:rsidR="00D90BF0">
        <w:rPr>
          <w:bCs/>
        </w:rPr>
        <w:t>requires a permit from the relevant local air quality district for</w:t>
      </w:r>
      <w:r w:rsidR="001A7034">
        <w:rPr>
          <w:bCs/>
        </w:rPr>
        <w:t>:</w:t>
      </w:r>
      <w:r w:rsidRPr="00B1026D" w:rsidR="00D90BF0">
        <w:rPr>
          <w:bCs/>
        </w:rPr>
        <w:t xml:space="preserve"> (a) </w:t>
      </w:r>
      <w:r w:rsidR="001A7034">
        <w:rPr>
          <w:bCs/>
        </w:rPr>
        <w:t xml:space="preserve">an increase in levels of </w:t>
      </w:r>
      <w:r w:rsidRPr="00B1026D" w:rsidR="00D90BF0">
        <w:rPr>
          <w:bCs/>
        </w:rPr>
        <w:t>a toxic air contaminant</w:t>
      </w:r>
      <w:r w:rsidR="007C28C5">
        <w:rPr>
          <w:bCs/>
        </w:rPr>
        <w:t xml:space="preserve">, </w:t>
      </w:r>
      <w:r w:rsidR="002A211B">
        <w:rPr>
          <w:bCs/>
        </w:rPr>
        <w:t xml:space="preserve">defined as </w:t>
      </w:r>
      <w:r w:rsidRPr="002A211B" w:rsidR="002A211B">
        <w:rPr>
          <w:bCs/>
        </w:rPr>
        <w:t>an increase exceeding de minimis levels or, where relevant, allowable limits set by the local air quality district</w:t>
      </w:r>
      <w:r w:rsidRPr="00B1026D" w:rsidR="00D90BF0">
        <w:rPr>
          <w:bCs/>
        </w:rPr>
        <w:t xml:space="preserve">; or (b) </w:t>
      </w:r>
      <w:r w:rsidR="001A7034">
        <w:rPr>
          <w:bCs/>
        </w:rPr>
        <w:t xml:space="preserve">an increase in levels of </w:t>
      </w:r>
      <w:r w:rsidRPr="00B1026D" w:rsidR="00D90BF0">
        <w:rPr>
          <w:bCs/>
        </w:rPr>
        <w:t>a criteria air pollutant</w:t>
      </w:r>
      <w:r w:rsidRPr="00D90BF0" w:rsidR="00D90BF0">
        <w:rPr>
          <w:bCs/>
        </w:rPr>
        <w:t>,</w:t>
      </w:r>
      <w:r w:rsidRPr="00B1026D" w:rsidR="00D90BF0">
        <w:rPr>
          <w:bCs/>
        </w:rPr>
        <w:t xml:space="preserve"> if the area is listed as a serious, severe, or extreme non-attainment area for that pollutant</w:t>
      </w:r>
      <w:r w:rsidR="00D90BF0">
        <w:rPr>
          <w:bCs/>
        </w:rPr>
        <w:t xml:space="preserve">, </w:t>
      </w:r>
      <w:r w:rsidRPr="00D90BF0" w:rsidR="002C33C9">
        <w:rPr>
          <w:bCs/>
        </w:rPr>
        <w:t xml:space="preserve">the gas utility shall file an application for </w:t>
      </w:r>
      <w:r w:rsidRPr="00D90BF0" w:rsidR="002C33C9">
        <w:rPr>
          <w:bCs/>
        </w:rPr>
        <w:lastRenderedPageBreak/>
        <w:t>a certificate of public convenience and necessity</w:t>
      </w:r>
      <w:r w:rsidRPr="00D90BF0" w:rsidR="004A6835">
        <w:rPr>
          <w:bCs/>
        </w:rPr>
        <w:t>, unless the project qualifies for exemption as prescribed in</w:t>
      </w:r>
      <w:r w:rsidRPr="00D90BF0" w:rsidR="0041218C">
        <w:rPr>
          <w:bCs/>
        </w:rPr>
        <w:t xml:space="preserve"> </w:t>
      </w:r>
      <w:r w:rsidR="005459A7">
        <w:t>General Order</w:t>
      </w:r>
      <w:r w:rsidR="00672104">
        <w:t xml:space="preserve"> 177</w:t>
      </w:r>
      <w:r w:rsidRPr="00646696" w:rsidR="004A6835">
        <w:t>.</w:t>
      </w:r>
      <w:r w:rsidRPr="00D90BF0" w:rsidR="004A6835">
        <w:rPr>
          <w:bCs/>
        </w:rPr>
        <w:t xml:space="preserve"> </w:t>
      </w:r>
    </w:p>
    <w:p w:rsidR="0050619C" w:rsidP="00672818" w:rsidRDefault="00BD320F" w14:paraId="58058CBE" w14:textId="0D2785E4">
      <w:pPr>
        <w:pStyle w:val="OP"/>
      </w:pPr>
      <w:r>
        <w:t>G</w:t>
      </w:r>
      <w:r w:rsidR="007D71A4">
        <w:t xml:space="preserve">as </w:t>
      </w:r>
      <w:r w:rsidR="001C582E">
        <w:t>utilit</w:t>
      </w:r>
      <w:r>
        <w:t>ies invoking exemptions (</w:t>
      </w:r>
      <w:r w:rsidR="00794310">
        <w:t>a)-(b) listed under Section IV(B) of General Order 177</w:t>
      </w:r>
      <w:r w:rsidR="005D786D">
        <w:t xml:space="preserve"> </w:t>
      </w:r>
      <w:r w:rsidR="001C582E">
        <w:t xml:space="preserve">shall provide 60 days’ </w:t>
      </w:r>
      <w:r w:rsidR="00D32457">
        <w:t xml:space="preserve">prior </w:t>
      </w:r>
      <w:r w:rsidR="001C582E">
        <w:t xml:space="preserve">notice </w:t>
      </w:r>
      <w:r w:rsidR="00096D59">
        <w:t>of claimed ex</w:t>
      </w:r>
      <w:r w:rsidR="00906F8B">
        <w:t xml:space="preserve">emptions to </w:t>
      </w:r>
      <w:r w:rsidR="005459A7">
        <w:t>General Order</w:t>
      </w:r>
      <w:r w:rsidR="00672104">
        <w:t xml:space="preserve"> 177</w:t>
      </w:r>
      <w:r w:rsidR="00C237F7">
        <w:t xml:space="preserve"> as described therein. </w:t>
      </w:r>
      <w:r w:rsidR="00EE2057">
        <w:t xml:space="preserve"> </w:t>
      </w:r>
      <w:r w:rsidR="00C237F7">
        <w:t xml:space="preserve">Gas utilities invoking exemption (c) under Section IV(B) shall provide </w:t>
      </w:r>
      <w:r w:rsidR="0098643E">
        <w:t>notice of claimed exemption</w:t>
      </w:r>
      <w:r w:rsidR="00DE5209">
        <w:t>s</w:t>
      </w:r>
      <w:r w:rsidR="0098643E">
        <w:t xml:space="preserve"> </w:t>
      </w:r>
      <w:r w:rsidR="0038486A">
        <w:t xml:space="preserve">to General Order 177 </w:t>
      </w:r>
      <w:r w:rsidR="0098643E">
        <w:t>no later than 60 days of initiating the project</w:t>
      </w:r>
      <w:r w:rsidR="001533CC">
        <w:t xml:space="preserve"> </w:t>
      </w:r>
      <w:r w:rsidR="0038486A">
        <w:t>as described therein</w:t>
      </w:r>
      <w:r w:rsidR="00096D59">
        <w:t>.</w:t>
      </w:r>
    </w:p>
    <w:p w:rsidR="00096D59" w:rsidP="00672818" w:rsidRDefault="00096D59" w14:paraId="1FEAC15D" w14:textId="2F64F151">
      <w:pPr>
        <w:pStyle w:val="OP"/>
      </w:pPr>
      <w:r>
        <w:t xml:space="preserve">Gas projects as defined in </w:t>
      </w:r>
      <w:r w:rsidR="005459A7">
        <w:t>General Order</w:t>
      </w:r>
      <w:r w:rsidR="000E40A4">
        <w:t xml:space="preserve"> </w:t>
      </w:r>
      <w:r w:rsidR="00672104">
        <w:t xml:space="preserve">177 </w:t>
      </w:r>
      <w:r w:rsidR="00B97171">
        <w:t xml:space="preserve">that have a scheduled </w:t>
      </w:r>
      <w:r w:rsidR="00DA7282">
        <w:t>in-service date occurring before January 1, 2024</w:t>
      </w:r>
      <w:r w:rsidRPr="009D0A79" w:rsidR="009D0A79">
        <w:t xml:space="preserve"> and projects for which an application for approval has been submitted to an air quality management district for compliance with an environmental rule prior to the effective date of </w:t>
      </w:r>
      <w:r w:rsidR="009D0A79">
        <w:t>General Order</w:t>
      </w:r>
      <w:r w:rsidR="00EB1CFE">
        <w:t xml:space="preserve"> 177</w:t>
      </w:r>
      <w:r w:rsidR="009D0A79">
        <w:t>,</w:t>
      </w:r>
      <w:r w:rsidR="00DA7282">
        <w:t xml:space="preserve"> shall be exempt from the requirements</w:t>
      </w:r>
      <w:r w:rsidR="003518DC">
        <w:t xml:space="preserve"> ad</w:t>
      </w:r>
      <w:r w:rsidR="00DB44BE">
        <w:t>opted</w:t>
      </w:r>
      <w:r w:rsidR="00CC64EF">
        <w:t xml:space="preserve"> </w:t>
      </w:r>
      <w:r w:rsidR="00BF6AC2">
        <w:t>here</w:t>
      </w:r>
      <w:r w:rsidR="003518DC">
        <w:t xml:space="preserve">. </w:t>
      </w:r>
    </w:p>
    <w:p w:rsidRPr="00F72A2B" w:rsidR="004B0A1B" w:rsidP="00672818" w:rsidRDefault="00855E90" w14:paraId="3C7732B5" w14:textId="7816D59E">
      <w:pPr>
        <w:pStyle w:val="OP"/>
        <w:rPr>
          <w:bCs/>
        </w:rPr>
      </w:pPr>
      <w:r>
        <w:t xml:space="preserve">Within 60 days of </w:t>
      </w:r>
      <w:r w:rsidR="005801D9">
        <w:t>issuance</w:t>
      </w:r>
      <w:r>
        <w:t xml:space="preserve"> of this decision, each respondent gas utility shall file and serve a list of proposed gas infrastructure projects</w:t>
      </w:r>
      <w:r w:rsidR="006E44B4">
        <w:t xml:space="preserve"> </w:t>
      </w:r>
      <w:r w:rsidR="000F0A8E">
        <w:rPr>
          <w:bCs/>
        </w:rPr>
        <w:t xml:space="preserve">that have a scheduled in-service date occurring before January 1, 2024 </w:t>
      </w:r>
      <w:r w:rsidR="00F72A2B">
        <w:rPr>
          <w:bCs/>
        </w:rPr>
        <w:t xml:space="preserve">that have </w:t>
      </w:r>
      <w:r w:rsidR="006E44B4">
        <w:rPr>
          <w:bCs/>
        </w:rPr>
        <w:t xml:space="preserve">a cost exceeding $75 million or </w:t>
      </w:r>
      <w:r w:rsidR="0052570F">
        <w:rPr>
          <w:bCs/>
        </w:rPr>
        <w:t xml:space="preserve">where </w:t>
      </w:r>
      <w:r w:rsidRPr="00B1026D" w:rsidR="000F0A8E">
        <w:rPr>
          <w:bCs/>
        </w:rPr>
        <w:t xml:space="preserve">(1) </w:t>
      </w:r>
      <w:r w:rsidRPr="000F0A8E" w:rsidR="000F0A8E">
        <w:rPr>
          <w:bCs/>
        </w:rPr>
        <w:t xml:space="preserve">the </w:t>
      </w:r>
      <w:r w:rsidRPr="00B1026D" w:rsidR="000F0A8E">
        <w:rPr>
          <w:bCs/>
        </w:rPr>
        <w:t xml:space="preserve">project is located within 1,000 feet of a sensitive receptor; and (2) operation of the completed project </w:t>
      </w:r>
      <w:r w:rsidRPr="000F0A8E" w:rsidR="000F0A8E">
        <w:rPr>
          <w:bCs/>
        </w:rPr>
        <w:t xml:space="preserve">by the gas corporation </w:t>
      </w:r>
      <w:r w:rsidRPr="00B1026D" w:rsidR="000F0A8E">
        <w:rPr>
          <w:bCs/>
        </w:rPr>
        <w:t>requires a permit from the relevant local air quality district for</w:t>
      </w:r>
      <w:r w:rsidR="00D575A4">
        <w:rPr>
          <w:bCs/>
        </w:rPr>
        <w:t>:</w:t>
      </w:r>
      <w:r w:rsidRPr="00B1026D" w:rsidR="000F0A8E">
        <w:rPr>
          <w:bCs/>
        </w:rPr>
        <w:t xml:space="preserve"> (a) </w:t>
      </w:r>
      <w:r w:rsidR="00D575A4">
        <w:rPr>
          <w:bCs/>
        </w:rPr>
        <w:t xml:space="preserve">an increase in levels of </w:t>
      </w:r>
      <w:r w:rsidRPr="00B1026D" w:rsidR="000F0A8E">
        <w:rPr>
          <w:bCs/>
        </w:rPr>
        <w:t>a toxic air contaminant</w:t>
      </w:r>
      <w:r w:rsidR="005D0478">
        <w:rPr>
          <w:bCs/>
        </w:rPr>
        <w:t xml:space="preserve">, defined as </w:t>
      </w:r>
      <w:r w:rsidRPr="005D0478" w:rsidR="005D0478">
        <w:rPr>
          <w:bCs/>
        </w:rPr>
        <w:t>an increase exceeding de minimis levels or, where relevant, allowable limits set by the local air quality district</w:t>
      </w:r>
      <w:r w:rsidRPr="00B1026D" w:rsidR="000F0A8E">
        <w:rPr>
          <w:bCs/>
        </w:rPr>
        <w:t xml:space="preserve">; or (b) </w:t>
      </w:r>
      <w:r w:rsidR="00D575A4">
        <w:rPr>
          <w:bCs/>
        </w:rPr>
        <w:t xml:space="preserve">an increase in levels of </w:t>
      </w:r>
      <w:r w:rsidRPr="00B1026D" w:rsidR="000F0A8E">
        <w:rPr>
          <w:bCs/>
        </w:rPr>
        <w:t>a criteria air pollutant</w:t>
      </w:r>
      <w:r w:rsidRPr="000F0A8E" w:rsidR="000F0A8E">
        <w:rPr>
          <w:bCs/>
        </w:rPr>
        <w:t>,</w:t>
      </w:r>
      <w:r w:rsidRPr="00B1026D" w:rsidR="000F0A8E">
        <w:rPr>
          <w:bCs/>
        </w:rPr>
        <w:t xml:space="preserve"> if the area is listed as a serious, severe, or extreme non-attainment area for that pollutant.</w:t>
      </w:r>
      <w:r w:rsidR="00F72A2B">
        <w:rPr>
          <w:bCs/>
        </w:rPr>
        <w:t xml:space="preserve">  </w:t>
      </w:r>
      <w:r w:rsidRPr="00F72A2B" w:rsidR="002E6623">
        <w:rPr>
          <w:bCs/>
        </w:rPr>
        <w:t>Each respondent gas utility shall</w:t>
      </w:r>
      <w:r w:rsidRPr="00F72A2B" w:rsidR="00624FE1">
        <w:rPr>
          <w:bCs/>
        </w:rPr>
        <w:t xml:space="preserve"> include in this list, clearly indicated, projects for which an application for approval has been submitted to an air quality management district for compliance with an environmental rule prior to the </w:t>
      </w:r>
      <w:r w:rsidRPr="00F72A2B" w:rsidR="00624FE1">
        <w:rPr>
          <w:bCs/>
        </w:rPr>
        <w:lastRenderedPageBreak/>
        <w:t>effective date of General Order</w:t>
      </w:r>
      <w:r w:rsidRPr="00F72A2B" w:rsidR="00EB1CFE">
        <w:rPr>
          <w:bCs/>
        </w:rPr>
        <w:t xml:space="preserve"> 177</w:t>
      </w:r>
      <w:r w:rsidRPr="00F72A2B" w:rsidR="00624FE1">
        <w:rPr>
          <w:bCs/>
        </w:rPr>
        <w:t xml:space="preserve">, and shall </w:t>
      </w:r>
      <w:r w:rsidRPr="00F72A2B" w:rsidR="002E6623">
        <w:rPr>
          <w:bCs/>
        </w:rPr>
        <w:t>provide</w:t>
      </w:r>
      <w:r w:rsidRPr="00F72A2B" w:rsidR="00CA62FF">
        <w:rPr>
          <w:bCs/>
        </w:rPr>
        <w:t>,</w:t>
      </w:r>
      <w:r w:rsidRPr="00F72A2B" w:rsidR="002E6623">
        <w:rPr>
          <w:bCs/>
        </w:rPr>
        <w:t xml:space="preserve"> for each project listed</w:t>
      </w:r>
      <w:r w:rsidRPr="00F72A2B" w:rsidR="00CA62FF">
        <w:rPr>
          <w:bCs/>
        </w:rPr>
        <w:t>,</w:t>
      </w:r>
      <w:r w:rsidRPr="00F72A2B" w:rsidR="002E6623">
        <w:rPr>
          <w:bCs/>
        </w:rPr>
        <w:t xml:space="preserve"> the information identified in Section V(C)(2) of </w:t>
      </w:r>
      <w:r w:rsidR="005459A7">
        <w:t>General Order</w:t>
      </w:r>
      <w:r w:rsidRPr="00F72A2B" w:rsidR="000A7FAA">
        <w:rPr>
          <w:bCs/>
        </w:rPr>
        <w:t xml:space="preserve"> </w:t>
      </w:r>
      <w:r w:rsidRPr="00F72A2B" w:rsidR="00EB1CFE">
        <w:rPr>
          <w:bCs/>
        </w:rPr>
        <w:t xml:space="preserve">177. </w:t>
      </w:r>
    </w:p>
    <w:p w:rsidRPr="00B44A96" w:rsidR="00B44A96" w:rsidP="00672818" w:rsidRDefault="007326D9" w14:paraId="0F53B943" w14:textId="76B539E6">
      <w:pPr>
        <w:pStyle w:val="OP"/>
      </w:pPr>
      <w:r>
        <w:t xml:space="preserve">The gas utility shall </w:t>
      </w:r>
      <w:r w:rsidR="00E617C6">
        <w:t xml:space="preserve">annually </w:t>
      </w:r>
      <w:r w:rsidR="0072205E">
        <w:t xml:space="preserve">serve and file, </w:t>
      </w:r>
      <w:r w:rsidRPr="0072205E" w:rsidR="0072205E">
        <w:t>in Rulemaking 20-01-007 or a successor proceeding</w:t>
      </w:r>
      <w:r w:rsidR="0072205E">
        <w:t xml:space="preserve">, </w:t>
      </w:r>
      <w:r>
        <w:t>a</w:t>
      </w:r>
      <w:r w:rsidR="00E617C6">
        <w:t xml:space="preserve"> Report of Planned Gas Investments on or before March 1 of each year, starting March 1, 2023, as described in Section X of the </w:t>
      </w:r>
      <w:r w:rsidR="005459A7">
        <w:t>General Order</w:t>
      </w:r>
      <w:r w:rsidR="00E617C6">
        <w:t xml:space="preserve"> </w:t>
      </w:r>
      <w:r w:rsidR="00EB1CFE">
        <w:t>177</w:t>
      </w:r>
      <w:r w:rsidR="00E617C6">
        <w:t xml:space="preserve">. </w:t>
      </w:r>
      <w:r>
        <w:t xml:space="preserve"> </w:t>
      </w:r>
    </w:p>
    <w:p w:rsidRPr="00C52606" w:rsidR="00C52606" w:rsidP="00672818" w:rsidRDefault="004B0A1B" w14:paraId="5F720D83" w14:textId="217B1502">
      <w:pPr>
        <w:pStyle w:val="OP"/>
      </w:pPr>
      <w:r w:rsidRPr="00FD6CAD">
        <w:rPr>
          <w:bCs/>
        </w:rPr>
        <w:t>Pacific Gas and Electric Company, Southern California Gas Compan</w:t>
      </w:r>
      <w:r w:rsidRPr="00FD6CAD" w:rsidR="00731185">
        <w:rPr>
          <w:bCs/>
        </w:rPr>
        <w:t>y</w:t>
      </w:r>
      <w:r w:rsidRPr="00FD6CAD">
        <w:rPr>
          <w:bCs/>
        </w:rPr>
        <w:t>, and San Diego Gas &amp; Electric Company</w:t>
      </w:r>
      <w:r>
        <w:rPr>
          <w:bCs/>
        </w:rPr>
        <w:t xml:space="preserve"> shall </w:t>
      </w:r>
      <w:r w:rsidRPr="004B0A1B">
        <w:rPr>
          <w:bCs/>
        </w:rPr>
        <w:t>jointly convene a Report of Planned Gas Investments Worksho</w:t>
      </w:r>
      <w:r w:rsidR="00E617C6">
        <w:rPr>
          <w:bCs/>
        </w:rPr>
        <w:t>p</w:t>
      </w:r>
      <w:r w:rsidRPr="004B0A1B">
        <w:rPr>
          <w:bCs/>
        </w:rPr>
        <w:t xml:space="preserve"> </w:t>
      </w:r>
      <w:r w:rsidR="002F362E">
        <w:rPr>
          <w:bCs/>
        </w:rPr>
        <w:t xml:space="preserve">as specified in this decision </w:t>
      </w:r>
      <w:r w:rsidRPr="004B0A1B">
        <w:rPr>
          <w:bCs/>
        </w:rPr>
        <w:t xml:space="preserve">no less than 60 days from the date of filing their </w:t>
      </w:r>
      <w:r w:rsidRPr="00435864" w:rsidR="00E617C6">
        <w:rPr>
          <w:bCs/>
        </w:rPr>
        <w:t xml:space="preserve">annual </w:t>
      </w:r>
      <w:r w:rsidRPr="004B0A1B" w:rsidR="00E617C6">
        <w:rPr>
          <w:bCs/>
        </w:rPr>
        <w:t xml:space="preserve">Report of Planned Gas Investments </w:t>
      </w:r>
      <w:r w:rsidRPr="004B0A1B">
        <w:rPr>
          <w:bCs/>
        </w:rPr>
        <w:t xml:space="preserve">reports pursuant to Section X of the </w:t>
      </w:r>
      <w:r w:rsidR="005459A7">
        <w:t>General Order</w:t>
      </w:r>
      <w:r w:rsidRPr="004B0A1B">
        <w:rPr>
          <w:bCs/>
        </w:rPr>
        <w:t xml:space="preserve"> </w:t>
      </w:r>
      <w:r w:rsidR="00EB1CFE">
        <w:rPr>
          <w:bCs/>
        </w:rPr>
        <w:t>177</w:t>
      </w:r>
      <w:r w:rsidRPr="004B0A1B">
        <w:rPr>
          <w:bCs/>
        </w:rPr>
        <w:t xml:space="preserve">, for the years 2023, 2024 and 2025.  </w:t>
      </w:r>
    </w:p>
    <w:p w:rsidRPr="00E524FD" w:rsidR="00E524FD" w:rsidP="00672818" w:rsidRDefault="004B0A1B" w14:paraId="76B746D3" w14:textId="38AB20DA">
      <w:pPr>
        <w:pStyle w:val="OP"/>
      </w:pPr>
      <w:r w:rsidRPr="004B0A1B">
        <w:rPr>
          <w:bCs/>
        </w:rPr>
        <w:t xml:space="preserve">To the extent a </w:t>
      </w:r>
      <w:r w:rsidR="00136E15">
        <w:rPr>
          <w:bCs/>
        </w:rPr>
        <w:t xml:space="preserve">gas corporation </w:t>
      </w:r>
      <w:r w:rsidR="001E2CE9">
        <w:rPr>
          <w:bCs/>
        </w:rPr>
        <w:t xml:space="preserve">respondent to this rulemaking, </w:t>
      </w:r>
      <w:r w:rsidRPr="004B0A1B">
        <w:rPr>
          <w:bCs/>
        </w:rPr>
        <w:t xml:space="preserve">other than </w:t>
      </w:r>
      <w:r w:rsidR="001E2CE9">
        <w:rPr>
          <w:bCs/>
        </w:rPr>
        <w:t>those listed in Ordering Paragraph</w:t>
      </w:r>
      <w:r w:rsidR="00731185">
        <w:rPr>
          <w:bCs/>
        </w:rPr>
        <w:t xml:space="preserve"> </w:t>
      </w:r>
      <w:r w:rsidRPr="00FD6CAD" w:rsidR="009D1AEC">
        <w:rPr>
          <w:bCs/>
        </w:rPr>
        <w:t>8</w:t>
      </w:r>
      <w:r w:rsidRPr="00FD6CAD" w:rsidR="00136E15">
        <w:rPr>
          <w:bCs/>
        </w:rPr>
        <w:t>,</w:t>
      </w:r>
      <w:r w:rsidRPr="00FD6CAD" w:rsidR="001E2CE9">
        <w:rPr>
          <w:bCs/>
        </w:rPr>
        <w:t xml:space="preserve"> ha</w:t>
      </w:r>
      <w:r w:rsidRPr="00FD6CAD" w:rsidR="00136E15">
        <w:rPr>
          <w:bCs/>
        </w:rPr>
        <w:t xml:space="preserve">s </w:t>
      </w:r>
      <w:r w:rsidRPr="00FD6CAD">
        <w:rPr>
          <w:bCs/>
        </w:rPr>
        <w:t xml:space="preserve">upcoming projects listed in </w:t>
      </w:r>
      <w:r w:rsidRPr="00FD6CAD" w:rsidR="005D01B4">
        <w:rPr>
          <w:bCs/>
        </w:rPr>
        <w:t>their 2023,</w:t>
      </w:r>
      <w:r w:rsidRPr="00FD6CAD" w:rsidR="000B5D51">
        <w:rPr>
          <w:bCs/>
        </w:rPr>
        <w:t> </w:t>
      </w:r>
      <w:r w:rsidRPr="00FD6CAD" w:rsidR="005D01B4">
        <w:rPr>
          <w:bCs/>
        </w:rPr>
        <w:t xml:space="preserve">2024, or 2025 </w:t>
      </w:r>
      <w:r w:rsidRPr="00FD6CAD">
        <w:rPr>
          <w:bCs/>
        </w:rPr>
        <w:t>annual Report of Planned Gas Investments, the gas</w:t>
      </w:r>
      <w:r w:rsidRPr="00FD6CAD" w:rsidR="000B5D51">
        <w:rPr>
          <w:bCs/>
        </w:rPr>
        <w:t> </w:t>
      </w:r>
      <w:r w:rsidRPr="00FD6CAD">
        <w:rPr>
          <w:bCs/>
        </w:rPr>
        <w:t xml:space="preserve">corporation shall participate in the workshop </w:t>
      </w:r>
      <w:r w:rsidRPr="00FD6CAD" w:rsidR="00136E15">
        <w:rPr>
          <w:bCs/>
        </w:rPr>
        <w:t xml:space="preserve">described in </w:t>
      </w:r>
      <w:r w:rsidRPr="00FD6CAD" w:rsidR="00731185">
        <w:rPr>
          <w:bCs/>
        </w:rPr>
        <w:t>O</w:t>
      </w:r>
      <w:r w:rsidR="00BF6AC2">
        <w:rPr>
          <w:bCs/>
        </w:rPr>
        <w:t xml:space="preserve">rdering </w:t>
      </w:r>
      <w:r w:rsidRPr="00FD6CAD" w:rsidR="00731185">
        <w:rPr>
          <w:bCs/>
        </w:rPr>
        <w:t>P</w:t>
      </w:r>
      <w:r w:rsidR="00BF6AC2">
        <w:rPr>
          <w:bCs/>
        </w:rPr>
        <w:t>aragraph</w:t>
      </w:r>
      <w:r w:rsidRPr="00FD6CAD" w:rsidR="00136E15">
        <w:rPr>
          <w:bCs/>
        </w:rPr>
        <w:t xml:space="preserve"> </w:t>
      </w:r>
      <w:r w:rsidRPr="00FD6CAD" w:rsidR="009D1AEC">
        <w:rPr>
          <w:bCs/>
        </w:rPr>
        <w:t>8</w:t>
      </w:r>
      <w:r w:rsidRPr="00FD6CAD" w:rsidR="00136E15">
        <w:rPr>
          <w:bCs/>
        </w:rPr>
        <w:t xml:space="preserve"> </w:t>
      </w:r>
      <w:r w:rsidRPr="00FD6CAD">
        <w:rPr>
          <w:bCs/>
        </w:rPr>
        <w:t xml:space="preserve">and </w:t>
      </w:r>
      <w:r w:rsidR="00BF6AC2">
        <w:rPr>
          <w:bCs/>
        </w:rPr>
        <w:t xml:space="preserve">shall </w:t>
      </w:r>
      <w:r w:rsidRPr="00FD6CAD">
        <w:rPr>
          <w:bCs/>
        </w:rPr>
        <w:t>present on such projects</w:t>
      </w:r>
      <w:r w:rsidRPr="00FD6CAD" w:rsidR="00E524FD">
        <w:rPr>
          <w:bCs/>
        </w:rPr>
        <w:t>.</w:t>
      </w:r>
    </w:p>
    <w:p w:rsidR="00E524FD" w:rsidP="00672818" w:rsidRDefault="00E524FD" w14:paraId="347D43A9" w14:textId="09E1A94C">
      <w:pPr>
        <w:pStyle w:val="OP"/>
      </w:pPr>
      <w:r>
        <w:t>Parties to Rulemaking 20-01-007, or a successor proceeding, may serve and file comments on the annual Report of Planned Gas Investments recommending changes to the</w:t>
      </w:r>
      <w:r w:rsidR="005B2B34">
        <w:t xml:space="preserve"> reports, or to the reporting requirements included in the </w:t>
      </w:r>
      <w:r w:rsidR="005459A7">
        <w:t xml:space="preserve">General Order </w:t>
      </w:r>
      <w:r w:rsidR="00EB1CFE">
        <w:t>177</w:t>
      </w:r>
      <w:r>
        <w:t>, in the years 2023, 2024</w:t>
      </w:r>
      <w:r w:rsidRPr="009F1177">
        <w:t xml:space="preserve">, and 2025, no later than 15 days from the date of each annual Report of Planned Gas Investments Workshop. </w:t>
      </w:r>
      <w:r>
        <w:t xml:space="preserve"> </w:t>
      </w:r>
    </w:p>
    <w:p w:rsidR="00E524FD" w:rsidP="00672818" w:rsidRDefault="00E524FD" w14:paraId="4499801D" w14:textId="7F93D783">
      <w:pPr>
        <w:pStyle w:val="OP"/>
      </w:pPr>
      <w:r w:rsidRPr="009F1177">
        <w:t xml:space="preserve">During the years 2023, 2024, and 2025, gas corporations shall consider filed party comments on their </w:t>
      </w:r>
      <w:r w:rsidR="008C5207">
        <w:t>annual Report of Planned Gas Investments</w:t>
      </w:r>
      <w:r w:rsidRPr="009F1177">
        <w:t>, and shall refile their reports, with revisions</w:t>
      </w:r>
      <w:r w:rsidRPr="00435864" w:rsidR="005158BD">
        <w:rPr>
          <w:bCs/>
        </w:rPr>
        <w:t xml:space="preserve"> </w:t>
      </w:r>
      <w:r w:rsidR="005158BD">
        <w:t xml:space="preserve">that add additional information or clarifications to address </w:t>
      </w:r>
      <w:r w:rsidRPr="009F1177">
        <w:t xml:space="preserve">party comments, no later than </w:t>
      </w:r>
      <w:r w:rsidR="0096111E">
        <w:t>45</w:t>
      </w:r>
      <w:r w:rsidR="00CC64EF">
        <w:t> </w:t>
      </w:r>
      <w:r w:rsidRPr="009F1177">
        <w:t xml:space="preserve">days from the date party comments are filed.  Gas corporations shall include in their refiled reports </w:t>
      </w:r>
      <w:r w:rsidRPr="009F1177">
        <w:lastRenderedPageBreak/>
        <w:t xml:space="preserve">an appendix that summarizes how each party comment was addressed.  If no party comments on a gas corporation’s annual Report of Planned Gas Investments during the years 2023, 2024, and 2025, the gas corporation is not required to refile a revised report as described here.  </w:t>
      </w:r>
    </w:p>
    <w:p w:rsidRPr="001E2A62" w:rsidR="00315865" w:rsidP="00672818" w:rsidRDefault="00CC5CF1" w14:paraId="5CBED87B" w14:textId="2686487F">
      <w:pPr>
        <w:pStyle w:val="OP"/>
      </w:pPr>
      <w:r>
        <w:t>Pacific Gas and Electric Company</w:t>
      </w:r>
      <w:r w:rsidR="00F86847">
        <w:t xml:space="preserve"> (PG&amp;E)</w:t>
      </w:r>
      <w:r>
        <w:t>, Southern California Gas Company</w:t>
      </w:r>
      <w:r w:rsidR="00F86847">
        <w:t xml:space="preserve"> (SoCalGas)</w:t>
      </w:r>
      <w:r>
        <w:t xml:space="preserve">, and San Diego Gas &amp; Electric Company </w:t>
      </w:r>
      <w:r w:rsidR="00F86847">
        <w:t xml:space="preserve">(SDG&amp;E) </w:t>
      </w:r>
      <w:r>
        <w:t>shall, and other gas corporations may, n</w:t>
      </w:r>
      <w:r w:rsidRPr="009F1177" w:rsidR="00E524FD">
        <w:t xml:space="preserve">o later than </w:t>
      </w:r>
      <w:r w:rsidR="00E223EF">
        <w:t>9</w:t>
      </w:r>
      <w:r w:rsidRPr="009F1177" w:rsidR="00E524FD">
        <w:t>0 days from the date party comments are filed</w:t>
      </w:r>
      <w:r w:rsidR="00E524FD">
        <w:t xml:space="preserve"> </w:t>
      </w:r>
      <w:r>
        <w:t xml:space="preserve">on the Report of Planned Gas Investments </w:t>
      </w:r>
      <w:r w:rsidR="00E524FD">
        <w:t xml:space="preserve">in 2023, 2024, </w:t>
      </w:r>
      <w:r w:rsidRPr="00F84D2F" w:rsidR="00E524FD">
        <w:t xml:space="preserve">jointly </w:t>
      </w:r>
      <w:r w:rsidRPr="009F1177" w:rsidR="00E524FD">
        <w:t>submit a Tier 3 Advice Letter requesting any changes to the reporting requirements</w:t>
      </w:r>
      <w:r w:rsidR="00F86847">
        <w:t xml:space="preserve"> contained in </w:t>
      </w:r>
      <w:r w:rsidR="005459A7">
        <w:t>General Order</w:t>
      </w:r>
      <w:r w:rsidR="00F86847">
        <w:t xml:space="preserve"> </w:t>
      </w:r>
      <w:r w:rsidR="00EB1CFE">
        <w:t xml:space="preserve">177 </w:t>
      </w:r>
      <w:r w:rsidRPr="009F1177" w:rsidR="00E524FD">
        <w:t>suggested by parties and agreed to by the gas corporation</w:t>
      </w:r>
      <w:r w:rsidRPr="00F84D2F" w:rsidR="00E524FD">
        <w:t>s.</w:t>
      </w:r>
      <w:r w:rsidR="00E524FD">
        <w:t xml:space="preserve"> </w:t>
      </w:r>
      <w:r w:rsidR="00F86847">
        <w:t xml:space="preserve"> </w:t>
      </w:r>
      <w:r w:rsidRPr="00F86847" w:rsidR="00F86847">
        <w:t>If no changes to the reporting requirements were proposed by parties and agreed to by the gas corporations, PG&amp;E, SoCalGas, and SDG&amp;E are not required to file a Tier 3 Advice Letter.</w:t>
      </w:r>
    </w:p>
    <w:p w:rsidR="00F6397D" w:rsidP="00672818" w:rsidRDefault="00E23CBB" w14:paraId="6C5FC1A9" w14:textId="227B8D25">
      <w:pPr>
        <w:pStyle w:val="OP"/>
      </w:pPr>
      <w:r w:rsidRPr="001E2A62">
        <w:t>Rulemaking</w:t>
      </w:r>
      <w:r w:rsidR="00D2091C">
        <w:t xml:space="preserve"> 20-01-007 remains open</w:t>
      </w:r>
      <w:r w:rsidRPr="001E2A62">
        <w:t>.</w:t>
      </w:r>
    </w:p>
    <w:p w:rsidR="008F0116" w:rsidP="008F0116" w:rsidRDefault="008F0116" w14:paraId="309570F9" w14:textId="77777777">
      <w:r>
        <w:t>This order is effective today.</w:t>
      </w:r>
    </w:p>
    <w:p w:rsidR="00714CF2" w:rsidP="00816E05" w:rsidRDefault="008F0116" w14:paraId="701BCE9B" w14:textId="1AA7DA09">
      <w:r>
        <w:t xml:space="preserve">Dated </w:t>
      </w:r>
      <w:r w:rsidRPr="00F43B59" w:rsidR="00F43B59">
        <w:t>December 1, 2022</w:t>
      </w:r>
      <w:r>
        <w:t>, at San Francisco, California</w:t>
      </w:r>
      <w:r w:rsidR="00544C18">
        <w:t>.</w:t>
      </w:r>
    </w:p>
    <w:p w:rsidR="00F43B59" w:rsidP="00816E05" w:rsidRDefault="00F43B59" w14:paraId="34644484" w14:textId="05A54D1B"/>
    <w:p w:rsidRPr="00F4048F" w:rsidR="00F43B59" w:rsidP="00F43B59" w:rsidRDefault="00F43B59" w14:paraId="12A37B99" w14:textId="77777777">
      <w:pPr>
        <w:keepNext/>
        <w:keepLines/>
        <w:autoSpaceDE w:val="0"/>
        <w:autoSpaceDN w:val="0"/>
        <w:adjustRightInd w:val="0"/>
        <w:spacing w:line="240" w:lineRule="auto"/>
        <w:ind w:left="5040" w:firstLine="0"/>
        <w:jc w:val="both"/>
        <w:rPr>
          <w:rFonts w:eastAsia="Times New Roman" w:cs="Times New Roman"/>
          <w:szCs w:val="20"/>
        </w:rPr>
      </w:pPr>
      <w:r w:rsidRPr="00F4048F">
        <w:rPr>
          <w:rFonts w:eastAsia="Times New Roman" w:cs="Times New Roman"/>
          <w:szCs w:val="20"/>
        </w:rPr>
        <w:t>ALICE REYNOLDS</w:t>
      </w:r>
    </w:p>
    <w:p w:rsidRPr="00F4048F" w:rsidR="00F43B59" w:rsidP="00F43B59" w:rsidRDefault="00F43B59" w14:paraId="24C965CA" w14:textId="77777777">
      <w:pPr>
        <w:keepNext/>
        <w:keepLines/>
        <w:autoSpaceDE w:val="0"/>
        <w:autoSpaceDN w:val="0"/>
        <w:adjustRightInd w:val="0"/>
        <w:spacing w:line="240" w:lineRule="auto"/>
        <w:ind w:left="720"/>
        <w:jc w:val="both"/>
        <w:rPr>
          <w:rFonts w:eastAsia="Times New Roman" w:cs="Times New Roman"/>
          <w:szCs w:val="20"/>
        </w:rPr>
      </w:pPr>
      <w:r w:rsidRPr="00F4048F">
        <w:rPr>
          <w:rFonts w:eastAsia="Times New Roman" w:cs="Times New Roman"/>
          <w:szCs w:val="20"/>
        </w:rPr>
        <w:tab/>
      </w:r>
      <w:r w:rsidRPr="00F4048F">
        <w:rPr>
          <w:rFonts w:eastAsia="Times New Roman" w:cs="Times New Roman"/>
          <w:szCs w:val="20"/>
        </w:rPr>
        <w:tab/>
      </w:r>
      <w:r w:rsidRPr="00F4048F">
        <w:rPr>
          <w:rFonts w:eastAsia="Times New Roman" w:cs="Times New Roman"/>
          <w:szCs w:val="20"/>
        </w:rPr>
        <w:tab/>
      </w:r>
      <w:r w:rsidRPr="00F4048F">
        <w:rPr>
          <w:rFonts w:eastAsia="Times New Roman" w:cs="Times New Roman"/>
          <w:szCs w:val="20"/>
        </w:rPr>
        <w:tab/>
      </w:r>
      <w:r w:rsidRPr="00F4048F">
        <w:rPr>
          <w:rFonts w:eastAsia="Times New Roman" w:cs="Times New Roman"/>
          <w:szCs w:val="20"/>
        </w:rPr>
        <w:tab/>
        <w:t xml:space="preserve">                       President</w:t>
      </w:r>
    </w:p>
    <w:p w:rsidRPr="00F4048F" w:rsidR="00F43B59" w:rsidP="00F43B59" w:rsidRDefault="00F43B59" w14:paraId="5D52BB9D" w14:textId="77777777">
      <w:pPr>
        <w:keepNext/>
        <w:keepLines/>
        <w:autoSpaceDE w:val="0"/>
        <w:autoSpaceDN w:val="0"/>
        <w:adjustRightInd w:val="0"/>
        <w:spacing w:line="240" w:lineRule="auto"/>
        <w:ind w:left="5040" w:firstLine="0"/>
        <w:jc w:val="both"/>
        <w:rPr>
          <w:rFonts w:eastAsia="Times New Roman" w:cs="Times New Roman"/>
          <w:szCs w:val="20"/>
        </w:rPr>
      </w:pPr>
      <w:r w:rsidRPr="00F4048F">
        <w:rPr>
          <w:rFonts w:eastAsia="Times New Roman" w:cs="Times New Roman"/>
          <w:szCs w:val="20"/>
        </w:rPr>
        <w:t>CLIFFORD RECHTSCHAFFEN</w:t>
      </w:r>
    </w:p>
    <w:p w:rsidRPr="00F4048F" w:rsidR="00F43B59" w:rsidP="00F43B59" w:rsidRDefault="00F43B59" w14:paraId="49F46FF1" w14:textId="77777777">
      <w:pPr>
        <w:keepNext/>
        <w:keepLines/>
        <w:autoSpaceDE w:val="0"/>
        <w:autoSpaceDN w:val="0"/>
        <w:adjustRightInd w:val="0"/>
        <w:spacing w:line="240" w:lineRule="auto"/>
        <w:ind w:left="5040" w:firstLine="0"/>
        <w:jc w:val="both"/>
        <w:rPr>
          <w:rFonts w:eastAsia="Times New Roman" w:cs="Times New Roman"/>
          <w:szCs w:val="20"/>
        </w:rPr>
      </w:pPr>
      <w:r w:rsidRPr="00F4048F">
        <w:rPr>
          <w:rFonts w:eastAsia="Times New Roman" w:cs="Times New Roman"/>
          <w:szCs w:val="20"/>
        </w:rPr>
        <w:t>GENEVIEVE SHIROMA</w:t>
      </w:r>
    </w:p>
    <w:p w:rsidRPr="00F4048F" w:rsidR="00F43B59" w:rsidP="00F43B59" w:rsidRDefault="00F43B59" w14:paraId="41775EB2" w14:textId="77777777">
      <w:pPr>
        <w:keepNext/>
        <w:keepLines/>
        <w:autoSpaceDE w:val="0"/>
        <w:autoSpaceDN w:val="0"/>
        <w:adjustRightInd w:val="0"/>
        <w:spacing w:line="240" w:lineRule="auto"/>
        <w:ind w:left="4320"/>
        <w:jc w:val="both"/>
        <w:rPr>
          <w:rFonts w:eastAsia="Times New Roman" w:cs="Times New Roman"/>
          <w:szCs w:val="20"/>
        </w:rPr>
      </w:pPr>
      <w:r w:rsidRPr="00F4048F">
        <w:rPr>
          <w:rFonts w:eastAsia="Times New Roman" w:cs="Times New Roman"/>
          <w:szCs w:val="20"/>
        </w:rPr>
        <w:t>DARCIE L. HOUCK</w:t>
      </w:r>
    </w:p>
    <w:p w:rsidRPr="00F4048F" w:rsidR="00F43B59" w:rsidP="00F43B59" w:rsidRDefault="00F43B59" w14:paraId="1B78ACF5" w14:textId="77777777">
      <w:pPr>
        <w:autoSpaceDE w:val="0"/>
        <w:autoSpaceDN w:val="0"/>
        <w:adjustRightInd w:val="0"/>
        <w:spacing w:line="240" w:lineRule="auto"/>
        <w:ind w:left="4320"/>
        <w:jc w:val="both"/>
        <w:rPr>
          <w:rFonts w:eastAsia="Times New Roman" w:cs="Times New Roman"/>
          <w:szCs w:val="20"/>
        </w:rPr>
      </w:pPr>
      <w:r w:rsidRPr="00F4048F">
        <w:rPr>
          <w:rFonts w:eastAsia="Times New Roman" w:cs="Times New Roman"/>
          <w:szCs w:val="20"/>
        </w:rPr>
        <w:t>JOHN REYNOLDS</w:t>
      </w:r>
    </w:p>
    <w:p w:rsidRPr="00F4048F" w:rsidR="00F43B59" w:rsidP="00F43B59" w:rsidRDefault="00F43B59" w14:paraId="7F8FE1C1" w14:textId="77777777">
      <w:pPr>
        <w:autoSpaceDE w:val="0"/>
        <w:autoSpaceDN w:val="0"/>
        <w:adjustRightInd w:val="0"/>
        <w:spacing w:line="240" w:lineRule="auto"/>
        <w:ind w:left="5040"/>
        <w:jc w:val="both"/>
        <w:rPr>
          <w:rFonts w:eastAsia="Calibri" w:cs="Times New Roman"/>
        </w:rPr>
      </w:pPr>
      <w:r w:rsidRPr="00F4048F">
        <w:rPr>
          <w:rFonts w:eastAsia="Times New Roman" w:cs="Times New Roman"/>
          <w:szCs w:val="20"/>
        </w:rPr>
        <w:t xml:space="preserve">            Commissioners</w:t>
      </w:r>
    </w:p>
    <w:p w:rsidR="00CA0F5C" w:rsidP="00816E05" w:rsidRDefault="00CA0F5C" w14:paraId="35DA1A96" w14:textId="77777777">
      <w:pPr>
        <w:sectPr w:rsidR="00CA0F5C" w:rsidSect="00023800">
          <w:headerReference w:type="default" r:id="rId14"/>
          <w:footerReference w:type="default" r:id="rId15"/>
          <w:headerReference w:type="first" r:id="rId16"/>
          <w:footerReference w:type="first" r:id="rId17"/>
          <w:pgSz w:w="12240" w:h="15840"/>
          <w:pgMar w:top="1728" w:right="1440" w:bottom="1440" w:left="1440" w:header="720" w:footer="720" w:gutter="0"/>
          <w:pgNumType w:start="2"/>
          <w:cols w:space="720"/>
          <w:titlePg/>
          <w:docGrid w:linePitch="360"/>
        </w:sectPr>
      </w:pPr>
    </w:p>
    <w:p w:rsidR="00CA0F5C" w:rsidP="00CA0F5C" w:rsidRDefault="00CA0F5C" w14:paraId="476108D3" w14:textId="77777777">
      <w:pPr>
        <w:jc w:val="center"/>
        <w:rPr>
          <w:b/>
          <w:bCs/>
          <w:sz w:val="66"/>
          <w:szCs w:val="66"/>
        </w:rPr>
      </w:pPr>
    </w:p>
    <w:p w:rsidR="00CA0F5C" w:rsidP="00CA0F5C" w:rsidRDefault="00CA0F5C" w14:paraId="3A53F1C4" w14:textId="77777777">
      <w:pPr>
        <w:jc w:val="center"/>
        <w:rPr>
          <w:b/>
          <w:bCs/>
          <w:sz w:val="66"/>
          <w:szCs w:val="66"/>
        </w:rPr>
      </w:pPr>
    </w:p>
    <w:p w:rsidR="00CA0F5C" w:rsidP="00CA0F5C" w:rsidRDefault="00CA0F5C" w14:paraId="4F5A8091" w14:textId="77777777">
      <w:pPr>
        <w:jc w:val="center"/>
        <w:rPr>
          <w:b/>
          <w:bCs/>
          <w:sz w:val="66"/>
          <w:szCs w:val="66"/>
        </w:rPr>
      </w:pPr>
    </w:p>
    <w:p w:rsidRPr="00CA0F5C" w:rsidR="00F43B59" w:rsidP="00CA0F5C" w:rsidRDefault="00CA0F5C" w14:paraId="318BAD6C" w14:textId="416EB675">
      <w:pPr>
        <w:jc w:val="center"/>
        <w:rPr>
          <w:b/>
          <w:bCs/>
          <w:sz w:val="66"/>
          <w:szCs w:val="66"/>
        </w:rPr>
      </w:pPr>
      <w:r w:rsidRPr="00CA0F5C">
        <w:rPr>
          <w:b/>
          <w:bCs/>
          <w:sz w:val="66"/>
          <w:szCs w:val="66"/>
        </w:rPr>
        <w:t>APPENDIX A</w:t>
      </w:r>
    </w:p>
    <w:p w:rsidRPr="00714CF2" w:rsidR="00544C18" w:rsidP="00616F92" w:rsidRDefault="00544C18" w14:paraId="20C9EECD" w14:textId="77777777">
      <w:pPr>
        <w:ind w:firstLine="0"/>
      </w:pPr>
    </w:p>
    <w:sectPr w:rsidRPr="00714CF2" w:rsidR="00544C18" w:rsidSect="00CA0F5C">
      <w:footerReference w:type="first" r:id="rId18"/>
      <w:pgSz w:w="12240" w:h="15840"/>
      <w:pgMar w:top="1728" w:right="1440" w:bottom="1440" w:left="1440" w:header="720" w:footer="720" w:gutter="0"/>
      <w:pgNumType w:start="1"/>
      <w:cols w:space="720"/>
      <w:titlePg/>
      <w:docGrid w:linePitch="360"/>
    </w:sectPr>
    <w:p>
      <w:r>
        <w:t xml:space="preserve"/>
      </w:r>
    </w:p>
    <w:p>
      <w:r>
        <w:t xml:space="preserve">Attachment 1: </w:t>
      </w:r>
    </w:p>
    <w:p>
      <w:hyperlink w:history="true" r:id="R42913304b7d24c61">
        <w:r w:rsidRPr="00CB1292">
          <w:rPr>
            <w:rStyle w:val="Hyperlink"/>
            <w:color w:val="2E74B5" w:themeColor="accent1" w:themeShade="BF"/>
            <w:u w:val="single"/>
          </w:rPr>
          <w:t>APPENDIX A R.20-01-007.docx</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9E65" w14:textId="77777777" w:rsidR="00A87DD7" w:rsidRDefault="00A87DD7" w:rsidP="0098138E">
      <w:pPr>
        <w:spacing w:line="240" w:lineRule="auto"/>
      </w:pPr>
      <w:r>
        <w:separator/>
      </w:r>
    </w:p>
  </w:endnote>
  <w:endnote w:type="continuationSeparator" w:id="0">
    <w:p w14:paraId="4065A4BB" w14:textId="77777777" w:rsidR="00A87DD7" w:rsidRDefault="00A87DD7" w:rsidP="0098138E">
      <w:pPr>
        <w:spacing w:line="240" w:lineRule="auto"/>
      </w:pPr>
      <w:r>
        <w:continuationSeparator/>
      </w:r>
    </w:p>
  </w:endnote>
  <w:endnote w:type="continuationNotice" w:id="1">
    <w:p w14:paraId="7CF72784" w14:textId="77777777" w:rsidR="00A87DD7" w:rsidRDefault="00A87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861" w14:textId="7769DDF5" w:rsidR="008B1AF1" w:rsidRDefault="00CA0F5C" w:rsidP="007E0FEE">
    <w:pPr>
      <w:tabs>
        <w:tab w:val="center" w:pos="4680"/>
      </w:tabs>
      <w:ind w:firstLine="0"/>
      <w:rPr>
        <w:noProof/>
      </w:rPr>
    </w:pPr>
    <w:sdt>
      <w:sdtPr>
        <w:id w:val="-44750805"/>
        <w:docPartObj>
          <w:docPartGallery w:val="Page Numbers (Bottom of Page)"/>
          <w:docPartUnique/>
        </w:docPartObj>
      </w:sdtPr>
      <w:sdtEndPr>
        <w:rPr>
          <w:noProof/>
        </w:rPr>
      </w:sdtEndPr>
      <w:sdtContent>
        <w:bookmarkEnd w:id="0"/>
        <w:r w:rsidR="008E78EB" w:rsidRPr="008E78EB">
          <w:rPr>
            <w:sz w:val="16"/>
            <w:szCs w:val="16"/>
          </w:rPr>
          <w:t>499705675</w:t>
        </w:r>
        <w:r w:rsidR="008B1AF1">
          <w:rPr>
            <w:rFonts w:ascii="Arial" w:hAnsi="Arial" w:cs="Arial"/>
            <w:sz w:val="16"/>
            <w:szCs w:val="16"/>
          </w:rPr>
          <w:tab/>
        </w:r>
        <w:r w:rsidR="008B1AF1">
          <w:t xml:space="preserve">- </w:t>
        </w:r>
        <w:r w:rsidR="008B1AF1">
          <w:fldChar w:fldCharType="begin"/>
        </w:r>
        <w:r w:rsidR="008B1AF1">
          <w:instrText xml:space="preserve"> PAGE   \* MERGEFORMAT </w:instrText>
        </w:r>
        <w:r w:rsidR="008B1AF1">
          <w:fldChar w:fldCharType="separate"/>
        </w:r>
        <w:r w:rsidR="008B1AF1">
          <w:rPr>
            <w:noProof/>
          </w:rPr>
          <w:t>2</w:t>
        </w:r>
        <w:r w:rsidR="008B1AF1">
          <w:rPr>
            <w:noProof/>
          </w:rPr>
          <w:fldChar w:fldCharType="end"/>
        </w:r>
      </w:sdtContent>
    </w:sdt>
    <w:r w:rsidR="008B1AF1">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6FA2"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163D" w14:textId="14CE096A" w:rsidR="00F33FC7" w:rsidRDefault="000C5EB2" w:rsidP="00F33FC7">
    <w:pPr>
      <w:pStyle w:val="Footer"/>
      <w:jc w:val="center"/>
    </w:pPr>
    <w:r>
      <w:t xml:space="preserve"> </w:t>
    </w:r>
    <w:r w:rsidR="00023800">
      <w:t>-</w:t>
    </w:r>
    <w:r>
      <w:fldChar w:fldCharType="begin"/>
    </w:r>
    <w:r>
      <w:instrText xml:space="preserve"> PAGE   \* MERGEFORMAT </w:instrText>
    </w:r>
    <w:r>
      <w:fldChar w:fldCharType="separate"/>
    </w:r>
    <w:r>
      <w:rPr>
        <w:noProof/>
      </w:rPr>
      <w:t>1</w:t>
    </w:r>
    <w:r>
      <w:rPr>
        <w:noProof/>
      </w:rPr>
      <w:fldChar w:fldCharType="end"/>
    </w:r>
    <w:r w:rsidR="00023800">
      <w:rPr>
        <w:noProof/>
      </w:rPr>
      <w:t>-</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69079"/>
      <w:docPartObj>
        <w:docPartGallery w:val="Page Numbers (Bottom of Page)"/>
        <w:docPartUnique/>
      </w:docPartObj>
    </w:sdtPr>
    <w:sdtEndPr>
      <w:rPr>
        <w:noProof/>
      </w:rPr>
    </w:sdtEndPr>
    <w:sdtContent>
      <w:p w14:paraId="2567CB53" w14:textId="1DA8A4C8" w:rsidR="00544C18" w:rsidRDefault="00023800" w:rsidP="00544C18">
        <w:pPr>
          <w:pStyle w:val="Footer"/>
          <w:jc w:val="center"/>
        </w:pPr>
        <w:r>
          <w:t>-</w:t>
        </w:r>
        <w:r w:rsidR="00544C18">
          <w:fldChar w:fldCharType="begin"/>
        </w:r>
        <w:r w:rsidR="00544C18">
          <w:instrText xml:space="preserve"> PAGE   \* MERGEFORMAT </w:instrText>
        </w:r>
        <w:r w:rsidR="00544C18">
          <w:fldChar w:fldCharType="separate"/>
        </w:r>
        <w:r w:rsidR="00544C18">
          <w:rPr>
            <w:noProof/>
          </w:rPr>
          <w:t>2</w:t>
        </w:r>
        <w:r w:rsidR="00544C18">
          <w:rPr>
            <w:noProof/>
          </w:rPr>
          <w:fldChar w:fldCharType="end"/>
        </w:r>
        <w:r>
          <w:rPr>
            <w:noProof/>
          </w:rPr>
          <w:t>-</w:t>
        </w:r>
      </w:p>
    </w:sdtContent>
  </w:sdt>
  <w:p w14:paraId="5B700BA7" w14:textId="77777777" w:rsidR="00F33FC7" w:rsidRDefault="00F33FC7" w:rsidP="00F33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451073"/>
      <w:docPartObj>
        <w:docPartGallery w:val="Page Numbers (Bottom of Page)"/>
        <w:docPartUnique/>
      </w:docPartObj>
    </w:sdtPr>
    <w:sdtEndPr>
      <w:rPr>
        <w:noProof/>
      </w:rPr>
    </w:sdtEndPr>
    <w:sdtContent>
      <w:p w14:paraId="197BFB70" w14:textId="77777777" w:rsidR="00CA0F5C" w:rsidRDefault="00CA0F5C" w:rsidP="00544C18">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4469B56E" w14:textId="77777777" w:rsidR="00CA0F5C" w:rsidRDefault="00CA0F5C" w:rsidP="00F3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0C88" w14:textId="77777777" w:rsidR="00A87DD7" w:rsidRDefault="00A87DD7" w:rsidP="00DF58E7">
      <w:pPr>
        <w:spacing w:line="240" w:lineRule="auto"/>
        <w:ind w:firstLine="0"/>
      </w:pPr>
      <w:r>
        <w:separator/>
      </w:r>
    </w:p>
  </w:footnote>
  <w:footnote w:type="continuationSeparator" w:id="0">
    <w:p w14:paraId="2C2B4B62" w14:textId="77777777" w:rsidR="00A87DD7" w:rsidRDefault="00A87DD7" w:rsidP="00DF58E7">
      <w:pPr>
        <w:spacing w:line="240" w:lineRule="auto"/>
        <w:ind w:firstLine="0"/>
      </w:pPr>
      <w:r>
        <w:continuationSeparator/>
      </w:r>
    </w:p>
  </w:footnote>
  <w:footnote w:type="continuationNotice" w:id="1">
    <w:p w14:paraId="22F6F28E" w14:textId="77777777" w:rsidR="00A87DD7" w:rsidRPr="00DF58E7" w:rsidRDefault="00A87DD7" w:rsidP="00DF58E7">
      <w:pPr>
        <w:spacing w:line="240" w:lineRule="auto"/>
        <w:ind w:firstLine="0"/>
        <w:jc w:val="right"/>
        <w:rPr>
          <w:i/>
          <w:sz w:val="22"/>
        </w:rPr>
      </w:pPr>
      <w:r w:rsidRPr="00DF58E7">
        <w:rPr>
          <w:i/>
          <w:sz w:val="22"/>
        </w:rPr>
        <w:t>Footnote continued on next page.</w:t>
      </w:r>
    </w:p>
  </w:footnote>
  <w:footnote w:id="2">
    <w:p w14:paraId="51E02BE7" w14:textId="39D0D39B" w:rsidR="00D451CB" w:rsidRDefault="00D451CB">
      <w:pPr>
        <w:pStyle w:val="FootnoteText"/>
      </w:pPr>
      <w:r>
        <w:rPr>
          <w:rStyle w:val="FootnoteReference"/>
        </w:rPr>
        <w:footnoteRef/>
      </w:r>
      <w:r>
        <w:t xml:space="preserve"> The </w:t>
      </w:r>
      <w:r w:rsidRPr="00D451CB">
        <w:t xml:space="preserve">first, Decision (D.) 21-11-021, established an Operational Flow Order structure for Southern California Gas Company (SoCalGas) and San Diego Gas &amp; Electric Company (SDG&amp;E) (collectively, the Sempra Companies).  The second, D.22-04-042, extended </w:t>
      </w:r>
      <w:r w:rsidR="00AC0D74">
        <w:t xml:space="preserve">year-round </w:t>
      </w:r>
      <w:r w:rsidRPr="00D451CB">
        <w:t xml:space="preserve">SoCalGas Rule 30 Operational Flow Order winter non-compliance penalty structure </w:t>
      </w:r>
      <w:r w:rsidR="00AC0D74">
        <w:t xml:space="preserve">and </w:t>
      </w:r>
      <w:r w:rsidRPr="00D451CB">
        <w:t>appli</w:t>
      </w:r>
      <w:r w:rsidR="00AC0D74">
        <w:t>ed it</w:t>
      </w:r>
      <w:r w:rsidRPr="00D451CB">
        <w:t xml:space="preserve"> to the Sempra Companies and Pacific Gas and Electric Company (PG&amp;E).  The third</w:t>
      </w:r>
      <w:r w:rsidR="00FB57A9">
        <w:t> </w:t>
      </w:r>
      <w:r w:rsidRPr="00D451CB">
        <w:t>decision in this case, D.22-07-002, established a framework for a citation program when a utility fails to maintain adequate backbone capacity, amongst other matters.</w:t>
      </w:r>
    </w:p>
  </w:footnote>
  <w:footnote w:id="3">
    <w:p w14:paraId="7102C689" w14:textId="77777777" w:rsidR="00896672" w:rsidRDefault="00896672" w:rsidP="00896672">
      <w:pPr>
        <w:pStyle w:val="FootnoteText"/>
      </w:pPr>
      <w:r>
        <w:rPr>
          <w:rStyle w:val="FootnoteReference"/>
        </w:rPr>
        <w:footnoteRef/>
      </w:r>
      <w:r>
        <w:t xml:space="preserve"> </w:t>
      </w:r>
      <w:r w:rsidRPr="00FD0338">
        <w:rPr>
          <w:i/>
          <w:iCs/>
        </w:rPr>
        <w:t>See</w:t>
      </w:r>
      <w:r>
        <w:t xml:space="preserve"> D.94-06-014 and D.95-08-038.  </w:t>
      </w:r>
      <w:r w:rsidRPr="00FD0338">
        <w:rPr>
          <w:i/>
          <w:iCs/>
        </w:rPr>
        <w:t>See</w:t>
      </w:r>
      <w:r>
        <w:t xml:space="preserve"> also GO 131-D on the Commission’s website, available as of September 14, 2022 at: </w:t>
      </w:r>
      <w:hyperlink r:id="rId1" w:history="1">
        <w:r w:rsidRPr="00760AA3">
          <w:rPr>
            <w:rStyle w:val="Hyperlink"/>
          </w:rPr>
          <w:t>https://www.cpuc.ca.gov/proceedings-and-rulemaking/cpuc-general-orders</w:t>
        </w:r>
      </w:hyperlink>
      <w:r>
        <w:t xml:space="preserve">. </w:t>
      </w:r>
    </w:p>
  </w:footnote>
  <w:footnote w:id="4">
    <w:p w14:paraId="23C7904A" w14:textId="3B079EF3" w:rsidR="00142B86" w:rsidRDefault="00142B86" w:rsidP="00142B86">
      <w:pPr>
        <w:pStyle w:val="FootnoteText"/>
      </w:pPr>
      <w:r>
        <w:rPr>
          <w:rStyle w:val="FootnoteReference"/>
        </w:rPr>
        <w:footnoteRef/>
      </w:r>
      <w:r>
        <w:t xml:space="preserve"> </w:t>
      </w:r>
      <w:r w:rsidR="00830AE8">
        <w:t xml:space="preserve"> 2022 California Gas Report</w:t>
      </w:r>
      <w:r w:rsidR="001D1F3D">
        <w:t xml:space="preserve"> at 6</w:t>
      </w:r>
      <w:r w:rsidR="00255FAC">
        <w:t>, citing energy efficiency and fuel switching as primary drivers</w:t>
      </w:r>
      <w:r w:rsidR="003D05DF">
        <w:t xml:space="preserve"> and stating “[u]</w:t>
      </w:r>
      <w:r w:rsidR="003D05DF" w:rsidRPr="003D05DF">
        <w:t>tility-served, statewide natural gas demand is projected to decrease at an annual average rate of 1.1 percent per year through 2035."</w:t>
      </w:r>
      <w:r w:rsidR="001D1F3D">
        <w:t xml:space="preserve">  Available as of October 10, 2022 at: </w:t>
      </w:r>
      <w:hyperlink r:id="rId2" w:history="1">
        <w:r w:rsidR="009E6FAB" w:rsidRPr="00FE5A10">
          <w:rPr>
            <w:rStyle w:val="Hyperlink"/>
          </w:rPr>
          <w:t>https://www.socalgas.com/sites/default/files/Joint_Utility_Biennial_Comprehensive_California_Gas_Report_2022.pdf</w:t>
        </w:r>
      </w:hyperlink>
      <w:r w:rsidR="009E6FAB">
        <w:t xml:space="preserve"> </w:t>
      </w:r>
    </w:p>
  </w:footnote>
  <w:footnote w:id="5">
    <w:p w14:paraId="39F72333" w14:textId="54215417" w:rsidR="00142B86" w:rsidRPr="00052488" w:rsidRDefault="00142B86" w:rsidP="00142B86">
      <w:pPr>
        <w:pStyle w:val="FootnoteText"/>
      </w:pPr>
      <w:r w:rsidRPr="00052488">
        <w:rPr>
          <w:rStyle w:val="FootnoteReference"/>
        </w:rPr>
        <w:footnoteRef/>
      </w:r>
      <w:r w:rsidRPr="00052488">
        <w:t xml:space="preserve"> </w:t>
      </w:r>
      <w:r w:rsidR="006367E9">
        <w:t>California Energy Commission</w:t>
      </w:r>
      <w:r w:rsidR="00AA0439">
        <w:t>,</w:t>
      </w:r>
      <w:r>
        <w:t xml:space="preserve"> </w:t>
      </w:r>
      <w:r w:rsidR="00826D29" w:rsidRPr="00052488">
        <w:t>Final 2021 Integrated Energy Policy Report: Volume III: Decarbonizing the State’s Gas System</w:t>
      </w:r>
      <w:r w:rsidR="006367E9">
        <w:t xml:space="preserve"> </w:t>
      </w:r>
      <w:bookmarkStart w:id="17" w:name="_Hlk116289214"/>
      <w:r w:rsidR="006367E9">
        <w:t>(2021 IEPR Decarbonization Report)</w:t>
      </w:r>
      <w:r w:rsidR="00826D29" w:rsidRPr="00052488">
        <w:t xml:space="preserve">, </w:t>
      </w:r>
      <w:bookmarkEnd w:id="17"/>
      <w:r w:rsidR="00826D29" w:rsidRPr="00052488">
        <w:t xml:space="preserve">at </w:t>
      </w:r>
      <w:r w:rsidR="00643D7F" w:rsidRPr="00052488">
        <w:t>3</w:t>
      </w:r>
      <w:r w:rsidR="000121C2" w:rsidRPr="00052488">
        <w:t>, 24</w:t>
      </w:r>
      <w:r w:rsidR="0049690E" w:rsidRPr="00052488">
        <w:t>, 26</w:t>
      </w:r>
      <w:r w:rsidR="00643D7F" w:rsidRPr="00052488">
        <w:t xml:space="preserve"> and </w:t>
      </w:r>
      <w:r w:rsidR="00826D29" w:rsidRPr="00052488">
        <w:t>C-6</w:t>
      </w:r>
      <w:r w:rsidR="009F6E71">
        <w:t xml:space="preserve">, available as of October 10, 2022 at: </w:t>
      </w:r>
      <w:hyperlink r:id="rId3" w:history="1">
        <w:r w:rsidR="009F6E71" w:rsidRPr="00FE5A10">
          <w:rPr>
            <w:rStyle w:val="Hyperlink"/>
          </w:rPr>
          <w:t>https://www.energy.ca.gov/data-reports/reports/integrated-energy-policy-report/2021-integrated-energy-policy-report</w:t>
        </w:r>
      </w:hyperlink>
      <w:r w:rsidR="009F6E71">
        <w:t>.</w:t>
      </w:r>
      <w:r w:rsidR="00826D29">
        <w:t xml:space="preserve"> </w:t>
      </w:r>
      <w:r w:rsidR="00826D29" w:rsidRPr="00052488">
        <w:t xml:space="preserve"> </w:t>
      </w:r>
      <w:r w:rsidR="00863AF3" w:rsidRPr="00052488">
        <w:t>Ramping needs</w:t>
      </w:r>
      <w:r w:rsidR="00255FAC" w:rsidRPr="00052488">
        <w:t xml:space="preserve"> from gas-powered generation may remain hig</w:t>
      </w:r>
      <w:r w:rsidR="00826D29" w:rsidRPr="00052488">
        <w:t>h</w:t>
      </w:r>
      <w:r w:rsidR="00255FAC" w:rsidRPr="00052488">
        <w:t xml:space="preserve">. </w:t>
      </w:r>
    </w:p>
  </w:footnote>
  <w:footnote w:id="6">
    <w:p w14:paraId="590E3DD5" w14:textId="76EAD205" w:rsidR="00142B86" w:rsidRDefault="00142B86" w:rsidP="00142B86">
      <w:pPr>
        <w:pStyle w:val="FootnoteText"/>
      </w:pPr>
      <w:r w:rsidRPr="00224348">
        <w:rPr>
          <w:rStyle w:val="FootnoteReference"/>
        </w:rPr>
        <w:footnoteRef/>
      </w:r>
      <w:r w:rsidRPr="00224348">
        <w:t xml:space="preserve"> </w:t>
      </w:r>
      <w:r>
        <w:t xml:space="preserve"> </w:t>
      </w:r>
      <w:r w:rsidR="001A3D7E" w:rsidRPr="001A3D7E">
        <w:t>D</w:t>
      </w:r>
      <w:r w:rsidR="00BE21A5">
        <w:t>.</w:t>
      </w:r>
      <w:r w:rsidR="001A3D7E" w:rsidRPr="001A3D7E">
        <w:t xml:space="preserve">20-03-027 established two programs directed by SB 1477, </w:t>
      </w:r>
      <w:r w:rsidR="00BE21A5">
        <w:t>the Building Initiative for Low</w:t>
      </w:r>
      <w:r w:rsidR="00FB57A9">
        <w:noBreakHyphen/>
      </w:r>
      <w:r w:rsidR="00BE21A5">
        <w:t>Emissions Development (</w:t>
      </w:r>
      <w:r w:rsidR="001A3D7E" w:rsidRPr="001A3D7E">
        <w:t>BUILD</w:t>
      </w:r>
      <w:r w:rsidR="00BE21A5">
        <w:t>)</w:t>
      </w:r>
      <w:r w:rsidR="001A3D7E" w:rsidRPr="001A3D7E">
        <w:t xml:space="preserve"> </w:t>
      </w:r>
      <w:r w:rsidR="0044483F" w:rsidRPr="0044483F">
        <w:t xml:space="preserve">and </w:t>
      </w:r>
      <w:r w:rsidR="00BE21A5">
        <w:t>Technology and Equipment for clean heating (</w:t>
      </w:r>
      <w:r w:rsidR="0044483F" w:rsidRPr="0044483F">
        <w:t>TECH</w:t>
      </w:r>
      <w:r w:rsidR="00BE21A5">
        <w:t>)</w:t>
      </w:r>
      <w:r w:rsidR="0044483F" w:rsidRPr="0044483F">
        <w:t xml:space="preserve">. </w:t>
      </w:r>
      <w:r w:rsidR="00FB57A9">
        <w:t xml:space="preserve"> </w:t>
      </w:r>
      <w:r w:rsidR="0044483F" w:rsidRPr="0044483F">
        <w:t>BUILD is an incentive program for all electric new construction, mostly for low</w:t>
      </w:r>
      <w:r w:rsidR="00FB57A9">
        <w:noBreakHyphen/>
      </w:r>
      <w:r w:rsidR="0044483F" w:rsidRPr="0044483F">
        <w:t>income housing</w:t>
      </w:r>
      <w:r w:rsidR="00BE21A5">
        <w:t xml:space="preserve">.  </w:t>
      </w:r>
      <w:r w:rsidR="0044483F" w:rsidRPr="0044483F">
        <w:t>TECH is a market development program that train</w:t>
      </w:r>
      <w:r w:rsidR="00BE21A5">
        <w:t>s</w:t>
      </w:r>
      <w:r w:rsidR="0044483F" w:rsidRPr="0044483F">
        <w:t xml:space="preserve"> contractors, piloting actions to reduce barriers to adoption of heat pumps and providing incentives for heat pump installation.</w:t>
      </w:r>
      <w:r w:rsidR="00577631">
        <w:t xml:space="preserve">  The Self-Generation Incentive Program and energy efficiency programs </w:t>
      </w:r>
      <w:r w:rsidR="00CB1B2C">
        <w:t>administered by IOUs also o</w:t>
      </w:r>
      <w:r w:rsidR="00254D8C">
        <w:t>ffer</w:t>
      </w:r>
      <w:r w:rsidR="00CB1B2C">
        <w:t xml:space="preserve"> heat pump water heater incentives. </w:t>
      </w:r>
      <w:r w:rsidR="0044483F" w:rsidRPr="0044483F">
        <w:t xml:space="preserve"> </w:t>
      </w:r>
      <w:r w:rsidR="000D62D4">
        <w:t xml:space="preserve">Information on smaller pilots or programs providing incentives for </w:t>
      </w:r>
      <w:r w:rsidR="00740C8D">
        <w:t xml:space="preserve">heat pumps are available, as of October 13, 2022 at: </w:t>
      </w:r>
      <w:hyperlink r:id="rId4" w:history="1">
        <w:r w:rsidR="00740C8D" w:rsidRPr="007346BA">
          <w:rPr>
            <w:rStyle w:val="Hyperlink"/>
          </w:rPr>
          <w:t>https://www.cpuc.ca.gov/buildingdecarb</w:t>
        </w:r>
      </w:hyperlink>
      <w:r w:rsidR="00740C8D">
        <w:t xml:space="preserve">. </w:t>
      </w:r>
      <w:r w:rsidR="001F6DF0">
        <w:t xml:space="preserve"> In late summer 2022, PG&amp;E filed Application</w:t>
      </w:r>
      <w:r w:rsidR="00FB57A9">
        <w:t> </w:t>
      </w:r>
      <w:r w:rsidR="001F6DF0">
        <w:t>(A.)</w:t>
      </w:r>
      <w:r w:rsidR="00FB57A9">
        <w:t> </w:t>
      </w:r>
      <w:r w:rsidR="00B15247">
        <w:t xml:space="preserve">22-08-003, proposing a zonal electrification pilot program </w:t>
      </w:r>
      <w:r w:rsidR="00871F29">
        <w:t xml:space="preserve">located </w:t>
      </w:r>
      <w:r w:rsidR="0080161C">
        <w:t>at California State University Monterey Bay.</w:t>
      </w:r>
      <w:r w:rsidR="009947F7">
        <w:t xml:space="preserve">  In late 2021, SCE filed A.21-</w:t>
      </w:r>
      <w:r w:rsidR="00142A9C">
        <w:t xml:space="preserve">12-009, proposing a building electrification program. </w:t>
      </w:r>
    </w:p>
  </w:footnote>
  <w:footnote w:id="7">
    <w:p w14:paraId="64260355" w14:textId="77777777" w:rsidR="00332DA3" w:rsidRDefault="00332DA3" w:rsidP="00332DA3">
      <w:pPr>
        <w:pStyle w:val="FootnoteText"/>
      </w:pPr>
      <w:r>
        <w:rPr>
          <w:rStyle w:val="FootnoteReference"/>
        </w:rPr>
        <w:footnoteRef/>
      </w:r>
      <w:r w:rsidRPr="00A836A7">
        <w:t xml:space="preserve"> </w:t>
      </w:r>
      <w:r>
        <w:t xml:space="preserve">  </w:t>
      </w:r>
      <w:r w:rsidRPr="00FD0338">
        <w:rPr>
          <w:i/>
          <w:iCs/>
        </w:rPr>
        <w:t>See</w:t>
      </w:r>
      <w:r>
        <w:t xml:space="preserve"> list of state and local government “zero emission building ordinances,” available as of October 13, 2022 at: </w:t>
      </w:r>
      <w:r w:rsidRPr="008C04FA">
        <w:t xml:space="preserve"> </w:t>
      </w:r>
      <w:hyperlink r:id="rId5" w:history="1">
        <w:r w:rsidRPr="00FE5A10">
          <w:rPr>
            <w:rStyle w:val="Hyperlink"/>
          </w:rPr>
          <w:t>https://www.buildingdecarb.org/zeb-ordinances.html</w:t>
        </w:r>
      </w:hyperlink>
      <w:r>
        <w:t xml:space="preserve"> </w:t>
      </w:r>
    </w:p>
  </w:footnote>
  <w:footnote w:id="8">
    <w:p w14:paraId="27B1EBFE" w14:textId="48C7F7C4" w:rsidR="004F31F2" w:rsidRDefault="004F31F2">
      <w:pPr>
        <w:pStyle w:val="FootnoteText"/>
      </w:pPr>
      <w:r>
        <w:rPr>
          <w:rStyle w:val="FootnoteReference"/>
        </w:rPr>
        <w:footnoteRef/>
      </w:r>
      <w:r w:rsidR="003B45FA">
        <w:t xml:space="preserve"> 2021 IEPR Decarbonization </w:t>
      </w:r>
      <w:r w:rsidR="007C1790">
        <w:t xml:space="preserve">Report </w:t>
      </w:r>
      <w:r w:rsidR="009854E7">
        <w:t xml:space="preserve">at </w:t>
      </w:r>
      <w:r w:rsidR="00236797">
        <w:t xml:space="preserve">86 - </w:t>
      </w:r>
      <w:r w:rsidR="009854E7">
        <w:t xml:space="preserve">89. </w:t>
      </w:r>
    </w:p>
  </w:footnote>
  <w:footnote w:id="9">
    <w:p w14:paraId="3697F0A1" w14:textId="4DE393E8" w:rsidR="00AA0439" w:rsidRDefault="00AA0439">
      <w:pPr>
        <w:pStyle w:val="FootnoteText"/>
      </w:pPr>
      <w:r>
        <w:rPr>
          <w:rStyle w:val="FootnoteReference"/>
        </w:rPr>
        <w:footnoteRef/>
      </w:r>
      <w:r>
        <w:t xml:space="preserve"> </w:t>
      </w:r>
      <w:r w:rsidR="003B45FA">
        <w:t xml:space="preserve">2021 </w:t>
      </w:r>
      <w:r w:rsidR="007C1790">
        <w:t>IEPR</w:t>
      </w:r>
      <w:r w:rsidR="003B45FA">
        <w:t xml:space="preserve"> Decarbonization Report </w:t>
      </w:r>
      <w:r>
        <w:t xml:space="preserve">at </w:t>
      </w:r>
      <w:r w:rsidR="004F31F2">
        <w:t xml:space="preserve">Chapter 7. </w:t>
      </w:r>
    </w:p>
  </w:footnote>
  <w:footnote w:id="10">
    <w:p w14:paraId="1B04EB88" w14:textId="5D21324E" w:rsidR="002B7202" w:rsidRDefault="002B7202" w:rsidP="002B7202">
      <w:pPr>
        <w:pStyle w:val="FootnoteText"/>
      </w:pPr>
      <w:r>
        <w:rPr>
          <w:rStyle w:val="FootnoteReference"/>
        </w:rPr>
        <w:footnoteRef/>
      </w:r>
      <w:r>
        <w:t xml:space="preserve"> Commission Environmental and Social Justice Action Plan, available here as of September</w:t>
      </w:r>
      <w:r w:rsidR="00EE7193">
        <w:t> </w:t>
      </w:r>
      <w:r>
        <w:t>6,</w:t>
      </w:r>
      <w:r w:rsidR="00EE7193">
        <w:t> </w:t>
      </w:r>
      <w:r>
        <w:t xml:space="preserve">2022:  </w:t>
      </w:r>
      <w:r w:rsidR="00EA39FF" w:rsidRPr="00EA39FF">
        <w:t>https://www.cpuc.ca.gov/-/media/cpuc-website/divisions/news-and-outreach/documents/news-office/key-issues/esj/esj-action-plan-v2jw.pdf</w:t>
      </w:r>
      <w:r w:rsidR="00B7432B">
        <w:t xml:space="preserve"> </w:t>
      </w:r>
    </w:p>
  </w:footnote>
  <w:footnote w:id="11">
    <w:p w14:paraId="773BB1DD" w14:textId="77777777" w:rsidR="00D72F32" w:rsidRDefault="00D72F32" w:rsidP="00D72F32">
      <w:pPr>
        <w:pStyle w:val="FootnoteText"/>
      </w:pPr>
      <w:r>
        <w:rPr>
          <w:rStyle w:val="FootnoteReference"/>
        </w:rPr>
        <w:footnoteRef/>
      </w:r>
      <w:r>
        <w:t xml:space="preserve"> Public Resources (Pub. Res.) Code Section 21080(a). </w:t>
      </w:r>
    </w:p>
  </w:footnote>
  <w:footnote w:id="12">
    <w:p w14:paraId="7E2CE774" w14:textId="77777777" w:rsidR="00FC3182" w:rsidRDefault="00FC3182" w:rsidP="00FC3182">
      <w:pPr>
        <w:pStyle w:val="FootnoteText"/>
      </w:pPr>
      <w:r>
        <w:rPr>
          <w:rStyle w:val="FootnoteReference"/>
        </w:rPr>
        <w:footnoteRef/>
      </w:r>
      <w:r>
        <w:t xml:space="preserve"> </w:t>
      </w:r>
      <w:r w:rsidRPr="00544C18">
        <w:rPr>
          <w:i/>
          <w:iCs/>
        </w:rPr>
        <w:t xml:space="preserve">See </w:t>
      </w:r>
      <w:r>
        <w:t xml:space="preserve">D.94-06-014 and D.95-08-038. </w:t>
      </w:r>
      <w:r w:rsidRPr="00FD0338">
        <w:rPr>
          <w:i/>
          <w:iCs/>
        </w:rPr>
        <w:t xml:space="preserve"> See</w:t>
      </w:r>
      <w:r>
        <w:t xml:space="preserve"> also GO 131-D on the Commission’s website, available as of September 14, 2022 at: </w:t>
      </w:r>
      <w:hyperlink r:id="rId6" w:history="1">
        <w:r w:rsidRPr="00760AA3">
          <w:rPr>
            <w:rStyle w:val="Hyperlink"/>
          </w:rPr>
          <w:t>https://www.cpuc.ca.gov/proceedings-and-rulemaking/cpuc-general-orders</w:t>
        </w:r>
      </w:hyperlink>
      <w:r>
        <w:t xml:space="preserve">. </w:t>
      </w:r>
    </w:p>
  </w:footnote>
  <w:footnote w:id="13">
    <w:p w14:paraId="2BC2B656" w14:textId="55585CEB" w:rsidR="00592EF0" w:rsidRDefault="00592EF0">
      <w:pPr>
        <w:pStyle w:val="FootnoteText"/>
      </w:pPr>
      <w:r>
        <w:rPr>
          <w:rStyle w:val="FootnoteReference"/>
        </w:rPr>
        <w:footnoteRef/>
      </w:r>
      <w:r>
        <w:t xml:space="preserve"> PG&amp;E discusses Line 57C, which it asserts triggered a discretionary permit and underwent CEQA review at the California Lands Commission.  </w:t>
      </w:r>
      <w:r w:rsidRPr="00544C18">
        <w:rPr>
          <w:i/>
          <w:iCs/>
        </w:rPr>
        <w:t>See</w:t>
      </w:r>
      <w:r>
        <w:t xml:space="preserve"> PG&amp;E Comments on Staff Proposal at </w:t>
      </w:r>
      <w:r w:rsidR="00F875EC">
        <w:t>2</w:t>
      </w:r>
      <w:r w:rsidR="00EE7193">
        <w:t> </w:t>
      </w:r>
      <w:r w:rsidR="00F875EC">
        <w:t xml:space="preserve">- </w:t>
      </w:r>
      <w:r w:rsidR="00E8574D">
        <w:t>3, footnote</w:t>
      </w:r>
      <w:r w:rsidR="00F875EC">
        <w:t xml:space="preserve"> 3. </w:t>
      </w:r>
      <w:r w:rsidR="00E8574D">
        <w:t xml:space="preserve"> </w:t>
      </w:r>
    </w:p>
  </w:footnote>
  <w:footnote w:id="14">
    <w:p w14:paraId="69E3EB78" w14:textId="093DB959" w:rsidR="002367D7" w:rsidRDefault="002367D7">
      <w:pPr>
        <w:pStyle w:val="FootnoteText"/>
      </w:pPr>
      <w:r>
        <w:rPr>
          <w:rStyle w:val="FootnoteReference"/>
        </w:rPr>
        <w:footnoteRef/>
      </w:r>
      <w:r>
        <w:t xml:space="preserve"> </w:t>
      </w:r>
      <w:r w:rsidR="000646B1">
        <w:t xml:space="preserve">Pub. Res. Code </w:t>
      </w:r>
      <w:r w:rsidR="00A453FB">
        <w:t xml:space="preserve">Section 21065(c ).  </w:t>
      </w:r>
      <w:r w:rsidR="00A453FB" w:rsidRPr="009E39BF">
        <w:rPr>
          <w:i/>
        </w:rPr>
        <w:t>See also</w:t>
      </w:r>
      <w:r w:rsidR="00A453FB">
        <w:t xml:space="preserve"> D.</w:t>
      </w:r>
      <w:r w:rsidR="006B68F7">
        <w:t>85951</w:t>
      </w:r>
      <w:r w:rsidR="009B1635">
        <w:t xml:space="preserve">.  </w:t>
      </w:r>
    </w:p>
  </w:footnote>
  <w:footnote w:id="15">
    <w:p w14:paraId="163A8D65" w14:textId="77777777" w:rsidR="000D3EB1" w:rsidRDefault="000D3EB1" w:rsidP="000D3EB1">
      <w:pPr>
        <w:pStyle w:val="FootnoteText"/>
      </w:pPr>
      <w:r>
        <w:rPr>
          <w:rStyle w:val="FootnoteReference"/>
        </w:rPr>
        <w:footnoteRef/>
      </w:r>
      <w:r>
        <w:t xml:space="preserve"> Staff Proposal, </w:t>
      </w:r>
      <w:r w:rsidRPr="000157F1">
        <w:t>Section IV(B)</w:t>
      </w:r>
      <w:r>
        <w:t>.</w:t>
      </w:r>
    </w:p>
  </w:footnote>
  <w:footnote w:id="16">
    <w:p w14:paraId="2C02CEA8" w14:textId="6B16427D" w:rsidR="00EF5061" w:rsidRDefault="00EF5061">
      <w:pPr>
        <w:pStyle w:val="FootnoteText"/>
      </w:pPr>
      <w:r>
        <w:rPr>
          <w:rStyle w:val="FootnoteReference"/>
        </w:rPr>
        <w:footnoteRef/>
      </w:r>
      <w:r>
        <w:t xml:space="preserve"> PG&amp;E Comments on Proposed Decision at 2.</w:t>
      </w:r>
    </w:p>
  </w:footnote>
  <w:footnote w:id="17">
    <w:p w14:paraId="2B22DD9E" w14:textId="66D4132C" w:rsidR="00345142" w:rsidRDefault="00345142">
      <w:pPr>
        <w:pStyle w:val="FootnoteText"/>
      </w:pPr>
      <w:r>
        <w:rPr>
          <w:rStyle w:val="FootnoteReference"/>
        </w:rPr>
        <w:footnoteRef/>
      </w:r>
      <w:r>
        <w:t xml:space="preserve"> PG&amp;E Reply Comments on Proposed Decision at </w:t>
      </w:r>
      <w:r w:rsidR="00391BA0">
        <w:t>1.</w:t>
      </w:r>
    </w:p>
  </w:footnote>
  <w:footnote w:id="18">
    <w:p w14:paraId="0C4948AA" w14:textId="2D97AB18" w:rsidR="00EF5801" w:rsidRDefault="00EF5801">
      <w:pPr>
        <w:pStyle w:val="FootnoteText"/>
      </w:pPr>
      <w:r>
        <w:rPr>
          <w:rStyle w:val="FootnoteReference"/>
        </w:rPr>
        <w:footnoteRef/>
      </w:r>
      <w:r>
        <w:t xml:space="preserve"> SDG&amp;E Comments on Proposed Decision at </w:t>
      </w:r>
      <w:r w:rsidR="00247CEA">
        <w:t xml:space="preserve">4, footnote 15. </w:t>
      </w:r>
    </w:p>
  </w:footnote>
  <w:footnote w:id="19">
    <w:p w14:paraId="2C0B636B" w14:textId="2E449E7C" w:rsidR="006723A7" w:rsidRDefault="006723A7">
      <w:pPr>
        <w:pStyle w:val="FootnoteText"/>
      </w:pPr>
      <w:r>
        <w:rPr>
          <w:rStyle w:val="FootnoteReference"/>
        </w:rPr>
        <w:footnoteRef/>
      </w:r>
      <w:r>
        <w:t xml:space="preserve"> </w:t>
      </w:r>
      <w:r w:rsidRPr="0009044A">
        <w:rPr>
          <w:i/>
          <w:iCs/>
        </w:rPr>
        <w:t>Id</w:t>
      </w:r>
      <w:r>
        <w:t xml:space="preserve">. at iii. </w:t>
      </w:r>
    </w:p>
  </w:footnote>
  <w:footnote w:id="20">
    <w:p w14:paraId="5EF9684E" w14:textId="006EC42A" w:rsidR="00B55E26" w:rsidRDefault="00B55E26">
      <w:pPr>
        <w:pStyle w:val="FootnoteText"/>
      </w:pPr>
      <w:r>
        <w:rPr>
          <w:rStyle w:val="FootnoteReference"/>
        </w:rPr>
        <w:footnoteRef/>
      </w:r>
      <w:r>
        <w:t xml:space="preserve"> PG&amp;E Comments on Proposed Decision at </w:t>
      </w:r>
      <w:r w:rsidR="007523FC">
        <w:t>5.</w:t>
      </w:r>
    </w:p>
  </w:footnote>
  <w:footnote w:id="21">
    <w:p w14:paraId="58D0319F" w14:textId="77777777" w:rsidR="00345119" w:rsidRDefault="00345119" w:rsidP="00345119">
      <w:pPr>
        <w:pStyle w:val="FootnoteText"/>
      </w:pPr>
      <w:r>
        <w:rPr>
          <w:rStyle w:val="FootnoteReference"/>
        </w:rPr>
        <w:footnoteRef/>
      </w:r>
      <w:r>
        <w:t xml:space="preserve"> </w:t>
      </w:r>
      <w:r w:rsidRPr="00D74AD8">
        <w:t xml:space="preserve">For PTC applications, this requirement is contained in Section IV(A)(1) of the Staff Proposal.  For CPCN applications, this requirement is contained in Section IV(B) of the proposal.  </w:t>
      </w:r>
      <w:r w:rsidRPr="000D32CC">
        <w:t>For both PTC and CPCN applications, the Staff Proposal would require a statement of the “reasons why and facts showing that the completion and operation of the proposed facility is necessary to promote the safety, health, comfort, and convenience of the public,” in Section VI, “Information Required for PTC or CPCN Applications.”</w:t>
      </w:r>
    </w:p>
  </w:footnote>
  <w:footnote w:id="22">
    <w:p w14:paraId="37E95249" w14:textId="0E7FD697" w:rsidR="002004D7" w:rsidRDefault="002004D7" w:rsidP="00130B59">
      <w:pPr>
        <w:pStyle w:val="FootnoteText"/>
      </w:pPr>
      <w:r w:rsidRPr="00130B59">
        <w:rPr>
          <w:rStyle w:val="FootnoteReference"/>
        </w:rPr>
        <w:footnoteRef/>
      </w:r>
      <w:r w:rsidRPr="00130B59">
        <w:t xml:space="preserve"> Note that, although not stated in the submittal,</w:t>
      </w:r>
      <w:r w:rsidR="00F53FDC" w:rsidRPr="00130B59">
        <w:t xml:space="preserve"> </w:t>
      </w:r>
      <w:r w:rsidR="004125D2" w:rsidRPr="00130B59">
        <w:t xml:space="preserve">PG&amp;E’s project numbers (4) and (6) are PSEP projects.  </w:t>
      </w:r>
      <w:r w:rsidR="004125D2" w:rsidRPr="00130B59">
        <w:rPr>
          <w:i/>
          <w:iCs/>
        </w:rPr>
        <w:t>See</w:t>
      </w:r>
      <w:r w:rsidR="004125D2" w:rsidRPr="00130B59">
        <w:t xml:space="preserve"> </w:t>
      </w:r>
      <w:r w:rsidR="002E581D" w:rsidRPr="00AC7C56">
        <w:t>PG&amp;E</w:t>
      </w:r>
      <w:r w:rsidR="00130B59">
        <w:t xml:space="preserve">, </w:t>
      </w:r>
      <w:r w:rsidR="00130B59" w:rsidRPr="00AC7C56">
        <w:t xml:space="preserve">PSEP Final Compliance Report, March 6, 2019, </w:t>
      </w:r>
      <w:r w:rsidR="00130B59">
        <w:t xml:space="preserve">at Table 22-2, </w:t>
      </w:r>
      <w:r w:rsidR="00130B59" w:rsidRPr="00AC7C56">
        <w:t xml:space="preserve">available as of October 21, 2022 at: </w:t>
      </w:r>
      <w:hyperlink r:id="rId7" w:history="1">
        <w:r w:rsidR="00130B59" w:rsidRPr="00130B59">
          <w:rPr>
            <w:rStyle w:val="Hyperlink"/>
          </w:rPr>
          <w:t>https://docs.cpuc.ca.gov/SearchRes.aspx?DocFormat=ALL&amp;DocID=294992975</w:t>
        </w:r>
      </w:hyperlink>
      <w:r w:rsidR="00130B59" w:rsidRPr="00130B59">
        <w:t xml:space="preserve">.  </w:t>
      </w:r>
      <w:r w:rsidR="00130B59" w:rsidRPr="00AC7C56">
        <w:rPr>
          <w:i/>
          <w:iCs/>
        </w:rPr>
        <w:t>See also</w:t>
      </w:r>
      <w:r w:rsidR="00130B59" w:rsidRPr="00130B59">
        <w:t xml:space="preserve"> PG&amp;E Response to the ALJ Ruling Directing Filing of Data and Extending the Filing Date for Comments, July 18, 2022</w:t>
      </w:r>
      <w:r w:rsidR="00130B59">
        <w:t>.</w:t>
      </w:r>
    </w:p>
  </w:footnote>
  <w:footnote w:id="23">
    <w:p w14:paraId="7096C034" w14:textId="446DDC33" w:rsidR="00027575" w:rsidRDefault="00027575">
      <w:pPr>
        <w:pStyle w:val="FootnoteText"/>
      </w:pPr>
      <w:r>
        <w:rPr>
          <w:rStyle w:val="FootnoteReference"/>
        </w:rPr>
        <w:footnoteRef/>
      </w:r>
      <w:r>
        <w:t xml:space="preserve"> </w:t>
      </w:r>
      <w:bookmarkStart w:id="35" w:name="_Hlk120538196"/>
      <w:r w:rsidRPr="00027575">
        <w:t>Direct costs are costs for labor, material, services and other expenses incurred to design, engineer, plan, permit, execute and document a project.  This includes the development costs, project management, material, construction, inspection, environmental and other project execution activities.</w:t>
      </w:r>
      <w:r w:rsidR="00AC277E">
        <w:t xml:space="preserve"> </w:t>
      </w:r>
      <w:r w:rsidRPr="00027575">
        <w:t xml:space="preserve"> Indirect costs are for Administrative &amp; General, purchasing, warehousing, pension and benefits, payroll tax and other costs that are overhead in nature</w:t>
      </w:r>
      <w:r w:rsidR="00AC277E">
        <w:t xml:space="preserve">, as well as </w:t>
      </w:r>
      <w:r w:rsidRPr="00027575">
        <w:t>AFUDC</w:t>
      </w:r>
      <w:r w:rsidR="00AC277E">
        <w:t xml:space="preserve"> </w:t>
      </w:r>
      <w:r w:rsidRPr="00027575">
        <w:t>and property taxes</w:t>
      </w:r>
      <w:r w:rsidR="00AC277E">
        <w:t>.</w:t>
      </w:r>
      <w:bookmarkEnd w:id="35"/>
    </w:p>
  </w:footnote>
  <w:footnote w:id="24">
    <w:p w14:paraId="45A68999" w14:textId="77777777" w:rsidR="006F7694" w:rsidRDefault="006F7694" w:rsidP="006F7694">
      <w:pPr>
        <w:pStyle w:val="FootnoteText"/>
      </w:pPr>
      <w:r>
        <w:rPr>
          <w:rStyle w:val="FootnoteReference"/>
        </w:rPr>
        <w:footnoteRef/>
      </w:r>
      <w:r>
        <w:t xml:space="preserve"> Staff Proposal, Section IV(A)(1). </w:t>
      </w:r>
    </w:p>
  </w:footnote>
  <w:footnote w:id="25">
    <w:p w14:paraId="3CA2AB89" w14:textId="4FC1218B" w:rsidR="0003505E" w:rsidRDefault="0003505E">
      <w:pPr>
        <w:pStyle w:val="FootnoteText"/>
      </w:pPr>
      <w:r>
        <w:rPr>
          <w:rStyle w:val="FootnoteReference"/>
        </w:rPr>
        <w:footnoteRef/>
      </w:r>
      <w:r>
        <w:t xml:space="preserve"> Sierra Club/CEJA/RMI Comments on Staff Proposal at A-3.</w:t>
      </w:r>
      <w:r w:rsidR="004E73FD">
        <w:t xml:space="preserve">  </w:t>
      </w:r>
    </w:p>
  </w:footnote>
  <w:footnote w:id="26">
    <w:p w14:paraId="1A28D40F" w14:textId="2CC93363" w:rsidR="004A3662" w:rsidRDefault="004A3662">
      <w:pPr>
        <w:pStyle w:val="FootnoteText"/>
      </w:pPr>
      <w:r>
        <w:rPr>
          <w:rStyle w:val="FootnoteReference"/>
        </w:rPr>
        <w:footnoteRef/>
      </w:r>
      <w:r>
        <w:t xml:space="preserve"> SoCalGas Comments on Proposed Decision at 8.</w:t>
      </w:r>
    </w:p>
  </w:footnote>
  <w:footnote w:id="27">
    <w:p w14:paraId="7EAF380A" w14:textId="49FE5E57" w:rsidR="00F67645" w:rsidRDefault="00F67645">
      <w:pPr>
        <w:pStyle w:val="FootnoteText"/>
      </w:pPr>
      <w:r>
        <w:rPr>
          <w:rStyle w:val="FootnoteReference"/>
        </w:rPr>
        <w:footnoteRef/>
      </w:r>
      <w:r>
        <w:t xml:space="preserve"> Increase in levels of a toxic air contaminant is defined as an increase exceeding (1) de minimis levels or (2), where relevant, allowable limits set by the local air quality district. </w:t>
      </w:r>
    </w:p>
  </w:footnote>
  <w:footnote w:id="28">
    <w:p w14:paraId="6F9F9087" w14:textId="10C8F783" w:rsidR="004D689B" w:rsidRDefault="004D689B">
      <w:pPr>
        <w:pStyle w:val="FootnoteText"/>
      </w:pPr>
      <w:r>
        <w:rPr>
          <w:rStyle w:val="FootnoteReference"/>
        </w:rPr>
        <w:footnoteRef/>
      </w:r>
      <w:r>
        <w:t xml:space="preserve"> </w:t>
      </w:r>
      <w:r w:rsidR="002124E0">
        <w:t xml:space="preserve">Staff Proposal at Section VII(B). </w:t>
      </w:r>
    </w:p>
  </w:footnote>
  <w:footnote w:id="29">
    <w:p w14:paraId="4321DAE6" w14:textId="26DB26ED" w:rsidR="00007AEB" w:rsidRDefault="00007AEB">
      <w:pPr>
        <w:pStyle w:val="FootnoteText"/>
      </w:pPr>
      <w:r>
        <w:rPr>
          <w:rStyle w:val="FootnoteReference"/>
        </w:rPr>
        <w:footnoteRef/>
      </w:r>
      <w:r>
        <w:t xml:space="preserve"> </w:t>
      </w:r>
      <w:r w:rsidRPr="00544C18">
        <w:rPr>
          <w:i/>
          <w:iCs/>
        </w:rPr>
        <w:t>See</w:t>
      </w:r>
      <w:r>
        <w:t xml:space="preserve"> PHMSA</w:t>
      </w:r>
      <w:r w:rsidR="00C00A31">
        <w:t xml:space="preserve"> regulations </w:t>
      </w:r>
      <w:r w:rsidR="00D53642">
        <w:t xml:space="preserve">establishing the pressure at which transmission pipelines can operate and </w:t>
      </w:r>
      <w:r w:rsidR="00B8286E">
        <w:t xml:space="preserve">regarding </w:t>
      </w:r>
      <w:r w:rsidR="00360013">
        <w:t xml:space="preserve">preventative maintenance requirements, at </w:t>
      </w:r>
      <w:r w:rsidR="006C25AE">
        <w:t>49 CFR 192.</w:t>
      </w:r>
      <w:r w:rsidR="00202376">
        <w:t xml:space="preserve">5, 195.452 </w:t>
      </w:r>
      <w:r w:rsidR="0079015D">
        <w:t xml:space="preserve">and </w:t>
      </w:r>
      <w:r w:rsidR="006C25AE">
        <w:t>192.903</w:t>
      </w:r>
      <w:r w:rsidR="0079015D">
        <w:t>.</w:t>
      </w:r>
      <w:r w:rsidR="006C25AE">
        <w:t xml:space="preserve"> </w:t>
      </w:r>
    </w:p>
  </w:footnote>
  <w:footnote w:id="30">
    <w:p w14:paraId="7AB7F7EE" w14:textId="7D6E07A9" w:rsidR="00FF3B30" w:rsidRDefault="00FF3B30">
      <w:pPr>
        <w:pStyle w:val="FootnoteText"/>
      </w:pPr>
      <w:r>
        <w:rPr>
          <w:rStyle w:val="FootnoteReference"/>
        </w:rPr>
        <w:footnoteRef/>
      </w:r>
      <w:r>
        <w:t xml:space="preserve"> Staff Proposal at IV(A)(1).  </w:t>
      </w:r>
    </w:p>
  </w:footnote>
  <w:footnote w:id="31">
    <w:p w14:paraId="244A00BF" w14:textId="02CFC2AF" w:rsidR="00395016" w:rsidRDefault="00395016">
      <w:pPr>
        <w:pStyle w:val="FootnoteText"/>
      </w:pPr>
      <w:r>
        <w:rPr>
          <w:rStyle w:val="FootnoteReference"/>
        </w:rPr>
        <w:footnoteRef/>
      </w:r>
      <w:r>
        <w:t xml:space="preserve"> </w:t>
      </w:r>
      <w:r w:rsidRPr="00395016">
        <w:t xml:space="preserve">As defined in Pub. Util. Code Section 221, “gas plant” includes all real estate, fixtures, and personal property, owned, controlled, operated, or managed in connection with or to facilitate the production, generation, transmission, delivery, underground storage, or furnishing of gas…”  Pub. Util. Code </w:t>
      </w:r>
      <w:r w:rsidR="00FD0338">
        <w:t>S</w:t>
      </w:r>
      <w:r w:rsidRPr="00395016">
        <w:t>ection 222 defines “gas corporation” as every corporation or person owning, controlling, operating, or managing any gas plant for compensation within this state, except where gas is made or produced on and distributed by the maker or producer through private property alone solely for his own use or the use of his tenants and not for sale to others.</w:t>
      </w:r>
    </w:p>
  </w:footnote>
  <w:footnote w:id="32">
    <w:p w14:paraId="083731FA" w14:textId="7B718EBD" w:rsidR="00460DC9" w:rsidRDefault="00460DC9">
      <w:pPr>
        <w:pStyle w:val="FootnoteText"/>
      </w:pPr>
      <w:r>
        <w:rPr>
          <w:rStyle w:val="FootnoteReference"/>
        </w:rPr>
        <w:footnoteRef/>
      </w:r>
      <w:r>
        <w:t xml:space="preserve"> </w:t>
      </w:r>
      <w:r w:rsidRPr="00460DC9">
        <w:t>EDF Comments on Staff Proposal at 5.  Projects mentioned by EDF include:  “the SoCalGas Ventura Compressor Modernization Project with an expected project cost of $209.5 million from 2022 to 2028; the SoCalGas Line 235 Repair and Replacement Project with an expected project cost ranging from $378.4 million (repair option) to $549.2 million (replacement option); and the SDG&amp;E 49-1 Replacement Project with a capital cost of $64.3 million.”</w:t>
      </w:r>
    </w:p>
  </w:footnote>
  <w:footnote w:id="33">
    <w:p w14:paraId="69DEAA5B" w14:textId="07DAB9EA" w:rsidR="00685A32" w:rsidRPr="00056E66" w:rsidRDefault="00685A32">
      <w:pPr>
        <w:pStyle w:val="FootnoteText"/>
      </w:pPr>
      <w:r w:rsidRPr="00056E66">
        <w:rPr>
          <w:rStyle w:val="FootnoteReference"/>
        </w:rPr>
        <w:footnoteRef/>
      </w:r>
      <w:r w:rsidRPr="00056E66">
        <w:t xml:space="preserve"> </w:t>
      </w:r>
      <w:r w:rsidR="003770BB" w:rsidRPr="00056E66">
        <w:t>SDG&amp;E</w:t>
      </w:r>
      <w:r w:rsidR="007B3520" w:rsidRPr="00056E66">
        <w:t xml:space="preserve"> Comments on </w:t>
      </w:r>
      <w:r w:rsidR="00056E66" w:rsidRPr="00056E66">
        <w:t xml:space="preserve">Staff </w:t>
      </w:r>
      <w:r w:rsidR="007B3520" w:rsidRPr="00056E66">
        <w:t>Proposal at</w:t>
      </w:r>
      <w:r w:rsidR="00F603C8" w:rsidRPr="00056E66">
        <w:t xml:space="preserve"> 14</w:t>
      </w:r>
      <w:r w:rsidR="007B3520" w:rsidRPr="00056E66">
        <w:t>.</w:t>
      </w:r>
    </w:p>
  </w:footnote>
  <w:footnote w:id="34">
    <w:p w14:paraId="6109BAB5" w14:textId="0C1F1A04" w:rsidR="00725E11" w:rsidRDefault="00725E11">
      <w:pPr>
        <w:pStyle w:val="FootnoteText"/>
      </w:pPr>
      <w:r w:rsidRPr="00056E66">
        <w:rPr>
          <w:rStyle w:val="FootnoteReference"/>
        </w:rPr>
        <w:footnoteRef/>
      </w:r>
      <w:r w:rsidRPr="00056E66">
        <w:t xml:space="preserve"> </w:t>
      </w:r>
      <w:r w:rsidR="00056E66" w:rsidRPr="00FD6CAD">
        <w:rPr>
          <w:i/>
          <w:iCs/>
        </w:rPr>
        <w:t>Id.</w:t>
      </w:r>
      <w:r w:rsidR="00056E66">
        <w:t xml:space="preserve"> </w:t>
      </w:r>
      <w:r w:rsidR="00BD66F6" w:rsidRPr="00056E66">
        <w:t>at 18</w:t>
      </w:r>
      <w:r w:rsidR="00056E66" w:rsidRPr="00056E66">
        <w:t>.</w:t>
      </w:r>
    </w:p>
  </w:footnote>
  <w:footnote w:id="35">
    <w:p w14:paraId="3750F5F8" w14:textId="69EA56B6" w:rsidR="001E30AD" w:rsidRDefault="001E30AD">
      <w:pPr>
        <w:pStyle w:val="FootnoteText"/>
      </w:pPr>
      <w:r>
        <w:rPr>
          <w:rStyle w:val="FootnoteReference"/>
        </w:rPr>
        <w:footnoteRef/>
      </w:r>
      <w:r>
        <w:t xml:space="preserve"> </w:t>
      </w:r>
      <w:r w:rsidRPr="0009044A">
        <w:rPr>
          <w:i/>
          <w:iCs/>
        </w:rPr>
        <w:t xml:space="preserve">See </w:t>
      </w:r>
      <w:r>
        <w:t xml:space="preserve">footnote </w:t>
      </w:r>
      <w:r w:rsidR="00B04637">
        <w:t>summarizing Pub. Util. Code Sections 221 and 222 above</w:t>
      </w:r>
      <w:r>
        <w:t xml:space="preserve">. </w:t>
      </w:r>
    </w:p>
  </w:footnote>
  <w:footnote w:id="36">
    <w:p w14:paraId="67DE8BD2" w14:textId="166A6A41" w:rsidR="0001480C" w:rsidRDefault="0001480C">
      <w:pPr>
        <w:pStyle w:val="FootnoteText"/>
      </w:pPr>
      <w:r>
        <w:rPr>
          <w:rStyle w:val="FootnoteReference"/>
        </w:rPr>
        <w:footnoteRef/>
      </w:r>
      <w:r w:rsidR="006F2D35">
        <w:t xml:space="preserve"> We use the term “service pipeline connecting to customer facilities” synonymously with </w:t>
      </w:r>
      <w:r w:rsidR="009D21E3">
        <w:t xml:space="preserve">the terms “service lateral,” or “service pipe” as used in the gas utility’s Gas Tariff Rule No. 16. </w:t>
      </w:r>
    </w:p>
  </w:footnote>
  <w:footnote w:id="37">
    <w:p w14:paraId="711495FA" w14:textId="59975C76" w:rsidR="003E530D" w:rsidRDefault="003E530D">
      <w:pPr>
        <w:pStyle w:val="FootnoteText"/>
      </w:pPr>
      <w:r>
        <w:rPr>
          <w:rStyle w:val="FootnoteReference"/>
        </w:rPr>
        <w:footnoteRef/>
      </w:r>
      <w:r>
        <w:t xml:space="preserve"> The Staff Proposal </w:t>
      </w:r>
      <w:r w:rsidR="00603F17">
        <w:t xml:space="preserve">additionally </w:t>
      </w:r>
      <w:r>
        <w:t xml:space="preserve">identifies </w:t>
      </w:r>
      <w:r w:rsidR="00603F17">
        <w:t xml:space="preserve">projects excluded from the GO as those involving </w:t>
      </w:r>
      <w:r w:rsidR="00A53847">
        <w:t xml:space="preserve">the </w:t>
      </w:r>
      <w:r w:rsidRPr="003E530D">
        <w:t xml:space="preserve">installation of environmental monitoring equipment, </w:t>
      </w:r>
      <w:r w:rsidR="00603F17">
        <w:t xml:space="preserve">or any </w:t>
      </w:r>
      <w:r w:rsidRPr="003E530D">
        <w:t>soil or geological investigation, or work to determine feasibility of the use of a particular site for the proposed facilities that does not result in a serious or major disturbance to an environmental resource</w:t>
      </w:r>
      <w:r w:rsidR="00A53847">
        <w:t xml:space="preserve">. </w:t>
      </w:r>
    </w:p>
  </w:footnote>
  <w:footnote w:id="38">
    <w:p w14:paraId="5EAE3618" w14:textId="641FBA65" w:rsidR="001E60AE" w:rsidRDefault="001E60AE">
      <w:pPr>
        <w:pStyle w:val="FootnoteText"/>
      </w:pPr>
      <w:r>
        <w:rPr>
          <w:rStyle w:val="FootnoteReference"/>
        </w:rPr>
        <w:footnoteRef/>
      </w:r>
      <w:r>
        <w:t xml:space="preserve"> Staff Proposal at </w:t>
      </w:r>
      <w:r w:rsidR="00D9249B">
        <w:t xml:space="preserve">Section </w:t>
      </w:r>
      <w:r>
        <w:t xml:space="preserve">IV. </w:t>
      </w:r>
    </w:p>
  </w:footnote>
  <w:footnote w:id="39">
    <w:p w14:paraId="3743CD01" w14:textId="4D621A69" w:rsidR="001034E0" w:rsidRDefault="001034E0">
      <w:pPr>
        <w:pStyle w:val="FootnoteText"/>
      </w:pPr>
      <w:r>
        <w:rPr>
          <w:rStyle w:val="FootnoteReference"/>
        </w:rPr>
        <w:footnoteRef/>
      </w:r>
      <w:r>
        <w:t xml:space="preserve"> Staff Proposal at </w:t>
      </w:r>
      <w:r w:rsidR="00C90E93" w:rsidRPr="00C90E93">
        <w:t>Section IV(A)(3)(a)</w:t>
      </w:r>
      <w:r w:rsidR="009E39BF">
        <w:t>.</w:t>
      </w:r>
    </w:p>
  </w:footnote>
  <w:footnote w:id="40">
    <w:p w14:paraId="06D5DF17" w14:textId="3DC5BAC9" w:rsidR="00940E73" w:rsidRDefault="00940E73">
      <w:pPr>
        <w:pStyle w:val="FootnoteText"/>
      </w:pPr>
      <w:r>
        <w:rPr>
          <w:rStyle w:val="FootnoteReference"/>
        </w:rPr>
        <w:footnoteRef/>
      </w:r>
      <w:r>
        <w:t xml:space="preserve"> Staff Proposal, Section IV(A)(3)(b). </w:t>
      </w:r>
    </w:p>
  </w:footnote>
  <w:footnote w:id="41">
    <w:p w14:paraId="66817F4E" w14:textId="4287A6FF" w:rsidR="00B87FA0" w:rsidRDefault="00B87FA0">
      <w:pPr>
        <w:pStyle w:val="FootnoteText"/>
      </w:pPr>
      <w:r>
        <w:rPr>
          <w:rStyle w:val="FootnoteReference"/>
        </w:rPr>
        <w:footnoteRef/>
      </w:r>
      <w:r>
        <w:t xml:space="preserve"> </w:t>
      </w:r>
      <w:r w:rsidR="0007097C">
        <w:t xml:space="preserve">SDG&amp;E Comments on Staff Proposal at </w:t>
      </w:r>
      <w:r w:rsidR="00D23A8B">
        <w:t>9</w:t>
      </w:r>
      <w:r w:rsidR="009E39BF">
        <w:t>.</w:t>
      </w:r>
    </w:p>
  </w:footnote>
  <w:footnote w:id="42">
    <w:p w14:paraId="7EF71E8D" w14:textId="2E68A5EB" w:rsidR="00081CE7" w:rsidDel="00E04D92" w:rsidRDefault="00081CE7">
      <w:pPr>
        <w:pStyle w:val="FootnoteText"/>
        <w:rPr/>
      </w:pPr>
    </w:p>
  </w:footnote>
  <w:footnote w:id="43">
    <w:p w14:paraId="2E610B37" w14:textId="38BBC402" w:rsidR="001B55E3" w:rsidRDefault="001B55E3">
      <w:pPr>
        <w:pStyle w:val="FootnoteText"/>
      </w:pPr>
      <w:r>
        <w:rPr>
          <w:rStyle w:val="FootnoteReference"/>
        </w:rPr>
        <w:footnoteRef/>
      </w:r>
      <w:r>
        <w:t xml:space="preserve"> Staff Proposal at IV(A)(3)(d)</w:t>
      </w:r>
      <w:r w:rsidR="006C6E62">
        <w:t>.</w:t>
      </w:r>
    </w:p>
  </w:footnote>
  <w:footnote w:id="44">
    <w:p w14:paraId="6BE00885" w14:textId="570E2856" w:rsidR="00DB6E3B" w:rsidRDefault="00DB6E3B" w:rsidP="00DB6E3B">
      <w:pPr>
        <w:pStyle w:val="FootnoteText"/>
      </w:pPr>
      <w:r>
        <w:rPr>
          <w:rStyle w:val="FootnoteReference"/>
        </w:rPr>
        <w:footnoteRef/>
      </w:r>
      <w:r>
        <w:t xml:space="preserve"> Staff’s Proposed </w:t>
      </w:r>
      <w:r w:rsidR="005459A7">
        <w:t>GO</w:t>
      </w:r>
      <w:r>
        <w:t xml:space="preserve">, Section IV(A)(3)(e). </w:t>
      </w:r>
    </w:p>
  </w:footnote>
  <w:footnote w:id="45">
    <w:p w14:paraId="5DB71AC7" w14:textId="5A78F7B7" w:rsidR="006D7CA0" w:rsidRDefault="006D7CA0">
      <w:pPr>
        <w:pStyle w:val="FootnoteText"/>
      </w:pPr>
      <w:r>
        <w:rPr>
          <w:rStyle w:val="FootnoteReference"/>
        </w:rPr>
        <w:footnoteRef/>
      </w:r>
      <w:r>
        <w:t xml:space="preserve"> SoCalGas Comments on Staff Proposal at 9.</w:t>
      </w:r>
    </w:p>
  </w:footnote>
  <w:footnote w:id="46">
    <w:p w14:paraId="3C663E06" w14:textId="4A64ABE0" w:rsidR="00434794" w:rsidRDefault="00434794" w:rsidP="00636140">
      <w:pPr>
        <w:pStyle w:val="FootnoteText"/>
      </w:pPr>
      <w:r>
        <w:rPr>
          <w:rStyle w:val="FootnoteReference"/>
        </w:rPr>
        <w:footnoteRef/>
      </w:r>
      <w:r>
        <w:t xml:space="preserve"> </w:t>
      </w:r>
      <w:r w:rsidR="006C16E6" w:rsidRPr="00AE4B94">
        <w:rPr>
          <w:i/>
          <w:iCs/>
        </w:rPr>
        <w:t>See</w:t>
      </w:r>
      <w:r w:rsidR="006C16E6">
        <w:t xml:space="preserve"> </w:t>
      </w:r>
      <w:r w:rsidR="006C16E6" w:rsidRPr="00400C5B">
        <w:rPr>
          <w:i/>
          <w:iCs/>
        </w:rPr>
        <w:t>Order Instituting Rulemaking to Establish Policies, Processes, and Rules to Ensure Safe and Reliable Gas Systems in California and Perform Long-Term Gas System Planning,</w:t>
      </w:r>
      <w:r w:rsidR="006C16E6">
        <w:t xml:space="preserve"> </w:t>
      </w:r>
      <w:r w:rsidR="00AE4B94">
        <w:t>S</w:t>
      </w:r>
      <w:r w:rsidR="006C16E6">
        <w:t xml:space="preserve">ection </w:t>
      </w:r>
      <w:r w:rsidR="00400C5B">
        <w:t xml:space="preserve">6.  Respondents to this rulemaking are </w:t>
      </w:r>
      <w:r w:rsidR="00636140">
        <w:t>Alpine Natural Gas, PG&amp;E, SoCalGas, SDG&amp;E, Southwest Gas, West Coast Gas Company, Inc., Wild Goose Storage, Lodi Gas Storage, Gill Ranch Storage, Central Valley Gas Storage, Sacramento Natural Gas Storage, LLC</w:t>
      </w:r>
      <w:r w:rsidR="006C16E6">
        <w:t>.</w:t>
      </w:r>
    </w:p>
  </w:footnote>
  <w:footnote w:id="47">
    <w:p w14:paraId="4F199B06" w14:textId="584C4016" w:rsidR="00F04584" w:rsidRDefault="00F04584">
      <w:pPr>
        <w:pStyle w:val="FootnoteText"/>
      </w:pPr>
      <w:r>
        <w:rPr>
          <w:rStyle w:val="FootnoteReference"/>
        </w:rPr>
        <w:footnoteRef/>
      </w:r>
      <w:r>
        <w:t xml:space="preserve"> Increase in levels of a toxic air contaminant is defined as an increase exceeding (1) de minimis levels or (2), where relevant, allowable limits set by the local air quality district.</w:t>
      </w:r>
    </w:p>
  </w:footnote>
  <w:footnote w:id="48">
    <w:p w14:paraId="6DBB4494" w14:textId="2EF6E0CF" w:rsidR="00046A9E" w:rsidRDefault="00046A9E">
      <w:pPr>
        <w:pStyle w:val="FootnoteText"/>
      </w:pPr>
      <w:r>
        <w:rPr>
          <w:rStyle w:val="FootnoteReference"/>
        </w:rPr>
        <w:footnoteRef/>
      </w:r>
      <w:r>
        <w:t xml:space="preserve"> PG&amp;E Reply Comments on Staff Proposal at </w:t>
      </w:r>
      <w:r w:rsidR="00010E7F">
        <w:t xml:space="preserve">17. Use of [ ] in the original. </w:t>
      </w:r>
    </w:p>
  </w:footnote>
  <w:footnote w:id="49">
    <w:p w14:paraId="7F9EDE6D" w14:textId="0FF70B0F" w:rsidR="001C79F7" w:rsidRDefault="001C79F7">
      <w:pPr>
        <w:pStyle w:val="FootnoteText"/>
      </w:pPr>
      <w:r>
        <w:rPr>
          <w:rStyle w:val="FootnoteReference"/>
        </w:rPr>
        <w:footnoteRef/>
      </w:r>
      <w:r>
        <w:t xml:space="preserve"> Sierra Club/CEJA/RMI Comments on Staff Proposal at 6.</w:t>
      </w:r>
    </w:p>
  </w:footnote>
  <w:footnote w:id="50">
    <w:p w14:paraId="6CFE5A69" w14:textId="64D38F54" w:rsidR="00841A46" w:rsidRDefault="00841A46">
      <w:pPr>
        <w:pStyle w:val="FootnoteText"/>
      </w:pPr>
      <w:r>
        <w:rPr>
          <w:rStyle w:val="FootnoteReference"/>
        </w:rPr>
        <w:footnoteRef/>
      </w:r>
      <w:r>
        <w:t xml:space="preserve"> </w:t>
      </w:r>
      <w:r w:rsidR="007D7211">
        <w:t xml:space="preserve">Sierra Club/CEJA/RMI note that </w:t>
      </w:r>
      <w:r>
        <w:t>AB 819</w:t>
      </w:r>
      <w:r w:rsidR="007D7211">
        <w:t>, for example,</w:t>
      </w:r>
      <w:r>
        <w:t xml:space="preserve"> requires the posting of CEQA notices to an agency’s website and requires agencies to allow members of the public to file comments electronically and accept comments via email (Pub. Res. Code Section 21082.1.d and Section</w:t>
      </w:r>
      <w:r w:rsidR="00FD0338">
        <w:t> </w:t>
      </w:r>
      <w:r>
        <w:t xml:space="preserve">21091.d.3).  </w:t>
      </w:r>
      <w:r w:rsidR="006D009F">
        <w:t>Sierra Club/CEJA/RMI Comments on Staff Proposal at 10.</w:t>
      </w:r>
    </w:p>
  </w:footnote>
  <w:footnote w:id="51">
    <w:p w14:paraId="2E1C28FF" w14:textId="4F7C0A9D" w:rsidR="00D36740" w:rsidRDefault="00D36740">
      <w:pPr>
        <w:pStyle w:val="FootnoteText"/>
      </w:pPr>
      <w:r w:rsidRPr="00AC7C56">
        <w:rPr>
          <w:rStyle w:val="FootnoteReference"/>
        </w:rPr>
        <w:footnoteRef/>
      </w:r>
      <w:r w:rsidRPr="00AC7C56">
        <w:t xml:space="preserve"> </w:t>
      </w:r>
      <w:r w:rsidR="00A0092B" w:rsidRPr="00A0092B">
        <w:t>GO</w:t>
      </w:r>
      <w:r w:rsidR="00A0092B">
        <w:t xml:space="preserve"> 96</w:t>
      </w:r>
      <w:r w:rsidR="00301FA4">
        <w:t>-B</w:t>
      </w:r>
      <w:r w:rsidR="00A0092B">
        <w:t xml:space="preserve"> at 10, Section 6.2.  Available as of October 21, 2022 at: </w:t>
      </w:r>
      <w:hyperlink r:id="rId8" w:history="1">
        <w:r w:rsidR="00A0092B" w:rsidRPr="00FD0E7A">
          <w:rPr>
            <w:rStyle w:val="Hyperlink"/>
          </w:rPr>
          <w:t>https://docs.cpuc.ca.gov/PublishedDocs/Published/G000/M023/K381/23381302.PDF</w:t>
        </w:r>
      </w:hyperlink>
      <w:r w:rsidR="00A0092B">
        <w:t xml:space="preserve">. </w:t>
      </w:r>
    </w:p>
  </w:footnote>
  <w:footnote w:id="52">
    <w:p w14:paraId="093F0EC0" w14:textId="1530D75A" w:rsidR="0059551B" w:rsidRDefault="0059551B">
      <w:pPr>
        <w:pStyle w:val="FootnoteText"/>
      </w:pPr>
      <w:r>
        <w:rPr>
          <w:rStyle w:val="FootnoteReference"/>
        </w:rPr>
        <w:footnoteRef/>
      </w:r>
      <w:r w:rsidRPr="0066692B">
        <w:t xml:space="preserve"> </w:t>
      </w:r>
      <w:r w:rsidR="000F46DE" w:rsidRPr="0066692B">
        <w:t xml:space="preserve">CforAT Comments on </w:t>
      </w:r>
      <w:r w:rsidR="0066692B">
        <w:t xml:space="preserve">Staff Proposal </w:t>
      </w:r>
      <w:r w:rsidR="000F46DE" w:rsidRPr="0066692B">
        <w:t xml:space="preserve">at </w:t>
      </w:r>
      <w:r w:rsidR="001E41C6" w:rsidRPr="0066692B">
        <w:t>3</w:t>
      </w:r>
      <w:r w:rsidR="0066692B" w:rsidRPr="0066692B">
        <w:t>.</w:t>
      </w:r>
    </w:p>
  </w:footnote>
  <w:footnote w:id="53">
    <w:p w14:paraId="48B15DD5" w14:textId="2BED35B9" w:rsidR="0059551B" w:rsidRDefault="0059551B">
      <w:pPr>
        <w:pStyle w:val="FootnoteText"/>
      </w:pPr>
      <w:r w:rsidRPr="007D2F8A">
        <w:rPr>
          <w:rStyle w:val="FootnoteReference"/>
        </w:rPr>
        <w:footnoteRef/>
      </w:r>
      <w:r w:rsidRPr="007D2F8A">
        <w:t xml:space="preserve"> </w:t>
      </w:r>
      <w:r w:rsidR="00301FA4" w:rsidRPr="0066692B">
        <w:t>UCAN Comments</w:t>
      </w:r>
      <w:r w:rsidR="00301FA4">
        <w:t xml:space="preserve"> on Staff Proposal</w:t>
      </w:r>
      <w:r w:rsidR="00301FA4" w:rsidRPr="0066692B">
        <w:t xml:space="preserve"> at 4.</w:t>
      </w:r>
    </w:p>
  </w:footnote>
  <w:footnote w:id="54">
    <w:p w14:paraId="2ED06C34" w14:textId="5D21B0DC" w:rsidR="004A04BF" w:rsidRDefault="002660EC" w:rsidP="002660EC">
      <w:pPr>
        <w:pStyle w:val="FootnoteText"/>
      </w:pPr>
      <w:r>
        <w:rPr>
          <w:rStyle w:val="FootnoteReference"/>
        </w:rPr>
        <w:footnoteRef/>
      </w:r>
      <w:r>
        <w:t xml:space="preserve"> Pub. Util. Code Section 1003 requires </w:t>
      </w:r>
      <w:r w:rsidR="004A04BF">
        <w:t>inclusion of the following information:</w:t>
      </w:r>
    </w:p>
    <w:p w14:paraId="1AB0711D" w14:textId="6C9BC48E" w:rsidR="002660EC" w:rsidRDefault="002660EC" w:rsidP="002660EC">
      <w:pPr>
        <w:pStyle w:val="FootnoteText"/>
      </w:pPr>
      <w:r>
        <w:t>(a) Preliminary engineering and design information on the project;</w:t>
      </w:r>
    </w:p>
    <w:p w14:paraId="7DF02F56" w14:textId="331C09D7" w:rsidR="002660EC" w:rsidRDefault="002660EC" w:rsidP="002660EC">
      <w:pPr>
        <w:pStyle w:val="FootnoteText"/>
      </w:pPr>
      <w:r>
        <w:t>(b) A project implementation plan showing how the project would be contracted for and constructed</w:t>
      </w:r>
      <w:r w:rsidR="00CC26C4">
        <w:t>;</w:t>
      </w:r>
      <w:r>
        <w:t xml:space="preserve"> </w:t>
      </w:r>
    </w:p>
    <w:p w14:paraId="0254F33A" w14:textId="5311A315" w:rsidR="002660EC" w:rsidRDefault="002660EC" w:rsidP="002660EC">
      <w:pPr>
        <w:pStyle w:val="FootnoteText"/>
      </w:pPr>
      <w:r>
        <w:t>(c) An appropriate cost estimate</w:t>
      </w:r>
      <w:r w:rsidR="00CC26C4">
        <w:t>;</w:t>
      </w:r>
      <w:r>
        <w:t xml:space="preserve"> </w:t>
      </w:r>
    </w:p>
    <w:p w14:paraId="1003AAA6" w14:textId="287C5637" w:rsidR="002660EC" w:rsidRDefault="002660EC" w:rsidP="002660EC">
      <w:pPr>
        <w:pStyle w:val="FootnoteText"/>
      </w:pPr>
      <w:r>
        <w:t>(d) A cost analysis comparing the project with any feasible alternative sources of power</w:t>
      </w:r>
      <w:r w:rsidR="00CC26C4">
        <w:t>;</w:t>
      </w:r>
      <w:r>
        <w:t xml:space="preserve"> </w:t>
      </w:r>
      <w:r w:rsidR="00CC26C4">
        <w:t xml:space="preserve">and </w:t>
      </w:r>
      <w:r>
        <w:t xml:space="preserve">  </w:t>
      </w:r>
    </w:p>
    <w:p w14:paraId="190909F9" w14:textId="77B66D15" w:rsidR="002660EC" w:rsidRDefault="002660EC" w:rsidP="002660EC">
      <w:pPr>
        <w:pStyle w:val="FootnoteText"/>
      </w:pPr>
      <w:r>
        <w:t>(e) A design and construction management and cost control plan which indicates the contractual and working responsibilities and interrelationships between the corporation's management and other major parties involved in the project.  </w:t>
      </w:r>
    </w:p>
  </w:footnote>
  <w:footnote w:id="55">
    <w:p w14:paraId="59AD8E4C" w14:textId="22157A8C" w:rsidR="003C70D1" w:rsidRDefault="003C70D1">
      <w:pPr>
        <w:pStyle w:val="FootnoteText"/>
      </w:pPr>
      <w:r>
        <w:rPr>
          <w:rStyle w:val="FootnoteReference"/>
        </w:rPr>
        <w:footnoteRef/>
      </w:r>
      <w:r>
        <w:t xml:space="preserve"> </w:t>
      </w:r>
      <w:r w:rsidR="009F49ED">
        <w:t>Pub. Util. Code Section 1005.5</w:t>
      </w:r>
      <w:r w:rsidR="007010D8">
        <w:t xml:space="preserve">(a) requires </w:t>
      </w:r>
      <w:r w:rsidR="00430A61">
        <w:t xml:space="preserve">consideration of </w:t>
      </w:r>
      <w:r w:rsidR="003E027A">
        <w:t>the maximum cost using an estimate of the anticipated construction cost, taking into consideration the design of the project, the expected duration of construction, an estimate of the effects of economic inflation, and any known engineering difficulties associated with the project.</w:t>
      </w:r>
    </w:p>
  </w:footnote>
  <w:footnote w:id="56">
    <w:p w14:paraId="0F4CA6D7" w14:textId="37C0592B" w:rsidR="00AA4626" w:rsidRDefault="00AA4626" w:rsidP="00AA4626">
      <w:pPr>
        <w:pStyle w:val="FootnoteText"/>
      </w:pPr>
      <w:r>
        <w:rPr>
          <w:rStyle w:val="FootnoteReference"/>
        </w:rPr>
        <w:footnoteRef/>
      </w:r>
      <w:r>
        <w:t xml:space="preserve"> 2019 Version available as of September 13, 2022 at: </w:t>
      </w:r>
      <w:hyperlink r:id="rId9" w:history="1">
        <w:r w:rsidRPr="0094393A">
          <w:rPr>
            <w:rStyle w:val="Hyperlink"/>
          </w:rPr>
          <w:t>https://www.cpuc.ca.gov/-/media/cpuc-website/files/legacyfiles/c/6442463239-ceqa-pre-filing-guidelines-pea-checklist-nov-2019.pdf</w:t>
        </w:r>
      </w:hyperlink>
      <w:r>
        <w:t xml:space="preserve">.   </w:t>
      </w:r>
    </w:p>
  </w:footnote>
  <w:footnote w:id="57">
    <w:p w14:paraId="109D000E" w14:textId="0CFAC248" w:rsidR="00236C1F" w:rsidRDefault="00236C1F">
      <w:pPr>
        <w:pStyle w:val="FootnoteText"/>
      </w:pPr>
      <w:r w:rsidRPr="00173CEA">
        <w:rPr>
          <w:rStyle w:val="FootnoteReference"/>
        </w:rPr>
        <w:footnoteRef/>
      </w:r>
      <w:r w:rsidRPr="004B4F87">
        <w:t xml:space="preserve"> </w:t>
      </w:r>
      <w:r w:rsidR="00953BF3" w:rsidRPr="007D2F8A">
        <w:t>I</w:t>
      </w:r>
      <w:r w:rsidR="00953BF3">
        <w:t xml:space="preserve">ndicated Shippers Comments </w:t>
      </w:r>
      <w:r w:rsidR="007D2F8A">
        <w:t xml:space="preserve">on Staff Proposal </w:t>
      </w:r>
      <w:r w:rsidR="002D7083">
        <w:t>at 9</w:t>
      </w:r>
      <w:r w:rsidR="007D2F8A">
        <w:t>.</w:t>
      </w:r>
    </w:p>
  </w:footnote>
  <w:footnote w:id="58">
    <w:p w14:paraId="6A5B79D5" w14:textId="6D673D2E" w:rsidR="00BA791C" w:rsidRDefault="00BA791C">
      <w:pPr>
        <w:pStyle w:val="FootnoteText"/>
      </w:pPr>
      <w:r>
        <w:rPr>
          <w:rStyle w:val="FootnoteReference"/>
        </w:rPr>
        <w:footnoteRef/>
      </w:r>
      <w:r>
        <w:t xml:space="preserve"> Explanations of </w:t>
      </w:r>
      <w:r w:rsidR="00F84E90">
        <w:t>“</w:t>
      </w:r>
      <w:r>
        <w:t xml:space="preserve">direct” and “indirect” costs are provided in the GO in Appendix A. </w:t>
      </w:r>
    </w:p>
  </w:footnote>
  <w:footnote w:id="59">
    <w:p w14:paraId="6433AFE5" w14:textId="1F73D73A" w:rsidR="00CF5579" w:rsidRDefault="00CF5579">
      <w:pPr>
        <w:pStyle w:val="FootnoteText"/>
      </w:pPr>
      <w:r>
        <w:rPr>
          <w:rStyle w:val="FootnoteReference"/>
        </w:rPr>
        <w:footnoteRef/>
      </w:r>
      <w:r>
        <w:t xml:space="preserve"> Based on </w:t>
      </w:r>
      <w:r w:rsidR="00197AB4">
        <w:t>inclusion of an appropriate number of</w:t>
      </w:r>
      <w:r>
        <w:t xml:space="preserve"> 1 in 10 </w:t>
      </w:r>
      <w:r w:rsidR="006912CA">
        <w:t xml:space="preserve">winter </w:t>
      </w:r>
      <w:r>
        <w:t>day</w:t>
      </w:r>
      <w:r w:rsidR="00197AB4">
        <w:t>s</w:t>
      </w:r>
      <w:r>
        <w:t>.</w:t>
      </w:r>
    </w:p>
  </w:footnote>
  <w:footnote w:id="60">
    <w:p w14:paraId="30ED9AC2" w14:textId="258F2D8B" w:rsidR="00CA4C5D" w:rsidRDefault="00CA4C5D">
      <w:pPr>
        <w:pStyle w:val="FootnoteText"/>
      </w:pPr>
      <w:r>
        <w:rPr>
          <w:rStyle w:val="FootnoteReference"/>
        </w:rPr>
        <w:footnoteRef/>
      </w:r>
      <w:r>
        <w:t xml:space="preserve"> SoCalGas Comments on Staff Proposal at 10. </w:t>
      </w:r>
    </w:p>
  </w:footnote>
  <w:footnote w:id="61">
    <w:p w14:paraId="3912CFB7" w14:textId="6076C727" w:rsidR="00764565" w:rsidRDefault="00764565">
      <w:pPr>
        <w:pStyle w:val="FootnoteText"/>
      </w:pPr>
      <w:r>
        <w:rPr>
          <w:rStyle w:val="FootnoteReference"/>
        </w:rPr>
        <w:footnoteRef/>
      </w:r>
      <w:r>
        <w:t xml:space="preserve"> Id. at 11. </w:t>
      </w:r>
    </w:p>
  </w:footnote>
  <w:footnote w:id="62">
    <w:p w14:paraId="202F9B1C" w14:textId="055C616E" w:rsidR="00D65779" w:rsidRDefault="00D65779">
      <w:pPr>
        <w:pStyle w:val="FootnoteText"/>
      </w:pPr>
      <w:r>
        <w:rPr>
          <w:rStyle w:val="FootnoteReference"/>
        </w:rPr>
        <w:footnoteRef/>
      </w:r>
      <w:r>
        <w:t xml:space="preserve"> </w:t>
      </w:r>
      <w:r w:rsidR="00CA4C5D" w:rsidRPr="00FD6CAD">
        <w:rPr>
          <w:i/>
          <w:iCs/>
        </w:rPr>
        <w:t>I</w:t>
      </w:r>
      <w:r w:rsidR="00764565" w:rsidRPr="00FD6CAD">
        <w:rPr>
          <w:i/>
          <w:iCs/>
        </w:rPr>
        <w:t>bid.</w:t>
      </w:r>
      <w:r w:rsidR="00764565">
        <w:t xml:space="preserve"> </w:t>
      </w:r>
    </w:p>
  </w:footnote>
  <w:footnote w:id="63">
    <w:p w14:paraId="356E62EE" w14:textId="3E18DF34" w:rsidR="0037334E" w:rsidRDefault="0037334E" w:rsidP="0037334E">
      <w:pPr>
        <w:pStyle w:val="FootnoteText"/>
      </w:pPr>
      <w:r>
        <w:rPr>
          <w:rStyle w:val="FootnoteReference"/>
        </w:rPr>
        <w:footnoteRef/>
      </w:r>
      <w:r>
        <w:t xml:space="preserve"> </w:t>
      </w:r>
      <w:r w:rsidR="0096654F">
        <w:t xml:space="preserve">SoCalGas </w:t>
      </w:r>
      <w:r w:rsidR="00A762C6">
        <w:t xml:space="preserve">Comments </w:t>
      </w:r>
      <w:r w:rsidR="00F20604">
        <w:t xml:space="preserve">on </w:t>
      </w:r>
      <w:r w:rsidR="007D2F8A">
        <w:t xml:space="preserve">Staff Proposal </w:t>
      </w:r>
      <w:r w:rsidR="0096654F">
        <w:t>at 17</w:t>
      </w:r>
      <w:r w:rsidR="007D2F8A">
        <w:t>.</w:t>
      </w:r>
    </w:p>
  </w:footnote>
  <w:footnote w:id="64">
    <w:p w14:paraId="22EC2D1F" w14:textId="00E922E5" w:rsidR="002B6915" w:rsidRDefault="002B6915">
      <w:pPr>
        <w:pStyle w:val="FootnoteText"/>
      </w:pPr>
      <w:r>
        <w:rPr>
          <w:rStyle w:val="FootnoteReference"/>
        </w:rPr>
        <w:footnoteRef/>
      </w:r>
      <w:r>
        <w:t xml:space="preserve"> Sierra Club/CEJA/RMI Comments on Staff Proposal at Appendix A-2. </w:t>
      </w:r>
    </w:p>
  </w:footnote>
  <w:footnote w:id="65">
    <w:p w14:paraId="01FE8692" w14:textId="04CA4482" w:rsidR="00757380" w:rsidRDefault="00757380">
      <w:pPr>
        <w:pStyle w:val="FootnoteText"/>
      </w:pPr>
      <w:r>
        <w:rPr>
          <w:rStyle w:val="FootnoteReference"/>
        </w:rPr>
        <w:footnoteRef/>
      </w:r>
      <w:r>
        <w:t xml:space="preserve"> </w:t>
      </w:r>
      <w:r w:rsidR="00D440EF">
        <w:t xml:space="preserve">Exclusions from the definition of “project” </w:t>
      </w:r>
      <w:r w:rsidR="000B4B55">
        <w:t>are indicated</w:t>
      </w:r>
      <w:r w:rsidR="00D440EF">
        <w:t xml:space="preserve"> in the GO in 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5D1D" w14:textId="370ED922" w:rsidR="00EE1868" w:rsidRDefault="00EE1868" w:rsidP="00F92385">
    <w:pPr>
      <w:pStyle w:val="Header"/>
      <w:ind w:firstLine="0"/>
      <w:rPr>
        <w:i/>
        <w:color w:val="FF0000"/>
      </w:rPr>
    </w:pPr>
  </w:p>
  <w:p w14:paraId="4FACBEA6" w14:textId="77777777" w:rsidR="00EE1868" w:rsidRPr="00F92385" w:rsidRDefault="00EE1868"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9715" w14:textId="25B23E4E" w:rsidR="00E23CBB" w:rsidRDefault="005459A7" w:rsidP="00EE4315">
    <w:pPr>
      <w:pStyle w:val="Header"/>
      <w:tabs>
        <w:tab w:val="clear" w:pos="4680"/>
      </w:tabs>
      <w:ind w:firstLine="0"/>
      <w:rPr>
        <w:b/>
      </w:rPr>
    </w:pPr>
    <w:r>
      <w:t>R.20-01-007 ALJ/CF1/</w:t>
    </w:r>
    <w:proofErr w:type="spellStart"/>
    <w:r>
      <w:t>sgu</w:t>
    </w:r>
    <w:proofErr w:type="spellEnd"/>
    <w:r w:rsidR="00E23CBB">
      <w:tab/>
    </w:r>
  </w:p>
  <w:p w14:paraId="5E3C6409" w14:textId="4DD699FD" w:rsidR="005459A7" w:rsidRDefault="005459A7" w:rsidP="00B3087D">
    <w:pPr>
      <w:pStyle w:val="Header"/>
      <w:tabs>
        <w:tab w:val="clear" w:pos="4680"/>
      </w:tabs>
      <w:ind w:firstLine="0"/>
      <w:rPr>
        <w:i/>
        <w:color w:val="FF0000"/>
      </w:rPr>
    </w:pPr>
  </w:p>
  <w:p w14:paraId="3CDE6E41" w14:textId="77777777" w:rsidR="005459A7" w:rsidRPr="00B3087D" w:rsidRDefault="005459A7"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93C5" w14:textId="041BC7F7" w:rsidR="00544C18" w:rsidRDefault="00544C18" w:rsidP="00544C18">
    <w:pPr>
      <w:pStyle w:val="Header"/>
      <w:tabs>
        <w:tab w:val="clear" w:pos="4680"/>
      </w:tabs>
      <w:ind w:firstLine="0"/>
      <w:rPr>
        <w:i/>
        <w:color w:val="FF0000"/>
      </w:rPr>
    </w:pPr>
    <w:r>
      <w:t>R.20-01-007 ALJ/CF1/</w:t>
    </w:r>
    <w:proofErr w:type="spellStart"/>
    <w:r>
      <w:t>sgu</w:t>
    </w:r>
    <w:proofErr w:type="spellEnd"/>
    <w:r>
      <w:tab/>
    </w:r>
  </w:p>
  <w:p w14:paraId="5AE0D64A" w14:textId="77777777" w:rsidR="00544C18" w:rsidRDefault="00544C18" w:rsidP="00B3087D">
    <w:pPr>
      <w:pStyle w:val="Header"/>
      <w:tabs>
        <w:tab w:val="clear" w:pos="4680"/>
      </w:tabs>
      <w:ind w:firstLine="0"/>
      <w:rPr>
        <w:i/>
        <w:color w:val="FF0000"/>
      </w:rPr>
    </w:pPr>
  </w:p>
  <w:p w14:paraId="7E89BA1C" w14:textId="77777777" w:rsidR="00544C18" w:rsidRPr="00B3087D" w:rsidRDefault="00544C18" w:rsidP="00B3087D">
    <w:pPr>
      <w:pStyle w:val="Header"/>
      <w:tabs>
        <w:tab w:val="clear" w:pos="4680"/>
      </w:tabs>
      <w:ind w:firstLine="0"/>
      <w:rPr>
        <w:i/>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493F" w14:textId="4A1E430D" w:rsidR="00544C18" w:rsidRPr="00F92385" w:rsidRDefault="00544C18" w:rsidP="00F92385">
    <w:pPr>
      <w:pStyle w:val="Header"/>
      <w:ind w:firstLine="0"/>
      <w:rPr>
        <w:i/>
        <w:color w:val="FF0000"/>
      </w:rPr>
    </w:pPr>
    <w:r>
      <w:t>R.20-01-007 ALJ/CF1/</w:t>
    </w:r>
    <w:proofErr w:type="spellStart"/>
    <w:r>
      <w:t>sgu</w:t>
    </w:r>
    <w:proofErr w:type="spellEnd"/>
    <w:r w:rsidR="0069047B">
      <w:tab/>
    </w:r>
    <w:r w:rsidR="006904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B6A9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6CA5"/>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eastAsiaTheme="minorHAnsi" w:hAnsi="Book Antiqua" w:cstheme="minorBidi"/>
        <w:sz w:val="26"/>
      </w:rPr>
    </w:lvl>
    <w:lvl w:ilvl="8">
      <w:start w:val="1"/>
      <w:numFmt w:val="none"/>
      <w:lvlText w:val=""/>
      <w:lvlJc w:val="left"/>
      <w:pPr>
        <w:ind w:left="3240" w:hanging="360"/>
      </w:pPr>
      <w:rPr>
        <w:rFonts w:hint="default"/>
      </w:rPr>
    </w:lvl>
  </w:abstractNum>
  <w:abstractNum w:abstractNumId="2" w15:restartNumberingAfterBreak="0">
    <w:nsid w:val="04794785"/>
    <w:multiLevelType w:val="hybridMultilevel"/>
    <w:tmpl w:val="F2901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00F64"/>
    <w:multiLevelType w:val="hybridMultilevel"/>
    <w:tmpl w:val="1E9A532A"/>
    <w:lvl w:ilvl="0" w:tplc="D908AB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7B1453A"/>
    <w:multiLevelType w:val="hybridMultilevel"/>
    <w:tmpl w:val="13248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8C7421"/>
    <w:multiLevelType w:val="hybridMultilevel"/>
    <w:tmpl w:val="BB543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F0576F"/>
    <w:multiLevelType w:val="hybridMultilevel"/>
    <w:tmpl w:val="EBE2C4E2"/>
    <w:lvl w:ilvl="0" w:tplc="04090019">
      <w:start w:val="1"/>
      <w:numFmt w:val="lowerLetter"/>
      <w:lvlText w:val="%1."/>
      <w:lvlJc w:val="left"/>
      <w:pPr>
        <w:ind w:left="2030" w:hanging="360"/>
      </w:pPr>
    </w:lvl>
    <w:lvl w:ilvl="1" w:tplc="04090019">
      <w:start w:val="1"/>
      <w:numFmt w:val="lowerLetter"/>
      <w:lvlText w:val="%2."/>
      <w:lvlJc w:val="left"/>
      <w:pPr>
        <w:ind w:left="2750" w:hanging="360"/>
      </w:pPr>
    </w:lvl>
    <w:lvl w:ilvl="2" w:tplc="0409001B">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7" w15:restartNumberingAfterBreak="0">
    <w:nsid w:val="0D082E98"/>
    <w:multiLevelType w:val="hybridMultilevel"/>
    <w:tmpl w:val="167E5E34"/>
    <w:lvl w:ilvl="0" w:tplc="3E84BA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F8676D"/>
    <w:multiLevelType w:val="hybridMultilevel"/>
    <w:tmpl w:val="4AB0AD8C"/>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0" w15:restartNumberingAfterBreak="0">
    <w:nsid w:val="1571320D"/>
    <w:multiLevelType w:val="multilevel"/>
    <w:tmpl w:val="18EC7638"/>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15F056CB"/>
    <w:multiLevelType w:val="multilevel"/>
    <w:tmpl w:val="18F4A5AC"/>
    <w:numStyleLink w:val="FoFCoLOP"/>
  </w:abstractNum>
  <w:abstractNum w:abstractNumId="12"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70038F"/>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2242C9"/>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B87B4C"/>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3930FE"/>
    <w:multiLevelType w:val="hybridMultilevel"/>
    <w:tmpl w:val="84D0A852"/>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DB7E0C"/>
    <w:multiLevelType w:val="hybridMultilevel"/>
    <w:tmpl w:val="CFB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B58FE"/>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4B261C"/>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3A5212E"/>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4354DDC"/>
    <w:multiLevelType w:val="hybridMultilevel"/>
    <w:tmpl w:val="9028EC4A"/>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3663A0"/>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BF2C65"/>
    <w:multiLevelType w:val="hybridMultilevel"/>
    <w:tmpl w:val="9A4AAE72"/>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7C684E"/>
    <w:multiLevelType w:val="hybridMultilevel"/>
    <w:tmpl w:val="AC2ECEB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B8124D7"/>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98410D"/>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5E43E2"/>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31F6D42"/>
    <w:multiLevelType w:val="multilevel"/>
    <w:tmpl w:val="5AC222EC"/>
    <w:styleLink w:val="Headings"/>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3DD6103"/>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346EF4"/>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6121228"/>
    <w:multiLevelType w:val="hybridMultilevel"/>
    <w:tmpl w:val="74CAD174"/>
    <w:lvl w:ilvl="0" w:tplc="BC58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C10F41"/>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E89401A"/>
    <w:multiLevelType w:val="hybridMultilevel"/>
    <w:tmpl w:val="C17E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62407A"/>
    <w:multiLevelType w:val="hybridMultilevel"/>
    <w:tmpl w:val="7F1CCF9A"/>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C93772"/>
    <w:multiLevelType w:val="hybridMultilevel"/>
    <w:tmpl w:val="BDE21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5FC10CA"/>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eastAsiaTheme="minorHAnsi" w:hAnsi="Book Antiqua" w:cstheme="minorBidi"/>
        <w:sz w:val="26"/>
      </w:rPr>
    </w:lvl>
    <w:lvl w:ilvl="8">
      <w:start w:val="1"/>
      <w:numFmt w:val="none"/>
      <w:lvlText w:val=""/>
      <w:lvlJc w:val="left"/>
      <w:pPr>
        <w:ind w:left="3240" w:hanging="360"/>
      </w:pPr>
      <w:rPr>
        <w:rFonts w:hint="default"/>
      </w:rPr>
    </w:lvl>
  </w:abstractNum>
  <w:abstractNum w:abstractNumId="37" w15:restartNumberingAfterBreak="0">
    <w:nsid w:val="4E9C0E9A"/>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F1A6699"/>
    <w:multiLevelType w:val="hybridMultilevel"/>
    <w:tmpl w:val="A92EE8B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FB10B7C"/>
    <w:multiLevelType w:val="hybridMultilevel"/>
    <w:tmpl w:val="9274EE22"/>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0E07318"/>
    <w:multiLevelType w:val="hybridMultilevel"/>
    <w:tmpl w:val="45BEE560"/>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543546EF"/>
    <w:multiLevelType w:val="hybridMultilevel"/>
    <w:tmpl w:val="15E690AA"/>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66B0C90"/>
    <w:multiLevelType w:val="hybridMultilevel"/>
    <w:tmpl w:val="1F3ED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9A97527"/>
    <w:multiLevelType w:val="multilevel"/>
    <w:tmpl w:val="00F4E292"/>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907"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9D042D7"/>
    <w:multiLevelType w:val="multilevel"/>
    <w:tmpl w:val="18F4A5AC"/>
    <w:numStyleLink w:val="FoFCoLOP"/>
  </w:abstractNum>
  <w:abstractNum w:abstractNumId="45" w15:restartNumberingAfterBreak="0">
    <w:nsid w:val="5A8B3D3A"/>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9E2171"/>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C421D4A"/>
    <w:multiLevelType w:val="hybridMultilevel"/>
    <w:tmpl w:val="B266A562"/>
    <w:lvl w:ilvl="0" w:tplc="C130F57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A25780"/>
    <w:multiLevelType w:val="multilevel"/>
    <w:tmpl w:val="5AC222EC"/>
    <w:numStyleLink w:val="Headings"/>
  </w:abstractNum>
  <w:abstractNum w:abstractNumId="49" w15:restartNumberingAfterBreak="0">
    <w:nsid w:val="65024AD4"/>
    <w:multiLevelType w:val="hybridMultilevel"/>
    <w:tmpl w:val="361662A8"/>
    <w:lvl w:ilvl="0" w:tplc="D908AB94">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6BED3E68"/>
    <w:multiLevelType w:val="hybridMultilevel"/>
    <w:tmpl w:val="36E8B2DC"/>
    <w:lvl w:ilvl="0" w:tplc="0409000F">
      <w:start w:val="1"/>
      <w:numFmt w:val="decimal"/>
      <w:lvlText w:val="%1."/>
      <w:lvlJc w:val="left"/>
      <w:pPr>
        <w:ind w:left="1440" w:hanging="360"/>
      </w:pPr>
    </w:lvl>
    <w:lvl w:ilvl="1" w:tplc="4A200BD8">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C40326F"/>
    <w:multiLevelType w:val="hybridMultilevel"/>
    <w:tmpl w:val="10E4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D8C716B"/>
    <w:multiLevelType w:val="hybridMultilevel"/>
    <w:tmpl w:val="B63C8EBE"/>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DBB6660"/>
    <w:multiLevelType w:val="hybridMultilevel"/>
    <w:tmpl w:val="7DF0FE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61733DB"/>
    <w:multiLevelType w:val="hybridMultilevel"/>
    <w:tmpl w:val="09F4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9A0AFE"/>
    <w:multiLevelType w:val="multilevel"/>
    <w:tmpl w:val="18F4A5AC"/>
    <w:numStyleLink w:val="FoFCoLOP"/>
  </w:abstractNum>
  <w:abstractNum w:abstractNumId="57" w15:restartNumberingAfterBreak="0">
    <w:nsid w:val="7C021DEA"/>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F044E7"/>
    <w:multiLevelType w:val="hybridMultilevel"/>
    <w:tmpl w:val="428C599E"/>
    <w:lvl w:ilvl="0" w:tplc="0409001B">
      <w:start w:val="1"/>
      <w:numFmt w:val="lowerRoman"/>
      <w:lvlText w:val="%1."/>
      <w:lvlJc w:val="right"/>
      <w:pPr>
        <w:ind w:left="144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E177FA3"/>
    <w:multiLevelType w:val="hybridMultilevel"/>
    <w:tmpl w:val="4A669E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380991">
    <w:abstractNumId w:val="46"/>
  </w:num>
  <w:num w:numId="2" w16cid:durableId="881475397">
    <w:abstractNumId w:val="9"/>
  </w:num>
  <w:num w:numId="3" w16cid:durableId="329722248">
    <w:abstractNumId w:val="44"/>
  </w:num>
  <w:num w:numId="4" w16cid:durableId="747312309">
    <w:abstractNumId w:val="11"/>
  </w:num>
  <w:num w:numId="5" w16cid:durableId="419105741">
    <w:abstractNumId w:val="56"/>
  </w:num>
  <w:num w:numId="6" w16cid:durableId="462043119">
    <w:abstractNumId w:val="28"/>
  </w:num>
  <w:num w:numId="7" w16cid:durableId="943925303">
    <w:abstractNumId w:val="14"/>
  </w:num>
  <w:num w:numId="8" w16cid:durableId="1175068822">
    <w:abstractNumId w:val="54"/>
  </w:num>
  <w:num w:numId="9" w16cid:durableId="2111118850">
    <w:abstractNumId w:val="0"/>
  </w:num>
  <w:num w:numId="10" w16cid:durableId="2041009881">
    <w:abstractNumId w:val="13"/>
  </w:num>
  <w:num w:numId="11" w16cid:durableId="1656957423">
    <w:abstractNumId w:val="18"/>
  </w:num>
  <w:num w:numId="12" w16cid:durableId="298532037">
    <w:abstractNumId w:val="12"/>
  </w:num>
  <w:num w:numId="13" w16cid:durableId="11491125">
    <w:abstractNumId w:val="22"/>
  </w:num>
  <w:num w:numId="14" w16cid:durableId="512493202">
    <w:abstractNumId w:val="25"/>
  </w:num>
  <w:num w:numId="15" w16cid:durableId="1635410342">
    <w:abstractNumId w:val="48"/>
  </w:num>
  <w:num w:numId="16" w16cid:durableId="8665226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2910443">
    <w:abstractNumId w:val="5"/>
  </w:num>
  <w:num w:numId="18" w16cid:durableId="366872497">
    <w:abstractNumId w:val="59"/>
  </w:num>
  <w:num w:numId="19" w16cid:durableId="830368919">
    <w:abstractNumId w:val="51"/>
  </w:num>
  <w:num w:numId="20" w16cid:durableId="937710643">
    <w:abstractNumId w:val="10"/>
  </w:num>
  <w:num w:numId="21" w16cid:durableId="174200148">
    <w:abstractNumId w:val="53"/>
  </w:num>
  <w:num w:numId="22" w16cid:durableId="197547403">
    <w:abstractNumId w:val="24"/>
  </w:num>
  <w:num w:numId="23" w16cid:durableId="1778482056">
    <w:abstractNumId w:val="31"/>
  </w:num>
  <w:num w:numId="24" w16cid:durableId="1027020389">
    <w:abstractNumId w:val="40"/>
  </w:num>
  <w:num w:numId="25" w16cid:durableId="418453258">
    <w:abstractNumId w:val="38"/>
  </w:num>
  <w:num w:numId="26" w16cid:durableId="16901780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50095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3159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54388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9456860">
    <w:abstractNumId w:val="8"/>
  </w:num>
  <w:num w:numId="31" w16cid:durableId="1311595828">
    <w:abstractNumId w:val="43"/>
  </w:num>
  <w:num w:numId="32" w16cid:durableId="2061441841">
    <w:abstractNumId w:val="50"/>
  </w:num>
  <w:num w:numId="33" w16cid:durableId="1063673783">
    <w:abstractNumId w:val="35"/>
  </w:num>
  <w:num w:numId="34" w16cid:durableId="807629388">
    <w:abstractNumId w:val="58"/>
  </w:num>
  <w:num w:numId="35" w16cid:durableId="403798586">
    <w:abstractNumId w:val="4"/>
  </w:num>
  <w:num w:numId="36" w16cid:durableId="1964262171">
    <w:abstractNumId w:val="49"/>
  </w:num>
  <w:num w:numId="37" w16cid:durableId="1364093770">
    <w:abstractNumId w:val="23"/>
  </w:num>
  <w:num w:numId="38" w16cid:durableId="251741818">
    <w:abstractNumId w:val="16"/>
  </w:num>
  <w:num w:numId="39" w16cid:durableId="1084302904">
    <w:abstractNumId w:val="34"/>
  </w:num>
  <w:num w:numId="40" w16cid:durableId="553350557">
    <w:abstractNumId w:val="21"/>
  </w:num>
  <w:num w:numId="41" w16cid:durableId="1201749298">
    <w:abstractNumId w:val="52"/>
  </w:num>
  <w:num w:numId="42" w16cid:durableId="613563134">
    <w:abstractNumId w:val="41"/>
  </w:num>
  <w:num w:numId="43" w16cid:durableId="1166358683">
    <w:abstractNumId w:val="3"/>
  </w:num>
  <w:num w:numId="44" w16cid:durableId="561643963">
    <w:abstractNumId w:val="39"/>
  </w:num>
  <w:num w:numId="45" w16cid:durableId="1950158141">
    <w:abstractNumId w:val="42"/>
  </w:num>
  <w:num w:numId="46" w16cid:durableId="968434871">
    <w:abstractNumId w:val="29"/>
  </w:num>
  <w:num w:numId="47" w16cid:durableId="1196960768">
    <w:abstractNumId w:val="27"/>
  </w:num>
  <w:num w:numId="48" w16cid:durableId="1412001349">
    <w:abstractNumId w:val="45"/>
  </w:num>
  <w:num w:numId="49" w16cid:durableId="112754343">
    <w:abstractNumId w:val="26"/>
  </w:num>
  <w:num w:numId="50" w16cid:durableId="353116035">
    <w:abstractNumId w:val="57"/>
  </w:num>
  <w:num w:numId="51" w16cid:durableId="5812563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742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43196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5679652">
    <w:abstractNumId w:val="1"/>
  </w:num>
  <w:num w:numId="55" w16cid:durableId="12775227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891485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77232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27246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44411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220029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2032748">
    <w:abstractNumId w:val="57"/>
  </w:num>
  <w:num w:numId="62" w16cid:durableId="153378645">
    <w:abstractNumId w:val="17"/>
  </w:num>
  <w:num w:numId="63" w16cid:durableId="839739177">
    <w:abstractNumId w:val="33"/>
  </w:num>
  <w:num w:numId="64" w16cid:durableId="845633960">
    <w:abstractNumId w:val="55"/>
  </w:num>
  <w:num w:numId="65" w16cid:durableId="1217349622">
    <w:abstractNumId w:val="46"/>
  </w:num>
  <w:num w:numId="66" w16cid:durableId="128205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24705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8087103">
    <w:abstractNumId w:val="36"/>
  </w:num>
  <w:num w:numId="69" w16cid:durableId="12138108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993960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457802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07459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05633902">
    <w:abstractNumId w:val="6"/>
  </w:num>
  <w:num w:numId="74" w16cid:durableId="2129398446">
    <w:abstractNumId w:val="7"/>
  </w:num>
  <w:num w:numId="75" w16cid:durableId="17723603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623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6052482">
    <w:abstractNumId w:val="10"/>
  </w:num>
  <w:num w:numId="78" w16cid:durableId="2299296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47402479">
    <w:abstractNumId w:val="10"/>
  </w:num>
  <w:num w:numId="80" w16cid:durableId="73553184">
    <w:abstractNumId w:val="10"/>
  </w:num>
  <w:num w:numId="81" w16cid:durableId="4774538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4313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34784062">
    <w:abstractNumId w:val="10"/>
  </w:num>
  <w:num w:numId="84" w16cid:durableId="282158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10026991">
    <w:abstractNumId w:val="10"/>
  </w:num>
  <w:num w:numId="86" w16cid:durableId="316148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70421661">
    <w:abstractNumId w:val="10"/>
  </w:num>
  <w:num w:numId="88" w16cid:durableId="451481258">
    <w:abstractNumId w:val="10"/>
  </w:num>
  <w:num w:numId="89" w16cid:durableId="227889341">
    <w:abstractNumId w:val="20"/>
  </w:num>
  <w:num w:numId="90" w16cid:durableId="1507205127">
    <w:abstractNumId w:val="37"/>
  </w:num>
  <w:num w:numId="91" w16cid:durableId="791556243">
    <w:abstractNumId w:val="19"/>
  </w:num>
  <w:num w:numId="92" w16cid:durableId="1388140629">
    <w:abstractNumId w:val="30"/>
  </w:num>
  <w:num w:numId="93" w16cid:durableId="1698459891">
    <w:abstractNumId w:val="32"/>
  </w:num>
  <w:num w:numId="94" w16cid:durableId="1772626687">
    <w:abstractNumId w:val="10"/>
  </w:num>
  <w:num w:numId="95" w16cid:durableId="265427080">
    <w:abstractNumId w:val="10"/>
  </w:num>
  <w:num w:numId="96" w16cid:durableId="1715930305">
    <w:abstractNumId w:val="10"/>
  </w:num>
  <w:num w:numId="97" w16cid:durableId="552811402">
    <w:abstractNumId w:val="10"/>
  </w:num>
  <w:num w:numId="98" w16cid:durableId="253823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76264676">
    <w:abstractNumId w:val="10"/>
  </w:num>
  <w:num w:numId="100" w16cid:durableId="1528056270">
    <w:abstractNumId w:val="10"/>
  </w:num>
  <w:num w:numId="101" w16cid:durableId="1117338644">
    <w:abstractNumId w:val="1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2" w16cid:durableId="1743869206">
    <w:abstractNumId w:val="15"/>
  </w:num>
  <w:num w:numId="103" w16cid:durableId="1153370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8661211">
    <w:abstractNumId w:val="10"/>
  </w:num>
  <w:num w:numId="105" w16cid:durableId="37902585">
    <w:abstractNumId w:val="10"/>
  </w:num>
  <w:num w:numId="106" w16cid:durableId="309482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6884336">
    <w:abstractNumId w:val="10"/>
  </w:num>
  <w:num w:numId="108" w16cid:durableId="1667708008">
    <w:abstractNumId w:val="10"/>
  </w:num>
  <w:num w:numId="109" w16cid:durableId="496767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639576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86574909">
    <w:abstractNumId w:val="2"/>
  </w:num>
  <w:num w:numId="112" w16cid:durableId="2145417977">
    <w:abstractNumId w:val="10"/>
    <w:lvlOverride w:ilvl="0">
      <w:startOverride w:val="6"/>
    </w:lvlOverride>
    <w:lvlOverride w:ilvl="1">
      <w:startOverride w:val="1"/>
    </w:lvlOverride>
  </w:num>
  <w:num w:numId="113" w16cid:durableId="338240090">
    <w:abstractNumId w:val="10"/>
  </w:num>
  <w:num w:numId="114" w16cid:durableId="948312297">
    <w:abstractNumId w:val="47"/>
  </w:num>
  <w:num w:numId="115" w16cid:durableId="143089778">
    <w:abstractNumId w:val="10"/>
  </w:num>
  <w:num w:numId="116" w16cid:durableId="1867980573">
    <w:abstractNumId w:val="10"/>
  </w:num>
  <w:num w:numId="117" w16cid:durableId="338313768">
    <w:abstractNumId w:val="10"/>
  </w:num>
  <w:num w:numId="118" w16cid:durableId="876502985">
    <w:abstractNumId w:val="10"/>
  </w:num>
  <w:num w:numId="119" w16cid:durableId="2014603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08899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83687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36876954">
    <w:abstractNumId w:val="10"/>
  </w:num>
  <w:num w:numId="123" w16cid:durableId="445466429">
    <w:abstractNumId w:val="10"/>
  </w:num>
  <w:num w:numId="124" w16cid:durableId="903684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20258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9B"/>
    <w:rsid w:val="00000565"/>
    <w:rsid w:val="00000F6A"/>
    <w:rsid w:val="00000FD6"/>
    <w:rsid w:val="0000169C"/>
    <w:rsid w:val="00001CD1"/>
    <w:rsid w:val="00001FC4"/>
    <w:rsid w:val="0000231B"/>
    <w:rsid w:val="0000299C"/>
    <w:rsid w:val="000030E3"/>
    <w:rsid w:val="00003C12"/>
    <w:rsid w:val="00003F9B"/>
    <w:rsid w:val="00004399"/>
    <w:rsid w:val="00004CD4"/>
    <w:rsid w:val="00004ED6"/>
    <w:rsid w:val="00005777"/>
    <w:rsid w:val="00005F2B"/>
    <w:rsid w:val="00006366"/>
    <w:rsid w:val="00006637"/>
    <w:rsid w:val="00007465"/>
    <w:rsid w:val="00007631"/>
    <w:rsid w:val="000078EB"/>
    <w:rsid w:val="00007AEB"/>
    <w:rsid w:val="00007DB9"/>
    <w:rsid w:val="0001018A"/>
    <w:rsid w:val="0001074F"/>
    <w:rsid w:val="00010A3F"/>
    <w:rsid w:val="00010C3A"/>
    <w:rsid w:val="00010CCB"/>
    <w:rsid w:val="00010DF8"/>
    <w:rsid w:val="00010E05"/>
    <w:rsid w:val="00010E7F"/>
    <w:rsid w:val="00011132"/>
    <w:rsid w:val="000112B9"/>
    <w:rsid w:val="000113EE"/>
    <w:rsid w:val="00011615"/>
    <w:rsid w:val="000118C0"/>
    <w:rsid w:val="00012036"/>
    <w:rsid w:val="000121C2"/>
    <w:rsid w:val="0001243D"/>
    <w:rsid w:val="00012D65"/>
    <w:rsid w:val="00013266"/>
    <w:rsid w:val="000138A2"/>
    <w:rsid w:val="00013F8E"/>
    <w:rsid w:val="00013FC2"/>
    <w:rsid w:val="00014000"/>
    <w:rsid w:val="000142EB"/>
    <w:rsid w:val="0001480C"/>
    <w:rsid w:val="0001483E"/>
    <w:rsid w:val="0001500D"/>
    <w:rsid w:val="00015059"/>
    <w:rsid w:val="00015149"/>
    <w:rsid w:val="00015775"/>
    <w:rsid w:val="000157F1"/>
    <w:rsid w:val="00015956"/>
    <w:rsid w:val="00015D41"/>
    <w:rsid w:val="00015F94"/>
    <w:rsid w:val="000167A2"/>
    <w:rsid w:val="0001706E"/>
    <w:rsid w:val="0001727A"/>
    <w:rsid w:val="00017789"/>
    <w:rsid w:val="00017DF4"/>
    <w:rsid w:val="00017F91"/>
    <w:rsid w:val="000200C6"/>
    <w:rsid w:val="000216FC"/>
    <w:rsid w:val="00021E47"/>
    <w:rsid w:val="00021F8F"/>
    <w:rsid w:val="00022387"/>
    <w:rsid w:val="0002287C"/>
    <w:rsid w:val="000228DF"/>
    <w:rsid w:val="0002336C"/>
    <w:rsid w:val="000236D1"/>
    <w:rsid w:val="0002378C"/>
    <w:rsid w:val="00023800"/>
    <w:rsid w:val="000238EA"/>
    <w:rsid w:val="00023908"/>
    <w:rsid w:val="0002396D"/>
    <w:rsid w:val="00023B43"/>
    <w:rsid w:val="00023CC6"/>
    <w:rsid w:val="00023FF6"/>
    <w:rsid w:val="000246CF"/>
    <w:rsid w:val="000246D6"/>
    <w:rsid w:val="000251A6"/>
    <w:rsid w:val="000256F6"/>
    <w:rsid w:val="00025A18"/>
    <w:rsid w:val="00025B2F"/>
    <w:rsid w:val="00025D6B"/>
    <w:rsid w:val="00025F6D"/>
    <w:rsid w:val="000262B5"/>
    <w:rsid w:val="000263A9"/>
    <w:rsid w:val="000268FF"/>
    <w:rsid w:val="0002728F"/>
    <w:rsid w:val="00027442"/>
    <w:rsid w:val="00027575"/>
    <w:rsid w:val="000276D9"/>
    <w:rsid w:val="000278E5"/>
    <w:rsid w:val="00027BAC"/>
    <w:rsid w:val="00030307"/>
    <w:rsid w:val="0003063A"/>
    <w:rsid w:val="00031096"/>
    <w:rsid w:val="0003152E"/>
    <w:rsid w:val="000317C4"/>
    <w:rsid w:val="00031999"/>
    <w:rsid w:val="00031ED7"/>
    <w:rsid w:val="00031FFB"/>
    <w:rsid w:val="00032F54"/>
    <w:rsid w:val="00033360"/>
    <w:rsid w:val="0003340A"/>
    <w:rsid w:val="00033D0A"/>
    <w:rsid w:val="0003423E"/>
    <w:rsid w:val="00034CD6"/>
    <w:rsid w:val="00034E42"/>
    <w:rsid w:val="00034E4D"/>
    <w:rsid w:val="00034FA0"/>
    <w:rsid w:val="0003505E"/>
    <w:rsid w:val="000353F8"/>
    <w:rsid w:val="00035753"/>
    <w:rsid w:val="0003595F"/>
    <w:rsid w:val="00035DAC"/>
    <w:rsid w:val="000360D6"/>
    <w:rsid w:val="000368B4"/>
    <w:rsid w:val="00036E02"/>
    <w:rsid w:val="000372E8"/>
    <w:rsid w:val="000378DD"/>
    <w:rsid w:val="00037A5A"/>
    <w:rsid w:val="00037B43"/>
    <w:rsid w:val="00040DEB"/>
    <w:rsid w:val="00040F97"/>
    <w:rsid w:val="0004110E"/>
    <w:rsid w:val="00041779"/>
    <w:rsid w:val="0004211C"/>
    <w:rsid w:val="0004218A"/>
    <w:rsid w:val="00042207"/>
    <w:rsid w:val="000425E7"/>
    <w:rsid w:val="00042A0B"/>
    <w:rsid w:val="00043019"/>
    <w:rsid w:val="00043328"/>
    <w:rsid w:val="000433AC"/>
    <w:rsid w:val="00043534"/>
    <w:rsid w:val="00043864"/>
    <w:rsid w:val="00044501"/>
    <w:rsid w:val="000446DF"/>
    <w:rsid w:val="00044856"/>
    <w:rsid w:val="00044C38"/>
    <w:rsid w:val="00044E11"/>
    <w:rsid w:val="00045076"/>
    <w:rsid w:val="00045112"/>
    <w:rsid w:val="00045153"/>
    <w:rsid w:val="00045254"/>
    <w:rsid w:val="00045493"/>
    <w:rsid w:val="000454E1"/>
    <w:rsid w:val="000455B5"/>
    <w:rsid w:val="0004581C"/>
    <w:rsid w:val="00045B42"/>
    <w:rsid w:val="00045D99"/>
    <w:rsid w:val="000462DA"/>
    <w:rsid w:val="00046600"/>
    <w:rsid w:val="000466E2"/>
    <w:rsid w:val="00046A9E"/>
    <w:rsid w:val="00046C8A"/>
    <w:rsid w:val="00046F71"/>
    <w:rsid w:val="0004722D"/>
    <w:rsid w:val="000474D7"/>
    <w:rsid w:val="000501E7"/>
    <w:rsid w:val="000507E2"/>
    <w:rsid w:val="00050C01"/>
    <w:rsid w:val="00050FD0"/>
    <w:rsid w:val="00050FDA"/>
    <w:rsid w:val="00051221"/>
    <w:rsid w:val="000512B7"/>
    <w:rsid w:val="00051409"/>
    <w:rsid w:val="0005143D"/>
    <w:rsid w:val="00052371"/>
    <w:rsid w:val="0005241F"/>
    <w:rsid w:val="00052488"/>
    <w:rsid w:val="00052580"/>
    <w:rsid w:val="0005272E"/>
    <w:rsid w:val="00052977"/>
    <w:rsid w:val="00052ABF"/>
    <w:rsid w:val="00052D9A"/>
    <w:rsid w:val="00052EA7"/>
    <w:rsid w:val="000531E8"/>
    <w:rsid w:val="000536FC"/>
    <w:rsid w:val="0005374F"/>
    <w:rsid w:val="00053844"/>
    <w:rsid w:val="0005427A"/>
    <w:rsid w:val="000546EA"/>
    <w:rsid w:val="00054803"/>
    <w:rsid w:val="00054C79"/>
    <w:rsid w:val="000551A4"/>
    <w:rsid w:val="0005544D"/>
    <w:rsid w:val="00055514"/>
    <w:rsid w:val="00055776"/>
    <w:rsid w:val="00055F50"/>
    <w:rsid w:val="0005608B"/>
    <w:rsid w:val="00056E66"/>
    <w:rsid w:val="00057C81"/>
    <w:rsid w:val="000605D1"/>
    <w:rsid w:val="00060C21"/>
    <w:rsid w:val="00060C22"/>
    <w:rsid w:val="00060D25"/>
    <w:rsid w:val="000611C7"/>
    <w:rsid w:val="00061DF7"/>
    <w:rsid w:val="00061F4D"/>
    <w:rsid w:val="00062A66"/>
    <w:rsid w:val="00062CC8"/>
    <w:rsid w:val="00062D77"/>
    <w:rsid w:val="00062F7A"/>
    <w:rsid w:val="0006358E"/>
    <w:rsid w:val="00063985"/>
    <w:rsid w:val="00063AEF"/>
    <w:rsid w:val="00063CD9"/>
    <w:rsid w:val="00063F95"/>
    <w:rsid w:val="000644A0"/>
    <w:rsid w:val="000646B1"/>
    <w:rsid w:val="00064CAD"/>
    <w:rsid w:val="00064DCE"/>
    <w:rsid w:val="00064E14"/>
    <w:rsid w:val="00065816"/>
    <w:rsid w:val="00065B25"/>
    <w:rsid w:val="00065E47"/>
    <w:rsid w:val="00065EFD"/>
    <w:rsid w:val="00066038"/>
    <w:rsid w:val="000663B0"/>
    <w:rsid w:val="000665C8"/>
    <w:rsid w:val="000669D5"/>
    <w:rsid w:val="00066D41"/>
    <w:rsid w:val="00066EDA"/>
    <w:rsid w:val="00067359"/>
    <w:rsid w:val="0006749E"/>
    <w:rsid w:val="00067597"/>
    <w:rsid w:val="0006786C"/>
    <w:rsid w:val="00067A6D"/>
    <w:rsid w:val="00067A95"/>
    <w:rsid w:val="0007033E"/>
    <w:rsid w:val="00070897"/>
    <w:rsid w:val="0007097C"/>
    <w:rsid w:val="00070E4B"/>
    <w:rsid w:val="00071075"/>
    <w:rsid w:val="000710D3"/>
    <w:rsid w:val="0007115A"/>
    <w:rsid w:val="0007185C"/>
    <w:rsid w:val="000722C5"/>
    <w:rsid w:val="0007324E"/>
    <w:rsid w:val="00073388"/>
    <w:rsid w:val="0007338B"/>
    <w:rsid w:val="000738E8"/>
    <w:rsid w:val="00073A57"/>
    <w:rsid w:val="00073A77"/>
    <w:rsid w:val="00073C1C"/>
    <w:rsid w:val="00073E5F"/>
    <w:rsid w:val="000748D8"/>
    <w:rsid w:val="00074A3A"/>
    <w:rsid w:val="00075004"/>
    <w:rsid w:val="00075724"/>
    <w:rsid w:val="00075BF7"/>
    <w:rsid w:val="00075F78"/>
    <w:rsid w:val="00076249"/>
    <w:rsid w:val="00077384"/>
    <w:rsid w:val="00077B43"/>
    <w:rsid w:val="00077DF2"/>
    <w:rsid w:val="000800CF"/>
    <w:rsid w:val="0008020F"/>
    <w:rsid w:val="0008059A"/>
    <w:rsid w:val="000807EB"/>
    <w:rsid w:val="00080DE5"/>
    <w:rsid w:val="00081807"/>
    <w:rsid w:val="00081B09"/>
    <w:rsid w:val="00081B82"/>
    <w:rsid w:val="00081CE7"/>
    <w:rsid w:val="00081FD7"/>
    <w:rsid w:val="000835F3"/>
    <w:rsid w:val="0008427D"/>
    <w:rsid w:val="00084F54"/>
    <w:rsid w:val="000852E2"/>
    <w:rsid w:val="00085ADA"/>
    <w:rsid w:val="00085D40"/>
    <w:rsid w:val="00085EA9"/>
    <w:rsid w:val="00085EDE"/>
    <w:rsid w:val="00086008"/>
    <w:rsid w:val="00086F38"/>
    <w:rsid w:val="000873CD"/>
    <w:rsid w:val="00087B48"/>
    <w:rsid w:val="00087D29"/>
    <w:rsid w:val="00087E32"/>
    <w:rsid w:val="0009006D"/>
    <w:rsid w:val="000900E0"/>
    <w:rsid w:val="000900EF"/>
    <w:rsid w:val="0009044A"/>
    <w:rsid w:val="000908BD"/>
    <w:rsid w:val="000909F3"/>
    <w:rsid w:val="00090C31"/>
    <w:rsid w:val="00090F2F"/>
    <w:rsid w:val="000913E3"/>
    <w:rsid w:val="00091401"/>
    <w:rsid w:val="00091580"/>
    <w:rsid w:val="00091B2A"/>
    <w:rsid w:val="00091CBF"/>
    <w:rsid w:val="00091EA4"/>
    <w:rsid w:val="00091FD8"/>
    <w:rsid w:val="000921A8"/>
    <w:rsid w:val="0009220D"/>
    <w:rsid w:val="0009228F"/>
    <w:rsid w:val="0009231A"/>
    <w:rsid w:val="00092A5F"/>
    <w:rsid w:val="00092AB2"/>
    <w:rsid w:val="00092E48"/>
    <w:rsid w:val="00092FB5"/>
    <w:rsid w:val="00092FC8"/>
    <w:rsid w:val="00093221"/>
    <w:rsid w:val="0009344C"/>
    <w:rsid w:val="000934F8"/>
    <w:rsid w:val="00093CC9"/>
    <w:rsid w:val="00093FD5"/>
    <w:rsid w:val="0009499A"/>
    <w:rsid w:val="0009507C"/>
    <w:rsid w:val="0009510C"/>
    <w:rsid w:val="000956B0"/>
    <w:rsid w:val="00095846"/>
    <w:rsid w:val="00096291"/>
    <w:rsid w:val="00096807"/>
    <w:rsid w:val="00096D59"/>
    <w:rsid w:val="0009721F"/>
    <w:rsid w:val="000973C8"/>
    <w:rsid w:val="00097402"/>
    <w:rsid w:val="000975AF"/>
    <w:rsid w:val="000975D7"/>
    <w:rsid w:val="00097A55"/>
    <w:rsid w:val="00097A62"/>
    <w:rsid w:val="000A00EB"/>
    <w:rsid w:val="000A0D72"/>
    <w:rsid w:val="000A15C1"/>
    <w:rsid w:val="000A1BF9"/>
    <w:rsid w:val="000A1E3F"/>
    <w:rsid w:val="000A27D9"/>
    <w:rsid w:val="000A2AA9"/>
    <w:rsid w:val="000A2B92"/>
    <w:rsid w:val="000A2E7D"/>
    <w:rsid w:val="000A2FE5"/>
    <w:rsid w:val="000A3062"/>
    <w:rsid w:val="000A3691"/>
    <w:rsid w:val="000A382A"/>
    <w:rsid w:val="000A4140"/>
    <w:rsid w:val="000A42CD"/>
    <w:rsid w:val="000A435F"/>
    <w:rsid w:val="000A4522"/>
    <w:rsid w:val="000A4D03"/>
    <w:rsid w:val="000A528D"/>
    <w:rsid w:val="000A54C3"/>
    <w:rsid w:val="000A56F2"/>
    <w:rsid w:val="000A665F"/>
    <w:rsid w:val="000A6E05"/>
    <w:rsid w:val="000A780C"/>
    <w:rsid w:val="000A7C7B"/>
    <w:rsid w:val="000A7DDE"/>
    <w:rsid w:val="000A7FAA"/>
    <w:rsid w:val="000B0029"/>
    <w:rsid w:val="000B0848"/>
    <w:rsid w:val="000B0A9F"/>
    <w:rsid w:val="000B0E91"/>
    <w:rsid w:val="000B0EC8"/>
    <w:rsid w:val="000B12FA"/>
    <w:rsid w:val="000B13AC"/>
    <w:rsid w:val="000B1458"/>
    <w:rsid w:val="000B1BD8"/>
    <w:rsid w:val="000B236F"/>
    <w:rsid w:val="000B25FF"/>
    <w:rsid w:val="000B27B1"/>
    <w:rsid w:val="000B2994"/>
    <w:rsid w:val="000B30DE"/>
    <w:rsid w:val="000B33FC"/>
    <w:rsid w:val="000B3C5A"/>
    <w:rsid w:val="000B3DBC"/>
    <w:rsid w:val="000B4733"/>
    <w:rsid w:val="000B4B55"/>
    <w:rsid w:val="000B4E83"/>
    <w:rsid w:val="000B509B"/>
    <w:rsid w:val="000B5D51"/>
    <w:rsid w:val="000B618B"/>
    <w:rsid w:val="000B61DC"/>
    <w:rsid w:val="000B6460"/>
    <w:rsid w:val="000B653B"/>
    <w:rsid w:val="000B6705"/>
    <w:rsid w:val="000B6CD9"/>
    <w:rsid w:val="000B6F5F"/>
    <w:rsid w:val="000B6FC5"/>
    <w:rsid w:val="000B73AD"/>
    <w:rsid w:val="000B752D"/>
    <w:rsid w:val="000B7679"/>
    <w:rsid w:val="000B76A1"/>
    <w:rsid w:val="000B79D3"/>
    <w:rsid w:val="000B7BC7"/>
    <w:rsid w:val="000B7BDD"/>
    <w:rsid w:val="000C061E"/>
    <w:rsid w:val="000C0880"/>
    <w:rsid w:val="000C08BF"/>
    <w:rsid w:val="000C0C1B"/>
    <w:rsid w:val="000C0ECF"/>
    <w:rsid w:val="000C11D5"/>
    <w:rsid w:val="000C14DA"/>
    <w:rsid w:val="000C1989"/>
    <w:rsid w:val="000C19A3"/>
    <w:rsid w:val="000C2001"/>
    <w:rsid w:val="000C2378"/>
    <w:rsid w:val="000C2463"/>
    <w:rsid w:val="000C2EE7"/>
    <w:rsid w:val="000C3364"/>
    <w:rsid w:val="000C34B5"/>
    <w:rsid w:val="000C3B9A"/>
    <w:rsid w:val="000C3C1B"/>
    <w:rsid w:val="000C3CD5"/>
    <w:rsid w:val="000C3D18"/>
    <w:rsid w:val="000C545A"/>
    <w:rsid w:val="000C5EB2"/>
    <w:rsid w:val="000C6E97"/>
    <w:rsid w:val="000C745A"/>
    <w:rsid w:val="000C7AAD"/>
    <w:rsid w:val="000D025D"/>
    <w:rsid w:val="000D03DB"/>
    <w:rsid w:val="000D0B1D"/>
    <w:rsid w:val="000D0D29"/>
    <w:rsid w:val="000D103D"/>
    <w:rsid w:val="000D1178"/>
    <w:rsid w:val="000D14C9"/>
    <w:rsid w:val="000D1AAF"/>
    <w:rsid w:val="000D1EA3"/>
    <w:rsid w:val="000D20E3"/>
    <w:rsid w:val="000D242B"/>
    <w:rsid w:val="000D2446"/>
    <w:rsid w:val="000D24E5"/>
    <w:rsid w:val="000D25A8"/>
    <w:rsid w:val="000D2C6A"/>
    <w:rsid w:val="000D32CC"/>
    <w:rsid w:val="000D34F5"/>
    <w:rsid w:val="000D381C"/>
    <w:rsid w:val="000D3EB1"/>
    <w:rsid w:val="000D409F"/>
    <w:rsid w:val="000D42A5"/>
    <w:rsid w:val="000D4DD3"/>
    <w:rsid w:val="000D5161"/>
    <w:rsid w:val="000D5242"/>
    <w:rsid w:val="000D567B"/>
    <w:rsid w:val="000D56C4"/>
    <w:rsid w:val="000D5755"/>
    <w:rsid w:val="000D57C7"/>
    <w:rsid w:val="000D5FDC"/>
    <w:rsid w:val="000D62D4"/>
    <w:rsid w:val="000D6C41"/>
    <w:rsid w:val="000D6F0F"/>
    <w:rsid w:val="000D7105"/>
    <w:rsid w:val="000D7247"/>
    <w:rsid w:val="000D787D"/>
    <w:rsid w:val="000D7943"/>
    <w:rsid w:val="000D7F4E"/>
    <w:rsid w:val="000E0018"/>
    <w:rsid w:val="000E0270"/>
    <w:rsid w:val="000E02D2"/>
    <w:rsid w:val="000E03D0"/>
    <w:rsid w:val="000E0AC5"/>
    <w:rsid w:val="000E1034"/>
    <w:rsid w:val="000E1D09"/>
    <w:rsid w:val="000E1D96"/>
    <w:rsid w:val="000E23D3"/>
    <w:rsid w:val="000E270A"/>
    <w:rsid w:val="000E292B"/>
    <w:rsid w:val="000E2A8D"/>
    <w:rsid w:val="000E2ABE"/>
    <w:rsid w:val="000E2B6E"/>
    <w:rsid w:val="000E2CEC"/>
    <w:rsid w:val="000E2E9A"/>
    <w:rsid w:val="000E2F23"/>
    <w:rsid w:val="000E2F48"/>
    <w:rsid w:val="000E313D"/>
    <w:rsid w:val="000E31D1"/>
    <w:rsid w:val="000E34E3"/>
    <w:rsid w:val="000E3C58"/>
    <w:rsid w:val="000E40A4"/>
    <w:rsid w:val="000E4865"/>
    <w:rsid w:val="000E4A37"/>
    <w:rsid w:val="000E4C53"/>
    <w:rsid w:val="000E51F8"/>
    <w:rsid w:val="000E549B"/>
    <w:rsid w:val="000E641C"/>
    <w:rsid w:val="000E64AA"/>
    <w:rsid w:val="000E695F"/>
    <w:rsid w:val="000E71F6"/>
    <w:rsid w:val="000E7F69"/>
    <w:rsid w:val="000F04D4"/>
    <w:rsid w:val="000F05B3"/>
    <w:rsid w:val="000F06CD"/>
    <w:rsid w:val="000F09C0"/>
    <w:rsid w:val="000F0A8E"/>
    <w:rsid w:val="000F0B16"/>
    <w:rsid w:val="000F0FD4"/>
    <w:rsid w:val="000F1802"/>
    <w:rsid w:val="000F1885"/>
    <w:rsid w:val="000F1947"/>
    <w:rsid w:val="000F1961"/>
    <w:rsid w:val="000F1B67"/>
    <w:rsid w:val="000F1FA2"/>
    <w:rsid w:val="000F269E"/>
    <w:rsid w:val="000F28D7"/>
    <w:rsid w:val="000F3A27"/>
    <w:rsid w:val="000F46DE"/>
    <w:rsid w:val="000F473B"/>
    <w:rsid w:val="000F4792"/>
    <w:rsid w:val="000F4819"/>
    <w:rsid w:val="000F527C"/>
    <w:rsid w:val="000F5778"/>
    <w:rsid w:val="000F5A55"/>
    <w:rsid w:val="000F5D60"/>
    <w:rsid w:val="000F6BC6"/>
    <w:rsid w:val="000F6C14"/>
    <w:rsid w:val="000F6CE2"/>
    <w:rsid w:val="000F6FC6"/>
    <w:rsid w:val="000F7542"/>
    <w:rsid w:val="000F79A0"/>
    <w:rsid w:val="000F7A77"/>
    <w:rsid w:val="00100071"/>
    <w:rsid w:val="001015DC"/>
    <w:rsid w:val="00101642"/>
    <w:rsid w:val="00102533"/>
    <w:rsid w:val="00102AC9"/>
    <w:rsid w:val="00102DEF"/>
    <w:rsid w:val="0010347F"/>
    <w:rsid w:val="001034E0"/>
    <w:rsid w:val="00103A49"/>
    <w:rsid w:val="00103F40"/>
    <w:rsid w:val="0010412A"/>
    <w:rsid w:val="00104F70"/>
    <w:rsid w:val="00105032"/>
    <w:rsid w:val="001050C2"/>
    <w:rsid w:val="00105200"/>
    <w:rsid w:val="0010583E"/>
    <w:rsid w:val="00105B56"/>
    <w:rsid w:val="00105C83"/>
    <w:rsid w:val="00105ED2"/>
    <w:rsid w:val="0010611E"/>
    <w:rsid w:val="001068BA"/>
    <w:rsid w:val="0010742E"/>
    <w:rsid w:val="00107823"/>
    <w:rsid w:val="00107968"/>
    <w:rsid w:val="00107F10"/>
    <w:rsid w:val="001101CC"/>
    <w:rsid w:val="001105D4"/>
    <w:rsid w:val="001107B5"/>
    <w:rsid w:val="00110830"/>
    <w:rsid w:val="0011099F"/>
    <w:rsid w:val="00110C95"/>
    <w:rsid w:val="00111665"/>
    <w:rsid w:val="0011177E"/>
    <w:rsid w:val="0011185F"/>
    <w:rsid w:val="00111B3B"/>
    <w:rsid w:val="00111E8F"/>
    <w:rsid w:val="00112340"/>
    <w:rsid w:val="0011288C"/>
    <w:rsid w:val="00112C23"/>
    <w:rsid w:val="00113169"/>
    <w:rsid w:val="001135B9"/>
    <w:rsid w:val="0011377E"/>
    <w:rsid w:val="00113810"/>
    <w:rsid w:val="00113905"/>
    <w:rsid w:val="00113DA1"/>
    <w:rsid w:val="00113EB1"/>
    <w:rsid w:val="00114536"/>
    <w:rsid w:val="0011453F"/>
    <w:rsid w:val="001145A4"/>
    <w:rsid w:val="00114BFA"/>
    <w:rsid w:val="00115317"/>
    <w:rsid w:val="001167DA"/>
    <w:rsid w:val="00116B61"/>
    <w:rsid w:val="00116D53"/>
    <w:rsid w:val="001172B7"/>
    <w:rsid w:val="00117B5B"/>
    <w:rsid w:val="00117C44"/>
    <w:rsid w:val="00117FA9"/>
    <w:rsid w:val="001200FD"/>
    <w:rsid w:val="001203A1"/>
    <w:rsid w:val="001207A1"/>
    <w:rsid w:val="001209ED"/>
    <w:rsid w:val="00121089"/>
    <w:rsid w:val="0012120F"/>
    <w:rsid w:val="00121898"/>
    <w:rsid w:val="001218AD"/>
    <w:rsid w:val="00121B19"/>
    <w:rsid w:val="00121B5B"/>
    <w:rsid w:val="00121F84"/>
    <w:rsid w:val="0012295B"/>
    <w:rsid w:val="00122AFC"/>
    <w:rsid w:val="00122F57"/>
    <w:rsid w:val="001234B1"/>
    <w:rsid w:val="001235F5"/>
    <w:rsid w:val="00123B8A"/>
    <w:rsid w:val="00123E62"/>
    <w:rsid w:val="00123F54"/>
    <w:rsid w:val="00124014"/>
    <w:rsid w:val="0012428B"/>
    <w:rsid w:val="00124BD6"/>
    <w:rsid w:val="00124C44"/>
    <w:rsid w:val="00124D99"/>
    <w:rsid w:val="00124FE1"/>
    <w:rsid w:val="00125136"/>
    <w:rsid w:val="001252F5"/>
    <w:rsid w:val="0012635B"/>
    <w:rsid w:val="00126D5B"/>
    <w:rsid w:val="001271AC"/>
    <w:rsid w:val="00127423"/>
    <w:rsid w:val="00127483"/>
    <w:rsid w:val="00127B8A"/>
    <w:rsid w:val="00127C08"/>
    <w:rsid w:val="00127EAC"/>
    <w:rsid w:val="0013073C"/>
    <w:rsid w:val="001307BD"/>
    <w:rsid w:val="001308FC"/>
    <w:rsid w:val="00130993"/>
    <w:rsid w:val="00130B59"/>
    <w:rsid w:val="00130D2D"/>
    <w:rsid w:val="00130E04"/>
    <w:rsid w:val="001313B8"/>
    <w:rsid w:val="00131457"/>
    <w:rsid w:val="001315FA"/>
    <w:rsid w:val="001315FD"/>
    <w:rsid w:val="0013246E"/>
    <w:rsid w:val="00132FBF"/>
    <w:rsid w:val="00133846"/>
    <w:rsid w:val="00133F19"/>
    <w:rsid w:val="00134177"/>
    <w:rsid w:val="0013435A"/>
    <w:rsid w:val="0013483F"/>
    <w:rsid w:val="00134B8F"/>
    <w:rsid w:val="00134DFD"/>
    <w:rsid w:val="0013520B"/>
    <w:rsid w:val="0013529A"/>
    <w:rsid w:val="0013530A"/>
    <w:rsid w:val="00135363"/>
    <w:rsid w:val="0013548A"/>
    <w:rsid w:val="001354DF"/>
    <w:rsid w:val="001355B7"/>
    <w:rsid w:val="0013571C"/>
    <w:rsid w:val="00136CC5"/>
    <w:rsid w:val="00136E15"/>
    <w:rsid w:val="00137462"/>
    <w:rsid w:val="001377E6"/>
    <w:rsid w:val="00137920"/>
    <w:rsid w:val="00137923"/>
    <w:rsid w:val="00137D87"/>
    <w:rsid w:val="001402DE"/>
    <w:rsid w:val="00140339"/>
    <w:rsid w:val="00141703"/>
    <w:rsid w:val="00141AAB"/>
    <w:rsid w:val="00141C42"/>
    <w:rsid w:val="001422F0"/>
    <w:rsid w:val="001424C7"/>
    <w:rsid w:val="001426D3"/>
    <w:rsid w:val="00142A9C"/>
    <w:rsid w:val="00142ACE"/>
    <w:rsid w:val="00142B86"/>
    <w:rsid w:val="001430C7"/>
    <w:rsid w:val="00143137"/>
    <w:rsid w:val="0014364B"/>
    <w:rsid w:val="0014383A"/>
    <w:rsid w:val="00143AF7"/>
    <w:rsid w:val="00143C7F"/>
    <w:rsid w:val="0014410D"/>
    <w:rsid w:val="00144207"/>
    <w:rsid w:val="0014476B"/>
    <w:rsid w:val="00144DD5"/>
    <w:rsid w:val="0014500D"/>
    <w:rsid w:val="00145A54"/>
    <w:rsid w:val="00145DCD"/>
    <w:rsid w:val="00146092"/>
    <w:rsid w:val="00146279"/>
    <w:rsid w:val="00146485"/>
    <w:rsid w:val="0014660E"/>
    <w:rsid w:val="00147860"/>
    <w:rsid w:val="00147C45"/>
    <w:rsid w:val="00147CF1"/>
    <w:rsid w:val="00147F18"/>
    <w:rsid w:val="00150148"/>
    <w:rsid w:val="00150214"/>
    <w:rsid w:val="00150355"/>
    <w:rsid w:val="00151324"/>
    <w:rsid w:val="001517F8"/>
    <w:rsid w:val="00152209"/>
    <w:rsid w:val="00152377"/>
    <w:rsid w:val="00152E9D"/>
    <w:rsid w:val="0015316F"/>
    <w:rsid w:val="001533CC"/>
    <w:rsid w:val="0015388F"/>
    <w:rsid w:val="001539A1"/>
    <w:rsid w:val="00153B64"/>
    <w:rsid w:val="00153FFF"/>
    <w:rsid w:val="00154301"/>
    <w:rsid w:val="00154BAA"/>
    <w:rsid w:val="00154C62"/>
    <w:rsid w:val="001556C4"/>
    <w:rsid w:val="00155CD3"/>
    <w:rsid w:val="0015737C"/>
    <w:rsid w:val="00157E87"/>
    <w:rsid w:val="001600D0"/>
    <w:rsid w:val="00160128"/>
    <w:rsid w:val="0016021A"/>
    <w:rsid w:val="001608A7"/>
    <w:rsid w:val="00161021"/>
    <w:rsid w:val="00161225"/>
    <w:rsid w:val="00161237"/>
    <w:rsid w:val="00161960"/>
    <w:rsid w:val="0016250A"/>
    <w:rsid w:val="0016263C"/>
    <w:rsid w:val="00163621"/>
    <w:rsid w:val="00163673"/>
    <w:rsid w:val="0016369E"/>
    <w:rsid w:val="001638E2"/>
    <w:rsid w:val="00163DDE"/>
    <w:rsid w:val="00163F70"/>
    <w:rsid w:val="0016469F"/>
    <w:rsid w:val="00165166"/>
    <w:rsid w:val="00165BF0"/>
    <w:rsid w:val="001660C8"/>
    <w:rsid w:val="0016681A"/>
    <w:rsid w:val="00166C26"/>
    <w:rsid w:val="00166EE8"/>
    <w:rsid w:val="001671A6"/>
    <w:rsid w:val="00167452"/>
    <w:rsid w:val="00167917"/>
    <w:rsid w:val="00167BD1"/>
    <w:rsid w:val="001700C6"/>
    <w:rsid w:val="0017036C"/>
    <w:rsid w:val="00170593"/>
    <w:rsid w:val="00170672"/>
    <w:rsid w:val="00170C34"/>
    <w:rsid w:val="0017108B"/>
    <w:rsid w:val="001715D8"/>
    <w:rsid w:val="0017164D"/>
    <w:rsid w:val="00171C93"/>
    <w:rsid w:val="001723FC"/>
    <w:rsid w:val="00172B01"/>
    <w:rsid w:val="00172C7A"/>
    <w:rsid w:val="00172F98"/>
    <w:rsid w:val="00172FDB"/>
    <w:rsid w:val="0017339A"/>
    <w:rsid w:val="00173870"/>
    <w:rsid w:val="001738AF"/>
    <w:rsid w:val="00173955"/>
    <w:rsid w:val="00173A92"/>
    <w:rsid w:val="00173CEA"/>
    <w:rsid w:val="00173D32"/>
    <w:rsid w:val="00173F58"/>
    <w:rsid w:val="001747C6"/>
    <w:rsid w:val="00174BED"/>
    <w:rsid w:val="00174FDE"/>
    <w:rsid w:val="0017518A"/>
    <w:rsid w:val="001753D4"/>
    <w:rsid w:val="001755F8"/>
    <w:rsid w:val="00175711"/>
    <w:rsid w:val="00175B2E"/>
    <w:rsid w:val="00175D5C"/>
    <w:rsid w:val="00175DFF"/>
    <w:rsid w:val="001761B0"/>
    <w:rsid w:val="0017628D"/>
    <w:rsid w:val="00176559"/>
    <w:rsid w:val="00176B09"/>
    <w:rsid w:val="00176D2D"/>
    <w:rsid w:val="00176F82"/>
    <w:rsid w:val="0017775E"/>
    <w:rsid w:val="0017791F"/>
    <w:rsid w:val="00177B56"/>
    <w:rsid w:val="00177C28"/>
    <w:rsid w:val="00177E58"/>
    <w:rsid w:val="00177ED8"/>
    <w:rsid w:val="0018005B"/>
    <w:rsid w:val="00180237"/>
    <w:rsid w:val="00180962"/>
    <w:rsid w:val="00180A43"/>
    <w:rsid w:val="00180D6A"/>
    <w:rsid w:val="00181643"/>
    <w:rsid w:val="00181CFD"/>
    <w:rsid w:val="00182537"/>
    <w:rsid w:val="00182B2D"/>
    <w:rsid w:val="00182D2B"/>
    <w:rsid w:val="0018305C"/>
    <w:rsid w:val="00183374"/>
    <w:rsid w:val="00183609"/>
    <w:rsid w:val="00183B3D"/>
    <w:rsid w:val="00183D74"/>
    <w:rsid w:val="00184380"/>
    <w:rsid w:val="001843E5"/>
    <w:rsid w:val="0018466C"/>
    <w:rsid w:val="00184D52"/>
    <w:rsid w:val="0018546C"/>
    <w:rsid w:val="001856EC"/>
    <w:rsid w:val="00186120"/>
    <w:rsid w:val="001864DF"/>
    <w:rsid w:val="00186862"/>
    <w:rsid w:val="00186B60"/>
    <w:rsid w:val="00186B9F"/>
    <w:rsid w:val="001874D8"/>
    <w:rsid w:val="00187C93"/>
    <w:rsid w:val="00190D02"/>
    <w:rsid w:val="001912E2"/>
    <w:rsid w:val="00191460"/>
    <w:rsid w:val="00191D14"/>
    <w:rsid w:val="00191E33"/>
    <w:rsid w:val="00191EAE"/>
    <w:rsid w:val="00192135"/>
    <w:rsid w:val="00192710"/>
    <w:rsid w:val="00192D3A"/>
    <w:rsid w:val="00192EB1"/>
    <w:rsid w:val="0019302D"/>
    <w:rsid w:val="00193415"/>
    <w:rsid w:val="00193BC0"/>
    <w:rsid w:val="00193F08"/>
    <w:rsid w:val="001942ED"/>
    <w:rsid w:val="0019466D"/>
    <w:rsid w:val="00194806"/>
    <w:rsid w:val="00194ADB"/>
    <w:rsid w:val="00195A9C"/>
    <w:rsid w:val="00195DCA"/>
    <w:rsid w:val="00195FB7"/>
    <w:rsid w:val="0019641B"/>
    <w:rsid w:val="001966BB"/>
    <w:rsid w:val="00196952"/>
    <w:rsid w:val="00196C69"/>
    <w:rsid w:val="00196E4F"/>
    <w:rsid w:val="00197512"/>
    <w:rsid w:val="0019771E"/>
    <w:rsid w:val="00197AB4"/>
    <w:rsid w:val="001A06DA"/>
    <w:rsid w:val="001A07EC"/>
    <w:rsid w:val="001A0951"/>
    <w:rsid w:val="001A0B9E"/>
    <w:rsid w:val="001A0E4F"/>
    <w:rsid w:val="001A18A9"/>
    <w:rsid w:val="001A1A77"/>
    <w:rsid w:val="001A1D28"/>
    <w:rsid w:val="001A1DF4"/>
    <w:rsid w:val="001A1F5D"/>
    <w:rsid w:val="001A21CF"/>
    <w:rsid w:val="001A22F4"/>
    <w:rsid w:val="001A2A67"/>
    <w:rsid w:val="001A2B60"/>
    <w:rsid w:val="001A2BA0"/>
    <w:rsid w:val="001A32A0"/>
    <w:rsid w:val="001A3861"/>
    <w:rsid w:val="001A38ED"/>
    <w:rsid w:val="001A3C36"/>
    <w:rsid w:val="001A3C4A"/>
    <w:rsid w:val="001A3D7E"/>
    <w:rsid w:val="001A436B"/>
    <w:rsid w:val="001A44CB"/>
    <w:rsid w:val="001A4555"/>
    <w:rsid w:val="001A4790"/>
    <w:rsid w:val="001A4A44"/>
    <w:rsid w:val="001A4B74"/>
    <w:rsid w:val="001A4DA2"/>
    <w:rsid w:val="001A4FC1"/>
    <w:rsid w:val="001A5966"/>
    <w:rsid w:val="001A5A52"/>
    <w:rsid w:val="001A5E8C"/>
    <w:rsid w:val="001A5FED"/>
    <w:rsid w:val="001A673A"/>
    <w:rsid w:val="001A685F"/>
    <w:rsid w:val="001A69CF"/>
    <w:rsid w:val="001A6AE8"/>
    <w:rsid w:val="001A6BCB"/>
    <w:rsid w:val="001A6CF7"/>
    <w:rsid w:val="001A7034"/>
    <w:rsid w:val="001A72B4"/>
    <w:rsid w:val="001A7D5A"/>
    <w:rsid w:val="001B018A"/>
    <w:rsid w:val="001B13C9"/>
    <w:rsid w:val="001B14B7"/>
    <w:rsid w:val="001B14CF"/>
    <w:rsid w:val="001B1622"/>
    <w:rsid w:val="001B1691"/>
    <w:rsid w:val="001B2C2A"/>
    <w:rsid w:val="001B2DEC"/>
    <w:rsid w:val="001B2E31"/>
    <w:rsid w:val="001B3BF3"/>
    <w:rsid w:val="001B436F"/>
    <w:rsid w:val="001B453F"/>
    <w:rsid w:val="001B4C29"/>
    <w:rsid w:val="001B4D77"/>
    <w:rsid w:val="001B4EE8"/>
    <w:rsid w:val="001B53C4"/>
    <w:rsid w:val="001B5519"/>
    <w:rsid w:val="001B55E3"/>
    <w:rsid w:val="001B58E5"/>
    <w:rsid w:val="001B665E"/>
    <w:rsid w:val="001B6816"/>
    <w:rsid w:val="001B6B02"/>
    <w:rsid w:val="001B7356"/>
    <w:rsid w:val="001B7630"/>
    <w:rsid w:val="001B778F"/>
    <w:rsid w:val="001B7AFD"/>
    <w:rsid w:val="001B7B89"/>
    <w:rsid w:val="001C0044"/>
    <w:rsid w:val="001C02FD"/>
    <w:rsid w:val="001C0872"/>
    <w:rsid w:val="001C0924"/>
    <w:rsid w:val="001C0B5D"/>
    <w:rsid w:val="001C13A8"/>
    <w:rsid w:val="001C1A1F"/>
    <w:rsid w:val="001C1B7D"/>
    <w:rsid w:val="001C21B1"/>
    <w:rsid w:val="001C2398"/>
    <w:rsid w:val="001C2B43"/>
    <w:rsid w:val="001C3093"/>
    <w:rsid w:val="001C363F"/>
    <w:rsid w:val="001C3943"/>
    <w:rsid w:val="001C4466"/>
    <w:rsid w:val="001C45B9"/>
    <w:rsid w:val="001C4D2F"/>
    <w:rsid w:val="001C5113"/>
    <w:rsid w:val="001C582E"/>
    <w:rsid w:val="001C6021"/>
    <w:rsid w:val="001C66AE"/>
    <w:rsid w:val="001C67E2"/>
    <w:rsid w:val="001C69A9"/>
    <w:rsid w:val="001C6CFE"/>
    <w:rsid w:val="001C76BE"/>
    <w:rsid w:val="001C781F"/>
    <w:rsid w:val="001C79F7"/>
    <w:rsid w:val="001D007B"/>
    <w:rsid w:val="001D02D0"/>
    <w:rsid w:val="001D0CE4"/>
    <w:rsid w:val="001D119A"/>
    <w:rsid w:val="001D11A6"/>
    <w:rsid w:val="001D1253"/>
    <w:rsid w:val="001D17B2"/>
    <w:rsid w:val="001D1F3D"/>
    <w:rsid w:val="001D22EC"/>
    <w:rsid w:val="001D2423"/>
    <w:rsid w:val="001D2438"/>
    <w:rsid w:val="001D2AD1"/>
    <w:rsid w:val="001D2B9D"/>
    <w:rsid w:val="001D33ED"/>
    <w:rsid w:val="001D369C"/>
    <w:rsid w:val="001D3DFC"/>
    <w:rsid w:val="001D3FC5"/>
    <w:rsid w:val="001D4133"/>
    <w:rsid w:val="001D46D9"/>
    <w:rsid w:val="001D52A0"/>
    <w:rsid w:val="001D56FB"/>
    <w:rsid w:val="001D57F8"/>
    <w:rsid w:val="001D58B4"/>
    <w:rsid w:val="001D5BCE"/>
    <w:rsid w:val="001D6023"/>
    <w:rsid w:val="001D63C3"/>
    <w:rsid w:val="001D6A71"/>
    <w:rsid w:val="001D7634"/>
    <w:rsid w:val="001D7CF8"/>
    <w:rsid w:val="001D7D09"/>
    <w:rsid w:val="001E021A"/>
    <w:rsid w:val="001E03D8"/>
    <w:rsid w:val="001E041B"/>
    <w:rsid w:val="001E0601"/>
    <w:rsid w:val="001E0D64"/>
    <w:rsid w:val="001E0F7A"/>
    <w:rsid w:val="001E0F86"/>
    <w:rsid w:val="001E117A"/>
    <w:rsid w:val="001E132D"/>
    <w:rsid w:val="001E13BD"/>
    <w:rsid w:val="001E14C2"/>
    <w:rsid w:val="001E19A7"/>
    <w:rsid w:val="001E1B49"/>
    <w:rsid w:val="001E1C87"/>
    <w:rsid w:val="001E1DCC"/>
    <w:rsid w:val="001E20BA"/>
    <w:rsid w:val="001E2295"/>
    <w:rsid w:val="001E2423"/>
    <w:rsid w:val="001E2801"/>
    <w:rsid w:val="001E28FB"/>
    <w:rsid w:val="001E2A62"/>
    <w:rsid w:val="001E2BD5"/>
    <w:rsid w:val="001E2CE9"/>
    <w:rsid w:val="001E2E54"/>
    <w:rsid w:val="001E306D"/>
    <w:rsid w:val="001E30AD"/>
    <w:rsid w:val="001E3132"/>
    <w:rsid w:val="001E3F8B"/>
    <w:rsid w:val="001E41C6"/>
    <w:rsid w:val="001E4342"/>
    <w:rsid w:val="001E480E"/>
    <w:rsid w:val="001E5094"/>
    <w:rsid w:val="001E5AAD"/>
    <w:rsid w:val="001E5EAC"/>
    <w:rsid w:val="001E5EF4"/>
    <w:rsid w:val="001E60AE"/>
    <w:rsid w:val="001E60B2"/>
    <w:rsid w:val="001E62C6"/>
    <w:rsid w:val="001E64B5"/>
    <w:rsid w:val="001E6504"/>
    <w:rsid w:val="001E68ED"/>
    <w:rsid w:val="001E6F45"/>
    <w:rsid w:val="001E72AA"/>
    <w:rsid w:val="001E78AB"/>
    <w:rsid w:val="001F1060"/>
    <w:rsid w:val="001F1B85"/>
    <w:rsid w:val="001F1FB1"/>
    <w:rsid w:val="001F2159"/>
    <w:rsid w:val="001F2166"/>
    <w:rsid w:val="001F2693"/>
    <w:rsid w:val="001F2819"/>
    <w:rsid w:val="001F2A45"/>
    <w:rsid w:val="001F2DE6"/>
    <w:rsid w:val="001F2E7F"/>
    <w:rsid w:val="001F2ED0"/>
    <w:rsid w:val="001F2ED2"/>
    <w:rsid w:val="001F38B2"/>
    <w:rsid w:val="001F3968"/>
    <w:rsid w:val="001F3E40"/>
    <w:rsid w:val="001F3FF0"/>
    <w:rsid w:val="001F4169"/>
    <w:rsid w:val="001F424F"/>
    <w:rsid w:val="001F42DB"/>
    <w:rsid w:val="001F42DC"/>
    <w:rsid w:val="001F4738"/>
    <w:rsid w:val="001F4E96"/>
    <w:rsid w:val="001F4F25"/>
    <w:rsid w:val="001F51B3"/>
    <w:rsid w:val="001F51DF"/>
    <w:rsid w:val="001F5499"/>
    <w:rsid w:val="001F57C7"/>
    <w:rsid w:val="001F6080"/>
    <w:rsid w:val="001F6788"/>
    <w:rsid w:val="001F6992"/>
    <w:rsid w:val="001F6DF0"/>
    <w:rsid w:val="001F7323"/>
    <w:rsid w:val="001F7C3A"/>
    <w:rsid w:val="001F7DAA"/>
    <w:rsid w:val="002000E0"/>
    <w:rsid w:val="00200405"/>
    <w:rsid w:val="002004D7"/>
    <w:rsid w:val="00200E45"/>
    <w:rsid w:val="00201598"/>
    <w:rsid w:val="00201F0B"/>
    <w:rsid w:val="00202053"/>
    <w:rsid w:val="00202376"/>
    <w:rsid w:val="00202463"/>
    <w:rsid w:val="0020249C"/>
    <w:rsid w:val="00202A84"/>
    <w:rsid w:val="00202B6D"/>
    <w:rsid w:val="00203674"/>
    <w:rsid w:val="00203920"/>
    <w:rsid w:val="00203A8C"/>
    <w:rsid w:val="00203E8A"/>
    <w:rsid w:val="0020408B"/>
    <w:rsid w:val="002042A7"/>
    <w:rsid w:val="002043D8"/>
    <w:rsid w:val="002043EC"/>
    <w:rsid w:val="0020483B"/>
    <w:rsid w:val="00205A5B"/>
    <w:rsid w:val="00206265"/>
    <w:rsid w:val="00206BCC"/>
    <w:rsid w:val="00206D1F"/>
    <w:rsid w:val="00207445"/>
    <w:rsid w:val="0020789A"/>
    <w:rsid w:val="00207AF1"/>
    <w:rsid w:val="00207B2D"/>
    <w:rsid w:val="00210666"/>
    <w:rsid w:val="002106CB"/>
    <w:rsid w:val="00210E6F"/>
    <w:rsid w:val="00210EFF"/>
    <w:rsid w:val="00210FBB"/>
    <w:rsid w:val="00210FCB"/>
    <w:rsid w:val="0021126B"/>
    <w:rsid w:val="00211283"/>
    <w:rsid w:val="00211A95"/>
    <w:rsid w:val="00211F1B"/>
    <w:rsid w:val="002120E7"/>
    <w:rsid w:val="002124E0"/>
    <w:rsid w:val="002125A5"/>
    <w:rsid w:val="002126C9"/>
    <w:rsid w:val="002126D0"/>
    <w:rsid w:val="00212B5C"/>
    <w:rsid w:val="00212E8D"/>
    <w:rsid w:val="00213062"/>
    <w:rsid w:val="00213A6B"/>
    <w:rsid w:val="00213AA8"/>
    <w:rsid w:val="00213C7F"/>
    <w:rsid w:val="00213D47"/>
    <w:rsid w:val="0021429A"/>
    <w:rsid w:val="002143C2"/>
    <w:rsid w:val="00214CDB"/>
    <w:rsid w:val="00214F19"/>
    <w:rsid w:val="002151BD"/>
    <w:rsid w:val="0021530C"/>
    <w:rsid w:val="002160B3"/>
    <w:rsid w:val="00216A21"/>
    <w:rsid w:val="00217017"/>
    <w:rsid w:val="00217133"/>
    <w:rsid w:val="00217262"/>
    <w:rsid w:val="002172DD"/>
    <w:rsid w:val="00217877"/>
    <w:rsid w:val="0021791D"/>
    <w:rsid w:val="00217EAB"/>
    <w:rsid w:val="002202E7"/>
    <w:rsid w:val="002202F2"/>
    <w:rsid w:val="00220353"/>
    <w:rsid w:val="00220362"/>
    <w:rsid w:val="00220770"/>
    <w:rsid w:val="00220C3A"/>
    <w:rsid w:val="00220D83"/>
    <w:rsid w:val="0022110D"/>
    <w:rsid w:val="00221C3A"/>
    <w:rsid w:val="00222358"/>
    <w:rsid w:val="0022244E"/>
    <w:rsid w:val="002225F8"/>
    <w:rsid w:val="002229D9"/>
    <w:rsid w:val="00222B46"/>
    <w:rsid w:val="00222C4D"/>
    <w:rsid w:val="0022346A"/>
    <w:rsid w:val="002234FF"/>
    <w:rsid w:val="00223BB7"/>
    <w:rsid w:val="00223DB2"/>
    <w:rsid w:val="002240BA"/>
    <w:rsid w:val="00224262"/>
    <w:rsid w:val="00224348"/>
    <w:rsid w:val="00224E4F"/>
    <w:rsid w:val="00224F39"/>
    <w:rsid w:val="00225103"/>
    <w:rsid w:val="0022539D"/>
    <w:rsid w:val="0022583E"/>
    <w:rsid w:val="00225891"/>
    <w:rsid w:val="00225CDF"/>
    <w:rsid w:val="00225D88"/>
    <w:rsid w:val="00226656"/>
    <w:rsid w:val="00226674"/>
    <w:rsid w:val="00226A0A"/>
    <w:rsid w:val="00226D92"/>
    <w:rsid w:val="00227622"/>
    <w:rsid w:val="00227627"/>
    <w:rsid w:val="0022765C"/>
    <w:rsid w:val="00227BF8"/>
    <w:rsid w:val="00227C09"/>
    <w:rsid w:val="0023068B"/>
    <w:rsid w:val="00230748"/>
    <w:rsid w:val="00230A40"/>
    <w:rsid w:val="00231140"/>
    <w:rsid w:val="00231305"/>
    <w:rsid w:val="00231741"/>
    <w:rsid w:val="00231A6C"/>
    <w:rsid w:val="002320F7"/>
    <w:rsid w:val="002324C9"/>
    <w:rsid w:val="002326D1"/>
    <w:rsid w:val="00232755"/>
    <w:rsid w:val="00232B1B"/>
    <w:rsid w:val="00232CD1"/>
    <w:rsid w:val="00232FE6"/>
    <w:rsid w:val="0023344F"/>
    <w:rsid w:val="00233ABA"/>
    <w:rsid w:val="00233B04"/>
    <w:rsid w:val="00233B7B"/>
    <w:rsid w:val="00233E59"/>
    <w:rsid w:val="002340AA"/>
    <w:rsid w:val="00234931"/>
    <w:rsid w:val="0023513E"/>
    <w:rsid w:val="002355CC"/>
    <w:rsid w:val="00236797"/>
    <w:rsid w:val="002367D7"/>
    <w:rsid w:val="00236C1F"/>
    <w:rsid w:val="00236E3A"/>
    <w:rsid w:val="00237178"/>
    <w:rsid w:val="00237489"/>
    <w:rsid w:val="00237775"/>
    <w:rsid w:val="00237A30"/>
    <w:rsid w:val="00237C96"/>
    <w:rsid w:val="00237F2D"/>
    <w:rsid w:val="00240D23"/>
    <w:rsid w:val="00241067"/>
    <w:rsid w:val="0024114B"/>
    <w:rsid w:val="00241648"/>
    <w:rsid w:val="00241689"/>
    <w:rsid w:val="00242BE9"/>
    <w:rsid w:val="00243BE6"/>
    <w:rsid w:val="00243DC0"/>
    <w:rsid w:val="00243F00"/>
    <w:rsid w:val="00244CC4"/>
    <w:rsid w:val="002450B3"/>
    <w:rsid w:val="00245450"/>
    <w:rsid w:val="002458E4"/>
    <w:rsid w:val="00245C31"/>
    <w:rsid w:val="00245C5F"/>
    <w:rsid w:val="00245EE2"/>
    <w:rsid w:val="00246028"/>
    <w:rsid w:val="00246151"/>
    <w:rsid w:val="002462A9"/>
    <w:rsid w:val="00246FF7"/>
    <w:rsid w:val="0024723E"/>
    <w:rsid w:val="00247477"/>
    <w:rsid w:val="00247CEA"/>
    <w:rsid w:val="00247FC9"/>
    <w:rsid w:val="0025046E"/>
    <w:rsid w:val="0025054B"/>
    <w:rsid w:val="00250920"/>
    <w:rsid w:val="00250F1A"/>
    <w:rsid w:val="002513D3"/>
    <w:rsid w:val="0025188C"/>
    <w:rsid w:val="00251B68"/>
    <w:rsid w:val="00251E9D"/>
    <w:rsid w:val="0025247C"/>
    <w:rsid w:val="00252B77"/>
    <w:rsid w:val="00252E7C"/>
    <w:rsid w:val="00253667"/>
    <w:rsid w:val="00253AA3"/>
    <w:rsid w:val="0025444A"/>
    <w:rsid w:val="00254799"/>
    <w:rsid w:val="00254D8C"/>
    <w:rsid w:val="00255524"/>
    <w:rsid w:val="00255FAC"/>
    <w:rsid w:val="002563E6"/>
    <w:rsid w:val="002567C1"/>
    <w:rsid w:val="00256C06"/>
    <w:rsid w:val="00256F8A"/>
    <w:rsid w:val="00257420"/>
    <w:rsid w:val="00257B36"/>
    <w:rsid w:val="002600C5"/>
    <w:rsid w:val="00261131"/>
    <w:rsid w:val="0026113B"/>
    <w:rsid w:val="0026176F"/>
    <w:rsid w:val="00261B60"/>
    <w:rsid w:val="00261FFE"/>
    <w:rsid w:val="00262044"/>
    <w:rsid w:val="00262537"/>
    <w:rsid w:val="002631E5"/>
    <w:rsid w:val="00263484"/>
    <w:rsid w:val="00263779"/>
    <w:rsid w:val="0026390B"/>
    <w:rsid w:val="002639A7"/>
    <w:rsid w:val="00263A93"/>
    <w:rsid w:val="0026418E"/>
    <w:rsid w:val="00264A7D"/>
    <w:rsid w:val="00264AEA"/>
    <w:rsid w:val="002660EC"/>
    <w:rsid w:val="002666B8"/>
    <w:rsid w:val="00266F48"/>
    <w:rsid w:val="00267524"/>
    <w:rsid w:val="00270440"/>
    <w:rsid w:val="0027172F"/>
    <w:rsid w:val="00271B9D"/>
    <w:rsid w:val="00271C4F"/>
    <w:rsid w:val="002722F4"/>
    <w:rsid w:val="00272901"/>
    <w:rsid w:val="00272C8A"/>
    <w:rsid w:val="00273193"/>
    <w:rsid w:val="00273352"/>
    <w:rsid w:val="00273CA6"/>
    <w:rsid w:val="00273FA5"/>
    <w:rsid w:val="0027467D"/>
    <w:rsid w:val="0027478E"/>
    <w:rsid w:val="00274939"/>
    <w:rsid w:val="00274A5D"/>
    <w:rsid w:val="00274A8A"/>
    <w:rsid w:val="0027533E"/>
    <w:rsid w:val="00275352"/>
    <w:rsid w:val="00275FF4"/>
    <w:rsid w:val="00276C3D"/>
    <w:rsid w:val="00276C8B"/>
    <w:rsid w:val="00277227"/>
    <w:rsid w:val="00280197"/>
    <w:rsid w:val="002801E6"/>
    <w:rsid w:val="00280BDD"/>
    <w:rsid w:val="00281BB0"/>
    <w:rsid w:val="00281D21"/>
    <w:rsid w:val="00281EFB"/>
    <w:rsid w:val="0028206E"/>
    <w:rsid w:val="002820B7"/>
    <w:rsid w:val="00282935"/>
    <w:rsid w:val="00282B1D"/>
    <w:rsid w:val="00282D7A"/>
    <w:rsid w:val="00282ED1"/>
    <w:rsid w:val="00283003"/>
    <w:rsid w:val="0028408C"/>
    <w:rsid w:val="00284B29"/>
    <w:rsid w:val="00284ECE"/>
    <w:rsid w:val="00284FDC"/>
    <w:rsid w:val="00285194"/>
    <w:rsid w:val="002853FF"/>
    <w:rsid w:val="00285580"/>
    <w:rsid w:val="002859CE"/>
    <w:rsid w:val="00285B96"/>
    <w:rsid w:val="00285EA3"/>
    <w:rsid w:val="00285EF7"/>
    <w:rsid w:val="00285F64"/>
    <w:rsid w:val="00286061"/>
    <w:rsid w:val="002861F0"/>
    <w:rsid w:val="0028627A"/>
    <w:rsid w:val="002864EA"/>
    <w:rsid w:val="002868AB"/>
    <w:rsid w:val="00286ACA"/>
    <w:rsid w:val="0028705A"/>
    <w:rsid w:val="0028731D"/>
    <w:rsid w:val="002875D1"/>
    <w:rsid w:val="0028792D"/>
    <w:rsid w:val="00287A7E"/>
    <w:rsid w:val="00287BC5"/>
    <w:rsid w:val="00290192"/>
    <w:rsid w:val="00290654"/>
    <w:rsid w:val="00290FCB"/>
    <w:rsid w:val="002911EA"/>
    <w:rsid w:val="00291FD1"/>
    <w:rsid w:val="00292038"/>
    <w:rsid w:val="002921CE"/>
    <w:rsid w:val="002938B9"/>
    <w:rsid w:val="00293B7B"/>
    <w:rsid w:val="00293DEE"/>
    <w:rsid w:val="00294622"/>
    <w:rsid w:val="002952AF"/>
    <w:rsid w:val="00295AF4"/>
    <w:rsid w:val="00295E32"/>
    <w:rsid w:val="002962DD"/>
    <w:rsid w:val="0029662A"/>
    <w:rsid w:val="002968AB"/>
    <w:rsid w:val="00296903"/>
    <w:rsid w:val="002A0B5D"/>
    <w:rsid w:val="002A0BEE"/>
    <w:rsid w:val="002A1131"/>
    <w:rsid w:val="002A1343"/>
    <w:rsid w:val="002A1356"/>
    <w:rsid w:val="002A1465"/>
    <w:rsid w:val="002A17CA"/>
    <w:rsid w:val="002A211B"/>
    <w:rsid w:val="002A2191"/>
    <w:rsid w:val="002A2ECC"/>
    <w:rsid w:val="002A34A5"/>
    <w:rsid w:val="002A35DC"/>
    <w:rsid w:val="002A3809"/>
    <w:rsid w:val="002A3CF8"/>
    <w:rsid w:val="002A3F0A"/>
    <w:rsid w:val="002A3F99"/>
    <w:rsid w:val="002A3FFC"/>
    <w:rsid w:val="002A416C"/>
    <w:rsid w:val="002A4B36"/>
    <w:rsid w:val="002A4D06"/>
    <w:rsid w:val="002A5062"/>
    <w:rsid w:val="002A541E"/>
    <w:rsid w:val="002A5473"/>
    <w:rsid w:val="002A5613"/>
    <w:rsid w:val="002A5842"/>
    <w:rsid w:val="002A58A6"/>
    <w:rsid w:val="002A596A"/>
    <w:rsid w:val="002A59EC"/>
    <w:rsid w:val="002A5B55"/>
    <w:rsid w:val="002A5BB6"/>
    <w:rsid w:val="002A5D4B"/>
    <w:rsid w:val="002A5ED6"/>
    <w:rsid w:val="002A63FC"/>
    <w:rsid w:val="002A6890"/>
    <w:rsid w:val="002A6F43"/>
    <w:rsid w:val="002A71D5"/>
    <w:rsid w:val="002A7AF0"/>
    <w:rsid w:val="002A7CFD"/>
    <w:rsid w:val="002A7F71"/>
    <w:rsid w:val="002B0154"/>
    <w:rsid w:val="002B02EF"/>
    <w:rsid w:val="002B0403"/>
    <w:rsid w:val="002B1DD0"/>
    <w:rsid w:val="002B1F3E"/>
    <w:rsid w:val="002B2038"/>
    <w:rsid w:val="002B2848"/>
    <w:rsid w:val="002B2AA0"/>
    <w:rsid w:val="002B2C1A"/>
    <w:rsid w:val="002B2E46"/>
    <w:rsid w:val="002B30B1"/>
    <w:rsid w:val="002B3177"/>
    <w:rsid w:val="002B36E3"/>
    <w:rsid w:val="002B36F8"/>
    <w:rsid w:val="002B3EF9"/>
    <w:rsid w:val="002B4101"/>
    <w:rsid w:val="002B4174"/>
    <w:rsid w:val="002B4BB2"/>
    <w:rsid w:val="002B5090"/>
    <w:rsid w:val="002B519E"/>
    <w:rsid w:val="002B583E"/>
    <w:rsid w:val="002B59D8"/>
    <w:rsid w:val="002B59FF"/>
    <w:rsid w:val="002B5A3F"/>
    <w:rsid w:val="002B5B66"/>
    <w:rsid w:val="002B5EE1"/>
    <w:rsid w:val="002B644D"/>
    <w:rsid w:val="002B68FC"/>
    <w:rsid w:val="002B6915"/>
    <w:rsid w:val="002B6C0C"/>
    <w:rsid w:val="002B6D18"/>
    <w:rsid w:val="002B7202"/>
    <w:rsid w:val="002B745C"/>
    <w:rsid w:val="002B7A35"/>
    <w:rsid w:val="002B7B40"/>
    <w:rsid w:val="002C0318"/>
    <w:rsid w:val="002C07DA"/>
    <w:rsid w:val="002C0F55"/>
    <w:rsid w:val="002C11EF"/>
    <w:rsid w:val="002C12DF"/>
    <w:rsid w:val="002C18CF"/>
    <w:rsid w:val="002C1D84"/>
    <w:rsid w:val="002C2039"/>
    <w:rsid w:val="002C27C6"/>
    <w:rsid w:val="002C33C9"/>
    <w:rsid w:val="002C3468"/>
    <w:rsid w:val="002C36F7"/>
    <w:rsid w:val="002C4087"/>
    <w:rsid w:val="002C409C"/>
    <w:rsid w:val="002C40DE"/>
    <w:rsid w:val="002C40F8"/>
    <w:rsid w:val="002C47E3"/>
    <w:rsid w:val="002C4866"/>
    <w:rsid w:val="002C486A"/>
    <w:rsid w:val="002C50BF"/>
    <w:rsid w:val="002C578F"/>
    <w:rsid w:val="002C6000"/>
    <w:rsid w:val="002C6053"/>
    <w:rsid w:val="002C6ABA"/>
    <w:rsid w:val="002C6C23"/>
    <w:rsid w:val="002C6CCC"/>
    <w:rsid w:val="002C7BF6"/>
    <w:rsid w:val="002C7FE9"/>
    <w:rsid w:val="002D0075"/>
    <w:rsid w:val="002D07CD"/>
    <w:rsid w:val="002D0861"/>
    <w:rsid w:val="002D090D"/>
    <w:rsid w:val="002D0DC5"/>
    <w:rsid w:val="002D10F3"/>
    <w:rsid w:val="002D1D30"/>
    <w:rsid w:val="002D21A8"/>
    <w:rsid w:val="002D24E0"/>
    <w:rsid w:val="002D3C39"/>
    <w:rsid w:val="002D3D6A"/>
    <w:rsid w:val="002D3E07"/>
    <w:rsid w:val="002D4D09"/>
    <w:rsid w:val="002D4EFD"/>
    <w:rsid w:val="002D59A9"/>
    <w:rsid w:val="002D5B5B"/>
    <w:rsid w:val="002D6727"/>
    <w:rsid w:val="002D6736"/>
    <w:rsid w:val="002D6749"/>
    <w:rsid w:val="002D6D20"/>
    <w:rsid w:val="002D6D60"/>
    <w:rsid w:val="002D7083"/>
    <w:rsid w:val="002D7414"/>
    <w:rsid w:val="002D75C1"/>
    <w:rsid w:val="002E0004"/>
    <w:rsid w:val="002E0110"/>
    <w:rsid w:val="002E03D9"/>
    <w:rsid w:val="002E07CB"/>
    <w:rsid w:val="002E08DE"/>
    <w:rsid w:val="002E08FE"/>
    <w:rsid w:val="002E0FBD"/>
    <w:rsid w:val="002E11A1"/>
    <w:rsid w:val="002E1732"/>
    <w:rsid w:val="002E1AB1"/>
    <w:rsid w:val="002E1CE7"/>
    <w:rsid w:val="002E1F73"/>
    <w:rsid w:val="002E1FAB"/>
    <w:rsid w:val="002E21A0"/>
    <w:rsid w:val="002E226D"/>
    <w:rsid w:val="002E29A5"/>
    <w:rsid w:val="002E2A4B"/>
    <w:rsid w:val="002E4B14"/>
    <w:rsid w:val="002E5162"/>
    <w:rsid w:val="002E55B0"/>
    <w:rsid w:val="002E5772"/>
    <w:rsid w:val="002E581D"/>
    <w:rsid w:val="002E59C4"/>
    <w:rsid w:val="002E5CA7"/>
    <w:rsid w:val="002E610E"/>
    <w:rsid w:val="002E6623"/>
    <w:rsid w:val="002E694E"/>
    <w:rsid w:val="002E78EB"/>
    <w:rsid w:val="002E7A91"/>
    <w:rsid w:val="002E7F13"/>
    <w:rsid w:val="002F0904"/>
    <w:rsid w:val="002F09F3"/>
    <w:rsid w:val="002F23DE"/>
    <w:rsid w:val="002F24E4"/>
    <w:rsid w:val="002F27F3"/>
    <w:rsid w:val="002F3426"/>
    <w:rsid w:val="002F34F9"/>
    <w:rsid w:val="002F362E"/>
    <w:rsid w:val="002F36CA"/>
    <w:rsid w:val="002F3732"/>
    <w:rsid w:val="002F373D"/>
    <w:rsid w:val="002F3CBE"/>
    <w:rsid w:val="002F405B"/>
    <w:rsid w:val="002F4C02"/>
    <w:rsid w:val="002F4C0D"/>
    <w:rsid w:val="002F4CC5"/>
    <w:rsid w:val="002F4F10"/>
    <w:rsid w:val="002F55C5"/>
    <w:rsid w:val="002F5BD8"/>
    <w:rsid w:val="002F61E3"/>
    <w:rsid w:val="002F6289"/>
    <w:rsid w:val="002F62CF"/>
    <w:rsid w:val="002F64DE"/>
    <w:rsid w:val="002F65C4"/>
    <w:rsid w:val="002F6B2D"/>
    <w:rsid w:val="002F6DD5"/>
    <w:rsid w:val="002F71A5"/>
    <w:rsid w:val="0030093F"/>
    <w:rsid w:val="00300A34"/>
    <w:rsid w:val="00300B78"/>
    <w:rsid w:val="003011E0"/>
    <w:rsid w:val="0030127D"/>
    <w:rsid w:val="00301B9A"/>
    <w:rsid w:val="00301BBB"/>
    <w:rsid w:val="00301FA4"/>
    <w:rsid w:val="00302091"/>
    <w:rsid w:val="0030227C"/>
    <w:rsid w:val="0030257A"/>
    <w:rsid w:val="003026A4"/>
    <w:rsid w:val="003027F0"/>
    <w:rsid w:val="003028D2"/>
    <w:rsid w:val="00303258"/>
    <w:rsid w:val="0030355C"/>
    <w:rsid w:val="0030366A"/>
    <w:rsid w:val="0030381F"/>
    <w:rsid w:val="003045A4"/>
    <w:rsid w:val="0030497B"/>
    <w:rsid w:val="003056C2"/>
    <w:rsid w:val="00305A5E"/>
    <w:rsid w:val="00305FBC"/>
    <w:rsid w:val="003061EB"/>
    <w:rsid w:val="003068ED"/>
    <w:rsid w:val="00306928"/>
    <w:rsid w:val="00306A29"/>
    <w:rsid w:val="0030702D"/>
    <w:rsid w:val="0030744F"/>
    <w:rsid w:val="003074FC"/>
    <w:rsid w:val="003077CE"/>
    <w:rsid w:val="0030797E"/>
    <w:rsid w:val="00307DF4"/>
    <w:rsid w:val="00307E29"/>
    <w:rsid w:val="003104BA"/>
    <w:rsid w:val="00310734"/>
    <w:rsid w:val="003109E3"/>
    <w:rsid w:val="00310D20"/>
    <w:rsid w:val="003112CB"/>
    <w:rsid w:val="0031246F"/>
    <w:rsid w:val="00312635"/>
    <w:rsid w:val="0031299A"/>
    <w:rsid w:val="00313269"/>
    <w:rsid w:val="00313732"/>
    <w:rsid w:val="0031375D"/>
    <w:rsid w:val="00314105"/>
    <w:rsid w:val="00315137"/>
    <w:rsid w:val="003156A0"/>
    <w:rsid w:val="00315865"/>
    <w:rsid w:val="00315A97"/>
    <w:rsid w:val="00316071"/>
    <w:rsid w:val="003164C4"/>
    <w:rsid w:val="003168ED"/>
    <w:rsid w:val="00316D51"/>
    <w:rsid w:val="003178F1"/>
    <w:rsid w:val="00317F53"/>
    <w:rsid w:val="00320031"/>
    <w:rsid w:val="00320071"/>
    <w:rsid w:val="00320E23"/>
    <w:rsid w:val="00320ED0"/>
    <w:rsid w:val="0032121F"/>
    <w:rsid w:val="00321268"/>
    <w:rsid w:val="0032149D"/>
    <w:rsid w:val="0032195C"/>
    <w:rsid w:val="003219A2"/>
    <w:rsid w:val="003219DD"/>
    <w:rsid w:val="003221B0"/>
    <w:rsid w:val="00322942"/>
    <w:rsid w:val="003230A3"/>
    <w:rsid w:val="0032313D"/>
    <w:rsid w:val="0032335C"/>
    <w:rsid w:val="003233C0"/>
    <w:rsid w:val="00323808"/>
    <w:rsid w:val="00323B00"/>
    <w:rsid w:val="00323C2F"/>
    <w:rsid w:val="00323C91"/>
    <w:rsid w:val="0032406F"/>
    <w:rsid w:val="00324649"/>
    <w:rsid w:val="0032466C"/>
    <w:rsid w:val="00324C3C"/>
    <w:rsid w:val="003253AA"/>
    <w:rsid w:val="00325506"/>
    <w:rsid w:val="003255F9"/>
    <w:rsid w:val="003257AA"/>
    <w:rsid w:val="00325D3F"/>
    <w:rsid w:val="0032648A"/>
    <w:rsid w:val="003264C3"/>
    <w:rsid w:val="0032654C"/>
    <w:rsid w:val="00326BB3"/>
    <w:rsid w:val="00326BE3"/>
    <w:rsid w:val="00326C5F"/>
    <w:rsid w:val="00327146"/>
    <w:rsid w:val="003275DA"/>
    <w:rsid w:val="0032788C"/>
    <w:rsid w:val="00327A2B"/>
    <w:rsid w:val="00330C40"/>
    <w:rsid w:val="003310C2"/>
    <w:rsid w:val="00331154"/>
    <w:rsid w:val="00331EE5"/>
    <w:rsid w:val="003325FC"/>
    <w:rsid w:val="003329B5"/>
    <w:rsid w:val="00332DA3"/>
    <w:rsid w:val="00332E44"/>
    <w:rsid w:val="00332EC8"/>
    <w:rsid w:val="00333640"/>
    <w:rsid w:val="003336F0"/>
    <w:rsid w:val="003337D5"/>
    <w:rsid w:val="00333A31"/>
    <w:rsid w:val="00333A90"/>
    <w:rsid w:val="00333F38"/>
    <w:rsid w:val="0033477E"/>
    <w:rsid w:val="00334D0B"/>
    <w:rsid w:val="003351D6"/>
    <w:rsid w:val="003353FF"/>
    <w:rsid w:val="0033551C"/>
    <w:rsid w:val="0033555A"/>
    <w:rsid w:val="0033581A"/>
    <w:rsid w:val="0033582D"/>
    <w:rsid w:val="00336389"/>
    <w:rsid w:val="00336AD9"/>
    <w:rsid w:val="003373EF"/>
    <w:rsid w:val="00337658"/>
    <w:rsid w:val="003376C6"/>
    <w:rsid w:val="003376E6"/>
    <w:rsid w:val="00337BDF"/>
    <w:rsid w:val="00337FF3"/>
    <w:rsid w:val="0034084A"/>
    <w:rsid w:val="00340B00"/>
    <w:rsid w:val="00340BF6"/>
    <w:rsid w:val="00340EE3"/>
    <w:rsid w:val="00341590"/>
    <w:rsid w:val="00341923"/>
    <w:rsid w:val="00341EB4"/>
    <w:rsid w:val="00342034"/>
    <w:rsid w:val="003433F9"/>
    <w:rsid w:val="00343434"/>
    <w:rsid w:val="00343A43"/>
    <w:rsid w:val="00343A9A"/>
    <w:rsid w:val="00343BC4"/>
    <w:rsid w:val="00343E5C"/>
    <w:rsid w:val="003440D3"/>
    <w:rsid w:val="003444E9"/>
    <w:rsid w:val="00344A5A"/>
    <w:rsid w:val="00344FB8"/>
    <w:rsid w:val="00344FBE"/>
    <w:rsid w:val="00345119"/>
    <w:rsid w:val="00345142"/>
    <w:rsid w:val="003456D5"/>
    <w:rsid w:val="00345CE1"/>
    <w:rsid w:val="0034613D"/>
    <w:rsid w:val="00346155"/>
    <w:rsid w:val="003462E5"/>
    <w:rsid w:val="0034687A"/>
    <w:rsid w:val="003469F5"/>
    <w:rsid w:val="00346AAE"/>
    <w:rsid w:val="00346DE3"/>
    <w:rsid w:val="00347566"/>
    <w:rsid w:val="00347866"/>
    <w:rsid w:val="00347BDF"/>
    <w:rsid w:val="00347E8D"/>
    <w:rsid w:val="00347EDB"/>
    <w:rsid w:val="00347F97"/>
    <w:rsid w:val="00350113"/>
    <w:rsid w:val="00350901"/>
    <w:rsid w:val="00351802"/>
    <w:rsid w:val="003518DC"/>
    <w:rsid w:val="003527A0"/>
    <w:rsid w:val="0035331A"/>
    <w:rsid w:val="00353905"/>
    <w:rsid w:val="00353CAD"/>
    <w:rsid w:val="003547A3"/>
    <w:rsid w:val="0035495D"/>
    <w:rsid w:val="00354A94"/>
    <w:rsid w:val="00354FE3"/>
    <w:rsid w:val="00355005"/>
    <w:rsid w:val="00355120"/>
    <w:rsid w:val="003554A9"/>
    <w:rsid w:val="00355AC9"/>
    <w:rsid w:val="00355FEE"/>
    <w:rsid w:val="00356A3E"/>
    <w:rsid w:val="00356A5D"/>
    <w:rsid w:val="003572EE"/>
    <w:rsid w:val="00357B99"/>
    <w:rsid w:val="00357C03"/>
    <w:rsid w:val="00357D79"/>
    <w:rsid w:val="00357D9D"/>
    <w:rsid w:val="00360013"/>
    <w:rsid w:val="0036017B"/>
    <w:rsid w:val="00360CA0"/>
    <w:rsid w:val="00360F0E"/>
    <w:rsid w:val="00360F52"/>
    <w:rsid w:val="0036118A"/>
    <w:rsid w:val="003613E7"/>
    <w:rsid w:val="00361BE6"/>
    <w:rsid w:val="00361EB3"/>
    <w:rsid w:val="003621B4"/>
    <w:rsid w:val="003622BC"/>
    <w:rsid w:val="003622F5"/>
    <w:rsid w:val="00362755"/>
    <w:rsid w:val="00362E3F"/>
    <w:rsid w:val="0036363C"/>
    <w:rsid w:val="00363A0E"/>
    <w:rsid w:val="00363A0F"/>
    <w:rsid w:val="00363B7C"/>
    <w:rsid w:val="00363C4F"/>
    <w:rsid w:val="00363C56"/>
    <w:rsid w:val="003645CB"/>
    <w:rsid w:val="00364A76"/>
    <w:rsid w:val="00364DEF"/>
    <w:rsid w:val="00365144"/>
    <w:rsid w:val="003654E9"/>
    <w:rsid w:val="003658AD"/>
    <w:rsid w:val="00365A2E"/>
    <w:rsid w:val="00365D9A"/>
    <w:rsid w:val="00365F06"/>
    <w:rsid w:val="00366557"/>
    <w:rsid w:val="00366C75"/>
    <w:rsid w:val="00366D22"/>
    <w:rsid w:val="00367195"/>
    <w:rsid w:val="0036776A"/>
    <w:rsid w:val="00367F39"/>
    <w:rsid w:val="00367FD2"/>
    <w:rsid w:val="00370385"/>
    <w:rsid w:val="00370562"/>
    <w:rsid w:val="0037069E"/>
    <w:rsid w:val="00370E22"/>
    <w:rsid w:val="003729E5"/>
    <w:rsid w:val="00373058"/>
    <w:rsid w:val="0037334E"/>
    <w:rsid w:val="0037336E"/>
    <w:rsid w:val="00373649"/>
    <w:rsid w:val="0037367C"/>
    <w:rsid w:val="00373B1F"/>
    <w:rsid w:val="00373B93"/>
    <w:rsid w:val="00373ED8"/>
    <w:rsid w:val="00374E86"/>
    <w:rsid w:val="00374F39"/>
    <w:rsid w:val="003751A2"/>
    <w:rsid w:val="00375493"/>
    <w:rsid w:val="003759CA"/>
    <w:rsid w:val="00375AF9"/>
    <w:rsid w:val="00375E43"/>
    <w:rsid w:val="00375EA1"/>
    <w:rsid w:val="00376754"/>
    <w:rsid w:val="00376B0E"/>
    <w:rsid w:val="00376E91"/>
    <w:rsid w:val="003770BB"/>
    <w:rsid w:val="0037760A"/>
    <w:rsid w:val="00377CC6"/>
    <w:rsid w:val="00377D23"/>
    <w:rsid w:val="00377DCA"/>
    <w:rsid w:val="003800A5"/>
    <w:rsid w:val="00380124"/>
    <w:rsid w:val="00380288"/>
    <w:rsid w:val="00380321"/>
    <w:rsid w:val="00380374"/>
    <w:rsid w:val="003807C6"/>
    <w:rsid w:val="00380972"/>
    <w:rsid w:val="00380CD1"/>
    <w:rsid w:val="0038134D"/>
    <w:rsid w:val="0038203B"/>
    <w:rsid w:val="003826EC"/>
    <w:rsid w:val="00382D73"/>
    <w:rsid w:val="0038307D"/>
    <w:rsid w:val="003834BF"/>
    <w:rsid w:val="003834D8"/>
    <w:rsid w:val="00384733"/>
    <w:rsid w:val="0038486A"/>
    <w:rsid w:val="0038486C"/>
    <w:rsid w:val="00384A0B"/>
    <w:rsid w:val="00384B70"/>
    <w:rsid w:val="003852D5"/>
    <w:rsid w:val="0038531B"/>
    <w:rsid w:val="003853DE"/>
    <w:rsid w:val="00385773"/>
    <w:rsid w:val="00385794"/>
    <w:rsid w:val="00385A59"/>
    <w:rsid w:val="0038662E"/>
    <w:rsid w:val="0038666A"/>
    <w:rsid w:val="00386DC0"/>
    <w:rsid w:val="00387561"/>
    <w:rsid w:val="0038757F"/>
    <w:rsid w:val="003877FC"/>
    <w:rsid w:val="00390287"/>
    <w:rsid w:val="003912F7"/>
    <w:rsid w:val="0039161B"/>
    <w:rsid w:val="003916A2"/>
    <w:rsid w:val="00391981"/>
    <w:rsid w:val="00391B78"/>
    <w:rsid w:val="00391BA0"/>
    <w:rsid w:val="00392099"/>
    <w:rsid w:val="003922AC"/>
    <w:rsid w:val="00392376"/>
    <w:rsid w:val="0039239B"/>
    <w:rsid w:val="0039257A"/>
    <w:rsid w:val="00392B06"/>
    <w:rsid w:val="00392F9F"/>
    <w:rsid w:val="0039328C"/>
    <w:rsid w:val="0039365D"/>
    <w:rsid w:val="00393E63"/>
    <w:rsid w:val="003941AC"/>
    <w:rsid w:val="003949C0"/>
    <w:rsid w:val="00395016"/>
    <w:rsid w:val="003953E1"/>
    <w:rsid w:val="00395941"/>
    <w:rsid w:val="0039597F"/>
    <w:rsid w:val="003963D0"/>
    <w:rsid w:val="00396AB9"/>
    <w:rsid w:val="00396C24"/>
    <w:rsid w:val="00396E2F"/>
    <w:rsid w:val="00396FD1"/>
    <w:rsid w:val="00397145"/>
    <w:rsid w:val="003974EA"/>
    <w:rsid w:val="00397511"/>
    <w:rsid w:val="00397C64"/>
    <w:rsid w:val="003A04DB"/>
    <w:rsid w:val="003A0DF0"/>
    <w:rsid w:val="003A1423"/>
    <w:rsid w:val="003A1848"/>
    <w:rsid w:val="003A1DC8"/>
    <w:rsid w:val="003A1E80"/>
    <w:rsid w:val="003A3729"/>
    <w:rsid w:val="003A38F0"/>
    <w:rsid w:val="003A3AB1"/>
    <w:rsid w:val="003A3AE5"/>
    <w:rsid w:val="003A418C"/>
    <w:rsid w:val="003A4230"/>
    <w:rsid w:val="003A4483"/>
    <w:rsid w:val="003A4675"/>
    <w:rsid w:val="003A56C9"/>
    <w:rsid w:val="003A56D1"/>
    <w:rsid w:val="003A5811"/>
    <w:rsid w:val="003A6030"/>
    <w:rsid w:val="003A6040"/>
    <w:rsid w:val="003A6C45"/>
    <w:rsid w:val="003A6FF7"/>
    <w:rsid w:val="003A70A8"/>
    <w:rsid w:val="003A7204"/>
    <w:rsid w:val="003A7A59"/>
    <w:rsid w:val="003A7BFB"/>
    <w:rsid w:val="003A7CB0"/>
    <w:rsid w:val="003A7D7C"/>
    <w:rsid w:val="003B0991"/>
    <w:rsid w:val="003B10C9"/>
    <w:rsid w:val="003B18F5"/>
    <w:rsid w:val="003B19D3"/>
    <w:rsid w:val="003B1F1C"/>
    <w:rsid w:val="003B1F5A"/>
    <w:rsid w:val="003B23B8"/>
    <w:rsid w:val="003B2F17"/>
    <w:rsid w:val="003B2F55"/>
    <w:rsid w:val="003B389C"/>
    <w:rsid w:val="003B38DF"/>
    <w:rsid w:val="003B3A03"/>
    <w:rsid w:val="003B3A21"/>
    <w:rsid w:val="003B45FA"/>
    <w:rsid w:val="003B47E5"/>
    <w:rsid w:val="003B49D3"/>
    <w:rsid w:val="003B547E"/>
    <w:rsid w:val="003B5800"/>
    <w:rsid w:val="003B5F8E"/>
    <w:rsid w:val="003B61F7"/>
    <w:rsid w:val="003B6A5E"/>
    <w:rsid w:val="003B6D12"/>
    <w:rsid w:val="003B7010"/>
    <w:rsid w:val="003B762E"/>
    <w:rsid w:val="003B7709"/>
    <w:rsid w:val="003C0479"/>
    <w:rsid w:val="003C0499"/>
    <w:rsid w:val="003C0816"/>
    <w:rsid w:val="003C0F6C"/>
    <w:rsid w:val="003C1007"/>
    <w:rsid w:val="003C2B84"/>
    <w:rsid w:val="003C2E85"/>
    <w:rsid w:val="003C40D9"/>
    <w:rsid w:val="003C5BD4"/>
    <w:rsid w:val="003C5CC0"/>
    <w:rsid w:val="003C5F20"/>
    <w:rsid w:val="003C603E"/>
    <w:rsid w:val="003C65F0"/>
    <w:rsid w:val="003C6AF4"/>
    <w:rsid w:val="003C70D1"/>
    <w:rsid w:val="003C7773"/>
    <w:rsid w:val="003C7B3F"/>
    <w:rsid w:val="003C7BCF"/>
    <w:rsid w:val="003C7EAA"/>
    <w:rsid w:val="003D0232"/>
    <w:rsid w:val="003D03F1"/>
    <w:rsid w:val="003D05DF"/>
    <w:rsid w:val="003D088F"/>
    <w:rsid w:val="003D0E5E"/>
    <w:rsid w:val="003D132F"/>
    <w:rsid w:val="003D135C"/>
    <w:rsid w:val="003D147C"/>
    <w:rsid w:val="003D1964"/>
    <w:rsid w:val="003D201F"/>
    <w:rsid w:val="003D27BA"/>
    <w:rsid w:val="003D2B5E"/>
    <w:rsid w:val="003D35CA"/>
    <w:rsid w:val="003D36BC"/>
    <w:rsid w:val="003D3C88"/>
    <w:rsid w:val="003D3EEE"/>
    <w:rsid w:val="003D4047"/>
    <w:rsid w:val="003D407D"/>
    <w:rsid w:val="003D428A"/>
    <w:rsid w:val="003D44D3"/>
    <w:rsid w:val="003D4DF1"/>
    <w:rsid w:val="003D5054"/>
    <w:rsid w:val="003D5856"/>
    <w:rsid w:val="003D5DCD"/>
    <w:rsid w:val="003D693E"/>
    <w:rsid w:val="003D6965"/>
    <w:rsid w:val="003D6B25"/>
    <w:rsid w:val="003D7244"/>
    <w:rsid w:val="003D72AF"/>
    <w:rsid w:val="003D7380"/>
    <w:rsid w:val="003D7B6A"/>
    <w:rsid w:val="003E027A"/>
    <w:rsid w:val="003E0327"/>
    <w:rsid w:val="003E0C2E"/>
    <w:rsid w:val="003E0C6F"/>
    <w:rsid w:val="003E1191"/>
    <w:rsid w:val="003E2218"/>
    <w:rsid w:val="003E2708"/>
    <w:rsid w:val="003E2EC5"/>
    <w:rsid w:val="003E3499"/>
    <w:rsid w:val="003E3A63"/>
    <w:rsid w:val="003E4520"/>
    <w:rsid w:val="003E4818"/>
    <w:rsid w:val="003E4B65"/>
    <w:rsid w:val="003E530D"/>
    <w:rsid w:val="003E61D0"/>
    <w:rsid w:val="003E6815"/>
    <w:rsid w:val="003E6EA7"/>
    <w:rsid w:val="003E735A"/>
    <w:rsid w:val="003E7488"/>
    <w:rsid w:val="003E76F7"/>
    <w:rsid w:val="003F0107"/>
    <w:rsid w:val="003F03A2"/>
    <w:rsid w:val="003F0624"/>
    <w:rsid w:val="003F069A"/>
    <w:rsid w:val="003F108E"/>
    <w:rsid w:val="003F1268"/>
    <w:rsid w:val="003F1567"/>
    <w:rsid w:val="003F2BAF"/>
    <w:rsid w:val="003F2D76"/>
    <w:rsid w:val="003F2F94"/>
    <w:rsid w:val="003F35D8"/>
    <w:rsid w:val="003F38D2"/>
    <w:rsid w:val="003F3AB3"/>
    <w:rsid w:val="003F3AED"/>
    <w:rsid w:val="003F3C56"/>
    <w:rsid w:val="003F3E3B"/>
    <w:rsid w:val="003F3ED9"/>
    <w:rsid w:val="003F4329"/>
    <w:rsid w:val="003F4419"/>
    <w:rsid w:val="003F585C"/>
    <w:rsid w:val="003F696F"/>
    <w:rsid w:val="003F7497"/>
    <w:rsid w:val="003F7AEB"/>
    <w:rsid w:val="003F7D73"/>
    <w:rsid w:val="003F7D84"/>
    <w:rsid w:val="00400C5B"/>
    <w:rsid w:val="00400C7B"/>
    <w:rsid w:val="00400D17"/>
    <w:rsid w:val="00400E59"/>
    <w:rsid w:val="004013FE"/>
    <w:rsid w:val="004019B2"/>
    <w:rsid w:val="00401B91"/>
    <w:rsid w:val="00401E4F"/>
    <w:rsid w:val="0040233A"/>
    <w:rsid w:val="004025E2"/>
    <w:rsid w:val="004029E7"/>
    <w:rsid w:val="00402E4D"/>
    <w:rsid w:val="00403AEF"/>
    <w:rsid w:val="004040D4"/>
    <w:rsid w:val="00404205"/>
    <w:rsid w:val="0040443F"/>
    <w:rsid w:val="00404684"/>
    <w:rsid w:val="004048D8"/>
    <w:rsid w:val="00404CCE"/>
    <w:rsid w:val="00404D77"/>
    <w:rsid w:val="00405612"/>
    <w:rsid w:val="0040601C"/>
    <w:rsid w:val="004063F4"/>
    <w:rsid w:val="00406441"/>
    <w:rsid w:val="0040729C"/>
    <w:rsid w:val="0040745E"/>
    <w:rsid w:val="004078A7"/>
    <w:rsid w:val="00407B87"/>
    <w:rsid w:val="00407B95"/>
    <w:rsid w:val="00407E61"/>
    <w:rsid w:val="00410317"/>
    <w:rsid w:val="0041108B"/>
    <w:rsid w:val="00412054"/>
    <w:rsid w:val="0041218C"/>
    <w:rsid w:val="004121D5"/>
    <w:rsid w:val="00412534"/>
    <w:rsid w:val="004125AA"/>
    <w:rsid w:val="004125D2"/>
    <w:rsid w:val="0041268A"/>
    <w:rsid w:val="00412C83"/>
    <w:rsid w:val="00412DAA"/>
    <w:rsid w:val="00412E97"/>
    <w:rsid w:val="00413375"/>
    <w:rsid w:val="004135D3"/>
    <w:rsid w:val="00413AAA"/>
    <w:rsid w:val="00413E72"/>
    <w:rsid w:val="00414077"/>
    <w:rsid w:val="00414136"/>
    <w:rsid w:val="00414146"/>
    <w:rsid w:val="00414CA3"/>
    <w:rsid w:val="00415081"/>
    <w:rsid w:val="004151F8"/>
    <w:rsid w:val="004152E5"/>
    <w:rsid w:val="004153E7"/>
    <w:rsid w:val="0041561D"/>
    <w:rsid w:val="00416D54"/>
    <w:rsid w:val="00416ED3"/>
    <w:rsid w:val="004171FD"/>
    <w:rsid w:val="004173D4"/>
    <w:rsid w:val="004174CE"/>
    <w:rsid w:val="00417940"/>
    <w:rsid w:val="00417A93"/>
    <w:rsid w:val="00417CFB"/>
    <w:rsid w:val="004203DB"/>
    <w:rsid w:val="004205EE"/>
    <w:rsid w:val="00420806"/>
    <w:rsid w:val="00421161"/>
    <w:rsid w:val="004211FD"/>
    <w:rsid w:val="00422243"/>
    <w:rsid w:val="004226BC"/>
    <w:rsid w:val="00422C42"/>
    <w:rsid w:val="00422E7B"/>
    <w:rsid w:val="00422EED"/>
    <w:rsid w:val="00422F50"/>
    <w:rsid w:val="004231E4"/>
    <w:rsid w:val="004231EB"/>
    <w:rsid w:val="00423B1D"/>
    <w:rsid w:val="00423CD7"/>
    <w:rsid w:val="00423EB7"/>
    <w:rsid w:val="004240C2"/>
    <w:rsid w:val="004240F0"/>
    <w:rsid w:val="004242A7"/>
    <w:rsid w:val="00424342"/>
    <w:rsid w:val="00424A8D"/>
    <w:rsid w:val="00424ACA"/>
    <w:rsid w:val="00425480"/>
    <w:rsid w:val="0042581E"/>
    <w:rsid w:val="00426014"/>
    <w:rsid w:val="0042636D"/>
    <w:rsid w:val="004264B5"/>
    <w:rsid w:val="0042714D"/>
    <w:rsid w:val="0042773C"/>
    <w:rsid w:val="0042786C"/>
    <w:rsid w:val="00430143"/>
    <w:rsid w:val="004301C0"/>
    <w:rsid w:val="0043029F"/>
    <w:rsid w:val="00430665"/>
    <w:rsid w:val="00430A61"/>
    <w:rsid w:val="00430AE6"/>
    <w:rsid w:val="00432A0C"/>
    <w:rsid w:val="00432DA4"/>
    <w:rsid w:val="004333B8"/>
    <w:rsid w:val="00433547"/>
    <w:rsid w:val="00433BF6"/>
    <w:rsid w:val="00433F51"/>
    <w:rsid w:val="004343E1"/>
    <w:rsid w:val="00434794"/>
    <w:rsid w:val="00434AAF"/>
    <w:rsid w:val="00434C02"/>
    <w:rsid w:val="00434C17"/>
    <w:rsid w:val="004350A7"/>
    <w:rsid w:val="00435167"/>
    <w:rsid w:val="004351DD"/>
    <w:rsid w:val="00435864"/>
    <w:rsid w:val="004363E6"/>
    <w:rsid w:val="0043669D"/>
    <w:rsid w:val="004369B7"/>
    <w:rsid w:val="00436DCA"/>
    <w:rsid w:val="00436E62"/>
    <w:rsid w:val="004371C3"/>
    <w:rsid w:val="004372A1"/>
    <w:rsid w:val="004376E6"/>
    <w:rsid w:val="00437B09"/>
    <w:rsid w:val="00437C5D"/>
    <w:rsid w:val="004401B2"/>
    <w:rsid w:val="004401FC"/>
    <w:rsid w:val="00440625"/>
    <w:rsid w:val="00440D11"/>
    <w:rsid w:val="00441882"/>
    <w:rsid w:val="00441C7E"/>
    <w:rsid w:val="00441E00"/>
    <w:rsid w:val="00442217"/>
    <w:rsid w:val="00442301"/>
    <w:rsid w:val="00442561"/>
    <w:rsid w:val="004429C6"/>
    <w:rsid w:val="004429EC"/>
    <w:rsid w:val="00442B40"/>
    <w:rsid w:val="00442C9A"/>
    <w:rsid w:val="00443290"/>
    <w:rsid w:val="00443432"/>
    <w:rsid w:val="0044373B"/>
    <w:rsid w:val="00443792"/>
    <w:rsid w:val="004439CA"/>
    <w:rsid w:val="00443A33"/>
    <w:rsid w:val="00443D35"/>
    <w:rsid w:val="00443F76"/>
    <w:rsid w:val="0044475C"/>
    <w:rsid w:val="0044483F"/>
    <w:rsid w:val="00444A76"/>
    <w:rsid w:val="004450B7"/>
    <w:rsid w:val="00445744"/>
    <w:rsid w:val="00445E2E"/>
    <w:rsid w:val="0044617E"/>
    <w:rsid w:val="0044638C"/>
    <w:rsid w:val="0044733B"/>
    <w:rsid w:val="00447804"/>
    <w:rsid w:val="00447BDD"/>
    <w:rsid w:val="0045031F"/>
    <w:rsid w:val="00450613"/>
    <w:rsid w:val="004506C9"/>
    <w:rsid w:val="00450788"/>
    <w:rsid w:val="00450B4E"/>
    <w:rsid w:val="00451043"/>
    <w:rsid w:val="0045124A"/>
    <w:rsid w:val="00451291"/>
    <w:rsid w:val="00451761"/>
    <w:rsid w:val="00451B44"/>
    <w:rsid w:val="00452020"/>
    <w:rsid w:val="004520C4"/>
    <w:rsid w:val="00452628"/>
    <w:rsid w:val="004526FB"/>
    <w:rsid w:val="00452C62"/>
    <w:rsid w:val="00453288"/>
    <w:rsid w:val="0045380E"/>
    <w:rsid w:val="00453A82"/>
    <w:rsid w:val="00454222"/>
    <w:rsid w:val="0045476D"/>
    <w:rsid w:val="004547BD"/>
    <w:rsid w:val="00454864"/>
    <w:rsid w:val="00454C3B"/>
    <w:rsid w:val="00455CC8"/>
    <w:rsid w:val="004563CA"/>
    <w:rsid w:val="00456BAF"/>
    <w:rsid w:val="00456C8F"/>
    <w:rsid w:val="00456E09"/>
    <w:rsid w:val="00456EEA"/>
    <w:rsid w:val="00456F32"/>
    <w:rsid w:val="0045701F"/>
    <w:rsid w:val="004572A8"/>
    <w:rsid w:val="004579FB"/>
    <w:rsid w:val="00460319"/>
    <w:rsid w:val="00460B1E"/>
    <w:rsid w:val="00460B7D"/>
    <w:rsid w:val="00460DC9"/>
    <w:rsid w:val="00461007"/>
    <w:rsid w:val="0046113E"/>
    <w:rsid w:val="004616A7"/>
    <w:rsid w:val="004621B1"/>
    <w:rsid w:val="00462CEE"/>
    <w:rsid w:val="004630A5"/>
    <w:rsid w:val="00463107"/>
    <w:rsid w:val="004631DA"/>
    <w:rsid w:val="004636B6"/>
    <w:rsid w:val="00463F81"/>
    <w:rsid w:val="00464146"/>
    <w:rsid w:val="00464181"/>
    <w:rsid w:val="0046474B"/>
    <w:rsid w:val="00464A9B"/>
    <w:rsid w:val="00464B6E"/>
    <w:rsid w:val="00464BEB"/>
    <w:rsid w:val="00464E6A"/>
    <w:rsid w:val="0046581B"/>
    <w:rsid w:val="00465D61"/>
    <w:rsid w:val="00465DC9"/>
    <w:rsid w:val="00466691"/>
    <w:rsid w:val="004667A8"/>
    <w:rsid w:val="00466A2A"/>
    <w:rsid w:val="00466D07"/>
    <w:rsid w:val="00466E38"/>
    <w:rsid w:val="00466FA5"/>
    <w:rsid w:val="004676F5"/>
    <w:rsid w:val="00467872"/>
    <w:rsid w:val="00467AB0"/>
    <w:rsid w:val="00470200"/>
    <w:rsid w:val="00470370"/>
    <w:rsid w:val="004707CE"/>
    <w:rsid w:val="0047091B"/>
    <w:rsid w:val="004709A4"/>
    <w:rsid w:val="00470A16"/>
    <w:rsid w:val="00470C0D"/>
    <w:rsid w:val="0047275C"/>
    <w:rsid w:val="0047324E"/>
    <w:rsid w:val="00473EF7"/>
    <w:rsid w:val="00474257"/>
    <w:rsid w:val="004743D3"/>
    <w:rsid w:val="00474445"/>
    <w:rsid w:val="00474954"/>
    <w:rsid w:val="0047496A"/>
    <w:rsid w:val="00475445"/>
    <w:rsid w:val="004754EA"/>
    <w:rsid w:val="0047571D"/>
    <w:rsid w:val="004758D4"/>
    <w:rsid w:val="00475D31"/>
    <w:rsid w:val="00475E31"/>
    <w:rsid w:val="0047605F"/>
    <w:rsid w:val="00476605"/>
    <w:rsid w:val="00476714"/>
    <w:rsid w:val="00477858"/>
    <w:rsid w:val="0047795F"/>
    <w:rsid w:val="00480913"/>
    <w:rsid w:val="00480B7D"/>
    <w:rsid w:val="00480C62"/>
    <w:rsid w:val="00480CB0"/>
    <w:rsid w:val="0048201C"/>
    <w:rsid w:val="00482294"/>
    <w:rsid w:val="004829D0"/>
    <w:rsid w:val="00482D95"/>
    <w:rsid w:val="00483117"/>
    <w:rsid w:val="004833B6"/>
    <w:rsid w:val="00483B32"/>
    <w:rsid w:val="00483C22"/>
    <w:rsid w:val="00483DC0"/>
    <w:rsid w:val="00484012"/>
    <w:rsid w:val="00484491"/>
    <w:rsid w:val="00484680"/>
    <w:rsid w:val="004846A9"/>
    <w:rsid w:val="00484720"/>
    <w:rsid w:val="00484DA9"/>
    <w:rsid w:val="00485163"/>
    <w:rsid w:val="00485C78"/>
    <w:rsid w:val="00485F74"/>
    <w:rsid w:val="0048626A"/>
    <w:rsid w:val="00486409"/>
    <w:rsid w:val="00486C66"/>
    <w:rsid w:val="00486C88"/>
    <w:rsid w:val="00486F11"/>
    <w:rsid w:val="004873F0"/>
    <w:rsid w:val="004876F8"/>
    <w:rsid w:val="00487BC4"/>
    <w:rsid w:val="0049018B"/>
    <w:rsid w:val="004907D4"/>
    <w:rsid w:val="00490A6F"/>
    <w:rsid w:val="0049142D"/>
    <w:rsid w:val="00491927"/>
    <w:rsid w:val="0049199A"/>
    <w:rsid w:val="00491C64"/>
    <w:rsid w:val="00492B0D"/>
    <w:rsid w:val="004934DB"/>
    <w:rsid w:val="00493B30"/>
    <w:rsid w:val="004946C1"/>
    <w:rsid w:val="00494F17"/>
    <w:rsid w:val="00494F85"/>
    <w:rsid w:val="004951F0"/>
    <w:rsid w:val="004955BE"/>
    <w:rsid w:val="00495668"/>
    <w:rsid w:val="00495A9F"/>
    <w:rsid w:val="00495B6E"/>
    <w:rsid w:val="00496632"/>
    <w:rsid w:val="004966C3"/>
    <w:rsid w:val="0049690E"/>
    <w:rsid w:val="00496E96"/>
    <w:rsid w:val="0049744D"/>
    <w:rsid w:val="004975EE"/>
    <w:rsid w:val="004A0208"/>
    <w:rsid w:val="004A04BF"/>
    <w:rsid w:val="004A09D9"/>
    <w:rsid w:val="004A0B91"/>
    <w:rsid w:val="004A1245"/>
    <w:rsid w:val="004A12EA"/>
    <w:rsid w:val="004A15F6"/>
    <w:rsid w:val="004A1671"/>
    <w:rsid w:val="004A170A"/>
    <w:rsid w:val="004A19D2"/>
    <w:rsid w:val="004A1F1E"/>
    <w:rsid w:val="004A239F"/>
    <w:rsid w:val="004A2C5B"/>
    <w:rsid w:val="004A2C6C"/>
    <w:rsid w:val="004A3407"/>
    <w:rsid w:val="004A3662"/>
    <w:rsid w:val="004A3690"/>
    <w:rsid w:val="004A390D"/>
    <w:rsid w:val="004A3929"/>
    <w:rsid w:val="004A3BC9"/>
    <w:rsid w:val="004A3FB6"/>
    <w:rsid w:val="004A456C"/>
    <w:rsid w:val="004A46E6"/>
    <w:rsid w:val="004A46FF"/>
    <w:rsid w:val="004A4969"/>
    <w:rsid w:val="004A49C7"/>
    <w:rsid w:val="004A4AB5"/>
    <w:rsid w:val="004A5438"/>
    <w:rsid w:val="004A54BE"/>
    <w:rsid w:val="004A56FC"/>
    <w:rsid w:val="004A5905"/>
    <w:rsid w:val="004A5C01"/>
    <w:rsid w:val="004A65C3"/>
    <w:rsid w:val="004A6618"/>
    <w:rsid w:val="004A666A"/>
    <w:rsid w:val="004A6835"/>
    <w:rsid w:val="004A7093"/>
    <w:rsid w:val="004A71AB"/>
    <w:rsid w:val="004A7396"/>
    <w:rsid w:val="004A7AFE"/>
    <w:rsid w:val="004A7C98"/>
    <w:rsid w:val="004B0078"/>
    <w:rsid w:val="004B018F"/>
    <w:rsid w:val="004B02BF"/>
    <w:rsid w:val="004B0477"/>
    <w:rsid w:val="004B04B9"/>
    <w:rsid w:val="004B0A1B"/>
    <w:rsid w:val="004B0AC1"/>
    <w:rsid w:val="004B0BE3"/>
    <w:rsid w:val="004B1475"/>
    <w:rsid w:val="004B1681"/>
    <w:rsid w:val="004B16C1"/>
    <w:rsid w:val="004B1863"/>
    <w:rsid w:val="004B1AF0"/>
    <w:rsid w:val="004B1E00"/>
    <w:rsid w:val="004B27F2"/>
    <w:rsid w:val="004B2A12"/>
    <w:rsid w:val="004B2B1F"/>
    <w:rsid w:val="004B2DDC"/>
    <w:rsid w:val="004B30E1"/>
    <w:rsid w:val="004B30ED"/>
    <w:rsid w:val="004B3382"/>
    <w:rsid w:val="004B3420"/>
    <w:rsid w:val="004B34EA"/>
    <w:rsid w:val="004B359D"/>
    <w:rsid w:val="004B3B0C"/>
    <w:rsid w:val="004B3BAB"/>
    <w:rsid w:val="004B3D71"/>
    <w:rsid w:val="004B3EA5"/>
    <w:rsid w:val="004B4A7E"/>
    <w:rsid w:val="004B4C46"/>
    <w:rsid w:val="004B4DBF"/>
    <w:rsid w:val="004B4F87"/>
    <w:rsid w:val="004B50FA"/>
    <w:rsid w:val="004B5494"/>
    <w:rsid w:val="004B56CA"/>
    <w:rsid w:val="004B574D"/>
    <w:rsid w:val="004B5B60"/>
    <w:rsid w:val="004B5DFE"/>
    <w:rsid w:val="004B6095"/>
    <w:rsid w:val="004B638A"/>
    <w:rsid w:val="004B670E"/>
    <w:rsid w:val="004B6911"/>
    <w:rsid w:val="004B697C"/>
    <w:rsid w:val="004B6B0D"/>
    <w:rsid w:val="004B6FB1"/>
    <w:rsid w:val="004B7E18"/>
    <w:rsid w:val="004B7EF3"/>
    <w:rsid w:val="004C0592"/>
    <w:rsid w:val="004C08FF"/>
    <w:rsid w:val="004C0F7D"/>
    <w:rsid w:val="004C1687"/>
    <w:rsid w:val="004C2440"/>
    <w:rsid w:val="004C2502"/>
    <w:rsid w:val="004C258D"/>
    <w:rsid w:val="004C29AA"/>
    <w:rsid w:val="004C2DB0"/>
    <w:rsid w:val="004C2E59"/>
    <w:rsid w:val="004C2EAE"/>
    <w:rsid w:val="004C3AD1"/>
    <w:rsid w:val="004C3E3C"/>
    <w:rsid w:val="004C3FB2"/>
    <w:rsid w:val="004C441C"/>
    <w:rsid w:val="004C4899"/>
    <w:rsid w:val="004C48D2"/>
    <w:rsid w:val="004C5377"/>
    <w:rsid w:val="004C58B9"/>
    <w:rsid w:val="004C5E57"/>
    <w:rsid w:val="004C609F"/>
    <w:rsid w:val="004C66A8"/>
    <w:rsid w:val="004C6D14"/>
    <w:rsid w:val="004C6D51"/>
    <w:rsid w:val="004C7544"/>
    <w:rsid w:val="004C7548"/>
    <w:rsid w:val="004C7765"/>
    <w:rsid w:val="004C78F0"/>
    <w:rsid w:val="004C7A2B"/>
    <w:rsid w:val="004C7B74"/>
    <w:rsid w:val="004C7D3A"/>
    <w:rsid w:val="004D02D2"/>
    <w:rsid w:val="004D0E63"/>
    <w:rsid w:val="004D1594"/>
    <w:rsid w:val="004D16BE"/>
    <w:rsid w:val="004D17A6"/>
    <w:rsid w:val="004D17F9"/>
    <w:rsid w:val="004D1A39"/>
    <w:rsid w:val="004D1C72"/>
    <w:rsid w:val="004D20D0"/>
    <w:rsid w:val="004D2DC5"/>
    <w:rsid w:val="004D3929"/>
    <w:rsid w:val="004D3A28"/>
    <w:rsid w:val="004D3DB1"/>
    <w:rsid w:val="004D400F"/>
    <w:rsid w:val="004D4202"/>
    <w:rsid w:val="004D46AA"/>
    <w:rsid w:val="004D5101"/>
    <w:rsid w:val="004D52A2"/>
    <w:rsid w:val="004D5E2A"/>
    <w:rsid w:val="004D6195"/>
    <w:rsid w:val="004D689B"/>
    <w:rsid w:val="004D69F5"/>
    <w:rsid w:val="004D6B73"/>
    <w:rsid w:val="004D6C53"/>
    <w:rsid w:val="004D7419"/>
    <w:rsid w:val="004D75BF"/>
    <w:rsid w:val="004D7937"/>
    <w:rsid w:val="004D7B2C"/>
    <w:rsid w:val="004D7B36"/>
    <w:rsid w:val="004D7CC3"/>
    <w:rsid w:val="004E04F2"/>
    <w:rsid w:val="004E058F"/>
    <w:rsid w:val="004E0766"/>
    <w:rsid w:val="004E0A1A"/>
    <w:rsid w:val="004E0A5C"/>
    <w:rsid w:val="004E14FE"/>
    <w:rsid w:val="004E1BAD"/>
    <w:rsid w:val="004E2CF8"/>
    <w:rsid w:val="004E37BE"/>
    <w:rsid w:val="004E421A"/>
    <w:rsid w:val="004E441E"/>
    <w:rsid w:val="004E4629"/>
    <w:rsid w:val="004E502F"/>
    <w:rsid w:val="004E5046"/>
    <w:rsid w:val="004E53C4"/>
    <w:rsid w:val="004E5460"/>
    <w:rsid w:val="004E5710"/>
    <w:rsid w:val="004E5962"/>
    <w:rsid w:val="004E598D"/>
    <w:rsid w:val="004E5E12"/>
    <w:rsid w:val="004E5E5C"/>
    <w:rsid w:val="004E6584"/>
    <w:rsid w:val="004E73A9"/>
    <w:rsid w:val="004E73FD"/>
    <w:rsid w:val="004E75F8"/>
    <w:rsid w:val="004E78AF"/>
    <w:rsid w:val="004E7939"/>
    <w:rsid w:val="004E7DF0"/>
    <w:rsid w:val="004F0118"/>
    <w:rsid w:val="004F0170"/>
    <w:rsid w:val="004F018F"/>
    <w:rsid w:val="004F020E"/>
    <w:rsid w:val="004F0970"/>
    <w:rsid w:val="004F0B18"/>
    <w:rsid w:val="004F0EB1"/>
    <w:rsid w:val="004F0F0A"/>
    <w:rsid w:val="004F19AD"/>
    <w:rsid w:val="004F2410"/>
    <w:rsid w:val="004F27C1"/>
    <w:rsid w:val="004F2816"/>
    <w:rsid w:val="004F2D20"/>
    <w:rsid w:val="004F2DDE"/>
    <w:rsid w:val="004F3029"/>
    <w:rsid w:val="004F31F2"/>
    <w:rsid w:val="004F39AA"/>
    <w:rsid w:val="004F3EF9"/>
    <w:rsid w:val="004F448E"/>
    <w:rsid w:val="004F46C6"/>
    <w:rsid w:val="004F4A73"/>
    <w:rsid w:val="004F4D8C"/>
    <w:rsid w:val="004F4EA6"/>
    <w:rsid w:val="004F4F73"/>
    <w:rsid w:val="004F5741"/>
    <w:rsid w:val="004F57C8"/>
    <w:rsid w:val="004F58EA"/>
    <w:rsid w:val="004F5A50"/>
    <w:rsid w:val="004F5CC7"/>
    <w:rsid w:val="004F5FC1"/>
    <w:rsid w:val="004F6488"/>
    <w:rsid w:val="004F6F18"/>
    <w:rsid w:val="004F7141"/>
    <w:rsid w:val="004F735F"/>
    <w:rsid w:val="004F7816"/>
    <w:rsid w:val="004F79E9"/>
    <w:rsid w:val="004F7EAE"/>
    <w:rsid w:val="00500B76"/>
    <w:rsid w:val="00500FD9"/>
    <w:rsid w:val="0050103C"/>
    <w:rsid w:val="005012DB"/>
    <w:rsid w:val="0050164C"/>
    <w:rsid w:val="005018A8"/>
    <w:rsid w:val="005018D0"/>
    <w:rsid w:val="00501D6A"/>
    <w:rsid w:val="00501D76"/>
    <w:rsid w:val="0050229A"/>
    <w:rsid w:val="00502453"/>
    <w:rsid w:val="00502956"/>
    <w:rsid w:val="005029C5"/>
    <w:rsid w:val="00503687"/>
    <w:rsid w:val="00503790"/>
    <w:rsid w:val="0050412F"/>
    <w:rsid w:val="00504155"/>
    <w:rsid w:val="005042B8"/>
    <w:rsid w:val="00504864"/>
    <w:rsid w:val="00504D35"/>
    <w:rsid w:val="00504F34"/>
    <w:rsid w:val="00505423"/>
    <w:rsid w:val="00505445"/>
    <w:rsid w:val="00505476"/>
    <w:rsid w:val="00505609"/>
    <w:rsid w:val="00505854"/>
    <w:rsid w:val="005059F6"/>
    <w:rsid w:val="00505A39"/>
    <w:rsid w:val="0050619C"/>
    <w:rsid w:val="00506454"/>
    <w:rsid w:val="00506733"/>
    <w:rsid w:val="005068E5"/>
    <w:rsid w:val="00506937"/>
    <w:rsid w:val="00506948"/>
    <w:rsid w:val="00506978"/>
    <w:rsid w:val="00506C12"/>
    <w:rsid w:val="00510668"/>
    <w:rsid w:val="00511206"/>
    <w:rsid w:val="005113BC"/>
    <w:rsid w:val="00511480"/>
    <w:rsid w:val="00511658"/>
    <w:rsid w:val="00511713"/>
    <w:rsid w:val="005118CE"/>
    <w:rsid w:val="00512008"/>
    <w:rsid w:val="00512B02"/>
    <w:rsid w:val="005135A6"/>
    <w:rsid w:val="0051419A"/>
    <w:rsid w:val="005146E5"/>
    <w:rsid w:val="00514B12"/>
    <w:rsid w:val="00515300"/>
    <w:rsid w:val="005158BD"/>
    <w:rsid w:val="00515FD7"/>
    <w:rsid w:val="00516810"/>
    <w:rsid w:val="00516D62"/>
    <w:rsid w:val="00516DE0"/>
    <w:rsid w:val="00517495"/>
    <w:rsid w:val="005176E2"/>
    <w:rsid w:val="005179E8"/>
    <w:rsid w:val="005203BC"/>
    <w:rsid w:val="005203E4"/>
    <w:rsid w:val="00520573"/>
    <w:rsid w:val="00520B86"/>
    <w:rsid w:val="00520BB0"/>
    <w:rsid w:val="00520E08"/>
    <w:rsid w:val="00521898"/>
    <w:rsid w:val="00521E65"/>
    <w:rsid w:val="005221F3"/>
    <w:rsid w:val="005221F5"/>
    <w:rsid w:val="0052221E"/>
    <w:rsid w:val="00522433"/>
    <w:rsid w:val="005229A1"/>
    <w:rsid w:val="005236E3"/>
    <w:rsid w:val="005240BF"/>
    <w:rsid w:val="00524554"/>
    <w:rsid w:val="005245B6"/>
    <w:rsid w:val="00524698"/>
    <w:rsid w:val="005249B8"/>
    <w:rsid w:val="0052513F"/>
    <w:rsid w:val="005251CF"/>
    <w:rsid w:val="00525251"/>
    <w:rsid w:val="0052570E"/>
    <w:rsid w:val="0052570F"/>
    <w:rsid w:val="005258A1"/>
    <w:rsid w:val="00525989"/>
    <w:rsid w:val="00525BB4"/>
    <w:rsid w:val="00526765"/>
    <w:rsid w:val="005276A5"/>
    <w:rsid w:val="005279BF"/>
    <w:rsid w:val="00527B1A"/>
    <w:rsid w:val="005300AF"/>
    <w:rsid w:val="005304D6"/>
    <w:rsid w:val="0053054A"/>
    <w:rsid w:val="005309D6"/>
    <w:rsid w:val="00531328"/>
    <w:rsid w:val="00531760"/>
    <w:rsid w:val="00531A04"/>
    <w:rsid w:val="005320E7"/>
    <w:rsid w:val="0053238D"/>
    <w:rsid w:val="005325A0"/>
    <w:rsid w:val="005325C7"/>
    <w:rsid w:val="00533076"/>
    <w:rsid w:val="0053352B"/>
    <w:rsid w:val="0053357E"/>
    <w:rsid w:val="0053395E"/>
    <w:rsid w:val="00533BC2"/>
    <w:rsid w:val="00533BDD"/>
    <w:rsid w:val="00533CEB"/>
    <w:rsid w:val="0053450F"/>
    <w:rsid w:val="00534687"/>
    <w:rsid w:val="00534EBA"/>
    <w:rsid w:val="00534FDE"/>
    <w:rsid w:val="00535D0E"/>
    <w:rsid w:val="00536052"/>
    <w:rsid w:val="00536796"/>
    <w:rsid w:val="00536DA3"/>
    <w:rsid w:val="00537F73"/>
    <w:rsid w:val="00537FC3"/>
    <w:rsid w:val="00540819"/>
    <w:rsid w:val="00540929"/>
    <w:rsid w:val="00540CED"/>
    <w:rsid w:val="00540E6E"/>
    <w:rsid w:val="00541529"/>
    <w:rsid w:val="00541A6B"/>
    <w:rsid w:val="00541AD3"/>
    <w:rsid w:val="00541C97"/>
    <w:rsid w:val="00541EAA"/>
    <w:rsid w:val="00542365"/>
    <w:rsid w:val="005426B0"/>
    <w:rsid w:val="00542C6E"/>
    <w:rsid w:val="0054317D"/>
    <w:rsid w:val="0054326A"/>
    <w:rsid w:val="00544288"/>
    <w:rsid w:val="005446FC"/>
    <w:rsid w:val="00544843"/>
    <w:rsid w:val="00544964"/>
    <w:rsid w:val="00544C18"/>
    <w:rsid w:val="00544E7F"/>
    <w:rsid w:val="00544FA7"/>
    <w:rsid w:val="0054506E"/>
    <w:rsid w:val="005450CD"/>
    <w:rsid w:val="0054521A"/>
    <w:rsid w:val="00545250"/>
    <w:rsid w:val="005454F8"/>
    <w:rsid w:val="005455E8"/>
    <w:rsid w:val="005456EC"/>
    <w:rsid w:val="005459A7"/>
    <w:rsid w:val="00545B39"/>
    <w:rsid w:val="00545EB0"/>
    <w:rsid w:val="00545F9E"/>
    <w:rsid w:val="005461A4"/>
    <w:rsid w:val="005461B8"/>
    <w:rsid w:val="00546A7E"/>
    <w:rsid w:val="00546FD6"/>
    <w:rsid w:val="00547856"/>
    <w:rsid w:val="00547D46"/>
    <w:rsid w:val="00550262"/>
    <w:rsid w:val="005504E5"/>
    <w:rsid w:val="00550808"/>
    <w:rsid w:val="00550A82"/>
    <w:rsid w:val="00550ACF"/>
    <w:rsid w:val="00550AEA"/>
    <w:rsid w:val="00550C06"/>
    <w:rsid w:val="0055120A"/>
    <w:rsid w:val="0055164A"/>
    <w:rsid w:val="00551903"/>
    <w:rsid w:val="00551CE6"/>
    <w:rsid w:val="00551DD5"/>
    <w:rsid w:val="005523AF"/>
    <w:rsid w:val="00552DBA"/>
    <w:rsid w:val="0055321A"/>
    <w:rsid w:val="005534C9"/>
    <w:rsid w:val="0055361C"/>
    <w:rsid w:val="00553709"/>
    <w:rsid w:val="005538AE"/>
    <w:rsid w:val="00553A47"/>
    <w:rsid w:val="005545CE"/>
    <w:rsid w:val="00554E28"/>
    <w:rsid w:val="0055516D"/>
    <w:rsid w:val="00555770"/>
    <w:rsid w:val="005559AE"/>
    <w:rsid w:val="0055663C"/>
    <w:rsid w:val="005567BE"/>
    <w:rsid w:val="0055694A"/>
    <w:rsid w:val="00556B08"/>
    <w:rsid w:val="00556D65"/>
    <w:rsid w:val="005574D9"/>
    <w:rsid w:val="00557731"/>
    <w:rsid w:val="005577CA"/>
    <w:rsid w:val="0055791E"/>
    <w:rsid w:val="005579F3"/>
    <w:rsid w:val="00560052"/>
    <w:rsid w:val="0056011E"/>
    <w:rsid w:val="005608B3"/>
    <w:rsid w:val="00561086"/>
    <w:rsid w:val="0056109E"/>
    <w:rsid w:val="005610EB"/>
    <w:rsid w:val="0056156A"/>
    <w:rsid w:val="0056202B"/>
    <w:rsid w:val="005623DB"/>
    <w:rsid w:val="00562577"/>
    <w:rsid w:val="00562814"/>
    <w:rsid w:val="00562B4F"/>
    <w:rsid w:val="005634BE"/>
    <w:rsid w:val="005634FB"/>
    <w:rsid w:val="005638AC"/>
    <w:rsid w:val="00563E9E"/>
    <w:rsid w:val="00564540"/>
    <w:rsid w:val="005646D9"/>
    <w:rsid w:val="0056474B"/>
    <w:rsid w:val="00564B32"/>
    <w:rsid w:val="00564E6D"/>
    <w:rsid w:val="0056501B"/>
    <w:rsid w:val="005652D2"/>
    <w:rsid w:val="00565BD3"/>
    <w:rsid w:val="00565CDA"/>
    <w:rsid w:val="00565E30"/>
    <w:rsid w:val="00566180"/>
    <w:rsid w:val="005661B6"/>
    <w:rsid w:val="00566DC0"/>
    <w:rsid w:val="005673E4"/>
    <w:rsid w:val="00567D1A"/>
    <w:rsid w:val="00567EBE"/>
    <w:rsid w:val="0057019A"/>
    <w:rsid w:val="0057038D"/>
    <w:rsid w:val="00570955"/>
    <w:rsid w:val="005709BC"/>
    <w:rsid w:val="00570ACA"/>
    <w:rsid w:val="00570E02"/>
    <w:rsid w:val="0057150F"/>
    <w:rsid w:val="00571BE7"/>
    <w:rsid w:val="00571D73"/>
    <w:rsid w:val="00571F31"/>
    <w:rsid w:val="00572722"/>
    <w:rsid w:val="00572799"/>
    <w:rsid w:val="00572C1E"/>
    <w:rsid w:val="00572CE3"/>
    <w:rsid w:val="00572E06"/>
    <w:rsid w:val="00572ED5"/>
    <w:rsid w:val="00572F96"/>
    <w:rsid w:val="00573165"/>
    <w:rsid w:val="0057396B"/>
    <w:rsid w:val="005741CD"/>
    <w:rsid w:val="00574AF5"/>
    <w:rsid w:val="00574B14"/>
    <w:rsid w:val="00574C19"/>
    <w:rsid w:val="00574F49"/>
    <w:rsid w:val="00575039"/>
    <w:rsid w:val="00575115"/>
    <w:rsid w:val="005751F3"/>
    <w:rsid w:val="00575F70"/>
    <w:rsid w:val="00577631"/>
    <w:rsid w:val="00577670"/>
    <w:rsid w:val="00577C71"/>
    <w:rsid w:val="005801D9"/>
    <w:rsid w:val="005802D6"/>
    <w:rsid w:val="00580596"/>
    <w:rsid w:val="0058087D"/>
    <w:rsid w:val="00580AF8"/>
    <w:rsid w:val="00580C0F"/>
    <w:rsid w:val="00580C86"/>
    <w:rsid w:val="00580D9B"/>
    <w:rsid w:val="00581256"/>
    <w:rsid w:val="005817FF"/>
    <w:rsid w:val="00581901"/>
    <w:rsid w:val="00582CFC"/>
    <w:rsid w:val="00583A2F"/>
    <w:rsid w:val="0058429C"/>
    <w:rsid w:val="00584317"/>
    <w:rsid w:val="00584770"/>
    <w:rsid w:val="00584D34"/>
    <w:rsid w:val="00584DF8"/>
    <w:rsid w:val="00584E47"/>
    <w:rsid w:val="00585390"/>
    <w:rsid w:val="005856C3"/>
    <w:rsid w:val="005856E9"/>
    <w:rsid w:val="00585D62"/>
    <w:rsid w:val="0058607C"/>
    <w:rsid w:val="005864C1"/>
    <w:rsid w:val="00586523"/>
    <w:rsid w:val="0058666D"/>
    <w:rsid w:val="005867D8"/>
    <w:rsid w:val="005870E4"/>
    <w:rsid w:val="0058749F"/>
    <w:rsid w:val="00587822"/>
    <w:rsid w:val="00587EF5"/>
    <w:rsid w:val="00590048"/>
    <w:rsid w:val="00590B0B"/>
    <w:rsid w:val="00590EB2"/>
    <w:rsid w:val="0059188B"/>
    <w:rsid w:val="00591DD8"/>
    <w:rsid w:val="0059231F"/>
    <w:rsid w:val="00592580"/>
    <w:rsid w:val="00592770"/>
    <w:rsid w:val="00592788"/>
    <w:rsid w:val="00592A75"/>
    <w:rsid w:val="00592EF0"/>
    <w:rsid w:val="005939A5"/>
    <w:rsid w:val="00594C0B"/>
    <w:rsid w:val="00594D6A"/>
    <w:rsid w:val="00594E5F"/>
    <w:rsid w:val="0059526D"/>
    <w:rsid w:val="0059551B"/>
    <w:rsid w:val="005958AB"/>
    <w:rsid w:val="0059606B"/>
    <w:rsid w:val="00596073"/>
    <w:rsid w:val="00596176"/>
    <w:rsid w:val="005964D3"/>
    <w:rsid w:val="00596533"/>
    <w:rsid w:val="00596FD3"/>
    <w:rsid w:val="00597176"/>
    <w:rsid w:val="005A0166"/>
    <w:rsid w:val="005A04FB"/>
    <w:rsid w:val="005A0603"/>
    <w:rsid w:val="005A08C7"/>
    <w:rsid w:val="005A0E26"/>
    <w:rsid w:val="005A148C"/>
    <w:rsid w:val="005A1C4C"/>
    <w:rsid w:val="005A206E"/>
    <w:rsid w:val="005A2589"/>
    <w:rsid w:val="005A2616"/>
    <w:rsid w:val="005A2739"/>
    <w:rsid w:val="005A2833"/>
    <w:rsid w:val="005A2C00"/>
    <w:rsid w:val="005A2E27"/>
    <w:rsid w:val="005A3802"/>
    <w:rsid w:val="005A3994"/>
    <w:rsid w:val="005A3A1C"/>
    <w:rsid w:val="005A3A31"/>
    <w:rsid w:val="005A3A8F"/>
    <w:rsid w:val="005A3B5D"/>
    <w:rsid w:val="005A4135"/>
    <w:rsid w:val="005A43C5"/>
    <w:rsid w:val="005A4A70"/>
    <w:rsid w:val="005A4A86"/>
    <w:rsid w:val="005A5010"/>
    <w:rsid w:val="005A5135"/>
    <w:rsid w:val="005A5165"/>
    <w:rsid w:val="005A5245"/>
    <w:rsid w:val="005A53EB"/>
    <w:rsid w:val="005A544E"/>
    <w:rsid w:val="005A5700"/>
    <w:rsid w:val="005A5BA9"/>
    <w:rsid w:val="005A5E8D"/>
    <w:rsid w:val="005A616E"/>
    <w:rsid w:val="005A6350"/>
    <w:rsid w:val="005A640E"/>
    <w:rsid w:val="005A6EA5"/>
    <w:rsid w:val="005A6F29"/>
    <w:rsid w:val="005A6F57"/>
    <w:rsid w:val="005A77B3"/>
    <w:rsid w:val="005A7991"/>
    <w:rsid w:val="005A7E80"/>
    <w:rsid w:val="005B028C"/>
    <w:rsid w:val="005B05C0"/>
    <w:rsid w:val="005B084E"/>
    <w:rsid w:val="005B08EF"/>
    <w:rsid w:val="005B099D"/>
    <w:rsid w:val="005B198B"/>
    <w:rsid w:val="005B1AEF"/>
    <w:rsid w:val="005B208E"/>
    <w:rsid w:val="005B2250"/>
    <w:rsid w:val="005B2A0A"/>
    <w:rsid w:val="005B2AAB"/>
    <w:rsid w:val="005B2B34"/>
    <w:rsid w:val="005B2F99"/>
    <w:rsid w:val="005B30D1"/>
    <w:rsid w:val="005B33DC"/>
    <w:rsid w:val="005B3661"/>
    <w:rsid w:val="005B40AB"/>
    <w:rsid w:val="005B4722"/>
    <w:rsid w:val="005B5060"/>
    <w:rsid w:val="005B5318"/>
    <w:rsid w:val="005B534A"/>
    <w:rsid w:val="005B659C"/>
    <w:rsid w:val="005B6A61"/>
    <w:rsid w:val="005B6B5B"/>
    <w:rsid w:val="005B6B63"/>
    <w:rsid w:val="005B6D17"/>
    <w:rsid w:val="005B6E79"/>
    <w:rsid w:val="005C06C6"/>
    <w:rsid w:val="005C09EB"/>
    <w:rsid w:val="005C09F9"/>
    <w:rsid w:val="005C0E87"/>
    <w:rsid w:val="005C0EAD"/>
    <w:rsid w:val="005C14FC"/>
    <w:rsid w:val="005C15F0"/>
    <w:rsid w:val="005C181E"/>
    <w:rsid w:val="005C1E63"/>
    <w:rsid w:val="005C21BA"/>
    <w:rsid w:val="005C25CF"/>
    <w:rsid w:val="005C2A1C"/>
    <w:rsid w:val="005C2A70"/>
    <w:rsid w:val="005C2FB2"/>
    <w:rsid w:val="005C3107"/>
    <w:rsid w:val="005C41C1"/>
    <w:rsid w:val="005C425D"/>
    <w:rsid w:val="005C45FC"/>
    <w:rsid w:val="005C4AD1"/>
    <w:rsid w:val="005C4BDA"/>
    <w:rsid w:val="005C5269"/>
    <w:rsid w:val="005C5690"/>
    <w:rsid w:val="005C58FA"/>
    <w:rsid w:val="005C5BF3"/>
    <w:rsid w:val="005C5D19"/>
    <w:rsid w:val="005C5FD2"/>
    <w:rsid w:val="005C60E2"/>
    <w:rsid w:val="005C6CAD"/>
    <w:rsid w:val="005C7AE1"/>
    <w:rsid w:val="005C7EA8"/>
    <w:rsid w:val="005D0012"/>
    <w:rsid w:val="005D01B4"/>
    <w:rsid w:val="005D0478"/>
    <w:rsid w:val="005D0B54"/>
    <w:rsid w:val="005D0C3A"/>
    <w:rsid w:val="005D1021"/>
    <w:rsid w:val="005D114A"/>
    <w:rsid w:val="005D1AB6"/>
    <w:rsid w:val="005D1C69"/>
    <w:rsid w:val="005D250A"/>
    <w:rsid w:val="005D310A"/>
    <w:rsid w:val="005D33C0"/>
    <w:rsid w:val="005D35C4"/>
    <w:rsid w:val="005D35E9"/>
    <w:rsid w:val="005D4048"/>
    <w:rsid w:val="005D420F"/>
    <w:rsid w:val="005D52FC"/>
    <w:rsid w:val="005D5332"/>
    <w:rsid w:val="005D56B2"/>
    <w:rsid w:val="005D5850"/>
    <w:rsid w:val="005D5ADA"/>
    <w:rsid w:val="005D5B83"/>
    <w:rsid w:val="005D6549"/>
    <w:rsid w:val="005D6C5E"/>
    <w:rsid w:val="005D6CFD"/>
    <w:rsid w:val="005D6F06"/>
    <w:rsid w:val="005D786D"/>
    <w:rsid w:val="005D7C1B"/>
    <w:rsid w:val="005D7D6E"/>
    <w:rsid w:val="005E1800"/>
    <w:rsid w:val="005E18E2"/>
    <w:rsid w:val="005E207C"/>
    <w:rsid w:val="005E22E7"/>
    <w:rsid w:val="005E29A5"/>
    <w:rsid w:val="005E3133"/>
    <w:rsid w:val="005E32BB"/>
    <w:rsid w:val="005E3360"/>
    <w:rsid w:val="005E3595"/>
    <w:rsid w:val="005E3596"/>
    <w:rsid w:val="005E3ACE"/>
    <w:rsid w:val="005E41B6"/>
    <w:rsid w:val="005E4413"/>
    <w:rsid w:val="005E44FF"/>
    <w:rsid w:val="005E4D25"/>
    <w:rsid w:val="005E4DEF"/>
    <w:rsid w:val="005E4F0E"/>
    <w:rsid w:val="005E510B"/>
    <w:rsid w:val="005E5191"/>
    <w:rsid w:val="005E525F"/>
    <w:rsid w:val="005E53AF"/>
    <w:rsid w:val="005E541E"/>
    <w:rsid w:val="005E5E85"/>
    <w:rsid w:val="005E5FFB"/>
    <w:rsid w:val="005E60BA"/>
    <w:rsid w:val="005E6484"/>
    <w:rsid w:val="005E66E1"/>
    <w:rsid w:val="005E777B"/>
    <w:rsid w:val="005E7853"/>
    <w:rsid w:val="005E7F75"/>
    <w:rsid w:val="005F0762"/>
    <w:rsid w:val="005F079D"/>
    <w:rsid w:val="005F256E"/>
    <w:rsid w:val="005F2834"/>
    <w:rsid w:val="005F291F"/>
    <w:rsid w:val="005F2D45"/>
    <w:rsid w:val="005F2EC6"/>
    <w:rsid w:val="005F305A"/>
    <w:rsid w:val="005F338A"/>
    <w:rsid w:val="005F3607"/>
    <w:rsid w:val="005F37EE"/>
    <w:rsid w:val="005F3C25"/>
    <w:rsid w:val="005F3DAB"/>
    <w:rsid w:val="005F4568"/>
    <w:rsid w:val="005F4851"/>
    <w:rsid w:val="005F4DAA"/>
    <w:rsid w:val="005F4EFE"/>
    <w:rsid w:val="005F4FFC"/>
    <w:rsid w:val="005F57A9"/>
    <w:rsid w:val="005F5E49"/>
    <w:rsid w:val="005F61C6"/>
    <w:rsid w:val="005F622D"/>
    <w:rsid w:val="005F688A"/>
    <w:rsid w:val="005F727E"/>
    <w:rsid w:val="005F73F7"/>
    <w:rsid w:val="005F74A5"/>
    <w:rsid w:val="005F7940"/>
    <w:rsid w:val="005F7BDE"/>
    <w:rsid w:val="005F7EEF"/>
    <w:rsid w:val="00600059"/>
    <w:rsid w:val="0060057E"/>
    <w:rsid w:val="00600824"/>
    <w:rsid w:val="00600B65"/>
    <w:rsid w:val="00600EEB"/>
    <w:rsid w:val="00600F0B"/>
    <w:rsid w:val="0060164C"/>
    <w:rsid w:val="006022EE"/>
    <w:rsid w:val="0060259B"/>
    <w:rsid w:val="00602C18"/>
    <w:rsid w:val="00603124"/>
    <w:rsid w:val="00603200"/>
    <w:rsid w:val="006035BB"/>
    <w:rsid w:val="006039E6"/>
    <w:rsid w:val="00603A72"/>
    <w:rsid w:val="00603EF7"/>
    <w:rsid w:val="00603F17"/>
    <w:rsid w:val="006048F2"/>
    <w:rsid w:val="00604BE2"/>
    <w:rsid w:val="00605150"/>
    <w:rsid w:val="00605662"/>
    <w:rsid w:val="00605C49"/>
    <w:rsid w:val="00606214"/>
    <w:rsid w:val="00606237"/>
    <w:rsid w:val="00606701"/>
    <w:rsid w:val="00606D72"/>
    <w:rsid w:val="00607609"/>
    <w:rsid w:val="0061082B"/>
    <w:rsid w:val="00610B3E"/>
    <w:rsid w:val="0061137A"/>
    <w:rsid w:val="0061192A"/>
    <w:rsid w:val="00611FB2"/>
    <w:rsid w:val="006123A0"/>
    <w:rsid w:val="00612761"/>
    <w:rsid w:val="00613095"/>
    <w:rsid w:val="00613173"/>
    <w:rsid w:val="006131F8"/>
    <w:rsid w:val="00613675"/>
    <w:rsid w:val="00613BD4"/>
    <w:rsid w:val="00613E11"/>
    <w:rsid w:val="0061409D"/>
    <w:rsid w:val="006143FF"/>
    <w:rsid w:val="00614A84"/>
    <w:rsid w:val="00615141"/>
    <w:rsid w:val="006159B5"/>
    <w:rsid w:val="00615AB2"/>
    <w:rsid w:val="0061630C"/>
    <w:rsid w:val="00616BAD"/>
    <w:rsid w:val="00616F92"/>
    <w:rsid w:val="0061735D"/>
    <w:rsid w:val="006174A6"/>
    <w:rsid w:val="00617827"/>
    <w:rsid w:val="00617FBB"/>
    <w:rsid w:val="006205EB"/>
    <w:rsid w:val="006208EC"/>
    <w:rsid w:val="006215E0"/>
    <w:rsid w:val="00622147"/>
    <w:rsid w:val="006225FD"/>
    <w:rsid w:val="0062288D"/>
    <w:rsid w:val="00622F5D"/>
    <w:rsid w:val="00623BC4"/>
    <w:rsid w:val="00623D8B"/>
    <w:rsid w:val="00624083"/>
    <w:rsid w:val="006243B5"/>
    <w:rsid w:val="0062443C"/>
    <w:rsid w:val="006247D0"/>
    <w:rsid w:val="00624FE1"/>
    <w:rsid w:val="00625BB9"/>
    <w:rsid w:val="00625F45"/>
    <w:rsid w:val="006261A0"/>
    <w:rsid w:val="0062673A"/>
    <w:rsid w:val="00626AC2"/>
    <w:rsid w:val="006271C4"/>
    <w:rsid w:val="006271E7"/>
    <w:rsid w:val="00627CBE"/>
    <w:rsid w:val="00627CF7"/>
    <w:rsid w:val="00627E11"/>
    <w:rsid w:val="006301F1"/>
    <w:rsid w:val="0063064C"/>
    <w:rsid w:val="0063078E"/>
    <w:rsid w:val="0063078F"/>
    <w:rsid w:val="00630A1E"/>
    <w:rsid w:val="006312B0"/>
    <w:rsid w:val="006314FF"/>
    <w:rsid w:val="00631AAB"/>
    <w:rsid w:val="00631FC4"/>
    <w:rsid w:val="00632207"/>
    <w:rsid w:val="00632A1A"/>
    <w:rsid w:val="00632A34"/>
    <w:rsid w:val="00632DEC"/>
    <w:rsid w:val="0063374A"/>
    <w:rsid w:val="00633ABB"/>
    <w:rsid w:val="00633BF4"/>
    <w:rsid w:val="0063437C"/>
    <w:rsid w:val="0063439D"/>
    <w:rsid w:val="006346A8"/>
    <w:rsid w:val="00634872"/>
    <w:rsid w:val="0063491C"/>
    <w:rsid w:val="00634AA5"/>
    <w:rsid w:val="00634DAB"/>
    <w:rsid w:val="0063518C"/>
    <w:rsid w:val="00635894"/>
    <w:rsid w:val="00635B9C"/>
    <w:rsid w:val="00635E3B"/>
    <w:rsid w:val="00636140"/>
    <w:rsid w:val="00636397"/>
    <w:rsid w:val="006367E9"/>
    <w:rsid w:val="00636C4F"/>
    <w:rsid w:val="006370B5"/>
    <w:rsid w:val="00637170"/>
    <w:rsid w:val="00637244"/>
    <w:rsid w:val="006372E7"/>
    <w:rsid w:val="006372FD"/>
    <w:rsid w:val="00637FFB"/>
    <w:rsid w:val="0064000B"/>
    <w:rsid w:val="00640567"/>
    <w:rsid w:val="006406DB"/>
    <w:rsid w:val="006406E8"/>
    <w:rsid w:val="00640D2E"/>
    <w:rsid w:val="0064124D"/>
    <w:rsid w:val="00641A4F"/>
    <w:rsid w:val="00642695"/>
    <w:rsid w:val="00642D85"/>
    <w:rsid w:val="0064329F"/>
    <w:rsid w:val="00643462"/>
    <w:rsid w:val="00643D7F"/>
    <w:rsid w:val="00643DA0"/>
    <w:rsid w:val="00644238"/>
    <w:rsid w:val="006444CA"/>
    <w:rsid w:val="006445C0"/>
    <w:rsid w:val="006452CD"/>
    <w:rsid w:val="00645321"/>
    <w:rsid w:val="0064532D"/>
    <w:rsid w:val="006453FD"/>
    <w:rsid w:val="00645634"/>
    <w:rsid w:val="00645710"/>
    <w:rsid w:val="00645800"/>
    <w:rsid w:val="0064584E"/>
    <w:rsid w:val="00645E1C"/>
    <w:rsid w:val="00646696"/>
    <w:rsid w:val="00646E39"/>
    <w:rsid w:val="0065013B"/>
    <w:rsid w:val="0065031F"/>
    <w:rsid w:val="006507F9"/>
    <w:rsid w:val="006508B7"/>
    <w:rsid w:val="0065106F"/>
    <w:rsid w:val="0065127F"/>
    <w:rsid w:val="00651ADB"/>
    <w:rsid w:val="006522F6"/>
    <w:rsid w:val="0065269D"/>
    <w:rsid w:val="006526C1"/>
    <w:rsid w:val="00653079"/>
    <w:rsid w:val="00653354"/>
    <w:rsid w:val="00653889"/>
    <w:rsid w:val="00653B04"/>
    <w:rsid w:val="00653BED"/>
    <w:rsid w:val="006540C9"/>
    <w:rsid w:val="00654165"/>
    <w:rsid w:val="00654E0D"/>
    <w:rsid w:val="0065500B"/>
    <w:rsid w:val="0065500C"/>
    <w:rsid w:val="006550EE"/>
    <w:rsid w:val="006551A4"/>
    <w:rsid w:val="006553EC"/>
    <w:rsid w:val="00655F29"/>
    <w:rsid w:val="00656332"/>
    <w:rsid w:val="006564A6"/>
    <w:rsid w:val="0065676A"/>
    <w:rsid w:val="00656853"/>
    <w:rsid w:val="00656A42"/>
    <w:rsid w:val="00656AF4"/>
    <w:rsid w:val="00656D5B"/>
    <w:rsid w:val="00656FF3"/>
    <w:rsid w:val="00657320"/>
    <w:rsid w:val="006601B9"/>
    <w:rsid w:val="0066048F"/>
    <w:rsid w:val="006608CD"/>
    <w:rsid w:val="006608D7"/>
    <w:rsid w:val="00660BE5"/>
    <w:rsid w:val="006612E4"/>
    <w:rsid w:val="006612EE"/>
    <w:rsid w:val="00661842"/>
    <w:rsid w:val="00661A03"/>
    <w:rsid w:val="00661AFE"/>
    <w:rsid w:val="006624F9"/>
    <w:rsid w:val="00662C82"/>
    <w:rsid w:val="0066312C"/>
    <w:rsid w:val="00663DAD"/>
    <w:rsid w:val="00663E79"/>
    <w:rsid w:val="0066426D"/>
    <w:rsid w:val="0066438A"/>
    <w:rsid w:val="006643AE"/>
    <w:rsid w:val="00664BCB"/>
    <w:rsid w:val="00664F1F"/>
    <w:rsid w:val="00664F35"/>
    <w:rsid w:val="006668D5"/>
    <w:rsid w:val="0066692B"/>
    <w:rsid w:val="00666A42"/>
    <w:rsid w:val="00667058"/>
    <w:rsid w:val="006678F7"/>
    <w:rsid w:val="00667EFA"/>
    <w:rsid w:val="00670087"/>
    <w:rsid w:val="006706E3"/>
    <w:rsid w:val="0067074B"/>
    <w:rsid w:val="00670A62"/>
    <w:rsid w:val="00670C32"/>
    <w:rsid w:val="00670D45"/>
    <w:rsid w:val="00670EF6"/>
    <w:rsid w:val="006711C0"/>
    <w:rsid w:val="006713F9"/>
    <w:rsid w:val="00671504"/>
    <w:rsid w:val="00671643"/>
    <w:rsid w:val="006720F7"/>
    <w:rsid w:val="00672104"/>
    <w:rsid w:val="00672310"/>
    <w:rsid w:val="00672313"/>
    <w:rsid w:val="0067238A"/>
    <w:rsid w:val="006723A7"/>
    <w:rsid w:val="00672533"/>
    <w:rsid w:val="00672818"/>
    <w:rsid w:val="00672D75"/>
    <w:rsid w:val="00673216"/>
    <w:rsid w:val="0067335F"/>
    <w:rsid w:val="00673A9D"/>
    <w:rsid w:val="00673E8D"/>
    <w:rsid w:val="00673FD0"/>
    <w:rsid w:val="006741FA"/>
    <w:rsid w:val="0067462E"/>
    <w:rsid w:val="00674AF7"/>
    <w:rsid w:val="00674E1D"/>
    <w:rsid w:val="006752B1"/>
    <w:rsid w:val="006753F2"/>
    <w:rsid w:val="006754C1"/>
    <w:rsid w:val="006755D6"/>
    <w:rsid w:val="00675BC4"/>
    <w:rsid w:val="006761B7"/>
    <w:rsid w:val="006761D3"/>
    <w:rsid w:val="006764B5"/>
    <w:rsid w:val="00676A13"/>
    <w:rsid w:val="00676BC2"/>
    <w:rsid w:val="00677454"/>
    <w:rsid w:val="00677C3C"/>
    <w:rsid w:val="00677FC6"/>
    <w:rsid w:val="00680154"/>
    <w:rsid w:val="0068029A"/>
    <w:rsid w:val="00680558"/>
    <w:rsid w:val="00680682"/>
    <w:rsid w:val="00680EB4"/>
    <w:rsid w:val="00680F19"/>
    <w:rsid w:val="006814F7"/>
    <w:rsid w:val="00681621"/>
    <w:rsid w:val="00681F6C"/>
    <w:rsid w:val="00681FD6"/>
    <w:rsid w:val="00682375"/>
    <w:rsid w:val="006827D2"/>
    <w:rsid w:val="00682C11"/>
    <w:rsid w:val="00682E4A"/>
    <w:rsid w:val="00682F25"/>
    <w:rsid w:val="00683398"/>
    <w:rsid w:val="006836A8"/>
    <w:rsid w:val="00685101"/>
    <w:rsid w:val="00685A32"/>
    <w:rsid w:val="0068615B"/>
    <w:rsid w:val="006861B3"/>
    <w:rsid w:val="00686531"/>
    <w:rsid w:val="0068666E"/>
    <w:rsid w:val="006868A1"/>
    <w:rsid w:val="00686B98"/>
    <w:rsid w:val="00686E6D"/>
    <w:rsid w:val="00687285"/>
    <w:rsid w:val="00687553"/>
    <w:rsid w:val="00687678"/>
    <w:rsid w:val="006877ED"/>
    <w:rsid w:val="00687B68"/>
    <w:rsid w:val="00687B71"/>
    <w:rsid w:val="00687B8E"/>
    <w:rsid w:val="00687D25"/>
    <w:rsid w:val="0069047B"/>
    <w:rsid w:val="0069058A"/>
    <w:rsid w:val="006906E1"/>
    <w:rsid w:val="006907F3"/>
    <w:rsid w:val="006912CA"/>
    <w:rsid w:val="006915D7"/>
    <w:rsid w:val="00691632"/>
    <w:rsid w:val="006916EC"/>
    <w:rsid w:val="00691F15"/>
    <w:rsid w:val="00692C01"/>
    <w:rsid w:val="00693CCC"/>
    <w:rsid w:val="00693E43"/>
    <w:rsid w:val="00694C89"/>
    <w:rsid w:val="00694CAD"/>
    <w:rsid w:val="0069501A"/>
    <w:rsid w:val="006957CE"/>
    <w:rsid w:val="00695BF2"/>
    <w:rsid w:val="00695F81"/>
    <w:rsid w:val="00695FCF"/>
    <w:rsid w:val="00696085"/>
    <w:rsid w:val="006960FD"/>
    <w:rsid w:val="00697489"/>
    <w:rsid w:val="00697C6C"/>
    <w:rsid w:val="00697C77"/>
    <w:rsid w:val="006A055D"/>
    <w:rsid w:val="006A09A4"/>
    <w:rsid w:val="006A0D44"/>
    <w:rsid w:val="006A13DB"/>
    <w:rsid w:val="006A228D"/>
    <w:rsid w:val="006A24C1"/>
    <w:rsid w:val="006A2C86"/>
    <w:rsid w:val="006A2F71"/>
    <w:rsid w:val="006A4152"/>
    <w:rsid w:val="006A44E8"/>
    <w:rsid w:val="006A47B4"/>
    <w:rsid w:val="006A47D8"/>
    <w:rsid w:val="006A4DD0"/>
    <w:rsid w:val="006A5402"/>
    <w:rsid w:val="006A541A"/>
    <w:rsid w:val="006A5514"/>
    <w:rsid w:val="006A5F05"/>
    <w:rsid w:val="006A610C"/>
    <w:rsid w:val="006A6131"/>
    <w:rsid w:val="006A676E"/>
    <w:rsid w:val="006A6B05"/>
    <w:rsid w:val="006A6BEB"/>
    <w:rsid w:val="006A7391"/>
    <w:rsid w:val="006A766A"/>
    <w:rsid w:val="006A7C8F"/>
    <w:rsid w:val="006A7EC2"/>
    <w:rsid w:val="006A7FB0"/>
    <w:rsid w:val="006B00BB"/>
    <w:rsid w:val="006B0195"/>
    <w:rsid w:val="006B01C1"/>
    <w:rsid w:val="006B037B"/>
    <w:rsid w:val="006B0A8D"/>
    <w:rsid w:val="006B0C47"/>
    <w:rsid w:val="006B14BF"/>
    <w:rsid w:val="006B1551"/>
    <w:rsid w:val="006B1F85"/>
    <w:rsid w:val="006B218F"/>
    <w:rsid w:val="006B21D6"/>
    <w:rsid w:val="006B2354"/>
    <w:rsid w:val="006B291B"/>
    <w:rsid w:val="006B306F"/>
    <w:rsid w:val="006B3CB1"/>
    <w:rsid w:val="006B3CF7"/>
    <w:rsid w:val="006B3E97"/>
    <w:rsid w:val="006B3F0F"/>
    <w:rsid w:val="006B47C0"/>
    <w:rsid w:val="006B4AAC"/>
    <w:rsid w:val="006B4C57"/>
    <w:rsid w:val="006B4DB5"/>
    <w:rsid w:val="006B4EEE"/>
    <w:rsid w:val="006B50FE"/>
    <w:rsid w:val="006B572B"/>
    <w:rsid w:val="006B62D7"/>
    <w:rsid w:val="006B68F7"/>
    <w:rsid w:val="006B6A6E"/>
    <w:rsid w:val="006B71CF"/>
    <w:rsid w:val="006C0570"/>
    <w:rsid w:val="006C099E"/>
    <w:rsid w:val="006C0AC9"/>
    <w:rsid w:val="006C0ED6"/>
    <w:rsid w:val="006C0FDF"/>
    <w:rsid w:val="006C1341"/>
    <w:rsid w:val="006C1351"/>
    <w:rsid w:val="006C1473"/>
    <w:rsid w:val="006C16E6"/>
    <w:rsid w:val="006C1818"/>
    <w:rsid w:val="006C1A7D"/>
    <w:rsid w:val="006C1B6E"/>
    <w:rsid w:val="006C1CCB"/>
    <w:rsid w:val="006C1E72"/>
    <w:rsid w:val="006C1F10"/>
    <w:rsid w:val="006C2000"/>
    <w:rsid w:val="006C2201"/>
    <w:rsid w:val="006C244B"/>
    <w:rsid w:val="006C25AE"/>
    <w:rsid w:val="006C31EE"/>
    <w:rsid w:val="006C34EB"/>
    <w:rsid w:val="006C39D7"/>
    <w:rsid w:val="006C39E3"/>
    <w:rsid w:val="006C3BDC"/>
    <w:rsid w:val="006C4264"/>
    <w:rsid w:val="006C4496"/>
    <w:rsid w:val="006C449B"/>
    <w:rsid w:val="006C46F5"/>
    <w:rsid w:val="006C4CB0"/>
    <w:rsid w:val="006C548B"/>
    <w:rsid w:val="006C5907"/>
    <w:rsid w:val="006C6003"/>
    <w:rsid w:val="006C669A"/>
    <w:rsid w:val="006C6B37"/>
    <w:rsid w:val="006C6BFF"/>
    <w:rsid w:val="006C6CE2"/>
    <w:rsid w:val="006C6DF7"/>
    <w:rsid w:val="006C6E62"/>
    <w:rsid w:val="006C6F8B"/>
    <w:rsid w:val="006C7729"/>
    <w:rsid w:val="006C7957"/>
    <w:rsid w:val="006C7AE2"/>
    <w:rsid w:val="006C7B18"/>
    <w:rsid w:val="006C7C02"/>
    <w:rsid w:val="006C7C1D"/>
    <w:rsid w:val="006D009F"/>
    <w:rsid w:val="006D03A7"/>
    <w:rsid w:val="006D04BC"/>
    <w:rsid w:val="006D0718"/>
    <w:rsid w:val="006D0895"/>
    <w:rsid w:val="006D0B3D"/>
    <w:rsid w:val="006D119E"/>
    <w:rsid w:val="006D1623"/>
    <w:rsid w:val="006D1F26"/>
    <w:rsid w:val="006D23BB"/>
    <w:rsid w:val="006D2652"/>
    <w:rsid w:val="006D27E1"/>
    <w:rsid w:val="006D2CC4"/>
    <w:rsid w:val="006D2D00"/>
    <w:rsid w:val="006D39A9"/>
    <w:rsid w:val="006D3B3A"/>
    <w:rsid w:val="006D405F"/>
    <w:rsid w:val="006D4179"/>
    <w:rsid w:val="006D4D44"/>
    <w:rsid w:val="006D508F"/>
    <w:rsid w:val="006D5C3E"/>
    <w:rsid w:val="006D6050"/>
    <w:rsid w:val="006D6299"/>
    <w:rsid w:val="006D635F"/>
    <w:rsid w:val="006D6395"/>
    <w:rsid w:val="006D680B"/>
    <w:rsid w:val="006D736D"/>
    <w:rsid w:val="006D75CA"/>
    <w:rsid w:val="006D7C06"/>
    <w:rsid w:val="006D7CA0"/>
    <w:rsid w:val="006D7EA1"/>
    <w:rsid w:val="006E0F39"/>
    <w:rsid w:val="006E1642"/>
    <w:rsid w:val="006E175C"/>
    <w:rsid w:val="006E17E0"/>
    <w:rsid w:val="006E1CC4"/>
    <w:rsid w:val="006E1DD4"/>
    <w:rsid w:val="006E1E97"/>
    <w:rsid w:val="006E1F13"/>
    <w:rsid w:val="006E20CA"/>
    <w:rsid w:val="006E2F4D"/>
    <w:rsid w:val="006E3457"/>
    <w:rsid w:val="006E36E5"/>
    <w:rsid w:val="006E39CC"/>
    <w:rsid w:val="006E3AB4"/>
    <w:rsid w:val="006E446E"/>
    <w:rsid w:val="006E44B4"/>
    <w:rsid w:val="006E461C"/>
    <w:rsid w:val="006E4805"/>
    <w:rsid w:val="006E4B76"/>
    <w:rsid w:val="006E4D42"/>
    <w:rsid w:val="006E5930"/>
    <w:rsid w:val="006E5E28"/>
    <w:rsid w:val="006E5FC6"/>
    <w:rsid w:val="006E6023"/>
    <w:rsid w:val="006E615D"/>
    <w:rsid w:val="006E6555"/>
    <w:rsid w:val="006E6574"/>
    <w:rsid w:val="006E676C"/>
    <w:rsid w:val="006E6C14"/>
    <w:rsid w:val="006E71BE"/>
    <w:rsid w:val="006E742D"/>
    <w:rsid w:val="006E7B14"/>
    <w:rsid w:val="006F0100"/>
    <w:rsid w:val="006F049E"/>
    <w:rsid w:val="006F0D23"/>
    <w:rsid w:val="006F0F34"/>
    <w:rsid w:val="006F1222"/>
    <w:rsid w:val="006F1371"/>
    <w:rsid w:val="006F1FD5"/>
    <w:rsid w:val="006F229F"/>
    <w:rsid w:val="006F24A8"/>
    <w:rsid w:val="006F2561"/>
    <w:rsid w:val="006F2CD1"/>
    <w:rsid w:val="006F2D35"/>
    <w:rsid w:val="006F3624"/>
    <w:rsid w:val="006F374F"/>
    <w:rsid w:val="006F3A23"/>
    <w:rsid w:val="006F3B90"/>
    <w:rsid w:val="006F3CC4"/>
    <w:rsid w:val="006F4658"/>
    <w:rsid w:val="006F51B7"/>
    <w:rsid w:val="006F5AA3"/>
    <w:rsid w:val="006F5B6C"/>
    <w:rsid w:val="006F5D82"/>
    <w:rsid w:val="006F6127"/>
    <w:rsid w:val="006F620C"/>
    <w:rsid w:val="006F668C"/>
    <w:rsid w:val="006F6C74"/>
    <w:rsid w:val="006F716E"/>
    <w:rsid w:val="006F7694"/>
    <w:rsid w:val="006F775B"/>
    <w:rsid w:val="006F7F08"/>
    <w:rsid w:val="007000CC"/>
    <w:rsid w:val="00700867"/>
    <w:rsid w:val="00700B58"/>
    <w:rsid w:val="007010D8"/>
    <w:rsid w:val="0070140C"/>
    <w:rsid w:val="007015E4"/>
    <w:rsid w:val="00701951"/>
    <w:rsid w:val="007019A7"/>
    <w:rsid w:val="00701DE5"/>
    <w:rsid w:val="00702D6F"/>
    <w:rsid w:val="00702DF1"/>
    <w:rsid w:val="0070303A"/>
    <w:rsid w:val="0070314F"/>
    <w:rsid w:val="00703CFD"/>
    <w:rsid w:val="00703F83"/>
    <w:rsid w:val="007041B1"/>
    <w:rsid w:val="007042C6"/>
    <w:rsid w:val="00704418"/>
    <w:rsid w:val="007044DE"/>
    <w:rsid w:val="00704FFE"/>
    <w:rsid w:val="00705342"/>
    <w:rsid w:val="00705B6C"/>
    <w:rsid w:val="00705C63"/>
    <w:rsid w:val="007061E4"/>
    <w:rsid w:val="007063F6"/>
    <w:rsid w:val="00706786"/>
    <w:rsid w:val="00706951"/>
    <w:rsid w:val="00706A87"/>
    <w:rsid w:val="00706AA0"/>
    <w:rsid w:val="00706CBD"/>
    <w:rsid w:val="00706DA5"/>
    <w:rsid w:val="00706F1A"/>
    <w:rsid w:val="007071D0"/>
    <w:rsid w:val="00707B45"/>
    <w:rsid w:val="00707DEB"/>
    <w:rsid w:val="00707FA0"/>
    <w:rsid w:val="00710697"/>
    <w:rsid w:val="007111E8"/>
    <w:rsid w:val="00711226"/>
    <w:rsid w:val="00711237"/>
    <w:rsid w:val="007113C7"/>
    <w:rsid w:val="0071151D"/>
    <w:rsid w:val="00711C1E"/>
    <w:rsid w:val="00712537"/>
    <w:rsid w:val="00712DB2"/>
    <w:rsid w:val="00712E38"/>
    <w:rsid w:val="00712EAF"/>
    <w:rsid w:val="007139E1"/>
    <w:rsid w:val="00713E2A"/>
    <w:rsid w:val="00714CF2"/>
    <w:rsid w:val="00714D50"/>
    <w:rsid w:val="007153D9"/>
    <w:rsid w:val="007156B9"/>
    <w:rsid w:val="007156EE"/>
    <w:rsid w:val="007157F6"/>
    <w:rsid w:val="007159A6"/>
    <w:rsid w:val="00715A9F"/>
    <w:rsid w:val="00715B2C"/>
    <w:rsid w:val="00715DA0"/>
    <w:rsid w:val="00715E3C"/>
    <w:rsid w:val="00716198"/>
    <w:rsid w:val="007165B9"/>
    <w:rsid w:val="00717137"/>
    <w:rsid w:val="00717448"/>
    <w:rsid w:val="00717904"/>
    <w:rsid w:val="007179F7"/>
    <w:rsid w:val="00717CD1"/>
    <w:rsid w:val="00717DEE"/>
    <w:rsid w:val="00717E40"/>
    <w:rsid w:val="007200F6"/>
    <w:rsid w:val="00720632"/>
    <w:rsid w:val="00720817"/>
    <w:rsid w:val="0072127D"/>
    <w:rsid w:val="007213DB"/>
    <w:rsid w:val="007214CD"/>
    <w:rsid w:val="0072205E"/>
    <w:rsid w:val="007223C8"/>
    <w:rsid w:val="00722407"/>
    <w:rsid w:val="00722673"/>
    <w:rsid w:val="00722850"/>
    <w:rsid w:val="007229E1"/>
    <w:rsid w:val="00722AE8"/>
    <w:rsid w:val="00722E87"/>
    <w:rsid w:val="00722F89"/>
    <w:rsid w:val="00723F1E"/>
    <w:rsid w:val="007249A0"/>
    <w:rsid w:val="00724F51"/>
    <w:rsid w:val="007251C6"/>
    <w:rsid w:val="00725E11"/>
    <w:rsid w:val="0072641B"/>
    <w:rsid w:val="00727279"/>
    <w:rsid w:val="0072765D"/>
    <w:rsid w:val="00727B7A"/>
    <w:rsid w:val="00727DAA"/>
    <w:rsid w:val="0073092A"/>
    <w:rsid w:val="00730DF7"/>
    <w:rsid w:val="00730E0B"/>
    <w:rsid w:val="00730F52"/>
    <w:rsid w:val="00731185"/>
    <w:rsid w:val="0073152D"/>
    <w:rsid w:val="00731753"/>
    <w:rsid w:val="007326D9"/>
    <w:rsid w:val="00732CAF"/>
    <w:rsid w:val="00732E52"/>
    <w:rsid w:val="0073353F"/>
    <w:rsid w:val="007336AC"/>
    <w:rsid w:val="007342FC"/>
    <w:rsid w:val="00734571"/>
    <w:rsid w:val="00734F72"/>
    <w:rsid w:val="0073516A"/>
    <w:rsid w:val="00735377"/>
    <w:rsid w:val="007355EA"/>
    <w:rsid w:val="00735A40"/>
    <w:rsid w:val="00735A91"/>
    <w:rsid w:val="00735AAF"/>
    <w:rsid w:val="00736345"/>
    <w:rsid w:val="00736441"/>
    <w:rsid w:val="00736B20"/>
    <w:rsid w:val="00737518"/>
    <w:rsid w:val="00737624"/>
    <w:rsid w:val="0073772D"/>
    <w:rsid w:val="00737C5F"/>
    <w:rsid w:val="007400A5"/>
    <w:rsid w:val="00740516"/>
    <w:rsid w:val="00740537"/>
    <w:rsid w:val="007405A7"/>
    <w:rsid w:val="00740AE0"/>
    <w:rsid w:val="00740C3E"/>
    <w:rsid w:val="00740C8D"/>
    <w:rsid w:val="007412C5"/>
    <w:rsid w:val="007413A2"/>
    <w:rsid w:val="007416E4"/>
    <w:rsid w:val="00741AD9"/>
    <w:rsid w:val="007426BF"/>
    <w:rsid w:val="00742CCD"/>
    <w:rsid w:val="00742D80"/>
    <w:rsid w:val="00742E45"/>
    <w:rsid w:val="007430F0"/>
    <w:rsid w:val="007430FC"/>
    <w:rsid w:val="00743242"/>
    <w:rsid w:val="00743506"/>
    <w:rsid w:val="00743739"/>
    <w:rsid w:val="007437B9"/>
    <w:rsid w:val="0074392A"/>
    <w:rsid w:val="00743C5B"/>
    <w:rsid w:val="0074432D"/>
    <w:rsid w:val="007445CB"/>
    <w:rsid w:val="007447AF"/>
    <w:rsid w:val="00744D28"/>
    <w:rsid w:val="0074512C"/>
    <w:rsid w:val="00745437"/>
    <w:rsid w:val="00745AFA"/>
    <w:rsid w:val="007464F3"/>
    <w:rsid w:val="00746701"/>
    <w:rsid w:val="00746BD2"/>
    <w:rsid w:val="00746CF2"/>
    <w:rsid w:val="00746D89"/>
    <w:rsid w:val="00747010"/>
    <w:rsid w:val="007472DF"/>
    <w:rsid w:val="00747307"/>
    <w:rsid w:val="00747464"/>
    <w:rsid w:val="00747690"/>
    <w:rsid w:val="00747920"/>
    <w:rsid w:val="007501E9"/>
    <w:rsid w:val="007504F3"/>
    <w:rsid w:val="00750816"/>
    <w:rsid w:val="00750D4C"/>
    <w:rsid w:val="00750F1C"/>
    <w:rsid w:val="007510D4"/>
    <w:rsid w:val="007511D3"/>
    <w:rsid w:val="00751814"/>
    <w:rsid w:val="007520EA"/>
    <w:rsid w:val="007523FC"/>
    <w:rsid w:val="00752A58"/>
    <w:rsid w:val="00752D10"/>
    <w:rsid w:val="007532A8"/>
    <w:rsid w:val="0075335E"/>
    <w:rsid w:val="00753884"/>
    <w:rsid w:val="00753C6C"/>
    <w:rsid w:val="00753ECC"/>
    <w:rsid w:val="00753FB7"/>
    <w:rsid w:val="007541BF"/>
    <w:rsid w:val="00754875"/>
    <w:rsid w:val="00754976"/>
    <w:rsid w:val="0075499F"/>
    <w:rsid w:val="00754DC7"/>
    <w:rsid w:val="00754F3D"/>
    <w:rsid w:val="007550BF"/>
    <w:rsid w:val="00755388"/>
    <w:rsid w:val="00755407"/>
    <w:rsid w:val="00755465"/>
    <w:rsid w:val="007554AC"/>
    <w:rsid w:val="00756274"/>
    <w:rsid w:val="007562AA"/>
    <w:rsid w:val="00756686"/>
    <w:rsid w:val="007567E8"/>
    <w:rsid w:val="0075686A"/>
    <w:rsid w:val="00756A56"/>
    <w:rsid w:val="00756B80"/>
    <w:rsid w:val="00757380"/>
    <w:rsid w:val="00757A33"/>
    <w:rsid w:val="00757CC1"/>
    <w:rsid w:val="007601F6"/>
    <w:rsid w:val="00760ED5"/>
    <w:rsid w:val="0076107A"/>
    <w:rsid w:val="007615EE"/>
    <w:rsid w:val="007616F7"/>
    <w:rsid w:val="007618B9"/>
    <w:rsid w:val="0076230D"/>
    <w:rsid w:val="00762D0A"/>
    <w:rsid w:val="00762DE6"/>
    <w:rsid w:val="00762EAA"/>
    <w:rsid w:val="00763069"/>
    <w:rsid w:val="0076324A"/>
    <w:rsid w:val="0076344E"/>
    <w:rsid w:val="00763584"/>
    <w:rsid w:val="00763651"/>
    <w:rsid w:val="007638D1"/>
    <w:rsid w:val="00764565"/>
    <w:rsid w:val="00764735"/>
    <w:rsid w:val="00764844"/>
    <w:rsid w:val="00764EB6"/>
    <w:rsid w:val="00765335"/>
    <w:rsid w:val="007657C1"/>
    <w:rsid w:val="00765A94"/>
    <w:rsid w:val="00765BC4"/>
    <w:rsid w:val="00765DC7"/>
    <w:rsid w:val="0076624C"/>
    <w:rsid w:val="0076662C"/>
    <w:rsid w:val="007666A4"/>
    <w:rsid w:val="0076754B"/>
    <w:rsid w:val="0076788D"/>
    <w:rsid w:val="00767AB8"/>
    <w:rsid w:val="007704E4"/>
    <w:rsid w:val="007706C3"/>
    <w:rsid w:val="007709F4"/>
    <w:rsid w:val="00770AF3"/>
    <w:rsid w:val="0077161D"/>
    <w:rsid w:val="0077176C"/>
    <w:rsid w:val="007719C6"/>
    <w:rsid w:val="00771D19"/>
    <w:rsid w:val="007720E1"/>
    <w:rsid w:val="0077225C"/>
    <w:rsid w:val="007722AB"/>
    <w:rsid w:val="00772483"/>
    <w:rsid w:val="00772786"/>
    <w:rsid w:val="00772C07"/>
    <w:rsid w:val="00773070"/>
    <w:rsid w:val="007734A7"/>
    <w:rsid w:val="00773536"/>
    <w:rsid w:val="007736EB"/>
    <w:rsid w:val="00773963"/>
    <w:rsid w:val="00773DB5"/>
    <w:rsid w:val="0077402F"/>
    <w:rsid w:val="0077423D"/>
    <w:rsid w:val="0077458D"/>
    <w:rsid w:val="007746D9"/>
    <w:rsid w:val="0077481E"/>
    <w:rsid w:val="00774837"/>
    <w:rsid w:val="0077484D"/>
    <w:rsid w:val="00774A97"/>
    <w:rsid w:val="007750BA"/>
    <w:rsid w:val="007757DA"/>
    <w:rsid w:val="007764C4"/>
    <w:rsid w:val="0077730B"/>
    <w:rsid w:val="0077755F"/>
    <w:rsid w:val="0077CCDC"/>
    <w:rsid w:val="007802CC"/>
    <w:rsid w:val="0078035B"/>
    <w:rsid w:val="007803B1"/>
    <w:rsid w:val="00780477"/>
    <w:rsid w:val="00780BD9"/>
    <w:rsid w:val="00780CBF"/>
    <w:rsid w:val="00780D0A"/>
    <w:rsid w:val="00780FD0"/>
    <w:rsid w:val="007815D0"/>
    <w:rsid w:val="007817AD"/>
    <w:rsid w:val="00781B30"/>
    <w:rsid w:val="00781CA8"/>
    <w:rsid w:val="00781CEC"/>
    <w:rsid w:val="00781E49"/>
    <w:rsid w:val="00781FA8"/>
    <w:rsid w:val="0078212E"/>
    <w:rsid w:val="007829F0"/>
    <w:rsid w:val="00782B31"/>
    <w:rsid w:val="00782D11"/>
    <w:rsid w:val="007830A3"/>
    <w:rsid w:val="0078313E"/>
    <w:rsid w:val="00783208"/>
    <w:rsid w:val="00783291"/>
    <w:rsid w:val="00784691"/>
    <w:rsid w:val="00784695"/>
    <w:rsid w:val="007846CC"/>
    <w:rsid w:val="007849FC"/>
    <w:rsid w:val="00784E2B"/>
    <w:rsid w:val="00785184"/>
    <w:rsid w:val="007854B3"/>
    <w:rsid w:val="007858F2"/>
    <w:rsid w:val="00785B01"/>
    <w:rsid w:val="00786A49"/>
    <w:rsid w:val="00786B7F"/>
    <w:rsid w:val="00786F16"/>
    <w:rsid w:val="00786FA5"/>
    <w:rsid w:val="0078700A"/>
    <w:rsid w:val="0078740E"/>
    <w:rsid w:val="00787650"/>
    <w:rsid w:val="007877A9"/>
    <w:rsid w:val="00787889"/>
    <w:rsid w:val="00787CBD"/>
    <w:rsid w:val="00787F5E"/>
    <w:rsid w:val="0079015D"/>
    <w:rsid w:val="00790908"/>
    <w:rsid w:val="00790B23"/>
    <w:rsid w:val="00790E7B"/>
    <w:rsid w:val="007925DC"/>
    <w:rsid w:val="00793970"/>
    <w:rsid w:val="00793CCE"/>
    <w:rsid w:val="00793D99"/>
    <w:rsid w:val="00794110"/>
    <w:rsid w:val="007941C9"/>
    <w:rsid w:val="007942B5"/>
    <w:rsid w:val="00794310"/>
    <w:rsid w:val="007943A0"/>
    <w:rsid w:val="0079445D"/>
    <w:rsid w:val="00794A71"/>
    <w:rsid w:val="00794E20"/>
    <w:rsid w:val="00795106"/>
    <w:rsid w:val="00795444"/>
    <w:rsid w:val="00795C28"/>
    <w:rsid w:val="00796533"/>
    <w:rsid w:val="00796CC7"/>
    <w:rsid w:val="00797444"/>
    <w:rsid w:val="007979A6"/>
    <w:rsid w:val="00797DF7"/>
    <w:rsid w:val="007A0521"/>
    <w:rsid w:val="007A08C7"/>
    <w:rsid w:val="007A09E5"/>
    <w:rsid w:val="007A101C"/>
    <w:rsid w:val="007A150B"/>
    <w:rsid w:val="007A1835"/>
    <w:rsid w:val="007A1854"/>
    <w:rsid w:val="007A196C"/>
    <w:rsid w:val="007A20D6"/>
    <w:rsid w:val="007A21F2"/>
    <w:rsid w:val="007A25F5"/>
    <w:rsid w:val="007A3514"/>
    <w:rsid w:val="007A365A"/>
    <w:rsid w:val="007A36E2"/>
    <w:rsid w:val="007A3A15"/>
    <w:rsid w:val="007A3CC9"/>
    <w:rsid w:val="007A3E4B"/>
    <w:rsid w:val="007A406D"/>
    <w:rsid w:val="007A4737"/>
    <w:rsid w:val="007A4A20"/>
    <w:rsid w:val="007A4A34"/>
    <w:rsid w:val="007A4C77"/>
    <w:rsid w:val="007A4F26"/>
    <w:rsid w:val="007A507C"/>
    <w:rsid w:val="007A5422"/>
    <w:rsid w:val="007A5658"/>
    <w:rsid w:val="007A6117"/>
    <w:rsid w:val="007A62B0"/>
    <w:rsid w:val="007A7429"/>
    <w:rsid w:val="007A7858"/>
    <w:rsid w:val="007A7BC3"/>
    <w:rsid w:val="007A7C60"/>
    <w:rsid w:val="007B005A"/>
    <w:rsid w:val="007B09C9"/>
    <w:rsid w:val="007B0E09"/>
    <w:rsid w:val="007B10C1"/>
    <w:rsid w:val="007B1101"/>
    <w:rsid w:val="007B1729"/>
    <w:rsid w:val="007B1C0B"/>
    <w:rsid w:val="007B1DC7"/>
    <w:rsid w:val="007B1F17"/>
    <w:rsid w:val="007B2BDC"/>
    <w:rsid w:val="007B33AF"/>
    <w:rsid w:val="007B33B3"/>
    <w:rsid w:val="007B3520"/>
    <w:rsid w:val="007B3693"/>
    <w:rsid w:val="007B39E1"/>
    <w:rsid w:val="007B3BF0"/>
    <w:rsid w:val="007B3C1C"/>
    <w:rsid w:val="007B3DE2"/>
    <w:rsid w:val="007B4191"/>
    <w:rsid w:val="007B426E"/>
    <w:rsid w:val="007B442C"/>
    <w:rsid w:val="007B4B78"/>
    <w:rsid w:val="007B4C8D"/>
    <w:rsid w:val="007B4F91"/>
    <w:rsid w:val="007B5262"/>
    <w:rsid w:val="007B549A"/>
    <w:rsid w:val="007B634D"/>
    <w:rsid w:val="007B6B1F"/>
    <w:rsid w:val="007B6B6F"/>
    <w:rsid w:val="007B6CA0"/>
    <w:rsid w:val="007B6CE5"/>
    <w:rsid w:val="007B6D70"/>
    <w:rsid w:val="007B6D8D"/>
    <w:rsid w:val="007B6E12"/>
    <w:rsid w:val="007B6E6F"/>
    <w:rsid w:val="007B6FE6"/>
    <w:rsid w:val="007B7D33"/>
    <w:rsid w:val="007C0E00"/>
    <w:rsid w:val="007C1674"/>
    <w:rsid w:val="007C1790"/>
    <w:rsid w:val="007C1C08"/>
    <w:rsid w:val="007C1F99"/>
    <w:rsid w:val="007C221B"/>
    <w:rsid w:val="007C24D6"/>
    <w:rsid w:val="007C268C"/>
    <w:rsid w:val="007C281F"/>
    <w:rsid w:val="007C28C5"/>
    <w:rsid w:val="007C2F18"/>
    <w:rsid w:val="007C340A"/>
    <w:rsid w:val="007C375A"/>
    <w:rsid w:val="007C377B"/>
    <w:rsid w:val="007C3C56"/>
    <w:rsid w:val="007C3EC3"/>
    <w:rsid w:val="007C4C6F"/>
    <w:rsid w:val="007C5957"/>
    <w:rsid w:val="007C5A0C"/>
    <w:rsid w:val="007C65A6"/>
    <w:rsid w:val="007C662F"/>
    <w:rsid w:val="007C677B"/>
    <w:rsid w:val="007C6CA1"/>
    <w:rsid w:val="007C6D2F"/>
    <w:rsid w:val="007C71B3"/>
    <w:rsid w:val="007D0768"/>
    <w:rsid w:val="007D07F7"/>
    <w:rsid w:val="007D0941"/>
    <w:rsid w:val="007D0948"/>
    <w:rsid w:val="007D1352"/>
    <w:rsid w:val="007D18B8"/>
    <w:rsid w:val="007D1CA2"/>
    <w:rsid w:val="007D25A6"/>
    <w:rsid w:val="007D28C1"/>
    <w:rsid w:val="007D2BB3"/>
    <w:rsid w:val="007D2E08"/>
    <w:rsid w:val="007D2F8A"/>
    <w:rsid w:val="007D3066"/>
    <w:rsid w:val="007D3224"/>
    <w:rsid w:val="007D36F3"/>
    <w:rsid w:val="007D3882"/>
    <w:rsid w:val="007D3ACC"/>
    <w:rsid w:val="007D3DAE"/>
    <w:rsid w:val="007D3FDF"/>
    <w:rsid w:val="007D4213"/>
    <w:rsid w:val="007D4301"/>
    <w:rsid w:val="007D49A5"/>
    <w:rsid w:val="007D4E4B"/>
    <w:rsid w:val="007D5C9C"/>
    <w:rsid w:val="007D6C2F"/>
    <w:rsid w:val="007D71A4"/>
    <w:rsid w:val="007D7211"/>
    <w:rsid w:val="007D733F"/>
    <w:rsid w:val="007D7406"/>
    <w:rsid w:val="007D76B9"/>
    <w:rsid w:val="007D7BD2"/>
    <w:rsid w:val="007D7EEC"/>
    <w:rsid w:val="007E0135"/>
    <w:rsid w:val="007E0B18"/>
    <w:rsid w:val="007E0CA0"/>
    <w:rsid w:val="007E0D44"/>
    <w:rsid w:val="007E0FEE"/>
    <w:rsid w:val="007E1080"/>
    <w:rsid w:val="007E1232"/>
    <w:rsid w:val="007E1815"/>
    <w:rsid w:val="007E181E"/>
    <w:rsid w:val="007E1968"/>
    <w:rsid w:val="007E1CB2"/>
    <w:rsid w:val="007E1F7C"/>
    <w:rsid w:val="007E2185"/>
    <w:rsid w:val="007E2447"/>
    <w:rsid w:val="007E2947"/>
    <w:rsid w:val="007E2B64"/>
    <w:rsid w:val="007E3196"/>
    <w:rsid w:val="007E3A11"/>
    <w:rsid w:val="007E493F"/>
    <w:rsid w:val="007E4BC0"/>
    <w:rsid w:val="007E5059"/>
    <w:rsid w:val="007E5208"/>
    <w:rsid w:val="007E5AE3"/>
    <w:rsid w:val="007E5B6A"/>
    <w:rsid w:val="007E5F92"/>
    <w:rsid w:val="007E61D1"/>
    <w:rsid w:val="007E6507"/>
    <w:rsid w:val="007E6545"/>
    <w:rsid w:val="007E6669"/>
    <w:rsid w:val="007E6C1A"/>
    <w:rsid w:val="007E74E0"/>
    <w:rsid w:val="007E7907"/>
    <w:rsid w:val="007E7ACD"/>
    <w:rsid w:val="007F05E2"/>
    <w:rsid w:val="007F0C78"/>
    <w:rsid w:val="007F16B1"/>
    <w:rsid w:val="007F173A"/>
    <w:rsid w:val="007F1CE6"/>
    <w:rsid w:val="007F1F2C"/>
    <w:rsid w:val="007F2017"/>
    <w:rsid w:val="007F21C6"/>
    <w:rsid w:val="007F2A73"/>
    <w:rsid w:val="007F2F93"/>
    <w:rsid w:val="007F3143"/>
    <w:rsid w:val="007F31A5"/>
    <w:rsid w:val="007F3C0C"/>
    <w:rsid w:val="007F4938"/>
    <w:rsid w:val="007F50F5"/>
    <w:rsid w:val="007F511D"/>
    <w:rsid w:val="007F5A9F"/>
    <w:rsid w:val="007F5E60"/>
    <w:rsid w:val="007F63CB"/>
    <w:rsid w:val="007F64C1"/>
    <w:rsid w:val="007F6754"/>
    <w:rsid w:val="007F697E"/>
    <w:rsid w:val="007F69CE"/>
    <w:rsid w:val="007F6E21"/>
    <w:rsid w:val="007F6E7D"/>
    <w:rsid w:val="007F761C"/>
    <w:rsid w:val="007F780D"/>
    <w:rsid w:val="00800182"/>
    <w:rsid w:val="00800727"/>
    <w:rsid w:val="00800CE9"/>
    <w:rsid w:val="00801589"/>
    <w:rsid w:val="0080161C"/>
    <w:rsid w:val="00801759"/>
    <w:rsid w:val="00801ACA"/>
    <w:rsid w:val="00801FFA"/>
    <w:rsid w:val="00802992"/>
    <w:rsid w:val="00803196"/>
    <w:rsid w:val="00803274"/>
    <w:rsid w:val="00803537"/>
    <w:rsid w:val="0080367A"/>
    <w:rsid w:val="008046E6"/>
    <w:rsid w:val="00804A57"/>
    <w:rsid w:val="00804BB3"/>
    <w:rsid w:val="0080530F"/>
    <w:rsid w:val="008054D8"/>
    <w:rsid w:val="00805510"/>
    <w:rsid w:val="00805830"/>
    <w:rsid w:val="008058F5"/>
    <w:rsid w:val="00805AFF"/>
    <w:rsid w:val="00806278"/>
    <w:rsid w:val="00806282"/>
    <w:rsid w:val="008063D0"/>
    <w:rsid w:val="00806563"/>
    <w:rsid w:val="00806778"/>
    <w:rsid w:val="00806878"/>
    <w:rsid w:val="00806F29"/>
    <w:rsid w:val="00806FBF"/>
    <w:rsid w:val="008072A2"/>
    <w:rsid w:val="008079DC"/>
    <w:rsid w:val="00807C3D"/>
    <w:rsid w:val="008102B4"/>
    <w:rsid w:val="008102F7"/>
    <w:rsid w:val="00810487"/>
    <w:rsid w:val="00810637"/>
    <w:rsid w:val="008106F1"/>
    <w:rsid w:val="008108BF"/>
    <w:rsid w:val="00810A59"/>
    <w:rsid w:val="00811143"/>
    <w:rsid w:val="008112DE"/>
    <w:rsid w:val="00811748"/>
    <w:rsid w:val="00811D8A"/>
    <w:rsid w:val="0081296E"/>
    <w:rsid w:val="00812F53"/>
    <w:rsid w:val="0081361D"/>
    <w:rsid w:val="008136E5"/>
    <w:rsid w:val="00813E97"/>
    <w:rsid w:val="00814367"/>
    <w:rsid w:val="008143F2"/>
    <w:rsid w:val="00814A0A"/>
    <w:rsid w:val="00814A9F"/>
    <w:rsid w:val="00814B6D"/>
    <w:rsid w:val="00814C93"/>
    <w:rsid w:val="008153C7"/>
    <w:rsid w:val="008159CF"/>
    <w:rsid w:val="00815CF2"/>
    <w:rsid w:val="00815FE3"/>
    <w:rsid w:val="008163AC"/>
    <w:rsid w:val="00816B91"/>
    <w:rsid w:val="00816D2E"/>
    <w:rsid w:val="00816D62"/>
    <w:rsid w:val="00816E05"/>
    <w:rsid w:val="008174EA"/>
    <w:rsid w:val="008178AD"/>
    <w:rsid w:val="00817B10"/>
    <w:rsid w:val="00817D6C"/>
    <w:rsid w:val="008203A0"/>
    <w:rsid w:val="00820A8E"/>
    <w:rsid w:val="00821432"/>
    <w:rsid w:val="0082189B"/>
    <w:rsid w:val="00822068"/>
    <w:rsid w:val="008221B3"/>
    <w:rsid w:val="0082240F"/>
    <w:rsid w:val="0082252F"/>
    <w:rsid w:val="0082340F"/>
    <w:rsid w:val="00823619"/>
    <w:rsid w:val="008238F0"/>
    <w:rsid w:val="00823B8D"/>
    <w:rsid w:val="0082537D"/>
    <w:rsid w:val="008254B5"/>
    <w:rsid w:val="00825AE7"/>
    <w:rsid w:val="00825DF9"/>
    <w:rsid w:val="008262A5"/>
    <w:rsid w:val="00826733"/>
    <w:rsid w:val="0082675D"/>
    <w:rsid w:val="00826BCF"/>
    <w:rsid w:val="00826C11"/>
    <w:rsid w:val="00826D29"/>
    <w:rsid w:val="00826EB0"/>
    <w:rsid w:val="00826F2C"/>
    <w:rsid w:val="008274AC"/>
    <w:rsid w:val="008275FF"/>
    <w:rsid w:val="00827D4A"/>
    <w:rsid w:val="0083021A"/>
    <w:rsid w:val="0083038B"/>
    <w:rsid w:val="00830A49"/>
    <w:rsid w:val="00830AE8"/>
    <w:rsid w:val="00831131"/>
    <w:rsid w:val="00831F7C"/>
    <w:rsid w:val="00832422"/>
    <w:rsid w:val="0083243A"/>
    <w:rsid w:val="00832522"/>
    <w:rsid w:val="008326C7"/>
    <w:rsid w:val="00832AEE"/>
    <w:rsid w:val="00833088"/>
    <w:rsid w:val="008339BB"/>
    <w:rsid w:val="00833B98"/>
    <w:rsid w:val="00833FFD"/>
    <w:rsid w:val="00834145"/>
    <w:rsid w:val="00834595"/>
    <w:rsid w:val="00834BFD"/>
    <w:rsid w:val="00834DA9"/>
    <w:rsid w:val="0083522B"/>
    <w:rsid w:val="00835335"/>
    <w:rsid w:val="0083545B"/>
    <w:rsid w:val="0083561E"/>
    <w:rsid w:val="00835D49"/>
    <w:rsid w:val="008360DD"/>
    <w:rsid w:val="0083645D"/>
    <w:rsid w:val="008367AD"/>
    <w:rsid w:val="00836DF7"/>
    <w:rsid w:val="008371B5"/>
    <w:rsid w:val="008374DB"/>
    <w:rsid w:val="00837537"/>
    <w:rsid w:val="008375E2"/>
    <w:rsid w:val="00837B3D"/>
    <w:rsid w:val="008403D4"/>
    <w:rsid w:val="00840A6A"/>
    <w:rsid w:val="00840BB4"/>
    <w:rsid w:val="0084111D"/>
    <w:rsid w:val="00841A46"/>
    <w:rsid w:val="008420E0"/>
    <w:rsid w:val="0084218E"/>
    <w:rsid w:val="008423E5"/>
    <w:rsid w:val="00843684"/>
    <w:rsid w:val="00843C05"/>
    <w:rsid w:val="00843E2D"/>
    <w:rsid w:val="00844649"/>
    <w:rsid w:val="008448CD"/>
    <w:rsid w:val="00845207"/>
    <w:rsid w:val="008464AD"/>
    <w:rsid w:val="00846565"/>
    <w:rsid w:val="00846A27"/>
    <w:rsid w:val="00846D16"/>
    <w:rsid w:val="00847215"/>
    <w:rsid w:val="008474B6"/>
    <w:rsid w:val="0084766D"/>
    <w:rsid w:val="00847750"/>
    <w:rsid w:val="00847E74"/>
    <w:rsid w:val="00847E7D"/>
    <w:rsid w:val="00847ECE"/>
    <w:rsid w:val="0085006A"/>
    <w:rsid w:val="0085013B"/>
    <w:rsid w:val="008508AA"/>
    <w:rsid w:val="00850A21"/>
    <w:rsid w:val="00850DA4"/>
    <w:rsid w:val="008510BB"/>
    <w:rsid w:val="008514FE"/>
    <w:rsid w:val="00851584"/>
    <w:rsid w:val="00851A11"/>
    <w:rsid w:val="00851DCB"/>
    <w:rsid w:val="00851F47"/>
    <w:rsid w:val="00851F58"/>
    <w:rsid w:val="00852071"/>
    <w:rsid w:val="00852255"/>
    <w:rsid w:val="00852A22"/>
    <w:rsid w:val="00852BB0"/>
    <w:rsid w:val="0085306F"/>
    <w:rsid w:val="008531ED"/>
    <w:rsid w:val="008532B4"/>
    <w:rsid w:val="008537DD"/>
    <w:rsid w:val="0085381B"/>
    <w:rsid w:val="00853A85"/>
    <w:rsid w:val="00853B0A"/>
    <w:rsid w:val="00854481"/>
    <w:rsid w:val="008544F4"/>
    <w:rsid w:val="00854623"/>
    <w:rsid w:val="00854FE0"/>
    <w:rsid w:val="00855204"/>
    <w:rsid w:val="00855E90"/>
    <w:rsid w:val="00856376"/>
    <w:rsid w:val="008564D9"/>
    <w:rsid w:val="0085661C"/>
    <w:rsid w:val="00856909"/>
    <w:rsid w:val="00856E72"/>
    <w:rsid w:val="00856F44"/>
    <w:rsid w:val="008572AF"/>
    <w:rsid w:val="008572C1"/>
    <w:rsid w:val="00860160"/>
    <w:rsid w:val="008604C1"/>
    <w:rsid w:val="0086055C"/>
    <w:rsid w:val="008608D6"/>
    <w:rsid w:val="00860C3D"/>
    <w:rsid w:val="00860EA9"/>
    <w:rsid w:val="00860FC2"/>
    <w:rsid w:val="00861432"/>
    <w:rsid w:val="0086166F"/>
    <w:rsid w:val="008618C5"/>
    <w:rsid w:val="00861CB8"/>
    <w:rsid w:val="00861E2F"/>
    <w:rsid w:val="00861F28"/>
    <w:rsid w:val="008623E6"/>
    <w:rsid w:val="00862488"/>
    <w:rsid w:val="008633AB"/>
    <w:rsid w:val="00863546"/>
    <w:rsid w:val="00863967"/>
    <w:rsid w:val="00863AF3"/>
    <w:rsid w:val="00863B51"/>
    <w:rsid w:val="00863C6A"/>
    <w:rsid w:val="00863E64"/>
    <w:rsid w:val="0086419A"/>
    <w:rsid w:val="00864572"/>
    <w:rsid w:val="00864F73"/>
    <w:rsid w:val="00865102"/>
    <w:rsid w:val="00865302"/>
    <w:rsid w:val="00865606"/>
    <w:rsid w:val="008656FB"/>
    <w:rsid w:val="00865AAB"/>
    <w:rsid w:val="008665DF"/>
    <w:rsid w:val="00866C23"/>
    <w:rsid w:val="00866D85"/>
    <w:rsid w:val="0086717D"/>
    <w:rsid w:val="0086767A"/>
    <w:rsid w:val="00867776"/>
    <w:rsid w:val="0087023B"/>
    <w:rsid w:val="008705EF"/>
    <w:rsid w:val="00870B4E"/>
    <w:rsid w:val="00870D4F"/>
    <w:rsid w:val="008711FE"/>
    <w:rsid w:val="008714D8"/>
    <w:rsid w:val="00871669"/>
    <w:rsid w:val="00871C33"/>
    <w:rsid w:val="00871C52"/>
    <w:rsid w:val="00871DD8"/>
    <w:rsid w:val="00871F29"/>
    <w:rsid w:val="0087207C"/>
    <w:rsid w:val="0087248F"/>
    <w:rsid w:val="00872509"/>
    <w:rsid w:val="008725A5"/>
    <w:rsid w:val="00872C4D"/>
    <w:rsid w:val="008734CD"/>
    <w:rsid w:val="00873662"/>
    <w:rsid w:val="008736D3"/>
    <w:rsid w:val="00874252"/>
    <w:rsid w:val="00874C93"/>
    <w:rsid w:val="0087558E"/>
    <w:rsid w:val="008756FA"/>
    <w:rsid w:val="00875CEA"/>
    <w:rsid w:val="008763C1"/>
    <w:rsid w:val="00876B4B"/>
    <w:rsid w:val="00877088"/>
    <w:rsid w:val="00880815"/>
    <w:rsid w:val="0088084F"/>
    <w:rsid w:val="00880971"/>
    <w:rsid w:val="00880B1B"/>
    <w:rsid w:val="00880F2D"/>
    <w:rsid w:val="00881FEF"/>
    <w:rsid w:val="00882113"/>
    <w:rsid w:val="00882925"/>
    <w:rsid w:val="00883A16"/>
    <w:rsid w:val="00883D58"/>
    <w:rsid w:val="00883D5B"/>
    <w:rsid w:val="008847C7"/>
    <w:rsid w:val="008849FA"/>
    <w:rsid w:val="00884A3F"/>
    <w:rsid w:val="00884EAA"/>
    <w:rsid w:val="0088518F"/>
    <w:rsid w:val="008852BD"/>
    <w:rsid w:val="00885395"/>
    <w:rsid w:val="0088545E"/>
    <w:rsid w:val="008860D1"/>
    <w:rsid w:val="008864F9"/>
    <w:rsid w:val="0088685C"/>
    <w:rsid w:val="008871A5"/>
    <w:rsid w:val="0088754A"/>
    <w:rsid w:val="00887C51"/>
    <w:rsid w:val="00887E89"/>
    <w:rsid w:val="00887ED6"/>
    <w:rsid w:val="0089047B"/>
    <w:rsid w:val="00891540"/>
    <w:rsid w:val="00891C36"/>
    <w:rsid w:val="00891CBD"/>
    <w:rsid w:val="00892246"/>
    <w:rsid w:val="0089233C"/>
    <w:rsid w:val="00892B4B"/>
    <w:rsid w:val="008930E0"/>
    <w:rsid w:val="008932C8"/>
    <w:rsid w:val="00893A27"/>
    <w:rsid w:val="00893F4F"/>
    <w:rsid w:val="00893F96"/>
    <w:rsid w:val="00894213"/>
    <w:rsid w:val="0089432F"/>
    <w:rsid w:val="00894529"/>
    <w:rsid w:val="00894627"/>
    <w:rsid w:val="008947CB"/>
    <w:rsid w:val="0089496A"/>
    <w:rsid w:val="00894A15"/>
    <w:rsid w:val="008955DD"/>
    <w:rsid w:val="008955F5"/>
    <w:rsid w:val="00895630"/>
    <w:rsid w:val="00895850"/>
    <w:rsid w:val="00895E90"/>
    <w:rsid w:val="00896672"/>
    <w:rsid w:val="00896832"/>
    <w:rsid w:val="00896B1D"/>
    <w:rsid w:val="00896BCA"/>
    <w:rsid w:val="00896F1E"/>
    <w:rsid w:val="00897174"/>
    <w:rsid w:val="0089722E"/>
    <w:rsid w:val="00897BD4"/>
    <w:rsid w:val="008A07D2"/>
    <w:rsid w:val="008A0B61"/>
    <w:rsid w:val="008A0E2F"/>
    <w:rsid w:val="008A128C"/>
    <w:rsid w:val="008A179F"/>
    <w:rsid w:val="008A1870"/>
    <w:rsid w:val="008A196A"/>
    <w:rsid w:val="008A1A3C"/>
    <w:rsid w:val="008A1E09"/>
    <w:rsid w:val="008A1EC2"/>
    <w:rsid w:val="008A2091"/>
    <w:rsid w:val="008A21D4"/>
    <w:rsid w:val="008A2E93"/>
    <w:rsid w:val="008A30CC"/>
    <w:rsid w:val="008A37D9"/>
    <w:rsid w:val="008A4164"/>
    <w:rsid w:val="008A427D"/>
    <w:rsid w:val="008A4567"/>
    <w:rsid w:val="008A45E6"/>
    <w:rsid w:val="008A4BF7"/>
    <w:rsid w:val="008A4BFB"/>
    <w:rsid w:val="008A4CE2"/>
    <w:rsid w:val="008A4D53"/>
    <w:rsid w:val="008A4E63"/>
    <w:rsid w:val="008A4EDF"/>
    <w:rsid w:val="008A4F72"/>
    <w:rsid w:val="008A571B"/>
    <w:rsid w:val="008A5B00"/>
    <w:rsid w:val="008A5F28"/>
    <w:rsid w:val="008A5FAB"/>
    <w:rsid w:val="008A680A"/>
    <w:rsid w:val="008A7278"/>
    <w:rsid w:val="008A7A89"/>
    <w:rsid w:val="008A7D01"/>
    <w:rsid w:val="008A7E44"/>
    <w:rsid w:val="008B02FD"/>
    <w:rsid w:val="008B0814"/>
    <w:rsid w:val="008B0864"/>
    <w:rsid w:val="008B0E9D"/>
    <w:rsid w:val="008B1046"/>
    <w:rsid w:val="008B12D2"/>
    <w:rsid w:val="008B13A4"/>
    <w:rsid w:val="008B179D"/>
    <w:rsid w:val="008B1AF1"/>
    <w:rsid w:val="008B1BF4"/>
    <w:rsid w:val="008B2354"/>
    <w:rsid w:val="008B279D"/>
    <w:rsid w:val="008B2859"/>
    <w:rsid w:val="008B2DF7"/>
    <w:rsid w:val="008B31AE"/>
    <w:rsid w:val="008B33AC"/>
    <w:rsid w:val="008B3445"/>
    <w:rsid w:val="008B34BB"/>
    <w:rsid w:val="008B37F6"/>
    <w:rsid w:val="008B3818"/>
    <w:rsid w:val="008B3D4D"/>
    <w:rsid w:val="008B422F"/>
    <w:rsid w:val="008B51EF"/>
    <w:rsid w:val="008B570F"/>
    <w:rsid w:val="008B5E46"/>
    <w:rsid w:val="008B5F3D"/>
    <w:rsid w:val="008B5FAE"/>
    <w:rsid w:val="008B5FEE"/>
    <w:rsid w:val="008B63B1"/>
    <w:rsid w:val="008B671B"/>
    <w:rsid w:val="008B69DB"/>
    <w:rsid w:val="008B6BE6"/>
    <w:rsid w:val="008B6C71"/>
    <w:rsid w:val="008B6C74"/>
    <w:rsid w:val="008B7084"/>
    <w:rsid w:val="008B7141"/>
    <w:rsid w:val="008B730B"/>
    <w:rsid w:val="008B7ABF"/>
    <w:rsid w:val="008C03A2"/>
    <w:rsid w:val="008C0462"/>
    <w:rsid w:val="008C04FA"/>
    <w:rsid w:val="008C05C0"/>
    <w:rsid w:val="008C07B2"/>
    <w:rsid w:val="008C09DB"/>
    <w:rsid w:val="008C0C40"/>
    <w:rsid w:val="008C0EF3"/>
    <w:rsid w:val="008C1382"/>
    <w:rsid w:val="008C2322"/>
    <w:rsid w:val="008C23C3"/>
    <w:rsid w:val="008C2BD9"/>
    <w:rsid w:val="008C2D05"/>
    <w:rsid w:val="008C2E2D"/>
    <w:rsid w:val="008C3574"/>
    <w:rsid w:val="008C3E2D"/>
    <w:rsid w:val="008C41C4"/>
    <w:rsid w:val="008C4641"/>
    <w:rsid w:val="008C48AF"/>
    <w:rsid w:val="008C4CF8"/>
    <w:rsid w:val="008C5207"/>
    <w:rsid w:val="008C568D"/>
    <w:rsid w:val="008C5B8B"/>
    <w:rsid w:val="008C5FF7"/>
    <w:rsid w:val="008C6A4B"/>
    <w:rsid w:val="008C6F60"/>
    <w:rsid w:val="008C6F9E"/>
    <w:rsid w:val="008C724B"/>
    <w:rsid w:val="008C7413"/>
    <w:rsid w:val="008C7467"/>
    <w:rsid w:val="008C7795"/>
    <w:rsid w:val="008C77B6"/>
    <w:rsid w:val="008C79A4"/>
    <w:rsid w:val="008C7AE8"/>
    <w:rsid w:val="008C7D89"/>
    <w:rsid w:val="008D08E4"/>
    <w:rsid w:val="008D094E"/>
    <w:rsid w:val="008D0C37"/>
    <w:rsid w:val="008D16B7"/>
    <w:rsid w:val="008D1B1C"/>
    <w:rsid w:val="008D1CA3"/>
    <w:rsid w:val="008D2207"/>
    <w:rsid w:val="008D2651"/>
    <w:rsid w:val="008D2712"/>
    <w:rsid w:val="008D2ED1"/>
    <w:rsid w:val="008D3504"/>
    <w:rsid w:val="008D3DFD"/>
    <w:rsid w:val="008D40DC"/>
    <w:rsid w:val="008D4909"/>
    <w:rsid w:val="008D49FC"/>
    <w:rsid w:val="008D52A0"/>
    <w:rsid w:val="008D52EA"/>
    <w:rsid w:val="008D5A6E"/>
    <w:rsid w:val="008D5CC7"/>
    <w:rsid w:val="008D617E"/>
    <w:rsid w:val="008D6735"/>
    <w:rsid w:val="008D69CA"/>
    <w:rsid w:val="008E016A"/>
    <w:rsid w:val="008E0528"/>
    <w:rsid w:val="008E0B77"/>
    <w:rsid w:val="008E113C"/>
    <w:rsid w:val="008E1861"/>
    <w:rsid w:val="008E1CF1"/>
    <w:rsid w:val="008E1F1A"/>
    <w:rsid w:val="008E210E"/>
    <w:rsid w:val="008E224F"/>
    <w:rsid w:val="008E27BC"/>
    <w:rsid w:val="008E2984"/>
    <w:rsid w:val="008E2DB9"/>
    <w:rsid w:val="008E339E"/>
    <w:rsid w:val="008E33BC"/>
    <w:rsid w:val="008E3889"/>
    <w:rsid w:val="008E39F0"/>
    <w:rsid w:val="008E3F70"/>
    <w:rsid w:val="008E3FA5"/>
    <w:rsid w:val="008E42E9"/>
    <w:rsid w:val="008E56DF"/>
    <w:rsid w:val="008E57E9"/>
    <w:rsid w:val="008E61E5"/>
    <w:rsid w:val="008E62A2"/>
    <w:rsid w:val="008E6760"/>
    <w:rsid w:val="008E67BF"/>
    <w:rsid w:val="008E6AE6"/>
    <w:rsid w:val="008E6E2F"/>
    <w:rsid w:val="008E6F8E"/>
    <w:rsid w:val="008E74D7"/>
    <w:rsid w:val="008E7627"/>
    <w:rsid w:val="008E78E9"/>
    <w:rsid w:val="008E78EB"/>
    <w:rsid w:val="008E7A51"/>
    <w:rsid w:val="008E7D39"/>
    <w:rsid w:val="008F0116"/>
    <w:rsid w:val="008F040E"/>
    <w:rsid w:val="008F07D4"/>
    <w:rsid w:val="008F0BA5"/>
    <w:rsid w:val="008F109C"/>
    <w:rsid w:val="008F1301"/>
    <w:rsid w:val="008F143D"/>
    <w:rsid w:val="008F16A1"/>
    <w:rsid w:val="008F1754"/>
    <w:rsid w:val="008F1C0F"/>
    <w:rsid w:val="008F1DB1"/>
    <w:rsid w:val="008F2058"/>
    <w:rsid w:val="008F20A8"/>
    <w:rsid w:val="008F2177"/>
    <w:rsid w:val="008F2D23"/>
    <w:rsid w:val="008F3342"/>
    <w:rsid w:val="008F3719"/>
    <w:rsid w:val="008F376C"/>
    <w:rsid w:val="008F37DD"/>
    <w:rsid w:val="008F3A43"/>
    <w:rsid w:val="008F3A45"/>
    <w:rsid w:val="008F3A7B"/>
    <w:rsid w:val="008F3C3B"/>
    <w:rsid w:val="008F3D8A"/>
    <w:rsid w:val="008F49BF"/>
    <w:rsid w:val="008F4BAD"/>
    <w:rsid w:val="008F5A30"/>
    <w:rsid w:val="008F5DBB"/>
    <w:rsid w:val="008F6163"/>
    <w:rsid w:val="008F6357"/>
    <w:rsid w:val="008F6A9A"/>
    <w:rsid w:val="008F71F3"/>
    <w:rsid w:val="008F7384"/>
    <w:rsid w:val="008F759A"/>
    <w:rsid w:val="008F762D"/>
    <w:rsid w:val="008F771E"/>
    <w:rsid w:val="00900252"/>
    <w:rsid w:val="00900B6C"/>
    <w:rsid w:val="00900EF6"/>
    <w:rsid w:val="009013E5"/>
    <w:rsid w:val="009019A1"/>
    <w:rsid w:val="00901D3D"/>
    <w:rsid w:val="00902221"/>
    <w:rsid w:val="009023C2"/>
    <w:rsid w:val="00902500"/>
    <w:rsid w:val="0090250D"/>
    <w:rsid w:val="00902835"/>
    <w:rsid w:val="00902E95"/>
    <w:rsid w:val="009031E5"/>
    <w:rsid w:val="009033FA"/>
    <w:rsid w:val="00903A1A"/>
    <w:rsid w:val="0090489A"/>
    <w:rsid w:val="00904983"/>
    <w:rsid w:val="00904ACC"/>
    <w:rsid w:val="00904B7C"/>
    <w:rsid w:val="00904BFC"/>
    <w:rsid w:val="00904DDF"/>
    <w:rsid w:val="00905862"/>
    <w:rsid w:val="00905929"/>
    <w:rsid w:val="00905A17"/>
    <w:rsid w:val="00905B03"/>
    <w:rsid w:val="00905DAE"/>
    <w:rsid w:val="009063A9"/>
    <w:rsid w:val="00906499"/>
    <w:rsid w:val="00906C44"/>
    <w:rsid w:val="00906D02"/>
    <w:rsid w:val="00906F5B"/>
    <w:rsid w:val="00906F8B"/>
    <w:rsid w:val="00907322"/>
    <w:rsid w:val="0090788B"/>
    <w:rsid w:val="00907B12"/>
    <w:rsid w:val="009106E5"/>
    <w:rsid w:val="009110D5"/>
    <w:rsid w:val="00911330"/>
    <w:rsid w:val="0091162F"/>
    <w:rsid w:val="009119B4"/>
    <w:rsid w:val="00911C18"/>
    <w:rsid w:val="00911E20"/>
    <w:rsid w:val="0091220E"/>
    <w:rsid w:val="009123D1"/>
    <w:rsid w:val="00912EE0"/>
    <w:rsid w:val="0091308B"/>
    <w:rsid w:val="0091319B"/>
    <w:rsid w:val="00913D97"/>
    <w:rsid w:val="00913DFB"/>
    <w:rsid w:val="00913E27"/>
    <w:rsid w:val="009144E1"/>
    <w:rsid w:val="00914719"/>
    <w:rsid w:val="00914DDD"/>
    <w:rsid w:val="0091551C"/>
    <w:rsid w:val="00915A3A"/>
    <w:rsid w:val="0091666E"/>
    <w:rsid w:val="009169E7"/>
    <w:rsid w:val="00916BA7"/>
    <w:rsid w:val="00916C8F"/>
    <w:rsid w:val="00916DE5"/>
    <w:rsid w:val="00917F11"/>
    <w:rsid w:val="00921301"/>
    <w:rsid w:val="00921706"/>
    <w:rsid w:val="009226F8"/>
    <w:rsid w:val="00922BB7"/>
    <w:rsid w:val="00922E79"/>
    <w:rsid w:val="009232CC"/>
    <w:rsid w:val="0092399F"/>
    <w:rsid w:val="00923A24"/>
    <w:rsid w:val="00924171"/>
    <w:rsid w:val="0092441E"/>
    <w:rsid w:val="00924541"/>
    <w:rsid w:val="009245F6"/>
    <w:rsid w:val="00924F21"/>
    <w:rsid w:val="00925361"/>
    <w:rsid w:val="009259B1"/>
    <w:rsid w:val="00925B7B"/>
    <w:rsid w:val="009261F2"/>
    <w:rsid w:val="00926406"/>
    <w:rsid w:val="0092642A"/>
    <w:rsid w:val="00926679"/>
    <w:rsid w:val="009269FE"/>
    <w:rsid w:val="009270EA"/>
    <w:rsid w:val="00927C7A"/>
    <w:rsid w:val="009300C9"/>
    <w:rsid w:val="00930ACA"/>
    <w:rsid w:val="00930BFB"/>
    <w:rsid w:val="00930C1B"/>
    <w:rsid w:val="0093192F"/>
    <w:rsid w:val="00932865"/>
    <w:rsid w:val="009329AF"/>
    <w:rsid w:val="00932C30"/>
    <w:rsid w:val="00933564"/>
    <w:rsid w:val="00933727"/>
    <w:rsid w:val="00933A68"/>
    <w:rsid w:val="00933B36"/>
    <w:rsid w:val="00933FC2"/>
    <w:rsid w:val="0093444C"/>
    <w:rsid w:val="00934C9B"/>
    <w:rsid w:val="00934CD5"/>
    <w:rsid w:val="00935363"/>
    <w:rsid w:val="0093567D"/>
    <w:rsid w:val="00935C66"/>
    <w:rsid w:val="00935D80"/>
    <w:rsid w:val="00935EB8"/>
    <w:rsid w:val="00936516"/>
    <w:rsid w:val="00936A9E"/>
    <w:rsid w:val="00936ECE"/>
    <w:rsid w:val="00937237"/>
    <w:rsid w:val="00937606"/>
    <w:rsid w:val="00937C56"/>
    <w:rsid w:val="00940313"/>
    <w:rsid w:val="00940891"/>
    <w:rsid w:val="00940E17"/>
    <w:rsid w:val="00940E73"/>
    <w:rsid w:val="00940F87"/>
    <w:rsid w:val="00941037"/>
    <w:rsid w:val="009411E2"/>
    <w:rsid w:val="00941424"/>
    <w:rsid w:val="00941B68"/>
    <w:rsid w:val="009425B1"/>
    <w:rsid w:val="009429DE"/>
    <w:rsid w:val="00942A56"/>
    <w:rsid w:val="00942FFF"/>
    <w:rsid w:val="009430EA"/>
    <w:rsid w:val="009433CD"/>
    <w:rsid w:val="0094360A"/>
    <w:rsid w:val="009448F3"/>
    <w:rsid w:val="00944A1C"/>
    <w:rsid w:val="009452AE"/>
    <w:rsid w:val="00945427"/>
    <w:rsid w:val="00945EC7"/>
    <w:rsid w:val="00945F54"/>
    <w:rsid w:val="00945F62"/>
    <w:rsid w:val="00946155"/>
    <w:rsid w:val="009471BA"/>
    <w:rsid w:val="0094741F"/>
    <w:rsid w:val="00950056"/>
    <w:rsid w:val="00950275"/>
    <w:rsid w:val="009502CA"/>
    <w:rsid w:val="009503BC"/>
    <w:rsid w:val="00950B96"/>
    <w:rsid w:val="00950C4D"/>
    <w:rsid w:val="00950E86"/>
    <w:rsid w:val="009516D7"/>
    <w:rsid w:val="0095176A"/>
    <w:rsid w:val="00951BB9"/>
    <w:rsid w:val="009524C1"/>
    <w:rsid w:val="009525C8"/>
    <w:rsid w:val="00953BF3"/>
    <w:rsid w:val="00954432"/>
    <w:rsid w:val="009544DD"/>
    <w:rsid w:val="0095473C"/>
    <w:rsid w:val="00954DD6"/>
    <w:rsid w:val="00955380"/>
    <w:rsid w:val="00955F1B"/>
    <w:rsid w:val="0095600E"/>
    <w:rsid w:val="00956220"/>
    <w:rsid w:val="00956931"/>
    <w:rsid w:val="00956975"/>
    <w:rsid w:val="00956997"/>
    <w:rsid w:val="00956AD5"/>
    <w:rsid w:val="00956D84"/>
    <w:rsid w:val="00957217"/>
    <w:rsid w:val="00957AF3"/>
    <w:rsid w:val="00960037"/>
    <w:rsid w:val="009601A0"/>
    <w:rsid w:val="00960C2E"/>
    <w:rsid w:val="00960C7D"/>
    <w:rsid w:val="00960F5A"/>
    <w:rsid w:val="0096111E"/>
    <w:rsid w:val="00961155"/>
    <w:rsid w:val="00961B3D"/>
    <w:rsid w:val="00961DEA"/>
    <w:rsid w:val="00962A38"/>
    <w:rsid w:val="00962F4C"/>
    <w:rsid w:val="00963F00"/>
    <w:rsid w:val="0096422C"/>
    <w:rsid w:val="0096443A"/>
    <w:rsid w:val="00964C28"/>
    <w:rsid w:val="00965178"/>
    <w:rsid w:val="00965264"/>
    <w:rsid w:val="00965DE3"/>
    <w:rsid w:val="00965E90"/>
    <w:rsid w:val="00966191"/>
    <w:rsid w:val="00966204"/>
    <w:rsid w:val="0096654F"/>
    <w:rsid w:val="009667DC"/>
    <w:rsid w:val="0096685C"/>
    <w:rsid w:val="00966E1C"/>
    <w:rsid w:val="009673E3"/>
    <w:rsid w:val="00967BA4"/>
    <w:rsid w:val="00967CA3"/>
    <w:rsid w:val="00967EC5"/>
    <w:rsid w:val="00967F23"/>
    <w:rsid w:val="009702D5"/>
    <w:rsid w:val="00970536"/>
    <w:rsid w:val="00970591"/>
    <w:rsid w:val="00970ABF"/>
    <w:rsid w:val="00970EE3"/>
    <w:rsid w:val="00971132"/>
    <w:rsid w:val="0097129D"/>
    <w:rsid w:val="0097147A"/>
    <w:rsid w:val="009715AE"/>
    <w:rsid w:val="00971AF4"/>
    <w:rsid w:val="00971BCC"/>
    <w:rsid w:val="00971F6E"/>
    <w:rsid w:val="0097213D"/>
    <w:rsid w:val="009724FC"/>
    <w:rsid w:val="00973142"/>
    <w:rsid w:val="009733A9"/>
    <w:rsid w:val="0097375F"/>
    <w:rsid w:val="009739B5"/>
    <w:rsid w:val="00973D73"/>
    <w:rsid w:val="009743A8"/>
    <w:rsid w:val="0097446E"/>
    <w:rsid w:val="00974DC6"/>
    <w:rsid w:val="0097548F"/>
    <w:rsid w:val="00975653"/>
    <w:rsid w:val="00975925"/>
    <w:rsid w:val="00975A61"/>
    <w:rsid w:val="00975F8F"/>
    <w:rsid w:val="0097608E"/>
    <w:rsid w:val="0097663B"/>
    <w:rsid w:val="00976905"/>
    <w:rsid w:val="00976B19"/>
    <w:rsid w:val="00976BBA"/>
    <w:rsid w:val="00976BEC"/>
    <w:rsid w:val="00976E05"/>
    <w:rsid w:val="0097748C"/>
    <w:rsid w:val="009774F7"/>
    <w:rsid w:val="0097768F"/>
    <w:rsid w:val="00977A55"/>
    <w:rsid w:val="00977FC5"/>
    <w:rsid w:val="00980047"/>
    <w:rsid w:val="009806FC"/>
    <w:rsid w:val="00980C99"/>
    <w:rsid w:val="00980E0F"/>
    <w:rsid w:val="00980E7A"/>
    <w:rsid w:val="0098138E"/>
    <w:rsid w:val="00981CBC"/>
    <w:rsid w:val="00982785"/>
    <w:rsid w:val="00982A7B"/>
    <w:rsid w:val="00982B7D"/>
    <w:rsid w:val="00982E90"/>
    <w:rsid w:val="00983444"/>
    <w:rsid w:val="00983570"/>
    <w:rsid w:val="00983B81"/>
    <w:rsid w:val="00984053"/>
    <w:rsid w:val="0098435A"/>
    <w:rsid w:val="009844DC"/>
    <w:rsid w:val="009846EE"/>
    <w:rsid w:val="00984AEE"/>
    <w:rsid w:val="00984F42"/>
    <w:rsid w:val="009854E6"/>
    <w:rsid w:val="009854E7"/>
    <w:rsid w:val="00985B25"/>
    <w:rsid w:val="00985BD3"/>
    <w:rsid w:val="00985C64"/>
    <w:rsid w:val="00985CF6"/>
    <w:rsid w:val="0098643E"/>
    <w:rsid w:val="009864FB"/>
    <w:rsid w:val="0098655A"/>
    <w:rsid w:val="009865E8"/>
    <w:rsid w:val="00986716"/>
    <w:rsid w:val="00986A14"/>
    <w:rsid w:val="00986BAE"/>
    <w:rsid w:val="00986E98"/>
    <w:rsid w:val="00987366"/>
    <w:rsid w:val="00987788"/>
    <w:rsid w:val="00987A34"/>
    <w:rsid w:val="00990074"/>
    <w:rsid w:val="0099013D"/>
    <w:rsid w:val="00990614"/>
    <w:rsid w:val="0099089E"/>
    <w:rsid w:val="00991099"/>
    <w:rsid w:val="009910B2"/>
    <w:rsid w:val="009913F1"/>
    <w:rsid w:val="00991475"/>
    <w:rsid w:val="0099147F"/>
    <w:rsid w:val="00991ED0"/>
    <w:rsid w:val="00992D97"/>
    <w:rsid w:val="00993209"/>
    <w:rsid w:val="00993588"/>
    <w:rsid w:val="0099377F"/>
    <w:rsid w:val="00993871"/>
    <w:rsid w:val="009939D4"/>
    <w:rsid w:val="00993D18"/>
    <w:rsid w:val="009942B9"/>
    <w:rsid w:val="009947F7"/>
    <w:rsid w:val="009950C6"/>
    <w:rsid w:val="00995262"/>
    <w:rsid w:val="0099563A"/>
    <w:rsid w:val="00995835"/>
    <w:rsid w:val="009958C9"/>
    <w:rsid w:val="0099649B"/>
    <w:rsid w:val="00996610"/>
    <w:rsid w:val="00996689"/>
    <w:rsid w:val="00996980"/>
    <w:rsid w:val="00996A10"/>
    <w:rsid w:val="00996D59"/>
    <w:rsid w:val="00996D94"/>
    <w:rsid w:val="009977A5"/>
    <w:rsid w:val="00997CA8"/>
    <w:rsid w:val="00997DCD"/>
    <w:rsid w:val="00997E16"/>
    <w:rsid w:val="009A0304"/>
    <w:rsid w:val="009A061C"/>
    <w:rsid w:val="009A0BCC"/>
    <w:rsid w:val="009A0E2C"/>
    <w:rsid w:val="009A1276"/>
    <w:rsid w:val="009A129C"/>
    <w:rsid w:val="009A19FC"/>
    <w:rsid w:val="009A1CF0"/>
    <w:rsid w:val="009A2036"/>
    <w:rsid w:val="009A22EA"/>
    <w:rsid w:val="009A24C4"/>
    <w:rsid w:val="009A254B"/>
    <w:rsid w:val="009A2715"/>
    <w:rsid w:val="009A3BB6"/>
    <w:rsid w:val="009A42C5"/>
    <w:rsid w:val="009A4428"/>
    <w:rsid w:val="009A473C"/>
    <w:rsid w:val="009A4D97"/>
    <w:rsid w:val="009A5A8D"/>
    <w:rsid w:val="009A5ED4"/>
    <w:rsid w:val="009A651F"/>
    <w:rsid w:val="009A66C1"/>
    <w:rsid w:val="009A6EA7"/>
    <w:rsid w:val="009A720E"/>
    <w:rsid w:val="009A77AE"/>
    <w:rsid w:val="009B02B7"/>
    <w:rsid w:val="009B094C"/>
    <w:rsid w:val="009B0DA9"/>
    <w:rsid w:val="009B1635"/>
    <w:rsid w:val="009B1C26"/>
    <w:rsid w:val="009B2088"/>
    <w:rsid w:val="009B21E0"/>
    <w:rsid w:val="009B22EF"/>
    <w:rsid w:val="009B2376"/>
    <w:rsid w:val="009B245F"/>
    <w:rsid w:val="009B298F"/>
    <w:rsid w:val="009B31CD"/>
    <w:rsid w:val="009B348B"/>
    <w:rsid w:val="009B34A7"/>
    <w:rsid w:val="009B3566"/>
    <w:rsid w:val="009B3A32"/>
    <w:rsid w:val="009B3AB5"/>
    <w:rsid w:val="009B3CCC"/>
    <w:rsid w:val="009B3DDB"/>
    <w:rsid w:val="009B5542"/>
    <w:rsid w:val="009B555F"/>
    <w:rsid w:val="009B5716"/>
    <w:rsid w:val="009B5C49"/>
    <w:rsid w:val="009B5DBB"/>
    <w:rsid w:val="009B5F1C"/>
    <w:rsid w:val="009B6BD2"/>
    <w:rsid w:val="009B7862"/>
    <w:rsid w:val="009B7CDA"/>
    <w:rsid w:val="009C0002"/>
    <w:rsid w:val="009C029E"/>
    <w:rsid w:val="009C032F"/>
    <w:rsid w:val="009C05B2"/>
    <w:rsid w:val="009C09BE"/>
    <w:rsid w:val="009C0B86"/>
    <w:rsid w:val="009C0FA5"/>
    <w:rsid w:val="009C17D1"/>
    <w:rsid w:val="009C24D8"/>
    <w:rsid w:val="009C2AFD"/>
    <w:rsid w:val="009C2BE9"/>
    <w:rsid w:val="009C2FB4"/>
    <w:rsid w:val="009C3169"/>
    <w:rsid w:val="009C4257"/>
    <w:rsid w:val="009C4B37"/>
    <w:rsid w:val="009C507F"/>
    <w:rsid w:val="009C5218"/>
    <w:rsid w:val="009C553A"/>
    <w:rsid w:val="009C5A07"/>
    <w:rsid w:val="009C6033"/>
    <w:rsid w:val="009C607C"/>
    <w:rsid w:val="009C612F"/>
    <w:rsid w:val="009C636A"/>
    <w:rsid w:val="009C6385"/>
    <w:rsid w:val="009C751F"/>
    <w:rsid w:val="009C762F"/>
    <w:rsid w:val="009D02D7"/>
    <w:rsid w:val="009D05A1"/>
    <w:rsid w:val="009D0888"/>
    <w:rsid w:val="009D0A79"/>
    <w:rsid w:val="009D0E29"/>
    <w:rsid w:val="009D0F4E"/>
    <w:rsid w:val="009D10B0"/>
    <w:rsid w:val="009D1232"/>
    <w:rsid w:val="009D135A"/>
    <w:rsid w:val="009D17C2"/>
    <w:rsid w:val="009D1AEC"/>
    <w:rsid w:val="009D1F9E"/>
    <w:rsid w:val="009D21E3"/>
    <w:rsid w:val="009D22CC"/>
    <w:rsid w:val="009D2387"/>
    <w:rsid w:val="009D2485"/>
    <w:rsid w:val="009D2751"/>
    <w:rsid w:val="009D2A67"/>
    <w:rsid w:val="009D2DC6"/>
    <w:rsid w:val="009D3423"/>
    <w:rsid w:val="009D35E0"/>
    <w:rsid w:val="009D3920"/>
    <w:rsid w:val="009D4262"/>
    <w:rsid w:val="009D4309"/>
    <w:rsid w:val="009D4557"/>
    <w:rsid w:val="009D46B3"/>
    <w:rsid w:val="009D4755"/>
    <w:rsid w:val="009D4C6A"/>
    <w:rsid w:val="009D51BF"/>
    <w:rsid w:val="009D533A"/>
    <w:rsid w:val="009D578F"/>
    <w:rsid w:val="009D5C37"/>
    <w:rsid w:val="009D5F19"/>
    <w:rsid w:val="009D60A4"/>
    <w:rsid w:val="009D6CF4"/>
    <w:rsid w:val="009D737D"/>
    <w:rsid w:val="009D77B3"/>
    <w:rsid w:val="009D7A1E"/>
    <w:rsid w:val="009D7A9C"/>
    <w:rsid w:val="009D7C7E"/>
    <w:rsid w:val="009D7EFE"/>
    <w:rsid w:val="009E0107"/>
    <w:rsid w:val="009E027F"/>
    <w:rsid w:val="009E0434"/>
    <w:rsid w:val="009E0D97"/>
    <w:rsid w:val="009E10A2"/>
    <w:rsid w:val="009E1235"/>
    <w:rsid w:val="009E1805"/>
    <w:rsid w:val="009E19C2"/>
    <w:rsid w:val="009E1DB2"/>
    <w:rsid w:val="009E1EC6"/>
    <w:rsid w:val="009E24B1"/>
    <w:rsid w:val="009E2BC6"/>
    <w:rsid w:val="009E3141"/>
    <w:rsid w:val="009E385A"/>
    <w:rsid w:val="009E39BF"/>
    <w:rsid w:val="009E3B96"/>
    <w:rsid w:val="009E426E"/>
    <w:rsid w:val="009E4877"/>
    <w:rsid w:val="009E4FEB"/>
    <w:rsid w:val="009E5817"/>
    <w:rsid w:val="009E5946"/>
    <w:rsid w:val="009E6052"/>
    <w:rsid w:val="009E622C"/>
    <w:rsid w:val="009E6505"/>
    <w:rsid w:val="009E6FAB"/>
    <w:rsid w:val="009E7422"/>
    <w:rsid w:val="009E74EB"/>
    <w:rsid w:val="009E75CE"/>
    <w:rsid w:val="009E7906"/>
    <w:rsid w:val="009E791E"/>
    <w:rsid w:val="009E7B1E"/>
    <w:rsid w:val="009E7BB8"/>
    <w:rsid w:val="009E7C7F"/>
    <w:rsid w:val="009F086A"/>
    <w:rsid w:val="009F087B"/>
    <w:rsid w:val="009F0B14"/>
    <w:rsid w:val="009F0C9F"/>
    <w:rsid w:val="009F1177"/>
    <w:rsid w:val="009F11C7"/>
    <w:rsid w:val="009F1577"/>
    <w:rsid w:val="009F160D"/>
    <w:rsid w:val="009F1B0B"/>
    <w:rsid w:val="009F1CA8"/>
    <w:rsid w:val="009F1E95"/>
    <w:rsid w:val="009F25B0"/>
    <w:rsid w:val="009F28AB"/>
    <w:rsid w:val="009F2BDD"/>
    <w:rsid w:val="009F2BDE"/>
    <w:rsid w:val="009F2C5B"/>
    <w:rsid w:val="009F35B9"/>
    <w:rsid w:val="009F3B09"/>
    <w:rsid w:val="009F3FDA"/>
    <w:rsid w:val="009F413A"/>
    <w:rsid w:val="009F4661"/>
    <w:rsid w:val="009F49ED"/>
    <w:rsid w:val="009F4CD2"/>
    <w:rsid w:val="009F5396"/>
    <w:rsid w:val="009F554A"/>
    <w:rsid w:val="009F57BF"/>
    <w:rsid w:val="009F5E78"/>
    <w:rsid w:val="009F60A9"/>
    <w:rsid w:val="009F614D"/>
    <w:rsid w:val="009F6CA3"/>
    <w:rsid w:val="009F6E71"/>
    <w:rsid w:val="009F72AA"/>
    <w:rsid w:val="00A00249"/>
    <w:rsid w:val="00A007AE"/>
    <w:rsid w:val="00A0092B"/>
    <w:rsid w:val="00A0096B"/>
    <w:rsid w:val="00A00DD7"/>
    <w:rsid w:val="00A01082"/>
    <w:rsid w:val="00A011E9"/>
    <w:rsid w:val="00A01637"/>
    <w:rsid w:val="00A01684"/>
    <w:rsid w:val="00A023DC"/>
    <w:rsid w:val="00A026F2"/>
    <w:rsid w:val="00A0364A"/>
    <w:rsid w:val="00A03C83"/>
    <w:rsid w:val="00A03CAD"/>
    <w:rsid w:val="00A051A6"/>
    <w:rsid w:val="00A053C2"/>
    <w:rsid w:val="00A05616"/>
    <w:rsid w:val="00A05AE8"/>
    <w:rsid w:val="00A06E05"/>
    <w:rsid w:val="00A073B9"/>
    <w:rsid w:val="00A074BF"/>
    <w:rsid w:val="00A07A46"/>
    <w:rsid w:val="00A1008E"/>
    <w:rsid w:val="00A1058D"/>
    <w:rsid w:val="00A1098A"/>
    <w:rsid w:val="00A10B3A"/>
    <w:rsid w:val="00A111F3"/>
    <w:rsid w:val="00A114B0"/>
    <w:rsid w:val="00A11787"/>
    <w:rsid w:val="00A117FA"/>
    <w:rsid w:val="00A120BE"/>
    <w:rsid w:val="00A120BF"/>
    <w:rsid w:val="00A1288A"/>
    <w:rsid w:val="00A128ED"/>
    <w:rsid w:val="00A12F33"/>
    <w:rsid w:val="00A134CB"/>
    <w:rsid w:val="00A13553"/>
    <w:rsid w:val="00A136E8"/>
    <w:rsid w:val="00A13C82"/>
    <w:rsid w:val="00A14379"/>
    <w:rsid w:val="00A14795"/>
    <w:rsid w:val="00A14A03"/>
    <w:rsid w:val="00A14F6A"/>
    <w:rsid w:val="00A15208"/>
    <w:rsid w:val="00A159E2"/>
    <w:rsid w:val="00A15F20"/>
    <w:rsid w:val="00A15F76"/>
    <w:rsid w:val="00A16128"/>
    <w:rsid w:val="00A1691A"/>
    <w:rsid w:val="00A16AE6"/>
    <w:rsid w:val="00A17332"/>
    <w:rsid w:val="00A17CE0"/>
    <w:rsid w:val="00A17EFB"/>
    <w:rsid w:val="00A17FF7"/>
    <w:rsid w:val="00A20768"/>
    <w:rsid w:val="00A20784"/>
    <w:rsid w:val="00A209D3"/>
    <w:rsid w:val="00A20A27"/>
    <w:rsid w:val="00A20E85"/>
    <w:rsid w:val="00A213D6"/>
    <w:rsid w:val="00A217A8"/>
    <w:rsid w:val="00A217CE"/>
    <w:rsid w:val="00A22125"/>
    <w:rsid w:val="00A2213B"/>
    <w:rsid w:val="00A224C2"/>
    <w:rsid w:val="00A228E1"/>
    <w:rsid w:val="00A2295F"/>
    <w:rsid w:val="00A22B18"/>
    <w:rsid w:val="00A23108"/>
    <w:rsid w:val="00A23494"/>
    <w:rsid w:val="00A239FC"/>
    <w:rsid w:val="00A23D48"/>
    <w:rsid w:val="00A23F30"/>
    <w:rsid w:val="00A24809"/>
    <w:rsid w:val="00A24879"/>
    <w:rsid w:val="00A249B3"/>
    <w:rsid w:val="00A24BE5"/>
    <w:rsid w:val="00A24CD4"/>
    <w:rsid w:val="00A24D13"/>
    <w:rsid w:val="00A2509F"/>
    <w:rsid w:val="00A254F3"/>
    <w:rsid w:val="00A2551B"/>
    <w:rsid w:val="00A262D6"/>
    <w:rsid w:val="00A26A5F"/>
    <w:rsid w:val="00A2704D"/>
    <w:rsid w:val="00A2735B"/>
    <w:rsid w:val="00A27589"/>
    <w:rsid w:val="00A277A6"/>
    <w:rsid w:val="00A277CF"/>
    <w:rsid w:val="00A300FD"/>
    <w:rsid w:val="00A301B4"/>
    <w:rsid w:val="00A305AA"/>
    <w:rsid w:val="00A30740"/>
    <w:rsid w:val="00A30AEA"/>
    <w:rsid w:val="00A3103D"/>
    <w:rsid w:val="00A3222D"/>
    <w:rsid w:val="00A32271"/>
    <w:rsid w:val="00A32638"/>
    <w:rsid w:val="00A330A8"/>
    <w:rsid w:val="00A332C2"/>
    <w:rsid w:val="00A3347D"/>
    <w:rsid w:val="00A33879"/>
    <w:rsid w:val="00A33E8A"/>
    <w:rsid w:val="00A33FCD"/>
    <w:rsid w:val="00A3448E"/>
    <w:rsid w:val="00A34FBF"/>
    <w:rsid w:val="00A35110"/>
    <w:rsid w:val="00A359CE"/>
    <w:rsid w:val="00A35C17"/>
    <w:rsid w:val="00A35E96"/>
    <w:rsid w:val="00A36689"/>
    <w:rsid w:val="00A3698F"/>
    <w:rsid w:val="00A36D61"/>
    <w:rsid w:val="00A3709D"/>
    <w:rsid w:val="00A3790F"/>
    <w:rsid w:val="00A37FBD"/>
    <w:rsid w:val="00A4044A"/>
    <w:rsid w:val="00A406B2"/>
    <w:rsid w:val="00A40973"/>
    <w:rsid w:val="00A412C9"/>
    <w:rsid w:val="00A41365"/>
    <w:rsid w:val="00A41951"/>
    <w:rsid w:val="00A41A92"/>
    <w:rsid w:val="00A41A9C"/>
    <w:rsid w:val="00A41C00"/>
    <w:rsid w:val="00A41D0C"/>
    <w:rsid w:val="00A42306"/>
    <w:rsid w:val="00A4250A"/>
    <w:rsid w:val="00A42922"/>
    <w:rsid w:val="00A433DE"/>
    <w:rsid w:val="00A43F1C"/>
    <w:rsid w:val="00A441E3"/>
    <w:rsid w:val="00A44204"/>
    <w:rsid w:val="00A4430E"/>
    <w:rsid w:val="00A44640"/>
    <w:rsid w:val="00A44E8D"/>
    <w:rsid w:val="00A453FB"/>
    <w:rsid w:val="00A45B8C"/>
    <w:rsid w:val="00A4612B"/>
    <w:rsid w:val="00A461EF"/>
    <w:rsid w:val="00A464C5"/>
    <w:rsid w:val="00A4652F"/>
    <w:rsid w:val="00A46A0A"/>
    <w:rsid w:val="00A46B9B"/>
    <w:rsid w:val="00A46EA8"/>
    <w:rsid w:val="00A474F6"/>
    <w:rsid w:val="00A4765D"/>
    <w:rsid w:val="00A47904"/>
    <w:rsid w:val="00A47CBD"/>
    <w:rsid w:val="00A47EEE"/>
    <w:rsid w:val="00A501F7"/>
    <w:rsid w:val="00A5026D"/>
    <w:rsid w:val="00A503C8"/>
    <w:rsid w:val="00A50522"/>
    <w:rsid w:val="00A51000"/>
    <w:rsid w:val="00A51949"/>
    <w:rsid w:val="00A51F51"/>
    <w:rsid w:val="00A5292D"/>
    <w:rsid w:val="00A52CB5"/>
    <w:rsid w:val="00A52E2F"/>
    <w:rsid w:val="00A52F15"/>
    <w:rsid w:val="00A52FDF"/>
    <w:rsid w:val="00A53835"/>
    <w:rsid w:val="00A53847"/>
    <w:rsid w:val="00A54688"/>
    <w:rsid w:val="00A54A30"/>
    <w:rsid w:val="00A55775"/>
    <w:rsid w:val="00A55ACD"/>
    <w:rsid w:val="00A55C75"/>
    <w:rsid w:val="00A55EDF"/>
    <w:rsid w:val="00A55FDA"/>
    <w:rsid w:val="00A5653E"/>
    <w:rsid w:val="00A56577"/>
    <w:rsid w:val="00A56B81"/>
    <w:rsid w:val="00A56F65"/>
    <w:rsid w:val="00A579A6"/>
    <w:rsid w:val="00A6049F"/>
    <w:rsid w:val="00A605AE"/>
    <w:rsid w:val="00A606B7"/>
    <w:rsid w:val="00A607BC"/>
    <w:rsid w:val="00A60E2B"/>
    <w:rsid w:val="00A60EB8"/>
    <w:rsid w:val="00A61924"/>
    <w:rsid w:val="00A61B90"/>
    <w:rsid w:val="00A61BFA"/>
    <w:rsid w:val="00A61C43"/>
    <w:rsid w:val="00A620F8"/>
    <w:rsid w:val="00A62201"/>
    <w:rsid w:val="00A62381"/>
    <w:rsid w:val="00A62AC5"/>
    <w:rsid w:val="00A62ADD"/>
    <w:rsid w:val="00A62AED"/>
    <w:rsid w:val="00A6361C"/>
    <w:rsid w:val="00A63829"/>
    <w:rsid w:val="00A6393B"/>
    <w:rsid w:val="00A63A81"/>
    <w:rsid w:val="00A63BC4"/>
    <w:rsid w:val="00A63D47"/>
    <w:rsid w:val="00A641AC"/>
    <w:rsid w:val="00A64307"/>
    <w:rsid w:val="00A64AB3"/>
    <w:rsid w:val="00A65179"/>
    <w:rsid w:val="00A651A7"/>
    <w:rsid w:val="00A651BD"/>
    <w:rsid w:val="00A6569A"/>
    <w:rsid w:val="00A659EB"/>
    <w:rsid w:val="00A665DB"/>
    <w:rsid w:val="00A66AC0"/>
    <w:rsid w:val="00A66CCE"/>
    <w:rsid w:val="00A67325"/>
    <w:rsid w:val="00A67474"/>
    <w:rsid w:val="00A67731"/>
    <w:rsid w:val="00A67986"/>
    <w:rsid w:val="00A67E02"/>
    <w:rsid w:val="00A67F7A"/>
    <w:rsid w:val="00A705F7"/>
    <w:rsid w:val="00A713B3"/>
    <w:rsid w:val="00A72013"/>
    <w:rsid w:val="00A728F1"/>
    <w:rsid w:val="00A72E49"/>
    <w:rsid w:val="00A73019"/>
    <w:rsid w:val="00A73295"/>
    <w:rsid w:val="00A73B39"/>
    <w:rsid w:val="00A73CCE"/>
    <w:rsid w:val="00A73D75"/>
    <w:rsid w:val="00A73F8E"/>
    <w:rsid w:val="00A74237"/>
    <w:rsid w:val="00A74A3A"/>
    <w:rsid w:val="00A752AB"/>
    <w:rsid w:val="00A753AA"/>
    <w:rsid w:val="00A757F2"/>
    <w:rsid w:val="00A75A15"/>
    <w:rsid w:val="00A76272"/>
    <w:rsid w:val="00A762C6"/>
    <w:rsid w:val="00A76652"/>
    <w:rsid w:val="00A766EE"/>
    <w:rsid w:val="00A76947"/>
    <w:rsid w:val="00A76AEF"/>
    <w:rsid w:val="00A76B51"/>
    <w:rsid w:val="00A770E2"/>
    <w:rsid w:val="00A77120"/>
    <w:rsid w:val="00A77598"/>
    <w:rsid w:val="00A779B1"/>
    <w:rsid w:val="00A77AA6"/>
    <w:rsid w:val="00A77DED"/>
    <w:rsid w:val="00A77F39"/>
    <w:rsid w:val="00A804A2"/>
    <w:rsid w:val="00A80996"/>
    <w:rsid w:val="00A80B8D"/>
    <w:rsid w:val="00A80ED6"/>
    <w:rsid w:val="00A81955"/>
    <w:rsid w:val="00A82013"/>
    <w:rsid w:val="00A8229C"/>
    <w:rsid w:val="00A824E7"/>
    <w:rsid w:val="00A82914"/>
    <w:rsid w:val="00A832B6"/>
    <w:rsid w:val="00A836A7"/>
    <w:rsid w:val="00A84BC8"/>
    <w:rsid w:val="00A84E08"/>
    <w:rsid w:val="00A8504B"/>
    <w:rsid w:val="00A8505B"/>
    <w:rsid w:val="00A850DC"/>
    <w:rsid w:val="00A8519B"/>
    <w:rsid w:val="00A856BE"/>
    <w:rsid w:val="00A85AEE"/>
    <w:rsid w:val="00A85D27"/>
    <w:rsid w:val="00A85FA7"/>
    <w:rsid w:val="00A85FE2"/>
    <w:rsid w:val="00A86AC2"/>
    <w:rsid w:val="00A86D56"/>
    <w:rsid w:val="00A87CAF"/>
    <w:rsid w:val="00A87CB8"/>
    <w:rsid w:val="00A87D5E"/>
    <w:rsid w:val="00A87DD7"/>
    <w:rsid w:val="00A90299"/>
    <w:rsid w:val="00A9041B"/>
    <w:rsid w:val="00A908F8"/>
    <w:rsid w:val="00A91CCB"/>
    <w:rsid w:val="00A92469"/>
    <w:rsid w:val="00A9256C"/>
    <w:rsid w:val="00A9265C"/>
    <w:rsid w:val="00A92DCB"/>
    <w:rsid w:val="00A92E46"/>
    <w:rsid w:val="00A9356F"/>
    <w:rsid w:val="00A93693"/>
    <w:rsid w:val="00A9369F"/>
    <w:rsid w:val="00A93876"/>
    <w:rsid w:val="00A93CE0"/>
    <w:rsid w:val="00A94434"/>
    <w:rsid w:val="00A945FF"/>
    <w:rsid w:val="00A946B8"/>
    <w:rsid w:val="00A9478A"/>
    <w:rsid w:val="00A948E7"/>
    <w:rsid w:val="00A94F32"/>
    <w:rsid w:val="00A950E6"/>
    <w:rsid w:val="00A952DA"/>
    <w:rsid w:val="00A95586"/>
    <w:rsid w:val="00A95687"/>
    <w:rsid w:val="00A95B45"/>
    <w:rsid w:val="00A95EE0"/>
    <w:rsid w:val="00A95F73"/>
    <w:rsid w:val="00A9625A"/>
    <w:rsid w:val="00A96699"/>
    <w:rsid w:val="00A96E2D"/>
    <w:rsid w:val="00A970C1"/>
    <w:rsid w:val="00A97477"/>
    <w:rsid w:val="00A97642"/>
    <w:rsid w:val="00AA02D2"/>
    <w:rsid w:val="00AA0320"/>
    <w:rsid w:val="00AA0439"/>
    <w:rsid w:val="00AA09B0"/>
    <w:rsid w:val="00AA0BB2"/>
    <w:rsid w:val="00AA0CE2"/>
    <w:rsid w:val="00AA0FEB"/>
    <w:rsid w:val="00AA1292"/>
    <w:rsid w:val="00AA1C1A"/>
    <w:rsid w:val="00AA2A03"/>
    <w:rsid w:val="00AA2C8B"/>
    <w:rsid w:val="00AA2CF9"/>
    <w:rsid w:val="00AA2DC4"/>
    <w:rsid w:val="00AA379A"/>
    <w:rsid w:val="00AA3E50"/>
    <w:rsid w:val="00AA4221"/>
    <w:rsid w:val="00AA43D4"/>
    <w:rsid w:val="00AA4626"/>
    <w:rsid w:val="00AA4815"/>
    <w:rsid w:val="00AA4A4A"/>
    <w:rsid w:val="00AA4CE7"/>
    <w:rsid w:val="00AA54B0"/>
    <w:rsid w:val="00AA597C"/>
    <w:rsid w:val="00AA5FCC"/>
    <w:rsid w:val="00AA646C"/>
    <w:rsid w:val="00AA64F4"/>
    <w:rsid w:val="00AA6E9A"/>
    <w:rsid w:val="00AA733C"/>
    <w:rsid w:val="00AA76FE"/>
    <w:rsid w:val="00AA7C65"/>
    <w:rsid w:val="00AA7DA5"/>
    <w:rsid w:val="00AA7F5C"/>
    <w:rsid w:val="00AB0427"/>
    <w:rsid w:val="00AB0E5D"/>
    <w:rsid w:val="00AB1980"/>
    <w:rsid w:val="00AB1B4F"/>
    <w:rsid w:val="00AB1C47"/>
    <w:rsid w:val="00AB21BA"/>
    <w:rsid w:val="00AB23D7"/>
    <w:rsid w:val="00AB2699"/>
    <w:rsid w:val="00AB2C9B"/>
    <w:rsid w:val="00AB2E24"/>
    <w:rsid w:val="00AB2E74"/>
    <w:rsid w:val="00AB3298"/>
    <w:rsid w:val="00AB3343"/>
    <w:rsid w:val="00AB33BF"/>
    <w:rsid w:val="00AB371B"/>
    <w:rsid w:val="00AB468B"/>
    <w:rsid w:val="00AB4FE4"/>
    <w:rsid w:val="00AB50FC"/>
    <w:rsid w:val="00AB53F3"/>
    <w:rsid w:val="00AB57D8"/>
    <w:rsid w:val="00AB6168"/>
    <w:rsid w:val="00AB627F"/>
    <w:rsid w:val="00AB647B"/>
    <w:rsid w:val="00AB6996"/>
    <w:rsid w:val="00AB699C"/>
    <w:rsid w:val="00AB6EED"/>
    <w:rsid w:val="00AB6F06"/>
    <w:rsid w:val="00AB6FA4"/>
    <w:rsid w:val="00AB7163"/>
    <w:rsid w:val="00AB7592"/>
    <w:rsid w:val="00AB769A"/>
    <w:rsid w:val="00AB76C3"/>
    <w:rsid w:val="00AB77AB"/>
    <w:rsid w:val="00AB77F2"/>
    <w:rsid w:val="00AB7875"/>
    <w:rsid w:val="00AC02CB"/>
    <w:rsid w:val="00AC039C"/>
    <w:rsid w:val="00AC05FD"/>
    <w:rsid w:val="00AC0D74"/>
    <w:rsid w:val="00AC137B"/>
    <w:rsid w:val="00AC13AB"/>
    <w:rsid w:val="00AC13F4"/>
    <w:rsid w:val="00AC1713"/>
    <w:rsid w:val="00AC17FB"/>
    <w:rsid w:val="00AC21E0"/>
    <w:rsid w:val="00AC277E"/>
    <w:rsid w:val="00AC29A0"/>
    <w:rsid w:val="00AC2A1D"/>
    <w:rsid w:val="00AC2E15"/>
    <w:rsid w:val="00AC2FE9"/>
    <w:rsid w:val="00AC30E5"/>
    <w:rsid w:val="00AC36B1"/>
    <w:rsid w:val="00AC399E"/>
    <w:rsid w:val="00AC3D8D"/>
    <w:rsid w:val="00AC3EAE"/>
    <w:rsid w:val="00AC450F"/>
    <w:rsid w:val="00AC4563"/>
    <w:rsid w:val="00AC456C"/>
    <w:rsid w:val="00AC46C9"/>
    <w:rsid w:val="00AC4C86"/>
    <w:rsid w:val="00AC4DCB"/>
    <w:rsid w:val="00AC5124"/>
    <w:rsid w:val="00AC55E5"/>
    <w:rsid w:val="00AC5649"/>
    <w:rsid w:val="00AC57A1"/>
    <w:rsid w:val="00AC5AC3"/>
    <w:rsid w:val="00AC5DE3"/>
    <w:rsid w:val="00AC6192"/>
    <w:rsid w:val="00AC68EE"/>
    <w:rsid w:val="00AC6AF3"/>
    <w:rsid w:val="00AC7098"/>
    <w:rsid w:val="00AC7943"/>
    <w:rsid w:val="00AC7C0D"/>
    <w:rsid w:val="00AC7C56"/>
    <w:rsid w:val="00AC7D23"/>
    <w:rsid w:val="00AD0F74"/>
    <w:rsid w:val="00AD13FA"/>
    <w:rsid w:val="00AD18FA"/>
    <w:rsid w:val="00AD1C27"/>
    <w:rsid w:val="00AD24CB"/>
    <w:rsid w:val="00AD2739"/>
    <w:rsid w:val="00AD278B"/>
    <w:rsid w:val="00AD2830"/>
    <w:rsid w:val="00AD3759"/>
    <w:rsid w:val="00AD3E07"/>
    <w:rsid w:val="00AD4372"/>
    <w:rsid w:val="00AD43BC"/>
    <w:rsid w:val="00AD45CB"/>
    <w:rsid w:val="00AD4D54"/>
    <w:rsid w:val="00AD4E7C"/>
    <w:rsid w:val="00AD52B5"/>
    <w:rsid w:val="00AD56D7"/>
    <w:rsid w:val="00AD5836"/>
    <w:rsid w:val="00AD5BD0"/>
    <w:rsid w:val="00AD6012"/>
    <w:rsid w:val="00AD6013"/>
    <w:rsid w:val="00AD694D"/>
    <w:rsid w:val="00AD6C78"/>
    <w:rsid w:val="00AD6D7D"/>
    <w:rsid w:val="00AD70C3"/>
    <w:rsid w:val="00AD7579"/>
    <w:rsid w:val="00AD7588"/>
    <w:rsid w:val="00AD7A0D"/>
    <w:rsid w:val="00AD7E36"/>
    <w:rsid w:val="00AD7F75"/>
    <w:rsid w:val="00AD7FDA"/>
    <w:rsid w:val="00AE02DE"/>
    <w:rsid w:val="00AE0644"/>
    <w:rsid w:val="00AE06D4"/>
    <w:rsid w:val="00AE129D"/>
    <w:rsid w:val="00AE132D"/>
    <w:rsid w:val="00AE14A3"/>
    <w:rsid w:val="00AE1BA9"/>
    <w:rsid w:val="00AE1DED"/>
    <w:rsid w:val="00AE1E9E"/>
    <w:rsid w:val="00AE1F6F"/>
    <w:rsid w:val="00AE2075"/>
    <w:rsid w:val="00AE23B8"/>
    <w:rsid w:val="00AE30F7"/>
    <w:rsid w:val="00AE3171"/>
    <w:rsid w:val="00AE360A"/>
    <w:rsid w:val="00AE366F"/>
    <w:rsid w:val="00AE39F8"/>
    <w:rsid w:val="00AE49C0"/>
    <w:rsid w:val="00AE4AF2"/>
    <w:rsid w:val="00AE4B94"/>
    <w:rsid w:val="00AE5012"/>
    <w:rsid w:val="00AE5AE9"/>
    <w:rsid w:val="00AE62DA"/>
    <w:rsid w:val="00AE652F"/>
    <w:rsid w:val="00AE6A35"/>
    <w:rsid w:val="00AE70B2"/>
    <w:rsid w:val="00AE71A3"/>
    <w:rsid w:val="00AE7AD5"/>
    <w:rsid w:val="00AF0063"/>
    <w:rsid w:val="00AF0622"/>
    <w:rsid w:val="00AF07E1"/>
    <w:rsid w:val="00AF0821"/>
    <w:rsid w:val="00AF0A8C"/>
    <w:rsid w:val="00AF0E72"/>
    <w:rsid w:val="00AF16B4"/>
    <w:rsid w:val="00AF19D9"/>
    <w:rsid w:val="00AF1F04"/>
    <w:rsid w:val="00AF2CBC"/>
    <w:rsid w:val="00AF3430"/>
    <w:rsid w:val="00AF39AD"/>
    <w:rsid w:val="00AF39E8"/>
    <w:rsid w:val="00AF3C31"/>
    <w:rsid w:val="00AF4DE2"/>
    <w:rsid w:val="00AF59D8"/>
    <w:rsid w:val="00AF5BCB"/>
    <w:rsid w:val="00AF5F18"/>
    <w:rsid w:val="00AF64BC"/>
    <w:rsid w:val="00AF6C44"/>
    <w:rsid w:val="00AF7203"/>
    <w:rsid w:val="00AF72E1"/>
    <w:rsid w:val="00AF79B3"/>
    <w:rsid w:val="00AF7FDB"/>
    <w:rsid w:val="00B003EC"/>
    <w:rsid w:val="00B0054A"/>
    <w:rsid w:val="00B00686"/>
    <w:rsid w:val="00B00A5C"/>
    <w:rsid w:val="00B013F3"/>
    <w:rsid w:val="00B0146D"/>
    <w:rsid w:val="00B0157F"/>
    <w:rsid w:val="00B01C14"/>
    <w:rsid w:val="00B01D66"/>
    <w:rsid w:val="00B01DEF"/>
    <w:rsid w:val="00B01F7E"/>
    <w:rsid w:val="00B02135"/>
    <w:rsid w:val="00B0234C"/>
    <w:rsid w:val="00B023A1"/>
    <w:rsid w:val="00B02490"/>
    <w:rsid w:val="00B02E51"/>
    <w:rsid w:val="00B03662"/>
    <w:rsid w:val="00B03F2D"/>
    <w:rsid w:val="00B03FA2"/>
    <w:rsid w:val="00B04637"/>
    <w:rsid w:val="00B046AB"/>
    <w:rsid w:val="00B04769"/>
    <w:rsid w:val="00B0476B"/>
    <w:rsid w:val="00B04937"/>
    <w:rsid w:val="00B04B65"/>
    <w:rsid w:val="00B051BE"/>
    <w:rsid w:val="00B05AC5"/>
    <w:rsid w:val="00B05D65"/>
    <w:rsid w:val="00B05F52"/>
    <w:rsid w:val="00B06437"/>
    <w:rsid w:val="00B06542"/>
    <w:rsid w:val="00B068F0"/>
    <w:rsid w:val="00B06F16"/>
    <w:rsid w:val="00B0730E"/>
    <w:rsid w:val="00B07C5D"/>
    <w:rsid w:val="00B07E95"/>
    <w:rsid w:val="00B100BF"/>
    <w:rsid w:val="00B100E8"/>
    <w:rsid w:val="00B1029F"/>
    <w:rsid w:val="00B10302"/>
    <w:rsid w:val="00B10F23"/>
    <w:rsid w:val="00B1182C"/>
    <w:rsid w:val="00B12688"/>
    <w:rsid w:val="00B12926"/>
    <w:rsid w:val="00B12997"/>
    <w:rsid w:val="00B129C9"/>
    <w:rsid w:val="00B12CEC"/>
    <w:rsid w:val="00B12FAB"/>
    <w:rsid w:val="00B1332E"/>
    <w:rsid w:val="00B138F5"/>
    <w:rsid w:val="00B13B27"/>
    <w:rsid w:val="00B13B75"/>
    <w:rsid w:val="00B13E23"/>
    <w:rsid w:val="00B14136"/>
    <w:rsid w:val="00B14E2A"/>
    <w:rsid w:val="00B15247"/>
    <w:rsid w:val="00B15396"/>
    <w:rsid w:val="00B157D5"/>
    <w:rsid w:val="00B158B3"/>
    <w:rsid w:val="00B158EF"/>
    <w:rsid w:val="00B15B86"/>
    <w:rsid w:val="00B16082"/>
    <w:rsid w:val="00B1620C"/>
    <w:rsid w:val="00B16221"/>
    <w:rsid w:val="00B1675D"/>
    <w:rsid w:val="00B16897"/>
    <w:rsid w:val="00B16C2A"/>
    <w:rsid w:val="00B171B1"/>
    <w:rsid w:val="00B174AE"/>
    <w:rsid w:val="00B17C5E"/>
    <w:rsid w:val="00B2015E"/>
    <w:rsid w:val="00B20C20"/>
    <w:rsid w:val="00B21079"/>
    <w:rsid w:val="00B2181C"/>
    <w:rsid w:val="00B21B27"/>
    <w:rsid w:val="00B21BC0"/>
    <w:rsid w:val="00B21D90"/>
    <w:rsid w:val="00B21FF4"/>
    <w:rsid w:val="00B22044"/>
    <w:rsid w:val="00B22417"/>
    <w:rsid w:val="00B22672"/>
    <w:rsid w:val="00B22B2F"/>
    <w:rsid w:val="00B230B8"/>
    <w:rsid w:val="00B23334"/>
    <w:rsid w:val="00B23B53"/>
    <w:rsid w:val="00B23DF2"/>
    <w:rsid w:val="00B23EEF"/>
    <w:rsid w:val="00B24F28"/>
    <w:rsid w:val="00B24FEF"/>
    <w:rsid w:val="00B254C1"/>
    <w:rsid w:val="00B25780"/>
    <w:rsid w:val="00B2588C"/>
    <w:rsid w:val="00B25949"/>
    <w:rsid w:val="00B25B6A"/>
    <w:rsid w:val="00B25E0A"/>
    <w:rsid w:val="00B2638F"/>
    <w:rsid w:val="00B26396"/>
    <w:rsid w:val="00B26424"/>
    <w:rsid w:val="00B26657"/>
    <w:rsid w:val="00B267C8"/>
    <w:rsid w:val="00B26AFD"/>
    <w:rsid w:val="00B26B5A"/>
    <w:rsid w:val="00B26BD3"/>
    <w:rsid w:val="00B26EE6"/>
    <w:rsid w:val="00B2767B"/>
    <w:rsid w:val="00B27B2B"/>
    <w:rsid w:val="00B30237"/>
    <w:rsid w:val="00B30285"/>
    <w:rsid w:val="00B3087D"/>
    <w:rsid w:val="00B30DC9"/>
    <w:rsid w:val="00B317C3"/>
    <w:rsid w:val="00B31A74"/>
    <w:rsid w:val="00B31D2B"/>
    <w:rsid w:val="00B31E0F"/>
    <w:rsid w:val="00B31E60"/>
    <w:rsid w:val="00B321DD"/>
    <w:rsid w:val="00B32247"/>
    <w:rsid w:val="00B32285"/>
    <w:rsid w:val="00B32459"/>
    <w:rsid w:val="00B32C9D"/>
    <w:rsid w:val="00B3312F"/>
    <w:rsid w:val="00B338B3"/>
    <w:rsid w:val="00B33DD8"/>
    <w:rsid w:val="00B343AE"/>
    <w:rsid w:val="00B34794"/>
    <w:rsid w:val="00B34BE0"/>
    <w:rsid w:val="00B351CD"/>
    <w:rsid w:val="00B35936"/>
    <w:rsid w:val="00B3614B"/>
    <w:rsid w:val="00B366B4"/>
    <w:rsid w:val="00B3680B"/>
    <w:rsid w:val="00B36CBA"/>
    <w:rsid w:val="00B36F5A"/>
    <w:rsid w:val="00B40098"/>
    <w:rsid w:val="00B40465"/>
    <w:rsid w:val="00B405E9"/>
    <w:rsid w:val="00B417B2"/>
    <w:rsid w:val="00B41E8A"/>
    <w:rsid w:val="00B4239F"/>
    <w:rsid w:val="00B425A1"/>
    <w:rsid w:val="00B42A12"/>
    <w:rsid w:val="00B430C4"/>
    <w:rsid w:val="00B43175"/>
    <w:rsid w:val="00B432C3"/>
    <w:rsid w:val="00B4361D"/>
    <w:rsid w:val="00B43AAD"/>
    <w:rsid w:val="00B43F99"/>
    <w:rsid w:val="00B4417B"/>
    <w:rsid w:val="00B4471F"/>
    <w:rsid w:val="00B44A96"/>
    <w:rsid w:val="00B44D8A"/>
    <w:rsid w:val="00B45BD6"/>
    <w:rsid w:val="00B463D3"/>
    <w:rsid w:val="00B46AEF"/>
    <w:rsid w:val="00B47059"/>
    <w:rsid w:val="00B470B9"/>
    <w:rsid w:val="00B471CB"/>
    <w:rsid w:val="00B47777"/>
    <w:rsid w:val="00B479D5"/>
    <w:rsid w:val="00B47DEC"/>
    <w:rsid w:val="00B47F78"/>
    <w:rsid w:val="00B5158D"/>
    <w:rsid w:val="00B51FB3"/>
    <w:rsid w:val="00B52021"/>
    <w:rsid w:val="00B520F2"/>
    <w:rsid w:val="00B5214C"/>
    <w:rsid w:val="00B525A7"/>
    <w:rsid w:val="00B528B1"/>
    <w:rsid w:val="00B53195"/>
    <w:rsid w:val="00B541D9"/>
    <w:rsid w:val="00B541FF"/>
    <w:rsid w:val="00B543EE"/>
    <w:rsid w:val="00B5452D"/>
    <w:rsid w:val="00B54769"/>
    <w:rsid w:val="00B548C7"/>
    <w:rsid w:val="00B5580D"/>
    <w:rsid w:val="00B55A67"/>
    <w:rsid w:val="00B55E26"/>
    <w:rsid w:val="00B5614B"/>
    <w:rsid w:val="00B56286"/>
    <w:rsid w:val="00B56897"/>
    <w:rsid w:val="00B569AD"/>
    <w:rsid w:val="00B569B9"/>
    <w:rsid w:val="00B572AD"/>
    <w:rsid w:val="00B5753A"/>
    <w:rsid w:val="00B57779"/>
    <w:rsid w:val="00B60287"/>
    <w:rsid w:val="00B60421"/>
    <w:rsid w:val="00B6134B"/>
    <w:rsid w:val="00B61483"/>
    <w:rsid w:val="00B61C08"/>
    <w:rsid w:val="00B62385"/>
    <w:rsid w:val="00B6259B"/>
    <w:rsid w:val="00B62C66"/>
    <w:rsid w:val="00B62E34"/>
    <w:rsid w:val="00B63068"/>
    <w:rsid w:val="00B6317E"/>
    <w:rsid w:val="00B63B47"/>
    <w:rsid w:val="00B64C87"/>
    <w:rsid w:val="00B64CE1"/>
    <w:rsid w:val="00B656CE"/>
    <w:rsid w:val="00B658E7"/>
    <w:rsid w:val="00B659C6"/>
    <w:rsid w:val="00B65C75"/>
    <w:rsid w:val="00B65DA5"/>
    <w:rsid w:val="00B65F35"/>
    <w:rsid w:val="00B66617"/>
    <w:rsid w:val="00B66F45"/>
    <w:rsid w:val="00B67814"/>
    <w:rsid w:val="00B678FB"/>
    <w:rsid w:val="00B67AC8"/>
    <w:rsid w:val="00B67C99"/>
    <w:rsid w:val="00B7067A"/>
    <w:rsid w:val="00B70B89"/>
    <w:rsid w:val="00B7165A"/>
    <w:rsid w:val="00B71BA4"/>
    <w:rsid w:val="00B71BF1"/>
    <w:rsid w:val="00B71DD8"/>
    <w:rsid w:val="00B71E76"/>
    <w:rsid w:val="00B72092"/>
    <w:rsid w:val="00B721B0"/>
    <w:rsid w:val="00B7222A"/>
    <w:rsid w:val="00B73C29"/>
    <w:rsid w:val="00B73C8D"/>
    <w:rsid w:val="00B74123"/>
    <w:rsid w:val="00B74173"/>
    <w:rsid w:val="00B7432B"/>
    <w:rsid w:val="00B745DC"/>
    <w:rsid w:val="00B74EA3"/>
    <w:rsid w:val="00B754BD"/>
    <w:rsid w:val="00B75786"/>
    <w:rsid w:val="00B75B41"/>
    <w:rsid w:val="00B75BCD"/>
    <w:rsid w:val="00B76114"/>
    <w:rsid w:val="00B76223"/>
    <w:rsid w:val="00B76664"/>
    <w:rsid w:val="00B76706"/>
    <w:rsid w:val="00B77A76"/>
    <w:rsid w:val="00B77D44"/>
    <w:rsid w:val="00B80012"/>
    <w:rsid w:val="00B801FE"/>
    <w:rsid w:val="00B8068A"/>
    <w:rsid w:val="00B807BD"/>
    <w:rsid w:val="00B80AF6"/>
    <w:rsid w:val="00B80B29"/>
    <w:rsid w:val="00B816D3"/>
    <w:rsid w:val="00B81AAB"/>
    <w:rsid w:val="00B81B76"/>
    <w:rsid w:val="00B81EB6"/>
    <w:rsid w:val="00B821D5"/>
    <w:rsid w:val="00B824BB"/>
    <w:rsid w:val="00B827CD"/>
    <w:rsid w:val="00B8286E"/>
    <w:rsid w:val="00B82974"/>
    <w:rsid w:val="00B82A04"/>
    <w:rsid w:val="00B833EB"/>
    <w:rsid w:val="00B8352F"/>
    <w:rsid w:val="00B8354C"/>
    <w:rsid w:val="00B839F5"/>
    <w:rsid w:val="00B83AA9"/>
    <w:rsid w:val="00B8456D"/>
    <w:rsid w:val="00B845FA"/>
    <w:rsid w:val="00B84631"/>
    <w:rsid w:val="00B84834"/>
    <w:rsid w:val="00B8499F"/>
    <w:rsid w:val="00B84C1A"/>
    <w:rsid w:val="00B84D94"/>
    <w:rsid w:val="00B84F70"/>
    <w:rsid w:val="00B85040"/>
    <w:rsid w:val="00B85565"/>
    <w:rsid w:val="00B85CD7"/>
    <w:rsid w:val="00B8641B"/>
    <w:rsid w:val="00B86454"/>
    <w:rsid w:val="00B8717B"/>
    <w:rsid w:val="00B87460"/>
    <w:rsid w:val="00B87DD4"/>
    <w:rsid w:val="00B87E32"/>
    <w:rsid w:val="00B87FA0"/>
    <w:rsid w:val="00B90372"/>
    <w:rsid w:val="00B90B9B"/>
    <w:rsid w:val="00B90C7C"/>
    <w:rsid w:val="00B910B2"/>
    <w:rsid w:val="00B91C0D"/>
    <w:rsid w:val="00B92CD9"/>
    <w:rsid w:val="00B9308B"/>
    <w:rsid w:val="00B9314B"/>
    <w:rsid w:val="00B9331C"/>
    <w:rsid w:val="00B9397E"/>
    <w:rsid w:val="00B93E01"/>
    <w:rsid w:val="00B95518"/>
    <w:rsid w:val="00B95D2B"/>
    <w:rsid w:val="00B95EF2"/>
    <w:rsid w:val="00B95F02"/>
    <w:rsid w:val="00B9607C"/>
    <w:rsid w:val="00B964F3"/>
    <w:rsid w:val="00B965FD"/>
    <w:rsid w:val="00B96A5C"/>
    <w:rsid w:val="00B96C7B"/>
    <w:rsid w:val="00B96D42"/>
    <w:rsid w:val="00B96DA7"/>
    <w:rsid w:val="00B97171"/>
    <w:rsid w:val="00B97632"/>
    <w:rsid w:val="00BA02B4"/>
    <w:rsid w:val="00BA04FA"/>
    <w:rsid w:val="00BA0738"/>
    <w:rsid w:val="00BA07BE"/>
    <w:rsid w:val="00BA0AC4"/>
    <w:rsid w:val="00BA0EB4"/>
    <w:rsid w:val="00BA0EC5"/>
    <w:rsid w:val="00BA0F55"/>
    <w:rsid w:val="00BA122F"/>
    <w:rsid w:val="00BA15B8"/>
    <w:rsid w:val="00BA28FC"/>
    <w:rsid w:val="00BA2EA1"/>
    <w:rsid w:val="00BA2FF7"/>
    <w:rsid w:val="00BA3484"/>
    <w:rsid w:val="00BA376E"/>
    <w:rsid w:val="00BA3816"/>
    <w:rsid w:val="00BA3AC0"/>
    <w:rsid w:val="00BA3C34"/>
    <w:rsid w:val="00BA3D37"/>
    <w:rsid w:val="00BA463F"/>
    <w:rsid w:val="00BA472E"/>
    <w:rsid w:val="00BA4F0B"/>
    <w:rsid w:val="00BA530B"/>
    <w:rsid w:val="00BA5C9B"/>
    <w:rsid w:val="00BA5DDF"/>
    <w:rsid w:val="00BA696F"/>
    <w:rsid w:val="00BA7727"/>
    <w:rsid w:val="00BA78F7"/>
    <w:rsid w:val="00BA791C"/>
    <w:rsid w:val="00BA7E87"/>
    <w:rsid w:val="00BA7EAB"/>
    <w:rsid w:val="00BB0243"/>
    <w:rsid w:val="00BB0248"/>
    <w:rsid w:val="00BB0797"/>
    <w:rsid w:val="00BB0BC6"/>
    <w:rsid w:val="00BB0E04"/>
    <w:rsid w:val="00BB12DB"/>
    <w:rsid w:val="00BB14F4"/>
    <w:rsid w:val="00BB203D"/>
    <w:rsid w:val="00BB265D"/>
    <w:rsid w:val="00BB2A13"/>
    <w:rsid w:val="00BB2BA4"/>
    <w:rsid w:val="00BB2D8D"/>
    <w:rsid w:val="00BB30D3"/>
    <w:rsid w:val="00BB332E"/>
    <w:rsid w:val="00BB34CB"/>
    <w:rsid w:val="00BB3515"/>
    <w:rsid w:val="00BB3983"/>
    <w:rsid w:val="00BB3BD5"/>
    <w:rsid w:val="00BB3CA5"/>
    <w:rsid w:val="00BB4031"/>
    <w:rsid w:val="00BB43EB"/>
    <w:rsid w:val="00BB4922"/>
    <w:rsid w:val="00BB4B74"/>
    <w:rsid w:val="00BB4BCD"/>
    <w:rsid w:val="00BB507A"/>
    <w:rsid w:val="00BB5088"/>
    <w:rsid w:val="00BB5756"/>
    <w:rsid w:val="00BB5C5E"/>
    <w:rsid w:val="00BB6110"/>
    <w:rsid w:val="00BB61FF"/>
    <w:rsid w:val="00BB6B2C"/>
    <w:rsid w:val="00BB6F14"/>
    <w:rsid w:val="00BB7143"/>
    <w:rsid w:val="00BB7503"/>
    <w:rsid w:val="00BB793E"/>
    <w:rsid w:val="00BB7AA0"/>
    <w:rsid w:val="00BB7E23"/>
    <w:rsid w:val="00BB7F26"/>
    <w:rsid w:val="00BC0043"/>
    <w:rsid w:val="00BC0269"/>
    <w:rsid w:val="00BC061B"/>
    <w:rsid w:val="00BC0684"/>
    <w:rsid w:val="00BC0935"/>
    <w:rsid w:val="00BC0DCA"/>
    <w:rsid w:val="00BC28D9"/>
    <w:rsid w:val="00BC381F"/>
    <w:rsid w:val="00BC3B0A"/>
    <w:rsid w:val="00BC3C60"/>
    <w:rsid w:val="00BC415C"/>
    <w:rsid w:val="00BC4335"/>
    <w:rsid w:val="00BC4709"/>
    <w:rsid w:val="00BC4C8E"/>
    <w:rsid w:val="00BC4F89"/>
    <w:rsid w:val="00BC5490"/>
    <w:rsid w:val="00BC54DF"/>
    <w:rsid w:val="00BC5611"/>
    <w:rsid w:val="00BC5FD3"/>
    <w:rsid w:val="00BC6789"/>
    <w:rsid w:val="00BC67E6"/>
    <w:rsid w:val="00BC72AE"/>
    <w:rsid w:val="00BC759C"/>
    <w:rsid w:val="00BD0196"/>
    <w:rsid w:val="00BD036D"/>
    <w:rsid w:val="00BD0D07"/>
    <w:rsid w:val="00BD0D0C"/>
    <w:rsid w:val="00BD0ED1"/>
    <w:rsid w:val="00BD14BB"/>
    <w:rsid w:val="00BD1611"/>
    <w:rsid w:val="00BD1F35"/>
    <w:rsid w:val="00BD259E"/>
    <w:rsid w:val="00BD2DA1"/>
    <w:rsid w:val="00BD301C"/>
    <w:rsid w:val="00BD320F"/>
    <w:rsid w:val="00BD32CD"/>
    <w:rsid w:val="00BD3515"/>
    <w:rsid w:val="00BD364E"/>
    <w:rsid w:val="00BD3C47"/>
    <w:rsid w:val="00BD3F7E"/>
    <w:rsid w:val="00BD4299"/>
    <w:rsid w:val="00BD429A"/>
    <w:rsid w:val="00BD4FE0"/>
    <w:rsid w:val="00BD5AB4"/>
    <w:rsid w:val="00BD5D7B"/>
    <w:rsid w:val="00BD5F4D"/>
    <w:rsid w:val="00BD603F"/>
    <w:rsid w:val="00BD6331"/>
    <w:rsid w:val="00BD65FE"/>
    <w:rsid w:val="00BD66F6"/>
    <w:rsid w:val="00BD6917"/>
    <w:rsid w:val="00BD6976"/>
    <w:rsid w:val="00BD6AA3"/>
    <w:rsid w:val="00BD6C6D"/>
    <w:rsid w:val="00BD749D"/>
    <w:rsid w:val="00BD7A68"/>
    <w:rsid w:val="00BD7C4F"/>
    <w:rsid w:val="00BE00E5"/>
    <w:rsid w:val="00BE054F"/>
    <w:rsid w:val="00BE0A38"/>
    <w:rsid w:val="00BE13FC"/>
    <w:rsid w:val="00BE17E2"/>
    <w:rsid w:val="00BE1A34"/>
    <w:rsid w:val="00BE1CAD"/>
    <w:rsid w:val="00BE21A5"/>
    <w:rsid w:val="00BE2B31"/>
    <w:rsid w:val="00BE2C78"/>
    <w:rsid w:val="00BE2D80"/>
    <w:rsid w:val="00BE4172"/>
    <w:rsid w:val="00BE4202"/>
    <w:rsid w:val="00BE42E4"/>
    <w:rsid w:val="00BE448E"/>
    <w:rsid w:val="00BE44E9"/>
    <w:rsid w:val="00BE4636"/>
    <w:rsid w:val="00BE46B7"/>
    <w:rsid w:val="00BE47FE"/>
    <w:rsid w:val="00BE51D5"/>
    <w:rsid w:val="00BE571F"/>
    <w:rsid w:val="00BE6038"/>
    <w:rsid w:val="00BE6867"/>
    <w:rsid w:val="00BE6941"/>
    <w:rsid w:val="00BE6965"/>
    <w:rsid w:val="00BE6E65"/>
    <w:rsid w:val="00BE7776"/>
    <w:rsid w:val="00BF011E"/>
    <w:rsid w:val="00BF0655"/>
    <w:rsid w:val="00BF0825"/>
    <w:rsid w:val="00BF0CD6"/>
    <w:rsid w:val="00BF0E44"/>
    <w:rsid w:val="00BF1186"/>
    <w:rsid w:val="00BF1631"/>
    <w:rsid w:val="00BF17DF"/>
    <w:rsid w:val="00BF192E"/>
    <w:rsid w:val="00BF1D81"/>
    <w:rsid w:val="00BF1FAF"/>
    <w:rsid w:val="00BF203B"/>
    <w:rsid w:val="00BF227D"/>
    <w:rsid w:val="00BF2735"/>
    <w:rsid w:val="00BF2838"/>
    <w:rsid w:val="00BF2992"/>
    <w:rsid w:val="00BF2AD6"/>
    <w:rsid w:val="00BF3263"/>
    <w:rsid w:val="00BF34AA"/>
    <w:rsid w:val="00BF4028"/>
    <w:rsid w:val="00BF4214"/>
    <w:rsid w:val="00BF42CF"/>
    <w:rsid w:val="00BF4D71"/>
    <w:rsid w:val="00BF50BF"/>
    <w:rsid w:val="00BF58FB"/>
    <w:rsid w:val="00BF592D"/>
    <w:rsid w:val="00BF5BCC"/>
    <w:rsid w:val="00BF5CB8"/>
    <w:rsid w:val="00BF5D39"/>
    <w:rsid w:val="00BF609E"/>
    <w:rsid w:val="00BF6747"/>
    <w:rsid w:val="00BF6AC2"/>
    <w:rsid w:val="00BF6AC4"/>
    <w:rsid w:val="00BF6D49"/>
    <w:rsid w:val="00BF6FBE"/>
    <w:rsid w:val="00BF76AA"/>
    <w:rsid w:val="00BF7DE4"/>
    <w:rsid w:val="00C00A31"/>
    <w:rsid w:val="00C00C0A"/>
    <w:rsid w:val="00C0106C"/>
    <w:rsid w:val="00C0137C"/>
    <w:rsid w:val="00C01450"/>
    <w:rsid w:val="00C015AC"/>
    <w:rsid w:val="00C015F1"/>
    <w:rsid w:val="00C016FE"/>
    <w:rsid w:val="00C01967"/>
    <w:rsid w:val="00C020AD"/>
    <w:rsid w:val="00C024E5"/>
    <w:rsid w:val="00C028C7"/>
    <w:rsid w:val="00C0309D"/>
    <w:rsid w:val="00C0322B"/>
    <w:rsid w:val="00C03373"/>
    <w:rsid w:val="00C033A3"/>
    <w:rsid w:val="00C03F1E"/>
    <w:rsid w:val="00C04085"/>
    <w:rsid w:val="00C04210"/>
    <w:rsid w:val="00C04484"/>
    <w:rsid w:val="00C04BAC"/>
    <w:rsid w:val="00C04BE8"/>
    <w:rsid w:val="00C050A4"/>
    <w:rsid w:val="00C054C1"/>
    <w:rsid w:val="00C05783"/>
    <w:rsid w:val="00C05DE4"/>
    <w:rsid w:val="00C05F51"/>
    <w:rsid w:val="00C0602C"/>
    <w:rsid w:val="00C06074"/>
    <w:rsid w:val="00C0611C"/>
    <w:rsid w:val="00C062DE"/>
    <w:rsid w:val="00C063BA"/>
    <w:rsid w:val="00C06EC1"/>
    <w:rsid w:val="00C071D6"/>
    <w:rsid w:val="00C07A9E"/>
    <w:rsid w:val="00C07C01"/>
    <w:rsid w:val="00C10903"/>
    <w:rsid w:val="00C10B5F"/>
    <w:rsid w:val="00C11118"/>
    <w:rsid w:val="00C1165C"/>
    <w:rsid w:val="00C11945"/>
    <w:rsid w:val="00C119EC"/>
    <w:rsid w:val="00C11A4C"/>
    <w:rsid w:val="00C11F2C"/>
    <w:rsid w:val="00C12CF7"/>
    <w:rsid w:val="00C1428B"/>
    <w:rsid w:val="00C145D2"/>
    <w:rsid w:val="00C149E7"/>
    <w:rsid w:val="00C14F4F"/>
    <w:rsid w:val="00C14FDB"/>
    <w:rsid w:val="00C1502B"/>
    <w:rsid w:val="00C151C5"/>
    <w:rsid w:val="00C155CC"/>
    <w:rsid w:val="00C158BE"/>
    <w:rsid w:val="00C15931"/>
    <w:rsid w:val="00C15D10"/>
    <w:rsid w:val="00C1637D"/>
    <w:rsid w:val="00C1671C"/>
    <w:rsid w:val="00C17130"/>
    <w:rsid w:val="00C1747F"/>
    <w:rsid w:val="00C176CD"/>
    <w:rsid w:val="00C17788"/>
    <w:rsid w:val="00C17A1F"/>
    <w:rsid w:val="00C17B02"/>
    <w:rsid w:val="00C17C39"/>
    <w:rsid w:val="00C17DF7"/>
    <w:rsid w:val="00C20269"/>
    <w:rsid w:val="00C2026C"/>
    <w:rsid w:val="00C20552"/>
    <w:rsid w:val="00C209FF"/>
    <w:rsid w:val="00C20D1A"/>
    <w:rsid w:val="00C21247"/>
    <w:rsid w:val="00C213A6"/>
    <w:rsid w:val="00C2141D"/>
    <w:rsid w:val="00C2153A"/>
    <w:rsid w:val="00C2160B"/>
    <w:rsid w:val="00C21AC9"/>
    <w:rsid w:val="00C22904"/>
    <w:rsid w:val="00C229F4"/>
    <w:rsid w:val="00C22A55"/>
    <w:rsid w:val="00C22CDC"/>
    <w:rsid w:val="00C22D96"/>
    <w:rsid w:val="00C233D3"/>
    <w:rsid w:val="00C23591"/>
    <w:rsid w:val="00C237E0"/>
    <w:rsid w:val="00C237F7"/>
    <w:rsid w:val="00C23F9F"/>
    <w:rsid w:val="00C243F6"/>
    <w:rsid w:val="00C24793"/>
    <w:rsid w:val="00C248B8"/>
    <w:rsid w:val="00C25033"/>
    <w:rsid w:val="00C25669"/>
    <w:rsid w:val="00C2585C"/>
    <w:rsid w:val="00C26010"/>
    <w:rsid w:val="00C26015"/>
    <w:rsid w:val="00C26350"/>
    <w:rsid w:val="00C2654D"/>
    <w:rsid w:val="00C26B6B"/>
    <w:rsid w:val="00C26BFE"/>
    <w:rsid w:val="00C26CF6"/>
    <w:rsid w:val="00C26F74"/>
    <w:rsid w:val="00C27060"/>
    <w:rsid w:val="00C27F13"/>
    <w:rsid w:val="00C309F7"/>
    <w:rsid w:val="00C310FF"/>
    <w:rsid w:val="00C313B2"/>
    <w:rsid w:val="00C3197E"/>
    <w:rsid w:val="00C31B15"/>
    <w:rsid w:val="00C31BE0"/>
    <w:rsid w:val="00C31C50"/>
    <w:rsid w:val="00C31E89"/>
    <w:rsid w:val="00C32503"/>
    <w:rsid w:val="00C32802"/>
    <w:rsid w:val="00C3293B"/>
    <w:rsid w:val="00C32952"/>
    <w:rsid w:val="00C329B7"/>
    <w:rsid w:val="00C32FF4"/>
    <w:rsid w:val="00C33F66"/>
    <w:rsid w:val="00C34103"/>
    <w:rsid w:val="00C343CD"/>
    <w:rsid w:val="00C34607"/>
    <w:rsid w:val="00C34D16"/>
    <w:rsid w:val="00C351A8"/>
    <w:rsid w:val="00C3523E"/>
    <w:rsid w:val="00C35430"/>
    <w:rsid w:val="00C35967"/>
    <w:rsid w:val="00C35D38"/>
    <w:rsid w:val="00C368F9"/>
    <w:rsid w:val="00C3690F"/>
    <w:rsid w:val="00C36FBB"/>
    <w:rsid w:val="00C3762B"/>
    <w:rsid w:val="00C37F9E"/>
    <w:rsid w:val="00C40207"/>
    <w:rsid w:val="00C40482"/>
    <w:rsid w:val="00C404CE"/>
    <w:rsid w:val="00C40A52"/>
    <w:rsid w:val="00C40D0F"/>
    <w:rsid w:val="00C41239"/>
    <w:rsid w:val="00C416B8"/>
    <w:rsid w:val="00C417AF"/>
    <w:rsid w:val="00C41F1E"/>
    <w:rsid w:val="00C42164"/>
    <w:rsid w:val="00C42287"/>
    <w:rsid w:val="00C43116"/>
    <w:rsid w:val="00C43131"/>
    <w:rsid w:val="00C43229"/>
    <w:rsid w:val="00C4328E"/>
    <w:rsid w:val="00C432D5"/>
    <w:rsid w:val="00C432ED"/>
    <w:rsid w:val="00C43789"/>
    <w:rsid w:val="00C438CD"/>
    <w:rsid w:val="00C4423B"/>
    <w:rsid w:val="00C444F9"/>
    <w:rsid w:val="00C44772"/>
    <w:rsid w:val="00C44842"/>
    <w:rsid w:val="00C449F8"/>
    <w:rsid w:val="00C44C10"/>
    <w:rsid w:val="00C44C5B"/>
    <w:rsid w:val="00C4525B"/>
    <w:rsid w:val="00C45348"/>
    <w:rsid w:val="00C45B3E"/>
    <w:rsid w:val="00C45D93"/>
    <w:rsid w:val="00C461D8"/>
    <w:rsid w:val="00C46E95"/>
    <w:rsid w:val="00C47255"/>
    <w:rsid w:val="00C473EB"/>
    <w:rsid w:val="00C47B3F"/>
    <w:rsid w:val="00C47CCB"/>
    <w:rsid w:val="00C50526"/>
    <w:rsid w:val="00C506EE"/>
    <w:rsid w:val="00C5078E"/>
    <w:rsid w:val="00C507AC"/>
    <w:rsid w:val="00C50972"/>
    <w:rsid w:val="00C50D54"/>
    <w:rsid w:val="00C50F1C"/>
    <w:rsid w:val="00C510ED"/>
    <w:rsid w:val="00C51152"/>
    <w:rsid w:val="00C5156C"/>
    <w:rsid w:val="00C51C1C"/>
    <w:rsid w:val="00C51CD2"/>
    <w:rsid w:val="00C52606"/>
    <w:rsid w:val="00C528BF"/>
    <w:rsid w:val="00C53012"/>
    <w:rsid w:val="00C530E7"/>
    <w:rsid w:val="00C533ED"/>
    <w:rsid w:val="00C53D6A"/>
    <w:rsid w:val="00C5409A"/>
    <w:rsid w:val="00C54A9B"/>
    <w:rsid w:val="00C55280"/>
    <w:rsid w:val="00C55332"/>
    <w:rsid w:val="00C55666"/>
    <w:rsid w:val="00C557E9"/>
    <w:rsid w:val="00C5581C"/>
    <w:rsid w:val="00C558B0"/>
    <w:rsid w:val="00C558DD"/>
    <w:rsid w:val="00C560D0"/>
    <w:rsid w:val="00C56D4A"/>
    <w:rsid w:val="00C56ED6"/>
    <w:rsid w:val="00C5724F"/>
    <w:rsid w:val="00C5745F"/>
    <w:rsid w:val="00C5750D"/>
    <w:rsid w:val="00C575B5"/>
    <w:rsid w:val="00C5773C"/>
    <w:rsid w:val="00C6003B"/>
    <w:rsid w:val="00C6055B"/>
    <w:rsid w:val="00C6081E"/>
    <w:rsid w:val="00C60889"/>
    <w:rsid w:val="00C60A0C"/>
    <w:rsid w:val="00C60AEB"/>
    <w:rsid w:val="00C60EDE"/>
    <w:rsid w:val="00C60EE2"/>
    <w:rsid w:val="00C61B65"/>
    <w:rsid w:val="00C62B95"/>
    <w:rsid w:val="00C632BF"/>
    <w:rsid w:val="00C63A50"/>
    <w:rsid w:val="00C63C8E"/>
    <w:rsid w:val="00C63EF0"/>
    <w:rsid w:val="00C644E0"/>
    <w:rsid w:val="00C648C7"/>
    <w:rsid w:val="00C64C86"/>
    <w:rsid w:val="00C6563E"/>
    <w:rsid w:val="00C6569B"/>
    <w:rsid w:val="00C65A15"/>
    <w:rsid w:val="00C65E7F"/>
    <w:rsid w:val="00C65FC5"/>
    <w:rsid w:val="00C66205"/>
    <w:rsid w:val="00C66587"/>
    <w:rsid w:val="00C66FFD"/>
    <w:rsid w:val="00C6714E"/>
    <w:rsid w:val="00C67C03"/>
    <w:rsid w:val="00C7028D"/>
    <w:rsid w:val="00C7066D"/>
    <w:rsid w:val="00C7078C"/>
    <w:rsid w:val="00C71947"/>
    <w:rsid w:val="00C71ED7"/>
    <w:rsid w:val="00C7344B"/>
    <w:rsid w:val="00C7346D"/>
    <w:rsid w:val="00C735F1"/>
    <w:rsid w:val="00C73869"/>
    <w:rsid w:val="00C73D9C"/>
    <w:rsid w:val="00C74607"/>
    <w:rsid w:val="00C753ED"/>
    <w:rsid w:val="00C75930"/>
    <w:rsid w:val="00C75EF7"/>
    <w:rsid w:val="00C763E3"/>
    <w:rsid w:val="00C765BB"/>
    <w:rsid w:val="00C771AB"/>
    <w:rsid w:val="00C77B07"/>
    <w:rsid w:val="00C77BDB"/>
    <w:rsid w:val="00C77C30"/>
    <w:rsid w:val="00C80492"/>
    <w:rsid w:val="00C8070F"/>
    <w:rsid w:val="00C807E8"/>
    <w:rsid w:val="00C80AC0"/>
    <w:rsid w:val="00C80BC8"/>
    <w:rsid w:val="00C80BD7"/>
    <w:rsid w:val="00C81369"/>
    <w:rsid w:val="00C818CF"/>
    <w:rsid w:val="00C819FD"/>
    <w:rsid w:val="00C82423"/>
    <w:rsid w:val="00C825A5"/>
    <w:rsid w:val="00C831E1"/>
    <w:rsid w:val="00C832BF"/>
    <w:rsid w:val="00C83599"/>
    <w:rsid w:val="00C83D82"/>
    <w:rsid w:val="00C83EDF"/>
    <w:rsid w:val="00C84443"/>
    <w:rsid w:val="00C84694"/>
    <w:rsid w:val="00C84AAB"/>
    <w:rsid w:val="00C84BB9"/>
    <w:rsid w:val="00C85579"/>
    <w:rsid w:val="00C85C73"/>
    <w:rsid w:val="00C85E9C"/>
    <w:rsid w:val="00C8624D"/>
    <w:rsid w:val="00C8634F"/>
    <w:rsid w:val="00C8713A"/>
    <w:rsid w:val="00C878D5"/>
    <w:rsid w:val="00C9033B"/>
    <w:rsid w:val="00C903AF"/>
    <w:rsid w:val="00C90B95"/>
    <w:rsid w:val="00C90E93"/>
    <w:rsid w:val="00C913A1"/>
    <w:rsid w:val="00C922D7"/>
    <w:rsid w:val="00C926F4"/>
    <w:rsid w:val="00C92AC7"/>
    <w:rsid w:val="00C930E5"/>
    <w:rsid w:val="00C93B53"/>
    <w:rsid w:val="00C93C81"/>
    <w:rsid w:val="00C94A3A"/>
    <w:rsid w:val="00C94D67"/>
    <w:rsid w:val="00C94F1D"/>
    <w:rsid w:val="00C952FF"/>
    <w:rsid w:val="00C9531F"/>
    <w:rsid w:val="00C9566A"/>
    <w:rsid w:val="00C9583B"/>
    <w:rsid w:val="00C95BDE"/>
    <w:rsid w:val="00C95CD4"/>
    <w:rsid w:val="00C95F65"/>
    <w:rsid w:val="00C9605A"/>
    <w:rsid w:val="00C96479"/>
    <w:rsid w:val="00C9652E"/>
    <w:rsid w:val="00C96548"/>
    <w:rsid w:val="00C96A70"/>
    <w:rsid w:val="00C96AF0"/>
    <w:rsid w:val="00C96B11"/>
    <w:rsid w:val="00C97134"/>
    <w:rsid w:val="00C97252"/>
    <w:rsid w:val="00C9753B"/>
    <w:rsid w:val="00CA03AB"/>
    <w:rsid w:val="00CA096F"/>
    <w:rsid w:val="00CA0F5C"/>
    <w:rsid w:val="00CA1155"/>
    <w:rsid w:val="00CA189C"/>
    <w:rsid w:val="00CA1D40"/>
    <w:rsid w:val="00CA38F2"/>
    <w:rsid w:val="00CA3AFD"/>
    <w:rsid w:val="00CA3C6D"/>
    <w:rsid w:val="00CA3E97"/>
    <w:rsid w:val="00CA42B3"/>
    <w:rsid w:val="00CA4ACA"/>
    <w:rsid w:val="00CA4C5D"/>
    <w:rsid w:val="00CA4E05"/>
    <w:rsid w:val="00CA5412"/>
    <w:rsid w:val="00CA548F"/>
    <w:rsid w:val="00CA576F"/>
    <w:rsid w:val="00CA613B"/>
    <w:rsid w:val="00CA62C8"/>
    <w:rsid w:val="00CA62FF"/>
    <w:rsid w:val="00CA632B"/>
    <w:rsid w:val="00CA64F6"/>
    <w:rsid w:val="00CA6D03"/>
    <w:rsid w:val="00CA6D87"/>
    <w:rsid w:val="00CA7165"/>
    <w:rsid w:val="00CA727D"/>
    <w:rsid w:val="00CA739A"/>
    <w:rsid w:val="00CA7645"/>
    <w:rsid w:val="00CA7819"/>
    <w:rsid w:val="00CA7B75"/>
    <w:rsid w:val="00CA7EBA"/>
    <w:rsid w:val="00CB072A"/>
    <w:rsid w:val="00CB0BA1"/>
    <w:rsid w:val="00CB0BD9"/>
    <w:rsid w:val="00CB0EBE"/>
    <w:rsid w:val="00CB1124"/>
    <w:rsid w:val="00CB11E6"/>
    <w:rsid w:val="00CB1526"/>
    <w:rsid w:val="00CB190C"/>
    <w:rsid w:val="00CB1AAA"/>
    <w:rsid w:val="00CB1B2C"/>
    <w:rsid w:val="00CB1EC2"/>
    <w:rsid w:val="00CB2628"/>
    <w:rsid w:val="00CB2932"/>
    <w:rsid w:val="00CB3FEA"/>
    <w:rsid w:val="00CB4903"/>
    <w:rsid w:val="00CB4CB2"/>
    <w:rsid w:val="00CB4CCE"/>
    <w:rsid w:val="00CB531F"/>
    <w:rsid w:val="00CB55D5"/>
    <w:rsid w:val="00CB5869"/>
    <w:rsid w:val="00CB6097"/>
    <w:rsid w:val="00CB6311"/>
    <w:rsid w:val="00CB6724"/>
    <w:rsid w:val="00CB6D9A"/>
    <w:rsid w:val="00CB7E92"/>
    <w:rsid w:val="00CC01F4"/>
    <w:rsid w:val="00CC059E"/>
    <w:rsid w:val="00CC09E3"/>
    <w:rsid w:val="00CC0C2D"/>
    <w:rsid w:val="00CC0C3E"/>
    <w:rsid w:val="00CC0E70"/>
    <w:rsid w:val="00CC1A49"/>
    <w:rsid w:val="00CC1E40"/>
    <w:rsid w:val="00CC1EA4"/>
    <w:rsid w:val="00CC248C"/>
    <w:rsid w:val="00CC26C4"/>
    <w:rsid w:val="00CC279C"/>
    <w:rsid w:val="00CC27E1"/>
    <w:rsid w:val="00CC2DFC"/>
    <w:rsid w:val="00CC3626"/>
    <w:rsid w:val="00CC3EFD"/>
    <w:rsid w:val="00CC42B8"/>
    <w:rsid w:val="00CC4AD4"/>
    <w:rsid w:val="00CC4C57"/>
    <w:rsid w:val="00CC4CB0"/>
    <w:rsid w:val="00CC4E3B"/>
    <w:rsid w:val="00CC4F5C"/>
    <w:rsid w:val="00CC54EF"/>
    <w:rsid w:val="00CC553A"/>
    <w:rsid w:val="00CC5790"/>
    <w:rsid w:val="00CC5B6F"/>
    <w:rsid w:val="00CC5CF1"/>
    <w:rsid w:val="00CC5D46"/>
    <w:rsid w:val="00CC6245"/>
    <w:rsid w:val="00CC6252"/>
    <w:rsid w:val="00CC6356"/>
    <w:rsid w:val="00CC64EF"/>
    <w:rsid w:val="00CC6599"/>
    <w:rsid w:val="00CC6649"/>
    <w:rsid w:val="00CC6A99"/>
    <w:rsid w:val="00CC6B07"/>
    <w:rsid w:val="00CC7350"/>
    <w:rsid w:val="00CC742B"/>
    <w:rsid w:val="00CC782A"/>
    <w:rsid w:val="00CC79B7"/>
    <w:rsid w:val="00CC7B48"/>
    <w:rsid w:val="00CC7BA7"/>
    <w:rsid w:val="00CC7CE7"/>
    <w:rsid w:val="00CC7D18"/>
    <w:rsid w:val="00CC7E84"/>
    <w:rsid w:val="00CD0AF0"/>
    <w:rsid w:val="00CD0B7F"/>
    <w:rsid w:val="00CD0EAC"/>
    <w:rsid w:val="00CD0F36"/>
    <w:rsid w:val="00CD1327"/>
    <w:rsid w:val="00CD168E"/>
    <w:rsid w:val="00CD189C"/>
    <w:rsid w:val="00CD1BBF"/>
    <w:rsid w:val="00CD2308"/>
    <w:rsid w:val="00CD2711"/>
    <w:rsid w:val="00CD2A5E"/>
    <w:rsid w:val="00CD2BE5"/>
    <w:rsid w:val="00CD312A"/>
    <w:rsid w:val="00CD3710"/>
    <w:rsid w:val="00CD39E4"/>
    <w:rsid w:val="00CD3A48"/>
    <w:rsid w:val="00CD3C27"/>
    <w:rsid w:val="00CD471E"/>
    <w:rsid w:val="00CD4C35"/>
    <w:rsid w:val="00CD4C86"/>
    <w:rsid w:val="00CD4E29"/>
    <w:rsid w:val="00CD4EE3"/>
    <w:rsid w:val="00CD5558"/>
    <w:rsid w:val="00CD5805"/>
    <w:rsid w:val="00CD7062"/>
    <w:rsid w:val="00CD72D6"/>
    <w:rsid w:val="00CD79D5"/>
    <w:rsid w:val="00CE04CC"/>
    <w:rsid w:val="00CE0E30"/>
    <w:rsid w:val="00CE13AE"/>
    <w:rsid w:val="00CE2379"/>
    <w:rsid w:val="00CE27F1"/>
    <w:rsid w:val="00CE2E0A"/>
    <w:rsid w:val="00CE3502"/>
    <w:rsid w:val="00CE39D1"/>
    <w:rsid w:val="00CE3D4E"/>
    <w:rsid w:val="00CE416F"/>
    <w:rsid w:val="00CE4AE0"/>
    <w:rsid w:val="00CE4DFC"/>
    <w:rsid w:val="00CE4F85"/>
    <w:rsid w:val="00CE5510"/>
    <w:rsid w:val="00CE5570"/>
    <w:rsid w:val="00CE572D"/>
    <w:rsid w:val="00CE583D"/>
    <w:rsid w:val="00CE6126"/>
    <w:rsid w:val="00CE6180"/>
    <w:rsid w:val="00CE6654"/>
    <w:rsid w:val="00CE71A5"/>
    <w:rsid w:val="00CE71BF"/>
    <w:rsid w:val="00CE7963"/>
    <w:rsid w:val="00CE7A2C"/>
    <w:rsid w:val="00CE7D77"/>
    <w:rsid w:val="00CE7DDC"/>
    <w:rsid w:val="00CF0327"/>
    <w:rsid w:val="00CF03A6"/>
    <w:rsid w:val="00CF03EF"/>
    <w:rsid w:val="00CF0B6A"/>
    <w:rsid w:val="00CF0B89"/>
    <w:rsid w:val="00CF1160"/>
    <w:rsid w:val="00CF157D"/>
    <w:rsid w:val="00CF1846"/>
    <w:rsid w:val="00CF194E"/>
    <w:rsid w:val="00CF20F0"/>
    <w:rsid w:val="00CF2749"/>
    <w:rsid w:val="00CF29C0"/>
    <w:rsid w:val="00CF3217"/>
    <w:rsid w:val="00CF3340"/>
    <w:rsid w:val="00CF39D4"/>
    <w:rsid w:val="00CF3E47"/>
    <w:rsid w:val="00CF3EE6"/>
    <w:rsid w:val="00CF40C9"/>
    <w:rsid w:val="00CF4190"/>
    <w:rsid w:val="00CF4231"/>
    <w:rsid w:val="00CF43D1"/>
    <w:rsid w:val="00CF467F"/>
    <w:rsid w:val="00CF4D96"/>
    <w:rsid w:val="00CF5057"/>
    <w:rsid w:val="00CF5156"/>
    <w:rsid w:val="00CF5158"/>
    <w:rsid w:val="00CF5432"/>
    <w:rsid w:val="00CF5579"/>
    <w:rsid w:val="00CF564D"/>
    <w:rsid w:val="00CF587C"/>
    <w:rsid w:val="00CF5D9D"/>
    <w:rsid w:val="00CF605E"/>
    <w:rsid w:val="00CF667B"/>
    <w:rsid w:val="00CF686F"/>
    <w:rsid w:val="00CF73FB"/>
    <w:rsid w:val="00D0003E"/>
    <w:rsid w:val="00D00055"/>
    <w:rsid w:val="00D00085"/>
    <w:rsid w:val="00D00720"/>
    <w:rsid w:val="00D00730"/>
    <w:rsid w:val="00D00AA3"/>
    <w:rsid w:val="00D00F89"/>
    <w:rsid w:val="00D013B5"/>
    <w:rsid w:val="00D01A2C"/>
    <w:rsid w:val="00D02069"/>
    <w:rsid w:val="00D02217"/>
    <w:rsid w:val="00D024C9"/>
    <w:rsid w:val="00D027BA"/>
    <w:rsid w:val="00D027C0"/>
    <w:rsid w:val="00D0323F"/>
    <w:rsid w:val="00D03CA9"/>
    <w:rsid w:val="00D03D95"/>
    <w:rsid w:val="00D0469D"/>
    <w:rsid w:val="00D04AA4"/>
    <w:rsid w:val="00D04B0F"/>
    <w:rsid w:val="00D0504E"/>
    <w:rsid w:val="00D052FB"/>
    <w:rsid w:val="00D055F5"/>
    <w:rsid w:val="00D0673D"/>
    <w:rsid w:val="00D06C71"/>
    <w:rsid w:val="00D073DE"/>
    <w:rsid w:val="00D07A57"/>
    <w:rsid w:val="00D07F73"/>
    <w:rsid w:val="00D10029"/>
    <w:rsid w:val="00D10221"/>
    <w:rsid w:val="00D10719"/>
    <w:rsid w:val="00D10F25"/>
    <w:rsid w:val="00D112E9"/>
    <w:rsid w:val="00D112F9"/>
    <w:rsid w:val="00D11375"/>
    <w:rsid w:val="00D11672"/>
    <w:rsid w:val="00D117F4"/>
    <w:rsid w:val="00D11C0A"/>
    <w:rsid w:val="00D11CB5"/>
    <w:rsid w:val="00D1222D"/>
    <w:rsid w:val="00D1224E"/>
    <w:rsid w:val="00D126C6"/>
    <w:rsid w:val="00D137B5"/>
    <w:rsid w:val="00D14109"/>
    <w:rsid w:val="00D14844"/>
    <w:rsid w:val="00D14C94"/>
    <w:rsid w:val="00D14C9F"/>
    <w:rsid w:val="00D15228"/>
    <w:rsid w:val="00D15290"/>
    <w:rsid w:val="00D1546F"/>
    <w:rsid w:val="00D1595C"/>
    <w:rsid w:val="00D15B50"/>
    <w:rsid w:val="00D16074"/>
    <w:rsid w:val="00D163BF"/>
    <w:rsid w:val="00D168DE"/>
    <w:rsid w:val="00D170E0"/>
    <w:rsid w:val="00D17700"/>
    <w:rsid w:val="00D179B5"/>
    <w:rsid w:val="00D179F4"/>
    <w:rsid w:val="00D17A5A"/>
    <w:rsid w:val="00D17C43"/>
    <w:rsid w:val="00D2041C"/>
    <w:rsid w:val="00D2091C"/>
    <w:rsid w:val="00D2096E"/>
    <w:rsid w:val="00D20A4B"/>
    <w:rsid w:val="00D20B2A"/>
    <w:rsid w:val="00D21077"/>
    <w:rsid w:val="00D214CE"/>
    <w:rsid w:val="00D218E3"/>
    <w:rsid w:val="00D21E02"/>
    <w:rsid w:val="00D22526"/>
    <w:rsid w:val="00D2284E"/>
    <w:rsid w:val="00D22B65"/>
    <w:rsid w:val="00D22BD2"/>
    <w:rsid w:val="00D22C8D"/>
    <w:rsid w:val="00D2327C"/>
    <w:rsid w:val="00D23352"/>
    <w:rsid w:val="00D2388B"/>
    <w:rsid w:val="00D23A8B"/>
    <w:rsid w:val="00D23F13"/>
    <w:rsid w:val="00D24547"/>
    <w:rsid w:val="00D245EF"/>
    <w:rsid w:val="00D24629"/>
    <w:rsid w:val="00D2479A"/>
    <w:rsid w:val="00D24879"/>
    <w:rsid w:val="00D24F62"/>
    <w:rsid w:val="00D25778"/>
    <w:rsid w:val="00D257BA"/>
    <w:rsid w:val="00D25861"/>
    <w:rsid w:val="00D25ABC"/>
    <w:rsid w:val="00D25ADE"/>
    <w:rsid w:val="00D2656F"/>
    <w:rsid w:val="00D2697A"/>
    <w:rsid w:val="00D26E76"/>
    <w:rsid w:val="00D27496"/>
    <w:rsid w:val="00D301C3"/>
    <w:rsid w:val="00D30739"/>
    <w:rsid w:val="00D30D9C"/>
    <w:rsid w:val="00D3130A"/>
    <w:rsid w:val="00D31706"/>
    <w:rsid w:val="00D32431"/>
    <w:rsid w:val="00D32457"/>
    <w:rsid w:val="00D327D5"/>
    <w:rsid w:val="00D32C78"/>
    <w:rsid w:val="00D33BC8"/>
    <w:rsid w:val="00D33F5D"/>
    <w:rsid w:val="00D34026"/>
    <w:rsid w:val="00D342A5"/>
    <w:rsid w:val="00D35508"/>
    <w:rsid w:val="00D35D40"/>
    <w:rsid w:val="00D360D0"/>
    <w:rsid w:val="00D362A9"/>
    <w:rsid w:val="00D363A1"/>
    <w:rsid w:val="00D36717"/>
    <w:rsid w:val="00D36740"/>
    <w:rsid w:val="00D368F4"/>
    <w:rsid w:val="00D36AFD"/>
    <w:rsid w:val="00D36BD1"/>
    <w:rsid w:val="00D36E8E"/>
    <w:rsid w:val="00D36F88"/>
    <w:rsid w:val="00D373F4"/>
    <w:rsid w:val="00D40518"/>
    <w:rsid w:val="00D40CE2"/>
    <w:rsid w:val="00D41168"/>
    <w:rsid w:val="00D41354"/>
    <w:rsid w:val="00D413D7"/>
    <w:rsid w:val="00D415E5"/>
    <w:rsid w:val="00D41638"/>
    <w:rsid w:val="00D41BC1"/>
    <w:rsid w:val="00D42C6B"/>
    <w:rsid w:val="00D42E94"/>
    <w:rsid w:val="00D43297"/>
    <w:rsid w:val="00D440EF"/>
    <w:rsid w:val="00D44B5A"/>
    <w:rsid w:val="00D44D06"/>
    <w:rsid w:val="00D44DB6"/>
    <w:rsid w:val="00D44FB7"/>
    <w:rsid w:val="00D45135"/>
    <w:rsid w:val="00D451CB"/>
    <w:rsid w:val="00D4559B"/>
    <w:rsid w:val="00D460E4"/>
    <w:rsid w:val="00D46AFE"/>
    <w:rsid w:val="00D46D39"/>
    <w:rsid w:val="00D46D71"/>
    <w:rsid w:val="00D471EE"/>
    <w:rsid w:val="00D471F6"/>
    <w:rsid w:val="00D47A7B"/>
    <w:rsid w:val="00D47BCA"/>
    <w:rsid w:val="00D47C13"/>
    <w:rsid w:val="00D47E54"/>
    <w:rsid w:val="00D50119"/>
    <w:rsid w:val="00D50456"/>
    <w:rsid w:val="00D506CA"/>
    <w:rsid w:val="00D5074D"/>
    <w:rsid w:val="00D5075E"/>
    <w:rsid w:val="00D5169C"/>
    <w:rsid w:val="00D51940"/>
    <w:rsid w:val="00D51B79"/>
    <w:rsid w:val="00D52B17"/>
    <w:rsid w:val="00D52EDF"/>
    <w:rsid w:val="00D53567"/>
    <w:rsid w:val="00D53642"/>
    <w:rsid w:val="00D53A15"/>
    <w:rsid w:val="00D550D5"/>
    <w:rsid w:val="00D55238"/>
    <w:rsid w:val="00D552A5"/>
    <w:rsid w:val="00D5544A"/>
    <w:rsid w:val="00D55552"/>
    <w:rsid w:val="00D55A10"/>
    <w:rsid w:val="00D55C9A"/>
    <w:rsid w:val="00D564AE"/>
    <w:rsid w:val="00D565AB"/>
    <w:rsid w:val="00D5661C"/>
    <w:rsid w:val="00D567A0"/>
    <w:rsid w:val="00D56C48"/>
    <w:rsid w:val="00D56DA2"/>
    <w:rsid w:val="00D56DC9"/>
    <w:rsid w:val="00D56FE3"/>
    <w:rsid w:val="00D5708D"/>
    <w:rsid w:val="00D5714B"/>
    <w:rsid w:val="00D573DD"/>
    <w:rsid w:val="00D574B9"/>
    <w:rsid w:val="00D575A4"/>
    <w:rsid w:val="00D57B91"/>
    <w:rsid w:val="00D57DB4"/>
    <w:rsid w:val="00D601E2"/>
    <w:rsid w:val="00D60726"/>
    <w:rsid w:val="00D60CC2"/>
    <w:rsid w:val="00D614BD"/>
    <w:rsid w:val="00D6189C"/>
    <w:rsid w:val="00D622FC"/>
    <w:rsid w:val="00D62303"/>
    <w:rsid w:val="00D63655"/>
    <w:rsid w:val="00D64251"/>
    <w:rsid w:val="00D644F1"/>
    <w:rsid w:val="00D645F7"/>
    <w:rsid w:val="00D64D8F"/>
    <w:rsid w:val="00D65779"/>
    <w:rsid w:val="00D65A75"/>
    <w:rsid w:val="00D666D4"/>
    <w:rsid w:val="00D66892"/>
    <w:rsid w:val="00D67129"/>
    <w:rsid w:val="00D672A3"/>
    <w:rsid w:val="00D6737C"/>
    <w:rsid w:val="00D67AA9"/>
    <w:rsid w:val="00D67B22"/>
    <w:rsid w:val="00D70303"/>
    <w:rsid w:val="00D703A1"/>
    <w:rsid w:val="00D70910"/>
    <w:rsid w:val="00D7124D"/>
    <w:rsid w:val="00D7156F"/>
    <w:rsid w:val="00D715EC"/>
    <w:rsid w:val="00D715F2"/>
    <w:rsid w:val="00D71655"/>
    <w:rsid w:val="00D71AA6"/>
    <w:rsid w:val="00D71ACA"/>
    <w:rsid w:val="00D71D47"/>
    <w:rsid w:val="00D72077"/>
    <w:rsid w:val="00D725F6"/>
    <w:rsid w:val="00D7276B"/>
    <w:rsid w:val="00D727B7"/>
    <w:rsid w:val="00D72B61"/>
    <w:rsid w:val="00D72EB0"/>
    <w:rsid w:val="00D72F32"/>
    <w:rsid w:val="00D7305C"/>
    <w:rsid w:val="00D73676"/>
    <w:rsid w:val="00D73BCD"/>
    <w:rsid w:val="00D73D25"/>
    <w:rsid w:val="00D73F39"/>
    <w:rsid w:val="00D740A5"/>
    <w:rsid w:val="00D74A77"/>
    <w:rsid w:val="00D74AD8"/>
    <w:rsid w:val="00D74ECA"/>
    <w:rsid w:val="00D7589E"/>
    <w:rsid w:val="00D7592F"/>
    <w:rsid w:val="00D75BB9"/>
    <w:rsid w:val="00D765BF"/>
    <w:rsid w:val="00D76AAD"/>
    <w:rsid w:val="00D76F03"/>
    <w:rsid w:val="00D770F1"/>
    <w:rsid w:val="00D77442"/>
    <w:rsid w:val="00D8003F"/>
    <w:rsid w:val="00D80217"/>
    <w:rsid w:val="00D80220"/>
    <w:rsid w:val="00D803F6"/>
    <w:rsid w:val="00D8132C"/>
    <w:rsid w:val="00D81C63"/>
    <w:rsid w:val="00D81CDB"/>
    <w:rsid w:val="00D826E3"/>
    <w:rsid w:val="00D82A43"/>
    <w:rsid w:val="00D82B48"/>
    <w:rsid w:val="00D83052"/>
    <w:rsid w:val="00D83496"/>
    <w:rsid w:val="00D8386B"/>
    <w:rsid w:val="00D84051"/>
    <w:rsid w:val="00D8415E"/>
    <w:rsid w:val="00D84E16"/>
    <w:rsid w:val="00D85544"/>
    <w:rsid w:val="00D85AF5"/>
    <w:rsid w:val="00D85F1C"/>
    <w:rsid w:val="00D85F2B"/>
    <w:rsid w:val="00D86964"/>
    <w:rsid w:val="00D86BDF"/>
    <w:rsid w:val="00D8741C"/>
    <w:rsid w:val="00D8773E"/>
    <w:rsid w:val="00D878C5"/>
    <w:rsid w:val="00D8790F"/>
    <w:rsid w:val="00D87A7F"/>
    <w:rsid w:val="00D87EC0"/>
    <w:rsid w:val="00D902C3"/>
    <w:rsid w:val="00D906EA"/>
    <w:rsid w:val="00D90BF0"/>
    <w:rsid w:val="00D90E58"/>
    <w:rsid w:val="00D915BE"/>
    <w:rsid w:val="00D91823"/>
    <w:rsid w:val="00D9184D"/>
    <w:rsid w:val="00D91877"/>
    <w:rsid w:val="00D91882"/>
    <w:rsid w:val="00D91915"/>
    <w:rsid w:val="00D91FBC"/>
    <w:rsid w:val="00D9249B"/>
    <w:rsid w:val="00D928D2"/>
    <w:rsid w:val="00D9291E"/>
    <w:rsid w:val="00D92D25"/>
    <w:rsid w:val="00D93147"/>
    <w:rsid w:val="00D932C5"/>
    <w:rsid w:val="00D93517"/>
    <w:rsid w:val="00D93B05"/>
    <w:rsid w:val="00D93EA3"/>
    <w:rsid w:val="00D93FD7"/>
    <w:rsid w:val="00D94B38"/>
    <w:rsid w:val="00D94F8A"/>
    <w:rsid w:val="00D94FD4"/>
    <w:rsid w:val="00D95038"/>
    <w:rsid w:val="00D95BC4"/>
    <w:rsid w:val="00D96567"/>
    <w:rsid w:val="00D9699D"/>
    <w:rsid w:val="00D96A5A"/>
    <w:rsid w:val="00D96E33"/>
    <w:rsid w:val="00D970C8"/>
    <w:rsid w:val="00D9732C"/>
    <w:rsid w:val="00D97525"/>
    <w:rsid w:val="00D97577"/>
    <w:rsid w:val="00D97899"/>
    <w:rsid w:val="00DA0452"/>
    <w:rsid w:val="00DA0AA9"/>
    <w:rsid w:val="00DA1789"/>
    <w:rsid w:val="00DA21B8"/>
    <w:rsid w:val="00DA2365"/>
    <w:rsid w:val="00DA2DA4"/>
    <w:rsid w:val="00DA313A"/>
    <w:rsid w:val="00DA31B0"/>
    <w:rsid w:val="00DA33EA"/>
    <w:rsid w:val="00DA35B9"/>
    <w:rsid w:val="00DA39AE"/>
    <w:rsid w:val="00DA3AC0"/>
    <w:rsid w:val="00DA3E32"/>
    <w:rsid w:val="00DA433A"/>
    <w:rsid w:val="00DA4A48"/>
    <w:rsid w:val="00DA4BE2"/>
    <w:rsid w:val="00DA4D71"/>
    <w:rsid w:val="00DA4D89"/>
    <w:rsid w:val="00DA5971"/>
    <w:rsid w:val="00DA6078"/>
    <w:rsid w:val="00DA6B46"/>
    <w:rsid w:val="00DA7282"/>
    <w:rsid w:val="00DA7B5D"/>
    <w:rsid w:val="00DB01AE"/>
    <w:rsid w:val="00DB0B72"/>
    <w:rsid w:val="00DB0C28"/>
    <w:rsid w:val="00DB0FA1"/>
    <w:rsid w:val="00DB10AB"/>
    <w:rsid w:val="00DB124A"/>
    <w:rsid w:val="00DB147B"/>
    <w:rsid w:val="00DB17F2"/>
    <w:rsid w:val="00DB1ACC"/>
    <w:rsid w:val="00DB1D5B"/>
    <w:rsid w:val="00DB2D4F"/>
    <w:rsid w:val="00DB32CD"/>
    <w:rsid w:val="00DB32CF"/>
    <w:rsid w:val="00DB34CF"/>
    <w:rsid w:val="00DB3548"/>
    <w:rsid w:val="00DB3634"/>
    <w:rsid w:val="00DB367F"/>
    <w:rsid w:val="00DB392C"/>
    <w:rsid w:val="00DB3A82"/>
    <w:rsid w:val="00DB3FDE"/>
    <w:rsid w:val="00DB4063"/>
    <w:rsid w:val="00DB4150"/>
    <w:rsid w:val="00DB4274"/>
    <w:rsid w:val="00DB44BE"/>
    <w:rsid w:val="00DB47D3"/>
    <w:rsid w:val="00DB4C45"/>
    <w:rsid w:val="00DB4F42"/>
    <w:rsid w:val="00DB4FCE"/>
    <w:rsid w:val="00DB5050"/>
    <w:rsid w:val="00DB5714"/>
    <w:rsid w:val="00DB580A"/>
    <w:rsid w:val="00DB60F1"/>
    <w:rsid w:val="00DB61B2"/>
    <w:rsid w:val="00DB6C67"/>
    <w:rsid w:val="00DB6E3B"/>
    <w:rsid w:val="00DC0437"/>
    <w:rsid w:val="00DC052E"/>
    <w:rsid w:val="00DC0A49"/>
    <w:rsid w:val="00DC0D89"/>
    <w:rsid w:val="00DC19A7"/>
    <w:rsid w:val="00DC1B02"/>
    <w:rsid w:val="00DC1CAF"/>
    <w:rsid w:val="00DC2649"/>
    <w:rsid w:val="00DC27D8"/>
    <w:rsid w:val="00DC2B6E"/>
    <w:rsid w:val="00DC30BA"/>
    <w:rsid w:val="00DC3357"/>
    <w:rsid w:val="00DC358D"/>
    <w:rsid w:val="00DC3686"/>
    <w:rsid w:val="00DC3A60"/>
    <w:rsid w:val="00DC3F1C"/>
    <w:rsid w:val="00DC41CB"/>
    <w:rsid w:val="00DC44E0"/>
    <w:rsid w:val="00DC4550"/>
    <w:rsid w:val="00DC4735"/>
    <w:rsid w:val="00DC4740"/>
    <w:rsid w:val="00DC4BF0"/>
    <w:rsid w:val="00DC5265"/>
    <w:rsid w:val="00DC5B2F"/>
    <w:rsid w:val="00DC5EB8"/>
    <w:rsid w:val="00DC6BDE"/>
    <w:rsid w:val="00DC7129"/>
    <w:rsid w:val="00DC72C3"/>
    <w:rsid w:val="00DC7509"/>
    <w:rsid w:val="00DC7A12"/>
    <w:rsid w:val="00DC7D0B"/>
    <w:rsid w:val="00DC7E00"/>
    <w:rsid w:val="00DD007E"/>
    <w:rsid w:val="00DD0361"/>
    <w:rsid w:val="00DD0909"/>
    <w:rsid w:val="00DD096A"/>
    <w:rsid w:val="00DD09A4"/>
    <w:rsid w:val="00DD0E82"/>
    <w:rsid w:val="00DD1244"/>
    <w:rsid w:val="00DD20F7"/>
    <w:rsid w:val="00DD2451"/>
    <w:rsid w:val="00DD25A8"/>
    <w:rsid w:val="00DD27EC"/>
    <w:rsid w:val="00DD30FA"/>
    <w:rsid w:val="00DD3939"/>
    <w:rsid w:val="00DD3A2F"/>
    <w:rsid w:val="00DD3A8B"/>
    <w:rsid w:val="00DD3AC4"/>
    <w:rsid w:val="00DD3EF7"/>
    <w:rsid w:val="00DD431B"/>
    <w:rsid w:val="00DD46A8"/>
    <w:rsid w:val="00DD4CA2"/>
    <w:rsid w:val="00DD4F07"/>
    <w:rsid w:val="00DD542E"/>
    <w:rsid w:val="00DD5E78"/>
    <w:rsid w:val="00DD66BA"/>
    <w:rsid w:val="00DD6799"/>
    <w:rsid w:val="00DD6B8C"/>
    <w:rsid w:val="00DD6DD3"/>
    <w:rsid w:val="00DD70C3"/>
    <w:rsid w:val="00DD716C"/>
    <w:rsid w:val="00DD71AA"/>
    <w:rsid w:val="00DD7288"/>
    <w:rsid w:val="00DD7D71"/>
    <w:rsid w:val="00DE0398"/>
    <w:rsid w:val="00DE03ED"/>
    <w:rsid w:val="00DE0581"/>
    <w:rsid w:val="00DE05A8"/>
    <w:rsid w:val="00DE19F3"/>
    <w:rsid w:val="00DE1BE1"/>
    <w:rsid w:val="00DE1E13"/>
    <w:rsid w:val="00DE1EB4"/>
    <w:rsid w:val="00DE229E"/>
    <w:rsid w:val="00DE2311"/>
    <w:rsid w:val="00DE25D3"/>
    <w:rsid w:val="00DE29CD"/>
    <w:rsid w:val="00DE2A27"/>
    <w:rsid w:val="00DE2AEC"/>
    <w:rsid w:val="00DE2B82"/>
    <w:rsid w:val="00DE2CA7"/>
    <w:rsid w:val="00DE2E1F"/>
    <w:rsid w:val="00DE2FB4"/>
    <w:rsid w:val="00DE30A4"/>
    <w:rsid w:val="00DE35C8"/>
    <w:rsid w:val="00DE38CB"/>
    <w:rsid w:val="00DE48B7"/>
    <w:rsid w:val="00DE4AF2"/>
    <w:rsid w:val="00DE5209"/>
    <w:rsid w:val="00DE529D"/>
    <w:rsid w:val="00DE52F9"/>
    <w:rsid w:val="00DE53F0"/>
    <w:rsid w:val="00DE5497"/>
    <w:rsid w:val="00DE6389"/>
    <w:rsid w:val="00DE66B0"/>
    <w:rsid w:val="00DE6DB1"/>
    <w:rsid w:val="00DE74E2"/>
    <w:rsid w:val="00DE78EE"/>
    <w:rsid w:val="00DE7A13"/>
    <w:rsid w:val="00DF029E"/>
    <w:rsid w:val="00DF0334"/>
    <w:rsid w:val="00DF0403"/>
    <w:rsid w:val="00DF0416"/>
    <w:rsid w:val="00DF0E3D"/>
    <w:rsid w:val="00DF105E"/>
    <w:rsid w:val="00DF1197"/>
    <w:rsid w:val="00DF18EB"/>
    <w:rsid w:val="00DF19B1"/>
    <w:rsid w:val="00DF1C4F"/>
    <w:rsid w:val="00DF28C6"/>
    <w:rsid w:val="00DF2E99"/>
    <w:rsid w:val="00DF30B7"/>
    <w:rsid w:val="00DF31A1"/>
    <w:rsid w:val="00DF3687"/>
    <w:rsid w:val="00DF3757"/>
    <w:rsid w:val="00DF50A9"/>
    <w:rsid w:val="00DF5253"/>
    <w:rsid w:val="00DF5273"/>
    <w:rsid w:val="00DF53F1"/>
    <w:rsid w:val="00DF57DE"/>
    <w:rsid w:val="00DF58E7"/>
    <w:rsid w:val="00DF6393"/>
    <w:rsid w:val="00DF6886"/>
    <w:rsid w:val="00DF6E2C"/>
    <w:rsid w:val="00DF6E6C"/>
    <w:rsid w:val="00DF6F87"/>
    <w:rsid w:val="00DF7571"/>
    <w:rsid w:val="00DF77E5"/>
    <w:rsid w:val="00DF7A57"/>
    <w:rsid w:val="00DF7B95"/>
    <w:rsid w:val="00E00426"/>
    <w:rsid w:val="00E00EF3"/>
    <w:rsid w:val="00E0160A"/>
    <w:rsid w:val="00E01676"/>
    <w:rsid w:val="00E01E25"/>
    <w:rsid w:val="00E02D33"/>
    <w:rsid w:val="00E0325B"/>
    <w:rsid w:val="00E03283"/>
    <w:rsid w:val="00E03425"/>
    <w:rsid w:val="00E03666"/>
    <w:rsid w:val="00E0390F"/>
    <w:rsid w:val="00E03C7F"/>
    <w:rsid w:val="00E04322"/>
    <w:rsid w:val="00E045A1"/>
    <w:rsid w:val="00E04D92"/>
    <w:rsid w:val="00E05484"/>
    <w:rsid w:val="00E05CBA"/>
    <w:rsid w:val="00E0615C"/>
    <w:rsid w:val="00E064C8"/>
    <w:rsid w:val="00E06D12"/>
    <w:rsid w:val="00E06E68"/>
    <w:rsid w:val="00E0736D"/>
    <w:rsid w:val="00E07409"/>
    <w:rsid w:val="00E07B16"/>
    <w:rsid w:val="00E07DB9"/>
    <w:rsid w:val="00E07FEB"/>
    <w:rsid w:val="00E10017"/>
    <w:rsid w:val="00E1010A"/>
    <w:rsid w:val="00E1123B"/>
    <w:rsid w:val="00E11328"/>
    <w:rsid w:val="00E1156C"/>
    <w:rsid w:val="00E116AA"/>
    <w:rsid w:val="00E11876"/>
    <w:rsid w:val="00E11AE1"/>
    <w:rsid w:val="00E11F1B"/>
    <w:rsid w:val="00E12195"/>
    <w:rsid w:val="00E1222A"/>
    <w:rsid w:val="00E1242D"/>
    <w:rsid w:val="00E125CD"/>
    <w:rsid w:val="00E1312C"/>
    <w:rsid w:val="00E1312D"/>
    <w:rsid w:val="00E13396"/>
    <w:rsid w:val="00E13F20"/>
    <w:rsid w:val="00E14974"/>
    <w:rsid w:val="00E1499B"/>
    <w:rsid w:val="00E150F2"/>
    <w:rsid w:val="00E152A9"/>
    <w:rsid w:val="00E15C2C"/>
    <w:rsid w:val="00E15D0D"/>
    <w:rsid w:val="00E15DAD"/>
    <w:rsid w:val="00E16147"/>
    <w:rsid w:val="00E168B1"/>
    <w:rsid w:val="00E16AE5"/>
    <w:rsid w:val="00E16C72"/>
    <w:rsid w:val="00E170A4"/>
    <w:rsid w:val="00E171AA"/>
    <w:rsid w:val="00E172EF"/>
    <w:rsid w:val="00E17518"/>
    <w:rsid w:val="00E177DA"/>
    <w:rsid w:val="00E17D5A"/>
    <w:rsid w:val="00E17E7F"/>
    <w:rsid w:val="00E20459"/>
    <w:rsid w:val="00E2081A"/>
    <w:rsid w:val="00E209E1"/>
    <w:rsid w:val="00E21584"/>
    <w:rsid w:val="00E217F4"/>
    <w:rsid w:val="00E218F0"/>
    <w:rsid w:val="00E21AB4"/>
    <w:rsid w:val="00E21FA1"/>
    <w:rsid w:val="00E2214C"/>
    <w:rsid w:val="00E223EF"/>
    <w:rsid w:val="00E22841"/>
    <w:rsid w:val="00E22D5E"/>
    <w:rsid w:val="00E22E15"/>
    <w:rsid w:val="00E233DE"/>
    <w:rsid w:val="00E235E2"/>
    <w:rsid w:val="00E23CBB"/>
    <w:rsid w:val="00E24367"/>
    <w:rsid w:val="00E247B2"/>
    <w:rsid w:val="00E24D0E"/>
    <w:rsid w:val="00E24F92"/>
    <w:rsid w:val="00E25E30"/>
    <w:rsid w:val="00E268E0"/>
    <w:rsid w:val="00E269D0"/>
    <w:rsid w:val="00E26B11"/>
    <w:rsid w:val="00E272EB"/>
    <w:rsid w:val="00E27668"/>
    <w:rsid w:val="00E27A5F"/>
    <w:rsid w:val="00E303F6"/>
    <w:rsid w:val="00E306A0"/>
    <w:rsid w:val="00E30AE7"/>
    <w:rsid w:val="00E30D10"/>
    <w:rsid w:val="00E30EFE"/>
    <w:rsid w:val="00E3125F"/>
    <w:rsid w:val="00E31354"/>
    <w:rsid w:val="00E319D0"/>
    <w:rsid w:val="00E3212D"/>
    <w:rsid w:val="00E32238"/>
    <w:rsid w:val="00E32390"/>
    <w:rsid w:val="00E32F01"/>
    <w:rsid w:val="00E335CE"/>
    <w:rsid w:val="00E335F8"/>
    <w:rsid w:val="00E33A36"/>
    <w:rsid w:val="00E33BF7"/>
    <w:rsid w:val="00E33DA4"/>
    <w:rsid w:val="00E34D28"/>
    <w:rsid w:val="00E35B90"/>
    <w:rsid w:val="00E35C63"/>
    <w:rsid w:val="00E36101"/>
    <w:rsid w:val="00E364AD"/>
    <w:rsid w:val="00E364FA"/>
    <w:rsid w:val="00E3670F"/>
    <w:rsid w:val="00E369EB"/>
    <w:rsid w:val="00E36B4F"/>
    <w:rsid w:val="00E36CF4"/>
    <w:rsid w:val="00E36E81"/>
    <w:rsid w:val="00E3735A"/>
    <w:rsid w:val="00E373BA"/>
    <w:rsid w:val="00E3748B"/>
    <w:rsid w:val="00E377DB"/>
    <w:rsid w:val="00E37B59"/>
    <w:rsid w:val="00E37DEC"/>
    <w:rsid w:val="00E40101"/>
    <w:rsid w:val="00E40404"/>
    <w:rsid w:val="00E40C84"/>
    <w:rsid w:val="00E41333"/>
    <w:rsid w:val="00E41610"/>
    <w:rsid w:val="00E41622"/>
    <w:rsid w:val="00E41A35"/>
    <w:rsid w:val="00E41A50"/>
    <w:rsid w:val="00E42616"/>
    <w:rsid w:val="00E42671"/>
    <w:rsid w:val="00E42DDA"/>
    <w:rsid w:val="00E430ED"/>
    <w:rsid w:val="00E43146"/>
    <w:rsid w:val="00E43422"/>
    <w:rsid w:val="00E448F1"/>
    <w:rsid w:val="00E455DA"/>
    <w:rsid w:val="00E4589F"/>
    <w:rsid w:val="00E460C1"/>
    <w:rsid w:val="00E46520"/>
    <w:rsid w:val="00E470AC"/>
    <w:rsid w:val="00E47217"/>
    <w:rsid w:val="00E4788C"/>
    <w:rsid w:val="00E479C4"/>
    <w:rsid w:val="00E47A88"/>
    <w:rsid w:val="00E47FF5"/>
    <w:rsid w:val="00E5018A"/>
    <w:rsid w:val="00E506E8"/>
    <w:rsid w:val="00E51823"/>
    <w:rsid w:val="00E5186B"/>
    <w:rsid w:val="00E51A29"/>
    <w:rsid w:val="00E524FD"/>
    <w:rsid w:val="00E52515"/>
    <w:rsid w:val="00E525FC"/>
    <w:rsid w:val="00E529D1"/>
    <w:rsid w:val="00E52DDC"/>
    <w:rsid w:val="00E53438"/>
    <w:rsid w:val="00E5362E"/>
    <w:rsid w:val="00E538CF"/>
    <w:rsid w:val="00E53BCF"/>
    <w:rsid w:val="00E53F67"/>
    <w:rsid w:val="00E54061"/>
    <w:rsid w:val="00E54104"/>
    <w:rsid w:val="00E54356"/>
    <w:rsid w:val="00E5446C"/>
    <w:rsid w:val="00E544A3"/>
    <w:rsid w:val="00E545BC"/>
    <w:rsid w:val="00E54614"/>
    <w:rsid w:val="00E54666"/>
    <w:rsid w:val="00E54BCA"/>
    <w:rsid w:val="00E54E82"/>
    <w:rsid w:val="00E54FE9"/>
    <w:rsid w:val="00E5525A"/>
    <w:rsid w:val="00E55460"/>
    <w:rsid w:val="00E556AE"/>
    <w:rsid w:val="00E556FD"/>
    <w:rsid w:val="00E55A6D"/>
    <w:rsid w:val="00E55DA0"/>
    <w:rsid w:val="00E563A7"/>
    <w:rsid w:val="00E5686E"/>
    <w:rsid w:val="00E57027"/>
    <w:rsid w:val="00E57714"/>
    <w:rsid w:val="00E57983"/>
    <w:rsid w:val="00E57BAD"/>
    <w:rsid w:val="00E606AE"/>
    <w:rsid w:val="00E606EC"/>
    <w:rsid w:val="00E60851"/>
    <w:rsid w:val="00E611D0"/>
    <w:rsid w:val="00E61210"/>
    <w:rsid w:val="00E61311"/>
    <w:rsid w:val="00E61522"/>
    <w:rsid w:val="00E617C6"/>
    <w:rsid w:val="00E617DC"/>
    <w:rsid w:val="00E6180A"/>
    <w:rsid w:val="00E6180E"/>
    <w:rsid w:val="00E619C4"/>
    <w:rsid w:val="00E62459"/>
    <w:rsid w:val="00E62B56"/>
    <w:rsid w:val="00E63869"/>
    <w:rsid w:val="00E63D8C"/>
    <w:rsid w:val="00E64081"/>
    <w:rsid w:val="00E64978"/>
    <w:rsid w:val="00E64F08"/>
    <w:rsid w:val="00E653DD"/>
    <w:rsid w:val="00E65C4A"/>
    <w:rsid w:val="00E65DA4"/>
    <w:rsid w:val="00E65F9B"/>
    <w:rsid w:val="00E66126"/>
    <w:rsid w:val="00E66464"/>
    <w:rsid w:val="00E6659A"/>
    <w:rsid w:val="00E666D8"/>
    <w:rsid w:val="00E667DE"/>
    <w:rsid w:val="00E66837"/>
    <w:rsid w:val="00E669D2"/>
    <w:rsid w:val="00E66CFA"/>
    <w:rsid w:val="00E66DE5"/>
    <w:rsid w:val="00E66FD5"/>
    <w:rsid w:val="00E672EC"/>
    <w:rsid w:val="00E675FA"/>
    <w:rsid w:val="00E6764E"/>
    <w:rsid w:val="00E67B05"/>
    <w:rsid w:val="00E70058"/>
    <w:rsid w:val="00E701D7"/>
    <w:rsid w:val="00E70284"/>
    <w:rsid w:val="00E7053A"/>
    <w:rsid w:val="00E70AE5"/>
    <w:rsid w:val="00E70C99"/>
    <w:rsid w:val="00E70F5D"/>
    <w:rsid w:val="00E70FD5"/>
    <w:rsid w:val="00E713C5"/>
    <w:rsid w:val="00E7140D"/>
    <w:rsid w:val="00E71651"/>
    <w:rsid w:val="00E718B3"/>
    <w:rsid w:val="00E71A25"/>
    <w:rsid w:val="00E71DA1"/>
    <w:rsid w:val="00E725FC"/>
    <w:rsid w:val="00E726D1"/>
    <w:rsid w:val="00E72892"/>
    <w:rsid w:val="00E72A14"/>
    <w:rsid w:val="00E72B38"/>
    <w:rsid w:val="00E736D9"/>
    <w:rsid w:val="00E737E3"/>
    <w:rsid w:val="00E739DA"/>
    <w:rsid w:val="00E739DC"/>
    <w:rsid w:val="00E74080"/>
    <w:rsid w:val="00E7456E"/>
    <w:rsid w:val="00E74A4B"/>
    <w:rsid w:val="00E769F1"/>
    <w:rsid w:val="00E76C6A"/>
    <w:rsid w:val="00E76CB0"/>
    <w:rsid w:val="00E7713A"/>
    <w:rsid w:val="00E777B3"/>
    <w:rsid w:val="00E77A6A"/>
    <w:rsid w:val="00E77A93"/>
    <w:rsid w:val="00E77AB1"/>
    <w:rsid w:val="00E77EF2"/>
    <w:rsid w:val="00E8019B"/>
    <w:rsid w:val="00E802BF"/>
    <w:rsid w:val="00E80B86"/>
    <w:rsid w:val="00E80E85"/>
    <w:rsid w:val="00E813F1"/>
    <w:rsid w:val="00E8174D"/>
    <w:rsid w:val="00E81ACC"/>
    <w:rsid w:val="00E81AE8"/>
    <w:rsid w:val="00E82A44"/>
    <w:rsid w:val="00E82A75"/>
    <w:rsid w:val="00E82C85"/>
    <w:rsid w:val="00E82CD4"/>
    <w:rsid w:val="00E82D9D"/>
    <w:rsid w:val="00E8301D"/>
    <w:rsid w:val="00E83560"/>
    <w:rsid w:val="00E835B1"/>
    <w:rsid w:val="00E83A4E"/>
    <w:rsid w:val="00E83A84"/>
    <w:rsid w:val="00E83C10"/>
    <w:rsid w:val="00E83DC2"/>
    <w:rsid w:val="00E83E44"/>
    <w:rsid w:val="00E8437B"/>
    <w:rsid w:val="00E84608"/>
    <w:rsid w:val="00E8494F"/>
    <w:rsid w:val="00E84C3F"/>
    <w:rsid w:val="00E8574D"/>
    <w:rsid w:val="00E86105"/>
    <w:rsid w:val="00E86237"/>
    <w:rsid w:val="00E86A67"/>
    <w:rsid w:val="00E90933"/>
    <w:rsid w:val="00E9125E"/>
    <w:rsid w:val="00E9195A"/>
    <w:rsid w:val="00E91A56"/>
    <w:rsid w:val="00E91CAD"/>
    <w:rsid w:val="00E9200A"/>
    <w:rsid w:val="00E923F6"/>
    <w:rsid w:val="00E92A5A"/>
    <w:rsid w:val="00E92A67"/>
    <w:rsid w:val="00E930B5"/>
    <w:rsid w:val="00E9359A"/>
    <w:rsid w:val="00E937DB"/>
    <w:rsid w:val="00E9389F"/>
    <w:rsid w:val="00E94198"/>
    <w:rsid w:val="00E94445"/>
    <w:rsid w:val="00E950CE"/>
    <w:rsid w:val="00E952C1"/>
    <w:rsid w:val="00E95775"/>
    <w:rsid w:val="00E95A6A"/>
    <w:rsid w:val="00E95B1C"/>
    <w:rsid w:val="00E95BAE"/>
    <w:rsid w:val="00E95D4B"/>
    <w:rsid w:val="00E95D59"/>
    <w:rsid w:val="00E96E79"/>
    <w:rsid w:val="00E96FC8"/>
    <w:rsid w:val="00E97453"/>
    <w:rsid w:val="00EA0068"/>
    <w:rsid w:val="00EA0D69"/>
    <w:rsid w:val="00EA12E8"/>
    <w:rsid w:val="00EA132E"/>
    <w:rsid w:val="00EA15EB"/>
    <w:rsid w:val="00EA19E8"/>
    <w:rsid w:val="00EA25D3"/>
    <w:rsid w:val="00EA28C8"/>
    <w:rsid w:val="00EA2F74"/>
    <w:rsid w:val="00EA3106"/>
    <w:rsid w:val="00EA3231"/>
    <w:rsid w:val="00EA3553"/>
    <w:rsid w:val="00EA35F0"/>
    <w:rsid w:val="00EA368B"/>
    <w:rsid w:val="00EA36C6"/>
    <w:rsid w:val="00EA39FF"/>
    <w:rsid w:val="00EA3EA9"/>
    <w:rsid w:val="00EA3ED4"/>
    <w:rsid w:val="00EA3F1A"/>
    <w:rsid w:val="00EA4643"/>
    <w:rsid w:val="00EA4B44"/>
    <w:rsid w:val="00EA4F5D"/>
    <w:rsid w:val="00EA5352"/>
    <w:rsid w:val="00EA5615"/>
    <w:rsid w:val="00EA5716"/>
    <w:rsid w:val="00EA5D7B"/>
    <w:rsid w:val="00EA5EE8"/>
    <w:rsid w:val="00EA604E"/>
    <w:rsid w:val="00EA6050"/>
    <w:rsid w:val="00EA61A3"/>
    <w:rsid w:val="00EA61CF"/>
    <w:rsid w:val="00EA62AE"/>
    <w:rsid w:val="00EA643B"/>
    <w:rsid w:val="00EA6965"/>
    <w:rsid w:val="00EA7173"/>
    <w:rsid w:val="00EA732C"/>
    <w:rsid w:val="00EA73E5"/>
    <w:rsid w:val="00EA7746"/>
    <w:rsid w:val="00EA79B9"/>
    <w:rsid w:val="00EB0350"/>
    <w:rsid w:val="00EB0422"/>
    <w:rsid w:val="00EB088A"/>
    <w:rsid w:val="00EB0BB2"/>
    <w:rsid w:val="00EB0FF7"/>
    <w:rsid w:val="00EB1077"/>
    <w:rsid w:val="00EB1254"/>
    <w:rsid w:val="00EB1448"/>
    <w:rsid w:val="00EB1C59"/>
    <w:rsid w:val="00EB1CFE"/>
    <w:rsid w:val="00EB298D"/>
    <w:rsid w:val="00EB2DF6"/>
    <w:rsid w:val="00EB342A"/>
    <w:rsid w:val="00EB3738"/>
    <w:rsid w:val="00EB3ACD"/>
    <w:rsid w:val="00EB4662"/>
    <w:rsid w:val="00EB4767"/>
    <w:rsid w:val="00EB4AA6"/>
    <w:rsid w:val="00EB4C49"/>
    <w:rsid w:val="00EB5038"/>
    <w:rsid w:val="00EB517E"/>
    <w:rsid w:val="00EB58E9"/>
    <w:rsid w:val="00EB59FB"/>
    <w:rsid w:val="00EB5B7C"/>
    <w:rsid w:val="00EB6228"/>
    <w:rsid w:val="00EB6880"/>
    <w:rsid w:val="00EB68CA"/>
    <w:rsid w:val="00EB6B17"/>
    <w:rsid w:val="00EB6B3F"/>
    <w:rsid w:val="00EB7037"/>
    <w:rsid w:val="00EB71B5"/>
    <w:rsid w:val="00EB72B8"/>
    <w:rsid w:val="00EB7420"/>
    <w:rsid w:val="00EB7537"/>
    <w:rsid w:val="00EB77E1"/>
    <w:rsid w:val="00EB7C0A"/>
    <w:rsid w:val="00EB7D1F"/>
    <w:rsid w:val="00EC0099"/>
    <w:rsid w:val="00EC023D"/>
    <w:rsid w:val="00EC0923"/>
    <w:rsid w:val="00EC0BC9"/>
    <w:rsid w:val="00EC0E43"/>
    <w:rsid w:val="00EC13A6"/>
    <w:rsid w:val="00EC19F6"/>
    <w:rsid w:val="00EC1E16"/>
    <w:rsid w:val="00EC2754"/>
    <w:rsid w:val="00EC282F"/>
    <w:rsid w:val="00EC2920"/>
    <w:rsid w:val="00EC30F9"/>
    <w:rsid w:val="00EC3359"/>
    <w:rsid w:val="00EC3427"/>
    <w:rsid w:val="00EC35FD"/>
    <w:rsid w:val="00EC39E9"/>
    <w:rsid w:val="00EC3D30"/>
    <w:rsid w:val="00EC458D"/>
    <w:rsid w:val="00EC51EC"/>
    <w:rsid w:val="00EC58C3"/>
    <w:rsid w:val="00EC5E3D"/>
    <w:rsid w:val="00EC6266"/>
    <w:rsid w:val="00EC627C"/>
    <w:rsid w:val="00EC64BA"/>
    <w:rsid w:val="00EC69AB"/>
    <w:rsid w:val="00EC6BE8"/>
    <w:rsid w:val="00EC75AA"/>
    <w:rsid w:val="00EC763E"/>
    <w:rsid w:val="00EC77C9"/>
    <w:rsid w:val="00EC78DE"/>
    <w:rsid w:val="00ED0085"/>
    <w:rsid w:val="00ED02C4"/>
    <w:rsid w:val="00ED0AF5"/>
    <w:rsid w:val="00ED0B6E"/>
    <w:rsid w:val="00ED1621"/>
    <w:rsid w:val="00ED1894"/>
    <w:rsid w:val="00ED193D"/>
    <w:rsid w:val="00ED1B6C"/>
    <w:rsid w:val="00ED2399"/>
    <w:rsid w:val="00ED2697"/>
    <w:rsid w:val="00ED2A93"/>
    <w:rsid w:val="00ED2C03"/>
    <w:rsid w:val="00ED2C18"/>
    <w:rsid w:val="00ED2F00"/>
    <w:rsid w:val="00ED302B"/>
    <w:rsid w:val="00ED3152"/>
    <w:rsid w:val="00ED35A7"/>
    <w:rsid w:val="00ED3BD9"/>
    <w:rsid w:val="00ED3D09"/>
    <w:rsid w:val="00ED4809"/>
    <w:rsid w:val="00ED4C3E"/>
    <w:rsid w:val="00ED4D01"/>
    <w:rsid w:val="00ED4D39"/>
    <w:rsid w:val="00ED4FBC"/>
    <w:rsid w:val="00ED5725"/>
    <w:rsid w:val="00ED5993"/>
    <w:rsid w:val="00ED5A6A"/>
    <w:rsid w:val="00ED61F5"/>
    <w:rsid w:val="00ED661D"/>
    <w:rsid w:val="00ED66FE"/>
    <w:rsid w:val="00ED6937"/>
    <w:rsid w:val="00ED6B93"/>
    <w:rsid w:val="00ED7031"/>
    <w:rsid w:val="00ED739D"/>
    <w:rsid w:val="00ED7510"/>
    <w:rsid w:val="00ED75A8"/>
    <w:rsid w:val="00EE0160"/>
    <w:rsid w:val="00EE039B"/>
    <w:rsid w:val="00EE11CE"/>
    <w:rsid w:val="00EE1359"/>
    <w:rsid w:val="00EE1572"/>
    <w:rsid w:val="00EE164F"/>
    <w:rsid w:val="00EE16AA"/>
    <w:rsid w:val="00EE1868"/>
    <w:rsid w:val="00EE2057"/>
    <w:rsid w:val="00EE21FF"/>
    <w:rsid w:val="00EE22A2"/>
    <w:rsid w:val="00EE22AD"/>
    <w:rsid w:val="00EE2B6A"/>
    <w:rsid w:val="00EE2ED4"/>
    <w:rsid w:val="00EE3060"/>
    <w:rsid w:val="00EE3807"/>
    <w:rsid w:val="00EE403D"/>
    <w:rsid w:val="00EE40B9"/>
    <w:rsid w:val="00EE4267"/>
    <w:rsid w:val="00EE4315"/>
    <w:rsid w:val="00EE44A2"/>
    <w:rsid w:val="00EE4E14"/>
    <w:rsid w:val="00EE5224"/>
    <w:rsid w:val="00EE597F"/>
    <w:rsid w:val="00EE5CB4"/>
    <w:rsid w:val="00EE6565"/>
    <w:rsid w:val="00EE6880"/>
    <w:rsid w:val="00EE7193"/>
    <w:rsid w:val="00EE735D"/>
    <w:rsid w:val="00EE7439"/>
    <w:rsid w:val="00EE75B8"/>
    <w:rsid w:val="00EE78B1"/>
    <w:rsid w:val="00EE7909"/>
    <w:rsid w:val="00EE799D"/>
    <w:rsid w:val="00EE799E"/>
    <w:rsid w:val="00EF03F7"/>
    <w:rsid w:val="00EF0832"/>
    <w:rsid w:val="00EF084C"/>
    <w:rsid w:val="00EF0D50"/>
    <w:rsid w:val="00EF0D81"/>
    <w:rsid w:val="00EF0E28"/>
    <w:rsid w:val="00EF1ADC"/>
    <w:rsid w:val="00EF1BA3"/>
    <w:rsid w:val="00EF1F04"/>
    <w:rsid w:val="00EF20E8"/>
    <w:rsid w:val="00EF2889"/>
    <w:rsid w:val="00EF2F46"/>
    <w:rsid w:val="00EF3340"/>
    <w:rsid w:val="00EF3557"/>
    <w:rsid w:val="00EF37AA"/>
    <w:rsid w:val="00EF3801"/>
    <w:rsid w:val="00EF391C"/>
    <w:rsid w:val="00EF3DBC"/>
    <w:rsid w:val="00EF4042"/>
    <w:rsid w:val="00EF4A7E"/>
    <w:rsid w:val="00EF4AD7"/>
    <w:rsid w:val="00EF4CA6"/>
    <w:rsid w:val="00EF4F84"/>
    <w:rsid w:val="00EF4F92"/>
    <w:rsid w:val="00EF5061"/>
    <w:rsid w:val="00EF5063"/>
    <w:rsid w:val="00EF5200"/>
    <w:rsid w:val="00EF5534"/>
    <w:rsid w:val="00EF5801"/>
    <w:rsid w:val="00EF5B03"/>
    <w:rsid w:val="00EF6925"/>
    <w:rsid w:val="00EF6CF1"/>
    <w:rsid w:val="00EF6F1D"/>
    <w:rsid w:val="00EF73B6"/>
    <w:rsid w:val="00EF740C"/>
    <w:rsid w:val="00EF77F6"/>
    <w:rsid w:val="00EF7D9E"/>
    <w:rsid w:val="00EF7E1B"/>
    <w:rsid w:val="00F00318"/>
    <w:rsid w:val="00F004FB"/>
    <w:rsid w:val="00F0058F"/>
    <w:rsid w:val="00F005BA"/>
    <w:rsid w:val="00F00C32"/>
    <w:rsid w:val="00F00DD4"/>
    <w:rsid w:val="00F00F18"/>
    <w:rsid w:val="00F00F40"/>
    <w:rsid w:val="00F013B0"/>
    <w:rsid w:val="00F014B0"/>
    <w:rsid w:val="00F01F88"/>
    <w:rsid w:val="00F01FEB"/>
    <w:rsid w:val="00F022FB"/>
    <w:rsid w:val="00F02594"/>
    <w:rsid w:val="00F0273A"/>
    <w:rsid w:val="00F028C8"/>
    <w:rsid w:val="00F03657"/>
    <w:rsid w:val="00F03E39"/>
    <w:rsid w:val="00F04584"/>
    <w:rsid w:val="00F04791"/>
    <w:rsid w:val="00F04AE1"/>
    <w:rsid w:val="00F04DCE"/>
    <w:rsid w:val="00F055F2"/>
    <w:rsid w:val="00F059EA"/>
    <w:rsid w:val="00F05BF3"/>
    <w:rsid w:val="00F05F78"/>
    <w:rsid w:val="00F06260"/>
    <w:rsid w:val="00F06745"/>
    <w:rsid w:val="00F06779"/>
    <w:rsid w:val="00F06789"/>
    <w:rsid w:val="00F0684F"/>
    <w:rsid w:val="00F06B9A"/>
    <w:rsid w:val="00F0736C"/>
    <w:rsid w:val="00F078F0"/>
    <w:rsid w:val="00F07E77"/>
    <w:rsid w:val="00F10660"/>
    <w:rsid w:val="00F10AEB"/>
    <w:rsid w:val="00F10E49"/>
    <w:rsid w:val="00F10E5A"/>
    <w:rsid w:val="00F1157A"/>
    <w:rsid w:val="00F117F3"/>
    <w:rsid w:val="00F11F22"/>
    <w:rsid w:val="00F11F5C"/>
    <w:rsid w:val="00F120C5"/>
    <w:rsid w:val="00F1226C"/>
    <w:rsid w:val="00F12398"/>
    <w:rsid w:val="00F1272B"/>
    <w:rsid w:val="00F12742"/>
    <w:rsid w:val="00F1293E"/>
    <w:rsid w:val="00F13035"/>
    <w:rsid w:val="00F13107"/>
    <w:rsid w:val="00F134D3"/>
    <w:rsid w:val="00F13E6D"/>
    <w:rsid w:val="00F13E8A"/>
    <w:rsid w:val="00F13F1C"/>
    <w:rsid w:val="00F14071"/>
    <w:rsid w:val="00F141E7"/>
    <w:rsid w:val="00F143AD"/>
    <w:rsid w:val="00F14B88"/>
    <w:rsid w:val="00F14BBD"/>
    <w:rsid w:val="00F15428"/>
    <w:rsid w:val="00F1584A"/>
    <w:rsid w:val="00F15D13"/>
    <w:rsid w:val="00F1665C"/>
    <w:rsid w:val="00F1675C"/>
    <w:rsid w:val="00F16B17"/>
    <w:rsid w:val="00F16BA5"/>
    <w:rsid w:val="00F16C96"/>
    <w:rsid w:val="00F1734F"/>
    <w:rsid w:val="00F17819"/>
    <w:rsid w:val="00F2001A"/>
    <w:rsid w:val="00F20604"/>
    <w:rsid w:val="00F20BF5"/>
    <w:rsid w:val="00F20F7C"/>
    <w:rsid w:val="00F21491"/>
    <w:rsid w:val="00F21589"/>
    <w:rsid w:val="00F21729"/>
    <w:rsid w:val="00F218C9"/>
    <w:rsid w:val="00F21B15"/>
    <w:rsid w:val="00F2210E"/>
    <w:rsid w:val="00F22223"/>
    <w:rsid w:val="00F226C9"/>
    <w:rsid w:val="00F2283C"/>
    <w:rsid w:val="00F22CC4"/>
    <w:rsid w:val="00F2309F"/>
    <w:rsid w:val="00F239EA"/>
    <w:rsid w:val="00F2444B"/>
    <w:rsid w:val="00F24C5A"/>
    <w:rsid w:val="00F24DFA"/>
    <w:rsid w:val="00F2583A"/>
    <w:rsid w:val="00F260D0"/>
    <w:rsid w:val="00F2652E"/>
    <w:rsid w:val="00F26576"/>
    <w:rsid w:val="00F26DA2"/>
    <w:rsid w:val="00F26DC2"/>
    <w:rsid w:val="00F26ED3"/>
    <w:rsid w:val="00F27210"/>
    <w:rsid w:val="00F273CA"/>
    <w:rsid w:val="00F3011D"/>
    <w:rsid w:val="00F303C6"/>
    <w:rsid w:val="00F30F23"/>
    <w:rsid w:val="00F314C0"/>
    <w:rsid w:val="00F31582"/>
    <w:rsid w:val="00F31FC5"/>
    <w:rsid w:val="00F322A9"/>
    <w:rsid w:val="00F328DC"/>
    <w:rsid w:val="00F328E1"/>
    <w:rsid w:val="00F32A18"/>
    <w:rsid w:val="00F32E5B"/>
    <w:rsid w:val="00F32FAC"/>
    <w:rsid w:val="00F33587"/>
    <w:rsid w:val="00F33789"/>
    <w:rsid w:val="00F33878"/>
    <w:rsid w:val="00F33A67"/>
    <w:rsid w:val="00F33FC7"/>
    <w:rsid w:val="00F3409E"/>
    <w:rsid w:val="00F342B5"/>
    <w:rsid w:val="00F34605"/>
    <w:rsid w:val="00F34EA3"/>
    <w:rsid w:val="00F35C86"/>
    <w:rsid w:val="00F35E82"/>
    <w:rsid w:val="00F3624E"/>
    <w:rsid w:val="00F3705A"/>
    <w:rsid w:val="00F3726E"/>
    <w:rsid w:val="00F374F2"/>
    <w:rsid w:val="00F376AB"/>
    <w:rsid w:val="00F37A53"/>
    <w:rsid w:val="00F37ADB"/>
    <w:rsid w:val="00F37CD9"/>
    <w:rsid w:val="00F37F03"/>
    <w:rsid w:val="00F40A1D"/>
    <w:rsid w:val="00F41291"/>
    <w:rsid w:val="00F41328"/>
    <w:rsid w:val="00F41445"/>
    <w:rsid w:val="00F41AC5"/>
    <w:rsid w:val="00F422F2"/>
    <w:rsid w:val="00F424C9"/>
    <w:rsid w:val="00F42A7A"/>
    <w:rsid w:val="00F42D08"/>
    <w:rsid w:val="00F431C9"/>
    <w:rsid w:val="00F43413"/>
    <w:rsid w:val="00F43491"/>
    <w:rsid w:val="00F43494"/>
    <w:rsid w:val="00F439FC"/>
    <w:rsid w:val="00F43B25"/>
    <w:rsid w:val="00F43B59"/>
    <w:rsid w:val="00F4410A"/>
    <w:rsid w:val="00F4473F"/>
    <w:rsid w:val="00F4480C"/>
    <w:rsid w:val="00F45612"/>
    <w:rsid w:val="00F461B1"/>
    <w:rsid w:val="00F46BE9"/>
    <w:rsid w:val="00F46C5C"/>
    <w:rsid w:val="00F47D90"/>
    <w:rsid w:val="00F47DB3"/>
    <w:rsid w:val="00F47ED4"/>
    <w:rsid w:val="00F50811"/>
    <w:rsid w:val="00F50AA0"/>
    <w:rsid w:val="00F50B17"/>
    <w:rsid w:val="00F50BA2"/>
    <w:rsid w:val="00F510AF"/>
    <w:rsid w:val="00F518B2"/>
    <w:rsid w:val="00F51B37"/>
    <w:rsid w:val="00F51CD3"/>
    <w:rsid w:val="00F51F60"/>
    <w:rsid w:val="00F51F92"/>
    <w:rsid w:val="00F520D2"/>
    <w:rsid w:val="00F527BE"/>
    <w:rsid w:val="00F527D6"/>
    <w:rsid w:val="00F52A99"/>
    <w:rsid w:val="00F52D21"/>
    <w:rsid w:val="00F5308E"/>
    <w:rsid w:val="00F5310A"/>
    <w:rsid w:val="00F53E01"/>
    <w:rsid w:val="00F53F3E"/>
    <w:rsid w:val="00F53FDC"/>
    <w:rsid w:val="00F5436E"/>
    <w:rsid w:val="00F546DB"/>
    <w:rsid w:val="00F54794"/>
    <w:rsid w:val="00F54A3D"/>
    <w:rsid w:val="00F54AB4"/>
    <w:rsid w:val="00F54CA8"/>
    <w:rsid w:val="00F54DBC"/>
    <w:rsid w:val="00F54F96"/>
    <w:rsid w:val="00F54FF9"/>
    <w:rsid w:val="00F555AD"/>
    <w:rsid w:val="00F55896"/>
    <w:rsid w:val="00F55C17"/>
    <w:rsid w:val="00F56A7F"/>
    <w:rsid w:val="00F57250"/>
    <w:rsid w:val="00F578CD"/>
    <w:rsid w:val="00F57C5E"/>
    <w:rsid w:val="00F57C93"/>
    <w:rsid w:val="00F603C8"/>
    <w:rsid w:val="00F60434"/>
    <w:rsid w:val="00F60547"/>
    <w:rsid w:val="00F60824"/>
    <w:rsid w:val="00F6084A"/>
    <w:rsid w:val="00F60D30"/>
    <w:rsid w:val="00F60F08"/>
    <w:rsid w:val="00F61019"/>
    <w:rsid w:val="00F61278"/>
    <w:rsid w:val="00F61A2A"/>
    <w:rsid w:val="00F61A42"/>
    <w:rsid w:val="00F61C8E"/>
    <w:rsid w:val="00F61FEA"/>
    <w:rsid w:val="00F62349"/>
    <w:rsid w:val="00F62860"/>
    <w:rsid w:val="00F62B7A"/>
    <w:rsid w:val="00F62E62"/>
    <w:rsid w:val="00F62EA0"/>
    <w:rsid w:val="00F63021"/>
    <w:rsid w:val="00F632E8"/>
    <w:rsid w:val="00F636E9"/>
    <w:rsid w:val="00F63736"/>
    <w:rsid w:val="00F6397D"/>
    <w:rsid w:val="00F65031"/>
    <w:rsid w:val="00F65339"/>
    <w:rsid w:val="00F65B5B"/>
    <w:rsid w:val="00F65B7D"/>
    <w:rsid w:val="00F66022"/>
    <w:rsid w:val="00F662B5"/>
    <w:rsid w:val="00F6659E"/>
    <w:rsid w:val="00F668B5"/>
    <w:rsid w:val="00F66B08"/>
    <w:rsid w:val="00F66D32"/>
    <w:rsid w:val="00F671C2"/>
    <w:rsid w:val="00F6728D"/>
    <w:rsid w:val="00F67645"/>
    <w:rsid w:val="00F67E73"/>
    <w:rsid w:val="00F70241"/>
    <w:rsid w:val="00F7037F"/>
    <w:rsid w:val="00F703F2"/>
    <w:rsid w:val="00F705F5"/>
    <w:rsid w:val="00F707FE"/>
    <w:rsid w:val="00F719C6"/>
    <w:rsid w:val="00F71F00"/>
    <w:rsid w:val="00F7217E"/>
    <w:rsid w:val="00F7243A"/>
    <w:rsid w:val="00F7278A"/>
    <w:rsid w:val="00F727AE"/>
    <w:rsid w:val="00F728ED"/>
    <w:rsid w:val="00F7293E"/>
    <w:rsid w:val="00F72A2B"/>
    <w:rsid w:val="00F72AC3"/>
    <w:rsid w:val="00F72C2D"/>
    <w:rsid w:val="00F730D9"/>
    <w:rsid w:val="00F73351"/>
    <w:rsid w:val="00F73C80"/>
    <w:rsid w:val="00F740E5"/>
    <w:rsid w:val="00F74625"/>
    <w:rsid w:val="00F747FB"/>
    <w:rsid w:val="00F7569B"/>
    <w:rsid w:val="00F75BB9"/>
    <w:rsid w:val="00F76650"/>
    <w:rsid w:val="00F767F8"/>
    <w:rsid w:val="00F76946"/>
    <w:rsid w:val="00F76988"/>
    <w:rsid w:val="00F76FBA"/>
    <w:rsid w:val="00F80214"/>
    <w:rsid w:val="00F805A6"/>
    <w:rsid w:val="00F807D0"/>
    <w:rsid w:val="00F80FCA"/>
    <w:rsid w:val="00F8132D"/>
    <w:rsid w:val="00F81928"/>
    <w:rsid w:val="00F81CD3"/>
    <w:rsid w:val="00F822F6"/>
    <w:rsid w:val="00F82324"/>
    <w:rsid w:val="00F823BB"/>
    <w:rsid w:val="00F825D4"/>
    <w:rsid w:val="00F82734"/>
    <w:rsid w:val="00F82EF2"/>
    <w:rsid w:val="00F8398A"/>
    <w:rsid w:val="00F83B8C"/>
    <w:rsid w:val="00F83C0D"/>
    <w:rsid w:val="00F83CDE"/>
    <w:rsid w:val="00F83EE6"/>
    <w:rsid w:val="00F8430A"/>
    <w:rsid w:val="00F843A6"/>
    <w:rsid w:val="00F84579"/>
    <w:rsid w:val="00F848E3"/>
    <w:rsid w:val="00F84B0C"/>
    <w:rsid w:val="00F84D8F"/>
    <w:rsid w:val="00F84DB2"/>
    <w:rsid w:val="00F84E90"/>
    <w:rsid w:val="00F858D2"/>
    <w:rsid w:val="00F85ADB"/>
    <w:rsid w:val="00F85B18"/>
    <w:rsid w:val="00F860B6"/>
    <w:rsid w:val="00F8662B"/>
    <w:rsid w:val="00F86847"/>
    <w:rsid w:val="00F86880"/>
    <w:rsid w:val="00F86FAC"/>
    <w:rsid w:val="00F8701F"/>
    <w:rsid w:val="00F875EC"/>
    <w:rsid w:val="00F879D9"/>
    <w:rsid w:val="00F90571"/>
    <w:rsid w:val="00F90C0E"/>
    <w:rsid w:val="00F90F7B"/>
    <w:rsid w:val="00F916F6"/>
    <w:rsid w:val="00F9187B"/>
    <w:rsid w:val="00F91A05"/>
    <w:rsid w:val="00F91BA2"/>
    <w:rsid w:val="00F91C64"/>
    <w:rsid w:val="00F91CA0"/>
    <w:rsid w:val="00F91EE9"/>
    <w:rsid w:val="00F9221D"/>
    <w:rsid w:val="00F92385"/>
    <w:rsid w:val="00F93288"/>
    <w:rsid w:val="00F938AE"/>
    <w:rsid w:val="00F93AB9"/>
    <w:rsid w:val="00F93CE0"/>
    <w:rsid w:val="00F93E71"/>
    <w:rsid w:val="00F93FA8"/>
    <w:rsid w:val="00F93FF4"/>
    <w:rsid w:val="00F94457"/>
    <w:rsid w:val="00F94617"/>
    <w:rsid w:val="00F9473B"/>
    <w:rsid w:val="00F948D0"/>
    <w:rsid w:val="00F94911"/>
    <w:rsid w:val="00F95459"/>
    <w:rsid w:val="00F95954"/>
    <w:rsid w:val="00F95B28"/>
    <w:rsid w:val="00F95D78"/>
    <w:rsid w:val="00F95E43"/>
    <w:rsid w:val="00F96029"/>
    <w:rsid w:val="00F9657C"/>
    <w:rsid w:val="00F96829"/>
    <w:rsid w:val="00F979DD"/>
    <w:rsid w:val="00F97B00"/>
    <w:rsid w:val="00FA02DE"/>
    <w:rsid w:val="00FA0C55"/>
    <w:rsid w:val="00FA1886"/>
    <w:rsid w:val="00FA1B4F"/>
    <w:rsid w:val="00FA219C"/>
    <w:rsid w:val="00FA2AF3"/>
    <w:rsid w:val="00FA2F17"/>
    <w:rsid w:val="00FA2FA3"/>
    <w:rsid w:val="00FA3469"/>
    <w:rsid w:val="00FA3CB1"/>
    <w:rsid w:val="00FA421F"/>
    <w:rsid w:val="00FA4620"/>
    <w:rsid w:val="00FA49C9"/>
    <w:rsid w:val="00FA511A"/>
    <w:rsid w:val="00FA52BF"/>
    <w:rsid w:val="00FA5A26"/>
    <w:rsid w:val="00FA633C"/>
    <w:rsid w:val="00FA6BBB"/>
    <w:rsid w:val="00FA6F02"/>
    <w:rsid w:val="00FA726B"/>
    <w:rsid w:val="00FA740F"/>
    <w:rsid w:val="00FA7459"/>
    <w:rsid w:val="00FA7CDA"/>
    <w:rsid w:val="00FB00BA"/>
    <w:rsid w:val="00FB054E"/>
    <w:rsid w:val="00FB0556"/>
    <w:rsid w:val="00FB0EF3"/>
    <w:rsid w:val="00FB1006"/>
    <w:rsid w:val="00FB1136"/>
    <w:rsid w:val="00FB11EF"/>
    <w:rsid w:val="00FB1360"/>
    <w:rsid w:val="00FB15E3"/>
    <w:rsid w:val="00FB1A94"/>
    <w:rsid w:val="00FB1B27"/>
    <w:rsid w:val="00FB1C41"/>
    <w:rsid w:val="00FB224D"/>
    <w:rsid w:val="00FB2290"/>
    <w:rsid w:val="00FB22E1"/>
    <w:rsid w:val="00FB2E2F"/>
    <w:rsid w:val="00FB2EA2"/>
    <w:rsid w:val="00FB3031"/>
    <w:rsid w:val="00FB31FD"/>
    <w:rsid w:val="00FB34B9"/>
    <w:rsid w:val="00FB3900"/>
    <w:rsid w:val="00FB39F7"/>
    <w:rsid w:val="00FB3C38"/>
    <w:rsid w:val="00FB4056"/>
    <w:rsid w:val="00FB41EA"/>
    <w:rsid w:val="00FB4D49"/>
    <w:rsid w:val="00FB5196"/>
    <w:rsid w:val="00FB5272"/>
    <w:rsid w:val="00FB57A9"/>
    <w:rsid w:val="00FB5862"/>
    <w:rsid w:val="00FB590C"/>
    <w:rsid w:val="00FB5AA6"/>
    <w:rsid w:val="00FB5AE6"/>
    <w:rsid w:val="00FB6481"/>
    <w:rsid w:val="00FB6E6B"/>
    <w:rsid w:val="00FB72FE"/>
    <w:rsid w:val="00FB7A40"/>
    <w:rsid w:val="00FB7C7E"/>
    <w:rsid w:val="00FB7CD9"/>
    <w:rsid w:val="00FB7D5B"/>
    <w:rsid w:val="00FC037F"/>
    <w:rsid w:val="00FC0455"/>
    <w:rsid w:val="00FC0479"/>
    <w:rsid w:val="00FC04F1"/>
    <w:rsid w:val="00FC0533"/>
    <w:rsid w:val="00FC0D39"/>
    <w:rsid w:val="00FC1087"/>
    <w:rsid w:val="00FC17F7"/>
    <w:rsid w:val="00FC2381"/>
    <w:rsid w:val="00FC3182"/>
    <w:rsid w:val="00FC31EE"/>
    <w:rsid w:val="00FC34CB"/>
    <w:rsid w:val="00FC37CB"/>
    <w:rsid w:val="00FC38F9"/>
    <w:rsid w:val="00FC395D"/>
    <w:rsid w:val="00FC47F9"/>
    <w:rsid w:val="00FC4BE7"/>
    <w:rsid w:val="00FC4CF0"/>
    <w:rsid w:val="00FC561B"/>
    <w:rsid w:val="00FC579D"/>
    <w:rsid w:val="00FC57D3"/>
    <w:rsid w:val="00FC5964"/>
    <w:rsid w:val="00FC5F0E"/>
    <w:rsid w:val="00FC6405"/>
    <w:rsid w:val="00FC6472"/>
    <w:rsid w:val="00FC649A"/>
    <w:rsid w:val="00FC6931"/>
    <w:rsid w:val="00FC69E0"/>
    <w:rsid w:val="00FC6DE4"/>
    <w:rsid w:val="00FC778D"/>
    <w:rsid w:val="00FC78FE"/>
    <w:rsid w:val="00FC793E"/>
    <w:rsid w:val="00FD00BB"/>
    <w:rsid w:val="00FD0102"/>
    <w:rsid w:val="00FD0216"/>
    <w:rsid w:val="00FD0230"/>
    <w:rsid w:val="00FD0338"/>
    <w:rsid w:val="00FD034E"/>
    <w:rsid w:val="00FD086E"/>
    <w:rsid w:val="00FD09AD"/>
    <w:rsid w:val="00FD0A69"/>
    <w:rsid w:val="00FD0E5B"/>
    <w:rsid w:val="00FD0FCA"/>
    <w:rsid w:val="00FD119F"/>
    <w:rsid w:val="00FD1418"/>
    <w:rsid w:val="00FD15D9"/>
    <w:rsid w:val="00FD1670"/>
    <w:rsid w:val="00FD16E4"/>
    <w:rsid w:val="00FD196E"/>
    <w:rsid w:val="00FD1A01"/>
    <w:rsid w:val="00FD1B22"/>
    <w:rsid w:val="00FD1C7D"/>
    <w:rsid w:val="00FD1E6D"/>
    <w:rsid w:val="00FD3024"/>
    <w:rsid w:val="00FD32FB"/>
    <w:rsid w:val="00FD3367"/>
    <w:rsid w:val="00FD36E0"/>
    <w:rsid w:val="00FD3ECF"/>
    <w:rsid w:val="00FD46E9"/>
    <w:rsid w:val="00FD4706"/>
    <w:rsid w:val="00FD4819"/>
    <w:rsid w:val="00FD492D"/>
    <w:rsid w:val="00FD4A43"/>
    <w:rsid w:val="00FD4CB5"/>
    <w:rsid w:val="00FD4E3F"/>
    <w:rsid w:val="00FD57C8"/>
    <w:rsid w:val="00FD5821"/>
    <w:rsid w:val="00FD5C19"/>
    <w:rsid w:val="00FD5ED5"/>
    <w:rsid w:val="00FD6198"/>
    <w:rsid w:val="00FD698F"/>
    <w:rsid w:val="00FD69CB"/>
    <w:rsid w:val="00FD6CAD"/>
    <w:rsid w:val="00FD6CBC"/>
    <w:rsid w:val="00FD6E29"/>
    <w:rsid w:val="00FD6E57"/>
    <w:rsid w:val="00FD7268"/>
    <w:rsid w:val="00FD7368"/>
    <w:rsid w:val="00FD7F0A"/>
    <w:rsid w:val="00FE005D"/>
    <w:rsid w:val="00FE0073"/>
    <w:rsid w:val="00FE01FC"/>
    <w:rsid w:val="00FE0D5A"/>
    <w:rsid w:val="00FE0FDF"/>
    <w:rsid w:val="00FE1178"/>
    <w:rsid w:val="00FE1C5D"/>
    <w:rsid w:val="00FE1E69"/>
    <w:rsid w:val="00FE2027"/>
    <w:rsid w:val="00FE2129"/>
    <w:rsid w:val="00FE2351"/>
    <w:rsid w:val="00FE2B6E"/>
    <w:rsid w:val="00FE3099"/>
    <w:rsid w:val="00FE3272"/>
    <w:rsid w:val="00FE337D"/>
    <w:rsid w:val="00FE3A2A"/>
    <w:rsid w:val="00FE3E6D"/>
    <w:rsid w:val="00FE401F"/>
    <w:rsid w:val="00FE4556"/>
    <w:rsid w:val="00FE498E"/>
    <w:rsid w:val="00FE4E40"/>
    <w:rsid w:val="00FE51B3"/>
    <w:rsid w:val="00FE5580"/>
    <w:rsid w:val="00FE56AA"/>
    <w:rsid w:val="00FE5A08"/>
    <w:rsid w:val="00FE621F"/>
    <w:rsid w:val="00FE641C"/>
    <w:rsid w:val="00FE6C8B"/>
    <w:rsid w:val="00FE6EED"/>
    <w:rsid w:val="00FE76E7"/>
    <w:rsid w:val="00FE7857"/>
    <w:rsid w:val="00FE7BC8"/>
    <w:rsid w:val="00FF0B99"/>
    <w:rsid w:val="00FF110C"/>
    <w:rsid w:val="00FF11B1"/>
    <w:rsid w:val="00FF1785"/>
    <w:rsid w:val="00FF1A0B"/>
    <w:rsid w:val="00FF1CB0"/>
    <w:rsid w:val="00FF1D84"/>
    <w:rsid w:val="00FF1F5E"/>
    <w:rsid w:val="00FF2618"/>
    <w:rsid w:val="00FF286B"/>
    <w:rsid w:val="00FF2AF9"/>
    <w:rsid w:val="00FF2D27"/>
    <w:rsid w:val="00FF2FA1"/>
    <w:rsid w:val="00FF3B30"/>
    <w:rsid w:val="00FF3C45"/>
    <w:rsid w:val="00FF3D28"/>
    <w:rsid w:val="00FF40DE"/>
    <w:rsid w:val="00FF45A0"/>
    <w:rsid w:val="00FF4C81"/>
    <w:rsid w:val="00FF526E"/>
    <w:rsid w:val="00FF556F"/>
    <w:rsid w:val="00FF5B4A"/>
    <w:rsid w:val="00FF5B71"/>
    <w:rsid w:val="00FF68B8"/>
    <w:rsid w:val="00FF68EB"/>
    <w:rsid w:val="00FF6A8C"/>
    <w:rsid w:val="00FF6C32"/>
    <w:rsid w:val="00FF6E02"/>
    <w:rsid w:val="00FF771D"/>
    <w:rsid w:val="00FF78CB"/>
    <w:rsid w:val="00FF799F"/>
    <w:rsid w:val="00FF7B0F"/>
    <w:rsid w:val="00FF7B50"/>
    <w:rsid w:val="00FF7EE5"/>
    <w:rsid w:val="0163ACFA"/>
    <w:rsid w:val="01702D0C"/>
    <w:rsid w:val="01A1E11D"/>
    <w:rsid w:val="01C8580B"/>
    <w:rsid w:val="01E4581F"/>
    <w:rsid w:val="020A59A2"/>
    <w:rsid w:val="0286CB4F"/>
    <w:rsid w:val="028B90AC"/>
    <w:rsid w:val="0312ECC0"/>
    <w:rsid w:val="033D83DE"/>
    <w:rsid w:val="03422A96"/>
    <w:rsid w:val="035287F3"/>
    <w:rsid w:val="039A7ED2"/>
    <w:rsid w:val="03BB36AD"/>
    <w:rsid w:val="0418831B"/>
    <w:rsid w:val="048D777C"/>
    <w:rsid w:val="04A66D08"/>
    <w:rsid w:val="051E5F87"/>
    <w:rsid w:val="05A7DA42"/>
    <w:rsid w:val="062FC90A"/>
    <w:rsid w:val="064C5503"/>
    <w:rsid w:val="072B8320"/>
    <w:rsid w:val="07F1B18A"/>
    <w:rsid w:val="084008E3"/>
    <w:rsid w:val="08532969"/>
    <w:rsid w:val="0856DD6C"/>
    <w:rsid w:val="085AE41E"/>
    <w:rsid w:val="08659FA3"/>
    <w:rsid w:val="086AF005"/>
    <w:rsid w:val="087FF41A"/>
    <w:rsid w:val="088797C5"/>
    <w:rsid w:val="0893531D"/>
    <w:rsid w:val="089E7707"/>
    <w:rsid w:val="090CD750"/>
    <w:rsid w:val="09731F95"/>
    <w:rsid w:val="09A2DF9E"/>
    <w:rsid w:val="0A434C21"/>
    <w:rsid w:val="0A44C6E9"/>
    <w:rsid w:val="0A89BDD8"/>
    <w:rsid w:val="0AE77782"/>
    <w:rsid w:val="0B2C6E71"/>
    <w:rsid w:val="0B34245C"/>
    <w:rsid w:val="0B413FB5"/>
    <w:rsid w:val="0BA025B5"/>
    <w:rsid w:val="0BA5F55E"/>
    <w:rsid w:val="0BFDA74A"/>
    <w:rsid w:val="0BFEE9AB"/>
    <w:rsid w:val="0D22DBE6"/>
    <w:rsid w:val="0DF57F59"/>
    <w:rsid w:val="0E2F6FFF"/>
    <w:rsid w:val="0E374E1F"/>
    <w:rsid w:val="0E4A822F"/>
    <w:rsid w:val="0E649447"/>
    <w:rsid w:val="0EE3BD3E"/>
    <w:rsid w:val="0F41A9B9"/>
    <w:rsid w:val="1085DBFB"/>
    <w:rsid w:val="10E75EE3"/>
    <w:rsid w:val="11385F51"/>
    <w:rsid w:val="113C948A"/>
    <w:rsid w:val="119E1772"/>
    <w:rsid w:val="11A5D227"/>
    <w:rsid w:val="12208804"/>
    <w:rsid w:val="1247B972"/>
    <w:rsid w:val="12EA6A0B"/>
    <w:rsid w:val="13362A28"/>
    <w:rsid w:val="1363E660"/>
    <w:rsid w:val="13F49D6C"/>
    <w:rsid w:val="14801DE6"/>
    <w:rsid w:val="14C7E1F4"/>
    <w:rsid w:val="1539CBCD"/>
    <w:rsid w:val="1544886D"/>
    <w:rsid w:val="1551C53A"/>
    <w:rsid w:val="15AEAB21"/>
    <w:rsid w:val="15AEC02E"/>
    <w:rsid w:val="15BCB2F0"/>
    <w:rsid w:val="15DC7C66"/>
    <w:rsid w:val="17147697"/>
    <w:rsid w:val="1751F92C"/>
    <w:rsid w:val="176D6AE4"/>
    <w:rsid w:val="1835E794"/>
    <w:rsid w:val="18A55A7D"/>
    <w:rsid w:val="19031427"/>
    <w:rsid w:val="198219F0"/>
    <w:rsid w:val="1AC8245F"/>
    <w:rsid w:val="1B7AE0DF"/>
    <w:rsid w:val="1BFB6439"/>
    <w:rsid w:val="1C29483C"/>
    <w:rsid w:val="1C5612ED"/>
    <w:rsid w:val="1D036F2E"/>
    <w:rsid w:val="1DA62EC4"/>
    <w:rsid w:val="1E34CF6B"/>
    <w:rsid w:val="1EE6A260"/>
    <w:rsid w:val="1F399464"/>
    <w:rsid w:val="1F631EA5"/>
    <w:rsid w:val="1F8162A8"/>
    <w:rsid w:val="1FA71611"/>
    <w:rsid w:val="203A8775"/>
    <w:rsid w:val="20A87FD7"/>
    <w:rsid w:val="21057033"/>
    <w:rsid w:val="2111BD74"/>
    <w:rsid w:val="212EF1AD"/>
    <w:rsid w:val="2196BDBC"/>
    <w:rsid w:val="2239E172"/>
    <w:rsid w:val="22A26A82"/>
    <w:rsid w:val="22A80732"/>
    <w:rsid w:val="2300659C"/>
    <w:rsid w:val="234BCBAC"/>
    <w:rsid w:val="238D2099"/>
    <w:rsid w:val="239B01FE"/>
    <w:rsid w:val="2473FED3"/>
    <w:rsid w:val="24A5B71A"/>
    <w:rsid w:val="251A6E12"/>
    <w:rsid w:val="257369B7"/>
    <w:rsid w:val="258ABAF0"/>
    <w:rsid w:val="25DE2B7F"/>
    <w:rsid w:val="264B6C44"/>
    <w:rsid w:val="2661B444"/>
    <w:rsid w:val="26A780F9"/>
    <w:rsid w:val="26C641E6"/>
    <w:rsid w:val="27ABDFF4"/>
    <w:rsid w:val="293FE812"/>
    <w:rsid w:val="29D32341"/>
    <w:rsid w:val="2A4AE801"/>
    <w:rsid w:val="2A531435"/>
    <w:rsid w:val="2AE6CC2C"/>
    <w:rsid w:val="2B738729"/>
    <w:rsid w:val="2B8880A6"/>
    <w:rsid w:val="2BEA365F"/>
    <w:rsid w:val="2C021558"/>
    <w:rsid w:val="2CAB76C2"/>
    <w:rsid w:val="2CF4F5A5"/>
    <w:rsid w:val="2D0A2C8B"/>
    <w:rsid w:val="2E285D4A"/>
    <w:rsid w:val="2EFBFCDC"/>
    <w:rsid w:val="2F048B77"/>
    <w:rsid w:val="2F55C50F"/>
    <w:rsid w:val="3088EF4B"/>
    <w:rsid w:val="3194C20C"/>
    <w:rsid w:val="319C9836"/>
    <w:rsid w:val="31B4537C"/>
    <w:rsid w:val="31E58B34"/>
    <w:rsid w:val="32316F68"/>
    <w:rsid w:val="326AE487"/>
    <w:rsid w:val="3291AE89"/>
    <w:rsid w:val="32E31F05"/>
    <w:rsid w:val="32F60BF6"/>
    <w:rsid w:val="3356EDC9"/>
    <w:rsid w:val="33633B0A"/>
    <w:rsid w:val="339E6D42"/>
    <w:rsid w:val="33D3C5AF"/>
    <w:rsid w:val="34AE694B"/>
    <w:rsid w:val="34CA1664"/>
    <w:rsid w:val="34F02D79"/>
    <w:rsid w:val="34F0604A"/>
    <w:rsid w:val="34F7E82E"/>
    <w:rsid w:val="351B4981"/>
    <w:rsid w:val="353CDF1D"/>
    <w:rsid w:val="356A0F70"/>
    <w:rsid w:val="358A5BD1"/>
    <w:rsid w:val="3599CF79"/>
    <w:rsid w:val="35EFBA57"/>
    <w:rsid w:val="361416DB"/>
    <w:rsid w:val="36554D65"/>
    <w:rsid w:val="36CA045D"/>
    <w:rsid w:val="36E20862"/>
    <w:rsid w:val="371B7B5E"/>
    <w:rsid w:val="37E57295"/>
    <w:rsid w:val="382EF178"/>
    <w:rsid w:val="3877E476"/>
    <w:rsid w:val="38E8D230"/>
    <w:rsid w:val="38F55242"/>
    <w:rsid w:val="39A80EC2"/>
    <w:rsid w:val="39F101C0"/>
    <w:rsid w:val="3A0F9A65"/>
    <w:rsid w:val="3A35F8AF"/>
    <w:rsid w:val="3B242BFC"/>
    <w:rsid w:val="3B5CF314"/>
    <w:rsid w:val="3BECA780"/>
    <w:rsid w:val="3CE3141B"/>
    <w:rsid w:val="3CE99F5A"/>
    <w:rsid w:val="3D23C5B8"/>
    <w:rsid w:val="3E0BAC97"/>
    <w:rsid w:val="3E1348FF"/>
    <w:rsid w:val="3E8FBAAC"/>
    <w:rsid w:val="3EBA9FF5"/>
    <w:rsid w:val="3F2EAC9F"/>
    <w:rsid w:val="3FA828F4"/>
    <w:rsid w:val="4035D578"/>
    <w:rsid w:val="40A71EE9"/>
    <w:rsid w:val="40EE3D79"/>
    <w:rsid w:val="410C4229"/>
    <w:rsid w:val="4194D3A4"/>
    <w:rsid w:val="42086C80"/>
    <w:rsid w:val="42388596"/>
    <w:rsid w:val="423D16D8"/>
    <w:rsid w:val="43606948"/>
    <w:rsid w:val="439DA582"/>
    <w:rsid w:val="43C195BB"/>
    <w:rsid w:val="43FA630D"/>
    <w:rsid w:val="440F99F3"/>
    <w:rsid w:val="4469A1A1"/>
    <w:rsid w:val="44BF8AF9"/>
    <w:rsid w:val="457F371B"/>
    <w:rsid w:val="458C807B"/>
    <w:rsid w:val="45BC7355"/>
    <w:rsid w:val="4617878C"/>
    <w:rsid w:val="467018DF"/>
    <w:rsid w:val="467EAFD7"/>
    <w:rsid w:val="4681AFC7"/>
    <w:rsid w:val="4682A14E"/>
    <w:rsid w:val="4704A1A6"/>
    <w:rsid w:val="47C614DA"/>
    <w:rsid w:val="488923DF"/>
    <w:rsid w:val="48F349CE"/>
    <w:rsid w:val="490882B6"/>
    <w:rsid w:val="496CF8F4"/>
    <w:rsid w:val="49B9AA98"/>
    <w:rsid w:val="4A2698C4"/>
    <w:rsid w:val="4A3B781F"/>
    <w:rsid w:val="4A7055FE"/>
    <w:rsid w:val="4A91B098"/>
    <w:rsid w:val="4AB3D390"/>
    <w:rsid w:val="4B09939E"/>
    <w:rsid w:val="4B12DCCD"/>
    <w:rsid w:val="4C29A64C"/>
    <w:rsid w:val="4C91FE19"/>
    <w:rsid w:val="4CEBC64C"/>
    <w:rsid w:val="4D54F951"/>
    <w:rsid w:val="4D962702"/>
    <w:rsid w:val="4DA739A0"/>
    <w:rsid w:val="4E38E233"/>
    <w:rsid w:val="4E7DA651"/>
    <w:rsid w:val="4E845588"/>
    <w:rsid w:val="4EAE6279"/>
    <w:rsid w:val="4F248F8D"/>
    <w:rsid w:val="50C98639"/>
    <w:rsid w:val="50D84329"/>
    <w:rsid w:val="5147A4AD"/>
    <w:rsid w:val="51B7AF8B"/>
    <w:rsid w:val="51CCE2D4"/>
    <w:rsid w:val="51ED3110"/>
    <w:rsid w:val="52A315B9"/>
    <w:rsid w:val="52A7DB16"/>
    <w:rsid w:val="52FCB10C"/>
    <w:rsid w:val="53349613"/>
    <w:rsid w:val="534321ED"/>
    <w:rsid w:val="53BB5130"/>
    <w:rsid w:val="53C169FD"/>
    <w:rsid w:val="53C8E629"/>
    <w:rsid w:val="54097398"/>
    <w:rsid w:val="5491F0B2"/>
    <w:rsid w:val="54DB7A2D"/>
    <w:rsid w:val="54EEAE3D"/>
    <w:rsid w:val="5548B3D9"/>
    <w:rsid w:val="55795E68"/>
    <w:rsid w:val="55C22596"/>
    <w:rsid w:val="55F25773"/>
    <w:rsid w:val="56D01987"/>
    <w:rsid w:val="56FA2D32"/>
    <w:rsid w:val="572FD3C9"/>
    <w:rsid w:val="57F03602"/>
    <w:rsid w:val="58C4F9BC"/>
    <w:rsid w:val="58E57C56"/>
    <w:rsid w:val="59A53774"/>
    <w:rsid w:val="5A3B6681"/>
    <w:rsid w:val="5A5ECD76"/>
    <w:rsid w:val="5AB167E5"/>
    <w:rsid w:val="5BC9FA7D"/>
    <w:rsid w:val="5BF649DD"/>
    <w:rsid w:val="5C476849"/>
    <w:rsid w:val="5C84A483"/>
    <w:rsid w:val="5C886DC1"/>
    <w:rsid w:val="5CD9B203"/>
    <w:rsid w:val="5D8412A7"/>
    <w:rsid w:val="5DCBD23D"/>
    <w:rsid w:val="5DCFD2C4"/>
    <w:rsid w:val="5DE4AB98"/>
    <w:rsid w:val="5E22D1C9"/>
    <w:rsid w:val="5E4FB535"/>
    <w:rsid w:val="5E6244A5"/>
    <w:rsid w:val="5E6B91F6"/>
    <w:rsid w:val="5EA934C7"/>
    <w:rsid w:val="5F397AA4"/>
    <w:rsid w:val="5F76B6DE"/>
    <w:rsid w:val="5F927989"/>
    <w:rsid w:val="5FD37469"/>
    <w:rsid w:val="5FEB6DD6"/>
    <w:rsid w:val="603A07B4"/>
    <w:rsid w:val="6168545E"/>
    <w:rsid w:val="618EBA78"/>
    <w:rsid w:val="61CEF828"/>
    <w:rsid w:val="61EE1A64"/>
    <w:rsid w:val="6206B985"/>
    <w:rsid w:val="6275B66A"/>
    <w:rsid w:val="62A99FCF"/>
    <w:rsid w:val="62CD744A"/>
    <w:rsid w:val="62FA3EFB"/>
    <w:rsid w:val="63A0B8D2"/>
    <w:rsid w:val="63EB45F4"/>
    <w:rsid w:val="640C090E"/>
    <w:rsid w:val="642D3BA8"/>
    <w:rsid w:val="6446695B"/>
    <w:rsid w:val="64B82063"/>
    <w:rsid w:val="65160EE4"/>
    <w:rsid w:val="652DDE12"/>
    <w:rsid w:val="6572D501"/>
    <w:rsid w:val="65CB0A98"/>
    <w:rsid w:val="65DC129E"/>
    <w:rsid w:val="65F81EE2"/>
    <w:rsid w:val="6630DB35"/>
    <w:rsid w:val="668E05D0"/>
    <w:rsid w:val="66EFBB89"/>
    <w:rsid w:val="67387BB6"/>
    <w:rsid w:val="68B19900"/>
    <w:rsid w:val="68D14D22"/>
    <w:rsid w:val="6997A921"/>
    <w:rsid w:val="69D0C5DE"/>
    <w:rsid w:val="69D3A0AA"/>
    <w:rsid w:val="69E4C33C"/>
    <w:rsid w:val="69FD85F7"/>
    <w:rsid w:val="6A06503F"/>
    <w:rsid w:val="6A31B249"/>
    <w:rsid w:val="6A587DD8"/>
    <w:rsid w:val="6A8E90B6"/>
    <w:rsid w:val="6B182AE1"/>
    <w:rsid w:val="6B5C8731"/>
    <w:rsid w:val="6B61A9C4"/>
    <w:rsid w:val="6B71F314"/>
    <w:rsid w:val="6C81D2C1"/>
    <w:rsid w:val="6CBF0EFB"/>
    <w:rsid w:val="6CC5D829"/>
    <w:rsid w:val="6CD70868"/>
    <w:rsid w:val="6CEB5475"/>
    <w:rsid w:val="6D33C5F3"/>
    <w:rsid w:val="6D8603FD"/>
    <w:rsid w:val="6D89F7B9"/>
    <w:rsid w:val="6DEA891A"/>
    <w:rsid w:val="6EE1A60C"/>
    <w:rsid w:val="6EF5A36A"/>
    <w:rsid w:val="6F95DC53"/>
    <w:rsid w:val="6FC91AC3"/>
    <w:rsid w:val="6FCF5075"/>
    <w:rsid w:val="6FE41420"/>
    <w:rsid w:val="700B749E"/>
    <w:rsid w:val="7011D058"/>
    <w:rsid w:val="70260B1F"/>
    <w:rsid w:val="707289F2"/>
    <w:rsid w:val="712A0BCF"/>
    <w:rsid w:val="71414686"/>
    <w:rsid w:val="7155ADDB"/>
    <w:rsid w:val="71DA76FD"/>
    <w:rsid w:val="71E7E896"/>
    <w:rsid w:val="7217B337"/>
    <w:rsid w:val="72512633"/>
    <w:rsid w:val="72D6267B"/>
    <w:rsid w:val="730F9977"/>
    <w:rsid w:val="7317EAA9"/>
    <w:rsid w:val="732FEEAE"/>
    <w:rsid w:val="73425439"/>
    <w:rsid w:val="73D9C043"/>
    <w:rsid w:val="73F7728F"/>
    <w:rsid w:val="741D3A29"/>
    <w:rsid w:val="743FCE5B"/>
    <w:rsid w:val="7480A1E9"/>
    <w:rsid w:val="753F4717"/>
    <w:rsid w:val="75B0FE1F"/>
    <w:rsid w:val="764748A3"/>
    <w:rsid w:val="76788A99"/>
    <w:rsid w:val="77991BE0"/>
    <w:rsid w:val="77E406B9"/>
    <w:rsid w:val="781BA00B"/>
    <w:rsid w:val="78D73234"/>
    <w:rsid w:val="79D85CEC"/>
    <w:rsid w:val="79FE3FBA"/>
    <w:rsid w:val="7A076718"/>
    <w:rsid w:val="7A781FFB"/>
    <w:rsid w:val="7A7C1E10"/>
    <w:rsid w:val="7AC114FF"/>
    <w:rsid w:val="7AC1DE4D"/>
    <w:rsid w:val="7B438591"/>
    <w:rsid w:val="7B7DAC07"/>
    <w:rsid w:val="7C11089D"/>
    <w:rsid w:val="7C56BE42"/>
    <w:rsid w:val="7CC69987"/>
    <w:rsid w:val="7CE8716D"/>
    <w:rsid w:val="7DA3E4F2"/>
    <w:rsid w:val="7DB35A2B"/>
    <w:rsid w:val="7DB7ECB7"/>
    <w:rsid w:val="7DBFA76C"/>
    <w:rsid w:val="7DD018F5"/>
    <w:rsid w:val="7E012B28"/>
    <w:rsid w:val="7E618EB7"/>
    <w:rsid w:val="7ED31D86"/>
    <w:rsid w:val="7F184746"/>
    <w:rsid w:val="7F558380"/>
    <w:rsid w:val="7FD6BA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58AE"/>
  <w15:chartTrackingRefBased/>
  <w15:docId w15:val="{42B9117B-C875-469D-BD96-3D83F86DEC3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DC4735"/>
    <w:pPr>
      <w:numPr>
        <w:numId w:val="20"/>
      </w:numPr>
      <w:ind w:right="2160"/>
    </w:pPr>
    <w:rPr>
      <w:rFonts w:eastAsiaTheme="majorEastAsia" w:cstheme="majorBidi"/>
      <w:szCs w:val="32"/>
    </w:rPr>
  </w:style>
  <w:style w:type="paragraph" w:styleId="Heading2">
    <w:name w:val="heading 2"/>
    <w:basedOn w:val="Dummy"/>
    <w:next w:val="Standard"/>
    <w:link w:val="Heading2Char"/>
    <w:uiPriority w:val="4"/>
    <w:qFormat/>
    <w:rsid w:val="00DC4735"/>
    <w:pPr>
      <w:numPr>
        <w:ilvl w:val="1"/>
        <w:numId w:val="20"/>
      </w:numPr>
      <w:ind w:right="2160"/>
      <w:outlineLvl w:val="1"/>
    </w:pPr>
  </w:style>
  <w:style w:type="paragraph" w:styleId="Heading3">
    <w:name w:val="heading 3"/>
    <w:basedOn w:val="Dummy"/>
    <w:next w:val="Standard"/>
    <w:link w:val="Heading3Char"/>
    <w:uiPriority w:val="4"/>
    <w:qFormat/>
    <w:rsid w:val="00DC4735"/>
    <w:pPr>
      <w:numPr>
        <w:ilvl w:val="2"/>
        <w:numId w:val="20"/>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DC4735"/>
    <w:pPr>
      <w:numPr>
        <w:ilvl w:val="3"/>
        <w:numId w:val="20"/>
      </w:numPr>
      <w:ind w:right="2160"/>
      <w:outlineLvl w:val="3"/>
    </w:pPr>
    <w:rPr>
      <w:rFonts w:eastAsiaTheme="majorEastAsia" w:cstheme="majorBidi"/>
      <w:iCs/>
    </w:rPr>
  </w:style>
  <w:style w:type="paragraph" w:styleId="Heading5">
    <w:name w:val="heading 5"/>
    <w:basedOn w:val="Dummy"/>
    <w:next w:val="Standard"/>
    <w:link w:val="Heading5Char"/>
    <w:uiPriority w:val="4"/>
    <w:rsid w:val="00DC4735"/>
    <w:pPr>
      <w:numPr>
        <w:ilvl w:val="4"/>
        <w:numId w:val="20"/>
      </w:numPr>
      <w:ind w:right="2160"/>
      <w:outlineLvl w:val="4"/>
    </w:pPr>
    <w:rPr>
      <w:rFonts w:eastAsiaTheme="majorEastAsia" w:cstheme="majorBidi"/>
    </w:rPr>
  </w:style>
  <w:style w:type="paragraph" w:styleId="Heading6">
    <w:name w:val="heading 6"/>
    <w:basedOn w:val="Dummy"/>
    <w:next w:val="Standard"/>
    <w:link w:val="Heading6Char"/>
    <w:uiPriority w:val="4"/>
    <w:rsid w:val="00DC4735"/>
    <w:pPr>
      <w:numPr>
        <w:ilvl w:val="5"/>
        <w:numId w:val="20"/>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DC4735"/>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unhideWhenUsed/>
    <w:rsid w:val="00DF58E7"/>
    <w:rPr>
      <w:vertAlign w:val="superscript"/>
    </w:rPr>
  </w:style>
  <w:style w:type="paragraph" w:customStyle="1" w:styleId="FoF">
    <w:name w:val="FoF"/>
    <w:basedOn w:val="Standard"/>
    <w:uiPriority w:val="6"/>
    <w:qFormat/>
    <w:rsid w:val="00DC4735"/>
    <w:pPr>
      <w:numPr>
        <w:numId w:val="3"/>
      </w:numPr>
    </w:pPr>
  </w:style>
  <w:style w:type="paragraph" w:customStyle="1" w:styleId="CoL">
    <w:name w:val="CoL"/>
    <w:basedOn w:val="Standard"/>
    <w:uiPriority w:val="7"/>
    <w:qFormat/>
    <w:rsid w:val="00DC4735"/>
    <w:pPr>
      <w:numPr>
        <w:numId w:val="4"/>
      </w:numPr>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DC4735"/>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DC4735"/>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DC4735"/>
    <w:pPr>
      <w:numPr>
        <w:ilvl w:val="7"/>
        <w:numId w:val="20"/>
      </w:numPr>
      <w:spacing w:after="120" w:line="240" w:lineRule="auto"/>
    </w:pPr>
  </w:style>
  <w:style w:type="paragraph" w:styleId="ListBullet">
    <w:name w:val="List Bullet"/>
    <w:basedOn w:val="Standard"/>
    <w:uiPriority w:val="4"/>
    <w:qFormat/>
    <w:rsid w:val="00DC4735"/>
    <w:pPr>
      <w:numPr>
        <w:numId w:val="9"/>
      </w:numPr>
      <w:spacing w:after="120" w:line="240" w:lineRule="auto"/>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DC4735"/>
    <w:pPr>
      <w:numPr>
        <w:ilvl w:val="6"/>
        <w:numId w:val="20"/>
      </w:numPr>
      <w:spacing w:after="120" w:line="240" w:lineRule="auto"/>
    </w:pPr>
  </w:style>
  <w:style w:type="character" w:styleId="CommentReference">
    <w:name w:val="annotation reference"/>
    <w:basedOn w:val="DefaultParagraphFont"/>
    <w:uiPriority w:val="99"/>
    <w:semiHidden/>
    <w:unhideWhenUsed/>
    <w:rsid w:val="00FD6E57"/>
    <w:rPr>
      <w:sz w:val="16"/>
      <w:szCs w:val="16"/>
    </w:rPr>
  </w:style>
  <w:style w:type="paragraph" w:styleId="CommentText">
    <w:name w:val="annotation text"/>
    <w:basedOn w:val="Normal"/>
    <w:link w:val="CommentTextChar"/>
    <w:uiPriority w:val="99"/>
    <w:unhideWhenUsed/>
    <w:rsid w:val="00FD6E57"/>
    <w:pPr>
      <w:spacing w:after="160" w:line="240" w:lineRule="auto"/>
      <w:ind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FD6E57"/>
    <w:rPr>
      <w:sz w:val="20"/>
      <w:szCs w:val="20"/>
    </w:rPr>
  </w:style>
  <w:style w:type="character" w:styleId="Mention">
    <w:name w:val="Mention"/>
    <w:basedOn w:val="DefaultParagraphFont"/>
    <w:uiPriority w:val="99"/>
    <w:unhideWhenUsed/>
    <w:rsid w:val="00FD6E57"/>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5773C"/>
    <w:pPr>
      <w:spacing w:after="0"/>
      <w:ind w:firstLine="720"/>
    </w:pPr>
    <w:rPr>
      <w:rFonts w:ascii="Book Antiqua" w:hAnsi="Book Antiqua"/>
      <w:b/>
      <w:bCs/>
    </w:rPr>
  </w:style>
  <w:style w:type="character" w:customStyle="1" w:styleId="CommentSubjectChar">
    <w:name w:val="Comment Subject Char"/>
    <w:basedOn w:val="CommentTextChar"/>
    <w:link w:val="CommentSubject"/>
    <w:uiPriority w:val="99"/>
    <w:semiHidden/>
    <w:rsid w:val="00C5773C"/>
    <w:rPr>
      <w:rFonts w:ascii="Book Antiqua" w:hAnsi="Book Antiqua"/>
      <w:b/>
      <w:bCs/>
      <w:sz w:val="20"/>
      <w:szCs w:val="20"/>
    </w:rPr>
  </w:style>
  <w:style w:type="paragraph" w:styleId="ListParagraph">
    <w:name w:val="List Paragraph"/>
    <w:basedOn w:val="Normal"/>
    <w:uiPriority w:val="34"/>
    <w:qFormat/>
    <w:rsid w:val="008E74D7"/>
    <w:pPr>
      <w:spacing w:after="160" w:line="259" w:lineRule="auto"/>
      <w:ind w:left="720" w:firstLine="0"/>
      <w:contextualSpacing/>
    </w:pPr>
    <w:rPr>
      <w:rFonts w:asciiTheme="minorHAnsi" w:hAnsiTheme="minorHAnsi"/>
      <w:sz w:val="22"/>
    </w:rPr>
  </w:style>
  <w:style w:type="paragraph" w:customStyle="1" w:styleId="Sub1">
    <w:name w:val="Sub1"/>
    <w:basedOn w:val="Normal"/>
    <w:rsid w:val="00FB41EA"/>
    <w:pPr>
      <w:spacing w:after="240" w:line="240" w:lineRule="auto"/>
      <w:ind w:left="835" w:hanging="475"/>
    </w:pPr>
  </w:style>
  <w:style w:type="paragraph" w:customStyle="1" w:styleId="Sub2">
    <w:name w:val="Sub2"/>
    <w:basedOn w:val="Normal"/>
    <w:rsid w:val="00FB41EA"/>
    <w:pPr>
      <w:tabs>
        <w:tab w:val="num" w:pos="1080"/>
      </w:tabs>
      <w:spacing w:after="240" w:line="240" w:lineRule="auto"/>
      <w:ind w:left="1080" w:hanging="720"/>
    </w:pPr>
  </w:style>
  <w:style w:type="paragraph" w:customStyle="1" w:styleId="Sub3">
    <w:name w:val="Sub3"/>
    <w:basedOn w:val="Normal"/>
    <w:rsid w:val="00FB41EA"/>
    <w:pPr>
      <w:spacing w:after="240" w:line="240" w:lineRule="auto"/>
      <w:ind w:firstLine="0"/>
    </w:pPr>
  </w:style>
  <w:style w:type="character" w:styleId="UnresolvedMention">
    <w:name w:val="Unresolved Mention"/>
    <w:basedOn w:val="DefaultParagraphFont"/>
    <w:uiPriority w:val="99"/>
    <w:semiHidden/>
    <w:unhideWhenUsed/>
    <w:rsid w:val="00EA61A3"/>
    <w:rPr>
      <w:color w:val="605E5C"/>
      <w:shd w:val="clear" w:color="auto" w:fill="E1DFDD"/>
    </w:rPr>
  </w:style>
  <w:style w:type="paragraph" w:styleId="NormalWeb">
    <w:name w:val="Normal (Web)"/>
    <w:basedOn w:val="Normal"/>
    <w:uiPriority w:val="99"/>
    <w:semiHidden/>
    <w:unhideWhenUsed/>
    <w:rsid w:val="00210FC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700C6"/>
    <w:rPr>
      <w:color w:val="954F72" w:themeColor="followedHyperlink"/>
      <w:u w:val="single"/>
    </w:rPr>
  </w:style>
  <w:style w:type="paragraph" w:styleId="TOC7">
    <w:name w:val="toc 7"/>
    <w:basedOn w:val="Normal"/>
    <w:next w:val="Normal"/>
    <w:autoRedefine/>
    <w:uiPriority w:val="39"/>
    <w:unhideWhenUsed/>
    <w:rsid w:val="00374E86"/>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374E86"/>
    <w:pPr>
      <w:spacing w:after="100" w:line="259" w:lineRule="auto"/>
      <w:ind w:left="1540" w:firstLine="0"/>
    </w:pPr>
    <w:rPr>
      <w:rFonts w:asciiTheme="minorHAnsi" w:eastAsiaTheme="minorEastAsia" w:hAnsiTheme="minorHAnsi"/>
      <w:sz w:val="22"/>
    </w:rPr>
  </w:style>
  <w:style w:type="paragraph" w:styleId="Revision">
    <w:name w:val="Revision"/>
    <w:hidden/>
    <w:uiPriority w:val="99"/>
    <w:semiHidden/>
    <w:rsid w:val="00CE5570"/>
    <w:pPr>
      <w:spacing w:after="0" w:line="240" w:lineRule="auto"/>
    </w:pPr>
    <w:rPr>
      <w:rFonts w:ascii="Book Antiqua" w:hAnsi="Book Antiqua"/>
      <w:sz w:val="26"/>
    </w:rPr>
  </w:style>
  <w:style w:type="character" w:customStyle="1" w:styleId="cf01">
    <w:name w:val="cf01"/>
    <w:basedOn w:val="DefaultParagraphFont"/>
    <w:rsid w:val="00544C18"/>
    <w:rPr>
      <w:rFonts w:ascii="Segoe UI" w:hAnsi="Segoe UI" w:cs="Segoe UI" w:hint="default"/>
      <w:sz w:val="18"/>
      <w:szCs w:val="18"/>
    </w:rPr>
  </w:style>
  <w:style w:type="paragraph" w:customStyle="1" w:styleId="Section">
    <w:name w:val="Section"/>
    <w:basedOn w:val="Normal"/>
    <w:qFormat/>
    <w:rsid w:val="00544C18"/>
    <w:pPr>
      <w:keepNext/>
      <w:spacing w:after="120" w:line="240" w:lineRule="auto"/>
      <w:ind w:firstLine="0"/>
    </w:pPr>
    <w:rPr>
      <w:rFonts w:cstheme="minorHAnsi"/>
      <w:b/>
      <w:bCs/>
    </w:rPr>
  </w:style>
  <w:style w:type="paragraph" w:customStyle="1" w:styleId="BodyAttachment">
    <w:name w:val="BodyAttachment"/>
    <w:basedOn w:val="Normal"/>
    <w:qFormat/>
    <w:rsid w:val="00544C18"/>
    <w:pPr>
      <w:spacing w:after="24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6845">
      <w:bodyDiv w:val="1"/>
      <w:marLeft w:val="0"/>
      <w:marRight w:val="0"/>
      <w:marTop w:val="0"/>
      <w:marBottom w:val="0"/>
      <w:divBdr>
        <w:top w:val="none" w:sz="0" w:space="0" w:color="auto"/>
        <w:left w:val="none" w:sz="0" w:space="0" w:color="auto"/>
        <w:bottom w:val="none" w:sz="0" w:space="0" w:color="auto"/>
        <w:right w:val="none" w:sz="0" w:space="0" w:color="auto"/>
      </w:divBdr>
    </w:div>
    <w:div w:id="1886942707">
      <w:bodyDiv w:val="1"/>
      <w:marLeft w:val="0"/>
      <w:marRight w:val="0"/>
      <w:marTop w:val="0"/>
      <w:marBottom w:val="0"/>
      <w:divBdr>
        <w:top w:val="none" w:sz="0" w:space="0" w:color="auto"/>
        <w:left w:val="none" w:sz="0" w:space="0" w:color="auto"/>
        <w:bottom w:val="none" w:sz="0" w:space="0" w:color="auto"/>
        <w:right w:val="none" w:sz="0" w:space="0" w:color="auto"/>
      </w:divBdr>
      <w:divsChild>
        <w:div w:id="3822615">
          <w:marLeft w:val="150"/>
          <w:marRight w:val="150"/>
          <w:marTop w:val="150"/>
          <w:marBottom w:val="150"/>
          <w:divBdr>
            <w:top w:val="none" w:sz="0" w:space="0" w:color="auto"/>
            <w:left w:val="none" w:sz="0" w:space="0" w:color="auto"/>
            <w:bottom w:val="none" w:sz="0" w:space="0" w:color="auto"/>
            <w:right w:val="none" w:sz="0" w:space="0" w:color="auto"/>
          </w:divBdr>
        </w:div>
        <w:div w:id="27710307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http://docs.cpuc.ca.gov/PublishedDocs/Published/G000/M499/K705/499705854.docx" TargetMode="External" Id="R42913304b7d24c61" /></Relationships>
</file>

<file path=word/_rels/footnotes.xml.rels><?xml version="1.0" encoding="UTF-8" standalone="yes"?>
<Relationships xmlns="http://schemas.openxmlformats.org/package/2006/relationships"><Relationship Id="rId8" Type="http://schemas.openxmlformats.org/officeDocument/2006/relationships/hyperlink" Target="https://docs.cpuc.ca.gov/PublishedDocs/Published/G000/M023/K381/23381302.PDF" TargetMode="External"/><Relationship Id="rId3" Type="http://schemas.openxmlformats.org/officeDocument/2006/relationships/hyperlink" Target="https://www.energy.ca.gov/data-reports/reports/integrated-energy-policy-report/2021-integrated-energy-policy-report" TargetMode="External"/><Relationship Id="rId7" Type="http://schemas.openxmlformats.org/officeDocument/2006/relationships/hyperlink" Target="https://docs.cpuc.ca.gov/SearchRes.aspx?DocFormat=ALL&amp;DocID=294992975" TargetMode="External"/><Relationship Id="rId2" Type="http://schemas.openxmlformats.org/officeDocument/2006/relationships/hyperlink" Target="https://www.socalgas.com/sites/default/files/Joint_Utility_Biennial_Comprehensive_California_Gas_Report_2022.pdf" TargetMode="External"/><Relationship Id="rId1" Type="http://schemas.openxmlformats.org/officeDocument/2006/relationships/hyperlink" Target="https://www.cpuc.ca.gov/proceedings-and-rulemaking/cpuc-general-orders" TargetMode="External"/><Relationship Id="rId6" Type="http://schemas.openxmlformats.org/officeDocument/2006/relationships/hyperlink" Target="https://www.cpuc.ca.gov/proceedings-and-rulemaking/cpuc-general-orders" TargetMode="External"/><Relationship Id="rId5" Type="http://schemas.openxmlformats.org/officeDocument/2006/relationships/hyperlink" Target="https://www.buildingdecarb.org/zeb-ordinances.html" TargetMode="External"/><Relationship Id="rId4" Type="http://schemas.openxmlformats.org/officeDocument/2006/relationships/hyperlink" Target="https://www.cpuc.ca.gov/buildingdecarb" TargetMode="External"/><Relationship Id="rId9" Type="http://schemas.openxmlformats.org/officeDocument/2006/relationships/hyperlink" Target="https://www.cpuc.ca.gov/-/media/cpuc-website/files/legacyfiles/c/6442463239-ceqa-pre-filing-guidelines-pea-checklist-nov-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6" ma:contentTypeDescription="Create a new document." ma:contentTypeScope="" ma:versionID="ddaff8b455f2b2eb192f17e2b9c2fc9a">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8fdcf9ab4b86c1976a280f112f357892"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3fc96-ae02-4939-ae84-adebc40aa377}" ma:internalName="TaxCatchAll" ma:showField="CatchAllData" ma:web="9906f322-3aa4-452a-acdd-a6e6b5352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710D-53DA-439E-8BF4-60CBA24DDF25}">
  <ds:schemaRefs>
    <ds:schemaRef ds:uri="http://schemas.microsoft.com/sharepoint/v3/contenttype/forms"/>
  </ds:schemaRefs>
</ds:datastoreItem>
</file>

<file path=customXml/itemProps2.xml><?xml version="1.0" encoding="utf-8"?>
<ds:datastoreItem xmlns:ds="http://schemas.openxmlformats.org/officeDocument/2006/customXml" ds:itemID="{C243F018-2BE6-4278-A5D9-B82C74022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106</ap:Pages>
  <ap:Words>26495</ap:Words>
  <ap:Characters>151024</ap:Characters>
  <ap:Application>Microsoft Office Word</ap:Application>
  <ap:DocSecurity>0</ap:DocSecurity>
  <ap:Lines>1258</ap:Lines>
  <ap:Paragraphs>354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177165</ap:CharactersWithSpaces>
  <ap:SharedDoc>false</ap:SharedDoc>
  <ap:HLinks>
    <vt:vector baseType="variant" size="594">
      <vt:variant>
        <vt:i4>1245236</vt:i4>
      </vt:variant>
      <vt:variant>
        <vt:i4>530</vt:i4>
      </vt:variant>
      <vt:variant>
        <vt:i4>0</vt:i4>
      </vt:variant>
      <vt:variant>
        <vt:i4>5</vt:i4>
      </vt:variant>
      <vt:variant>
        <vt:lpwstr/>
      </vt:variant>
      <vt:variant>
        <vt:lpwstr>_Toc117502225</vt:lpwstr>
      </vt:variant>
      <vt:variant>
        <vt:i4>1245236</vt:i4>
      </vt:variant>
      <vt:variant>
        <vt:i4>524</vt:i4>
      </vt:variant>
      <vt:variant>
        <vt:i4>0</vt:i4>
      </vt:variant>
      <vt:variant>
        <vt:i4>5</vt:i4>
      </vt:variant>
      <vt:variant>
        <vt:lpwstr/>
      </vt:variant>
      <vt:variant>
        <vt:lpwstr>_Toc117502224</vt:lpwstr>
      </vt:variant>
      <vt:variant>
        <vt:i4>1245236</vt:i4>
      </vt:variant>
      <vt:variant>
        <vt:i4>518</vt:i4>
      </vt:variant>
      <vt:variant>
        <vt:i4>0</vt:i4>
      </vt:variant>
      <vt:variant>
        <vt:i4>5</vt:i4>
      </vt:variant>
      <vt:variant>
        <vt:lpwstr/>
      </vt:variant>
      <vt:variant>
        <vt:lpwstr>_Toc117502223</vt:lpwstr>
      </vt:variant>
      <vt:variant>
        <vt:i4>1245236</vt:i4>
      </vt:variant>
      <vt:variant>
        <vt:i4>512</vt:i4>
      </vt:variant>
      <vt:variant>
        <vt:i4>0</vt:i4>
      </vt:variant>
      <vt:variant>
        <vt:i4>5</vt:i4>
      </vt:variant>
      <vt:variant>
        <vt:lpwstr/>
      </vt:variant>
      <vt:variant>
        <vt:lpwstr>_Toc117502222</vt:lpwstr>
      </vt:variant>
      <vt:variant>
        <vt:i4>1245236</vt:i4>
      </vt:variant>
      <vt:variant>
        <vt:i4>506</vt:i4>
      </vt:variant>
      <vt:variant>
        <vt:i4>0</vt:i4>
      </vt:variant>
      <vt:variant>
        <vt:i4>5</vt:i4>
      </vt:variant>
      <vt:variant>
        <vt:lpwstr/>
      </vt:variant>
      <vt:variant>
        <vt:lpwstr>_Toc117502221</vt:lpwstr>
      </vt:variant>
      <vt:variant>
        <vt:i4>1245236</vt:i4>
      </vt:variant>
      <vt:variant>
        <vt:i4>500</vt:i4>
      </vt:variant>
      <vt:variant>
        <vt:i4>0</vt:i4>
      </vt:variant>
      <vt:variant>
        <vt:i4>5</vt:i4>
      </vt:variant>
      <vt:variant>
        <vt:lpwstr/>
      </vt:variant>
      <vt:variant>
        <vt:lpwstr>_Toc117502220</vt:lpwstr>
      </vt:variant>
      <vt:variant>
        <vt:i4>1048628</vt:i4>
      </vt:variant>
      <vt:variant>
        <vt:i4>494</vt:i4>
      </vt:variant>
      <vt:variant>
        <vt:i4>0</vt:i4>
      </vt:variant>
      <vt:variant>
        <vt:i4>5</vt:i4>
      </vt:variant>
      <vt:variant>
        <vt:lpwstr/>
      </vt:variant>
      <vt:variant>
        <vt:lpwstr>_Toc117502219</vt:lpwstr>
      </vt:variant>
      <vt:variant>
        <vt:i4>1048628</vt:i4>
      </vt:variant>
      <vt:variant>
        <vt:i4>488</vt:i4>
      </vt:variant>
      <vt:variant>
        <vt:i4>0</vt:i4>
      </vt:variant>
      <vt:variant>
        <vt:i4>5</vt:i4>
      </vt:variant>
      <vt:variant>
        <vt:lpwstr/>
      </vt:variant>
      <vt:variant>
        <vt:lpwstr>_Toc117502218</vt:lpwstr>
      </vt:variant>
      <vt:variant>
        <vt:i4>1048628</vt:i4>
      </vt:variant>
      <vt:variant>
        <vt:i4>482</vt:i4>
      </vt:variant>
      <vt:variant>
        <vt:i4>0</vt:i4>
      </vt:variant>
      <vt:variant>
        <vt:i4>5</vt:i4>
      </vt:variant>
      <vt:variant>
        <vt:lpwstr/>
      </vt:variant>
      <vt:variant>
        <vt:lpwstr>_Toc117502217</vt:lpwstr>
      </vt:variant>
      <vt:variant>
        <vt:i4>1048628</vt:i4>
      </vt:variant>
      <vt:variant>
        <vt:i4>476</vt:i4>
      </vt:variant>
      <vt:variant>
        <vt:i4>0</vt:i4>
      </vt:variant>
      <vt:variant>
        <vt:i4>5</vt:i4>
      </vt:variant>
      <vt:variant>
        <vt:lpwstr/>
      </vt:variant>
      <vt:variant>
        <vt:lpwstr>_Toc117502216</vt:lpwstr>
      </vt:variant>
      <vt:variant>
        <vt:i4>1048628</vt:i4>
      </vt:variant>
      <vt:variant>
        <vt:i4>470</vt:i4>
      </vt:variant>
      <vt:variant>
        <vt:i4>0</vt:i4>
      </vt:variant>
      <vt:variant>
        <vt:i4>5</vt:i4>
      </vt:variant>
      <vt:variant>
        <vt:lpwstr/>
      </vt:variant>
      <vt:variant>
        <vt:lpwstr>_Toc117502215</vt:lpwstr>
      </vt:variant>
      <vt:variant>
        <vt:i4>1048628</vt:i4>
      </vt:variant>
      <vt:variant>
        <vt:i4>464</vt:i4>
      </vt:variant>
      <vt:variant>
        <vt:i4>0</vt:i4>
      </vt:variant>
      <vt:variant>
        <vt:i4>5</vt:i4>
      </vt:variant>
      <vt:variant>
        <vt:lpwstr/>
      </vt:variant>
      <vt:variant>
        <vt:lpwstr>_Toc117502214</vt:lpwstr>
      </vt:variant>
      <vt:variant>
        <vt:i4>1048628</vt:i4>
      </vt:variant>
      <vt:variant>
        <vt:i4>458</vt:i4>
      </vt:variant>
      <vt:variant>
        <vt:i4>0</vt:i4>
      </vt:variant>
      <vt:variant>
        <vt:i4>5</vt:i4>
      </vt:variant>
      <vt:variant>
        <vt:lpwstr/>
      </vt:variant>
      <vt:variant>
        <vt:lpwstr>_Toc117502213</vt:lpwstr>
      </vt:variant>
      <vt:variant>
        <vt:i4>1048628</vt:i4>
      </vt:variant>
      <vt:variant>
        <vt:i4>452</vt:i4>
      </vt:variant>
      <vt:variant>
        <vt:i4>0</vt:i4>
      </vt:variant>
      <vt:variant>
        <vt:i4>5</vt:i4>
      </vt:variant>
      <vt:variant>
        <vt:lpwstr/>
      </vt:variant>
      <vt:variant>
        <vt:lpwstr>_Toc117502212</vt:lpwstr>
      </vt:variant>
      <vt:variant>
        <vt:i4>1048628</vt:i4>
      </vt:variant>
      <vt:variant>
        <vt:i4>446</vt:i4>
      </vt:variant>
      <vt:variant>
        <vt:i4>0</vt:i4>
      </vt:variant>
      <vt:variant>
        <vt:i4>5</vt:i4>
      </vt:variant>
      <vt:variant>
        <vt:lpwstr/>
      </vt:variant>
      <vt:variant>
        <vt:lpwstr>_Toc117502211</vt:lpwstr>
      </vt:variant>
      <vt:variant>
        <vt:i4>1048628</vt:i4>
      </vt:variant>
      <vt:variant>
        <vt:i4>440</vt:i4>
      </vt:variant>
      <vt:variant>
        <vt:i4>0</vt:i4>
      </vt:variant>
      <vt:variant>
        <vt:i4>5</vt:i4>
      </vt:variant>
      <vt:variant>
        <vt:lpwstr/>
      </vt:variant>
      <vt:variant>
        <vt:lpwstr>_Toc117502210</vt:lpwstr>
      </vt:variant>
      <vt:variant>
        <vt:i4>1114164</vt:i4>
      </vt:variant>
      <vt:variant>
        <vt:i4>434</vt:i4>
      </vt:variant>
      <vt:variant>
        <vt:i4>0</vt:i4>
      </vt:variant>
      <vt:variant>
        <vt:i4>5</vt:i4>
      </vt:variant>
      <vt:variant>
        <vt:lpwstr/>
      </vt:variant>
      <vt:variant>
        <vt:lpwstr>_Toc117502209</vt:lpwstr>
      </vt:variant>
      <vt:variant>
        <vt:i4>1114164</vt:i4>
      </vt:variant>
      <vt:variant>
        <vt:i4>428</vt:i4>
      </vt:variant>
      <vt:variant>
        <vt:i4>0</vt:i4>
      </vt:variant>
      <vt:variant>
        <vt:i4>5</vt:i4>
      </vt:variant>
      <vt:variant>
        <vt:lpwstr/>
      </vt:variant>
      <vt:variant>
        <vt:lpwstr>_Toc117502208</vt:lpwstr>
      </vt:variant>
      <vt:variant>
        <vt:i4>1114164</vt:i4>
      </vt:variant>
      <vt:variant>
        <vt:i4>422</vt:i4>
      </vt:variant>
      <vt:variant>
        <vt:i4>0</vt:i4>
      </vt:variant>
      <vt:variant>
        <vt:i4>5</vt:i4>
      </vt:variant>
      <vt:variant>
        <vt:lpwstr/>
      </vt:variant>
      <vt:variant>
        <vt:lpwstr>_Toc117502207</vt:lpwstr>
      </vt:variant>
      <vt:variant>
        <vt:i4>1114164</vt:i4>
      </vt:variant>
      <vt:variant>
        <vt:i4>416</vt:i4>
      </vt:variant>
      <vt:variant>
        <vt:i4>0</vt:i4>
      </vt:variant>
      <vt:variant>
        <vt:i4>5</vt:i4>
      </vt:variant>
      <vt:variant>
        <vt:lpwstr/>
      </vt:variant>
      <vt:variant>
        <vt:lpwstr>_Toc117502206</vt:lpwstr>
      </vt:variant>
      <vt:variant>
        <vt:i4>1114164</vt:i4>
      </vt:variant>
      <vt:variant>
        <vt:i4>410</vt:i4>
      </vt:variant>
      <vt:variant>
        <vt:i4>0</vt:i4>
      </vt:variant>
      <vt:variant>
        <vt:i4>5</vt:i4>
      </vt:variant>
      <vt:variant>
        <vt:lpwstr/>
      </vt:variant>
      <vt:variant>
        <vt:lpwstr>_Toc117502205</vt:lpwstr>
      </vt:variant>
      <vt:variant>
        <vt:i4>1114164</vt:i4>
      </vt:variant>
      <vt:variant>
        <vt:i4>404</vt:i4>
      </vt:variant>
      <vt:variant>
        <vt:i4>0</vt:i4>
      </vt:variant>
      <vt:variant>
        <vt:i4>5</vt:i4>
      </vt:variant>
      <vt:variant>
        <vt:lpwstr/>
      </vt:variant>
      <vt:variant>
        <vt:lpwstr>_Toc117502204</vt:lpwstr>
      </vt:variant>
      <vt:variant>
        <vt:i4>1114164</vt:i4>
      </vt:variant>
      <vt:variant>
        <vt:i4>398</vt:i4>
      </vt:variant>
      <vt:variant>
        <vt:i4>0</vt:i4>
      </vt:variant>
      <vt:variant>
        <vt:i4>5</vt:i4>
      </vt:variant>
      <vt:variant>
        <vt:lpwstr/>
      </vt:variant>
      <vt:variant>
        <vt:lpwstr>_Toc117502203</vt:lpwstr>
      </vt:variant>
      <vt:variant>
        <vt:i4>1114164</vt:i4>
      </vt:variant>
      <vt:variant>
        <vt:i4>392</vt:i4>
      </vt:variant>
      <vt:variant>
        <vt:i4>0</vt:i4>
      </vt:variant>
      <vt:variant>
        <vt:i4>5</vt:i4>
      </vt:variant>
      <vt:variant>
        <vt:lpwstr/>
      </vt:variant>
      <vt:variant>
        <vt:lpwstr>_Toc117502202</vt:lpwstr>
      </vt:variant>
      <vt:variant>
        <vt:i4>1114164</vt:i4>
      </vt:variant>
      <vt:variant>
        <vt:i4>386</vt:i4>
      </vt:variant>
      <vt:variant>
        <vt:i4>0</vt:i4>
      </vt:variant>
      <vt:variant>
        <vt:i4>5</vt:i4>
      </vt:variant>
      <vt:variant>
        <vt:lpwstr/>
      </vt:variant>
      <vt:variant>
        <vt:lpwstr>_Toc117502201</vt:lpwstr>
      </vt:variant>
      <vt:variant>
        <vt:i4>1114164</vt:i4>
      </vt:variant>
      <vt:variant>
        <vt:i4>380</vt:i4>
      </vt:variant>
      <vt:variant>
        <vt:i4>0</vt:i4>
      </vt:variant>
      <vt:variant>
        <vt:i4>5</vt:i4>
      </vt:variant>
      <vt:variant>
        <vt:lpwstr/>
      </vt:variant>
      <vt:variant>
        <vt:lpwstr>_Toc117502200</vt:lpwstr>
      </vt:variant>
      <vt:variant>
        <vt:i4>1572919</vt:i4>
      </vt:variant>
      <vt:variant>
        <vt:i4>374</vt:i4>
      </vt:variant>
      <vt:variant>
        <vt:i4>0</vt:i4>
      </vt:variant>
      <vt:variant>
        <vt:i4>5</vt:i4>
      </vt:variant>
      <vt:variant>
        <vt:lpwstr/>
      </vt:variant>
      <vt:variant>
        <vt:lpwstr>_Toc117502199</vt:lpwstr>
      </vt:variant>
      <vt:variant>
        <vt:i4>1572919</vt:i4>
      </vt:variant>
      <vt:variant>
        <vt:i4>368</vt:i4>
      </vt:variant>
      <vt:variant>
        <vt:i4>0</vt:i4>
      </vt:variant>
      <vt:variant>
        <vt:i4>5</vt:i4>
      </vt:variant>
      <vt:variant>
        <vt:lpwstr/>
      </vt:variant>
      <vt:variant>
        <vt:lpwstr>_Toc117502198</vt:lpwstr>
      </vt:variant>
      <vt:variant>
        <vt:i4>1572919</vt:i4>
      </vt:variant>
      <vt:variant>
        <vt:i4>362</vt:i4>
      </vt:variant>
      <vt:variant>
        <vt:i4>0</vt:i4>
      </vt:variant>
      <vt:variant>
        <vt:i4>5</vt:i4>
      </vt:variant>
      <vt:variant>
        <vt:lpwstr/>
      </vt:variant>
      <vt:variant>
        <vt:lpwstr>_Toc117502197</vt:lpwstr>
      </vt:variant>
      <vt:variant>
        <vt:i4>1572919</vt:i4>
      </vt:variant>
      <vt:variant>
        <vt:i4>356</vt:i4>
      </vt:variant>
      <vt:variant>
        <vt:i4>0</vt:i4>
      </vt:variant>
      <vt:variant>
        <vt:i4>5</vt:i4>
      </vt:variant>
      <vt:variant>
        <vt:lpwstr/>
      </vt:variant>
      <vt:variant>
        <vt:lpwstr>_Toc117502196</vt:lpwstr>
      </vt:variant>
      <vt:variant>
        <vt:i4>1572919</vt:i4>
      </vt:variant>
      <vt:variant>
        <vt:i4>350</vt:i4>
      </vt:variant>
      <vt:variant>
        <vt:i4>0</vt:i4>
      </vt:variant>
      <vt:variant>
        <vt:i4>5</vt:i4>
      </vt:variant>
      <vt:variant>
        <vt:lpwstr/>
      </vt:variant>
      <vt:variant>
        <vt:lpwstr>_Toc117502195</vt:lpwstr>
      </vt:variant>
      <vt:variant>
        <vt:i4>1572919</vt:i4>
      </vt:variant>
      <vt:variant>
        <vt:i4>344</vt:i4>
      </vt:variant>
      <vt:variant>
        <vt:i4>0</vt:i4>
      </vt:variant>
      <vt:variant>
        <vt:i4>5</vt:i4>
      </vt:variant>
      <vt:variant>
        <vt:lpwstr/>
      </vt:variant>
      <vt:variant>
        <vt:lpwstr>_Toc117502194</vt:lpwstr>
      </vt:variant>
      <vt:variant>
        <vt:i4>1572919</vt:i4>
      </vt:variant>
      <vt:variant>
        <vt:i4>338</vt:i4>
      </vt:variant>
      <vt:variant>
        <vt:i4>0</vt:i4>
      </vt:variant>
      <vt:variant>
        <vt:i4>5</vt:i4>
      </vt:variant>
      <vt:variant>
        <vt:lpwstr/>
      </vt:variant>
      <vt:variant>
        <vt:lpwstr>_Toc117502193</vt:lpwstr>
      </vt:variant>
      <vt:variant>
        <vt:i4>1572919</vt:i4>
      </vt:variant>
      <vt:variant>
        <vt:i4>332</vt:i4>
      </vt:variant>
      <vt:variant>
        <vt:i4>0</vt:i4>
      </vt:variant>
      <vt:variant>
        <vt:i4>5</vt:i4>
      </vt:variant>
      <vt:variant>
        <vt:lpwstr/>
      </vt:variant>
      <vt:variant>
        <vt:lpwstr>_Toc117502192</vt:lpwstr>
      </vt:variant>
      <vt:variant>
        <vt:i4>1572919</vt:i4>
      </vt:variant>
      <vt:variant>
        <vt:i4>326</vt:i4>
      </vt:variant>
      <vt:variant>
        <vt:i4>0</vt:i4>
      </vt:variant>
      <vt:variant>
        <vt:i4>5</vt:i4>
      </vt:variant>
      <vt:variant>
        <vt:lpwstr/>
      </vt:variant>
      <vt:variant>
        <vt:lpwstr>_Toc117502191</vt:lpwstr>
      </vt:variant>
      <vt:variant>
        <vt:i4>1572919</vt:i4>
      </vt:variant>
      <vt:variant>
        <vt:i4>320</vt:i4>
      </vt:variant>
      <vt:variant>
        <vt:i4>0</vt:i4>
      </vt:variant>
      <vt:variant>
        <vt:i4>5</vt:i4>
      </vt:variant>
      <vt:variant>
        <vt:lpwstr/>
      </vt:variant>
      <vt:variant>
        <vt:lpwstr>_Toc117502190</vt:lpwstr>
      </vt:variant>
      <vt:variant>
        <vt:i4>1638455</vt:i4>
      </vt:variant>
      <vt:variant>
        <vt:i4>314</vt:i4>
      </vt:variant>
      <vt:variant>
        <vt:i4>0</vt:i4>
      </vt:variant>
      <vt:variant>
        <vt:i4>5</vt:i4>
      </vt:variant>
      <vt:variant>
        <vt:lpwstr/>
      </vt:variant>
      <vt:variant>
        <vt:lpwstr>_Toc117502189</vt:lpwstr>
      </vt:variant>
      <vt:variant>
        <vt:i4>1638455</vt:i4>
      </vt:variant>
      <vt:variant>
        <vt:i4>308</vt:i4>
      </vt:variant>
      <vt:variant>
        <vt:i4>0</vt:i4>
      </vt:variant>
      <vt:variant>
        <vt:i4>5</vt:i4>
      </vt:variant>
      <vt:variant>
        <vt:lpwstr/>
      </vt:variant>
      <vt:variant>
        <vt:lpwstr>_Toc117502188</vt:lpwstr>
      </vt:variant>
      <vt:variant>
        <vt:i4>1638455</vt:i4>
      </vt:variant>
      <vt:variant>
        <vt:i4>302</vt:i4>
      </vt:variant>
      <vt:variant>
        <vt:i4>0</vt:i4>
      </vt:variant>
      <vt:variant>
        <vt:i4>5</vt:i4>
      </vt:variant>
      <vt:variant>
        <vt:lpwstr/>
      </vt:variant>
      <vt:variant>
        <vt:lpwstr>_Toc117502187</vt:lpwstr>
      </vt:variant>
      <vt:variant>
        <vt:i4>1638455</vt:i4>
      </vt:variant>
      <vt:variant>
        <vt:i4>296</vt:i4>
      </vt:variant>
      <vt:variant>
        <vt:i4>0</vt:i4>
      </vt:variant>
      <vt:variant>
        <vt:i4>5</vt:i4>
      </vt:variant>
      <vt:variant>
        <vt:lpwstr/>
      </vt:variant>
      <vt:variant>
        <vt:lpwstr>_Toc117502186</vt:lpwstr>
      </vt:variant>
      <vt:variant>
        <vt:i4>1638455</vt:i4>
      </vt:variant>
      <vt:variant>
        <vt:i4>290</vt:i4>
      </vt:variant>
      <vt:variant>
        <vt:i4>0</vt:i4>
      </vt:variant>
      <vt:variant>
        <vt:i4>5</vt:i4>
      </vt:variant>
      <vt:variant>
        <vt:lpwstr/>
      </vt:variant>
      <vt:variant>
        <vt:lpwstr>_Toc117502185</vt:lpwstr>
      </vt:variant>
      <vt:variant>
        <vt:i4>1638455</vt:i4>
      </vt:variant>
      <vt:variant>
        <vt:i4>284</vt:i4>
      </vt:variant>
      <vt:variant>
        <vt:i4>0</vt:i4>
      </vt:variant>
      <vt:variant>
        <vt:i4>5</vt:i4>
      </vt:variant>
      <vt:variant>
        <vt:lpwstr/>
      </vt:variant>
      <vt:variant>
        <vt:lpwstr>_Toc117502184</vt:lpwstr>
      </vt:variant>
      <vt:variant>
        <vt:i4>1638455</vt:i4>
      </vt:variant>
      <vt:variant>
        <vt:i4>278</vt:i4>
      </vt:variant>
      <vt:variant>
        <vt:i4>0</vt:i4>
      </vt:variant>
      <vt:variant>
        <vt:i4>5</vt:i4>
      </vt:variant>
      <vt:variant>
        <vt:lpwstr/>
      </vt:variant>
      <vt:variant>
        <vt:lpwstr>_Toc117502183</vt:lpwstr>
      </vt:variant>
      <vt:variant>
        <vt:i4>1638455</vt:i4>
      </vt:variant>
      <vt:variant>
        <vt:i4>272</vt:i4>
      </vt:variant>
      <vt:variant>
        <vt:i4>0</vt:i4>
      </vt:variant>
      <vt:variant>
        <vt:i4>5</vt:i4>
      </vt:variant>
      <vt:variant>
        <vt:lpwstr/>
      </vt:variant>
      <vt:variant>
        <vt:lpwstr>_Toc117502182</vt:lpwstr>
      </vt:variant>
      <vt:variant>
        <vt:i4>1638455</vt:i4>
      </vt:variant>
      <vt:variant>
        <vt:i4>266</vt:i4>
      </vt:variant>
      <vt:variant>
        <vt:i4>0</vt:i4>
      </vt:variant>
      <vt:variant>
        <vt:i4>5</vt:i4>
      </vt:variant>
      <vt:variant>
        <vt:lpwstr/>
      </vt:variant>
      <vt:variant>
        <vt:lpwstr>_Toc117502181</vt:lpwstr>
      </vt:variant>
      <vt:variant>
        <vt:i4>1638455</vt:i4>
      </vt:variant>
      <vt:variant>
        <vt:i4>260</vt:i4>
      </vt:variant>
      <vt:variant>
        <vt:i4>0</vt:i4>
      </vt:variant>
      <vt:variant>
        <vt:i4>5</vt:i4>
      </vt:variant>
      <vt:variant>
        <vt:lpwstr/>
      </vt:variant>
      <vt:variant>
        <vt:lpwstr>_Toc117502180</vt:lpwstr>
      </vt:variant>
      <vt:variant>
        <vt:i4>1441847</vt:i4>
      </vt:variant>
      <vt:variant>
        <vt:i4>254</vt:i4>
      </vt:variant>
      <vt:variant>
        <vt:i4>0</vt:i4>
      </vt:variant>
      <vt:variant>
        <vt:i4>5</vt:i4>
      </vt:variant>
      <vt:variant>
        <vt:lpwstr/>
      </vt:variant>
      <vt:variant>
        <vt:lpwstr>_Toc117502179</vt:lpwstr>
      </vt:variant>
      <vt:variant>
        <vt:i4>1441847</vt:i4>
      </vt:variant>
      <vt:variant>
        <vt:i4>248</vt:i4>
      </vt:variant>
      <vt:variant>
        <vt:i4>0</vt:i4>
      </vt:variant>
      <vt:variant>
        <vt:i4>5</vt:i4>
      </vt:variant>
      <vt:variant>
        <vt:lpwstr/>
      </vt:variant>
      <vt:variant>
        <vt:lpwstr>_Toc117502178</vt:lpwstr>
      </vt:variant>
      <vt:variant>
        <vt:i4>1441847</vt:i4>
      </vt:variant>
      <vt:variant>
        <vt:i4>242</vt:i4>
      </vt:variant>
      <vt:variant>
        <vt:i4>0</vt:i4>
      </vt:variant>
      <vt:variant>
        <vt:i4>5</vt:i4>
      </vt:variant>
      <vt:variant>
        <vt:lpwstr/>
      </vt:variant>
      <vt:variant>
        <vt:lpwstr>_Toc117502177</vt:lpwstr>
      </vt:variant>
      <vt:variant>
        <vt:i4>1441847</vt:i4>
      </vt:variant>
      <vt:variant>
        <vt:i4>236</vt:i4>
      </vt:variant>
      <vt:variant>
        <vt:i4>0</vt:i4>
      </vt:variant>
      <vt:variant>
        <vt:i4>5</vt:i4>
      </vt:variant>
      <vt:variant>
        <vt:lpwstr/>
      </vt:variant>
      <vt:variant>
        <vt:lpwstr>_Toc117502176</vt:lpwstr>
      </vt:variant>
      <vt:variant>
        <vt:i4>1441847</vt:i4>
      </vt:variant>
      <vt:variant>
        <vt:i4>230</vt:i4>
      </vt:variant>
      <vt:variant>
        <vt:i4>0</vt:i4>
      </vt:variant>
      <vt:variant>
        <vt:i4>5</vt:i4>
      </vt:variant>
      <vt:variant>
        <vt:lpwstr/>
      </vt:variant>
      <vt:variant>
        <vt:lpwstr>_Toc117502175</vt:lpwstr>
      </vt:variant>
      <vt:variant>
        <vt:i4>1441847</vt:i4>
      </vt:variant>
      <vt:variant>
        <vt:i4>224</vt:i4>
      </vt:variant>
      <vt:variant>
        <vt:i4>0</vt:i4>
      </vt:variant>
      <vt:variant>
        <vt:i4>5</vt:i4>
      </vt:variant>
      <vt:variant>
        <vt:lpwstr/>
      </vt:variant>
      <vt:variant>
        <vt:lpwstr>_Toc117502174</vt:lpwstr>
      </vt:variant>
      <vt:variant>
        <vt:i4>1441847</vt:i4>
      </vt:variant>
      <vt:variant>
        <vt:i4>218</vt:i4>
      </vt:variant>
      <vt:variant>
        <vt:i4>0</vt:i4>
      </vt:variant>
      <vt:variant>
        <vt:i4>5</vt:i4>
      </vt:variant>
      <vt:variant>
        <vt:lpwstr/>
      </vt:variant>
      <vt:variant>
        <vt:lpwstr>_Toc117502173</vt:lpwstr>
      </vt:variant>
      <vt:variant>
        <vt:i4>1441847</vt:i4>
      </vt:variant>
      <vt:variant>
        <vt:i4>212</vt:i4>
      </vt:variant>
      <vt:variant>
        <vt:i4>0</vt:i4>
      </vt:variant>
      <vt:variant>
        <vt:i4>5</vt:i4>
      </vt:variant>
      <vt:variant>
        <vt:lpwstr/>
      </vt:variant>
      <vt:variant>
        <vt:lpwstr>_Toc117502172</vt:lpwstr>
      </vt:variant>
      <vt:variant>
        <vt:i4>1441847</vt:i4>
      </vt:variant>
      <vt:variant>
        <vt:i4>206</vt:i4>
      </vt:variant>
      <vt:variant>
        <vt:i4>0</vt:i4>
      </vt:variant>
      <vt:variant>
        <vt:i4>5</vt:i4>
      </vt:variant>
      <vt:variant>
        <vt:lpwstr/>
      </vt:variant>
      <vt:variant>
        <vt:lpwstr>_Toc117502171</vt:lpwstr>
      </vt:variant>
      <vt:variant>
        <vt:i4>1441847</vt:i4>
      </vt:variant>
      <vt:variant>
        <vt:i4>200</vt:i4>
      </vt:variant>
      <vt:variant>
        <vt:i4>0</vt:i4>
      </vt:variant>
      <vt:variant>
        <vt:i4>5</vt:i4>
      </vt:variant>
      <vt:variant>
        <vt:lpwstr/>
      </vt:variant>
      <vt:variant>
        <vt:lpwstr>_Toc117502170</vt:lpwstr>
      </vt:variant>
      <vt:variant>
        <vt:i4>1507383</vt:i4>
      </vt:variant>
      <vt:variant>
        <vt:i4>194</vt:i4>
      </vt:variant>
      <vt:variant>
        <vt:i4>0</vt:i4>
      </vt:variant>
      <vt:variant>
        <vt:i4>5</vt:i4>
      </vt:variant>
      <vt:variant>
        <vt:lpwstr/>
      </vt:variant>
      <vt:variant>
        <vt:lpwstr>_Toc117502169</vt:lpwstr>
      </vt:variant>
      <vt:variant>
        <vt:i4>1507383</vt:i4>
      </vt:variant>
      <vt:variant>
        <vt:i4>188</vt:i4>
      </vt:variant>
      <vt:variant>
        <vt:i4>0</vt:i4>
      </vt:variant>
      <vt:variant>
        <vt:i4>5</vt:i4>
      </vt:variant>
      <vt:variant>
        <vt:lpwstr/>
      </vt:variant>
      <vt:variant>
        <vt:lpwstr>_Toc117502168</vt:lpwstr>
      </vt:variant>
      <vt:variant>
        <vt:i4>1507383</vt:i4>
      </vt:variant>
      <vt:variant>
        <vt:i4>182</vt:i4>
      </vt:variant>
      <vt:variant>
        <vt:i4>0</vt:i4>
      </vt:variant>
      <vt:variant>
        <vt:i4>5</vt:i4>
      </vt:variant>
      <vt:variant>
        <vt:lpwstr/>
      </vt:variant>
      <vt:variant>
        <vt:lpwstr>_Toc117502167</vt:lpwstr>
      </vt:variant>
      <vt:variant>
        <vt:i4>1507383</vt:i4>
      </vt:variant>
      <vt:variant>
        <vt:i4>176</vt:i4>
      </vt:variant>
      <vt:variant>
        <vt:i4>0</vt:i4>
      </vt:variant>
      <vt:variant>
        <vt:i4>5</vt:i4>
      </vt:variant>
      <vt:variant>
        <vt:lpwstr/>
      </vt:variant>
      <vt:variant>
        <vt:lpwstr>_Toc117502166</vt:lpwstr>
      </vt:variant>
      <vt:variant>
        <vt:i4>1507383</vt:i4>
      </vt:variant>
      <vt:variant>
        <vt:i4>170</vt:i4>
      </vt:variant>
      <vt:variant>
        <vt:i4>0</vt:i4>
      </vt:variant>
      <vt:variant>
        <vt:i4>5</vt:i4>
      </vt:variant>
      <vt:variant>
        <vt:lpwstr/>
      </vt:variant>
      <vt:variant>
        <vt:lpwstr>_Toc117502165</vt:lpwstr>
      </vt:variant>
      <vt:variant>
        <vt:i4>1507383</vt:i4>
      </vt:variant>
      <vt:variant>
        <vt:i4>164</vt:i4>
      </vt:variant>
      <vt:variant>
        <vt:i4>0</vt:i4>
      </vt:variant>
      <vt:variant>
        <vt:i4>5</vt:i4>
      </vt:variant>
      <vt:variant>
        <vt:lpwstr/>
      </vt:variant>
      <vt:variant>
        <vt:lpwstr>_Toc117502164</vt:lpwstr>
      </vt:variant>
      <vt:variant>
        <vt:i4>1507383</vt:i4>
      </vt:variant>
      <vt:variant>
        <vt:i4>158</vt:i4>
      </vt:variant>
      <vt:variant>
        <vt:i4>0</vt:i4>
      </vt:variant>
      <vt:variant>
        <vt:i4>5</vt:i4>
      </vt:variant>
      <vt:variant>
        <vt:lpwstr/>
      </vt:variant>
      <vt:variant>
        <vt:lpwstr>_Toc117502163</vt:lpwstr>
      </vt:variant>
      <vt:variant>
        <vt:i4>1507383</vt:i4>
      </vt:variant>
      <vt:variant>
        <vt:i4>152</vt:i4>
      </vt:variant>
      <vt:variant>
        <vt:i4>0</vt:i4>
      </vt:variant>
      <vt:variant>
        <vt:i4>5</vt:i4>
      </vt:variant>
      <vt:variant>
        <vt:lpwstr/>
      </vt:variant>
      <vt:variant>
        <vt:lpwstr>_Toc117502162</vt:lpwstr>
      </vt:variant>
      <vt:variant>
        <vt:i4>1507383</vt:i4>
      </vt:variant>
      <vt:variant>
        <vt:i4>146</vt:i4>
      </vt:variant>
      <vt:variant>
        <vt:i4>0</vt:i4>
      </vt:variant>
      <vt:variant>
        <vt:i4>5</vt:i4>
      </vt:variant>
      <vt:variant>
        <vt:lpwstr/>
      </vt:variant>
      <vt:variant>
        <vt:lpwstr>_Toc117502161</vt:lpwstr>
      </vt:variant>
      <vt:variant>
        <vt:i4>1507383</vt:i4>
      </vt:variant>
      <vt:variant>
        <vt:i4>140</vt:i4>
      </vt:variant>
      <vt:variant>
        <vt:i4>0</vt:i4>
      </vt:variant>
      <vt:variant>
        <vt:i4>5</vt:i4>
      </vt:variant>
      <vt:variant>
        <vt:lpwstr/>
      </vt:variant>
      <vt:variant>
        <vt:lpwstr>_Toc117502160</vt:lpwstr>
      </vt:variant>
      <vt:variant>
        <vt:i4>1310775</vt:i4>
      </vt:variant>
      <vt:variant>
        <vt:i4>134</vt:i4>
      </vt:variant>
      <vt:variant>
        <vt:i4>0</vt:i4>
      </vt:variant>
      <vt:variant>
        <vt:i4>5</vt:i4>
      </vt:variant>
      <vt:variant>
        <vt:lpwstr/>
      </vt:variant>
      <vt:variant>
        <vt:lpwstr>_Toc117502159</vt:lpwstr>
      </vt:variant>
      <vt:variant>
        <vt:i4>1310775</vt:i4>
      </vt:variant>
      <vt:variant>
        <vt:i4>128</vt:i4>
      </vt:variant>
      <vt:variant>
        <vt:i4>0</vt:i4>
      </vt:variant>
      <vt:variant>
        <vt:i4>5</vt:i4>
      </vt:variant>
      <vt:variant>
        <vt:lpwstr/>
      </vt:variant>
      <vt:variant>
        <vt:lpwstr>_Toc117502158</vt:lpwstr>
      </vt:variant>
      <vt:variant>
        <vt:i4>1310775</vt:i4>
      </vt:variant>
      <vt:variant>
        <vt:i4>122</vt:i4>
      </vt:variant>
      <vt:variant>
        <vt:i4>0</vt:i4>
      </vt:variant>
      <vt:variant>
        <vt:i4>5</vt:i4>
      </vt:variant>
      <vt:variant>
        <vt:lpwstr/>
      </vt:variant>
      <vt:variant>
        <vt:lpwstr>_Toc117502157</vt:lpwstr>
      </vt:variant>
      <vt:variant>
        <vt:i4>1310775</vt:i4>
      </vt:variant>
      <vt:variant>
        <vt:i4>116</vt:i4>
      </vt:variant>
      <vt:variant>
        <vt:i4>0</vt:i4>
      </vt:variant>
      <vt:variant>
        <vt:i4>5</vt:i4>
      </vt:variant>
      <vt:variant>
        <vt:lpwstr/>
      </vt:variant>
      <vt:variant>
        <vt:lpwstr>_Toc117502156</vt:lpwstr>
      </vt:variant>
      <vt:variant>
        <vt:i4>1310775</vt:i4>
      </vt:variant>
      <vt:variant>
        <vt:i4>110</vt:i4>
      </vt:variant>
      <vt:variant>
        <vt:i4>0</vt:i4>
      </vt:variant>
      <vt:variant>
        <vt:i4>5</vt:i4>
      </vt:variant>
      <vt:variant>
        <vt:lpwstr/>
      </vt:variant>
      <vt:variant>
        <vt:lpwstr>_Toc117502155</vt:lpwstr>
      </vt:variant>
      <vt:variant>
        <vt:i4>1310775</vt:i4>
      </vt:variant>
      <vt:variant>
        <vt:i4>104</vt:i4>
      </vt:variant>
      <vt:variant>
        <vt:i4>0</vt:i4>
      </vt:variant>
      <vt:variant>
        <vt:i4>5</vt:i4>
      </vt:variant>
      <vt:variant>
        <vt:lpwstr/>
      </vt:variant>
      <vt:variant>
        <vt:lpwstr>_Toc117502154</vt:lpwstr>
      </vt:variant>
      <vt:variant>
        <vt:i4>1310775</vt:i4>
      </vt:variant>
      <vt:variant>
        <vt:i4>98</vt:i4>
      </vt:variant>
      <vt:variant>
        <vt:i4>0</vt:i4>
      </vt:variant>
      <vt:variant>
        <vt:i4>5</vt:i4>
      </vt:variant>
      <vt:variant>
        <vt:lpwstr/>
      </vt:variant>
      <vt:variant>
        <vt:lpwstr>_Toc117502153</vt:lpwstr>
      </vt:variant>
      <vt:variant>
        <vt:i4>1310775</vt:i4>
      </vt:variant>
      <vt:variant>
        <vt:i4>92</vt:i4>
      </vt:variant>
      <vt:variant>
        <vt:i4>0</vt:i4>
      </vt:variant>
      <vt:variant>
        <vt:i4>5</vt:i4>
      </vt:variant>
      <vt:variant>
        <vt:lpwstr/>
      </vt:variant>
      <vt:variant>
        <vt:lpwstr>_Toc117502152</vt:lpwstr>
      </vt:variant>
      <vt:variant>
        <vt:i4>1310775</vt:i4>
      </vt:variant>
      <vt:variant>
        <vt:i4>86</vt:i4>
      </vt:variant>
      <vt:variant>
        <vt:i4>0</vt:i4>
      </vt:variant>
      <vt:variant>
        <vt:i4>5</vt:i4>
      </vt:variant>
      <vt:variant>
        <vt:lpwstr/>
      </vt:variant>
      <vt:variant>
        <vt:lpwstr>_Toc117502151</vt:lpwstr>
      </vt:variant>
      <vt:variant>
        <vt:i4>1310775</vt:i4>
      </vt:variant>
      <vt:variant>
        <vt:i4>80</vt:i4>
      </vt:variant>
      <vt:variant>
        <vt:i4>0</vt:i4>
      </vt:variant>
      <vt:variant>
        <vt:i4>5</vt:i4>
      </vt:variant>
      <vt:variant>
        <vt:lpwstr/>
      </vt:variant>
      <vt:variant>
        <vt:lpwstr>_Toc117502150</vt:lpwstr>
      </vt:variant>
      <vt:variant>
        <vt:i4>1376311</vt:i4>
      </vt:variant>
      <vt:variant>
        <vt:i4>74</vt:i4>
      </vt:variant>
      <vt:variant>
        <vt:i4>0</vt:i4>
      </vt:variant>
      <vt:variant>
        <vt:i4>5</vt:i4>
      </vt:variant>
      <vt:variant>
        <vt:lpwstr/>
      </vt:variant>
      <vt:variant>
        <vt:lpwstr>_Toc117502149</vt:lpwstr>
      </vt:variant>
      <vt:variant>
        <vt:i4>1376311</vt:i4>
      </vt:variant>
      <vt:variant>
        <vt:i4>68</vt:i4>
      </vt:variant>
      <vt:variant>
        <vt:i4>0</vt:i4>
      </vt:variant>
      <vt:variant>
        <vt:i4>5</vt:i4>
      </vt:variant>
      <vt:variant>
        <vt:lpwstr/>
      </vt:variant>
      <vt:variant>
        <vt:lpwstr>_Toc117502148</vt:lpwstr>
      </vt:variant>
      <vt:variant>
        <vt:i4>1376311</vt:i4>
      </vt:variant>
      <vt:variant>
        <vt:i4>62</vt:i4>
      </vt:variant>
      <vt:variant>
        <vt:i4>0</vt:i4>
      </vt:variant>
      <vt:variant>
        <vt:i4>5</vt:i4>
      </vt:variant>
      <vt:variant>
        <vt:lpwstr/>
      </vt:variant>
      <vt:variant>
        <vt:lpwstr>_Toc117502147</vt:lpwstr>
      </vt:variant>
      <vt:variant>
        <vt:i4>1376311</vt:i4>
      </vt:variant>
      <vt:variant>
        <vt:i4>56</vt:i4>
      </vt:variant>
      <vt:variant>
        <vt:i4>0</vt:i4>
      </vt:variant>
      <vt:variant>
        <vt:i4>5</vt:i4>
      </vt:variant>
      <vt:variant>
        <vt:lpwstr/>
      </vt:variant>
      <vt:variant>
        <vt:lpwstr>_Toc117502146</vt:lpwstr>
      </vt:variant>
      <vt:variant>
        <vt:i4>1376311</vt:i4>
      </vt:variant>
      <vt:variant>
        <vt:i4>50</vt:i4>
      </vt:variant>
      <vt:variant>
        <vt:i4>0</vt:i4>
      </vt:variant>
      <vt:variant>
        <vt:i4>5</vt:i4>
      </vt:variant>
      <vt:variant>
        <vt:lpwstr/>
      </vt:variant>
      <vt:variant>
        <vt:lpwstr>_Toc117502145</vt:lpwstr>
      </vt:variant>
      <vt:variant>
        <vt:i4>1376311</vt:i4>
      </vt:variant>
      <vt:variant>
        <vt:i4>44</vt:i4>
      </vt:variant>
      <vt:variant>
        <vt:i4>0</vt:i4>
      </vt:variant>
      <vt:variant>
        <vt:i4>5</vt:i4>
      </vt:variant>
      <vt:variant>
        <vt:lpwstr/>
      </vt:variant>
      <vt:variant>
        <vt:lpwstr>_Toc117502144</vt:lpwstr>
      </vt:variant>
      <vt:variant>
        <vt:i4>1376311</vt:i4>
      </vt:variant>
      <vt:variant>
        <vt:i4>38</vt:i4>
      </vt:variant>
      <vt:variant>
        <vt:i4>0</vt:i4>
      </vt:variant>
      <vt:variant>
        <vt:i4>5</vt:i4>
      </vt:variant>
      <vt:variant>
        <vt:lpwstr/>
      </vt:variant>
      <vt:variant>
        <vt:lpwstr>_Toc117502143</vt:lpwstr>
      </vt:variant>
      <vt:variant>
        <vt:i4>1376311</vt:i4>
      </vt:variant>
      <vt:variant>
        <vt:i4>32</vt:i4>
      </vt:variant>
      <vt:variant>
        <vt:i4>0</vt:i4>
      </vt:variant>
      <vt:variant>
        <vt:i4>5</vt:i4>
      </vt:variant>
      <vt:variant>
        <vt:lpwstr/>
      </vt:variant>
      <vt:variant>
        <vt:lpwstr>_Toc117502142</vt:lpwstr>
      </vt:variant>
      <vt:variant>
        <vt:i4>1376311</vt:i4>
      </vt:variant>
      <vt:variant>
        <vt:i4>26</vt:i4>
      </vt:variant>
      <vt:variant>
        <vt:i4>0</vt:i4>
      </vt:variant>
      <vt:variant>
        <vt:i4>5</vt:i4>
      </vt:variant>
      <vt:variant>
        <vt:lpwstr/>
      </vt:variant>
      <vt:variant>
        <vt:lpwstr>_Toc117502141</vt:lpwstr>
      </vt:variant>
      <vt:variant>
        <vt:i4>1376311</vt:i4>
      </vt:variant>
      <vt:variant>
        <vt:i4>20</vt:i4>
      </vt:variant>
      <vt:variant>
        <vt:i4>0</vt:i4>
      </vt:variant>
      <vt:variant>
        <vt:i4>5</vt:i4>
      </vt:variant>
      <vt:variant>
        <vt:lpwstr/>
      </vt:variant>
      <vt:variant>
        <vt:lpwstr>_Toc117502140</vt:lpwstr>
      </vt:variant>
      <vt:variant>
        <vt:i4>1179703</vt:i4>
      </vt:variant>
      <vt:variant>
        <vt:i4>14</vt:i4>
      </vt:variant>
      <vt:variant>
        <vt:i4>0</vt:i4>
      </vt:variant>
      <vt:variant>
        <vt:i4>5</vt:i4>
      </vt:variant>
      <vt:variant>
        <vt:lpwstr/>
      </vt:variant>
      <vt:variant>
        <vt:lpwstr>_Toc117502139</vt:lpwstr>
      </vt:variant>
      <vt:variant>
        <vt:i4>1179703</vt:i4>
      </vt:variant>
      <vt:variant>
        <vt:i4>8</vt:i4>
      </vt:variant>
      <vt:variant>
        <vt:i4>0</vt:i4>
      </vt:variant>
      <vt:variant>
        <vt:i4>5</vt:i4>
      </vt:variant>
      <vt:variant>
        <vt:lpwstr/>
      </vt:variant>
      <vt:variant>
        <vt:lpwstr>_Toc117502138</vt:lpwstr>
      </vt:variant>
      <vt:variant>
        <vt:i4>1179703</vt:i4>
      </vt:variant>
      <vt:variant>
        <vt:i4>2</vt:i4>
      </vt:variant>
      <vt:variant>
        <vt:i4>0</vt:i4>
      </vt:variant>
      <vt:variant>
        <vt:i4>5</vt:i4>
      </vt:variant>
      <vt:variant>
        <vt:lpwstr/>
      </vt:variant>
      <vt:variant>
        <vt:lpwstr>_Toc117502137</vt:lpwstr>
      </vt:variant>
      <vt:variant>
        <vt:i4>4718677</vt:i4>
      </vt:variant>
      <vt:variant>
        <vt:i4>27</vt:i4>
      </vt:variant>
      <vt:variant>
        <vt:i4>0</vt:i4>
      </vt:variant>
      <vt:variant>
        <vt:i4>5</vt:i4>
      </vt:variant>
      <vt:variant>
        <vt:lpwstr>https://www.cpuc.ca.gov/-/media/cpuc-website/files/legacyfiles/c/6442463239-ceqa-pre-filing-guidelines-pea-checklist-nov-2019.pdf</vt:lpwstr>
      </vt:variant>
      <vt:variant>
        <vt:lpwstr/>
      </vt:variant>
      <vt:variant>
        <vt:i4>4718677</vt:i4>
      </vt:variant>
      <vt:variant>
        <vt:i4>24</vt:i4>
      </vt:variant>
      <vt:variant>
        <vt:i4>0</vt:i4>
      </vt:variant>
      <vt:variant>
        <vt:i4>5</vt:i4>
      </vt:variant>
      <vt:variant>
        <vt:lpwstr>https://www.cpuc.ca.gov/-/media/cpuc-website/files/legacyfiles/c/6442463239-ceqa-pre-filing-guidelines-pea-checklist-nov-2019.pdf</vt:lpwstr>
      </vt:variant>
      <vt:variant>
        <vt:lpwstr/>
      </vt:variant>
      <vt:variant>
        <vt:i4>4325448</vt:i4>
      </vt:variant>
      <vt:variant>
        <vt:i4>21</vt:i4>
      </vt:variant>
      <vt:variant>
        <vt:i4>0</vt:i4>
      </vt:variant>
      <vt:variant>
        <vt:i4>5</vt:i4>
      </vt:variant>
      <vt:variant>
        <vt:lpwstr>https://docs.cpuc.ca.gov/PublishedDocs/Published/G000/M023/K381/23381302.PDF</vt:lpwstr>
      </vt:variant>
      <vt:variant>
        <vt:lpwstr/>
      </vt:variant>
      <vt:variant>
        <vt:i4>4718673</vt:i4>
      </vt:variant>
      <vt:variant>
        <vt:i4>18</vt:i4>
      </vt:variant>
      <vt:variant>
        <vt:i4>0</vt:i4>
      </vt:variant>
      <vt:variant>
        <vt:i4>5</vt:i4>
      </vt:variant>
      <vt:variant>
        <vt:lpwstr>https://docs.cpuc.ca.gov/SearchRes.aspx?DocFormat=ALL&amp;DocID=294992975</vt:lpwstr>
      </vt:variant>
      <vt:variant>
        <vt:lpwstr/>
      </vt:variant>
      <vt:variant>
        <vt:i4>3014698</vt:i4>
      </vt:variant>
      <vt:variant>
        <vt:i4>15</vt:i4>
      </vt:variant>
      <vt:variant>
        <vt:i4>0</vt:i4>
      </vt:variant>
      <vt:variant>
        <vt:i4>5</vt:i4>
      </vt:variant>
      <vt:variant>
        <vt:lpwstr>https://www.cpuc.ca.gov/proceedings-and-rulemaking/cpuc-general-orders</vt:lpwstr>
      </vt:variant>
      <vt:variant>
        <vt:lpwstr/>
      </vt:variant>
      <vt:variant>
        <vt:i4>7405664</vt:i4>
      </vt:variant>
      <vt:variant>
        <vt:i4>12</vt:i4>
      </vt:variant>
      <vt:variant>
        <vt:i4>0</vt:i4>
      </vt:variant>
      <vt:variant>
        <vt:i4>5</vt:i4>
      </vt:variant>
      <vt:variant>
        <vt:lpwstr>https://www.buildingdecarb.org/zeb-ordinances.html</vt:lpwstr>
      </vt:variant>
      <vt:variant>
        <vt:lpwstr/>
      </vt:variant>
      <vt:variant>
        <vt:i4>2556028</vt:i4>
      </vt:variant>
      <vt:variant>
        <vt:i4>9</vt:i4>
      </vt:variant>
      <vt:variant>
        <vt:i4>0</vt:i4>
      </vt:variant>
      <vt:variant>
        <vt:i4>5</vt:i4>
      </vt:variant>
      <vt:variant>
        <vt:lpwstr>https://www.cpuc.ca.gov/buildingdecarb</vt:lpwstr>
      </vt:variant>
      <vt:variant>
        <vt:lpwstr/>
      </vt:variant>
      <vt:variant>
        <vt:i4>3866664</vt:i4>
      </vt:variant>
      <vt:variant>
        <vt:i4>6</vt:i4>
      </vt:variant>
      <vt:variant>
        <vt:i4>0</vt:i4>
      </vt:variant>
      <vt:variant>
        <vt:i4>5</vt:i4>
      </vt:variant>
      <vt:variant>
        <vt:lpwstr>https://www.energy.ca.gov/data-reports/reports/integrated-energy-policy-report/2021-integrated-energy-policy-report</vt:lpwstr>
      </vt:variant>
      <vt:variant>
        <vt:lpwstr/>
      </vt:variant>
      <vt:variant>
        <vt:i4>8126538</vt:i4>
      </vt:variant>
      <vt:variant>
        <vt:i4>3</vt:i4>
      </vt:variant>
      <vt:variant>
        <vt:i4>0</vt:i4>
      </vt:variant>
      <vt:variant>
        <vt:i4>5</vt:i4>
      </vt:variant>
      <vt:variant>
        <vt:lpwstr>https://www.socalgas.com/sites/default/files/Joint_Utility_Biennial_Comprehensive_California_Gas_Report_2022.pdf</vt:lpwstr>
      </vt:variant>
      <vt:variant>
        <vt:lpwstr/>
      </vt:variant>
      <vt:variant>
        <vt:i4>3014698</vt:i4>
      </vt:variant>
      <vt:variant>
        <vt:i4>0</vt:i4>
      </vt:variant>
      <vt:variant>
        <vt:i4>0</vt:i4>
      </vt:variant>
      <vt:variant>
        <vt:i4>5</vt:i4>
      </vt:variant>
      <vt:variant>
        <vt:lpwstr>https://www.cpuc.ca.gov/proceedings-and-rulemaking/cpuc-general-orders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2022-11-30T18:16:00Z</cp:lastPrinted>
  <dcterms:created xsi:type="dcterms:W3CDTF">2022-12-08T11:10:27Z</dcterms:created>
  <dcterms:modified xsi:type="dcterms:W3CDTF">2022-12-08T11:10:27Z</dcterms:modified>
</cp:coreProperties>
</file>