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78DE" w:rsidR="00B60421" w:rsidP="005E7044" w:rsidRDefault="00891FB1" w14:paraId="6354419C" w14:textId="076BC808">
      <w:pPr>
        <w:tabs>
          <w:tab w:val="center" w:pos="4680"/>
          <w:tab w:val="right" w:pos="9360"/>
        </w:tabs>
        <w:spacing w:line="240" w:lineRule="auto"/>
        <w:ind w:firstLine="0"/>
      </w:pPr>
      <w:r>
        <w:rPr>
          <w:noProof/>
        </w:rPr>
        <mc:AlternateContent>
          <mc:Choice Requires="wpi">
            <w:drawing>
              <wp:anchor distT="0" distB="0" distL="114300" distR="114300" simplePos="0" relativeHeight="251660288" behindDoc="0" locked="0" layoutInCell="1" allowOverlap="1" wp14:editId="39A887C5" wp14:anchorId="7252E2E4">
                <wp:simplePos x="0" y="0"/>
                <wp:positionH relativeFrom="column">
                  <wp:posOffset>10417175</wp:posOffset>
                </wp:positionH>
                <wp:positionV relativeFrom="paragraph">
                  <wp:posOffset>-669290</wp:posOffset>
                </wp:positionV>
                <wp:extent cx="42545" cy="29845"/>
                <wp:effectExtent l="53975" t="56515" r="46355" b="46990"/>
                <wp:wrapNone/>
                <wp:docPr id="17"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8" bwMode="auto">
                      <w14:nvContentPartPr>
                        <w14:cNvContentPartPr>
                          <a14:cpLocks xmlns:a14="http://schemas.microsoft.com/office/drawing/2010/main" noRot="1" noChangeAspect="1" noEditPoints="1" noChangeArrowheads="1" noChangeShapeType="1"/>
                        </w14:cNvContentPartPr>
                      </w14:nvContentPartPr>
                      <w14:xfrm>
                        <a:off x="0" y="0"/>
                        <a:ext cx="42545" cy="29845"/>
                      </w14:xfrm>
                    </w14:contentPart>
                  </a:graphicData>
                </a:graphic>
                <wp14:sizeRelH relativeFrom="page">
                  <wp14:pctWidth>0</wp14:pctWidth>
                </wp14:sizeRelH>
                <wp14:sizeRelV relativeFrom="page">
                  <wp14:pctHeight>0</wp14:pctHeight>
                </wp14:sizeRelV>
              </wp:anchor>
            </w:drawing>
          </mc:Choice>
          <mc:Fallback>
            <w:pict>
              <v:shapetype id="_x0000_t75" coordsize="21600,21600" filled="f" stroked="f" o:spt="75" o:preferrelative="t" path="m@4@5l@4@11@9@11@9@5xe" w14:anchorId="32DFC2C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819.55pt;margin-top:-53.45pt;width:4.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">
                <v:imagedata o:title="" r:id="rId9"/>
                <o:lock v:ext="edit" rotation="t" verticies="t" shapetype="t"/>
              </v:shape>
            </w:pict>
          </mc:Fallback>
        </mc:AlternateContent>
      </w:r>
      <w:r w:rsidRPr="00D978DE" w:rsidR="00882783">
        <w:t>ALJ</w:t>
      </w:r>
      <w:r w:rsidRPr="00D978DE" w:rsidR="00DA7B5D">
        <w:t>/</w:t>
      </w:r>
      <w:r w:rsidRPr="00D978DE" w:rsidR="00882783">
        <w:t>KHY</w:t>
      </w:r>
      <w:r w:rsidRPr="00D978DE" w:rsidR="00DA7B5D">
        <w:t>/</w:t>
      </w:r>
      <w:r w:rsidR="0012456A">
        <w:t>nd3</w:t>
      </w:r>
      <w:r w:rsidRPr="00D978DE" w:rsidR="007E0FEE">
        <w:tab/>
      </w:r>
      <w:r w:rsidRPr="00D978DE" w:rsidR="00DA7B5D">
        <w:rPr>
          <w:rFonts w:cs="Arial"/>
          <w:b/>
          <w:szCs w:val="32"/>
        </w:rPr>
        <w:t>PROPOSED DECISION</w:t>
      </w:r>
      <w:r w:rsidRPr="00D978DE" w:rsidR="00DA7B5D">
        <w:tab/>
      </w:r>
      <w:r w:rsidRPr="00D978DE" w:rsidR="00DA7B5D">
        <w:rPr>
          <w:b/>
        </w:rPr>
        <w:t xml:space="preserve">Agenda ID </w:t>
      </w:r>
      <w:r w:rsidR="00D978DE">
        <w:rPr>
          <w:b/>
        </w:rPr>
        <w:t>#</w:t>
      </w:r>
      <w:r w:rsidRPr="00864AEA" w:rsidR="00864AEA">
        <w:rPr>
          <w:b/>
        </w:rPr>
        <w:t>21141</w:t>
      </w:r>
      <w:r w:rsidR="00F37D11">
        <w:rPr>
          <w:b/>
        </w:rPr>
        <w:t xml:space="preserve"> </w:t>
      </w:r>
      <w:r w:rsidRPr="00F37D11" w:rsidR="00F37D11">
        <w:rPr>
          <w:b/>
        </w:rPr>
        <w:t>(Rev.1)</w:t>
      </w:r>
    </w:p>
    <w:p w:rsidR="00DA7B5D" w:rsidP="005E7044" w:rsidRDefault="00882783" w14:paraId="3265D9AF" w14:textId="27085014">
      <w:pPr>
        <w:spacing w:line="240" w:lineRule="auto"/>
        <w:jc w:val="right"/>
        <w:rPr>
          <w:b/>
        </w:rPr>
      </w:pPr>
      <w:r w:rsidRPr="00D978DE">
        <w:rPr>
          <w:b/>
        </w:rPr>
        <w:t>Ratesetting</w:t>
      </w:r>
    </w:p>
    <w:p w:rsidRPr="00D978DE" w:rsidR="00F37D11" w:rsidP="005E7044" w:rsidRDefault="00F37D11" w14:paraId="04F4E716" w14:textId="58551879">
      <w:pPr>
        <w:spacing w:line="240" w:lineRule="auto"/>
        <w:jc w:val="right"/>
        <w:rPr>
          <w:b/>
        </w:rPr>
      </w:pPr>
      <w:r>
        <w:rPr>
          <w:b/>
        </w:rPr>
        <w:t>12/15/2022  Item #</w:t>
      </w:r>
      <w:r w:rsidRPr="00F37D11">
        <w:rPr>
          <w:b/>
        </w:rPr>
        <w:t>45</w:t>
      </w:r>
    </w:p>
    <w:p w:rsidR="00DA7B5D" w:rsidP="005E7044" w:rsidRDefault="00DA7B5D" w14:paraId="085CEA84" w14:textId="73AC0ED8">
      <w:pPr>
        <w:spacing w:line="240" w:lineRule="auto"/>
        <w:ind w:firstLine="0"/>
      </w:pPr>
    </w:p>
    <w:p w:rsidR="0012456A" w:rsidP="005E7044" w:rsidRDefault="0012456A" w14:paraId="2AC25B32" w14:textId="77777777">
      <w:pPr>
        <w:spacing w:line="240" w:lineRule="auto"/>
        <w:ind w:firstLine="0"/>
      </w:pPr>
    </w:p>
    <w:p w:rsidRPr="00EE3060" w:rsidR="00DA7B5D" w:rsidP="005E7044" w:rsidRDefault="00DA7B5D" w14:paraId="6F9D788E" w14:textId="72D8BC55">
      <w:pPr>
        <w:spacing w:line="240" w:lineRule="auto"/>
        <w:ind w:firstLine="0"/>
      </w:pPr>
      <w:r>
        <w:t xml:space="preserve">Decision </w:t>
      </w:r>
      <w:r w:rsidRPr="001A4408" w:rsidR="00607310">
        <w:rPr>
          <w:b/>
          <w:bCs/>
          <w:u w:val="single"/>
        </w:rPr>
        <w:t xml:space="preserve">PROPOSED DECISION OF ALJ </w:t>
      </w:r>
      <w:r w:rsidR="00607310">
        <w:rPr>
          <w:b/>
          <w:bCs/>
          <w:u w:val="single"/>
        </w:rPr>
        <w:t>HYMES</w:t>
      </w:r>
      <w:r w:rsidRPr="001A4408" w:rsidR="00607310">
        <w:rPr>
          <w:b/>
          <w:bCs/>
        </w:rPr>
        <w:t xml:space="preserve"> (Mailed</w:t>
      </w:r>
      <w:r w:rsidR="00975C71">
        <w:rPr>
          <w:b/>
          <w:bCs/>
        </w:rPr>
        <w:t xml:space="preserve"> </w:t>
      </w:r>
      <w:r w:rsidR="00864AEA">
        <w:rPr>
          <w:b/>
          <w:bCs/>
        </w:rPr>
        <w:t>11</w:t>
      </w:r>
      <w:r w:rsidR="00DD1D00">
        <w:rPr>
          <w:b/>
          <w:bCs/>
        </w:rPr>
        <w:t>/</w:t>
      </w:r>
      <w:r w:rsidR="00864AEA">
        <w:rPr>
          <w:b/>
          <w:bCs/>
        </w:rPr>
        <w:t>10</w:t>
      </w:r>
      <w:r w:rsidR="00DD1D00">
        <w:rPr>
          <w:b/>
          <w:bCs/>
        </w:rPr>
        <w:t>/22</w:t>
      </w:r>
      <w:r w:rsidRPr="008B4248" w:rsidR="00607310">
        <w:rPr>
          <w:b/>
          <w:bCs/>
        </w:rPr>
        <w:t>)</w:t>
      </w:r>
    </w:p>
    <w:p w:rsidR="0012456A" w:rsidP="005E7044" w:rsidRDefault="0012456A" w14:paraId="5EF4EAA8" w14:textId="77777777">
      <w:pPr>
        <w:spacing w:line="240" w:lineRule="auto"/>
        <w:ind w:firstLine="0"/>
        <w:rPr>
          <w:u w:val="single"/>
        </w:rPr>
      </w:pPr>
    </w:p>
    <w:p w:rsidR="00DA7B5D" w:rsidP="005E7044" w:rsidRDefault="00DA7B5D" w14:paraId="0726DF0B" w14:textId="25342B54">
      <w:pPr>
        <w:spacing w:line="240" w:lineRule="auto"/>
        <w:ind w:firstLine="0"/>
        <w:rPr>
          <w:u w:val="single"/>
        </w:rPr>
      </w:pPr>
    </w:p>
    <w:p w:rsidR="00DA7B5D" w:rsidP="005E7044" w:rsidRDefault="00DA7B5D" w14:paraId="79475B6B"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5E7044" w:rsidRDefault="00DA7B5D" w14:paraId="418B2171"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209FB552" w14:textId="77777777">
        <w:trPr>
          <w:jc w:val="center"/>
        </w:trPr>
        <w:tc>
          <w:tcPr>
            <w:tcW w:w="5040" w:type="dxa"/>
            <w:tcBorders>
              <w:top w:val="nil"/>
              <w:left w:val="nil"/>
              <w:bottom w:val="single" w:color="auto" w:sz="4" w:space="0"/>
              <w:right w:val="single" w:color="auto" w:sz="4" w:space="0"/>
            </w:tcBorders>
          </w:tcPr>
          <w:p w:rsidR="00DA7B5D" w:rsidP="005E7044" w:rsidRDefault="001F0687" w14:paraId="7CE8E1F0" w14:textId="2391E623">
            <w:pPr>
              <w:spacing w:line="240" w:lineRule="auto"/>
              <w:ind w:firstLine="0"/>
              <w:rPr>
                <w:rFonts w:cs="Arial"/>
                <w:szCs w:val="26"/>
              </w:rPr>
            </w:pPr>
            <w:r w:rsidRPr="001F0687">
              <w:rPr>
                <w:rFonts w:cs="Arial"/>
                <w:szCs w:val="26"/>
              </w:rPr>
              <w:t>Order Instituting Rulemaking to Revisit Net Energy Metering Tariffs Pursuant to Decision</w:t>
            </w:r>
            <w:r>
              <w:rPr>
                <w:rFonts w:cs="Arial"/>
                <w:szCs w:val="26"/>
              </w:rPr>
              <w:t> </w:t>
            </w:r>
            <w:r w:rsidRPr="001F0687">
              <w:rPr>
                <w:rFonts w:cs="Arial"/>
                <w:szCs w:val="26"/>
              </w:rPr>
              <w:t>16</w:t>
            </w:r>
            <w:r w:rsidR="00827602">
              <w:rPr>
                <w:rFonts w:cs="Arial"/>
                <w:szCs w:val="26"/>
              </w:rPr>
              <w:noBreakHyphen/>
            </w:r>
            <w:r w:rsidRPr="001F0687">
              <w:rPr>
                <w:rFonts w:cs="Arial"/>
                <w:szCs w:val="26"/>
              </w:rPr>
              <w:t>01</w:t>
            </w:r>
            <w:r w:rsidR="00827602">
              <w:rPr>
                <w:rFonts w:cs="Arial"/>
                <w:szCs w:val="26"/>
              </w:rPr>
              <w:noBreakHyphen/>
            </w:r>
            <w:r w:rsidRPr="001F0687">
              <w:rPr>
                <w:rFonts w:cs="Arial"/>
                <w:szCs w:val="26"/>
              </w:rPr>
              <w:t>044, and to Address Other Issues Related to Net Energy Metering.</w:t>
            </w:r>
          </w:p>
          <w:p w:rsidRPr="00DA7B5D" w:rsidR="001F0687" w:rsidP="005E7044" w:rsidRDefault="001F0687" w14:paraId="118EB269" w14:textId="50483367">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5E7044" w:rsidRDefault="00A27A49" w14:paraId="2A5F2F20" w14:textId="71641DC1">
            <w:pPr>
              <w:spacing w:line="240" w:lineRule="auto"/>
              <w:ind w:firstLine="0"/>
              <w:jc w:val="center"/>
              <w:rPr>
                <w:rFonts w:cs="Arial"/>
                <w:szCs w:val="26"/>
              </w:rPr>
            </w:pPr>
            <w:r>
              <w:rPr>
                <w:rFonts w:cs="Arial"/>
                <w:szCs w:val="26"/>
              </w:rPr>
              <w:t>Rulemaking 2</w:t>
            </w:r>
            <w:r w:rsidR="00882783">
              <w:rPr>
                <w:rFonts w:cs="Arial"/>
                <w:szCs w:val="26"/>
              </w:rPr>
              <w:t>0</w:t>
            </w:r>
            <w:r w:rsidR="00827602">
              <w:rPr>
                <w:rFonts w:cs="Arial"/>
                <w:szCs w:val="26"/>
              </w:rPr>
              <w:noBreakHyphen/>
            </w:r>
            <w:r w:rsidR="00882783">
              <w:rPr>
                <w:rFonts w:cs="Arial"/>
                <w:szCs w:val="26"/>
              </w:rPr>
              <w:t>08</w:t>
            </w:r>
            <w:r w:rsidR="00827602">
              <w:rPr>
                <w:rFonts w:cs="Arial"/>
                <w:szCs w:val="26"/>
              </w:rPr>
              <w:noBreakHyphen/>
            </w:r>
            <w:r w:rsidR="00882783">
              <w:rPr>
                <w:rFonts w:cs="Arial"/>
                <w:szCs w:val="26"/>
              </w:rPr>
              <w:t>020</w:t>
            </w:r>
          </w:p>
        </w:tc>
      </w:tr>
    </w:tbl>
    <w:p w:rsidR="00DA7B5D" w:rsidP="005E7044" w:rsidRDefault="00DA7B5D" w14:paraId="29FBC456" w14:textId="77777777">
      <w:pPr>
        <w:spacing w:line="240" w:lineRule="auto"/>
        <w:ind w:firstLine="0"/>
        <w:rPr>
          <w:rFonts w:ascii="Arial" w:hAnsi="Arial" w:cs="Arial"/>
          <w:sz w:val="24"/>
          <w:szCs w:val="24"/>
        </w:rPr>
      </w:pPr>
    </w:p>
    <w:p w:rsidR="00DA7B5D" w:rsidP="005E7044" w:rsidRDefault="00DA7B5D" w14:paraId="3AA7DDE6" w14:textId="77777777">
      <w:pPr>
        <w:spacing w:line="240" w:lineRule="auto"/>
        <w:ind w:firstLine="0"/>
        <w:rPr>
          <w:rFonts w:ascii="Arial" w:hAnsi="Arial" w:cs="Arial"/>
          <w:sz w:val="24"/>
          <w:szCs w:val="24"/>
        </w:rPr>
      </w:pPr>
    </w:p>
    <w:p w:rsidR="001F0687" w:rsidP="005E7044" w:rsidRDefault="008E6AD9" w14:paraId="654FE135" w14:textId="0321BF1A">
      <w:pPr>
        <w:pStyle w:val="Dummy"/>
        <w:keepLines w:val="0"/>
        <w:jc w:val="center"/>
      </w:pPr>
      <w:r>
        <w:fldChar w:fldCharType="begin"/>
      </w:r>
      <w:r>
        <w:instrText xml:space="preserve"> REF Title \h  \* MERGEFORMAT </w:instrText>
      </w:r>
      <w:r>
        <w:fldChar w:fldCharType="separate"/>
      </w:r>
      <w:bookmarkStart w:name="_Toc121854362" w:id="0"/>
      <w:bookmarkStart w:name="_Toc117674044" w:id="1"/>
      <w:bookmarkStart w:name="_Toc118285035" w:id="2"/>
      <w:r w:rsidR="007E07D7">
        <w:t>DECISION REVISING NET ENERGY</w:t>
      </w:r>
      <w:r w:rsidR="007E07D7">
        <w:br/>
        <w:t xml:space="preserve">METERING TARIFF AND </w:t>
      </w:r>
      <w:proofErr w:type="spellStart"/>
      <w:r w:rsidR="007E07D7">
        <w:t>SUBTARIFFS</w:t>
      </w:r>
      <w:bookmarkEnd w:id="0"/>
      <w:bookmarkEnd w:id="1"/>
      <w:bookmarkEnd w:id="2"/>
      <w:proofErr w:type="spellEnd"/>
      <w:r>
        <w:fldChar w:fldCharType="end"/>
      </w:r>
    </w:p>
    <w:p w:rsidR="005E0476" w:rsidP="005E7044" w:rsidRDefault="005E0476" w14:paraId="74749950" w14:textId="1B22AAB8">
      <w:pPr>
        <w:ind w:firstLine="0"/>
      </w:pPr>
    </w:p>
    <w:p w:rsidR="00261C61" w:rsidP="005E7044" w:rsidRDefault="00261C61" w14:paraId="3D59DBB4" w14:textId="77777777">
      <w:pPr>
        <w:ind w:firstLine="0"/>
      </w:pPr>
    </w:p>
    <w:p w:rsidRPr="005E0476" w:rsidR="005E0476" w:rsidP="005E7044" w:rsidRDefault="005E0476" w14:paraId="54F8A568" w14:textId="08742C09">
      <w:pPr>
        <w:sectPr w:rsidRPr="005E0476" w:rsidR="005E0476" w:rsidSect="008367B5">
          <w:headerReference w:type="default" r:id="rId10"/>
          <w:footerReference w:type="default" r:id="rId11"/>
          <w:headerReference w:type="first" r:id="rId12"/>
          <w:footerReference w:type="first" r:id="rId13"/>
          <w:pgSz w:w="12240" w:h="15840"/>
          <w:pgMar w:top="1728" w:right="1440" w:bottom="1440" w:left="1440" w:header="720" w:footer="720" w:gutter="0"/>
          <w:pgNumType w:start="1"/>
          <w:cols w:space="720"/>
          <w:titlePg/>
          <w:docGrid w:linePitch="360"/>
        </w:sectPr>
      </w:pPr>
    </w:p>
    <w:p w:rsidRPr="001E2A62" w:rsidR="00D50119" w:rsidP="005E7044" w:rsidRDefault="00D50119" w14:paraId="61EE735A" w14:textId="77777777">
      <w:pPr>
        <w:pStyle w:val="TOCHeading"/>
      </w:pPr>
      <w:r w:rsidRPr="001E2A62">
        <w:lastRenderedPageBreak/>
        <w:t>TABLE OF CONTENTS</w:t>
      </w:r>
    </w:p>
    <w:p w:rsidRPr="00D50119" w:rsidR="00D50119" w:rsidP="005E7044" w:rsidRDefault="00D50119" w14:paraId="13CC251B" w14:textId="77777777">
      <w:pPr>
        <w:tabs>
          <w:tab w:val="right" w:pos="9360"/>
        </w:tabs>
        <w:spacing w:line="240" w:lineRule="auto"/>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7E07D7" w:rsidP="00DA746D" w:rsidRDefault="008C7413" w14:paraId="2ACD8A9A" w14:textId="4BEF8F6C">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21854362">
            <w:r w:rsidRPr="00A545B6" w:rsidR="007E07D7">
              <w:rPr>
                <w:rStyle w:val="Hyperlink"/>
                <w:noProof/>
              </w:rPr>
              <w:t>DECISION REVISING NET ENERGY METERING TARIFF AND SUBTARIFFS</w:t>
            </w:r>
            <w:r w:rsidR="007E07D7">
              <w:rPr>
                <w:noProof/>
                <w:webHidden/>
              </w:rPr>
              <w:tab/>
            </w:r>
            <w:r w:rsidR="007E07D7">
              <w:rPr>
                <w:noProof/>
                <w:webHidden/>
              </w:rPr>
              <w:fldChar w:fldCharType="begin"/>
            </w:r>
            <w:r w:rsidR="007E07D7">
              <w:rPr>
                <w:noProof/>
                <w:webHidden/>
              </w:rPr>
              <w:instrText xml:space="preserve"> PAGEREF _Toc121854362 \h </w:instrText>
            </w:r>
            <w:r w:rsidR="007E07D7">
              <w:rPr>
                <w:noProof/>
                <w:webHidden/>
              </w:rPr>
            </w:r>
            <w:r w:rsidR="007E07D7">
              <w:rPr>
                <w:noProof/>
                <w:webHidden/>
              </w:rPr>
              <w:fldChar w:fldCharType="separate"/>
            </w:r>
            <w:r w:rsidR="007E07D7">
              <w:rPr>
                <w:noProof/>
                <w:webHidden/>
              </w:rPr>
              <w:t>1</w:t>
            </w:r>
            <w:r w:rsidR="007E07D7">
              <w:rPr>
                <w:noProof/>
                <w:webHidden/>
              </w:rPr>
              <w:fldChar w:fldCharType="end"/>
            </w:r>
          </w:hyperlink>
        </w:p>
        <w:p w:rsidR="007E07D7" w:rsidRDefault="00000000" w14:paraId="2A4B0AD7" w14:textId="10735294">
          <w:pPr>
            <w:pStyle w:val="TOC1"/>
            <w:tabs>
              <w:tab w:val="right" w:leader="dot" w:pos="9350"/>
            </w:tabs>
            <w:rPr>
              <w:rFonts w:asciiTheme="minorHAnsi" w:hAnsiTheme="minorHAnsi" w:cstheme="minorBidi"/>
              <w:noProof/>
              <w:sz w:val="22"/>
            </w:rPr>
          </w:pPr>
          <w:hyperlink w:history="1" w:anchor="_Toc121854363">
            <w:r w:rsidRPr="00A545B6" w:rsidR="007E07D7">
              <w:rPr>
                <w:rStyle w:val="Hyperlink"/>
                <w:noProof/>
              </w:rPr>
              <w:t>Summary</w:t>
            </w:r>
            <w:r w:rsidR="007E07D7">
              <w:rPr>
                <w:noProof/>
                <w:webHidden/>
              </w:rPr>
              <w:tab/>
            </w:r>
            <w:r w:rsidR="007E07D7">
              <w:rPr>
                <w:noProof/>
                <w:webHidden/>
              </w:rPr>
              <w:fldChar w:fldCharType="begin"/>
            </w:r>
            <w:r w:rsidR="007E07D7">
              <w:rPr>
                <w:noProof/>
                <w:webHidden/>
              </w:rPr>
              <w:instrText xml:space="preserve"> PAGEREF _Toc121854363 \h </w:instrText>
            </w:r>
            <w:r w:rsidR="007E07D7">
              <w:rPr>
                <w:noProof/>
                <w:webHidden/>
              </w:rPr>
            </w:r>
            <w:r w:rsidR="007E07D7">
              <w:rPr>
                <w:noProof/>
                <w:webHidden/>
              </w:rPr>
              <w:fldChar w:fldCharType="separate"/>
            </w:r>
            <w:r w:rsidR="007E07D7">
              <w:rPr>
                <w:noProof/>
                <w:webHidden/>
              </w:rPr>
              <w:t>2</w:t>
            </w:r>
            <w:r w:rsidR="007E07D7">
              <w:rPr>
                <w:noProof/>
                <w:webHidden/>
              </w:rPr>
              <w:fldChar w:fldCharType="end"/>
            </w:r>
          </w:hyperlink>
        </w:p>
        <w:p w:rsidR="007E07D7" w:rsidRDefault="00000000" w14:paraId="1BEBAC3B" w14:textId="2079364D">
          <w:pPr>
            <w:pStyle w:val="TOC1"/>
            <w:tabs>
              <w:tab w:val="right" w:leader="dot" w:pos="9350"/>
            </w:tabs>
            <w:rPr>
              <w:rFonts w:asciiTheme="minorHAnsi" w:hAnsiTheme="minorHAnsi" w:cstheme="minorBidi"/>
              <w:noProof/>
              <w:sz w:val="22"/>
            </w:rPr>
          </w:pPr>
          <w:hyperlink w:history="1" w:anchor="_Toc121854364">
            <w:r w:rsidRPr="00A545B6" w:rsidR="007E07D7">
              <w:rPr>
                <w:rStyle w:val="Hyperlink"/>
                <w:noProof/>
              </w:rPr>
              <w:t>1.</w:t>
            </w:r>
            <w:r w:rsidR="007E07D7">
              <w:rPr>
                <w:rFonts w:asciiTheme="minorHAnsi" w:hAnsiTheme="minorHAnsi" w:cstheme="minorBidi"/>
                <w:noProof/>
                <w:sz w:val="22"/>
              </w:rPr>
              <w:tab/>
            </w:r>
            <w:r w:rsidRPr="00A545B6" w:rsidR="007E07D7">
              <w:rPr>
                <w:rStyle w:val="Hyperlink"/>
                <w:noProof/>
              </w:rPr>
              <w:t>Legislative and Regulatory History of Net Energy Metering in California</w:t>
            </w:r>
            <w:r w:rsidR="007E07D7">
              <w:rPr>
                <w:noProof/>
                <w:webHidden/>
              </w:rPr>
              <w:tab/>
            </w:r>
            <w:r w:rsidR="007E07D7">
              <w:rPr>
                <w:noProof/>
                <w:webHidden/>
              </w:rPr>
              <w:fldChar w:fldCharType="begin"/>
            </w:r>
            <w:r w:rsidR="007E07D7">
              <w:rPr>
                <w:noProof/>
                <w:webHidden/>
              </w:rPr>
              <w:instrText xml:space="preserve"> PAGEREF _Toc121854364 \h </w:instrText>
            </w:r>
            <w:r w:rsidR="007E07D7">
              <w:rPr>
                <w:noProof/>
                <w:webHidden/>
              </w:rPr>
            </w:r>
            <w:r w:rsidR="007E07D7">
              <w:rPr>
                <w:noProof/>
                <w:webHidden/>
              </w:rPr>
              <w:fldChar w:fldCharType="separate"/>
            </w:r>
            <w:r w:rsidR="007E07D7">
              <w:rPr>
                <w:noProof/>
                <w:webHidden/>
              </w:rPr>
              <w:t>5</w:t>
            </w:r>
            <w:r w:rsidR="007E07D7">
              <w:rPr>
                <w:noProof/>
                <w:webHidden/>
              </w:rPr>
              <w:fldChar w:fldCharType="end"/>
            </w:r>
          </w:hyperlink>
        </w:p>
        <w:p w:rsidR="007E07D7" w:rsidRDefault="00000000" w14:paraId="3B3B09E8" w14:textId="1E9162E1">
          <w:pPr>
            <w:pStyle w:val="TOC1"/>
            <w:tabs>
              <w:tab w:val="right" w:leader="dot" w:pos="9350"/>
            </w:tabs>
            <w:rPr>
              <w:rFonts w:asciiTheme="minorHAnsi" w:hAnsiTheme="minorHAnsi" w:cstheme="minorBidi"/>
              <w:noProof/>
              <w:sz w:val="22"/>
            </w:rPr>
          </w:pPr>
          <w:hyperlink w:history="1" w:anchor="_Toc121854365">
            <w:r w:rsidRPr="00A545B6" w:rsidR="007E07D7">
              <w:rPr>
                <w:rStyle w:val="Hyperlink"/>
                <w:noProof/>
              </w:rPr>
              <w:t>2.</w:t>
            </w:r>
            <w:r w:rsidR="007E07D7">
              <w:rPr>
                <w:rFonts w:asciiTheme="minorHAnsi" w:hAnsiTheme="minorHAnsi" w:cstheme="minorBidi"/>
                <w:noProof/>
                <w:sz w:val="22"/>
              </w:rPr>
              <w:tab/>
            </w:r>
            <w:r w:rsidRPr="00A545B6" w:rsidR="007E07D7">
              <w:rPr>
                <w:rStyle w:val="Hyperlink"/>
                <w:noProof/>
              </w:rPr>
              <w:t>Procedural Background</w:t>
            </w:r>
            <w:r w:rsidR="007E07D7">
              <w:rPr>
                <w:noProof/>
                <w:webHidden/>
              </w:rPr>
              <w:tab/>
            </w:r>
            <w:r w:rsidR="007E07D7">
              <w:rPr>
                <w:noProof/>
                <w:webHidden/>
              </w:rPr>
              <w:fldChar w:fldCharType="begin"/>
            </w:r>
            <w:r w:rsidR="007E07D7">
              <w:rPr>
                <w:noProof/>
                <w:webHidden/>
              </w:rPr>
              <w:instrText xml:space="preserve"> PAGEREF _Toc121854365 \h </w:instrText>
            </w:r>
            <w:r w:rsidR="007E07D7">
              <w:rPr>
                <w:noProof/>
                <w:webHidden/>
              </w:rPr>
            </w:r>
            <w:r w:rsidR="007E07D7">
              <w:rPr>
                <w:noProof/>
                <w:webHidden/>
              </w:rPr>
              <w:fldChar w:fldCharType="separate"/>
            </w:r>
            <w:r w:rsidR="007E07D7">
              <w:rPr>
                <w:noProof/>
                <w:webHidden/>
              </w:rPr>
              <w:t>9</w:t>
            </w:r>
            <w:r w:rsidR="007E07D7">
              <w:rPr>
                <w:noProof/>
                <w:webHidden/>
              </w:rPr>
              <w:fldChar w:fldCharType="end"/>
            </w:r>
          </w:hyperlink>
        </w:p>
        <w:p w:rsidR="007E07D7" w:rsidRDefault="00000000" w14:paraId="62F7E524" w14:textId="10528388">
          <w:pPr>
            <w:pStyle w:val="TOC1"/>
            <w:tabs>
              <w:tab w:val="right" w:leader="dot" w:pos="9350"/>
            </w:tabs>
            <w:rPr>
              <w:rFonts w:asciiTheme="minorHAnsi" w:hAnsiTheme="minorHAnsi" w:cstheme="minorBidi"/>
              <w:noProof/>
              <w:sz w:val="22"/>
            </w:rPr>
          </w:pPr>
          <w:hyperlink w:history="1" w:anchor="_Toc121854366">
            <w:r w:rsidRPr="00A545B6" w:rsidR="007E07D7">
              <w:rPr>
                <w:rStyle w:val="Hyperlink"/>
                <w:noProof/>
              </w:rPr>
              <w:t>3.</w:t>
            </w:r>
            <w:r w:rsidR="007E07D7">
              <w:rPr>
                <w:rFonts w:asciiTheme="minorHAnsi" w:hAnsiTheme="minorHAnsi" w:cstheme="minorBidi"/>
                <w:noProof/>
                <w:sz w:val="22"/>
              </w:rPr>
              <w:tab/>
            </w:r>
            <w:r w:rsidRPr="00A545B6" w:rsidR="007E07D7">
              <w:rPr>
                <w:rStyle w:val="Hyperlink"/>
                <w:noProof/>
              </w:rPr>
              <w:t>Guiding Principles</w:t>
            </w:r>
            <w:r w:rsidR="007E07D7">
              <w:rPr>
                <w:noProof/>
                <w:webHidden/>
              </w:rPr>
              <w:tab/>
            </w:r>
            <w:r w:rsidR="007E07D7">
              <w:rPr>
                <w:noProof/>
                <w:webHidden/>
              </w:rPr>
              <w:fldChar w:fldCharType="begin"/>
            </w:r>
            <w:r w:rsidR="007E07D7">
              <w:rPr>
                <w:noProof/>
                <w:webHidden/>
              </w:rPr>
              <w:instrText xml:space="preserve"> PAGEREF _Toc121854366 \h </w:instrText>
            </w:r>
            <w:r w:rsidR="007E07D7">
              <w:rPr>
                <w:noProof/>
                <w:webHidden/>
              </w:rPr>
            </w:r>
            <w:r w:rsidR="007E07D7">
              <w:rPr>
                <w:noProof/>
                <w:webHidden/>
              </w:rPr>
              <w:fldChar w:fldCharType="separate"/>
            </w:r>
            <w:r w:rsidR="007E07D7">
              <w:rPr>
                <w:noProof/>
                <w:webHidden/>
              </w:rPr>
              <w:t>13</w:t>
            </w:r>
            <w:r w:rsidR="007E07D7">
              <w:rPr>
                <w:noProof/>
                <w:webHidden/>
              </w:rPr>
              <w:fldChar w:fldCharType="end"/>
            </w:r>
          </w:hyperlink>
        </w:p>
        <w:p w:rsidR="007E07D7" w:rsidRDefault="00000000" w14:paraId="5B1E8A71" w14:textId="096E8FA1">
          <w:pPr>
            <w:pStyle w:val="TOC1"/>
            <w:tabs>
              <w:tab w:val="right" w:leader="dot" w:pos="9350"/>
            </w:tabs>
            <w:rPr>
              <w:rFonts w:asciiTheme="minorHAnsi" w:hAnsiTheme="minorHAnsi" w:cstheme="minorBidi"/>
              <w:noProof/>
              <w:sz w:val="22"/>
            </w:rPr>
          </w:pPr>
          <w:hyperlink w:history="1" w:anchor="_Toc121854367">
            <w:r w:rsidRPr="00A545B6" w:rsidR="007E07D7">
              <w:rPr>
                <w:rStyle w:val="Hyperlink"/>
                <w:noProof/>
              </w:rPr>
              <w:t>4.</w:t>
            </w:r>
            <w:r w:rsidR="007E07D7">
              <w:rPr>
                <w:rFonts w:asciiTheme="minorHAnsi" w:hAnsiTheme="minorHAnsi" w:cstheme="minorBidi"/>
                <w:noProof/>
                <w:sz w:val="22"/>
              </w:rPr>
              <w:tab/>
            </w:r>
            <w:r w:rsidRPr="00A545B6" w:rsidR="007E07D7">
              <w:rPr>
                <w:rStyle w:val="Hyperlink"/>
                <w:noProof/>
              </w:rPr>
              <w:t>Lookback Study</w:t>
            </w:r>
            <w:r w:rsidR="007E07D7">
              <w:rPr>
                <w:noProof/>
                <w:webHidden/>
              </w:rPr>
              <w:tab/>
            </w:r>
            <w:r w:rsidR="007E07D7">
              <w:rPr>
                <w:noProof/>
                <w:webHidden/>
              </w:rPr>
              <w:fldChar w:fldCharType="begin"/>
            </w:r>
            <w:r w:rsidR="007E07D7">
              <w:rPr>
                <w:noProof/>
                <w:webHidden/>
              </w:rPr>
              <w:instrText xml:space="preserve"> PAGEREF _Toc121854367 \h </w:instrText>
            </w:r>
            <w:r w:rsidR="007E07D7">
              <w:rPr>
                <w:noProof/>
                <w:webHidden/>
              </w:rPr>
            </w:r>
            <w:r w:rsidR="007E07D7">
              <w:rPr>
                <w:noProof/>
                <w:webHidden/>
              </w:rPr>
              <w:fldChar w:fldCharType="separate"/>
            </w:r>
            <w:r w:rsidR="007E07D7">
              <w:rPr>
                <w:noProof/>
                <w:webHidden/>
              </w:rPr>
              <w:t>14</w:t>
            </w:r>
            <w:r w:rsidR="007E07D7">
              <w:rPr>
                <w:noProof/>
                <w:webHidden/>
              </w:rPr>
              <w:fldChar w:fldCharType="end"/>
            </w:r>
          </w:hyperlink>
        </w:p>
        <w:p w:rsidR="007E07D7" w:rsidRDefault="00000000" w14:paraId="3DB1EE43" w14:textId="014C7866">
          <w:pPr>
            <w:pStyle w:val="TOC1"/>
            <w:tabs>
              <w:tab w:val="right" w:leader="dot" w:pos="9350"/>
            </w:tabs>
            <w:rPr>
              <w:rFonts w:asciiTheme="minorHAnsi" w:hAnsiTheme="minorHAnsi" w:cstheme="minorBidi"/>
              <w:noProof/>
              <w:sz w:val="22"/>
            </w:rPr>
          </w:pPr>
          <w:hyperlink w:history="1" w:anchor="_Toc121854368">
            <w:r w:rsidRPr="00A545B6" w:rsidR="007E07D7">
              <w:rPr>
                <w:rStyle w:val="Hyperlink"/>
                <w:noProof/>
              </w:rPr>
              <w:t>5.</w:t>
            </w:r>
            <w:r w:rsidR="007E07D7">
              <w:rPr>
                <w:rFonts w:asciiTheme="minorHAnsi" w:hAnsiTheme="minorHAnsi" w:cstheme="minorBidi"/>
                <w:noProof/>
                <w:sz w:val="22"/>
              </w:rPr>
              <w:tab/>
            </w:r>
            <w:r w:rsidRPr="00A545B6" w:rsidR="007E07D7">
              <w:rPr>
                <w:rStyle w:val="Hyperlink"/>
                <w:noProof/>
              </w:rPr>
              <w:t>E3 White Paper on Net Energy Metering Revisions</w:t>
            </w:r>
            <w:r w:rsidR="007E07D7">
              <w:rPr>
                <w:noProof/>
                <w:webHidden/>
              </w:rPr>
              <w:tab/>
            </w:r>
            <w:r w:rsidR="007E07D7">
              <w:rPr>
                <w:noProof/>
                <w:webHidden/>
              </w:rPr>
              <w:fldChar w:fldCharType="begin"/>
            </w:r>
            <w:r w:rsidR="007E07D7">
              <w:rPr>
                <w:noProof/>
                <w:webHidden/>
              </w:rPr>
              <w:instrText xml:space="preserve"> PAGEREF _Toc121854368 \h </w:instrText>
            </w:r>
            <w:r w:rsidR="007E07D7">
              <w:rPr>
                <w:noProof/>
                <w:webHidden/>
              </w:rPr>
            </w:r>
            <w:r w:rsidR="007E07D7">
              <w:rPr>
                <w:noProof/>
                <w:webHidden/>
              </w:rPr>
              <w:fldChar w:fldCharType="separate"/>
            </w:r>
            <w:r w:rsidR="007E07D7">
              <w:rPr>
                <w:noProof/>
                <w:webHidden/>
              </w:rPr>
              <w:t>17</w:t>
            </w:r>
            <w:r w:rsidR="007E07D7">
              <w:rPr>
                <w:noProof/>
                <w:webHidden/>
              </w:rPr>
              <w:fldChar w:fldCharType="end"/>
            </w:r>
          </w:hyperlink>
        </w:p>
        <w:p w:rsidR="007E07D7" w:rsidRDefault="00000000" w14:paraId="6E0E58AE" w14:textId="42FB2C11">
          <w:pPr>
            <w:pStyle w:val="TOC1"/>
            <w:tabs>
              <w:tab w:val="right" w:leader="dot" w:pos="9350"/>
            </w:tabs>
            <w:rPr>
              <w:rFonts w:asciiTheme="minorHAnsi" w:hAnsiTheme="minorHAnsi" w:cstheme="minorBidi"/>
              <w:noProof/>
              <w:sz w:val="22"/>
            </w:rPr>
          </w:pPr>
          <w:hyperlink w:history="1" w:anchor="_Toc121854369">
            <w:r w:rsidRPr="00A545B6" w:rsidR="007E07D7">
              <w:rPr>
                <w:rStyle w:val="Hyperlink"/>
                <w:noProof/>
              </w:rPr>
              <w:t>6.</w:t>
            </w:r>
            <w:r w:rsidR="007E07D7">
              <w:rPr>
                <w:rFonts w:asciiTheme="minorHAnsi" w:hAnsiTheme="minorHAnsi" w:cstheme="minorBidi"/>
                <w:noProof/>
                <w:sz w:val="22"/>
              </w:rPr>
              <w:tab/>
            </w:r>
            <w:r w:rsidRPr="00A545B6" w:rsidR="007E07D7">
              <w:rPr>
                <w:rStyle w:val="Hyperlink"/>
                <w:noProof/>
              </w:rPr>
              <w:t>Proposals for Net Energy Metering Tariff Changes</w:t>
            </w:r>
            <w:r w:rsidR="007E07D7">
              <w:rPr>
                <w:noProof/>
                <w:webHidden/>
              </w:rPr>
              <w:tab/>
            </w:r>
            <w:r w:rsidR="007E07D7">
              <w:rPr>
                <w:noProof/>
                <w:webHidden/>
              </w:rPr>
              <w:fldChar w:fldCharType="begin"/>
            </w:r>
            <w:r w:rsidR="007E07D7">
              <w:rPr>
                <w:noProof/>
                <w:webHidden/>
              </w:rPr>
              <w:instrText xml:space="preserve"> PAGEREF _Toc121854369 \h </w:instrText>
            </w:r>
            <w:r w:rsidR="007E07D7">
              <w:rPr>
                <w:noProof/>
                <w:webHidden/>
              </w:rPr>
            </w:r>
            <w:r w:rsidR="007E07D7">
              <w:rPr>
                <w:noProof/>
                <w:webHidden/>
              </w:rPr>
              <w:fldChar w:fldCharType="separate"/>
            </w:r>
            <w:r w:rsidR="007E07D7">
              <w:rPr>
                <w:noProof/>
                <w:webHidden/>
              </w:rPr>
              <w:t>20</w:t>
            </w:r>
            <w:r w:rsidR="007E07D7">
              <w:rPr>
                <w:noProof/>
                <w:webHidden/>
              </w:rPr>
              <w:fldChar w:fldCharType="end"/>
            </w:r>
          </w:hyperlink>
        </w:p>
        <w:p w:rsidR="007E07D7" w:rsidRDefault="00000000" w14:paraId="376CEAF8" w14:textId="65B9C64F">
          <w:pPr>
            <w:pStyle w:val="TOC2"/>
            <w:tabs>
              <w:tab w:val="left" w:pos="1123"/>
              <w:tab w:val="right" w:leader="dot" w:pos="9350"/>
            </w:tabs>
            <w:rPr>
              <w:rFonts w:asciiTheme="minorHAnsi" w:hAnsiTheme="minorHAnsi" w:cstheme="minorBidi"/>
              <w:noProof/>
              <w:sz w:val="22"/>
            </w:rPr>
          </w:pPr>
          <w:hyperlink w:history="1" w:anchor="_Toc121854370">
            <w:r w:rsidRPr="00A545B6" w:rsidR="007E07D7">
              <w:rPr>
                <w:rStyle w:val="Hyperlink"/>
                <w:noProof/>
              </w:rPr>
              <w:t>6.1.</w:t>
            </w:r>
            <w:r w:rsidR="007E07D7">
              <w:rPr>
                <w:rFonts w:asciiTheme="minorHAnsi" w:hAnsiTheme="minorHAnsi" w:cstheme="minorBidi"/>
                <w:noProof/>
                <w:sz w:val="22"/>
              </w:rPr>
              <w:tab/>
            </w:r>
            <w:r w:rsidRPr="00A545B6" w:rsidR="007E07D7">
              <w:rPr>
                <w:rStyle w:val="Hyperlink"/>
                <w:noProof/>
              </w:rPr>
              <w:t>AARP Recommendation</w:t>
            </w:r>
            <w:r w:rsidR="007E07D7">
              <w:rPr>
                <w:noProof/>
                <w:webHidden/>
              </w:rPr>
              <w:tab/>
            </w:r>
            <w:r w:rsidR="007E07D7">
              <w:rPr>
                <w:noProof/>
                <w:webHidden/>
              </w:rPr>
              <w:fldChar w:fldCharType="begin"/>
            </w:r>
            <w:r w:rsidR="007E07D7">
              <w:rPr>
                <w:noProof/>
                <w:webHidden/>
              </w:rPr>
              <w:instrText xml:space="preserve"> PAGEREF _Toc121854370 \h </w:instrText>
            </w:r>
            <w:r w:rsidR="007E07D7">
              <w:rPr>
                <w:noProof/>
                <w:webHidden/>
              </w:rPr>
            </w:r>
            <w:r w:rsidR="007E07D7">
              <w:rPr>
                <w:noProof/>
                <w:webHidden/>
              </w:rPr>
              <w:fldChar w:fldCharType="separate"/>
            </w:r>
            <w:r w:rsidR="007E07D7">
              <w:rPr>
                <w:noProof/>
                <w:webHidden/>
              </w:rPr>
              <w:t>20</w:t>
            </w:r>
            <w:r w:rsidR="007E07D7">
              <w:rPr>
                <w:noProof/>
                <w:webHidden/>
              </w:rPr>
              <w:fldChar w:fldCharType="end"/>
            </w:r>
          </w:hyperlink>
        </w:p>
        <w:p w:rsidR="007E07D7" w:rsidRDefault="00000000" w14:paraId="687F0B53" w14:textId="1E2425AD">
          <w:pPr>
            <w:pStyle w:val="TOC2"/>
            <w:tabs>
              <w:tab w:val="left" w:pos="1123"/>
              <w:tab w:val="right" w:leader="dot" w:pos="9350"/>
            </w:tabs>
            <w:rPr>
              <w:rFonts w:asciiTheme="minorHAnsi" w:hAnsiTheme="minorHAnsi" w:cstheme="minorBidi"/>
              <w:noProof/>
              <w:sz w:val="22"/>
            </w:rPr>
          </w:pPr>
          <w:hyperlink w:history="1" w:anchor="_Toc121854371">
            <w:r w:rsidRPr="00A545B6" w:rsidR="007E07D7">
              <w:rPr>
                <w:rStyle w:val="Hyperlink"/>
                <w:noProof/>
              </w:rPr>
              <w:t>6.2.</w:t>
            </w:r>
            <w:r w:rsidR="007E07D7">
              <w:rPr>
                <w:rFonts w:asciiTheme="minorHAnsi" w:hAnsiTheme="minorHAnsi" w:cstheme="minorBidi"/>
                <w:noProof/>
                <w:sz w:val="22"/>
              </w:rPr>
              <w:tab/>
            </w:r>
            <w:r w:rsidRPr="00A545B6" w:rsidR="007E07D7">
              <w:rPr>
                <w:rStyle w:val="Hyperlink"/>
                <w:noProof/>
              </w:rPr>
              <w:t>CALSSA Proposal</w:t>
            </w:r>
            <w:r w:rsidR="007E07D7">
              <w:rPr>
                <w:noProof/>
                <w:webHidden/>
              </w:rPr>
              <w:tab/>
            </w:r>
            <w:r w:rsidR="007E07D7">
              <w:rPr>
                <w:noProof/>
                <w:webHidden/>
              </w:rPr>
              <w:fldChar w:fldCharType="begin"/>
            </w:r>
            <w:r w:rsidR="007E07D7">
              <w:rPr>
                <w:noProof/>
                <w:webHidden/>
              </w:rPr>
              <w:instrText xml:space="preserve"> PAGEREF _Toc121854371 \h </w:instrText>
            </w:r>
            <w:r w:rsidR="007E07D7">
              <w:rPr>
                <w:noProof/>
                <w:webHidden/>
              </w:rPr>
            </w:r>
            <w:r w:rsidR="007E07D7">
              <w:rPr>
                <w:noProof/>
                <w:webHidden/>
              </w:rPr>
              <w:fldChar w:fldCharType="separate"/>
            </w:r>
            <w:r w:rsidR="007E07D7">
              <w:rPr>
                <w:noProof/>
                <w:webHidden/>
              </w:rPr>
              <w:t>21</w:t>
            </w:r>
            <w:r w:rsidR="007E07D7">
              <w:rPr>
                <w:noProof/>
                <w:webHidden/>
              </w:rPr>
              <w:fldChar w:fldCharType="end"/>
            </w:r>
          </w:hyperlink>
        </w:p>
        <w:p w:rsidR="007E07D7" w:rsidRDefault="00000000" w14:paraId="6CE26A2F" w14:textId="1F56EF43">
          <w:pPr>
            <w:pStyle w:val="TOC2"/>
            <w:tabs>
              <w:tab w:val="left" w:pos="1123"/>
              <w:tab w:val="right" w:leader="dot" w:pos="9350"/>
            </w:tabs>
            <w:rPr>
              <w:rFonts w:asciiTheme="minorHAnsi" w:hAnsiTheme="minorHAnsi" w:cstheme="minorBidi"/>
              <w:noProof/>
              <w:sz w:val="22"/>
            </w:rPr>
          </w:pPr>
          <w:hyperlink w:history="1" w:anchor="_Toc121854372">
            <w:r w:rsidRPr="00A545B6" w:rsidR="007E07D7">
              <w:rPr>
                <w:rStyle w:val="Hyperlink"/>
                <w:noProof/>
              </w:rPr>
              <w:t>6.3.</w:t>
            </w:r>
            <w:r w:rsidR="007E07D7">
              <w:rPr>
                <w:rFonts w:asciiTheme="minorHAnsi" w:hAnsiTheme="minorHAnsi" w:cstheme="minorBidi"/>
                <w:noProof/>
                <w:sz w:val="22"/>
              </w:rPr>
              <w:tab/>
            </w:r>
            <w:r w:rsidRPr="00A545B6" w:rsidR="007E07D7">
              <w:rPr>
                <w:rStyle w:val="Hyperlink"/>
                <w:noProof/>
              </w:rPr>
              <w:t>CCSA Proposal</w:t>
            </w:r>
            <w:r w:rsidR="007E07D7">
              <w:rPr>
                <w:noProof/>
                <w:webHidden/>
              </w:rPr>
              <w:tab/>
            </w:r>
            <w:r w:rsidR="007E07D7">
              <w:rPr>
                <w:noProof/>
                <w:webHidden/>
              </w:rPr>
              <w:fldChar w:fldCharType="begin"/>
            </w:r>
            <w:r w:rsidR="007E07D7">
              <w:rPr>
                <w:noProof/>
                <w:webHidden/>
              </w:rPr>
              <w:instrText xml:space="preserve"> PAGEREF _Toc121854372 \h </w:instrText>
            </w:r>
            <w:r w:rsidR="007E07D7">
              <w:rPr>
                <w:noProof/>
                <w:webHidden/>
              </w:rPr>
            </w:r>
            <w:r w:rsidR="007E07D7">
              <w:rPr>
                <w:noProof/>
                <w:webHidden/>
              </w:rPr>
              <w:fldChar w:fldCharType="separate"/>
            </w:r>
            <w:r w:rsidR="007E07D7">
              <w:rPr>
                <w:noProof/>
                <w:webHidden/>
              </w:rPr>
              <w:t>22</w:t>
            </w:r>
            <w:r w:rsidR="007E07D7">
              <w:rPr>
                <w:noProof/>
                <w:webHidden/>
              </w:rPr>
              <w:fldChar w:fldCharType="end"/>
            </w:r>
          </w:hyperlink>
        </w:p>
        <w:p w:rsidR="007E07D7" w:rsidRDefault="00000000" w14:paraId="451070A7" w14:textId="5D846E78">
          <w:pPr>
            <w:pStyle w:val="TOC2"/>
            <w:tabs>
              <w:tab w:val="left" w:pos="1123"/>
              <w:tab w:val="right" w:leader="dot" w:pos="9350"/>
            </w:tabs>
            <w:rPr>
              <w:rFonts w:asciiTheme="minorHAnsi" w:hAnsiTheme="minorHAnsi" w:cstheme="minorBidi"/>
              <w:noProof/>
              <w:sz w:val="22"/>
            </w:rPr>
          </w:pPr>
          <w:hyperlink w:history="1" w:anchor="_Toc121854373">
            <w:r w:rsidRPr="00A545B6" w:rsidR="007E07D7">
              <w:rPr>
                <w:rStyle w:val="Hyperlink"/>
                <w:noProof/>
              </w:rPr>
              <w:t>6.4.</w:t>
            </w:r>
            <w:r w:rsidR="007E07D7">
              <w:rPr>
                <w:rFonts w:asciiTheme="minorHAnsi" w:hAnsiTheme="minorHAnsi" w:cstheme="minorBidi"/>
                <w:noProof/>
                <w:sz w:val="22"/>
              </w:rPr>
              <w:tab/>
            </w:r>
            <w:r w:rsidRPr="00A545B6" w:rsidR="007E07D7">
              <w:rPr>
                <w:rStyle w:val="Hyperlink"/>
                <w:noProof/>
              </w:rPr>
              <w:t>Californians for Renewable Energy Proposal</w:t>
            </w:r>
            <w:r w:rsidR="007E07D7">
              <w:rPr>
                <w:noProof/>
                <w:webHidden/>
              </w:rPr>
              <w:tab/>
            </w:r>
            <w:r w:rsidR="007E07D7">
              <w:rPr>
                <w:noProof/>
                <w:webHidden/>
              </w:rPr>
              <w:fldChar w:fldCharType="begin"/>
            </w:r>
            <w:r w:rsidR="007E07D7">
              <w:rPr>
                <w:noProof/>
                <w:webHidden/>
              </w:rPr>
              <w:instrText xml:space="preserve"> PAGEREF _Toc121854373 \h </w:instrText>
            </w:r>
            <w:r w:rsidR="007E07D7">
              <w:rPr>
                <w:noProof/>
                <w:webHidden/>
              </w:rPr>
            </w:r>
            <w:r w:rsidR="007E07D7">
              <w:rPr>
                <w:noProof/>
                <w:webHidden/>
              </w:rPr>
              <w:fldChar w:fldCharType="separate"/>
            </w:r>
            <w:r w:rsidR="007E07D7">
              <w:rPr>
                <w:noProof/>
                <w:webHidden/>
              </w:rPr>
              <w:t>23</w:t>
            </w:r>
            <w:r w:rsidR="007E07D7">
              <w:rPr>
                <w:noProof/>
                <w:webHidden/>
              </w:rPr>
              <w:fldChar w:fldCharType="end"/>
            </w:r>
          </w:hyperlink>
        </w:p>
        <w:p w:rsidR="007E07D7" w:rsidRDefault="00000000" w14:paraId="22BE9FF2" w14:textId="178E2768">
          <w:pPr>
            <w:pStyle w:val="TOC2"/>
            <w:tabs>
              <w:tab w:val="left" w:pos="1123"/>
              <w:tab w:val="right" w:leader="dot" w:pos="9350"/>
            </w:tabs>
            <w:rPr>
              <w:rFonts w:asciiTheme="minorHAnsi" w:hAnsiTheme="minorHAnsi" w:cstheme="minorBidi"/>
              <w:noProof/>
              <w:sz w:val="22"/>
            </w:rPr>
          </w:pPr>
          <w:hyperlink w:history="1" w:anchor="_Toc121854374">
            <w:r w:rsidRPr="00A545B6" w:rsidR="007E07D7">
              <w:rPr>
                <w:rStyle w:val="Hyperlink"/>
                <w:noProof/>
              </w:rPr>
              <w:t>6.5.</w:t>
            </w:r>
            <w:r w:rsidR="007E07D7">
              <w:rPr>
                <w:rFonts w:asciiTheme="minorHAnsi" w:hAnsiTheme="minorHAnsi" w:cstheme="minorBidi"/>
                <w:noProof/>
                <w:sz w:val="22"/>
              </w:rPr>
              <w:tab/>
            </w:r>
            <w:r w:rsidRPr="00A545B6" w:rsidR="007E07D7">
              <w:rPr>
                <w:rStyle w:val="Hyperlink"/>
                <w:noProof/>
              </w:rPr>
              <w:t>CESA Proposal</w:t>
            </w:r>
            <w:r w:rsidR="007E07D7">
              <w:rPr>
                <w:noProof/>
                <w:webHidden/>
              </w:rPr>
              <w:tab/>
            </w:r>
            <w:r w:rsidR="007E07D7">
              <w:rPr>
                <w:noProof/>
                <w:webHidden/>
              </w:rPr>
              <w:fldChar w:fldCharType="begin"/>
            </w:r>
            <w:r w:rsidR="007E07D7">
              <w:rPr>
                <w:noProof/>
                <w:webHidden/>
              </w:rPr>
              <w:instrText xml:space="preserve"> PAGEREF _Toc121854374 \h </w:instrText>
            </w:r>
            <w:r w:rsidR="007E07D7">
              <w:rPr>
                <w:noProof/>
                <w:webHidden/>
              </w:rPr>
            </w:r>
            <w:r w:rsidR="007E07D7">
              <w:rPr>
                <w:noProof/>
                <w:webHidden/>
              </w:rPr>
              <w:fldChar w:fldCharType="separate"/>
            </w:r>
            <w:r w:rsidR="007E07D7">
              <w:rPr>
                <w:noProof/>
                <w:webHidden/>
              </w:rPr>
              <w:t>23</w:t>
            </w:r>
            <w:r w:rsidR="007E07D7">
              <w:rPr>
                <w:noProof/>
                <w:webHidden/>
              </w:rPr>
              <w:fldChar w:fldCharType="end"/>
            </w:r>
          </w:hyperlink>
        </w:p>
        <w:p w:rsidR="007E07D7" w:rsidRDefault="00000000" w14:paraId="060AC243" w14:textId="08FC1486">
          <w:pPr>
            <w:pStyle w:val="TOC2"/>
            <w:tabs>
              <w:tab w:val="left" w:pos="1123"/>
              <w:tab w:val="right" w:leader="dot" w:pos="9350"/>
            </w:tabs>
            <w:rPr>
              <w:rFonts w:asciiTheme="minorHAnsi" w:hAnsiTheme="minorHAnsi" w:cstheme="minorBidi"/>
              <w:noProof/>
              <w:sz w:val="22"/>
            </w:rPr>
          </w:pPr>
          <w:hyperlink w:history="1" w:anchor="_Toc121854375">
            <w:r w:rsidRPr="00A545B6" w:rsidR="007E07D7">
              <w:rPr>
                <w:rStyle w:val="Hyperlink"/>
                <w:noProof/>
              </w:rPr>
              <w:t>6.6.</w:t>
            </w:r>
            <w:r w:rsidR="007E07D7">
              <w:rPr>
                <w:rFonts w:asciiTheme="minorHAnsi" w:hAnsiTheme="minorHAnsi" w:cstheme="minorBidi"/>
                <w:noProof/>
                <w:sz w:val="22"/>
              </w:rPr>
              <w:tab/>
            </w:r>
            <w:r w:rsidRPr="00A545B6" w:rsidR="007E07D7">
              <w:rPr>
                <w:rStyle w:val="Hyperlink"/>
                <w:noProof/>
              </w:rPr>
              <w:t>CalWEA Proposal</w:t>
            </w:r>
            <w:r w:rsidR="007E07D7">
              <w:rPr>
                <w:noProof/>
                <w:webHidden/>
              </w:rPr>
              <w:tab/>
            </w:r>
            <w:r w:rsidR="007E07D7">
              <w:rPr>
                <w:noProof/>
                <w:webHidden/>
              </w:rPr>
              <w:fldChar w:fldCharType="begin"/>
            </w:r>
            <w:r w:rsidR="007E07D7">
              <w:rPr>
                <w:noProof/>
                <w:webHidden/>
              </w:rPr>
              <w:instrText xml:space="preserve"> PAGEREF _Toc121854375 \h </w:instrText>
            </w:r>
            <w:r w:rsidR="007E07D7">
              <w:rPr>
                <w:noProof/>
                <w:webHidden/>
              </w:rPr>
            </w:r>
            <w:r w:rsidR="007E07D7">
              <w:rPr>
                <w:noProof/>
                <w:webHidden/>
              </w:rPr>
              <w:fldChar w:fldCharType="separate"/>
            </w:r>
            <w:r w:rsidR="007E07D7">
              <w:rPr>
                <w:noProof/>
                <w:webHidden/>
              </w:rPr>
              <w:t>24</w:t>
            </w:r>
            <w:r w:rsidR="007E07D7">
              <w:rPr>
                <w:noProof/>
                <w:webHidden/>
              </w:rPr>
              <w:fldChar w:fldCharType="end"/>
            </w:r>
          </w:hyperlink>
        </w:p>
        <w:p w:rsidR="007E07D7" w:rsidRDefault="00000000" w14:paraId="65CB326B" w14:textId="72CAE861">
          <w:pPr>
            <w:pStyle w:val="TOC2"/>
            <w:tabs>
              <w:tab w:val="left" w:pos="1123"/>
              <w:tab w:val="right" w:leader="dot" w:pos="9350"/>
            </w:tabs>
            <w:rPr>
              <w:rFonts w:asciiTheme="minorHAnsi" w:hAnsiTheme="minorHAnsi" w:cstheme="minorBidi"/>
              <w:noProof/>
              <w:sz w:val="22"/>
            </w:rPr>
          </w:pPr>
          <w:hyperlink w:history="1" w:anchor="_Toc121854376">
            <w:r w:rsidRPr="00A545B6" w:rsidR="007E07D7">
              <w:rPr>
                <w:rStyle w:val="Hyperlink"/>
                <w:noProof/>
              </w:rPr>
              <w:t>6.7.</w:t>
            </w:r>
            <w:r w:rsidR="007E07D7">
              <w:rPr>
                <w:rFonts w:asciiTheme="minorHAnsi" w:hAnsiTheme="minorHAnsi" w:cstheme="minorBidi"/>
                <w:noProof/>
                <w:sz w:val="22"/>
              </w:rPr>
              <w:tab/>
            </w:r>
            <w:r w:rsidRPr="00A545B6" w:rsidR="007E07D7">
              <w:rPr>
                <w:rStyle w:val="Hyperlink"/>
                <w:noProof/>
              </w:rPr>
              <w:t>Clean Coalition Proposal</w:t>
            </w:r>
            <w:r w:rsidR="007E07D7">
              <w:rPr>
                <w:noProof/>
                <w:webHidden/>
              </w:rPr>
              <w:tab/>
            </w:r>
            <w:r w:rsidR="007E07D7">
              <w:rPr>
                <w:noProof/>
                <w:webHidden/>
              </w:rPr>
              <w:fldChar w:fldCharType="begin"/>
            </w:r>
            <w:r w:rsidR="007E07D7">
              <w:rPr>
                <w:noProof/>
                <w:webHidden/>
              </w:rPr>
              <w:instrText xml:space="preserve"> PAGEREF _Toc121854376 \h </w:instrText>
            </w:r>
            <w:r w:rsidR="007E07D7">
              <w:rPr>
                <w:noProof/>
                <w:webHidden/>
              </w:rPr>
            </w:r>
            <w:r w:rsidR="007E07D7">
              <w:rPr>
                <w:noProof/>
                <w:webHidden/>
              </w:rPr>
              <w:fldChar w:fldCharType="separate"/>
            </w:r>
            <w:r w:rsidR="007E07D7">
              <w:rPr>
                <w:noProof/>
                <w:webHidden/>
              </w:rPr>
              <w:t>24</w:t>
            </w:r>
            <w:r w:rsidR="007E07D7">
              <w:rPr>
                <w:noProof/>
                <w:webHidden/>
              </w:rPr>
              <w:fldChar w:fldCharType="end"/>
            </w:r>
          </w:hyperlink>
        </w:p>
        <w:p w:rsidR="007E07D7" w:rsidRDefault="00000000" w14:paraId="3F5A27E9" w14:textId="4E79E6D3">
          <w:pPr>
            <w:pStyle w:val="TOC2"/>
            <w:tabs>
              <w:tab w:val="left" w:pos="1123"/>
              <w:tab w:val="right" w:leader="dot" w:pos="9350"/>
            </w:tabs>
            <w:rPr>
              <w:rFonts w:asciiTheme="minorHAnsi" w:hAnsiTheme="minorHAnsi" w:cstheme="minorBidi"/>
              <w:noProof/>
              <w:sz w:val="22"/>
            </w:rPr>
          </w:pPr>
          <w:hyperlink w:history="1" w:anchor="_Toc121854377">
            <w:r w:rsidRPr="00A545B6" w:rsidR="007E07D7">
              <w:rPr>
                <w:rStyle w:val="Hyperlink"/>
                <w:noProof/>
              </w:rPr>
              <w:t>6.8.</w:t>
            </w:r>
            <w:r w:rsidR="007E07D7">
              <w:rPr>
                <w:rFonts w:asciiTheme="minorHAnsi" w:hAnsiTheme="minorHAnsi" w:cstheme="minorBidi"/>
                <w:noProof/>
                <w:sz w:val="22"/>
              </w:rPr>
              <w:tab/>
            </w:r>
            <w:r w:rsidRPr="00A545B6" w:rsidR="007E07D7">
              <w:rPr>
                <w:rStyle w:val="Hyperlink"/>
                <w:noProof/>
              </w:rPr>
              <w:t>Foundation Windpower Recommendations</w:t>
            </w:r>
            <w:r w:rsidR="007E07D7">
              <w:rPr>
                <w:noProof/>
                <w:webHidden/>
              </w:rPr>
              <w:tab/>
            </w:r>
            <w:r w:rsidR="007E07D7">
              <w:rPr>
                <w:noProof/>
                <w:webHidden/>
              </w:rPr>
              <w:fldChar w:fldCharType="begin"/>
            </w:r>
            <w:r w:rsidR="007E07D7">
              <w:rPr>
                <w:noProof/>
                <w:webHidden/>
              </w:rPr>
              <w:instrText xml:space="preserve"> PAGEREF _Toc121854377 \h </w:instrText>
            </w:r>
            <w:r w:rsidR="007E07D7">
              <w:rPr>
                <w:noProof/>
                <w:webHidden/>
              </w:rPr>
            </w:r>
            <w:r w:rsidR="007E07D7">
              <w:rPr>
                <w:noProof/>
                <w:webHidden/>
              </w:rPr>
              <w:fldChar w:fldCharType="separate"/>
            </w:r>
            <w:r w:rsidR="007E07D7">
              <w:rPr>
                <w:noProof/>
                <w:webHidden/>
              </w:rPr>
              <w:t>25</w:t>
            </w:r>
            <w:r w:rsidR="007E07D7">
              <w:rPr>
                <w:noProof/>
                <w:webHidden/>
              </w:rPr>
              <w:fldChar w:fldCharType="end"/>
            </w:r>
          </w:hyperlink>
        </w:p>
        <w:p w:rsidR="007E07D7" w:rsidRDefault="00000000" w14:paraId="00B9E4D9" w14:textId="620187B9">
          <w:pPr>
            <w:pStyle w:val="TOC2"/>
            <w:tabs>
              <w:tab w:val="left" w:pos="1123"/>
              <w:tab w:val="right" w:leader="dot" w:pos="9350"/>
            </w:tabs>
            <w:rPr>
              <w:rFonts w:asciiTheme="minorHAnsi" w:hAnsiTheme="minorHAnsi" w:cstheme="minorBidi"/>
              <w:noProof/>
              <w:sz w:val="22"/>
            </w:rPr>
          </w:pPr>
          <w:hyperlink w:history="1" w:anchor="_Toc121854378">
            <w:r w:rsidRPr="00A545B6" w:rsidR="007E07D7">
              <w:rPr>
                <w:rStyle w:val="Hyperlink"/>
                <w:noProof/>
              </w:rPr>
              <w:t>6.9.</w:t>
            </w:r>
            <w:r w:rsidR="007E07D7">
              <w:rPr>
                <w:rFonts w:asciiTheme="minorHAnsi" w:hAnsiTheme="minorHAnsi" w:cstheme="minorBidi"/>
                <w:noProof/>
                <w:sz w:val="22"/>
              </w:rPr>
              <w:tab/>
            </w:r>
            <w:r w:rsidRPr="00A545B6" w:rsidR="007E07D7">
              <w:rPr>
                <w:rStyle w:val="Hyperlink"/>
                <w:noProof/>
              </w:rPr>
              <w:t>GRID Alternatives/Vote Solar/ Sierra Club Proposal</w:t>
            </w:r>
            <w:r w:rsidR="007E07D7">
              <w:rPr>
                <w:noProof/>
                <w:webHidden/>
              </w:rPr>
              <w:tab/>
            </w:r>
            <w:r w:rsidR="007E07D7">
              <w:rPr>
                <w:noProof/>
                <w:webHidden/>
              </w:rPr>
              <w:fldChar w:fldCharType="begin"/>
            </w:r>
            <w:r w:rsidR="007E07D7">
              <w:rPr>
                <w:noProof/>
                <w:webHidden/>
              </w:rPr>
              <w:instrText xml:space="preserve"> PAGEREF _Toc121854378 \h </w:instrText>
            </w:r>
            <w:r w:rsidR="007E07D7">
              <w:rPr>
                <w:noProof/>
                <w:webHidden/>
              </w:rPr>
            </w:r>
            <w:r w:rsidR="007E07D7">
              <w:rPr>
                <w:noProof/>
                <w:webHidden/>
              </w:rPr>
              <w:fldChar w:fldCharType="separate"/>
            </w:r>
            <w:r w:rsidR="007E07D7">
              <w:rPr>
                <w:noProof/>
                <w:webHidden/>
              </w:rPr>
              <w:t>25</w:t>
            </w:r>
            <w:r w:rsidR="007E07D7">
              <w:rPr>
                <w:noProof/>
                <w:webHidden/>
              </w:rPr>
              <w:fldChar w:fldCharType="end"/>
            </w:r>
          </w:hyperlink>
        </w:p>
        <w:p w:rsidR="007E07D7" w:rsidRDefault="00000000" w14:paraId="768D0C14" w14:textId="24067707">
          <w:pPr>
            <w:pStyle w:val="TOC2"/>
            <w:tabs>
              <w:tab w:val="left" w:pos="1944"/>
              <w:tab w:val="right" w:leader="dot" w:pos="9350"/>
            </w:tabs>
            <w:rPr>
              <w:rFonts w:asciiTheme="minorHAnsi" w:hAnsiTheme="minorHAnsi" w:cstheme="minorBidi"/>
              <w:noProof/>
              <w:sz w:val="22"/>
            </w:rPr>
          </w:pPr>
          <w:hyperlink w:history="1" w:anchor="_Toc121854379">
            <w:r w:rsidRPr="00A545B6" w:rsidR="007E07D7">
              <w:rPr>
                <w:rStyle w:val="Hyperlink"/>
                <w:noProof/>
              </w:rPr>
              <w:t>6.10.</w:t>
            </w:r>
            <w:r w:rsidR="007E07D7">
              <w:rPr>
                <w:rFonts w:asciiTheme="minorHAnsi" w:hAnsiTheme="minorHAnsi" w:cstheme="minorBidi"/>
                <w:noProof/>
                <w:sz w:val="22"/>
              </w:rPr>
              <w:tab/>
            </w:r>
            <w:r w:rsidRPr="00A545B6" w:rsidR="007E07D7">
              <w:rPr>
                <w:rStyle w:val="Hyperlink"/>
                <w:noProof/>
              </w:rPr>
              <w:t>Ivy Energy Multifamily VNEM Proposal</w:t>
            </w:r>
            <w:r w:rsidR="007E07D7">
              <w:rPr>
                <w:noProof/>
                <w:webHidden/>
              </w:rPr>
              <w:tab/>
            </w:r>
            <w:r w:rsidR="007E07D7">
              <w:rPr>
                <w:noProof/>
                <w:webHidden/>
              </w:rPr>
              <w:fldChar w:fldCharType="begin"/>
            </w:r>
            <w:r w:rsidR="007E07D7">
              <w:rPr>
                <w:noProof/>
                <w:webHidden/>
              </w:rPr>
              <w:instrText xml:space="preserve"> PAGEREF _Toc121854379 \h </w:instrText>
            </w:r>
            <w:r w:rsidR="007E07D7">
              <w:rPr>
                <w:noProof/>
                <w:webHidden/>
              </w:rPr>
            </w:r>
            <w:r w:rsidR="007E07D7">
              <w:rPr>
                <w:noProof/>
                <w:webHidden/>
              </w:rPr>
              <w:fldChar w:fldCharType="separate"/>
            </w:r>
            <w:r w:rsidR="007E07D7">
              <w:rPr>
                <w:noProof/>
                <w:webHidden/>
              </w:rPr>
              <w:t>26</w:t>
            </w:r>
            <w:r w:rsidR="007E07D7">
              <w:rPr>
                <w:noProof/>
                <w:webHidden/>
              </w:rPr>
              <w:fldChar w:fldCharType="end"/>
            </w:r>
          </w:hyperlink>
        </w:p>
        <w:p w:rsidR="007E07D7" w:rsidRDefault="00000000" w14:paraId="1C1564C3" w14:textId="1A0DD83C">
          <w:pPr>
            <w:pStyle w:val="TOC2"/>
            <w:tabs>
              <w:tab w:val="left" w:pos="1944"/>
              <w:tab w:val="right" w:leader="dot" w:pos="9350"/>
            </w:tabs>
            <w:rPr>
              <w:rFonts w:asciiTheme="minorHAnsi" w:hAnsiTheme="minorHAnsi" w:cstheme="minorBidi"/>
              <w:noProof/>
              <w:sz w:val="22"/>
            </w:rPr>
          </w:pPr>
          <w:hyperlink w:history="1" w:anchor="_Toc121854380">
            <w:r w:rsidRPr="00A545B6" w:rsidR="007E07D7">
              <w:rPr>
                <w:rStyle w:val="Hyperlink"/>
                <w:noProof/>
              </w:rPr>
              <w:t>6.11.</w:t>
            </w:r>
            <w:r w:rsidR="007E07D7">
              <w:rPr>
                <w:rFonts w:asciiTheme="minorHAnsi" w:hAnsiTheme="minorHAnsi" w:cstheme="minorBidi"/>
                <w:noProof/>
                <w:sz w:val="22"/>
              </w:rPr>
              <w:tab/>
            </w:r>
            <w:r w:rsidRPr="00A545B6" w:rsidR="007E07D7">
              <w:rPr>
                <w:rStyle w:val="Hyperlink"/>
                <w:noProof/>
              </w:rPr>
              <w:t>Joint Utilities Proposal</w:t>
            </w:r>
            <w:r w:rsidR="007E07D7">
              <w:rPr>
                <w:noProof/>
                <w:webHidden/>
              </w:rPr>
              <w:tab/>
            </w:r>
            <w:r w:rsidR="007E07D7">
              <w:rPr>
                <w:noProof/>
                <w:webHidden/>
              </w:rPr>
              <w:fldChar w:fldCharType="begin"/>
            </w:r>
            <w:r w:rsidR="007E07D7">
              <w:rPr>
                <w:noProof/>
                <w:webHidden/>
              </w:rPr>
              <w:instrText xml:space="preserve"> PAGEREF _Toc121854380 \h </w:instrText>
            </w:r>
            <w:r w:rsidR="007E07D7">
              <w:rPr>
                <w:noProof/>
                <w:webHidden/>
              </w:rPr>
            </w:r>
            <w:r w:rsidR="007E07D7">
              <w:rPr>
                <w:noProof/>
                <w:webHidden/>
              </w:rPr>
              <w:fldChar w:fldCharType="separate"/>
            </w:r>
            <w:r w:rsidR="007E07D7">
              <w:rPr>
                <w:noProof/>
                <w:webHidden/>
              </w:rPr>
              <w:t>27</w:t>
            </w:r>
            <w:r w:rsidR="007E07D7">
              <w:rPr>
                <w:noProof/>
                <w:webHidden/>
              </w:rPr>
              <w:fldChar w:fldCharType="end"/>
            </w:r>
          </w:hyperlink>
        </w:p>
        <w:p w:rsidR="007E07D7" w:rsidRDefault="00000000" w14:paraId="7BC757D7" w14:textId="1BE386E7">
          <w:pPr>
            <w:pStyle w:val="TOC2"/>
            <w:tabs>
              <w:tab w:val="left" w:pos="1944"/>
              <w:tab w:val="right" w:leader="dot" w:pos="9350"/>
            </w:tabs>
            <w:rPr>
              <w:rFonts w:asciiTheme="minorHAnsi" w:hAnsiTheme="minorHAnsi" w:cstheme="minorBidi"/>
              <w:noProof/>
              <w:sz w:val="22"/>
            </w:rPr>
          </w:pPr>
          <w:hyperlink w:history="1" w:anchor="_Toc121854381">
            <w:r w:rsidRPr="00A545B6" w:rsidR="007E07D7">
              <w:rPr>
                <w:rStyle w:val="Hyperlink"/>
                <w:noProof/>
              </w:rPr>
              <w:t>6.12.</w:t>
            </w:r>
            <w:r w:rsidR="007E07D7">
              <w:rPr>
                <w:rFonts w:asciiTheme="minorHAnsi" w:hAnsiTheme="minorHAnsi" w:cstheme="minorBidi"/>
                <w:noProof/>
                <w:sz w:val="22"/>
              </w:rPr>
              <w:tab/>
            </w:r>
            <w:r w:rsidRPr="00A545B6" w:rsidR="007E07D7">
              <w:rPr>
                <w:rStyle w:val="Hyperlink"/>
                <w:noProof/>
              </w:rPr>
              <w:t>NRDC Proposal</w:t>
            </w:r>
            <w:r w:rsidR="007E07D7">
              <w:rPr>
                <w:noProof/>
                <w:webHidden/>
              </w:rPr>
              <w:tab/>
            </w:r>
            <w:r w:rsidR="007E07D7">
              <w:rPr>
                <w:noProof/>
                <w:webHidden/>
              </w:rPr>
              <w:fldChar w:fldCharType="begin"/>
            </w:r>
            <w:r w:rsidR="007E07D7">
              <w:rPr>
                <w:noProof/>
                <w:webHidden/>
              </w:rPr>
              <w:instrText xml:space="preserve"> PAGEREF _Toc121854381 \h </w:instrText>
            </w:r>
            <w:r w:rsidR="007E07D7">
              <w:rPr>
                <w:noProof/>
                <w:webHidden/>
              </w:rPr>
            </w:r>
            <w:r w:rsidR="007E07D7">
              <w:rPr>
                <w:noProof/>
                <w:webHidden/>
              </w:rPr>
              <w:fldChar w:fldCharType="separate"/>
            </w:r>
            <w:r w:rsidR="007E07D7">
              <w:rPr>
                <w:noProof/>
                <w:webHidden/>
              </w:rPr>
              <w:t>29</w:t>
            </w:r>
            <w:r w:rsidR="007E07D7">
              <w:rPr>
                <w:noProof/>
                <w:webHidden/>
              </w:rPr>
              <w:fldChar w:fldCharType="end"/>
            </w:r>
          </w:hyperlink>
        </w:p>
        <w:p w:rsidR="007E07D7" w:rsidRDefault="00000000" w14:paraId="2981CC7E" w14:textId="41B66556">
          <w:pPr>
            <w:pStyle w:val="TOC2"/>
            <w:tabs>
              <w:tab w:val="left" w:pos="1944"/>
              <w:tab w:val="right" w:leader="dot" w:pos="9350"/>
            </w:tabs>
            <w:rPr>
              <w:rFonts w:asciiTheme="minorHAnsi" w:hAnsiTheme="minorHAnsi" w:cstheme="minorBidi"/>
              <w:noProof/>
              <w:sz w:val="22"/>
            </w:rPr>
          </w:pPr>
          <w:hyperlink w:history="1" w:anchor="_Toc121854382">
            <w:r w:rsidRPr="00A545B6" w:rsidR="007E07D7">
              <w:rPr>
                <w:rStyle w:val="Hyperlink"/>
                <w:noProof/>
              </w:rPr>
              <w:t>6.13.</w:t>
            </w:r>
            <w:r w:rsidR="007E07D7">
              <w:rPr>
                <w:rFonts w:asciiTheme="minorHAnsi" w:hAnsiTheme="minorHAnsi" w:cstheme="minorBidi"/>
                <w:noProof/>
                <w:sz w:val="22"/>
              </w:rPr>
              <w:tab/>
            </w:r>
            <w:r w:rsidRPr="00A545B6" w:rsidR="007E07D7">
              <w:rPr>
                <w:rStyle w:val="Hyperlink"/>
                <w:noProof/>
              </w:rPr>
              <w:t>PCF Recommendations</w:t>
            </w:r>
            <w:r w:rsidR="007E07D7">
              <w:rPr>
                <w:noProof/>
                <w:webHidden/>
              </w:rPr>
              <w:tab/>
            </w:r>
            <w:r w:rsidR="007E07D7">
              <w:rPr>
                <w:noProof/>
                <w:webHidden/>
              </w:rPr>
              <w:fldChar w:fldCharType="begin"/>
            </w:r>
            <w:r w:rsidR="007E07D7">
              <w:rPr>
                <w:noProof/>
                <w:webHidden/>
              </w:rPr>
              <w:instrText xml:space="preserve"> PAGEREF _Toc121854382 \h </w:instrText>
            </w:r>
            <w:r w:rsidR="007E07D7">
              <w:rPr>
                <w:noProof/>
                <w:webHidden/>
              </w:rPr>
            </w:r>
            <w:r w:rsidR="007E07D7">
              <w:rPr>
                <w:noProof/>
                <w:webHidden/>
              </w:rPr>
              <w:fldChar w:fldCharType="separate"/>
            </w:r>
            <w:r w:rsidR="007E07D7">
              <w:rPr>
                <w:noProof/>
                <w:webHidden/>
              </w:rPr>
              <w:t>30</w:t>
            </w:r>
            <w:r w:rsidR="007E07D7">
              <w:rPr>
                <w:noProof/>
                <w:webHidden/>
              </w:rPr>
              <w:fldChar w:fldCharType="end"/>
            </w:r>
          </w:hyperlink>
        </w:p>
        <w:p w:rsidR="007E07D7" w:rsidRDefault="00000000" w14:paraId="738EBB23" w14:textId="0C825983">
          <w:pPr>
            <w:pStyle w:val="TOC2"/>
            <w:tabs>
              <w:tab w:val="left" w:pos="1944"/>
              <w:tab w:val="right" w:leader="dot" w:pos="9350"/>
            </w:tabs>
            <w:rPr>
              <w:rFonts w:asciiTheme="minorHAnsi" w:hAnsiTheme="minorHAnsi" w:cstheme="minorBidi"/>
              <w:noProof/>
              <w:sz w:val="22"/>
            </w:rPr>
          </w:pPr>
          <w:hyperlink w:history="1" w:anchor="_Toc121854383">
            <w:r w:rsidRPr="00A545B6" w:rsidR="007E07D7">
              <w:rPr>
                <w:rStyle w:val="Hyperlink"/>
                <w:noProof/>
              </w:rPr>
              <w:t>6.14.</w:t>
            </w:r>
            <w:r w:rsidR="007E07D7">
              <w:rPr>
                <w:rFonts w:asciiTheme="minorHAnsi" w:hAnsiTheme="minorHAnsi" w:cstheme="minorBidi"/>
                <w:noProof/>
                <w:sz w:val="22"/>
              </w:rPr>
              <w:tab/>
            </w:r>
            <w:r w:rsidRPr="00A545B6" w:rsidR="007E07D7">
              <w:rPr>
                <w:rStyle w:val="Hyperlink"/>
                <w:noProof/>
              </w:rPr>
              <w:t>Cal Advocates Proposal</w:t>
            </w:r>
            <w:r w:rsidR="007E07D7">
              <w:rPr>
                <w:noProof/>
                <w:webHidden/>
              </w:rPr>
              <w:tab/>
            </w:r>
            <w:r w:rsidR="007E07D7">
              <w:rPr>
                <w:noProof/>
                <w:webHidden/>
              </w:rPr>
              <w:fldChar w:fldCharType="begin"/>
            </w:r>
            <w:r w:rsidR="007E07D7">
              <w:rPr>
                <w:noProof/>
                <w:webHidden/>
              </w:rPr>
              <w:instrText xml:space="preserve"> PAGEREF _Toc121854383 \h </w:instrText>
            </w:r>
            <w:r w:rsidR="007E07D7">
              <w:rPr>
                <w:noProof/>
                <w:webHidden/>
              </w:rPr>
            </w:r>
            <w:r w:rsidR="007E07D7">
              <w:rPr>
                <w:noProof/>
                <w:webHidden/>
              </w:rPr>
              <w:fldChar w:fldCharType="separate"/>
            </w:r>
            <w:r w:rsidR="007E07D7">
              <w:rPr>
                <w:noProof/>
                <w:webHidden/>
              </w:rPr>
              <w:t>31</w:t>
            </w:r>
            <w:r w:rsidR="007E07D7">
              <w:rPr>
                <w:noProof/>
                <w:webHidden/>
              </w:rPr>
              <w:fldChar w:fldCharType="end"/>
            </w:r>
          </w:hyperlink>
        </w:p>
        <w:p w:rsidR="007E07D7" w:rsidRDefault="00000000" w14:paraId="45AE24DA" w14:textId="3E512E0A">
          <w:pPr>
            <w:pStyle w:val="TOC2"/>
            <w:tabs>
              <w:tab w:val="left" w:pos="1944"/>
              <w:tab w:val="right" w:leader="dot" w:pos="9350"/>
            </w:tabs>
            <w:rPr>
              <w:rFonts w:asciiTheme="minorHAnsi" w:hAnsiTheme="minorHAnsi" w:cstheme="minorBidi"/>
              <w:noProof/>
              <w:sz w:val="22"/>
            </w:rPr>
          </w:pPr>
          <w:hyperlink w:history="1" w:anchor="_Toc121854384">
            <w:r w:rsidRPr="00A545B6" w:rsidR="007E07D7">
              <w:rPr>
                <w:rStyle w:val="Hyperlink"/>
                <w:noProof/>
              </w:rPr>
              <w:t>6.15.</w:t>
            </w:r>
            <w:r w:rsidR="007E07D7">
              <w:rPr>
                <w:rFonts w:asciiTheme="minorHAnsi" w:hAnsiTheme="minorHAnsi" w:cstheme="minorBidi"/>
                <w:noProof/>
                <w:sz w:val="22"/>
              </w:rPr>
              <w:tab/>
            </w:r>
            <w:r w:rsidRPr="00A545B6" w:rsidR="007E07D7">
              <w:rPr>
                <w:rStyle w:val="Hyperlink"/>
                <w:noProof/>
              </w:rPr>
              <w:t>Sierra Club Proposal</w:t>
            </w:r>
            <w:r w:rsidR="007E07D7">
              <w:rPr>
                <w:noProof/>
                <w:webHidden/>
              </w:rPr>
              <w:tab/>
            </w:r>
            <w:r w:rsidR="007E07D7">
              <w:rPr>
                <w:noProof/>
                <w:webHidden/>
              </w:rPr>
              <w:fldChar w:fldCharType="begin"/>
            </w:r>
            <w:r w:rsidR="007E07D7">
              <w:rPr>
                <w:noProof/>
                <w:webHidden/>
              </w:rPr>
              <w:instrText xml:space="preserve"> PAGEREF _Toc121854384 \h </w:instrText>
            </w:r>
            <w:r w:rsidR="007E07D7">
              <w:rPr>
                <w:noProof/>
                <w:webHidden/>
              </w:rPr>
            </w:r>
            <w:r w:rsidR="007E07D7">
              <w:rPr>
                <w:noProof/>
                <w:webHidden/>
              </w:rPr>
              <w:fldChar w:fldCharType="separate"/>
            </w:r>
            <w:r w:rsidR="007E07D7">
              <w:rPr>
                <w:noProof/>
                <w:webHidden/>
              </w:rPr>
              <w:t>33</w:t>
            </w:r>
            <w:r w:rsidR="007E07D7">
              <w:rPr>
                <w:noProof/>
                <w:webHidden/>
              </w:rPr>
              <w:fldChar w:fldCharType="end"/>
            </w:r>
          </w:hyperlink>
        </w:p>
        <w:p w:rsidR="007E07D7" w:rsidRDefault="00000000" w14:paraId="44C891D7" w14:textId="10EE9256">
          <w:pPr>
            <w:pStyle w:val="TOC2"/>
            <w:tabs>
              <w:tab w:val="left" w:pos="1944"/>
              <w:tab w:val="right" w:leader="dot" w:pos="9350"/>
            </w:tabs>
            <w:rPr>
              <w:rFonts w:asciiTheme="minorHAnsi" w:hAnsiTheme="minorHAnsi" w:cstheme="minorBidi"/>
              <w:noProof/>
              <w:sz w:val="22"/>
            </w:rPr>
          </w:pPr>
          <w:hyperlink w:history="1" w:anchor="_Toc121854385">
            <w:r w:rsidRPr="00A545B6" w:rsidR="007E07D7">
              <w:rPr>
                <w:rStyle w:val="Hyperlink"/>
                <w:noProof/>
              </w:rPr>
              <w:t>6.16.</w:t>
            </w:r>
            <w:r w:rsidR="007E07D7">
              <w:rPr>
                <w:rFonts w:asciiTheme="minorHAnsi" w:hAnsiTheme="minorHAnsi" w:cstheme="minorBidi"/>
                <w:noProof/>
                <w:sz w:val="22"/>
              </w:rPr>
              <w:tab/>
            </w:r>
            <w:r w:rsidRPr="00A545B6" w:rsidR="007E07D7">
              <w:rPr>
                <w:rStyle w:val="Hyperlink"/>
                <w:noProof/>
              </w:rPr>
              <w:t>SBUA Proposal</w:t>
            </w:r>
            <w:r w:rsidR="007E07D7">
              <w:rPr>
                <w:noProof/>
                <w:webHidden/>
              </w:rPr>
              <w:tab/>
            </w:r>
            <w:r w:rsidR="007E07D7">
              <w:rPr>
                <w:noProof/>
                <w:webHidden/>
              </w:rPr>
              <w:fldChar w:fldCharType="begin"/>
            </w:r>
            <w:r w:rsidR="007E07D7">
              <w:rPr>
                <w:noProof/>
                <w:webHidden/>
              </w:rPr>
              <w:instrText xml:space="preserve"> PAGEREF _Toc121854385 \h </w:instrText>
            </w:r>
            <w:r w:rsidR="007E07D7">
              <w:rPr>
                <w:noProof/>
                <w:webHidden/>
              </w:rPr>
            </w:r>
            <w:r w:rsidR="007E07D7">
              <w:rPr>
                <w:noProof/>
                <w:webHidden/>
              </w:rPr>
              <w:fldChar w:fldCharType="separate"/>
            </w:r>
            <w:r w:rsidR="007E07D7">
              <w:rPr>
                <w:noProof/>
                <w:webHidden/>
              </w:rPr>
              <w:t>34</w:t>
            </w:r>
            <w:r w:rsidR="007E07D7">
              <w:rPr>
                <w:noProof/>
                <w:webHidden/>
              </w:rPr>
              <w:fldChar w:fldCharType="end"/>
            </w:r>
          </w:hyperlink>
        </w:p>
        <w:p w:rsidR="007E07D7" w:rsidRDefault="00000000" w14:paraId="5D8FCC5B" w14:textId="71752C91">
          <w:pPr>
            <w:pStyle w:val="TOC2"/>
            <w:tabs>
              <w:tab w:val="left" w:pos="1944"/>
              <w:tab w:val="right" w:leader="dot" w:pos="9350"/>
            </w:tabs>
            <w:rPr>
              <w:rFonts w:asciiTheme="minorHAnsi" w:hAnsiTheme="minorHAnsi" w:cstheme="minorBidi"/>
              <w:noProof/>
              <w:sz w:val="22"/>
            </w:rPr>
          </w:pPr>
          <w:hyperlink w:history="1" w:anchor="_Toc121854386">
            <w:r w:rsidRPr="00A545B6" w:rsidR="007E07D7">
              <w:rPr>
                <w:rStyle w:val="Hyperlink"/>
                <w:noProof/>
              </w:rPr>
              <w:t>6.17.</w:t>
            </w:r>
            <w:r w:rsidR="007E07D7">
              <w:rPr>
                <w:rFonts w:asciiTheme="minorHAnsi" w:hAnsiTheme="minorHAnsi" w:cstheme="minorBidi"/>
                <w:noProof/>
                <w:sz w:val="22"/>
              </w:rPr>
              <w:tab/>
            </w:r>
            <w:r w:rsidRPr="00A545B6" w:rsidR="007E07D7">
              <w:rPr>
                <w:rStyle w:val="Hyperlink"/>
                <w:noProof/>
              </w:rPr>
              <w:t>SEIA/Vote Solar Proposal</w:t>
            </w:r>
            <w:r w:rsidR="007E07D7">
              <w:rPr>
                <w:noProof/>
                <w:webHidden/>
              </w:rPr>
              <w:tab/>
            </w:r>
            <w:r w:rsidR="007E07D7">
              <w:rPr>
                <w:noProof/>
                <w:webHidden/>
              </w:rPr>
              <w:fldChar w:fldCharType="begin"/>
            </w:r>
            <w:r w:rsidR="007E07D7">
              <w:rPr>
                <w:noProof/>
                <w:webHidden/>
              </w:rPr>
              <w:instrText xml:space="preserve"> PAGEREF _Toc121854386 \h </w:instrText>
            </w:r>
            <w:r w:rsidR="007E07D7">
              <w:rPr>
                <w:noProof/>
                <w:webHidden/>
              </w:rPr>
            </w:r>
            <w:r w:rsidR="007E07D7">
              <w:rPr>
                <w:noProof/>
                <w:webHidden/>
              </w:rPr>
              <w:fldChar w:fldCharType="separate"/>
            </w:r>
            <w:r w:rsidR="007E07D7">
              <w:rPr>
                <w:noProof/>
                <w:webHidden/>
              </w:rPr>
              <w:t>35</w:t>
            </w:r>
            <w:r w:rsidR="007E07D7">
              <w:rPr>
                <w:noProof/>
                <w:webHidden/>
              </w:rPr>
              <w:fldChar w:fldCharType="end"/>
            </w:r>
          </w:hyperlink>
        </w:p>
        <w:p w:rsidR="007E07D7" w:rsidRDefault="00000000" w14:paraId="709FA46F" w14:textId="7BA3474F">
          <w:pPr>
            <w:pStyle w:val="TOC2"/>
            <w:tabs>
              <w:tab w:val="left" w:pos="1944"/>
              <w:tab w:val="right" w:leader="dot" w:pos="9350"/>
            </w:tabs>
            <w:rPr>
              <w:rFonts w:asciiTheme="minorHAnsi" w:hAnsiTheme="minorHAnsi" w:cstheme="minorBidi"/>
              <w:noProof/>
              <w:sz w:val="22"/>
            </w:rPr>
          </w:pPr>
          <w:hyperlink w:history="1" w:anchor="_Toc121854387">
            <w:r w:rsidRPr="00A545B6" w:rsidR="007E07D7">
              <w:rPr>
                <w:rStyle w:val="Hyperlink"/>
                <w:noProof/>
              </w:rPr>
              <w:t>6.18.</w:t>
            </w:r>
            <w:r w:rsidR="007E07D7">
              <w:rPr>
                <w:rFonts w:asciiTheme="minorHAnsi" w:hAnsiTheme="minorHAnsi" w:cstheme="minorBidi"/>
                <w:noProof/>
                <w:sz w:val="22"/>
              </w:rPr>
              <w:tab/>
            </w:r>
            <w:r w:rsidRPr="00A545B6" w:rsidR="007E07D7">
              <w:rPr>
                <w:rStyle w:val="Hyperlink"/>
                <w:noProof/>
              </w:rPr>
              <w:t>TURN Proposal</w:t>
            </w:r>
            <w:r w:rsidR="007E07D7">
              <w:rPr>
                <w:noProof/>
                <w:webHidden/>
              </w:rPr>
              <w:tab/>
            </w:r>
            <w:r w:rsidR="007E07D7">
              <w:rPr>
                <w:noProof/>
                <w:webHidden/>
              </w:rPr>
              <w:fldChar w:fldCharType="begin"/>
            </w:r>
            <w:r w:rsidR="007E07D7">
              <w:rPr>
                <w:noProof/>
                <w:webHidden/>
              </w:rPr>
              <w:instrText xml:space="preserve"> PAGEREF _Toc121854387 \h </w:instrText>
            </w:r>
            <w:r w:rsidR="007E07D7">
              <w:rPr>
                <w:noProof/>
                <w:webHidden/>
              </w:rPr>
            </w:r>
            <w:r w:rsidR="007E07D7">
              <w:rPr>
                <w:noProof/>
                <w:webHidden/>
              </w:rPr>
              <w:fldChar w:fldCharType="separate"/>
            </w:r>
            <w:r w:rsidR="007E07D7">
              <w:rPr>
                <w:noProof/>
                <w:webHidden/>
              </w:rPr>
              <w:t>36</w:t>
            </w:r>
            <w:r w:rsidR="007E07D7">
              <w:rPr>
                <w:noProof/>
                <w:webHidden/>
              </w:rPr>
              <w:fldChar w:fldCharType="end"/>
            </w:r>
          </w:hyperlink>
        </w:p>
        <w:p w:rsidR="007E07D7" w:rsidRDefault="00000000" w14:paraId="37742D50" w14:textId="11AA3458">
          <w:pPr>
            <w:pStyle w:val="TOC1"/>
            <w:tabs>
              <w:tab w:val="right" w:leader="dot" w:pos="9350"/>
            </w:tabs>
            <w:rPr>
              <w:rFonts w:asciiTheme="minorHAnsi" w:hAnsiTheme="minorHAnsi" w:cstheme="minorBidi"/>
              <w:noProof/>
              <w:sz w:val="22"/>
            </w:rPr>
          </w:pPr>
          <w:hyperlink w:history="1" w:anchor="_Toc121854388">
            <w:r w:rsidRPr="00A545B6" w:rsidR="007E07D7">
              <w:rPr>
                <w:rStyle w:val="Hyperlink"/>
                <w:noProof/>
              </w:rPr>
              <w:t>7.</w:t>
            </w:r>
            <w:r w:rsidR="007E07D7">
              <w:rPr>
                <w:rFonts w:asciiTheme="minorHAnsi" w:hAnsiTheme="minorHAnsi" w:cstheme="minorBidi"/>
                <w:noProof/>
                <w:sz w:val="22"/>
              </w:rPr>
              <w:tab/>
            </w:r>
            <w:r w:rsidRPr="00A545B6" w:rsidR="007E07D7">
              <w:rPr>
                <w:rStyle w:val="Hyperlink"/>
                <w:noProof/>
              </w:rPr>
              <w:t>Issues Before the Commission</w:t>
            </w:r>
            <w:r w:rsidR="007E07D7">
              <w:rPr>
                <w:noProof/>
                <w:webHidden/>
              </w:rPr>
              <w:tab/>
            </w:r>
            <w:r w:rsidR="007E07D7">
              <w:rPr>
                <w:noProof/>
                <w:webHidden/>
              </w:rPr>
              <w:fldChar w:fldCharType="begin"/>
            </w:r>
            <w:r w:rsidR="007E07D7">
              <w:rPr>
                <w:noProof/>
                <w:webHidden/>
              </w:rPr>
              <w:instrText xml:space="preserve"> PAGEREF _Toc121854388 \h </w:instrText>
            </w:r>
            <w:r w:rsidR="007E07D7">
              <w:rPr>
                <w:noProof/>
                <w:webHidden/>
              </w:rPr>
            </w:r>
            <w:r w:rsidR="007E07D7">
              <w:rPr>
                <w:noProof/>
                <w:webHidden/>
              </w:rPr>
              <w:fldChar w:fldCharType="separate"/>
            </w:r>
            <w:r w:rsidR="007E07D7">
              <w:rPr>
                <w:noProof/>
                <w:webHidden/>
              </w:rPr>
              <w:t>37</w:t>
            </w:r>
            <w:r w:rsidR="007E07D7">
              <w:rPr>
                <w:noProof/>
                <w:webHidden/>
              </w:rPr>
              <w:fldChar w:fldCharType="end"/>
            </w:r>
          </w:hyperlink>
        </w:p>
        <w:p w:rsidR="007E07D7" w:rsidRDefault="00000000" w14:paraId="7EFB1A9E" w14:textId="31C64171">
          <w:pPr>
            <w:pStyle w:val="TOC1"/>
            <w:tabs>
              <w:tab w:val="right" w:leader="dot" w:pos="9350"/>
            </w:tabs>
            <w:rPr>
              <w:rFonts w:asciiTheme="minorHAnsi" w:hAnsiTheme="minorHAnsi" w:cstheme="minorBidi"/>
              <w:noProof/>
              <w:sz w:val="22"/>
            </w:rPr>
          </w:pPr>
          <w:hyperlink w:history="1" w:anchor="_Toc121854389">
            <w:r w:rsidRPr="00A545B6" w:rsidR="007E07D7">
              <w:rPr>
                <w:rStyle w:val="Hyperlink"/>
                <w:noProof/>
              </w:rPr>
              <w:t>8.</w:t>
            </w:r>
            <w:r w:rsidR="007E07D7">
              <w:rPr>
                <w:rFonts w:asciiTheme="minorHAnsi" w:hAnsiTheme="minorHAnsi" w:cstheme="minorBidi"/>
                <w:noProof/>
                <w:sz w:val="22"/>
              </w:rPr>
              <w:tab/>
            </w:r>
            <w:r w:rsidRPr="00A545B6" w:rsidR="007E07D7">
              <w:rPr>
                <w:rStyle w:val="Hyperlink"/>
                <w:noProof/>
              </w:rPr>
              <w:t>Revising the Net Energy Metering Tariff</w:t>
            </w:r>
            <w:r w:rsidR="007E07D7">
              <w:rPr>
                <w:noProof/>
                <w:webHidden/>
              </w:rPr>
              <w:tab/>
            </w:r>
            <w:r w:rsidR="007E07D7">
              <w:rPr>
                <w:noProof/>
                <w:webHidden/>
              </w:rPr>
              <w:fldChar w:fldCharType="begin"/>
            </w:r>
            <w:r w:rsidR="007E07D7">
              <w:rPr>
                <w:noProof/>
                <w:webHidden/>
              </w:rPr>
              <w:instrText xml:space="preserve"> PAGEREF _Toc121854389 \h </w:instrText>
            </w:r>
            <w:r w:rsidR="007E07D7">
              <w:rPr>
                <w:noProof/>
                <w:webHidden/>
              </w:rPr>
            </w:r>
            <w:r w:rsidR="007E07D7">
              <w:rPr>
                <w:noProof/>
                <w:webHidden/>
              </w:rPr>
              <w:fldChar w:fldCharType="separate"/>
            </w:r>
            <w:r w:rsidR="007E07D7">
              <w:rPr>
                <w:noProof/>
                <w:webHidden/>
              </w:rPr>
              <w:t>38</w:t>
            </w:r>
            <w:r w:rsidR="007E07D7">
              <w:rPr>
                <w:noProof/>
                <w:webHidden/>
              </w:rPr>
              <w:fldChar w:fldCharType="end"/>
            </w:r>
          </w:hyperlink>
        </w:p>
        <w:p w:rsidR="007E07D7" w:rsidRDefault="00000000" w14:paraId="02392753" w14:textId="03F64628">
          <w:pPr>
            <w:pStyle w:val="TOC2"/>
            <w:tabs>
              <w:tab w:val="left" w:pos="1123"/>
              <w:tab w:val="right" w:leader="dot" w:pos="9350"/>
            </w:tabs>
            <w:rPr>
              <w:rFonts w:asciiTheme="minorHAnsi" w:hAnsiTheme="minorHAnsi" w:cstheme="minorBidi"/>
              <w:noProof/>
              <w:sz w:val="22"/>
            </w:rPr>
          </w:pPr>
          <w:hyperlink w:history="1" w:anchor="_Toc121854390">
            <w:r w:rsidRPr="00A545B6" w:rsidR="007E07D7">
              <w:rPr>
                <w:rStyle w:val="Hyperlink"/>
                <w:noProof/>
              </w:rPr>
              <w:t>8.1.</w:t>
            </w:r>
            <w:r w:rsidR="007E07D7">
              <w:rPr>
                <w:rFonts w:asciiTheme="minorHAnsi" w:hAnsiTheme="minorHAnsi" w:cstheme="minorBidi"/>
                <w:noProof/>
                <w:sz w:val="22"/>
              </w:rPr>
              <w:tab/>
            </w:r>
            <w:r w:rsidRPr="00A545B6" w:rsidR="007E07D7">
              <w:rPr>
                <w:rStyle w:val="Hyperlink"/>
                <w:noProof/>
              </w:rPr>
              <w:t>Reliance on the Lookback Study</w:t>
            </w:r>
            <w:r w:rsidR="007E07D7">
              <w:rPr>
                <w:noProof/>
                <w:webHidden/>
              </w:rPr>
              <w:tab/>
            </w:r>
            <w:r w:rsidR="007E07D7">
              <w:rPr>
                <w:noProof/>
                <w:webHidden/>
              </w:rPr>
              <w:fldChar w:fldCharType="begin"/>
            </w:r>
            <w:r w:rsidR="007E07D7">
              <w:rPr>
                <w:noProof/>
                <w:webHidden/>
              </w:rPr>
              <w:instrText xml:space="preserve"> PAGEREF _Toc121854390 \h </w:instrText>
            </w:r>
            <w:r w:rsidR="007E07D7">
              <w:rPr>
                <w:noProof/>
                <w:webHidden/>
              </w:rPr>
            </w:r>
            <w:r w:rsidR="007E07D7">
              <w:rPr>
                <w:noProof/>
                <w:webHidden/>
              </w:rPr>
              <w:fldChar w:fldCharType="separate"/>
            </w:r>
            <w:r w:rsidR="007E07D7">
              <w:rPr>
                <w:noProof/>
                <w:webHidden/>
              </w:rPr>
              <w:t>39</w:t>
            </w:r>
            <w:r w:rsidR="007E07D7">
              <w:rPr>
                <w:noProof/>
                <w:webHidden/>
              </w:rPr>
              <w:fldChar w:fldCharType="end"/>
            </w:r>
          </w:hyperlink>
        </w:p>
        <w:p w:rsidR="007E07D7" w:rsidRDefault="00000000" w14:paraId="65A63B72" w14:textId="5B75CDB8">
          <w:pPr>
            <w:pStyle w:val="TOC3"/>
            <w:tabs>
              <w:tab w:val="left" w:pos="1944"/>
              <w:tab w:val="right" w:leader="dot" w:pos="9350"/>
            </w:tabs>
            <w:rPr>
              <w:rFonts w:asciiTheme="minorHAnsi" w:hAnsiTheme="minorHAnsi" w:cstheme="minorBidi"/>
              <w:noProof/>
              <w:sz w:val="22"/>
            </w:rPr>
          </w:pPr>
          <w:hyperlink w:history="1" w:anchor="_Toc121854391">
            <w:r w:rsidRPr="00A545B6" w:rsidR="007E07D7">
              <w:rPr>
                <w:rStyle w:val="Hyperlink"/>
                <w:noProof/>
              </w:rPr>
              <w:t>8.1.1.</w:t>
            </w:r>
            <w:r w:rsidR="007E07D7">
              <w:rPr>
                <w:rFonts w:asciiTheme="minorHAnsi" w:hAnsiTheme="minorHAnsi" w:cstheme="minorBidi"/>
                <w:noProof/>
                <w:sz w:val="22"/>
              </w:rPr>
              <w:tab/>
            </w:r>
            <w:r w:rsidRPr="00A545B6" w:rsidR="007E07D7">
              <w:rPr>
                <w:rStyle w:val="Hyperlink"/>
                <w:noProof/>
              </w:rPr>
              <w:t>The Lookback Study’s Analysis Is Sound</w:t>
            </w:r>
            <w:r w:rsidR="007E07D7">
              <w:rPr>
                <w:noProof/>
                <w:webHidden/>
              </w:rPr>
              <w:tab/>
            </w:r>
            <w:r w:rsidR="007E07D7">
              <w:rPr>
                <w:noProof/>
                <w:webHidden/>
              </w:rPr>
              <w:fldChar w:fldCharType="begin"/>
            </w:r>
            <w:r w:rsidR="007E07D7">
              <w:rPr>
                <w:noProof/>
                <w:webHidden/>
              </w:rPr>
              <w:instrText xml:space="preserve"> PAGEREF _Toc121854391 \h </w:instrText>
            </w:r>
            <w:r w:rsidR="007E07D7">
              <w:rPr>
                <w:noProof/>
                <w:webHidden/>
              </w:rPr>
            </w:r>
            <w:r w:rsidR="007E07D7">
              <w:rPr>
                <w:noProof/>
                <w:webHidden/>
              </w:rPr>
              <w:fldChar w:fldCharType="separate"/>
            </w:r>
            <w:r w:rsidR="007E07D7">
              <w:rPr>
                <w:noProof/>
                <w:webHidden/>
              </w:rPr>
              <w:t>39</w:t>
            </w:r>
            <w:r w:rsidR="007E07D7">
              <w:rPr>
                <w:noProof/>
                <w:webHidden/>
              </w:rPr>
              <w:fldChar w:fldCharType="end"/>
            </w:r>
          </w:hyperlink>
        </w:p>
        <w:p w:rsidR="007E07D7" w:rsidRDefault="00000000" w14:paraId="35436945" w14:textId="528FC3A3">
          <w:pPr>
            <w:pStyle w:val="TOC3"/>
            <w:tabs>
              <w:tab w:val="left" w:pos="1944"/>
              <w:tab w:val="right" w:leader="dot" w:pos="9350"/>
            </w:tabs>
            <w:rPr>
              <w:rFonts w:asciiTheme="minorHAnsi" w:hAnsiTheme="minorHAnsi" w:cstheme="minorBidi"/>
              <w:noProof/>
              <w:sz w:val="22"/>
            </w:rPr>
          </w:pPr>
          <w:hyperlink w:history="1" w:anchor="_Toc121854392">
            <w:r w:rsidRPr="00A545B6" w:rsidR="007E07D7">
              <w:rPr>
                <w:rStyle w:val="Hyperlink"/>
                <w:noProof/>
              </w:rPr>
              <w:t>8.1.2.</w:t>
            </w:r>
            <w:r w:rsidR="007E07D7">
              <w:rPr>
                <w:rFonts w:asciiTheme="minorHAnsi" w:hAnsiTheme="minorHAnsi" w:cstheme="minorBidi"/>
                <w:noProof/>
                <w:sz w:val="22"/>
              </w:rPr>
              <w:tab/>
            </w:r>
            <w:r w:rsidRPr="00A545B6" w:rsidR="007E07D7">
              <w:rPr>
                <w:rStyle w:val="Hyperlink"/>
                <w:noProof/>
              </w:rPr>
              <w:t>The Lookback Study Demonstrates NEM 2.0 Negatively Impacts Non</w:t>
            </w:r>
            <w:r w:rsidRPr="00A545B6" w:rsidR="007E07D7">
              <w:rPr>
                <w:rStyle w:val="Hyperlink"/>
                <w:noProof/>
              </w:rPr>
              <w:noBreakHyphen/>
              <w:t>Participant Ratepayers</w:t>
            </w:r>
            <w:r w:rsidR="007E07D7">
              <w:rPr>
                <w:noProof/>
                <w:webHidden/>
              </w:rPr>
              <w:tab/>
            </w:r>
            <w:r w:rsidR="007E07D7">
              <w:rPr>
                <w:noProof/>
                <w:webHidden/>
              </w:rPr>
              <w:fldChar w:fldCharType="begin"/>
            </w:r>
            <w:r w:rsidR="007E07D7">
              <w:rPr>
                <w:noProof/>
                <w:webHidden/>
              </w:rPr>
              <w:instrText xml:space="preserve"> PAGEREF _Toc121854392 \h </w:instrText>
            </w:r>
            <w:r w:rsidR="007E07D7">
              <w:rPr>
                <w:noProof/>
                <w:webHidden/>
              </w:rPr>
            </w:r>
            <w:r w:rsidR="007E07D7">
              <w:rPr>
                <w:noProof/>
                <w:webHidden/>
              </w:rPr>
              <w:fldChar w:fldCharType="separate"/>
            </w:r>
            <w:r w:rsidR="007E07D7">
              <w:rPr>
                <w:noProof/>
                <w:webHidden/>
              </w:rPr>
              <w:t>43</w:t>
            </w:r>
            <w:r w:rsidR="007E07D7">
              <w:rPr>
                <w:noProof/>
                <w:webHidden/>
              </w:rPr>
              <w:fldChar w:fldCharType="end"/>
            </w:r>
          </w:hyperlink>
        </w:p>
        <w:p w:rsidR="007E07D7" w:rsidRDefault="00000000" w14:paraId="762A5946" w14:textId="7D2AC1C6">
          <w:pPr>
            <w:pStyle w:val="TOC3"/>
            <w:tabs>
              <w:tab w:val="left" w:pos="1944"/>
              <w:tab w:val="right" w:leader="dot" w:pos="9350"/>
            </w:tabs>
            <w:rPr>
              <w:rFonts w:asciiTheme="minorHAnsi" w:hAnsiTheme="minorHAnsi" w:cstheme="minorBidi"/>
              <w:noProof/>
              <w:sz w:val="22"/>
            </w:rPr>
          </w:pPr>
          <w:hyperlink w:history="1" w:anchor="_Toc121854393">
            <w:r w:rsidRPr="00A545B6" w:rsidR="007E07D7">
              <w:rPr>
                <w:rStyle w:val="Hyperlink"/>
                <w:noProof/>
              </w:rPr>
              <w:t>8.1.3.</w:t>
            </w:r>
            <w:r w:rsidR="007E07D7">
              <w:rPr>
                <w:rFonts w:asciiTheme="minorHAnsi" w:hAnsiTheme="minorHAnsi" w:cstheme="minorBidi"/>
                <w:noProof/>
                <w:sz w:val="22"/>
              </w:rPr>
              <w:tab/>
            </w:r>
            <w:r w:rsidRPr="00A545B6" w:rsidR="007E07D7">
              <w:rPr>
                <w:rStyle w:val="Hyperlink"/>
                <w:noProof/>
              </w:rPr>
              <w:t>The Lookback Study Shows NEM 2.0 Is Not Cost</w:t>
            </w:r>
            <w:r w:rsidRPr="00A545B6" w:rsidR="007E07D7">
              <w:rPr>
                <w:rStyle w:val="Hyperlink"/>
                <w:noProof/>
              </w:rPr>
              <w:noBreakHyphen/>
              <w:t>effective</w:t>
            </w:r>
            <w:r w:rsidR="007E07D7">
              <w:rPr>
                <w:noProof/>
                <w:webHidden/>
              </w:rPr>
              <w:tab/>
            </w:r>
            <w:r w:rsidR="007E07D7">
              <w:rPr>
                <w:noProof/>
                <w:webHidden/>
              </w:rPr>
              <w:fldChar w:fldCharType="begin"/>
            </w:r>
            <w:r w:rsidR="007E07D7">
              <w:rPr>
                <w:noProof/>
                <w:webHidden/>
              </w:rPr>
              <w:instrText xml:space="preserve"> PAGEREF _Toc121854393 \h </w:instrText>
            </w:r>
            <w:r w:rsidR="007E07D7">
              <w:rPr>
                <w:noProof/>
                <w:webHidden/>
              </w:rPr>
            </w:r>
            <w:r w:rsidR="007E07D7">
              <w:rPr>
                <w:noProof/>
                <w:webHidden/>
              </w:rPr>
              <w:fldChar w:fldCharType="separate"/>
            </w:r>
            <w:r w:rsidR="007E07D7">
              <w:rPr>
                <w:noProof/>
                <w:webHidden/>
              </w:rPr>
              <w:t>48</w:t>
            </w:r>
            <w:r w:rsidR="007E07D7">
              <w:rPr>
                <w:noProof/>
                <w:webHidden/>
              </w:rPr>
              <w:fldChar w:fldCharType="end"/>
            </w:r>
          </w:hyperlink>
        </w:p>
        <w:p w:rsidR="007E07D7" w:rsidRDefault="00000000" w14:paraId="51AFD122" w14:textId="3ACBB3C1">
          <w:pPr>
            <w:pStyle w:val="TOC3"/>
            <w:tabs>
              <w:tab w:val="left" w:pos="1944"/>
              <w:tab w:val="right" w:leader="dot" w:pos="9350"/>
            </w:tabs>
            <w:rPr>
              <w:rFonts w:asciiTheme="minorHAnsi" w:hAnsiTheme="minorHAnsi" w:cstheme="minorBidi"/>
              <w:noProof/>
              <w:sz w:val="22"/>
            </w:rPr>
          </w:pPr>
          <w:hyperlink w:history="1" w:anchor="_Toc121854394">
            <w:r w:rsidRPr="00A545B6" w:rsidR="007E07D7">
              <w:rPr>
                <w:rStyle w:val="Hyperlink"/>
                <w:noProof/>
              </w:rPr>
              <w:t>8.1.4.</w:t>
            </w:r>
            <w:r w:rsidR="007E07D7">
              <w:rPr>
                <w:rFonts w:asciiTheme="minorHAnsi" w:hAnsiTheme="minorHAnsi" w:cstheme="minorBidi"/>
                <w:noProof/>
                <w:sz w:val="22"/>
              </w:rPr>
              <w:tab/>
            </w:r>
            <w:r w:rsidRPr="00A545B6" w:rsidR="007E07D7">
              <w:rPr>
                <w:rStyle w:val="Hyperlink"/>
                <w:noProof/>
              </w:rPr>
              <w:t>The Lookback Study Shows NEM 2.0 Disproportionately Harms Low</w:t>
            </w:r>
            <w:r w:rsidRPr="00A545B6" w:rsidR="007E07D7">
              <w:rPr>
                <w:rStyle w:val="Hyperlink"/>
                <w:noProof/>
              </w:rPr>
              <w:noBreakHyphen/>
              <w:t>Income Ratepayers</w:t>
            </w:r>
            <w:r w:rsidR="007E07D7">
              <w:rPr>
                <w:noProof/>
                <w:webHidden/>
              </w:rPr>
              <w:tab/>
            </w:r>
            <w:r w:rsidR="007E07D7">
              <w:rPr>
                <w:noProof/>
                <w:webHidden/>
              </w:rPr>
              <w:fldChar w:fldCharType="begin"/>
            </w:r>
            <w:r w:rsidR="007E07D7">
              <w:rPr>
                <w:noProof/>
                <w:webHidden/>
              </w:rPr>
              <w:instrText xml:space="preserve"> PAGEREF _Toc121854394 \h </w:instrText>
            </w:r>
            <w:r w:rsidR="007E07D7">
              <w:rPr>
                <w:noProof/>
                <w:webHidden/>
              </w:rPr>
            </w:r>
            <w:r w:rsidR="007E07D7">
              <w:rPr>
                <w:noProof/>
                <w:webHidden/>
              </w:rPr>
              <w:fldChar w:fldCharType="separate"/>
            </w:r>
            <w:r w:rsidR="007E07D7">
              <w:rPr>
                <w:noProof/>
                <w:webHidden/>
              </w:rPr>
              <w:t>51</w:t>
            </w:r>
            <w:r w:rsidR="007E07D7">
              <w:rPr>
                <w:noProof/>
                <w:webHidden/>
              </w:rPr>
              <w:fldChar w:fldCharType="end"/>
            </w:r>
          </w:hyperlink>
        </w:p>
        <w:p w:rsidR="007E07D7" w:rsidRDefault="00000000" w14:paraId="60F6E52F" w14:textId="46DCD57F">
          <w:pPr>
            <w:pStyle w:val="TOC2"/>
            <w:tabs>
              <w:tab w:val="left" w:pos="1123"/>
              <w:tab w:val="right" w:leader="dot" w:pos="9350"/>
            </w:tabs>
            <w:rPr>
              <w:rFonts w:asciiTheme="minorHAnsi" w:hAnsiTheme="minorHAnsi" w:cstheme="minorBidi"/>
              <w:noProof/>
              <w:sz w:val="22"/>
            </w:rPr>
          </w:pPr>
          <w:hyperlink w:history="1" w:anchor="_Toc121854395">
            <w:r w:rsidRPr="00A545B6" w:rsidR="007E07D7">
              <w:rPr>
                <w:rStyle w:val="Hyperlink"/>
                <w:noProof/>
              </w:rPr>
              <w:t>8.2.</w:t>
            </w:r>
            <w:r w:rsidR="007E07D7">
              <w:rPr>
                <w:rFonts w:asciiTheme="minorHAnsi" w:hAnsiTheme="minorHAnsi" w:cstheme="minorBidi"/>
                <w:noProof/>
                <w:sz w:val="22"/>
              </w:rPr>
              <w:tab/>
            </w:r>
            <w:r w:rsidRPr="00A545B6" w:rsidR="007E07D7">
              <w:rPr>
                <w:rStyle w:val="Hyperlink"/>
                <w:noProof/>
              </w:rPr>
              <w:t>Analyzing Tariff Elements and Proposals</w:t>
            </w:r>
            <w:r w:rsidR="007E07D7">
              <w:rPr>
                <w:noProof/>
                <w:webHidden/>
              </w:rPr>
              <w:tab/>
            </w:r>
            <w:r w:rsidR="007E07D7">
              <w:rPr>
                <w:noProof/>
                <w:webHidden/>
              </w:rPr>
              <w:fldChar w:fldCharType="begin"/>
            </w:r>
            <w:r w:rsidR="007E07D7">
              <w:rPr>
                <w:noProof/>
                <w:webHidden/>
              </w:rPr>
              <w:instrText xml:space="preserve"> PAGEREF _Toc121854395 \h </w:instrText>
            </w:r>
            <w:r w:rsidR="007E07D7">
              <w:rPr>
                <w:noProof/>
                <w:webHidden/>
              </w:rPr>
            </w:r>
            <w:r w:rsidR="007E07D7">
              <w:rPr>
                <w:noProof/>
                <w:webHidden/>
              </w:rPr>
              <w:fldChar w:fldCharType="separate"/>
            </w:r>
            <w:r w:rsidR="007E07D7">
              <w:rPr>
                <w:noProof/>
                <w:webHidden/>
              </w:rPr>
              <w:t>54</w:t>
            </w:r>
            <w:r w:rsidR="007E07D7">
              <w:rPr>
                <w:noProof/>
                <w:webHidden/>
              </w:rPr>
              <w:fldChar w:fldCharType="end"/>
            </w:r>
          </w:hyperlink>
        </w:p>
        <w:p w:rsidR="007E07D7" w:rsidRDefault="00000000" w14:paraId="7AC32220" w14:textId="5E3B7D58">
          <w:pPr>
            <w:pStyle w:val="TOC3"/>
            <w:tabs>
              <w:tab w:val="left" w:pos="1944"/>
              <w:tab w:val="right" w:leader="dot" w:pos="9350"/>
            </w:tabs>
            <w:rPr>
              <w:rFonts w:asciiTheme="minorHAnsi" w:hAnsiTheme="minorHAnsi" w:cstheme="minorBidi"/>
              <w:noProof/>
              <w:sz w:val="22"/>
            </w:rPr>
          </w:pPr>
          <w:hyperlink w:history="1" w:anchor="_Toc121854396">
            <w:r w:rsidRPr="00A545B6" w:rsidR="007E07D7">
              <w:rPr>
                <w:rStyle w:val="Hyperlink"/>
                <w:noProof/>
              </w:rPr>
              <w:t>8.2.1.</w:t>
            </w:r>
            <w:r w:rsidR="007E07D7">
              <w:rPr>
                <w:rFonts w:asciiTheme="minorHAnsi" w:hAnsiTheme="minorHAnsi" w:cstheme="minorBidi"/>
                <w:noProof/>
                <w:sz w:val="22"/>
              </w:rPr>
              <w:tab/>
            </w:r>
            <w:r w:rsidRPr="00A545B6" w:rsidR="007E07D7">
              <w:rPr>
                <w:rStyle w:val="Hyperlink"/>
                <w:noProof/>
              </w:rPr>
              <w:t>Tariff Participation Growth Should Not Require Nonparticipant Financial Burden</w:t>
            </w:r>
            <w:r w:rsidR="007E07D7">
              <w:rPr>
                <w:noProof/>
                <w:webHidden/>
              </w:rPr>
              <w:tab/>
            </w:r>
            <w:r w:rsidR="007E07D7">
              <w:rPr>
                <w:noProof/>
                <w:webHidden/>
              </w:rPr>
              <w:fldChar w:fldCharType="begin"/>
            </w:r>
            <w:r w:rsidR="007E07D7">
              <w:rPr>
                <w:noProof/>
                <w:webHidden/>
              </w:rPr>
              <w:instrText xml:space="preserve"> PAGEREF _Toc121854396 \h </w:instrText>
            </w:r>
            <w:r w:rsidR="007E07D7">
              <w:rPr>
                <w:noProof/>
                <w:webHidden/>
              </w:rPr>
            </w:r>
            <w:r w:rsidR="007E07D7">
              <w:rPr>
                <w:noProof/>
                <w:webHidden/>
              </w:rPr>
              <w:fldChar w:fldCharType="separate"/>
            </w:r>
            <w:r w:rsidR="007E07D7">
              <w:rPr>
                <w:noProof/>
                <w:webHidden/>
              </w:rPr>
              <w:t>55</w:t>
            </w:r>
            <w:r w:rsidR="007E07D7">
              <w:rPr>
                <w:noProof/>
                <w:webHidden/>
              </w:rPr>
              <w:fldChar w:fldCharType="end"/>
            </w:r>
          </w:hyperlink>
        </w:p>
        <w:p w:rsidR="007E07D7" w:rsidRDefault="00000000" w14:paraId="2B010E9A" w14:textId="1C41E04D">
          <w:pPr>
            <w:pStyle w:val="TOC3"/>
            <w:tabs>
              <w:tab w:val="left" w:pos="1944"/>
              <w:tab w:val="right" w:leader="dot" w:pos="9350"/>
            </w:tabs>
            <w:rPr>
              <w:rFonts w:asciiTheme="minorHAnsi" w:hAnsiTheme="minorHAnsi" w:cstheme="minorBidi"/>
              <w:noProof/>
              <w:sz w:val="22"/>
            </w:rPr>
          </w:pPr>
          <w:hyperlink w:history="1" w:anchor="_Toc121854397">
            <w:r w:rsidRPr="00A545B6" w:rsidR="007E07D7">
              <w:rPr>
                <w:rStyle w:val="Hyperlink"/>
                <w:noProof/>
              </w:rPr>
              <w:t>8.2.2.</w:t>
            </w:r>
            <w:r w:rsidR="007E07D7">
              <w:rPr>
                <w:rFonts w:asciiTheme="minorHAnsi" w:hAnsiTheme="minorHAnsi" w:cstheme="minorBidi"/>
                <w:noProof/>
                <w:sz w:val="22"/>
              </w:rPr>
              <w:tab/>
            </w:r>
            <w:r w:rsidRPr="00A545B6" w:rsidR="007E07D7">
              <w:rPr>
                <w:rStyle w:val="Hyperlink"/>
                <w:noProof/>
              </w:rPr>
              <w:t>Cost</w:t>
            </w:r>
            <w:r w:rsidRPr="00A545B6" w:rsidR="007E07D7">
              <w:rPr>
                <w:rStyle w:val="Hyperlink"/>
                <w:noProof/>
              </w:rPr>
              <w:noBreakHyphen/>
              <w:t>effectiveness Analyses Shall Be Conducted Pursuant to D.19</w:t>
            </w:r>
            <w:r w:rsidRPr="00A545B6" w:rsidR="007E07D7">
              <w:rPr>
                <w:rStyle w:val="Hyperlink"/>
                <w:noProof/>
              </w:rPr>
              <w:noBreakHyphen/>
              <w:t>05</w:t>
            </w:r>
            <w:r w:rsidRPr="00A545B6" w:rsidR="007E07D7">
              <w:rPr>
                <w:rStyle w:val="Hyperlink"/>
                <w:noProof/>
              </w:rPr>
              <w:noBreakHyphen/>
              <w:t>019 Using the 2022 Avoided Cost Calculator</w:t>
            </w:r>
            <w:r w:rsidR="007E07D7">
              <w:rPr>
                <w:noProof/>
                <w:webHidden/>
              </w:rPr>
              <w:tab/>
            </w:r>
            <w:r w:rsidR="007E07D7">
              <w:rPr>
                <w:noProof/>
                <w:webHidden/>
              </w:rPr>
              <w:fldChar w:fldCharType="begin"/>
            </w:r>
            <w:r w:rsidR="007E07D7">
              <w:rPr>
                <w:noProof/>
                <w:webHidden/>
              </w:rPr>
              <w:instrText xml:space="preserve"> PAGEREF _Toc121854397 \h </w:instrText>
            </w:r>
            <w:r w:rsidR="007E07D7">
              <w:rPr>
                <w:noProof/>
                <w:webHidden/>
              </w:rPr>
            </w:r>
            <w:r w:rsidR="007E07D7">
              <w:rPr>
                <w:noProof/>
                <w:webHidden/>
              </w:rPr>
              <w:fldChar w:fldCharType="separate"/>
            </w:r>
            <w:r w:rsidR="007E07D7">
              <w:rPr>
                <w:noProof/>
                <w:webHidden/>
              </w:rPr>
              <w:t>58</w:t>
            </w:r>
            <w:r w:rsidR="007E07D7">
              <w:rPr>
                <w:noProof/>
                <w:webHidden/>
              </w:rPr>
              <w:fldChar w:fldCharType="end"/>
            </w:r>
          </w:hyperlink>
        </w:p>
        <w:p w:rsidR="007E07D7" w:rsidRDefault="00000000" w14:paraId="6299EFDA" w14:textId="1FD0CD5B">
          <w:pPr>
            <w:pStyle w:val="TOC3"/>
            <w:tabs>
              <w:tab w:val="left" w:pos="1944"/>
              <w:tab w:val="right" w:leader="dot" w:pos="9350"/>
            </w:tabs>
            <w:rPr>
              <w:rFonts w:asciiTheme="minorHAnsi" w:hAnsiTheme="minorHAnsi" w:cstheme="minorBidi"/>
              <w:noProof/>
              <w:sz w:val="22"/>
            </w:rPr>
          </w:pPr>
          <w:hyperlink w:history="1" w:anchor="_Toc121854398">
            <w:r w:rsidRPr="00A545B6" w:rsidR="007E07D7">
              <w:rPr>
                <w:rStyle w:val="Hyperlink"/>
                <w:noProof/>
              </w:rPr>
              <w:t>8.2.3.</w:t>
            </w:r>
            <w:r w:rsidR="007E07D7">
              <w:rPr>
                <w:rFonts w:asciiTheme="minorHAnsi" w:hAnsiTheme="minorHAnsi" w:cstheme="minorBidi"/>
                <w:noProof/>
                <w:sz w:val="22"/>
              </w:rPr>
              <w:tab/>
            </w:r>
            <w:r w:rsidRPr="00A545B6" w:rsidR="007E07D7">
              <w:rPr>
                <w:rStyle w:val="Hyperlink"/>
                <w:noProof/>
              </w:rPr>
              <w:t>The Number of Years to Payback Should Appropriately Balance Participant and Nonparticipant Needs</w:t>
            </w:r>
            <w:r w:rsidR="007E07D7">
              <w:rPr>
                <w:noProof/>
                <w:webHidden/>
              </w:rPr>
              <w:tab/>
            </w:r>
            <w:r w:rsidR="007E07D7">
              <w:rPr>
                <w:noProof/>
                <w:webHidden/>
              </w:rPr>
              <w:fldChar w:fldCharType="begin"/>
            </w:r>
            <w:r w:rsidR="007E07D7">
              <w:rPr>
                <w:noProof/>
                <w:webHidden/>
              </w:rPr>
              <w:instrText xml:space="preserve"> PAGEREF _Toc121854398 \h </w:instrText>
            </w:r>
            <w:r w:rsidR="007E07D7">
              <w:rPr>
                <w:noProof/>
                <w:webHidden/>
              </w:rPr>
            </w:r>
            <w:r w:rsidR="007E07D7">
              <w:rPr>
                <w:noProof/>
                <w:webHidden/>
              </w:rPr>
              <w:fldChar w:fldCharType="separate"/>
            </w:r>
            <w:r w:rsidR="007E07D7">
              <w:rPr>
                <w:noProof/>
                <w:webHidden/>
              </w:rPr>
              <w:t>71</w:t>
            </w:r>
            <w:r w:rsidR="007E07D7">
              <w:rPr>
                <w:noProof/>
                <w:webHidden/>
              </w:rPr>
              <w:fldChar w:fldCharType="end"/>
            </w:r>
          </w:hyperlink>
        </w:p>
        <w:p w:rsidR="007E07D7" w:rsidRDefault="00000000" w14:paraId="46936A18" w14:textId="25CF5C3C">
          <w:pPr>
            <w:pStyle w:val="TOC3"/>
            <w:tabs>
              <w:tab w:val="left" w:pos="1944"/>
              <w:tab w:val="right" w:leader="dot" w:pos="9350"/>
            </w:tabs>
            <w:rPr>
              <w:rFonts w:asciiTheme="minorHAnsi" w:hAnsiTheme="minorHAnsi" w:cstheme="minorBidi"/>
              <w:noProof/>
              <w:sz w:val="22"/>
            </w:rPr>
          </w:pPr>
          <w:hyperlink w:history="1" w:anchor="_Toc121854399">
            <w:r w:rsidRPr="00A545B6" w:rsidR="007E07D7">
              <w:rPr>
                <w:rStyle w:val="Hyperlink"/>
                <w:noProof/>
              </w:rPr>
              <w:t>8.2.4.</w:t>
            </w:r>
            <w:r w:rsidR="007E07D7">
              <w:rPr>
                <w:rFonts w:asciiTheme="minorHAnsi" w:hAnsiTheme="minorHAnsi" w:cstheme="minorBidi"/>
                <w:noProof/>
                <w:sz w:val="22"/>
              </w:rPr>
              <w:tab/>
            </w:r>
            <w:r w:rsidRPr="00A545B6" w:rsidR="007E07D7">
              <w:rPr>
                <w:rStyle w:val="Hyperlink"/>
                <w:noProof/>
              </w:rPr>
              <w:t>The Adopted Cost of Solar Is $3.30 Per Watt</w:t>
            </w:r>
            <w:r w:rsidR="007E07D7">
              <w:rPr>
                <w:noProof/>
                <w:webHidden/>
              </w:rPr>
              <w:tab/>
            </w:r>
            <w:r w:rsidR="007E07D7">
              <w:rPr>
                <w:noProof/>
                <w:webHidden/>
              </w:rPr>
              <w:fldChar w:fldCharType="begin"/>
            </w:r>
            <w:r w:rsidR="007E07D7">
              <w:rPr>
                <w:noProof/>
                <w:webHidden/>
              </w:rPr>
              <w:instrText xml:space="preserve"> PAGEREF _Toc121854399 \h </w:instrText>
            </w:r>
            <w:r w:rsidR="007E07D7">
              <w:rPr>
                <w:noProof/>
                <w:webHidden/>
              </w:rPr>
            </w:r>
            <w:r w:rsidR="007E07D7">
              <w:rPr>
                <w:noProof/>
                <w:webHidden/>
              </w:rPr>
              <w:fldChar w:fldCharType="separate"/>
            </w:r>
            <w:r w:rsidR="007E07D7">
              <w:rPr>
                <w:noProof/>
                <w:webHidden/>
              </w:rPr>
              <w:t>79</w:t>
            </w:r>
            <w:r w:rsidR="007E07D7">
              <w:rPr>
                <w:noProof/>
                <w:webHidden/>
              </w:rPr>
              <w:fldChar w:fldCharType="end"/>
            </w:r>
          </w:hyperlink>
        </w:p>
        <w:p w:rsidR="007E07D7" w:rsidRDefault="00000000" w14:paraId="2059E3C7" w14:textId="0EB28A98">
          <w:pPr>
            <w:pStyle w:val="TOC2"/>
            <w:tabs>
              <w:tab w:val="left" w:pos="1123"/>
              <w:tab w:val="right" w:leader="dot" w:pos="9350"/>
            </w:tabs>
            <w:rPr>
              <w:rFonts w:asciiTheme="minorHAnsi" w:hAnsiTheme="minorHAnsi" w:cstheme="minorBidi"/>
              <w:noProof/>
              <w:sz w:val="22"/>
            </w:rPr>
          </w:pPr>
          <w:hyperlink w:history="1" w:anchor="_Toc121854400">
            <w:r w:rsidRPr="00A545B6" w:rsidR="007E07D7">
              <w:rPr>
                <w:rStyle w:val="Hyperlink"/>
                <w:noProof/>
              </w:rPr>
              <w:t>8.3.</w:t>
            </w:r>
            <w:r w:rsidR="007E07D7">
              <w:rPr>
                <w:rFonts w:asciiTheme="minorHAnsi" w:hAnsiTheme="minorHAnsi" w:cstheme="minorBidi"/>
                <w:noProof/>
                <w:sz w:val="22"/>
              </w:rPr>
              <w:tab/>
            </w:r>
            <w:r w:rsidRPr="00A545B6" w:rsidR="007E07D7">
              <w:rPr>
                <w:rStyle w:val="Hyperlink"/>
                <w:noProof/>
              </w:rPr>
              <w:t>Policies for the Successor Tariff</w:t>
            </w:r>
            <w:r w:rsidR="007E07D7">
              <w:rPr>
                <w:noProof/>
                <w:webHidden/>
              </w:rPr>
              <w:tab/>
            </w:r>
            <w:r w:rsidR="007E07D7">
              <w:rPr>
                <w:noProof/>
                <w:webHidden/>
              </w:rPr>
              <w:fldChar w:fldCharType="begin"/>
            </w:r>
            <w:r w:rsidR="007E07D7">
              <w:rPr>
                <w:noProof/>
                <w:webHidden/>
              </w:rPr>
              <w:instrText xml:space="preserve"> PAGEREF _Toc121854400 \h </w:instrText>
            </w:r>
            <w:r w:rsidR="007E07D7">
              <w:rPr>
                <w:noProof/>
                <w:webHidden/>
              </w:rPr>
            </w:r>
            <w:r w:rsidR="007E07D7">
              <w:rPr>
                <w:noProof/>
                <w:webHidden/>
              </w:rPr>
              <w:fldChar w:fldCharType="separate"/>
            </w:r>
            <w:r w:rsidR="007E07D7">
              <w:rPr>
                <w:noProof/>
                <w:webHidden/>
              </w:rPr>
              <w:t>85</w:t>
            </w:r>
            <w:r w:rsidR="007E07D7">
              <w:rPr>
                <w:noProof/>
                <w:webHidden/>
              </w:rPr>
              <w:fldChar w:fldCharType="end"/>
            </w:r>
          </w:hyperlink>
        </w:p>
        <w:p w:rsidR="007E07D7" w:rsidRDefault="00000000" w14:paraId="33840097" w14:textId="46F1BC68">
          <w:pPr>
            <w:pStyle w:val="TOC3"/>
            <w:tabs>
              <w:tab w:val="left" w:pos="1944"/>
              <w:tab w:val="right" w:leader="dot" w:pos="9350"/>
            </w:tabs>
            <w:rPr>
              <w:rFonts w:asciiTheme="minorHAnsi" w:hAnsiTheme="minorHAnsi" w:cstheme="minorBidi"/>
              <w:noProof/>
              <w:sz w:val="22"/>
            </w:rPr>
          </w:pPr>
          <w:hyperlink w:history="1" w:anchor="_Toc121854401">
            <w:r w:rsidRPr="00A545B6" w:rsidR="007E07D7">
              <w:rPr>
                <w:rStyle w:val="Hyperlink"/>
                <w:noProof/>
              </w:rPr>
              <w:t>8.3.1.</w:t>
            </w:r>
            <w:r w:rsidR="007E07D7">
              <w:rPr>
                <w:rFonts w:asciiTheme="minorHAnsi" w:hAnsiTheme="minorHAnsi" w:cstheme="minorBidi"/>
                <w:noProof/>
                <w:sz w:val="22"/>
              </w:rPr>
              <w:tab/>
            </w:r>
            <w:r w:rsidRPr="00A545B6" w:rsidR="007E07D7">
              <w:rPr>
                <w:rStyle w:val="Hyperlink"/>
                <w:noProof/>
              </w:rPr>
              <w:t>The Successor Tariff Should Include a Glide Path</w:t>
            </w:r>
            <w:r w:rsidR="007E07D7">
              <w:rPr>
                <w:noProof/>
                <w:webHidden/>
              </w:rPr>
              <w:tab/>
            </w:r>
            <w:r w:rsidR="007E07D7">
              <w:rPr>
                <w:noProof/>
                <w:webHidden/>
              </w:rPr>
              <w:fldChar w:fldCharType="begin"/>
            </w:r>
            <w:r w:rsidR="007E07D7">
              <w:rPr>
                <w:noProof/>
                <w:webHidden/>
              </w:rPr>
              <w:instrText xml:space="preserve"> PAGEREF _Toc121854401 \h </w:instrText>
            </w:r>
            <w:r w:rsidR="007E07D7">
              <w:rPr>
                <w:noProof/>
                <w:webHidden/>
              </w:rPr>
            </w:r>
            <w:r w:rsidR="007E07D7">
              <w:rPr>
                <w:noProof/>
                <w:webHidden/>
              </w:rPr>
              <w:fldChar w:fldCharType="separate"/>
            </w:r>
            <w:r w:rsidR="007E07D7">
              <w:rPr>
                <w:noProof/>
                <w:webHidden/>
              </w:rPr>
              <w:t>85</w:t>
            </w:r>
            <w:r w:rsidR="007E07D7">
              <w:rPr>
                <w:noProof/>
                <w:webHidden/>
              </w:rPr>
              <w:fldChar w:fldCharType="end"/>
            </w:r>
          </w:hyperlink>
        </w:p>
        <w:p w:rsidR="007E07D7" w:rsidRDefault="00000000" w14:paraId="6A177CA4" w14:textId="14691703">
          <w:pPr>
            <w:pStyle w:val="TOC3"/>
            <w:tabs>
              <w:tab w:val="left" w:pos="1944"/>
              <w:tab w:val="right" w:leader="dot" w:pos="9350"/>
            </w:tabs>
            <w:rPr>
              <w:rFonts w:asciiTheme="minorHAnsi" w:hAnsiTheme="minorHAnsi" w:cstheme="minorBidi"/>
              <w:noProof/>
              <w:sz w:val="22"/>
            </w:rPr>
          </w:pPr>
          <w:hyperlink w:history="1" w:anchor="_Toc121854402">
            <w:r w:rsidRPr="00A545B6" w:rsidR="007E07D7">
              <w:rPr>
                <w:rStyle w:val="Hyperlink"/>
                <w:noProof/>
              </w:rPr>
              <w:t>8.3.2.</w:t>
            </w:r>
            <w:r w:rsidR="007E07D7">
              <w:rPr>
                <w:rFonts w:asciiTheme="minorHAnsi" w:hAnsiTheme="minorHAnsi" w:cstheme="minorBidi"/>
                <w:noProof/>
                <w:sz w:val="22"/>
              </w:rPr>
              <w:tab/>
            </w:r>
            <w:r w:rsidRPr="00A545B6" w:rsidR="007E07D7">
              <w:rPr>
                <w:rStyle w:val="Hyperlink"/>
                <w:noProof/>
              </w:rPr>
              <w:t>The Successor Should Promote Equity and Inclusion</w:t>
            </w:r>
            <w:r w:rsidR="007E07D7">
              <w:rPr>
                <w:noProof/>
                <w:webHidden/>
              </w:rPr>
              <w:tab/>
            </w:r>
            <w:r w:rsidR="007E07D7">
              <w:rPr>
                <w:noProof/>
                <w:webHidden/>
              </w:rPr>
              <w:fldChar w:fldCharType="begin"/>
            </w:r>
            <w:r w:rsidR="007E07D7">
              <w:rPr>
                <w:noProof/>
                <w:webHidden/>
              </w:rPr>
              <w:instrText xml:space="preserve"> PAGEREF _Toc121854402 \h </w:instrText>
            </w:r>
            <w:r w:rsidR="007E07D7">
              <w:rPr>
                <w:noProof/>
                <w:webHidden/>
              </w:rPr>
            </w:r>
            <w:r w:rsidR="007E07D7">
              <w:rPr>
                <w:noProof/>
                <w:webHidden/>
              </w:rPr>
              <w:fldChar w:fldCharType="separate"/>
            </w:r>
            <w:r w:rsidR="007E07D7">
              <w:rPr>
                <w:noProof/>
                <w:webHidden/>
              </w:rPr>
              <w:t>89</w:t>
            </w:r>
            <w:r w:rsidR="007E07D7">
              <w:rPr>
                <w:noProof/>
                <w:webHidden/>
              </w:rPr>
              <w:fldChar w:fldCharType="end"/>
            </w:r>
          </w:hyperlink>
        </w:p>
        <w:p w:rsidR="007E07D7" w:rsidRDefault="00000000" w14:paraId="22158CFA" w14:textId="0E213429">
          <w:pPr>
            <w:pStyle w:val="TOC3"/>
            <w:tabs>
              <w:tab w:val="left" w:pos="1944"/>
              <w:tab w:val="right" w:leader="dot" w:pos="9350"/>
            </w:tabs>
            <w:rPr>
              <w:rFonts w:asciiTheme="minorHAnsi" w:hAnsiTheme="minorHAnsi" w:cstheme="minorBidi"/>
              <w:noProof/>
              <w:sz w:val="22"/>
            </w:rPr>
          </w:pPr>
          <w:hyperlink w:history="1" w:anchor="_Toc121854403">
            <w:r w:rsidRPr="00A545B6" w:rsidR="007E07D7">
              <w:rPr>
                <w:rStyle w:val="Hyperlink"/>
                <w:noProof/>
              </w:rPr>
              <w:t>8.3.3.</w:t>
            </w:r>
            <w:r w:rsidR="007E07D7">
              <w:rPr>
                <w:rFonts w:asciiTheme="minorHAnsi" w:hAnsiTheme="minorHAnsi" w:cstheme="minorBidi"/>
                <w:noProof/>
                <w:sz w:val="22"/>
              </w:rPr>
              <w:tab/>
            </w:r>
            <w:r w:rsidRPr="00A545B6" w:rsidR="007E07D7">
              <w:rPr>
                <w:rStyle w:val="Hyperlink"/>
                <w:noProof/>
              </w:rPr>
              <w:t>The Successor Should Promote Electrification</w:t>
            </w:r>
            <w:r w:rsidR="007E07D7">
              <w:rPr>
                <w:noProof/>
                <w:webHidden/>
              </w:rPr>
              <w:tab/>
            </w:r>
            <w:r w:rsidR="007E07D7">
              <w:rPr>
                <w:noProof/>
                <w:webHidden/>
              </w:rPr>
              <w:fldChar w:fldCharType="begin"/>
            </w:r>
            <w:r w:rsidR="007E07D7">
              <w:rPr>
                <w:noProof/>
                <w:webHidden/>
              </w:rPr>
              <w:instrText xml:space="preserve"> PAGEREF _Toc121854403 \h </w:instrText>
            </w:r>
            <w:r w:rsidR="007E07D7">
              <w:rPr>
                <w:noProof/>
                <w:webHidden/>
              </w:rPr>
            </w:r>
            <w:r w:rsidR="007E07D7">
              <w:rPr>
                <w:noProof/>
                <w:webHidden/>
              </w:rPr>
              <w:fldChar w:fldCharType="separate"/>
            </w:r>
            <w:r w:rsidR="007E07D7">
              <w:rPr>
                <w:noProof/>
                <w:webHidden/>
              </w:rPr>
              <w:t>92</w:t>
            </w:r>
            <w:r w:rsidR="007E07D7">
              <w:rPr>
                <w:noProof/>
                <w:webHidden/>
              </w:rPr>
              <w:fldChar w:fldCharType="end"/>
            </w:r>
          </w:hyperlink>
        </w:p>
        <w:p w:rsidR="007E07D7" w:rsidRDefault="00000000" w14:paraId="2FCE0DCA" w14:textId="31329E9B">
          <w:pPr>
            <w:pStyle w:val="TOC3"/>
            <w:tabs>
              <w:tab w:val="left" w:pos="1944"/>
              <w:tab w:val="right" w:leader="dot" w:pos="9350"/>
            </w:tabs>
            <w:rPr>
              <w:rFonts w:asciiTheme="minorHAnsi" w:hAnsiTheme="minorHAnsi" w:cstheme="minorBidi"/>
              <w:noProof/>
              <w:sz w:val="22"/>
            </w:rPr>
          </w:pPr>
          <w:hyperlink w:history="1" w:anchor="_Toc121854404">
            <w:r w:rsidRPr="00A545B6" w:rsidR="007E07D7">
              <w:rPr>
                <w:rStyle w:val="Hyperlink"/>
                <w:noProof/>
              </w:rPr>
              <w:t>8.3.4.</w:t>
            </w:r>
            <w:r w:rsidR="007E07D7">
              <w:rPr>
                <w:rFonts w:asciiTheme="minorHAnsi" w:hAnsiTheme="minorHAnsi" w:cstheme="minorBidi"/>
                <w:noProof/>
                <w:sz w:val="22"/>
              </w:rPr>
              <w:tab/>
            </w:r>
            <w:r w:rsidRPr="00A545B6" w:rsidR="007E07D7">
              <w:rPr>
                <w:rStyle w:val="Hyperlink"/>
                <w:noProof/>
              </w:rPr>
              <w:t>The Successor Tariff Should Transition the Solar Market to a Solar Paired with Storage Market</w:t>
            </w:r>
            <w:r w:rsidR="007E07D7">
              <w:rPr>
                <w:noProof/>
                <w:webHidden/>
              </w:rPr>
              <w:tab/>
            </w:r>
            <w:r w:rsidR="007E07D7">
              <w:rPr>
                <w:noProof/>
                <w:webHidden/>
              </w:rPr>
              <w:fldChar w:fldCharType="begin"/>
            </w:r>
            <w:r w:rsidR="007E07D7">
              <w:rPr>
                <w:noProof/>
                <w:webHidden/>
              </w:rPr>
              <w:instrText xml:space="preserve"> PAGEREF _Toc121854404 \h </w:instrText>
            </w:r>
            <w:r w:rsidR="007E07D7">
              <w:rPr>
                <w:noProof/>
                <w:webHidden/>
              </w:rPr>
            </w:r>
            <w:r w:rsidR="007E07D7">
              <w:rPr>
                <w:noProof/>
                <w:webHidden/>
              </w:rPr>
              <w:fldChar w:fldCharType="separate"/>
            </w:r>
            <w:r w:rsidR="007E07D7">
              <w:rPr>
                <w:noProof/>
                <w:webHidden/>
              </w:rPr>
              <w:t>97</w:t>
            </w:r>
            <w:r w:rsidR="007E07D7">
              <w:rPr>
                <w:noProof/>
                <w:webHidden/>
              </w:rPr>
              <w:fldChar w:fldCharType="end"/>
            </w:r>
          </w:hyperlink>
        </w:p>
        <w:p w:rsidR="007E07D7" w:rsidRDefault="00000000" w14:paraId="0EF3D65A" w14:textId="228E8E5E">
          <w:pPr>
            <w:pStyle w:val="TOC2"/>
            <w:tabs>
              <w:tab w:val="left" w:pos="1123"/>
              <w:tab w:val="right" w:leader="dot" w:pos="9350"/>
            </w:tabs>
            <w:rPr>
              <w:rFonts w:asciiTheme="minorHAnsi" w:hAnsiTheme="minorHAnsi" w:cstheme="minorBidi"/>
              <w:noProof/>
              <w:sz w:val="22"/>
            </w:rPr>
          </w:pPr>
          <w:hyperlink w:history="1" w:anchor="_Toc121854405">
            <w:r w:rsidRPr="00A545B6" w:rsidR="007E07D7">
              <w:rPr>
                <w:rStyle w:val="Hyperlink"/>
                <w:noProof/>
              </w:rPr>
              <w:t>8.4.</w:t>
            </w:r>
            <w:r w:rsidR="007E07D7">
              <w:rPr>
                <w:rFonts w:asciiTheme="minorHAnsi" w:hAnsiTheme="minorHAnsi" w:cstheme="minorBidi"/>
                <w:noProof/>
                <w:sz w:val="22"/>
              </w:rPr>
              <w:tab/>
            </w:r>
            <w:r w:rsidRPr="00A545B6" w:rsidR="007E07D7">
              <w:rPr>
                <w:rStyle w:val="Hyperlink"/>
                <w:noProof/>
              </w:rPr>
              <w:t>Elements to Include in the Successor Tariff</w:t>
            </w:r>
            <w:r w:rsidR="007E07D7">
              <w:rPr>
                <w:noProof/>
                <w:webHidden/>
              </w:rPr>
              <w:tab/>
            </w:r>
            <w:r w:rsidR="007E07D7">
              <w:rPr>
                <w:noProof/>
                <w:webHidden/>
              </w:rPr>
              <w:fldChar w:fldCharType="begin"/>
            </w:r>
            <w:r w:rsidR="007E07D7">
              <w:rPr>
                <w:noProof/>
                <w:webHidden/>
              </w:rPr>
              <w:instrText xml:space="preserve"> PAGEREF _Toc121854405 \h </w:instrText>
            </w:r>
            <w:r w:rsidR="007E07D7">
              <w:rPr>
                <w:noProof/>
                <w:webHidden/>
              </w:rPr>
            </w:r>
            <w:r w:rsidR="007E07D7">
              <w:rPr>
                <w:noProof/>
                <w:webHidden/>
              </w:rPr>
              <w:fldChar w:fldCharType="separate"/>
            </w:r>
            <w:r w:rsidR="007E07D7">
              <w:rPr>
                <w:noProof/>
                <w:webHidden/>
              </w:rPr>
              <w:t>100</w:t>
            </w:r>
            <w:r w:rsidR="007E07D7">
              <w:rPr>
                <w:noProof/>
                <w:webHidden/>
              </w:rPr>
              <w:fldChar w:fldCharType="end"/>
            </w:r>
          </w:hyperlink>
        </w:p>
        <w:p w:rsidR="007E07D7" w:rsidRDefault="00000000" w14:paraId="3B72F79D" w14:textId="0CBDA6BD">
          <w:pPr>
            <w:pStyle w:val="TOC3"/>
            <w:tabs>
              <w:tab w:val="left" w:pos="1944"/>
              <w:tab w:val="right" w:leader="dot" w:pos="9350"/>
            </w:tabs>
            <w:rPr>
              <w:rFonts w:asciiTheme="minorHAnsi" w:hAnsiTheme="minorHAnsi" w:cstheme="minorBidi"/>
              <w:noProof/>
              <w:sz w:val="22"/>
            </w:rPr>
          </w:pPr>
          <w:hyperlink w:history="1" w:anchor="_Toc121854406">
            <w:r w:rsidRPr="00A545B6" w:rsidR="007E07D7">
              <w:rPr>
                <w:rStyle w:val="Hyperlink"/>
                <w:noProof/>
              </w:rPr>
              <w:t>8.4.1.</w:t>
            </w:r>
            <w:r w:rsidR="007E07D7">
              <w:rPr>
                <w:rFonts w:asciiTheme="minorHAnsi" w:hAnsiTheme="minorHAnsi" w:cstheme="minorBidi"/>
                <w:noProof/>
                <w:sz w:val="22"/>
              </w:rPr>
              <w:tab/>
            </w:r>
            <w:r w:rsidRPr="00A545B6" w:rsidR="007E07D7">
              <w:rPr>
                <w:rStyle w:val="Hyperlink"/>
                <w:noProof/>
              </w:rPr>
              <w:t>Retail Export Compensation Rate Structure</w:t>
            </w:r>
            <w:r w:rsidR="007E07D7">
              <w:rPr>
                <w:noProof/>
                <w:webHidden/>
              </w:rPr>
              <w:tab/>
            </w:r>
            <w:r w:rsidR="007E07D7">
              <w:rPr>
                <w:noProof/>
                <w:webHidden/>
              </w:rPr>
              <w:fldChar w:fldCharType="begin"/>
            </w:r>
            <w:r w:rsidR="007E07D7">
              <w:rPr>
                <w:noProof/>
                <w:webHidden/>
              </w:rPr>
              <w:instrText xml:space="preserve"> PAGEREF _Toc121854406 \h </w:instrText>
            </w:r>
            <w:r w:rsidR="007E07D7">
              <w:rPr>
                <w:noProof/>
                <w:webHidden/>
              </w:rPr>
            </w:r>
            <w:r w:rsidR="007E07D7">
              <w:rPr>
                <w:noProof/>
                <w:webHidden/>
              </w:rPr>
              <w:fldChar w:fldCharType="separate"/>
            </w:r>
            <w:r w:rsidR="007E07D7">
              <w:rPr>
                <w:noProof/>
                <w:webHidden/>
              </w:rPr>
              <w:t>100</w:t>
            </w:r>
            <w:r w:rsidR="007E07D7">
              <w:rPr>
                <w:noProof/>
                <w:webHidden/>
              </w:rPr>
              <w:fldChar w:fldCharType="end"/>
            </w:r>
          </w:hyperlink>
        </w:p>
        <w:p w:rsidR="007E07D7" w:rsidRDefault="00000000" w14:paraId="44920F5C" w14:textId="4011D07A">
          <w:pPr>
            <w:pStyle w:val="TOC3"/>
            <w:tabs>
              <w:tab w:val="left" w:pos="1944"/>
              <w:tab w:val="right" w:leader="dot" w:pos="9350"/>
            </w:tabs>
            <w:rPr>
              <w:rFonts w:asciiTheme="minorHAnsi" w:hAnsiTheme="minorHAnsi" w:cstheme="minorBidi"/>
              <w:noProof/>
              <w:sz w:val="22"/>
            </w:rPr>
          </w:pPr>
          <w:hyperlink w:history="1" w:anchor="_Toc121854407">
            <w:r w:rsidRPr="00A545B6" w:rsidR="007E07D7">
              <w:rPr>
                <w:rStyle w:val="Hyperlink"/>
                <w:noProof/>
              </w:rPr>
              <w:t>8.4.2.</w:t>
            </w:r>
            <w:r w:rsidR="007E07D7">
              <w:rPr>
                <w:rFonts w:asciiTheme="minorHAnsi" w:hAnsiTheme="minorHAnsi" w:cstheme="minorBidi"/>
                <w:noProof/>
                <w:sz w:val="22"/>
              </w:rPr>
              <w:tab/>
            </w:r>
            <w:r w:rsidRPr="00A545B6" w:rsidR="007E07D7">
              <w:rPr>
                <w:rStyle w:val="Hyperlink"/>
                <w:noProof/>
              </w:rPr>
              <w:t>Nonresidential Successor Tariff</w:t>
            </w:r>
            <w:r w:rsidR="007E07D7">
              <w:rPr>
                <w:noProof/>
                <w:webHidden/>
              </w:rPr>
              <w:tab/>
            </w:r>
            <w:r w:rsidR="007E07D7">
              <w:rPr>
                <w:noProof/>
                <w:webHidden/>
              </w:rPr>
              <w:fldChar w:fldCharType="begin"/>
            </w:r>
            <w:r w:rsidR="007E07D7">
              <w:rPr>
                <w:noProof/>
                <w:webHidden/>
              </w:rPr>
              <w:instrText xml:space="preserve"> PAGEREF _Toc121854407 \h </w:instrText>
            </w:r>
            <w:r w:rsidR="007E07D7">
              <w:rPr>
                <w:noProof/>
                <w:webHidden/>
              </w:rPr>
            </w:r>
            <w:r w:rsidR="007E07D7">
              <w:rPr>
                <w:noProof/>
                <w:webHidden/>
              </w:rPr>
              <w:fldChar w:fldCharType="separate"/>
            </w:r>
            <w:r w:rsidR="007E07D7">
              <w:rPr>
                <w:noProof/>
                <w:webHidden/>
              </w:rPr>
              <w:t>106</w:t>
            </w:r>
            <w:r w:rsidR="007E07D7">
              <w:rPr>
                <w:noProof/>
                <w:webHidden/>
              </w:rPr>
              <w:fldChar w:fldCharType="end"/>
            </w:r>
          </w:hyperlink>
        </w:p>
        <w:p w:rsidR="007E07D7" w:rsidRDefault="00000000" w14:paraId="326427A5" w14:textId="435E9A86">
          <w:pPr>
            <w:pStyle w:val="TOC3"/>
            <w:tabs>
              <w:tab w:val="left" w:pos="1944"/>
              <w:tab w:val="right" w:leader="dot" w:pos="9350"/>
            </w:tabs>
            <w:rPr>
              <w:rFonts w:asciiTheme="minorHAnsi" w:hAnsiTheme="minorHAnsi" w:cstheme="minorBidi"/>
              <w:noProof/>
              <w:sz w:val="22"/>
            </w:rPr>
          </w:pPr>
          <w:hyperlink w:history="1" w:anchor="_Toc121854408">
            <w:r w:rsidRPr="00A545B6" w:rsidR="007E07D7">
              <w:rPr>
                <w:rStyle w:val="Hyperlink"/>
                <w:noProof/>
              </w:rPr>
              <w:t>8.4.3.</w:t>
            </w:r>
            <w:r w:rsidR="007E07D7">
              <w:rPr>
                <w:rFonts w:asciiTheme="minorHAnsi" w:hAnsiTheme="minorHAnsi" w:cstheme="minorBidi"/>
                <w:noProof/>
                <w:sz w:val="22"/>
              </w:rPr>
              <w:tab/>
            </w:r>
            <w:r w:rsidRPr="00A545B6" w:rsidR="007E07D7">
              <w:rPr>
                <w:rStyle w:val="Hyperlink"/>
                <w:noProof/>
              </w:rPr>
              <w:t>Import Rate</w:t>
            </w:r>
            <w:r w:rsidR="007E07D7">
              <w:rPr>
                <w:noProof/>
                <w:webHidden/>
              </w:rPr>
              <w:tab/>
            </w:r>
            <w:r w:rsidR="007E07D7">
              <w:rPr>
                <w:noProof/>
                <w:webHidden/>
              </w:rPr>
              <w:fldChar w:fldCharType="begin"/>
            </w:r>
            <w:r w:rsidR="007E07D7">
              <w:rPr>
                <w:noProof/>
                <w:webHidden/>
              </w:rPr>
              <w:instrText xml:space="preserve"> PAGEREF _Toc121854408 \h </w:instrText>
            </w:r>
            <w:r w:rsidR="007E07D7">
              <w:rPr>
                <w:noProof/>
                <w:webHidden/>
              </w:rPr>
            </w:r>
            <w:r w:rsidR="007E07D7">
              <w:rPr>
                <w:noProof/>
                <w:webHidden/>
              </w:rPr>
              <w:fldChar w:fldCharType="separate"/>
            </w:r>
            <w:r w:rsidR="007E07D7">
              <w:rPr>
                <w:noProof/>
                <w:webHidden/>
              </w:rPr>
              <w:t>108</w:t>
            </w:r>
            <w:r w:rsidR="007E07D7">
              <w:rPr>
                <w:noProof/>
                <w:webHidden/>
              </w:rPr>
              <w:fldChar w:fldCharType="end"/>
            </w:r>
          </w:hyperlink>
        </w:p>
        <w:p w:rsidR="007E07D7" w:rsidRDefault="00000000" w14:paraId="4751BC02" w14:textId="5134C19A">
          <w:pPr>
            <w:pStyle w:val="TOC3"/>
            <w:tabs>
              <w:tab w:val="left" w:pos="1944"/>
              <w:tab w:val="right" w:leader="dot" w:pos="9350"/>
            </w:tabs>
            <w:rPr>
              <w:rFonts w:asciiTheme="minorHAnsi" w:hAnsiTheme="minorHAnsi" w:cstheme="minorBidi"/>
              <w:noProof/>
              <w:sz w:val="22"/>
            </w:rPr>
          </w:pPr>
          <w:hyperlink w:history="1" w:anchor="_Toc121854409">
            <w:r w:rsidRPr="00A545B6" w:rsidR="007E07D7">
              <w:rPr>
                <w:rStyle w:val="Hyperlink"/>
                <w:noProof/>
              </w:rPr>
              <w:t>8.4.4.</w:t>
            </w:r>
            <w:r w:rsidR="007E07D7">
              <w:rPr>
                <w:rFonts w:asciiTheme="minorHAnsi" w:hAnsiTheme="minorHAnsi" w:cstheme="minorBidi"/>
                <w:noProof/>
                <w:sz w:val="22"/>
              </w:rPr>
              <w:tab/>
            </w:r>
            <w:r w:rsidRPr="00A545B6" w:rsidR="007E07D7">
              <w:rPr>
                <w:rStyle w:val="Hyperlink"/>
                <w:noProof/>
              </w:rPr>
              <w:t>Grid Benefits Charges</w:t>
            </w:r>
            <w:r w:rsidR="007E07D7">
              <w:rPr>
                <w:noProof/>
                <w:webHidden/>
              </w:rPr>
              <w:tab/>
            </w:r>
            <w:r w:rsidR="007E07D7">
              <w:rPr>
                <w:noProof/>
                <w:webHidden/>
              </w:rPr>
              <w:fldChar w:fldCharType="begin"/>
            </w:r>
            <w:r w:rsidR="007E07D7">
              <w:rPr>
                <w:noProof/>
                <w:webHidden/>
              </w:rPr>
              <w:instrText xml:space="preserve"> PAGEREF _Toc121854409 \h </w:instrText>
            </w:r>
            <w:r w:rsidR="007E07D7">
              <w:rPr>
                <w:noProof/>
                <w:webHidden/>
              </w:rPr>
            </w:r>
            <w:r w:rsidR="007E07D7">
              <w:rPr>
                <w:noProof/>
                <w:webHidden/>
              </w:rPr>
              <w:fldChar w:fldCharType="separate"/>
            </w:r>
            <w:r w:rsidR="007E07D7">
              <w:rPr>
                <w:noProof/>
                <w:webHidden/>
              </w:rPr>
              <w:t>112</w:t>
            </w:r>
            <w:r w:rsidR="007E07D7">
              <w:rPr>
                <w:noProof/>
                <w:webHidden/>
              </w:rPr>
              <w:fldChar w:fldCharType="end"/>
            </w:r>
          </w:hyperlink>
        </w:p>
        <w:p w:rsidR="007E07D7" w:rsidRDefault="00000000" w14:paraId="25A6751D" w14:textId="5D142D49">
          <w:pPr>
            <w:pStyle w:val="TOC3"/>
            <w:tabs>
              <w:tab w:val="left" w:pos="1944"/>
              <w:tab w:val="right" w:leader="dot" w:pos="9350"/>
            </w:tabs>
            <w:rPr>
              <w:rFonts w:asciiTheme="minorHAnsi" w:hAnsiTheme="minorHAnsi" w:cstheme="minorBidi"/>
              <w:noProof/>
              <w:sz w:val="22"/>
            </w:rPr>
          </w:pPr>
          <w:hyperlink w:history="1" w:anchor="_Toc121854410">
            <w:r w:rsidRPr="00A545B6" w:rsidR="007E07D7">
              <w:rPr>
                <w:rStyle w:val="Hyperlink"/>
                <w:noProof/>
              </w:rPr>
              <w:t>8.4.5.</w:t>
            </w:r>
            <w:r w:rsidR="007E07D7">
              <w:rPr>
                <w:rFonts w:asciiTheme="minorHAnsi" w:hAnsiTheme="minorHAnsi" w:cstheme="minorBidi"/>
                <w:noProof/>
                <w:sz w:val="22"/>
              </w:rPr>
              <w:tab/>
            </w:r>
            <w:r w:rsidRPr="00A545B6" w:rsidR="007E07D7">
              <w:rPr>
                <w:rStyle w:val="Hyperlink"/>
                <w:noProof/>
              </w:rPr>
              <w:t>Non</w:t>
            </w:r>
            <w:r w:rsidRPr="00A545B6" w:rsidR="007E07D7">
              <w:rPr>
                <w:rStyle w:val="Hyperlink"/>
                <w:noProof/>
              </w:rPr>
              <w:noBreakHyphen/>
              <w:t>bypassable Charges</w:t>
            </w:r>
            <w:r w:rsidR="007E07D7">
              <w:rPr>
                <w:noProof/>
                <w:webHidden/>
              </w:rPr>
              <w:tab/>
            </w:r>
            <w:r w:rsidR="007E07D7">
              <w:rPr>
                <w:noProof/>
                <w:webHidden/>
              </w:rPr>
              <w:fldChar w:fldCharType="begin"/>
            </w:r>
            <w:r w:rsidR="007E07D7">
              <w:rPr>
                <w:noProof/>
                <w:webHidden/>
              </w:rPr>
              <w:instrText xml:space="preserve"> PAGEREF _Toc121854410 \h </w:instrText>
            </w:r>
            <w:r w:rsidR="007E07D7">
              <w:rPr>
                <w:noProof/>
                <w:webHidden/>
              </w:rPr>
            </w:r>
            <w:r w:rsidR="007E07D7">
              <w:rPr>
                <w:noProof/>
                <w:webHidden/>
              </w:rPr>
              <w:fldChar w:fldCharType="separate"/>
            </w:r>
            <w:r w:rsidR="007E07D7">
              <w:rPr>
                <w:noProof/>
                <w:webHidden/>
              </w:rPr>
              <w:t>115</w:t>
            </w:r>
            <w:r w:rsidR="007E07D7">
              <w:rPr>
                <w:noProof/>
                <w:webHidden/>
              </w:rPr>
              <w:fldChar w:fldCharType="end"/>
            </w:r>
          </w:hyperlink>
        </w:p>
        <w:p w:rsidR="007E07D7" w:rsidRDefault="00000000" w14:paraId="7DE7B1F2" w14:textId="4CF7C833">
          <w:pPr>
            <w:pStyle w:val="TOC3"/>
            <w:tabs>
              <w:tab w:val="left" w:pos="1944"/>
              <w:tab w:val="right" w:leader="dot" w:pos="9350"/>
            </w:tabs>
            <w:rPr>
              <w:rFonts w:asciiTheme="minorHAnsi" w:hAnsiTheme="minorHAnsi" w:cstheme="minorBidi"/>
              <w:noProof/>
              <w:sz w:val="22"/>
            </w:rPr>
          </w:pPr>
          <w:hyperlink w:history="1" w:anchor="_Toc121854411">
            <w:r w:rsidRPr="00A545B6" w:rsidR="007E07D7">
              <w:rPr>
                <w:rStyle w:val="Hyperlink"/>
                <w:noProof/>
              </w:rPr>
              <w:t>8.4.6.</w:t>
            </w:r>
            <w:r w:rsidR="007E07D7">
              <w:rPr>
                <w:rFonts w:asciiTheme="minorHAnsi" w:hAnsiTheme="minorHAnsi" w:cstheme="minorBidi"/>
                <w:noProof/>
                <w:sz w:val="22"/>
              </w:rPr>
              <w:tab/>
            </w:r>
            <w:r w:rsidRPr="00A545B6" w:rsidR="007E07D7">
              <w:rPr>
                <w:rStyle w:val="Hyperlink"/>
                <w:noProof/>
              </w:rPr>
              <w:t>Glide Path</w:t>
            </w:r>
            <w:r w:rsidR="007E07D7">
              <w:rPr>
                <w:noProof/>
                <w:webHidden/>
              </w:rPr>
              <w:tab/>
            </w:r>
            <w:r w:rsidR="007E07D7">
              <w:rPr>
                <w:noProof/>
                <w:webHidden/>
              </w:rPr>
              <w:fldChar w:fldCharType="begin"/>
            </w:r>
            <w:r w:rsidR="007E07D7">
              <w:rPr>
                <w:noProof/>
                <w:webHidden/>
              </w:rPr>
              <w:instrText xml:space="preserve"> PAGEREF _Toc121854411 \h </w:instrText>
            </w:r>
            <w:r w:rsidR="007E07D7">
              <w:rPr>
                <w:noProof/>
                <w:webHidden/>
              </w:rPr>
            </w:r>
            <w:r w:rsidR="007E07D7">
              <w:rPr>
                <w:noProof/>
                <w:webHidden/>
              </w:rPr>
              <w:fldChar w:fldCharType="separate"/>
            </w:r>
            <w:r w:rsidR="007E07D7">
              <w:rPr>
                <w:noProof/>
                <w:webHidden/>
              </w:rPr>
              <w:t>120</w:t>
            </w:r>
            <w:r w:rsidR="007E07D7">
              <w:rPr>
                <w:noProof/>
                <w:webHidden/>
              </w:rPr>
              <w:fldChar w:fldCharType="end"/>
            </w:r>
          </w:hyperlink>
        </w:p>
        <w:p w:rsidR="007E07D7" w:rsidRDefault="00000000" w14:paraId="3CA29E01" w14:textId="23C4AD6B">
          <w:pPr>
            <w:pStyle w:val="TOC3"/>
            <w:tabs>
              <w:tab w:val="left" w:pos="1944"/>
              <w:tab w:val="right" w:leader="dot" w:pos="9350"/>
            </w:tabs>
            <w:rPr>
              <w:rFonts w:asciiTheme="minorHAnsi" w:hAnsiTheme="minorHAnsi" w:cstheme="minorBidi"/>
              <w:noProof/>
              <w:sz w:val="22"/>
            </w:rPr>
          </w:pPr>
          <w:hyperlink w:history="1" w:anchor="_Toc121854412">
            <w:r w:rsidRPr="00A545B6" w:rsidR="007E07D7">
              <w:rPr>
                <w:rStyle w:val="Hyperlink"/>
                <w:noProof/>
              </w:rPr>
              <w:t>8.4.7.</w:t>
            </w:r>
            <w:r w:rsidR="007E07D7">
              <w:rPr>
                <w:rFonts w:asciiTheme="minorHAnsi" w:hAnsiTheme="minorHAnsi" w:cstheme="minorBidi"/>
                <w:noProof/>
                <w:sz w:val="22"/>
              </w:rPr>
              <w:tab/>
            </w:r>
            <w:r w:rsidRPr="00A545B6" w:rsidR="007E07D7">
              <w:rPr>
                <w:rStyle w:val="Hyperlink"/>
                <w:noProof/>
              </w:rPr>
              <w:t>Minimum Bill</w:t>
            </w:r>
            <w:r w:rsidR="007E07D7">
              <w:rPr>
                <w:noProof/>
                <w:webHidden/>
              </w:rPr>
              <w:tab/>
            </w:r>
            <w:r w:rsidR="007E07D7">
              <w:rPr>
                <w:noProof/>
                <w:webHidden/>
              </w:rPr>
              <w:fldChar w:fldCharType="begin"/>
            </w:r>
            <w:r w:rsidR="007E07D7">
              <w:rPr>
                <w:noProof/>
                <w:webHidden/>
              </w:rPr>
              <w:instrText xml:space="preserve"> PAGEREF _Toc121854412 \h </w:instrText>
            </w:r>
            <w:r w:rsidR="007E07D7">
              <w:rPr>
                <w:noProof/>
                <w:webHidden/>
              </w:rPr>
            </w:r>
            <w:r w:rsidR="007E07D7">
              <w:rPr>
                <w:noProof/>
                <w:webHidden/>
              </w:rPr>
              <w:fldChar w:fldCharType="separate"/>
            </w:r>
            <w:r w:rsidR="007E07D7">
              <w:rPr>
                <w:noProof/>
                <w:webHidden/>
              </w:rPr>
              <w:t>128</w:t>
            </w:r>
            <w:r w:rsidR="007E07D7">
              <w:rPr>
                <w:noProof/>
                <w:webHidden/>
              </w:rPr>
              <w:fldChar w:fldCharType="end"/>
            </w:r>
          </w:hyperlink>
        </w:p>
        <w:p w:rsidR="007E07D7" w:rsidRDefault="00000000" w14:paraId="45946767" w14:textId="1DDD6D65">
          <w:pPr>
            <w:pStyle w:val="TOC3"/>
            <w:tabs>
              <w:tab w:val="left" w:pos="1944"/>
              <w:tab w:val="right" w:leader="dot" w:pos="9350"/>
            </w:tabs>
            <w:rPr>
              <w:rFonts w:asciiTheme="minorHAnsi" w:hAnsiTheme="minorHAnsi" w:cstheme="minorBidi"/>
              <w:noProof/>
              <w:sz w:val="22"/>
            </w:rPr>
          </w:pPr>
          <w:hyperlink w:history="1" w:anchor="_Toc121854413">
            <w:r w:rsidRPr="00A545B6" w:rsidR="007E07D7">
              <w:rPr>
                <w:rStyle w:val="Hyperlink"/>
                <w:noProof/>
              </w:rPr>
              <w:t>8.4.8.</w:t>
            </w:r>
            <w:r w:rsidR="007E07D7">
              <w:rPr>
                <w:rFonts w:asciiTheme="minorHAnsi" w:hAnsiTheme="minorHAnsi" w:cstheme="minorBidi"/>
                <w:noProof/>
                <w:sz w:val="22"/>
              </w:rPr>
              <w:tab/>
            </w:r>
            <w:r w:rsidRPr="00A545B6" w:rsidR="007E07D7">
              <w:rPr>
                <w:rStyle w:val="Hyperlink"/>
                <w:noProof/>
              </w:rPr>
              <w:t>Netting Intervals for the Successor Tariff</w:t>
            </w:r>
            <w:r w:rsidR="007E07D7">
              <w:rPr>
                <w:noProof/>
                <w:webHidden/>
              </w:rPr>
              <w:tab/>
            </w:r>
            <w:r w:rsidR="007E07D7">
              <w:rPr>
                <w:noProof/>
                <w:webHidden/>
              </w:rPr>
              <w:fldChar w:fldCharType="begin"/>
            </w:r>
            <w:r w:rsidR="007E07D7">
              <w:rPr>
                <w:noProof/>
                <w:webHidden/>
              </w:rPr>
              <w:instrText xml:space="preserve"> PAGEREF _Toc121854413 \h </w:instrText>
            </w:r>
            <w:r w:rsidR="007E07D7">
              <w:rPr>
                <w:noProof/>
                <w:webHidden/>
              </w:rPr>
            </w:r>
            <w:r w:rsidR="007E07D7">
              <w:rPr>
                <w:noProof/>
                <w:webHidden/>
              </w:rPr>
              <w:fldChar w:fldCharType="separate"/>
            </w:r>
            <w:r w:rsidR="007E07D7">
              <w:rPr>
                <w:noProof/>
                <w:webHidden/>
              </w:rPr>
              <w:t>129</w:t>
            </w:r>
            <w:r w:rsidR="007E07D7">
              <w:rPr>
                <w:noProof/>
                <w:webHidden/>
              </w:rPr>
              <w:fldChar w:fldCharType="end"/>
            </w:r>
          </w:hyperlink>
        </w:p>
        <w:p w:rsidR="007E07D7" w:rsidRDefault="00000000" w14:paraId="694FA87E" w14:textId="2A58AAB8">
          <w:pPr>
            <w:pStyle w:val="TOC3"/>
            <w:tabs>
              <w:tab w:val="left" w:pos="1944"/>
              <w:tab w:val="right" w:leader="dot" w:pos="9350"/>
            </w:tabs>
            <w:rPr>
              <w:rFonts w:asciiTheme="minorHAnsi" w:hAnsiTheme="minorHAnsi" w:cstheme="minorBidi"/>
              <w:noProof/>
              <w:sz w:val="22"/>
            </w:rPr>
          </w:pPr>
          <w:hyperlink w:history="1" w:anchor="_Toc121854414">
            <w:r w:rsidRPr="00A545B6" w:rsidR="007E07D7">
              <w:rPr>
                <w:rStyle w:val="Hyperlink"/>
                <w:noProof/>
              </w:rPr>
              <w:t>8.4.9.</w:t>
            </w:r>
            <w:r w:rsidR="007E07D7">
              <w:rPr>
                <w:rFonts w:asciiTheme="minorHAnsi" w:hAnsiTheme="minorHAnsi" w:cstheme="minorBidi"/>
                <w:noProof/>
                <w:sz w:val="22"/>
              </w:rPr>
              <w:tab/>
            </w:r>
            <w:r w:rsidRPr="00A545B6" w:rsidR="007E07D7">
              <w:rPr>
                <w:rStyle w:val="Hyperlink"/>
                <w:noProof/>
              </w:rPr>
              <w:t>True</w:t>
            </w:r>
            <w:r w:rsidRPr="00A545B6" w:rsidR="007E07D7">
              <w:rPr>
                <w:rStyle w:val="Hyperlink"/>
                <w:noProof/>
              </w:rPr>
              <w:noBreakHyphen/>
              <w:t>Up Period</w:t>
            </w:r>
            <w:r w:rsidR="007E07D7">
              <w:rPr>
                <w:noProof/>
                <w:webHidden/>
              </w:rPr>
              <w:tab/>
            </w:r>
            <w:r w:rsidR="007E07D7">
              <w:rPr>
                <w:noProof/>
                <w:webHidden/>
              </w:rPr>
              <w:fldChar w:fldCharType="begin"/>
            </w:r>
            <w:r w:rsidR="007E07D7">
              <w:rPr>
                <w:noProof/>
                <w:webHidden/>
              </w:rPr>
              <w:instrText xml:space="preserve"> PAGEREF _Toc121854414 \h </w:instrText>
            </w:r>
            <w:r w:rsidR="007E07D7">
              <w:rPr>
                <w:noProof/>
                <w:webHidden/>
              </w:rPr>
            </w:r>
            <w:r w:rsidR="007E07D7">
              <w:rPr>
                <w:noProof/>
                <w:webHidden/>
              </w:rPr>
              <w:fldChar w:fldCharType="separate"/>
            </w:r>
            <w:r w:rsidR="007E07D7">
              <w:rPr>
                <w:noProof/>
                <w:webHidden/>
              </w:rPr>
              <w:t>134</w:t>
            </w:r>
            <w:r w:rsidR="007E07D7">
              <w:rPr>
                <w:noProof/>
                <w:webHidden/>
              </w:rPr>
              <w:fldChar w:fldCharType="end"/>
            </w:r>
          </w:hyperlink>
        </w:p>
        <w:p w:rsidR="007E07D7" w:rsidRDefault="00000000" w14:paraId="2FFFCDF4" w14:textId="2B5CF09E">
          <w:pPr>
            <w:pStyle w:val="TOC2"/>
            <w:tabs>
              <w:tab w:val="left" w:pos="1123"/>
              <w:tab w:val="right" w:leader="dot" w:pos="9350"/>
            </w:tabs>
            <w:rPr>
              <w:rFonts w:asciiTheme="minorHAnsi" w:hAnsiTheme="minorHAnsi" w:cstheme="minorBidi"/>
              <w:noProof/>
              <w:sz w:val="22"/>
            </w:rPr>
          </w:pPr>
          <w:hyperlink w:history="1" w:anchor="_Toc121854415">
            <w:r w:rsidRPr="00A545B6" w:rsidR="007E07D7">
              <w:rPr>
                <w:rStyle w:val="Hyperlink"/>
                <w:noProof/>
              </w:rPr>
              <w:t>8.5.</w:t>
            </w:r>
            <w:r w:rsidR="007E07D7">
              <w:rPr>
                <w:rFonts w:asciiTheme="minorHAnsi" w:hAnsiTheme="minorHAnsi" w:cstheme="minorBidi"/>
                <w:noProof/>
                <w:sz w:val="22"/>
              </w:rPr>
              <w:tab/>
            </w:r>
            <w:r w:rsidRPr="00A545B6" w:rsidR="007E07D7">
              <w:rPr>
                <w:rStyle w:val="Hyperlink"/>
                <w:noProof/>
              </w:rPr>
              <w:t>The Successor Tariff</w:t>
            </w:r>
            <w:r w:rsidR="007E07D7">
              <w:rPr>
                <w:noProof/>
                <w:webHidden/>
              </w:rPr>
              <w:tab/>
            </w:r>
            <w:r w:rsidR="007E07D7">
              <w:rPr>
                <w:noProof/>
                <w:webHidden/>
              </w:rPr>
              <w:fldChar w:fldCharType="begin"/>
            </w:r>
            <w:r w:rsidR="007E07D7">
              <w:rPr>
                <w:noProof/>
                <w:webHidden/>
              </w:rPr>
              <w:instrText xml:space="preserve"> PAGEREF _Toc121854415 \h </w:instrText>
            </w:r>
            <w:r w:rsidR="007E07D7">
              <w:rPr>
                <w:noProof/>
                <w:webHidden/>
              </w:rPr>
            </w:r>
            <w:r w:rsidR="007E07D7">
              <w:rPr>
                <w:noProof/>
                <w:webHidden/>
              </w:rPr>
              <w:fldChar w:fldCharType="separate"/>
            </w:r>
            <w:r w:rsidR="007E07D7">
              <w:rPr>
                <w:noProof/>
                <w:webHidden/>
              </w:rPr>
              <w:t>137</w:t>
            </w:r>
            <w:r w:rsidR="007E07D7">
              <w:rPr>
                <w:noProof/>
                <w:webHidden/>
              </w:rPr>
              <w:fldChar w:fldCharType="end"/>
            </w:r>
          </w:hyperlink>
        </w:p>
        <w:p w:rsidR="007E07D7" w:rsidRDefault="00000000" w14:paraId="038CDDDD" w14:textId="010A46BB">
          <w:pPr>
            <w:pStyle w:val="TOC3"/>
            <w:tabs>
              <w:tab w:val="left" w:pos="1944"/>
              <w:tab w:val="right" w:leader="dot" w:pos="9350"/>
            </w:tabs>
            <w:rPr>
              <w:rFonts w:asciiTheme="minorHAnsi" w:hAnsiTheme="minorHAnsi" w:cstheme="minorBidi"/>
              <w:noProof/>
              <w:sz w:val="22"/>
            </w:rPr>
          </w:pPr>
          <w:hyperlink w:history="1" w:anchor="_Toc121854416">
            <w:r w:rsidRPr="00A545B6" w:rsidR="007E07D7">
              <w:rPr>
                <w:rStyle w:val="Hyperlink"/>
                <w:noProof/>
              </w:rPr>
              <w:t>8.5.1.</w:t>
            </w:r>
            <w:r w:rsidR="007E07D7">
              <w:rPr>
                <w:rFonts w:asciiTheme="minorHAnsi" w:hAnsiTheme="minorHAnsi" w:cstheme="minorBidi"/>
                <w:noProof/>
                <w:sz w:val="22"/>
              </w:rPr>
              <w:tab/>
            </w:r>
            <w:r w:rsidRPr="00A545B6" w:rsidR="007E07D7">
              <w:rPr>
                <w:rStyle w:val="Hyperlink"/>
                <w:noProof/>
              </w:rPr>
              <w:t>Retail Export Compensation Rates Based on Avoided Cost Calculator Values</w:t>
            </w:r>
            <w:r w:rsidR="007E07D7">
              <w:rPr>
                <w:noProof/>
                <w:webHidden/>
              </w:rPr>
              <w:tab/>
            </w:r>
            <w:r w:rsidR="007E07D7">
              <w:rPr>
                <w:noProof/>
                <w:webHidden/>
              </w:rPr>
              <w:fldChar w:fldCharType="begin"/>
            </w:r>
            <w:r w:rsidR="007E07D7">
              <w:rPr>
                <w:noProof/>
                <w:webHidden/>
              </w:rPr>
              <w:instrText xml:space="preserve"> PAGEREF _Toc121854416 \h </w:instrText>
            </w:r>
            <w:r w:rsidR="007E07D7">
              <w:rPr>
                <w:noProof/>
                <w:webHidden/>
              </w:rPr>
            </w:r>
            <w:r w:rsidR="007E07D7">
              <w:rPr>
                <w:noProof/>
                <w:webHidden/>
              </w:rPr>
              <w:fldChar w:fldCharType="separate"/>
            </w:r>
            <w:r w:rsidR="007E07D7">
              <w:rPr>
                <w:noProof/>
                <w:webHidden/>
              </w:rPr>
              <w:t>138</w:t>
            </w:r>
            <w:r w:rsidR="007E07D7">
              <w:rPr>
                <w:noProof/>
                <w:webHidden/>
              </w:rPr>
              <w:fldChar w:fldCharType="end"/>
            </w:r>
          </w:hyperlink>
        </w:p>
        <w:p w:rsidR="007E07D7" w:rsidRDefault="00000000" w14:paraId="4E28210E" w14:textId="0ED996EF">
          <w:pPr>
            <w:pStyle w:val="TOC3"/>
            <w:tabs>
              <w:tab w:val="left" w:pos="1944"/>
              <w:tab w:val="right" w:leader="dot" w:pos="9350"/>
            </w:tabs>
            <w:rPr>
              <w:rFonts w:asciiTheme="minorHAnsi" w:hAnsiTheme="minorHAnsi" w:cstheme="minorBidi"/>
              <w:noProof/>
              <w:sz w:val="22"/>
            </w:rPr>
          </w:pPr>
          <w:hyperlink w:history="1" w:anchor="_Toc121854417">
            <w:r w:rsidRPr="00A545B6" w:rsidR="007E07D7">
              <w:rPr>
                <w:rStyle w:val="Hyperlink"/>
                <w:noProof/>
              </w:rPr>
              <w:t>8.5.2.</w:t>
            </w:r>
            <w:r w:rsidR="007E07D7">
              <w:rPr>
                <w:rFonts w:asciiTheme="minorHAnsi" w:hAnsiTheme="minorHAnsi" w:cstheme="minorBidi"/>
                <w:noProof/>
                <w:sz w:val="22"/>
              </w:rPr>
              <w:tab/>
            </w:r>
            <w:r w:rsidRPr="00A545B6" w:rsidR="007E07D7">
              <w:rPr>
                <w:rStyle w:val="Hyperlink"/>
                <w:noProof/>
              </w:rPr>
              <w:t>ACC Plus Glide Path as a Transition to Solar Paired with Storage</w:t>
            </w:r>
            <w:r w:rsidR="007E07D7">
              <w:rPr>
                <w:noProof/>
                <w:webHidden/>
              </w:rPr>
              <w:tab/>
            </w:r>
            <w:r w:rsidR="007E07D7">
              <w:rPr>
                <w:noProof/>
                <w:webHidden/>
              </w:rPr>
              <w:fldChar w:fldCharType="begin"/>
            </w:r>
            <w:r w:rsidR="007E07D7">
              <w:rPr>
                <w:noProof/>
                <w:webHidden/>
              </w:rPr>
              <w:instrText xml:space="preserve"> PAGEREF _Toc121854417 \h </w:instrText>
            </w:r>
            <w:r w:rsidR="007E07D7">
              <w:rPr>
                <w:noProof/>
                <w:webHidden/>
              </w:rPr>
            </w:r>
            <w:r w:rsidR="007E07D7">
              <w:rPr>
                <w:noProof/>
                <w:webHidden/>
              </w:rPr>
              <w:fldChar w:fldCharType="separate"/>
            </w:r>
            <w:r w:rsidR="007E07D7">
              <w:rPr>
                <w:noProof/>
                <w:webHidden/>
              </w:rPr>
              <w:t>147</w:t>
            </w:r>
            <w:r w:rsidR="007E07D7">
              <w:rPr>
                <w:noProof/>
                <w:webHidden/>
              </w:rPr>
              <w:fldChar w:fldCharType="end"/>
            </w:r>
          </w:hyperlink>
        </w:p>
        <w:p w:rsidR="007E07D7" w:rsidRDefault="00000000" w14:paraId="7488F1A5" w14:textId="5003D90F">
          <w:pPr>
            <w:pStyle w:val="TOC3"/>
            <w:tabs>
              <w:tab w:val="left" w:pos="1944"/>
              <w:tab w:val="right" w:leader="dot" w:pos="9350"/>
            </w:tabs>
            <w:rPr>
              <w:rFonts w:asciiTheme="minorHAnsi" w:hAnsiTheme="minorHAnsi" w:cstheme="minorBidi"/>
              <w:noProof/>
              <w:sz w:val="22"/>
            </w:rPr>
          </w:pPr>
          <w:hyperlink w:history="1" w:anchor="_Toc121854418">
            <w:r w:rsidRPr="00A545B6" w:rsidR="007E07D7">
              <w:rPr>
                <w:rStyle w:val="Hyperlink"/>
                <w:noProof/>
              </w:rPr>
              <w:t>8.5.3.</w:t>
            </w:r>
            <w:r w:rsidR="007E07D7">
              <w:rPr>
                <w:rFonts w:asciiTheme="minorHAnsi" w:hAnsiTheme="minorHAnsi" w:cstheme="minorBidi"/>
                <w:noProof/>
                <w:sz w:val="22"/>
              </w:rPr>
              <w:tab/>
            </w:r>
            <w:r w:rsidRPr="00A545B6" w:rsidR="007E07D7">
              <w:rPr>
                <w:rStyle w:val="Hyperlink"/>
                <w:noProof/>
              </w:rPr>
              <w:t>Rate Structure</w:t>
            </w:r>
            <w:r w:rsidR="007E07D7">
              <w:rPr>
                <w:noProof/>
                <w:webHidden/>
              </w:rPr>
              <w:tab/>
            </w:r>
            <w:r w:rsidR="007E07D7">
              <w:rPr>
                <w:noProof/>
                <w:webHidden/>
              </w:rPr>
              <w:fldChar w:fldCharType="begin"/>
            </w:r>
            <w:r w:rsidR="007E07D7">
              <w:rPr>
                <w:noProof/>
                <w:webHidden/>
              </w:rPr>
              <w:instrText xml:space="preserve"> PAGEREF _Toc121854418 \h </w:instrText>
            </w:r>
            <w:r w:rsidR="007E07D7">
              <w:rPr>
                <w:noProof/>
                <w:webHidden/>
              </w:rPr>
            </w:r>
            <w:r w:rsidR="007E07D7">
              <w:rPr>
                <w:noProof/>
                <w:webHidden/>
              </w:rPr>
              <w:fldChar w:fldCharType="separate"/>
            </w:r>
            <w:r w:rsidR="007E07D7">
              <w:rPr>
                <w:noProof/>
                <w:webHidden/>
              </w:rPr>
              <w:t>159</w:t>
            </w:r>
            <w:r w:rsidR="007E07D7">
              <w:rPr>
                <w:noProof/>
                <w:webHidden/>
              </w:rPr>
              <w:fldChar w:fldCharType="end"/>
            </w:r>
          </w:hyperlink>
        </w:p>
        <w:p w:rsidR="007E07D7" w:rsidRDefault="00000000" w14:paraId="44AB45CC" w14:textId="7B384950">
          <w:pPr>
            <w:pStyle w:val="TOC3"/>
            <w:tabs>
              <w:tab w:val="left" w:pos="1944"/>
              <w:tab w:val="right" w:leader="dot" w:pos="9350"/>
            </w:tabs>
            <w:rPr>
              <w:rFonts w:asciiTheme="minorHAnsi" w:hAnsiTheme="minorHAnsi" w:cstheme="minorBidi"/>
              <w:noProof/>
              <w:sz w:val="22"/>
            </w:rPr>
          </w:pPr>
          <w:hyperlink w:history="1" w:anchor="_Toc121854419">
            <w:r w:rsidRPr="00A545B6" w:rsidR="007E07D7">
              <w:rPr>
                <w:rStyle w:val="Hyperlink"/>
                <w:noProof/>
              </w:rPr>
              <w:t>8.5.4.</w:t>
            </w:r>
            <w:r w:rsidR="007E07D7">
              <w:rPr>
                <w:rFonts w:asciiTheme="minorHAnsi" w:hAnsiTheme="minorHAnsi" w:cstheme="minorBidi"/>
                <w:noProof/>
                <w:sz w:val="22"/>
              </w:rPr>
              <w:tab/>
            </w:r>
            <w:r w:rsidRPr="00A545B6" w:rsidR="007E07D7">
              <w:rPr>
                <w:rStyle w:val="Hyperlink"/>
                <w:noProof/>
              </w:rPr>
              <w:t>Terms of Service and Billing Rules</w:t>
            </w:r>
            <w:r w:rsidR="007E07D7">
              <w:rPr>
                <w:noProof/>
                <w:webHidden/>
              </w:rPr>
              <w:tab/>
            </w:r>
            <w:r w:rsidR="007E07D7">
              <w:rPr>
                <w:noProof/>
                <w:webHidden/>
              </w:rPr>
              <w:fldChar w:fldCharType="begin"/>
            </w:r>
            <w:r w:rsidR="007E07D7">
              <w:rPr>
                <w:noProof/>
                <w:webHidden/>
              </w:rPr>
              <w:instrText xml:space="preserve"> PAGEREF _Toc121854419 \h </w:instrText>
            </w:r>
            <w:r w:rsidR="007E07D7">
              <w:rPr>
                <w:noProof/>
                <w:webHidden/>
              </w:rPr>
            </w:r>
            <w:r w:rsidR="007E07D7">
              <w:rPr>
                <w:noProof/>
                <w:webHidden/>
              </w:rPr>
              <w:fldChar w:fldCharType="separate"/>
            </w:r>
            <w:r w:rsidR="007E07D7">
              <w:rPr>
                <w:noProof/>
                <w:webHidden/>
              </w:rPr>
              <w:t>163</w:t>
            </w:r>
            <w:r w:rsidR="007E07D7">
              <w:rPr>
                <w:noProof/>
                <w:webHidden/>
              </w:rPr>
              <w:fldChar w:fldCharType="end"/>
            </w:r>
          </w:hyperlink>
        </w:p>
        <w:p w:rsidR="007E07D7" w:rsidRDefault="00000000" w14:paraId="79A16A83" w14:textId="41BF7EAE">
          <w:pPr>
            <w:pStyle w:val="TOC3"/>
            <w:tabs>
              <w:tab w:val="left" w:pos="1944"/>
              <w:tab w:val="right" w:leader="dot" w:pos="9350"/>
            </w:tabs>
            <w:rPr>
              <w:rFonts w:asciiTheme="minorHAnsi" w:hAnsiTheme="minorHAnsi" w:cstheme="minorBidi"/>
              <w:noProof/>
              <w:sz w:val="22"/>
            </w:rPr>
          </w:pPr>
          <w:hyperlink w:history="1" w:anchor="_Toc121854420">
            <w:r w:rsidRPr="00A545B6" w:rsidR="007E07D7">
              <w:rPr>
                <w:rStyle w:val="Hyperlink"/>
                <w:noProof/>
              </w:rPr>
              <w:t>8.5.5.</w:t>
            </w:r>
            <w:r w:rsidR="007E07D7">
              <w:rPr>
                <w:rFonts w:asciiTheme="minorHAnsi" w:hAnsiTheme="minorHAnsi" w:cstheme="minorBidi"/>
                <w:noProof/>
                <w:sz w:val="22"/>
              </w:rPr>
              <w:tab/>
            </w:r>
            <w:r w:rsidRPr="00A545B6" w:rsidR="007E07D7">
              <w:rPr>
                <w:rStyle w:val="Hyperlink"/>
                <w:noProof/>
              </w:rPr>
              <w:t>Analysis Results of the Successor Tariff</w:t>
            </w:r>
            <w:r w:rsidR="007E07D7">
              <w:rPr>
                <w:noProof/>
                <w:webHidden/>
              </w:rPr>
              <w:tab/>
            </w:r>
            <w:r w:rsidR="007E07D7">
              <w:rPr>
                <w:noProof/>
                <w:webHidden/>
              </w:rPr>
              <w:fldChar w:fldCharType="begin"/>
            </w:r>
            <w:r w:rsidR="007E07D7">
              <w:rPr>
                <w:noProof/>
                <w:webHidden/>
              </w:rPr>
              <w:instrText xml:space="preserve"> PAGEREF _Toc121854420 \h </w:instrText>
            </w:r>
            <w:r w:rsidR="007E07D7">
              <w:rPr>
                <w:noProof/>
                <w:webHidden/>
              </w:rPr>
            </w:r>
            <w:r w:rsidR="007E07D7">
              <w:rPr>
                <w:noProof/>
                <w:webHidden/>
              </w:rPr>
              <w:fldChar w:fldCharType="separate"/>
            </w:r>
            <w:r w:rsidR="007E07D7">
              <w:rPr>
                <w:noProof/>
                <w:webHidden/>
              </w:rPr>
              <w:t>167</w:t>
            </w:r>
            <w:r w:rsidR="007E07D7">
              <w:rPr>
                <w:noProof/>
                <w:webHidden/>
              </w:rPr>
              <w:fldChar w:fldCharType="end"/>
            </w:r>
          </w:hyperlink>
        </w:p>
        <w:p w:rsidR="007E07D7" w:rsidRDefault="00000000" w14:paraId="408027C3" w14:textId="43158335">
          <w:pPr>
            <w:pStyle w:val="TOC2"/>
            <w:tabs>
              <w:tab w:val="left" w:pos="1123"/>
              <w:tab w:val="right" w:leader="dot" w:pos="9350"/>
            </w:tabs>
            <w:rPr>
              <w:rFonts w:asciiTheme="minorHAnsi" w:hAnsiTheme="minorHAnsi" w:cstheme="minorBidi"/>
              <w:noProof/>
              <w:sz w:val="22"/>
            </w:rPr>
          </w:pPr>
          <w:hyperlink w:history="1" w:anchor="_Toc121854421">
            <w:r w:rsidRPr="00A545B6" w:rsidR="007E07D7">
              <w:rPr>
                <w:rStyle w:val="Hyperlink"/>
                <w:noProof/>
              </w:rPr>
              <w:t>8.6.</w:t>
            </w:r>
            <w:r w:rsidR="007E07D7">
              <w:rPr>
                <w:rFonts w:asciiTheme="minorHAnsi" w:hAnsiTheme="minorHAnsi" w:cstheme="minorBidi"/>
                <w:noProof/>
                <w:sz w:val="22"/>
              </w:rPr>
              <w:tab/>
            </w:r>
            <w:r w:rsidRPr="00A545B6" w:rsidR="007E07D7">
              <w:rPr>
                <w:rStyle w:val="Hyperlink"/>
                <w:noProof/>
              </w:rPr>
              <w:t>Related Issues and Tariffs</w:t>
            </w:r>
            <w:r w:rsidR="007E07D7">
              <w:rPr>
                <w:noProof/>
                <w:webHidden/>
              </w:rPr>
              <w:tab/>
            </w:r>
            <w:r w:rsidR="007E07D7">
              <w:rPr>
                <w:noProof/>
                <w:webHidden/>
              </w:rPr>
              <w:fldChar w:fldCharType="begin"/>
            </w:r>
            <w:r w:rsidR="007E07D7">
              <w:rPr>
                <w:noProof/>
                <w:webHidden/>
              </w:rPr>
              <w:instrText xml:space="preserve"> PAGEREF _Toc121854421 \h </w:instrText>
            </w:r>
            <w:r w:rsidR="007E07D7">
              <w:rPr>
                <w:noProof/>
                <w:webHidden/>
              </w:rPr>
            </w:r>
            <w:r w:rsidR="007E07D7">
              <w:rPr>
                <w:noProof/>
                <w:webHidden/>
              </w:rPr>
              <w:fldChar w:fldCharType="separate"/>
            </w:r>
            <w:r w:rsidR="007E07D7">
              <w:rPr>
                <w:noProof/>
                <w:webHidden/>
              </w:rPr>
              <w:t>171</w:t>
            </w:r>
            <w:r w:rsidR="007E07D7">
              <w:rPr>
                <w:noProof/>
                <w:webHidden/>
              </w:rPr>
              <w:fldChar w:fldCharType="end"/>
            </w:r>
          </w:hyperlink>
        </w:p>
        <w:p w:rsidR="007E07D7" w:rsidRDefault="00000000" w14:paraId="0F824D91" w14:textId="5727154D">
          <w:pPr>
            <w:pStyle w:val="TOC3"/>
            <w:tabs>
              <w:tab w:val="left" w:pos="1944"/>
              <w:tab w:val="right" w:leader="dot" w:pos="9350"/>
            </w:tabs>
            <w:rPr>
              <w:rFonts w:asciiTheme="minorHAnsi" w:hAnsiTheme="minorHAnsi" w:cstheme="minorBidi"/>
              <w:noProof/>
              <w:sz w:val="22"/>
            </w:rPr>
          </w:pPr>
          <w:hyperlink w:history="1" w:anchor="_Toc121854422">
            <w:r w:rsidRPr="00A545B6" w:rsidR="007E07D7">
              <w:rPr>
                <w:rStyle w:val="Hyperlink"/>
                <w:noProof/>
              </w:rPr>
              <w:t>8.6.1.</w:t>
            </w:r>
            <w:r w:rsidR="007E07D7">
              <w:rPr>
                <w:rFonts w:asciiTheme="minorHAnsi" w:hAnsiTheme="minorHAnsi" w:cstheme="minorBidi"/>
                <w:noProof/>
                <w:sz w:val="22"/>
              </w:rPr>
              <w:tab/>
            </w:r>
            <w:r w:rsidRPr="00A545B6" w:rsidR="007E07D7">
              <w:rPr>
                <w:rStyle w:val="Hyperlink"/>
                <w:noProof/>
              </w:rPr>
              <w:t>Low</w:t>
            </w:r>
            <w:r w:rsidRPr="00A545B6" w:rsidR="007E07D7">
              <w:rPr>
                <w:rStyle w:val="Hyperlink"/>
                <w:noProof/>
              </w:rPr>
              <w:noBreakHyphen/>
              <w:t xml:space="preserve"> Income Customers</w:t>
            </w:r>
            <w:r w:rsidR="007E07D7">
              <w:rPr>
                <w:noProof/>
                <w:webHidden/>
              </w:rPr>
              <w:tab/>
            </w:r>
            <w:r w:rsidR="007E07D7">
              <w:rPr>
                <w:noProof/>
                <w:webHidden/>
              </w:rPr>
              <w:fldChar w:fldCharType="begin"/>
            </w:r>
            <w:r w:rsidR="007E07D7">
              <w:rPr>
                <w:noProof/>
                <w:webHidden/>
              </w:rPr>
              <w:instrText xml:space="preserve"> PAGEREF _Toc121854422 \h </w:instrText>
            </w:r>
            <w:r w:rsidR="007E07D7">
              <w:rPr>
                <w:noProof/>
                <w:webHidden/>
              </w:rPr>
            </w:r>
            <w:r w:rsidR="007E07D7">
              <w:rPr>
                <w:noProof/>
                <w:webHidden/>
              </w:rPr>
              <w:fldChar w:fldCharType="separate"/>
            </w:r>
            <w:r w:rsidR="007E07D7">
              <w:rPr>
                <w:noProof/>
                <w:webHidden/>
              </w:rPr>
              <w:t>171</w:t>
            </w:r>
            <w:r w:rsidR="007E07D7">
              <w:rPr>
                <w:noProof/>
                <w:webHidden/>
              </w:rPr>
              <w:fldChar w:fldCharType="end"/>
            </w:r>
          </w:hyperlink>
        </w:p>
        <w:p w:rsidR="007E07D7" w:rsidRDefault="00000000" w14:paraId="14E67278" w14:textId="677EF90B">
          <w:pPr>
            <w:pStyle w:val="TOC3"/>
            <w:tabs>
              <w:tab w:val="left" w:pos="1944"/>
              <w:tab w:val="right" w:leader="dot" w:pos="9350"/>
            </w:tabs>
            <w:rPr>
              <w:rFonts w:asciiTheme="minorHAnsi" w:hAnsiTheme="minorHAnsi" w:cstheme="minorBidi"/>
              <w:noProof/>
              <w:sz w:val="22"/>
            </w:rPr>
          </w:pPr>
          <w:hyperlink w:history="1" w:anchor="_Toc121854423">
            <w:r w:rsidRPr="00A545B6" w:rsidR="007E07D7">
              <w:rPr>
                <w:rStyle w:val="Hyperlink"/>
                <w:noProof/>
              </w:rPr>
              <w:t>8.6.2.</w:t>
            </w:r>
            <w:r w:rsidR="007E07D7">
              <w:rPr>
                <w:rFonts w:asciiTheme="minorHAnsi" w:hAnsiTheme="minorHAnsi" w:cstheme="minorBidi"/>
                <w:noProof/>
                <w:sz w:val="22"/>
              </w:rPr>
              <w:tab/>
            </w:r>
            <w:r w:rsidRPr="00A545B6" w:rsidR="007E07D7">
              <w:rPr>
                <w:rStyle w:val="Hyperlink"/>
                <w:noProof/>
              </w:rPr>
              <w:t>Virtual Net Energy Metering and Net Energy Metering Aggregation</w:t>
            </w:r>
            <w:r w:rsidR="007E07D7">
              <w:rPr>
                <w:noProof/>
                <w:webHidden/>
              </w:rPr>
              <w:tab/>
            </w:r>
            <w:r w:rsidR="007E07D7">
              <w:rPr>
                <w:noProof/>
                <w:webHidden/>
              </w:rPr>
              <w:fldChar w:fldCharType="begin"/>
            </w:r>
            <w:r w:rsidR="007E07D7">
              <w:rPr>
                <w:noProof/>
                <w:webHidden/>
              </w:rPr>
              <w:instrText xml:space="preserve"> PAGEREF _Toc121854423 \h </w:instrText>
            </w:r>
            <w:r w:rsidR="007E07D7">
              <w:rPr>
                <w:noProof/>
                <w:webHidden/>
              </w:rPr>
            </w:r>
            <w:r w:rsidR="007E07D7">
              <w:rPr>
                <w:noProof/>
                <w:webHidden/>
              </w:rPr>
              <w:fldChar w:fldCharType="separate"/>
            </w:r>
            <w:r w:rsidR="007E07D7">
              <w:rPr>
                <w:noProof/>
                <w:webHidden/>
              </w:rPr>
              <w:t>181</w:t>
            </w:r>
            <w:r w:rsidR="007E07D7">
              <w:rPr>
                <w:noProof/>
                <w:webHidden/>
              </w:rPr>
              <w:fldChar w:fldCharType="end"/>
            </w:r>
          </w:hyperlink>
        </w:p>
        <w:p w:rsidR="007E07D7" w:rsidRDefault="00000000" w14:paraId="67C2214F" w14:textId="6F7FBA12">
          <w:pPr>
            <w:pStyle w:val="TOC3"/>
            <w:tabs>
              <w:tab w:val="left" w:pos="1944"/>
              <w:tab w:val="right" w:leader="dot" w:pos="9350"/>
            </w:tabs>
            <w:rPr>
              <w:rFonts w:asciiTheme="minorHAnsi" w:hAnsiTheme="minorHAnsi" w:cstheme="minorBidi"/>
              <w:noProof/>
              <w:sz w:val="22"/>
            </w:rPr>
          </w:pPr>
          <w:hyperlink w:history="1" w:anchor="_Toc121854424">
            <w:r w:rsidRPr="00A545B6" w:rsidR="007E07D7">
              <w:rPr>
                <w:rStyle w:val="Hyperlink"/>
                <w:noProof/>
              </w:rPr>
              <w:t>8.6.3.</w:t>
            </w:r>
            <w:r w:rsidR="007E07D7">
              <w:rPr>
                <w:rFonts w:asciiTheme="minorHAnsi" w:hAnsiTheme="minorHAnsi" w:cstheme="minorBidi"/>
                <w:noProof/>
                <w:sz w:val="22"/>
              </w:rPr>
              <w:tab/>
            </w:r>
            <w:r w:rsidRPr="00A545B6" w:rsidR="007E07D7">
              <w:rPr>
                <w:rStyle w:val="Hyperlink"/>
                <w:noProof/>
              </w:rPr>
              <w:t>Community Project Tariffs</w:t>
            </w:r>
            <w:r w:rsidR="007E07D7">
              <w:rPr>
                <w:noProof/>
                <w:webHidden/>
              </w:rPr>
              <w:tab/>
            </w:r>
            <w:r w:rsidR="007E07D7">
              <w:rPr>
                <w:noProof/>
                <w:webHidden/>
              </w:rPr>
              <w:fldChar w:fldCharType="begin"/>
            </w:r>
            <w:r w:rsidR="007E07D7">
              <w:rPr>
                <w:noProof/>
                <w:webHidden/>
              </w:rPr>
              <w:instrText xml:space="preserve"> PAGEREF _Toc121854424 \h </w:instrText>
            </w:r>
            <w:r w:rsidR="007E07D7">
              <w:rPr>
                <w:noProof/>
                <w:webHidden/>
              </w:rPr>
            </w:r>
            <w:r w:rsidR="007E07D7">
              <w:rPr>
                <w:noProof/>
                <w:webHidden/>
              </w:rPr>
              <w:fldChar w:fldCharType="separate"/>
            </w:r>
            <w:r w:rsidR="007E07D7">
              <w:rPr>
                <w:noProof/>
                <w:webHidden/>
              </w:rPr>
              <w:t>187</w:t>
            </w:r>
            <w:r w:rsidR="007E07D7">
              <w:rPr>
                <w:noProof/>
                <w:webHidden/>
              </w:rPr>
              <w:fldChar w:fldCharType="end"/>
            </w:r>
          </w:hyperlink>
        </w:p>
        <w:p w:rsidR="007E07D7" w:rsidRDefault="00000000" w14:paraId="1D84CAFD" w14:textId="6B6286BA">
          <w:pPr>
            <w:pStyle w:val="TOC3"/>
            <w:tabs>
              <w:tab w:val="left" w:pos="1944"/>
              <w:tab w:val="right" w:leader="dot" w:pos="9350"/>
            </w:tabs>
            <w:rPr>
              <w:rFonts w:asciiTheme="minorHAnsi" w:hAnsiTheme="minorHAnsi" w:cstheme="minorBidi"/>
              <w:noProof/>
              <w:sz w:val="22"/>
            </w:rPr>
          </w:pPr>
          <w:hyperlink w:history="1" w:anchor="_Toc121854425">
            <w:r w:rsidRPr="00A545B6" w:rsidR="007E07D7">
              <w:rPr>
                <w:rStyle w:val="Hyperlink"/>
                <w:noProof/>
              </w:rPr>
              <w:t>8.6.4.</w:t>
            </w:r>
            <w:r w:rsidR="007E07D7">
              <w:rPr>
                <w:rFonts w:asciiTheme="minorHAnsi" w:hAnsiTheme="minorHAnsi" w:cstheme="minorBidi"/>
                <w:noProof/>
                <w:sz w:val="22"/>
              </w:rPr>
              <w:tab/>
            </w:r>
            <w:r w:rsidRPr="00A545B6" w:rsidR="007E07D7">
              <w:rPr>
                <w:rStyle w:val="Hyperlink"/>
                <w:noProof/>
              </w:rPr>
              <w:t>Revisions to NEM 1.0 and NEM 2.0 Tariffs</w:t>
            </w:r>
            <w:r w:rsidR="007E07D7">
              <w:rPr>
                <w:noProof/>
                <w:webHidden/>
              </w:rPr>
              <w:tab/>
            </w:r>
            <w:r w:rsidR="007E07D7">
              <w:rPr>
                <w:noProof/>
                <w:webHidden/>
              </w:rPr>
              <w:fldChar w:fldCharType="begin"/>
            </w:r>
            <w:r w:rsidR="007E07D7">
              <w:rPr>
                <w:noProof/>
                <w:webHidden/>
              </w:rPr>
              <w:instrText xml:space="preserve"> PAGEREF _Toc121854425 \h </w:instrText>
            </w:r>
            <w:r w:rsidR="007E07D7">
              <w:rPr>
                <w:noProof/>
                <w:webHidden/>
              </w:rPr>
            </w:r>
            <w:r w:rsidR="007E07D7">
              <w:rPr>
                <w:noProof/>
                <w:webHidden/>
              </w:rPr>
              <w:fldChar w:fldCharType="separate"/>
            </w:r>
            <w:r w:rsidR="007E07D7">
              <w:rPr>
                <w:noProof/>
                <w:webHidden/>
              </w:rPr>
              <w:t>189</w:t>
            </w:r>
            <w:r w:rsidR="007E07D7">
              <w:rPr>
                <w:noProof/>
                <w:webHidden/>
              </w:rPr>
              <w:fldChar w:fldCharType="end"/>
            </w:r>
          </w:hyperlink>
        </w:p>
        <w:p w:rsidR="007E07D7" w:rsidRDefault="00000000" w14:paraId="0A6C05FC" w14:textId="5BD3E43C">
          <w:pPr>
            <w:pStyle w:val="TOC2"/>
            <w:tabs>
              <w:tab w:val="left" w:pos="1123"/>
              <w:tab w:val="right" w:leader="dot" w:pos="9350"/>
            </w:tabs>
            <w:rPr>
              <w:rFonts w:asciiTheme="minorHAnsi" w:hAnsiTheme="minorHAnsi" w:cstheme="minorBidi"/>
              <w:noProof/>
              <w:sz w:val="22"/>
            </w:rPr>
          </w:pPr>
          <w:hyperlink w:history="1" w:anchor="_Toc121854426">
            <w:r w:rsidRPr="00A545B6" w:rsidR="007E07D7">
              <w:rPr>
                <w:rStyle w:val="Hyperlink"/>
                <w:noProof/>
              </w:rPr>
              <w:t>8.7.</w:t>
            </w:r>
            <w:r w:rsidR="007E07D7">
              <w:rPr>
                <w:rFonts w:asciiTheme="minorHAnsi" w:hAnsiTheme="minorHAnsi" w:cstheme="minorBidi"/>
                <w:noProof/>
                <w:sz w:val="22"/>
              </w:rPr>
              <w:tab/>
            </w:r>
            <w:r w:rsidRPr="00A545B6" w:rsidR="007E07D7">
              <w:rPr>
                <w:rStyle w:val="Hyperlink"/>
                <w:noProof/>
              </w:rPr>
              <w:t>Implementation of the Successor Tariffs</w:t>
            </w:r>
            <w:r w:rsidR="007E07D7">
              <w:rPr>
                <w:noProof/>
                <w:webHidden/>
              </w:rPr>
              <w:tab/>
            </w:r>
            <w:r w:rsidR="007E07D7">
              <w:rPr>
                <w:noProof/>
                <w:webHidden/>
              </w:rPr>
              <w:fldChar w:fldCharType="begin"/>
            </w:r>
            <w:r w:rsidR="007E07D7">
              <w:rPr>
                <w:noProof/>
                <w:webHidden/>
              </w:rPr>
              <w:instrText xml:space="preserve"> PAGEREF _Toc121854426 \h </w:instrText>
            </w:r>
            <w:r w:rsidR="007E07D7">
              <w:rPr>
                <w:noProof/>
                <w:webHidden/>
              </w:rPr>
            </w:r>
            <w:r w:rsidR="007E07D7">
              <w:rPr>
                <w:noProof/>
                <w:webHidden/>
              </w:rPr>
              <w:fldChar w:fldCharType="separate"/>
            </w:r>
            <w:r w:rsidR="007E07D7">
              <w:rPr>
                <w:noProof/>
                <w:webHidden/>
              </w:rPr>
              <w:t>194</w:t>
            </w:r>
            <w:r w:rsidR="007E07D7">
              <w:rPr>
                <w:noProof/>
                <w:webHidden/>
              </w:rPr>
              <w:fldChar w:fldCharType="end"/>
            </w:r>
          </w:hyperlink>
        </w:p>
        <w:p w:rsidR="007E07D7" w:rsidRDefault="00000000" w14:paraId="6D2E3F41" w14:textId="10DC6F23">
          <w:pPr>
            <w:pStyle w:val="TOC2"/>
            <w:tabs>
              <w:tab w:val="left" w:pos="1123"/>
              <w:tab w:val="right" w:leader="dot" w:pos="9350"/>
            </w:tabs>
            <w:rPr>
              <w:rFonts w:asciiTheme="minorHAnsi" w:hAnsiTheme="minorHAnsi" w:cstheme="minorBidi"/>
              <w:noProof/>
              <w:sz w:val="22"/>
            </w:rPr>
          </w:pPr>
          <w:hyperlink w:history="1" w:anchor="_Toc121854427">
            <w:r w:rsidRPr="00A545B6" w:rsidR="007E07D7">
              <w:rPr>
                <w:rStyle w:val="Hyperlink"/>
                <w:noProof/>
              </w:rPr>
              <w:t>8.8.</w:t>
            </w:r>
            <w:r w:rsidR="007E07D7">
              <w:rPr>
                <w:rFonts w:asciiTheme="minorHAnsi" w:hAnsiTheme="minorHAnsi" w:cstheme="minorBidi"/>
                <w:noProof/>
                <w:sz w:val="22"/>
              </w:rPr>
              <w:tab/>
            </w:r>
            <w:r w:rsidRPr="00A545B6" w:rsidR="007E07D7">
              <w:rPr>
                <w:rStyle w:val="Hyperlink"/>
                <w:noProof/>
              </w:rPr>
              <w:t>Evaluation of the Successor Tariff</w:t>
            </w:r>
            <w:r w:rsidR="007E07D7">
              <w:rPr>
                <w:noProof/>
                <w:webHidden/>
              </w:rPr>
              <w:tab/>
            </w:r>
            <w:r w:rsidR="007E07D7">
              <w:rPr>
                <w:noProof/>
                <w:webHidden/>
              </w:rPr>
              <w:fldChar w:fldCharType="begin"/>
            </w:r>
            <w:r w:rsidR="007E07D7">
              <w:rPr>
                <w:noProof/>
                <w:webHidden/>
              </w:rPr>
              <w:instrText xml:space="preserve"> PAGEREF _Toc121854427 \h </w:instrText>
            </w:r>
            <w:r w:rsidR="007E07D7">
              <w:rPr>
                <w:noProof/>
                <w:webHidden/>
              </w:rPr>
            </w:r>
            <w:r w:rsidR="007E07D7">
              <w:rPr>
                <w:noProof/>
                <w:webHidden/>
              </w:rPr>
              <w:fldChar w:fldCharType="separate"/>
            </w:r>
            <w:r w:rsidR="007E07D7">
              <w:rPr>
                <w:noProof/>
                <w:webHidden/>
              </w:rPr>
              <w:t>200</w:t>
            </w:r>
            <w:r w:rsidR="007E07D7">
              <w:rPr>
                <w:noProof/>
                <w:webHidden/>
              </w:rPr>
              <w:fldChar w:fldCharType="end"/>
            </w:r>
          </w:hyperlink>
        </w:p>
        <w:p w:rsidR="007E07D7" w:rsidRDefault="00000000" w14:paraId="223D8EFC" w14:textId="670700A6">
          <w:pPr>
            <w:pStyle w:val="TOC2"/>
            <w:tabs>
              <w:tab w:val="left" w:pos="1123"/>
              <w:tab w:val="right" w:leader="dot" w:pos="9350"/>
            </w:tabs>
            <w:rPr>
              <w:rFonts w:asciiTheme="minorHAnsi" w:hAnsiTheme="minorHAnsi" w:cstheme="minorBidi"/>
              <w:noProof/>
              <w:sz w:val="22"/>
            </w:rPr>
          </w:pPr>
          <w:hyperlink w:history="1" w:anchor="_Toc121854428">
            <w:r w:rsidRPr="00A545B6" w:rsidR="007E07D7">
              <w:rPr>
                <w:rStyle w:val="Hyperlink"/>
                <w:noProof/>
              </w:rPr>
              <w:t>8.9.</w:t>
            </w:r>
            <w:r w:rsidR="007E07D7">
              <w:rPr>
                <w:rFonts w:asciiTheme="minorHAnsi" w:hAnsiTheme="minorHAnsi" w:cstheme="minorBidi"/>
                <w:noProof/>
                <w:sz w:val="22"/>
              </w:rPr>
              <w:tab/>
            </w:r>
            <w:r w:rsidRPr="00A545B6" w:rsidR="007E07D7">
              <w:rPr>
                <w:rStyle w:val="Hyperlink"/>
                <w:noProof/>
              </w:rPr>
              <w:t>Next Steps of This Proceeding</w:t>
            </w:r>
            <w:r w:rsidR="007E07D7">
              <w:rPr>
                <w:noProof/>
                <w:webHidden/>
              </w:rPr>
              <w:tab/>
            </w:r>
            <w:r w:rsidR="007E07D7">
              <w:rPr>
                <w:noProof/>
                <w:webHidden/>
              </w:rPr>
              <w:fldChar w:fldCharType="begin"/>
            </w:r>
            <w:r w:rsidR="007E07D7">
              <w:rPr>
                <w:noProof/>
                <w:webHidden/>
              </w:rPr>
              <w:instrText xml:space="preserve"> PAGEREF _Toc121854428 \h </w:instrText>
            </w:r>
            <w:r w:rsidR="007E07D7">
              <w:rPr>
                <w:noProof/>
                <w:webHidden/>
              </w:rPr>
            </w:r>
            <w:r w:rsidR="007E07D7">
              <w:rPr>
                <w:noProof/>
                <w:webHidden/>
              </w:rPr>
              <w:fldChar w:fldCharType="separate"/>
            </w:r>
            <w:r w:rsidR="007E07D7">
              <w:rPr>
                <w:noProof/>
                <w:webHidden/>
              </w:rPr>
              <w:t>202</w:t>
            </w:r>
            <w:r w:rsidR="007E07D7">
              <w:rPr>
                <w:noProof/>
                <w:webHidden/>
              </w:rPr>
              <w:fldChar w:fldCharType="end"/>
            </w:r>
          </w:hyperlink>
        </w:p>
        <w:p w:rsidR="007E07D7" w:rsidRDefault="00000000" w14:paraId="2EA32274" w14:textId="5ED0AFE4">
          <w:pPr>
            <w:pStyle w:val="TOC1"/>
            <w:tabs>
              <w:tab w:val="right" w:leader="dot" w:pos="9350"/>
            </w:tabs>
            <w:rPr>
              <w:rFonts w:asciiTheme="minorHAnsi" w:hAnsiTheme="minorHAnsi" w:cstheme="minorBidi"/>
              <w:noProof/>
              <w:sz w:val="22"/>
            </w:rPr>
          </w:pPr>
          <w:hyperlink w:history="1" w:anchor="_Toc121854429">
            <w:r w:rsidRPr="00A545B6" w:rsidR="007E07D7">
              <w:rPr>
                <w:rStyle w:val="Hyperlink"/>
                <w:noProof/>
              </w:rPr>
              <w:t>9.</w:t>
            </w:r>
            <w:r w:rsidR="007E07D7">
              <w:rPr>
                <w:rFonts w:asciiTheme="minorHAnsi" w:hAnsiTheme="minorHAnsi" w:cstheme="minorBidi"/>
                <w:noProof/>
                <w:sz w:val="22"/>
              </w:rPr>
              <w:tab/>
            </w:r>
            <w:r w:rsidRPr="00A545B6" w:rsidR="007E07D7">
              <w:rPr>
                <w:rStyle w:val="Hyperlink"/>
                <w:noProof/>
              </w:rPr>
              <w:t>Comments on Proposed Decision</w:t>
            </w:r>
            <w:r w:rsidR="007E07D7">
              <w:rPr>
                <w:noProof/>
                <w:webHidden/>
              </w:rPr>
              <w:tab/>
            </w:r>
            <w:r w:rsidR="007E07D7">
              <w:rPr>
                <w:noProof/>
                <w:webHidden/>
              </w:rPr>
              <w:fldChar w:fldCharType="begin"/>
            </w:r>
            <w:r w:rsidR="007E07D7">
              <w:rPr>
                <w:noProof/>
                <w:webHidden/>
              </w:rPr>
              <w:instrText xml:space="preserve"> PAGEREF _Toc121854429 \h </w:instrText>
            </w:r>
            <w:r w:rsidR="007E07D7">
              <w:rPr>
                <w:noProof/>
                <w:webHidden/>
              </w:rPr>
            </w:r>
            <w:r w:rsidR="007E07D7">
              <w:rPr>
                <w:noProof/>
                <w:webHidden/>
              </w:rPr>
              <w:fldChar w:fldCharType="separate"/>
            </w:r>
            <w:r w:rsidR="007E07D7">
              <w:rPr>
                <w:noProof/>
                <w:webHidden/>
              </w:rPr>
              <w:t>203</w:t>
            </w:r>
            <w:r w:rsidR="007E07D7">
              <w:rPr>
                <w:noProof/>
                <w:webHidden/>
              </w:rPr>
              <w:fldChar w:fldCharType="end"/>
            </w:r>
          </w:hyperlink>
        </w:p>
        <w:p w:rsidR="007E07D7" w:rsidRDefault="00000000" w14:paraId="436D8BDD" w14:textId="546CC2DB">
          <w:pPr>
            <w:pStyle w:val="TOC1"/>
            <w:tabs>
              <w:tab w:val="right" w:leader="dot" w:pos="9350"/>
            </w:tabs>
            <w:rPr>
              <w:rFonts w:asciiTheme="minorHAnsi" w:hAnsiTheme="minorHAnsi" w:cstheme="minorBidi"/>
              <w:noProof/>
              <w:sz w:val="22"/>
            </w:rPr>
          </w:pPr>
          <w:hyperlink w:history="1" w:anchor="_Toc121854430">
            <w:r w:rsidRPr="00A545B6" w:rsidR="007E07D7">
              <w:rPr>
                <w:rStyle w:val="Hyperlink"/>
                <w:noProof/>
              </w:rPr>
              <w:t>10.</w:t>
            </w:r>
            <w:r w:rsidR="007E07D7">
              <w:rPr>
                <w:rFonts w:asciiTheme="minorHAnsi" w:hAnsiTheme="minorHAnsi" w:cstheme="minorBidi"/>
                <w:noProof/>
                <w:sz w:val="22"/>
              </w:rPr>
              <w:tab/>
            </w:r>
            <w:r w:rsidRPr="00A545B6" w:rsidR="007E07D7">
              <w:rPr>
                <w:rStyle w:val="Hyperlink"/>
                <w:noProof/>
              </w:rPr>
              <w:t>Assignment of Proceeding</w:t>
            </w:r>
            <w:r w:rsidR="007E07D7">
              <w:rPr>
                <w:noProof/>
                <w:webHidden/>
              </w:rPr>
              <w:tab/>
            </w:r>
            <w:r w:rsidR="007E07D7">
              <w:rPr>
                <w:noProof/>
                <w:webHidden/>
              </w:rPr>
              <w:fldChar w:fldCharType="begin"/>
            </w:r>
            <w:r w:rsidR="007E07D7">
              <w:rPr>
                <w:noProof/>
                <w:webHidden/>
              </w:rPr>
              <w:instrText xml:space="preserve"> PAGEREF _Toc121854430 \h </w:instrText>
            </w:r>
            <w:r w:rsidR="007E07D7">
              <w:rPr>
                <w:noProof/>
                <w:webHidden/>
              </w:rPr>
            </w:r>
            <w:r w:rsidR="007E07D7">
              <w:rPr>
                <w:noProof/>
                <w:webHidden/>
              </w:rPr>
              <w:fldChar w:fldCharType="separate"/>
            </w:r>
            <w:r w:rsidR="007E07D7">
              <w:rPr>
                <w:noProof/>
                <w:webHidden/>
              </w:rPr>
              <w:t>207</w:t>
            </w:r>
            <w:r w:rsidR="007E07D7">
              <w:rPr>
                <w:noProof/>
                <w:webHidden/>
              </w:rPr>
              <w:fldChar w:fldCharType="end"/>
            </w:r>
          </w:hyperlink>
        </w:p>
        <w:p w:rsidR="007E07D7" w:rsidRDefault="00000000" w14:paraId="5C9B8150" w14:textId="77A88397">
          <w:pPr>
            <w:pStyle w:val="TOC1"/>
            <w:tabs>
              <w:tab w:val="right" w:leader="dot" w:pos="9350"/>
            </w:tabs>
            <w:rPr>
              <w:rFonts w:asciiTheme="minorHAnsi" w:hAnsiTheme="minorHAnsi" w:cstheme="minorBidi"/>
              <w:noProof/>
              <w:sz w:val="22"/>
            </w:rPr>
          </w:pPr>
          <w:hyperlink w:history="1" w:anchor="_Toc121854431">
            <w:r w:rsidRPr="00A545B6" w:rsidR="007E07D7">
              <w:rPr>
                <w:rStyle w:val="Hyperlink"/>
                <w:noProof/>
              </w:rPr>
              <w:t>Findings of Fact</w:t>
            </w:r>
            <w:r w:rsidR="007E07D7">
              <w:rPr>
                <w:noProof/>
                <w:webHidden/>
              </w:rPr>
              <w:tab/>
            </w:r>
            <w:r w:rsidR="007E07D7">
              <w:rPr>
                <w:noProof/>
                <w:webHidden/>
              </w:rPr>
              <w:fldChar w:fldCharType="begin"/>
            </w:r>
            <w:r w:rsidR="007E07D7">
              <w:rPr>
                <w:noProof/>
                <w:webHidden/>
              </w:rPr>
              <w:instrText xml:space="preserve"> PAGEREF _Toc121854431 \h </w:instrText>
            </w:r>
            <w:r w:rsidR="007E07D7">
              <w:rPr>
                <w:noProof/>
                <w:webHidden/>
              </w:rPr>
            </w:r>
            <w:r w:rsidR="007E07D7">
              <w:rPr>
                <w:noProof/>
                <w:webHidden/>
              </w:rPr>
              <w:fldChar w:fldCharType="separate"/>
            </w:r>
            <w:r w:rsidR="007E07D7">
              <w:rPr>
                <w:noProof/>
                <w:webHidden/>
              </w:rPr>
              <w:t>207</w:t>
            </w:r>
            <w:r w:rsidR="007E07D7">
              <w:rPr>
                <w:noProof/>
                <w:webHidden/>
              </w:rPr>
              <w:fldChar w:fldCharType="end"/>
            </w:r>
          </w:hyperlink>
        </w:p>
        <w:p w:rsidR="007E07D7" w:rsidRDefault="00000000" w14:paraId="54BCC6B5" w14:textId="7536202A">
          <w:pPr>
            <w:pStyle w:val="TOC1"/>
            <w:tabs>
              <w:tab w:val="right" w:leader="dot" w:pos="9350"/>
            </w:tabs>
            <w:rPr>
              <w:rFonts w:asciiTheme="minorHAnsi" w:hAnsiTheme="minorHAnsi" w:cstheme="minorBidi"/>
              <w:noProof/>
              <w:sz w:val="22"/>
            </w:rPr>
          </w:pPr>
          <w:hyperlink w:history="1" w:anchor="_Toc121854432">
            <w:r w:rsidRPr="00A545B6" w:rsidR="007E07D7">
              <w:rPr>
                <w:rStyle w:val="Hyperlink"/>
                <w:noProof/>
              </w:rPr>
              <w:t>Conclusions of Law</w:t>
            </w:r>
            <w:r w:rsidR="007E07D7">
              <w:rPr>
                <w:noProof/>
                <w:webHidden/>
              </w:rPr>
              <w:tab/>
            </w:r>
            <w:r w:rsidR="007E07D7">
              <w:rPr>
                <w:noProof/>
                <w:webHidden/>
              </w:rPr>
              <w:fldChar w:fldCharType="begin"/>
            </w:r>
            <w:r w:rsidR="007E07D7">
              <w:rPr>
                <w:noProof/>
                <w:webHidden/>
              </w:rPr>
              <w:instrText xml:space="preserve"> PAGEREF _Toc121854432 \h </w:instrText>
            </w:r>
            <w:r w:rsidR="007E07D7">
              <w:rPr>
                <w:noProof/>
                <w:webHidden/>
              </w:rPr>
            </w:r>
            <w:r w:rsidR="007E07D7">
              <w:rPr>
                <w:noProof/>
                <w:webHidden/>
              </w:rPr>
              <w:fldChar w:fldCharType="separate"/>
            </w:r>
            <w:r w:rsidR="007E07D7">
              <w:rPr>
                <w:noProof/>
                <w:webHidden/>
              </w:rPr>
              <w:t>232</w:t>
            </w:r>
            <w:r w:rsidR="007E07D7">
              <w:rPr>
                <w:noProof/>
                <w:webHidden/>
              </w:rPr>
              <w:fldChar w:fldCharType="end"/>
            </w:r>
          </w:hyperlink>
        </w:p>
        <w:p w:rsidR="007E07D7" w:rsidRDefault="00000000" w14:paraId="691FF620" w14:textId="1688BBEB">
          <w:pPr>
            <w:pStyle w:val="TOC1"/>
            <w:tabs>
              <w:tab w:val="right" w:leader="dot" w:pos="9350"/>
            </w:tabs>
            <w:rPr>
              <w:rFonts w:asciiTheme="minorHAnsi" w:hAnsiTheme="minorHAnsi" w:cstheme="minorBidi"/>
              <w:noProof/>
              <w:sz w:val="22"/>
            </w:rPr>
          </w:pPr>
          <w:hyperlink w:history="1" w:anchor="_Toc121854433">
            <w:r w:rsidRPr="00A545B6" w:rsidR="007E07D7">
              <w:rPr>
                <w:rStyle w:val="Hyperlink"/>
                <w:noProof/>
              </w:rPr>
              <w:t>ORDER</w:t>
            </w:r>
            <w:r w:rsidR="007E07D7">
              <w:rPr>
                <w:noProof/>
                <w:webHidden/>
              </w:rPr>
              <w:tab/>
            </w:r>
            <w:r w:rsidR="007E07D7">
              <w:rPr>
                <w:noProof/>
                <w:webHidden/>
              </w:rPr>
              <w:fldChar w:fldCharType="begin"/>
            </w:r>
            <w:r w:rsidR="007E07D7">
              <w:rPr>
                <w:noProof/>
                <w:webHidden/>
              </w:rPr>
              <w:instrText xml:space="preserve"> PAGEREF _Toc121854433 \h </w:instrText>
            </w:r>
            <w:r w:rsidR="007E07D7">
              <w:rPr>
                <w:noProof/>
                <w:webHidden/>
              </w:rPr>
            </w:r>
            <w:r w:rsidR="007E07D7">
              <w:rPr>
                <w:noProof/>
                <w:webHidden/>
              </w:rPr>
              <w:fldChar w:fldCharType="separate"/>
            </w:r>
            <w:r w:rsidR="007E07D7">
              <w:rPr>
                <w:noProof/>
                <w:webHidden/>
              </w:rPr>
              <w:t>237</w:t>
            </w:r>
            <w:r w:rsidR="007E07D7">
              <w:rPr>
                <w:noProof/>
                <w:webHidden/>
              </w:rPr>
              <w:fldChar w:fldCharType="end"/>
            </w:r>
          </w:hyperlink>
        </w:p>
        <w:p w:rsidR="00D82A43" w:rsidP="005E7044" w:rsidRDefault="008C7413" w14:paraId="34B3C018" w14:textId="0A322ACE">
          <w:pPr>
            <w:pStyle w:val="TOC1"/>
            <w:tabs>
              <w:tab w:val="right" w:leader="dot" w:pos="9350"/>
            </w:tabs>
          </w:pPr>
          <w:r>
            <w:rPr>
              <w:rFonts w:asciiTheme="minorHAnsi" w:hAnsiTheme="minorHAnsi"/>
              <w:sz w:val="22"/>
            </w:rPr>
            <w:fldChar w:fldCharType="end"/>
          </w:r>
        </w:p>
      </w:sdtContent>
    </w:sdt>
    <w:p w:rsidR="003302A8" w:rsidP="005E7044" w:rsidRDefault="003302A8" w14:paraId="054662F0" w14:textId="10E6DFE1">
      <w:pPr>
        <w:spacing w:line="240" w:lineRule="auto"/>
        <w:ind w:firstLine="0"/>
        <w:rPr>
          <w:rFonts w:cs="Arial"/>
          <w:bCs/>
          <w:szCs w:val="26"/>
        </w:rPr>
      </w:pPr>
      <w:r>
        <w:rPr>
          <w:rFonts w:cs="Arial"/>
          <w:bCs/>
          <w:szCs w:val="26"/>
        </w:rPr>
        <w:fldChar w:fldCharType="begin"/>
      </w:r>
      <w:r>
        <w:rPr>
          <w:rFonts w:cs="Arial"/>
          <w:bCs/>
          <w:szCs w:val="26"/>
        </w:rPr>
        <w:instrText xml:space="preserve"> REF Figure1 \h </w:instrText>
      </w:r>
      <w:r>
        <w:rPr>
          <w:rFonts w:cs="Arial"/>
          <w:bCs/>
          <w:szCs w:val="26"/>
        </w:rPr>
      </w:r>
      <w:r>
        <w:rPr>
          <w:rFonts w:cs="Arial"/>
          <w:bCs/>
          <w:szCs w:val="26"/>
        </w:rPr>
        <w:fldChar w:fldCharType="separate"/>
      </w:r>
      <w:r w:rsidR="007E07D7">
        <w:rPr>
          <w:b/>
        </w:rPr>
        <w:t>Figure 1</w:t>
      </w:r>
      <w:r w:rsidRPr="00212A78" w:rsidR="007E07D7">
        <w:rPr>
          <w:b/>
        </w:rPr>
        <w:t>.</w:t>
      </w:r>
      <w:r w:rsidR="007E07D7">
        <w:rPr>
          <w:b/>
        </w:rPr>
        <w:tab/>
      </w:r>
      <w:r w:rsidRPr="00037F69" w:rsidR="007E07D7">
        <w:t>Bill Reductions and M</w:t>
      </w:r>
      <w:r w:rsidR="007E07D7">
        <w:t xml:space="preserve">arket </w:t>
      </w:r>
      <w:r w:rsidRPr="00037F69" w:rsidR="007E07D7">
        <w:t>T</w:t>
      </w:r>
      <w:r w:rsidR="007E07D7">
        <w:t xml:space="preserve">ransition </w:t>
      </w:r>
      <w:r w:rsidRPr="00037F69" w:rsidR="007E07D7">
        <w:t>C</w:t>
      </w:r>
      <w:r w:rsidR="007E07D7">
        <w:t>redit</w:t>
      </w:r>
      <w:r w:rsidRPr="00037F69" w:rsidR="007E07D7">
        <w:t>, Optimistic Scenario</w:t>
      </w:r>
      <w:r>
        <w:rPr>
          <w:rFonts w:cs="Arial"/>
          <w:bCs/>
          <w:szCs w:val="26"/>
        </w:rPr>
        <w:fldChar w:fldCharType="end"/>
      </w:r>
    </w:p>
    <w:p w:rsidRPr="00F833C7" w:rsidR="003302A8" w:rsidP="007306C8" w:rsidRDefault="003302A8" w14:paraId="6CBB8A4A" w14:textId="32089AE2">
      <w:pPr>
        <w:spacing w:line="240" w:lineRule="auto"/>
        <w:ind w:left="1440" w:hanging="1440"/>
        <w:rPr>
          <w:rFonts w:cs="Arial"/>
          <w:bCs/>
          <w:szCs w:val="26"/>
        </w:rPr>
      </w:pPr>
      <w:r w:rsidRPr="00F833C7">
        <w:rPr>
          <w:rFonts w:cs="Arial"/>
          <w:bCs/>
          <w:szCs w:val="26"/>
        </w:rPr>
        <w:fldChar w:fldCharType="begin"/>
      </w:r>
      <w:r w:rsidRPr="00F833C7">
        <w:rPr>
          <w:rFonts w:cs="Arial"/>
          <w:bCs/>
          <w:szCs w:val="26"/>
        </w:rPr>
        <w:instrText xml:space="preserve"> REF Figure2 \h </w:instrText>
      </w:r>
      <w:r w:rsidR="00F833C7">
        <w:rPr>
          <w:rFonts w:cs="Arial"/>
          <w:bCs/>
          <w:szCs w:val="26"/>
        </w:rPr>
        <w:instrText xml:space="preserve"> \* MERGEFORMAT </w:instrText>
      </w:r>
      <w:r w:rsidRPr="00F833C7">
        <w:rPr>
          <w:rFonts w:cs="Arial"/>
          <w:bCs/>
          <w:szCs w:val="26"/>
        </w:rPr>
      </w:r>
      <w:r w:rsidRPr="00F833C7">
        <w:rPr>
          <w:rFonts w:cs="Arial"/>
          <w:bCs/>
          <w:szCs w:val="26"/>
        </w:rPr>
        <w:fldChar w:fldCharType="separate"/>
      </w:r>
      <w:r w:rsidR="007E07D7">
        <w:rPr>
          <w:b/>
        </w:rPr>
        <w:t>Figure 2</w:t>
      </w:r>
      <w:r w:rsidRPr="00212A78" w:rsidR="007E07D7">
        <w:rPr>
          <w:b/>
        </w:rPr>
        <w:t>.</w:t>
      </w:r>
      <w:r w:rsidR="007E07D7">
        <w:rPr>
          <w:b/>
        </w:rPr>
        <w:tab/>
      </w:r>
      <w:r w:rsidRPr="00037F69" w:rsidR="007E07D7">
        <w:t>Bill Reductions and M</w:t>
      </w:r>
      <w:r w:rsidR="007E07D7">
        <w:t xml:space="preserve">arket </w:t>
      </w:r>
      <w:r w:rsidRPr="00037F69" w:rsidR="007E07D7">
        <w:t>T</w:t>
      </w:r>
      <w:r w:rsidR="007E07D7">
        <w:t xml:space="preserve">ransition </w:t>
      </w:r>
      <w:r w:rsidRPr="00037F69" w:rsidR="007E07D7">
        <w:t>C</w:t>
      </w:r>
      <w:r w:rsidR="007E07D7">
        <w:t>redit</w:t>
      </w:r>
      <w:r w:rsidRPr="00037F69" w:rsidR="007E07D7">
        <w:t>, Flat Technology Cost Scenario</w:t>
      </w:r>
      <w:r w:rsidRPr="00F833C7">
        <w:rPr>
          <w:rFonts w:cs="Arial"/>
          <w:bCs/>
          <w:szCs w:val="26"/>
        </w:rPr>
        <w:fldChar w:fldCharType="end"/>
      </w:r>
    </w:p>
    <w:p w:rsidRPr="00F833C7" w:rsidR="003302A8" w:rsidP="005E7044" w:rsidRDefault="003302A8" w14:paraId="7537828B" w14:textId="5173F66E">
      <w:pPr>
        <w:spacing w:line="240" w:lineRule="auto"/>
        <w:ind w:firstLine="0"/>
        <w:rPr>
          <w:rFonts w:cs="Arial"/>
          <w:bCs/>
          <w:szCs w:val="26"/>
        </w:rPr>
      </w:pPr>
      <w:r w:rsidRPr="00F833C7">
        <w:rPr>
          <w:rFonts w:cs="Arial"/>
          <w:bCs/>
          <w:szCs w:val="26"/>
        </w:rPr>
        <w:fldChar w:fldCharType="begin"/>
      </w:r>
      <w:r w:rsidRPr="00F833C7">
        <w:rPr>
          <w:rFonts w:cs="Arial"/>
          <w:bCs/>
          <w:szCs w:val="26"/>
        </w:rPr>
        <w:instrText xml:space="preserve"> REF Figure3 \h </w:instrText>
      </w:r>
      <w:r w:rsidR="00F833C7">
        <w:rPr>
          <w:rFonts w:cs="Arial"/>
          <w:bCs/>
          <w:szCs w:val="26"/>
        </w:rPr>
        <w:instrText xml:space="preserve"> \* MERGEFORMAT </w:instrText>
      </w:r>
      <w:r w:rsidRPr="00F833C7">
        <w:rPr>
          <w:rFonts w:cs="Arial"/>
          <w:bCs/>
          <w:szCs w:val="26"/>
        </w:rPr>
      </w:r>
      <w:r w:rsidRPr="00F833C7">
        <w:rPr>
          <w:rFonts w:cs="Arial"/>
          <w:bCs/>
          <w:szCs w:val="26"/>
        </w:rPr>
        <w:fldChar w:fldCharType="separate"/>
      </w:r>
      <w:r w:rsidRPr="007E07D7" w:rsidR="007E07D7">
        <w:rPr>
          <w:b/>
          <w:bCs/>
        </w:rPr>
        <w:t>Figure 3.</w:t>
      </w:r>
      <w:r w:rsidRPr="007E07D7" w:rsidR="007E07D7">
        <w:rPr>
          <w:b/>
          <w:bCs/>
        </w:rPr>
        <w:tab/>
      </w:r>
      <w:r w:rsidRPr="00221B62" w:rsidR="007E07D7">
        <w:t>ACC Plus Glide Path for New PG&amp;E Net Billing Customers</w:t>
      </w:r>
      <w:r w:rsidRPr="00F833C7">
        <w:rPr>
          <w:rFonts w:cs="Arial"/>
          <w:bCs/>
          <w:szCs w:val="26"/>
        </w:rPr>
        <w:fldChar w:fldCharType="end"/>
      </w:r>
    </w:p>
    <w:p w:rsidRPr="00F833C7" w:rsidR="003302A8" w:rsidP="005E7044" w:rsidRDefault="003302A8" w14:paraId="771654B0" w14:textId="458FBA17">
      <w:pPr>
        <w:spacing w:line="240" w:lineRule="auto"/>
        <w:ind w:firstLine="0"/>
        <w:rPr>
          <w:rFonts w:cs="Arial"/>
          <w:bCs/>
          <w:szCs w:val="26"/>
        </w:rPr>
      </w:pPr>
      <w:r w:rsidRPr="00F833C7">
        <w:rPr>
          <w:rFonts w:cs="Arial"/>
          <w:bCs/>
          <w:szCs w:val="26"/>
        </w:rPr>
        <w:fldChar w:fldCharType="begin"/>
      </w:r>
      <w:r w:rsidRPr="00F833C7">
        <w:rPr>
          <w:rFonts w:cs="Arial"/>
          <w:bCs/>
          <w:szCs w:val="26"/>
        </w:rPr>
        <w:instrText xml:space="preserve"> REF Figure4 \h </w:instrText>
      </w:r>
      <w:r w:rsidR="00F833C7">
        <w:rPr>
          <w:rFonts w:cs="Arial"/>
          <w:bCs/>
          <w:szCs w:val="26"/>
        </w:rPr>
        <w:instrText xml:space="preserve"> \* MERGEFORMAT </w:instrText>
      </w:r>
      <w:r w:rsidRPr="00F833C7">
        <w:rPr>
          <w:rFonts w:cs="Arial"/>
          <w:bCs/>
          <w:szCs w:val="26"/>
        </w:rPr>
      </w:r>
      <w:r w:rsidRPr="00F833C7">
        <w:rPr>
          <w:rFonts w:cs="Arial"/>
          <w:bCs/>
          <w:szCs w:val="26"/>
        </w:rPr>
        <w:fldChar w:fldCharType="separate"/>
      </w:r>
      <w:r w:rsidRPr="007E07D7" w:rsidR="007E07D7">
        <w:rPr>
          <w:b/>
          <w:bCs/>
        </w:rPr>
        <w:t>Figure 4.</w:t>
      </w:r>
      <w:r w:rsidRPr="007E07D7" w:rsidR="007E07D7">
        <w:rPr>
          <w:b/>
          <w:bCs/>
        </w:rPr>
        <w:tab/>
      </w:r>
      <w:r w:rsidRPr="00221B62" w:rsidR="007E07D7">
        <w:t>ACC Plus Glide Path for New SDG&amp;E Net Billing Customers</w:t>
      </w:r>
      <w:r w:rsidRPr="007E07D7" w:rsidDel="00DC69EB" w:rsidR="007E07D7">
        <w:rPr>
          <w:b/>
        </w:rPr>
        <w:t xml:space="preserve"> </w:t>
      </w:r>
      <w:r w:rsidRPr="00F833C7">
        <w:rPr>
          <w:rFonts w:cs="Arial"/>
          <w:bCs/>
          <w:szCs w:val="26"/>
        </w:rPr>
        <w:fldChar w:fldCharType="end"/>
      </w:r>
    </w:p>
    <w:p w:rsidRPr="003302A8" w:rsidR="003302A8" w:rsidP="005E7044" w:rsidRDefault="003302A8" w14:paraId="4B5DDE31" w14:textId="438765C4">
      <w:pPr>
        <w:spacing w:line="240" w:lineRule="auto"/>
        <w:ind w:firstLine="0"/>
        <w:rPr>
          <w:rFonts w:cs="Arial"/>
          <w:bCs/>
          <w:szCs w:val="26"/>
        </w:rPr>
      </w:pPr>
      <w:r w:rsidRPr="00F833C7">
        <w:rPr>
          <w:rFonts w:cs="Arial"/>
          <w:bCs/>
          <w:szCs w:val="26"/>
        </w:rPr>
        <w:fldChar w:fldCharType="begin"/>
      </w:r>
      <w:r w:rsidRPr="00F833C7">
        <w:rPr>
          <w:rFonts w:cs="Arial"/>
          <w:bCs/>
          <w:szCs w:val="26"/>
        </w:rPr>
        <w:instrText xml:space="preserve"> REF Figure5 \h </w:instrText>
      </w:r>
      <w:r w:rsidR="00F833C7">
        <w:rPr>
          <w:rFonts w:cs="Arial"/>
          <w:bCs/>
          <w:szCs w:val="26"/>
        </w:rPr>
        <w:instrText xml:space="preserve"> \* MERGEFORMAT </w:instrText>
      </w:r>
      <w:r w:rsidRPr="00F833C7">
        <w:rPr>
          <w:rFonts w:cs="Arial"/>
          <w:bCs/>
          <w:szCs w:val="26"/>
        </w:rPr>
      </w:r>
      <w:r w:rsidRPr="00F833C7">
        <w:rPr>
          <w:rFonts w:cs="Arial"/>
          <w:bCs/>
          <w:szCs w:val="26"/>
        </w:rPr>
        <w:fldChar w:fldCharType="separate"/>
      </w:r>
      <w:r w:rsidRPr="007E07D7" w:rsidR="007E07D7">
        <w:rPr>
          <w:b/>
          <w:bCs/>
        </w:rPr>
        <w:t>Figure 5.</w:t>
      </w:r>
      <w:r w:rsidR="007E07D7">
        <w:rPr>
          <w:b/>
        </w:rPr>
        <w:tab/>
      </w:r>
      <w:r w:rsidRPr="007E07D7" w:rsidR="007E07D7">
        <w:rPr>
          <w:bCs/>
        </w:rPr>
        <w:t>ACC Plus Glide Path for New SCE Net Billing Customers</w:t>
      </w:r>
      <w:r w:rsidRPr="007E07D7" w:rsidDel="00DC69EB" w:rsidR="007E07D7">
        <w:rPr>
          <w:b/>
        </w:rPr>
        <w:t xml:space="preserve"> </w:t>
      </w:r>
      <w:r w:rsidRPr="00F833C7">
        <w:rPr>
          <w:rFonts w:cs="Arial"/>
          <w:bCs/>
          <w:szCs w:val="26"/>
        </w:rPr>
        <w:fldChar w:fldCharType="end"/>
      </w:r>
    </w:p>
    <w:p w:rsidR="003302A8" w:rsidP="005E7044" w:rsidRDefault="003302A8" w14:paraId="490E5EDF" w14:textId="5FE3CC37">
      <w:pPr>
        <w:spacing w:line="240" w:lineRule="auto"/>
        <w:ind w:firstLine="0"/>
        <w:rPr>
          <w:rFonts w:cs="Arial"/>
          <w:bCs/>
          <w:szCs w:val="26"/>
        </w:rPr>
      </w:pPr>
    </w:p>
    <w:p w:rsidR="003302A8" w:rsidP="007E07D7" w:rsidRDefault="003302A8" w14:paraId="0EE28575" w14:textId="16958D81">
      <w:pPr>
        <w:pStyle w:val="TableTOC"/>
      </w:pPr>
      <w:r>
        <w:fldChar w:fldCharType="begin"/>
      </w:r>
      <w:r>
        <w:instrText xml:space="preserve"> REF Table1 \h </w:instrText>
      </w:r>
      <w:r>
        <w:fldChar w:fldCharType="separate"/>
      </w:r>
      <w:r w:rsidR="007E07D7">
        <w:rPr>
          <w:b/>
        </w:rPr>
        <w:t>Table 1.</w:t>
      </w:r>
      <w:r w:rsidR="007E07D7">
        <w:rPr>
          <w:bCs w:val="0"/>
        </w:rPr>
        <w:tab/>
      </w:r>
      <w:r w:rsidRPr="002B2BBA" w:rsidR="007E07D7">
        <w:rPr>
          <w:bCs w:val="0"/>
        </w:rPr>
        <w:t>Lookback Study Cost</w:t>
      </w:r>
      <w:r w:rsidR="007E07D7">
        <w:rPr>
          <w:bCs w:val="0"/>
        </w:rPr>
        <w:noBreakHyphen/>
      </w:r>
      <w:r w:rsidRPr="002B2BBA" w:rsidR="007E07D7">
        <w:rPr>
          <w:bCs w:val="0"/>
        </w:rPr>
        <w:t>Effectiveness Results by Electric Utility</w:t>
      </w:r>
      <w:r>
        <w:fldChar w:fldCharType="end"/>
      </w:r>
    </w:p>
    <w:p w:rsidR="003302A8" w:rsidP="007E07D7" w:rsidRDefault="003302A8" w14:paraId="17B95958" w14:textId="315D2A77">
      <w:pPr>
        <w:pStyle w:val="TableTOC"/>
        <w:rPr>
          <w:bCs w:val="0"/>
        </w:rPr>
      </w:pPr>
      <w:r>
        <w:rPr>
          <w:bCs w:val="0"/>
        </w:rPr>
        <w:fldChar w:fldCharType="begin"/>
      </w:r>
      <w:r>
        <w:instrText xml:space="preserve"> REF Table2 \h </w:instrText>
      </w:r>
      <w:r>
        <w:rPr>
          <w:bCs w:val="0"/>
        </w:rPr>
      </w:r>
      <w:r>
        <w:rPr>
          <w:bCs w:val="0"/>
        </w:rPr>
        <w:fldChar w:fldCharType="separate"/>
      </w:r>
      <w:r w:rsidR="007E07D7">
        <w:rPr>
          <w:b/>
          <w:bCs w:val="0"/>
        </w:rPr>
        <w:t>Table 2.</w:t>
      </w:r>
      <w:r w:rsidR="007E07D7">
        <w:rPr>
          <w:b/>
          <w:bCs w:val="0"/>
        </w:rPr>
        <w:tab/>
      </w:r>
      <w:r w:rsidRPr="007F6676" w:rsidR="007E07D7">
        <w:rPr>
          <w:bCs w:val="0"/>
        </w:rPr>
        <w:t xml:space="preserve">Ratio of Bill Payment to Cost of Service, </w:t>
      </w:r>
      <w:r w:rsidR="007E07D7">
        <w:rPr>
          <w:bCs w:val="0"/>
        </w:rPr>
        <w:t>NEM 1.0</w:t>
      </w:r>
      <w:r w:rsidRPr="007F6676" w:rsidR="007E07D7">
        <w:rPr>
          <w:bCs w:val="0"/>
        </w:rPr>
        <w:t xml:space="preserve"> vs. </w:t>
      </w:r>
      <w:r w:rsidR="007E07D7">
        <w:rPr>
          <w:bCs w:val="0"/>
        </w:rPr>
        <w:t>NEM 2.0</w:t>
      </w:r>
      <w:r>
        <w:rPr>
          <w:bCs w:val="0"/>
        </w:rPr>
        <w:fldChar w:fldCharType="end"/>
      </w:r>
    </w:p>
    <w:p w:rsidR="003302A8" w:rsidP="007E07D7" w:rsidRDefault="003302A8" w14:paraId="298FFDCB" w14:textId="70F9C836">
      <w:pPr>
        <w:pStyle w:val="TableTOC"/>
        <w:rPr>
          <w:bCs w:val="0"/>
        </w:rPr>
      </w:pPr>
      <w:r>
        <w:rPr>
          <w:bCs w:val="0"/>
        </w:rPr>
        <w:fldChar w:fldCharType="begin"/>
      </w:r>
      <w:r>
        <w:instrText xml:space="preserve"> REF Table3 \h </w:instrText>
      </w:r>
      <w:r w:rsidR="00ED4E10">
        <w:instrText xml:space="preserve"> \* MERGEFORMAT </w:instrText>
      </w:r>
      <w:r>
        <w:rPr>
          <w:bCs w:val="0"/>
        </w:rPr>
      </w:r>
      <w:r>
        <w:rPr>
          <w:bCs w:val="0"/>
        </w:rPr>
        <w:fldChar w:fldCharType="separate"/>
      </w:r>
      <w:r w:rsidRPr="004C27B6" w:rsidR="007E07D7">
        <w:rPr>
          <w:b/>
        </w:rPr>
        <w:t>Table 3</w:t>
      </w:r>
      <w:r w:rsidRPr="007E07D7" w:rsidR="007E07D7">
        <w:rPr>
          <w:b/>
        </w:rPr>
        <w:t>.</w:t>
      </w:r>
      <w:r w:rsidRPr="004C27B6" w:rsidR="007E07D7">
        <w:rPr>
          <w:b/>
          <w:bCs w:val="0"/>
        </w:rPr>
        <w:tab/>
      </w:r>
      <w:r w:rsidRPr="004C27B6" w:rsidR="007E07D7">
        <w:t>Lookback</w:t>
      </w:r>
      <w:r w:rsidR="007E07D7">
        <w:t xml:space="preserve"> Study Cost</w:t>
      </w:r>
      <w:r w:rsidR="007E07D7">
        <w:noBreakHyphen/>
        <w:t>Effectiveness Results</w:t>
      </w:r>
      <w:r>
        <w:rPr>
          <w:bCs w:val="0"/>
        </w:rPr>
        <w:fldChar w:fldCharType="end"/>
      </w:r>
    </w:p>
    <w:p w:rsidR="003302A8" w:rsidP="007E07D7" w:rsidRDefault="003302A8" w14:paraId="187187DB" w14:textId="60508327">
      <w:pPr>
        <w:pStyle w:val="TableTOC"/>
        <w:rPr>
          <w:bCs w:val="0"/>
        </w:rPr>
      </w:pPr>
      <w:r>
        <w:rPr>
          <w:bCs w:val="0"/>
        </w:rPr>
        <w:fldChar w:fldCharType="begin"/>
      </w:r>
      <w:r>
        <w:instrText xml:space="preserve"> REF Table4 \h </w:instrText>
      </w:r>
      <w:r>
        <w:rPr>
          <w:bCs w:val="0"/>
        </w:rPr>
      </w:r>
      <w:r>
        <w:rPr>
          <w:bCs w:val="0"/>
        </w:rPr>
        <w:fldChar w:fldCharType="separate"/>
      </w:r>
      <w:r w:rsidR="007E07D7">
        <w:rPr>
          <w:b/>
        </w:rPr>
        <w:t>Table 4.</w:t>
      </w:r>
      <w:r w:rsidR="007E07D7">
        <w:rPr>
          <w:b/>
        </w:rPr>
        <w:tab/>
      </w:r>
      <w:r w:rsidRPr="0048272A" w:rsidR="007E07D7">
        <w:t>Economic Metrics Used to Evaluate Solar Investment</w:t>
      </w:r>
      <w:r>
        <w:rPr>
          <w:bCs w:val="0"/>
        </w:rPr>
        <w:fldChar w:fldCharType="end"/>
      </w:r>
    </w:p>
    <w:p w:rsidR="003302A8" w:rsidP="007E07D7" w:rsidRDefault="003302A8" w14:paraId="7B3F8B9B" w14:textId="39AC6067">
      <w:pPr>
        <w:pStyle w:val="TableTOC"/>
        <w:rPr>
          <w:bCs w:val="0"/>
        </w:rPr>
      </w:pPr>
      <w:r>
        <w:rPr>
          <w:bCs w:val="0"/>
        </w:rPr>
        <w:fldChar w:fldCharType="begin"/>
      </w:r>
      <w:r>
        <w:instrText xml:space="preserve"> REF Table5 \h </w:instrText>
      </w:r>
      <w:r>
        <w:rPr>
          <w:bCs w:val="0"/>
        </w:rPr>
      </w:r>
      <w:r>
        <w:rPr>
          <w:bCs w:val="0"/>
        </w:rPr>
        <w:fldChar w:fldCharType="separate"/>
      </w:r>
      <w:r w:rsidRPr="00693EB0" w:rsidR="007E07D7">
        <w:rPr>
          <w:b/>
          <w:bCs w:val="0"/>
        </w:rPr>
        <w:t>Table 5.</w:t>
      </w:r>
      <w:r w:rsidR="007E07D7">
        <w:tab/>
        <w:t>Current Electric Program and Securitization Charges</w:t>
      </w:r>
      <w:r>
        <w:rPr>
          <w:bCs w:val="0"/>
        </w:rPr>
        <w:fldChar w:fldCharType="end"/>
      </w:r>
    </w:p>
    <w:p w:rsidR="003302A8" w:rsidP="007E07D7" w:rsidRDefault="003302A8" w14:paraId="3985BE10" w14:textId="5BB4DAA0">
      <w:pPr>
        <w:pStyle w:val="TableTOC"/>
        <w:rPr>
          <w:bCs w:val="0"/>
        </w:rPr>
      </w:pPr>
      <w:r>
        <w:rPr>
          <w:bCs w:val="0"/>
        </w:rPr>
        <w:fldChar w:fldCharType="begin"/>
      </w:r>
      <w:r>
        <w:instrText xml:space="preserve"> REF Table6 \h </w:instrText>
      </w:r>
      <w:r>
        <w:rPr>
          <w:bCs w:val="0"/>
        </w:rPr>
      </w:r>
      <w:r>
        <w:rPr>
          <w:bCs w:val="0"/>
        </w:rPr>
        <w:fldChar w:fldCharType="separate"/>
      </w:r>
      <w:r w:rsidR="007E07D7">
        <w:rPr>
          <w:b/>
        </w:rPr>
        <w:t>Table 6.</w:t>
      </w:r>
      <w:r w:rsidR="007E07D7">
        <w:rPr>
          <w:b/>
        </w:rPr>
        <w:tab/>
      </w:r>
      <w:r w:rsidRPr="009A4A25" w:rsidR="007E07D7">
        <w:rPr>
          <w:bCs w:val="0"/>
        </w:rPr>
        <w:t xml:space="preserve">Simple Payback Periods for SDG&amp;E </w:t>
      </w:r>
      <w:r w:rsidR="007E07D7">
        <w:rPr>
          <w:bCs w:val="0"/>
        </w:rPr>
        <w:t xml:space="preserve">Net Billing </w:t>
      </w:r>
      <w:r w:rsidRPr="009A4A25" w:rsidR="007E07D7">
        <w:rPr>
          <w:bCs w:val="0"/>
        </w:rPr>
        <w:t>Customers</w:t>
      </w:r>
      <w:r>
        <w:rPr>
          <w:bCs w:val="0"/>
        </w:rPr>
        <w:fldChar w:fldCharType="end"/>
      </w:r>
    </w:p>
    <w:p w:rsidR="003302A8" w:rsidP="007E07D7" w:rsidRDefault="003302A8" w14:paraId="5D90FAFC" w14:textId="1C2B2DD0">
      <w:pPr>
        <w:pStyle w:val="TableTOC"/>
        <w:rPr>
          <w:bCs w:val="0"/>
        </w:rPr>
      </w:pPr>
      <w:r>
        <w:rPr>
          <w:bCs w:val="0"/>
        </w:rPr>
        <w:fldChar w:fldCharType="begin"/>
      </w:r>
      <w:r>
        <w:instrText xml:space="preserve"> REF Table7 \h </w:instrText>
      </w:r>
      <w:r>
        <w:rPr>
          <w:bCs w:val="0"/>
        </w:rPr>
      </w:r>
      <w:r>
        <w:rPr>
          <w:bCs w:val="0"/>
        </w:rPr>
        <w:fldChar w:fldCharType="separate"/>
      </w:r>
      <w:r w:rsidR="007E07D7">
        <w:rPr>
          <w:b/>
        </w:rPr>
        <w:t>Table 7.</w:t>
      </w:r>
      <w:r w:rsidR="007E07D7">
        <w:rPr>
          <w:b/>
        </w:rPr>
        <w:tab/>
      </w:r>
      <w:r w:rsidRPr="00B70C1A" w:rsidR="007E07D7">
        <w:rPr>
          <w:bCs w:val="0"/>
        </w:rPr>
        <w:t>Adopted Initial ACC Plus Adder</w:t>
      </w:r>
      <w:r w:rsidR="007E07D7">
        <w:rPr>
          <w:bCs w:val="0"/>
        </w:rPr>
        <w:t>s</w:t>
      </w:r>
      <w:r w:rsidRPr="00B70C1A" w:rsidR="007E07D7">
        <w:rPr>
          <w:bCs w:val="0"/>
        </w:rPr>
        <w:t xml:space="preserve"> by Utility</w:t>
      </w:r>
      <w:r>
        <w:rPr>
          <w:bCs w:val="0"/>
        </w:rPr>
        <w:fldChar w:fldCharType="end"/>
      </w:r>
    </w:p>
    <w:p w:rsidR="003302A8" w:rsidP="007E07D7" w:rsidRDefault="003302A8" w14:paraId="411E546A" w14:textId="171E74E8">
      <w:pPr>
        <w:pStyle w:val="TableTOC"/>
        <w:rPr>
          <w:bCs w:val="0"/>
        </w:rPr>
      </w:pPr>
      <w:r>
        <w:rPr>
          <w:bCs w:val="0"/>
        </w:rPr>
        <w:fldChar w:fldCharType="begin"/>
      </w:r>
      <w:r>
        <w:instrText xml:space="preserve"> REF Table8 \h </w:instrText>
      </w:r>
      <w:r>
        <w:rPr>
          <w:bCs w:val="0"/>
        </w:rPr>
      </w:r>
      <w:r>
        <w:rPr>
          <w:bCs w:val="0"/>
        </w:rPr>
        <w:fldChar w:fldCharType="separate"/>
      </w:r>
      <w:r w:rsidR="007E07D7">
        <w:rPr>
          <w:b/>
        </w:rPr>
        <w:t>Table 8.</w:t>
      </w:r>
      <w:r w:rsidR="007E07D7">
        <w:rPr>
          <w:b/>
        </w:rPr>
        <w:tab/>
      </w:r>
      <w:r w:rsidRPr="009A4A25" w:rsidR="007E07D7">
        <w:rPr>
          <w:bCs w:val="0"/>
        </w:rPr>
        <w:t>Residential Customers’</w:t>
      </w:r>
      <w:r w:rsidR="007E07D7">
        <w:rPr>
          <w:b/>
        </w:rPr>
        <w:t xml:space="preserve"> </w:t>
      </w:r>
      <w:r w:rsidRPr="00283C31" w:rsidR="007E07D7">
        <w:rPr>
          <w:bCs w:val="0"/>
        </w:rPr>
        <w:t>Eligible Time</w:t>
      </w:r>
      <w:r w:rsidR="007E07D7">
        <w:rPr>
          <w:bCs w:val="0"/>
        </w:rPr>
        <w:noBreakHyphen/>
      </w:r>
      <w:r w:rsidRPr="00283C31" w:rsidR="007E07D7">
        <w:rPr>
          <w:bCs w:val="0"/>
        </w:rPr>
        <w:t>of</w:t>
      </w:r>
      <w:r w:rsidR="007E07D7">
        <w:rPr>
          <w:bCs w:val="0"/>
        </w:rPr>
        <w:noBreakHyphen/>
      </w:r>
      <w:r w:rsidRPr="00283C31" w:rsidR="007E07D7">
        <w:rPr>
          <w:bCs w:val="0"/>
        </w:rPr>
        <w:t>Use Rates by Utility</w:t>
      </w:r>
      <w:r>
        <w:rPr>
          <w:bCs w:val="0"/>
        </w:rPr>
        <w:fldChar w:fldCharType="end"/>
      </w:r>
    </w:p>
    <w:p w:rsidRPr="007E07D7" w:rsidR="007E07D7" w:rsidP="007E07D7" w:rsidRDefault="00C652A0" w14:paraId="435FDF01" w14:textId="77777777">
      <w:pPr>
        <w:pStyle w:val="TableTOC"/>
        <w:rPr>
          <w:b/>
        </w:rPr>
      </w:pPr>
      <w:r>
        <w:rPr>
          <w:bCs w:val="0"/>
        </w:rPr>
        <w:fldChar w:fldCharType="begin"/>
      </w:r>
      <w:r>
        <w:instrText xml:space="preserve"> REF Table9 \h </w:instrText>
      </w:r>
      <w:r w:rsidR="00740F10">
        <w:rPr>
          <w:bCs w:val="0"/>
        </w:rPr>
        <w:instrText xml:space="preserve"> \* MERGEFORMAT </w:instrText>
      </w:r>
      <w:r>
        <w:rPr>
          <w:bCs w:val="0"/>
        </w:rPr>
      </w:r>
      <w:r>
        <w:rPr>
          <w:bCs w:val="0"/>
        </w:rPr>
        <w:fldChar w:fldCharType="separate"/>
      </w:r>
      <w:r w:rsidRPr="00D72B09" w:rsidR="007E07D7">
        <w:rPr>
          <w:b/>
        </w:rPr>
        <w:t>Table 9.</w:t>
      </w:r>
      <w:r w:rsidRPr="00D72B09" w:rsidR="007E07D7">
        <w:rPr>
          <w:b/>
        </w:rPr>
        <w:tab/>
      </w:r>
      <w:proofErr w:type="spellStart"/>
      <w:r w:rsidRPr="002E6918" w:rsidR="007E07D7">
        <w:t>TRC</w:t>
      </w:r>
      <w:proofErr w:type="spellEnd"/>
      <w:r w:rsidR="007E07D7">
        <w:t xml:space="preserve"> Test</w:t>
      </w:r>
      <w:r w:rsidR="007E07D7">
        <w:rPr>
          <w:b/>
        </w:rPr>
        <w:t xml:space="preserve"> </w:t>
      </w:r>
      <w:r w:rsidRPr="002E6918" w:rsidR="007E07D7">
        <w:t>Results</w:t>
      </w:r>
    </w:p>
    <w:p w:rsidR="00D35222" w:rsidP="007E07D7" w:rsidRDefault="00C652A0" w14:paraId="4A5A0D35" w14:textId="5847D78B">
      <w:pPr>
        <w:pStyle w:val="TableTOC"/>
        <w:rPr>
          <w:bCs w:val="0"/>
        </w:rPr>
      </w:pPr>
      <w:r>
        <w:rPr>
          <w:bCs w:val="0"/>
        </w:rPr>
        <w:fldChar w:fldCharType="end"/>
      </w:r>
      <w:r w:rsidRPr="00ED4E10" w:rsidR="00D35222">
        <w:rPr>
          <w:bCs w:val="0"/>
        </w:rPr>
        <w:fldChar w:fldCharType="begin"/>
      </w:r>
      <w:r w:rsidRPr="00ED4E10" w:rsidR="00D35222">
        <w:instrText xml:space="preserve"> REF Table10 \h </w:instrText>
      </w:r>
      <w:r w:rsidR="00ED4E10">
        <w:instrText xml:space="preserve"> \* MERGEFORMAT </w:instrText>
      </w:r>
      <w:r w:rsidRPr="00ED4E10" w:rsidR="00D35222">
        <w:rPr>
          <w:bCs w:val="0"/>
        </w:rPr>
      </w:r>
      <w:r w:rsidRPr="00ED4E10" w:rsidR="00D35222">
        <w:rPr>
          <w:bCs w:val="0"/>
        </w:rPr>
        <w:fldChar w:fldCharType="separate"/>
      </w:r>
      <w:r w:rsidRPr="00D72B09" w:rsidR="007E07D7">
        <w:rPr>
          <w:b/>
        </w:rPr>
        <w:t>Table </w:t>
      </w:r>
      <w:r w:rsidR="007E07D7">
        <w:rPr>
          <w:b/>
        </w:rPr>
        <w:t>10</w:t>
      </w:r>
      <w:r w:rsidRPr="00D72B09" w:rsidR="007E07D7">
        <w:rPr>
          <w:b/>
        </w:rPr>
        <w:t>.</w:t>
      </w:r>
      <w:r w:rsidRPr="00D72B09" w:rsidR="007E07D7">
        <w:rPr>
          <w:b/>
        </w:rPr>
        <w:tab/>
      </w:r>
      <w:r w:rsidRPr="0028135C" w:rsidR="007E07D7">
        <w:t>RIM Test Results</w:t>
      </w:r>
      <w:r w:rsidRPr="00ED4E10" w:rsidR="00D35222">
        <w:rPr>
          <w:bCs w:val="0"/>
        </w:rPr>
        <w:fldChar w:fldCharType="end"/>
      </w:r>
    </w:p>
    <w:p w:rsidR="00D35222" w:rsidP="00746132" w:rsidRDefault="00746132" w14:paraId="4D45A02E" w14:textId="45E811EC">
      <w:pPr>
        <w:spacing w:line="240" w:lineRule="auto"/>
        <w:ind w:left="1440" w:hanging="1440"/>
        <w:rPr>
          <w:rFonts w:cs="Arial"/>
          <w:bCs/>
          <w:szCs w:val="26"/>
        </w:rPr>
      </w:pPr>
      <w:r>
        <w:rPr>
          <w:rFonts w:cs="Arial"/>
          <w:bCs/>
          <w:szCs w:val="26"/>
        </w:rPr>
        <w:fldChar w:fldCharType="begin"/>
      </w:r>
      <w:r>
        <w:rPr>
          <w:rFonts w:cs="Arial"/>
          <w:bCs/>
          <w:szCs w:val="26"/>
        </w:rPr>
        <w:instrText xml:space="preserve"> REF Table11 \h </w:instrText>
      </w:r>
      <w:r>
        <w:rPr>
          <w:rFonts w:cs="Arial"/>
          <w:bCs/>
          <w:szCs w:val="26"/>
        </w:rPr>
      </w:r>
      <w:r>
        <w:rPr>
          <w:rFonts w:cs="Arial"/>
          <w:bCs/>
          <w:szCs w:val="26"/>
        </w:rPr>
        <w:fldChar w:fldCharType="separate"/>
      </w:r>
      <w:r w:rsidRPr="00256DB9" w:rsidR="007E07D7">
        <w:rPr>
          <w:b/>
        </w:rPr>
        <w:t>Table</w:t>
      </w:r>
      <w:r w:rsidR="007E07D7">
        <w:rPr>
          <w:b/>
        </w:rPr>
        <w:t> 11</w:t>
      </w:r>
      <w:r w:rsidRPr="00256DB9" w:rsidR="007E07D7">
        <w:rPr>
          <w:b/>
        </w:rPr>
        <w:t>.</w:t>
      </w:r>
      <w:r w:rsidR="007E07D7">
        <w:tab/>
      </w:r>
      <w:r w:rsidRPr="00910053" w:rsidR="007E07D7">
        <w:t xml:space="preserve">ACC Plus Adders </w:t>
      </w:r>
      <w:r w:rsidR="007E07D7">
        <w:t xml:space="preserve">and Payback Periods </w:t>
      </w:r>
      <w:r w:rsidRPr="00910053" w:rsidR="007E07D7">
        <w:t xml:space="preserve">for </w:t>
      </w:r>
      <w:r w:rsidR="007E07D7">
        <w:t>Low</w:t>
      </w:r>
      <w:r w:rsidR="007E07D7">
        <w:noBreakHyphen/>
        <w:t>Income</w:t>
      </w:r>
      <w:r w:rsidRPr="00910053" w:rsidR="007E07D7">
        <w:t xml:space="preserve"> </w:t>
      </w:r>
      <w:r w:rsidR="007E07D7">
        <w:t>Households</w:t>
      </w:r>
      <w:r>
        <w:rPr>
          <w:rFonts w:cs="Arial"/>
          <w:bCs/>
          <w:szCs w:val="26"/>
        </w:rPr>
        <w:fldChar w:fldCharType="end"/>
      </w:r>
    </w:p>
    <w:p w:rsidRPr="0098655A" w:rsidR="0098655A" w:rsidP="00EF724A" w:rsidRDefault="00123055" w14:paraId="6EDD23B8" w14:textId="6910EAD8">
      <w:pPr>
        <w:keepNext/>
        <w:spacing w:before="240" w:line="240" w:lineRule="auto"/>
        <w:ind w:left="720" w:hanging="720"/>
        <w:rPr>
          <w:rFonts w:cs="Arial"/>
          <w:szCs w:val="26"/>
        </w:rPr>
      </w:pPr>
      <w:r>
        <w:rPr>
          <w:rFonts w:cs="Arial"/>
          <w:b/>
          <w:szCs w:val="26"/>
        </w:rPr>
        <w:t>Appendix A</w:t>
      </w:r>
      <w:r w:rsidRPr="0098655A" w:rsidR="0098655A">
        <w:rPr>
          <w:rFonts w:cs="Arial"/>
          <w:szCs w:val="26"/>
        </w:rPr>
        <w:t xml:space="preserve"> –</w:t>
      </w:r>
      <w:r w:rsidR="00E23CBB">
        <w:rPr>
          <w:rFonts w:cs="Arial"/>
          <w:szCs w:val="26"/>
        </w:rPr>
        <w:t xml:space="preserve"> </w:t>
      </w:r>
      <w:r w:rsidRPr="00245BEE" w:rsidR="00245BEE">
        <w:rPr>
          <w:rFonts w:cs="Arial"/>
          <w:szCs w:val="26"/>
        </w:rPr>
        <w:t>Customer Explanation of Net Billing Tariff</w:t>
      </w:r>
    </w:p>
    <w:p w:rsidR="007D45F7" w:rsidP="005E7044" w:rsidRDefault="00123055" w14:paraId="16DC267A" w14:textId="5BAF6918">
      <w:pPr>
        <w:spacing w:line="240" w:lineRule="auto"/>
        <w:ind w:firstLine="0"/>
        <w:rPr>
          <w:rFonts w:cs="Arial"/>
          <w:szCs w:val="26"/>
        </w:rPr>
      </w:pPr>
      <w:r>
        <w:rPr>
          <w:rFonts w:cs="Arial"/>
          <w:b/>
          <w:szCs w:val="26"/>
        </w:rPr>
        <w:t>Appendix B</w:t>
      </w:r>
      <w:r w:rsidRPr="0098655A" w:rsidR="0098655A">
        <w:rPr>
          <w:rFonts w:cs="Arial"/>
          <w:szCs w:val="26"/>
        </w:rPr>
        <w:t xml:space="preserve"> – </w:t>
      </w:r>
      <w:r w:rsidRPr="00245BEE" w:rsidR="00245BEE">
        <w:rPr>
          <w:rFonts w:cs="Arial"/>
          <w:szCs w:val="26"/>
        </w:rPr>
        <w:t xml:space="preserve">Modeling Inputs and </w:t>
      </w:r>
      <w:r w:rsidR="00733795">
        <w:rPr>
          <w:rFonts w:cs="Arial"/>
          <w:szCs w:val="26"/>
        </w:rPr>
        <w:t>Results</w:t>
      </w:r>
    </w:p>
    <w:p w:rsidR="007D45F7" w:rsidP="005E7044" w:rsidRDefault="007D45F7" w14:paraId="7348C073" w14:textId="77777777">
      <w:pPr>
        <w:spacing w:line="240" w:lineRule="auto"/>
        <w:ind w:firstLine="0"/>
        <w:rPr>
          <w:rFonts w:cs="Arial"/>
          <w:i/>
          <w:szCs w:val="26"/>
        </w:rPr>
      </w:pPr>
    </w:p>
    <w:p w:rsidR="00AF2947" w:rsidP="005E7044" w:rsidRDefault="00AF2947" w14:paraId="04AD624B" w14:textId="77777777">
      <w:pPr>
        <w:spacing w:line="240" w:lineRule="auto"/>
        <w:ind w:firstLine="0"/>
        <w:rPr>
          <w:rFonts w:cs="Arial"/>
          <w:i/>
          <w:szCs w:val="26"/>
        </w:rPr>
      </w:pPr>
    </w:p>
    <w:p w:rsidRPr="00D44DB6" w:rsidR="00AF2947" w:rsidP="005E7044" w:rsidRDefault="00AF2947" w14:paraId="033B8B63" w14:textId="6947DB1A">
      <w:pPr>
        <w:spacing w:line="240" w:lineRule="auto"/>
        <w:ind w:firstLine="0"/>
        <w:rPr>
          <w:rFonts w:cs="Arial"/>
          <w:i/>
          <w:szCs w:val="26"/>
        </w:rPr>
        <w:sectPr w:rsidRPr="00D44DB6" w:rsidR="00AF2947" w:rsidSect="00261C61">
          <w:footerReference w:type="default" r:id="rId14"/>
          <w:pgSz w:w="12240" w:h="15840"/>
          <w:pgMar w:top="1728" w:right="1440" w:bottom="1440" w:left="1440" w:header="720" w:footer="720" w:gutter="0"/>
          <w:pgNumType w:fmt="lowerRoman" w:start="1"/>
          <w:cols w:space="720"/>
          <w:docGrid w:linePitch="360"/>
        </w:sectPr>
      </w:pPr>
    </w:p>
    <w:p w:rsidR="0098655A" w:rsidP="005E7044" w:rsidRDefault="003F4072" w14:paraId="1E5F07EB" w14:textId="087309C9">
      <w:pPr>
        <w:pStyle w:val="Main"/>
      </w:pPr>
      <w:bookmarkStart w:name="Title" w:id="3"/>
      <w:r>
        <w:lastRenderedPageBreak/>
        <w:t>DECISION REVISING NET ENERGY</w:t>
      </w:r>
      <w:r w:rsidR="0009503E">
        <w:br/>
      </w:r>
      <w:r>
        <w:t>METERING</w:t>
      </w:r>
      <w:r w:rsidR="0009503E">
        <w:t xml:space="preserve"> </w:t>
      </w:r>
      <w:r>
        <w:t>TARIFF</w:t>
      </w:r>
      <w:r w:rsidR="008971FA">
        <w:t xml:space="preserve"> AND </w:t>
      </w:r>
      <w:proofErr w:type="spellStart"/>
      <w:r w:rsidR="008971FA">
        <w:t>SUBTARIFFS</w:t>
      </w:r>
      <w:bookmarkEnd w:id="3"/>
      <w:proofErr w:type="spellEnd"/>
    </w:p>
    <w:p w:rsidRPr="008E6AD9" w:rsidR="008E6AD9" w:rsidP="005E7044" w:rsidRDefault="008E6AD9" w14:paraId="2E6C9141" w14:textId="77777777">
      <w:pPr>
        <w:spacing w:line="240" w:lineRule="auto"/>
        <w:ind w:firstLine="0"/>
      </w:pPr>
    </w:p>
    <w:p w:rsidRPr="008E6AD9" w:rsidR="005A148C" w:rsidP="005E7044" w:rsidRDefault="005A148C" w14:paraId="3EBF89A1" w14:textId="76B4F52C">
      <w:pPr>
        <w:pStyle w:val="Dummy"/>
        <w:keepLines w:val="0"/>
      </w:pPr>
      <w:bookmarkStart w:name="_Toc8123714" w:id="4"/>
      <w:bookmarkStart w:name="_Toc117674045" w:id="5"/>
      <w:bookmarkStart w:name="_Toc118285036" w:id="6"/>
      <w:bookmarkStart w:name="_Toc121854363" w:id="7"/>
      <w:r>
        <w:t>Summary</w:t>
      </w:r>
      <w:bookmarkEnd w:id="4"/>
      <w:bookmarkEnd w:id="5"/>
      <w:bookmarkEnd w:id="6"/>
      <w:bookmarkEnd w:id="7"/>
    </w:p>
    <w:p w:rsidR="0073353F" w:rsidP="005E7044" w:rsidRDefault="0064372B" w14:paraId="16FAC2CE" w14:textId="740DF9D4">
      <w:pPr>
        <w:pStyle w:val="Standard"/>
      </w:pPr>
      <w:r>
        <w:t xml:space="preserve">Pursuant to Public Utilities Code </w:t>
      </w:r>
      <w:r w:rsidR="0034029C">
        <w:t>Section 2</w:t>
      </w:r>
      <w:r>
        <w:t xml:space="preserve">827.1, this decision adopts a successor </w:t>
      </w:r>
      <w:r w:rsidR="00505313">
        <w:t xml:space="preserve">to the </w:t>
      </w:r>
      <w:r>
        <w:t xml:space="preserve">net energy metering tariff </w:t>
      </w:r>
      <w:r w:rsidR="00277254">
        <w:t>that addresses</w:t>
      </w:r>
      <w:r>
        <w:t xml:space="preserve"> the guiding principles adopted in Decision</w:t>
      </w:r>
      <w:r w:rsidR="00245BEE">
        <w:t> </w:t>
      </w:r>
      <w:r>
        <w:t>21</w:t>
      </w:r>
      <w:r w:rsidR="00827602">
        <w:noBreakHyphen/>
      </w:r>
      <w:r>
        <w:t>02</w:t>
      </w:r>
      <w:r w:rsidR="00827602">
        <w:noBreakHyphen/>
      </w:r>
      <w:r>
        <w:t xml:space="preserve">011 </w:t>
      </w:r>
      <w:r w:rsidR="008971FA">
        <w:t>as well as</w:t>
      </w:r>
      <w:r>
        <w:t xml:space="preserve"> the requirements of the </w:t>
      </w:r>
      <w:r w:rsidR="003929B1">
        <w:t>Public Utilities Code</w:t>
      </w:r>
      <w:r>
        <w:t xml:space="preserve">.  </w:t>
      </w:r>
      <w:r w:rsidR="00975C71">
        <w:t>T</w:t>
      </w:r>
      <w:r w:rsidR="008971FA">
        <w:t xml:space="preserve">he current net energy metering tariff and </w:t>
      </w:r>
      <w:r w:rsidR="0081061C">
        <w:t xml:space="preserve">its </w:t>
      </w:r>
      <w:proofErr w:type="spellStart"/>
      <w:r w:rsidR="008971FA">
        <w:t>subtariff</w:t>
      </w:r>
      <w:r w:rsidR="00AE6608">
        <w:t>s</w:t>
      </w:r>
      <w:proofErr w:type="spellEnd"/>
      <w:r>
        <w:t xml:space="preserve"> </w:t>
      </w:r>
      <w:r w:rsidR="0081061C">
        <w:t xml:space="preserve">are </w:t>
      </w:r>
      <w:r w:rsidR="00975C71">
        <w:t xml:space="preserve">revised </w:t>
      </w:r>
      <w:r w:rsidR="00784A44">
        <w:t>to</w:t>
      </w:r>
      <w:r>
        <w:t xml:space="preserve"> balance the multiple requirements of the </w:t>
      </w:r>
      <w:r w:rsidR="003929B1">
        <w:t>Public Utilities C</w:t>
      </w:r>
      <w:r>
        <w:t xml:space="preserve">ode and the needs of the </w:t>
      </w:r>
      <w:r w:rsidR="004F4F02">
        <w:t xml:space="preserve">electric </w:t>
      </w:r>
      <w:r>
        <w:t>grid, the environment, participating ratepayers, as well as all other ratepayers.</w:t>
      </w:r>
    </w:p>
    <w:p w:rsidR="0069156E" w:rsidP="005E7044" w:rsidRDefault="00505313" w14:paraId="1CBEAB15" w14:textId="54BADB3B">
      <w:pPr>
        <w:pStyle w:val="Standard"/>
      </w:pPr>
      <w:r>
        <w:t xml:space="preserve">Since implementing net energy metering over </w:t>
      </w:r>
      <w:r w:rsidR="00E27A2E">
        <w:t>20 </w:t>
      </w:r>
      <w:r>
        <w:t xml:space="preserve">years ago, California has witnessed the </w:t>
      </w:r>
      <w:r w:rsidR="004C30AC">
        <w:t>evolution</w:t>
      </w:r>
      <w:r>
        <w:t xml:space="preserve"> of the customer</w:t>
      </w:r>
      <w:r w:rsidR="00827602">
        <w:noBreakHyphen/>
      </w:r>
      <w:r>
        <w:t>sited rooftop solar industry</w:t>
      </w:r>
      <w:r w:rsidR="004C30AC">
        <w:t xml:space="preserve">, </w:t>
      </w:r>
      <w:r>
        <w:t>resulting in the installation of over 1</w:t>
      </w:r>
      <w:r w:rsidR="00A225E7">
        <w:t>2</w:t>
      </w:r>
      <w:r w:rsidR="003537FB">
        <w:t> gigawatt</w:t>
      </w:r>
      <w:r>
        <w:t>s of clean distributed energy resources</w:t>
      </w:r>
      <w:r w:rsidR="004C30AC">
        <w:t>.  However, the needs of the electric grid in California require additional evolution of the industry.  T</w:t>
      </w:r>
      <w:r w:rsidR="00A225E7">
        <w:t>oday, California’s</w:t>
      </w:r>
      <w:r w:rsidR="004C30AC">
        <w:t xml:space="preserve"> </w:t>
      </w:r>
      <w:r w:rsidR="00A225E7">
        <w:t xml:space="preserve">electric </w:t>
      </w:r>
      <w:r w:rsidR="004C30AC">
        <w:t xml:space="preserve">grid </w:t>
      </w:r>
      <w:r w:rsidR="00A225E7">
        <w:t>is significantly powered by clean energy</w:t>
      </w:r>
      <w:r w:rsidR="004C30AC">
        <w:t xml:space="preserve"> during daytime hours</w:t>
      </w:r>
      <w:r w:rsidR="00723252">
        <w:t>, but</w:t>
      </w:r>
      <w:r w:rsidR="004C30AC">
        <w:t xml:space="preserve"> </w:t>
      </w:r>
      <w:r w:rsidR="00A225E7">
        <w:t>peak elect</w:t>
      </w:r>
      <w:r w:rsidR="00545052">
        <w:t>ricity demands in the late afternoon and continuing into the night lead</w:t>
      </w:r>
      <w:r w:rsidR="00A225E7">
        <w:t xml:space="preserve"> </w:t>
      </w:r>
      <w:r w:rsidR="00545052">
        <w:t>to a greater reliance on</w:t>
      </w:r>
      <w:r w:rsidR="004C30AC">
        <w:t xml:space="preserve"> greenhouse gas emitting resources.  </w:t>
      </w:r>
      <w:r w:rsidR="00545052">
        <w:t>T</w:t>
      </w:r>
      <w:r w:rsidR="004C30AC">
        <w:t>his decision revises the net energy metering tariff to improve price signals</w:t>
      </w:r>
      <w:r w:rsidR="00545052">
        <w:t xml:space="preserve"> </w:t>
      </w:r>
      <w:r w:rsidR="00BD5835">
        <w:t xml:space="preserve">by </w:t>
      </w:r>
      <w:r w:rsidR="00545052">
        <w:t xml:space="preserve">better </w:t>
      </w:r>
      <w:r w:rsidR="00DD16FA">
        <w:t>align</w:t>
      </w:r>
      <w:r w:rsidR="00BD5835">
        <w:t>ing them</w:t>
      </w:r>
      <w:r w:rsidR="00DD16FA">
        <w:t xml:space="preserve"> with</w:t>
      </w:r>
      <w:r w:rsidR="00545052">
        <w:t xml:space="preserve"> the electric grid’s conditions, </w:t>
      </w:r>
      <w:r w:rsidR="00DD16FA">
        <w:t xml:space="preserve">both </w:t>
      </w:r>
      <w:r w:rsidR="00545052">
        <w:t>day and night</w:t>
      </w:r>
      <w:r w:rsidR="004C30AC">
        <w:t xml:space="preserve">.  The updated billing structure of the tariff is designed to </w:t>
      </w:r>
      <w:r w:rsidR="00DD16FA">
        <w:t xml:space="preserve">optimize grid use by the tariff’s customers and </w:t>
      </w:r>
      <w:r w:rsidR="004C30AC">
        <w:t>incentivize adopt</w:t>
      </w:r>
      <w:r w:rsidR="00DD16FA">
        <w:t>ion of</w:t>
      </w:r>
      <w:r w:rsidR="004C30AC">
        <w:t xml:space="preserve"> combined solar and storage systems.  </w:t>
      </w:r>
      <w:r w:rsidR="007546C5">
        <w:t xml:space="preserve">These changes will help meet California’s climate goals </w:t>
      </w:r>
      <w:r w:rsidR="00DD16FA">
        <w:t xml:space="preserve">and increase reliability, </w:t>
      </w:r>
      <w:r w:rsidR="007546C5">
        <w:t>while promoting affordability across all income levels.</w:t>
      </w:r>
    </w:p>
    <w:p w:rsidR="00533B2F" w:rsidP="005E7044" w:rsidRDefault="00FF214D" w14:paraId="62CB8058" w14:textId="04EEDDF0">
      <w:pPr>
        <w:pStyle w:val="Standard"/>
      </w:pPr>
      <w:r>
        <w:t>A</w:t>
      </w:r>
      <w:r w:rsidR="0064372B">
        <w:t xml:space="preserve"> review of the current net energy metering tariff, </w:t>
      </w:r>
      <w:r w:rsidR="008455DA">
        <w:t xml:space="preserve">referred to as </w:t>
      </w:r>
      <w:r w:rsidR="00602BC5">
        <w:t>NEM 2.0</w:t>
      </w:r>
      <w:r w:rsidR="0064372B">
        <w:t xml:space="preserve">, found that </w:t>
      </w:r>
      <w:r w:rsidR="008455DA">
        <w:t>the tariff</w:t>
      </w:r>
      <w:r w:rsidR="0064372B">
        <w:t xml:space="preserve"> negatively impacts non</w:t>
      </w:r>
      <w:r w:rsidR="00827602">
        <w:noBreakHyphen/>
      </w:r>
      <w:r w:rsidR="0064372B">
        <w:t xml:space="preserve">participating </w:t>
      </w:r>
      <w:r w:rsidR="004F4F02">
        <w:t>ratepayers</w:t>
      </w:r>
      <w:r w:rsidR="00D7614E">
        <w:t>,</w:t>
      </w:r>
      <w:r>
        <w:t xml:space="preserve"> </w:t>
      </w:r>
      <w:r w:rsidR="0064372B">
        <w:lastRenderedPageBreak/>
        <w:t>disproportionately harms low</w:t>
      </w:r>
      <w:r w:rsidR="00827602">
        <w:noBreakHyphen/>
      </w:r>
      <w:r w:rsidR="0064372B">
        <w:t>income ratepayers</w:t>
      </w:r>
      <w:r w:rsidR="00D7614E">
        <w:t>,</w:t>
      </w:r>
      <w:r>
        <w:t xml:space="preserve"> and</w:t>
      </w:r>
      <w:r w:rsidR="004C319F">
        <w:t xml:space="preserve"> </w:t>
      </w:r>
      <w:r>
        <w:t>is not cost</w:t>
      </w:r>
      <w:r w:rsidR="00827602">
        <w:noBreakHyphen/>
      </w:r>
      <w:r>
        <w:t>effective</w:t>
      </w:r>
      <w:r w:rsidR="0064372B">
        <w:t>.</w:t>
      </w:r>
      <w:r w:rsidR="00E91C73">
        <w:t xml:space="preserve">  This decision determines that</w:t>
      </w:r>
      <w:r w:rsidR="00E11EAA">
        <w:t>,</w:t>
      </w:r>
      <w:r w:rsidR="00E91C73">
        <w:t xml:space="preserve"> </w:t>
      </w:r>
      <w:r w:rsidR="00D374EE">
        <w:t>to</w:t>
      </w:r>
      <w:r w:rsidR="00E91C73">
        <w:t xml:space="preserve"> </w:t>
      </w:r>
      <w:r w:rsidR="00277254">
        <w:t xml:space="preserve">address </w:t>
      </w:r>
      <w:r w:rsidR="00E91C73">
        <w:t>the requirements of the guiding principles</w:t>
      </w:r>
      <w:r w:rsidR="00CD203B">
        <w:t xml:space="preserve"> </w:t>
      </w:r>
      <w:r w:rsidR="00277254">
        <w:t>and</w:t>
      </w:r>
      <w:r w:rsidR="00E91C73">
        <w:t xml:space="preserve"> the findings related to </w:t>
      </w:r>
      <w:r w:rsidR="00277254">
        <w:t xml:space="preserve">the </w:t>
      </w:r>
      <w:r w:rsidR="00602BC5">
        <w:t>NEM 2.0</w:t>
      </w:r>
      <w:r w:rsidR="00135D55">
        <w:t xml:space="preserve"> </w:t>
      </w:r>
      <w:r w:rsidR="00277254">
        <w:t>tariff</w:t>
      </w:r>
      <w:r w:rsidR="00E91C73">
        <w:t xml:space="preserve">, the successor tariff should promote equity, inclusion, electrification, and </w:t>
      </w:r>
      <w:r w:rsidR="003F644C">
        <w:t xml:space="preserve">the adoption of </w:t>
      </w:r>
      <w:r w:rsidR="004C319F">
        <w:t xml:space="preserve">solar </w:t>
      </w:r>
      <w:r w:rsidR="00A60E33">
        <w:t xml:space="preserve">paired </w:t>
      </w:r>
      <w:r w:rsidR="004C319F">
        <w:t xml:space="preserve">with </w:t>
      </w:r>
      <w:r w:rsidR="00E91C73">
        <w:t>storage</w:t>
      </w:r>
      <w:r w:rsidR="00E11EAA">
        <w:t xml:space="preserve"> </w:t>
      </w:r>
      <w:r w:rsidR="004C319F">
        <w:t xml:space="preserve">systems, </w:t>
      </w:r>
      <w:r w:rsidR="00E11EAA">
        <w:t xml:space="preserve">and provide a glide path </w:t>
      </w:r>
      <w:r w:rsidR="0020048F">
        <w:t>so that the industry can sustainably</w:t>
      </w:r>
      <w:r w:rsidR="00E11EAA">
        <w:t xml:space="preserve"> transition from the current tariff to the successor</w:t>
      </w:r>
      <w:r w:rsidR="004C319F">
        <w:t xml:space="preserve"> </w:t>
      </w:r>
      <w:r w:rsidR="00FC0E34">
        <w:t xml:space="preserve">tariff </w:t>
      </w:r>
      <w:r w:rsidR="004C319F">
        <w:t>and from a predominantly stand</w:t>
      </w:r>
      <w:r w:rsidR="00827602">
        <w:noBreakHyphen/>
      </w:r>
      <w:r w:rsidR="004C319F">
        <w:t xml:space="preserve">alone solar system </w:t>
      </w:r>
      <w:r w:rsidR="00523133">
        <w:t>tariff</w:t>
      </w:r>
      <w:r w:rsidR="004C319F">
        <w:t xml:space="preserve"> to one that </w:t>
      </w:r>
      <w:r w:rsidR="0081061C">
        <w:t>promotes</w:t>
      </w:r>
      <w:r w:rsidR="004C319F">
        <w:t xml:space="preserve"> the adoption of solar systems </w:t>
      </w:r>
      <w:r w:rsidR="0081061C">
        <w:t xml:space="preserve">paired </w:t>
      </w:r>
      <w:r w:rsidR="004C319F">
        <w:t>with storage</w:t>
      </w:r>
      <w:r w:rsidR="00E91C73">
        <w:t>.</w:t>
      </w:r>
    </w:p>
    <w:p w:rsidR="007546C5" w:rsidP="005E7044" w:rsidRDefault="001E15C2" w14:paraId="7D0BA1D3" w14:textId="3150010F">
      <w:pPr>
        <w:pStyle w:val="Standard"/>
      </w:pPr>
      <w:r>
        <w:t xml:space="preserve">In the </w:t>
      </w:r>
      <w:r w:rsidR="000D319A">
        <w:t>successor tariff</w:t>
      </w:r>
      <w:r>
        <w:t xml:space="preserve">, the structure of the </w:t>
      </w:r>
      <w:r w:rsidR="00141A9B">
        <w:t xml:space="preserve">NEM 2.0 </w:t>
      </w:r>
      <w:r>
        <w:t xml:space="preserve">tariff </w:t>
      </w:r>
      <w:r w:rsidR="00135651">
        <w:t xml:space="preserve">is revised </w:t>
      </w:r>
      <w:r>
        <w:t>to be a</w:t>
      </w:r>
      <w:r w:rsidR="00792D54">
        <w:t xml:space="preserve">n improved </w:t>
      </w:r>
      <w:r>
        <w:t>version of net billing, with a</w:t>
      </w:r>
      <w:r w:rsidR="00982FCA">
        <w:t xml:space="preserve"> retail</w:t>
      </w:r>
      <w:r>
        <w:t xml:space="preserve"> export compensation rate aligned with the value </w:t>
      </w:r>
      <w:r w:rsidR="00BF4B6E">
        <w:t xml:space="preserve">that </w:t>
      </w:r>
      <w:r w:rsidR="00780025">
        <w:t>behind</w:t>
      </w:r>
      <w:r w:rsidR="00827602">
        <w:noBreakHyphen/>
      </w:r>
      <w:r w:rsidR="00780025">
        <w:t>the</w:t>
      </w:r>
      <w:r w:rsidR="00827602">
        <w:noBreakHyphen/>
      </w:r>
      <w:r w:rsidR="00780025">
        <w:t xml:space="preserve">meter </w:t>
      </w:r>
      <w:r w:rsidR="005D6240">
        <w:t xml:space="preserve">energy generation </w:t>
      </w:r>
      <w:r w:rsidR="00780025">
        <w:t>systems</w:t>
      </w:r>
      <w:r>
        <w:t xml:space="preserve"> provide to the grid and </w:t>
      </w:r>
      <w:r w:rsidR="00BF4B6E">
        <w:t xml:space="preserve">retail </w:t>
      </w:r>
      <w:r>
        <w:t>import rates t</w:t>
      </w:r>
      <w:r w:rsidR="00AC1958">
        <w:t>hat</w:t>
      </w:r>
      <w:r>
        <w:t xml:space="preserve"> encourage electrification</w:t>
      </w:r>
      <w:r w:rsidR="008455DA">
        <w:t xml:space="preserve"> and </w:t>
      </w:r>
      <w:r w:rsidR="00BF4B6E">
        <w:t xml:space="preserve">adoption of </w:t>
      </w:r>
      <w:r w:rsidR="00277254">
        <w:t xml:space="preserve">solar </w:t>
      </w:r>
      <w:r w:rsidR="00850BE6">
        <w:t xml:space="preserve">systems </w:t>
      </w:r>
      <w:r w:rsidR="008455DA">
        <w:t xml:space="preserve">paired </w:t>
      </w:r>
      <w:r w:rsidR="00277254">
        <w:t xml:space="preserve">with </w:t>
      </w:r>
      <w:r w:rsidR="008455DA">
        <w:t>storage</w:t>
      </w:r>
      <w:r>
        <w:t xml:space="preserve">.  </w:t>
      </w:r>
      <w:r w:rsidR="007546C5">
        <w:t xml:space="preserve">The successor tariff applies electrification </w:t>
      </w:r>
      <w:r w:rsidR="00723252">
        <w:t xml:space="preserve">retail </w:t>
      </w:r>
      <w:r w:rsidR="00BF4B6E">
        <w:t xml:space="preserve">import </w:t>
      </w:r>
      <w:r w:rsidR="007546C5">
        <w:t>rates</w:t>
      </w:r>
      <w:r w:rsidR="00BF4B6E">
        <w:t>,</w:t>
      </w:r>
      <w:r w:rsidR="007546C5">
        <w:t xml:space="preserve"> </w:t>
      </w:r>
      <w:r w:rsidR="00BF4B6E">
        <w:t>with high differentials between winter off</w:t>
      </w:r>
      <w:r w:rsidR="00827602">
        <w:noBreakHyphen/>
      </w:r>
      <w:r w:rsidR="00BF4B6E">
        <w:t>peak and summer on</w:t>
      </w:r>
      <w:r w:rsidR="00827602">
        <w:noBreakHyphen/>
      </w:r>
      <w:r w:rsidR="00BF4B6E">
        <w:t xml:space="preserve">peak rates, </w:t>
      </w:r>
      <w:r w:rsidR="007546C5">
        <w:t>to new residential solar and storage customers instead of the time</w:t>
      </w:r>
      <w:r w:rsidR="00827602">
        <w:noBreakHyphen/>
      </w:r>
      <w:r w:rsidR="007546C5">
        <w:t>of</w:t>
      </w:r>
      <w:r w:rsidR="00827602">
        <w:noBreakHyphen/>
      </w:r>
      <w:r w:rsidR="007546C5">
        <w:t xml:space="preserve">use rates in the current tariff.  </w:t>
      </w:r>
      <w:r w:rsidR="00BF4B6E">
        <w:t xml:space="preserve">The </w:t>
      </w:r>
      <w:r w:rsidR="00141A9B">
        <w:t xml:space="preserve">successor </w:t>
      </w:r>
      <w:r w:rsidR="00BF4B6E">
        <w:t>tariff also replaces retail rate compensation for export</w:t>
      </w:r>
      <w:r w:rsidR="00F810B6">
        <w:t>ed energy</w:t>
      </w:r>
      <w:r w:rsidR="00BF4B6E">
        <w:t xml:space="preserve"> with Avoided Cost Calculator values that vary according to grid needs.  </w:t>
      </w:r>
      <w:r w:rsidR="007546C5">
        <w:t xml:space="preserve">The high differential electrification </w:t>
      </w:r>
      <w:r w:rsidR="00723252">
        <w:t xml:space="preserve">retail </w:t>
      </w:r>
      <w:r w:rsidR="00F810B6">
        <w:t xml:space="preserve">import </w:t>
      </w:r>
      <w:r w:rsidR="007546C5">
        <w:t xml:space="preserve">rates </w:t>
      </w:r>
      <w:r w:rsidR="000B2BCD">
        <w:t xml:space="preserve">in combination with the variable </w:t>
      </w:r>
      <w:r w:rsidR="00F64859">
        <w:t xml:space="preserve">retail </w:t>
      </w:r>
      <w:r w:rsidR="000B2BCD">
        <w:t xml:space="preserve">export compensation rates provided by the Avoided Cost Calculator </w:t>
      </w:r>
      <w:r w:rsidR="007546C5">
        <w:t xml:space="preserve">send strong price signals to customers to shift their use of </w:t>
      </w:r>
      <w:r w:rsidR="000B2BCD">
        <w:t xml:space="preserve">energy from </w:t>
      </w:r>
      <w:r w:rsidR="007546C5">
        <w:t>the grid to mid</w:t>
      </w:r>
      <w:r w:rsidR="00827602">
        <w:noBreakHyphen/>
      </w:r>
      <w:r w:rsidR="007546C5">
        <w:t xml:space="preserve">day and export electricity during the evening hours, which promotes </w:t>
      </w:r>
      <w:r w:rsidR="000B2BCD">
        <w:t xml:space="preserve">the installation of </w:t>
      </w:r>
      <w:r w:rsidR="007546C5">
        <w:t>storage</w:t>
      </w:r>
      <w:r w:rsidR="000B2BCD">
        <w:t xml:space="preserve"> with the solar systems</w:t>
      </w:r>
      <w:r w:rsidR="007546C5">
        <w:t xml:space="preserve">.  </w:t>
      </w:r>
      <w:r w:rsidR="00FC0E34">
        <w:t>These p</w:t>
      </w:r>
      <w:r w:rsidR="007546C5">
        <w:t xml:space="preserve">rice signals </w:t>
      </w:r>
      <w:r w:rsidR="000B2BCD">
        <w:t xml:space="preserve">also </w:t>
      </w:r>
      <w:r w:rsidR="007546C5">
        <w:t xml:space="preserve">benefit customers who electrify their </w:t>
      </w:r>
      <w:r w:rsidR="000B2BCD">
        <w:t xml:space="preserve">vehicles, </w:t>
      </w:r>
      <w:r w:rsidR="007546C5">
        <w:t>home devices</w:t>
      </w:r>
      <w:r w:rsidR="000B2BCD">
        <w:t>,</w:t>
      </w:r>
      <w:r w:rsidR="007546C5">
        <w:t xml:space="preserve"> and appliances.  </w:t>
      </w:r>
      <w:r w:rsidR="00723252">
        <w:t>The changes will improve the reliability of electricity in California and reduce greenhouse gas emissions.</w:t>
      </w:r>
    </w:p>
    <w:p w:rsidR="00E91C73" w:rsidP="005E7044" w:rsidRDefault="001E15C2" w14:paraId="33D6E15A" w14:textId="346D6B57">
      <w:pPr>
        <w:pStyle w:val="Standard"/>
      </w:pPr>
      <w:r>
        <w:lastRenderedPageBreak/>
        <w:t>T</w:t>
      </w:r>
      <w:r w:rsidR="00784A44">
        <w:t>o</w:t>
      </w:r>
      <w:r>
        <w:t xml:space="preserve"> ensure the </w:t>
      </w:r>
      <w:r w:rsidR="005D709A">
        <w:t>sustainab</w:t>
      </w:r>
      <w:r w:rsidR="00135651">
        <w:t>le growth</w:t>
      </w:r>
      <w:r>
        <w:t xml:space="preserve"> of </w:t>
      </w:r>
      <w:r w:rsidR="00135651">
        <w:t>customer</w:t>
      </w:r>
      <w:r w:rsidR="00827602">
        <w:noBreakHyphen/>
      </w:r>
      <w:r w:rsidR="00135651">
        <w:t xml:space="preserve">sited </w:t>
      </w:r>
      <w:r w:rsidR="000B2BCD">
        <w:t xml:space="preserve">renewable </w:t>
      </w:r>
      <w:r>
        <w:t xml:space="preserve">distributed generation, the </w:t>
      </w:r>
      <w:r w:rsidR="0090031C">
        <w:t>successor tariff</w:t>
      </w:r>
      <w:r>
        <w:t xml:space="preserve"> provides </w:t>
      </w:r>
      <w:r w:rsidR="00784A44">
        <w:t xml:space="preserve">a </w:t>
      </w:r>
      <w:r>
        <w:t>glide path in the form of a</w:t>
      </w:r>
      <w:r w:rsidR="00807EAF">
        <w:t>n adder based on the values in the Avoided Cost Calculator</w:t>
      </w:r>
      <w:r>
        <w:t>.</w:t>
      </w:r>
      <w:r w:rsidR="00723252">
        <w:t xml:space="preserve">  The glide path allows for a transition period for the solar industry</w:t>
      </w:r>
      <w:r w:rsidR="000B2BCD">
        <w:t xml:space="preserve"> to adapt to a solar paired with storage marketplace</w:t>
      </w:r>
      <w:r w:rsidR="00723252">
        <w:t>.</w:t>
      </w:r>
    </w:p>
    <w:p w:rsidR="004C319F" w:rsidP="005E7044" w:rsidRDefault="00891FB1" w14:paraId="5B53AC09" w14:textId="772E7937">
      <w:pPr>
        <w:pStyle w:val="Standard"/>
      </w:pPr>
      <w:r>
        <w:rPr>
          <w:noProof/>
        </w:rPr>
        <mc:AlternateContent>
          <mc:Choice Requires="wpi">
            <w:drawing>
              <wp:anchor distT="0" distB="0" distL="114300" distR="114300" simplePos="0" relativeHeight="251659264" behindDoc="0" locked="0" layoutInCell="1" allowOverlap="1" wp14:editId="37DFCFC2" wp14:anchorId="4E62F669">
                <wp:simplePos x="0" y="0"/>
                <wp:positionH relativeFrom="column">
                  <wp:posOffset>4754880</wp:posOffset>
                </wp:positionH>
                <wp:positionV relativeFrom="paragraph">
                  <wp:posOffset>1021080</wp:posOffset>
                </wp:positionV>
                <wp:extent cx="24765" cy="33655"/>
                <wp:effectExtent l="49530" t="51435" r="40005" b="38735"/>
                <wp:wrapNone/>
                <wp:docPr id="15"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15" bwMode="auto">
                      <w14:nvContentPartPr>
                        <w14:cNvContentPartPr>
                          <a14:cpLocks xmlns:a14="http://schemas.microsoft.com/office/drawing/2010/main" noRot="1" noChangeAspect="1" noEditPoints="1" noChangeArrowheads="1" noChangeShapeType="1"/>
                        </w14:cNvContentPartPr>
                      </w14:nvContentPartPr>
                      <w14:xfrm>
                        <a:off x="0" y="0"/>
                        <a:ext cx="24765" cy="33655"/>
                      </w14:xfrm>
                    </w14:contentPart>
                  </a:graphicData>
                </a:graphic>
                <wp14:sizeRelH relativeFrom="page">
                  <wp14:pctWidth>0</wp14:pctWidth>
                </wp14:sizeRelH>
                <wp14:sizeRelV relativeFrom="page">
                  <wp14:pctHeight>0</wp14:pctHeight>
                </wp14:sizeRelV>
              </wp:anchor>
            </w:drawing>
          </mc:Choice>
          <mc:Fallback>
            <w:pict>
              <v:shape id="Ink 7" style="position:absolute;margin-left:373.65pt;margin-top:79.7pt;width:3.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" w14:anchorId="2324333A">
                <v:imagedata o:title="" r:id="rId18"/>
                <o:lock v:ext="edit" rotation="t" verticies="t" shapetype="t"/>
              </v:shape>
            </w:pict>
          </mc:Fallback>
        </mc:AlternateContent>
      </w:r>
      <w:r w:rsidR="005D709A">
        <w:t>Th</w:t>
      </w:r>
      <w:r w:rsidR="001338C9">
        <w:t>is</w:t>
      </w:r>
      <w:r w:rsidR="005D709A">
        <w:t xml:space="preserve"> decision also adopts revisions that </w:t>
      </w:r>
      <w:r w:rsidR="00A60E33">
        <w:t xml:space="preserve">offer </w:t>
      </w:r>
      <w:r w:rsidR="005D709A">
        <w:t xml:space="preserve">customers in </w:t>
      </w:r>
      <w:r w:rsidR="00AA5988">
        <w:t>low</w:t>
      </w:r>
      <w:r w:rsidR="00827602">
        <w:noBreakHyphen/>
      </w:r>
      <w:r w:rsidR="00AA5988">
        <w:t>income</w:t>
      </w:r>
      <w:r w:rsidR="005D709A">
        <w:t xml:space="preserve"> households </w:t>
      </w:r>
      <w:r w:rsidR="000B2BCD">
        <w:t>more access</w:t>
      </w:r>
      <w:r w:rsidR="005D709A">
        <w:t xml:space="preserve"> to distributed generation systems, including solar systems paired with storage.  To improve such opportunities, this decision </w:t>
      </w:r>
      <w:r w:rsidR="00850BE6">
        <w:t xml:space="preserve">provides a glide path with a higher adder to ensure eligible customers achieve </w:t>
      </w:r>
      <w:r w:rsidR="00BD5835">
        <w:t xml:space="preserve">the same </w:t>
      </w:r>
      <w:r w:rsidR="00850BE6">
        <w:t>nine</w:t>
      </w:r>
      <w:r w:rsidR="00827602">
        <w:noBreakHyphen/>
      </w:r>
      <w:r w:rsidR="00850BE6">
        <w:t xml:space="preserve">year payback </w:t>
      </w:r>
      <w:r w:rsidR="00BD5835">
        <w:t xml:space="preserve">target </w:t>
      </w:r>
      <w:r w:rsidR="00850BE6">
        <w:t xml:space="preserve">for </w:t>
      </w:r>
      <w:r w:rsidR="00BD5835">
        <w:t>stand</w:t>
      </w:r>
      <w:r w:rsidR="00827602">
        <w:noBreakHyphen/>
      </w:r>
      <w:r w:rsidR="00BD5835">
        <w:t xml:space="preserve">alone solar </w:t>
      </w:r>
      <w:r w:rsidR="00850BE6">
        <w:t>systems</w:t>
      </w:r>
      <w:r w:rsidR="00BD5835">
        <w:t xml:space="preserve"> </w:t>
      </w:r>
      <w:r w:rsidR="001F4E19">
        <w:t xml:space="preserve">that </w:t>
      </w:r>
      <w:r w:rsidR="00BD5835">
        <w:t>all other residential customers receive</w:t>
      </w:r>
      <w:r w:rsidR="00850BE6">
        <w:t xml:space="preserve">.  </w:t>
      </w:r>
      <w:r w:rsidR="00FC0E34">
        <w:t>T</w:t>
      </w:r>
      <w:r w:rsidR="00084F83">
        <w:t xml:space="preserve">o ensure affordability of the successor tariff and equity among all customers, this decision </w:t>
      </w:r>
      <w:r w:rsidR="00135651">
        <w:t>directs an evaluation of these elements preceded by a three</w:t>
      </w:r>
      <w:r w:rsidR="00827602">
        <w:noBreakHyphen/>
      </w:r>
      <w:r w:rsidR="00135651">
        <w:t>year data collection period</w:t>
      </w:r>
      <w:r w:rsidR="00084F83">
        <w:t>.</w:t>
      </w:r>
    </w:p>
    <w:p w:rsidR="00533B2F" w:rsidP="005E7044" w:rsidRDefault="004C319F" w14:paraId="21584F33" w14:textId="62F7CA94">
      <w:pPr>
        <w:pStyle w:val="Standard"/>
      </w:pPr>
      <w:r>
        <w:t xml:space="preserve">Affordability is front and center in this proceeding, </w:t>
      </w:r>
      <w:r w:rsidR="009F4A01">
        <w:t>given</w:t>
      </w:r>
      <w:r>
        <w:t xml:space="preserve"> the finding that a </w:t>
      </w:r>
      <w:r w:rsidR="00084F83">
        <w:t>significant and growing</w:t>
      </w:r>
      <w:r>
        <w:t xml:space="preserve"> cost shift exists</w:t>
      </w:r>
      <w:r w:rsidR="00043F8F">
        <w:t xml:space="preserve"> in the previous tariff and</w:t>
      </w:r>
      <w:r w:rsidR="001338C9">
        <w:t xml:space="preserve">, to a lesser extent, remains </w:t>
      </w:r>
      <w:r w:rsidR="00043F8F">
        <w:t>in the adopted successor tariff</w:t>
      </w:r>
      <w:r w:rsidR="009F4A01">
        <w:t xml:space="preserve">.  This cost shift is </w:t>
      </w:r>
      <w:r w:rsidR="0015232D">
        <w:t>c</w:t>
      </w:r>
      <w:r w:rsidR="009F4A01">
        <w:t xml:space="preserve">reated </w:t>
      </w:r>
      <w:r w:rsidR="0015232D">
        <w:t>by</w:t>
      </w:r>
      <w:r w:rsidR="008E5334">
        <w:t xml:space="preserve"> </w:t>
      </w:r>
      <w:r w:rsidR="0015232D">
        <w:t xml:space="preserve">the </w:t>
      </w:r>
      <w:r w:rsidR="008E5334">
        <w:t xml:space="preserve">ability of </w:t>
      </w:r>
      <w:r w:rsidR="00135651">
        <w:t xml:space="preserve">distributed generation </w:t>
      </w:r>
      <w:r w:rsidR="008E5334">
        <w:t>customers to avoid fixed costs</w:t>
      </w:r>
      <w:r w:rsidR="009F4A01">
        <w:t xml:space="preserve">, </w:t>
      </w:r>
      <w:r w:rsidR="00C16CE0">
        <w:t xml:space="preserve">including grid costs and public purpose program costs, </w:t>
      </w:r>
      <w:r w:rsidR="009F4A01">
        <w:t xml:space="preserve">which </w:t>
      </w:r>
      <w:r w:rsidR="00084F83">
        <w:t>then become the responsibility of non</w:t>
      </w:r>
      <w:r w:rsidR="00827602">
        <w:noBreakHyphen/>
      </w:r>
      <w:r w:rsidR="00084F83">
        <w:t>participating ratepayers</w:t>
      </w:r>
      <w:r w:rsidR="00BD5E98">
        <w:t>, including low</w:t>
      </w:r>
      <w:r w:rsidR="00827602">
        <w:noBreakHyphen/>
      </w:r>
      <w:r w:rsidR="00BD5E98">
        <w:t>income customers</w:t>
      </w:r>
      <w:r>
        <w:t xml:space="preserve">.  </w:t>
      </w:r>
      <w:r w:rsidR="001338C9">
        <w:t xml:space="preserve">The successor tariff adopted in this decision is designed to compensate customers for the value of their exports to the grid based on the Avoided Cost Calculator.  This </w:t>
      </w:r>
      <w:r w:rsidR="00FC0E34">
        <w:t xml:space="preserve">improved valuation </w:t>
      </w:r>
      <w:r w:rsidR="001338C9">
        <w:t>will significantly reduce the cost shift and improve affordability for nonparticipating ratepayers, particularly low</w:t>
      </w:r>
      <w:r w:rsidR="00827602">
        <w:noBreakHyphen/>
      </w:r>
      <w:r w:rsidR="001338C9">
        <w:t xml:space="preserve">income ratepayers.  </w:t>
      </w:r>
      <w:r w:rsidR="00C16CE0">
        <w:t>Additionally, t</w:t>
      </w:r>
      <w:r>
        <w:t xml:space="preserve">he Commission </w:t>
      </w:r>
      <w:r w:rsidR="00043F8F">
        <w:t xml:space="preserve">has initiated a rulemaking </w:t>
      </w:r>
      <w:r w:rsidR="001E5FCF">
        <w:t>(</w:t>
      </w:r>
      <w:r w:rsidR="00A27A49">
        <w:t>Rulemaking</w:t>
      </w:r>
      <w:r w:rsidR="008C05D4">
        <w:t> </w:t>
      </w:r>
      <w:r w:rsidR="00A27A49">
        <w:t>2</w:t>
      </w:r>
      <w:r w:rsidR="001E5FCF">
        <w:t>2</w:t>
      </w:r>
      <w:r w:rsidR="00827602">
        <w:noBreakHyphen/>
      </w:r>
      <w:r w:rsidR="001E5FCF">
        <w:t>07</w:t>
      </w:r>
      <w:r w:rsidR="00827602">
        <w:noBreakHyphen/>
      </w:r>
      <w:r w:rsidR="001E5FCF">
        <w:t>005, the Rulemaking to Advance Demand Flexibility Through Electric Rates)</w:t>
      </w:r>
      <w:r w:rsidR="00084F83">
        <w:t xml:space="preserve"> to </w:t>
      </w:r>
      <w:r w:rsidR="00C16CE0">
        <w:t xml:space="preserve">broadly restructure the way fixed costs are collected, moving from volumetric charges to </w:t>
      </w:r>
      <w:r w:rsidR="001338C9">
        <w:lastRenderedPageBreak/>
        <w:t>a</w:t>
      </w:r>
      <w:r w:rsidR="00FC0E34">
        <w:t xml:space="preserve">n </w:t>
      </w:r>
      <w:r w:rsidR="001338C9">
        <w:t>income</w:t>
      </w:r>
      <w:r w:rsidR="00827602">
        <w:noBreakHyphen/>
      </w:r>
      <w:r w:rsidR="001338C9">
        <w:t>graduated fixed charge on all residential customers</w:t>
      </w:r>
      <w:r w:rsidR="00C16CE0">
        <w:t xml:space="preserve">. </w:t>
      </w:r>
      <w:r w:rsidR="00C347ED">
        <w:t xml:space="preserve"> </w:t>
      </w:r>
      <w:r w:rsidR="00C16CE0">
        <w:t xml:space="preserve">This fixed charge </w:t>
      </w:r>
      <w:r w:rsidR="001338C9">
        <w:t>will further reduce cost shift</w:t>
      </w:r>
      <w:r w:rsidR="00C16CE0">
        <w:t>s</w:t>
      </w:r>
      <w:r w:rsidR="001338C9">
        <w:t xml:space="preserve"> through an equitable approach to the distribution of electric costs</w:t>
      </w:r>
      <w:r w:rsidR="001E5FCF">
        <w:t>.</w:t>
      </w:r>
    </w:p>
    <w:p w:rsidR="00C16CE0" w:rsidP="005E7044" w:rsidRDefault="00C16CE0" w14:paraId="19F1179D" w14:textId="3FA18AEA">
      <w:pPr>
        <w:pStyle w:val="Standard"/>
      </w:pPr>
      <w:r>
        <w:t xml:space="preserve">Finally, eligible customers of the successor tariff will have the opportunity to take advantage of </w:t>
      </w:r>
      <w:r w:rsidR="00D66A38">
        <w:t>new funding for up</w:t>
      </w:r>
      <w:r w:rsidR="00827602">
        <w:noBreakHyphen/>
      </w:r>
      <w:r w:rsidR="00D66A38">
        <w:t>front incentive payments for solar paired with storage systems</w:t>
      </w:r>
      <w:r w:rsidR="00BD5835">
        <w:t xml:space="preserve"> and stand</w:t>
      </w:r>
      <w:r w:rsidR="00827602">
        <w:noBreakHyphen/>
      </w:r>
      <w:r w:rsidR="00BD5835">
        <w:t>alone storage</w:t>
      </w:r>
      <w:r w:rsidR="00D66A38">
        <w:t>.  This funding allows the Commission to offer a total of $900</w:t>
      </w:r>
      <w:r w:rsidR="002F5949">
        <w:t> </w:t>
      </w:r>
      <w:r w:rsidR="00D66A38">
        <w:t>million, with $630</w:t>
      </w:r>
      <w:r w:rsidR="002F5949">
        <w:t> </w:t>
      </w:r>
      <w:r w:rsidR="00D66A38">
        <w:t xml:space="preserve">million set </w:t>
      </w:r>
      <w:r w:rsidR="00E0250F">
        <w:t>a</w:t>
      </w:r>
      <w:r w:rsidR="00D66A38">
        <w:t>side for low</w:t>
      </w:r>
      <w:r w:rsidR="00827602">
        <w:noBreakHyphen/>
      </w:r>
      <w:r w:rsidR="00D66A38">
        <w:t>income customers, to reduce the cost of these systems.  This funding will provide the financial means for eligible customers to access these systems while further supporting the sustainable growth of customer</w:t>
      </w:r>
      <w:r w:rsidR="00827602">
        <w:noBreakHyphen/>
      </w:r>
      <w:r w:rsidR="00D66A38">
        <w:t>sited renewable generation.</w:t>
      </w:r>
    </w:p>
    <w:p w:rsidR="00454165" w:rsidP="005E7044" w:rsidRDefault="00454165" w14:paraId="2F4B3D18" w14:textId="34079127">
      <w:pPr>
        <w:pStyle w:val="Heading1"/>
        <w:keepLines w:val="0"/>
      </w:pPr>
      <w:bookmarkStart w:name="_Toc117674046" w:id="8"/>
      <w:bookmarkStart w:name="_Toc118285037" w:id="9"/>
      <w:bookmarkStart w:name="_Toc121854364" w:id="10"/>
      <w:bookmarkStart w:name="_Toc8123717" w:id="11"/>
      <w:r>
        <w:t>Legislative and Regulatory History of</w:t>
      </w:r>
      <w:r w:rsidR="00245BEE">
        <w:br/>
      </w:r>
      <w:r>
        <w:t>Net Energy Metering</w:t>
      </w:r>
      <w:r w:rsidR="00EC2EF1">
        <w:t xml:space="preserve"> in California</w:t>
      </w:r>
      <w:bookmarkEnd w:id="8"/>
      <w:bookmarkEnd w:id="9"/>
      <w:bookmarkEnd w:id="10"/>
    </w:p>
    <w:p w:rsidR="00454165" w:rsidP="005E7044" w:rsidRDefault="00454165" w14:paraId="74739EDA" w14:textId="2410EA8E">
      <w:pPr>
        <w:pStyle w:val="Standard"/>
      </w:pPr>
      <w:r>
        <w:t>Senate Bill (SB)</w:t>
      </w:r>
      <w:r w:rsidR="0023661E">
        <w:t> </w:t>
      </w:r>
      <w:r>
        <w:t>656 (</w:t>
      </w:r>
      <w:bookmarkStart w:name="_Hlk115096287" w:id="12"/>
      <w:r>
        <w:t>Alquist, Stats.</w:t>
      </w:r>
      <w:r w:rsidR="0023661E">
        <w:t> </w:t>
      </w:r>
      <w:r>
        <w:t>1995</w:t>
      </w:r>
      <w:r w:rsidR="00D00CE5">
        <w:t xml:space="preserve">, </w:t>
      </w:r>
      <w:proofErr w:type="spellStart"/>
      <w:r w:rsidR="00D00CE5">
        <w:t>ch.</w:t>
      </w:r>
      <w:proofErr w:type="spellEnd"/>
      <w:r w:rsidR="00D00CE5">
        <w:t> </w:t>
      </w:r>
      <w:r>
        <w:t>369</w:t>
      </w:r>
      <w:bookmarkEnd w:id="12"/>
      <w:r>
        <w:t>) established net energy metering in California, an electricity tariff</w:t>
      </w:r>
      <w:r w:rsidR="00827602">
        <w:noBreakHyphen/>
      </w:r>
      <w:r>
        <w:t xml:space="preserve">based billing mechanism created to </w:t>
      </w:r>
      <w:r w:rsidR="00BA1EAE">
        <w:t>“</w:t>
      </w:r>
      <w:r>
        <w:t>encourage private investment in renewable energy resources, stimulate in</w:t>
      </w:r>
      <w:r w:rsidR="00827602">
        <w:noBreakHyphen/>
      </w:r>
      <w:r>
        <w:t>state economic growth, enhance the continued diversification of California’s energy resource mix, and reduce utility interconnection and administrative costs.</w:t>
      </w:r>
      <w:r w:rsidR="00BA1EAE">
        <w:t>”</w:t>
      </w:r>
      <w:r>
        <w:t xml:space="preserve"> </w:t>
      </w:r>
      <w:r w:rsidR="00E27AE8">
        <w:t>SB </w:t>
      </w:r>
      <w:r>
        <w:t xml:space="preserve">656 added </w:t>
      </w:r>
      <w:r w:rsidR="0034029C">
        <w:t>Section 2</w:t>
      </w:r>
      <w:r>
        <w:t xml:space="preserve">827 </w:t>
      </w:r>
      <w:r w:rsidR="00E11415">
        <w:t>to</w:t>
      </w:r>
      <w:r>
        <w:t xml:space="preserve"> the Public Utilities Code, which directed every electric utility in California to develop a standard contract or tariff to allow eligible customer</w:t>
      </w:r>
      <w:r w:rsidR="00827602">
        <w:noBreakHyphen/>
      </w:r>
      <w:r>
        <w:t xml:space="preserve">generators (customers who own and operate </w:t>
      </w:r>
      <w:r w:rsidR="00311B1A">
        <w:t>a</w:t>
      </w:r>
      <w:r w:rsidR="00333F8E">
        <w:t>n</w:t>
      </w:r>
      <w:r>
        <w:t xml:space="preserve"> electrical generating facility to offset part or </w:t>
      </w:r>
      <w:r w:rsidR="00D374EE">
        <w:t>all</w:t>
      </w:r>
      <w:r>
        <w:t xml:space="preserve"> </w:t>
      </w:r>
      <w:r w:rsidR="00E0250F">
        <w:t>their</w:t>
      </w:r>
      <w:r>
        <w:t xml:space="preserve"> own electrical requirements) to receive a financial credit on their electric bills for energy fed back to the utility’s grid.</w:t>
      </w:r>
    </w:p>
    <w:p w:rsidR="00454165" w:rsidP="005E7044" w:rsidRDefault="00454165" w14:paraId="12A208EF" w14:textId="6FD9B7B0">
      <w:pPr>
        <w:pStyle w:val="Standard"/>
      </w:pPr>
      <w:r>
        <w:t xml:space="preserve">In the first net energy metering tariff, referred to as </w:t>
      </w:r>
      <w:r w:rsidR="00602BC5">
        <w:t>NEM 1.0</w:t>
      </w:r>
      <w:r>
        <w:t>, customer</w:t>
      </w:r>
      <w:r w:rsidR="00827602">
        <w:noBreakHyphen/>
      </w:r>
      <w:r>
        <w:t xml:space="preserve">generators received a full retail rate bill credit for power generated by </w:t>
      </w:r>
      <w:r>
        <w:lastRenderedPageBreak/>
        <w:t>their onsite systems that was fed back into the grid when generation exceeded onsite energy demand.  The credits offset a customer’s monthly electricity bills and could be used on subsequent bills</w:t>
      </w:r>
      <w:r w:rsidR="00311B1A">
        <w:t xml:space="preserve"> for</w:t>
      </w:r>
      <w:r>
        <w:t xml:space="preserve"> up to one year.</w:t>
      </w:r>
    </w:p>
    <w:p w:rsidR="00B56CA6" w:rsidP="005E7044" w:rsidRDefault="00B56CA6" w14:paraId="403C43B1" w14:textId="6C2F5F64">
      <w:pPr>
        <w:pStyle w:val="Standard"/>
      </w:pPr>
      <w:r>
        <w:t>Relatedly, the federal government enacted the Energy Policy Act of 2005, which requires a state to consider implementing net metering but does not require net metering.</w:t>
      </w:r>
      <w:r w:rsidR="00675CB0">
        <w:rPr>
          <w:rStyle w:val="FootnoteReference"/>
        </w:rPr>
        <w:footnoteReference w:id="2"/>
      </w:r>
      <w:r>
        <w:t xml:space="preserve"> </w:t>
      </w:r>
      <w:r w:rsidR="00E0250F">
        <w:t>It</w:t>
      </w:r>
      <w:r w:rsidR="00DD4E06">
        <w:t xml:space="preserve"> allows </w:t>
      </w:r>
      <w:r w:rsidR="00982099">
        <w:t xml:space="preserve">a </w:t>
      </w:r>
      <w:r w:rsidR="00DD4E06">
        <w:t>state</w:t>
      </w:r>
      <w:r w:rsidR="00E0250F">
        <w:t xml:space="preserve"> to</w:t>
      </w:r>
      <w:r w:rsidR="00DD4E06">
        <w:t xml:space="preserve"> decide the terms of the retail sale and billing practices applicable to retail transactions</w:t>
      </w:r>
      <w:r w:rsidR="00E0250F">
        <w:t xml:space="preserve"> if a state chooses to implement a net metering program where generation offsets customer load</w:t>
      </w:r>
      <w:r w:rsidR="00DD4E06">
        <w:t>.</w:t>
      </w:r>
      <w:r w:rsidR="00675CB0">
        <w:rPr>
          <w:rStyle w:val="FootnoteReference"/>
        </w:rPr>
        <w:footnoteReference w:id="3"/>
      </w:r>
      <w:r w:rsidR="00DD4E06">
        <w:t xml:space="preserve">  </w:t>
      </w:r>
      <w:r w:rsidR="00E0250F">
        <w:t>It</w:t>
      </w:r>
      <w:r w:rsidR="00DD4E06">
        <w:t xml:space="preserve"> does not extend to situations where</w:t>
      </w:r>
      <w:r w:rsidR="00485CAE">
        <w:t xml:space="preserve"> a</w:t>
      </w:r>
      <w:r w:rsidR="00DD4E06">
        <w:t xml:space="preserve"> net metering customer remains a net consumer of power during the netting period</w:t>
      </w:r>
      <w:r w:rsidR="00485CAE">
        <w:t>.</w:t>
      </w:r>
      <w:r w:rsidR="00DD4E06">
        <w:t xml:space="preserve"> </w:t>
      </w:r>
      <w:r w:rsidR="00485CAE">
        <w:t>R</w:t>
      </w:r>
      <w:r w:rsidR="00DD4E06">
        <w:t>ather</w:t>
      </w:r>
      <w:r w:rsidR="00485CAE">
        <w:t>, only</w:t>
      </w:r>
      <w:r w:rsidR="00DD4E06">
        <w:t xml:space="preserve"> federal jurisdiction is triggered </w:t>
      </w:r>
      <w:r w:rsidR="00BA1EAE">
        <w:t>“</w:t>
      </w:r>
      <w:r w:rsidR="00DD4E06">
        <w:t>when a facility operating under a state net metering program produces more power than it consumes over the relevant netting period.</w:t>
      </w:r>
      <w:r w:rsidR="00D66A38">
        <w:t>”</w:t>
      </w:r>
      <w:r w:rsidR="00A655AF">
        <w:rPr>
          <w:rStyle w:val="FootnoteReference"/>
        </w:rPr>
        <w:footnoteReference w:id="4"/>
      </w:r>
      <w:r w:rsidR="00DD4E06">
        <w:t xml:space="preserve">  Further, if a net sale over the netting period occurs, the Public Utility Regulatory Policies Act of 1978 (</w:t>
      </w:r>
      <w:proofErr w:type="spellStart"/>
      <w:r w:rsidR="00DD4E06">
        <w:t>PURPA</w:t>
      </w:r>
      <w:proofErr w:type="spellEnd"/>
      <w:r w:rsidR="00DD4E06">
        <w:t>) applies, prescribing the price paid for a net sale from a state net metering program.</w:t>
      </w:r>
      <w:r w:rsidR="00A655AF">
        <w:rPr>
          <w:rStyle w:val="FootnoteReference"/>
        </w:rPr>
        <w:footnoteReference w:id="5"/>
      </w:r>
      <w:r w:rsidR="00DD4E06">
        <w:t xml:space="preserve"> </w:t>
      </w:r>
      <w:proofErr w:type="spellStart"/>
      <w:r w:rsidR="00DD4E06">
        <w:t>PURPA</w:t>
      </w:r>
      <w:proofErr w:type="spellEnd"/>
      <w:r w:rsidR="00DD4E06">
        <w:t xml:space="preserve"> requires a utility to purchase net surplus generation </w:t>
      </w:r>
      <w:r w:rsidR="00DD4E06">
        <w:lastRenderedPageBreak/>
        <w:t>at the incremental cost of alternative energy to the utility, which, but for the purchase, the utility would generate itself or purchase from another source.</w:t>
      </w:r>
      <w:r w:rsidR="00A655AF">
        <w:rPr>
          <w:rStyle w:val="FootnoteReference"/>
        </w:rPr>
        <w:footnoteReference w:id="6"/>
      </w:r>
    </w:p>
    <w:p w:rsidR="00533B2F" w:rsidP="005E7044" w:rsidRDefault="00DD4E06" w14:paraId="4AD05884" w14:textId="77777777">
      <w:pPr>
        <w:pStyle w:val="Standard"/>
      </w:pPr>
      <w:r>
        <w:t xml:space="preserve">In 2013, </w:t>
      </w:r>
      <w:r w:rsidR="00454165">
        <w:t>Assembly Bill (AB)</w:t>
      </w:r>
      <w:r w:rsidR="00D00CE5">
        <w:t> </w:t>
      </w:r>
      <w:r w:rsidR="00454165">
        <w:t xml:space="preserve">327 (Perea, </w:t>
      </w:r>
      <w:r w:rsidR="00D00CE5">
        <w:t>Stats. 2</w:t>
      </w:r>
      <w:r w:rsidR="00454165">
        <w:t>013</w:t>
      </w:r>
      <w:r w:rsidR="00D00CE5">
        <w:t xml:space="preserve">, </w:t>
      </w:r>
      <w:proofErr w:type="spellStart"/>
      <w:r w:rsidR="00D00CE5">
        <w:t>ch.</w:t>
      </w:r>
      <w:proofErr w:type="spellEnd"/>
      <w:r w:rsidR="00D00CE5">
        <w:t> </w:t>
      </w:r>
      <w:r w:rsidR="00454165">
        <w:t xml:space="preserve">611) </w:t>
      </w:r>
      <w:r w:rsidR="00E11415">
        <w:t xml:space="preserve">added </w:t>
      </w:r>
      <w:r w:rsidR="0034029C">
        <w:t>Section 2</w:t>
      </w:r>
      <w:r w:rsidR="00E11415">
        <w:t xml:space="preserve">827.1 to the Public Utilities Code and </w:t>
      </w:r>
      <w:r w:rsidR="00454165">
        <w:t xml:space="preserve">mandated </w:t>
      </w:r>
      <w:r w:rsidR="00011D48">
        <w:t xml:space="preserve">that </w:t>
      </w:r>
      <w:r w:rsidR="00454165">
        <w:t>the Commission adopt a successor to the existing net energy metering tariff with the following objectives</w:t>
      </w:r>
      <w:r w:rsidR="00E27AE8">
        <w:t>:</w:t>
      </w:r>
    </w:p>
    <w:p w:rsidR="00533B2F" w:rsidP="00396E11" w:rsidRDefault="00454165" w14:paraId="085D41DB" w14:textId="482691B8">
      <w:pPr>
        <w:pStyle w:val="BlockQuoteH033"/>
        <w:numPr>
          <w:ilvl w:val="0"/>
          <w:numId w:val="10"/>
        </w:numPr>
        <w:ind w:left="1195" w:hanging="475"/>
      </w:pPr>
      <w:bookmarkStart w:name="_Hlk85984691" w:id="13"/>
      <w:r w:rsidRPr="00B729E3">
        <w:t>Ensure that the standard contract or tariff made available to eligible customer</w:t>
      </w:r>
      <w:r w:rsidR="00827602">
        <w:noBreakHyphen/>
      </w:r>
      <w:r w:rsidRPr="00B729E3">
        <w:t>generators ensures that customer</w:t>
      </w:r>
      <w:r w:rsidR="00827602">
        <w:noBreakHyphen/>
      </w:r>
      <w:r w:rsidRPr="00B729E3">
        <w:t>sited renewable distributed generation continues to grow sustainably and include specific alternatives designed for growth among residential customers in disadvantaged communities</w:t>
      </w:r>
      <w:r w:rsidR="00034D52">
        <w:t>;</w:t>
      </w:r>
    </w:p>
    <w:p w:rsidR="00533B2F" w:rsidP="00396E11" w:rsidRDefault="00454165" w14:paraId="2306A1EA" w14:textId="48EAEC75">
      <w:pPr>
        <w:pStyle w:val="BlockQuoteH033"/>
        <w:numPr>
          <w:ilvl w:val="0"/>
          <w:numId w:val="10"/>
        </w:numPr>
        <w:ind w:left="1195" w:hanging="475"/>
      </w:pPr>
      <w:r w:rsidRPr="00B729E3">
        <w:t>Establish terms of service and billing rules for eligible customer</w:t>
      </w:r>
      <w:r w:rsidR="00827602">
        <w:noBreakHyphen/>
      </w:r>
      <w:r w:rsidRPr="00B729E3">
        <w:t>generators</w:t>
      </w:r>
      <w:r w:rsidR="00034D52">
        <w:t>;</w:t>
      </w:r>
    </w:p>
    <w:p w:rsidR="00533B2F" w:rsidP="00396E11" w:rsidRDefault="00454165" w14:paraId="16F3801A" w14:textId="3F8C630B">
      <w:pPr>
        <w:pStyle w:val="BlockQuoteH033"/>
        <w:numPr>
          <w:ilvl w:val="0"/>
          <w:numId w:val="10"/>
        </w:numPr>
        <w:ind w:left="1195" w:hanging="475"/>
      </w:pPr>
      <w:r w:rsidRPr="00B729E3">
        <w:t>Ensure that the standard contract or tariff made available to eligible customer</w:t>
      </w:r>
      <w:r w:rsidR="00827602">
        <w:noBreakHyphen/>
      </w:r>
      <w:r w:rsidRPr="00B729E3">
        <w:t>generators is based on the costs and benefits of the renewable electrical generation facility</w:t>
      </w:r>
      <w:r w:rsidR="00034D52">
        <w:t>;</w:t>
      </w:r>
    </w:p>
    <w:p w:rsidR="00533B2F" w:rsidP="00396E11" w:rsidRDefault="00454165" w14:paraId="315A28B3" w14:textId="77777777">
      <w:pPr>
        <w:pStyle w:val="BlockQuoteH033"/>
        <w:numPr>
          <w:ilvl w:val="0"/>
          <w:numId w:val="10"/>
        </w:numPr>
        <w:ind w:left="1195" w:hanging="475"/>
      </w:pPr>
      <w:r w:rsidRPr="00B729E3">
        <w:t>Ensure that the total benefits of the standard contract or tariff to all customers and the electrical system are approximately equal to the total costs</w:t>
      </w:r>
      <w:r w:rsidR="00034D52">
        <w:t>;</w:t>
      </w:r>
    </w:p>
    <w:p w:rsidR="00533B2F" w:rsidP="00396E11" w:rsidRDefault="00454165" w14:paraId="03CCF630" w14:textId="77777777">
      <w:pPr>
        <w:pStyle w:val="BlockQuoteH033"/>
        <w:numPr>
          <w:ilvl w:val="0"/>
          <w:numId w:val="10"/>
        </w:numPr>
        <w:ind w:left="1195" w:hanging="475"/>
      </w:pPr>
      <w:r w:rsidRPr="00B729E3">
        <w:t xml:space="preserve">Allow projects greater than one megawatt that do not have significant impact on the distribution grid to be built to the size of the onsite load if the projects with a capacity of more than one megawatt are subject to reasonable interconnection charges established pursuant to the commission’s Electric </w:t>
      </w:r>
      <w:r w:rsidR="00337F73">
        <w:t>Rule 2</w:t>
      </w:r>
      <w:r w:rsidRPr="00B729E3">
        <w:t>1 and applicable state and federal requirements</w:t>
      </w:r>
      <w:r w:rsidR="00034D52">
        <w:t>;</w:t>
      </w:r>
    </w:p>
    <w:p w:rsidR="00533B2F" w:rsidP="00396E11" w:rsidRDefault="00454165" w14:paraId="3A3D7A2B" w14:textId="7B401C92">
      <w:pPr>
        <w:pStyle w:val="BlockQuoteH033"/>
        <w:numPr>
          <w:ilvl w:val="0"/>
          <w:numId w:val="10"/>
        </w:numPr>
        <w:ind w:left="1195" w:hanging="475"/>
      </w:pPr>
      <w:r w:rsidRPr="00B729E3">
        <w:t>Establish a transition period during which eligible customer</w:t>
      </w:r>
      <w:r w:rsidR="00827602">
        <w:noBreakHyphen/>
      </w:r>
      <w:r w:rsidRPr="00B729E3">
        <w:t>generators taking service under a net energy metering tariff or contract prior to July</w:t>
      </w:r>
      <w:r w:rsidR="00337F73">
        <w:t> </w:t>
      </w:r>
      <w:r w:rsidRPr="00B729E3">
        <w:t>1,</w:t>
      </w:r>
      <w:r w:rsidR="00337F73">
        <w:t> </w:t>
      </w:r>
      <w:r w:rsidRPr="00B729E3">
        <w:t>2017, or until the electrical corporation reaches its net energy metering program limit pursuant to subparagraph</w:t>
      </w:r>
      <w:r w:rsidR="008D590D">
        <w:t> </w:t>
      </w:r>
      <w:r w:rsidRPr="00B729E3">
        <w:t>(B)</w:t>
      </w:r>
      <w:r w:rsidR="008D590D">
        <w:t xml:space="preserve"> </w:t>
      </w:r>
      <w:r w:rsidRPr="00B729E3">
        <w:t xml:space="preserve">of </w:t>
      </w:r>
      <w:r w:rsidRPr="00B729E3">
        <w:lastRenderedPageBreak/>
        <w:t>paragraph</w:t>
      </w:r>
      <w:r w:rsidR="00BA6A01">
        <w:t> </w:t>
      </w:r>
      <w:r w:rsidRPr="00B729E3">
        <w:t>(4)</w:t>
      </w:r>
      <w:r w:rsidR="00337F73">
        <w:t xml:space="preserve"> </w:t>
      </w:r>
      <w:r w:rsidRPr="00B729E3">
        <w:t>of subdivision</w:t>
      </w:r>
      <w:r w:rsidR="00337F73">
        <w:t> </w:t>
      </w:r>
      <w:r w:rsidRPr="00B729E3">
        <w:t>(c)</w:t>
      </w:r>
      <w:r w:rsidR="00337F73">
        <w:t xml:space="preserve"> </w:t>
      </w:r>
      <w:r w:rsidRPr="00B729E3">
        <w:t xml:space="preserve">of </w:t>
      </w:r>
      <w:r w:rsidR="0034029C">
        <w:t>Section 2</w:t>
      </w:r>
      <w:r w:rsidRPr="00B729E3">
        <w:t>827, whichever is earlier, shall be eligible to continue service under the previously applicable net energy metering tariff for a length of time to be determined by the commission by March</w:t>
      </w:r>
      <w:r w:rsidR="00BA6A01">
        <w:t> </w:t>
      </w:r>
      <w:r w:rsidRPr="00B729E3">
        <w:t>31,</w:t>
      </w:r>
      <w:r w:rsidR="00BA6A01">
        <w:t> </w:t>
      </w:r>
      <w:r w:rsidRPr="00B729E3">
        <w:t xml:space="preserve">2014. </w:t>
      </w:r>
      <w:r w:rsidR="00BA6A01">
        <w:t xml:space="preserve"> </w:t>
      </w:r>
      <w:r w:rsidRPr="00B729E3">
        <w:t xml:space="preserve">Any rules adopted by the commission shall consider a reasonable expected payback period based on the year the customer initially took service under the tariff or contract authorized by </w:t>
      </w:r>
      <w:r w:rsidR="0034029C">
        <w:t>Section 2</w:t>
      </w:r>
      <w:r w:rsidRPr="00B729E3">
        <w:t>827</w:t>
      </w:r>
      <w:r w:rsidR="00034D52">
        <w:t>; and</w:t>
      </w:r>
    </w:p>
    <w:p w:rsidR="00454165" w:rsidP="00396E11" w:rsidRDefault="00454165" w14:paraId="1A972D95" w14:textId="690D31D4">
      <w:pPr>
        <w:pStyle w:val="BlockQuoteH033"/>
        <w:numPr>
          <w:ilvl w:val="0"/>
          <w:numId w:val="10"/>
        </w:numPr>
        <w:ind w:left="1195" w:hanging="475"/>
      </w:pPr>
      <w:r w:rsidRPr="00B729E3">
        <w:t xml:space="preserve">The commission shall determine which rates and tariffs are applicable to customer generators only during a rulemaking proceeding. </w:t>
      </w:r>
      <w:r w:rsidR="00BA6A01">
        <w:t xml:space="preserve"> </w:t>
      </w:r>
      <w:r w:rsidRPr="00B729E3">
        <w:t>Any fixed charges for residential customer generators that differ from the fixed charges allowed pursuant to subdivision</w:t>
      </w:r>
      <w:r w:rsidR="005161D2">
        <w:t> </w:t>
      </w:r>
      <w:r w:rsidRPr="00B729E3">
        <w:t>(f)</w:t>
      </w:r>
      <w:r w:rsidR="005161D2">
        <w:t xml:space="preserve"> </w:t>
      </w:r>
      <w:r w:rsidRPr="00B729E3">
        <w:t xml:space="preserve">of </w:t>
      </w:r>
      <w:r w:rsidR="0034029C">
        <w:t>Section 7</w:t>
      </w:r>
      <w:r w:rsidRPr="00B729E3">
        <w:t xml:space="preserve">39.9 shall be authorized only in a rulemaking proceeding involving every large electrical corporation. </w:t>
      </w:r>
      <w:r w:rsidR="00BA6A01">
        <w:t xml:space="preserve"> </w:t>
      </w:r>
      <w:r w:rsidRPr="00B729E3">
        <w:t>The commission shall ensure customer generators are provided electric service at rates that are just and reasonable.</w:t>
      </w:r>
    </w:p>
    <w:bookmarkEnd w:id="13"/>
    <w:p w:rsidR="00454165" w:rsidP="005E7044" w:rsidRDefault="00454165" w14:paraId="3AF81ECA" w14:textId="026E6FD8">
      <w:pPr>
        <w:pStyle w:val="Standard"/>
      </w:pPr>
      <w:r>
        <w:t xml:space="preserve">Subsequently, the Commission </w:t>
      </w:r>
      <w:r w:rsidR="008723A9">
        <w:t>approved</w:t>
      </w:r>
      <w:r>
        <w:t xml:space="preserve"> D</w:t>
      </w:r>
      <w:r w:rsidR="00F92FFE">
        <w:t>ecision (D</w:t>
      </w:r>
      <w:r>
        <w:t>.</w:t>
      </w:r>
      <w:r w:rsidR="00F92FFE">
        <w:t>)</w:t>
      </w:r>
      <w:r w:rsidR="003A12E1">
        <w:t> </w:t>
      </w:r>
      <w:r>
        <w:t>16</w:t>
      </w:r>
      <w:r w:rsidR="00827602">
        <w:noBreakHyphen/>
      </w:r>
      <w:r>
        <w:t>01</w:t>
      </w:r>
      <w:r w:rsidR="00827602">
        <w:noBreakHyphen/>
      </w:r>
      <w:r>
        <w:t xml:space="preserve">044, which </w:t>
      </w:r>
      <w:r w:rsidR="008723A9">
        <w:t xml:space="preserve">adopted </w:t>
      </w:r>
      <w:r w:rsidR="005D6240">
        <w:t xml:space="preserve">a </w:t>
      </w:r>
      <w:r w:rsidR="008723A9">
        <w:t>revis</w:t>
      </w:r>
      <w:r w:rsidR="005D6240">
        <w:t>ed</w:t>
      </w:r>
      <w:r w:rsidR="008723A9">
        <w:t xml:space="preserve"> </w:t>
      </w:r>
      <w:r>
        <w:t xml:space="preserve">net energy metering tariff, now referred to as </w:t>
      </w:r>
      <w:r w:rsidR="00602BC5">
        <w:t>NEM 2.0</w:t>
      </w:r>
      <w:r>
        <w:t xml:space="preserve">.  In </w:t>
      </w:r>
      <w:r w:rsidR="00602BC5">
        <w:t>NEM 2.0</w:t>
      </w:r>
      <w:r w:rsidR="004F7C16">
        <w:t>,</w:t>
      </w:r>
      <w:r>
        <w:t xml:space="preserve"> customers continue to receive full retail rate credit for energy exported to the grid </w:t>
      </w:r>
      <w:r w:rsidR="00780025">
        <w:t>during a 12</w:t>
      </w:r>
      <w:r w:rsidR="00827602">
        <w:noBreakHyphen/>
      </w:r>
      <w:r w:rsidR="00780025">
        <w:t xml:space="preserve">month billing cycle, as well as </w:t>
      </w:r>
      <w:r w:rsidR="008723A9">
        <w:t>c</w:t>
      </w:r>
      <w:r>
        <w:t>ompensation</w:t>
      </w:r>
      <w:r w:rsidR="00DD4E06">
        <w:t xml:space="preserve"> for net surplus energy</w:t>
      </w:r>
      <w:r>
        <w:t>.</w:t>
      </w:r>
      <w:r w:rsidR="008723A9">
        <w:rPr>
          <w:rStyle w:val="FootnoteReference"/>
        </w:rPr>
        <w:footnoteReference w:id="7"/>
      </w:r>
      <w:r>
        <w:t xml:space="preserve">  However, </w:t>
      </w:r>
      <w:r w:rsidR="00602BC5">
        <w:t>NEM 2.0</w:t>
      </w:r>
      <w:r w:rsidR="00135D55">
        <w:t xml:space="preserve"> </w:t>
      </w:r>
      <w:r>
        <w:t xml:space="preserve">customers are </w:t>
      </w:r>
      <w:r w:rsidR="003C462A">
        <w:t>currently</w:t>
      </w:r>
      <w:r>
        <w:t xml:space="preserve"> required to pay </w:t>
      </w:r>
      <w:r w:rsidR="004C0CB0">
        <w:t xml:space="preserve">some </w:t>
      </w:r>
      <w:r>
        <w:t>charges that align their costs more closely with non</w:t>
      </w:r>
      <w:r w:rsidR="00827602">
        <w:noBreakHyphen/>
      </w:r>
      <w:r>
        <w:t>NEM customer costs.  For example, customer</w:t>
      </w:r>
      <w:r w:rsidR="00827602">
        <w:noBreakHyphen/>
      </w:r>
      <w:r>
        <w:t>generators apply</w:t>
      </w:r>
      <w:r w:rsidR="00E9203E">
        <w:t>ing</w:t>
      </w:r>
      <w:r>
        <w:t xml:space="preserve"> for and participating in </w:t>
      </w:r>
      <w:r w:rsidR="00602BC5">
        <w:t>NEM 2.0</w:t>
      </w:r>
      <w:r w:rsidR="00135D55">
        <w:t xml:space="preserve"> </w:t>
      </w:r>
      <w:r>
        <w:t>must pay a one</w:t>
      </w:r>
      <w:r w:rsidR="00827602">
        <w:noBreakHyphen/>
      </w:r>
      <w:r>
        <w:t xml:space="preserve">time interconnection fee </w:t>
      </w:r>
      <w:r w:rsidR="00E9203E">
        <w:t xml:space="preserve">and </w:t>
      </w:r>
      <w:r>
        <w:t>monthly non</w:t>
      </w:r>
      <w:r w:rsidR="00827602">
        <w:noBreakHyphen/>
      </w:r>
      <w:proofErr w:type="spellStart"/>
      <w:r>
        <w:t>bypassable</w:t>
      </w:r>
      <w:proofErr w:type="spellEnd"/>
      <w:r>
        <w:t xml:space="preserve"> charges.</w:t>
      </w:r>
      <w:r w:rsidR="00236DBE">
        <w:rPr>
          <w:rStyle w:val="FootnoteReference"/>
        </w:rPr>
        <w:footnoteReference w:id="8"/>
      </w:r>
      <w:r>
        <w:t xml:space="preserve">  </w:t>
      </w:r>
      <w:r>
        <w:lastRenderedPageBreak/>
        <w:t xml:space="preserve">Further, </w:t>
      </w:r>
      <w:r w:rsidR="00602BC5">
        <w:t>NEM 2.0</w:t>
      </w:r>
      <w:r w:rsidR="00135D55">
        <w:t xml:space="preserve"> </w:t>
      </w:r>
      <w:r>
        <w:t>customers must take service under a time</w:t>
      </w:r>
      <w:r w:rsidR="00827602">
        <w:noBreakHyphen/>
      </w:r>
      <w:r>
        <w:t>of</w:t>
      </w:r>
      <w:r w:rsidR="00827602">
        <w:noBreakHyphen/>
      </w:r>
      <w:r>
        <w:t>use rate.</w:t>
      </w:r>
      <w:r w:rsidR="00C53379">
        <w:rPr>
          <w:rStyle w:val="FootnoteReference"/>
        </w:rPr>
        <w:footnoteReference w:id="9"/>
      </w:r>
      <w:r w:rsidR="004F7C16">
        <w:t xml:space="preserve">  </w:t>
      </w:r>
      <w:r>
        <w:t>D.</w:t>
      </w:r>
      <w:r w:rsidR="00EC2EF1">
        <w:t>16</w:t>
      </w:r>
      <w:r w:rsidR="00827602">
        <w:noBreakHyphen/>
      </w:r>
      <w:r w:rsidR="00EC2EF1">
        <w:t>01</w:t>
      </w:r>
      <w:r w:rsidR="00827602">
        <w:noBreakHyphen/>
      </w:r>
      <w:r w:rsidR="00EC2EF1">
        <w:t xml:space="preserve">044 </w:t>
      </w:r>
      <w:r w:rsidR="00E10262">
        <w:t xml:space="preserve">established a date of 2019 as the time for a review of </w:t>
      </w:r>
      <w:r w:rsidR="00602BC5">
        <w:t>NEM 2.0</w:t>
      </w:r>
      <w:r w:rsidR="00E10262">
        <w:t>.</w:t>
      </w:r>
      <w:r w:rsidR="00A9367F">
        <w:rPr>
          <w:rStyle w:val="FootnoteReference"/>
        </w:rPr>
        <w:footnoteReference w:id="10"/>
      </w:r>
      <w:r w:rsidR="00A9367F">
        <w:t xml:space="preserve">  Additionally, the decision </w:t>
      </w:r>
      <w:r w:rsidR="00EC2EF1">
        <w:t>required Energy Division staff to continue to</w:t>
      </w:r>
      <w:r w:rsidR="00E823D1">
        <w:t xml:space="preserve"> monitor implementation of </w:t>
      </w:r>
      <w:r w:rsidR="00602BC5">
        <w:t>NEM 2.0</w:t>
      </w:r>
      <w:r w:rsidR="00135D55">
        <w:t xml:space="preserve"> </w:t>
      </w:r>
      <w:r w:rsidR="00236DBE">
        <w:t>and</w:t>
      </w:r>
      <w:r w:rsidR="00E823D1">
        <w:t xml:space="preserve"> </w:t>
      </w:r>
      <w:r w:rsidR="00EC2EF1">
        <w:t>explore other compensation structures for customer</w:t>
      </w:r>
      <w:r w:rsidR="00827602">
        <w:noBreakHyphen/>
      </w:r>
      <w:r w:rsidR="00EC2EF1">
        <w:t xml:space="preserve">sited generation with a view to considering a </w:t>
      </w:r>
      <w:r w:rsidR="00F64859">
        <w:t xml:space="preserve">retail </w:t>
      </w:r>
      <w:r w:rsidR="00EC2EF1">
        <w:t xml:space="preserve">export compensation rate that </w:t>
      </w:r>
      <w:r w:rsidR="00D374EE">
        <w:t>considers</w:t>
      </w:r>
      <w:r w:rsidR="00EC2EF1">
        <w:t xml:space="preserve"> locational and time</w:t>
      </w:r>
      <w:r w:rsidR="00827602">
        <w:noBreakHyphen/>
      </w:r>
      <w:r w:rsidR="00EC2EF1">
        <w:t>differentiated values of customer</w:t>
      </w:r>
      <w:r w:rsidR="00827602">
        <w:noBreakHyphen/>
      </w:r>
      <w:r w:rsidR="00EC2EF1">
        <w:t>sited generation.</w:t>
      </w:r>
      <w:r w:rsidR="00EC2EF1">
        <w:rPr>
          <w:rStyle w:val="FootnoteReference"/>
        </w:rPr>
        <w:footnoteReference w:id="11"/>
      </w:r>
    </w:p>
    <w:p w:rsidRPr="00A1584B" w:rsidR="0063491C" w:rsidP="005E7044" w:rsidRDefault="00882783" w14:paraId="52ED53EA" w14:textId="796E9CA0">
      <w:pPr>
        <w:pStyle w:val="Heading1"/>
        <w:keepLines w:val="0"/>
      </w:pPr>
      <w:bookmarkStart w:name="_Toc117674047" w:id="14"/>
      <w:bookmarkStart w:name="_Toc118285038" w:id="15"/>
      <w:bookmarkStart w:name="_Toc121854365" w:id="16"/>
      <w:r w:rsidRPr="00A1584B">
        <w:t>P</w:t>
      </w:r>
      <w:r w:rsidRPr="00A1584B" w:rsidR="0063491C">
        <w:t>rocedural Background</w:t>
      </w:r>
      <w:bookmarkEnd w:id="11"/>
      <w:bookmarkEnd w:id="14"/>
      <w:bookmarkEnd w:id="15"/>
      <w:bookmarkEnd w:id="16"/>
    </w:p>
    <w:p w:rsidR="00533B2F" w:rsidP="005E7044" w:rsidRDefault="00A227CA" w14:paraId="02622A7A" w14:textId="09CF5E45">
      <w:pPr>
        <w:pStyle w:val="Standard"/>
        <w:rPr>
          <w:rFonts w:eastAsiaTheme="majorEastAsia" w:cstheme="majorBidi"/>
          <w:szCs w:val="32"/>
        </w:rPr>
      </w:pPr>
      <w:r>
        <w:t>On August</w:t>
      </w:r>
      <w:r w:rsidR="005C4D66">
        <w:t> </w:t>
      </w:r>
      <w:r>
        <w:t>27,</w:t>
      </w:r>
      <w:r w:rsidR="005C4D66">
        <w:t> </w:t>
      </w:r>
      <w:r>
        <w:t xml:space="preserve">2020, the Commission adopted the </w:t>
      </w:r>
      <w:r w:rsidRPr="00356C70">
        <w:rPr>
          <w:rFonts w:cs="Arial"/>
          <w:i/>
          <w:iCs/>
          <w:szCs w:val="26"/>
        </w:rPr>
        <w:t>Order Instituting Rulemaking to Revisit Net Energy Metering Tariffs Pursuant to Decision</w:t>
      </w:r>
      <w:r w:rsidR="006A629E">
        <w:rPr>
          <w:rFonts w:cs="Arial"/>
          <w:i/>
          <w:iCs/>
          <w:szCs w:val="26"/>
        </w:rPr>
        <w:t> </w:t>
      </w:r>
      <w:r w:rsidRPr="00356C70">
        <w:rPr>
          <w:rFonts w:cs="Arial"/>
          <w:i/>
          <w:iCs/>
          <w:szCs w:val="26"/>
        </w:rPr>
        <w:t>16</w:t>
      </w:r>
      <w:r w:rsidR="00827602">
        <w:rPr>
          <w:rFonts w:cs="Arial"/>
          <w:i/>
          <w:iCs/>
          <w:szCs w:val="26"/>
        </w:rPr>
        <w:noBreakHyphen/>
      </w:r>
      <w:r w:rsidRPr="00356C70">
        <w:rPr>
          <w:rFonts w:cs="Arial"/>
          <w:i/>
          <w:iCs/>
          <w:szCs w:val="26"/>
        </w:rPr>
        <w:t>01</w:t>
      </w:r>
      <w:r w:rsidR="00827602">
        <w:rPr>
          <w:rFonts w:cs="Arial"/>
          <w:i/>
          <w:iCs/>
          <w:szCs w:val="26"/>
        </w:rPr>
        <w:noBreakHyphen/>
      </w:r>
      <w:r w:rsidRPr="00356C70">
        <w:rPr>
          <w:rFonts w:cs="Arial"/>
          <w:i/>
          <w:iCs/>
          <w:szCs w:val="26"/>
        </w:rPr>
        <w:t>044, and to Address Other Issues Related to Net Metering</w:t>
      </w:r>
      <w:r w:rsidR="008723A9">
        <w:rPr>
          <w:rFonts w:cs="Arial"/>
          <w:i/>
          <w:iCs/>
          <w:szCs w:val="26"/>
        </w:rPr>
        <w:t xml:space="preserve">, </w:t>
      </w:r>
      <w:r w:rsidRPr="008723A9" w:rsidR="008723A9">
        <w:rPr>
          <w:rFonts w:cs="Arial"/>
          <w:szCs w:val="26"/>
        </w:rPr>
        <w:t>with the focus of the proceeding to be the development of a successor tariff</w:t>
      </w:r>
      <w:r w:rsidR="008723A9">
        <w:rPr>
          <w:rFonts w:cs="Arial"/>
          <w:szCs w:val="26"/>
        </w:rPr>
        <w:t xml:space="preserve"> pursuant to the requirements of </w:t>
      </w:r>
      <w:r w:rsidR="00F138A9">
        <w:rPr>
          <w:rFonts w:cs="Arial"/>
          <w:szCs w:val="26"/>
        </w:rPr>
        <w:t>AB </w:t>
      </w:r>
      <w:r w:rsidR="008723A9">
        <w:rPr>
          <w:rFonts w:cs="Arial"/>
          <w:szCs w:val="26"/>
        </w:rPr>
        <w:t>327</w:t>
      </w:r>
      <w:r w:rsidRPr="008723A9">
        <w:rPr>
          <w:rFonts w:cs="Arial"/>
          <w:szCs w:val="26"/>
        </w:rPr>
        <w:t>.  T</w:t>
      </w:r>
      <w:r>
        <w:rPr>
          <w:rFonts w:cs="Arial"/>
          <w:szCs w:val="26"/>
        </w:rPr>
        <w:t xml:space="preserve">he assigned Administrative Law </w:t>
      </w:r>
      <w:r w:rsidRPr="00513D04">
        <w:rPr>
          <w:rFonts w:cs="Arial"/>
          <w:szCs w:val="26"/>
        </w:rPr>
        <w:t>Judge</w:t>
      </w:r>
      <w:r w:rsidRPr="00513D04" w:rsidR="00BE4E7A">
        <w:rPr>
          <w:rFonts w:cs="Arial"/>
          <w:szCs w:val="26"/>
        </w:rPr>
        <w:t xml:space="preserve"> </w:t>
      </w:r>
      <w:r w:rsidRPr="00513D04">
        <w:rPr>
          <w:rFonts w:cs="Arial"/>
          <w:szCs w:val="26"/>
        </w:rPr>
        <w:t>presided over a telephonic prehearing conference on November</w:t>
      </w:r>
      <w:r w:rsidR="005C4D66">
        <w:rPr>
          <w:rFonts w:cs="Arial"/>
          <w:szCs w:val="26"/>
        </w:rPr>
        <w:t> </w:t>
      </w:r>
      <w:r w:rsidRPr="00513D04">
        <w:rPr>
          <w:rFonts w:cs="Arial"/>
          <w:szCs w:val="26"/>
        </w:rPr>
        <w:t>2,</w:t>
      </w:r>
      <w:r w:rsidR="005C4D66">
        <w:rPr>
          <w:rFonts w:cs="Arial"/>
          <w:szCs w:val="26"/>
        </w:rPr>
        <w:t> </w:t>
      </w:r>
      <w:r w:rsidRPr="00513D04">
        <w:rPr>
          <w:rFonts w:cs="Arial"/>
          <w:szCs w:val="26"/>
        </w:rPr>
        <w:t>2020</w:t>
      </w:r>
      <w:r w:rsidRPr="00513D04" w:rsidR="00E11415">
        <w:rPr>
          <w:rFonts w:cs="Arial"/>
          <w:szCs w:val="26"/>
        </w:rPr>
        <w:t>,</w:t>
      </w:r>
      <w:r w:rsidRPr="00513D04">
        <w:rPr>
          <w:rFonts w:cs="Arial"/>
          <w:szCs w:val="26"/>
        </w:rPr>
        <w:t xml:space="preserve"> to discuss the proceeding scope and schedule and other procedural matters.  </w:t>
      </w:r>
      <w:r w:rsidRPr="00513D04" w:rsidR="00F349B7">
        <w:rPr>
          <w:rFonts w:cs="Arial"/>
          <w:szCs w:val="26"/>
        </w:rPr>
        <w:t>On November</w:t>
      </w:r>
      <w:r w:rsidRPr="00513D04" w:rsidR="00957ED6">
        <w:rPr>
          <w:rFonts w:cs="Arial"/>
          <w:szCs w:val="26"/>
        </w:rPr>
        <w:t> </w:t>
      </w:r>
      <w:r w:rsidRPr="00513D04" w:rsidR="00F349B7">
        <w:rPr>
          <w:rFonts w:cs="Arial"/>
          <w:szCs w:val="26"/>
        </w:rPr>
        <w:t>19,</w:t>
      </w:r>
      <w:r w:rsidRPr="00513D04" w:rsidR="00957ED6">
        <w:rPr>
          <w:rFonts w:cs="Arial"/>
          <w:szCs w:val="26"/>
        </w:rPr>
        <w:t> </w:t>
      </w:r>
      <w:r w:rsidRPr="00513D04" w:rsidR="00F349B7">
        <w:rPr>
          <w:rFonts w:cs="Arial"/>
          <w:szCs w:val="26"/>
        </w:rPr>
        <w:t xml:space="preserve">2020, the </w:t>
      </w:r>
      <w:r w:rsidR="00271BB0">
        <w:rPr>
          <w:rFonts w:cs="Arial"/>
          <w:szCs w:val="26"/>
        </w:rPr>
        <w:t>a</w:t>
      </w:r>
      <w:r w:rsidRPr="00513D04" w:rsidR="00F349B7">
        <w:rPr>
          <w:rFonts w:cs="Arial"/>
          <w:szCs w:val="26"/>
        </w:rPr>
        <w:t xml:space="preserve">ssigned Commissioner issued </w:t>
      </w:r>
      <w:r w:rsidR="00D8337A">
        <w:rPr>
          <w:rFonts w:cs="Arial"/>
          <w:szCs w:val="26"/>
        </w:rPr>
        <w:t>the</w:t>
      </w:r>
      <w:r w:rsidRPr="00513D04" w:rsidR="00F349B7">
        <w:rPr>
          <w:rFonts w:cs="Arial"/>
          <w:szCs w:val="26"/>
        </w:rPr>
        <w:t xml:space="preserve"> </w:t>
      </w:r>
      <w:r w:rsidRPr="00513D04">
        <w:rPr>
          <w:rFonts w:cs="Arial"/>
          <w:i/>
          <w:iCs/>
          <w:szCs w:val="26"/>
        </w:rPr>
        <w:t>Joint Assigned Commissioner’s Scoping Memo and Administrative Law Judge Ruling Directing Comments on Proposed Guiding Principles</w:t>
      </w:r>
      <w:r w:rsidRPr="00513D04" w:rsidR="00F349B7">
        <w:rPr>
          <w:rFonts w:cs="Arial"/>
          <w:i/>
          <w:iCs/>
          <w:szCs w:val="26"/>
        </w:rPr>
        <w:t xml:space="preserve"> </w:t>
      </w:r>
      <w:r w:rsidRPr="00513D04" w:rsidR="00F349B7">
        <w:rPr>
          <w:rFonts w:cs="Arial"/>
          <w:szCs w:val="26"/>
        </w:rPr>
        <w:t>(Scoping Memo)</w:t>
      </w:r>
      <w:r w:rsidRPr="00513D04" w:rsidR="00F349B7">
        <w:rPr>
          <w:rFonts w:cs="Arial"/>
          <w:i/>
          <w:iCs/>
          <w:szCs w:val="26"/>
        </w:rPr>
        <w:t xml:space="preserve">, </w:t>
      </w:r>
      <w:r w:rsidRPr="00513D04" w:rsidR="00F349B7">
        <w:rPr>
          <w:rFonts w:cs="Arial"/>
          <w:szCs w:val="26"/>
        </w:rPr>
        <w:t xml:space="preserve">which established the </w:t>
      </w:r>
      <w:r w:rsidRPr="00513D04" w:rsidR="00F349B7">
        <w:rPr>
          <w:rFonts w:cs="Arial"/>
          <w:szCs w:val="26"/>
        </w:rPr>
        <w:lastRenderedPageBreak/>
        <w:t>scope of issues to be addressed in the proceeding</w:t>
      </w:r>
      <w:r w:rsidRPr="00513D04" w:rsidR="00356C70">
        <w:rPr>
          <w:rFonts w:cs="Arial"/>
          <w:szCs w:val="26"/>
        </w:rPr>
        <w:t>.  The final scope of issues is presented</w:t>
      </w:r>
      <w:r w:rsidRPr="00513D04" w:rsidR="00F349B7">
        <w:rPr>
          <w:rFonts w:cs="Arial"/>
          <w:szCs w:val="26"/>
        </w:rPr>
        <w:t xml:space="preserve"> in </w:t>
      </w:r>
      <w:r w:rsidR="0034029C">
        <w:rPr>
          <w:rFonts w:cs="Arial"/>
          <w:szCs w:val="26"/>
        </w:rPr>
        <w:t>Section 7</w:t>
      </w:r>
      <w:r w:rsidRPr="00513D04" w:rsidR="00F349B7">
        <w:rPr>
          <w:rFonts w:eastAsiaTheme="majorEastAsia" w:cstheme="majorBidi"/>
          <w:szCs w:val="32"/>
        </w:rPr>
        <w:t xml:space="preserve"> below.</w:t>
      </w:r>
    </w:p>
    <w:p w:rsidR="003F26A6" w:rsidP="005E7044" w:rsidRDefault="003F26A6" w14:paraId="53EEE4DC" w14:textId="67D0537A">
      <w:pPr>
        <w:pStyle w:val="Standard"/>
        <w:rPr>
          <w:rFonts w:eastAsiaTheme="majorEastAsia" w:cstheme="majorBidi"/>
          <w:szCs w:val="32"/>
        </w:rPr>
      </w:pPr>
      <w:r w:rsidRPr="00513D04">
        <w:rPr>
          <w:rFonts w:eastAsiaTheme="majorEastAsia" w:cstheme="majorBidi"/>
          <w:szCs w:val="32"/>
        </w:rPr>
        <w:t xml:space="preserve">The record of this proceeding includes the </w:t>
      </w:r>
      <w:r w:rsidR="00602BC5">
        <w:rPr>
          <w:rFonts w:eastAsiaTheme="majorEastAsia" w:cstheme="majorBidi"/>
          <w:i/>
          <w:iCs/>
          <w:szCs w:val="32"/>
        </w:rPr>
        <w:t>NEM 2.0</w:t>
      </w:r>
      <w:r w:rsidR="00135D55">
        <w:rPr>
          <w:rFonts w:eastAsiaTheme="majorEastAsia" w:cstheme="majorBidi"/>
          <w:i/>
          <w:iCs/>
          <w:szCs w:val="32"/>
        </w:rPr>
        <w:t xml:space="preserve"> </w:t>
      </w:r>
      <w:r w:rsidRPr="00513D04">
        <w:rPr>
          <w:rFonts w:eastAsiaTheme="majorEastAsia" w:cstheme="majorBidi"/>
          <w:i/>
          <w:iCs/>
          <w:szCs w:val="32"/>
        </w:rPr>
        <w:t>Lookback Study</w:t>
      </w:r>
      <w:r w:rsidRPr="00513D04">
        <w:rPr>
          <w:rFonts w:eastAsiaTheme="majorEastAsia" w:cstheme="majorBidi"/>
          <w:szCs w:val="32"/>
        </w:rPr>
        <w:t xml:space="preserve"> </w:t>
      </w:r>
      <w:r w:rsidRPr="00513D04" w:rsidR="00B5465A">
        <w:rPr>
          <w:rFonts w:eastAsiaTheme="majorEastAsia" w:cstheme="majorBidi"/>
          <w:szCs w:val="32"/>
        </w:rPr>
        <w:t xml:space="preserve">(Lookback Study) </w:t>
      </w:r>
      <w:r w:rsidRPr="00513D04">
        <w:rPr>
          <w:rFonts w:eastAsiaTheme="majorEastAsia" w:cstheme="majorBidi"/>
          <w:szCs w:val="32"/>
        </w:rPr>
        <w:t>conducted by Verdant</w:t>
      </w:r>
      <w:r w:rsidRPr="00513D04" w:rsidR="00B5465A">
        <w:rPr>
          <w:rFonts w:eastAsiaTheme="majorEastAsia" w:cstheme="majorBidi"/>
          <w:szCs w:val="32"/>
        </w:rPr>
        <w:t xml:space="preserve"> Associates (Verdant)</w:t>
      </w:r>
      <w:r w:rsidRPr="00513D04" w:rsidR="00724794">
        <w:rPr>
          <w:rFonts w:eastAsiaTheme="majorEastAsia" w:cstheme="majorBidi"/>
          <w:szCs w:val="32"/>
        </w:rPr>
        <w:t xml:space="preserve">, </w:t>
      </w:r>
      <w:r w:rsidRPr="00513D04" w:rsidR="00724794">
        <w:t>Energy and Environmental Economics (</w:t>
      </w:r>
      <w:r w:rsidRPr="00513D04" w:rsidR="00724794">
        <w:rPr>
          <w:rFonts w:eastAsiaTheme="majorEastAsia" w:cstheme="majorBidi"/>
          <w:szCs w:val="32"/>
        </w:rPr>
        <w:t xml:space="preserve">E3), and </w:t>
      </w:r>
      <w:proofErr w:type="spellStart"/>
      <w:r w:rsidRPr="00513D04" w:rsidR="00724794">
        <w:rPr>
          <w:rFonts w:eastAsiaTheme="majorEastAsia" w:cstheme="majorBidi"/>
          <w:szCs w:val="32"/>
        </w:rPr>
        <w:t>Itron</w:t>
      </w:r>
      <w:proofErr w:type="spellEnd"/>
      <w:r w:rsidRPr="00513D04" w:rsidR="00724794">
        <w:rPr>
          <w:rFonts w:eastAsiaTheme="majorEastAsia" w:cstheme="majorBidi"/>
          <w:szCs w:val="32"/>
        </w:rPr>
        <w:t>, Inc</w:t>
      </w:r>
      <w:r w:rsidRPr="00513D04">
        <w:rPr>
          <w:rFonts w:eastAsiaTheme="majorEastAsia" w:cstheme="majorBidi"/>
          <w:szCs w:val="32"/>
        </w:rPr>
        <w:t>.  On January</w:t>
      </w:r>
      <w:r w:rsidR="0034029C">
        <w:rPr>
          <w:rFonts w:eastAsiaTheme="majorEastAsia" w:cstheme="majorBidi"/>
          <w:szCs w:val="32"/>
        </w:rPr>
        <w:t> </w:t>
      </w:r>
      <w:r w:rsidRPr="00513D04">
        <w:rPr>
          <w:rFonts w:eastAsiaTheme="majorEastAsia" w:cstheme="majorBidi"/>
          <w:szCs w:val="32"/>
        </w:rPr>
        <w:t>21,</w:t>
      </w:r>
      <w:r w:rsidR="0034029C">
        <w:rPr>
          <w:rFonts w:eastAsiaTheme="majorEastAsia" w:cstheme="majorBidi"/>
          <w:szCs w:val="32"/>
        </w:rPr>
        <w:t> </w:t>
      </w:r>
      <w:r w:rsidRPr="00513D04">
        <w:rPr>
          <w:rFonts w:eastAsiaTheme="majorEastAsia" w:cstheme="majorBidi"/>
          <w:szCs w:val="32"/>
        </w:rPr>
        <w:t xml:space="preserve">2021, a </w:t>
      </w:r>
      <w:r w:rsidR="0076423C">
        <w:rPr>
          <w:rFonts w:eastAsiaTheme="majorEastAsia" w:cstheme="majorBidi"/>
          <w:szCs w:val="32"/>
        </w:rPr>
        <w:t>r</w:t>
      </w:r>
      <w:r w:rsidRPr="00513D04">
        <w:rPr>
          <w:rFonts w:eastAsiaTheme="majorEastAsia" w:cstheme="majorBidi"/>
          <w:szCs w:val="32"/>
        </w:rPr>
        <w:t xml:space="preserve">uling presented the </w:t>
      </w:r>
      <w:r w:rsidRPr="00513D04" w:rsidR="00B5465A">
        <w:rPr>
          <w:rFonts w:eastAsiaTheme="majorEastAsia" w:cstheme="majorBidi"/>
          <w:szCs w:val="32"/>
        </w:rPr>
        <w:t>Lookback S</w:t>
      </w:r>
      <w:r w:rsidRPr="00513D04">
        <w:rPr>
          <w:rFonts w:eastAsiaTheme="majorEastAsia" w:cstheme="majorBidi"/>
          <w:szCs w:val="32"/>
        </w:rPr>
        <w:t xml:space="preserve">tudy to parties and instructed parties to respond to </w:t>
      </w:r>
      <w:r w:rsidR="004C6558">
        <w:rPr>
          <w:rFonts w:eastAsiaTheme="majorEastAsia" w:cstheme="majorBidi"/>
          <w:szCs w:val="32"/>
        </w:rPr>
        <w:t>Issue 2</w:t>
      </w:r>
      <w:r w:rsidRPr="00513D04" w:rsidR="00813129">
        <w:rPr>
          <w:rFonts w:eastAsiaTheme="majorEastAsia" w:cstheme="majorBidi"/>
          <w:szCs w:val="32"/>
        </w:rPr>
        <w:t xml:space="preserve"> of the Scoping Memo, </w:t>
      </w:r>
      <w:r w:rsidRPr="00513D04">
        <w:rPr>
          <w:rFonts w:eastAsiaTheme="majorEastAsia" w:cstheme="majorBidi"/>
          <w:szCs w:val="32"/>
        </w:rPr>
        <w:t>related to the study.  The following parties filed comments on February</w:t>
      </w:r>
      <w:r w:rsidR="004C6558">
        <w:rPr>
          <w:rFonts w:eastAsiaTheme="majorEastAsia" w:cstheme="majorBidi"/>
          <w:szCs w:val="32"/>
        </w:rPr>
        <w:t> </w:t>
      </w:r>
      <w:r w:rsidRPr="00513D04">
        <w:rPr>
          <w:rFonts w:eastAsiaTheme="majorEastAsia" w:cstheme="majorBidi"/>
          <w:szCs w:val="32"/>
        </w:rPr>
        <w:t>4,</w:t>
      </w:r>
      <w:r w:rsidR="004C6558">
        <w:rPr>
          <w:rFonts w:eastAsiaTheme="majorEastAsia" w:cstheme="majorBidi"/>
          <w:szCs w:val="32"/>
        </w:rPr>
        <w:t> </w:t>
      </w:r>
      <w:r w:rsidRPr="00513D04">
        <w:rPr>
          <w:rFonts w:eastAsiaTheme="majorEastAsia" w:cstheme="majorBidi"/>
          <w:szCs w:val="32"/>
        </w:rPr>
        <w:t>2021</w:t>
      </w:r>
      <w:r w:rsidR="00555CC0">
        <w:rPr>
          <w:rFonts w:eastAsiaTheme="majorEastAsia" w:cstheme="majorBidi"/>
          <w:szCs w:val="32"/>
        </w:rPr>
        <w:t xml:space="preserve">:  </w:t>
      </w:r>
      <w:r w:rsidRPr="00513D04" w:rsidR="00056DF0">
        <w:rPr>
          <w:rFonts w:eastAsiaTheme="majorEastAsia" w:cstheme="majorBidi"/>
          <w:szCs w:val="32"/>
        </w:rPr>
        <w:t>American Association of Retired Persons (</w:t>
      </w:r>
      <w:r w:rsidRPr="00513D04" w:rsidR="00813129">
        <w:rPr>
          <w:rFonts w:eastAsiaTheme="majorEastAsia" w:cstheme="majorBidi"/>
          <w:szCs w:val="32"/>
        </w:rPr>
        <w:t>AARP</w:t>
      </w:r>
      <w:r w:rsidRPr="00513D04" w:rsidR="00056DF0">
        <w:rPr>
          <w:rFonts w:eastAsiaTheme="majorEastAsia" w:cstheme="majorBidi"/>
          <w:szCs w:val="32"/>
        </w:rPr>
        <w:t>)</w:t>
      </w:r>
      <w:r w:rsidRPr="00513D04" w:rsidR="00813129">
        <w:rPr>
          <w:rFonts w:eastAsiaTheme="majorEastAsia" w:cstheme="majorBidi"/>
          <w:szCs w:val="32"/>
        </w:rPr>
        <w:t>; California Solar and Storage Association (</w:t>
      </w:r>
      <w:proofErr w:type="spellStart"/>
      <w:r w:rsidRPr="00513D04" w:rsidR="00813129">
        <w:rPr>
          <w:rFonts w:eastAsiaTheme="majorEastAsia" w:cstheme="majorBidi"/>
          <w:szCs w:val="32"/>
        </w:rPr>
        <w:t>CALSSA</w:t>
      </w:r>
      <w:proofErr w:type="spellEnd"/>
      <w:r w:rsidRPr="00513D04" w:rsidR="00813129">
        <w:rPr>
          <w:rFonts w:eastAsiaTheme="majorEastAsia" w:cstheme="majorBidi"/>
          <w:szCs w:val="32"/>
        </w:rPr>
        <w:t>)</w:t>
      </w:r>
      <w:r w:rsidR="005D6240">
        <w:rPr>
          <w:rFonts w:eastAsiaTheme="majorEastAsia" w:cstheme="majorBidi"/>
          <w:szCs w:val="32"/>
        </w:rPr>
        <w:t>;</w:t>
      </w:r>
      <w:r w:rsidRPr="00513D04" w:rsidR="00BE4E7A">
        <w:rPr>
          <w:rFonts w:eastAsiaTheme="majorEastAsia" w:cstheme="majorBidi"/>
          <w:szCs w:val="32"/>
        </w:rPr>
        <w:t xml:space="preserve"> </w:t>
      </w:r>
      <w:r w:rsidRPr="00513D04" w:rsidR="00813129">
        <w:rPr>
          <w:rFonts w:eastAsiaTheme="majorEastAsia" w:cstheme="majorBidi"/>
          <w:szCs w:val="32"/>
        </w:rPr>
        <w:t xml:space="preserve"> </w:t>
      </w:r>
      <w:r w:rsidR="007670A4">
        <w:rPr>
          <w:rFonts w:eastAsiaTheme="majorEastAsia" w:cstheme="majorBidi"/>
          <w:szCs w:val="32"/>
        </w:rPr>
        <w:t>Ivy E</w:t>
      </w:r>
      <w:r w:rsidRPr="00513D04" w:rsidR="00813129">
        <w:rPr>
          <w:rFonts w:eastAsiaTheme="majorEastAsia" w:cstheme="majorBidi"/>
          <w:szCs w:val="32"/>
        </w:rPr>
        <w:t>nergy</w:t>
      </w:r>
      <w:r w:rsidR="00813129">
        <w:rPr>
          <w:rFonts w:eastAsiaTheme="majorEastAsia" w:cstheme="majorBidi"/>
          <w:szCs w:val="32"/>
        </w:rPr>
        <w:t xml:space="preserve">; </w:t>
      </w:r>
      <w:r w:rsidR="00B5465A">
        <w:rPr>
          <w:rFonts w:eastAsiaTheme="majorEastAsia" w:cstheme="majorBidi"/>
          <w:szCs w:val="32"/>
        </w:rPr>
        <w:t xml:space="preserve">Natural Resources Defense Council (NRDC); </w:t>
      </w:r>
      <w:r w:rsidR="00813129">
        <w:rPr>
          <w:rFonts w:eastAsiaTheme="majorEastAsia" w:cstheme="majorBidi"/>
          <w:szCs w:val="32"/>
        </w:rPr>
        <w:t xml:space="preserve">Pacific Gas </w:t>
      </w:r>
      <w:r w:rsidR="00311B1A">
        <w:rPr>
          <w:rFonts w:eastAsiaTheme="majorEastAsia" w:cstheme="majorBidi"/>
          <w:szCs w:val="32"/>
        </w:rPr>
        <w:t>and</w:t>
      </w:r>
      <w:r w:rsidR="00813129">
        <w:rPr>
          <w:rFonts w:eastAsiaTheme="majorEastAsia" w:cstheme="majorBidi"/>
          <w:szCs w:val="32"/>
        </w:rPr>
        <w:t xml:space="preserve"> Electric Company (PG&amp;E)</w:t>
      </w:r>
      <w:r w:rsidR="005D6240">
        <w:rPr>
          <w:rFonts w:eastAsiaTheme="majorEastAsia" w:cstheme="majorBidi"/>
          <w:szCs w:val="32"/>
        </w:rPr>
        <w:t>,</w:t>
      </w:r>
      <w:r w:rsidR="007061A7">
        <w:rPr>
          <w:rFonts w:eastAsiaTheme="majorEastAsia" w:cstheme="majorBidi"/>
          <w:szCs w:val="32"/>
        </w:rPr>
        <w:t xml:space="preserve"> </w:t>
      </w:r>
      <w:r w:rsidR="00827602">
        <w:rPr>
          <w:rFonts w:eastAsiaTheme="majorEastAsia" w:cstheme="majorBidi"/>
          <w:szCs w:val="32"/>
        </w:rPr>
        <w:t>San </w:t>
      </w:r>
      <w:r w:rsidR="00602BC5">
        <w:rPr>
          <w:rFonts w:eastAsiaTheme="majorEastAsia" w:cstheme="majorBidi"/>
          <w:szCs w:val="32"/>
        </w:rPr>
        <w:t>Diego Gas</w:t>
      </w:r>
      <w:r w:rsidR="00827602">
        <w:rPr>
          <w:rFonts w:eastAsiaTheme="majorEastAsia" w:cstheme="majorBidi"/>
          <w:szCs w:val="32"/>
        </w:rPr>
        <w:t xml:space="preserve"> &amp; </w:t>
      </w:r>
      <w:r w:rsidR="00602BC5">
        <w:rPr>
          <w:rFonts w:eastAsiaTheme="majorEastAsia" w:cstheme="majorBidi"/>
          <w:szCs w:val="32"/>
        </w:rPr>
        <w:t>Elec</w:t>
      </w:r>
      <w:r w:rsidR="00813129">
        <w:rPr>
          <w:rFonts w:eastAsiaTheme="majorEastAsia" w:cstheme="majorBidi"/>
          <w:szCs w:val="32"/>
        </w:rPr>
        <w:t>tric Company (SDG&amp;E)</w:t>
      </w:r>
      <w:r w:rsidR="005D6240">
        <w:rPr>
          <w:rFonts w:eastAsiaTheme="majorEastAsia" w:cstheme="majorBidi"/>
          <w:szCs w:val="32"/>
        </w:rPr>
        <w:t>,</w:t>
      </w:r>
      <w:r w:rsidR="00813129">
        <w:rPr>
          <w:rFonts w:eastAsiaTheme="majorEastAsia" w:cstheme="majorBidi"/>
          <w:szCs w:val="32"/>
        </w:rPr>
        <w:t xml:space="preserve"> and Southern California Edison Company (SCE) (</w:t>
      </w:r>
      <w:r w:rsidR="007061A7">
        <w:rPr>
          <w:rFonts w:eastAsiaTheme="majorEastAsia" w:cstheme="majorBidi"/>
          <w:szCs w:val="32"/>
        </w:rPr>
        <w:t xml:space="preserve">collectively, </w:t>
      </w:r>
      <w:r w:rsidR="00813129">
        <w:rPr>
          <w:rFonts w:eastAsiaTheme="majorEastAsia" w:cstheme="majorBidi"/>
          <w:szCs w:val="32"/>
        </w:rPr>
        <w:t>Joint Utilities)</w:t>
      </w:r>
      <w:r w:rsidR="00311B1A">
        <w:rPr>
          <w:rFonts w:eastAsiaTheme="majorEastAsia" w:cstheme="majorBidi"/>
          <w:szCs w:val="32"/>
        </w:rPr>
        <w:t>;</w:t>
      </w:r>
      <w:r w:rsidR="00813129">
        <w:rPr>
          <w:rFonts w:eastAsiaTheme="majorEastAsia" w:cstheme="majorBidi"/>
          <w:szCs w:val="32"/>
        </w:rPr>
        <w:t xml:space="preserve"> Protect Our Communities Foundation (PCF); </w:t>
      </w:r>
      <w:r w:rsidR="00B5465A">
        <w:rPr>
          <w:rFonts w:eastAsiaTheme="majorEastAsia" w:cstheme="majorBidi"/>
          <w:szCs w:val="32"/>
        </w:rPr>
        <w:t>Public Advocates Office of the Public Utilities Commission (</w:t>
      </w:r>
      <w:r w:rsidR="009355F1">
        <w:rPr>
          <w:rFonts w:eastAsiaTheme="majorEastAsia" w:cstheme="majorBidi"/>
          <w:szCs w:val="32"/>
        </w:rPr>
        <w:t>Cal Advoc</w:t>
      </w:r>
      <w:r w:rsidR="00B5465A">
        <w:rPr>
          <w:rFonts w:eastAsiaTheme="majorEastAsia" w:cstheme="majorBidi"/>
          <w:szCs w:val="32"/>
        </w:rPr>
        <w:t>ates); Small Business Utility Advocates (</w:t>
      </w:r>
      <w:proofErr w:type="spellStart"/>
      <w:r w:rsidR="00B5465A">
        <w:rPr>
          <w:rFonts w:eastAsiaTheme="majorEastAsia" w:cstheme="majorBidi"/>
          <w:szCs w:val="32"/>
        </w:rPr>
        <w:t>SBUA</w:t>
      </w:r>
      <w:proofErr w:type="spellEnd"/>
      <w:r w:rsidR="00B5465A">
        <w:rPr>
          <w:rFonts w:eastAsiaTheme="majorEastAsia" w:cstheme="majorBidi"/>
          <w:szCs w:val="32"/>
        </w:rPr>
        <w:t>)</w:t>
      </w:r>
      <w:r w:rsidR="00311B1A">
        <w:rPr>
          <w:rFonts w:eastAsiaTheme="majorEastAsia" w:cstheme="majorBidi"/>
          <w:szCs w:val="32"/>
        </w:rPr>
        <w:t>;</w:t>
      </w:r>
      <w:r w:rsidR="00B5465A">
        <w:rPr>
          <w:rFonts w:eastAsiaTheme="majorEastAsia" w:cstheme="majorBidi"/>
          <w:szCs w:val="32"/>
        </w:rPr>
        <w:t xml:space="preserve"> </w:t>
      </w:r>
      <w:r w:rsidR="00813129">
        <w:rPr>
          <w:rFonts w:eastAsiaTheme="majorEastAsia" w:cstheme="majorBidi"/>
          <w:szCs w:val="32"/>
        </w:rPr>
        <w:t>The Utility Reform Network (TURN)</w:t>
      </w:r>
      <w:r w:rsidR="005D6240">
        <w:rPr>
          <w:rFonts w:eastAsiaTheme="majorEastAsia" w:cstheme="majorBidi"/>
          <w:szCs w:val="32"/>
        </w:rPr>
        <w:t>;</w:t>
      </w:r>
      <w:r>
        <w:rPr>
          <w:rFonts w:eastAsiaTheme="majorEastAsia" w:cstheme="majorBidi"/>
          <w:szCs w:val="32"/>
        </w:rPr>
        <w:t xml:space="preserve"> and </w:t>
      </w:r>
      <w:r w:rsidR="00B5465A">
        <w:rPr>
          <w:rFonts w:eastAsiaTheme="majorEastAsia" w:cstheme="majorBidi"/>
          <w:szCs w:val="32"/>
        </w:rPr>
        <w:t>Vote Solar with the Solar Energy Industries Association (SEIA</w:t>
      </w:r>
      <w:r w:rsidR="006B3411">
        <w:rPr>
          <w:rFonts w:eastAsiaTheme="majorEastAsia" w:cstheme="majorBidi"/>
          <w:szCs w:val="32"/>
        </w:rPr>
        <w:t>/Vote Solar</w:t>
      </w:r>
      <w:r w:rsidR="00B5465A">
        <w:rPr>
          <w:rFonts w:eastAsiaTheme="majorEastAsia" w:cstheme="majorBidi"/>
          <w:szCs w:val="32"/>
        </w:rPr>
        <w:t xml:space="preserve">). </w:t>
      </w:r>
      <w:r w:rsidR="006A629E">
        <w:rPr>
          <w:rFonts w:eastAsiaTheme="majorEastAsia" w:cstheme="majorBidi"/>
          <w:szCs w:val="32"/>
        </w:rPr>
        <w:t xml:space="preserve"> </w:t>
      </w:r>
      <w:r w:rsidR="00B5465A">
        <w:rPr>
          <w:rFonts w:eastAsiaTheme="majorEastAsia" w:cstheme="majorBidi"/>
          <w:szCs w:val="32"/>
        </w:rPr>
        <w:t>T</w:t>
      </w:r>
      <w:r>
        <w:rPr>
          <w:rFonts w:eastAsiaTheme="majorEastAsia" w:cstheme="majorBidi"/>
          <w:szCs w:val="32"/>
        </w:rPr>
        <w:t>he following parties filed reply comments on February</w:t>
      </w:r>
      <w:r w:rsidR="006A629E">
        <w:rPr>
          <w:rFonts w:eastAsiaTheme="majorEastAsia" w:cstheme="majorBidi"/>
          <w:szCs w:val="32"/>
        </w:rPr>
        <w:t> </w:t>
      </w:r>
      <w:r>
        <w:rPr>
          <w:rFonts w:eastAsiaTheme="majorEastAsia" w:cstheme="majorBidi"/>
          <w:szCs w:val="32"/>
        </w:rPr>
        <w:t>16,</w:t>
      </w:r>
      <w:r w:rsidR="006A629E">
        <w:rPr>
          <w:rFonts w:eastAsiaTheme="majorEastAsia" w:cstheme="majorBidi"/>
          <w:szCs w:val="32"/>
        </w:rPr>
        <w:t> </w:t>
      </w:r>
      <w:r>
        <w:rPr>
          <w:rFonts w:eastAsiaTheme="majorEastAsia" w:cstheme="majorBidi"/>
          <w:szCs w:val="32"/>
        </w:rPr>
        <w:t>2021</w:t>
      </w:r>
      <w:r w:rsidR="00555CC0">
        <w:rPr>
          <w:rFonts w:eastAsiaTheme="majorEastAsia" w:cstheme="majorBidi"/>
          <w:szCs w:val="32"/>
        </w:rPr>
        <w:t xml:space="preserve">:  </w:t>
      </w:r>
      <w:proofErr w:type="spellStart"/>
      <w:r w:rsidR="00B5465A">
        <w:rPr>
          <w:rFonts w:eastAsiaTheme="majorEastAsia" w:cstheme="majorBidi"/>
          <w:szCs w:val="32"/>
        </w:rPr>
        <w:t>CALSSA</w:t>
      </w:r>
      <w:proofErr w:type="spellEnd"/>
      <w:r w:rsidR="00B5465A">
        <w:rPr>
          <w:rFonts w:eastAsiaTheme="majorEastAsia" w:cstheme="majorBidi"/>
          <w:szCs w:val="32"/>
        </w:rPr>
        <w:t>; Joint Utilities</w:t>
      </w:r>
      <w:r w:rsidR="00E9203E">
        <w:rPr>
          <w:rFonts w:eastAsiaTheme="majorEastAsia" w:cstheme="majorBidi"/>
          <w:szCs w:val="32"/>
        </w:rPr>
        <w:t>;</w:t>
      </w:r>
      <w:r w:rsidR="00B5465A">
        <w:rPr>
          <w:rFonts w:eastAsiaTheme="majorEastAsia" w:cstheme="majorBidi"/>
          <w:szCs w:val="32"/>
        </w:rPr>
        <w:t xml:space="preserve"> PCF; </w:t>
      </w:r>
      <w:r w:rsidR="009355F1">
        <w:rPr>
          <w:rFonts w:eastAsiaTheme="majorEastAsia" w:cstheme="majorBidi"/>
          <w:szCs w:val="32"/>
        </w:rPr>
        <w:t>Cal Advoc</w:t>
      </w:r>
      <w:r w:rsidR="00B5465A">
        <w:rPr>
          <w:rFonts w:eastAsiaTheme="majorEastAsia" w:cstheme="majorBidi"/>
          <w:szCs w:val="32"/>
        </w:rPr>
        <w:t xml:space="preserve">ates; and </w:t>
      </w:r>
      <w:proofErr w:type="spellStart"/>
      <w:r w:rsidR="00B5465A">
        <w:rPr>
          <w:rFonts w:eastAsiaTheme="majorEastAsia" w:cstheme="majorBidi"/>
          <w:szCs w:val="32"/>
        </w:rPr>
        <w:t>SBUA</w:t>
      </w:r>
      <w:proofErr w:type="spellEnd"/>
      <w:r w:rsidR="00B5465A">
        <w:rPr>
          <w:rFonts w:eastAsiaTheme="majorEastAsia" w:cstheme="majorBidi"/>
          <w:szCs w:val="32"/>
        </w:rPr>
        <w:t>.</w:t>
      </w:r>
      <w:r>
        <w:rPr>
          <w:rFonts w:eastAsiaTheme="majorEastAsia" w:cstheme="majorBidi"/>
          <w:szCs w:val="32"/>
        </w:rPr>
        <w:t xml:space="preserve">  A</w:t>
      </w:r>
      <w:r w:rsidR="00CD7F08">
        <w:rPr>
          <w:rFonts w:eastAsiaTheme="majorEastAsia" w:cstheme="majorBidi"/>
          <w:szCs w:val="32"/>
        </w:rPr>
        <w:t> </w:t>
      </w:r>
      <w:r>
        <w:rPr>
          <w:rFonts w:eastAsiaTheme="majorEastAsia" w:cstheme="majorBidi"/>
          <w:szCs w:val="32"/>
        </w:rPr>
        <w:t xml:space="preserve">brief overview of the </w:t>
      </w:r>
      <w:r w:rsidR="00B5465A">
        <w:rPr>
          <w:rFonts w:eastAsiaTheme="majorEastAsia" w:cstheme="majorBidi"/>
          <w:szCs w:val="32"/>
        </w:rPr>
        <w:t>Lookback S</w:t>
      </w:r>
      <w:r>
        <w:rPr>
          <w:rFonts w:eastAsiaTheme="majorEastAsia" w:cstheme="majorBidi"/>
          <w:szCs w:val="32"/>
        </w:rPr>
        <w:t xml:space="preserve">tudy is presented in </w:t>
      </w:r>
      <w:r w:rsidR="0034029C">
        <w:rPr>
          <w:rFonts w:eastAsiaTheme="majorEastAsia" w:cstheme="majorBidi"/>
          <w:szCs w:val="32"/>
        </w:rPr>
        <w:t>Section 4</w:t>
      </w:r>
      <w:r>
        <w:rPr>
          <w:rFonts w:eastAsiaTheme="majorEastAsia" w:cstheme="majorBidi"/>
          <w:szCs w:val="32"/>
        </w:rPr>
        <w:t xml:space="preserve"> below.</w:t>
      </w:r>
    </w:p>
    <w:p w:rsidR="00B5465A" w:rsidP="005E7044" w:rsidRDefault="00B5465A" w14:paraId="133087CA" w14:textId="710499DF">
      <w:pPr>
        <w:pStyle w:val="Standard"/>
      </w:pPr>
      <w:r>
        <w:rPr>
          <w:rFonts w:eastAsiaTheme="majorEastAsia" w:cstheme="majorBidi"/>
          <w:szCs w:val="32"/>
        </w:rPr>
        <w:t>Also in the record of this proceeding is a white</w:t>
      </w:r>
      <w:r w:rsidR="00ED0B9F">
        <w:rPr>
          <w:rFonts w:eastAsiaTheme="majorEastAsia" w:cstheme="majorBidi"/>
          <w:szCs w:val="32"/>
        </w:rPr>
        <w:t xml:space="preserve"> </w:t>
      </w:r>
      <w:r>
        <w:rPr>
          <w:rFonts w:eastAsiaTheme="majorEastAsia" w:cstheme="majorBidi"/>
          <w:szCs w:val="32"/>
        </w:rPr>
        <w:t xml:space="preserve">paper titled, </w:t>
      </w:r>
      <w:r w:rsidRPr="00B5465A">
        <w:rPr>
          <w:i/>
          <w:iCs/>
        </w:rPr>
        <w:t>Alternative Ratemaking Mechanisms for Distributed Energy Resources in California</w:t>
      </w:r>
      <w:r>
        <w:t xml:space="preserve"> (White Paper), written by E3 and Verdant.</w:t>
      </w:r>
      <w:r w:rsidR="00582094">
        <w:t xml:space="preserve">  On January</w:t>
      </w:r>
      <w:r w:rsidR="003224DB">
        <w:t> </w:t>
      </w:r>
      <w:r w:rsidR="00582094">
        <w:t>28,</w:t>
      </w:r>
      <w:r w:rsidR="003224DB">
        <w:t> </w:t>
      </w:r>
      <w:r w:rsidR="00582094">
        <w:t>2021, a ruling introduced the White</w:t>
      </w:r>
      <w:r w:rsidR="006A629E">
        <w:t> </w:t>
      </w:r>
      <w:r w:rsidR="00582094">
        <w:t xml:space="preserve">Paper to parties, noting it would be the subject of a workshop.  </w:t>
      </w:r>
      <w:r w:rsidR="00E21D4A">
        <w:t>During t</w:t>
      </w:r>
      <w:r w:rsidR="00582094">
        <w:t>he workshop, held on February</w:t>
      </w:r>
      <w:r w:rsidR="003224DB">
        <w:t> </w:t>
      </w:r>
      <w:r w:rsidR="00582094">
        <w:t>8,</w:t>
      </w:r>
      <w:r w:rsidR="003224DB">
        <w:t> </w:t>
      </w:r>
      <w:r w:rsidR="00582094">
        <w:t xml:space="preserve">2021, </w:t>
      </w:r>
      <w:r w:rsidR="00E21D4A">
        <w:t>E3 hosted a discussion of the White Paper.  As noted in the January</w:t>
      </w:r>
      <w:r w:rsidR="003224DB">
        <w:t> </w:t>
      </w:r>
      <w:r w:rsidR="00E21D4A">
        <w:t>28,</w:t>
      </w:r>
      <w:r w:rsidR="003224DB">
        <w:t> </w:t>
      </w:r>
      <w:r w:rsidR="00E21D4A">
        <w:t xml:space="preserve">2021 ruling and further described below in </w:t>
      </w:r>
      <w:r w:rsidR="0034029C">
        <w:t>Section 5</w:t>
      </w:r>
      <w:r w:rsidR="00E21D4A">
        <w:t>, the White Paper is meant to provide a framework for parties to develop their own proposals for a successor to the current net energy metering tariffs.</w:t>
      </w:r>
    </w:p>
    <w:p w:rsidR="002F14FD" w:rsidP="005E7044" w:rsidRDefault="002F14FD" w14:paraId="6364A69A" w14:textId="51FD76F1">
      <w:pPr>
        <w:pStyle w:val="Standard"/>
        <w:rPr>
          <w:rFonts w:eastAsiaTheme="majorEastAsia" w:cstheme="majorBidi"/>
          <w:szCs w:val="32"/>
        </w:rPr>
      </w:pPr>
      <w:r>
        <w:rPr>
          <w:rFonts w:eastAsiaTheme="majorEastAsia" w:cstheme="majorBidi"/>
          <w:szCs w:val="32"/>
        </w:rPr>
        <w:lastRenderedPageBreak/>
        <w:t>On February</w:t>
      </w:r>
      <w:r w:rsidR="003224DB">
        <w:rPr>
          <w:rFonts w:eastAsiaTheme="majorEastAsia" w:cstheme="majorBidi"/>
          <w:szCs w:val="32"/>
        </w:rPr>
        <w:t> </w:t>
      </w:r>
      <w:r>
        <w:rPr>
          <w:rFonts w:eastAsiaTheme="majorEastAsia" w:cstheme="majorBidi"/>
          <w:szCs w:val="32"/>
        </w:rPr>
        <w:t>11,</w:t>
      </w:r>
      <w:r w:rsidR="003224DB">
        <w:rPr>
          <w:rFonts w:eastAsiaTheme="majorEastAsia" w:cstheme="majorBidi"/>
          <w:szCs w:val="32"/>
        </w:rPr>
        <w:t> </w:t>
      </w:r>
      <w:r>
        <w:rPr>
          <w:rFonts w:eastAsiaTheme="majorEastAsia" w:cstheme="majorBidi"/>
          <w:szCs w:val="32"/>
        </w:rPr>
        <w:t>2021, the Commission adopted</w:t>
      </w:r>
      <w:r w:rsidR="00DF1A89">
        <w:rPr>
          <w:rFonts w:eastAsiaTheme="majorEastAsia" w:cstheme="majorBidi"/>
          <w:szCs w:val="32"/>
        </w:rPr>
        <w:t xml:space="preserve"> </w:t>
      </w:r>
      <w:r w:rsidR="00A655AF">
        <w:rPr>
          <w:rFonts w:eastAsiaTheme="majorEastAsia" w:cstheme="majorBidi"/>
          <w:szCs w:val="32"/>
        </w:rPr>
        <w:t>g</w:t>
      </w:r>
      <w:r>
        <w:rPr>
          <w:rFonts w:eastAsiaTheme="majorEastAsia" w:cstheme="majorBidi"/>
          <w:szCs w:val="32"/>
        </w:rPr>
        <w:t xml:space="preserve">uiding </w:t>
      </w:r>
      <w:r w:rsidR="00A655AF">
        <w:rPr>
          <w:rFonts w:eastAsiaTheme="majorEastAsia" w:cstheme="majorBidi"/>
          <w:szCs w:val="32"/>
        </w:rPr>
        <w:t>p</w:t>
      </w:r>
      <w:r>
        <w:rPr>
          <w:rFonts w:eastAsiaTheme="majorEastAsia" w:cstheme="majorBidi"/>
          <w:szCs w:val="32"/>
        </w:rPr>
        <w:t xml:space="preserve">rinciples for the development of a successor to the current net energy metering tariff, which </w:t>
      </w:r>
      <w:r w:rsidR="008E3E7A">
        <w:rPr>
          <w:rFonts w:eastAsiaTheme="majorEastAsia" w:cstheme="majorBidi"/>
          <w:szCs w:val="32"/>
        </w:rPr>
        <w:t xml:space="preserve">are </w:t>
      </w:r>
      <w:r>
        <w:rPr>
          <w:rFonts w:eastAsiaTheme="majorEastAsia" w:cstheme="majorBidi"/>
          <w:szCs w:val="32"/>
        </w:rPr>
        <w:t>provide</w:t>
      </w:r>
      <w:r w:rsidR="008E3E7A">
        <w:rPr>
          <w:rFonts w:eastAsiaTheme="majorEastAsia" w:cstheme="majorBidi"/>
          <w:szCs w:val="32"/>
        </w:rPr>
        <w:t>d</w:t>
      </w:r>
      <w:r>
        <w:rPr>
          <w:rFonts w:eastAsiaTheme="majorEastAsia" w:cstheme="majorBidi"/>
          <w:szCs w:val="32"/>
        </w:rPr>
        <w:t xml:space="preserve"> in </w:t>
      </w:r>
      <w:r w:rsidR="0034029C">
        <w:rPr>
          <w:rFonts w:eastAsiaTheme="majorEastAsia" w:cstheme="majorBidi"/>
          <w:szCs w:val="32"/>
        </w:rPr>
        <w:t>Section 3</w:t>
      </w:r>
      <w:r>
        <w:rPr>
          <w:rFonts w:eastAsiaTheme="majorEastAsia" w:cstheme="majorBidi"/>
          <w:szCs w:val="32"/>
        </w:rPr>
        <w:t xml:space="preserve"> below.  As noted </w:t>
      </w:r>
      <w:r w:rsidRPr="00513D04">
        <w:rPr>
          <w:rFonts w:eastAsiaTheme="majorEastAsia" w:cstheme="majorBidi"/>
          <w:szCs w:val="32"/>
        </w:rPr>
        <w:t xml:space="preserve">in </w:t>
      </w:r>
      <w:r w:rsidRPr="00513D04" w:rsidR="00BE4E7A">
        <w:rPr>
          <w:rFonts w:eastAsiaTheme="majorEastAsia" w:cstheme="majorBidi"/>
          <w:szCs w:val="32"/>
        </w:rPr>
        <w:t>D.</w:t>
      </w:r>
      <w:r w:rsidRPr="00513D04" w:rsidR="00DF1A89">
        <w:rPr>
          <w:rFonts w:eastAsiaTheme="majorEastAsia" w:cstheme="majorBidi"/>
          <w:szCs w:val="32"/>
        </w:rPr>
        <w:t>21</w:t>
      </w:r>
      <w:r w:rsidR="00827602">
        <w:rPr>
          <w:rFonts w:eastAsiaTheme="majorEastAsia" w:cstheme="majorBidi"/>
          <w:szCs w:val="32"/>
        </w:rPr>
        <w:noBreakHyphen/>
      </w:r>
      <w:r w:rsidRPr="00513D04" w:rsidR="00DF1A89">
        <w:rPr>
          <w:rFonts w:eastAsiaTheme="majorEastAsia" w:cstheme="majorBidi"/>
          <w:szCs w:val="32"/>
        </w:rPr>
        <w:t>02</w:t>
      </w:r>
      <w:r w:rsidR="00827602">
        <w:rPr>
          <w:rFonts w:eastAsiaTheme="majorEastAsia" w:cstheme="majorBidi"/>
          <w:szCs w:val="32"/>
        </w:rPr>
        <w:noBreakHyphen/>
      </w:r>
      <w:r w:rsidRPr="00513D04" w:rsidR="00DF1A89">
        <w:rPr>
          <w:rFonts w:eastAsiaTheme="majorEastAsia" w:cstheme="majorBidi"/>
          <w:szCs w:val="32"/>
        </w:rPr>
        <w:t>0</w:t>
      </w:r>
      <w:r w:rsidR="00733795">
        <w:rPr>
          <w:rFonts w:eastAsiaTheme="majorEastAsia" w:cstheme="majorBidi"/>
          <w:szCs w:val="32"/>
        </w:rPr>
        <w:t>07</w:t>
      </w:r>
      <w:r w:rsidRPr="00513D04">
        <w:rPr>
          <w:rFonts w:eastAsiaTheme="majorEastAsia" w:cstheme="majorBidi"/>
          <w:szCs w:val="32"/>
        </w:rPr>
        <w:t xml:space="preserve">, </w:t>
      </w:r>
      <w:r w:rsidR="00BA1EAE">
        <w:rPr>
          <w:rFonts w:eastAsiaTheme="majorEastAsia" w:cstheme="majorBidi"/>
          <w:szCs w:val="32"/>
        </w:rPr>
        <w:t>“</w:t>
      </w:r>
      <w:r w:rsidRPr="00513D04" w:rsidR="00DF1A89">
        <w:rPr>
          <w:rFonts w:eastAsiaTheme="majorEastAsia" w:cstheme="majorBidi"/>
          <w:szCs w:val="32"/>
        </w:rPr>
        <w:t>[t]</w:t>
      </w:r>
      <w:proofErr w:type="spellStart"/>
      <w:r w:rsidRPr="00513D04">
        <w:rPr>
          <w:rFonts w:eastAsiaTheme="majorEastAsia" w:cstheme="majorBidi"/>
          <w:szCs w:val="32"/>
        </w:rPr>
        <w:t>hese</w:t>
      </w:r>
      <w:proofErr w:type="spellEnd"/>
      <w:r w:rsidRPr="00513D04">
        <w:rPr>
          <w:rFonts w:eastAsiaTheme="majorEastAsia" w:cstheme="majorBidi"/>
          <w:szCs w:val="32"/>
        </w:rPr>
        <w:t xml:space="preserve"> principles reflect the statutory requirements of Public Utilities Code </w:t>
      </w:r>
      <w:r w:rsidR="0034029C">
        <w:rPr>
          <w:rFonts w:eastAsiaTheme="majorEastAsia" w:cstheme="majorBidi"/>
          <w:szCs w:val="32"/>
        </w:rPr>
        <w:t>Section 2</w:t>
      </w:r>
      <w:r w:rsidRPr="00513D04">
        <w:rPr>
          <w:rFonts w:eastAsiaTheme="majorEastAsia" w:cstheme="majorBidi"/>
          <w:szCs w:val="32"/>
        </w:rPr>
        <w:t>827.1</w:t>
      </w:r>
      <w:r w:rsidRPr="00513D04" w:rsidR="00BE4E7A">
        <w:rPr>
          <w:rFonts w:eastAsiaTheme="majorEastAsia" w:cstheme="majorBidi"/>
          <w:szCs w:val="32"/>
        </w:rPr>
        <w:t>,</w:t>
      </w:r>
      <w:r w:rsidR="00BA1EAE">
        <w:rPr>
          <w:rFonts w:eastAsiaTheme="majorEastAsia" w:cstheme="majorBidi"/>
          <w:szCs w:val="32"/>
        </w:rPr>
        <w:t>”</w:t>
      </w:r>
      <w:r w:rsidRPr="00513D04">
        <w:rPr>
          <w:rFonts w:eastAsiaTheme="majorEastAsia" w:cstheme="majorBidi"/>
          <w:szCs w:val="32"/>
        </w:rPr>
        <w:t xml:space="preserve"> which</w:t>
      </w:r>
      <w:r>
        <w:rPr>
          <w:rFonts w:eastAsiaTheme="majorEastAsia" w:cstheme="majorBidi"/>
          <w:szCs w:val="32"/>
        </w:rPr>
        <w:t xml:space="preserve"> </w:t>
      </w:r>
      <w:r w:rsidR="00356C70">
        <w:rPr>
          <w:rFonts w:eastAsiaTheme="majorEastAsia" w:cstheme="majorBidi"/>
          <w:szCs w:val="32"/>
        </w:rPr>
        <w:t>is</w:t>
      </w:r>
      <w:r>
        <w:rPr>
          <w:rFonts w:eastAsiaTheme="majorEastAsia" w:cstheme="majorBidi"/>
          <w:szCs w:val="32"/>
        </w:rPr>
        <w:t xml:space="preserve"> </w:t>
      </w:r>
      <w:r w:rsidR="00A655AF">
        <w:rPr>
          <w:rFonts w:eastAsiaTheme="majorEastAsia" w:cstheme="majorBidi"/>
          <w:szCs w:val="32"/>
        </w:rPr>
        <w:t xml:space="preserve">further detailed </w:t>
      </w:r>
      <w:r>
        <w:rPr>
          <w:rFonts w:eastAsiaTheme="majorEastAsia" w:cstheme="majorBidi"/>
          <w:szCs w:val="32"/>
        </w:rPr>
        <w:t xml:space="preserve">in </w:t>
      </w:r>
      <w:r w:rsidR="0034029C">
        <w:rPr>
          <w:rFonts w:eastAsiaTheme="majorEastAsia" w:cstheme="majorBidi"/>
          <w:szCs w:val="32"/>
        </w:rPr>
        <w:t>Section 3</w:t>
      </w:r>
      <w:r>
        <w:rPr>
          <w:rFonts w:eastAsiaTheme="majorEastAsia" w:cstheme="majorBidi"/>
          <w:szCs w:val="32"/>
        </w:rPr>
        <w:t xml:space="preserve"> below.</w:t>
      </w:r>
      <w:r>
        <w:rPr>
          <w:rStyle w:val="FootnoteReference"/>
          <w:rFonts w:eastAsiaTheme="majorEastAsia" w:cstheme="majorBidi"/>
          <w:szCs w:val="32"/>
        </w:rPr>
        <w:footnoteReference w:id="12"/>
      </w:r>
      <w:r>
        <w:rPr>
          <w:rFonts w:eastAsiaTheme="majorEastAsia" w:cstheme="majorBidi"/>
          <w:szCs w:val="32"/>
        </w:rPr>
        <w:t xml:space="preserve">  </w:t>
      </w:r>
      <w:r w:rsidR="004B096F">
        <w:rPr>
          <w:rFonts w:eastAsiaTheme="majorEastAsia" w:cstheme="majorBidi"/>
          <w:szCs w:val="32"/>
        </w:rPr>
        <w:t>Additionally, t</w:t>
      </w:r>
      <w:r>
        <w:rPr>
          <w:rFonts w:eastAsiaTheme="majorEastAsia" w:cstheme="majorBidi"/>
          <w:szCs w:val="32"/>
        </w:rPr>
        <w:t xml:space="preserve">he principles speak to specific objectives of the Commission and the California Legislature, while providing the Commission with flexibility in </w:t>
      </w:r>
      <w:r w:rsidR="00011D48">
        <w:rPr>
          <w:rFonts w:eastAsiaTheme="majorEastAsia" w:cstheme="majorBidi"/>
          <w:szCs w:val="32"/>
        </w:rPr>
        <w:t>its</w:t>
      </w:r>
      <w:r>
        <w:rPr>
          <w:rFonts w:eastAsiaTheme="majorEastAsia" w:cstheme="majorBidi"/>
          <w:szCs w:val="32"/>
        </w:rPr>
        <w:t xml:space="preserve"> determination of a successor</w:t>
      </w:r>
      <w:r w:rsidR="004964E3">
        <w:rPr>
          <w:rFonts w:eastAsiaTheme="majorEastAsia" w:cstheme="majorBidi"/>
          <w:szCs w:val="32"/>
        </w:rPr>
        <w:t xml:space="preserve"> tariff</w:t>
      </w:r>
      <w:r>
        <w:rPr>
          <w:rFonts w:eastAsiaTheme="majorEastAsia" w:cstheme="majorBidi"/>
          <w:szCs w:val="32"/>
        </w:rPr>
        <w:t>.</w:t>
      </w:r>
    </w:p>
    <w:p w:rsidR="00533B2F" w:rsidP="005E7044" w:rsidRDefault="00E21D4A" w14:paraId="6E9CEBF0" w14:textId="13547181">
      <w:pPr>
        <w:pStyle w:val="Standard"/>
      </w:pPr>
      <w:r>
        <w:t>As directed by the Scoping Memo and further instructed in the January</w:t>
      </w:r>
      <w:r w:rsidR="00957ED6">
        <w:t> </w:t>
      </w:r>
      <w:r>
        <w:t>28,</w:t>
      </w:r>
      <w:r w:rsidR="00957ED6">
        <w:t> </w:t>
      </w:r>
      <w:r>
        <w:t>2021 ruling, parties filed proposals for a successor to the net energy metering tariff on March</w:t>
      </w:r>
      <w:r w:rsidR="003224DB">
        <w:t> </w:t>
      </w:r>
      <w:r>
        <w:t>15,</w:t>
      </w:r>
      <w:r w:rsidR="003224DB">
        <w:t> </w:t>
      </w:r>
      <w:r>
        <w:t xml:space="preserve">2021.  </w:t>
      </w:r>
      <w:r w:rsidR="007D2077">
        <w:t xml:space="preserve">The parties discussed each of the 19 </w:t>
      </w:r>
      <w:r w:rsidR="00ED0B9F">
        <w:t xml:space="preserve">filed </w:t>
      </w:r>
      <w:r w:rsidR="007D2077">
        <w:t>proposals presented at the March</w:t>
      </w:r>
      <w:r w:rsidR="003224DB">
        <w:t> </w:t>
      </w:r>
      <w:r w:rsidR="007D2077">
        <w:t>23</w:t>
      </w:r>
      <w:r w:rsidR="00827602">
        <w:noBreakHyphen/>
      </w:r>
      <w:r w:rsidR="007D2077">
        <w:t>24,</w:t>
      </w:r>
      <w:r w:rsidR="003224DB">
        <w:t> </w:t>
      </w:r>
      <w:r w:rsidR="007D2077">
        <w:t>2021 virtual workshop.</w:t>
      </w:r>
      <w:r w:rsidR="00E9203E">
        <w:t xml:space="preserve">  A high</w:t>
      </w:r>
      <w:r w:rsidR="00827602">
        <w:noBreakHyphen/>
      </w:r>
      <w:r w:rsidR="00E9203E">
        <w:t xml:space="preserve">level description of each proposal is presented in </w:t>
      </w:r>
      <w:r w:rsidR="0034029C">
        <w:t>Section 6</w:t>
      </w:r>
      <w:r w:rsidR="00E9203E">
        <w:t xml:space="preserve"> below.</w:t>
      </w:r>
    </w:p>
    <w:p w:rsidR="00E21D4A" w:rsidP="005E7044" w:rsidRDefault="00C81B90" w14:paraId="786FF7D6" w14:textId="299C6E54">
      <w:pPr>
        <w:pStyle w:val="Standard"/>
      </w:pPr>
      <w:r>
        <w:t>Opening testimony was served on June</w:t>
      </w:r>
      <w:r w:rsidR="00AE441F">
        <w:t> </w:t>
      </w:r>
      <w:r>
        <w:t>18,</w:t>
      </w:r>
      <w:r w:rsidR="00AE441F">
        <w:t> </w:t>
      </w:r>
      <w:r>
        <w:t>2021</w:t>
      </w:r>
      <w:r w:rsidR="00C35E25">
        <w:t>,</w:t>
      </w:r>
      <w:r>
        <w:t xml:space="preserve"> and rebuttal testimony was served on July</w:t>
      </w:r>
      <w:r w:rsidR="00AE441F">
        <w:t> </w:t>
      </w:r>
      <w:r>
        <w:t>16,</w:t>
      </w:r>
      <w:r w:rsidR="00AE441F">
        <w:t> </w:t>
      </w:r>
      <w:r>
        <w:t xml:space="preserve">2021.  A </w:t>
      </w:r>
      <w:r w:rsidR="00325B9C">
        <w:t xml:space="preserve">mandatory </w:t>
      </w:r>
      <w:r>
        <w:t>status conference was held on July</w:t>
      </w:r>
      <w:r w:rsidR="00957ED6">
        <w:t> </w:t>
      </w:r>
      <w:r>
        <w:t>13,</w:t>
      </w:r>
      <w:r w:rsidR="00957ED6">
        <w:t> </w:t>
      </w:r>
      <w:r>
        <w:t>2021</w:t>
      </w:r>
      <w:r w:rsidR="00C35E25">
        <w:t>,</w:t>
      </w:r>
      <w:r>
        <w:t xml:space="preserve"> to ensure all parties </w:t>
      </w:r>
      <w:r w:rsidR="00325B9C">
        <w:t xml:space="preserve">were able to connect to and participate in a </w:t>
      </w:r>
      <w:r w:rsidR="0082104C">
        <w:t xml:space="preserve">virtual </w:t>
      </w:r>
      <w:r w:rsidR="00325B9C">
        <w:t xml:space="preserve">hearing </w:t>
      </w:r>
      <w:r w:rsidR="0082104C">
        <w:t xml:space="preserve">through </w:t>
      </w:r>
      <w:r w:rsidR="00C35E25">
        <w:t>the</w:t>
      </w:r>
      <w:r w:rsidR="0082104C">
        <w:t xml:space="preserve"> </w:t>
      </w:r>
      <w:r w:rsidR="00325B9C">
        <w:t>Webex platform and a telephonic conference line.  The assigned Administrative Law Judge presided over twelve days of virtual evidentiary hearing</w:t>
      </w:r>
      <w:r w:rsidR="004964E3">
        <w:t>s</w:t>
      </w:r>
      <w:r w:rsidR="00325B9C">
        <w:t xml:space="preserve"> between July</w:t>
      </w:r>
      <w:r w:rsidR="00AE441F">
        <w:t> </w:t>
      </w:r>
      <w:r w:rsidR="00325B9C">
        <w:t>26,</w:t>
      </w:r>
      <w:r w:rsidR="00AE441F">
        <w:t> </w:t>
      </w:r>
      <w:r w:rsidR="00325B9C">
        <w:t>2021 and August</w:t>
      </w:r>
      <w:r w:rsidR="00AE441F">
        <w:t> </w:t>
      </w:r>
      <w:r w:rsidR="00325B9C">
        <w:t>10,</w:t>
      </w:r>
      <w:r w:rsidR="00AE441F">
        <w:t> </w:t>
      </w:r>
      <w:r w:rsidR="00325B9C">
        <w:t>2021.</w:t>
      </w:r>
    </w:p>
    <w:p w:rsidR="00807EAF" w:rsidP="005E7044" w:rsidRDefault="00325B9C" w14:paraId="0379F207" w14:textId="04899C79">
      <w:pPr>
        <w:pStyle w:val="Standard"/>
      </w:pPr>
      <w:r>
        <w:t>The following parties filed opening briefs on August</w:t>
      </w:r>
      <w:r w:rsidR="00AE441F">
        <w:t> </w:t>
      </w:r>
      <w:r>
        <w:t>31,</w:t>
      </w:r>
      <w:r w:rsidR="00AE441F">
        <w:t> </w:t>
      </w:r>
      <w:r>
        <w:t>2021, addressing Issue</w:t>
      </w:r>
      <w:r w:rsidR="00AE441F">
        <w:t> </w:t>
      </w:r>
      <w:r>
        <w:t xml:space="preserve">2 through </w:t>
      </w:r>
      <w:r w:rsidR="00BA4231">
        <w:t>Issue </w:t>
      </w:r>
      <w:r>
        <w:t>5</w:t>
      </w:r>
      <w:r w:rsidR="00555CC0">
        <w:t xml:space="preserve">:  </w:t>
      </w:r>
      <w:bookmarkStart w:name="_Hlk121384962" w:id="17"/>
      <w:r w:rsidR="00C35E25">
        <w:t xml:space="preserve">Agricultural Energy Consumers Association and California Farm Bureau </w:t>
      </w:r>
      <w:r w:rsidR="009A399B">
        <w:t xml:space="preserve">Federation </w:t>
      </w:r>
      <w:r w:rsidR="00C35E25">
        <w:t xml:space="preserve">(Agricultural Parties); Albion Power Company (Albion); California Building Industries Association (CBIA); California Energy Storage Association (CESA); </w:t>
      </w:r>
      <w:proofErr w:type="spellStart"/>
      <w:r w:rsidR="00C35E25">
        <w:t>CALSSA</w:t>
      </w:r>
      <w:proofErr w:type="spellEnd"/>
      <w:r w:rsidR="00C35E25">
        <w:t xml:space="preserve">; California Wind Energy </w:t>
      </w:r>
      <w:r w:rsidR="00C35E25">
        <w:lastRenderedPageBreak/>
        <w:t>Association</w:t>
      </w:r>
      <w:r w:rsidR="00311B1A">
        <w:t xml:space="preserve"> </w:t>
      </w:r>
      <w:r w:rsidR="00C35E25">
        <w:t>(</w:t>
      </w:r>
      <w:proofErr w:type="spellStart"/>
      <w:r w:rsidR="00C35E25">
        <w:t>CalWEA</w:t>
      </w:r>
      <w:proofErr w:type="spellEnd"/>
      <w:r w:rsidR="00C35E25">
        <w:t xml:space="preserve">); </w:t>
      </w:r>
      <w:r w:rsidR="002D4F6C">
        <w:t>Californians for Renewable Energy;</w:t>
      </w:r>
      <w:r w:rsidRPr="00103D3A" w:rsidR="00103D3A">
        <w:rPr>
          <w:rStyle w:val="FootnoteReference"/>
        </w:rPr>
        <w:t xml:space="preserve"> </w:t>
      </w:r>
      <w:r w:rsidR="00103D3A">
        <w:rPr>
          <w:rStyle w:val="FootnoteReference"/>
        </w:rPr>
        <w:footnoteReference w:id="13"/>
      </w:r>
      <w:r w:rsidR="002D4F6C">
        <w:t xml:space="preserve"> Coalition for Community Solar Access (CCSA); Coalition of California Utility Employees (CUE); Foundation </w:t>
      </w:r>
      <w:proofErr w:type="spellStart"/>
      <w:r w:rsidR="002D4F6C">
        <w:t>Windpower</w:t>
      </w:r>
      <w:proofErr w:type="spellEnd"/>
      <w:r w:rsidR="002D4F6C">
        <w:t xml:space="preserve">; </w:t>
      </w:r>
      <w:r w:rsidR="00E11415">
        <w:t>GRID</w:t>
      </w:r>
      <w:r w:rsidR="002D4F6C">
        <w:t xml:space="preserve"> Alternatives with Vote Solar and Sierra Club (G</w:t>
      </w:r>
      <w:r w:rsidR="00E11415">
        <w:t>RID</w:t>
      </w:r>
      <w:r w:rsidR="002D4F6C">
        <w:t xml:space="preserve"> </w:t>
      </w:r>
      <w:r w:rsidR="001C71AF">
        <w:rPr>
          <w:i/>
          <w:iCs/>
        </w:rPr>
        <w:t>et al</w:t>
      </w:r>
      <w:r w:rsidRPr="00A943E5" w:rsidR="002D4F6C">
        <w:rPr>
          <w:i/>
          <w:iCs/>
        </w:rPr>
        <w:t>.</w:t>
      </w:r>
      <w:r w:rsidR="002D4F6C">
        <w:t>); Independent Energy Producers Association (</w:t>
      </w:r>
      <w:proofErr w:type="spellStart"/>
      <w:r w:rsidR="002D4F6C">
        <w:t>IEPA</w:t>
      </w:r>
      <w:proofErr w:type="spellEnd"/>
      <w:r w:rsidR="002D4F6C">
        <w:t xml:space="preserve">); </w:t>
      </w:r>
      <w:r w:rsidR="007670A4">
        <w:t>Ivy E</w:t>
      </w:r>
      <w:r w:rsidR="002D4F6C">
        <w:t>nergy</w:t>
      </w:r>
      <w:r w:rsidR="00311B1A">
        <w:t>;</w:t>
      </w:r>
      <w:r w:rsidR="002D4F6C">
        <w:t xml:space="preserve"> Joint Utilities; NRDC; PCF; </w:t>
      </w:r>
      <w:r w:rsidR="009355F1">
        <w:t>Cal Advoc</w:t>
      </w:r>
      <w:r w:rsidR="002D4F6C">
        <w:t xml:space="preserve">ates; </w:t>
      </w:r>
      <w:r w:rsidR="006B3411">
        <w:t xml:space="preserve">SEIA/Vote Solar; Sierra Club; </w:t>
      </w:r>
      <w:proofErr w:type="spellStart"/>
      <w:r w:rsidR="006B3411">
        <w:t>SBUA</w:t>
      </w:r>
      <w:proofErr w:type="spellEnd"/>
      <w:r w:rsidR="006B3411">
        <w:t>; TURN; and Walmart, Inc. (Walmart)</w:t>
      </w:r>
      <w:r>
        <w:t>.  The following parties filed reply briefs on September</w:t>
      </w:r>
      <w:r w:rsidR="00D872A8">
        <w:t> </w:t>
      </w:r>
      <w:r>
        <w:t>14, 2021</w:t>
      </w:r>
      <w:r w:rsidR="00555CC0">
        <w:t xml:space="preserve">:  </w:t>
      </w:r>
      <w:r w:rsidR="0079190C">
        <w:t xml:space="preserve">Agricultural Parties; CBIA; </w:t>
      </w:r>
      <w:r w:rsidR="00447684">
        <w:t>California Low</w:t>
      </w:r>
      <w:r w:rsidR="00827602">
        <w:noBreakHyphen/>
      </w:r>
      <w:r w:rsidR="00447684">
        <w:t xml:space="preserve">Income Coalition; </w:t>
      </w:r>
      <w:proofErr w:type="spellStart"/>
      <w:r w:rsidR="0079190C">
        <w:t>CALSSA</w:t>
      </w:r>
      <w:proofErr w:type="spellEnd"/>
      <w:r w:rsidR="0079190C">
        <w:t xml:space="preserve">; </w:t>
      </w:r>
      <w:proofErr w:type="spellStart"/>
      <w:r w:rsidR="0079190C">
        <w:t>CalWEA</w:t>
      </w:r>
      <w:proofErr w:type="spellEnd"/>
      <w:r w:rsidR="0079190C">
        <w:t xml:space="preserve">; </w:t>
      </w:r>
      <w:r w:rsidR="00447684">
        <w:t xml:space="preserve">Clean Coalition; </w:t>
      </w:r>
      <w:r w:rsidR="0079190C">
        <w:t>CCSA; CUE; Foundation</w:t>
      </w:r>
      <w:r w:rsidR="00A27BA9">
        <w:t xml:space="preserve"> </w:t>
      </w:r>
      <w:proofErr w:type="spellStart"/>
      <w:r w:rsidR="00A27BA9">
        <w:t>Windpower</w:t>
      </w:r>
      <w:proofErr w:type="spellEnd"/>
      <w:r w:rsidR="0079190C">
        <w:t xml:space="preserve">; </w:t>
      </w:r>
      <w:r w:rsidR="00E11415">
        <w:t>GRID</w:t>
      </w:r>
      <w:r w:rsidR="00966241">
        <w:t xml:space="preserve"> </w:t>
      </w:r>
      <w:r w:rsidR="001C71AF">
        <w:rPr>
          <w:i/>
          <w:iCs/>
        </w:rPr>
        <w:t>et al</w:t>
      </w:r>
      <w:r w:rsidR="00447684">
        <w:t xml:space="preserve">.; </w:t>
      </w:r>
      <w:proofErr w:type="spellStart"/>
      <w:r w:rsidR="0079190C">
        <w:t>IEPA</w:t>
      </w:r>
      <w:proofErr w:type="spellEnd"/>
      <w:r w:rsidR="0079190C">
        <w:t xml:space="preserve">; </w:t>
      </w:r>
      <w:r w:rsidR="007670A4">
        <w:t>Ivy E</w:t>
      </w:r>
      <w:r w:rsidR="0079190C">
        <w:t xml:space="preserve">nergy, Joint Utilities; NRDC; PCF; </w:t>
      </w:r>
      <w:r w:rsidR="009355F1">
        <w:t>Cal Advoc</w:t>
      </w:r>
      <w:r w:rsidR="0079190C">
        <w:t>ates; SEIA/Vote Solar; Sierra Club;</w:t>
      </w:r>
      <w:r w:rsidR="007061A7">
        <w:t xml:space="preserve"> </w:t>
      </w:r>
      <w:r w:rsidR="00827602">
        <w:t>San </w:t>
      </w:r>
      <w:r w:rsidR="00447684">
        <w:t>Diego Community Power with</w:t>
      </w:r>
      <w:r w:rsidR="007061A7">
        <w:t xml:space="preserve"> </w:t>
      </w:r>
      <w:r w:rsidR="00827602">
        <w:t>San </w:t>
      </w:r>
      <w:r w:rsidR="00447684">
        <w:t xml:space="preserve">Jose Clean Energy; </w:t>
      </w:r>
      <w:proofErr w:type="spellStart"/>
      <w:r w:rsidR="0079190C">
        <w:t>SBUA</w:t>
      </w:r>
      <w:proofErr w:type="spellEnd"/>
      <w:r w:rsidR="0079190C">
        <w:t>; TURN; and Walmart</w:t>
      </w:r>
      <w:r w:rsidR="00447684">
        <w:t>.</w:t>
      </w:r>
    </w:p>
    <w:bookmarkEnd w:id="17"/>
    <w:p w:rsidR="00533B2F" w:rsidP="005E7044" w:rsidRDefault="00807EAF" w14:paraId="45BF290B" w14:textId="77777777">
      <w:pPr>
        <w:pStyle w:val="Standard"/>
      </w:pPr>
      <w:r>
        <w:t>The Commission issued a proposed decision on December</w:t>
      </w:r>
      <w:r w:rsidR="00E27AE8">
        <w:t> </w:t>
      </w:r>
      <w:r>
        <w:t>13,</w:t>
      </w:r>
      <w:r w:rsidR="00E27AE8">
        <w:t> </w:t>
      </w:r>
      <w:r>
        <w:t>202</w:t>
      </w:r>
      <w:r w:rsidR="0013172B">
        <w:t xml:space="preserve">1.  </w:t>
      </w:r>
      <w:r w:rsidR="00667E15">
        <w:t xml:space="preserve">Following the filing of </w:t>
      </w:r>
      <w:r w:rsidR="0013172B">
        <w:t>opening and reply comments</w:t>
      </w:r>
      <w:r w:rsidR="00667E15">
        <w:t xml:space="preserve">, </w:t>
      </w:r>
      <w:r w:rsidR="001A378D">
        <w:t xml:space="preserve">which are in the administrative record of this proceeding, </w:t>
      </w:r>
      <w:r w:rsidR="00667E15">
        <w:t xml:space="preserve">the newly assigned </w:t>
      </w:r>
      <w:r w:rsidR="00332298">
        <w:t>C</w:t>
      </w:r>
      <w:r w:rsidR="00667E15">
        <w:t>ommissioner requested additional time to review the proposed decision and the record</w:t>
      </w:r>
      <w:r w:rsidR="0013172B">
        <w:t>.</w:t>
      </w:r>
    </w:p>
    <w:p w:rsidR="00F90E3B" w:rsidP="005E7044" w:rsidRDefault="00667E15" w14:paraId="5C2E5EC2" w14:textId="4DCA82AC">
      <w:pPr>
        <w:pStyle w:val="Standard"/>
      </w:pPr>
      <w:r>
        <w:t>On</w:t>
      </w:r>
      <w:r w:rsidR="00E94426">
        <w:t xml:space="preserve"> </w:t>
      </w:r>
      <w:r w:rsidR="00693EB0">
        <w:t>May 9, 2022</w:t>
      </w:r>
      <w:r w:rsidR="00E94426">
        <w:t>, the Administrative Law Judge issued a ruling setting aside submission of the record to further explore three elements</w:t>
      </w:r>
      <w:r w:rsidR="00555CC0">
        <w:t xml:space="preserve">:  </w:t>
      </w:r>
      <w:r w:rsidR="00E27AE8">
        <w:t>(</w:t>
      </w:r>
      <w:r w:rsidR="004964E3">
        <w:t>1</w:t>
      </w:r>
      <w:r w:rsidR="00E94426">
        <w:t>)</w:t>
      </w:r>
      <w:r w:rsidR="00E27AE8">
        <w:t> </w:t>
      </w:r>
      <w:r w:rsidR="00E94426">
        <w:t xml:space="preserve">the glide path approach; </w:t>
      </w:r>
      <w:r w:rsidR="00E27AE8">
        <w:t>(</w:t>
      </w:r>
      <w:r w:rsidR="004964E3">
        <w:t>2</w:t>
      </w:r>
      <w:r w:rsidR="00E94426">
        <w:t>)</w:t>
      </w:r>
      <w:r w:rsidR="00E27AE8">
        <w:t> </w:t>
      </w:r>
      <w:r w:rsidR="00E94426">
        <w:t>non</w:t>
      </w:r>
      <w:r w:rsidR="00827602">
        <w:noBreakHyphen/>
      </w:r>
      <w:proofErr w:type="spellStart"/>
      <w:r w:rsidR="00E94426">
        <w:t>bypassable</w:t>
      </w:r>
      <w:proofErr w:type="spellEnd"/>
      <w:r w:rsidR="00E94426">
        <w:t xml:space="preserve"> charges on gross consumption; and </w:t>
      </w:r>
      <w:r w:rsidR="00E27AE8">
        <w:t>(</w:t>
      </w:r>
      <w:r w:rsidR="004964E3">
        <w:t>3</w:t>
      </w:r>
      <w:r w:rsidR="00E94426">
        <w:t>)</w:t>
      </w:r>
      <w:r w:rsidR="00E27AE8">
        <w:t> </w:t>
      </w:r>
      <w:r w:rsidR="00E94426">
        <w:t>community distributed energy resources.  On June</w:t>
      </w:r>
      <w:r w:rsidR="00E27AE8">
        <w:t> </w:t>
      </w:r>
      <w:r w:rsidR="00E94426">
        <w:t>10,</w:t>
      </w:r>
      <w:r w:rsidR="00E27AE8">
        <w:t> </w:t>
      </w:r>
      <w:r w:rsidR="00E94426">
        <w:t xml:space="preserve">2022, parties filed comments responding to questions on these issues; reply comments were filed on </w:t>
      </w:r>
      <w:r w:rsidR="00E27AE8">
        <w:t>July 1, 2022</w:t>
      </w:r>
      <w:r w:rsidR="00E94426">
        <w:t xml:space="preserve">.  The record was resubmitted </w:t>
      </w:r>
      <w:r w:rsidR="00F90E3B">
        <w:t xml:space="preserve">on </w:t>
      </w:r>
      <w:r w:rsidR="00E27AE8">
        <w:t>July 1, 2022</w:t>
      </w:r>
      <w:r w:rsidR="00F90E3B">
        <w:t>.</w:t>
      </w:r>
    </w:p>
    <w:p w:rsidRPr="00325B9C" w:rsidR="00807EAF" w:rsidP="005E7044" w:rsidRDefault="00F90E3B" w14:paraId="15B4A680" w14:textId="7500670F">
      <w:pPr>
        <w:pStyle w:val="Standard"/>
      </w:pPr>
      <w:r>
        <w:lastRenderedPageBreak/>
        <w:t xml:space="preserve">On </w:t>
      </w:r>
      <w:r w:rsidR="00F73146">
        <w:t>November</w:t>
      </w:r>
      <w:r w:rsidR="00E27AE8">
        <w:t> </w:t>
      </w:r>
      <w:r w:rsidR="00333F8E">
        <w:t>10</w:t>
      </w:r>
      <w:r>
        <w:t>,</w:t>
      </w:r>
      <w:r w:rsidR="00E27AE8">
        <w:t> </w:t>
      </w:r>
      <w:r>
        <w:t>2022, the Administrative Law Judge withdrew the December</w:t>
      </w:r>
      <w:r w:rsidR="00E27AE8">
        <w:t> </w:t>
      </w:r>
      <w:r>
        <w:t>13,</w:t>
      </w:r>
      <w:r w:rsidR="00E27AE8">
        <w:t> </w:t>
      </w:r>
      <w:r>
        <w:t>2021 proposed decision.</w:t>
      </w:r>
    </w:p>
    <w:p w:rsidR="002F14FD" w:rsidP="005E7044" w:rsidRDefault="002F14FD" w14:paraId="554A6466" w14:textId="01C700C0">
      <w:pPr>
        <w:pStyle w:val="Heading1"/>
        <w:keepLines w:val="0"/>
      </w:pPr>
      <w:bookmarkStart w:name="_Toc117674048" w:id="18"/>
      <w:bookmarkStart w:name="_Toc118285039" w:id="19"/>
      <w:bookmarkStart w:name="_Toc121854366" w:id="20"/>
      <w:r>
        <w:t>Guiding Principles</w:t>
      </w:r>
      <w:bookmarkEnd w:id="18"/>
      <w:bookmarkEnd w:id="19"/>
      <w:bookmarkEnd w:id="20"/>
    </w:p>
    <w:p w:rsidR="002F14FD" w:rsidP="005E7044" w:rsidRDefault="002F14FD" w14:paraId="00A85826" w14:textId="3F946D6A">
      <w:pPr>
        <w:pStyle w:val="Standard"/>
      </w:pPr>
      <w:r>
        <w:t>In D.</w:t>
      </w:r>
      <w:r w:rsidR="0062130E">
        <w:t>21</w:t>
      </w:r>
      <w:r w:rsidR="00827602">
        <w:noBreakHyphen/>
      </w:r>
      <w:r w:rsidR="0062130E">
        <w:t>02</w:t>
      </w:r>
      <w:r w:rsidR="00827602">
        <w:noBreakHyphen/>
      </w:r>
      <w:r w:rsidR="0062130E">
        <w:t>0</w:t>
      </w:r>
      <w:r w:rsidR="005D640B">
        <w:t>07</w:t>
      </w:r>
      <w:r w:rsidR="0062130E">
        <w:t xml:space="preserve">, the Commission adopted the following </w:t>
      </w:r>
      <w:r w:rsidR="003269F8">
        <w:t xml:space="preserve">eight </w:t>
      </w:r>
      <w:r w:rsidR="0062130E">
        <w:t>guiding principles to assist in the development and evaluation of a successor to the current net energy metering tariff:</w:t>
      </w:r>
    </w:p>
    <w:p w:rsidR="0062130E" w:rsidP="00E27AE8" w:rsidRDefault="0062130E" w14:paraId="4FA4C22F" w14:textId="1DEE4CB7">
      <w:pPr>
        <w:pStyle w:val="BlockQuoteH033"/>
        <w:numPr>
          <w:ilvl w:val="0"/>
          <w:numId w:val="8"/>
        </w:numPr>
        <w:ind w:left="1195" w:hanging="475"/>
      </w:pPr>
      <w:bookmarkStart w:name="_Hlk85742871" w:id="21"/>
      <w:r>
        <w:t xml:space="preserve">A successor to the net energy metering tariff should comply with the statutory requirements of Public Utilities Code </w:t>
      </w:r>
      <w:r w:rsidR="0034029C">
        <w:t>Section 2</w:t>
      </w:r>
      <w:r>
        <w:t>827.1;</w:t>
      </w:r>
    </w:p>
    <w:p w:rsidR="0062130E" w:rsidP="00E27AE8" w:rsidRDefault="0062130E" w14:paraId="3A2963E3" w14:textId="2246853E">
      <w:pPr>
        <w:pStyle w:val="BlockQuoteH033"/>
        <w:numPr>
          <w:ilvl w:val="0"/>
          <w:numId w:val="8"/>
        </w:numPr>
        <w:ind w:left="1195" w:hanging="475"/>
      </w:pPr>
      <w:r>
        <w:t>A successor to the net energy metering tariff should ensure equity among customers;</w:t>
      </w:r>
    </w:p>
    <w:p w:rsidR="0062130E" w:rsidP="00E27AE8" w:rsidRDefault="0062130E" w14:paraId="06725273" w14:textId="0C77BD5E">
      <w:pPr>
        <w:pStyle w:val="BlockQuoteH033"/>
        <w:numPr>
          <w:ilvl w:val="0"/>
          <w:numId w:val="8"/>
        </w:numPr>
        <w:ind w:left="1195" w:hanging="475"/>
      </w:pPr>
      <w:r>
        <w:t>A successor to the net energy metering tariff should enhance consumer protection measures for customer</w:t>
      </w:r>
      <w:r w:rsidR="00827602">
        <w:noBreakHyphen/>
      </w:r>
      <w:r>
        <w:t>generators providing net energy metering services;</w:t>
      </w:r>
    </w:p>
    <w:p w:rsidR="0062130E" w:rsidP="00E27AE8" w:rsidRDefault="0062130E" w14:paraId="385E198B" w14:textId="0FB6F621">
      <w:pPr>
        <w:pStyle w:val="BlockQuoteH033"/>
        <w:numPr>
          <w:ilvl w:val="0"/>
          <w:numId w:val="8"/>
        </w:numPr>
        <w:ind w:left="1195" w:hanging="475"/>
      </w:pPr>
      <w:r>
        <w:t xml:space="preserve">A successor to the net energy metering tariff should fairly consider all technologies that meet the definition of renewable electrical generation facility in Public Utilities Code </w:t>
      </w:r>
      <w:r w:rsidR="0034029C">
        <w:t>Section 2</w:t>
      </w:r>
      <w:r>
        <w:t>827.1;</w:t>
      </w:r>
    </w:p>
    <w:p w:rsidR="0062130E" w:rsidP="00E27AE8" w:rsidRDefault="0062130E" w14:paraId="27CCCFEE" w14:textId="11C7D9FB">
      <w:pPr>
        <w:pStyle w:val="BlockQuoteH033"/>
        <w:numPr>
          <w:ilvl w:val="0"/>
          <w:numId w:val="8"/>
        </w:numPr>
        <w:ind w:left="1195" w:hanging="475"/>
      </w:pPr>
      <w:r>
        <w:t xml:space="preserve">A successor to the net energy metering tariff should be coordinated with the Commission and California’s energy policies, including, but not limited to, </w:t>
      </w:r>
      <w:r w:rsidR="00E27AE8">
        <w:t>SB </w:t>
      </w:r>
      <w:r>
        <w:t>100 (2018, DeLeon)</w:t>
      </w:r>
      <w:r w:rsidR="00ED2017">
        <w:rPr>
          <w:rStyle w:val="FootnoteReference"/>
        </w:rPr>
        <w:footnoteReference w:id="14"/>
      </w:r>
      <w:r>
        <w:t xml:space="preserve">, the Integrated Resource Planning process, </w:t>
      </w:r>
      <w:r w:rsidR="007B0493">
        <w:t>Title </w:t>
      </w:r>
      <w:r>
        <w:t>24 Building Energy Efficiency Standards, and California Executive Order</w:t>
      </w:r>
      <w:r w:rsidR="00957ED6">
        <w:t> </w:t>
      </w:r>
      <w:r>
        <w:t>B</w:t>
      </w:r>
      <w:r w:rsidR="00827602">
        <w:noBreakHyphen/>
      </w:r>
      <w:r>
        <w:t>55</w:t>
      </w:r>
      <w:r w:rsidR="00827602">
        <w:noBreakHyphen/>
      </w:r>
      <w:r>
        <w:t>18;</w:t>
      </w:r>
    </w:p>
    <w:p w:rsidR="0062130E" w:rsidP="00E27AE8" w:rsidRDefault="0062130E" w14:paraId="54F4359D" w14:textId="02AA2141">
      <w:pPr>
        <w:pStyle w:val="BlockQuoteH033"/>
        <w:numPr>
          <w:ilvl w:val="0"/>
          <w:numId w:val="8"/>
        </w:numPr>
        <w:ind w:left="1195" w:hanging="475"/>
      </w:pPr>
      <w:r>
        <w:t>A successor to the net energy metering tariff should be transparent and understandable to all customers and should be uniform, to the extent possible, across all utilities;</w:t>
      </w:r>
    </w:p>
    <w:p w:rsidR="0062130E" w:rsidP="00E27AE8" w:rsidRDefault="0062130E" w14:paraId="53CA70B6" w14:textId="5FBE6FC9">
      <w:pPr>
        <w:pStyle w:val="BlockQuoteH033"/>
        <w:numPr>
          <w:ilvl w:val="0"/>
          <w:numId w:val="8"/>
        </w:numPr>
        <w:ind w:left="1195" w:hanging="475"/>
      </w:pPr>
      <w:r>
        <w:lastRenderedPageBreak/>
        <w:t>A successor to the net energy metering tariff should maximize the value of customer</w:t>
      </w:r>
      <w:r w:rsidR="00827602">
        <w:noBreakHyphen/>
      </w:r>
      <w:r>
        <w:t>sited renewable generation to all customers and to the electrical system; and</w:t>
      </w:r>
    </w:p>
    <w:p w:rsidRPr="0063491C" w:rsidR="004E6BFE" w:rsidP="00E27AE8" w:rsidRDefault="0062130E" w14:paraId="392AD697" w14:textId="0108FF3B">
      <w:pPr>
        <w:pStyle w:val="BlockQuoteH033"/>
        <w:numPr>
          <w:ilvl w:val="0"/>
          <w:numId w:val="8"/>
        </w:numPr>
        <w:ind w:left="1195" w:hanging="475"/>
      </w:pPr>
      <w:r>
        <w:t>A successor to the net energy metering tariff should consider competitive neutrality amongst Load Serving Entities.</w:t>
      </w:r>
    </w:p>
    <w:p w:rsidR="007C247F" w:rsidP="005E7044" w:rsidRDefault="007C247F" w14:paraId="413E7053" w14:textId="47E75EE7">
      <w:pPr>
        <w:pStyle w:val="Heading1"/>
        <w:keepLines w:val="0"/>
      </w:pPr>
      <w:bookmarkStart w:name="_Toc117674049" w:id="22"/>
      <w:bookmarkStart w:name="_Toc118285040" w:id="23"/>
      <w:bookmarkStart w:name="_Toc121854367" w:id="24"/>
      <w:bookmarkEnd w:id="21"/>
      <w:r>
        <w:t>Look</w:t>
      </w:r>
      <w:r w:rsidR="003E6AA4">
        <w:t>b</w:t>
      </w:r>
      <w:r>
        <w:t>ack Study</w:t>
      </w:r>
      <w:r w:rsidR="000703BC">
        <w:rPr>
          <w:rStyle w:val="FootnoteReference"/>
        </w:rPr>
        <w:footnoteReference w:id="15"/>
      </w:r>
      <w:bookmarkEnd w:id="22"/>
      <w:bookmarkEnd w:id="23"/>
      <w:bookmarkEnd w:id="24"/>
    </w:p>
    <w:p w:rsidR="007C247F" w:rsidP="005E7044" w:rsidRDefault="0082104C" w14:paraId="1367ECA8" w14:textId="11BFEE51">
      <w:pPr>
        <w:pStyle w:val="Standard"/>
      </w:pPr>
      <w:r>
        <w:t xml:space="preserve">The </w:t>
      </w:r>
      <w:r w:rsidR="005144D3">
        <w:t>Look</w:t>
      </w:r>
      <w:r w:rsidR="00DF1A89">
        <w:t>b</w:t>
      </w:r>
      <w:r w:rsidR="005144D3">
        <w:t>ack Study</w:t>
      </w:r>
      <w:r>
        <w:t xml:space="preserve"> </w:t>
      </w:r>
      <w:r w:rsidR="0011320F">
        <w:t xml:space="preserve">conducted in 2020 </w:t>
      </w:r>
      <w:r>
        <w:t>entail</w:t>
      </w:r>
      <w:r w:rsidR="004964E3">
        <w:t>s</w:t>
      </w:r>
      <w:r w:rsidR="00555CC0">
        <w:t xml:space="preserve">:  </w:t>
      </w:r>
      <w:r w:rsidR="00A7277D">
        <w:t>(</w:t>
      </w:r>
      <w:r w:rsidR="00724794">
        <w:t>1)</w:t>
      </w:r>
      <w:r w:rsidR="00A7277D">
        <w:t> </w:t>
      </w:r>
      <w:r w:rsidR="00724794">
        <w:t>a</w:t>
      </w:r>
      <w:r w:rsidR="00A7277D">
        <w:t> </w:t>
      </w:r>
      <w:r>
        <w:t>cost</w:t>
      </w:r>
      <w:r w:rsidR="00827602">
        <w:noBreakHyphen/>
      </w:r>
      <w:r>
        <w:t xml:space="preserve">effectiveness analysis consistent with </w:t>
      </w:r>
      <w:r w:rsidR="00724794">
        <w:t xml:space="preserve">the Commission’s Standard Practice Manual and </w:t>
      </w:r>
      <w:r>
        <w:t>D.19</w:t>
      </w:r>
      <w:r w:rsidR="00827602">
        <w:noBreakHyphen/>
      </w:r>
      <w:r>
        <w:t>05</w:t>
      </w:r>
      <w:r w:rsidR="00827602">
        <w:noBreakHyphen/>
      </w:r>
      <w:r>
        <w:t>019</w:t>
      </w:r>
      <w:r w:rsidR="00724794">
        <w:t xml:space="preserve">, </w:t>
      </w:r>
      <w:r w:rsidRPr="00DF1A89" w:rsidR="00DF1A89">
        <w:rPr>
          <w:i/>
          <w:iCs/>
        </w:rPr>
        <w:t>Decision Adopting Cost</w:t>
      </w:r>
      <w:r w:rsidR="00827602">
        <w:rPr>
          <w:i/>
          <w:iCs/>
        </w:rPr>
        <w:noBreakHyphen/>
      </w:r>
      <w:r w:rsidRPr="00DF1A89" w:rsidR="00DF1A89">
        <w:rPr>
          <w:i/>
          <w:iCs/>
        </w:rPr>
        <w:t>Effectiveness Analysis Framework Policies for all Distributed Energy Resources</w:t>
      </w:r>
      <w:r w:rsidRPr="00A7277D" w:rsidR="00A7277D">
        <w:t>;</w:t>
      </w:r>
      <w:r w:rsidR="00DF1A89">
        <w:t xml:space="preserve"> </w:t>
      </w:r>
      <w:r>
        <w:t xml:space="preserve">and </w:t>
      </w:r>
      <w:r w:rsidR="00A7277D">
        <w:t>(</w:t>
      </w:r>
      <w:r w:rsidR="00724794">
        <w:t>2)</w:t>
      </w:r>
      <w:r w:rsidR="00A7277D">
        <w:t> </w:t>
      </w:r>
      <w:r>
        <w:t>a cost</w:t>
      </w:r>
      <w:r w:rsidR="00827602">
        <w:noBreakHyphen/>
      </w:r>
      <w:r>
        <w:t>of</w:t>
      </w:r>
      <w:r w:rsidR="00827602">
        <w:noBreakHyphen/>
      </w:r>
      <w:r>
        <w:t xml:space="preserve">service analysis that compares the cost to serve </w:t>
      </w:r>
      <w:r w:rsidR="00602BC5">
        <w:t>NEM 2.0</w:t>
      </w:r>
      <w:r w:rsidR="00135D55">
        <w:t xml:space="preserve"> </w:t>
      </w:r>
      <w:r>
        <w:t xml:space="preserve">customers against their total bill payments.  As noted in the study, the objectives </w:t>
      </w:r>
      <w:r w:rsidR="00DF1A89">
        <w:t xml:space="preserve">of the Lookback Study </w:t>
      </w:r>
      <w:r>
        <w:t xml:space="preserve">were to examine the impacts of </w:t>
      </w:r>
      <w:r w:rsidR="00733795">
        <w:t xml:space="preserve">the </w:t>
      </w:r>
      <w:r w:rsidR="00602BC5">
        <w:t>NEM 2.0</w:t>
      </w:r>
      <w:r w:rsidR="00135D55">
        <w:t xml:space="preserve"> </w:t>
      </w:r>
      <w:r w:rsidR="00733795">
        <w:t xml:space="preserve">tariff </w:t>
      </w:r>
      <w:r>
        <w:t xml:space="preserve">and compare how metrics changed in the transition from </w:t>
      </w:r>
      <w:r w:rsidR="00602BC5">
        <w:t>NEM 1.0</w:t>
      </w:r>
      <w:r>
        <w:t xml:space="preserve"> to </w:t>
      </w:r>
      <w:r w:rsidR="00602BC5">
        <w:t>NEM 2.0</w:t>
      </w:r>
      <w:r w:rsidR="007C247F">
        <w:t>.</w:t>
      </w:r>
    </w:p>
    <w:p w:rsidR="00DF1A89" w:rsidP="005E7044" w:rsidRDefault="00E62DA3" w14:paraId="47D2F947" w14:textId="66E78BA3">
      <w:pPr>
        <w:pStyle w:val="Standard"/>
      </w:pPr>
      <w:r>
        <w:t>The cost</w:t>
      </w:r>
      <w:r w:rsidR="00827602">
        <w:noBreakHyphen/>
      </w:r>
      <w:r>
        <w:t>effectiveness analysis performed in the Lookback Study considers the cost</w:t>
      </w:r>
      <w:r w:rsidR="00827602">
        <w:noBreakHyphen/>
      </w:r>
      <w:r>
        <w:t xml:space="preserve">effectiveness of </w:t>
      </w:r>
      <w:r w:rsidR="00602BC5">
        <w:t>NEM 2.0</w:t>
      </w:r>
      <w:r w:rsidR="00135D55">
        <w:t xml:space="preserve"> </w:t>
      </w:r>
      <w:r>
        <w:t>systems using the Participant Cost Test (PCT)</w:t>
      </w:r>
      <w:r w:rsidR="00146662">
        <w:t>,</w:t>
      </w:r>
      <w:r>
        <w:rPr>
          <w:rStyle w:val="FootnoteReference"/>
        </w:rPr>
        <w:footnoteReference w:id="16"/>
      </w:r>
      <w:r>
        <w:t xml:space="preserve"> the Program Administrator </w:t>
      </w:r>
      <w:r w:rsidR="00146662">
        <w:t xml:space="preserve">Cost </w:t>
      </w:r>
      <w:r>
        <w:t>(PA</w:t>
      </w:r>
      <w:r w:rsidR="00602AAD">
        <w:t>C</w:t>
      </w:r>
      <w:r>
        <w:t>) test,</w:t>
      </w:r>
      <w:r w:rsidR="00146662">
        <w:rPr>
          <w:rStyle w:val="FootnoteReference"/>
        </w:rPr>
        <w:footnoteReference w:id="17"/>
      </w:r>
      <w:r>
        <w:t xml:space="preserve"> the Total Resources Cost (</w:t>
      </w:r>
      <w:proofErr w:type="spellStart"/>
      <w:r>
        <w:t>TRC</w:t>
      </w:r>
      <w:proofErr w:type="spellEnd"/>
      <w:r>
        <w:t xml:space="preserve">) </w:t>
      </w:r>
      <w:r>
        <w:lastRenderedPageBreak/>
        <w:t>test</w:t>
      </w:r>
      <w:r w:rsidR="00D7614E">
        <w:t>,</w:t>
      </w:r>
      <w:r w:rsidR="00146662">
        <w:rPr>
          <w:rStyle w:val="FootnoteReference"/>
        </w:rPr>
        <w:footnoteReference w:id="18"/>
      </w:r>
      <w:r>
        <w:t xml:space="preserve"> and the Ratepayer Impact Measure </w:t>
      </w:r>
      <w:r w:rsidR="00602AAD">
        <w:t xml:space="preserve">(RIM) </w:t>
      </w:r>
      <w:r>
        <w:t>test.</w:t>
      </w:r>
      <w:r w:rsidR="00146662">
        <w:rPr>
          <w:rStyle w:val="FootnoteReference"/>
        </w:rPr>
        <w:footnoteReference w:id="19"/>
      </w:r>
      <w:r w:rsidR="00B05660">
        <w:t xml:space="preserve">  As noted in the Lookback Study, D.19</w:t>
      </w:r>
      <w:r w:rsidR="00827602">
        <w:noBreakHyphen/>
      </w:r>
      <w:r w:rsidR="00B05660">
        <w:t>05</w:t>
      </w:r>
      <w:r w:rsidR="00827602">
        <w:noBreakHyphen/>
      </w:r>
      <w:r w:rsidR="00B05660">
        <w:t xml:space="preserve">019 designated the </w:t>
      </w:r>
      <w:proofErr w:type="spellStart"/>
      <w:r w:rsidR="00B05660">
        <w:t>TRC</w:t>
      </w:r>
      <w:proofErr w:type="spellEnd"/>
      <w:r w:rsidR="00B05660">
        <w:t xml:space="preserve"> test as the primary cost</w:t>
      </w:r>
      <w:r w:rsidR="00827602">
        <w:noBreakHyphen/>
      </w:r>
      <w:r w:rsidR="00B05660">
        <w:t>effectiveness test.</w:t>
      </w:r>
      <w:r w:rsidR="00B05660">
        <w:rPr>
          <w:rStyle w:val="FootnoteReference"/>
        </w:rPr>
        <w:footnoteReference w:id="20"/>
      </w:r>
      <w:r w:rsidR="00B05660">
        <w:t xml:space="preserve">  The Lookback Study also explains that because the Societal Cost Test is still in the testing phase, it was not used in this analysis.</w:t>
      </w:r>
      <w:r w:rsidR="00B05660">
        <w:rPr>
          <w:rStyle w:val="FootnoteReference"/>
        </w:rPr>
        <w:footnoteReference w:id="21"/>
      </w:r>
      <w:r w:rsidR="007C2EB2">
        <w:t xml:space="preserve">  Avoided costs used in the four tests are based on the 2020 Avoided Cost Calculator approved </w:t>
      </w:r>
      <w:r w:rsidR="00285698">
        <w:t xml:space="preserve">by the Commission </w:t>
      </w:r>
      <w:r w:rsidR="007C2EB2">
        <w:t>on June</w:t>
      </w:r>
      <w:r w:rsidR="003D29E2">
        <w:t> </w:t>
      </w:r>
      <w:r w:rsidR="007C2EB2">
        <w:t>25,</w:t>
      </w:r>
      <w:r w:rsidR="003D29E2">
        <w:t> </w:t>
      </w:r>
      <w:r w:rsidR="007C2EB2">
        <w:t>2020.</w:t>
      </w:r>
      <w:r w:rsidR="007C2EB2">
        <w:rPr>
          <w:rStyle w:val="FootnoteReference"/>
        </w:rPr>
        <w:footnoteReference w:id="22"/>
      </w:r>
    </w:p>
    <w:p w:rsidR="007C2EB2" w:rsidP="005E7044" w:rsidRDefault="007F6676" w14:paraId="24CBBC3F" w14:textId="10FD42CD">
      <w:pPr>
        <w:pStyle w:val="Standard"/>
      </w:pPr>
      <w:r>
        <w:t>Table 1</w:t>
      </w:r>
      <w:r w:rsidR="002F3B7E">
        <w:t xml:space="preserve"> presents a summary of cost</w:t>
      </w:r>
      <w:r w:rsidR="00827602">
        <w:noBreakHyphen/>
      </w:r>
      <w:r w:rsidR="002F3B7E">
        <w:t xml:space="preserve">effectiveness results </w:t>
      </w:r>
      <w:r w:rsidR="00E9203E">
        <w:t>for</w:t>
      </w:r>
      <w:r w:rsidR="002F3B7E">
        <w:t xml:space="preserve"> each of the three investor</w:t>
      </w:r>
      <w:r w:rsidR="00827602">
        <w:noBreakHyphen/>
      </w:r>
      <w:r w:rsidR="002F3B7E">
        <w:t>owned utilities.</w:t>
      </w:r>
    </w:p>
    <w:p w:rsidRPr="002B2BBA" w:rsidR="002B2BBA" w:rsidP="002B2BBA" w:rsidRDefault="007F6676" w14:paraId="0613E115" w14:textId="7D152E4C">
      <w:pPr>
        <w:pStyle w:val="TableTitleBodyH085"/>
        <w:rPr>
          <w:bCs w:val="0"/>
        </w:rPr>
      </w:pPr>
      <w:bookmarkStart w:name="Table1" w:id="25"/>
      <w:r>
        <w:rPr>
          <w:b/>
        </w:rPr>
        <w:t>Table 1</w:t>
      </w:r>
      <w:r w:rsidR="002B2BBA">
        <w:rPr>
          <w:b/>
        </w:rPr>
        <w:t>.</w:t>
      </w:r>
      <w:r w:rsidR="002B2BBA">
        <w:rPr>
          <w:bCs w:val="0"/>
        </w:rPr>
        <w:tab/>
      </w:r>
      <w:r w:rsidRPr="002B2BBA" w:rsidR="002B2BBA">
        <w:rPr>
          <w:bCs w:val="0"/>
        </w:rPr>
        <w:t>Lookback Study Cost</w:t>
      </w:r>
      <w:r w:rsidR="00827602">
        <w:rPr>
          <w:bCs w:val="0"/>
        </w:rPr>
        <w:noBreakHyphen/>
      </w:r>
      <w:r w:rsidRPr="002B2BBA" w:rsidR="002B2BBA">
        <w:rPr>
          <w:bCs w:val="0"/>
        </w:rPr>
        <w:t>Effectiveness Results by Electric Utility</w:t>
      </w:r>
      <w:bookmarkEnd w:id="25"/>
      <w:r w:rsidRPr="005F0EDA" w:rsidR="002B2BBA">
        <w:rPr>
          <w:rStyle w:val="FootnoteReference"/>
        </w:rPr>
        <w:footnoteReference w:id="23"/>
      </w:r>
    </w:p>
    <w:tbl>
      <w:tblPr>
        <w:tblStyle w:val="TableGrid"/>
        <w:tblW w:w="9360" w:type="dxa"/>
        <w:tblLayout w:type="fixed"/>
        <w:tblCellMar>
          <w:top w:w="58" w:type="dxa"/>
          <w:bottom w:w="58" w:type="dxa"/>
        </w:tblCellMar>
        <w:tblLook w:val="04A0" w:firstRow="1" w:lastRow="0" w:firstColumn="1" w:lastColumn="0" w:noHBand="0" w:noVBand="1"/>
      </w:tblPr>
      <w:tblGrid>
        <w:gridCol w:w="3325"/>
        <w:gridCol w:w="1530"/>
        <w:gridCol w:w="1530"/>
        <w:gridCol w:w="1399"/>
        <w:gridCol w:w="1576"/>
      </w:tblGrid>
      <w:tr w:rsidRPr="002B2BBA" w:rsidR="002F3B7E" w:rsidTr="0014631D" w14:paraId="42BAFBBA" w14:textId="77777777">
        <w:trPr>
          <w:tblHeader/>
        </w:trPr>
        <w:tc>
          <w:tcPr>
            <w:tcW w:w="3325" w:type="dxa"/>
            <w:vMerge w:val="restart"/>
            <w:vAlign w:val="bottom"/>
          </w:tcPr>
          <w:p w:rsidRPr="002B2BBA" w:rsidR="002F3B7E" w:rsidP="00397883" w:rsidRDefault="002F3B7E" w14:paraId="16FAF5AF" w14:textId="6B2FFE01">
            <w:pPr>
              <w:pStyle w:val="Standard"/>
              <w:keepNext/>
              <w:spacing w:line="240" w:lineRule="auto"/>
              <w:ind w:firstLine="0"/>
              <w:jc w:val="center"/>
              <w:rPr>
                <w:b/>
                <w:bCs/>
              </w:rPr>
            </w:pPr>
            <w:r w:rsidRPr="002B2BBA">
              <w:rPr>
                <w:b/>
                <w:bCs/>
              </w:rPr>
              <w:t>Utility</w:t>
            </w:r>
          </w:p>
        </w:tc>
        <w:tc>
          <w:tcPr>
            <w:tcW w:w="6035" w:type="dxa"/>
            <w:gridSpan w:val="4"/>
            <w:vAlign w:val="bottom"/>
          </w:tcPr>
          <w:p w:rsidRPr="002B2BBA" w:rsidR="002F3B7E" w:rsidP="00397883" w:rsidRDefault="002F3B7E" w14:paraId="0700BF63" w14:textId="490C60A3">
            <w:pPr>
              <w:pStyle w:val="Standard"/>
              <w:keepNext/>
              <w:spacing w:line="240" w:lineRule="auto"/>
              <w:ind w:firstLine="0"/>
              <w:jc w:val="center"/>
              <w:rPr>
                <w:b/>
                <w:bCs/>
              </w:rPr>
            </w:pPr>
            <w:r w:rsidRPr="002B2BBA">
              <w:rPr>
                <w:b/>
                <w:bCs/>
              </w:rPr>
              <w:t>Weighted Average Benefit</w:t>
            </w:r>
            <w:r w:rsidR="00827602">
              <w:rPr>
                <w:b/>
                <w:bCs/>
              </w:rPr>
              <w:noBreakHyphen/>
            </w:r>
            <w:r w:rsidRPr="002B2BBA">
              <w:rPr>
                <w:b/>
                <w:bCs/>
              </w:rPr>
              <w:t>Cost Ratio</w:t>
            </w:r>
          </w:p>
        </w:tc>
      </w:tr>
      <w:tr w:rsidRPr="002B2BBA" w:rsidR="002F3B7E" w:rsidTr="0014631D" w14:paraId="0770EEBD" w14:textId="77777777">
        <w:trPr>
          <w:tblHeader/>
        </w:trPr>
        <w:tc>
          <w:tcPr>
            <w:tcW w:w="3325" w:type="dxa"/>
            <w:vMerge/>
          </w:tcPr>
          <w:p w:rsidRPr="002B2BBA" w:rsidR="002F3B7E" w:rsidP="002B2BBA" w:rsidRDefault="002F3B7E" w14:paraId="1A57E258" w14:textId="77777777">
            <w:pPr>
              <w:pStyle w:val="Standard"/>
              <w:keepNext/>
              <w:spacing w:line="240" w:lineRule="auto"/>
              <w:ind w:firstLine="0"/>
              <w:rPr>
                <w:b/>
                <w:bCs/>
              </w:rPr>
            </w:pPr>
          </w:p>
        </w:tc>
        <w:tc>
          <w:tcPr>
            <w:tcW w:w="1530" w:type="dxa"/>
            <w:vAlign w:val="center"/>
          </w:tcPr>
          <w:p w:rsidRPr="002B2BBA" w:rsidR="002F3B7E" w:rsidP="002B2BBA" w:rsidRDefault="002F3B7E" w14:paraId="3893004B" w14:textId="784C0D1F">
            <w:pPr>
              <w:pStyle w:val="Standard"/>
              <w:keepNext/>
              <w:spacing w:line="240" w:lineRule="auto"/>
              <w:ind w:firstLine="0"/>
              <w:jc w:val="center"/>
              <w:rPr>
                <w:b/>
                <w:bCs/>
              </w:rPr>
            </w:pPr>
            <w:r w:rsidRPr="002B2BBA">
              <w:rPr>
                <w:b/>
                <w:bCs/>
              </w:rPr>
              <w:t>PCT</w:t>
            </w:r>
          </w:p>
        </w:tc>
        <w:tc>
          <w:tcPr>
            <w:tcW w:w="1530" w:type="dxa"/>
            <w:vAlign w:val="center"/>
          </w:tcPr>
          <w:p w:rsidRPr="002B2BBA" w:rsidR="002F3B7E" w:rsidP="002B2BBA" w:rsidRDefault="002F3B7E" w14:paraId="7A7F0B2B" w14:textId="0C9E4AE9">
            <w:pPr>
              <w:pStyle w:val="Standard"/>
              <w:keepNext/>
              <w:spacing w:line="240" w:lineRule="auto"/>
              <w:ind w:firstLine="0"/>
              <w:jc w:val="center"/>
              <w:rPr>
                <w:b/>
                <w:bCs/>
              </w:rPr>
            </w:pPr>
            <w:proofErr w:type="spellStart"/>
            <w:r w:rsidRPr="002B2BBA">
              <w:rPr>
                <w:b/>
                <w:bCs/>
              </w:rPr>
              <w:t>TRC</w:t>
            </w:r>
            <w:proofErr w:type="spellEnd"/>
          </w:p>
        </w:tc>
        <w:tc>
          <w:tcPr>
            <w:tcW w:w="1399" w:type="dxa"/>
            <w:vAlign w:val="center"/>
          </w:tcPr>
          <w:p w:rsidRPr="002B2BBA" w:rsidR="002F3B7E" w:rsidP="002B2BBA" w:rsidRDefault="002F3B7E" w14:paraId="76DC6D39" w14:textId="198C0A81">
            <w:pPr>
              <w:pStyle w:val="Standard"/>
              <w:keepNext/>
              <w:spacing w:line="240" w:lineRule="auto"/>
              <w:ind w:firstLine="0"/>
              <w:jc w:val="center"/>
              <w:rPr>
                <w:b/>
                <w:bCs/>
              </w:rPr>
            </w:pPr>
            <w:r w:rsidRPr="002B2BBA">
              <w:rPr>
                <w:b/>
                <w:bCs/>
              </w:rPr>
              <w:t>RIM</w:t>
            </w:r>
          </w:p>
        </w:tc>
        <w:tc>
          <w:tcPr>
            <w:tcW w:w="1576" w:type="dxa"/>
            <w:vAlign w:val="center"/>
          </w:tcPr>
          <w:p w:rsidRPr="002B2BBA" w:rsidR="002F3B7E" w:rsidP="002B2BBA" w:rsidRDefault="002F3B7E" w14:paraId="0157269C" w14:textId="72EDAC8B">
            <w:pPr>
              <w:pStyle w:val="Standard"/>
              <w:keepNext/>
              <w:spacing w:line="240" w:lineRule="auto"/>
              <w:ind w:firstLine="0"/>
              <w:jc w:val="center"/>
              <w:rPr>
                <w:b/>
                <w:bCs/>
              </w:rPr>
            </w:pPr>
            <w:r w:rsidRPr="002B2BBA">
              <w:rPr>
                <w:b/>
                <w:bCs/>
              </w:rPr>
              <w:t>PAC</w:t>
            </w:r>
          </w:p>
        </w:tc>
      </w:tr>
      <w:tr w:rsidR="002F3B7E" w:rsidTr="0014631D" w14:paraId="6B42062C" w14:textId="77777777">
        <w:tc>
          <w:tcPr>
            <w:tcW w:w="3325" w:type="dxa"/>
          </w:tcPr>
          <w:p w:rsidR="002F3B7E" w:rsidP="002B2BBA" w:rsidRDefault="002F3B7E" w14:paraId="128387C1" w14:textId="005E1AB9">
            <w:pPr>
              <w:pStyle w:val="Standard"/>
              <w:keepNext/>
              <w:spacing w:line="240" w:lineRule="auto"/>
              <w:ind w:firstLine="0"/>
            </w:pPr>
            <w:r>
              <w:t>PG&amp;E</w:t>
            </w:r>
          </w:p>
        </w:tc>
        <w:tc>
          <w:tcPr>
            <w:tcW w:w="1530" w:type="dxa"/>
            <w:vAlign w:val="center"/>
          </w:tcPr>
          <w:p w:rsidR="002F3B7E" w:rsidP="002B2BBA" w:rsidRDefault="002F3B7E" w14:paraId="5AFBB3D7" w14:textId="35A01CB9">
            <w:pPr>
              <w:pStyle w:val="Standard"/>
              <w:keepNext/>
              <w:spacing w:line="240" w:lineRule="auto"/>
              <w:ind w:firstLine="0"/>
              <w:jc w:val="right"/>
            </w:pPr>
            <w:r>
              <w:t>1.81</w:t>
            </w:r>
          </w:p>
        </w:tc>
        <w:tc>
          <w:tcPr>
            <w:tcW w:w="1530" w:type="dxa"/>
            <w:vAlign w:val="center"/>
          </w:tcPr>
          <w:p w:rsidR="002F3B7E" w:rsidP="002B2BBA" w:rsidRDefault="002F3B7E" w14:paraId="052F348F" w14:textId="3F144EE3">
            <w:pPr>
              <w:pStyle w:val="Standard"/>
              <w:keepNext/>
              <w:spacing w:line="240" w:lineRule="auto"/>
              <w:ind w:firstLine="0"/>
              <w:jc w:val="right"/>
            </w:pPr>
            <w:r>
              <w:t>0.80</w:t>
            </w:r>
          </w:p>
        </w:tc>
        <w:tc>
          <w:tcPr>
            <w:tcW w:w="1399" w:type="dxa"/>
            <w:vAlign w:val="center"/>
          </w:tcPr>
          <w:p w:rsidR="002F3B7E" w:rsidP="002B2BBA" w:rsidRDefault="002F3B7E" w14:paraId="7F000DE3" w14:textId="4337014A">
            <w:pPr>
              <w:pStyle w:val="Standard"/>
              <w:keepNext/>
              <w:spacing w:line="240" w:lineRule="auto"/>
              <w:ind w:firstLine="0"/>
              <w:jc w:val="right"/>
            </w:pPr>
            <w:r>
              <w:t>0.33</w:t>
            </w:r>
          </w:p>
        </w:tc>
        <w:tc>
          <w:tcPr>
            <w:tcW w:w="1576" w:type="dxa"/>
            <w:vAlign w:val="center"/>
          </w:tcPr>
          <w:p w:rsidR="002F3B7E" w:rsidP="002B2BBA" w:rsidRDefault="002F3B7E" w14:paraId="4021C9A8" w14:textId="18166297">
            <w:pPr>
              <w:pStyle w:val="Standard"/>
              <w:keepNext/>
              <w:spacing w:line="240" w:lineRule="auto"/>
              <w:ind w:firstLine="0"/>
              <w:jc w:val="right"/>
            </w:pPr>
            <w:r>
              <w:t>41.08</w:t>
            </w:r>
          </w:p>
        </w:tc>
      </w:tr>
      <w:tr w:rsidR="002F3B7E" w:rsidTr="0014631D" w14:paraId="30DF0406" w14:textId="77777777">
        <w:tc>
          <w:tcPr>
            <w:tcW w:w="3325" w:type="dxa"/>
          </w:tcPr>
          <w:p w:rsidR="002F3B7E" w:rsidP="002B2BBA" w:rsidRDefault="002F3B7E" w14:paraId="5EF3C583" w14:textId="0497DABD">
            <w:pPr>
              <w:pStyle w:val="Standard"/>
              <w:spacing w:line="240" w:lineRule="auto"/>
              <w:ind w:firstLine="0"/>
            </w:pPr>
            <w:r>
              <w:t>SCE</w:t>
            </w:r>
          </w:p>
        </w:tc>
        <w:tc>
          <w:tcPr>
            <w:tcW w:w="1530" w:type="dxa"/>
            <w:vAlign w:val="center"/>
          </w:tcPr>
          <w:p w:rsidR="002F3B7E" w:rsidP="002B2BBA" w:rsidRDefault="002F3B7E" w14:paraId="48ED126C" w14:textId="1913D9C8">
            <w:pPr>
              <w:pStyle w:val="Standard"/>
              <w:spacing w:line="240" w:lineRule="auto"/>
              <w:ind w:firstLine="0"/>
              <w:jc w:val="right"/>
            </w:pPr>
            <w:r>
              <w:t>1.54</w:t>
            </w:r>
          </w:p>
        </w:tc>
        <w:tc>
          <w:tcPr>
            <w:tcW w:w="1530" w:type="dxa"/>
            <w:vAlign w:val="center"/>
          </w:tcPr>
          <w:p w:rsidR="002F3B7E" w:rsidP="002B2BBA" w:rsidRDefault="002F3B7E" w14:paraId="49E89F49" w14:textId="0B086647">
            <w:pPr>
              <w:pStyle w:val="Standard"/>
              <w:spacing w:line="240" w:lineRule="auto"/>
              <w:ind w:firstLine="0"/>
              <w:jc w:val="right"/>
            </w:pPr>
            <w:r>
              <w:t>0.91</w:t>
            </w:r>
          </w:p>
        </w:tc>
        <w:tc>
          <w:tcPr>
            <w:tcW w:w="1399" w:type="dxa"/>
            <w:vAlign w:val="center"/>
          </w:tcPr>
          <w:p w:rsidR="002F3B7E" w:rsidP="002B2BBA" w:rsidRDefault="002F3B7E" w14:paraId="7C339C7E" w14:textId="67091D31">
            <w:pPr>
              <w:pStyle w:val="Standard"/>
              <w:spacing w:line="240" w:lineRule="auto"/>
              <w:ind w:firstLine="0"/>
              <w:jc w:val="right"/>
            </w:pPr>
            <w:r>
              <w:t>0.49</w:t>
            </w:r>
          </w:p>
        </w:tc>
        <w:tc>
          <w:tcPr>
            <w:tcW w:w="1576" w:type="dxa"/>
            <w:vAlign w:val="center"/>
          </w:tcPr>
          <w:p w:rsidR="002F3B7E" w:rsidP="002B2BBA" w:rsidRDefault="002F3B7E" w14:paraId="630779F8" w14:textId="3E1301F6">
            <w:pPr>
              <w:pStyle w:val="Standard"/>
              <w:spacing w:line="240" w:lineRule="auto"/>
              <w:ind w:firstLine="0"/>
              <w:jc w:val="right"/>
            </w:pPr>
            <w:r>
              <w:t>10.99</w:t>
            </w:r>
          </w:p>
        </w:tc>
      </w:tr>
      <w:tr w:rsidR="002F3B7E" w:rsidTr="0014631D" w14:paraId="7D985889" w14:textId="77777777">
        <w:tc>
          <w:tcPr>
            <w:tcW w:w="3325" w:type="dxa"/>
          </w:tcPr>
          <w:p w:rsidR="002F3B7E" w:rsidP="002B2BBA" w:rsidRDefault="002F3B7E" w14:paraId="76AA275A" w14:textId="1502705E">
            <w:pPr>
              <w:pStyle w:val="Standard"/>
              <w:spacing w:line="240" w:lineRule="auto"/>
              <w:ind w:firstLine="0"/>
            </w:pPr>
            <w:r>
              <w:t>SDG&amp;E</w:t>
            </w:r>
          </w:p>
        </w:tc>
        <w:tc>
          <w:tcPr>
            <w:tcW w:w="1530" w:type="dxa"/>
            <w:vAlign w:val="center"/>
          </w:tcPr>
          <w:p w:rsidR="002F3B7E" w:rsidP="002B2BBA" w:rsidRDefault="002F3B7E" w14:paraId="78B4AB57" w14:textId="046F3267">
            <w:pPr>
              <w:pStyle w:val="Standard"/>
              <w:spacing w:line="240" w:lineRule="auto"/>
              <w:ind w:firstLine="0"/>
              <w:jc w:val="right"/>
            </w:pPr>
            <w:r>
              <w:t>2.03</w:t>
            </w:r>
          </w:p>
        </w:tc>
        <w:tc>
          <w:tcPr>
            <w:tcW w:w="1530" w:type="dxa"/>
            <w:vAlign w:val="center"/>
          </w:tcPr>
          <w:p w:rsidR="002F3B7E" w:rsidP="002B2BBA" w:rsidRDefault="002F3B7E" w14:paraId="461E2E5A" w14:textId="7F927511">
            <w:pPr>
              <w:pStyle w:val="Standard"/>
              <w:spacing w:line="240" w:lineRule="auto"/>
              <w:ind w:firstLine="0"/>
              <w:jc w:val="right"/>
            </w:pPr>
            <w:r>
              <w:t>0.84</w:t>
            </w:r>
          </w:p>
        </w:tc>
        <w:tc>
          <w:tcPr>
            <w:tcW w:w="1399" w:type="dxa"/>
            <w:vAlign w:val="center"/>
          </w:tcPr>
          <w:p w:rsidR="002F3B7E" w:rsidP="002B2BBA" w:rsidRDefault="002F3B7E" w14:paraId="0EE51561" w14:textId="219E5922">
            <w:pPr>
              <w:pStyle w:val="Standard"/>
              <w:spacing w:line="240" w:lineRule="auto"/>
              <w:ind w:firstLine="0"/>
              <w:jc w:val="right"/>
            </w:pPr>
            <w:r>
              <w:t>0.31</w:t>
            </w:r>
          </w:p>
        </w:tc>
        <w:tc>
          <w:tcPr>
            <w:tcW w:w="1576" w:type="dxa"/>
            <w:vAlign w:val="center"/>
          </w:tcPr>
          <w:p w:rsidR="002F3B7E" w:rsidP="002B2BBA" w:rsidRDefault="002F3B7E" w14:paraId="0571E62F" w14:textId="2C44D739">
            <w:pPr>
              <w:pStyle w:val="Standard"/>
              <w:spacing w:line="240" w:lineRule="auto"/>
              <w:ind w:firstLine="0"/>
              <w:jc w:val="right"/>
            </w:pPr>
            <w:r>
              <w:t>129.58</w:t>
            </w:r>
          </w:p>
        </w:tc>
      </w:tr>
      <w:tr w:rsidR="002F3B7E" w:rsidTr="0014631D" w14:paraId="495FD978" w14:textId="77777777">
        <w:tc>
          <w:tcPr>
            <w:tcW w:w="3325" w:type="dxa"/>
          </w:tcPr>
          <w:p w:rsidR="002F3B7E" w:rsidP="002B2BBA" w:rsidRDefault="002F3B7E" w14:paraId="58897A34" w14:textId="71B6E91C">
            <w:pPr>
              <w:pStyle w:val="Standard"/>
              <w:spacing w:line="240" w:lineRule="auto"/>
              <w:ind w:firstLine="0"/>
            </w:pPr>
            <w:r>
              <w:t>Total</w:t>
            </w:r>
          </w:p>
        </w:tc>
        <w:tc>
          <w:tcPr>
            <w:tcW w:w="1530" w:type="dxa"/>
            <w:vAlign w:val="center"/>
          </w:tcPr>
          <w:p w:rsidR="002F3B7E" w:rsidP="002B2BBA" w:rsidRDefault="002F3B7E" w14:paraId="2D21EF3D" w14:textId="68BEC6B5">
            <w:pPr>
              <w:pStyle w:val="Standard"/>
              <w:spacing w:line="240" w:lineRule="auto"/>
              <w:ind w:firstLine="0"/>
              <w:jc w:val="right"/>
            </w:pPr>
            <w:r>
              <w:t>1.77</w:t>
            </w:r>
          </w:p>
        </w:tc>
        <w:tc>
          <w:tcPr>
            <w:tcW w:w="1530" w:type="dxa"/>
            <w:vAlign w:val="center"/>
          </w:tcPr>
          <w:p w:rsidR="002F3B7E" w:rsidP="002B2BBA" w:rsidRDefault="002F3B7E" w14:paraId="09E3C28B" w14:textId="6F445076">
            <w:pPr>
              <w:pStyle w:val="Standard"/>
              <w:spacing w:line="240" w:lineRule="auto"/>
              <w:ind w:firstLine="0"/>
              <w:jc w:val="right"/>
            </w:pPr>
            <w:r>
              <w:t>0.84</w:t>
            </w:r>
          </w:p>
        </w:tc>
        <w:tc>
          <w:tcPr>
            <w:tcW w:w="1399" w:type="dxa"/>
            <w:vAlign w:val="center"/>
          </w:tcPr>
          <w:p w:rsidR="002F3B7E" w:rsidP="002B2BBA" w:rsidRDefault="002F3B7E" w14:paraId="01AAF7A3" w14:textId="4E531AE8">
            <w:pPr>
              <w:pStyle w:val="Standard"/>
              <w:spacing w:line="240" w:lineRule="auto"/>
              <w:ind w:firstLine="0"/>
              <w:jc w:val="right"/>
            </w:pPr>
            <w:r>
              <w:t>0.37</w:t>
            </w:r>
          </w:p>
        </w:tc>
        <w:tc>
          <w:tcPr>
            <w:tcW w:w="1576" w:type="dxa"/>
            <w:vAlign w:val="center"/>
          </w:tcPr>
          <w:p w:rsidR="002F3B7E" w:rsidP="002B2BBA" w:rsidRDefault="002F3B7E" w14:paraId="16EAD0FB" w14:textId="7A59383E">
            <w:pPr>
              <w:pStyle w:val="Standard"/>
              <w:spacing w:line="240" w:lineRule="auto"/>
              <w:ind w:firstLine="0"/>
              <w:jc w:val="right"/>
            </w:pPr>
            <w:r>
              <w:t>22.98</w:t>
            </w:r>
          </w:p>
        </w:tc>
      </w:tr>
      <w:tr w:rsidR="002F3B7E" w:rsidTr="0014631D" w14:paraId="4B607633" w14:textId="77777777">
        <w:tc>
          <w:tcPr>
            <w:tcW w:w="3325" w:type="dxa"/>
          </w:tcPr>
          <w:p w:rsidRPr="00C07CB1" w:rsidR="004E7AAE" w:rsidP="002B2BBA" w:rsidRDefault="002F3B7E" w14:paraId="7D26A87B" w14:textId="335D517C">
            <w:pPr>
              <w:pStyle w:val="Standard"/>
              <w:keepNext/>
              <w:spacing w:line="240" w:lineRule="auto"/>
              <w:ind w:firstLine="0"/>
            </w:pPr>
            <w:r>
              <w:t>NPV</w:t>
            </w:r>
            <w:r w:rsidR="0018427D">
              <w:rPr>
                <w:rStyle w:val="FootnoteReference"/>
              </w:rPr>
              <w:footnoteReference w:id="24"/>
            </w:r>
            <w:r>
              <w:t xml:space="preserve"> Total Benefits ($M)</w:t>
            </w:r>
          </w:p>
        </w:tc>
        <w:tc>
          <w:tcPr>
            <w:tcW w:w="1530" w:type="dxa"/>
            <w:vAlign w:val="center"/>
          </w:tcPr>
          <w:p w:rsidR="002F3B7E" w:rsidP="002B2BBA" w:rsidRDefault="002F3B7E" w14:paraId="4F1A795C" w14:textId="7F4383F1">
            <w:pPr>
              <w:pStyle w:val="Standard"/>
              <w:keepNext/>
              <w:spacing w:line="240" w:lineRule="auto"/>
              <w:ind w:firstLine="0"/>
              <w:jc w:val="right"/>
            </w:pPr>
            <w:r>
              <w:t>21,329</w:t>
            </w:r>
          </w:p>
        </w:tc>
        <w:tc>
          <w:tcPr>
            <w:tcW w:w="1530" w:type="dxa"/>
            <w:vAlign w:val="center"/>
          </w:tcPr>
          <w:p w:rsidR="002F3B7E" w:rsidP="002B2BBA" w:rsidRDefault="002F3B7E" w14:paraId="45AE8FDE" w14:textId="31128B7D">
            <w:pPr>
              <w:pStyle w:val="Standard"/>
              <w:keepNext/>
              <w:spacing w:line="240" w:lineRule="auto"/>
              <w:ind w:firstLine="0"/>
              <w:jc w:val="right"/>
            </w:pPr>
            <w:r>
              <w:t>7,960</w:t>
            </w:r>
          </w:p>
        </w:tc>
        <w:tc>
          <w:tcPr>
            <w:tcW w:w="1399" w:type="dxa"/>
            <w:vAlign w:val="center"/>
          </w:tcPr>
          <w:p w:rsidR="002F3B7E" w:rsidP="002B2BBA" w:rsidRDefault="002F3B7E" w14:paraId="54D2227F" w14:textId="4190B191">
            <w:pPr>
              <w:pStyle w:val="Standard"/>
              <w:keepNext/>
              <w:spacing w:line="240" w:lineRule="auto"/>
              <w:ind w:firstLine="0"/>
              <w:jc w:val="right"/>
            </w:pPr>
            <w:r>
              <w:t>7,576</w:t>
            </w:r>
          </w:p>
        </w:tc>
        <w:tc>
          <w:tcPr>
            <w:tcW w:w="1576" w:type="dxa"/>
            <w:vAlign w:val="center"/>
          </w:tcPr>
          <w:p w:rsidR="002F3B7E" w:rsidP="002B2BBA" w:rsidRDefault="002F3B7E" w14:paraId="1C823CBA" w14:textId="39B40572">
            <w:pPr>
              <w:pStyle w:val="Standard"/>
              <w:keepNext/>
              <w:spacing w:line="240" w:lineRule="auto"/>
              <w:ind w:firstLine="0"/>
              <w:jc w:val="right"/>
            </w:pPr>
            <w:r>
              <w:t>7,576</w:t>
            </w:r>
          </w:p>
        </w:tc>
      </w:tr>
      <w:tr w:rsidR="002F3B7E" w:rsidTr="0014631D" w14:paraId="6D7CD976" w14:textId="77777777">
        <w:tc>
          <w:tcPr>
            <w:tcW w:w="3325" w:type="dxa"/>
          </w:tcPr>
          <w:p w:rsidR="002F3B7E" w:rsidP="002B2BBA" w:rsidRDefault="002F3B7E" w14:paraId="60331BBD" w14:textId="15FA8398">
            <w:pPr>
              <w:pStyle w:val="Standard"/>
              <w:spacing w:line="240" w:lineRule="auto"/>
              <w:ind w:firstLine="0"/>
            </w:pPr>
            <w:r>
              <w:t>NPV Total Costs ($M)</w:t>
            </w:r>
          </w:p>
        </w:tc>
        <w:tc>
          <w:tcPr>
            <w:tcW w:w="1530" w:type="dxa"/>
            <w:vAlign w:val="center"/>
          </w:tcPr>
          <w:p w:rsidR="002F3B7E" w:rsidP="002B2BBA" w:rsidRDefault="002F3B7E" w14:paraId="23BC1DAB" w14:textId="6D122B46">
            <w:pPr>
              <w:pStyle w:val="Standard"/>
              <w:spacing w:line="240" w:lineRule="auto"/>
              <w:ind w:firstLine="0"/>
              <w:jc w:val="right"/>
            </w:pPr>
            <w:r>
              <w:t>12,041</w:t>
            </w:r>
          </w:p>
        </w:tc>
        <w:tc>
          <w:tcPr>
            <w:tcW w:w="1530" w:type="dxa"/>
            <w:vAlign w:val="center"/>
          </w:tcPr>
          <w:p w:rsidR="002F3B7E" w:rsidP="002B2BBA" w:rsidRDefault="002F3B7E" w14:paraId="02CAF434" w14:textId="1FCA345A">
            <w:pPr>
              <w:pStyle w:val="Standard"/>
              <w:spacing w:line="240" w:lineRule="auto"/>
              <w:ind w:firstLine="0"/>
              <w:jc w:val="right"/>
            </w:pPr>
            <w:r>
              <w:t>9,462</w:t>
            </w:r>
          </w:p>
        </w:tc>
        <w:tc>
          <w:tcPr>
            <w:tcW w:w="1399" w:type="dxa"/>
            <w:vAlign w:val="center"/>
          </w:tcPr>
          <w:p w:rsidR="002F3B7E" w:rsidP="002B2BBA" w:rsidRDefault="002F3B7E" w14:paraId="3F072284" w14:textId="789EBABD">
            <w:pPr>
              <w:pStyle w:val="Standard"/>
              <w:spacing w:line="240" w:lineRule="auto"/>
              <w:ind w:firstLine="0"/>
              <w:jc w:val="right"/>
            </w:pPr>
            <w:r>
              <w:t>20,583</w:t>
            </w:r>
          </w:p>
        </w:tc>
        <w:tc>
          <w:tcPr>
            <w:tcW w:w="1576" w:type="dxa"/>
            <w:vAlign w:val="center"/>
          </w:tcPr>
          <w:p w:rsidR="002F3B7E" w:rsidP="002B2BBA" w:rsidRDefault="002F3B7E" w14:paraId="0FC40191" w14:textId="50994C73">
            <w:pPr>
              <w:pStyle w:val="Standard"/>
              <w:spacing w:line="240" w:lineRule="auto"/>
              <w:ind w:firstLine="0"/>
              <w:jc w:val="right"/>
            </w:pPr>
            <w:r>
              <w:t>330</w:t>
            </w:r>
          </w:p>
        </w:tc>
      </w:tr>
    </w:tbl>
    <w:p w:rsidR="00B05660" w:rsidP="005E7044" w:rsidRDefault="00B05660" w14:paraId="6121FFE5" w14:textId="2884E619">
      <w:pPr>
        <w:pStyle w:val="Standard"/>
        <w:spacing w:before="240"/>
      </w:pPr>
      <w:r>
        <w:lastRenderedPageBreak/>
        <w:t xml:space="preserve">The full cost of service analysis performed in the Lookback Study compares an estimate of the utility cost of </w:t>
      </w:r>
      <w:r w:rsidR="00263A1C">
        <w:t xml:space="preserve">servicing </w:t>
      </w:r>
      <w:r w:rsidR="00602BC5">
        <w:t>NEM 2.0</w:t>
      </w:r>
      <w:r w:rsidR="00135D55">
        <w:t xml:space="preserve"> </w:t>
      </w:r>
      <w:r w:rsidR="00263A1C">
        <w:t>customers with the customer</w:t>
      </w:r>
      <w:r w:rsidR="00CD15E6">
        <w:t>’</w:t>
      </w:r>
      <w:r w:rsidR="00263A1C">
        <w:t>s utility bills.</w:t>
      </w:r>
      <w:r w:rsidR="007C2EB2">
        <w:rPr>
          <w:rStyle w:val="FootnoteReference"/>
        </w:rPr>
        <w:footnoteReference w:id="25"/>
      </w:r>
      <w:r w:rsidR="00263A1C">
        <w:t xml:space="preserve">  The Lookback Study </w:t>
      </w:r>
      <w:r w:rsidR="007C2EB2">
        <w:t>describes</w:t>
      </w:r>
      <w:r w:rsidR="00263A1C">
        <w:t xml:space="preserve"> the utility cost of servicing a </w:t>
      </w:r>
      <w:r w:rsidR="00602BC5">
        <w:t>NEM 2.0</w:t>
      </w:r>
      <w:r w:rsidR="00135D55">
        <w:t xml:space="preserve"> </w:t>
      </w:r>
      <w:r w:rsidR="00263A1C">
        <w:t xml:space="preserve">customer </w:t>
      </w:r>
      <w:r w:rsidR="007C2EB2">
        <w:t xml:space="preserve">as </w:t>
      </w:r>
      <w:r w:rsidR="00263A1C">
        <w:t>based on the customer</w:t>
      </w:r>
      <w:r w:rsidR="00CD15E6">
        <w:t>’</w:t>
      </w:r>
      <w:r w:rsidR="00263A1C">
        <w:t>s use of the grid and an allocation of the fixed costs of service.</w:t>
      </w:r>
      <w:r w:rsidR="007C2EB2">
        <w:t xml:space="preserve">  For the purposes of the Lookback Study, the consultant used general rate case </w:t>
      </w:r>
      <w:r w:rsidR="00283C31">
        <w:t>Phase 2</w:t>
      </w:r>
      <w:r w:rsidR="007C2EB2">
        <w:t xml:space="preserve"> data, transmission and regulatory costs derived from utility rates</w:t>
      </w:r>
      <w:r w:rsidR="00E11415">
        <w:t>,</w:t>
      </w:r>
      <w:r w:rsidR="007C2EB2">
        <w:t xml:space="preserve"> and incremental costs from utility advice letters.</w:t>
      </w:r>
      <w:r w:rsidR="007C2EB2">
        <w:rPr>
          <w:rStyle w:val="FootnoteReference"/>
        </w:rPr>
        <w:footnoteReference w:id="26"/>
      </w:r>
    </w:p>
    <w:p w:rsidR="007F6676" w:rsidP="007F6676" w:rsidRDefault="007F6676" w14:paraId="16893B56" w14:textId="63B3195B">
      <w:pPr>
        <w:pStyle w:val="TableTitleBodyH085"/>
      </w:pPr>
      <w:bookmarkStart w:name="Table2" w:id="26"/>
      <w:r>
        <w:rPr>
          <w:b/>
          <w:bCs w:val="0"/>
        </w:rPr>
        <w:t>Table 2.</w:t>
      </w:r>
      <w:r>
        <w:rPr>
          <w:b/>
          <w:bCs w:val="0"/>
        </w:rPr>
        <w:tab/>
      </w:r>
      <w:r w:rsidRPr="007F6676">
        <w:rPr>
          <w:bCs w:val="0"/>
        </w:rPr>
        <w:t xml:space="preserve">Ratio of Bill Payment to Cost of Service, </w:t>
      </w:r>
      <w:r w:rsidR="00602BC5">
        <w:rPr>
          <w:bCs w:val="0"/>
        </w:rPr>
        <w:t>NEM 1.0</w:t>
      </w:r>
      <w:r w:rsidRPr="007F6676">
        <w:rPr>
          <w:bCs w:val="0"/>
        </w:rPr>
        <w:t xml:space="preserve"> vs. </w:t>
      </w:r>
      <w:r w:rsidR="00602BC5">
        <w:rPr>
          <w:bCs w:val="0"/>
        </w:rPr>
        <w:t>NEM 2.0</w:t>
      </w:r>
      <w:bookmarkEnd w:id="26"/>
      <w:r w:rsidRPr="007F6676">
        <w:rPr>
          <w:rStyle w:val="FootnoteReference"/>
          <w:bCs w:val="0"/>
        </w:rPr>
        <w:footnoteReference w:id="27"/>
      </w:r>
    </w:p>
    <w:tbl>
      <w:tblPr>
        <w:tblStyle w:val="TableGrid"/>
        <w:tblW w:w="11065" w:type="dxa"/>
        <w:jc w:val="center"/>
        <w:tblLayout w:type="fixed"/>
        <w:tblCellMar>
          <w:top w:w="58" w:type="dxa"/>
          <w:bottom w:w="58" w:type="dxa"/>
        </w:tblCellMar>
        <w:tblLook w:val="04A0" w:firstRow="1" w:lastRow="0" w:firstColumn="1" w:lastColumn="0" w:noHBand="0" w:noVBand="1"/>
      </w:tblPr>
      <w:tblGrid>
        <w:gridCol w:w="1153"/>
        <w:gridCol w:w="1992"/>
        <w:gridCol w:w="1350"/>
        <w:gridCol w:w="1350"/>
        <w:gridCol w:w="1260"/>
        <w:gridCol w:w="1350"/>
        <w:gridCol w:w="1260"/>
        <w:gridCol w:w="1350"/>
      </w:tblGrid>
      <w:tr w:rsidRPr="00820169" w:rsidR="00255EC7" w:rsidTr="00F55701" w14:paraId="1D53700B" w14:textId="77777777">
        <w:trPr>
          <w:cantSplit/>
          <w:tblHeader/>
          <w:jc w:val="center"/>
        </w:trPr>
        <w:tc>
          <w:tcPr>
            <w:tcW w:w="1153" w:type="dxa"/>
            <w:vMerge w:val="restart"/>
            <w:vAlign w:val="bottom"/>
          </w:tcPr>
          <w:p w:rsidRPr="00820169" w:rsidR="00255EC7" w:rsidP="00F55701" w:rsidRDefault="00255EC7" w14:paraId="0FEC7329" w14:textId="6BCF4581">
            <w:pPr>
              <w:pStyle w:val="Standard"/>
              <w:keepNext/>
              <w:spacing w:line="240" w:lineRule="auto"/>
              <w:ind w:firstLine="0"/>
              <w:jc w:val="center"/>
              <w:rPr>
                <w:b/>
                <w:bCs/>
                <w:sz w:val="23"/>
              </w:rPr>
            </w:pPr>
          </w:p>
        </w:tc>
        <w:tc>
          <w:tcPr>
            <w:tcW w:w="1992" w:type="dxa"/>
            <w:vMerge w:val="restart"/>
            <w:vAlign w:val="bottom"/>
          </w:tcPr>
          <w:p w:rsidRPr="00820169" w:rsidR="00255EC7" w:rsidP="00F55701" w:rsidRDefault="00255EC7" w14:paraId="7D0A92EE" w14:textId="2DC2EA5C">
            <w:pPr>
              <w:pStyle w:val="Standard"/>
              <w:keepNext/>
              <w:spacing w:line="240" w:lineRule="auto"/>
              <w:ind w:firstLine="0"/>
              <w:jc w:val="center"/>
              <w:rPr>
                <w:b/>
                <w:bCs/>
                <w:sz w:val="23"/>
              </w:rPr>
            </w:pPr>
            <w:r w:rsidRPr="00820169">
              <w:rPr>
                <w:b/>
                <w:bCs/>
                <w:sz w:val="23"/>
              </w:rPr>
              <w:t>Sector</w:t>
            </w:r>
          </w:p>
        </w:tc>
        <w:tc>
          <w:tcPr>
            <w:tcW w:w="7920" w:type="dxa"/>
            <w:gridSpan w:val="6"/>
            <w:vAlign w:val="bottom"/>
          </w:tcPr>
          <w:p w:rsidRPr="00820169" w:rsidR="00255EC7" w:rsidP="00F55701" w:rsidRDefault="00255EC7" w14:paraId="34402EE2" w14:textId="7FF36E03">
            <w:pPr>
              <w:pStyle w:val="Standard"/>
              <w:keepNext/>
              <w:spacing w:line="240" w:lineRule="auto"/>
              <w:ind w:firstLine="0"/>
              <w:jc w:val="center"/>
              <w:rPr>
                <w:b/>
                <w:bCs/>
                <w:sz w:val="23"/>
              </w:rPr>
            </w:pPr>
            <w:r w:rsidRPr="00820169">
              <w:rPr>
                <w:b/>
                <w:bCs/>
                <w:sz w:val="23"/>
              </w:rPr>
              <w:t>Ratio of Bill Payment /Cost of Service</w:t>
            </w:r>
          </w:p>
        </w:tc>
      </w:tr>
      <w:tr w:rsidRPr="00820169" w:rsidR="00255EC7" w:rsidTr="00F55701" w14:paraId="4C4778AA" w14:textId="77777777">
        <w:trPr>
          <w:cantSplit/>
          <w:tblHeader/>
          <w:jc w:val="center"/>
        </w:trPr>
        <w:tc>
          <w:tcPr>
            <w:tcW w:w="1153" w:type="dxa"/>
            <w:vMerge/>
            <w:vAlign w:val="bottom"/>
          </w:tcPr>
          <w:p w:rsidRPr="00820169" w:rsidR="00255EC7" w:rsidP="00F55701" w:rsidRDefault="00255EC7" w14:paraId="24FE049A" w14:textId="77777777">
            <w:pPr>
              <w:pStyle w:val="Standard"/>
              <w:keepNext/>
              <w:spacing w:line="240" w:lineRule="auto"/>
              <w:ind w:firstLine="0"/>
              <w:jc w:val="center"/>
              <w:rPr>
                <w:b/>
                <w:bCs/>
                <w:sz w:val="23"/>
              </w:rPr>
            </w:pPr>
          </w:p>
        </w:tc>
        <w:tc>
          <w:tcPr>
            <w:tcW w:w="1992" w:type="dxa"/>
            <w:vMerge/>
            <w:vAlign w:val="bottom"/>
          </w:tcPr>
          <w:p w:rsidRPr="00820169" w:rsidR="00255EC7" w:rsidP="00F55701" w:rsidRDefault="00255EC7" w14:paraId="40036109" w14:textId="77777777">
            <w:pPr>
              <w:pStyle w:val="Standard"/>
              <w:keepNext/>
              <w:spacing w:line="240" w:lineRule="auto"/>
              <w:ind w:firstLine="0"/>
              <w:jc w:val="center"/>
              <w:rPr>
                <w:b/>
                <w:bCs/>
                <w:sz w:val="23"/>
              </w:rPr>
            </w:pPr>
          </w:p>
        </w:tc>
        <w:tc>
          <w:tcPr>
            <w:tcW w:w="2700" w:type="dxa"/>
            <w:gridSpan w:val="2"/>
            <w:vAlign w:val="bottom"/>
          </w:tcPr>
          <w:p w:rsidRPr="00820169" w:rsidR="00255EC7" w:rsidP="00F55701" w:rsidRDefault="00255EC7" w14:paraId="2AE495C9" w14:textId="3C763D9D">
            <w:pPr>
              <w:pStyle w:val="Standard"/>
              <w:keepNext/>
              <w:spacing w:line="240" w:lineRule="auto"/>
              <w:ind w:firstLine="0"/>
              <w:jc w:val="center"/>
              <w:rPr>
                <w:b/>
                <w:bCs/>
                <w:sz w:val="23"/>
              </w:rPr>
            </w:pPr>
            <w:r w:rsidRPr="00820169">
              <w:rPr>
                <w:b/>
                <w:bCs/>
                <w:sz w:val="23"/>
              </w:rPr>
              <w:t>PG&amp;E</w:t>
            </w:r>
          </w:p>
        </w:tc>
        <w:tc>
          <w:tcPr>
            <w:tcW w:w="2610" w:type="dxa"/>
            <w:gridSpan w:val="2"/>
            <w:vAlign w:val="bottom"/>
          </w:tcPr>
          <w:p w:rsidRPr="00820169" w:rsidR="00255EC7" w:rsidP="00F55701" w:rsidRDefault="00255EC7" w14:paraId="72C6991A" w14:textId="2FBFF1B2">
            <w:pPr>
              <w:pStyle w:val="Standard"/>
              <w:keepNext/>
              <w:spacing w:line="240" w:lineRule="auto"/>
              <w:ind w:firstLine="0"/>
              <w:jc w:val="center"/>
              <w:rPr>
                <w:b/>
                <w:bCs/>
                <w:sz w:val="23"/>
              </w:rPr>
            </w:pPr>
            <w:r w:rsidRPr="00820169">
              <w:rPr>
                <w:b/>
                <w:bCs/>
                <w:sz w:val="23"/>
              </w:rPr>
              <w:t>SCE</w:t>
            </w:r>
          </w:p>
        </w:tc>
        <w:tc>
          <w:tcPr>
            <w:tcW w:w="2610" w:type="dxa"/>
            <w:gridSpan w:val="2"/>
            <w:vAlign w:val="bottom"/>
          </w:tcPr>
          <w:p w:rsidRPr="00820169" w:rsidR="00255EC7" w:rsidP="00F55701" w:rsidRDefault="00255EC7" w14:paraId="56386354" w14:textId="60AC934B">
            <w:pPr>
              <w:pStyle w:val="Standard"/>
              <w:keepNext/>
              <w:spacing w:line="240" w:lineRule="auto"/>
              <w:ind w:firstLine="0"/>
              <w:jc w:val="center"/>
              <w:rPr>
                <w:b/>
                <w:bCs/>
                <w:sz w:val="23"/>
              </w:rPr>
            </w:pPr>
            <w:r w:rsidRPr="00820169">
              <w:rPr>
                <w:b/>
                <w:bCs/>
                <w:sz w:val="23"/>
              </w:rPr>
              <w:t>SDG&amp;E</w:t>
            </w:r>
          </w:p>
        </w:tc>
      </w:tr>
      <w:tr w:rsidRPr="00820169" w:rsidR="00820169" w:rsidTr="00F55701" w14:paraId="65D855ED" w14:textId="77777777">
        <w:trPr>
          <w:cantSplit/>
          <w:tblHeader/>
          <w:jc w:val="center"/>
        </w:trPr>
        <w:tc>
          <w:tcPr>
            <w:tcW w:w="1153" w:type="dxa"/>
            <w:vMerge/>
            <w:vAlign w:val="bottom"/>
          </w:tcPr>
          <w:p w:rsidRPr="00820169" w:rsidR="00255EC7" w:rsidP="00F55701" w:rsidRDefault="00255EC7" w14:paraId="6CECE1DB" w14:textId="77777777">
            <w:pPr>
              <w:pStyle w:val="Standard"/>
              <w:keepNext/>
              <w:spacing w:line="240" w:lineRule="auto"/>
              <w:ind w:firstLine="0"/>
              <w:jc w:val="center"/>
              <w:rPr>
                <w:b/>
                <w:bCs/>
                <w:sz w:val="23"/>
              </w:rPr>
            </w:pPr>
          </w:p>
        </w:tc>
        <w:tc>
          <w:tcPr>
            <w:tcW w:w="1992" w:type="dxa"/>
            <w:vMerge/>
            <w:vAlign w:val="bottom"/>
          </w:tcPr>
          <w:p w:rsidRPr="00820169" w:rsidR="00255EC7" w:rsidP="00F55701" w:rsidRDefault="00255EC7" w14:paraId="56A16F11" w14:textId="77777777">
            <w:pPr>
              <w:pStyle w:val="Standard"/>
              <w:keepNext/>
              <w:spacing w:line="240" w:lineRule="auto"/>
              <w:ind w:firstLine="0"/>
              <w:jc w:val="center"/>
              <w:rPr>
                <w:b/>
                <w:bCs/>
                <w:sz w:val="23"/>
              </w:rPr>
            </w:pPr>
          </w:p>
        </w:tc>
        <w:tc>
          <w:tcPr>
            <w:tcW w:w="1350" w:type="dxa"/>
            <w:vAlign w:val="bottom"/>
          </w:tcPr>
          <w:p w:rsidRPr="00820169" w:rsidR="00255EC7" w:rsidP="00F55701" w:rsidRDefault="00255EC7" w14:paraId="0A2EB738" w14:textId="1E30F075">
            <w:pPr>
              <w:pStyle w:val="Standard"/>
              <w:keepNext/>
              <w:spacing w:line="240" w:lineRule="auto"/>
              <w:ind w:firstLine="0"/>
              <w:jc w:val="center"/>
              <w:rPr>
                <w:b/>
                <w:bCs/>
                <w:sz w:val="23"/>
              </w:rPr>
            </w:pPr>
            <w:r w:rsidRPr="00820169">
              <w:rPr>
                <w:b/>
                <w:bCs/>
                <w:sz w:val="23"/>
              </w:rPr>
              <w:t>Pre</w:t>
            </w:r>
            <w:r w:rsidR="00827602">
              <w:rPr>
                <w:b/>
                <w:bCs/>
                <w:sz w:val="23"/>
              </w:rPr>
              <w:noBreakHyphen/>
            </w:r>
            <w:r w:rsidRPr="00820169">
              <w:rPr>
                <w:b/>
                <w:bCs/>
                <w:sz w:val="23"/>
              </w:rPr>
              <w:t>NEM</w:t>
            </w:r>
          </w:p>
        </w:tc>
        <w:tc>
          <w:tcPr>
            <w:tcW w:w="1350" w:type="dxa"/>
            <w:vAlign w:val="bottom"/>
          </w:tcPr>
          <w:p w:rsidRPr="00820169" w:rsidR="00255EC7" w:rsidP="00F55701" w:rsidRDefault="00255EC7" w14:paraId="3D37A33B" w14:textId="5AEAA70E">
            <w:pPr>
              <w:pStyle w:val="Standard"/>
              <w:keepNext/>
              <w:spacing w:line="240" w:lineRule="auto"/>
              <w:ind w:firstLine="0"/>
              <w:jc w:val="center"/>
              <w:rPr>
                <w:b/>
                <w:bCs/>
                <w:sz w:val="23"/>
              </w:rPr>
            </w:pPr>
            <w:r w:rsidRPr="00820169">
              <w:rPr>
                <w:b/>
                <w:bCs/>
                <w:sz w:val="23"/>
              </w:rPr>
              <w:t>Post</w:t>
            </w:r>
            <w:r w:rsidR="00827602">
              <w:rPr>
                <w:b/>
                <w:bCs/>
                <w:sz w:val="23"/>
              </w:rPr>
              <w:noBreakHyphen/>
            </w:r>
            <w:r w:rsidRPr="00820169">
              <w:rPr>
                <w:b/>
                <w:bCs/>
                <w:sz w:val="23"/>
              </w:rPr>
              <w:t>NEM</w:t>
            </w:r>
          </w:p>
        </w:tc>
        <w:tc>
          <w:tcPr>
            <w:tcW w:w="1260" w:type="dxa"/>
            <w:vAlign w:val="bottom"/>
          </w:tcPr>
          <w:p w:rsidRPr="00820169" w:rsidR="00255EC7" w:rsidP="00F55701" w:rsidRDefault="00255EC7" w14:paraId="1A7DD7A4" w14:textId="64736C55">
            <w:pPr>
              <w:pStyle w:val="Standard"/>
              <w:keepNext/>
              <w:spacing w:line="240" w:lineRule="auto"/>
              <w:ind w:firstLine="0"/>
              <w:jc w:val="center"/>
              <w:rPr>
                <w:b/>
                <w:bCs/>
                <w:sz w:val="23"/>
              </w:rPr>
            </w:pPr>
            <w:r w:rsidRPr="00820169">
              <w:rPr>
                <w:b/>
                <w:bCs/>
                <w:sz w:val="23"/>
              </w:rPr>
              <w:t>Pre</w:t>
            </w:r>
            <w:r w:rsidR="00827602">
              <w:rPr>
                <w:b/>
                <w:bCs/>
                <w:sz w:val="23"/>
              </w:rPr>
              <w:noBreakHyphen/>
            </w:r>
            <w:r w:rsidRPr="00820169">
              <w:rPr>
                <w:b/>
                <w:bCs/>
                <w:sz w:val="23"/>
              </w:rPr>
              <w:t>NEM</w:t>
            </w:r>
          </w:p>
        </w:tc>
        <w:tc>
          <w:tcPr>
            <w:tcW w:w="1350" w:type="dxa"/>
            <w:vAlign w:val="bottom"/>
          </w:tcPr>
          <w:p w:rsidRPr="00820169" w:rsidR="00255EC7" w:rsidP="00F55701" w:rsidRDefault="00255EC7" w14:paraId="68C673CF" w14:textId="699DA84E">
            <w:pPr>
              <w:pStyle w:val="Standard"/>
              <w:keepNext/>
              <w:spacing w:line="240" w:lineRule="auto"/>
              <w:ind w:firstLine="0"/>
              <w:jc w:val="center"/>
              <w:rPr>
                <w:b/>
                <w:bCs/>
                <w:sz w:val="23"/>
              </w:rPr>
            </w:pPr>
            <w:r w:rsidRPr="00820169">
              <w:rPr>
                <w:b/>
                <w:bCs/>
                <w:sz w:val="23"/>
              </w:rPr>
              <w:t>Post</w:t>
            </w:r>
            <w:r w:rsidR="00827602">
              <w:rPr>
                <w:b/>
                <w:bCs/>
                <w:sz w:val="23"/>
              </w:rPr>
              <w:noBreakHyphen/>
            </w:r>
            <w:r w:rsidRPr="00820169">
              <w:rPr>
                <w:b/>
                <w:bCs/>
                <w:sz w:val="23"/>
              </w:rPr>
              <w:t>NEM</w:t>
            </w:r>
          </w:p>
        </w:tc>
        <w:tc>
          <w:tcPr>
            <w:tcW w:w="1260" w:type="dxa"/>
            <w:vAlign w:val="bottom"/>
          </w:tcPr>
          <w:p w:rsidRPr="00820169" w:rsidR="00255EC7" w:rsidP="00F55701" w:rsidRDefault="00255EC7" w14:paraId="2055C61C" w14:textId="461322ED">
            <w:pPr>
              <w:pStyle w:val="Standard"/>
              <w:keepNext/>
              <w:spacing w:line="240" w:lineRule="auto"/>
              <w:ind w:firstLine="0"/>
              <w:jc w:val="center"/>
              <w:rPr>
                <w:b/>
                <w:bCs/>
                <w:sz w:val="23"/>
              </w:rPr>
            </w:pPr>
            <w:r w:rsidRPr="00820169">
              <w:rPr>
                <w:b/>
                <w:bCs/>
                <w:sz w:val="23"/>
              </w:rPr>
              <w:t>Pre</w:t>
            </w:r>
            <w:r w:rsidR="00827602">
              <w:rPr>
                <w:b/>
                <w:bCs/>
                <w:sz w:val="23"/>
              </w:rPr>
              <w:noBreakHyphen/>
            </w:r>
            <w:r w:rsidRPr="00820169">
              <w:rPr>
                <w:b/>
                <w:bCs/>
                <w:sz w:val="23"/>
              </w:rPr>
              <w:t>NEM</w:t>
            </w:r>
          </w:p>
        </w:tc>
        <w:tc>
          <w:tcPr>
            <w:tcW w:w="1350" w:type="dxa"/>
            <w:vAlign w:val="bottom"/>
          </w:tcPr>
          <w:p w:rsidRPr="00820169" w:rsidR="00255EC7" w:rsidP="00F55701" w:rsidRDefault="00255EC7" w14:paraId="159DE7F5" w14:textId="053E7F11">
            <w:pPr>
              <w:pStyle w:val="Standard"/>
              <w:keepNext/>
              <w:spacing w:line="240" w:lineRule="auto"/>
              <w:ind w:firstLine="0"/>
              <w:jc w:val="center"/>
              <w:rPr>
                <w:b/>
                <w:bCs/>
                <w:sz w:val="23"/>
              </w:rPr>
            </w:pPr>
            <w:r w:rsidRPr="00820169">
              <w:rPr>
                <w:b/>
                <w:bCs/>
                <w:sz w:val="23"/>
              </w:rPr>
              <w:t>Post NEM</w:t>
            </w:r>
          </w:p>
        </w:tc>
      </w:tr>
      <w:tr w:rsidRPr="00820169" w:rsidR="00820169" w:rsidTr="00820169" w14:paraId="5E30E496" w14:textId="77777777">
        <w:trPr>
          <w:cantSplit/>
          <w:jc w:val="center"/>
        </w:trPr>
        <w:tc>
          <w:tcPr>
            <w:tcW w:w="1153" w:type="dxa"/>
            <w:vMerge w:val="restart"/>
          </w:tcPr>
          <w:p w:rsidRPr="00820169" w:rsidR="00255EC7" w:rsidP="00F55701" w:rsidRDefault="00602BC5" w14:paraId="37656095" w14:textId="3A5C62F4">
            <w:pPr>
              <w:pStyle w:val="Standard"/>
              <w:keepNext/>
              <w:spacing w:line="240" w:lineRule="auto"/>
              <w:ind w:firstLine="0"/>
              <w:rPr>
                <w:sz w:val="23"/>
              </w:rPr>
            </w:pPr>
            <w:r>
              <w:rPr>
                <w:sz w:val="23"/>
              </w:rPr>
              <w:t>NEM 1.0</w:t>
            </w:r>
          </w:p>
        </w:tc>
        <w:tc>
          <w:tcPr>
            <w:tcW w:w="1992" w:type="dxa"/>
          </w:tcPr>
          <w:p w:rsidRPr="00820169" w:rsidR="00255EC7" w:rsidP="00F55701" w:rsidRDefault="00255EC7" w14:paraId="4736F4CB" w14:textId="15116CAD">
            <w:pPr>
              <w:pStyle w:val="Standard"/>
              <w:keepNext/>
              <w:spacing w:line="240" w:lineRule="auto"/>
              <w:ind w:firstLine="0"/>
              <w:rPr>
                <w:sz w:val="23"/>
              </w:rPr>
            </w:pPr>
            <w:r w:rsidRPr="00820169">
              <w:rPr>
                <w:sz w:val="23"/>
              </w:rPr>
              <w:t>Residential</w:t>
            </w:r>
          </w:p>
        </w:tc>
        <w:tc>
          <w:tcPr>
            <w:tcW w:w="1350" w:type="dxa"/>
          </w:tcPr>
          <w:p w:rsidRPr="00820169" w:rsidR="00255EC7" w:rsidP="00F55701" w:rsidRDefault="00255EC7" w14:paraId="2259E039" w14:textId="05A40160">
            <w:pPr>
              <w:pStyle w:val="Standard"/>
              <w:keepNext/>
              <w:spacing w:line="240" w:lineRule="auto"/>
              <w:ind w:firstLine="0"/>
              <w:jc w:val="right"/>
              <w:rPr>
                <w:sz w:val="23"/>
              </w:rPr>
            </w:pPr>
            <w:r w:rsidRPr="00820169">
              <w:rPr>
                <w:sz w:val="23"/>
              </w:rPr>
              <w:t>171%</w:t>
            </w:r>
          </w:p>
        </w:tc>
        <w:tc>
          <w:tcPr>
            <w:tcW w:w="1350" w:type="dxa"/>
          </w:tcPr>
          <w:p w:rsidRPr="00820169" w:rsidR="00255EC7" w:rsidP="00F55701" w:rsidRDefault="00255EC7" w14:paraId="6CFBA154" w14:textId="10987FC9">
            <w:pPr>
              <w:pStyle w:val="Standard"/>
              <w:keepNext/>
              <w:spacing w:line="240" w:lineRule="auto"/>
              <w:ind w:firstLine="0"/>
              <w:jc w:val="right"/>
              <w:rPr>
                <w:sz w:val="23"/>
              </w:rPr>
            </w:pPr>
            <w:r w:rsidRPr="00820169">
              <w:rPr>
                <w:sz w:val="23"/>
              </w:rPr>
              <w:t>88%</w:t>
            </w:r>
          </w:p>
        </w:tc>
        <w:tc>
          <w:tcPr>
            <w:tcW w:w="1260" w:type="dxa"/>
          </w:tcPr>
          <w:p w:rsidRPr="00820169" w:rsidR="00255EC7" w:rsidP="00F55701" w:rsidRDefault="00255EC7" w14:paraId="0C68FD51" w14:textId="0A8A73B9">
            <w:pPr>
              <w:pStyle w:val="Standard"/>
              <w:keepNext/>
              <w:spacing w:line="240" w:lineRule="auto"/>
              <w:ind w:firstLine="0"/>
              <w:jc w:val="right"/>
              <w:rPr>
                <w:sz w:val="23"/>
              </w:rPr>
            </w:pPr>
            <w:r w:rsidRPr="00820169">
              <w:rPr>
                <w:sz w:val="23"/>
              </w:rPr>
              <w:t>152%</w:t>
            </w:r>
          </w:p>
        </w:tc>
        <w:tc>
          <w:tcPr>
            <w:tcW w:w="1350" w:type="dxa"/>
          </w:tcPr>
          <w:p w:rsidRPr="00820169" w:rsidR="00255EC7" w:rsidP="00F55701" w:rsidRDefault="00255EC7" w14:paraId="32CAD22F" w14:textId="0DD27A5C">
            <w:pPr>
              <w:pStyle w:val="Standard"/>
              <w:keepNext/>
              <w:spacing w:line="240" w:lineRule="auto"/>
              <w:ind w:firstLine="0"/>
              <w:jc w:val="right"/>
              <w:rPr>
                <w:sz w:val="23"/>
              </w:rPr>
            </w:pPr>
            <w:r w:rsidRPr="00820169">
              <w:rPr>
                <w:sz w:val="23"/>
              </w:rPr>
              <w:t>86%</w:t>
            </w:r>
          </w:p>
        </w:tc>
        <w:tc>
          <w:tcPr>
            <w:tcW w:w="1260" w:type="dxa"/>
          </w:tcPr>
          <w:p w:rsidRPr="00820169" w:rsidR="00255EC7" w:rsidP="00F55701" w:rsidRDefault="00255EC7" w14:paraId="29EE3309" w14:textId="318638F7">
            <w:pPr>
              <w:pStyle w:val="Standard"/>
              <w:keepNext/>
              <w:spacing w:line="240" w:lineRule="auto"/>
              <w:ind w:firstLine="0"/>
              <w:jc w:val="right"/>
              <w:rPr>
                <w:sz w:val="23"/>
              </w:rPr>
            </w:pPr>
            <w:r w:rsidRPr="00820169">
              <w:rPr>
                <w:sz w:val="23"/>
              </w:rPr>
              <w:t>101%</w:t>
            </w:r>
          </w:p>
        </w:tc>
        <w:tc>
          <w:tcPr>
            <w:tcW w:w="1350" w:type="dxa"/>
          </w:tcPr>
          <w:p w:rsidRPr="00820169" w:rsidR="00255EC7" w:rsidP="00F55701" w:rsidRDefault="00255EC7" w14:paraId="3228B191" w14:textId="5014C52B">
            <w:pPr>
              <w:pStyle w:val="Standard"/>
              <w:keepNext/>
              <w:spacing w:line="240" w:lineRule="auto"/>
              <w:ind w:firstLine="0"/>
              <w:jc w:val="right"/>
              <w:rPr>
                <w:sz w:val="23"/>
              </w:rPr>
            </w:pPr>
            <w:r w:rsidRPr="00820169">
              <w:rPr>
                <w:sz w:val="23"/>
              </w:rPr>
              <w:t>54%</w:t>
            </w:r>
          </w:p>
        </w:tc>
      </w:tr>
      <w:tr w:rsidRPr="00820169" w:rsidR="00820169" w:rsidTr="00820169" w14:paraId="3D7CE9C6" w14:textId="77777777">
        <w:trPr>
          <w:cantSplit/>
          <w:jc w:val="center"/>
        </w:trPr>
        <w:tc>
          <w:tcPr>
            <w:tcW w:w="1153" w:type="dxa"/>
            <w:vMerge/>
          </w:tcPr>
          <w:p w:rsidRPr="00820169" w:rsidR="00255EC7" w:rsidP="007F6676" w:rsidRDefault="00255EC7" w14:paraId="17FF5A70" w14:textId="77777777">
            <w:pPr>
              <w:pStyle w:val="Standard"/>
              <w:spacing w:line="240" w:lineRule="auto"/>
              <w:ind w:firstLine="0"/>
              <w:rPr>
                <w:sz w:val="23"/>
              </w:rPr>
            </w:pPr>
          </w:p>
        </w:tc>
        <w:tc>
          <w:tcPr>
            <w:tcW w:w="1992" w:type="dxa"/>
          </w:tcPr>
          <w:p w:rsidRPr="00820169" w:rsidR="00255EC7" w:rsidP="007F6676" w:rsidRDefault="00255EC7" w14:paraId="3A3D2865" w14:textId="6328EAF3">
            <w:pPr>
              <w:pStyle w:val="Standard"/>
              <w:spacing w:line="240" w:lineRule="auto"/>
              <w:ind w:firstLine="0"/>
              <w:rPr>
                <w:sz w:val="23"/>
              </w:rPr>
            </w:pPr>
            <w:r w:rsidRPr="00820169">
              <w:rPr>
                <w:sz w:val="23"/>
              </w:rPr>
              <w:t>Nonresidential</w:t>
            </w:r>
          </w:p>
        </w:tc>
        <w:tc>
          <w:tcPr>
            <w:tcW w:w="1350" w:type="dxa"/>
          </w:tcPr>
          <w:p w:rsidRPr="00820169" w:rsidR="00255EC7" w:rsidP="007F6676" w:rsidRDefault="00255EC7" w14:paraId="57437CE3" w14:textId="7FD57AFD">
            <w:pPr>
              <w:pStyle w:val="Standard"/>
              <w:spacing w:line="240" w:lineRule="auto"/>
              <w:ind w:firstLine="0"/>
              <w:jc w:val="right"/>
              <w:rPr>
                <w:sz w:val="23"/>
              </w:rPr>
            </w:pPr>
            <w:r w:rsidRPr="00820169">
              <w:rPr>
                <w:sz w:val="23"/>
              </w:rPr>
              <w:t>128%</w:t>
            </w:r>
          </w:p>
        </w:tc>
        <w:tc>
          <w:tcPr>
            <w:tcW w:w="1350" w:type="dxa"/>
          </w:tcPr>
          <w:p w:rsidRPr="00820169" w:rsidR="00255EC7" w:rsidP="007F6676" w:rsidRDefault="00255EC7" w14:paraId="531AF445" w14:textId="456AFBCA">
            <w:pPr>
              <w:pStyle w:val="Standard"/>
              <w:spacing w:line="240" w:lineRule="auto"/>
              <w:ind w:firstLine="0"/>
              <w:jc w:val="right"/>
              <w:rPr>
                <w:sz w:val="23"/>
              </w:rPr>
            </w:pPr>
            <w:r w:rsidRPr="00820169">
              <w:rPr>
                <w:sz w:val="23"/>
              </w:rPr>
              <w:t>106%</w:t>
            </w:r>
          </w:p>
        </w:tc>
        <w:tc>
          <w:tcPr>
            <w:tcW w:w="1260" w:type="dxa"/>
          </w:tcPr>
          <w:p w:rsidRPr="00820169" w:rsidR="00255EC7" w:rsidP="007F6676" w:rsidRDefault="00255EC7" w14:paraId="4C19D2CF" w14:textId="7C863E9E">
            <w:pPr>
              <w:pStyle w:val="Standard"/>
              <w:spacing w:line="240" w:lineRule="auto"/>
              <w:ind w:firstLine="0"/>
              <w:jc w:val="right"/>
              <w:rPr>
                <w:sz w:val="23"/>
              </w:rPr>
            </w:pPr>
            <w:r w:rsidRPr="00820169">
              <w:rPr>
                <w:sz w:val="23"/>
              </w:rPr>
              <w:t>110%</w:t>
            </w:r>
          </w:p>
        </w:tc>
        <w:tc>
          <w:tcPr>
            <w:tcW w:w="1350" w:type="dxa"/>
          </w:tcPr>
          <w:p w:rsidRPr="00820169" w:rsidR="00255EC7" w:rsidP="007F6676" w:rsidRDefault="00255EC7" w14:paraId="15B91D94" w14:textId="5EACDAE2">
            <w:pPr>
              <w:pStyle w:val="Standard"/>
              <w:spacing w:line="240" w:lineRule="auto"/>
              <w:ind w:firstLine="0"/>
              <w:jc w:val="right"/>
              <w:rPr>
                <w:sz w:val="23"/>
              </w:rPr>
            </w:pPr>
            <w:r w:rsidRPr="00820169">
              <w:rPr>
                <w:sz w:val="23"/>
              </w:rPr>
              <w:t>105%</w:t>
            </w:r>
          </w:p>
        </w:tc>
        <w:tc>
          <w:tcPr>
            <w:tcW w:w="1260" w:type="dxa"/>
          </w:tcPr>
          <w:p w:rsidRPr="00820169" w:rsidR="00255EC7" w:rsidP="007F6676" w:rsidRDefault="00255EC7" w14:paraId="79B06A17" w14:textId="05443593">
            <w:pPr>
              <w:pStyle w:val="Standard"/>
              <w:spacing w:line="240" w:lineRule="auto"/>
              <w:ind w:firstLine="0"/>
              <w:jc w:val="right"/>
              <w:rPr>
                <w:sz w:val="23"/>
              </w:rPr>
            </w:pPr>
            <w:r w:rsidRPr="00820169">
              <w:rPr>
                <w:sz w:val="23"/>
              </w:rPr>
              <w:t>124%</w:t>
            </w:r>
          </w:p>
        </w:tc>
        <w:tc>
          <w:tcPr>
            <w:tcW w:w="1350" w:type="dxa"/>
          </w:tcPr>
          <w:p w:rsidRPr="00820169" w:rsidR="00255EC7" w:rsidP="007F6676" w:rsidRDefault="00255EC7" w14:paraId="7FE2DE73" w14:textId="47DCE381">
            <w:pPr>
              <w:pStyle w:val="Standard"/>
              <w:spacing w:line="240" w:lineRule="auto"/>
              <w:ind w:firstLine="0"/>
              <w:jc w:val="right"/>
              <w:rPr>
                <w:sz w:val="23"/>
              </w:rPr>
            </w:pPr>
            <w:r w:rsidRPr="00820169">
              <w:rPr>
                <w:sz w:val="23"/>
              </w:rPr>
              <w:t>122%</w:t>
            </w:r>
          </w:p>
        </w:tc>
      </w:tr>
      <w:tr w:rsidRPr="00820169" w:rsidR="00820169" w:rsidTr="00820169" w14:paraId="27C2919F" w14:textId="77777777">
        <w:trPr>
          <w:cantSplit/>
          <w:jc w:val="center"/>
        </w:trPr>
        <w:tc>
          <w:tcPr>
            <w:tcW w:w="1153" w:type="dxa"/>
            <w:vMerge/>
          </w:tcPr>
          <w:p w:rsidRPr="00820169" w:rsidR="00255EC7" w:rsidP="007F6676" w:rsidRDefault="00255EC7" w14:paraId="14BE3153" w14:textId="77777777">
            <w:pPr>
              <w:pStyle w:val="Standard"/>
              <w:spacing w:line="240" w:lineRule="auto"/>
              <w:ind w:firstLine="0"/>
              <w:rPr>
                <w:sz w:val="23"/>
              </w:rPr>
            </w:pPr>
          </w:p>
        </w:tc>
        <w:tc>
          <w:tcPr>
            <w:tcW w:w="1992" w:type="dxa"/>
          </w:tcPr>
          <w:p w:rsidRPr="00820169" w:rsidR="00255EC7" w:rsidP="007F6676" w:rsidRDefault="00255EC7" w14:paraId="5F770708" w14:textId="07A4264A">
            <w:pPr>
              <w:pStyle w:val="Standard"/>
              <w:spacing w:line="240" w:lineRule="auto"/>
              <w:ind w:firstLine="0"/>
              <w:rPr>
                <w:sz w:val="23"/>
              </w:rPr>
            </w:pPr>
            <w:r w:rsidRPr="00820169">
              <w:rPr>
                <w:sz w:val="23"/>
              </w:rPr>
              <w:t>Total</w:t>
            </w:r>
          </w:p>
        </w:tc>
        <w:tc>
          <w:tcPr>
            <w:tcW w:w="1350" w:type="dxa"/>
          </w:tcPr>
          <w:p w:rsidRPr="00820169" w:rsidR="00255EC7" w:rsidP="007F6676" w:rsidRDefault="00255EC7" w14:paraId="74559B7D" w14:textId="3BDC482D">
            <w:pPr>
              <w:pStyle w:val="Standard"/>
              <w:spacing w:line="240" w:lineRule="auto"/>
              <w:ind w:firstLine="0"/>
              <w:jc w:val="right"/>
              <w:rPr>
                <w:sz w:val="23"/>
              </w:rPr>
            </w:pPr>
            <w:r w:rsidRPr="00820169">
              <w:rPr>
                <w:sz w:val="23"/>
              </w:rPr>
              <w:t>146%</w:t>
            </w:r>
          </w:p>
        </w:tc>
        <w:tc>
          <w:tcPr>
            <w:tcW w:w="1350" w:type="dxa"/>
          </w:tcPr>
          <w:p w:rsidRPr="00820169" w:rsidR="00255EC7" w:rsidP="007F6676" w:rsidRDefault="00255EC7" w14:paraId="133B0598" w14:textId="344A4FF2">
            <w:pPr>
              <w:pStyle w:val="Standard"/>
              <w:spacing w:line="240" w:lineRule="auto"/>
              <w:ind w:firstLine="0"/>
              <w:jc w:val="right"/>
              <w:rPr>
                <w:sz w:val="23"/>
              </w:rPr>
            </w:pPr>
            <w:r w:rsidRPr="00820169">
              <w:rPr>
                <w:sz w:val="23"/>
              </w:rPr>
              <w:t>99%</w:t>
            </w:r>
          </w:p>
        </w:tc>
        <w:tc>
          <w:tcPr>
            <w:tcW w:w="1260" w:type="dxa"/>
          </w:tcPr>
          <w:p w:rsidRPr="00820169" w:rsidR="00255EC7" w:rsidP="007F6676" w:rsidRDefault="00255EC7" w14:paraId="5A52635F" w14:textId="451D3F5D">
            <w:pPr>
              <w:pStyle w:val="Standard"/>
              <w:spacing w:line="240" w:lineRule="auto"/>
              <w:ind w:firstLine="0"/>
              <w:jc w:val="right"/>
              <w:rPr>
                <w:sz w:val="23"/>
              </w:rPr>
            </w:pPr>
            <w:r w:rsidRPr="00820169">
              <w:rPr>
                <w:sz w:val="23"/>
              </w:rPr>
              <w:t>122%</w:t>
            </w:r>
          </w:p>
        </w:tc>
        <w:tc>
          <w:tcPr>
            <w:tcW w:w="1350" w:type="dxa"/>
          </w:tcPr>
          <w:p w:rsidRPr="00820169" w:rsidR="00255EC7" w:rsidP="007F6676" w:rsidRDefault="00255EC7" w14:paraId="25BB1479" w14:textId="28560A89">
            <w:pPr>
              <w:pStyle w:val="Standard"/>
              <w:spacing w:line="240" w:lineRule="auto"/>
              <w:ind w:firstLine="0"/>
              <w:jc w:val="right"/>
              <w:rPr>
                <w:sz w:val="23"/>
              </w:rPr>
            </w:pPr>
            <w:r w:rsidRPr="00820169">
              <w:rPr>
                <w:sz w:val="23"/>
              </w:rPr>
              <w:t>100%</w:t>
            </w:r>
          </w:p>
        </w:tc>
        <w:tc>
          <w:tcPr>
            <w:tcW w:w="1260" w:type="dxa"/>
          </w:tcPr>
          <w:p w:rsidRPr="00820169" w:rsidR="00255EC7" w:rsidP="007F6676" w:rsidRDefault="00255EC7" w14:paraId="150D1B16" w14:textId="24C7F3B6">
            <w:pPr>
              <w:pStyle w:val="Standard"/>
              <w:spacing w:line="240" w:lineRule="auto"/>
              <w:ind w:firstLine="0"/>
              <w:jc w:val="right"/>
              <w:rPr>
                <w:sz w:val="23"/>
              </w:rPr>
            </w:pPr>
            <w:r w:rsidRPr="00820169">
              <w:rPr>
                <w:sz w:val="23"/>
              </w:rPr>
              <w:t>119%</w:t>
            </w:r>
          </w:p>
        </w:tc>
        <w:tc>
          <w:tcPr>
            <w:tcW w:w="1350" w:type="dxa"/>
          </w:tcPr>
          <w:p w:rsidRPr="00820169" w:rsidR="00255EC7" w:rsidP="007F6676" w:rsidRDefault="00255EC7" w14:paraId="32D4C627" w14:textId="0010A063">
            <w:pPr>
              <w:pStyle w:val="Standard"/>
              <w:spacing w:line="240" w:lineRule="auto"/>
              <w:ind w:firstLine="0"/>
              <w:jc w:val="right"/>
              <w:rPr>
                <w:sz w:val="23"/>
              </w:rPr>
            </w:pPr>
            <w:r w:rsidRPr="00820169">
              <w:rPr>
                <w:sz w:val="23"/>
              </w:rPr>
              <w:t>111%</w:t>
            </w:r>
          </w:p>
        </w:tc>
      </w:tr>
      <w:tr w:rsidRPr="00820169" w:rsidR="00820169" w:rsidTr="00820169" w14:paraId="47A5B753" w14:textId="77777777">
        <w:trPr>
          <w:cantSplit/>
          <w:jc w:val="center"/>
        </w:trPr>
        <w:tc>
          <w:tcPr>
            <w:tcW w:w="1153" w:type="dxa"/>
            <w:vMerge w:val="restart"/>
          </w:tcPr>
          <w:p w:rsidRPr="00820169" w:rsidR="00255EC7" w:rsidP="007F6676" w:rsidRDefault="00602BC5" w14:paraId="6E59573A" w14:textId="3961688C">
            <w:pPr>
              <w:pStyle w:val="Standard"/>
              <w:spacing w:line="240" w:lineRule="auto"/>
              <w:ind w:firstLine="0"/>
              <w:rPr>
                <w:sz w:val="23"/>
              </w:rPr>
            </w:pPr>
            <w:r>
              <w:rPr>
                <w:sz w:val="23"/>
              </w:rPr>
              <w:t>NEM 2.0</w:t>
            </w:r>
          </w:p>
        </w:tc>
        <w:tc>
          <w:tcPr>
            <w:tcW w:w="1992" w:type="dxa"/>
          </w:tcPr>
          <w:p w:rsidRPr="00820169" w:rsidR="00255EC7" w:rsidP="007F6676" w:rsidRDefault="00255EC7" w14:paraId="74743D6F" w14:textId="3990D580">
            <w:pPr>
              <w:pStyle w:val="Standard"/>
              <w:spacing w:line="240" w:lineRule="auto"/>
              <w:ind w:firstLine="0"/>
              <w:rPr>
                <w:sz w:val="23"/>
              </w:rPr>
            </w:pPr>
            <w:r w:rsidRPr="00820169">
              <w:rPr>
                <w:sz w:val="23"/>
              </w:rPr>
              <w:t>Residential</w:t>
            </w:r>
          </w:p>
        </w:tc>
        <w:tc>
          <w:tcPr>
            <w:tcW w:w="1350" w:type="dxa"/>
          </w:tcPr>
          <w:p w:rsidRPr="00820169" w:rsidR="00255EC7" w:rsidP="007F6676" w:rsidRDefault="00255EC7" w14:paraId="2A65C4C9" w14:textId="0CC9C164">
            <w:pPr>
              <w:pStyle w:val="Standard"/>
              <w:spacing w:line="240" w:lineRule="auto"/>
              <w:ind w:firstLine="0"/>
              <w:jc w:val="right"/>
              <w:rPr>
                <w:sz w:val="23"/>
              </w:rPr>
            </w:pPr>
            <w:r w:rsidRPr="00820169">
              <w:rPr>
                <w:sz w:val="23"/>
              </w:rPr>
              <w:t>139%</w:t>
            </w:r>
          </w:p>
        </w:tc>
        <w:tc>
          <w:tcPr>
            <w:tcW w:w="1350" w:type="dxa"/>
          </w:tcPr>
          <w:p w:rsidRPr="00820169" w:rsidR="00255EC7" w:rsidP="007F6676" w:rsidRDefault="00255EC7" w14:paraId="1D3B176E" w14:textId="21E9CF68">
            <w:pPr>
              <w:pStyle w:val="Standard"/>
              <w:spacing w:line="240" w:lineRule="auto"/>
              <w:ind w:firstLine="0"/>
              <w:jc w:val="right"/>
              <w:rPr>
                <w:sz w:val="23"/>
              </w:rPr>
            </w:pPr>
            <w:r w:rsidRPr="00820169">
              <w:rPr>
                <w:sz w:val="23"/>
              </w:rPr>
              <w:t>18%</w:t>
            </w:r>
          </w:p>
        </w:tc>
        <w:tc>
          <w:tcPr>
            <w:tcW w:w="1260" w:type="dxa"/>
          </w:tcPr>
          <w:p w:rsidRPr="00820169" w:rsidR="00255EC7" w:rsidP="007F6676" w:rsidRDefault="00255EC7" w14:paraId="7EFEAA94" w14:textId="0E14B851">
            <w:pPr>
              <w:pStyle w:val="Standard"/>
              <w:spacing w:line="240" w:lineRule="auto"/>
              <w:ind w:firstLine="0"/>
              <w:jc w:val="right"/>
              <w:rPr>
                <w:sz w:val="23"/>
              </w:rPr>
            </w:pPr>
            <w:r w:rsidRPr="00820169">
              <w:rPr>
                <w:sz w:val="23"/>
              </w:rPr>
              <w:t>91%</w:t>
            </w:r>
          </w:p>
        </w:tc>
        <w:tc>
          <w:tcPr>
            <w:tcW w:w="1350" w:type="dxa"/>
          </w:tcPr>
          <w:p w:rsidRPr="00820169" w:rsidR="00255EC7" w:rsidP="007F6676" w:rsidRDefault="00255EC7" w14:paraId="0AE2E4E2" w14:textId="07DEFBF8">
            <w:pPr>
              <w:pStyle w:val="Standard"/>
              <w:spacing w:line="240" w:lineRule="auto"/>
              <w:ind w:firstLine="0"/>
              <w:jc w:val="right"/>
              <w:rPr>
                <w:sz w:val="23"/>
              </w:rPr>
            </w:pPr>
            <w:r w:rsidRPr="00820169">
              <w:rPr>
                <w:sz w:val="23"/>
              </w:rPr>
              <w:t>9%</w:t>
            </w:r>
          </w:p>
        </w:tc>
        <w:tc>
          <w:tcPr>
            <w:tcW w:w="1260" w:type="dxa"/>
          </w:tcPr>
          <w:p w:rsidRPr="00820169" w:rsidR="00255EC7" w:rsidP="007F6676" w:rsidRDefault="00255EC7" w14:paraId="3D7361FB" w14:textId="25DD6682">
            <w:pPr>
              <w:pStyle w:val="Standard"/>
              <w:spacing w:line="240" w:lineRule="auto"/>
              <w:ind w:firstLine="0"/>
              <w:jc w:val="right"/>
              <w:rPr>
                <w:sz w:val="23"/>
              </w:rPr>
            </w:pPr>
            <w:r w:rsidRPr="00820169">
              <w:rPr>
                <w:sz w:val="23"/>
              </w:rPr>
              <w:t>94%</w:t>
            </w:r>
          </w:p>
        </w:tc>
        <w:tc>
          <w:tcPr>
            <w:tcW w:w="1350" w:type="dxa"/>
          </w:tcPr>
          <w:p w:rsidRPr="00820169" w:rsidR="00255EC7" w:rsidP="007F6676" w:rsidRDefault="00255EC7" w14:paraId="0E82B6A6" w14:textId="18E5A53F">
            <w:pPr>
              <w:pStyle w:val="Standard"/>
              <w:spacing w:line="240" w:lineRule="auto"/>
              <w:ind w:firstLine="0"/>
              <w:jc w:val="right"/>
              <w:rPr>
                <w:sz w:val="23"/>
              </w:rPr>
            </w:pPr>
            <w:r w:rsidRPr="00820169">
              <w:rPr>
                <w:sz w:val="23"/>
              </w:rPr>
              <w:t>9%</w:t>
            </w:r>
          </w:p>
        </w:tc>
      </w:tr>
      <w:tr w:rsidRPr="00820169" w:rsidR="00820169" w:rsidTr="00820169" w14:paraId="4C0E50E9" w14:textId="77777777">
        <w:trPr>
          <w:cantSplit/>
          <w:jc w:val="center"/>
        </w:trPr>
        <w:tc>
          <w:tcPr>
            <w:tcW w:w="1153" w:type="dxa"/>
            <w:vMerge/>
          </w:tcPr>
          <w:p w:rsidRPr="00820169" w:rsidR="00255EC7" w:rsidP="007F6676" w:rsidRDefault="00255EC7" w14:paraId="0F202BCA" w14:textId="77777777">
            <w:pPr>
              <w:pStyle w:val="Standard"/>
              <w:spacing w:line="240" w:lineRule="auto"/>
              <w:ind w:firstLine="0"/>
              <w:rPr>
                <w:sz w:val="23"/>
              </w:rPr>
            </w:pPr>
          </w:p>
        </w:tc>
        <w:tc>
          <w:tcPr>
            <w:tcW w:w="1992" w:type="dxa"/>
          </w:tcPr>
          <w:p w:rsidRPr="00820169" w:rsidR="00255EC7" w:rsidP="00F55701" w:rsidRDefault="00255EC7" w14:paraId="603C8ABF" w14:textId="361B3C94">
            <w:pPr>
              <w:pStyle w:val="Standard"/>
              <w:keepNext/>
              <w:spacing w:line="240" w:lineRule="auto"/>
              <w:ind w:firstLine="0"/>
              <w:rPr>
                <w:sz w:val="23"/>
              </w:rPr>
            </w:pPr>
            <w:r w:rsidRPr="00820169">
              <w:rPr>
                <w:sz w:val="23"/>
              </w:rPr>
              <w:t>Nonresidential</w:t>
            </w:r>
          </w:p>
        </w:tc>
        <w:tc>
          <w:tcPr>
            <w:tcW w:w="1350" w:type="dxa"/>
          </w:tcPr>
          <w:p w:rsidRPr="00820169" w:rsidR="00255EC7" w:rsidP="00F55701" w:rsidRDefault="00255EC7" w14:paraId="0DA39B3B" w14:textId="330CC10B">
            <w:pPr>
              <w:pStyle w:val="Standard"/>
              <w:keepNext/>
              <w:spacing w:line="240" w:lineRule="auto"/>
              <w:ind w:firstLine="0"/>
              <w:jc w:val="right"/>
              <w:rPr>
                <w:sz w:val="23"/>
              </w:rPr>
            </w:pPr>
            <w:r w:rsidRPr="00820169">
              <w:rPr>
                <w:sz w:val="23"/>
              </w:rPr>
              <w:t>189%</w:t>
            </w:r>
          </w:p>
        </w:tc>
        <w:tc>
          <w:tcPr>
            <w:tcW w:w="1350" w:type="dxa"/>
          </w:tcPr>
          <w:p w:rsidRPr="00820169" w:rsidR="00255EC7" w:rsidP="00F55701" w:rsidRDefault="00255EC7" w14:paraId="5886D1BE" w14:textId="21C6901D">
            <w:pPr>
              <w:pStyle w:val="Standard"/>
              <w:keepNext/>
              <w:spacing w:line="240" w:lineRule="auto"/>
              <w:ind w:firstLine="0"/>
              <w:jc w:val="right"/>
              <w:rPr>
                <w:sz w:val="23"/>
              </w:rPr>
            </w:pPr>
            <w:r w:rsidRPr="00820169">
              <w:rPr>
                <w:sz w:val="23"/>
              </w:rPr>
              <w:t>152%</w:t>
            </w:r>
          </w:p>
        </w:tc>
        <w:tc>
          <w:tcPr>
            <w:tcW w:w="1260" w:type="dxa"/>
          </w:tcPr>
          <w:p w:rsidRPr="00820169" w:rsidR="00255EC7" w:rsidP="00F55701" w:rsidRDefault="00255EC7" w14:paraId="47293F6A" w14:textId="4BEFB39F">
            <w:pPr>
              <w:pStyle w:val="Standard"/>
              <w:keepNext/>
              <w:spacing w:line="240" w:lineRule="auto"/>
              <w:ind w:firstLine="0"/>
              <w:jc w:val="right"/>
              <w:rPr>
                <w:sz w:val="23"/>
              </w:rPr>
            </w:pPr>
            <w:r w:rsidRPr="00820169">
              <w:rPr>
                <w:sz w:val="23"/>
              </w:rPr>
              <w:t>118%</w:t>
            </w:r>
          </w:p>
        </w:tc>
        <w:tc>
          <w:tcPr>
            <w:tcW w:w="1350" w:type="dxa"/>
          </w:tcPr>
          <w:p w:rsidRPr="00820169" w:rsidR="00255EC7" w:rsidP="00F55701" w:rsidRDefault="00255EC7" w14:paraId="147293BC" w14:textId="1075168A">
            <w:pPr>
              <w:pStyle w:val="Standard"/>
              <w:keepNext/>
              <w:spacing w:line="240" w:lineRule="auto"/>
              <w:ind w:firstLine="0"/>
              <w:jc w:val="right"/>
              <w:rPr>
                <w:sz w:val="23"/>
              </w:rPr>
            </w:pPr>
            <w:r w:rsidRPr="00820169">
              <w:rPr>
                <w:sz w:val="23"/>
              </w:rPr>
              <w:t>108%</w:t>
            </w:r>
          </w:p>
        </w:tc>
        <w:tc>
          <w:tcPr>
            <w:tcW w:w="1260" w:type="dxa"/>
          </w:tcPr>
          <w:p w:rsidRPr="00820169" w:rsidR="00255EC7" w:rsidP="00F55701" w:rsidRDefault="00255EC7" w14:paraId="0A9A5F0E" w14:textId="39B25774">
            <w:pPr>
              <w:pStyle w:val="Standard"/>
              <w:keepNext/>
              <w:spacing w:line="240" w:lineRule="auto"/>
              <w:ind w:firstLine="0"/>
              <w:jc w:val="right"/>
              <w:rPr>
                <w:sz w:val="23"/>
              </w:rPr>
            </w:pPr>
            <w:r w:rsidRPr="00820169">
              <w:rPr>
                <w:sz w:val="23"/>
              </w:rPr>
              <w:t>178%</w:t>
            </w:r>
          </w:p>
        </w:tc>
        <w:tc>
          <w:tcPr>
            <w:tcW w:w="1350" w:type="dxa"/>
          </w:tcPr>
          <w:p w:rsidRPr="00820169" w:rsidR="00255EC7" w:rsidP="00F55701" w:rsidRDefault="00255EC7" w14:paraId="5F3D41B3" w14:textId="3D012CF7">
            <w:pPr>
              <w:pStyle w:val="Standard"/>
              <w:keepNext/>
              <w:spacing w:line="240" w:lineRule="auto"/>
              <w:ind w:firstLine="0"/>
              <w:jc w:val="right"/>
              <w:rPr>
                <w:sz w:val="23"/>
              </w:rPr>
            </w:pPr>
            <w:r w:rsidRPr="00820169">
              <w:rPr>
                <w:sz w:val="23"/>
              </w:rPr>
              <w:t>166%</w:t>
            </w:r>
          </w:p>
        </w:tc>
      </w:tr>
      <w:tr w:rsidRPr="00820169" w:rsidR="00820169" w:rsidTr="00820169" w14:paraId="58FC688D" w14:textId="77777777">
        <w:trPr>
          <w:cantSplit/>
          <w:jc w:val="center"/>
        </w:trPr>
        <w:tc>
          <w:tcPr>
            <w:tcW w:w="1153" w:type="dxa"/>
            <w:vMerge/>
          </w:tcPr>
          <w:p w:rsidRPr="00820169" w:rsidR="00255EC7" w:rsidP="007F6676" w:rsidRDefault="00255EC7" w14:paraId="3B76CDC2" w14:textId="77777777">
            <w:pPr>
              <w:pStyle w:val="Standard"/>
              <w:spacing w:line="240" w:lineRule="auto"/>
              <w:ind w:firstLine="0"/>
              <w:rPr>
                <w:sz w:val="23"/>
              </w:rPr>
            </w:pPr>
          </w:p>
        </w:tc>
        <w:tc>
          <w:tcPr>
            <w:tcW w:w="1992" w:type="dxa"/>
          </w:tcPr>
          <w:p w:rsidRPr="00820169" w:rsidR="00255EC7" w:rsidP="007F6676" w:rsidRDefault="00255EC7" w14:paraId="57C066D0" w14:textId="04036544">
            <w:pPr>
              <w:pStyle w:val="Standard"/>
              <w:spacing w:line="240" w:lineRule="auto"/>
              <w:ind w:firstLine="0"/>
              <w:rPr>
                <w:sz w:val="23"/>
              </w:rPr>
            </w:pPr>
            <w:r w:rsidRPr="00820169">
              <w:rPr>
                <w:sz w:val="23"/>
              </w:rPr>
              <w:t>Total</w:t>
            </w:r>
          </w:p>
        </w:tc>
        <w:tc>
          <w:tcPr>
            <w:tcW w:w="1350" w:type="dxa"/>
          </w:tcPr>
          <w:p w:rsidRPr="00820169" w:rsidR="00255EC7" w:rsidP="007F6676" w:rsidRDefault="00255EC7" w14:paraId="0B352384" w14:textId="0B5680D1">
            <w:pPr>
              <w:pStyle w:val="Standard"/>
              <w:spacing w:line="240" w:lineRule="auto"/>
              <w:ind w:firstLine="0"/>
              <w:jc w:val="right"/>
              <w:rPr>
                <w:sz w:val="23"/>
              </w:rPr>
            </w:pPr>
            <w:r w:rsidRPr="00820169">
              <w:rPr>
                <w:sz w:val="23"/>
              </w:rPr>
              <w:t>157%</w:t>
            </w:r>
          </w:p>
        </w:tc>
        <w:tc>
          <w:tcPr>
            <w:tcW w:w="1350" w:type="dxa"/>
          </w:tcPr>
          <w:p w:rsidRPr="00820169" w:rsidR="00255EC7" w:rsidP="007F6676" w:rsidRDefault="00255EC7" w14:paraId="10A02C4A" w14:textId="59937F60">
            <w:pPr>
              <w:pStyle w:val="Standard"/>
              <w:spacing w:line="240" w:lineRule="auto"/>
              <w:ind w:firstLine="0"/>
              <w:jc w:val="right"/>
              <w:rPr>
                <w:sz w:val="23"/>
              </w:rPr>
            </w:pPr>
            <w:r w:rsidRPr="00820169">
              <w:rPr>
                <w:sz w:val="23"/>
              </w:rPr>
              <w:t>60%</w:t>
            </w:r>
          </w:p>
        </w:tc>
        <w:tc>
          <w:tcPr>
            <w:tcW w:w="1260" w:type="dxa"/>
          </w:tcPr>
          <w:p w:rsidRPr="00820169" w:rsidR="00255EC7" w:rsidP="007F6676" w:rsidRDefault="00255EC7" w14:paraId="6BCFC23C" w14:textId="45CABD71">
            <w:pPr>
              <w:pStyle w:val="Standard"/>
              <w:spacing w:line="240" w:lineRule="auto"/>
              <w:ind w:firstLine="0"/>
              <w:jc w:val="right"/>
              <w:rPr>
                <w:sz w:val="23"/>
              </w:rPr>
            </w:pPr>
            <w:r w:rsidRPr="00820169">
              <w:rPr>
                <w:sz w:val="23"/>
              </w:rPr>
              <w:t>99%</w:t>
            </w:r>
          </w:p>
        </w:tc>
        <w:tc>
          <w:tcPr>
            <w:tcW w:w="1350" w:type="dxa"/>
          </w:tcPr>
          <w:p w:rsidRPr="00820169" w:rsidR="00255EC7" w:rsidP="007F6676" w:rsidRDefault="00255EC7" w14:paraId="1C5B7036" w14:textId="76EE5D82">
            <w:pPr>
              <w:pStyle w:val="Standard"/>
              <w:spacing w:line="240" w:lineRule="auto"/>
              <w:ind w:firstLine="0"/>
              <w:jc w:val="right"/>
              <w:rPr>
                <w:sz w:val="23"/>
              </w:rPr>
            </w:pPr>
            <w:r w:rsidRPr="00820169">
              <w:rPr>
                <w:sz w:val="23"/>
              </w:rPr>
              <w:t>34%</w:t>
            </w:r>
          </w:p>
        </w:tc>
        <w:tc>
          <w:tcPr>
            <w:tcW w:w="1260" w:type="dxa"/>
          </w:tcPr>
          <w:p w:rsidRPr="00820169" w:rsidR="00255EC7" w:rsidP="007F6676" w:rsidRDefault="00255EC7" w14:paraId="7AEC7732" w14:textId="09D1C8E6">
            <w:pPr>
              <w:pStyle w:val="Standard"/>
              <w:spacing w:line="240" w:lineRule="auto"/>
              <w:ind w:firstLine="0"/>
              <w:jc w:val="right"/>
              <w:rPr>
                <w:sz w:val="23"/>
              </w:rPr>
            </w:pPr>
            <w:r w:rsidRPr="00820169">
              <w:rPr>
                <w:sz w:val="23"/>
              </w:rPr>
              <w:t>113%</w:t>
            </w:r>
          </w:p>
        </w:tc>
        <w:tc>
          <w:tcPr>
            <w:tcW w:w="1350" w:type="dxa"/>
          </w:tcPr>
          <w:p w:rsidRPr="00820169" w:rsidR="00255EC7" w:rsidP="007F6676" w:rsidRDefault="00255EC7" w14:paraId="5CA5A01D" w14:textId="7126E75F">
            <w:pPr>
              <w:pStyle w:val="Standard"/>
              <w:spacing w:line="240" w:lineRule="auto"/>
              <w:ind w:firstLine="0"/>
              <w:jc w:val="right"/>
              <w:rPr>
                <w:sz w:val="23"/>
              </w:rPr>
            </w:pPr>
            <w:r w:rsidRPr="00820169">
              <w:rPr>
                <w:sz w:val="23"/>
              </w:rPr>
              <w:t>46%</w:t>
            </w:r>
          </w:p>
        </w:tc>
      </w:tr>
    </w:tbl>
    <w:p w:rsidR="00533B2F" w:rsidP="005E7044" w:rsidRDefault="009E5717" w14:paraId="3C958EDA" w14:textId="77777777">
      <w:pPr>
        <w:pStyle w:val="Standard"/>
        <w:spacing w:before="240"/>
      </w:pPr>
      <w:r>
        <w:t>The Lookback Study presented several key takeaways.</w:t>
      </w:r>
    </w:p>
    <w:p w:rsidR="007F1058" w:rsidP="005E7044" w:rsidRDefault="003E6AA4" w14:paraId="7941F304" w14:textId="772B2360">
      <w:pPr>
        <w:pStyle w:val="Standard"/>
      </w:pPr>
      <w:r>
        <w:t>First, w</w:t>
      </w:r>
      <w:r w:rsidR="007F1058">
        <w:t>ith respect to cost</w:t>
      </w:r>
      <w:r w:rsidR="00827602">
        <w:noBreakHyphen/>
      </w:r>
      <w:r w:rsidR="007F1058">
        <w:t>effectiveness</w:t>
      </w:r>
      <w:r w:rsidR="009E5717">
        <w:t xml:space="preserve">, the study found the benefits to </w:t>
      </w:r>
      <w:r w:rsidR="00602BC5">
        <w:t>NEM 2.0</w:t>
      </w:r>
      <w:r w:rsidR="00135D55">
        <w:t xml:space="preserve"> </w:t>
      </w:r>
      <w:r w:rsidR="00D650DE">
        <w:t xml:space="preserve">participating </w:t>
      </w:r>
      <w:r w:rsidR="009E5717">
        <w:t xml:space="preserve">customers in the form of bill savings and the federal </w:t>
      </w:r>
      <w:r w:rsidR="00E11415">
        <w:t>investment tax credit</w:t>
      </w:r>
      <w:r w:rsidR="009E5717">
        <w:t xml:space="preserve"> </w:t>
      </w:r>
      <w:r w:rsidR="00E11415">
        <w:t xml:space="preserve">(ITC) </w:t>
      </w:r>
      <w:r w:rsidR="009E5717">
        <w:t>outweigh the costs</w:t>
      </w:r>
      <w:r w:rsidR="00E9203E">
        <w:t xml:space="preserve">.  The Lookback Study concluded </w:t>
      </w:r>
      <w:r w:rsidR="007F1058">
        <w:t xml:space="preserve">that </w:t>
      </w:r>
      <w:r w:rsidR="00602BC5">
        <w:t>NEM 2.0</w:t>
      </w:r>
      <w:r w:rsidR="00135D55">
        <w:t xml:space="preserve"> </w:t>
      </w:r>
      <w:r w:rsidR="009E5717">
        <w:t>systems are not cost</w:t>
      </w:r>
      <w:r w:rsidR="00827602">
        <w:noBreakHyphen/>
      </w:r>
      <w:r w:rsidR="009E5717">
        <w:t xml:space="preserve">effective from the combined participant/utility perspective, which is </w:t>
      </w:r>
      <w:r w:rsidR="007F1058">
        <w:t xml:space="preserve">shown </w:t>
      </w:r>
      <w:r w:rsidR="009E5717">
        <w:t xml:space="preserve">by the </w:t>
      </w:r>
      <w:proofErr w:type="spellStart"/>
      <w:r w:rsidR="009E5717">
        <w:t>TRC</w:t>
      </w:r>
      <w:proofErr w:type="spellEnd"/>
      <w:r w:rsidR="009E5717">
        <w:t xml:space="preserve"> benefit</w:t>
      </w:r>
      <w:r w:rsidR="00827602">
        <w:noBreakHyphen/>
      </w:r>
      <w:r w:rsidR="009E5717">
        <w:t xml:space="preserve">cost ratio </w:t>
      </w:r>
      <w:r w:rsidR="007F1058">
        <w:lastRenderedPageBreak/>
        <w:t xml:space="preserve">result of less than 1.0.  Further, </w:t>
      </w:r>
      <w:r w:rsidR="00E9203E">
        <w:t xml:space="preserve">the </w:t>
      </w:r>
      <w:r w:rsidR="006C72CC">
        <w:t xml:space="preserve">study </w:t>
      </w:r>
      <w:r w:rsidR="00E9203E">
        <w:t xml:space="preserve">also found </w:t>
      </w:r>
      <w:r w:rsidR="007F1058">
        <w:t>customer</w:t>
      </w:r>
      <w:r w:rsidR="00827602">
        <w:noBreakHyphen/>
      </w:r>
      <w:r w:rsidR="007F1058">
        <w:t xml:space="preserve">sited renewables under the </w:t>
      </w:r>
      <w:r w:rsidR="00602BC5">
        <w:t>NEM 2.0</w:t>
      </w:r>
      <w:r w:rsidR="00135D55">
        <w:t xml:space="preserve"> </w:t>
      </w:r>
      <w:r w:rsidR="007F1058">
        <w:t>tariff have a RIM</w:t>
      </w:r>
      <w:r w:rsidR="00150111">
        <w:t> </w:t>
      </w:r>
      <w:r w:rsidR="007F1058">
        <w:t>benefit</w:t>
      </w:r>
      <w:r w:rsidR="00827602">
        <w:noBreakHyphen/>
      </w:r>
      <w:r w:rsidR="007F1058">
        <w:t xml:space="preserve">cost ratio less than 1.0, </w:t>
      </w:r>
      <w:r w:rsidR="00BA1EAE">
        <w:t>“</w:t>
      </w:r>
      <w:r w:rsidR="007F1058">
        <w:t xml:space="preserve">indicating that the </w:t>
      </w:r>
      <w:r w:rsidR="00602BC5">
        <w:t>NEM 2.0</w:t>
      </w:r>
      <w:r w:rsidR="00135D55">
        <w:t xml:space="preserve"> </w:t>
      </w:r>
      <w:r w:rsidR="007F1058">
        <w:t>program may result in an increase in rates for ratepayers.</w:t>
      </w:r>
      <w:r w:rsidR="00BA1EAE">
        <w:t>”</w:t>
      </w:r>
      <w:r w:rsidR="007F1058">
        <w:rPr>
          <w:rStyle w:val="FootnoteReference"/>
        </w:rPr>
        <w:footnoteReference w:id="28"/>
      </w:r>
    </w:p>
    <w:p w:rsidRPr="0063491C" w:rsidR="009E5717" w:rsidP="005E7044" w:rsidRDefault="007F1058" w14:paraId="633C594D" w14:textId="6E803C55">
      <w:pPr>
        <w:pStyle w:val="Standard"/>
      </w:pPr>
      <w:r>
        <w:t>In terms of the cost</w:t>
      </w:r>
      <w:r w:rsidR="00827602">
        <w:noBreakHyphen/>
      </w:r>
      <w:r>
        <w:t>of</w:t>
      </w:r>
      <w:r w:rsidR="00827602">
        <w:noBreakHyphen/>
      </w:r>
      <w:r>
        <w:t>service analysis, the Lookback Study indicates that</w:t>
      </w:r>
      <w:r w:rsidR="006B03BF">
        <w:t>,</w:t>
      </w:r>
      <w:r>
        <w:t xml:space="preserve"> for both residential and nonresidential </w:t>
      </w:r>
      <w:r w:rsidR="00D650DE">
        <w:t xml:space="preserve">participating </w:t>
      </w:r>
      <w:r>
        <w:t>customers</w:t>
      </w:r>
      <w:r w:rsidR="006B03BF">
        <w:t>,</w:t>
      </w:r>
      <w:r>
        <w:t xml:space="preserve"> average bill payments prior to installing a </w:t>
      </w:r>
      <w:r w:rsidR="00602BC5">
        <w:t>NEM 2.0</w:t>
      </w:r>
      <w:r w:rsidR="00135D55">
        <w:t xml:space="preserve"> </w:t>
      </w:r>
      <w:r>
        <w:t xml:space="preserve">system are higher than the cost of service. </w:t>
      </w:r>
      <w:r w:rsidR="00150111">
        <w:t xml:space="preserve"> </w:t>
      </w:r>
      <w:r w:rsidR="006C72CC">
        <w:t>The study found that, a</w:t>
      </w:r>
      <w:r>
        <w:t xml:space="preserve">fter installing the </w:t>
      </w:r>
      <w:r w:rsidR="00602BC5">
        <w:t>NEM 2.0</w:t>
      </w:r>
      <w:r w:rsidR="00135D55">
        <w:t xml:space="preserve"> </w:t>
      </w:r>
      <w:r>
        <w:t xml:space="preserve">system, residential </w:t>
      </w:r>
      <w:r w:rsidR="00D650DE">
        <w:t xml:space="preserve">participating </w:t>
      </w:r>
      <w:r>
        <w:t xml:space="preserve">customers on average pay lower bills than the utility’s cost to serve them.  </w:t>
      </w:r>
      <w:r w:rsidR="006C72CC">
        <w:t>Finally, i</w:t>
      </w:r>
      <w:r>
        <w:t>n the case of nonresidential customers</w:t>
      </w:r>
      <w:r w:rsidR="00E319D4">
        <w:t xml:space="preserve"> installing </w:t>
      </w:r>
      <w:r w:rsidR="00602BC5">
        <w:t>NEM 2.0</w:t>
      </w:r>
      <w:r w:rsidR="00135D55">
        <w:t xml:space="preserve"> </w:t>
      </w:r>
      <w:r w:rsidR="00E319D4">
        <w:t xml:space="preserve">systems, </w:t>
      </w:r>
      <w:r w:rsidR="006C72CC">
        <w:t xml:space="preserve">the study found </w:t>
      </w:r>
      <w:r>
        <w:t>these customers pay bill</w:t>
      </w:r>
      <w:r w:rsidR="006C72CC">
        <w:t>s</w:t>
      </w:r>
      <w:r>
        <w:t xml:space="preserve"> that are slightly higher than their cost of service</w:t>
      </w:r>
      <w:r w:rsidR="00E319D4">
        <w:t xml:space="preserve"> due to demand charges and the lower ratio of system size to customer load in comparison to residential customers.</w:t>
      </w:r>
      <w:r w:rsidR="00E319D4">
        <w:rPr>
          <w:rStyle w:val="FootnoteReference"/>
        </w:rPr>
        <w:footnoteReference w:id="29"/>
      </w:r>
    </w:p>
    <w:p w:rsidR="007C247F" w:rsidP="005E7044" w:rsidRDefault="007C247F" w14:paraId="721BD89D" w14:textId="0854D2AD">
      <w:pPr>
        <w:pStyle w:val="Heading1"/>
        <w:keepLines w:val="0"/>
      </w:pPr>
      <w:bookmarkStart w:name="_Toc117674050" w:id="27"/>
      <w:bookmarkStart w:name="_Toc118285041" w:id="28"/>
      <w:bookmarkStart w:name="_Toc121854368" w:id="29"/>
      <w:r>
        <w:t>E3 White Paper on Net Energy</w:t>
      </w:r>
      <w:r w:rsidR="00212A78">
        <w:br/>
      </w:r>
      <w:r>
        <w:t>Metering Revisions</w:t>
      </w:r>
      <w:bookmarkEnd w:id="27"/>
      <w:bookmarkEnd w:id="28"/>
      <w:bookmarkEnd w:id="29"/>
    </w:p>
    <w:p w:rsidR="007C247F" w:rsidP="005E7044" w:rsidRDefault="0042067E" w14:paraId="336B24FD" w14:textId="26527898">
      <w:pPr>
        <w:pStyle w:val="Standard"/>
      </w:pPr>
      <w:r>
        <w:t>The Commission engaged E3 to support and facilitate the development of a successor to the net energy metering tariff</w:t>
      </w:r>
      <w:r w:rsidR="007C247F">
        <w:t>.</w:t>
      </w:r>
      <w:r>
        <w:t xml:space="preserve">  E3 developed the White Paper to provide </w:t>
      </w:r>
      <w:r w:rsidR="007D0E4A">
        <w:t>a</w:t>
      </w:r>
      <w:r>
        <w:t xml:space="preserve"> perspective on a framework that aligns compensation for customer</w:t>
      </w:r>
      <w:r w:rsidR="00827602">
        <w:noBreakHyphen/>
      </w:r>
      <w:r>
        <w:t>sited renewable generation with the net benefits the generation provides to the electric system and allows for sustainable growth of behind</w:t>
      </w:r>
      <w:r w:rsidR="00827602">
        <w:noBreakHyphen/>
      </w:r>
      <w:r>
        <w:t>the</w:t>
      </w:r>
      <w:r w:rsidR="00827602">
        <w:noBreakHyphen/>
      </w:r>
      <w:r>
        <w:t xml:space="preserve">meter renewable generation as required by </w:t>
      </w:r>
      <w:r w:rsidR="00F138A9">
        <w:t>AB </w:t>
      </w:r>
      <w:r>
        <w:t>327.</w:t>
      </w:r>
    </w:p>
    <w:p w:rsidR="0042067E" w:rsidP="005E7044" w:rsidRDefault="0042067E" w14:paraId="1FFC8750" w14:textId="24F40BDF">
      <w:pPr>
        <w:pStyle w:val="Standard"/>
      </w:pPr>
      <w:r>
        <w:t xml:space="preserve">According to the White Paper, the key to preserving a viable market is </w:t>
      </w:r>
      <w:r w:rsidR="006C72CC">
        <w:t xml:space="preserve">providing </w:t>
      </w:r>
      <w:r>
        <w:t xml:space="preserve">a glide path that includes a gradual </w:t>
      </w:r>
      <w:r w:rsidR="00BB6391">
        <w:t xml:space="preserve">retail </w:t>
      </w:r>
      <w:r w:rsidR="006218C8">
        <w:t xml:space="preserve">export compensation </w:t>
      </w:r>
      <w:r>
        <w:t>rate reform and an external transitional support mechanism</w:t>
      </w:r>
      <w:r w:rsidR="00F55701">
        <w:t xml:space="preserve"> — </w:t>
      </w:r>
      <w:r>
        <w:t>a Market Transition Credit</w:t>
      </w:r>
      <w:r w:rsidR="00F55701">
        <w:t xml:space="preserve"> — </w:t>
      </w:r>
      <w:r>
        <w:t xml:space="preserve">that enables a reasonable payback period for new customers investing </w:t>
      </w:r>
      <w:r>
        <w:lastRenderedPageBreak/>
        <w:t>in onsite renewable generation.</w:t>
      </w:r>
      <w:r w:rsidR="00F00C93">
        <w:rPr>
          <w:rStyle w:val="FootnoteReference"/>
        </w:rPr>
        <w:footnoteReference w:id="30"/>
      </w:r>
      <w:r>
        <w:t xml:space="preserve">  The White Paper recommends the</w:t>
      </w:r>
      <w:r w:rsidR="006A7DEE">
        <w:t xml:space="preserve"> Market Transition Credit</w:t>
      </w:r>
      <w:r>
        <w:t xml:space="preserve"> be fixed over a defined payback period for </w:t>
      </w:r>
      <w:r w:rsidR="006A7DEE">
        <w:t>each</w:t>
      </w:r>
      <w:r w:rsidR="006E2C1A">
        <w:t xml:space="preserve"> cohort of </w:t>
      </w:r>
      <w:r w:rsidR="006A7DEE">
        <w:t xml:space="preserve">new </w:t>
      </w:r>
      <w:r w:rsidR="006E2C1A">
        <w:t xml:space="preserve">customers </w:t>
      </w:r>
      <w:r w:rsidR="00461F21">
        <w:t xml:space="preserve">(vintage), which would be </w:t>
      </w:r>
      <w:r>
        <w:t>based on time, number of subscribed customers or the volume of adoption.  The Market Transition Credit would be</w:t>
      </w:r>
      <w:r w:rsidR="006E2C1A">
        <w:t xml:space="preserve"> gradually </w:t>
      </w:r>
      <w:r>
        <w:t xml:space="preserve">phased </w:t>
      </w:r>
      <w:r w:rsidR="006E2C1A">
        <w:t xml:space="preserve">out </w:t>
      </w:r>
      <w:r w:rsidR="00311B1A">
        <w:t>over successive</w:t>
      </w:r>
      <w:r w:rsidR="006E2C1A">
        <w:t xml:space="preserve"> </w:t>
      </w:r>
      <w:r w:rsidR="00461F21">
        <w:t>vintage</w:t>
      </w:r>
      <w:r w:rsidR="00311B1A">
        <w:t>s</w:t>
      </w:r>
      <w:r w:rsidR="006E2C1A">
        <w:t xml:space="preserve"> as </w:t>
      </w:r>
      <w:r w:rsidR="00311B1A">
        <w:t xml:space="preserve">technology costs decline and/or developers adjust to rate changes, enabling </w:t>
      </w:r>
      <w:r w:rsidR="006E2C1A">
        <w:t xml:space="preserve">customers </w:t>
      </w:r>
      <w:r w:rsidR="00311B1A">
        <w:t xml:space="preserve">to afford onsite renewable generation while receiving </w:t>
      </w:r>
      <w:r w:rsidR="00BB6391">
        <w:t xml:space="preserve">retail </w:t>
      </w:r>
      <w:r w:rsidR="00311B1A">
        <w:t xml:space="preserve">export compensation </w:t>
      </w:r>
      <w:r w:rsidR="006E2C1A">
        <w:t xml:space="preserve">rates </w:t>
      </w:r>
      <w:r w:rsidR="00311B1A">
        <w:t xml:space="preserve">that are increasingly </w:t>
      </w:r>
      <w:r w:rsidR="006E2C1A">
        <w:t xml:space="preserve">aligned with </w:t>
      </w:r>
      <w:r w:rsidR="00461F21">
        <w:t xml:space="preserve">the </w:t>
      </w:r>
      <w:r w:rsidR="006E2C1A">
        <w:t>underlying value</w:t>
      </w:r>
      <w:r w:rsidR="00461F21">
        <w:t xml:space="preserve"> of the onsite renewable generation</w:t>
      </w:r>
      <w:r w:rsidR="006E2C1A">
        <w:t>.</w:t>
      </w:r>
    </w:p>
    <w:p w:rsidR="006E2C1A" w:rsidP="005E7044" w:rsidRDefault="006E2C1A" w14:paraId="0C2F288A" w14:textId="6BE043F1">
      <w:pPr>
        <w:pStyle w:val="Standard"/>
      </w:pPr>
      <w:r>
        <w:t xml:space="preserve">The White Paper proposes that a central element of the framework would be a new successor </w:t>
      </w:r>
      <w:r w:rsidR="00BB6391">
        <w:t xml:space="preserve">retail </w:t>
      </w:r>
      <w:r w:rsidR="006218C8">
        <w:t xml:space="preserve">export compensation </w:t>
      </w:r>
      <w:r>
        <w:t>rate for customers that will increase efficiency in adoption of behind</w:t>
      </w:r>
      <w:r w:rsidR="00827602">
        <w:noBreakHyphen/>
      </w:r>
      <w:r>
        <w:t>the</w:t>
      </w:r>
      <w:r w:rsidR="00827602">
        <w:noBreakHyphen/>
      </w:r>
      <w:r>
        <w:t xml:space="preserve">meter generation while producing more equitable outcomes for all ratepayers.  The successor </w:t>
      </w:r>
      <w:r w:rsidR="00BB6391">
        <w:t xml:space="preserve">retail </w:t>
      </w:r>
      <w:r w:rsidR="006218C8">
        <w:t xml:space="preserve">export compensation </w:t>
      </w:r>
      <w:r>
        <w:t>rate would replace retail rate</w:t>
      </w:r>
      <w:r w:rsidR="00827602">
        <w:noBreakHyphen/>
      </w:r>
      <w:r>
        <w:t xml:space="preserve">based credits for energy injections into the grid with </w:t>
      </w:r>
      <w:r w:rsidR="00BB6391">
        <w:t xml:space="preserve">retail </w:t>
      </w:r>
      <w:r>
        <w:t xml:space="preserve">export </w:t>
      </w:r>
      <w:r w:rsidR="006218C8">
        <w:t xml:space="preserve">compensation </w:t>
      </w:r>
      <w:r>
        <w:t>rates that reflect avoided costs and are time</w:t>
      </w:r>
      <w:r w:rsidR="007E120D">
        <w:t>-</w:t>
      </w:r>
      <w:r>
        <w:t xml:space="preserve"> and seasonal</w:t>
      </w:r>
      <w:r w:rsidR="00B53AED">
        <w:t>ly</w:t>
      </w:r>
      <w:r w:rsidR="007E120D">
        <w:t>-</w:t>
      </w:r>
      <w:r>
        <w:t>differentiated.</w:t>
      </w:r>
    </w:p>
    <w:p w:rsidR="006E2C1A" w:rsidP="005E7044" w:rsidRDefault="006E2C1A" w14:paraId="35644ADD" w14:textId="33692E58">
      <w:pPr>
        <w:pStyle w:val="Standard"/>
      </w:pPr>
      <w:r>
        <w:t xml:space="preserve">An underlying </w:t>
      </w:r>
      <w:r w:rsidR="00704BDB">
        <w:t xml:space="preserve">recommendation </w:t>
      </w:r>
      <w:r>
        <w:t>of the White Paper is that during the transition period, customers would contribute more towards fixed costs of service tha</w:t>
      </w:r>
      <w:r w:rsidR="00B53AED">
        <w:t xml:space="preserve">n under </w:t>
      </w:r>
      <w:r w:rsidR="00602BC5">
        <w:t>NEM 2.0</w:t>
      </w:r>
      <w:r w:rsidR="00B53AED">
        <w:t xml:space="preserve">.  </w:t>
      </w:r>
      <w:r w:rsidR="00704BDB">
        <w:t>However</w:t>
      </w:r>
      <w:r w:rsidR="00B53AED">
        <w:t xml:space="preserve">, the White Paper proposes that the successor </w:t>
      </w:r>
      <w:r w:rsidR="00704BDB">
        <w:t>import</w:t>
      </w:r>
      <w:r w:rsidR="006218C8">
        <w:t xml:space="preserve"> </w:t>
      </w:r>
      <w:r w:rsidR="00B53AED">
        <w:t>rate would not be cost</w:t>
      </w:r>
      <w:r w:rsidR="00827602">
        <w:noBreakHyphen/>
      </w:r>
      <w:r w:rsidR="00B53AED">
        <w:t xml:space="preserve">based initially to limit the size of </w:t>
      </w:r>
      <w:r w:rsidR="006C72CC">
        <w:t xml:space="preserve">the </w:t>
      </w:r>
      <w:r w:rsidR="00B53AED">
        <w:t xml:space="preserve">Market Transition </w:t>
      </w:r>
      <w:r w:rsidR="006C72CC">
        <w:t>Credit</w:t>
      </w:r>
      <w:r w:rsidR="00B53AED">
        <w:t xml:space="preserve"> needed to provide a reasonable payback period.</w:t>
      </w:r>
    </w:p>
    <w:p w:rsidR="00B53AED" w:rsidP="005E7044" w:rsidRDefault="00B53AED" w14:paraId="46066303" w14:textId="0AE12A77">
      <w:pPr>
        <w:pStyle w:val="Standard"/>
      </w:pPr>
      <w:r>
        <w:t xml:space="preserve">One additional element of the White Paper is time.  The White Paper explains that time </w:t>
      </w:r>
      <w:r w:rsidR="00BA1EAE">
        <w:t>“</w:t>
      </w:r>
      <w:r>
        <w:t>can be used to guide the speed at which the transition would occur</w:t>
      </w:r>
      <w:r w:rsidR="00BA1EAE">
        <w:t>”</w:t>
      </w:r>
      <w:r>
        <w:t xml:space="preserve"> and would allow for </w:t>
      </w:r>
      <w:r w:rsidR="00BB6391">
        <w:t xml:space="preserve">retail </w:t>
      </w:r>
      <w:r w:rsidR="006218C8">
        <w:t xml:space="preserve">export compensation </w:t>
      </w:r>
      <w:r>
        <w:t xml:space="preserve">rate modification, </w:t>
      </w:r>
      <w:r>
        <w:lastRenderedPageBreak/>
        <w:t xml:space="preserve">adjustments to the Market Transition </w:t>
      </w:r>
      <w:r w:rsidR="006C72CC">
        <w:t>Credit</w:t>
      </w:r>
      <w:r>
        <w:t xml:space="preserve">, and </w:t>
      </w:r>
      <w:r w:rsidR="004964E3">
        <w:t xml:space="preserve">the ability to </w:t>
      </w:r>
      <w:r w:rsidR="006A7DEE">
        <w:t>ga</w:t>
      </w:r>
      <w:r w:rsidR="007B4BA0">
        <w:t>u</w:t>
      </w:r>
      <w:r w:rsidR="006A7DEE">
        <w:t>g</w:t>
      </w:r>
      <w:r w:rsidR="004964E3">
        <w:t>e</w:t>
      </w:r>
      <w:r w:rsidR="006A7DEE">
        <w:t xml:space="preserve"> </w:t>
      </w:r>
      <w:r>
        <w:t>impacts on bill savings and payback periods.</w:t>
      </w:r>
      <w:r>
        <w:rPr>
          <w:rStyle w:val="FootnoteReference"/>
        </w:rPr>
        <w:footnoteReference w:id="31"/>
      </w:r>
    </w:p>
    <w:p w:rsidR="00B53AED" w:rsidP="005E7044" w:rsidRDefault="00037F69" w14:paraId="4BA5BD6D" w14:textId="28BE6BA6">
      <w:pPr>
        <w:pStyle w:val="Standard"/>
      </w:pPr>
      <w:r>
        <w:t>Figure </w:t>
      </w:r>
      <w:r w:rsidR="00461F21">
        <w:t xml:space="preserve">1 and </w:t>
      </w:r>
      <w:r w:rsidR="00962ACC">
        <w:t>Figure </w:t>
      </w:r>
      <w:r w:rsidR="00461F21">
        <w:t xml:space="preserve">2 below illustrate how these elements would work together through time and each vintage of customers.  </w:t>
      </w:r>
      <w:r>
        <w:t>Figure 1</w:t>
      </w:r>
      <w:r w:rsidR="00461F21">
        <w:t xml:space="preserve"> presents an optimistic scenario where technology co</w:t>
      </w:r>
      <w:r w:rsidR="006C72CC">
        <w:t>s</w:t>
      </w:r>
      <w:r w:rsidR="00461F21">
        <w:t xml:space="preserve">ts decline sufficiently such that </w:t>
      </w:r>
      <w:r w:rsidR="006C72CC">
        <w:t xml:space="preserve">a </w:t>
      </w:r>
      <w:r w:rsidR="00461F21">
        <w:t xml:space="preserve">Market Transition Credit is not necessary.  </w:t>
      </w:r>
      <w:r>
        <w:t>Figure 2</w:t>
      </w:r>
      <w:r w:rsidR="00461F21">
        <w:t xml:space="preserve"> provides a more conservative scenario where technology costs remain flat. </w:t>
      </w:r>
      <w:r w:rsidR="00150111">
        <w:t xml:space="preserve"> </w:t>
      </w:r>
      <w:r w:rsidR="00461F21">
        <w:t>The White Paper presumes the combination of increasingly cost</w:t>
      </w:r>
      <w:r w:rsidR="00827602">
        <w:noBreakHyphen/>
      </w:r>
      <w:r w:rsidR="00704BDB">
        <w:t>re</w:t>
      </w:r>
      <w:r w:rsidR="00461F21">
        <w:t>f</w:t>
      </w:r>
      <w:r w:rsidR="00704BDB">
        <w:t>l</w:t>
      </w:r>
      <w:r w:rsidR="00461F21">
        <w:t xml:space="preserve">ective </w:t>
      </w:r>
      <w:r w:rsidR="00BB6391">
        <w:t xml:space="preserve">retail </w:t>
      </w:r>
      <w:r w:rsidR="006218C8">
        <w:t xml:space="preserve">export compensation </w:t>
      </w:r>
      <w:r w:rsidR="00371D55">
        <w:t>rates,</w:t>
      </w:r>
      <w:r w:rsidR="00461F21">
        <w:t xml:space="preserve"> and the flexibility of the Market Transition Credit</w:t>
      </w:r>
      <w:r w:rsidR="00371D55">
        <w:t>,</w:t>
      </w:r>
      <w:r w:rsidR="00461F21">
        <w:t xml:space="preserve"> </w:t>
      </w:r>
      <w:r w:rsidR="00A529C7">
        <w:t xml:space="preserve">will allow for a gradual transition to a </w:t>
      </w:r>
      <w:r w:rsidR="006C72CC">
        <w:t xml:space="preserve">net energy metering </w:t>
      </w:r>
      <w:r w:rsidR="00A529C7">
        <w:t>tariff framework that more accurately reflects underlying value while supporting electrification</w:t>
      </w:r>
      <w:r w:rsidR="00AE6608">
        <w:t>, paired storage,</w:t>
      </w:r>
      <w:r w:rsidR="00A529C7">
        <w:t xml:space="preserve"> and the reduction of greenhouse gas emissions.</w:t>
      </w:r>
    </w:p>
    <w:p w:rsidR="00461F21" w:rsidP="00037F69" w:rsidRDefault="00037F69" w14:paraId="49090660" w14:textId="2D276671">
      <w:pPr>
        <w:pStyle w:val="TableTitleBodyH085"/>
      </w:pPr>
      <w:bookmarkStart w:name="Figure1" w:id="30"/>
      <w:r>
        <w:rPr>
          <w:b/>
          <w:bCs w:val="0"/>
        </w:rPr>
        <w:t>Figure 1</w:t>
      </w:r>
      <w:r w:rsidRPr="00212A78" w:rsidR="00461F21">
        <w:rPr>
          <w:b/>
        </w:rPr>
        <w:t>.</w:t>
      </w:r>
      <w:r>
        <w:rPr>
          <w:b/>
        </w:rPr>
        <w:tab/>
      </w:r>
      <w:r w:rsidRPr="00037F69" w:rsidR="00461F21">
        <w:rPr>
          <w:bCs w:val="0"/>
        </w:rPr>
        <w:t>Bill Reductions and M</w:t>
      </w:r>
      <w:r w:rsidR="004964E3">
        <w:rPr>
          <w:bCs w:val="0"/>
        </w:rPr>
        <w:t xml:space="preserve">arket </w:t>
      </w:r>
      <w:r w:rsidRPr="00037F69" w:rsidR="00461F21">
        <w:rPr>
          <w:bCs w:val="0"/>
        </w:rPr>
        <w:t>T</w:t>
      </w:r>
      <w:r w:rsidR="004964E3">
        <w:rPr>
          <w:bCs w:val="0"/>
        </w:rPr>
        <w:t xml:space="preserve">ransition </w:t>
      </w:r>
      <w:r w:rsidRPr="00037F69" w:rsidR="00461F21">
        <w:rPr>
          <w:bCs w:val="0"/>
        </w:rPr>
        <w:t>C</w:t>
      </w:r>
      <w:r w:rsidR="004964E3">
        <w:rPr>
          <w:bCs w:val="0"/>
        </w:rPr>
        <w:t>redit</w:t>
      </w:r>
      <w:r w:rsidRPr="00037F69" w:rsidR="00461F21">
        <w:rPr>
          <w:bCs w:val="0"/>
        </w:rPr>
        <w:t>, Optimistic Scenario</w:t>
      </w:r>
      <w:bookmarkEnd w:id="30"/>
      <w:r w:rsidRPr="00037F69" w:rsidR="00F00C93">
        <w:rPr>
          <w:rStyle w:val="FootnoteReference"/>
          <w:bCs w:val="0"/>
        </w:rPr>
        <w:footnoteReference w:id="32"/>
      </w:r>
    </w:p>
    <w:p w:rsidR="00461F21" w:rsidP="005E7044" w:rsidRDefault="00EF7EE1" w14:paraId="7C13CDA8" w14:textId="097FF7F2">
      <w:pPr>
        <w:pStyle w:val="Standard"/>
        <w:jc w:val="center"/>
      </w:pPr>
      <w:r>
        <w:rPr>
          <w:noProof/>
        </w:rPr>
        <w:drawing>
          <wp:inline distT="0" distB="0" distL="0" distR="0" wp14:anchorId="44BC1070" wp14:editId="50ABFD56">
            <wp:extent cx="5486400" cy="2491740"/>
            <wp:effectExtent l="0" t="0" r="0" b="381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491740"/>
                    </a:xfrm>
                    <a:prstGeom prst="rect">
                      <a:avLst/>
                    </a:prstGeom>
                    <a:noFill/>
                    <a:ln>
                      <a:noFill/>
                    </a:ln>
                  </pic:spPr>
                </pic:pic>
              </a:graphicData>
            </a:graphic>
          </wp:inline>
        </w:drawing>
      </w:r>
    </w:p>
    <w:p w:rsidR="00461F21" w:rsidP="00037F69" w:rsidRDefault="00037F69" w14:paraId="37C63333" w14:textId="5717F538">
      <w:pPr>
        <w:pStyle w:val="TableTitleBodyH085"/>
      </w:pPr>
      <w:bookmarkStart w:name="Figure2" w:id="31"/>
      <w:r>
        <w:rPr>
          <w:b/>
          <w:bCs w:val="0"/>
        </w:rPr>
        <w:lastRenderedPageBreak/>
        <w:t>Figure 2</w:t>
      </w:r>
      <w:r w:rsidRPr="00212A78" w:rsidR="00461F21">
        <w:rPr>
          <w:b/>
        </w:rPr>
        <w:t>.</w:t>
      </w:r>
      <w:r>
        <w:rPr>
          <w:b/>
        </w:rPr>
        <w:tab/>
      </w:r>
      <w:r w:rsidRPr="00037F69" w:rsidR="00461F21">
        <w:rPr>
          <w:bCs w:val="0"/>
        </w:rPr>
        <w:t>Bill Reductions and M</w:t>
      </w:r>
      <w:r w:rsidR="004964E3">
        <w:rPr>
          <w:bCs w:val="0"/>
        </w:rPr>
        <w:t xml:space="preserve">arket </w:t>
      </w:r>
      <w:r w:rsidRPr="00037F69" w:rsidR="00461F21">
        <w:rPr>
          <w:bCs w:val="0"/>
        </w:rPr>
        <w:t>T</w:t>
      </w:r>
      <w:r w:rsidR="004964E3">
        <w:rPr>
          <w:bCs w:val="0"/>
        </w:rPr>
        <w:t>rans</w:t>
      </w:r>
      <w:r w:rsidR="001C46B9">
        <w:rPr>
          <w:bCs w:val="0"/>
        </w:rPr>
        <w:t>it</w:t>
      </w:r>
      <w:r w:rsidR="004964E3">
        <w:rPr>
          <w:bCs w:val="0"/>
        </w:rPr>
        <w:t xml:space="preserve">ion </w:t>
      </w:r>
      <w:r w:rsidRPr="00037F69" w:rsidR="00461F21">
        <w:rPr>
          <w:bCs w:val="0"/>
        </w:rPr>
        <w:t>C</w:t>
      </w:r>
      <w:r w:rsidR="001C46B9">
        <w:rPr>
          <w:bCs w:val="0"/>
        </w:rPr>
        <w:t>redit</w:t>
      </w:r>
      <w:r w:rsidRPr="00037F69" w:rsidR="00461F21">
        <w:rPr>
          <w:bCs w:val="0"/>
        </w:rPr>
        <w:t>, Flat Technology Cost Scenario</w:t>
      </w:r>
      <w:bookmarkEnd w:id="31"/>
      <w:r w:rsidRPr="00037F69" w:rsidR="00F00C93">
        <w:rPr>
          <w:rStyle w:val="FootnoteReference"/>
          <w:bCs w:val="0"/>
        </w:rPr>
        <w:footnoteReference w:id="33"/>
      </w:r>
    </w:p>
    <w:p w:rsidR="00A529C7" w:rsidP="005E7044" w:rsidRDefault="00EF7EE1" w14:paraId="4E9521B5" w14:textId="57CF2090">
      <w:pPr>
        <w:pStyle w:val="Standard"/>
        <w:ind w:firstLine="0"/>
        <w:jc w:val="center"/>
      </w:pPr>
      <w:r>
        <w:rPr>
          <w:noProof/>
        </w:rPr>
        <w:drawing>
          <wp:inline distT="0" distB="0" distL="0" distR="0" wp14:anchorId="34BE8D0C" wp14:editId="7122B643">
            <wp:extent cx="5303520" cy="2407920"/>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520" cy="2407920"/>
                    </a:xfrm>
                    <a:prstGeom prst="rect">
                      <a:avLst/>
                    </a:prstGeom>
                    <a:noFill/>
                    <a:ln>
                      <a:noFill/>
                    </a:ln>
                  </pic:spPr>
                </pic:pic>
              </a:graphicData>
            </a:graphic>
          </wp:inline>
        </w:drawing>
      </w:r>
    </w:p>
    <w:p w:rsidR="007C247F" w:rsidP="005E7044" w:rsidRDefault="007C247F" w14:paraId="06CBBEF0" w14:textId="51C8F405">
      <w:pPr>
        <w:pStyle w:val="Heading1"/>
        <w:keepLines w:val="0"/>
      </w:pPr>
      <w:bookmarkStart w:name="_Toc117674051" w:id="32"/>
      <w:bookmarkStart w:name="_Toc118285042" w:id="33"/>
      <w:bookmarkStart w:name="_Toc121854369" w:id="34"/>
      <w:r>
        <w:t>Proposals for Net Energy Metering</w:t>
      </w:r>
      <w:r w:rsidR="00212A78">
        <w:br/>
      </w:r>
      <w:r>
        <w:t>Tariff Changes</w:t>
      </w:r>
      <w:bookmarkEnd w:id="32"/>
      <w:bookmarkEnd w:id="33"/>
      <w:bookmarkEnd w:id="34"/>
    </w:p>
    <w:p w:rsidR="00533B2F" w:rsidP="005E7044" w:rsidRDefault="00371D55" w14:paraId="2B5AE9A0" w14:textId="4A139268">
      <w:pPr>
        <w:pStyle w:val="Standard"/>
      </w:pPr>
      <w:r>
        <w:t>P</w:t>
      </w:r>
      <w:r w:rsidR="004663A6">
        <w:t>arties individually or jointly filed proposals for a successor to the current net energy metering tariff</w:t>
      </w:r>
      <w:r w:rsidR="007C247F">
        <w:t>.</w:t>
      </w:r>
      <w:r w:rsidR="004663A6">
        <w:t xml:space="preserve">  Below, </w:t>
      </w:r>
      <w:r w:rsidR="008E3E7A">
        <w:t xml:space="preserve">this decision </w:t>
      </w:r>
      <w:r w:rsidR="004663A6">
        <w:t>present</w:t>
      </w:r>
      <w:r w:rsidR="008E3E7A">
        <w:t>s</w:t>
      </w:r>
      <w:r w:rsidR="004663A6">
        <w:t xml:space="preserve"> an overview of each </w:t>
      </w:r>
      <w:r>
        <w:t>response</w:t>
      </w:r>
      <w:r w:rsidR="004663A6">
        <w:t xml:space="preserve"> </w:t>
      </w:r>
      <w:r w:rsidR="00963C2B">
        <w:t>filed on March</w:t>
      </w:r>
      <w:r w:rsidR="00B25F33">
        <w:t> </w:t>
      </w:r>
      <w:r w:rsidR="00963C2B">
        <w:t>15,</w:t>
      </w:r>
      <w:r w:rsidR="00B25F33">
        <w:t> </w:t>
      </w:r>
      <w:r w:rsidR="00963C2B">
        <w:t>2021.</w:t>
      </w:r>
      <w:r w:rsidR="00C61F2D">
        <w:rPr>
          <w:rStyle w:val="FootnoteReference"/>
        </w:rPr>
        <w:footnoteReference w:id="34"/>
      </w:r>
      <w:r w:rsidR="00963C2B">
        <w:t xml:space="preserve">  The overview includes a </w:t>
      </w:r>
      <w:r w:rsidR="007C217B">
        <w:t xml:space="preserve">brief </w:t>
      </w:r>
      <w:r w:rsidR="004663A6">
        <w:t>descri</w:t>
      </w:r>
      <w:r w:rsidR="00963C2B">
        <w:t xml:space="preserve">ption of </w:t>
      </w:r>
      <w:r w:rsidR="004663A6">
        <w:t xml:space="preserve">the </w:t>
      </w:r>
      <w:r w:rsidR="00963C2B">
        <w:t xml:space="preserve">major </w:t>
      </w:r>
      <w:r w:rsidR="004663A6">
        <w:t xml:space="preserve">elements of </w:t>
      </w:r>
      <w:r w:rsidR="00E11415">
        <w:t>each</w:t>
      </w:r>
      <w:r w:rsidR="004663A6">
        <w:t xml:space="preserve"> </w:t>
      </w:r>
      <w:r w:rsidR="00C61F2D">
        <w:t xml:space="preserve">filed </w:t>
      </w:r>
      <w:r w:rsidR="004663A6">
        <w:t>proposal.</w:t>
      </w:r>
      <w:r w:rsidR="00D052FA">
        <w:t xml:space="preserve">  </w:t>
      </w:r>
      <w:r w:rsidR="004F7C16">
        <w:t>I</w:t>
      </w:r>
      <w:r w:rsidR="00CB0E38">
        <w:t xml:space="preserve">n a few instances, parties only presented </w:t>
      </w:r>
      <w:r w:rsidR="007C217B">
        <w:t>narrowly defined proposals or recommendations</w:t>
      </w:r>
      <w:r w:rsidR="00CB0E38">
        <w:t xml:space="preserve">, which </w:t>
      </w:r>
      <w:r w:rsidR="008E3E7A">
        <w:t>are</w:t>
      </w:r>
      <w:r w:rsidR="007C217B">
        <w:t xml:space="preserve"> </w:t>
      </w:r>
      <w:r w:rsidR="00CB0E38">
        <w:t>summarize</w:t>
      </w:r>
      <w:r w:rsidR="008E3E7A">
        <w:t>d</w:t>
      </w:r>
      <w:r w:rsidR="00CB0E38">
        <w:t>.</w:t>
      </w:r>
      <w:r w:rsidR="00EC1868">
        <w:t xml:space="preserve">  In some cases, parties later revised </w:t>
      </w:r>
      <w:r w:rsidR="00332298">
        <w:t xml:space="preserve">aspects of </w:t>
      </w:r>
      <w:r w:rsidR="00EC1868">
        <w:t xml:space="preserve">proposals in testimony or </w:t>
      </w:r>
      <w:r w:rsidR="00C701C6">
        <w:t>briefs.</w:t>
      </w:r>
    </w:p>
    <w:p w:rsidR="004663A6" w:rsidP="005E7044" w:rsidRDefault="004663A6" w14:paraId="6CEB9C96" w14:textId="509626CA">
      <w:pPr>
        <w:pStyle w:val="Heading2"/>
        <w:keepLines w:val="0"/>
      </w:pPr>
      <w:bookmarkStart w:name="_Toc117674052" w:id="35"/>
      <w:bookmarkStart w:name="_Toc118285043" w:id="36"/>
      <w:bookmarkStart w:name="_Toc121854370" w:id="37"/>
      <w:r>
        <w:t>AARP</w:t>
      </w:r>
      <w:r w:rsidR="007C217B">
        <w:t xml:space="preserve"> Recommendation</w:t>
      </w:r>
      <w:bookmarkEnd w:id="35"/>
      <w:bookmarkEnd w:id="36"/>
      <w:bookmarkEnd w:id="37"/>
    </w:p>
    <w:p w:rsidR="004663A6" w:rsidP="005E7044" w:rsidRDefault="00F20A9E" w14:paraId="01F023A8" w14:textId="058B1398">
      <w:pPr>
        <w:pStyle w:val="Standard"/>
      </w:pPr>
      <w:r>
        <w:t xml:space="preserve">AARP did not file a proposal but recommends the Commission use the White Paper as a foundation because it is a straightforward framework that calls out the alleged </w:t>
      </w:r>
      <w:r w:rsidR="006218C8">
        <w:t xml:space="preserve">cost shift </w:t>
      </w:r>
      <w:r w:rsidR="00E11415">
        <w:t xml:space="preserve">and identifies a </w:t>
      </w:r>
      <w:r>
        <w:t>Market Transition Credit</w:t>
      </w:r>
      <w:r w:rsidR="00027AC5">
        <w:t xml:space="preserve"> </w:t>
      </w:r>
      <w:r w:rsidR="00E11415">
        <w:t xml:space="preserve">that would </w:t>
      </w:r>
      <w:r w:rsidR="003D453B">
        <w:t xml:space="preserve">diminish over time </w:t>
      </w:r>
      <w:r w:rsidR="00CB0E38">
        <w:t>as conditions change.</w:t>
      </w:r>
    </w:p>
    <w:p w:rsidR="00E25695" w:rsidP="005E7044" w:rsidRDefault="00E25695" w14:paraId="02F0A5F3" w14:textId="77777777">
      <w:pPr>
        <w:pStyle w:val="Heading2"/>
        <w:keepLines w:val="0"/>
      </w:pPr>
      <w:bookmarkStart w:name="_Toc117674053" w:id="38"/>
      <w:bookmarkStart w:name="_Toc118285044" w:id="39"/>
      <w:bookmarkStart w:name="_Toc121854371" w:id="40"/>
      <w:proofErr w:type="spellStart"/>
      <w:r>
        <w:lastRenderedPageBreak/>
        <w:t>CALSSA</w:t>
      </w:r>
      <w:proofErr w:type="spellEnd"/>
      <w:r>
        <w:t xml:space="preserve"> Proposal</w:t>
      </w:r>
      <w:bookmarkEnd w:id="38"/>
      <w:bookmarkEnd w:id="39"/>
      <w:bookmarkEnd w:id="40"/>
    </w:p>
    <w:p w:rsidR="00533B2F" w:rsidP="005E7044" w:rsidRDefault="00E25695" w14:paraId="6EAF08E0" w14:textId="3BD9F49B">
      <w:pPr>
        <w:pStyle w:val="Standard"/>
      </w:pPr>
      <w:proofErr w:type="spellStart"/>
      <w:r>
        <w:t>CALSSA</w:t>
      </w:r>
      <w:proofErr w:type="spellEnd"/>
      <w:r>
        <w:t xml:space="preserve"> recommends the Commission maintain the current net energy metering tariff for nonresidential customers but revise the tariff for residential customers.  </w:t>
      </w:r>
      <w:proofErr w:type="spellStart"/>
      <w:r>
        <w:t>CALSSA’s</w:t>
      </w:r>
      <w:proofErr w:type="spellEnd"/>
      <w:r>
        <w:t xml:space="preserve"> residential proposal focuses on </w:t>
      </w:r>
      <w:r w:rsidR="00BB6391">
        <w:t xml:space="preserve">retail </w:t>
      </w:r>
      <w:r>
        <w:t xml:space="preserve">export compensation </w:t>
      </w:r>
      <w:r w:rsidR="00BB6391">
        <w:t xml:space="preserve">rates </w:t>
      </w:r>
      <w:r>
        <w:t>and includes a glide</w:t>
      </w:r>
      <w:r w:rsidR="00704BDB">
        <w:t xml:space="preserve"> </w:t>
      </w:r>
      <w:r>
        <w:t>path based on deployment targets.</w:t>
      </w:r>
    </w:p>
    <w:p w:rsidR="00533B2F" w:rsidP="005E7044" w:rsidRDefault="00E25695" w14:paraId="78798785" w14:textId="742128F2">
      <w:pPr>
        <w:pStyle w:val="Standard"/>
      </w:pPr>
      <w:proofErr w:type="spellStart"/>
      <w:r>
        <w:t>CALSSA</w:t>
      </w:r>
      <w:proofErr w:type="spellEnd"/>
      <w:r>
        <w:t xml:space="preserve"> proposes </w:t>
      </w:r>
      <w:r w:rsidR="00BB6391">
        <w:t xml:space="preserve">retail </w:t>
      </w:r>
      <w:r>
        <w:t xml:space="preserve">export compensation </w:t>
      </w:r>
      <w:r w:rsidR="00116E9B">
        <w:t xml:space="preserve">rates </w:t>
      </w:r>
      <w:r w:rsidR="00BB6391">
        <w:t xml:space="preserve">that </w:t>
      </w:r>
      <w:r>
        <w:t xml:space="preserve">would decrease over the course of five steps based on a percentage of each utility’s retail rate, which </w:t>
      </w:r>
      <w:proofErr w:type="spellStart"/>
      <w:r>
        <w:t>CALSSA</w:t>
      </w:r>
      <w:proofErr w:type="spellEnd"/>
      <w:r>
        <w:t xml:space="preserve"> contends results in rates more reflective of avoided costs.  Step five would result in a 5</w:t>
      </w:r>
      <w:r w:rsidR="00C04724">
        <w:t>0 percent</w:t>
      </w:r>
      <w:r>
        <w:t xml:space="preserve"> decrease for PG&amp;E’s participating customers</w:t>
      </w:r>
      <w:r w:rsidR="00E11415">
        <w:t>’ rates</w:t>
      </w:r>
      <w:r>
        <w:t>, 7</w:t>
      </w:r>
      <w:r w:rsidR="00C04724">
        <w:t>5 percent</w:t>
      </w:r>
      <w:r>
        <w:t xml:space="preserve"> for SCE customer</w:t>
      </w:r>
      <w:r w:rsidR="00E11415">
        <w:t>s’ rates</w:t>
      </w:r>
      <w:r>
        <w:t>, and 4</w:t>
      </w:r>
      <w:r w:rsidR="00C04724">
        <w:t>5 percent</w:t>
      </w:r>
      <w:r>
        <w:t xml:space="preserve"> for SDG&amp;E customers</w:t>
      </w:r>
      <w:r w:rsidR="00E11415">
        <w:t>’ rates</w:t>
      </w:r>
      <w:r>
        <w:t xml:space="preserve">.  </w:t>
      </w:r>
      <w:proofErr w:type="spellStart"/>
      <w:r>
        <w:t>CALSSA</w:t>
      </w:r>
      <w:proofErr w:type="spellEnd"/>
      <w:r>
        <w:t xml:space="preserve"> recommends the decrease in rates be less for customers installing </w:t>
      </w:r>
      <w:r w:rsidR="00E71FF3">
        <w:t>paired storage</w:t>
      </w:r>
      <w:r>
        <w:t>, which would decrease in step five to 8</w:t>
      </w:r>
      <w:r w:rsidR="00C04724">
        <w:t>0 percent</w:t>
      </w:r>
      <w:r>
        <w:t xml:space="preserve"> for PG&amp;E customers, no decline for SCE customers, and 6</w:t>
      </w:r>
      <w:r w:rsidR="00C04724">
        <w:t>5 percent</w:t>
      </w:r>
      <w:r>
        <w:t xml:space="preserve"> for SDG&amp;E customers.  </w:t>
      </w:r>
      <w:proofErr w:type="spellStart"/>
      <w:r>
        <w:t>CALSSA</w:t>
      </w:r>
      <w:proofErr w:type="spellEnd"/>
      <w:r>
        <w:t xml:space="preserve"> proposes the step</w:t>
      </w:r>
      <w:r w:rsidR="00827602">
        <w:noBreakHyphen/>
      </w:r>
      <w:r>
        <w:t>down thresholds be based on cumulative residential megawatts per utility.</w:t>
      </w:r>
    </w:p>
    <w:p w:rsidR="00E25695" w:rsidP="005E7044" w:rsidRDefault="00E25695" w14:paraId="0333D960" w14:textId="6B9281D1">
      <w:pPr>
        <w:pStyle w:val="Standard"/>
      </w:pPr>
      <w:r>
        <w:t xml:space="preserve">Other aspects of the </w:t>
      </w:r>
      <w:proofErr w:type="spellStart"/>
      <w:r>
        <w:t>CALSSA</w:t>
      </w:r>
      <w:proofErr w:type="spellEnd"/>
      <w:r>
        <w:t xml:space="preserve"> proposal include </w:t>
      </w:r>
      <w:r w:rsidR="00E11415">
        <w:t>a</w:t>
      </w:r>
      <w:r>
        <w:t xml:space="preserve"> 20</w:t>
      </w:r>
      <w:r w:rsidR="00827602">
        <w:noBreakHyphen/>
      </w:r>
      <w:r>
        <w:t xml:space="preserve">year lock on the </w:t>
      </w:r>
      <w:r w:rsidR="00BB6391">
        <w:t xml:space="preserve">retail </w:t>
      </w:r>
      <w:r>
        <w:t xml:space="preserve">export </w:t>
      </w:r>
      <w:r w:rsidR="00116E9B">
        <w:t xml:space="preserve">compensation </w:t>
      </w:r>
      <w:r>
        <w:t xml:space="preserve">rate framework. </w:t>
      </w:r>
      <w:r w:rsidR="00150111">
        <w:t xml:space="preserve"> </w:t>
      </w:r>
      <w:r>
        <w:t xml:space="preserve">Further, </w:t>
      </w:r>
      <w:proofErr w:type="spellStart"/>
      <w:r>
        <w:t>CALSSA</w:t>
      </w:r>
      <w:proofErr w:type="spellEnd"/>
      <w:r>
        <w:t xml:space="preserve"> proposes customers would be required to pay what they owe </w:t>
      </w:r>
      <w:r w:rsidR="00D374EE">
        <w:t>monthly</w:t>
      </w:r>
      <w:r>
        <w:t xml:space="preserve"> and eliminate the annual true</w:t>
      </w:r>
      <w:r w:rsidR="00827602">
        <w:noBreakHyphen/>
      </w:r>
      <w:r>
        <w:t xml:space="preserve">up.  </w:t>
      </w:r>
      <w:proofErr w:type="spellStart"/>
      <w:r>
        <w:t>CALSSA</w:t>
      </w:r>
      <w:proofErr w:type="spellEnd"/>
      <w:r>
        <w:t xml:space="preserve"> also proposes the Commission require utilities to create a portal to enable contractors to reasonably access customer interval data, which </w:t>
      </w:r>
      <w:proofErr w:type="spellStart"/>
      <w:r>
        <w:t>CALSSA</w:t>
      </w:r>
      <w:proofErr w:type="spellEnd"/>
      <w:r>
        <w:t xml:space="preserve"> contends would increase accuracy of savings estimates and reduce project development costs.</w:t>
      </w:r>
    </w:p>
    <w:p w:rsidR="00E25695" w:rsidP="005E7044" w:rsidRDefault="00E25695" w14:paraId="7D74D324" w14:textId="39C6EAB8">
      <w:pPr>
        <w:pStyle w:val="Standard"/>
      </w:pPr>
      <w:proofErr w:type="spellStart"/>
      <w:r>
        <w:t>CALSSA</w:t>
      </w:r>
      <w:proofErr w:type="spellEnd"/>
      <w:r>
        <w:t xml:space="preserve"> also proposes maintaining aspects of the </w:t>
      </w:r>
      <w:r w:rsidR="00602BC5">
        <w:t>NEM 2.0</w:t>
      </w:r>
      <w:r w:rsidR="00135D55">
        <w:t xml:space="preserve"> </w:t>
      </w:r>
      <w:r>
        <w:t>residential tariff specifically designed for renters and low</w:t>
      </w:r>
      <w:r w:rsidR="00827602">
        <w:noBreakHyphen/>
      </w:r>
      <w:r>
        <w:t xml:space="preserve">income households.  For </w:t>
      </w:r>
      <w:r w:rsidR="000C5A90">
        <w:t>single</w:t>
      </w:r>
      <w:r w:rsidR="00827602">
        <w:noBreakHyphen/>
      </w:r>
      <w:r w:rsidR="000C5A90">
        <w:t xml:space="preserve">family </w:t>
      </w:r>
      <w:r>
        <w:t>households with income below 8</w:t>
      </w:r>
      <w:r w:rsidR="00C04724">
        <w:t>0 percent</w:t>
      </w:r>
      <w:r>
        <w:t xml:space="preserve"> of Area Median </w:t>
      </w:r>
      <w:r w:rsidR="00E11415">
        <w:t>I</w:t>
      </w:r>
      <w:r>
        <w:t>ncome</w:t>
      </w:r>
      <w:r w:rsidR="0057038C">
        <w:t xml:space="preserve"> (AMI)</w:t>
      </w:r>
      <w:r w:rsidR="000C5A90">
        <w:t>, census tracts with income less than 10</w:t>
      </w:r>
      <w:r w:rsidR="00C04724">
        <w:t>0 percent</w:t>
      </w:r>
      <w:r w:rsidR="000C5A90">
        <w:t xml:space="preserve"> of AMI, and properties </w:t>
      </w:r>
      <w:r w:rsidR="000C5A90">
        <w:lastRenderedPageBreak/>
        <w:t xml:space="preserve">eligible for the </w:t>
      </w:r>
      <w:r w:rsidR="006F3855">
        <w:t>Multi</w:t>
      </w:r>
      <w:r w:rsidR="00827602">
        <w:noBreakHyphen/>
      </w:r>
      <w:r w:rsidR="006F3855">
        <w:t>family Affordable Solar Housing (</w:t>
      </w:r>
      <w:r w:rsidR="000C5A90">
        <w:t>MASH</w:t>
      </w:r>
      <w:r w:rsidR="006F3855">
        <w:t>)</w:t>
      </w:r>
      <w:r w:rsidR="000C5A90">
        <w:t xml:space="preserve"> and SOMAH programs</w:t>
      </w:r>
      <w:r>
        <w:t xml:space="preserve">, </w:t>
      </w:r>
      <w:proofErr w:type="spellStart"/>
      <w:r>
        <w:t>CALSSA</w:t>
      </w:r>
      <w:proofErr w:type="spellEnd"/>
      <w:r>
        <w:t xml:space="preserve"> proposes these customers receive net energy metering credits at full retail rates minus non</w:t>
      </w:r>
      <w:r w:rsidR="00827602">
        <w:noBreakHyphen/>
      </w:r>
      <w:proofErr w:type="spellStart"/>
      <w:r>
        <w:t>bypassable</w:t>
      </w:r>
      <w:proofErr w:type="spellEnd"/>
      <w:r>
        <w:t xml:space="preserve"> charges.  For customers eligible for </w:t>
      </w:r>
      <w:r w:rsidR="0057038C">
        <w:t>California Alternate Rates for Energy (CARE) and the Family Electric Rate Assistance (FERA) programs</w:t>
      </w:r>
      <w:r>
        <w:t xml:space="preserve">, </w:t>
      </w:r>
      <w:r w:rsidR="0057038C">
        <w:t>net energy metering</w:t>
      </w:r>
      <w:r>
        <w:t xml:space="preserve"> credits would be compensated at the same level as the non</w:t>
      </w:r>
      <w:r w:rsidR="00827602">
        <w:noBreakHyphen/>
      </w:r>
      <w:r>
        <w:t>CARE rates of their otherwise applicable rate schedule.  Households living in multi</w:t>
      </w:r>
      <w:r w:rsidR="00827602">
        <w:noBreakHyphen/>
      </w:r>
      <w:r>
        <w:t>family rental properties located in census tracts with income less than 12</w:t>
      </w:r>
      <w:r w:rsidR="00C04724">
        <w:t>0 percent</w:t>
      </w:r>
      <w:r>
        <w:t xml:space="preserve"> of the </w:t>
      </w:r>
      <w:r w:rsidR="00AA497E">
        <w:t>AMI</w:t>
      </w:r>
      <w:r>
        <w:t xml:space="preserve"> would be eligible for </w:t>
      </w:r>
      <w:r w:rsidR="00AA497E">
        <w:t>v</w:t>
      </w:r>
      <w:r>
        <w:t xml:space="preserve">irtual net energy metering </w:t>
      </w:r>
      <w:r w:rsidR="00FD53AF">
        <w:t>(</w:t>
      </w:r>
      <w:proofErr w:type="spellStart"/>
      <w:r w:rsidR="00FD53AF">
        <w:t>VNEM</w:t>
      </w:r>
      <w:proofErr w:type="spellEnd"/>
      <w:r w:rsidR="00FD53AF">
        <w:t xml:space="preserve">) </w:t>
      </w:r>
      <w:r>
        <w:t>at full retail rates, minus non</w:t>
      </w:r>
      <w:r w:rsidR="00827602">
        <w:noBreakHyphen/>
      </w:r>
      <w:proofErr w:type="spellStart"/>
      <w:r>
        <w:t>bypassable</w:t>
      </w:r>
      <w:proofErr w:type="spellEnd"/>
      <w:r>
        <w:t xml:space="preserve"> charges.</w:t>
      </w:r>
    </w:p>
    <w:p w:rsidR="00533B2F" w:rsidP="005E7044" w:rsidRDefault="004663A6" w14:paraId="12FD4807" w14:textId="77777777">
      <w:pPr>
        <w:pStyle w:val="Heading2"/>
        <w:keepLines w:val="0"/>
      </w:pPr>
      <w:bookmarkStart w:name="_Toc117674054" w:id="41"/>
      <w:bookmarkStart w:name="_Toc118285045" w:id="42"/>
      <w:bookmarkStart w:name="_Toc121854372" w:id="43"/>
      <w:r>
        <w:t>CCSA</w:t>
      </w:r>
      <w:r w:rsidRPr="004663A6">
        <w:t xml:space="preserve"> </w:t>
      </w:r>
      <w:r>
        <w:t>Proposal</w:t>
      </w:r>
      <w:bookmarkEnd w:id="41"/>
      <w:bookmarkEnd w:id="42"/>
      <w:bookmarkEnd w:id="43"/>
    </w:p>
    <w:p w:rsidR="004663A6" w:rsidP="005E7044" w:rsidRDefault="007E5D14" w14:paraId="49C94BEB" w14:textId="5246500E">
      <w:pPr>
        <w:pStyle w:val="Standard"/>
      </w:pPr>
      <w:r>
        <w:t xml:space="preserve">CCSA’s proposal is focused solely on community distributed energy resources and is modeled on the concept described in the White Paper.  CCSA proposes that renewable energy projects up to five megawatts interconnected to the distribution system receive monetary credits that </w:t>
      </w:r>
      <w:r w:rsidR="00AA497E">
        <w:t xml:space="preserve">would </w:t>
      </w:r>
      <w:r>
        <w:t xml:space="preserve">then </w:t>
      </w:r>
      <w:r w:rsidR="00AA497E">
        <w:t xml:space="preserve">be </w:t>
      </w:r>
      <w:r>
        <w:t xml:space="preserve">applied to the </w:t>
      </w:r>
      <w:r w:rsidR="00E63388">
        <w:t>utility b</w:t>
      </w:r>
      <w:r>
        <w:t xml:space="preserve">ills of customers in the same utility service </w:t>
      </w:r>
      <w:r w:rsidR="00C61F2D">
        <w:t>area</w:t>
      </w:r>
      <w:r>
        <w:t xml:space="preserve"> who subscribe to the project</w:t>
      </w:r>
      <w:r w:rsidR="00751F16">
        <w:t xml:space="preserve"> (</w:t>
      </w:r>
      <w:r w:rsidR="00027AC5">
        <w:t>S</w:t>
      </w:r>
      <w:r w:rsidR="00751F16">
        <w:t>ubscribers</w:t>
      </w:r>
      <w:r w:rsidR="00027AC5">
        <w:t xml:space="preserve"> or Benefiting Accounts</w:t>
      </w:r>
      <w:r w:rsidR="00751F16">
        <w:t>)</w:t>
      </w:r>
      <w:r>
        <w:t xml:space="preserve">.  </w:t>
      </w:r>
      <w:r w:rsidR="00E63388">
        <w:t>CCSA explains that the credits would be based on the value provided to the grid</w:t>
      </w:r>
      <w:r w:rsidR="001B32CB">
        <w:t xml:space="preserve"> and when that value is provided</w:t>
      </w:r>
      <w:r w:rsidR="00E63388">
        <w:t xml:space="preserve">.  Energy </w:t>
      </w:r>
      <w:r w:rsidR="00AA497E">
        <w:t xml:space="preserve">would </w:t>
      </w:r>
      <w:r w:rsidR="00E63388">
        <w:t xml:space="preserve">be valued based on </w:t>
      </w:r>
      <w:r w:rsidR="0035099C">
        <w:t>California Independent System Operator (</w:t>
      </w:r>
      <w:r w:rsidR="00E63388">
        <w:t>CAISO</w:t>
      </w:r>
      <w:r w:rsidR="0035099C">
        <w:t>)</w:t>
      </w:r>
      <w:r w:rsidR="00E63388">
        <w:t xml:space="preserve"> Day Ahead Zonal Prices, with an applied </w:t>
      </w:r>
      <w:r w:rsidR="0035099C">
        <w:t>A</w:t>
      </w:r>
      <w:r w:rsidR="00E63388">
        <w:t xml:space="preserve">voided </w:t>
      </w:r>
      <w:r w:rsidR="0035099C">
        <w:t>C</w:t>
      </w:r>
      <w:r w:rsidR="00E63388">
        <w:t xml:space="preserve">ost </w:t>
      </w:r>
      <w:r w:rsidR="0035099C">
        <w:t>C</w:t>
      </w:r>
      <w:r w:rsidR="00E63388">
        <w:t>alculator loss factor.  Generation and Transmission</w:t>
      </w:r>
      <w:r w:rsidR="00827602">
        <w:t xml:space="preserve"> &amp; </w:t>
      </w:r>
      <w:r w:rsidR="00E63388">
        <w:t xml:space="preserve">Distribution Capacity will have a fixed value based on the Avoided Cost Calculator values.  </w:t>
      </w:r>
      <w:r w:rsidR="00AC037E">
        <w:t xml:space="preserve">Other value provided </w:t>
      </w:r>
      <w:r w:rsidR="0035099C">
        <w:t xml:space="preserve">would </w:t>
      </w:r>
      <w:r w:rsidR="001B32CB">
        <w:t>include</w:t>
      </w:r>
      <w:r w:rsidR="00AC037E">
        <w:t xml:space="preserve"> Environmental Value</w:t>
      </w:r>
      <w:r w:rsidR="001B32CB">
        <w:t xml:space="preserve"> in the form of greenhouse gas rebalancing and a greenhouse gas adder.  CCSA proposes that rates for </w:t>
      </w:r>
      <w:r w:rsidR="00027AC5">
        <w:t>B</w:t>
      </w:r>
      <w:r w:rsidR="00751F16">
        <w:t xml:space="preserve">enefitting </w:t>
      </w:r>
      <w:r w:rsidR="00027AC5">
        <w:t>A</w:t>
      </w:r>
      <w:r w:rsidR="00751F16">
        <w:t xml:space="preserve">ccounts </w:t>
      </w:r>
      <w:r w:rsidR="001B32CB">
        <w:t>would be set based on the effective tariff rate at the execution of the interconnection agreement and fixed for 25</w:t>
      </w:r>
      <w:r w:rsidR="00150111">
        <w:t> </w:t>
      </w:r>
      <w:r w:rsidR="001B32CB">
        <w:t>years.</w:t>
      </w:r>
    </w:p>
    <w:p w:rsidRPr="004663A6" w:rsidR="001B32CB" w:rsidP="005E7044" w:rsidRDefault="001B32CB" w14:paraId="7CE61CCB" w14:textId="45157FE1">
      <w:pPr>
        <w:pStyle w:val="Standard"/>
      </w:pPr>
      <w:r>
        <w:lastRenderedPageBreak/>
        <w:t xml:space="preserve">Subscribers </w:t>
      </w:r>
      <w:r w:rsidR="0035099C">
        <w:t xml:space="preserve">could </w:t>
      </w:r>
      <w:r>
        <w:t xml:space="preserve">be in any customer class and </w:t>
      </w:r>
      <w:r w:rsidR="0035099C">
        <w:t xml:space="preserve">could </w:t>
      </w:r>
      <w:r>
        <w:t xml:space="preserve">be a bundled or unbundled customer but must be in the same utility service </w:t>
      </w:r>
      <w:r w:rsidR="00C61F2D">
        <w:t xml:space="preserve">area </w:t>
      </w:r>
      <w:r>
        <w:t xml:space="preserve">as the project.  Subscribers </w:t>
      </w:r>
      <w:r w:rsidR="0035099C">
        <w:t xml:space="preserve">would </w:t>
      </w:r>
      <w:r>
        <w:t xml:space="preserve">not </w:t>
      </w:r>
      <w:r w:rsidR="0035099C">
        <w:t xml:space="preserve">be </w:t>
      </w:r>
      <w:r>
        <w:t xml:space="preserve">required to commit to a set amount of time. </w:t>
      </w:r>
      <w:r w:rsidR="00150111">
        <w:t xml:space="preserve"> </w:t>
      </w:r>
      <w:r>
        <w:t>The credits would be rolled over indefinitely until utilized</w:t>
      </w:r>
      <w:r w:rsidR="00C61F2D">
        <w:t>,</w:t>
      </w:r>
      <w:r>
        <w:t xml:space="preserve"> but if a customer leaves the utility service, credits on the account are forfeited.</w:t>
      </w:r>
      <w:r w:rsidR="00751F16">
        <w:t xml:space="preserve">  </w:t>
      </w:r>
      <w:r w:rsidR="003213E6">
        <w:t>Exiting fees for CARE</w:t>
      </w:r>
      <w:r w:rsidR="00827602">
        <w:noBreakHyphen/>
      </w:r>
      <w:r w:rsidR="00135651">
        <w:t xml:space="preserve"> or </w:t>
      </w:r>
      <w:r w:rsidR="003213E6">
        <w:t>FERA</w:t>
      </w:r>
      <w:r w:rsidR="00827602">
        <w:noBreakHyphen/>
      </w:r>
      <w:r w:rsidR="003213E6">
        <w:t>eligible customers and customers on other low</w:t>
      </w:r>
      <w:r w:rsidR="00827602">
        <w:noBreakHyphen/>
      </w:r>
      <w:r w:rsidR="003213E6">
        <w:t xml:space="preserve">income programs would be prohibited.  </w:t>
      </w:r>
      <w:r w:rsidR="00751F16">
        <w:t xml:space="preserve">CCSA also proposes that if there is unsubscribed generation capacity, the </w:t>
      </w:r>
      <w:r w:rsidR="00027AC5">
        <w:t>Generator Account may bank the credits and allocate them to B</w:t>
      </w:r>
      <w:r w:rsidR="00751F16">
        <w:t xml:space="preserve">enefitting </w:t>
      </w:r>
      <w:r w:rsidR="00027AC5">
        <w:t>A</w:t>
      </w:r>
      <w:r w:rsidR="00751F16">
        <w:t>ccount</w:t>
      </w:r>
      <w:r w:rsidR="00027AC5">
        <w:t>s within two years.  Enrollment would be a capacity</w:t>
      </w:r>
      <w:r w:rsidR="00827602">
        <w:noBreakHyphen/>
      </w:r>
      <w:r w:rsidR="00027AC5">
        <w:t>based subscription and would require at least 5</w:t>
      </w:r>
      <w:r w:rsidR="00C04724">
        <w:t>0 percent</w:t>
      </w:r>
      <w:r w:rsidR="00027AC5">
        <w:t xml:space="preserve"> capacity serving residential and small commercial customers.</w:t>
      </w:r>
    </w:p>
    <w:p w:rsidR="004663A6" w:rsidP="005E7044" w:rsidRDefault="004663A6" w14:paraId="5E932B02" w14:textId="6B0F07A7">
      <w:pPr>
        <w:pStyle w:val="Heading2"/>
        <w:keepLines w:val="0"/>
      </w:pPr>
      <w:bookmarkStart w:name="_Toc117674055" w:id="44"/>
      <w:bookmarkStart w:name="_Toc118285046" w:id="45"/>
      <w:bookmarkStart w:name="_Toc121854373" w:id="46"/>
      <w:r>
        <w:t>C</w:t>
      </w:r>
      <w:r w:rsidR="003213E6">
        <w:t>alifornians for Renewable</w:t>
      </w:r>
      <w:r w:rsidR="00056DF0">
        <w:br/>
      </w:r>
      <w:r w:rsidR="003213E6">
        <w:t>Energy</w:t>
      </w:r>
      <w:r w:rsidR="00056DF0">
        <w:t xml:space="preserve"> </w:t>
      </w:r>
      <w:r>
        <w:t>Proposal</w:t>
      </w:r>
      <w:bookmarkEnd w:id="44"/>
      <w:bookmarkEnd w:id="45"/>
      <w:bookmarkEnd w:id="46"/>
    </w:p>
    <w:p w:rsidRPr="004663A6" w:rsidR="00AC037E" w:rsidP="005E7044" w:rsidRDefault="003213E6" w14:paraId="6EA7D6C9" w14:textId="030F57D6">
      <w:pPr>
        <w:pStyle w:val="Standard"/>
      </w:pPr>
      <w:r>
        <w:t xml:space="preserve">Californians for Renewable Energy </w:t>
      </w:r>
      <w:r w:rsidR="00AF2354">
        <w:t>proposes the Commission compensate customer</w:t>
      </w:r>
      <w:r w:rsidR="00827602">
        <w:noBreakHyphen/>
      </w:r>
      <w:r w:rsidR="00AF2354">
        <w:t>generators by creating a small renewable qualifying facility net energy metering customer</w:t>
      </w:r>
      <w:r w:rsidR="00827602">
        <w:noBreakHyphen/>
      </w:r>
      <w:r w:rsidR="00AF2354">
        <w:t xml:space="preserve">generator tariff or power purchase agreement for facilities up to three megawatts.  </w:t>
      </w:r>
      <w:r>
        <w:t xml:space="preserve">This proposal </w:t>
      </w:r>
      <w:r w:rsidR="00963C2B">
        <w:t>contends customer</w:t>
      </w:r>
      <w:r w:rsidR="00827602">
        <w:noBreakHyphen/>
      </w:r>
      <w:r w:rsidR="00963C2B">
        <w:t xml:space="preserve">generators should be compensated at a rate equal to the utility’s avoided cost as defined by </w:t>
      </w:r>
      <w:proofErr w:type="spellStart"/>
      <w:r w:rsidR="006F3855">
        <w:t>PURPA</w:t>
      </w:r>
      <w:proofErr w:type="spellEnd"/>
      <w:r w:rsidR="00963C2B">
        <w:t>, which is the incremental cost to an electric utility of electric energy or capacity or both which such utility would otherwise generat</w:t>
      </w:r>
      <w:r w:rsidR="003929B1">
        <w:t>e</w:t>
      </w:r>
      <w:r w:rsidR="00963C2B">
        <w:t xml:space="preserve"> itself or purchase from another source.  </w:t>
      </w:r>
      <w:r>
        <w:t xml:space="preserve">This party </w:t>
      </w:r>
      <w:r w:rsidR="00963C2B">
        <w:t>did not propose a rate structure</w:t>
      </w:r>
      <w:r w:rsidR="00D052FA">
        <w:t>, application of secondary customer benefits, terms of service, or billing rules</w:t>
      </w:r>
      <w:r w:rsidR="00C61F2D">
        <w:t xml:space="preserve"> in its proposal filing</w:t>
      </w:r>
      <w:r w:rsidR="00D052FA">
        <w:t>.</w:t>
      </w:r>
    </w:p>
    <w:p w:rsidR="004663A6" w:rsidP="005E7044" w:rsidRDefault="004663A6" w14:paraId="736648EC" w14:textId="3AAEC72F">
      <w:pPr>
        <w:pStyle w:val="Heading2"/>
        <w:keepLines w:val="0"/>
      </w:pPr>
      <w:bookmarkStart w:name="_Toc117674056" w:id="47"/>
      <w:bookmarkStart w:name="_Toc118285047" w:id="48"/>
      <w:bookmarkStart w:name="_Toc121854374" w:id="49"/>
      <w:r>
        <w:t>CESA</w:t>
      </w:r>
      <w:r w:rsidRPr="004663A6">
        <w:t xml:space="preserve"> </w:t>
      </w:r>
      <w:r>
        <w:t>Proposal</w:t>
      </w:r>
      <w:bookmarkEnd w:id="47"/>
      <w:bookmarkEnd w:id="48"/>
      <w:bookmarkEnd w:id="49"/>
    </w:p>
    <w:p w:rsidR="004663A6" w:rsidP="005E7044" w:rsidRDefault="00894ED2" w14:paraId="5E1C1CF4" w14:textId="1750D35A">
      <w:pPr>
        <w:pStyle w:val="Standard"/>
      </w:pPr>
      <w:r>
        <w:t>CESA filed two narrow proposals focused on energy storage enhancements to be overlaid on any successor tariff.</w:t>
      </w:r>
    </w:p>
    <w:p w:rsidR="00894ED2" w:rsidP="005E7044" w:rsidRDefault="002B65EA" w14:paraId="12C8D560" w14:textId="447B0365">
      <w:pPr>
        <w:pStyle w:val="Standard"/>
      </w:pPr>
      <w:r>
        <w:t>Proposal 1</w:t>
      </w:r>
      <w:r w:rsidR="00894ED2">
        <w:t xml:space="preserve"> </w:t>
      </w:r>
      <w:r w:rsidR="0035099C">
        <w:t xml:space="preserve">would </w:t>
      </w:r>
      <w:r w:rsidR="00894ED2">
        <w:t xml:space="preserve">enable virtual pairing of separate solar and offsite energy storage resources that are contractually linked to synchronize charging </w:t>
      </w:r>
      <w:r w:rsidR="00894ED2">
        <w:lastRenderedPageBreak/>
        <w:t>and generation profiles.  For net energy metering generation exported during a specific time interval, a virtually</w:t>
      </w:r>
      <w:r w:rsidR="00827602">
        <w:noBreakHyphen/>
      </w:r>
      <w:r w:rsidR="00894ED2">
        <w:t xml:space="preserve">paired storage resource would charge during that same time interval to absorb the generation and be credited at the </w:t>
      </w:r>
      <w:r w:rsidR="00BB6391">
        <w:t xml:space="preserve">retail </w:t>
      </w:r>
      <w:r w:rsidR="00894ED2">
        <w:t xml:space="preserve">export compensation rate at the time it exports.  Where the investment to install solar and storage onsite is less advantageous, virtual pairing </w:t>
      </w:r>
      <w:r w:rsidR="0035099C">
        <w:t xml:space="preserve">would </w:t>
      </w:r>
      <w:r w:rsidR="00894ED2">
        <w:t xml:space="preserve">support development of community storage to create economies of scale and enable customers to claim shares in community storage to absorb the generation and deliver it </w:t>
      </w:r>
      <w:r w:rsidR="003929B1">
        <w:t>at</w:t>
      </w:r>
      <w:r w:rsidR="00894ED2">
        <w:t xml:space="preserve"> times of greatest grid value.</w:t>
      </w:r>
    </w:p>
    <w:p w:rsidRPr="004663A6" w:rsidR="00894ED2" w:rsidP="005E7044" w:rsidRDefault="002B65EA" w14:paraId="776BA648" w14:textId="6F32520F">
      <w:pPr>
        <w:pStyle w:val="Standard"/>
      </w:pPr>
      <w:r>
        <w:t>Proposal 2</w:t>
      </w:r>
      <w:r w:rsidR="00894ED2">
        <w:t xml:space="preserve"> would remove the size limit for energy storage systems paired with </w:t>
      </w:r>
      <w:r w:rsidR="0034667E">
        <w:t>net energy metering generators, by extending the three</w:t>
      </w:r>
      <w:r w:rsidR="00827602">
        <w:noBreakHyphen/>
      </w:r>
      <w:r w:rsidR="0034667E">
        <w:t>year temporary suspension adopted in the Microgrids proceeding and extending the policy to all sizes of energy storage systems.</w:t>
      </w:r>
    </w:p>
    <w:p w:rsidR="00EF7EE1" w:rsidP="005E7044" w:rsidRDefault="00EF7EE1" w14:paraId="263E3A09" w14:textId="77777777">
      <w:pPr>
        <w:pStyle w:val="Heading2"/>
        <w:keepLines w:val="0"/>
      </w:pPr>
      <w:bookmarkStart w:name="_Toc117674057" w:id="50"/>
      <w:bookmarkStart w:name="_Toc118285048" w:id="51"/>
      <w:bookmarkStart w:name="_Toc121854375" w:id="52"/>
      <w:proofErr w:type="spellStart"/>
      <w:r>
        <w:t>CalWEA</w:t>
      </w:r>
      <w:proofErr w:type="spellEnd"/>
      <w:r w:rsidRPr="004663A6">
        <w:t xml:space="preserve"> </w:t>
      </w:r>
      <w:r>
        <w:t>Proposal</w:t>
      </w:r>
      <w:bookmarkEnd w:id="50"/>
      <w:bookmarkEnd w:id="51"/>
      <w:bookmarkEnd w:id="52"/>
    </w:p>
    <w:p w:rsidR="00533B2F" w:rsidP="005E7044" w:rsidRDefault="00EF7EE1" w14:paraId="19BFABE9" w14:textId="60CD881B">
      <w:pPr>
        <w:pStyle w:val="Standard"/>
      </w:pPr>
      <w:proofErr w:type="spellStart"/>
      <w:r>
        <w:t>CalWEA</w:t>
      </w:r>
      <w:proofErr w:type="spellEnd"/>
      <w:r>
        <w:t xml:space="preserve"> did not file a proposal for a successor but instead recommends six policies by which the Commission should judge the successor proposals</w:t>
      </w:r>
      <w:r w:rsidR="00555CC0">
        <w:t xml:space="preserve">:  </w:t>
      </w:r>
      <w:r w:rsidR="00732490">
        <w:t>(</w:t>
      </w:r>
      <w:r>
        <w:t>1)</w:t>
      </w:r>
      <w:r w:rsidR="00FE5621">
        <w:t> </w:t>
      </w:r>
      <w:r>
        <w:t>end the alleged cost</w:t>
      </w:r>
      <w:r w:rsidR="000563E5">
        <w:t xml:space="preserve"> </w:t>
      </w:r>
      <w:r>
        <w:t>shift from participating to non</w:t>
      </w:r>
      <w:r w:rsidR="00827602">
        <w:noBreakHyphen/>
      </w:r>
      <w:r>
        <w:t xml:space="preserve">participating customers; </w:t>
      </w:r>
      <w:r w:rsidR="00732490">
        <w:t>(</w:t>
      </w:r>
      <w:r>
        <w:t>2)</w:t>
      </w:r>
      <w:r w:rsidR="00FE5621">
        <w:t> </w:t>
      </w:r>
      <w:r>
        <w:t xml:space="preserve">reconcile potentially conflicting statutory goals and define </w:t>
      </w:r>
      <w:r w:rsidR="00BA1EAE">
        <w:t>“</w:t>
      </w:r>
      <w:r>
        <w:t>sustainable growth</w:t>
      </w:r>
      <w:r w:rsidR="00BA1EAE">
        <w:t>”</w:t>
      </w:r>
      <w:r w:rsidR="006E4CF1">
        <w:t>;</w:t>
      </w:r>
      <w:r>
        <w:t xml:space="preserve"> </w:t>
      </w:r>
      <w:r w:rsidR="006E4CF1">
        <w:t>(</w:t>
      </w:r>
      <w:r>
        <w:t>3)</w:t>
      </w:r>
      <w:r w:rsidR="00FE5621">
        <w:t> </w:t>
      </w:r>
      <w:r>
        <w:t>make any remaining cost</w:t>
      </w:r>
      <w:r w:rsidR="0029634B">
        <w:t xml:space="preserve"> </w:t>
      </w:r>
      <w:r>
        <w:t xml:space="preserve">shifting transparent and routinely reviewed; </w:t>
      </w:r>
      <w:r w:rsidR="006E4CF1">
        <w:t>(</w:t>
      </w:r>
      <w:r>
        <w:t>4)</w:t>
      </w:r>
      <w:r w:rsidR="00FE5621">
        <w:t> </w:t>
      </w:r>
      <w:r>
        <w:t>establish an income</w:t>
      </w:r>
      <w:r w:rsidR="00827602">
        <w:noBreakHyphen/>
      </w:r>
      <w:r>
        <w:t>based subsidy for participating customers</w:t>
      </w:r>
      <w:r w:rsidR="00C61F2D">
        <w:t>;</w:t>
      </w:r>
      <w:r>
        <w:t xml:space="preserve"> </w:t>
      </w:r>
      <w:r w:rsidR="006E4CF1">
        <w:t>(</w:t>
      </w:r>
      <w:r>
        <w:t>5)</w:t>
      </w:r>
      <w:r w:rsidR="00FE5621">
        <w:t> </w:t>
      </w:r>
      <w:r w:rsidR="0035099C">
        <w:t>do not equate equity</w:t>
      </w:r>
      <w:r>
        <w:t xml:space="preserve"> with installing customer generation at low</w:t>
      </w:r>
      <w:r w:rsidR="00827602">
        <w:noBreakHyphen/>
      </w:r>
      <w:r>
        <w:t xml:space="preserve">income households; and </w:t>
      </w:r>
      <w:r w:rsidR="006E4CF1">
        <w:t>(</w:t>
      </w:r>
      <w:r>
        <w:t>6)</w:t>
      </w:r>
      <w:r w:rsidR="00FE5621">
        <w:t> </w:t>
      </w:r>
      <w:r w:rsidR="0035099C">
        <w:t>require</w:t>
      </w:r>
      <w:r>
        <w:t xml:space="preserve"> </w:t>
      </w:r>
      <w:r w:rsidR="00602BC5">
        <w:t>NEM 1.0</w:t>
      </w:r>
      <w:r>
        <w:t xml:space="preserve"> and </w:t>
      </w:r>
      <w:r w:rsidR="00602BC5">
        <w:t>NEM 2.0</w:t>
      </w:r>
      <w:r w:rsidR="00135D55">
        <w:t xml:space="preserve"> </w:t>
      </w:r>
      <w:r>
        <w:t>customers</w:t>
      </w:r>
      <w:r w:rsidR="0035099C">
        <w:t xml:space="preserve"> </w:t>
      </w:r>
      <w:r w:rsidR="003929B1">
        <w:t xml:space="preserve">to </w:t>
      </w:r>
      <w:r w:rsidR="0035099C">
        <w:t>support any subsidies</w:t>
      </w:r>
      <w:r>
        <w:t>.</w:t>
      </w:r>
    </w:p>
    <w:p w:rsidR="004663A6" w:rsidP="005E7044" w:rsidRDefault="004663A6" w14:paraId="301F7A30" w14:textId="19C0EFE4">
      <w:pPr>
        <w:pStyle w:val="Heading2"/>
        <w:keepLines w:val="0"/>
      </w:pPr>
      <w:bookmarkStart w:name="_Toc117674058" w:id="53"/>
      <w:bookmarkStart w:name="_Toc118285049" w:id="54"/>
      <w:bookmarkStart w:name="_Toc121854376" w:id="55"/>
      <w:r>
        <w:t>Clean Coalition</w:t>
      </w:r>
      <w:r w:rsidRPr="004663A6">
        <w:t xml:space="preserve"> </w:t>
      </w:r>
      <w:r>
        <w:t>Proposal</w:t>
      </w:r>
      <w:bookmarkEnd w:id="53"/>
      <w:bookmarkEnd w:id="54"/>
      <w:bookmarkEnd w:id="55"/>
    </w:p>
    <w:p w:rsidRPr="004663A6" w:rsidR="004663A6" w:rsidP="005E7044" w:rsidRDefault="0034667E" w14:paraId="2BBA9D7F" w14:textId="5BE5ED90">
      <w:pPr>
        <w:pStyle w:val="Standard"/>
      </w:pPr>
      <w:r>
        <w:t>Clean Coalition proposes the Commission adopt a Feed</w:t>
      </w:r>
      <w:r w:rsidR="00827602">
        <w:noBreakHyphen/>
      </w:r>
      <w:r>
        <w:t xml:space="preserve">in Tariff, similar to the pilot program adopted by the </w:t>
      </w:r>
      <w:r w:rsidR="007061A7">
        <w:t>Los </w:t>
      </w:r>
      <w:r>
        <w:t xml:space="preserve">Angeles Department of Water and Power, as the successor to the current net energy metering tariff.  Clean Coalition </w:t>
      </w:r>
      <w:r>
        <w:lastRenderedPageBreak/>
        <w:t>proposes a flat rate combined with a Time of Delivery and seasonal multipliers to compensate behind</w:t>
      </w:r>
      <w:r w:rsidR="00827602">
        <w:noBreakHyphen/>
      </w:r>
      <w:r>
        <w:t>the</w:t>
      </w:r>
      <w:r w:rsidR="00827602">
        <w:noBreakHyphen/>
      </w:r>
      <w:r>
        <w:t>meter solar and energy storage on either side of the customer meter.  Clean Coalition recommends an incentive to deploy storage but opposes any transmission access charges or demand charges.</w:t>
      </w:r>
    </w:p>
    <w:p w:rsidRPr="00513D04" w:rsidR="004663A6" w:rsidP="005E7044" w:rsidRDefault="004663A6" w14:paraId="46F0A37F" w14:textId="0CD43562">
      <w:pPr>
        <w:pStyle w:val="Heading2"/>
        <w:keepLines w:val="0"/>
      </w:pPr>
      <w:bookmarkStart w:name="_Toc117674059" w:id="56"/>
      <w:bookmarkStart w:name="_Toc118285050" w:id="57"/>
      <w:bookmarkStart w:name="_Toc121854377" w:id="58"/>
      <w:r>
        <w:t xml:space="preserve">Foundation </w:t>
      </w:r>
      <w:proofErr w:type="spellStart"/>
      <w:r>
        <w:t>Wind</w:t>
      </w:r>
      <w:r w:rsidR="00C61F2D">
        <w:t>p</w:t>
      </w:r>
      <w:r>
        <w:t>ower</w:t>
      </w:r>
      <w:proofErr w:type="spellEnd"/>
      <w:r w:rsidR="002838AC">
        <w:br/>
      </w:r>
      <w:r w:rsidRPr="00513D04" w:rsidR="007C217B">
        <w:t>Recommendations</w:t>
      </w:r>
      <w:bookmarkEnd w:id="56"/>
      <w:bookmarkEnd w:id="57"/>
      <w:bookmarkEnd w:id="58"/>
    </w:p>
    <w:p w:rsidR="004663A6" w:rsidP="005E7044" w:rsidRDefault="0053488E" w14:paraId="17878AFF" w14:textId="6CC35428">
      <w:pPr>
        <w:pStyle w:val="Standard"/>
        <w:ind w:right="-90"/>
      </w:pPr>
      <w:r>
        <w:t xml:space="preserve">Foundation </w:t>
      </w:r>
      <w:proofErr w:type="spellStart"/>
      <w:r w:rsidR="00A27BA9">
        <w:t>Windpower</w:t>
      </w:r>
      <w:proofErr w:type="spellEnd"/>
      <w:r w:rsidR="00A27BA9">
        <w:t xml:space="preserve"> </w:t>
      </w:r>
      <w:r>
        <w:t xml:space="preserve">does not provide a proposal for a successor to the current tariff but rather provides </w:t>
      </w:r>
      <w:r w:rsidR="007C217B">
        <w:t xml:space="preserve">three </w:t>
      </w:r>
      <w:r>
        <w:t xml:space="preserve">recommendations solely for medium/large commercial, industrial, and agricultural customers.  First, Foundation </w:t>
      </w:r>
      <w:proofErr w:type="spellStart"/>
      <w:r w:rsidR="00A27BA9">
        <w:t>Windpower</w:t>
      </w:r>
      <w:proofErr w:type="spellEnd"/>
      <w:r w:rsidR="00A27BA9">
        <w:t xml:space="preserve"> </w:t>
      </w:r>
      <w:r>
        <w:t xml:space="preserve">recommends that for this customer class </w:t>
      </w:r>
      <w:r w:rsidR="00C61F2D">
        <w:t>(</w:t>
      </w:r>
      <w:r>
        <w:t>with demand greater than 50</w:t>
      </w:r>
      <w:r w:rsidR="00B94F01">
        <w:t>0 kilowatt</w:t>
      </w:r>
      <w:r w:rsidR="00C61F2D">
        <w:t xml:space="preserve">s, </w:t>
      </w:r>
      <w:r>
        <w:t>with fixed and demand charges</w:t>
      </w:r>
      <w:r w:rsidR="00C61F2D">
        <w:t xml:space="preserve">, and </w:t>
      </w:r>
      <w:r>
        <w:t>who install behind</w:t>
      </w:r>
      <w:r w:rsidR="00827602">
        <w:noBreakHyphen/>
      </w:r>
      <w:r>
        <w:t>the</w:t>
      </w:r>
      <w:r w:rsidR="00827602">
        <w:noBreakHyphen/>
      </w:r>
      <w:r>
        <w:t xml:space="preserve">meter wind energy facilities at </w:t>
      </w:r>
      <w:r w:rsidR="00B94F01">
        <w:t>1 megawatt</w:t>
      </w:r>
      <w:r>
        <w:t xml:space="preserve"> or greater</w:t>
      </w:r>
      <w:r w:rsidR="00C61F2D">
        <w:t>),</w:t>
      </w:r>
      <w:r>
        <w:t xml:space="preserve"> the Commission should provide an option to remain on the current tariff or opt</w:t>
      </w:r>
      <w:r w:rsidR="00827602">
        <w:noBreakHyphen/>
      </w:r>
      <w:r>
        <w:t xml:space="preserve">in to any new successor tariff.  Second, Foundation </w:t>
      </w:r>
      <w:proofErr w:type="spellStart"/>
      <w:r w:rsidR="00A27BA9">
        <w:t>Windpower</w:t>
      </w:r>
      <w:proofErr w:type="spellEnd"/>
      <w:r w:rsidR="00A27BA9">
        <w:t xml:space="preserve"> </w:t>
      </w:r>
      <w:r>
        <w:t xml:space="preserve">contends the Commission should find that customers with wind energy facilities sized at </w:t>
      </w:r>
      <w:r w:rsidR="00B94F01">
        <w:t>1 megawatt</w:t>
      </w:r>
      <w:r>
        <w:t xml:space="preserve"> or greater and where net excess generation compensation does not exceed its value to the grid do not have significant impact on the distribution grid. </w:t>
      </w:r>
      <w:r w:rsidR="00150111">
        <w:t xml:space="preserve"> </w:t>
      </w:r>
      <w:r>
        <w:t xml:space="preserve">Third, Foundation </w:t>
      </w:r>
      <w:proofErr w:type="spellStart"/>
      <w:r w:rsidR="00A27BA9">
        <w:t>Windpower</w:t>
      </w:r>
      <w:proofErr w:type="spellEnd"/>
      <w:r w:rsidR="00A27BA9">
        <w:t xml:space="preserve"> </w:t>
      </w:r>
      <w:r>
        <w:t xml:space="preserve">also contends that the Commission should </w:t>
      </w:r>
      <w:r w:rsidR="007C217B">
        <w:t>permit currently installed wind energy generation facilities that have been de</w:t>
      </w:r>
      <w:r w:rsidR="00827602">
        <w:noBreakHyphen/>
      </w:r>
      <w:r w:rsidR="007C217B">
        <w:t>rated from the manufacturer’s original nameplate capacity down to 1.</w:t>
      </w:r>
      <w:r w:rsidR="00B94F01">
        <w:t>0 megawatt</w:t>
      </w:r>
      <w:r w:rsidR="007C217B">
        <w:t xml:space="preserve"> to operate at their intended nameplate capacity provided that</w:t>
      </w:r>
      <w:r w:rsidR="00AC11D3">
        <w:t xml:space="preserve"> </w:t>
      </w:r>
      <w:r w:rsidR="007C217B">
        <w:t>doing so would cause no significant impacts on the distribution grid.</w:t>
      </w:r>
    </w:p>
    <w:p w:rsidR="000614BC" w:rsidP="005E7044" w:rsidRDefault="00C61F2D" w14:paraId="6ACB51C4" w14:textId="1C7567E1">
      <w:pPr>
        <w:pStyle w:val="Heading2"/>
        <w:keepLines w:val="0"/>
      </w:pPr>
      <w:bookmarkStart w:name="_Toc117674060" w:id="59"/>
      <w:bookmarkStart w:name="_Toc118285051" w:id="60"/>
      <w:bookmarkStart w:name="_Toc121854378" w:id="61"/>
      <w:r>
        <w:t>GRID</w:t>
      </w:r>
      <w:r w:rsidR="000614BC">
        <w:t xml:space="preserve"> Alternatives/Vote Solar/</w:t>
      </w:r>
      <w:r w:rsidR="00A22588">
        <w:br/>
      </w:r>
      <w:r w:rsidR="000614BC">
        <w:t>Sierra Club Proposal</w:t>
      </w:r>
      <w:bookmarkEnd w:id="59"/>
      <w:bookmarkEnd w:id="60"/>
      <w:bookmarkEnd w:id="61"/>
    </w:p>
    <w:p w:rsidR="000614BC" w:rsidP="005E7044" w:rsidRDefault="000614BC" w14:paraId="150CB063" w14:textId="023DEAAA">
      <w:pPr>
        <w:pStyle w:val="Standard"/>
      </w:pPr>
      <w:bookmarkStart w:name="_Hlk86334036" w:id="62"/>
      <w:r>
        <w:t>The G</w:t>
      </w:r>
      <w:r w:rsidR="00C61F2D">
        <w:t>RID</w:t>
      </w:r>
      <w:r>
        <w:t xml:space="preserve"> </w:t>
      </w:r>
      <w:r w:rsidR="001C71AF">
        <w:rPr>
          <w:i/>
          <w:iCs/>
        </w:rPr>
        <w:t>et al</w:t>
      </w:r>
      <w:r>
        <w:t>. proposal is the adoption of two policies</w:t>
      </w:r>
      <w:r w:rsidR="00555CC0">
        <w:t xml:space="preserve">:  </w:t>
      </w:r>
      <w:r w:rsidR="00837708">
        <w:t>(</w:t>
      </w:r>
      <w:r>
        <w:t>1)</w:t>
      </w:r>
      <w:r w:rsidR="00837708">
        <w:t> </w:t>
      </w:r>
      <w:r>
        <w:t>reducing low</w:t>
      </w:r>
      <w:r w:rsidR="00827602">
        <w:noBreakHyphen/>
      </w:r>
      <w:r>
        <w:t>income energy burden by equalizing the net energy metering export value</w:t>
      </w:r>
      <w:r w:rsidR="00837708">
        <w:t>;</w:t>
      </w:r>
      <w:r>
        <w:t xml:space="preserve"> and </w:t>
      </w:r>
      <w:r w:rsidR="00837708">
        <w:t>(</w:t>
      </w:r>
      <w:r>
        <w:t>2)</w:t>
      </w:r>
      <w:r w:rsidR="00837708">
        <w:t> </w:t>
      </w:r>
      <w:r>
        <w:t xml:space="preserve">extending the benefits of the current net energy metering tariff for </w:t>
      </w:r>
      <w:r>
        <w:lastRenderedPageBreak/>
        <w:t>20</w:t>
      </w:r>
      <w:r w:rsidR="00A51CDC">
        <w:t> </w:t>
      </w:r>
      <w:r>
        <w:t>years for projects owned and controlled by a California cooperative corporation or nonprofit organization.  The proposal does not opine on other aspects of the successor to the net energy metering tariff.</w:t>
      </w:r>
    </w:p>
    <w:p w:rsidR="000614BC" w:rsidP="005E7044" w:rsidRDefault="000614BC" w14:paraId="22D773E6" w14:textId="4FBE3A2F">
      <w:pPr>
        <w:pStyle w:val="Standard"/>
      </w:pPr>
      <w:r>
        <w:t>The energy burden reduction policy would apply to customers with incomes less than or equal to 8</w:t>
      </w:r>
      <w:r w:rsidR="00C04724">
        <w:t>0 percent</w:t>
      </w:r>
      <w:r>
        <w:t xml:space="preserve"> of the </w:t>
      </w:r>
      <w:r w:rsidR="00AA497E">
        <w:t>AMI</w:t>
      </w:r>
      <w:r>
        <w:t xml:space="preserve"> and would be applicable on all future net energy metering tariffs, including </w:t>
      </w:r>
      <w:proofErr w:type="spellStart"/>
      <w:r>
        <w:t>VNEM</w:t>
      </w:r>
      <w:proofErr w:type="spellEnd"/>
      <w:r>
        <w:t xml:space="preserve">.  </w:t>
      </w:r>
      <w:r w:rsidR="00C61F2D">
        <w:t>GRID</w:t>
      </w:r>
      <w:r>
        <w:t xml:space="preserve"> </w:t>
      </w:r>
      <w:r w:rsidR="001C71AF">
        <w:rPr>
          <w:i/>
          <w:iCs/>
        </w:rPr>
        <w:t>et al</w:t>
      </w:r>
      <w:r>
        <w:t>. proposes eligible customers would remain on their retail rate for imports but would be assigned a time</w:t>
      </w:r>
      <w:r w:rsidR="00827602">
        <w:noBreakHyphen/>
      </w:r>
      <w:r>
        <w:t>varying rate for exports equal to the 2021</w:t>
      </w:r>
      <w:r w:rsidR="00A51CDC">
        <w:t> </w:t>
      </w:r>
      <w:r>
        <w:t>default residential time</w:t>
      </w:r>
      <w:r w:rsidR="00827602">
        <w:noBreakHyphen/>
      </w:r>
      <w:r>
        <w:t>of</w:t>
      </w:r>
      <w:r w:rsidR="00827602">
        <w:noBreakHyphen/>
      </w:r>
      <w:r>
        <w:t>use rate.  This rate would remain in place for 20</w:t>
      </w:r>
      <w:r w:rsidR="00A51CDC">
        <w:t> </w:t>
      </w:r>
      <w:r>
        <w:t>years from interconnection and remain fixed to 2021 values, thus reducing the nonparticipant cost shift impact over time</w:t>
      </w:r>
      <w:r w:rsidR="00F743F3">
        <w:t xml:space="preserve">, compared to </w:t>
      </w:r>
      <w:r w:rsidR="00602BC5">
        <w:t>NEM 2.0</w:t>
      </w:r>
      <w:r>
        <w:t xml:space="preserve">.  Eligible customers would be billed on a net billing basis.  </w:t>
      </w:r>
      <w:r w:rsidR="00C61F2D">
        <w:t>GRID</w:t>
      </w:r>
      <w:r>
        <w:t xml:space="preserve"> </w:t>
      </w:r>
      <w:r w:rsidR="001C71AF">
        <w:rPr>
          <w:i/>
          <w:iCs/>
        </w:rPr>
        <w:t>et al</w:t>
      </w:r>
      <w:r w:rsidRPr="00A943E5" w:rsidR="003D1AE6">
        <w:rPr>
          <w:i/>
          <w:iCs/>
        </w:rPr>
        <w:t>.</w:t>
      </w:r>
      <w:r>
        <w:t xml:space="preserve"> proposes the net costs of this policy would be assigned to all ratepayers.</w:t>
      </w:r>
    </w:p>
    <w:p w:rsidR="00490092" w:rsidP="005E7044" w:rsidRDefault="000614BC" w14:paraId="19BD16AC" w14:textId="39C5514A">
      <w:pPr>
        <w:pStyle w:val="Standard"/>
      </w:pPr>
      <w:r w:rsidRPr="003D1AE6">
        <w:rPr>
          <w:szCs w:val="26"/>
        </w:rPr>
        <w:t xml:space="preserve">The community projects policy would apply to </w:t>
      </w:r>
      <w:r w:rsidRPr="003D1AE6">
        <w:rPr>
          <w:color w:val="000000"/>
          <w:szCs w:val="26"/>
        </w:rPr>
        <w:t xml:space="preserve">projects owned and controlled by a California cooperative corporation or nonprofit organization, or a public entity, representing an </w:t>
      </w:r>
      <w:r w:rsidR="00F743F3">
        <w:rPr>
          <w:color w:val="000000"/>
          <w:szCs w:val="26"/>
        </w:rPr>
        <w:t>Environmental and Social Justice (</w:t>
      </w:r>
      <w:proofErr w:type="spellStart"/>
      <w:r w:rsidRPr="003D1AE6">
        <w:rPr>
          <w:color w:val="000000"/>
          <w:szCs w:val="26"/>
        </w:rPr>
        <w:t>ESJ</w:t>
      </w:r>
      <w:proofErr w:type="spellEnd"/>
      <w:r w:rsidR="00F743F3">
        <w:rPr>
          <w:color w:val="000000"/>
          <w:szCs w:val="26"/>
        </w:rPr>
        <w:t>)</w:t>
      </w:r>
      <w:r w:rsidRPr="003D1AE6">
        <w:rPr>
          <w:color w:val="000000"/>
          <w:szCs w:val="26"/>
        </w:rPr>
        <w:t xml:space="preserve"> community.  The policy would not limit the geographic locations of the projects.  </w:t>
      </w:r>
      <w:r w:rsidRPr="003D1AE6" w:rsidR="00C61F2D">
        <w:rPr>
          <w:color w:val="000000"/>
          <w:szCs w:val="26"/>
        </w:rPr>
        <w:t>GRID</w:t>
      </w:r>
      <w:r w:rsidRPr="003D1AE6">
        <w:rPr>
          <w:color w:val="000000"/>
          <w:szCs w:val="26"/>
        </w:rPr>
        <w:t xml:space="preserve"> </w:t>
      </w:r>
      <w:r w:rsidR="001C71AF">
        <w:rPr>
          <w:i/>
          <w:iCs/>
          <w:color w:val="000000"/>
          <w:szCs w:val="26"/>
        </w:rPr>
        <w:t>et al</w:t>
      </w:r>
      <w:r w:rsidRPr="00A943E5">
        <w:rPr>
          <w:i/>
          <w:iCs/>
          <w:color w:val="000000"/>
          <w:szCs w:val="26"/>
        </w:rPr>
        <w:t>.</w:t>
      </w:r>
      <w:r w:rsidRPr="003D1AE6">
        <w:rPr>
          <w:color w:val="000000"/>
          <w:szCs w:val="26"/>
        </w:rPr>
        <w:t xml:space="preserve"> proposes maintaining the structure of the current net energy metering tariff for 20 years from interconnection of the new projects</w:t>
      </w:r>
      <w:r w:rsidRPr="003D1AE6">
        <w:rPr>
          <w:szCs w:val="26"/>
        </w:rPr>
        <w:t>.  G</w:t>
      </w:r>
      <w:r w:rsidRPr="003D1AE6" w:rsidR="00C61F2D">
        <w:rPr>
          <w:szCs w:val="26"/>
        </w:rPr>
        <w:t>RID</w:t>
      </w:r>
      <w:r w:rsidRPr="003D1AE6">
        <w:rPr>
          <w:szCs w:val="26"/>
        </w:rPr>
        <w:t xml:space="preserve"> </w:t>
      </w:r>
      <w:r w:rsidR="001C71AF">
        <w:rPr>
          <w:i/>
          <w:iCs/>
          <w:szCs w:val="26"/>
        </w:rPr>
        <w:t>et al</w:t>
      </w:r>
      <w:r w:rsidRPr="003D1AE6">
        <w:rPr>
          <w:szCs w:val="26"/>
        </w:rPr>
        <w:t>. notes this policy is not meant to nor does it address the nonparticipant cost shift impacts.  Rather, this policy</w:t>
      </w:r>
      <w:r>
        <w:t xml:space="preserve"> is meant to increase the deployment of clean energy among middle and lower</w:t>
      </w:r>
      <w:r w:rsidR="00827602">
        <w:noBreakHyphen/>
      </w:r>
      <w:r>
        <w:t>income customers.</w:t>
      </w:r>
    </w:p>
    <w:p w:rsidR="004663A6" w:rsidP="005E7044" w:rsidRDefault="007670A4" w14:paraId="32CBA507" w14:textId="123F195F">
      <w:pPr>
        <w:pStyle w:val="Heading2"/>
        <w:keepLines w:val="0"/>
      </w:pPr>
      <w:bookmarkStart w:name="_Toc117674061" w:id="63"/>
      <w:bookmarkStart w:name="_Toc118285052" w:id="64"/>
      <w:bookmarkStart w:name="_Toc121854379" w:id="65"/>
      <w:bookmarkEnd w:id="62"/>
      <w:r>
        <w:t>Ivy E</w:t>
      </w:r>
      <w:r w:rsidR="00C45FAC">
        <w:t>nergy</w:t>
      </w:r>
      <w:r w:rsidRPr="004663A6" w:rsidR="004663A6">
        <w:t xml:space="preserve"> </w:t>
      </w:r>
      <w:r w:rsidR="007C217B">
        <w:t xml:space="preserve">Multifamily </w:t>
      </w:r>
      <w:proofErr w:type="spellStart"/>
      <w:r w:rsidR="007C217B">
        <w:t>VNEM</w:t>
      </w:r>
      <w:proofErr w:type="spellEnd"/>
      <w:r w:rsidR="007C217B">
        <w:t xml:space="preserve"> </w:t>
      </w:r>
      <w:r w:rsidR="004663A6">
        <w:t>Proposal</w:t>
      </w:r>
      <w:bookmarkEnd w:id="63"/>
      <w:bookmarkEnd w:id="64"/>
      <w:bookmarkEnd w:id="65"/>
    </w:p>
    <w:p w:rsidRPr="00C45FAC" w:rsidR="000614BC" w:rsidP="005E7044" w:rsidRDefault="007670A4" w14:paraId="5BEA7FCD" w14:textId="509A8934">
      <w:pPr>
        <w:pStyle w:val="Standard"/>
      </w:pPr>
      <w:r>
        <w:t>Ivy E</w:t>
      </w:r>
      <w:r w:rsidR="007C217B">
        <w:t xml:space="preserve">nergy’s proposal focuses on a </w:t>
      </w:r>
      <w:proofErr w:type="spellStart"/>
      <w:r w:rsidR="007C217B">
        <w:t>VNEM</w:t>
      </w:r>
      <w:proofErr w:type="spellEnd"/>
      <w:r w:rsidR="007C217B">
        <w:t xml:space="preserve"> </w:t>
      </w:r>
      <w:proofErr w:type="spellStart"/>
      <w:r w:rsidR="00DE2B90">
        <w:t>sub</w:t>
      </w:r>
      <w:r w:rsidR="007C217B">
        <w:t>tariff</w:t>
      </w:r>
      <w:proofErr w:type="spellEnd"/>
      <w:r w:rsidR="007C217B">
        <w:t xml:space="preserve"> for multifamily dwellings and proposes to maintain the existing </w:t>
      </w:r>
      <w:proofErr w:type="spellStart"/>
      <w:r w:rsidR="007C217B">
        <w:t>VNEM</w:t>
      </w:r>
      <w:proofErr w:type="spellEnd"/>
      <w:r w:rsidR="007C217B">
        <w:t xml:space="preserve"> </w:t>
      </w:r>
      <w:proofErr w:type="spellStart"/>
      <w:r w:rsidR="00DE2B90">
        <w:t>sub</w:t>
      </w:r>
      <w:r w:rsidR="007C217B">
        <w:t>tariff</w:t>
      </w:r>
      <w:proofErr w:type="spellEnd"/>
      <w:r w:rsidR="007C217B">
        <w:t xml:space="preserve"> structure and </w:t>
      </w:r>
      <w:r w:rsidR="00BB6391">
        <w:t xml:space="preserve">retail </w:t>
      </w:r>
      <w:r w:rsidR="007C217B">
        <w:t>export compensation until reservation capacity reaches 10,</w:t>
      </w:r>
      <w:r w:rsidR="00D516D1">
        <w:t>00</w:t>
      </w:r>
      <w:r w:rsidR="00B94F01">
        <w:t>0 megawatt</w:t>
      </w:r>
      <w:r w:rsidR="00D516D1">
        <w:t xml:space="preserve">s, </w:t>
      </w:r>
      <w:r w:rsidR="007C217B">
        <w:lastRenderedPageBreak/>
        <w:t>at which time</w:t>
      </w:r>
      <w:r w:rsidR="00D516D1">
        <w:t xml:space="preserve"> the Commission would then transition </w:t>
      </w:r>
      <w:proofErr w:type="spellStart"/>
      <w:r w:rsidR="00D516D1">
        <w:t>VNEM</w:t>
      </w:r>
      <w:proofErr w:type="spellEnd"/>
      <w:r w:rsidR="00D516D1">
        <w:t xml:space="preserve"> to the successor tariff.  </w:t>
      </w:r>
      <w:r>
        <w:t>Ivy E</w:t>
      </w:r>
      <w:r w:rsidR="00D516D1">
        <w:t xml:space="preserve">nergy proposes several changes to the current </w:t>
      </w:r>
      <w:proofErr w:type="spellStart"/>
      <w:r w:rsidR="00D516D1">
        <w:t>VNEM</w:t>
      </w:r>
      <w:proofErr w:type="spellEnd"/>
      <w:r w:rsidR="00D516D1">
        <w:t xml:space="preserve"> </w:t>
      </w:r>
      <w:proofErr w:type="spellStart"/>
      <w:r w:rsidR="00DE2B90">
        <w:t>sub</w:t>
      </w:r>
      <w:r w:rsidR="00D516D1">
        <w:t>tariff</w:t>
      </w:r>
      <w:proofErr w:type="spellEnd"/>
      <w:r w:rsidR="00D516D1">
        <w:t xml:space="preserve">.  First, </w:t>
      </w:r>
      <w:r>
        <w:t>Ivy E</w:t>
      </w:r>
      <w:r w:rsidR="009D4990">
        <w:t xml:space="preserve">nergy </w:t>
      </w:r>
      <w:r w:rsidR="00D516D1">
        <w:t xml:space="preserve">recommends the Commission adopt the requirement of a firm timeline of 30 days for utilities to update benefiting account lists when requested and an update </w:t>
      </w:r>
      <w:r w:rsidR="003929B1">
        <w:t xml:space="preserve">to the utilities’ </w:t>
      </w:r>
      <w:r w:rsidR="00D516D1">
        <w:t xml:space="preserve">notification process.  </w:t>
      </w:r>
      <w:r>
        <w:t>Ivy E</w:t>
      </w:r>
      <w:r w:rsidR="009D4990">
        <w:t xml:space="preserve">nergy </w:t>
      </w:r>
      <w:r w:rsidR="00D516D1">
        <w:t>also recommends allowing CARE customers to retain their discount when a shared distributed energy resource is installed, thus allowing CARE benefits to be provided on an aggregated basis</w:t>
      </w:r>
      <w:r w:rsidR="00271BB0">
        <w:t>,</w:t>
      </w:r>
      <w:r w:rsidR="00D516D1">
        <w:t xml:space="preserve"> similar to master metered arrangements.</w:t>
      </w:r>
      <w:r w:rsidR="009D4990">
        <w:t xml:space="preserve">  </w:t>
      </w:r>
      <w:r>
        <w:t>Ivy E</w:t>
      </w:r>
      <w:r w:rsidR="009D4990">
        <w:t xml:space="preserve">nergy also suggests the Commission </w:t>
      </w:r>
      <w:r w:rsidR="0029166C">
        <w:t xml:space="preserve">could </w:t>
      </w:r>
      <w:r w:rsidR="009D4990">
        <w:t xml:space="preserve">offer additional incentives to existing multifamily properties to encourage the installation of new </w:t>
      </w:r>
      <w:proofErr w:type="spellStart"/>
      <w:r w:rsidR="009D4990">
        <w:t>VNEM</w:t>
      </w:r>
      <w:proofErr w:type="spellEnd"/>
      <w:r w:rsidR="009D4990">
        <w:t xml:space="preserve"> systems.</w:t>
      </w:r>
      <w:r w:rsidR="0029166C">
        <w:rPr>
          <w:rStyle w:val="FootnoteReference"/>
        </w:rPr>
        <w:footnoteReference w:id="35"/>
      </w:r>
    </w:p>
    <w:p w:rsidR="004663A6" w:rsidP="005E7044" w:rsidRDefault="00C45FAC" w14:paraId="7B06AF10" w14:textId="35CD583C">
      <w:pPr>
        <w:pStyle w:val="Heading2"/>
        <w:keepLines w:val="0"/>
      </w:pPr>
      <w:bookmarkStart w:name="_Toc117674062" w:id="66"/>
      <w:bookmarkStart w:name="_Toc118285053" w:id="67"/>
      <w:bookmarkStart w:name="_Toc121854380" w:id="68"/>
      <w:r>
        <w:t xml:space="preserve">Joint Utilities </w:t>
      </w:r>
      <w:r w:rsidR="004663A6">
        <w:t>Proposal</w:t>
      </w:r>
      <w:bookmarkEnd w:id="66"/>
      <w:bookmarkEnd w:id="67"/>
      <w:bookmarkEnd w:id="68"/>
    </w:p>
    <w:p w:rsidR="00533B2F" w:rsidP="005E7044" w:rsidRDefault="003213E6" w14:paraId="5F2B7B8C" w14:textId="7252FA63">
      <w:pPr>
        <w:pStyle w:val="Standard"/>
      </w:pPr>
      <w:r>
        <w:t>Joint Utilities</w:t>
      </w:r>
      <w:r w:rsidR="009D4990">
        <w:t xml:space="preserve"> propose a </w:t>
      </w:r>
      <w:r w:rsidR="00E21578">
        <w:t>d</w:t>
      </w:r>
      <w:r w:rsidR="009D4990">
        <w:t xml:space="preserve">istributed </w:t>
      </w:r>
      <w:r w:rsidR="00E21578">
        <w:t>g</w:t>
      </w:r>
      <w:r w:rsidR="009D4990">
        <w:t xml:space="preserve">eneration </w:t>
      </w:r>
      <w:r w:rsidR="00E21578">
        <w:t>s</w:t>
      </w:r>
      <w:r w:rsidR="009D4990">
        <w:t xml:space="preserve">uccessor </w:t>
      </w:r>
      <w:r w:rsidR="00E21578">
        <w:t>t</w:t>
      </w:r>
      <w:r w:rsidR="009D4990">
        <w:t xml:space="preserve">ariff </w:t>
      </w:r>
      <w:r w:rsidR="0031365C">
        <w:t xml:space="preserve">for both residential and </w:t>
      </w:r>
      <w:r w:rsidR="00890222">
        <w:t>nonresidential</w:t>
      </w:r>
      <w:r w:rsidR="0031365C">
        <w:t xml:space="preserve"> customers</w:t>
      </w:r>
      <w:r w:rsidR="00972652">
        <w:t xml:space="preserve">, which </w:t>
      </w:r>
      <w:r w:rsidR="009D4990">
        <w:t xml:space="preserve">is focused on a net billing arrangement that sets </w:t>
      </w:r>
      <w:r w:rsidR="00BB6391">
        <w:t xml:space="preserve">retail </w:t>
      </w:r>
      <w:r w:rsidR="009D4990">
        <w:t xml:space="preserve">export compensation </w:t>
      </w:r>
      <w:r w:rsidR="00BB6391">
        <w:t xml:space="preserve">rates </w:t>
      </w:r>
      <w:r w:rsidR="009D4990">
        <w:t xml:space="preserve">based on avoided costs </w:t>
      </w:r>
      <w:r w:rsidR="006F3855">
        <w:t xml:space="preserve">as determined in the Avoided Cost Calculator, </w:t>
      </w:r>
      <w:r w:rsidR="009D4990">
        <w:t>while also recovering transmission, distribution, and public purpose costs.</w:t>
      </w:r>
    </w:p>
    <w:p w:rsidR="00C45FAC" w:rsidP="005E7044" w:rsidRDefault="003213E6" w14:paraId="6153DF39" w14:textId="596DBDAE">
      <w:pPr>
        <w:pStyle w:val="Standard"/>
      </w:pPr>
      <w:r>
        <w:t>Joint Utilities</w:t>
      </w:r>
      <w:r w:rsidR="009D4990">
        <w:t xml:space="preserve"> recommend establishing </w:t>
      </w:r>
      <w:r w:rsidR="00BB6391">
        <w:t xml:space="preserve">retail </w:t>
      </w:r>
      <w:r w:rsidR="009D4990">
        <w:t>export compensation rates by using the 8,760 hourly avoided cost values produced by the Avoided Cost Calculator, weighting the avoided costs by metered customers’ exports, and capping rates at no more than the corresponding retail commodity volumetric rate in each time</w:t>
      </w:r>
      <w:r w:rsidR="00F61E0B">
        <w:t xml:space="preserve"> </w:t>
      </w:r>
      <w:r w:rsidR="009D4990">
        <w:t>period.  The resulting rates would be updated annually following the adoption of the annual Avoided Cost Calculator.</w:t>
      </w:r>
    </w:p>
    <w:p w:rsidR="009D4990" w:rsidP="005E7044" w:rsidRDefault="003213E6" w14:paraId="18D1AEC4" w14:textId="47314BD4">
      <w:pPr>
        <w:pStyle w:val="Standard"/>
      </w:pPr>
      <w:r>
        <w:t>Joint Utilities</w:t>
      </w:r>
      <w:r w:rsidR="009D4990">
        <w:t xml:space="preserve"> propose </w:t>
      </w:r>
      <w:r w:rsidR="00F61E0B">
        <w:t>a two</w:t>
      </w:r>
      <w:r w:rsidR="00827602">
        <w:noBreakHyphen/>
      </w:r>
      <w:r w:rsidR="00F61E0B">
        <w:t>part rate for import</w:t>
      </w:r>
      <w:r w:rsidR="009E7BB4">
        <w:t>s</w:t>
      </w:r>
      <w:r w:rsidR="00F61E0B">
        <w:t xml:space="preserve"> from the grid, which would require net energy metering customers to be placed on cost</w:t>
      </w:r>
      <w:r w:rsidR="00827602">
        <w:noBreakHyphen/>
      </w:r>
      <w:r w:rsidR="00F61E0B">
        <w:t xml:space="preserve">based </w:t>
      </w:r>
      <w:r w:rsidR="00F61E0B">
        <w:lastRenderedPageBreak/>
        <w:t>time</w:t>
      </w:r>
      <w:r w:rsidR="00827602">
        <w:noBreakHyphen/>
      </w:r>
      <w:r w:rsidR="00F61E0B">
        <w:t>of</w:t>
      </w:r>
      <w:r w:rsidR="00827602">
        <w:noBreakHyphen/>
      </w:r>
      <w:r w:rsidR="00F61E0B">
        <w:t xml:space="preserve">use differentials and a monthly </w:t>
      </w:r>
      <w:r w:rsidR="000B7693">
        <w:t>g</w:t>
      </w:r>
      <w:r w:rsidR="00F61E0B">
        <w:t xml:space="preserve">rid </w:t>
      </w:r>
      <w:r w:rsidR="000B7693">
        <w:t>b</w:t>
      </w:r>
      <w:r w:rsidR="00F61E0B">
        <w:t xml:space="preserve">enefits </w:t>
      </w:r>
      <w:r w:rsidR="000B7693">
        <w:t>c</w:t>
      </w:r>
      <w:r w:rsidR="00F61E0B">
        <w:t>harge based on installed capacity.</w:t>
      </w:r>
    </w:p>
    <w:p w:rsidR="009E7BB4" w:rsidP="005E7044" w:rsidRDefault="009E7BB4" w14:paraId="4D72F28D" w14:textId="61AD8A06">
      <w:pPr>
        <w:pStyle w:val="Standard"/>
      </w:pPr>
      <w:r>
        <w:t xml:space="preserve">With respect to billing arrangements, </w:t>
      </w:r>
      <w:r w:rsidR="007375D9">
        <w:t>Joint Utilities</w:t>
      </w:r>
      <w:r>
        <w:t xml:space="preserve"> propose for each billing cycle, a customer’s exported energy </w:t>
      </w:r>
      <w:r w:rsidR="00C53825">
        <w:t xml:space="preserve">would </w:t>
      </w:r>
      <w:r>
        <w:t xml:space="preserve">be priced at the applicable </w:t>
      </w:r>
      <w:r w:rsidR="00BB6391">
        <w:t xml:space="preserve">retail </w:t>
      </w:r>
      <w:r>
        <w:t>export compensation rate explained above and depending on the time</w:t>
      </w:r>
      <w:r w:rsidR="00827602">
        <w:noBreakHyphen/>
      </w:r>
      <w:r>
        <w:t>of</w:t>
      </w:r>
      <w:r w:rsidR="00827602">
        <w:noBreakHyphen/>
      </w:r>
      <w:r>
        <w:t xml:space="preserve">use period, up to the amount that is delivered to the customer during the billing period.  Any remaining exported energy </w:t>
      </w:r>
      <w:r w:rsidR="00C53825">
        <w:t xml:space="preserve">would </w:t>
      </w:r>
      <w:r>
        <w:t xml:space="preserve">be paid at the monthly net surplus compensation rate.  </w:t>
      </w:r>
      <w:r w:rsidR="007375D9">
        <w:t>Joint Utilities</w:t>
      </w:r>
      <w:r>
        <w:t xml:space="preserve"> propose </w:t>
      </w:r>
      <w:r w:rsidR="007375D9">
        <w:t>a monthly true</w:t>
      </w:r>
      <w:r w:rsidR="00827602">
        <w:noBreakHyphen/>
      </w:r>
      <w:r w:rsidR="007375D9">
        <w:t xml:space="preserve">up in which </w:t>
      </w:r>
      <w:r>
        <w:t xml:space="preserve">no energy credits would be banked or carried forward from prior billing cycles.  </w:t>
      </w:r>
      <w:r w:rsidR="007375D9">
        <w:t>Joint Utilities</w:t>
      </w:r>
      <w:r>
        <w:t xml:space="preserve"> explain that customers </w:t>
      </w:r>
      <w:r w:rsidR="00C53825">
        <w:t xml:space="preserve">would </w:t>
      </w:r>
      <w:r>
        <w:t>only be allowed to offset within each time</w:t>
      </w:r>
      <w:r w:rsidR="00827602">
        <w:noBreakHyphen/>
      </w:r>
      <w:r>
        <w:t>of</w:t>
      </w:r>
      <w:r w:rsidR="00827602">
        <w:noBreakHyphen/>
      </w:r>
      <w:r>
        <w:t>use period and not offset kilowatt</w:t>
      </w:r>
      <w:r w:rsidR="00827602">
        <w:noBreakHyphen/>
      </w:r>
      <w:r>
        <w:t>hours exported during low</w:t>
      </w:r>
      <w:r w:rsidR="00827602">
        <w:noBreakHyphen/>
      </w:r>
      <w:r>
        <w:t>cost hours against grid consumption during high</w:t>
      </w:r>
      <w:r w:rsidR="00827602">
        <w:noBreakHyphen/>
      </w:r>
      <w:r>
        <w:t>cost on</w:t>
      </w:r>
      <w:r w:rsidR="00827602">
        <w:noBreakHyphen/>
      </w:r>
      <w:r>
        <w:t>peak hours.</w:t>
      </w:r>
    </w:p>
    <w:p w:rsidR="0031365C" w:rsidP="005E7044" w:rsidRDefault="0031365C" w14:paraId="62E08774" w14:textId="1CDB536D">
      <w:pPr>
        <w:pStyle w:val="Standard"/>
      </w:pPr>
      <w:r>
        <w:t xml:space="preserve">To address equity issues, </w:t>
      </w:r>
      <w:r w:rsidR="007375D9">
        <w:t>Joint Utilities</w:t>
      </w:r>
      <w:r>
        <w:t xml:space="preserve"> propose a transitional Income</w:t>
      </w:r>
      <w:r w:rsidR="00827602">
        <w:noBreakHyphen/>
      </w:r>
      <w:r>
        <w:t>Qualified Rider to be applied in conjunction with programs for which a customer might qualify, including CARE, FERA, and Medical Baseline, and would operate alongside any low</w:t>
      </w:r>
      <w:r w:rsidR="00827602">
        <w:noBreakHyphen/>
      </w:r>
      <w:r>
        <w:t xml:space="preserve">income solar incentive program.  Here, </w:t>
      </w:r>
      <w:r w:rsidR="007375D9">
        <w:t>Joint Utilities</w:t>
      </w:r>
      <w:r>
        <w:t xml:space="preserve"> propose a reduced </w:t>
      </w:r>
      <w:r w:rsidR="000B7693">
        <w:t>g</w:t>
      </w:r>
      <w:r>
        <w:t xml:space="preserve">rid </w:t>
      </w:r>
      <w:r w:rsidR="000B7693">
        <w:t>b</w:t>
      </w:r>
      <w:r>
        <w:t xml:space="preserve">enefits </w:t>
      </w:r>
      <w:r w:rsidR="000B7693">
        <w:t>c</w:t>
      </w:r>
      <w:r>
        <w:t>harge of $1.50 per kilowatt</w:t>
      </w:r>
      <w:r w:rsidR="00BB3D92">
        <w:rPr>
          <w:rStyle w:val="FootnoteReference"/>
        </w:rPr>
        <w:footnoteReference w:id="36"/>
      </w:r>
      <w:r>
        <w:t xml:space="preserve"> while </w:t>
      </w:r>
      <w:r w:rsidR="00BB6391">
        <w:t xml:space="preserve">retail </w:t>
      </w:r>
      <w:r>
        <w:t>export compensation for income</w:t>
      </w:r>
      <w:r w:rsidR="00827602">
        <w:noBreakHyphen/>
      </w:r>
      <w:r>
        <w:t>qualified customers would be the same as other net energy metering customers.</w:t>
      </w:r>
    </w:p>
    <w:p w:rsidRPr="00C45FAC" w:rsidR="009E7BB4" w:rsidP="005E7044" w:rsidRDefault="007375D9" w14:paraId="1E5D6420" w14:textId="41DEAF7E">
      <w:pPr>
        <w:pStyle w:val="Standard"/>
      </w:pPr>
      <w:r>
        <w:t xml:space="preserve">Joint Utilities </w:t>
      </w:r>
      <w:r w:rsidR="0031365C">
        <w:t xml:space="preserve">also </w:t>
      </w:r>
      <w:r w:rsidRPr="0031365C" w:rsidR="0031365C">
        <w:t>propose two virtual crediting tariffs</w:t>
      </w:r>
      <w:r w:rsidR="00555CC0">
        <w:t xml:space="preserve">:  </w:t>
      </w:r>
      <w:r w:rsidRPr="0031365C" w:rsidR="0031365C">
        <w:t>one for income</w:t>
      </w:r>
      <w:r w:rsidR="00827602">
        <w:noBreakHyphen/>
      </w:r>
      <w:r w:rsidRPr="0031365C" w:rsidR="0031365C">
        <w:t>qualified customers and one for other customer</w:t>
      </w:r>
      <w:r w:rsidR="003D1AE6">
        <w:t>s</w:t>
      </w:r>
      <w:r w:rsidRPr="0031365C" w:rsidR="0031365C">
        <w:t>.</w:t>
      </w:r>
      <w:r>
        <w:t xml:space="preserve">  </w:t>
      </w:r>
      <w:r w:rsidRPr="0031365C" w:rsidR="0031365C">
        <w:t>All exports to the grid from the generating account </w:t>
      </w:r>
      <w:r w:rsidR="00C53825">
        <w:t>would be</w:t>
      </w:r>
      <w:r w:rsidRPr="0031365C" w:rsidR="00C53825">
        <w:t xml:space="preserve"> </w:t>
      </w:r>
      <w:r w:rsidRPr="0031365C" w:rsidR="0031365C">
        <w:t xml:space="preserve">valued at the </w:t>
      </w:r>
      <w:r w:rsidR="00BB6391">
        <w:t xml:space="preserve">retail </w:t>
      </w:r>
      <w:r w:rsidRPr="0031365C" w:rsidR="0031365C">
        <w:t>export compensation rates.</w:t>
      </w:r>
      <w:r>
        <w:t xml:space="preserve">  </w:t>
      </w:r>
      <w:r w:rsidRPr="0031365C" w:rsidR="0031365C">
        <w:t>There</w:t>
      </w:r>
      <w:r>
        <w:t xml:space="preserve"> </w:t>
      </w:r>
      <w:r w:rsidR="00C53825">
        <w:t xml:space="preserve">would be </w:t>
      </w:r>
      <w:r w:rsidRPr="0031365C" w:rsidR="0031365C">
        <w:t>no netting of customer load using an allocation of k</w:t>
      </w:r>
      <w:r w:rsidR="0031365C">
        <w:t>ilowatt</w:t>
      </w:r>
      <w:r w:rsidR="00827602">
        <w:noBreakHyphen/>
      </w:r>
      <w:r w:rsidR="0031365C">
        <w:t>hours</w:t>
      </w:r>
      <w:r w:rsidRPr="0031365C" w:rsidR="0031365C">
        <w:t xml:space="preserve"> because the energy generated by the generating facility is not </w:t>
      </w:r>
      <w:r w:rsidRPr="0031365C" w:rsidR="0031365C">
        <w:lastRenderedPageBreak/>
        <w:t>consumed on site for any of the exported electricity.</w:t>
      </w:r>
      <w:r>
        <w:t xml:space="preserve">  </w:t>
      </w:r>
      <w:r w:rsidRPr="0031365C" w:rsidR="0031365C">
        <w:t>All interconnection</w:t>
      </w:r>
      <w:r>
        <w:t xml:space="preserve"> </w:t>
      </w:r>
      <w:r w:rsidRPr="0031365C" w:rsidR="0031365C">
        <w:t>and increased billing</w:t>
      </w:r>
      <w:r>
        <w:t xml:space="preserve"> </w:t>
      </w:r>
      <w:r w:rsidRPr="0031365C" w:rsidR="0031365C">
        <w:t xml:space="preserve">costs </w:t>
      </w:r>
      <w:r w:rsidR="00C53825">
        <w:t>would be</w:t>
      </w:r>
      <w:r w:rsidRPr="0031365C" w:rsidR="00C53825">
        <w:t xml:space="preserve"> </w:t>
      </w:r>
      <w:r w:rsidRPr="0031365C" w:rsidR="0031365C">
        <w:t xml:space="preserve">paid by the owner. </w:t>
      </w:r>
      <w:r>
        <w:t xml:space="preserve"> </w:t>
      </w:r>
      <w:r w:rsidRPr="0031365C" w:rsidR="0031365C">
        <w:t xml:space="preserve">There </w:t>
      </w:r>
      <w:r w:rsidR="00C53825">
        <w:t>would be</w:t>
      </w:r>
      <w:r w:rsidRPr="0031365C" w:rsidR="00C53825">
        <w:t xml:space="preserve"> </w:t>
      </w:r>
      <w:r w:rsidRPr="0031365C" w:rsidR="0031365C">
        <w:t>no true</w:t>
      </w:r>
      <w:r w:rsidR="00827602">
        <w:noBreakHyphen/>
      </w:r>
      <w:r w:rsidRPr="0031365C" w:rsidR="0031365C">
        <w:t>up.</w:t>
      </w:r>
      <w:r>
        <w:t xml:space="preserve">  </w:t>
      </w:r>
      <w:r w:rsidRPr="0031365C" w:rsidR="0031365C">
        <w:t xml:space="preserve">Customer consumption </w:t>
      </w:r>
      <w:r w:rsidR="00C53825">
        <w:t>would</w:t>
      </w:r>
      <w:r w:rsidRPr="0031365C" w:rsidR="00C53825">
        <w:t xml:space="preserve"> </w:t>
      </w:r>
      <w:r w:rsidRPr="0031365C" w:rsidR="0031365C">
        <w:t>continue to be billed according to their current tariff based on meter</w:t>
      </w:r>
      <w:r>
        <w:t xml:space="preserve"> </w:t>
      </w:r>
      <w:r w:rsidRPr="0031365C" w:rsidR="0031365C">
        <w:t>data and</w:t>
      </w:r>
      <w:r>
        <w:t xml:space="preserve"> </w:t>
      </w:r>
      <w:r w:rsidRPr="0031365C" w:rsidR="0031365C">
        <w:t xml:space="preserve">receive a monthly credit from the generation exported from the </w:t>
      </w:r>
      <w:proofErr w:type="spellStart"/>
      <w:r w:rsidRPr="0031365C" w:rsidR="0031365C">
        <w:t>VNEM</w:t>
      </w:r>
      <w:proofErr w:type="spellEnd"/>
      <w:r w:rsidRPr="0031365C" w:rsidR="0031365C">
        <w:t xml:space="preserve"> facility.</w:t>
      </w:r>
    </w:p>
    <w:p w:rsidR="004663A6" w:rsidP="005E7044" w:rsidRDefault="00C45FAC" w14:paraId="0F3C0D37" w14:textId="1FD7C875">
      <w:pPr>
        <w:pStyle w:val="Heading2"/>
        <w:keepLines w:val="0"/>
      </w:pPr>
      <w:bookmarkStart w:name="_Toc117674063" w:id="69"/>
      <w:bookmarkStart w:name="_Toc118285054" w:id="70"/>
      <w:bookmarkStart w:name="_Toc121854381" w:id="71"/>
      <w:r>
        <w:t>NRDC</w:t>
      </w:r>
      <w:r w:rsidRPr="004663A6" w:rsidR="004663A6">
        <w:t xml:space="preserve"> </w:t>
      </w:r>
      <w:r w:rsidR="004663A6">
        <w:t>Proposal</w:t>
      </w:r>
      <w:bookmarkEnd w:id="69"/>
      <w:bookmarkEnd w:id="70"/>
      <w:bookmarkEnd w:id="71"/>
    </w:p>
    <w:p w:rsidR="00972652" w:rsidP="005E7044" w:rsidRDefault="00972652" w14:paraId="7D68E66A" w14:textId="10D62E8C">
      <w:pPr>
        <w:pStyle w:val="Standard"/>
      </w:pPr>
      <w:r>
        <w:t>NRDC’s proposal applies to residential customers only. NRDC proposes that solar customers be paid for the total value that their panels provide at near</w:t>
      </w:r>
      <w:r w:rsidR="00827602">
        <w:noBreakHyphen/>
      </w:r>
      <w:r>
        <w:t>term hourly avoided costs</w:t>
      </w:r>
      <w:r w:rsidR="00BD27FA">
        <w:t>, with a lock</w:t>
      </w:r>
      <w:r w:rsidR="00827602">
        <w:noBreakHyphen/>
      </w:r>
      <w:r w:rsidR="00BD27FA">
        <w:t>in period of 10</w:t>
      </w:r>
      <w:r w:rsidR="00CD026E">
        <w:t> </w:t>
      </w:r>
      <w:r w:rsidR="00BD27FA">
        <w:t>years</w:t>
      </w:r>
      <w:r>
        <w:t xml:space="preserve">. This export value would vary hourly, which would encourage customers to export electricity when it is most valuable to the grid and provide incentives to install battery storage.  Further, NRDC proposes to add a fixed </w:t>
      </w:r>
      <w:r w:rsidR="000B7693">
        <w:t>g</w:t>
      </w:r>
      <w:r>
        <w:t xml:space="preserve">rid </w:t>
      </w:r>
      <w:r w:rsidR="000B7693">
        <w:t>b</w:t>
      </w:r>
      <w:r>
        <w:t xml:space="preserve">enefits </w:t>
      </w:r>
      <w:r w:rsidR="000B7693">
        <w:t>c</w:t>
      </w:r>
      <w:r>
        <w:t>harge to address the benefits that solar customers get from being connected to the grid.  NRDC recommends bas</w:t>
      </w:r>
      <w:r w:rsidR="00BB3D92">
        <w:t>ing</w:t>
      </w:r>
      <w:r>
        <w:t xml:space="preserve"> non</w:t>
      </w:r>
      <w:r w:rsidR="00827602">
        <w:noBreakHyphen/>
      </w:r>
      <w:proofErr w:type="spellStart"/>
      <w:r>
        <w:t>bypassable</w:t>
      </w:r>
      <w:proofErr w:type="spellEnd"/>
      <w:r>
        <w:t xml:space="preserve"> charges on total (grid and estimated solar) consumption.</w:t>
      </w:r>
    </w:p>
    <w:p w:rsidR="00972652" w:rsidP="005E7044" w:rsidRDefault="00972652" w14:paraId="61A742C8" w14:textId="11642B92">
      <w:pPr>
        <w:pStyle w:val="Standard"/>
      </w:pPr>
      <w:r>
        <w:t>Other details of NRDC’s proposal include an up</w:t>
      </w:r>
      <w:r w:rsidR="00827602">
        <w:noBreakHyphen/>
      </w:r>
      <w:r>
        <w:t xml:space="preserve">front cash adoption incentive, or market transition credit, </w:t>
      </w:r>
      <w:r w:rsidR="00D374EE">
        <w:t>to</w:t>
      </w:r>
      <w:r>
        <w:t xml:space="preserve"> ensure a ten</w:t>
      </w:r>
      <w:r w:rsidR="00827602">
        <w:noBreakHyphen/>
      </w:r>
      <w:r>
        <w:t>year payback period. NRDC proposes the incentive could be funded from sources other than energy bills, such as through cap</w:t>
      </w:r>
      <w:r w:rsidR="00827602">
        <w:noBreakHyphen/>
      </w:r>
      <w:r>
        <w:t>and</w:t>
      </w:r>
      <w:r w:rsidR="00827602">
        <w:noBreakHyphen/>
      </w:r>
      <w:r>
        <w:t xml:space="preserve">trade </w:t>
      </w:r>
      <w:r w:rsidRPr="00513D04">
        <w:t xml:space="preserve">revenue. </w:t>
      </w:r>
      <w:r w:rsidRPr="00513D04" w:rsidR="00492C20">
        <w:t xml:space="preserve"> </w:t>
      </w:r>
      <w:r w:rsidRPr="00513D04">
        <w:t>NRDC suggests</w:t>
      </w:r>
      <w:r>
        <w:t xml:space="preserve"> the incentive could be flexible, </w:t>
      </w:r>
      <w:r w:rsidRPr="00056DF0">
        <w:rPr>
          <w:i/>
          <w:iCs/>
        </w:rPr>
        <w:t>i.e</w:t>
      </w:r>
      <w:r>
        <w:t>., higher in communities where rooftop solar is most needed.</w:t>
      </w:r>
    </w:p>
    <w:p w:rsidR="00490092" w:rsidP="005E7044" w:rsidRDefault="00972652" w14:paraId="5AA7F344" w14:textId="77777777">
      <w:pPr>
        <w:pStyle w:val="Standard"/>
      </w:pPr>
      <w:r>
        <w:t xml:space="preserve">To address equity issues, NRDC recommends the establishment of a clean energy equity fund to get clean energy benefits directly to Californians with lower incomes.  Here, NRDC proposes to levy a modest charge to solar owners </w:t>
      </w:r>
      <w:r w:rsidR="00B70788">
        <w:t xml:space="preserve">on existing net energy metering tariffs </w:t>
      </w:r>
      <w:r>
        <w:t>who have already recouped their initial investment.</w:t>
      </w:r>
    </w:p>
    <w:p w:rsidR="004663A6" w:rsidP="005E7044" w:rsidRDefault="00C45FAC" w14:paraId="7747DFED" w14:textId="19C94D52">
      <w:pPr>
        <w:pStyle w:val="Heading2"/>
        <w:keepLines w:val="0"/>
      </w:pPr>
      <w:bookmarkStart w:name="_Toc117674064" w:id="72"/>
      <w:bookmarkStart w:name="_Toc118285055" w:id="73"/>
      <w:bookmarkStart w:name="_Toc121854382" w:id="74"/>
      <w:r>
        <w:lastRenderedPageBreak/>
        <w:t xml:space="preserve">PCF </w:t>
      </w:r>
      <w:r w:rsidR="0011045B">
        <w:t>Recommendations</w:t>
      </w:r>
      <w:bookmarkEnd w:id="72"/>
      <w:bookmarkEnd w:id="73"/>
      <w:bookmarkEnd w:id="74"/>
    </w:p>
    <w:p w:rsidR="00490092" w:rsidP="005E7044" w:rsidRDefault="0011045B" w14:paraId="5BF9CCBF" w14:textId="77777777">
      <w:pPr>
        <w:pStyle w:val="Standard"/>
      </w:pPr>
      <w:r>
        <w:t xml:space="preserve">PCF puts forth </w:t>
      </w:r>
      <w:r w:rsidR="001C7F3B">
        <w:t>five</w:t>
      </w:r>
      <w:r>
        <w:t xml:space="preserve"> </w:t>
      </w:r>
      <w:r w:rsidR="001C7F3B">
        <w:t>recommendations, which are not full successor tariff proposals</w:t>
      </w:r>
      <w:r>
        <w:t>.</w:t>
      </w:r>
    </w:p>
    <w:p w:rsidR="001F1FA5" w:rsidP="005E7044" w:rsidRDefault="00440BEB" w14:paraId="6E6D3BDE" w14:textId="3574A58C">
      <w:pPr>
        <w:pStyle w:val="Standard"/>
      </w:pPr>
      <w:r>
        <w:t>Proposal A</w:t>
      </w:r>
      <w:r w:rsidR="0011045B">
        <w:t xml:space="preserve"> </w:t>
      </w:r>
      <w:r w:rsidR="001C7F3B">
        <w:t xml:space="preserve">is focused on growing community storage and </w:t>
      </w:r>
      <w:r w:rsidR="0011045B">
        <w:t xml:space="preserve">would require </w:t>
      </w:r>
      <w:r w:rsidR="001C7F3B">
        <w:t xml:space="preserve">net energy metering </w:t>
      </w:r>
      <w:r w:rsidR="0011045B">
        <w:t>customer</w:t>
      </w:r>
      <w:r w:rsidR="001C7F3B">
        <w:t>s to submit a</w:t>
      </w:r>
      <w:r w:rsidR="0011045B">
        <w:t xml:space="preserve"> fee </w:t>
      </w:r>
      <w:r w:rsidR="001C7F3B">
        <w:t>of 2</w:t>
      </w:r>
      <w:r w:rsidR="00C04724">
        <w:t>0 percent</w:t>
      </w:r>
      <w:r w:rsidR="001C7F3B">
        <w:t xml:space="preserve"> of </w:t>
      </w:r>
      <w:r w:rsidR="00C53825">
        <w:t xml:space="preserve">their </w:t>
      </w:r>
      <w:r w:rsidR="001C7F3B">
        <w:t xml:space="preserve">NEM system cost when </w:t>
      </w:r>
      <w:r w:rsidR="00C53825">
        <w:t xml:space="preserve">they </w:t>
      </w:r>
      <w:r w:rsidR="001C7F3B">
        <w:t xml:space="preserve">provide </w:t>
      </w:r>
      <w:r w:rsidR="00C53825">
        <w:t>their</w:t>
      </w:r>
      <w:r w:rsidR="001C7F3B">
        <w:t xml:space="preserve"> interconnection fee.  PCF proposes this fee would be provided to a Community Storage Program Manager, which is the local community choice aggregator or government</w:t>
      </w:r>
      <w:r w:rsidR="001F1FA5">
        <w:t xml:space="preserve"> who owns all storage purchased.  The fees would build storage no more than five miles from the census track where the net energy metering system is located, and no smaller than three megawatts in size.  PCF recommends the Commission require each utility to make space for Community Storage of up to 2</w:t>
      </w:r>
      <w:r w:rsidR="00B94F01">
        <w:t>0 megawatt</w:t>
      </w:r>
      <w:r w:rsidR="001F1FA5">
        <w:t>s at each substation within the distribution grid and substations connecting the transmission grid to the distribution grid.</w:t>
      </w:r>
    </w:p>
    <w:p w:rsidR="00533B2F" w:rsidP="005E7044" w:rsidRDefault="00440BEB" w14:paraId="17E11EFE" w14:textId="701EED5B">
      <w:pPr>
        <w:pStyle w:val="Standard"/>
      </w:pPr>
      <w:r>
        <w:t>Proposal B</w:t>
      </w:r>
      <w:r w:rsidR="0011045B">
        <w:t xml:space="preserve"> </w:t>
      </w:r>
      <w:r w:rsidR="001F1FA5">
        <w:t xml:space="preserve">is focused on oversizing new net energy metering systems to encourage electrification.  PCF recommends </w:t>
      </w:r>
      <w:r w:rsidR="0011045B">
        <w:t>set</w:t>
      </w:r>
      <w:r w:rsidR="001F1FA5">
        <w:t>ting</w:t>
      </w:r>
      <w:r w:rsidR="0011045B">
        <w:t xml:space="preserve"> an annual generation requirement for new </w:t>
      </w:r>
      <w:r w:rsidR="001F1FA5">
        <w:t xml:space="preserve">net energy metering </w:t>
      </w:r>
      <w:r w:rsidR="0011045B">
        <w:t>systems and provid</w:t>
      </w:r>
      <w:r w:rsidR="001F1FA5">
        <w:t>ing</w:t>
      </w:r>
      <w:r w:rsidR="0011045B">
        <w:t xml:space="preserve"> customers double the </w:t>
      </w:r>
      <w:r w:rsidR="001F1FA5">
        <w:t xml:space="preserve">current </w:t>
      </w:r>
      <w:r w:rsidR="0011045B">
        <w:t xml:space="preserve">wholesale rate </w:t>
      </w:r>
      <w:r w:rsidR="001F1FA5">
        <w:t xml:space="preserve">compensation </w:t>
      </w:r>
      <w:r w:rsidR="0011045B">
        <w:t xml:space="preserve">for exports during the first </w:t>
      </w:r>
      <w:r w:rsidR="00B306EE">
        <w:t>five</w:t>
      </w:r>
      <w:r w:rsidR="00F93066">
        <w:t> </w:t>
      </w:r>
      <w:r w:rsidR="0011045B">
        <w:t xml:space="preserve">years, afterwards the compensation would be reduced to the wholesale rate compensation received by </w:t>
      </w:r>
      <w:r w:rsidR="00602BC5">
        <w:t>NEM 2.0</w:t>
      </w:r>
      <w:r w:rsidR="00135D55">
        <w:t xml:space="preserve"> </w:t>
      </w:r>
      <w:r w:rsidR="0011045B">
        <w:t>tariff customers.</w:t>
      </w:r>
    </w:p>
    <w:p w:rsidR="00533B2F" w:rsidP="005E7044" w:rsidRDefault="00440BEB" w14:paraId="5A5BFD75" w14:textId="4871E79C">
      <w:pPr>
        <w:pStyle w:val="Standard"/>
      </w:pPr>
      <w:r>
        <w:t>Proposal C</w:t>
      </w:r>
      <w:r w:rsidR="0011045B">
        <w:t xml:space="preserve"> </w:t>
      </w:r>
      <w:r w:rsidR="001F1FA5">
        <w:t xml:space="preserve">is focused on the issue of equity.  PCF proposes to </w:t>
      </w:r>
      <w:r w:rsidR="0011045B">
        <w:t xml:space="preserve">extend the current </w:t>
      </w:r>
      <w:r w:rsidR="00602BC5">
        <w:t>NEM 2.0</w:t>
      </w:r>
      <w:r w:rsidR="00135D55">
        <w:t xml:space="preserve"> </w:t>
      </w:r>
      <w:r w:rsidR="0011045B">
        <w:t>structure for low</w:t>
      </w:r>
      <w:r w:rsidR="00827602">
        <w:noBreakHyphen/>
      </w:r>
      <w:r w:rsidR="0011045B">
        <w:t>income customers and renters, until 10,00</w:t>
      </w:r>
      <w:r w:rsidR="00B94F01">
        <w:t>0 megawatt</w:t>
      </w:r>
      <w:r w:rsidR="0011045B">
        <w:t>s of installed solar capacity is installed.</w:t>
      </w:r>
      <w:r w:rsidR="001F1FA5">
        <w:t xml:space="preserve">  PCF explains this should be a transitional aspect of moving from the current </w:t>
      </w:r>
      <w:r w:rsidR="00957782">
        <w:t>tariff to a successor tariff.</w:t>
      </w:r>
    </w:p>
    <w:p w:rsidR="00490092" w:rsidP="005E7044" w:rsidRDefault="00440BEB" w14:paraId="10D59FCD" w14:textId="438D3A2D">
      <w:pPr>
        <w:pStyle w:val="Standard"/>
      </w:pPr>
      <w:r>
        <w:lastRenderedPageBreak/>
        <w:t>Proposal D</w:t>
      </w:r>
      <w:r w:rsidR="0011045B">
        <w:t xml:space="preserve"> </w:t>
      </w:r>
      <w:r w:rsidR="00957782">
        <w:t>is also focused on the transition between the current and successor tariffs.  There are two part</w:t>
      </w:r>
      <w:r w:rsidR="003D1AE6">
        <w:t>s</w:t>
      </w:r>
      <w:r w:rsidR="00957782">
        <w:t xml:space="preserve"> to </w:t>
      </w:r>
      <w:r>
        <w:t>Proposal D</w:t>
      </w:r>
      <w:r w:rsidR="00957782">
        <w:t>.  First, PCF recommends designing a program that works for disadvantaged communities within the successor tariff, which would provide an uncapped net energy metering participation opportunity for low</w:t>
      </w:r>
      <w:r w:rsidR="00827602">
        <w:noBreakHyphen/>
      </w:r>
      <w:r w:rsidR="00957782">
        <w:t xml:space="preserve">income and disadvantaged communities, as well as renters.  Second, PCF proposes to </w:t>
      </w:r>
      <w:r w:rsidR="0011045B">
        <w:t xml:space="preserve">create a community solar program based on the </w:t>
      </w:r>
      <w:r w:rsidR="00602BC5">
        <w:t>NEM 2.0</w:t>
      </w:r>
      <w:r w:rsidR="00135D55">
        <w:t xml:space="preserve"> </w:t>
      </w:r>
      <w:r w:rsidR="0011045B">
        <w:t>tariff structure to serve CARE and residential customers, with solar arrays owned and operated by a community choice aggregator or other program administrator</w:t>
      </w:r>
      <w:r w:rsidR="00957782">
        <w:t>, sized 5</w:t>
      </w:r>
      <w:r w:rsidR="00B94F01">
        <w:t>0 kilowatt</w:t>
      </w:r>
      <w:r w:rsidR="003D1AE6">
        <w:t>s</w:t>
      </w:r>
      <w:r w:rsidR="00957782">
        <w:t xml:space="preserve"> to </w:t>
      </w:r>
      <w:r w:rsidR="00043248">
        <w:t>five</w:t>
      </w:r>
      <w:r w:rsidR="00947C8C">
        <w:t> </w:t>
      </w:r>
      <w:r w:rsidR="00957782">
        <w:t>megawatts, located on rooftops and parking lots within a five</w:t>
      </w:r>
      <w:r w:rsidR="00827602">
        <w:noBreakHyphen/>
      </w:r>
      <w:r w:rsidR="00957782">
        <w:t>mile radius.  PCF proposes utilities compensate program administrators the full time</w:t>
      </w:r>
      <w:r w:rsidR="00827602">
        <w:noBreakHyphen/>
      </w:r>
      <w:r w:rsidR="00957782">
        <w:t>of</w:t>
      </w:r>
      <w:r w:rsidR="00827602">
        <w:noBreakHyphen/>
      </w:r>
      <w:r w:rsidR="00957782">
        <w:t>use retail rate based on the current net energy metering tariff for the electricity produced by the array.  The program administrator would then pay the site owner five</w:t>
      </w:r>
      <w:r w:rsidR="00C04724">
        <w:t> percent</w:t>
      </w:r>
      <w:r w:rsidR="00957782">
        <w:t xml:space="preserve">, keep </w:t>
      </w:r>
      <w:r w:rsidR="00C04724">
        <w:t>10 percent</w:t>
      </w:r>
      <w:r w:rsidR="00957782">
        <w:t xml:space="preserve"> for administrative purposes, and pay the remainder to the financer.  </w:t>
      </w:r>
      <w:r w:rsidR="006E47AF">
        <w:t>Once low</w:t>
      </w:r>
      <w:r w:rsidR="00827602">
        <w:noBreakHyphen/>
      </w:r>
      <w:r w:rsidR="006E47AF">
        <w:t>income and renter’s annual loads have been offset by these community solar arrays, the program administrator must use the funds to provide additional discounts to renter and low</w:t>
      </w:r>
      <w:r w:rsidR="00827602">
        <w:noBreakHyphen/>
      </w:r>
      <w:r w:rsidR="006E47AF">
        <w:t>income customer bills.</w:t>
      </w:r>
    </w:p>
    <w:p w:rsidR="00490092" w:rsidP="005E7044" w:rsidRDefault="00440BEB" w14:paraId="69616FED" w14:textId="3291FE12">
      <w:pPr>
        <w:pStyle w:val="Standard"/>
      </w:pPr>
      <w:r>
        <w:t>Proposal E</w:t>
      </w:r>
      <w:r w:rsidR="006268ED">
        <w:t xml:space="preserve"> would revise the time</w:t>
      </w:r>
      <w:r w:rsidR="00827602">
        <w:noBreakHyphen/>
      </w:r>
      <w:r w:rsidR="006268ED">
        <w:t>of</w:t>
      </w:r>
      <w:r w:rsidR="00827602">
        <w:noBreakHyphen/>
      </w:r>
      <w:r w:rsidR="006268ED">
        <w:t>use rates to align with energy policy and wholesale electricity prices</w:t>
      </w:r>
      <w:r w:rsidR="006E47AF">
        <w:t>.  PCF proposes the rates align with wholesale rates for electricity unit pricing, minimize retail prices during highest renewable energy production hours, be consistent year</w:t>
      </w:r>
      <w:r w:rsidR="00827602">
        <w:noBreakHyphen/>
      </w:r>
      <w:r w:rsidR="006E47AF">
        <w:t>round, maintain a structure with three different prices for three different times of day, be consistent across all three utilities, and be mandatory for net energy metering customers.</w:t>
      </w:r>
    </w:p>
    <w:p w:rsidR="000614BC" w:rsidP="005E7044" w:rsidRDefault="009355F1" w14:paraId="4CE0D7F6" w14:textId="42790F94">
      <w:pPr>
        <w:pStyle w:val="Heading2"/>
        <w:keepLines w:val="0"/>
      </w:pPr>
      <w:bookmarkStart w:name="_Toc117674065" w:id="75"/>
      <w:bookmarkStart w:name="_Toc118285056" w:id="76"/>
      <w:bookmarkStart w:name="_Toc121854383" w:id="77"/>
      <w:r>
        <w:t>Cal Advoc</w:t>
      </w:r>
      <w:r w:rsidR="000614BC">
        <w:t>ates Proposal</w:t>
      </w:r>
      <w:bookmarkEnd w:id="75"/>
      <w:bookmarkEnd w:id="76"/>
      <w:bookmarkEnd w:id="77"/>
    </w:p>
    <w:p w:rsidR="000614BC" w:rsidP="005E7044" w:rsidRDefault="009355F1" w14:paraId="68C9CCCF" w14:textId="530F3980">
      <w:pPr>
        <w:pStyle w:val="Standard"/>
      </w:pPr>
      <w:r>
        <w:t>Cal Advoc</w:t>
      </w:r>
      <w:r w:rsidR="000614BC">
        <w:t>ates propose</w:t>
      </w:r>
      <w:r w:rsidR="003929B1">
        <w:t>s</w:t>
      </w:r>
      <w:r w:rsidR="000614BC">
        <w:t xml:space="preserve"> compensating net energy metering participants through the use of net billing at the avoided cost for exported energy and a </w:t>
      </w:r>
      <w:r w:rsidR="000B7693">
        <w:t>g</w:t>
      </w:r>
      <w:r w:rsidR="000614BC">
        <w:t xml:space="preserve">rid </w:t>
      </w:r>
      <w:r w:rsidR="000B7693">
        <w:lastRenderedPageBreak/>
        <w:t>b</w:t>
      </w:r>
      <w:r w:rsidR="000614BC">
        <w:t xml:space="preserve">enefits </w:t>
      </w:r>
      <w:r w:rsidR="000B7693">
        <w:t>c</w:t>
      </w:r>
      <w:r w:rsidR="000614BC">
        <w:t xml:space="preserve">harge to ensure all participants pay their fair share for grid services.  </w:t>
      </w:r>
      <w:r>
        <w:t>Cal Advoc</w:t>
      </w:r>
      <w:r w:rsidR="000614BC">
        <w:t>ates propose</w:t>
      </w:r>
      <w:r w:rsidR="007E120D">
        <w:t>s</w:t>
      </w:r>
      <w:r w:rsidR="000614BC">
        <w:t xml:space="preserve"> the </w:t>
      </w:r>
      <w:r w:rsidR="00BB6391">
        <w:t xml:space="preserve">retail </w:t>
      </w:r>
      <w:r w:rsidR="000614BC">
        <w:t>export compensation rate would vary by time</w:t>
      </w:r>
      <w:r w:rsidR="00827602">
        <w:noBreakHyphen/>
      </w:r>
      <w:r w:rsidR="000614BC">
        <w:t>of</w:t>
      </w:r>
      <w:r w:rsidR="00827602">
        <w:noBreakHyphen/>
      </w:r>
      <w:r w:rsidR="000614BC">
        <w:t xml:space="preserve">use period to reflect </w:t>
      </w:r>
      <w:r w:rsidR="003D1AE6">
        <w:t xml:space="preserve">the </w:t>
      </w:r>
      <w:r w:rsidR="000614BC">
        <w:t>time</w:t>
      </w:r>
      <w:r w:rsidR="00827602">
        <w:noBreakHyphen/>
      </w:r>
      <w:r w:rsidR="000614BC">
        <w:t xml:space="preserve">varying nature of marginal costs and the avoided cost of providing or using a kilowatt of electricity.  </w:t>
      </w:r>
      <w:r>
        <w:t>Cal Advoc</w:t>
      </w:r>
      <w:r w:rsidR="000614BC">
        <w:t>ates also recommend</w:t>
      </w:r>
      <w:r w:rsidR="003929B1">
        <w:t>s</w:t>
      </w:r>
      <w:r w:rsidR="000614BC">
        <w:t xml:space="preserve"> the </w:t>
      </w:r>
      <w:r w:rsidR="00BB6391">
        <w:t xml:space="preserve">retail </w:t>
      </w:r>
      <w:r w:rsidR="000614BC">
        <w:t>export compensation rate for each time</w:t>
      </w:r>
      <w:r w:rsidR="00827602">
        <w:noBreakHyphen/>
      </w:r>
      <w:r w:rsidR="000614BC">
        <w:t>of</w:t>
      </w:r>
      <w:r w:rsidR="00827602">
        <w:noBreakHyphen/>
      </w:r>
      <w:r w:rsidR="000614BC">
        <w:t>use period be set equal to the weighted average avoided costs.</w:t>
      </w:r>
    </w:p>
    <w:p w:rsidR="000614BC" w:rsidP="005E7044" w:rsidRDefault="000614BC" w14:paraId="20C3163D" w14:textId="4B2C7064">
      <w:pPr>
        <w:pStyle w:val="Standard"/>
      </w:pPr>
      <w:r>
        <w:t xml:space="preserve">For import rates, </w:t>
      </w:r>
      <w:r w:rsidR="009355F1">
        <w:t>Cal Advoc</w:t>
      </w:r>
      <w:r>
        <w:t>ates recommend</w:t>
      </w:r>
      <w:r w:rsidR="003929B1">
        <w:t>s</w:t>
      </w:r>
      <w:r>
        <w:t xml:space="preserve"> a time</w:t>
      </w:r>
      <w:r w:rsidR="00827602">
        <w:noBreakHyphen/>
      </w:r>
      <w:r>
        <w:t>of</w:t>
      </w:r>
      <w:r w:rsidR="00827602">
        <w:noBreakHyphen/>
      </w:r>
      <w:r>
        <w:t xml:space="preserve">use rate plus a </w:t>
      </w:r>
      <w:r w:rsidR="000B7693">
        <w:t>g</w:t>
      </w:r>
      <w:r>
        <w:t xml:space="preserve">rid </w:t>
      </w:r>
      <w:r w:rsidR="000B7693">
        <w:t>b</w:t>
      </w:r>
      <w:r>
        <w:t xml:space="preserve">enefits </w:t>
      </w:r>
      <w:r w:rsidR="000B7693">
        <w:t>c</w:t>
      </w:r>
      <w:r>
        <w:t>harge to recover costs to provide distribution and transmission services and ensure recovery of non</w:t>
      </w:r>
      <w:r w:rsidR="00827602">
        <w:noBreakHyphen/>
      </w:r>
      <w:proofErr w:type="spellStart"/>
      <w:r>
        <w:t>bypassable</w:t>
      </w:r>
      <w:proofErr w:type="spellEnd"/>
      <w:r>
        <w:t xml:space="preserve"> charges that produce broad societal benefits.  </w:t>
      </w:r>
      <w:r w:rsidR="009355F1">
        <w:t>Cal Advoc</w:t>
      </w:r>
      <w:r>
        <w:t>ates propose</w:t>
      </w:r>
      <w:r w:rsidR="003929B1">
        <w:t>s</w:t>
      </w:r>
      <w:r>
        <w:t xml:space="preserve"> the </w:t>
      </w:r>
      <w:r w:rsidR="000B7693">
        <w:t>g</w:t>
      </w:r>
      <w:r>
        <w:t xml:space="preserve">rid </w:t>
      </w:r>
      <w:r w:rsidR="00CA45B6">
        <w:t>benefits</w:t>
      </w:r>
      <w:r>
        <w:t xml:space="preserve"> </w:t>
      </w:r>
      <w:r w:rsidR="000B7693">
        <w:t>c</w:t>
      </w:r>
      <w:r>
        <w:t>harge be assessed on a dollar per kilowatt charge per month</w:t>
      </w:r>
      <w:r w:rsidR="007E120D">
        <w:t>,</w:t>
      </w:r>
      <w:r>
        <w:t xml:space="preserve"> but CARE</w:t>
      </w:r>
      <w:r w:rsidR="00827602">
        <w:noBreakHyphen/>
      </w:r>
      <w:r>
        <w:t xml:space="preserve"> and FERA</w:t>
      </w:r>
      <w:r w:rsidR="00827602">
        <w:noBreakHyphen/>
      </w:r>
      <w:r>
        <w:t xml:space="preserve">enrolled customers would be exempt from this charge.  Further, </w:t>
      </w:r>
      <w:r w:rsidR="009355F1">
        <w:t>Cal Advoc</w:t>
      </w:r>
      <w:r>
        <w:t>ates recommend</w:t>
      </w:r>
      <w:r w:rsidR="00B314F8">
        <w:t>s</w:t>
      </w:r>
      <w:r>
        <w:t xml:space="preserve"> the non</w:t>
      </w:r>
      <w:r w:rsidR="00827602">
        <w:noBreakHyphen/>
      </w:r>
      <w:proofErr w:type="spellStart"/>
      <w:r>
        <w:t>bypassable</w:t>
      </w:r>
      <w:proofErr w:type="spellEnd"/>
      <w:r>
        <w:t xml:space="preserve"> charges should be recovered on the basis of volumetric usage served by on</w:t>
      </w:r>
      <w:r w:rsidR="00827602">
        <w:noBreakHyphen/>
      </w:r>
      <w:r>
        <w:t>site generation, as statutorily required.</w:t>
      </w:r>
    </w:p>
    <w:p w:rsidR="000614BC" w:rsidP="005E7044" w:rsidRDefault="009355F1" w14:paraId="7738F15B" w14:textId="6B672B83">
      <w:pPr>
        <w:pStyle w:val="Standard"/>
      </w:pPr>
      <w:r>
        <w:t>Cal Advoc</w:t>
      </w:r>
      <w:r w:rsidR="000614BC">
        <w:t>ates propose</w:t>
      </w:r>
      <w:r w:rsidR="00B314F8">
        <w:t>s</w:t>
      </w:r>
      <w:r w:rsidR="000614BC">
        <w:t xml:space="preserve"> instantaneous netting with retail rates for consumption billed based on metered consumption net of on</w:t>
      </w:r>
      <w:r w:rsidR="00827602">
        <w:noBreakHyphen/>
      </w:r>
      <w:r w:rsidR="000614BC">
        <w:t xml:space="preserve">site generation in real time.  Further, </w:t>
      </w:r>
      <w:r>
        <w:t>Cal Advoc</w:t>
      </w:r>
      <w:r w:rsidR="000614BC">
        <w:t>ates recommend</w:t>
      </w:r>
      <w:r w:rsidR="00B314F8">
        <w:t>s</w:t>
      </w:r>
      <w:r w:rsidR="000614BC">
        <w:t xml:space="preserve"> customers not be allowed to credit net exports against net consumption occurring during a different time.  However, </w:t>
      </w:r>
      <w:r>
        <w:t>Cal Advoc</w:t>
      </w:r>
      <w:r w:rsidR="000614BC">
        <w:t>ates recommend</w:t>
      </w:r>
      <w:r w:rsidR="00B314F8">
        <w:t>s</w:t>
      </w:r>
      <w:r w:rsidR="000614BC">
        <w:t xml:space="preserve"> the Commission allow excess bill credits to roll over until an annual true</w:t>
      </w:r>
      <w:r w:rsidR="00827602">
        <w:noBreakHyphen/>
      </w:r>
      <w:r w:rsidR="000614BC">
        <w:t>up.  The excess bill credits would then be compensated at wholesale energy market prices, which is consistent with the current net energy metering tariff.</w:t>
      </w:r>
    </w:p>
    <w:p w:rsidRPr="00C45FAC" w:rsidR="000614BC" w:rsidP="005E7044" w:rsidRDefault="009355F1" w14:paraId="39819DAC" w14:textId="5CF7139B">
      <w:pPr>
        <w:pStyle w:val="Standard"/>
      </w:pPr>
      <w:r>
        <w:t>Cal Advoc</w:t>
      </w:r>
      <w:r w:rsidR="000614BC">
        <w:t>ates recommend</w:t>
      </w:r>
      <w:r w:rsidR="00B314F8">
        <w:t>s</w:t>
      </w:r>
      <w:r w:rsidR="000614BC">
        <w:t xml:space="preserve"> incentives to encourage customers on existing net energy metering tariffs to transition to the successor tariff</w:t>
      </w:r>
      <w:r w:rsidR="00A8112F">
        <w:t xml:space="preserve"> and to install storage</w:t>
      </w:r>
      <w:r w:rsidR="00B4028F">
        <w:t xml:space="preserve">.  Further, </w:t>
      </w:r>
      <w:r>
        <w:t>Cal Advoc</w:t>
      </w:r>
      <w:r w:rsidR="00B4028F">
        <w:t>ates also propose</w:t>
      </w:r>
      <w:r w:rsidR="00B314F8">
        <w:t>s</w:t>
      </w:r>
      <w:r w:rsidR="00B4028F">
        <w:t xml:space="preserve"> the Commission require existing </w:t>
      </w:r>
      <w:r w:rsidR="00B4028F">
        <w:lastRenderedPageBreak/>
        <w:t xml:space="preserve">net energy metering customers to take service on the successor tariff after </w:t>
      </w:r>
      <w:r w:rsidR="00A8112F">
        <w:t xml:space="preserve">a proposed </w:t>
      </w:r>
      <w:r w:rsidR="00B4028F">
        <w:t>five</w:t>
      </w:r>
      <w:r w:rsidR="00827602">
        <w:noBreakHyphen/>
      </w:r>
      <w:r w:rsidR="00B4028F">
        <w:t>year period for incentives ends.</w:t>
      </w:r>
    </w:p>
    <w:p w:rsidR="004663A6" w:rsidP="005E7044" w:rsidRDefault="00C45FAC" w14:paraId="6E5EF096" w14:textId="62E336B7">
      <w:pPr>
        <w:pStyle w:val="Heading2"/>
        <w:keepLines w:val="0"/>
      </w:pPr>
      <w:bookmarkStart w:name="_Toc117674066" w:id="78"/>
      <w:bookmarkStart w:name="_Toc118285057" w:id="79"/>
      <w:bookmarkStart w:name="_Toc121854384" w:id="80"/>
      <w:r>
        <w:t xml:space="preserve">Sierra Club </w:t>
      </w:r>
      <w:r w:rsidR="004663A6">
        <w:t>Proposal</w:t>
      </w:r>
      <w:bookmarkEnd w:id="78"/>
      <w:bookmarkEnd w:id="79"/>
      <w:bookmarkEnd w:id="80"/>
    </w:p>
    <w:p w:rsidR="00C45FAC" w:rsidP="005E7044" w:rsidRDefault="00E90EC6" w14:paraId="6A6C64EA" w14:textId="1F4CD358">
      <w:pPr>
        <w:pStyle w:val="Standard"/>
      </w:pPr>
      <w:r>
        <w:t xml:space="preserve">Sierra Club focuses solely on the residential class of net energy metering customers in its proposal but looks at both current and future net energy metering customers.  Similar to the White Paper, Sierra Club proposes to use a net billing approach in addition to a Market Transformation Credit for future net energy metering customers.  Current net energy metering customers would be transitioned to </w:t>
      </w:r>
      <w:r w:rsidR="00F801F8">
        <w:t xml:space="preserve">existing </w:t>
      </w:r>
      <w:r>
        <w:t>time</w:t>
      </w:r>
      <w:r w:rsidR="00827602">
        <w:noBreakHyphen/>
      </w:r>
      <w:r>
        <w:t>of</w:t>
      </w:r>
      <w:r w:rsidR="00827602">
        <w:noBreakHyphen/>
      </w:r>
      <w:r>
        <w:t>use rates for import rates.</w:t>
      </w:r>
    </w:p>
    <w:p w:rsidR="00533B2F" w:rsidP="005E7044" w:rsidRDefault="002A57A3" w14:paraId="15D20ABB" w14:textId="3B34863B">
      <w:pPr>
        <w:pStyle w:val="Standard"/>
      </w:pPr>
      <w:r>
        <w:t>Instead of creating a new rate with complex features or fixed charges, Sierra Club proposes successor tariff customers subscribe to high</w:t>
      </w:r>
      <w:r w:rsidR="003D1AE6">
        <w:t>ly</w:t>
      </w:r>
      <w:r>
        <w:t xml:space="preserve"> differentiated </w:t>
      </w:r>
      <w:r w:rsidR="003D1AE6">
        <w:t>time</w:t>
      </w:r>
      <w:r w:rsidR="00827602">
        <w:noBreakHyphen/>
      </w:r>
      <w:r w:rsidR="003D1AE6">
        <w:t>of</w:t>
      </w:r>
      <w:r w:rsidR="00827602">
        <w:noBreakHyphen/>
      </w:r>
      <w:r w:rsidR="003D1AE6">
        <w:t xml:space="preserve">use </w:t>
      </w:r>
      <w:r>
        <w:t xml:space="preserve">rates, which would be </w:t>
      </w:r>
      <w:r w:rsidR="00F801F8">
        <w:t>fixed</w:t>
      </w:r>
      <w:r>
        <w:t xml:space="preserve"> for 20</w:t>
      </w:r>
      <w:r w:rsidR="001D293E">
        <w:t> </w:t>
      </w:r>
      <w:r>
        <w:t xml:space="preserve">years and would not increase with retail rates.  Rather, for each gigawatt of total solar deployment, compensation for each successor </w:t>
      </w:r>
      <w:r w:rsidR="00BA1EAE">
        <w:t>“</w:t>
      </w:r>
      <w:r>
        <w:t>tranche</w:t>
      </w:r>
      <w:r w:rsidR="00BA1EAE">
        <w:t>”</w:t>
      </w:r>
      <w:r>
        <w:t xml:space="preserve"> of net energy metering customers would decrease by </w:t>
      </w:r>
      <w:r w:rsidR="00C04724">
        <w:t>10 percent</w:t>
      </w:r>
      <w:r>
        <w:t xml:space="preserve"> toward avoided cost</w:t>
      </w:r>
      <w:r w:rsidR="003D1AE6">
        <w:t>s</w:t>
      </w:r>
      <w:r>
        <w:t xml:space="preserve"> as determined by that year’s </w:t>
      </w:r>
      <w:r w:rsidR="004B7039">
        <w:t>A</w:t>
      </w:r>
      <w:r>
        <w:t xml:space="preserve">voided </w:t>
      </w:r>
      <w:r w:rsidR="004B7039">
        <w:t>C</w:t>
      </w:r>
      <w:r>
        <w:t xml:space="preserve">ost </w:t>
      </w:r>
      <w:r w:rsidR="004B7039">
        <w:t>C</w:t>
      </w:r>
      <w:r>
        <w:t xml:space="preserve">alculator.  Sierra Club </w:t>
      </w:r>
      <w:r w:rsidR="00D644A0">
        <w:t>estimates</w:t>
      </w:r>
      <w:r>
        <w:t xml:space="preserve"> that once the three utilities reach </w:t>
      </w:r>
      <w:r w:rsidR="003537FB">
        <w:t>10 </w:t>
      </w:r>
      <w:r>
        <w:t xml:space="preserve">gigawatts of total rooftop solar deployment, compensation would reach </w:t>
      </w:r>
      <w:r w:rsidR="00B314F8">
        <w:t xml:space="preserve">the </w:t>
      </w:r>
      <w:r>
        <w:t>avoided cost.</w:t>
      </w:r>
      <w:r w:rsidR="00D644A0">
        <w:t xml:space="preserve">  </w:t>
      </w:r>
      <w:r w:rsidR="00E70007">
        <w:t xml:space="preserve">Sierra Club also proposes </w:t>
      </w:r>
      <w:r w:rsidR="003D1AE6">
        <w:t xml:space="preserve">to allow </w:t>
      </w:r>
      <w:r w:rsidR="00E70007">
        <w:t xml:space="preserve">systems </w:t>
      </w:r>
      <w:r w:rsidR="003D1AE6">
        <w:t xml:space="preserve">to </w:t>
      </w:r>
      <w:r w:rsidR="00E70007">
        <w:t>be sized to a</w:t>
      </w:r>
      <w:r w:rsidR="003D1AE6">
        <w:t xml:space="preserve">ccommodate future installation of </w:t>
      </w:r>
      <w:r w:rsidR="00E70007">
        <w:t>all</w:t>
      </w:r>
      <w:r w:rsidR="00827602">
        <w:noBreakHyphen/>
      </w:r>
      <w:r w:rsidR="00E70007">
        <w:t>electric appliances and two electric vehicles.</w:t>
      </w:r>
    </w:p>
    <w:p w:rsidR="00E70007" w:rsidP="005E7044" w:rsidRDefault="00F801F8" w14:paraId="525D49C3" w14:textId="44EA5BE3">
      <w:pPr>
        <w:pStyle w:val="Standard"/>
      </w:pPr>
      <w:r>
        <w:t>Sierra Club recommends requiring existing net energy metering customers, except for low</w:t>
      </w:r>
      <w:r w:rsidR="00827602">
        <w:noBreakHyphen/>
      </w:r>
      <w:r>
        <w:t>income customers, to take service under existing time</w:t>
      </w:r>
      <w:r w:rsidR="00827602">
        <w:noBreakHyphen/>
      </w:r>
      <w:r>
        <w:t>of</w:t>
      </w:r>
      <w:r w:rsidR="00827602">
        <w:noBreakHyphen/>
      </w:r>
      <w:r>
        <w:t xml:space="preserve">use rates with a two to </w:t>
      </w:r>
      <w:r w:rsidR="003D1AE6">
        <w:t>one</w:t>
      </w:r>
      <w:r>
        <w:t xml:space="preserve"> differential between summer peak evening and summer weekday off</w:t>
      </w:r>
      <w:r w:rsidR="00827602">
        <w:noBreakHyphen/>
      </w:r>
      <w:r>
        <w:t xml:space="preserve">peak periods, beginning eight years from initial interconnection of </w:t>
      </w:r>
      <w:r w:rsidR="003D1AE6">
        <w:t>the</w:t>
      </w:r>
      <w:r>
        <w:t xml:space="preserve"> solar system.</w:t>
      </w:r>
    </w:p>
    <w:p w:rsidR="00490092" w:rsidP="005E7044" w:rsidRDefault="000614BC" w14:paraId="1DE8228F" w14:textId="77777777">
      <w:pPr>
        <w:pStyle w:val="Heading2"/>
        <w:keepLines w:val="0"/>
      </w:pPr>
      <w:bookmarkStart w:name="_Toc117674067" w:id="81"/>
      <w:bookmarkStart w:name="_Toc118285058" w:id="82"/>
      <w:bookmarkStart w:name="_Toc121854385" w:id="83"/>
      <w:proofErr w:type="spellStart"/>
      <w:r>
        <w:lastRenderedPageBreak/>
        <w:t>SBUA</w:t>
      </w:r>
      <w:proofErr w:type="spellEnd"/>
      <w:r>
        <w:t xml:space="preserve"> Proposal</w:t>
      </w:r>
      <w:bookmarkEnd w:id="81"/>
      <w:bookmarkEnd w:id="82"/>
      <w:bookmarkEnd w:id="83"/>
    </w:p>
    <w:p w:rsidR="00533B2F" w:rsidP="005E7044" w:rsidRDefault="000614BC" w14:paraId="2FC60481" w14:textId="4548640F">
      <w:pPr>
        <w:pStyle w:val="Standard"/>
      </w:pPr>
      <w:proofErr w:type="spellStart"/>
      <w:r>
        <w:t>SBUA</w:t>
      </w:r>
      <w:proofErr w:type="spellEnd"/>
      <w:r>
        <w:t xml:space="preserve"> propos</w:t>
      </w:r>
      <w:r w:rsidR="004B7039">
        <w:t>es</w:t>
      </w:r>
      <w:r>
        <w:t xml:space="preserve"> </w:t>
      </w:r>
      <w:r w:rsidR="004B7039">
        <w:t xml:space="preserve">to </w:t>
      </w:r>
      <w:r>
        <w:t>shift the net energy metering tariff to focus on storage and removes the restriction on grid charging of net energy metering</w:t>
      </w:r>
      <w:r w:rsidR="003D1AE6">
        <w:t xml:space="preserve"> paired</w:t>
      </w:r>
      <w:r>
        <w:t xml:space="preserve"> storage systems, subject to size restrictions and a daily time</w:t>
      </w:r>
      <w:r w:rsidR="00827602">
        <w:noBreakHyphen/>
      </w:r>
      <w:r>
        <w:t>of</w:t>
      </w:r>
      <w:r w:rsidR="00827602">
        <w:noBreakHyphen/>
      </w:r>
      <w:r>
        <w:t>use netting period.</w:t>
      </w:r>
    </w:p>
    <w:p w:rsidR="000614BC" w:rsidP="005E7044" w:rsidRDefault="000614BC" w14:paraId="0C0EBAE6" w14:textId="3EC2EE70">
      <w:pPr>
        <w:pStyle w:val="Standard"/>
      </w:pPr>
      <w:proofErr w:type="spellStart"/>
      <w:r>
        <w:t>SBUA</w:t>
      </w:r>
      <w:proofErr w:type="spellEnd"/>
      <w:r>
        <w:t xml:space="preserve"> proposes to calculate the </w:t>
      </w:r>
      <w:r w:rsidR="00BB6391">
        <w:t xml:space="preserve">retail </w:t>
      </w:r>
      <w:r>
        <w:t xml:space="preserve">export compensation rate using the Avoided Cost Calculator, including all cost elements, to ensure exports are compensated commensurate with the time of delivery to the grid.  </w:t>
      </w:r>
      <w:proofErr w:type="spellStart"/>
      <w:r>
        <w:t>SBUA</w:t>
      </w:r>
      <w:proofErr w:type="spellEnd"/>
      <w:r>
        <w:t xml:space="preserve"> supports the use of utility</w:t>
      </w:r>
      <w:r w:rsidR="00827602">
        <w:noBreakHyphen/>
      </w:r>
      <w:r>
        <w:t xml:space="preserve">specific marginal costs.  </w:t>
      </w:r>
      <w:proofErr w:type="spellStart"/>
      <w:r>
        <w:t>SBUA</w:t>
      </w:r>
      <w:proofErr w:type="spellEnd"/>
      <w:r>
        <w:t xml:space="preserve"> proposes to double the potential on</w:t>
      </w:r>
      <w:r w:rsidR="00827602">
        <w:noBreakHyphen/>
      </w:r>
      <w:r>
        <w:t>to</w:t>
      </w:r>
      <w:r w:rsidR="00827602">
        <w:noBreakHyphen/>
      </w:r>
      <w:r>
        <w:t xml:space="preserve">off peak value differential during </w:t>
      </w:r>
      <w:r w:rsidR="003D1AE6">
        <w:t>t</w:t>
      </w:r>
      <w:r>
        <w:t xml:space="preserve">he summer and provide a much larger differential during </w:t>
      </w:r>
      <w:r w:rsidR="003D1AE6">
        <w:t>t</w:t>
      </w:r>
      <w:r>
        <w:t xml:space="preserve">he winter.  </w:t>
      </w:r>
      <w:proofErr w:type="spellStart"/>
      <w:r>
        <w:t>SBUA</w:t>
      </w:r>
      <w:proofErr w:type="spellEnd"/>
      <w:r>
        <w:t xml:space="preserve"> recommends maintaining the current treatment of non</w:t>
      </w:r>
      <w:r w:rsidR="00827602">
        <w:noBreakHyphen/>
      </w:r>
      <w:proofErr w:type="spellStart"/>
      <w:r>
        <w:t>bypassable</w:t>
      </w:r>
      <w:proofErr w:type="spellEnd"/>
      <w:r>
        <w:t xml:space="preserve"> charges.  </w:t>
      </w:r>
      <w:bookmarkStart w:name="_Hlk121331215" w:id="84"/>
      <w:r>
        <w:t xml:space="preserve">However, </w:t>
      </w:r>
      <w:proofErr w:type="spellStart"/>
      <w:r>
        <w:t>SBUA</w:t>
      </w:r>
      <w:proofErr w:type="spellEnd"/>
      <w:r>
        <w:t xml:space="preserve"> recommends against the use of demand, grid access, or fixed charges.</w:t>
      </w:r>
      <w:r w:rsidR="00EC1868">
        <w:rPr>
          <w:rStyle w:val="FootnoteReference"/>
        </w:rPr>
        <w:footnoteReference w:id="37"/>
      </w:r>
      <w:r w:rsidR="00EC1868">
        <w:t xml:space="preserve">  </w:t>
      </w:r>
      <w:proofErr w:type="spellStart"/>
      <w:r w:rsidR="00EC1868">
        <w:t>SBUA</w:t>
      </w:r>
      <w:proofErr w:type="spellEnd"/>
      <w:r w:rsidR="00EC1868">
        <w:t xml:space="preserve"> states that a demand charge provides little or no incentive for most individual customers to take actions that reduce system costs.  </w:t>
      </w:r>
      <w:proofErr w:type="spellStart"/>
      <w:r w:rsidR="00EC1868">
        <w:t>SBUA</w:t>
      </w:r>
      <w:proofErr w:type="spellEnd"/>
      <w:r w:rsidR="00EC1868">
        <w:t xml:space="preserve"> later change</w:t>
      </w:r>
      <w:r w:rsidR="0028345B">
        <w:t>d</w:t>
      </w:r>
      <w:r w:rsidR="00EC1868">
        <w:t xml:space="preserve"> its proposal in opening and rebuttal testimony</w:t>
      </w:r>
      <w:r w:rsidR="00906C88">
        <w:t xml:space="preserve"> and recommended a generation charge</w:t>
      </w:r>
      <w:r w:rsidR="00EC1868">
        <w:t>.</w:t>
      </w:r>
      <w:r w:rsidR="00906C88">
        <w:t xml:space="preserve">  </w:t>
      </w:r>
      <w:proofErr w:type="spellStart"/>
      <w:r w:rsidR="00906C88">
        <w:t>SBUA</w:t>
      </w:r>
      <w:proofErr w:type="spellEnd"/>
      <w:r w:rsidR="00906C88">
        <w:t xml:space="preserve"> also added more proposal detail in testimony including the recommendation for appropriate payback periods, emphasis on the </w:t>
      </w:r>
      <w:proofErr w:type="spellStart"/>
      <w:r w:rsidR="00906C88">
        <w:t>TRC</w:t>
      </w:r>
      <w:proofErr w:type="spellEnd"/>
      <w:r w:rsidR="00906C88">
        <w:t>, need for incentives for continued maturation, and a second phase to determine implementation.</w:t>
      </w:r>
      <w:r w:rsidR="00906C88">
        <w:rPr>
          <w:rStyle w:val="FootnoteReference"/>
        </w:rPr>
        <w:footnoteReference w:id="38"/>
      </w:r>
    </w:p>
    <w:bookmarkEnd w:id="84"/>
    <w:p w:rsidR="000614BC" w:rsidP="005E7044" w:rsidRDefault="000614BC" w14:paraId="2C24B7DD" w14:textId="0755490A">
      <w:pPr>
        <w:pStyle w:val="Standard"/>
      </w:pPr>
      <w:proofErr w:type="spellStart"/>
      <w:r>
        <w:t>SBUA</w:t>
      </w:r>
      <w:proofErr w:type="spellEnd"/>
      <w:r>
        <w:t xml:space="preserve"> recommends that</w:t>
      </w:r>
      <w:r w:rsidR="00B314F8">
        <w:t>,</w:t>
      </w:r>
      <w:r>
        <w:t xml:space="preserve"> with a few exceptions (customers in disadvantaged communities, small businesses, and critical facilities), net energy metering customers should be switched to a monthly netting period.  </w:t>
      </w:r>
      <w:proofErr w:type="spellStart"/>
      <w:r>
        <w:t>SBUA</w:t>
      </w:r>
      <w:proofErr w:type="spellEnd"/>
      <w:r>
        <w:t xml:space="preserve"> states that netting over a multi</w:t>
      </w:r>
      <w:r w:rsidR="00827602">
        <w:noBreakHyphen/>
      </w:r>
      <w:r>
        <w:t>hour time</w:t>
      </w:r>
      <w:r w:rsidR="00827602">
        <w:noBreakHyphen/>
      </w:r>
      <w:r>
        <w:t>of</w:t>
      </w:r>
      <w:r w:rsidR="00827602">
        <w:noBreakHyphen/>
      </w:r>
      <w:r>
        <w:t xml:space="preserve">use period would present customers </w:t>
      </w:r>
      <w:r>
        <w:lastRenderedPageBreak/>
        <w:t xml:space="preserve">with reasonable pricing signals.  Further, </w:t>
      </w:r>
      <w:proofErr w:type="spellStart"/>
      <w:r>
        <w:t>SBUA</w:t>
      </w:r>
      <w:proofErr w:type="spellEnd"/>
      <w:r>
        <w:t xml:space="preserve"> contends a very short</w:t>
      </w:r>
      <w:r w:rsidR="00827602">
        <w:noBreakHyphen/>
      </w:r>
      <w:r>
        <w:t>term netting period would encourage customers to waste effort and money on enabling technologies to smooth out inconsequential variations while daily time</w:t>
      </w:r>
      <w:r w:rsidR="00827602">
        <w:noBreakHyphen/>
      </w:r>
      <w:r>
        <w:t>of</w:t>
      </w:r>
      <w:r w:rsidR="00827602">
        <w:noBreakHyphen/>
      </w:r>
      <w:r>
        <w:t>use netting could be more compatible with management of load and storage.</w:t>
      </w:r>
    </w:p>
    <w:p w:rsidR="00533B2F" w:rsidP="005E7044" w:rsidRDefault="000614BC" w14:paraId="6AE8F2C5" w14:textId="7793607F">
      <w:pPr>
        <w:pStyle w:val="Standard"/>
      </w:pPr>
      <w:r>
        <w:t xml:space="preserve">With respect to net energy metering paired storage systems, </w:t>
      </w:r>
      <w:proofErr w:type="spellStart"/>
      <w:r>
        <w:t>SBUA</w:t>
      </w:r>
      <w:proofErr w:type="spellEnd"/>
      <w:r>
        <w:t xml:space="preserve"> proposes to allow these systems to charge from the grid without restriction using a daily time</w:t>
      </w:r>
      <w:r w:rsidR="00827602">
        <w:noBreakHyphen/>
      </w:r>
      <w:r>
        <w:t>of</w:t>
      </w:r>
      <w:r w:rsidR="00827602">
        <w:noBreakHyphen/>
      </w:r>
      <w:r>
        <w:t>use netting period limiting the benefit of time</w:t>
      </w:r>
      <w:r w:rsidR="00827602">
        <w:noBreakHyphen/>
      </w:r>
      <w:r>
        <w:t xml:space="preserve">shifting grid energy.  Further, </w:t>
      </w:r>
      <w:proofErr w:type="spellStart"/>
      <w:r>
        <w:t>SBUA</w:t>
      </w:r>
      <w:proofErr w:type="spellEnd"/>
      <w:r>
        <w:t xml:space="preserve"> proposes that customers should be able to choose to configure and meter the net energy metering</w:t>
      </w:r>
      <w:r w:rsidR="00827602">
        <w:noBreakHyphen/>
      </w:r>
      <w:r>
        <w:t xml:space="preserve">paired storage system to ensure that compensation would only be earned by eligible renewable electric generation.  </w:t>
      </w:r>
      <w:proofErr w:type="spellStart"/>
      <w:r>
        <w:t>SBUA</w:t>
      </w:r>
      <w:proofErr w:type="spellEnd"/>
      <w:r>
        <w:t xml:space="preserve"> offers that, alternatively, customers could choose a simpler configuration for their storage system to allow charging from either the net energy metering generator or the grid.</w:t>
      </w:r>
    </w:p>
    <w:p w:rsidR="004663A6" w:rsidP="005E7044" w:rsidRDefault="00C45FAC" w14:paraId="4B408EBF" w14:textId="5AA79AC2">
      <w:pPr>
        <w:pStyle w:val="Heading2"/>
        <w:keepLines w:val="0"/>
      </w:pPr>
      <w:bookmarkStart w:name="_Toc117674068" w:id="85"/>
      <w:bookmarkStart w:name="_Toc118285059" w:id="86"/>
      <w:bookmarkStart w:name="_Toc121854386" w:id="87"/>
      <w:r>
        <w:t xml:space="preserve">SEIA/Vote Solar </w:t>
      </w:r>
      <w:r w:rsidR="004663A6">
        <w:t>Proposal</w:t>
      </w:r>
      <w:bookmarkEnd w:id="85"/>
      <w:bookmarkEnd w:id="86"/>
      <w:bookmarkEnd w:id="87"/>
    </w:p>
    <w:p w:rsidR="002E6025" w:rsidP="005E7044" w:rsidRDefault="002E6025" w14:paraId="45111CC5" w14:textId="496B3532">
      <w:pPr>
        <w:pStyle w:val="Standard"/>
      </w:pPr>
      <w:r>
        <w:t xml:space="preserve">SEIA/Vote Solar’s proposal focuses solely on the net energy metering tariff for residential customers with incomes </w:t>
      </w:r>
      <w:r w:rsidR="003D1AE6">
        <w:t>above</w:t>
      </w:r>
      <w:r>
        <w:t xml:space="preserve"> 8</w:t>
      </w:r>
      <w:r w:rsidR="00C04724">
        <w:t>0 percent</w:t>
      </w:r>
      <w:r>
        <w:t xml:space="preserve"> of the </w:t>
      </w:r>
      <w:r w:rsidR="00AA497E">
        <w:t>AMI</w:t>
      </w:r>
      <w:r>
        <w:t xml:space="preserve">.  </w:t>
      </w:r>
      <w:r w:rsidR="00752EFE">
        <w:t>SEIA/Vote Solar contends the Commission should not change the tariff for commercial and industrial customers.</w:t>
      </w:r>
    </w:p>
    <w:p w:rsidR="00752EFE" w:rsidP="005E7044" w:rsidRDefault="00752EFE" w14:paraId="1ACB5489" w14:textId="7DD4A773">
      <w:pPr>
        <w:pStyle w:val="Standard"/>
      </w:pPr>
      <w:r>
        <w:t xml:space="preserve">Explaining </w:t>
      </w:r>
      <w:r w:rsidR="00850C04">
        <w:t xml:space="preserve">that </w:t>
      </w:r>
      <w:r>
        <w:t xml:space="preserve">the goal of its proposal is to align bill savings with the benefits </w:t>
      </w:r>
      <w:r w:rsidR="00850C04">
        <w:t xml:space="preserve">that </w:t>
      </w:r>
      <w:r>
        <w:t xml:space="preserve">the </w:t>
      </w:r>
      <w:r w:rsidR="00850C04">
        <w:t xml:space="preserve">systems’ </w:t>
      </w:r>
      <w:r>
        <w:t>exports provide, SEIA/Vote Solar recommends requiring customers of the successor tariff to take service on a time</w:t>
      </w:r>
      <w:r w:rsidR="00827602">
        <w:noBreakHyphen/>
      </w:r>
      <w:r>
        <w:t>of</w:t>
      </w:r>
      <w:r w:rsidR="00827602">
        <w:noBreakHyphen/>
      </w:r>
      <w:r>
        <w:t xml:space="preserve">use rate that promotes electrification and incentivizes the installation of storage.  </w:t>
      </w:r>
      <w:r w:rsidR="00850C04">
        <w:t>A five</w:t>
      </w:r>
      <w:r w:rsidR="00827602">
        <w:noBreakHyphen/>
      </w:r>
      <w:r w:rsidR="00850C04">
        <w:t>step process, t</w:t>
      </w:r>
      <w:r>
        <w:t xml:space="preserve">he alignment will begin in 2023 with </w:t>
      </w:r>
      <w:r w:rsidR="0090671C">
        <w:t>PG&amp;E and SDG&amp;E customers required to use the electrification rate.</w:t>
      </w:r>
      <w:r w:rsidR="00850C04">
        <w:t xml:space="preserve">  SEIA/Vote Solar proposes the remaining four steps would each be triggered when specific total capacities of </w:t>
      </w:r>
      <w:r w:rsidR="00850C04">
        <w:lastRenderedPageBreak/>
        <w:t>residential systems are installed.</w:t>
      </w:r>
      <w:r w:rsidR="00B7009E">
        <w:t xml:space="preserve">  SEIA/Vote Solar recommends setting the capacity trigger value equal to one year of expected residential solar or </w:t>
      </w:r>
      <w:r w:rsidR="00E71FF3">
        <w:t xml:space="preserve">paired storage </w:t>
      </w:r>
      <w:r w:rsidR="00B7009E">
        <w:t xml:space="preserve">installations for each utility, based on the utility’s annual average over the past five years.  </w:t>
      </w:r>
      <w:r w:rsidR="00850C04">
        <w:t xml:space="preserve">SEIA/Vote Solar states that its proposal would result in </w:t>
      </w:r>
      <w:r w:rsidR="00BB6391">
        <w:t xml:space="preserve">retail </w:t>
      </w:r>
      <w:r w:rsidR="00850C04">
        <w:t xml:space="preserve">export compensation </w:t>
      </w:r>
      <w:r w:rsidR="00BB6391">
        <w:t xml:space="preserve">rate </w:t>
      </w:r>
      <w:r w:rsidR="00850C04">
        <w:t>reductions, by the year 2027, of 5</w:t>
      </w:r>
      <w:r w:rsidR="00C04724">
        <w:t>0 percent</w:t>
      </w:r>
      <w:r w:rsidR="00850C04">
        <w:t xml:space="preserve"> for PG&amp;E and SDG&amp;E net energy metering successor tariff customers and 2</w:t>
      </w:r>
      <w:r w:rsidR="00C04724">
        <w:t>5 percent</w:t>
      </w:r>
      <w:r w:rsidR="00850C04">
        <w:t xml:space="preserve"> for SCE customers.</w:t>
      </w:r>
    </w:p>
    <w:p w:rsidRPr="00C45FAC" w:rsidR="00B7009E" w:rsidP="005E7044" w:rsidRDefault="00B7009E" w14:paraId="2BC7D73A" w14:textId="0172046A">
      <w:pPr>
        <w:pStyle w:val="Standard"/>
      </w:pPr>
      <w:r>
        <w:t>The SEIA/Vote Solar proposal maintains net billing with continued exemptions from departing load charges, standing charges and interconnection upgrade costs.  SEIA/Vote Solar’s proposal would continue the 20</w:t>
      </w:r>
      <w:r w:rsidR="00827602">
        <w:noBreakHyphen/>
      </w:r>
      <w:r>
        <w:t>year term of service for the tariff but allow for default monthly billing for residential and small commercial customers with an annual true</w:t>
      </w:r>
      <w:r w:rsidR="00827602">
        <w:noBreakHyphen/>
      </w:r>
      <w:r>
        <w:t>up in April for those wanting to maintain annual billing.  The proposal also continues netting of imported and exported power in each metered interval and a $10 monthly minimum bill.</w:t>
      </w:r>
    </w:p>
    <w:p w:rsidR="004663A6" w:rsidP="005E7044" w:rsidRDefault="00C45FAC" w14:paraId="06B110BA" w14:textId="5821C7E3">
      <w:pPr>
        <w:pStyle w:val="Heading2"/>
        <w:keepLines w:val="0"/>
      </w:pPr>
      <w:bookmarkStart w:name="_Toc117674069" w:id="88"/>
      <w:bookmarkStart w:name="_Toc118285060" w:id="89"/>
      <w:bookmarkStart w:name="_Toc121854387" w:id="90"/>
      <w:r>
        <w:t xml:space="preserve">TURN </w:t>
      </w:r>
      <w:r w:rsidR="004663A6">
        <w:t>Proposal</w:t>
      </w:r>
      <w:bookmarkEnd w:id="88"/>
      <w:bookmarkEnd w:id="89"/>
      <w:bookmarkEnd w:id="90"/>
    </w:p>
    <w:p w:rsidR="004A4301" w:rsidP="005E7044" w:rsidRDefault="003F2206" w14:paraId="6BEA6105" w14:textId="268DFD5E">
      <w:pPr>
        <w:pStyle w:val="Standard"/>
      </w:pPr>
      <w:proofErr w:type="spellStart"/>
      <w:r>
        <w:t>TURN’</w:t>
      </w:r>
      <w:r w:rsidR="004A4301">
        <w:t>s</w:t>
      </w:r>
      <w:proofErr w:type="spellEnd"/>
      <w:r>
        <w:t xml:space="preserve"> proposal is </w:t>
      </w:r>
      <w:r w:rsidR="004A4301">
        <w:t xml:space="preserve">a </w:t>
      </w:r>
      <w:r>
        <w:t xml:space="preserve">net billing arrangement </w:t>
      </w:r>
      <w:r w:rsidR="004A4301">
        <w:t xml:space="preserve">with </w:t>
      </w:r>
      <w:r w:rsidR="00BB6391">
        <w:t xml:space="preserve">retail </w:t>
      </w:r>
      <w:r w:rsidR="004A4301">
        <w:t>export compensation rates based on Avoided Cost Calculator values, import rates based on time</w:t>
      </w:r>
      <w:r w:rsidR="00827602">
        <w:noBreakHyphen/>
      </w:r>
      <w:r w:rsidR="004A4301">
        <w:t>of</w:t>
      </w:r>
      <w:r w:rsidR="00827602">
        <w:noBreakHyphen/>
      </w:r>
      <w:r w:rsidR="004A4301">
        <w:t>use tariffs, a monthly grid charge, a market transition credit for CARE</w:t>
      </w:r>
      <w:r w:rsidR="00827602">
        <w:noBreakHyphen/>
      </w:r>
      <w:r w:rsidR="004A4301">
        <w:t>eligible customers only, and a unique rate for customers with paired storage.</w:t>
      </w:r>
    </w:p>
    <w:p w:rsidR="00C45FAC" w:rsidP="005E7044" w:rsidRDefault="004A4301" w14:paraId="3A508291" w14:textId="2DDFA6FF">
      <w:pPr>
        <w:pStyle w:val="Standard"/>
      </w:pPr>
      <w:r>
        <w:t xml:space="preserve">TURN recommends </w:t>
      </w:r>
      <w:r w:rsidR="003F2206">
        <w:t xml:space="preserve">bill credits based on actual hourly exports by the customer’s system relying on hourly values from the Avoided Cost Calculator that are modified by actual recorded CAISO market prices.  </w:t>
      </w:r>
      <w:r>
        <w:t xml:space="preserve">The modification would replace forecasted values for energy, ancillary services, </w:t>
      </w:r>
      <w:r w:rsidR="00D374EE">
        <w:t>losses,</w:t>
      </w:r>
      <w:r>
        <w:t xml:space="preserve"> and greenhouse gas cap</w:t>
      </w:r>
      <w:r w:rsidR="00827602">
        <w:noBreakHyphen/>
      </w:r>
      <w:r>
        <w:t>and</w:t>
      </w:r>
      <w:r w:rsidR="00827602">
        <w:noBreakHyphen/>
      </w:r>
      <w:r>
        <w:t xml:space="preserve">trade with actual market prices.  Credit for exports would be calculated using an hourly netting approach and billed monthly.  </w:t>
      </w:r>
      <w:r>
        <w:lastRenderedPageBreak/>
        <w:t>TURN proposes that after 12</w:t>
      </w:r>
      <w:r w:rsidR="00732221">
        <w:t> </w:t>
      </w:r>
      <w:r>
        <w:t>months, the balance would be adjusted based on the net surplus compensation formula.</w:t>
      </w:r>
    </w:p>
    <w:p w:rsidR="004A4301" w:rsidP="005E7044" w:rsidRDefault="004A4301" w14:paraId="55F5003B" w14:textId="7D6050FE">
      <w:pPr>
        <w:pStyle w:val="Standard"/>
      </w:pPr>
      <w:r>
        <w:t xml:space="preserve">Under </w:t>
      </w:r>
      <w:proofErr w:type="spellStart"/>
      <w:r>
        <w:t>TURN’s</w:t>
      </w:r>
      <w:proofErr w:type="spellEnd"/>
      <w:r>
        <w:t xml:space="preserve"> proposal, net energy metering customers </w:t>
      </w:r>
      <w:r w:rsidR="000B3FB9">
        <w:t>could choose from the complete list of available time</w:t>
      </w:r>
      <w:r w:rsidR="00827602">
        <w:noBreakHyphen/>
      </w:r>
      <w:r w:rsidR="000B3FB9">
        <w:t>of</w:t>
      </w:r>
      <w:r w:rsidR="00827602">
        <w:noBreakHyphen/>
      </w:r>
      <w:r w:rsidR="000B3FB9">
        <w:t>use tariffs to provide flexibility and promote uptake of options tied to identified distributed energy resources.</w:t>
      </w:r>
    </w:p>
    <w:p w:rsidR="00490092" w:rsidP="005E7044" w:rsidRDefault="000B3FB9" w14:paraId="668C8669" w14:textId="279F85B3">
      <w:pPr>
        <w:pStyle w:val="Standard"/>
      </w:pPr>
      <w:r>
        <w:t>TURN also proposes a grid charge to recover non</w:t>
      </w:r>
      <w:r w:rsidR="00827602">
        <w:noBreakHyphen/>
      </w:r>
      <w:proofErr w:type="spellStart"/>
      <w:r>
        <w:t>bypassable</w:t>
      </w:r>
      <w:proofErr w:type="spellEnd"/>
      <w:r>
        <w:t>, unavoidable, and shared costs associated with consumption</w:t>
      </w:r>
      <w:r w:rsidR="007336D9">
        <w:t xml:space="preserve"> of onsite generation</w:t>
      </w:r>
      <w:r>
        <w:t>.  The monthly customer</w:t>
      </w:r>
      <w:r w:rsidR="00827602">
        <w:noBreakHyphen/>
      </w:r>
      <w:r>
        <w:t xml:space="preserve">specific charge would </w:t>
      </w:r>
      <w:r w:rsidR="00A0687C">
        <w:t xml:space="preserve">be </w:t>
      </w:r>
      <w:r>
        <w:t>dynamically calculated using a second meter or estimated based on customer self</w:t>
      </w:r>
      <w:r w:rsidR="00827602">
        <w:noBreakHyphen/>
      </w:r>
      <w:r>
        <w:t>consumption in each month.</w:t>
      </w:r>
    </w:p>
    <w:p w:rsidRPr="00C45FAC" w:rsidR="000B3FB9" w:rsidP="005E7044" w:rsidRDefault="000B3FB9" w14:paraId="784B64D9" w14:textId="4159F040">
      <w:pPr>
        <w:pStyle w:val="Standard"/>
      </w:pPr>
      <w:r>
        <w:t xml:space="preserve">The final </w:t>
      </w:r>
      <w:r w:rsidR="00F76D70">
        <w:t xml:space="preserve">two </w:t>
      </w:r>
      <w:r>
        <w:t>element</w:t>
      </w:r>
      <w:r w:rsidR="00F76D70">
        <w:t>s</w:t>
      </w:r>
      <w:r>
        <w:t xml:space="preserve"> of </w:t>
      </w:r>
      <w:proofErr w:type="spellStart"/>
      <w:r>
        <w:t>TURN’s</w:t>
      </w:r>
      <w:proofErr w:type="spellEnd"/>
      <w:r>
        <w:t xml:space="preserve"> proposal </w:t>
      </w:r>
      <w:r w:rsidR="00F76D70">
        <w:t xml:space="preserve">are focused on subsets of net energy metering customers.  First, </w:t>
      </w:r>
      <w:r w:rsidR="000614BC">
        <w:t xml:space="preserve">TURN proposes </w:t>
      </w:r>
      <w:r>
        <w:t>an up</w:t>
      </w:r>
      <w:r w:rsidR="00827602">
        <w:noBreakHyphen/>
      </w:r>
      <w:r>
        <w:t>front buydown incentive or Market Transition Credit for C</w:t>
      </w:r>
      <w:r w:rsidR="003D1AE6">
        <w:t>ARE</w:t>
      </w:r>
      <w:r w:rsidR="00827602">
        <w:noBreakHyphen/>
      </w:r>
      <w:r>
        <w:t xml:space="preserve">eligible customers installing a system on existing properties.  </w:t>
      </w:r>
      <w:r w:rsidR="00F76D70">
        <w:t>The second element is a unique rate for customers with paired storage, which includes additional time</w:t>
      </w:r>
      <w:r w:rsidR="00827602">
        <w:noBreakHyphen/>
      </w:r>
      <w:r w:rsidR="00F76D70">
        <w:t>of</w:t>
      </w:r>
      <w:r w:rsidR="00827602">
        <w:noBreakHyphen/>
      </w:r>
      <w:r w:rsidR="00F76D70">
        <w:t>use rate granularity and price signal</w:t>
      </w:r>
      <w:r w:rsidR="003D1AE6">
        <w:t>s</w:t>
      </w:r>
      <w:r w:rsidR="00F76D70">
        <w:t>, as well as dispatch obligations to respond during emergency grid needs.</w:t>
      </w:r>
    </w:p>
    <w:p w:rsidR="005A148C" w:rsidP="005E7044" w:rsidRDefault="005939A5" w14:paraId="19003BB3" w14:textId="77777777">
      <w:pPr>
        <w:pStyle w:val="Heading1"/>
        <w:keepLines w:val="0"/>
      </w:pPr>
      <w:bookmarkStart w:name="_Toc8123719" w:id="91"/>
      <w:bookmarkStart w:name="_Toc117674070" w:id="92"/>
      <w:bookmarkStart w:name="_Toc118285061" w:id="93"/>
      <w:bookmarkStart w:name="_Toc121854388" w:id="94"/>
      <w:r>
        <w:t>Issues Before the Commission</w:t>
      </w:r>
      <w:bookmarkEnd w:id="91"/>
      <w:bookmarkEnd w:id="92"/>
      <w:bookmarkEnd w:id="93"/>
      <w:bookmarkEnd w:id="94"/>
    </w:p>
    <w:p w:rsidR="00490092" w:rsidP="005E7044" w:rsidRDefault="003F26A6" w14:paraId="705D678F" w14:textId="3A1491B7">
      <w:pPr>
        <w:pStyle w:val="Standard"/>
      </w:pPr>
      <w:r>
        <w:t xml:space="preserve">The Scoping Memo established the seven issues listed </w:t>
      </w:r>
      <w:r w:rsidR="00813129">
        <w:t>below as the scope of issues for this proceeding</w:t>
      </w:r>
      <w:r w:rsidR="005939A5">
        <w:t>.</w:t>
      </w:r>
      <w:r w:rsidR="00813129">
        <w:t xml:space="preserve">  D.21</w:t>
      </w:r>
      <w:r w:rsidR="00827602">
        <w:noBreakHyphen/>
      </w:r>
      <w:r w:rsidR="00813129">
        <w:t>02</w:t>
      </w:r>
      <w:r w:rsidR="00827602">
        <w:noBreakHyphen/>
      </w:r>
      <w:r w:rsidR="00813129">
        <w:t>0</w:t>
      </w:r>
      <w:r w:rsidR="005D640B">
        <w:t>07</w:t>
      </w:r>
      <w:r w:rsidR="00813129">
        <w:t xml:space="preserve"> addressed </w:t>
      </w:r>
      <w:r w:rsidR="004C6558">
        <w:t>Issue 1</w:t>
      </w:r>
      <w:r w:rsidR="00813129">
        <w:t xml:space="preserve">.  This decision will only address </w:t>
      </w:r>
      <w:r w:rsidR="003A64D8">
        <w:t>Issue </w:t>
      </w:r>
      <w:r w:rsidR="00813129">
        <w:t xml:space="preserve">2 through </w:t>
      </w:r>
      <w:r w:rsidR="00BA4231">
        <w:t>Issue </w:t>
      </w:r>
      <w:r w:rsidR="00813129">
        <w:t xml:space="preserve">6.  A subsequent decision will address </w:t>
      </w:r>
      <w:r w:rsidR="004C6558">
        <w:t>Issue 7</w:t>
      </w:r>
      <w:r w:rsidR="00813129">
        <w:t>.</w:t>
      </w:r>
    </w:p>
    <w:p w:rsidR="00490092" w:rsidP="00F37B3A" w:rsidRDefault="003F26A6" w14:paraId="1AFBB6E6" w14:textId="26AC233A">
      <w:pPr>
        <w:pStyle w:val="BlockQuoteH025"/>
        <w:numPr>
          <w:ilvl w:val="6"/>
          <w:numId w:val="11"/>
        </w:numPr>
        <w:ind w:left="1080"/>
      </w:pPr>
      <w:r>
        <w:t xml:space="preserve">What guiding principles (including those related to </w:t>
      </w:r>
      <w:r w:rsidR="003A64D8">
        <w:t>AB </w:t>
      </w:r>
      <w:r>
        <w:t>327 (2013, Perea), equity, environmental goals, and social justice) should the Commission adopt to assist in the development and evaluation of a successor to the current net energy metering tariff?</w:t>
      </w:r>
    </w:p>
    <w:p w:rsidR="00490092" w:rsidP="00F37B3A" w:rsidRDefault="003F26A6" w14:paraId="4D80C7D3" w14:textId="34665A5A">
      <w:pPr>
        <w:pStyle w:val="BlockQuoteH025"/>
        <w:numPr>
          <w:ilvl w:val="6"/>
          <w:numId w:val="11"/>
        </w:numPr>
        <w:ind w:left="1080"/>
      </w:pPr>
      <w:r>
        <w:t>What information from the Net Energy Metering</w:t>
      </w:r>
      <w:r w:rsidR="003A64D8">
        <w:t> </w:t>
      </w:r>
      <w:r>
        <w:t>2.0 Lookback Study should inform the successor and how should the Commission apply those findings in its consideration?</w:t>
      </w:r>
    </w:p>
    <w:p w:rsidR="00490092" w:rsidP="00F37B3A" w:rsidRDefault="003F26A6" w14:paraId="79D6ADAD" w14:textId="77777777">
      <w:pPr>
        <w:pStyle w:val="BlockQuoteH025"/>
        <w:numPr>
          <w:ilvl w:val="6"/>
          <w:numId w:val="11"/>
        </w:numPr>
        <w:ind w:left="1080"/>
      </w:pPr>
      <w:r>
        <w:lastRenderedPageBreak/>
        <w:t xml:space="preserve">What method should the Commission use to analyze the program elements identified in </w:t>
      </w:r>
      <w:r w:rsidR="004C6558">
        <w:t>Issue 4</w:t>
      </w:r>
      <w:r>
        <w:t xml:space="preserve"> and the resulting proposals, while ensuring the proposals comply with the guiding principles?</w:t>
      </w:r>
    </w:p>
    <w:p w:rsidR="00490092" w:rsidP="00F37B3A" w:rsidRDefault="003F26A6" w14:paraId="77C7A7FD" w14:textId="77777777">
      <w:pPr>
        <w:pStyle w:val="BlockQuoteH025"/>
        <w:numPr>
          <w:ilvl w:val="6"/>
          <w:numId w:val="11"/>
        </w:numPr>
        <w:ind w:left="1080"/>
      </w:pPr>
      <w:r>
        <w:t>What program elements or specific features should the Commission include in a successor to the current net energy metering tariff?</w:t>
      </w:r>
    </w:p>
    <w:p w:rsidR="00490092" w:rsidP="00F37B3A" w:rsidRDefault="003F26A6" w14:paraId="15EEF025" w14:textId="77777777">
      <w:pPr>
        <w:pStyle w:val="BlockQuoteH025"/>
        <w:numPr>
          <w:ilvl w:val="6"/>
          <w:numId w:val="11"/>
        </w:numPr>
        <w:ind w:left="1080"/>
      </w:pPr>
      <w:r>
        <w:t xml:space="preserve">Which of the analyzed proposals should the Commission adopt as a successor to the current net energy metering tariff and why? </w:t>
      </w:r>
      <w:r w:rsidR="00F93066">
        <w:t xml:space="preserve"> </w:t>
      </w:r>
      <w:r>
        <w:t>What should the timeline be for implementation?</w:t>
      </w:r>
    </w:p>
    <w:p w:rsidR="00490092" w:rsidP="00F37B3A" w:rsidRDefault="003F26A6" w14:paraId="57AF0972" w14:textId="681B4772">
      <w:pPr>
        <w:pStyle w:val="BlockQuoteH025"/>
        <w:numPr>
          <w:ilvl w:val="6"/>
          <w:numId w:val="11"/>
        </w:numPr>
        <w:ind w:left="1080"/>
      </w:pPr>
      <w:r>
        <w:t xml:space="preserve">Other issues that may arise related to current net energy metering tariffs and </w:t>
      </w:r>
      <w:proofErr w:type="spellStart"/>
      <w:r>
        <w:t>subtariffs</w:t>
      </w:r>
      <w:proofErr w:type="spellEnd"/>
      <w:r>
        <w:t xml:space="preserve">, which include but are not limited to the virtual net energy metering </w:t>
      </w:r>
      <w:proofErr w:type="spellStart"/>
      <w:r w:rsidR="00F743F3">
        <w:t>sub</w:t>
      </w:r>
      <w:r>
        <w:t>tariff</w:t>
      </w:r>
      <w:proofErr w:type="spellEnd"/>
      <w:r>
        <w:t xml:space="preserve">, net energy metering aggregation </w:t>
      </w:r>
      <w:proofErr w:type="spellStart"/>
      <w:r w:rsidR="00F743F3">
        <w:t>sub</w:t>
      </w:r>
      <w:r>
        <w:t>tariff</w:t>
      </w:r>
      <w:proofErr w:type="spellEnd"/>
      <w:r>
        <w:t>, the Renewable Energy Self</w:t>
      </w:r>
      <w:r w:rsidR="00827602">
        <w:noBreakHyphen/>
      </w:r>
      <w:r>
        <w:t>Generation Bill Credit Transfer program, and the net energy metering fuel cell tariff.</w:t>
      </w:r>
    </w:p>
    <w:p w:rsidR="007C247F" w:rsidP="00F37B3A" w:rsidRDefault="003F26A6" w14:paraId="408C05A7" w14:textId="0A7F7B6F">
      <w:pPr>
        <w:pStyle w:val="BlockQuoteH025"/>
        <w:numPr>
          <w:ilvl w:val="6"/>
          <w:numId w:val="11"/>
        </w:numPr>
        <w:ind w:left="1080"/>
      </w:pPr>
      <w:r>
        <w:t>What additional or enhanced consumer protections for customers taking service under net energy metering and/or the successor to the current net energy metering tariff should be adopted by the Commission?</w:t>
      </w:r>
    </w:p>
    <w:p w:rsidR="005939A5" w:rsidP="005E7044" w:rsidRDefault="000C3AA5" w14:paraId="29259BA4" w14:textId="5DC3C282">
      <w:pPr>
        <w:pStyle w:val="Heading1"/>
        <w:keepLines w:val="0"/>
      </w:pPr>
      <w:bookmarkStart w:name="_Toc117674071" w:id="95"/>
      <w:bookmarkStart w:name="_Toc118285062" w:id="96"/>
      <w:bookmarkStart w:name="_Toc121854389" w:id="97"/>
      <w:r>
        <w:t>Revisi</w:t>
      </w:r>
      <w:r w:rsidR="00B0728B">
        <w:t xml:space="preserve">ng </w:t>
      </w:r>
      <w:r>
        <w:t>the Net Energy Metering Tariff</w:t>
      </w:r>
      <w:bookmarkEnd w:id="95"/>
      <w:bookmarkEnd w:id="96"/>
      <w:bookmarkEnd w:id="97"/>
    </w:p>
    <w:p w:rsidR="000614BC" w:rsidP="005E7044" w:rsidRDefault="007F678E" w14:paraId="39B0DCB1" w14:textId="598B18E2">
      <w:pPr>
        <w:pStyle w:val="Standard"/>
      </w:pPr>
      <w:r>
        <w:t xml:space="preserve">In this proceeding, each </w:t>
      </w:r>
      <w:r w:rsidR="00174F5C">
        <w:t xml:space="preserve">of the first five </w:t>
      </w:r>
      <w:r>
        <w:t>issue</w:t>
      </w:r>
      <w:r w:rsidR="00174F5C">
        <w:t>s</w:t>
      </w:r>
      <w:r>
        <w:t xml:space="preserve"> </w:t>
      </w:r>
      <w:r w:rsidR="00185FE3">
        <w:t xml:space="preserve">in the scoping memo </w:t>
      </w:r>
      <w:r>
        <w:t>is a building block toward the ultima</w:t>
      </w:r>
      <w:r w:rsidR="00185FE3">
        <w:t>t</w:t>
      </w:r>
      <w:r>
        <w:t xml:space="preserve">e determination of the last two </w:t>
      </w:r>
      <w:r w:rsidR="00185FE3">
        <w:t xml:space="preserve">scoping </w:t>
      </w:r>
      <w:r>
        <w:t>issues</w:t>
      </w:r>
      <w:r w:rsidR="00555CC0">
        <w:t xml:space="preserve">:  </w:t>
      </w:r>
      <w:r w:rsidR="00185FE3">
        <w:t xml:space="preserve">the design of the </w:t>
      </w:r>
      <w:r>
        <w:t xml:space="preserve">successor and related tariffs.  </w:t>
      </w:r>
      <w:r w:rsidR="008E3E7A">
        <w:t xml:space="preserve">This </w:t>
      </w:r>
      <w:r w:rsidR="00135651">
        <w:t>proceeding</w:t>
      </w:r>
      <w:r w:rsidR="008E3E7A">
        <w:t xml:space="preserve"> </w:t>
      </w:r>
      <w:r w:rsidR="00185FE3">
        <w:t xml:space="preserve">previously determined the foundation for the successor and related tariffs </w:t>
      </w:r>
      <w:r w:rsidR="00174F5C">
        <w:t>through</w:t>
      </w:r>
      <w:r w:rsidR="00185FE3">
        <w:t xml:space="preserve"> the adoption of a set of guiding principles, which will be referenced throughout this decision.  </w:t>
      </w:r>
      <w:r w:rsidR="00712D12">
        <w:t xml:space="preserve">The first building block in </w:t>
      </w:r>
      <w:r w:rsidR="00185FE3">
        <w:t>this decision</w:t>
      </w:r>
      <w:r w:rsidR="00712D12">
        <w:t xml:space="preserve"> is a</w:t>
      </w:r>
      <w:r w:rsidR="000E1579">
        <w:t xml:space="preserve"> </w:t>
      </w:r>
      <w:r w:rsidR="00185FE3">
        <w:t xml:space="preserve">review </w:t>
      </w:r>
      <w:r w:rsidR="00712D12">
        <w:t xml:space="preserve">of </w:t>
      </w:r>
      <w:r w:rsidR="00185FE3">
        <w:t xml:space="preserve">the Lookback Study to determine the findings </w:t>
      </w:r>
      <w:r w:rsidR="000E1579">
        <w:t>that should be</w:t>
      </w:r>
      <w:r w:rsidR="00712D12">
        <w:t xml:space="preserve"> </w:t>
      </w:r>
      <w:r w:rsidR="00185FE3">
        <w:t>rel</w:t>
      </w:r>
      <w:r w:rsidR="000E1579">
        <w:t>ied</w:t>
      </w:r>
      <w:r w:rsidR="00185FE3">
        <w:t xml:space="preserve"> </w:t>
      </w:r>
      <w:r w:rsidR="00712D12">
        <w:t>upon when</w:t>
      </w:r>
      <w:r w:rsidR="00185FE3">
        <w:t xml:space="preserve"> analyz</w:t>
      </w:r>
      <w:r w:rsidR="00712D12">
        <w:t>ing</w:t>
      </w:r>
      <w:r w:rsidR="00185FE3">
        <w:t xml:space="preserve"> the tariff elements and, ultimately, the successor and related tariffs.  In addition to the Lookback Study, </w:t>
      </w:r>
      <w:r w:rsidR="00712D12">
        <w:t xml:space="preserve">the </w:t>
      </w:r>
      <w:r w:rsidR="000E1579">
        <w:t>decision</w:t>
      </w:r>
      <w:r w:rsidR="00712D12">
        <w:t xml:space="preserve"> considers </w:t>
      </w:r>
      <w:r w:rsidR="00185FE3">
        <w:t xml:space="preserve">other methods of analysis in </w:t>
      </w:r>
      <w:r w:rsidR="00712D12">
        <w:t xml:space="preserve">the </w:t>
      </w:r>
      <w:r w:rsidR="00185FE3">
        <w:t xml:space="preserve">selection of </w:t>
      </w:r>
      <w:r w:rsidR="00882332">
        <w:t xml:space="preserve">tariff </w:t>
      </w:r>
      <w:r w:rsidR="00185FE3">
        <w:t xml:space="preserve">elements and </w:t>
      </w:r>
      <w:r w:rsidR="00882332">
        <w:t xml:space="preserve">the </w:t>
      </w:r>
      <w:r w:rsidR="00185FE3">
        <w:t>successor</w:t>
      </w:r>
      <w:r w:rsidR="00882332">
        <w:t xml:space="preserve"> tariff</w:t>
      </w:r>
      <w:r w:rsidR="00185FE3">
        <w:t xml:space="preserve">.  With the guiding principles, </w:t>
      </w:r>
      <w:r w:rsidR="00185FE3">
        <w:lastRenderedPageBreak/>
        <w:t>Lookback Study</w:t>
      </w:r>
      <w:r w:rsidR="000E1579">
        <w:t>,</w:t>
      </w:r>
      <w:r w:rsidR="00185FE3">
        <w:t xml:space="preserve"> and analysis methods</w:t>
      </w:r>
      <w:r w:rsidR="00882332">
        <w:t xml:space="preserve"> determined</w:t>
      </w:r>
      <w:r w:rsidR="00185FE3">
        <w:t xml:space="preserve">, </w:t>
      </w:r>
      <w:r w:rsidR="000E1579">
        <w:t xml:space="preserve">this decision then </w:t>
      </w:r>
      <w:r w:rsidR="00185FE3">
        <w:t>discuss</w:t>
      </w:r>
      <w:r w:rsidR="000E1579">
        <w:t>es</w:t>
      </w:r>
      <w:r w:rsidR="00185FE3">
        <w:t xml:space="preserve"> the various elements </w:t>
      </w:r>
      <w:r w:rsidR="00882332">
        <w:t xml:space="preserve">that </w:t>
      </w:r>
      <w:r w:rsidR="00185FE3">
        <w:t>parties</w:t>
      </w:r>
      <w:r w:rsidR="00882332">
        <w:t xml:space="preserve"> </w:t>
      </w:r>
      <w:r w:rsidR="00185FE3">
        <w:t>and the White Paper recommend</w:t>
      </w:r>
      <w:r w:rsidR="00882332">
        <w:t xml:space="preserve"> for</w:t>
      </w:r>
      <w:r w:rsidR="00185FE3">
        <w:t xml:space="preserve"> the successor tariff.  </w:t>
      </w:r>
      <w:r w:rsidR="00882332">
        <w:t xml:space="preserve">After determination of the </w:t>
      </w:r>
      <w:r w:rsidR="00174F5C">
        <w:t xml:space="preserve">five </w:t>
      </w:r>
      <w:r w:rsidR="00185FE3">
        <w:t xml:space="preserve">building blocks, </w:t>
      </w:r>
      <w:r w:rsidR="000E1579">
        <w:t xml:space="preserve">this decision presents a </w:t>
      </w:r>
      <w:r w:rsidR="00185FE3">
        <w:t xml:space="preserve">review </w:t>
      </w:r>
      <w:r w:rsidR="000E1579">
        <w:t xml:space="preserve">of </w:t>
      </w:r>
      <w:r w:rsidR="00185FE3">
        <w:t>the elements and proposal</w:t>
      </w:r>
      <w:r w:rsidR="00882332">
        <w:t>s</w:t>
      </w:r>
      <w:r w:rsidR="00185FE3">
        <w:t xml:space="preserve"> </w:t>
      </w:r>
      <w:r w:rsidR="00882332">
        <w:t xml:space="preserve">and </w:t>
      </w:r>
      <w:r w:rsidR="00185FE3">
        <w:t>adopt</w:t>
      </w:r>
      <w:r w:rsidR="000E1579">
        <w:t>s</w:t>
      </w:r>
      <w:r w:rsidR="00185FE3">
        <w:t xml:space="preserve"> a successor and related tariffs</w:t>
      </w:r>
      <w:r w:rsidR="004914EE">
        <w:t>.</w:t>
      </w:r>
    </w:p>
    <w:p w:rsidR="00EA36C6" w:rsidP="005E7044" w:rsidRDefault="000614BC" w14:paraId="37B4A1C6" w14:textId="5EF2DCC0">
      <w:pPr>
        <w:pStyle w:val="Heading2"/>
        <w:keepLines w:val="0"/>
      </w:pPr>
      <w:bookmarkStart w:name="_Toc117674072" w:id="98"/>
      <w:bookmarkStart w:name="_Toc118285063" w:id="99"/>
      <w:bookmarkStart w:name="_Toc121854390" w:id="100"/>
      <w:r>
        <w:t>Reliance on the Lookback Study</w:t>
      </w:r>
      <w:bookmarkEnd w:id="98"/>
      <w:bookmarkEnd w:id="99"/>
      <w:bookmarkEnd w:id="100"/>
    </w:p>
    <w:p w:rsidR="00533B2F" w:rsidP="00982047" w:rsidRDefault="00D55375" w14:paraId="3F52D3B3" w14:textId="77777777">
      <w:pPr>
        <w:pStyle w:val="Standard"/>
      </w:pPr>
      <w:r>
        <w:t xml:space="preserve">Parties were asked to </w:t>
      </w:r>
      <w:r w:rsidR="00185070">
        <w:t>address</w:t>
      </w:r>
      <w:r>
        <w:t xml:space="preserve"> what information from the Lookback Study the Commission should use to inform the selection of the successor net energy metering tariff and how </w:t>
      </w:r>
      <w:r w:rsidR="00185070">
        <w:t xml:space="preserve">that </w:t>
      </w:r>
      <w:r>
        <w:t xml:space="preserve">information </w:t>
      </w:r>
      <w:r w:rsidR="003269F8">
        <w:t xml:space="preserve">should </w:t>
      </w:r>
      <w:r>
        <w:t>be applied</w:t>
      </w:r>
      <w:r w:rsidR="00EA36C6">
        <w:t>.</w:t>
      </w:r>
      <w:r>
        <w:t xml:space="preserve">  </w:t>
      </w:r>
      <w:r w:rsidR="00185070">
        <w:t xml:space="preserve">As discussed below, based on the evidence in this proceeding, </w:t>
      </w:r>
      <w:r w:rsidR="000E1579">
        <w:t xml:space="preserve">this decision </w:t>
      </w:r>
      <w:r w:rsidR="003D612E">
        <w:t>find</w:t>
      </w:r>
      <w:r w:rsidR="000E1579">
        <w:t>s that</w:t>
      </w:r>
      <w:r w:rsidR="003D612E">
        <w:t xml:space="preserve"> </w:t>
      </w:r>
      <w:r>
        <w:t>th</w:t>
      </w:r>
      <w:r w:rsidR="003D612E">
        <w:t xml:space="preserve">e </w:t>
      </w:r>
      <w:r w:rsidR="00185070">
        <w:t xml:space="preserve">following Lookback Study conclusions </w:t>
      </w:r>
      <w:r w:rsidR="003D612E">
        <w:t xml:space="preserve">should be considered </w:t>
      </w:r>
      <w:r w:rsidR="00185070">
        <w:t>findings of fact in this proceeding</w:t>
      </w:r>
      <w:r w:rsidR="00F83D6E">
        <w:t xml:space="preserve"> and </w:t>
      </w:r>
      <w:r w:rsidR="00FF41E7">
        <w:t xml:space="preserve">used </w:t>
      </w:r>
      <w:r w:rsidR="00F83D6E">
        <w:t xml:space="preserve">in </w:t>
      </w:r>
      <w:r w:rsidR="00FB4DE2">
        <w:t>the</w:t>
      </w:r>
      <w:r w:rsidR="00F83D6E">
        <w:t xml:space="preserve"> analysis </w:t>
      </w:r>
      <w:r w:rsidR="00FF41E7">
        <w:t>of proposals and adoption of a successor to the existing net energy metering tariff</w:t>
      </w:r>
      <w:r w:rsidR="00E27AE8">
        <w:t>:</w:t>
      </w:r>
    </w:p>
    <w:p w:rsidR="00533B2F" w:rsidP="00F37B3A" w:rsidRDefault="00602BC5" w14:paraId="24507B75" w14:textId="445C7236">
      <w:pPr>
        <w:pStyle w:val="BlockQuoteH033"/>
        <w:numPr>
          <w:ilvl w:val="0"/>
          <w:numId w:val="9"/>
        </w:numPr>
        <w:ind w:left="1195" w:hanging="475"/>
      </w:pPr>
      <w:r>
        <w:t>NEM 2.0</w:t>
      </w:r>
      <w:r w:rsidR="00135D55">
        <w:t xml:space="preserve"> </w:t>
      </w:r>
      <w:r w:rsidR="00C86148">
        <w:t>has negatively impacted non</w:t>
      </w:r>
      <w:r w:rsidR="00827602">
        <w:noBreakHyphen/>
      </w:r>
      <w:r w:rsidR="00C86148">
        <w:t>participant ratepayers.</w:t>
      </w:r>
    </w:p>
    <w:p w:rsidR="00416C56" w:rsidP="00F37B3A" w:rsidRDefault="00602BC5" w14:paraId="040BA56E" w14:textId="079E706C">
      <w:pPr>
        <w:pStyle w:val="BlockQuoteH033"/>
        <w:numPr>
          <w:ilvl w:val="0"/>
          <w:numId w:val="9"/>
        </w:numPr>
        <w:ind w:left="1195" w:hanging="475"/>
      </w:pPr>
      <w:r>
        <w:t>NEM 2.0</w:t>
      </w:r>
      <w:r w:rsidR="00135D55">
        <w:t xml:space="preserve"> </w:t>
      </w:r>
      <w:r w:rsidR="00C86148">
        <w:t xml:space="preserve">is </w:t>
      </w:r>
      <w:r w:rsidR="007C740A">
        <w:t xml:space="preserve">not </w:t>
      </w:r>
      <w:r w:rsidR="00C86148">
        <w:t>cost</w:t>
      </w:r>
      <w:r w:rsidR="00827602">
        <w:noBreakHyphen/>
      </w:r>
      <w:r w:rsidR="00C86148">
        <w:t>effective.</w:t>
      </w:r>
    </w:p>
    <w:p w:rsidR="00C86148" w:rsidP="00F37B3A" w:rsidRDefault="00602BC5" w14:paraId="4C24C00D" w14:textId="424DE188">
      <w:pPr>
        <w:pStyle w:val="BlockQuoteH033"/>
        <w:numPr>
          <w:ilvl w:val="0"/>
          <w:numId w:val="9"/>
        </w:numPr>
        <w:ind w:left="1195" w:hanging="475"/>
      </w:pPr>
      <w:r>
        <w:t>NEM 2.0</w:t>
      </w:r>
      <w:r w:rsidR="00135D55">
        <w:t xml:space="preserve"> </w:t>
      </w:r>
      <w:r w:rsidR="00C86148">
        <w:t>disproportionately harms low</w:t>
      </w:r>
      <w:r w:rsidR="00827602">
        <w:noBreakHyphen/>
      </w:r>
      <w:r w:rsidR="00C86148">
        <w:t>income</w:t>
      </w:r>
      <w:r w:rsidR="00837708">
        <w:t xml:space="preserve"> </w:t>
      </w:r>
      <w:r w:rsidR="00C86148">
        <w:t>customers</w:t>
      </w:r>
      <w:r w:rsidR="00B4028F">
        <w:t xml:space="preserve"> </w:t>
      </w:r>
      <w:r w:rsidR="00C86148">
        <w:t>not participating in the net energy</w:t>
      </w:r>
      <w:r w:rsidR="00837708">
        <w:t xml:space="preserve"> </w:t>
      </w:r>
      <w:r w:rsidR="00C86148">
        <w:t>metering tariff.</w:t>
      </w:r>
    </w:p>
    <w:p w:rsidR="003B27AA" w:rsidP="005E7044" w:rsidRDefault="000E1579" w14:paraId="7267D865" w14:textId="09E1DF36">
      <w:pPr>
        <w:pStyle w:val="Standard"/>
      </w:pPr>
      <w:r>
        <w:t xml:space="preserve">This decision </w:t>
      </w:r>
      <w:r w:rsidR="003B27AA">
        <w:t>discuss</w:t>
      </w:r>
      <w:r>
        <w:t>es</w:t>
      </w:r>
      <w:r w:rsidR="003B27AA">
        <w:t xml:space="preserve"> each of these findings in Section</w:t>
      </w:r>
      <w:r w:rsidR="00F37B3A">
        <w:t> </w:t>
      </w:r>
      <w:r w:rsidR="003B27AA">
        <w:t xml:space="preserve">8.1.2 through </w:t>
      </w:r>
      <w:r w:rsidR="00F37B3A">
        <w:t>Sectio</w:t>
      </w:r>
      <w:r w:rsidR="00961CC1">
        <w:t>n</w:t>
      </w:r>
      <w:r w:rsidR="00E10B8E">
        <w:t> </w:t>
      </w:r>
      <w:r w:rsidR="003B27AA">
        <w:t xml:space="preserve">8.1.4 below.  </w:t>
      </w:r>
      <w:r>
        <w:t>First, h</w:t>
      </w:r>
      <w:r w:rsidR="003B27AA">
        <w:t xml:space="preserve">owever, </w:t>
      </w:r>
      <w:r>
        <w:t>this decision presents</w:t>
      </w:r>
      <w:r w:rsidR="003B27AA">
        <w:t xml:space="preserve"> a general discussion of the value of the Lookback Study.</w:t>
      </w:r>
    </w:p>
    <w:p w:rsidR="004B15B8" w:rsidP="005E7044" w:rsidRDefault="004B15B8" w14:paraId="1B45AFD5" w14:textId="50D49D62">
      <w:pPr>
        <w:pStyle w:val="Heading3"/>
        <w:keepLines w:val="0"/>
      </w:pPr>
      <w:bookmarkStart w:name="_Toc117674073" w:id="101"/>
      <w:bookmarkStart w:name="_Toc118285064" w:id="102"/>
      <w:bookmarkStart w:name="_Toc121854391" w:id="103"/>
      <w:r>
        <w:t>The Lookback Study’s</w:t>
      </w:r>
      <w:r w:rsidR="0001223C">
        <w:br/>
      </w:r>
      <w:r>
        <w:t xml:space="preserve">Analysis </w:t>
      </w:r>
      <w:r w:rsidR="0001223C">
        <w:t>I</w:t>
      </w:r>
      <w:r>
        <w:t>s Sound</w:t>
      </w:r>
      <w:bookmarkEnd w:id="101"/>
      <w:bookmarkEnd w:id="102"/>
      <w:bookmarkEnd w:id="103"/>
    </w:p>
    <w:p w:rsidR="00533B2F" w:rsidP="00982047" w:rsidRDefault="004B15B8" w14:paraId="25094FB2" w14:textId="50DFE98F">
      <w:pPr>
        <w:pStyle w:val="Standard"/>
      </w:pPr>
      <w:proofErr w:type="spellStart"/>
      <w:r>
        <w:t>CALSSA</w:t>
      </w:r>
      <w:proofErr w:type="spellEnd"/>
      <w:r>
        <w:t xml:space="preserve"> considers the Lookback Study to have very limited value in this case because it analyzes the </w:t>
      </w:r>
      <w:r w:rsidR="00602BC5">
        <w:t>NEM 2.0</w:t>
      </w:r>
      <w:r w:rsidR="00135D55">
        <w:t xml:space="preserve"> </w:t>
      </w:r>
      <w:r>
        <w:t xml:space="preserve">tariff.  </w:t>
      </w:r>
      <w:proofErr w:type="spellStart"/>
      <w:r>
        <w:t>CALSSA</w:t>
      </w:r>
      <w:proofErr w:type="spellEnd"/>
      <w:r>
        <w:t xml:space="preserve"> and SEIA/Vote Solar note that few</w:t>
      </w:r>
      <w:r w:rsidR="003269F8">
        <w:t xml:space="preserve"> </w:t>
      </w:r>
      <w:r>
        <w:t xml:space="preserve">parties propose to keep </w:t>
      </w:r>
      <w:r w:rsidR="004D58E3">
        <w:t xml:space="preserve">the </w:t>
      </w:r>
      <w:r w:rsidR="00602BC5">
        <w:t>NEM 2.0</w:t>
      </w:r>
      <w:r w:rsidR="00135D55">
        <w:t xml:space="preserve"> </w:t>
      </w:r>
      <w:r w:rsidR="004D58E3">
        <w:t>tariff</w:t>
      </w:r>
      <w:r>
        <w:t xml:space="preserve"> structure for general market residential customers.  </w:t>
      </w:r>
      <w:proofErr w:type="spellStart"/>
      <w:r>
        <w:t>CALSSA</w:t>
      </w:r>
      <w:proofErr w:type="spellEnd"/>
      <w:r>
        <w:t xml:space="preserve"> argues the Commission should give minimal weight to a </w:t>
      </w:r>
      <w:r w:rsidR="00BA1EAE">
        <w:t>“</w:t>
      </w:r>
      <w:r>
        <w:t>backward facing analysis</w:t>
      </w:r>
      <w:r w:rsidR="00BA1EAE">
        <w:t>”</w:t>
      </w:r>
      <w:r>
        <w:t xml:space="preserve"> of elements and assumptions different </w:t>
      </w:r>
      <w:r>
        <w:lastRenderedPageBreak/>
        <w:t>from those in the successor tariff proposals.</w:t>
      </w:r>
      <w:r>
        <w:rPr>
          <w:rStyle w:val="FootnoteReference"/>
        </w:rPr>
        <w:footnoteReference w:id="39"/>
      </w:r>
      <w:r>
        <w:t xml:space="preserve">  Similarly, SEIA/Vote Solar considers the Lookback Study not useful in determining the scope and degree of the needed changes and the speed at which changes are implemented because the study only looks at cost</w:t>
      </w:r>
      <w:r w:rsidR="00827602">
        <w:noBreakHyphen/>
      </w:r>
      <w:r>
        <w:t>effectiveness from a historical perspective (</w:t>
      </w:r>
      <w:r w:rsidRPr="00AD3467">
        <w:rPr>
          <w:i/>
          <w:iCs/>
        </w:rPr>
        <w:t>i.e</w:t>
      </w:r>
      <w:r>
        <w:t>.,</w:t>
      </w:r>
      <w:r w:rsidR="00BD4AC8">
        <w:t> </w:t>
      </w:r>
      <w:r>
        <w:t xml:space="preserve">backwards looking) and does not look at the </w:t>
      </w:r>
      <w:r w:rsidR="00BA1EAE">
        <w:t>“</w:t>
      </w:r>
      <w:r>
        <w:t>many successes of the net energy metering program.</w:t>
      </w:r>
      <w:r w:rsidR="00BA1EAE">
        <w:t>”</w:t>
      </w:r>
      <w:r>
        <w:rPr>
          <w:rStyle w:val="FootnoteReference"/>
        </w:rPr>
        <w:footnoteReference w:id="40"/>
      </w:r>
      <w:r w:rsidR="00301A61">
        <w:t xml:space="preserve">  For example, SEIA/Vote Solar asserts the results of the Lookback Study illustrate that adoption of solar </w:t>
      </w:r>
      <w:r w:rsidR="00BA1EAE">
        <w:t>“</w:t>
      </w:r>
      <w:r w:rsidR="00301A61">
        <w:t>is often the precursor and catalyst</w:t>
      </w:r>
      <w:r w:rsidR="00BA1EAE">
        <w:t>”</w:t>
      </w:r>
      <w:r w:rsidR="00301A61">
        <w:t xml:space="preserve"> for adoption of other distributed energy resources.</w:t>
      </w:r>
      <w:r w:rsidR="00301A61">
        <w:rPr>
          <w:rStyle w:val="FootnoteReference"/>
        </w:rPr>
        <w:footnoteReference w:id="41"/>
      </w:r>
    </w:p>
    <w:p w:rsidR="00EE6473" w:rsidP="00982047" w:rsidRDefault="004B15B8" w14:paraId="338B73E4" w14:textId="350EB2DC">
      <w:pPr>
        <w:pStyle w:val="Standard"/>
      </w:pPr>
      <w:r>
        <w:t xml:space="preserve">However, CUE offers that the Lookback Study </w:t>
      </w:r>
      <w:r w:rsidR="00BA1EAE">
        <w:t>“</w:t>
      </w:r>
      <w:r>
        <w:t>should be used to demonstrate what the new NEM should not be,</w:t>
      </w:r>
      <w:r w:rsidR="00BA1EAE">
        <w:t>”</w:t>
      </w:r>
      <w:r>
        <w:t xml:space="preserve"> </w:t>
      </w:r>
      <w:r w:rsidR="006F24EA">
        <w:t>and agrees</w:t>
      </w:r>
      <w:r>
        <w:t xml:space="preserve"> with other parties that the Lookback Study </w:t>
      </w:r>
      <w:r w:rsidR="00BA1EAE">
        <w:t>“</w:t>
      </w:r>
      <w:r>
        <w:t xml:space="preserve">confirms that the </w:t>
      </w:r>
      <w:r w:rsidR="00602BC5">
        <w:t>NEM 2.0</w:t>
      </w:r>
      <w:r w:rsidR="00135D55">
        <w:t xml:space="preserve"> </w:t>
      </w:r>
      <w:r>
        <w:t>[tariff] has severely damaged ratepayers.</w:t>
      </w:r>
      <w:r w:rsidR="00BA1EAE">
        <w:t>”</w:t>
      </w:r>
      <w:r>
        <w:rPr>
          <w:rStyle w:val="FootnoteReference"/>
        </w:rPr>
        <w:footnoteReference w:id="42"/>
      </w:r>
      <w:r>
        <w:t xml:space="preserve">  Further, Joint Utilities state that both the Order Instituting this Rulemaking and the Scoping Memo require the Commission to consider the findings of the Lookback Study and that given past direction by the Commission, Commission staff supervision, substantial stakeholder input, and a consultant with appropriate experience and expertise, the Lookback Study should be </w:t>
      </w:r>
      <w:r w:rsidR="00BA1EAE">
        <w:t>“</w:t>
      </w:r>
      <w:r>
        <w:t>taken seriously and its findings given substantial weight.</w:t>
      </w:r>
      <w:r w:rsidR="00BA1EAE">
        <w:t>”</w:t>
      </w:r>
      <w:r>
        <w:rPr>
          <w:rStyle w:val="FootnoteReference"/>
        </w:rPr>
        <w:footnoteReference w:id="43"/>
      </w:r>
    </w:p>
    <w:p w:rsidR="00490092" w:rsidP="00982047" w:rsidRDefault="00EE6473" w14:paraId="5A9B159C" w14:textId="592801BB">
      <w:pPr>
        <w:pStyle w:val="Standard"/>
      </w:pPr>
      <w:r>
        <w:t>I</w:t>
      </w:r>
      <w:r w:rsidR="004B15B8">
        <w:t xml:space="preserve">n a separate argument, </w:t>
      </w:r>
      <w:proofErr w:type="spellStart"/>
      <w:r w:rsidR="004B15B8">
        <w:t>CALSSA</w:t>
      </w:r>
      <w:proofErr w:type="spellEnd"/>
      <w:r w:rsidR="004B15B8">
        <w:t xml:space="preserve"> contends </w:t>
      </w:r>
      <w:r w:rsidR="004F716B">
        <w:t xml:space="preserve">that </w:t>
      </w:r>
      <w:r w:rsidR="004B15B8">
        <w:t xml:space="preserve">a number of the </w:t>
      </w:r>
      <w:r w:rsidR="004F716B">
        <w:t>s</w:t>
      </w:r>
      <w:r w:rsidR="004B15B8">
        <w:t xml:space="preserve">tudy’s assumptions are or appear flawed, and the source code necessary to investigate or replicate the </w:t>
      </w:r>
      <w:r w:rsidR="004F716B">
        <w:t>s</w:t>
      </w:r>
      <w:r w:rsidR="004B15B8">
        <w:t xml:space="preserve">tudy’s main conclusions is not provided.  </w:t>
      </w:r>
      <w:r w:rsidR="00B23B52">
        <w:t xml:space="preserve">PCF also contends the Lookback Study is flawed due to the use of the Avoided Cost Calculator.  PCF </w:t>
      </w:r>
      <w:r w:rsidR="00B23B52">
        <w:lastRenderedPageBreak/>
        <w:t>asserts the Lookback Study underestimates the benefits of behind</w:t>
      </w:r>
      <w:r w:rsidR="00827602">
        <w:noBreakHyphen/>
      </w:r>
      <w:r w:rsidR="00B23B52">
        <w:t>the</w:t>
      </w:r>
      <w:r w:rsidR="00827602">
        <w:noBreakHyphen/>
      </w:r>
      <w:r w:rsidR="00B23B52">
        <w:t xml:space="preserve">meter generation because the calculator does not adequately quantify avoided transmission costs or the resiliency benefits of net energy metering solar, or account for the air quality and climate benefits.  </w:t>
      </w:r>
      <w:proofErr w:type="spellStart"/>
      <w:r w:rsidR="004B15B8">
        <w:t>CALSSA</w:t>
      </w:r>
      <w:proofErr w:type="spellEnd"/>
      <w:r w:rsidR="004B15B8">
        <w:t xml:space="preserve"> further asserts the Commission did not make the Verdant analysts available for discovery or cross</w:t>
      </w:r>
      <w:r w:rsidR="00827602">
        <w:noBreakHyphen/>
      </w:r>
      <w:r w:rsidR="004B15B8">
        <w:t xml:space="preserve">examination, </w:t>
      </w:r>
      <w:r w:rsidR="003D1AE6">
        <w:t>and</w:t>
      </w:r>
      <w:r w:rsidR="004B15B8">
        <w:t xml:space="preserve"> re</w:t>
      </w:r>
      <w:r w:rsidR="00827602">
        <w:noBreakHyphen/>
      </w:r>
      <w:r w:rsidR="004B15B8">
        <w:t>running of its model would have been time</w:t>
      </w:r>
      <w:r w:rsidR="00827602">
        <w:noBreakHyphen/>
      </w:r>
      <w:r w:rsidR="004B15B8">
        <w:t>consuming.</w:t>
      </w:r>
      <w:r w:rsidR="004B15B8">
        <w:rPr>
          <w:rStyle w:val="FootnoteReference"/>
        </w:rPr>
        <w:footnoteReference w:id="44"/>
      </w:r>
      <w:r w:rsidR="004B15B8">
        <w:t xml:space="preserve">  However, Joint Utilities note that prior to issuance of the Lookback Study in the January</w:t>
      </w:r>
      <w:r w:rsidR="005C1F10">
        <w:t> </w:t>
      </w:r>
      <w:r w:rsidR="004B15B8">
        <w:t>21,</w:t>
      </w:r>
      <w:r w:rsidR="005C1F10">
        <w:t> </w:t>
      </w:r>
      <w:r w:rsidR="004B15B8">
        <w:t>2021 Administrative Law Judge Ruling, D.18</w:t>
      </w:r>
      <w:r w:rsidR="00827602">
        <w:noBreakHyphen/>
      </w:r>
      <w:r w:rsidR="004B15B8">
        <w:t>09</w:t>
      </w:r>
      <w:r w:rsidR="00827602">
        <w:noBreakHyphen/>
      </w:r>
      <w:r w:rsidR="004B15B8">
        <w:t>044 developed and D.19</w:t>
      </w:r>
      <w:r w:rsidR="00827602">
        <w:noBreakHyphen/>
      </w:r>
      <w:r w:rsidR="004B15B8">
        <w:t>10</w:t>
      </w:r>
      <w:r w:rsidR="00827602">
        <w:noBreakHyphen/>
      </w:r>
      <w:r w:rsidR="004B15B8">
        <w:t xml:space="preserve">040 modified the process to receive and address stakeholder input into the draft research plan for the lookback evaluation of the </w:t>
      </w:r>
      <w:r w:rsidR="00602BC5">
        <w:t>NEM 2.0</w:t>
      </w:r>
      <w:r w:rsidR="00135D55">
        <w:t xml:space="preserve"> </w:t>
      </w:r>
      <w:r w:rsidR="004B15B8">
        <w:t>tariff.</w:t>
      </w:r>
      <w:r w:rsidRPr="00C022D3" w:rsidR="00C022D3">
        <w:rPr>
          <w:rStyle w:val="FootnoteReference"/>
        </w:rPr>
        <w:t xml:space="preserve"> </w:t>
      </w:r>
      <w:r w:rsidR="00C022D3">
        <w:rPr>
          <w:rStyle w:val="FootnoteReference"/>
        </w:rPr>
        <w:footnoteReference w:id="45"/>
      </w:r>
      <w:r w:rsidR="004B15B8">
        <w:t xml:space="preserve">  Further, Joint Utilities underscore that the Commission published a draft of the Lookback Study on August</w:t>
      </w:r>
      <w:r w:rsidR="00DF7F56">
        <w:t> </w:t>
      </w:r>
      <w:r w:rsidR="004B15B8">
        <w:t>14,</w:t>
      </w:r>
      <w:r w:rsidR="00DF7F56">
        <w:t> </w:t>
      </w:r>
      <w:r w:rsidR="004B15B8">
        <w:t>2020</w:t>
      </w:r>
      <w:r w:rsidR="003D1AE6">
        <w:t>,</w:t>
      </w:r>
      <w:r w:rsidR="004B15B8">
        <w:t xml:space="preserve"> and parties were invited to comment on the draft.  Joint Utilities point to a matrix in the Lookback Study, which contains </w:t>
      </w:r>
      <w:r w:rsidR="00FB4DE2">
        <w:t xml:space="preserve">a </w:t>
      </w:r>
      <w:r w:rsidR="004B15B8">
        <w:t>summar</w:t>
      </w:r>
      <w:r w:rsidR="00FB4DE2">
        <w:t xml:space="preserve">y of </w:t>
      </w:r>
      <w:r w:rsidR="004B15B8">
        <w:t xml:space="preserve">comments </w:t>
      </w:r>
      <w:r w:rsidRPr="00526A73" w:rsidR="004B15B8">
        <w:t>submitted by Aurora Solar</w:t>
      </w:r>
      <w:r w:rsidR="003556D3">
        <w:t>, Inc. (Aurora);</w:t>
      </w:r>
      <w:r w:rsidRPr="00526A73" w:rsidR="004B15B8">
        <w:t xml:space="preserve"> </w:t>
      </w:r>
      <w:r w:rsidR="009355F1">
        <w:t>Cal Advoc</w:t>
      </w:r>
      <w:r w:rsidRPr="00526A73" w:rsidR="004B15B8">
        <w:t>ates</w:t>
      </w:r>
      <w:r w:rsidR="003556D3">
        <w:t>;</w:t>
      </w:r>
      <w:r w:rsidRPr="00526A73" w:rsidR="004B15B8">
        <w:t xml:space="preserve"> </w:t>
      </w:r>
      <w:proofErr w:type="spellStart"/>
      <w:r w:rsidRPr="00526A73" w:rsidR="004B15B8">
        <w:t>CALSSA</w:t>
      </w:r>
      <w:proofErr w:type="spellEnd"/>
      <w:r w:rsidR="003556D3">
        <w:t>;</w:t>
      </w:r>
      <w:r w:rsidRPr="00526A73" w:rsidR="004B15B8">
        <w:t xml:space="preserve"> Foundation </w:t>
      </w:r>
      <w:proofErr w:type="spellStart"/>
      <w:r w:rsidRPr="00526A73" w:rsidR="004B15B8">
        <w:t>Windpower</w:t>
      </w:r>
      <w:proofErr w:type="spellEnd"/>
      <w:r w:rsidRPr="00526A73" w:rsidR="004B15B8">
        <w:t xml:space="preserve"> LLC</w:t>
      </w:r>
      <w:r w:rsidR="003556D3">
        <w:t>;</w:t>
      </w:r>
      <w:r w:rsidRPr="00526A73" w:rsidR="004B15B8">
        <w:t xml:space="preserve"> GRID Alternati</w:t>
      </w:r>
      <w:r w:rsidR="00B23B52">
        <w:t>ve</w:t>
      </w:r>
      <w:r w:rsidRPr="00526A73" w:rsidR="004B15B8">
        <w:t>s</w:t>
      </w:r>
      <w:r w:rsidR="003556D3">
        <w:t>;</w:t>
      </w:r>
      <w:r w:rsidRPr="00526A73" w:rsidR="004B15B8">
        <w:t xml:space="preserve"> the Joint Utilities</w:t>
      </w:r>
      <w:r w:rsidR="003556D3">
        <w:t>;</w:t>
      </w:r>
      <w:r w:rsidRPr="00526A73" w:rsidR="004B15B8">
        <w:t xml:space="preserve"> </w:t>
      </w:r>
      <w:proofErr w:type="spellStart"/>
      <w:r w:rsidRPr="00526A73" w:rsidR="004B15B8">
        <w:t>CalWEA</w:t>
      </w:r>
      <w:proofErr w:type="spellEnd"/>
      <w:r w:rsidR="003556D3">
        <w:t>;</w:t>
      </w:r>
      <w:r w:rsidRPr="00526A73" w:rsidR="004B15B8">
        <w:t xml:space="preserve"> TURN</w:t>
      </w:r>
      <w:r w:rsidR="003556D3">
        <w:t>;</w:t>
      </w:r>
      <w:r w:rsidRPr="00526A73" w:rsidR="004B15B8">
        <w:t xml:space="preserve"> Vote Solar</w:t>
      </w:r>
      <w:r w:rsidR="003556D3">
        <w:t>;</w:t>
      </w:r>
      <w:r w:rsidRPr="00526A73" w:rsidR="004B15B8">
        <w:t xml:space="preserve"> and SEIA.</w:t>
      </w:r>
      <w:r w:rsidR="00C022D3">
        <w:rPr>
          <w:rStyle w:val="FootnoteReference"/>
        </w:rPr>
        <w:footnoteReference w:id="46"/>
      </w:r>
      <w:r w:rsidRPr="00526A73" w:rsidR="004B15B8">
        <w:t xml:space="preserve"> </w:t>
      </w:r>
      <w:r w:rsidR="00C022D3">
        <w:t xml:space="preserve"> Joint Utilities state t</w:t>
      </w:r>
      <w:r w:rsidRPr="00526A73" w:rsidR="004B15B8">
        <w:t xml:space="preserve">he matrix </w:t>
      </w:r>
      <w:r w:rsidR="004B15B8">
        <w:t xml:space="preserve">also </w:t>
      </w:r>
      <w:r w:rsidRPr="00526A73" w:rsidR="004B15B8">
        <w:t>summariz</w:t>
      </w:r>
      <w:r w:rsidR="004B15B8">
        <w:t xml:space="preserve">es </w:t>
      </w:r>
      <w:r w:rsidRPr="00526A73" w:rsidR="004B15B8">
        <w:t xml:space="preserve">the </w:t>
      </w:r>
      <w:r w:rsidR="00B314F8">
        <w:t xml:space="preserve">Lookback </w:t>
      </w:r>
      <w:r w:rsidRPr="00526A73" w:rsidR="004B15B8">
        <w:t>Study’s response to the comments.</w:t>
      </w:r>
      <w:r w:rsidR="00C022D3">
        <w:rPr>
          <w:rStyle w:val="FootnoteReference"/>
        </w:rPr>
        <w:footnoteReference w:id="47"/>
      </w:r>
    </w:p>
    <w:p w:rsidR="005C7E12" w:rsidP="00982047" w:rsidRDefault="005C7E12" w14:paraId="4BCFEF0F" w14:textId="64C28854">
      <w:pPr>
        <w:pStyle w:val="Standard"/>
      </w:pPr>
      <w:r>
        <w:lastRenderedPageBreak/>
        <w:t xml:space="preserve">In comments to the proposed decision, Ivy Energy asserts that the Lookback Study omits any analysis of </w:t>
      </w:r>
      <w:proofErr w:type="spellStart"/>
      <w:r>
        <w:t>VNEM</w:t>
      </w:r>
      <w:proofErr w:type="spellEnd"/>
      <w:r>
        <w:t xml:space="preserve"> or the multifamily building sector as a distinct customer class.</w:t>
      </w:r>
      <w:r>
        <w:rPr>
          <w:rStyle w:val="FootnoteReference"/>
        </w:rPr>
        <w:footnoteReference w:id="48"/>
      </w:r>
      <w:r>
        <w:t xml:space="preserve">  The Commission agrees with this assertion.</w:t>
      </w:r>
    </w:p>
    <w:p w:rsidR="00533B2F" w:rsidP="00982047" w:rsidRDefault="00E63A3E" w14:paraId="3561BC54" w14:textId="1EF2220B">
      <w:pPr>
        <w:pStyle w:val="Standard"/>
      </w:pPr>
      <w:r>
        <w:t xml:space="preserve">This decision </w:t>
      </w:r>
      <w:r w:rsidR="004B15B8">
        <w:t>find</w:t>
      </w:r>
      <w:r>
        <w:t>s</w:t>
      </w:r>
      <w:r w:rsidR="004B15B8">
        <w:t xml:space="preserve"> the Lookback Study to be a sound analysis of the </w:t>
      </w:r>
      <w:r w:rsidR="00602BC5">
        <w:t>NEM 2.0</w:t>
      </w:r>
      <w:r w:rsidR="00135D55">
        <w:t xml:space="preserve"> </w:t>
      </w:r>
      <w:r w:rsidR="004B15B8">
        <w:t>tariff</w:t>
      </w:r>
      <w:r w:rsidR="0033432F">
        <w:t xml:space="preserve"> and </w:t>
      </w:r>
      <w:r w:rsidR="00B1241F">
        <w:t xml:space="preserve">that it </w:t>
      </w:r>
      <w:r w:rsidR="00725BF3">
        <w:t>should be used in the development of a successor tariff</w:t>
      </w:r>
      <w:r w:rsidR="005C7E12">
        <w:t xml:space="preserve"> for customers that own the property where </w:t>
      </w:r>
      <w:r w:rsidR="0026582D">
        <w:t>their</w:t>
      </w:r>
      <w:r w:rsidR="005C7E12">
        <w:t xml:space="preserve"> customer-sited generation is located</w:t>
      </w:r>
      <w:r w:rsidR="00725BF3">
        <w:t xml:space="preserve">.  </w:t>
      </w:r>
      <w:proofErr w:type="spellStart"/>
      <w:r w:rsidR="00725BF3">
        <w:t>CALSSA</w:t>
      </w:r>
      <w:proofErr w:type="spellEnd"/>
      <w:r w:rsidR="00725BF3">
        <w:t xml:space="preserve"> and SEIA/Vote Solar would have the Commission dismiss the study because it is </w:t>
      </w:r>
      <w:r w:rsidR="00BA1EAE">
        <w:t>“</w:t>
      </w:r>
      <w:r w:rsidR="00725BF3">
        <w:t>backward looking.</w:t>
      </w:r>
      <w:r w:rsidR="00BA1EAE">
        <w:t>”</w:t>
      </w:r>
      <w:r w:rsidR="00725BF3">
        <w:t xml:space="preserve">  The evaluation of the </w:t>
      </w:r>
      <w:r w:rsidR="00602BC5">
        <w:t>NEM 2.0</w:t>
      </w:r>
      <w:r w:rsidR="00135D55">
        <w:t xml:space="preserve"> </w:t>
      </w:r>
      <w:r w:rsidR="00725BF3">
        <w:t xml:space="preserve">tariff </w:t>
      </w:r>
      <w:r w:rsidR="0076736F">
        <w:t xml:space="preserve">indicates </w:t>
      </w:r>
      <w:r w:rsidR="00725BF3">
        <w:t xml:space="preserve">whether the tariff is or is not performing </w:t>
      </w:r>
      <w:r w:rsidR="00C022D3">
        <w:t xml:space="preserve">as </w:t>
      </w:r>
      <w:r w:rsidR="003D1AE6">
        <w:t>required</w:t>
      </w:r>
      <w:r w:rsidR="00725BF3">
        <w:t xml:space="preserve">, thus establishing a foundation for </w:t>
      </w:r>
      <w:r w:rsidR="00C022D3">
        <w:t xml:space="preserve">creating </w:t>
      </w:r>
      <w:r w:rsidR="004F04F3">
        <w:t>the</w:t>
      </w:r>
      <w:r w:rsidR="00725BF3">
        <w:t xml:space="preserve"> successor tariff.  </w:t>
      </w:r>
      <w:r>
        <w:t xml:space="preserve">The Commission </w:t>
      </w:r>
      <w:r w:rsidR="00725BF3">
        <w:t>recognize</w:t>
      </w:r>
      <w:r>
        <w:t>s</w:t>
      </w:r>
      <w:r w:rsidR="00725BF3">
        <w:t xml:space="preserve">, as SEIA/Vote Solar states, that the study does not tell the complete story.  However, </w:t>
      </w:r>
      <w:r w:rsidR="00B314F8">
        <w:t xml:space="preserve">the Commission agrees that </w:t>
      </w:r>
      <w:r w:rsidR="0033432F">
        <w:t>the Lookback Study</w:t>
      </w:r>
      <w:r w:rsidR="00725BF3">
        <w:t xml:space="preserve"> can inform what not to do</w:t>
      </w:r>
      <w:r w:rsidR="00173DE0">
        <w:t xml:space="preserve"> in a successor tariff</w:t>
      </w:r>
      <w:r w:rsidR="00725BF3">
        <w:t xml:space="preserve">.  </w:t>
      </w:r>
      <w:r w:rsidR="009E540D">
        <w:t>Further</w:t>
      </w:r>
      <w:r w:rsidR="000D5697">
        <w:t>more</w:t>
      </w:r>
      <w:r w:rsidR="009E540D">
        <w:t xml:space="preserve">, </w:t>
      </w:r>
      <w:proofErr w:type="spellStart"/>
      <w:r w:rsidR="00725BF3">
        <w:t>CALSSA’s</w:t>
      </w:r>
      <w:proofErr w:type="spellEnd"/>
      <w:r w:rsidR="00725BF3">
        <w:t xml:space="preserve"> contention </w:t>
      </w:r>
      <w:r w:rsidR="00FB4DE2">
        <w:t xml:space="preserve">that </w:t>
      </w:r>
      <w:r w:rsidR="00725BF3">
        <w:t xml:space="preserve">the study </w:t>
      </w:r>
      <w:r w:rsidR="00BA1EAE">
        <w:t>“</w:t>
      </w:r>
      <w:r w:rsidR="00725BF3">
        <w:t xml:space="preserve">assumptions </w:t>
      </w:r>
      <w:r w:rsidR="009E540D">
        <w:t>are</w:t>
      </w:r>
      <w:r w:rsidR="00725BF3">
        <w:t xml:space="preserve"> or appear flawed</w:t>
      </w:r>
      <w:r w:rsidR="00BA1EAE">
        <w:t>”</w:t>
      </w:r>
      <w:r w:rsidR="009E540D">
        <w:t xml:space="preserve"> </w:t>
      </w:r>
      <w:r w:rsidR="00DE2B90">
        <w:t>is not persuasive</w:t>
      </w:r>
      <w:r w:rsidR="000D5697">
        <w:t>;</w:t>
      </w:r>
      <w:r w:rsidR="009E540D">
        <w:t xml:space="preserve"> </w:t>
      </w:r>
      <w:proofErr w:type="spellStart"/>
      <w:r w:rsidR="009E540D">
        <w:t>CALSSA</w:t>
      </w:r>
      <w:proofErr w:type="spellEnd"/>
      <w:r w:rsidR="009E540D">
        <w:t xml:space="preserve"> and all stakeholders have been given several opportunities to weigh in on </w:t>
      </w:r>
      <w:r w:rsidR="004752D6">
        <w:t xml:space="preserve">both </w:t>
      </w:r>
      <w:r w:rsidR="009E540D">
        <w:t>the development and drafting of the study.  A disagreement on an assumption does not equate to a flaw in the assumption.</w:t>
      </w:r>
    </w:p>
    <w:p w:rsidR="00490092" w:rsidP="00982047" w:rsidRDefault="004F04F3" w14:paraId="63A33182" w14:textId="3982CAB3">
      <w:pPr>
        <w:pStyle w:val="Standard"/>
      </w:pPr>
      <w:r>
        <w:t xml:space="preserve">Regarding PCF’s </w:t>
      </w:r>
      <w:r w:rsidR="0033432F">
        <w:t xml:space="preserve">contention </w:t>
      </w:r>
      <w:r>
        <w:t xml:space="preserve">that the Lookback Study is flawed because it relies on the Avoided Cost Calculator, </w:t>
      </w:r>
      <w:r w:rsidR="0033432F">
        <w:t xml:space="preserve">PCF’s contention is incorrect.  </w:t>
      </w:r>
      <w:r w:rsidR="00E63A3E">
        <w:t xml:space="preserve">This decision </w:t>
      </w:r>
      <w:r w:rsidR="00B23B52">
        <w:t>find</w:t>
      </w:r>
      <w:r w:rsidR="00E63A3E">
        <w:t>s</w:t>
      </w:r>
      <w:r w:rsidR="00B23B52">
        <w:t xml:space="preserve"> the cost</w:t>
      </w:r>
      <w:r w:rsidR="00827602">
        <w:noBreakHyphen/>
      </w:r>
      <w:r w:rsidR="00B23B52">
        <w:t xml:space="preserve">effectiveness analyses </w:t>
      </w:r>
      <w:r w:rsidR="00E63A3E">
        <w:t>was</w:t>
      </w:r>
      <w:r w:rsidR="00B23B52">
        <w:t xml:space="preserve"> conducted in accordance with prior Commission decision</w:t>
      </w:r>
      <w:r w:rsidR="003D1AE6">
        <w:t>s</w:t>
      </w:r>
      <w:r w:rsidR="00B23B52">
        <w:t xml:space="preserve">.  </w:t>
      </w:r>
      <w:r w:rsidR="00E63A3E">
        <w:t>As discussed in</w:t>
      </w:r>
      <w:r>
        <w:t xml:space="preserve"> the Lookback Study,</w:t>
      </w:r>
      <w:r w:rsidR="00E90D7E">
        <w:t xml:space="preserve"> D.09</w:t>
      </w:r>
      <w:r w:rsidR="00827602">
        <w:noBreakHyphen/>
      </w:r>
      <w:r w:rsidR="00E90D7E">
        <w:t>08</w:t>
      </w:r>
      <w:r w:rsidR="00827602">
        <w:noBreakHyphen/>
      </w:r>
      <w:r w:rsidR="00E90D7E">
        <w:t xml:space="preserve">026 </w:t>
      </w:r>
      <w:r w:rsidR="00BA1EAE">
        <w:t>“</w:t>
      </w:r>
      <w:r w:rsidR="00E90D7E">
        <w:t>provides guidance on the tests to be used, the costs and benefits to be included in each test, and the avoided cost inputs to be used when calculating program costs and benefits.  This analysis considers the cost</w:t>
      </w:r>
      <w:r w:rsidR="00827602">
        <w:noBreakHyphen/>
      </w:r>
      <w:r w:rsidR="00E90D7E">
        <w:t xml:space="preserve">effectiveness of </w:t>
      </w:r>
      <w:r w:rsidR="00602BC5">
        <w:t>NEM 2.0</w:t>
      </w:r>
      <w:r w:rsidR="00135D55">
        <w:t xml:space="preserve"> </w:t>
      </w:r>
      <w:r w:rsidR="00E90D7E">
        <w:lastRenderedPageBreak/>
        <w:t xml:space="preserve">systems using </w:t>
      </w:r>
      <w:r w:rsidR="0033432F">
        <w:t xml:space="preserve">the </w:t>
      </w:r>
      <w:r w:rsidR="00E90D7E">
        <w:t>five distinct</w:t>
      </w:r>
      <w:r w:rsidR="0033432F">
        <w:t xml:space="preserve"> tests</w:t>
      </w:r>
      <w:r w:rsidR="00E90D7E">
        <w:t>.</w:t>
      </w:r>
      <w:r w:rsidR="00BA1EAE">
        <w:t>”</w:t>
      </w:r>
      <w:r w:rsidR="0033432F">
        <w:rPr>
          <w:rStyle w:val="FootnoteReference"/>
        </w:rPr>
        <w:footnoteReference w:id="49"/>
      </w:r>
      <w:r w:rsidR="00E90D7E">
        <w:t xml:space="preserve">  The study also state</w:t>
      </w:r>
      <w:r w:rsidR="0033432F">
        <w:t xml:space="preserve">s that </w:t>
      </w:r>
      <w:r w:rsidR="00BA1EAE">
        <w:t>“</w:t>
      </w:r>
      <w:r w:rsidR="0033432F">
        <w:t>t</w:t>
      </w:r>
      <w:r w:rsidR="00E90D7E">
        <w:t>he avoided costs used in this analysis</w:t>
      </w:r>
      <w:r w:rsidR="0033432F">
        <w:t xml:space="preserve"> </w:t>
      </w:r>
      <w:r w:rsidR="00E90D7E">
        <w:t xml:space="preserve">are based on the </w:t>
      </w:r>
      <w:r w:rsidR="00076AF3">
        <w:t xml:space="preserve">Commission’s </w:t>
      </w:r>
      <w:r w:rsidR="00E90D7E">
        <w:t xml:space="preserve">2020 Avoided Cost Calculator </w:t>
      </w:r>
      <w:r w:rsidR="00E8733D">
        <w:t>[</w:t>
      </w:r>
      <w:r w:rsidR="00E90D7E">
        <w:t>v</w:t>
      </w:r>
      <w:r w:rsidR="00173DE0">
        <w:t>ersion</w:t>
      </w:r>
      <w:r w:rsidR="007D0545">
        <w:t> </w:t>
      </w:r>
      <w:r w:rsidR="00E90D7E">
        <w:t>1c</w:t>
      </w:r>
      <w:r w:rsidR="00E8733D">
        <w:t>]</w:t>
      </w:r>
      <w:r w:rsidR="00E90D7E">
        <w:t xml:space="preserve"> approved on June</w:t>
      </w:r>
      <w:r w:rsidR="00EB1FEF">
        <w:t> </w:t>
      </w:r>
      <w:r w:rsidR="00E90D7E">
        <w:t>25,</w:t>
      </w:r>
      <w:r w:rsidR="00EB1FEF">
        <w:t> </w:t>
      </w:r>
      <w:r w:rsidR="00E90D7E">
        <w:t>2020.</w:t>
      </w:r>
      <w:r w:rsidR="0033432F">
        <w:t xml:space="preserve">  </w:t>
      </w:r>
      <w:r w:rsidR="00E90D7E">
        <w:t>The avoided costs were generated for all utility and climate zone</w:t>
      </w:r>
      <w:r w:rsidR="0033432F">
        <w:t xml:space="preserve"> </w:t>
      </w:r>
      <w:r w:rsidR="00E90D7E">
        <w:t xml:space="preserve">combinations. The analysis includes all components of the avoided costs included in the 2020 </w:t>
      </w:r>
      <w:r w:rsidR="0033432F">
        <w:t>Avoided Cost Calculator.</w:t>
      </w:r>
      <w:r w:rsidR="00BA1EAE">
        <w:t>”</w:t>
      </w:r>
      <w:r w:rsidR="0033432F">
        <w:rPr>
          <w:rStyle w:val="FootnoteReference"/>
        </w:rPr>
        <w:footnoteReference w:id="50"/>
      </w:r>
    </w:p>
    <w:p w:rsidR="00490092" w:rsidP="00982047" w:rsidRDefault="00C022D3" w14:paraId="0A4A1A5D" w14:textId="77777777">
      <w:pPr>
        <w:pStyle w:val="Standard"/>
      </w:pPr>
      <w:r>
        <w:t xml:space="preserve">Accordingly, the Lookback Study should be used </w:t>
      </w:r>
      <w:r w:rsidR="0033432F">
        <w:t xml:space="preserve">as a foundation </w:t>
      </w:r>
      <w:r w:rsidR="004F04F3">
        <w:t>to</w:t>
      </w:r>
      <w:r>
        <w:t xml:space="preserve"> create a successor tariff that continues </w:t>
      </w:r>
      <w:r w:rsidR="004F04F3">
        <w:t xml:space="preserve">the </w:t>
      </w:r>
      <w:r>
        <w:t xml:space="preserve">elements </w:t>
      </w:r>
      <w:r w:rsidR="004F04F3">
        <w:t xml:space="preserve">that resulted </w:t>
      </w:r>
      <w:r>
        <w:t xml:space="preserve">in positive outcomes but corrects </w:t>
      </w:r>
      <w:r w:rsidR="004F04F3">
        <w:t xml:space="preserve">or replaces the </w:t>
      </w:r>
      <w:r>
        <w:t xml:space="preserve">elements </w:t>
      </w:r>
      <w:r w:rsidR="004F04F3">
        <w:t xml:space="preserve">that resulted </w:t>
      </w:r>
      <w:r>
        <w:t>in negative outcomes.</w:t>
      </w:r>
    </w:p>
    <w:p w:rsidR="00543117" w:rsidP="005E7044" w:rsidRDefault="00543117" w14:paraId="15EAAD6A" w14:textId="49A7442C">
      <w:pPr>
        <w:pStyle w:val="Heading3"/>
        <w:keepLines w:val="0"/>
      </w:pPr>
      <w:bookmarkStart w:name="_Toc117674074" w:id="104"/>
      <w:bookmarkStart w:name="_Toc118285065" w:id="105"/>
      <w:bookmarkStart w:name="_Toc121854392" w:id="106"/>
      <w:r>
        <w:t xml:space="preserve">The Lookback Study </w:t>
      </w:r>
      <w:r w:rsidR="00E755AA">
        <w:t>Demonstrates</w:t>
      </w:r>
      <w:r w:rsidR="00F93066">
        <w:br/>
      </w:r>
      <w:r w:rsidR="00602BC5">
        <w:t>NEM 2.0</w:t>
      </w:r>
      <w:r w:rsidR="00135D55">
        <w:t xml:space="preserve"> </w:t>
      </w:r>
      <w:r>
        <w:t>Negatively Impacts</w:t>
      </w:r>
      <w:r w:rsidR="00F93066">
        <w:br/>
      </w:r>
      <w:r>
        <w:t>Non</w:t>
      </w:r>
      <w:r w:rsidR="00827602">
        <w:noBreakHyphen/>
      </w:r>
      <w:r>
        <w:t>Participant Ratepayers</w:t>
      </w:r>
      <w:bookmarkEnd w:id="104"/>
      <w:bookmarkEnd w:id="105"/>
      <w:bookmarkEnd w:id="106"/>
    </w:p>
    <w:p w:rsidR="00533B2F" w:rsidP="00982047" w:rsidRDefault="00FA7C4A" w14:paraId="0E670D68" w14:textId="18AE7D5E">
      <w:pPr>
        <w:pStyle w:val="Standard"/>
      </w:pPr>
      <w:r>
        <w:t xml:space="preserve">SEIA/Vote Solar state the Lookback Study illustrates the need for reform of the current net energy metering structure in the residential market and that the </w:t>
      </w:r>
      <w:r w:rsidR="00BA1EAE">
        <w:t>“</w:t>
      </w:r>
      <w:r>
        <w:t>reduction of the impact of solar adoption on non</w:t>
      </w:r>
      <w:r w:rsidR="00827602">
        <w:noBreakHyphen/>
      </w:r>
      <w:r>
        <w:t>participating ratepayers should be addressed through the successor tariff,</w:t>
      </w:r>
      <w:r w:rsidR="00BA1EAE">
        <w:t>”</w:t>
      </w:r>
      <w:r>
        <w:t xml:space="preserve"> and notes there is little debate on these two points.</w:t>
      </w:r>
      <w:r>
        <w:rPr>
          <w:rStyle w:val="FootnoteReference"/>
        </w:rPr>
        <w:footnoteReference w:id="51"/>
      </w:r>
      <w:r>
        <w:t xml:space="preserve">  Indeed, </w:t>
      </w:r>
      <w:r w:rsidR="00436003">
        <w:t>many</w:t>
      </w:r>
      <w:r w:rsidR="00571EE4">
        <w:t xml:space="preserve"> parties agree that the</w:t>
      </w:r>
      <w:r w:rsidR="00481BA0">
        <w:t xml:space="preserve"> Lookback Study finds the </w:t>
      </w:r>
      <w:r w:rsidR="00571EE4">
        <w:t>current structure of the net energy metering tariff has had a</w:t>
      </w:r>
      <w:r w:rsidR="00481BA0">
        <w:t xml:space="preserve"> negative</w:t>
      </w:r>
      <w:r w:rsidR="00571EE4">
        <w:t xml:space="preserve"> impact on </w:t>
      </w:r>
      <w:r w:rsidR="00481BA0">
        <w:t>non</w:t>
      </w:r>
      <w:r w:rsidR="00827602">
        <w:noBreakHyphen/>
      </w:r>
      <w:r w:rsidR="00481BA0">
        <w:t>participating ratepayers.</w:t>
      </w:r>
    </w:p>
    <w:p w:rsidR="00533B2F" w:rsidP="00982047" w:rsidRDefault="009355F1" w14:paraId="40AC5902" w14:textId="3E7B5457">
      <w:pPr>
        <w:pStyle w:val="Standard"/>
      </w:pPr>
      <w:r>
        <w:t>Cal Advoc</w:t>
      </w:r>
      <w:r w:rsidR="00571EE4">
        <w:t>ates assert</w:t>
      </w:r>
      <w:r w:rsidR="00173DE0">
        <w:t>s</w:t>
      </w:r>
      <w:r w:rsidR="00FA7C4A">
        <w:t xml:space="preserve"> </w:t>
      </w:r>
      <w:r w:rsidR="00571EE4">
        <w:t xml:space="preserve">the study </w:t>
      </w:r>
      <w:r w:rsidR="00BA1EAE">
        <w:t>“</w:t>
      </w:r>
      <w:r w:rsidR="00571EE4">
        <w:t xml:space="preserve">clearly shows the </w:t>
      </w:r>
      <w:r w:rsidR="00602BC5">
        <w:t>NEM 1.0</w:t>
      </w:r>
      <w:r w:rsidR="00571EE4">
        <w:t xml:space="preserve"> and </w:t>
      </w:r>
      <w:r w:rsidR="00602BC5">
        <w:t>NEM 2.0</w:t>
      </w:r>
      <w:r w:rsidR="00135D55">
        <w:t xml:space="preserve"> </w:t>
      </w:r>
      <w:r w:rsidR="00571EE4">
        <w:t>tariffs create equity concerns due to the misalignment between costs and value,</w:t>
      </w:r>
      <w:r w:rsidR="00BA1EAE">
        <w:t>”</w:t>
      </w:r>
      <w:r w:rsidR="00571EE4">
        <w:t xml:space="preserve"> which then </w:t>
      </w:r>
      <w:r w:rsidR="00BA1EAE">
        <w:t>“</w:t>
      </w:r>
      <w:r w:rsidR="00571EE4">
        <w:t>creates revenue under</w:t>
      </w:r>
      <w:r w:rsidR="00827602">
        <w:noBreakHyphen/>
      </w:r>
      <w:r w:rsidR="00571EE4">
        <w:t>collections that must be recovered by nonparticipating customers.</w:t>
      </w:r>
      <w:r w:rsidR="00BA1EAE">
        <w:t>”</w:t>
      </w:r>
      <w:r w:rsidR="00571EE4">
        <w:rPr>
          <w:rStyle w:val="FootnoteReference"/>
        </w:rPr>
        <w:footnoteReference w:id="52"/>
      </w:r>
      <w:r w:rsidR="00571EE4">
        <w:t xml:space="preserve">  </w:t>
      </w:r>
      <w:r>
        <w:t>Cal Advoc</w:t>
      </w:r>
      <w:r w:rsidR="00571EE4">
        <w:t>ates observe</w:t>
      </w:r>
      <w:r w:rsidR="00173DE0">
        <w:t>s</w:t>
      </w:r>
      <w:r w:rsidR="00571EE4">
        <w:t xml:space="preserve"> that the Lookback Study </w:t>
      </w:r>
      <w:r w:rsidR="00571EE4">
        <w:lastRenderedPageBreak/>
        <w:t xml:space="preserve">shows the </w:t>
      </w:r>
      <w:r w:rsidR="00602BC5">
        <w:t>NEM 2.0</w:t>
      </w:r>
      <w:r w:rsidR="00135D55">
        <w:t xml:space="preserve"> </w:t>
      </w:r>
      <w:r w:rsidR="00571EE4">
        <w:t>tariff unreasonably burdens non</w:t>
      </w:r>
      <w:r w:rsidR="00827602">
        <w:noBreakHyphen/>
      </w:r>
      <w:r w:rsidR="00571EE4">
        <w:t>participants of net energy metering.</w:t>
      </w:r>
      <w:r w:rsidR="00571EE4">
        <w:rPr>
          <w:rStyle w:val="FootnoteReference"/>
        </w:rPr>
        <w:footnoteReference w:id="53"/>
      </w:r>
      <w:r w:rsidR="00A96348">
        <w:t xml:space="preserve">  </w:t>
      </w:r>
      <w:r>
        <w:t>Cal Advoc</w:t>
      </w:r>
      <w:r w:rsidR="00A96348">
        <w:t xml:space="preserve">ates estimates the annual cost burden generated by the </w:t>
      </w:r>
      <w:r w:rsidR="00602BC5">
        <w:t>NEM 1.0</w:t>
      </w:r>
      <w:r w:rsidR="00A96348">
        <w:t xml:space="preserve"> and </w:t>
      </w:r>
      <w:r w:rsidR="00602BC5">
        <w:t>NEM 2.0</w:t>
      </w:r>
      <w:r w:rsidR="00135D55">
        <w:t xml:space="preserve"> </w:t>
      </w:r>
      <w:r w:rsidR="00A96348">
        <w:t>tariffs will be approximately $3.37</w:t>
      </w:r>
      <w:r w:rsidR="002268EB">
        <w:t> billion</w:t>
      </w:r>
      <w:r w:rsidR="00A96348">
        <w:t xml:space="preserve"> in 2021.</w:t>
      </w:r>
      <w:r w:rsidR="00A96348">
        <w:rPr>
          <w:rStyle w:val="FootnoteReference"/>
        </w:rPr>
        <w:footnoteReference w:id="54"/>
      </w:r>
    </w:p>
    <w:p w:rsidR="00533B2F" w:rsidP="00982047" w:rsidRDefault="00571EE4" w14:paraId="4EA40AAC" w14:textId="3628EC54">
      <w:pPr>
        <w:pStyle w:val="Standard"/>
      </w:pPr>
      <w:r>
        <w:t xml:space="preserve">Joint Utilities </w:t>
      </w:r>
      <w:r w:rsidR="00481BA0">
        <w:t xml:space="preserve">also </w:t>
      </w:r>
      <w:r>
        <w:t>support this</w:t>
      </w:r>
      <w:r w:rsidR="00481BA0">
        <w:t xml:space="preserve"> finding</w:t>
      </w:r>
      <w:r>
        <w:t xml:space="preserve">, asserting the Lookback Study concludes that </w:t>
      </w:r>
      <w:r w:rsidR="00602BC5">
        <w:t>NEM 2.0</w:t>
      </w:r>
      <w:r w:rsidR="00135D55">
        <w:t xml:space="preserve"> </w:t>
      </w:r>
      <w:r>
        <w:t xml:space="preserve">participating customers receive </w:t>
      </w:r>
      <w:r w:rsidR="00BA1EAE">
        <w:t>“</w:t>
      </w:r>
      <w:r>
        <w:t>significant financial benefits</w:t>
      </w:r>
      <w:r w:rsidR="00BA1EAE">
        <w:t>”</w:t>
      </w:r>
      <w:r>
        <w:t xml:space="preserve"> at the </w:t>
      </w:r>
      <w:r w:rsidR="00BA1EAE">
        <w:t>“</w:t>
      </w:r>
      <w:r>
        <w:t>expense of non</w:t>
      </w:r>
      <w:r w:rsidR="00827602">
        <w:noBreakHyphen/>
      </w:r>
      <w:r>
        <w:t>participating customers</w:t>
      </w:r>
      <w:r w:rsidR="0088102B">
        <w:t>.</w:t>
      </w:r>
      <w:r w:rsidR="00BA1EAE">
        <w:t>”</w:t>
      </w:r>
      <w:r w:rsidR="000D5697">
        <w:t xml:space="preserve">  </w:t>
      </w:r>
      <w:r w:rsidR="00E72DF7">
        <w:t>Recognizing the Lookback Study cost shift estimate of $1</w:t>
      </w:r>
      <w:r w:rsidR="002268EB">
        <w:t> billion</w:t>
      </w:r>
      <w:r w:rsidR="00E72DF7">
        <w:t xml:space="preserve"> only looks at </w:t>
      </w:r>
      <w:r w:rsidR="00602BC5">
        <w:t>NEM 2.0</w:t>
      </w:r>
      <w:r w:rsidR="00135D55">
        <w:t xml:space="preserve"> </w:t>
      </w:r>
      <w:r w:rsidR="00E72DF7">
        <w:t xml:space="preserve">customers prior to 2020, </w:t>
      </w:r>
      <w:r w:rsidR="000D5697">
        <w:t>Joint Utilities claim that</w:t>
      </w:r>
      <w:r w:rsidR="00E72DF7">
        <w:t xml:space="preserve">, by looking at all customers who have adopted </w:t>
      </w:r>
      <w:r w:rsidR="00602BC5">
        <w:t>NEM 2.0</w:t>
      </w:r>
      <w:r w:rsidR="00135D55">
        <w:t xml:space="preserve"> </w:t>
      </w:r>
      <w:r w:rsidR="00E72DF7">
        <w:t>through 2020,</w:t>
      </w:r>
      <w:r w:rsidR="000D5697">
        <w:t xml:space="preserve"> </w:t>
      </w:r>
      <w:r w:rsidR="00602BC5">
        <w:t>NEM 2.0</w:t>
      </w:r>
      <w:r w:rsidR="00135D55">
        <w:t xml:space="preserve"> </w:t>
      </w:r>
      <w:r w:rsidR="000D5697">
        <w:t>installations will increase bills paid by non</w:t>
      </w:r>
      <w:r w:rsidR="00827602">
        <w:noBreakHyphen/>
      </w:r>
      <w:r w:rsidR="000D5697">
        <w:t>participant customers by $13</w:t>
      </w:r>
      <w:r w:rsidR="002268EB">
        <w:t> billion</w:t>
      </w:r>
      <w:r w:rsidR="00B4028F">
        <w:t xml:space="preserve"> over 20 years</w:t>
      </w:r>
      <w:r w:rsidR="000D5697">
        <w:t>.</w:t>
      </w:r>
      <w:r w:rsidR="000D5697">
        <w:rPr>
          <w:rStyle w:val="FootnoteReference"/>
        </w:rPr>
        <w:footnoteReference w:id="55"/>
      </w:r>
      <w:r w:rsidR="003D2162">
        <w:t xml:space="preserve">  Supporting this disparity, </w:t>
      </w:r>
      <w:proofErr w:type="spellStart"/>
      <w:r w:rsidR="003D2162">
        <w:t>IEPA</w:t>
      </w:r>
      <w:proofErr w:type="spellEnd"/>
      <w:r w:rsidR="003D2162">
        <w:t xml:space="preserve"> points to the Lookback Study finding that residential net energy metering customers’ bills are lower than the utility’s cost to serve them while nonparticipant ratepayers see increased rates.</w:t>
      </w:r>
      <w:r w:rsidR="003D2162">
        <w:rPr>
          <w:rStyle w:val="FootnoteReference"/>
        </w:rPr>
        <w:footnoteReference w:id="56"/>
      </w:r>
    </w:p>
    <w:p w:rsidR="000A6A05" w:rsidP="00982047" w:rsidRDefault="0088102B" w14:paraId="6CF2D6E2" w14:textId="548EAADD">
      <w:pPr>
        <w:pStyle w:val="Standard"/>
      </w:pPr>
      <w:r>
        <w:t xml:space="preserve">TURN also agrees with the finding of the Lookback Study that there is a cost shift associated with </w:t>
      </w:r>
      <w:r w:rsidR="00602BC5">
        <w:t>NEM 2.0</w:t>
      </w:r>
      <w:r>
        <w:t xml:space="preserve">, as well as </w:t>
      </w:r>
      <w:r w:rsidR="00602BC5">
        <w:t>NEM 1.0</w:t>
      </w:r>
      <w:r>
        <w:t>.  However, TURN contends the Lookback Study underestimates the cost shift because the study used 2020 Avoided Cost Calculator values.</w:t>
      </w:r>
      <w:r>
        <w:rPr>
          <w:rStyle w:val="FootnoteReference"/>
        </w:rPr>
        <w:footnoteReference w:id="57"/>
      </w:r>
      <w:r>
        <w:t xml:space="preserve">  TURN estimates the cost shift at </w:t>
      </w:r>
      <w:r>
        <w:lastRenderedPageBreak/>
        <w:t>$1.093</w:t>
      </w:r>
      <w:r w:rsidR="002268EB">
        <w:t> billion</w:t>
      </w:r>
      <w:r>
        <w:t xml:space="preserve"> (in $2012) or $1,600 per </w:t>
      </w:r>
      <w:r w:rsidR="00602BC5">
        <w:t>NEM 1.0</w:t>
      </w:r>
      <w:r>
        <w:t xml:space="preserve"> customer as of 2020 and $13</w:t>
      </w:r>
      <w:r w:rsidR="002268EB">
        <w:t> billion</w:t>
      </w:r>
      <w:r>
        <w:t xml:space="preserve"> (over 20 years) or $31,402 per </w:t>
      </w:r>
      <w:r w:rsidR="00602BC5">
        <w:t>NEM 2.0</w:t>
      </w:r>
      <w:r w:rsidR="00135D55">
        <w:t xml:space="preserve"> </w:t>
      </w:r>
      <w:r>
        <w:t>customer as of 2020.</w:t>
      </w:r>
      <w:r>
        <w:rPr>
          <w:rStyle w:val="FootnoteReference"/>
        </w:rPr>
        <w:footnoteReference w:id="58"/>
      </w:r>
    </w:p>
    <w:p w:rsidR="00533B2F" w:rsidP="00982047" w:rsidRDefault="003269F8" w14:paraId="06DDDB7F" w14:textId="77777777">
      <w:pPr>
        <w:pStyle w:val="Standard"/>
      </w:pPr>
      <w:r>
        <w:t xml:space="preserve">In its reply brief, </w:t>
      </w:r>
      <w:proofErr w:type="spellStart"/>
      <w:r>
        <w:t>IEPA</w:t>
      </w:r>
      <w:proofErr w:type="spellEnd"/>
      <w:r>
        <w:t xml:space="preserve"> concludes that if the number of net energy metering tariff customers continues to grow, the pool of nonparticipants will shrink</w:t>
      </w:r>
      <w:r w:rsidR="00076AF3">
        <w:t>;</w:t>
      </w:r>
      <w:r>
        <w:t xml:space="preserve"> thus, without any changes to the current tariff structure, the financial burden on the shrinking pool of nonparticipants will become unsustainable.</w:t>
      </w:r>
      <w:r>
        <w:rPr>
          <w:rStyle w:val="FootnoteReference"/>
        </w:rPr>
        <w:footnoteReference w:id="59"/>
      </w:r>
    </w:p>
    <w:p w:rsidR="00721883" w:rsidP="00982047" w:rsidRDefault="0088102B" w14:paraId="291EEA19" w14:textId="52AA4199">
      <w:pPr>
        <w:pStyle w:val="Standard"/>
      </w:pPr>
      <w:r>
        <w:t xml:space="preserve">Portraying the cost shift as </w:t>
      </w:r>
      <w:r w:rsidR="000D5697">
        <w:t>insubstantial</w:t>
      </w:r>
      <w:r>
        <w:t xml:space="preserve">, PCF contends </w:t>
      </w:r>
      <w:r w:rsidR="00721883">
        <w:t>the Lookback Study shows that the cost shift is only $501.</w:t>
      </w:r>
      <w:r w:rsidR="00542A08">
        <w:t>1 million</w:t>
      </w:r>
      <w:r w:rsidR="002268EB">
        <w:t xml:space="preserve"> — </w:t>
      </w:r>
      <w:r w:rsidR="00BA1EAE">
        <w:t>“</w:t>
      </w:r>
      <w:r w:rsidR="00721883">
        <w:t>far less than the $3.4</w:t>
      </w:r>
      <w:r w:rsidR="002268EB">
        <w:t> billion</w:t>
      </w:r>
      <w:r w:rsidR="00BA1EAE">
        <w:t>”</w:t>
      </w:r>
      <w:r w:rsidR="00721883">
        <w:t xml:space="preserve"> estimated by various parties.</w:t>
      </w:r>
      <w:r w:rsidR="00721883">
        <w:rPr>
          <w:rStyle w:val="FootnoteReference"/>
        </w:rPr>
        <w:footnoteReference w:id="60"/>
      </w:r>
      <w:r w:rsidR="00721883">
        <w:t xml:space="preserve">  PCF submits the Lookback Study results show that, in 2019, nonresidential </w:t>
      </w:r>
      <w:r w:rsidR="00602BC5">
        <w:t>NEM 2.0</w:t>
      </w:r>
      <w:r w:rsidR="00135D55">
        <w:t xml:space="preserve"> </w:t>
      </w:r>
      <w:r w:rsidR="00721883">
        <w:t>customers paid $117.</w:t>
      </w:r>
      <w:r w:rsidR="00542A08">
        <w:t>5 million</w:t>
      </w:r>
      <w:r w:rsidR="00721883">
        <w:t xml:space="preserve"> more than the cost to serve them while residential </w:t>
      </w:r>
      <w:r w:rsidR="00602BC5">
        <w:t>NEM 2.0</w:t>
      </w:r>
      <w:r w:rsidR="00135D55">
        <w:t xml:space="preserve"> </w:t>
      </w:r>
      <w:r w:rsidR="00721883">
        <w:t>customers paid $618.</w:t>
      </w:r>
      <w:r w:rsidR="00542A08">
        <w:t>6 million</w:t>
      </w:r>
      <w:r w:rsidR="00721883">
        <w:t xml:space="preserve"> less than the cost to serve them.</w:t>
      </w:r>
      <w:r w:rsidR="00721883">
        <w:rPr>
          <w:rStyle w:val="FootnoteReference"/>
        </w:rPr>
        <w:footnoteReference w:id="61"/>
      </w:r>
      <w:r w:rsidR="00721883">
        <w:t xml:space="preserve">  Further, PCF argues the Lookback Study underestimates the benefits of behind</w:t>
      </w:r>
      <w:r w:rsidR="00827602">
        <w:noBreakHyphen/>
      </w:r>
      <w:r w:rsidR="00721883">
        <w:t>the</w:t>
      </w:r>
      <w:r w:rsidR="00827602">
        <w:noBreakHyphen/>
      </w:r>
      <w:r w:rsidR="00721883">
        <w:t xml:space="preserve">meter generation by relying only on the Avoided Cost Calculator, which PCF </w:t>
      </w:r>
      <w:r w:rsidR="00B0609D">
        <w:t xml:space="preserve">claims </w:t>
      </w:r>
      <w:r w:rsidR="00721883">
        <w:t>nullif</w:t>
      </w:r>
      <w:r w:rsidR="00730960">
        <w:t>ies</w:t>
      </w:r>
      <w:r w:rsidR="00721883">
        <w:t xml:space="preserve"> any existing cost shift.</w:t>
      </w:r>
      <w:r w:rsidR="00721883">
        <w:rPr>
          <w:rStyle w:val="FootnoteReference"/>
        </w:rPr>
        <w:footnoteReference w:id="62"/>
      </w:r>
      <w:r w:rsidR="00721883">
        <w:t xml:space="preserve">  (</w:t>
      </w:r>
      <w:r w:rsidR="00E63A3E">
        <w:t>T</w:t>
      </w:r>
      <w:r w:rsidR="00730960">
        <w:t xml:space="preserve">he Avoided Cost Calculator </w:t>
      </w:r>
      <w:r w:rsidR="00E63A3E">
        <w:t xml:space="preserve">is discussed </w:t>
      </w:r>
      <w:r w:rsidR="00721883">
        <w:t xml:space="preserve">in </w:t>
      </w:r>
      <w:r w:rsidR="0034029C">
        <w:t>Section 8</w:t>
      </w:r>
      <w:r w:rsidR="00721883">
        <w:t>.2.)</w:t>
      </w:r>
    </w:p>
    <w:p w:rsidR="00721883" w:rsidP="00982047" w:rsidRDefault="00721883" w14:paraId="159EC623" w14:textId="3906A299">
      <w:pPr>
        <w:pStyle w:val="Standard"/>
      </w:pPr>
      <w:r>
        <w:t>In reply briefs, Joint Utilities dispute PCF’s claims of no cost shift and that the cost shift is shown solely in the bill savings from energy consumption.</w:t>
      </w:r>
      <w:r>
        <w:rPr>
          <w:rStyle w:val="FootnoteReference"/>
        </w:rPr>
        <w:footnoteReference w:id="63"/>
      </w:r>
      <w:r>
        <w:t xml:space="preserve">  Joint Utilities state that the cost shift from participating to non</w:t>
      </w:r>
      <w:r w:rsidR="00827602">
        <w:noBreakHyphen/>
      </w:r>
      <w:r>
        <w:t>participating customers is the result of non</w:t>
      </w:r>
      <w:r w:rsidR="00827602">
        <w:noBreakHyphen/>
      </w:r>
      <w:r>
        <w:t>participating customers overcompensating net energy metering customers for exports and non</w:t>
      </w:r>
      <w:r w:rsidR="00827602">
        <w:noBreakHyphen/>
      </w:r>
      <w:r>
        <w:t xml:space="preserve">participants paying for the </w:t>
      </w:r>
      <w:r>
        <w:lastRenderedPageBreak/>
        <w:t>infrastructure and public policy costs that net energy metering customers avoid.  Joint Utilities explain that residential net energy metering customers can bypass payment of infrastructure and other costs incurred to serve them because such costs are embedded in volumetric rates and</w:t>
      </w:r>
      <w:r w:rsidR="00CF13A0">
        <w:t xml:space="preserve">, thus, </w:t>
      </w:r>
      <w:r>
        <w:t>avoided by net energy metering customers</w:t>
      </w:r>
      <w:r w:rsidR="00CF13A0">
        <w:t xml:space="preserve">; this </w:t>
      </w:r>
      <w:r>
        <w:t>re</w:t>
      </w:r>
      <w:r w:rsidR="00CF13A0">
        <w:t xml:space="preserve">sults in </w:t>
      </w:r>
      <w:r>
        <w:t xml:space="preserve">other customers </w:t>
      </w:r>
      <w:r w:rsidR="00CF13A0">
        <w:t xml:space="preserve">paying </w:t>
      </w:r>
      <w:r>
        <w:t>the difference.</w:t>
      </w:r>
      <w:r>
        <w:rPr>
          <w:rStyle w:val="FootnoteReference"/>
        </w:rPr>
        <w:footnoteReference w:id="64"/>
      </w:r>
      <w:r w:rsidR="0088102B">
        <w:t xml:space="preserve">  </w:t>
      </w:r>
      <w:r w:rsidR="009355F1">
        <w:t>Cal Advoc</w:t>
      </w:r>
      <w:r w:rsidR="000D5697">
        <w:t xml:space="preserve">ates </w:t>
      </w:r>
      <w:r w:rsidR="00361CA8">
        <w:t>further explain</w:t>
      </w:r>
      <w:r w:rsidR="003A2E59">
        <w:t>s</w:t>
      </w:r>
      <w:r w:rsidR="00361CA8">
        <w:t xml:space="preserve"> that </w:t>
      </w:r>
      <w:r w:rsidR="00BA1EAE">
        <w:t>“</w:t>
      </w:r>
      <w:r w:rsidR="00361CA8">
        <w:t xml:space="preserve">under the volumetric rate structure and </w:t>
      </w:r>
      <w:r w:rsidR="00602BC5">
        <w:t>NEM 2.0</w:t>
      </w:r>
      <w:r w:rsidR="00135D55">
        <w:t xml:space="preserve"> </w:t>
      </w:r>
      <w:r w:rsidR="00361CA8">
        <w:t xml:space="preserve">policies, average residential </w:t>
      </w:r>
      <w:r w:rsidR="00602BC5">
        <w:t>NEM 2.0</w:t>
      </w:r>
      <w:r w:rsidR="00135D55">
        <w:t xml:space="preserve"> </w:t>
      </w:r>
      <w:r w:rsidR="00361CA8">
        <w:t>customers pay only 1</w:t>
      </w:r>
      <w:r w:rsidR="00C04724">
        <w:t>8 percent</w:t>
      </w:r>
      <w:r w:rsidR="00361CA8">
        <w:t xml:space="preserve"> of their total annual cost of service for PG&amp;E, </w:t>
      </w:r>
      <w:r w:rsidR="00C04724">
        <w:t>9 percent</w:t>
      </w:r>
      <w:r w:rsidR="00361CA8">
        <w:t xml:space="preserve"> for SCE and </w:t>
      </w:r>
      <w:r w:rsidR="00C04724">
        <w:t>9 percent</w:t>
      </w:r>
      <w:r w:rsidR="00361CA8">
        <w:t xml:space="preserve"> for SDG&amp;E.</w:t>
      </w:r>
      <w:r w:rsidR="00BA1EAE">
        <w:t>”</w:t>
      </w:r>
      <w:r w:rsidR="00361CA8">
        <w:rPr>
          <w:rStyle w:val="FootnoteReference"/>
        </w:rPr>
        <w:footnoteReference w:id="65"/>
      </w:r>
      <w:r w:rsidR="00361CA8">
        <w:t xml:space="preserve">  </w:t>
      </w:r>
      <w:r>
        <w:t xml:space="preserve">Joint Utilities </w:t>
      </w:r>
      <w:r w:rsidR="00361CA8">
        <w:t xml:space="preserve">acknowledge </w:t>
      </w:r>
      <w:r>
        <w:t xml:space="preserve">that the Lookback Study does not analyze the components of the cost shift it identifies, but </w:t>
      </w:r>
      <w:r w:rsidR="00361CA8">
        <w:t xml:space="preserve">note that </w:t>
      </w:r>
      <w:r>
        <w:t xml:space="preserve">the Commission’s </w:t>
      </w:r>
      <w:r w:rsidR="00296E56">
        <w:t>A</w:t>
      </w:r>
      <w:r>
        <w:t xml:space="preserve">ffordability </w:t>
      </w:r>
      <w:r w:rsidR="00296E56">
        <w:t>R</w:t>
      </w:r>
      <w:r>
        <w:t>eport explains the cost shift is due to the bill saving</w:t>
      </w:r>
      <w:r w:rsidR="00B1241F">
        <w:t>s</w:t>
      </w:r>
      <w:r w:rsidR="00361CA8">
        <w:t xml:space="preserve"> </w:t>
      </w:r>
      <w:r>
        <w:t>exceed</w:t>
      </w:r>
      <w:r w:rsidR="00AC74DE">
        <w:t>ing</w:t>
      </w:r>
      <w:r>
        <w:t xml:space="preserve"> the value the solar generation provides to the system.</w:t>
      </w:r>
      <w:r>
        <w:rPr>
          <w:rStyle w:val="FootnoteReference"/>
        </w:rPr>
        <w:footnoteReference w:id="66"/>
      </w:r>
    </w:p>
    <w:p w:rsidR="00787ABE" w:rsidP="00982047" w:rsidRDefault="007A59AB" w14:paraId="23BD67D3" w14:textId="51CE6E63">
      <w:pPr>
        <w:pStyle w:val="Standard"/>
      </w:pPr>
      <w:r>
        <w:t xml:space="preserve">Turning first to a brief discussion of the Commission’s </w:t>
      </w:r>
      <w:r w:rsidR="00296E56">
        <w:t>A</w:t>
      </w:r>
      <w:r>
        <w:t xml:space="preserve">ffordability </w:t>
      </w:r>
      <w:r w:rsidR="00296E56">
        <w:t>R</w:t>
      </w:r>
      <w:r>
        <w:t xml:space="preserve">eport, </w:t>
      </w:r>
      <w:r w:rsidR="007F1822">
        <w:t>350 Bay Area</w:t>
      </w:r>
      <w:r>
        <w:t xml:space="preserve"> argues that the cost shift discussion in this proceeding ignores the real drivers behind high electricity rates and unequal affordability.  </w:t>
      </w:r>
      <w:r w:rsidR="007F1822">
        <w:t>350 Bay Area</w:t>
      </w:r>
      <w:r>
        <w:t xml:space="preserve"> asserts the </w:t>
      </w:r>
      <w:r w:rsidR="00767D8E">
        <w:t>A</w:t>
      </w:r>
      <w:r>
        <w:t xml:space="preserve">ffordability </w:t>
      </w:r>
      <w:r w:rsidR="00767D8E">
        <w:t>R</w:t>
      </w:r>
      <w:r>
        <w:t xml:space="preserve">eport </w:t>
      </w:r>
      <w:r w:rsidR="00296E56">
        <w:t>states that high electricity rates are driven by transmission and distribution costs</w:t>
      </w:r>
      <w:r w:rsidR="003A2E59">
        <w:t>,</w:t>
      </w:r>
      <w:r w:rsidR="00296E56">
        <w:t xml:space="preserve"> and wildfire mitigation.  </w:t>
      </w:r>
      <w:r w:rsidR="007A0954">
        <w:t>This proceeding’s</w:t>
      </w:r>
      <w:r w:rsidR="00A13D5E">
        <w:t xml:space="preserve"> review of t</w:t>
      </w:r>
      <w:r w:rsidR="00296E56">
        <w:t xml:space="preserve">he Affordability Report </w:t>
      </w:r>
      <w:r w:rsidR="00A13D5E">
        <w:t>indicates</w:t>
      </w:r>
      <w:r w:rsidR="00F77E3F">
        <w:t xml:space="preserve"> that a growth in rate base across PG&amp;E, SDG&amp;E and SCE has been driven</w:t>
      </w:r>
      <w:r w:rsidR="007A0954">
        <w:t>, in part,</w:t>
      </w:r>
      <w:r w:rsidR="00F77E3F">
        <w:t xml:space="preserve"> by rising transmission investments for PG&amp;E and distribution investments for SCE and </w:t>
      </w:r>
      <w:r w:rsidR="00F77E3F">
        <w:lastRenderedPageBreak/>
        <w:t xml:space="preserve">SDG&amp;E.  </w:t>
      </w:r>
      <w:r w:rsidR="007A0954">
        <w:t>However,</w:t>
      </w:r>
      <w:r w:rsidR="00F77E3F">
        <w:t xml:space="preserve"> the report also st</w:t>
      </w:r>
      <w:r w:rsidR="0080506F">
        <w:t>at</w:t>
      </w:r>
      <w:r w:rsidR="00F77E3F">
        <w:t xml:space="preserve">es that this rise in rate base has been coupled with a growth of solar adoption that has led to residential costs being shifted from customers who have </w:t>
      </w:r>
      <w:r w:rsidR="0080506F">
        <w:t xml:space="preserve">installed rooftop solar to customers who have not.  The report contends the </w:t>
      </w:r>
      <w:r w:rsidR="00BA1EAE">
        <w:t>“</w:t>
      </w:r>
      <w:r w:rsidR="0080506F">
        <w:t>result is that growing electric rates have been offset to some extent for net energy metering customers…</w:t>
      </w:r>
      <w:r w:rsidR="004C72CA">
        <w:t xml:space="preserve"> </w:t>
      </w:r>
      <w:r w:rsidR="0080506F">
        <w:t>while non</w:t>
      </w:r>
      <w:r w:rsidR="00827602">
        <w:noBreakHyphen/>
      </w:r>
      <w:r w:rsidR="0080506F">
        <w:t>net energy metering customers have shouldered some of the cost of maintaining the grid.</w:t>
      </w:r>
      <w:r w:rsidR="00BA1EAE">
        <w:t>”</w:t>
      </w:r>
      <w:r w:rsidR="0080506F">
        <w:rPr>
          <w:rStyle w:val="FootnoteReference"/>
        </w:rPr>
        <w:footnoteReference w:id="67"/>
      </w:r>
      <w:r w:rsidR="00A13D5E">
        <w:t xml:space="preserve">  </w:t>
      </w:r>
      <w:r w:rsidR="007955EB">
        <w:t xml:space="preserve">Hence, the Affordability Report indicates high electricity rates are driven by a combination of transmission and distribution costs, wildfire mitigation, and the shifted costs from solar customers to customers without solar.  The cost shift discussion in this proceeding does not ignore the other drivers of high electricity rates.  This proceeding focuses on the one driver that is relevant to this proceeding, a </w:t>
      </w:r>
      <w:r w:rsidR="00D32D54">
        <w:t>significant cost shift from solar customers to customers without solar.</w:t>
      </w:r>
    </w:p>
    <w:p w:rsidR="00490092" w:rsidP="00982047" w:rsidRDefault="007A59AB" w14:paraId="7B380EF9" w14:textId="179ECE0A">
      <w:pPr>
        <w:pStyle w:val="Standard"/>
      </w:pPr>
      <w:r>
        <w:t>This decision finds</w:t>
      </w:r>
      <w:r w:rsidR="00543117">
        <w:t xml:space="preserve"> </w:t>
      </w:r>
      <w:r w:rsidR="00A04F6B">
        <w:t xml:space="preserve">that </w:t>
      </w:r>
      <w:r w:rsidR="00602BC5">
        <w:t>NEM 2.0</w:t>
      </w:r>
      <w:r w:rsidR="00135D55">
        <w:t xml:space="preserve"> </w:t>
      </w:r>
      <w:r w:rsidR="00A04F6B">
        <w:t>has negatively impacted non</w:t>
      </w:r>
      <w:r w:rsidR="00827602">
        <w:noBreakHyphen/>
      </w:r>
      <w:r w:rsidR="00A04F6B">
        <w:t>participant ratepayers</w:t>
      </w:r>
      <w:r w:rsidR="00D32D54">
        <w:t xml:space="preserve"> through this cost shift</w:t>
      </w:r>
      <w:r w:rsidR="00A04F6B">
        <w:t xml:space="preserve">.  While the precise impact </w:t>
      </w:r>
      <w:r w:rsidR="0088102B">
        <w:t xml:space="preserve">depends upon </w:t>
      </w:r>
      <w:r w:rsidR="00C022D3">
        <w:t xml:space="preserve">the </w:t>
      </w:r>
      <w:r w:rsidR="0088102B">
        <w:t xml:space="preserve">Avoided Cost Calculator </w:t>
      </w:r>
      <w:r w:rsidR="00C022D3">
        <w:t xml:space="preserve">version </w:t>
      </w:r>
      <w:r w:rsidR="0088102B">
        <w:t>used</w:t>
      </w:r>
      <w:r w:rsidR="00A04F6B">
        <w:t xml:space="preserve">, </w:t>
      </w:r>
      <w:r>
        <w:t xml:space="preserve">the Commission </w:t>
      </w:r>
      <w:r w:rsidR="00A04F6B">
        <w:t>disagree</w:t>
      </w:r>
      <w:r>
        <w:t>s</w:t>
      </w:r>
      <w:r w:rsidR="00A04F6B">
        <w:t xml:space="preserve"> with PCF’s method of calculating the impact</w:t>
      </w:r>
      <w:r w:rsidR="00A96348">
        <w:t xml:space="preserve"> and </w:t>
      </w:r>
      <w:r w:rsidR="00C022D3">
        <w:t xml:space="preserve">find PCF’s </w:t>
      </w:r>
      <w:r w:rsidR="00D32D54">
        <w:t xml:space="preserve">cost shift </w:t>
      </w:r>
      <w:r w:rsidR="00A04F6B">
        <w:t>estimate of $50</w:t>
      </w:r>
      <w:r w:rsidR="00542A08">
        <w:t>1 million</w:t>
      </w:r>
      <w:r w:rsidR="00C022D3">
        <w:t xml:space="preserve"> to be incorrect</w:t>
      </w:r>
      <w:r w:rsidR="00A04F6B">
        <w:t xml:space="preserve">.  As Joint Utilities point out, the impact is caused by more than the </w:t>
      </w:r>
      <w:r w:rsidR="005E7C4C">
        <w:t xml:space="preserve">simple </w:t>
      </w:r>
      <w:r w:rsidR="00A04F6B">
        <w:t xml:space="preserve">bill savings from </w:t>
      </w:r>
      <w:r w:rsidR="005E7C4C">
        <w:t xml:space="preserve">net energy metering customer </w:t>
      </w:r>
      <w:r w:rsidR="00A04F6B">
        <w:t>energy consumption</w:t>
      </w:r>
      <w:r w:rsidR="005E7C4C">
        <w:t>.  R</w:t>
      </w:r>
      <w:r w:rsidR="00A04F6B">
        <w:t>ather</w:t>
      </w:r>
      <w:r w:rsidR="00A96348">
        <w:t>,</w:t>
      </w:r>
      <w:r w:rsidR="00A04F6B">
        <w:t xml:space="preserve"> </w:t>
      </w:r>
      <w:r w:rsidR="00C022D3">
        <w:t>the negative impact on non</w:t>
      </w:r>
      <w:r w:rsidR="00827602">
        <w:noBreakHyphen/>
      </w:r>
      <w:r w:rsidR="00C022D3">
        <w:t>participant ratepayers is caused</w:t>
      </w:r>
      <w:r w:rsidR="00A04F6B">
        <w:t xml:space="preserve"> </w:t>
      </w:r>
      <w:r w:rsidR="00C022D3">
        <w:t xml:space="preserve">by </w:t>
      </w:r>
      <w:r w:rsidR="00A04F6B">
        <w:t xml:space="preserve">the bypassing of infrastructure and other service costs </w:t>
      </w:r>
      <w:r w:rsidR="005E7C4C">
        <w:t xml:space="preserve">embedded in volumetric rates from each one of the net energy metering customers in </w:t>
      </w:r>
      <w:r w:rsidR="00602BC5">
        <w:t>NEM 1.0</w:t>
      </w:r>
      <w:r w:rsidR="005E7C4C">
        <w:t xml:space="preserve"> and </w:t>
      </w:r>
      <w:r w:rsidR="00602BC5">
        <w:t>NEM 2.0</w:t>
      </w:r>
      <w:r w:rsidR="00135D55">
        <w:t xml:space="preserve"> </w:t>
      </w:r>
      <w:r w:rsidR="005E7C4C">
        <w:t>over the course of the 20</w:t>
      </w:r>
      <w:r w:rsidR="00827602">
        <w:noBreakHyphen/>
      </w:r>
      <w:r w:rsidR="005E7C4C">
        <w:t xml:space="preserve">year length of </w:t>
      </w:r>
      <w:r w:rsidR="00A96348">
        <w:t>the</w:t>
      </w:r>
      <w:r w:rsidR="00C022D3">
        <w:t xml:space="preserve"> customer’s</w:t>
      </w:r>
      <w:r w:rsidR="005E7C4C">
        <w:t xml:space="preserve"> tariff.</w:t>
      </w:r>
    </w:p>
    <w:p w:rsidRPr="00513D04" w:rsidR="00A51C89" w:rsidP="00982047" w:rsidRDefault="00AF3B9D" w14:paraId="6196C926" w14:textId="72628A08">
      <w:pPr>
        <w:pStyle w:val="Standard"/>
      </w:pPr>
      <w:r>
        <w:lastRenderedPageBreak/>
        <w:t>Th</w:t>
      </w:r>
      <w:r w:rsidR="004E6545">
        <w:t xml:space="preserve">e negative impact </w:t>
      </w:r>
      <w:r w:rsidR="007A0954">
        <w:t>on non</w:t>
      </w:r>
      <w:r w:rsidR="00827602">
        <w:noBreakHyphen/>
      </w:r>
      <w:r w:rsidR="007A0954">
        <w:t xml:space="preserve">participant ratepayers </w:t>
      </w:r>
      <w:r w:rsidR="004E6545">
        <w:t xml:space="preserve">is further shown in the Affordability Report.  While </w:t>
      </w:r>
      <w:r w:rsidR="00FA3385">
        <w:t>the Commission</w:t>
      </w:r>
      <w:r w:rsidR="004E6545">
        <w:t xml:space="preserve"> agree</w:t>
      </w:r>
      <w:r w:rsidR="00FA3385">
        <w:t>s</w:t>
      </w:r>
      <w:r w:rsidR="004E6545">
        <w:t xml:space="preserve"> that the cost shift is not the </w:t>
      </w:r>
      <w:r w:rsidR="00D32D54">
        <w:t xml:space="preserve">sole </w:t>
      </w:r>
      <w:r w:rsidR="004E6545">
        <w:t xml:space="preserve">cause for high electricity rates, the </w:t>
      </w:r>
      <w:r w:rsidR="00D32D54">
        <w:t xml:space="preserve">resulting </w:t>
      </w:r>
      <w:r w:rsidR="004E6545">
        <w:t>inequity shown in both the Affordability Report and the Lookback Study</w:t>
      </w:r>
      <w:r w:rsidR="00FA3385">
        <w:t xml:space="preserve"> should be addressed</w:t>
      </w:r>
      <w:r w:rsidR="004E6545">
        <w:t>.</w:t>
      </w:r>
      <w:r w:rsidR="00DC5328">
        <w:t xml:space="preserve"> </w:t>
      </w:r>
      <w:r w:rsidR="003269F8">
        <w:t xml:space="preserve">Accordingly, the Commission should use this information to develop a </w:t>
      </w:r>
      <w:r w:rsidR="00767D8E">
        <w:t>successor</w:t>
      </w:r>
      <w:r w:rsidR="00FA3385">
        <w:t xml:space="preserve"> </w:t>
      </w:r>
      <w:r w:rsidR="003269F8">
        <w:t>tariff that corrects the cost shift, to the extent possible</w:t>
      </w:r>
      <w:r w:rsidR="00F04C32">
        <w:t xml:space="preserve">, </w:t>
      </w:r>
      <w:r w:rsidR="003269F8">
        <w:t xml:space="preserve">while balancing all </w:t>
      </w:r>
      <w:r w:rsidR="00C022D3">
        <w:t xml:space="preserve">eight </w:t>
      </w:r>
      <w:r w:rsidR="003269F8">
        <w:t xml:space="preserve">guiding principles.  As noted by </w:t>
      </w:r>
      <w:proofErr w:type="spellStart"/>
      <w:r w:rsidR="003269F8">
        <w:t>IEPA</w:t>
      </w:r>
      <w:proofErr w:type="spellEnd"/>
      <w:r w:rsidR="003269F8">
        <w:t xml:space="preserve">, without any changes to the current tariff structure, the financial burden on the </w:t>
      </w:r>
      <w:r w:rsidRPr="00513D04" w:rsidR="003269F8">
        <w:t xml:space="preserve">shrinking pool of nonparticipants </w:t>
      </w:r>
      <w:r w:rsidRPr="00513D04" w:rsidR="008500AA">
        <w:t>is</w:t>
      </w:r>
      <w:r w:rsidRPr="00513D04" w:rsidR="003269F8">
        <w:t xml:space="preserve"> unsustainable and </w:t>
      </w:r>
      <w:r w:rsidRPr="00513D04" w:rsidR="00F04C32">
        <w:t>w</w:t>
      </w:r>
      <w:r w:rsidR="004C27B6">
        <w:t>ould</w:t>
      </w:r>
      <w:r w:rsidRPr="00513D04" w:rsidR="003269F8">
        <w:t xml:space="preserve"> fall disproportionately on lower</w:t>
      </w:r>
      <w:r w:rsidR="00827602">
        <w:noBreakHyphen/>
      </w:r>
      <w:r w:rsidRPr="00513D04" w:rsidR="003269F8">
        <w:t>income ratepayers.</w:t>
      </w:r>
    </w:p>
    <w:p w:rsidRPr="00513D04" w:rsidR="001826F7" w:rsidP="005E7044" w:rsidRDefault="00B0609D" w14:paraId="5669C1EE" w14:textId="0BC79611">
      <w:pPr>
        <w:pStyle w:val="Heading3"/>
        <w:keepLines w:val="0"/>
      </w:pPr>
      <w:bookmarkStart w:name="_Toc117674075" w:id="107"/>
      <w:bookmarkStart w:name="_Toc118285066" w:id="108"/>
      <w:bookmarkStart w:name="_Toc121854393" w:id="109"/>
      <w:r w:rsidRPr="00513D04">
        <w:t>The Lookback Study Sho</w:t>
      </w:r>
      <w:r w:rsidRPr="00513D04" w:rsidR="0045370E">
        <w:t>ws</w:t>
      </w:r>
      <w:r w:rsidR="00643DA8">
        <w:br/>
      </w:r>
      <w:r w:rsidR="00602BC5">
        <w:t>NEM 2.0</w:t>
      </w:r>
      <w:r w:rsidR="00135D55">
        <w:t xml:space="preserve"> </w:t>
      </w:r>
      <w:r w:rsidR="007C3686">
        <w:t>I</w:t>
      </w:r>
      <w:r w:rsidRPr="00513D04" w:rsidR="0045370E">
        <w:t>s Not Cost</w:t>
      </w:r>
      <w:r w:rsidR="00827602">
        <w:noBreakHyphen/>
      </w:r>
      <w:r w:rsidRPr="00513D04" w:rsidR="0045370E">
        <w:t>effective</w:t>
      </w:r>
      <w:bookmarkEnd w:id="107"/>
      <w:bookmarkEnd w:id="108"/>
      <w:bookmarkEnd w:id="109"/>
    </w:p>
    <w:p w:rsidR="00533B2F" w:rsidP="00410BAE" w:rsidRDefault="00B41F6A" w14:paraId="4010B1EA" w14:textId="543D65A9">
      <w:pPr>
        <w:pStyle w:val="Standard"/>
      </w:pPr>
      <w:r w:rsidRPr="00513D04">
        <w:t>The Lookback Study present</w:t>
      </w:r>
      <w:r w:rsidRPr="00513D04" w:rsidR="008F79AB">
        <w:t>s</w:t>
      </w:r>
      <w:r w:rsidRPr="00513D04">
        <w:t xml:space="preserve"> the cost</w:t>
      </w:r>
      <w:r w:rsidR="00827602">
        <w:noBreakHyphen/>
      </w:r>
      <w:r w:rsidRPr="00513D04">
        <w:t xml:space="preserve">effectiveness results for </w:t>
      </w:r>
      <w:r w:rsidR="00602BC5">
        <w:t>NEM 2.0</w:t>
      </w:r>
      <w:r w:rsidR="00135D55">
        <w:t xml:space="preserve"> </w:t>
      </w:r>
      <w:r w:rsidRPr="00513D04">
        <w:t>for each customer segment</w:t>
      </w:r>
      <w:r w:rsidRPr="00513D04" w:rsidR="00DD2EFD">
        <w:t xml:space="preserve"> in </w:t>
      </w:r>
      <w:r w:rsidR="007F6676">
        <w:t>Table 5</w:t>
      </w:r>
      <w:r w:rsidR="00827602">
        <w:noBreakHyphen/>
      </w:r>
      <w:r w:rsidRPr="00513D04" w:rsidR="00DD2EFD">
        <w:t xml:space="preserve">3 of the study, which </w:t>
      </w:r>
      <w:r w:rsidR="00966659">
        <w:t>is</w:t>
      </w:r>
      <w:r w:rsidRPr="00513D04" w:rsidR="00966659">
        <w:t xml:space="preserve"> </w:t>
      </w:r>
      <w:r w:rsidR="00966659">
        <w:t>provided below in</w:t>
      </w:r>
      <w:r w:rsidRPr="00513D04" w:rsidR="00DD2EFD">
        <w:t xml:space="preserve"> </w:t>
      </w:r>
      <w:r w:rsidR="007F6676">
        <w:t>Table 3</w:t>
      </w:r>
      <w:r w:rsidRPr="00513D04" w:rsidR="00DD2EFD">
        <w:t>.</w:t>
      </w:r>
    </w:p>
    <w:p w:rsidRPr="007334C8" w:rsidR="00DD2EFD" w:rsidP="004752BE" w:rsidRDefault="007F6676" w14:paraId="4EB66EDB" w14:textId="74DA9BCE">
      <w:pPr>
        <w:pStyle w:val="TableTitleBodyH085"/>
        <w:rPr>
          <w:b/>
          <w:bCs w:val="0"/>
        </w:rPr>
      </w:pPr>
      <w:bookmarkStart w:name="Table3" w:id="110"/>
      <w:r w:rsidRPr="004C27B6">
        <w:rPr>
          <w:b/>
        </w:rPr>
        <w:t>Table 3</w:t>
      </w:r>
      <w:r w:rsidRPr="004C27B6" w:rsidR="004752BE">
        <w:rPr>
          <w:b/>
          <w:bCs w:val="0"/>
        </w:rPr>
        <w:t>.</w:t>
      </w:r>
      <w:r w:rsidRPr="004C27B6" w:rsidR="00CF0DE3">
        <w:rPr>
          <w:b/>
          <w:bCs w:val="0"/>
        </w:rPr>
        <w:tab/>
      </w:r>
      <w:r w:rsidRPr="004C27B6" w:rsidR="00943FB5">
        <w:t>Lookback</w:t>
      </w:r>
      <w:r w:rsidR="00943FB5">
        <w:t xml:space="preserve"> Study Cost</w:t>
      </w:r>
      <w:r w:rsidR="00827602">
        <w:noBreakHyphen/>
      </w:r>
      <w:r w:rsidR="00943FB5">
        <w:t>Effectiveness Results</w:t>
      </w:r>
      <w:bookmarkEnd w:id="110"/>
    </w:p>
    <w:tbl>
      <w:tblPr>
        <w:tblW w:w="9360" w:type="dxa"/>
        <w:tblBorders>
          <w:insideH w:val="single" w:color="7F7F7F" w:sz="8" w:space="0"/>
          <w:insideV w:val="single" w:color="7F7F7F" w:sz="8" w:space="0"/>
        </w:tblBorders>
        <w:tblLayout w:type="fixed"/>
        <w:tblCellMar>
          <w:top w:w="58" w:type="dxa"/>
          <w:bottom w:w="58" w:type="dxa"/>
        </w:tblCellMar>
        <w:tblLook w:val="0000" w:firstRow="0" w:lastRow="0" w:firstColumn="0" w:lastColumn="0" w:noHBand="0" w:noVBand="0"/>
      </w:tblPr>
      <w:tblGrid>
        <w:gridCol w:w="1255"/>
        <w:gridCol w:w="2160"/>
        <w:gridCol w:w="1440"/>
        <w:gridCol w:w="1620"/>
        <w:gridCol w:w="1440"/>
        <w:gridCol w:w="1445"/>
      </w:tblGrid>
      <w:tr w:rsidRPr="003F076F" w:rsidR="007334C8" w:rsidTr="002E66DC" w14:paraId="77656BA3" w14:textId="77777777">
        <w:trPr>
          <w:cantSplit/>
          <w:tblHeader/>
        </w:trPr>
        <w:tc>
          <w:tcPr>
            <w:tcW w:w="1255" w:type="dxa"/>
            <w:vMerge w:val="restart"/>
            <w:tcBorders>
              <w:top w:val="single" w:color="auto" w:sz="4" w:space="0"/>
              <w:left w:val="single" w:color="auto" w:sz="4" w:space="0"/>
            </w:tcBorders>
            <w:vAlign w:val="bottom"/>
          </w:tcPr>
          <w:p w:rsidRPr="003F076F" w:rsidR="007334C8" w:rsidP="002E66DC" w:rsidRDefault="007334C8" w14:paraId="153A555D" w14:textId="77777777">
            <w:pPr>
              <w:pStyle w:val="TableHeadingFirstColumn"/>
              <w:keepLines w:val="0"/>
              <w:jc w:val="center"/>
              <w:rPr>
                <w:rFonts w:ascii="Book Antiqua" w:hAnsi="Book Antiqua"/>
                <w:sz w:val="24"/>
              </w:rPr>
            </w:pPr>
            <w:r w:rsidRPr="003F076F">
              <w:rPr>
                <w:rFonts w:ascii="Book Antiqua" w:hAnsi="Book Antiqua"/>
                <w:sz w:val="24"/>
              </w:rPr>
              <w:t>Utility</w:t>
            </w:r>
          </w:p>
        </w:tc>
        <w:tc>
          <w:tcPr>
            <w:tcW w:w="2160" w:type="dxa"/>
            <w:vMerge w:val="restart"/>
            <w:tcBorders>
              <w:top w:val="single" w:color="auto" w:sz="4" w:space="0"/>
            </w:tcBorders>
            <w:shd w:val="clear" w:color="auto" w:fill="auto"/>
            <w:vAlign w:val="bottom"/>
          </w:tcPr>
          <w:p w:rsidRPr="003F076F" w:rsidR="007334C8" w:rsidP="002E66DC" w:rsidRDefault="007334C8" w14:paraId="79E99138" w14:textId="77777777">
            <w:pPr>
              <w:pStyle w:val="TableHeadingFirstColumn"/>
              <w:keepLines w:val="0"/>
              <w:jc w:val="center"/>
              <w:rPr>
                <w:rFonts w:ascii="Book Antiqua" w:hAnsi="Book Antiqua"/>
                <w:sz w:val="24"/>
              </w:rPr>
            </w:pPr>
            <w:r w:rsidRPr="003F076F">
              <w:rPr>
                <w:rFonts w:ascii="Book Antiqua" w:hAnsi="Book Antiqua"/>
                <w:sz w:val="24"/>
              </w:rPr>
              <w:t>Customer Sector</w:t>
            </w:r>
          </w:p>
        </w:tc>
        <w:tc>
          <w:tcPr>
            <w:tcW w:w="5945" w:type="dxa"/>
            <w:gridSpan w:val="4"/>
            <w:tcBorders>
              <w:top w:val="single" w:color="auto" w:sz="4" w:space="0"/>
              <w:bottom w:val="single" w:color="7F7F7F" w:sz="8" w:space="0"/>
              <w:right w:val="single" w:color="auto" w:sz="4" w:space="0"/>
            </w:tcBorders>
            <w:shd w:val="clear" w:color="auto" w:fill="auto"/>
            <w:vAlign w:val="bottom"/>
          </w:tcPr>
          <w:p w:rsidRPr="003F076F" w:rsidR="007334C8" w:rsidP="002E66DC" w:rsidRDefault="007334C8" w14:paraId="107519A4" w14:textId="493D659D">
            <w:pPr>
              <w:pStyle w:val="TableHeading"/>
              <w:keepLines w:val="0"/>
              <w:rPr>
                <w:rFonts w:ascii="Book Antiqua" w:hAnsi="Book Antiqua"/>
                <w:sz w:val="24"/>
              </w:rPr>
            </w:pPr>
            <w:r w:rsidRPr="003F076F">
              <w:rPr>
                <w:rFonts w:ascii="Book Antiqua" w:hAnsi="Book Antiqua"/>
                <w:sz w:val="24"/>
              </w:rPr>
              <w:t>Weighted Average Benefit</w:t>
            </w:r>
            <w:r w:rsidR="00827602">
              <w:rPr>
                <w:rFonts w:ascii="Book Antiqua" w:hAnsi="Book Antiqua"/>
                <w:sz w:val="24"/>
              </w:rPr>
              <w:noBreakHyphen/>
            </w:r>
            <w:r w:rsidRPr="003F076F">
              <w:rPr>
                <w:rFonts w:ascii="Book Antiqua" w:hAnsi="Book Antiqua"/>
                <w:sz w:val="24"/>
              </w:rPr>
              <w:t>Cost Ratio</w:t>
            </w:r>
          </w:p>
        </w:tc>
      </w:tr>
      <w:tr w:rsidRPr="003F076F" w:rsidR="007334C8" w:rsidTr="002E66DC" w14:paraId="45D07285" w14:textId="77777777">
        <w:trPr>
          <w:cantSplit/>
          <w:tblHeader/>
        </w:trPr>
        <w:tc>
          <w:tcPr>
            <w:tcW w:w="1255" w:type="dxa"/>
            <w:vMerge/>
            <w:tcBorders>
              <w:left w:val="single" w:color="auto" w:sz="4" w:space="0"/>
              <w:bottom w:val="single" w:color="7F7F7F" w:sz="8" w:space="0"/>
            </w:tcBorders>
            <w:vAlign w:val="bottom"/>
          </w:tcPr>
          <w:p w:rsidRPr="003F076F" w:rsidR="007334C8" w:rsidP="002E66DC" w:rsidRDefault="007334C8" w14:paraId="08DF3BDD" w14:textId="77777777">
            <w:pPr>
              <w:pStyle w:val="TableHeadingFirstColumn"/>
              <w:keepLines w:val="0"/>
              <w:jc w:val="center"/>
              <w:rPr>
                <w:rFonts w:ascii="Book Antiqua" w:hAnsi="Book Antiqua"/>
                <w:sz w:val="24"/>
              </w:rPr>
            </w:pPr>
          </w:p>
        </w:tc>
        <w:tc>
          <w:tcPr>
            <w:tcW w:w="2160" w:type="dxa"/>
            <w:vMerge/>
            <w:tcBorders>
              <w:bottom w:val="single" w:color="7F7F7F" w:sz="8" w:space="0"/>
            </w:tcBorders>
            <w:shd w:val="clear" w:color="auto" w:fill="auto"/>
            <w:vAlign w:val="bottom"/>
          </w:tcPr>
          <w:p w:rsidRPr="003F076F" w:rsidR="007334C8" w:rsidP="002E66DC" w:rsidRDefault="007334C8" w14:paraId="77083345" w14:textId="77777777">
            <w:pPr>
              <w:pStyle w:val="TableHeadingFirstColumn"/>
              <w:keepLines w:val="0"/>
              <w:jc w:val="center"/>
              <w:rPr>
                <w:rFonts w:ascii="Book Antiqua" w:hAnsi="Book Antiqua"/>
                <w:sz w:val="24"/>
              </w:rPr>
            </w:pPr>
          </w:p>
        </w:tc>
        <w:tc>
          <w:tcPr>
            <w:tcW w:w="1440" w:type="dxa"/>
            <w:tcBorders>
              <w:top w:val="nil"/>
              <w:bottom w:val="single" w:color="7F7F7F" w:sz="8" w:space="0"/>
            </w:tcBorders>
            <w:shd w:val="clear" w:color="auto" w:fill="auto"/>
            <w:vAlign w:val="bottom"/>
          </w:tcPr>
          <w:p w:rsidRPr="003F076F" w:rsidR="007334C8" w:rsidP="002E66DC" w:rsidRDefault="007334C8" w14:paraId="10A3E1CB" w14:textId="77777777">
            <w:pPr>
              <w:pStyle w:val="TableHeading"/>
              <w:keepLines w:val="0"/>
              <w:rPr>
                <w:rFonts w:ascii="Book Antiqua" w:hAnsi="Book Antiqua"/>
                <w:sz w:val="24"/>
              </w:rPr>
            </w:pPr>
            <w:r w:rsidRPr="003F076F">
              <w:rPr>
                <w:rFonts w:ascii="Book Antiqua" w:hAnsi="Book Antiqua"/>
                <w:sz w:val="24"/>
              </w:rPr>
              <w:t>PCT</w:t>
            </w:r>
          </w:p>
        </w:tc>
        <w:tc>
          <w:tcPr>
            <w:tcW w:w="1620" w:type="dxa"/>
            <w:tcBorders>
              <w:top w:val="nil"/>
              <w:bottom w:val="single" w:color="7F7F7F" w:sz="8" w:space="0"/>
            </w:tcBorders>
            <w:shd w:val="clear" w:color="auto" w:fill="auto"/>
            <w:vAlign w:val="bottom"/>
          </w:tcPr>
          <w:p w:rsidRPr="003F076F" w:rsidR="007334C8" w:rsidP="002E66DC" w:rsidRDefault="007334C8" w14:paraId="7A19E8CE" w14:textId="77777777">
            <w:pPr>
              <w:pStyle w:val="TableHeading"/>
              <w:keepLines w:val="0"/>
              <w:rPr>
                <w:rFonts w:ascii="Book Antiqua" w:hAnsi="Book Antiqua"/>
                <w:sz w:val="24"/>
              </w:rPr>
            </w:pPr>
            <w:proofErr w:type="spellStart"/>
            <w:r w:rsidRPr="003F076F">
              <w:rPr>
                <w:rFonts w:ascii="Book Antiqua" w:hAnsi="Book Antiqua"/>
                <w:sz w:val="24"/>
              </w:rPr>
              <w:t>TRC</w:t>
            </w:r>
            <w:proofErr w:type="spellEnd"/>
          </w:p>
        </w:tc>
        <w:tc>
          <w:tcPr>
            <w:tcW w:w="1440" w:type="dxa"/>
            <w:tcBorders>
              <w:top w:val="nil"/>
              <w:bottom w:val="single" w:color="7F7F7F" w:sz="8" w:space="0"/>
            </w:tcBorders>
            <w:shd w:val="clear" w:color="auto" w:fill="auto"/>
            <w:vAlign w:val="bottom"/>
          </w:tcPr>
          <w:p w:rsidRPr="003F076F" w:rsidR="007334C8" w:rsidP="002E66DC" w:rsidRDefault="007334C8" w14:paraId="4F0532A7" w14:textId="77777777">
            <w:pPr>
              <w:pStyle w:val="TableHeading"/>
              <w:keepLines w:val="0"/>
              <w:rPr>
                <w:rFonts w:ascii="Book Antiqua" w:hAnsi="Book Antiqua"/>
                <w:sz w:val="24"/>
              </w:rPr>
            </w:pPr>
            <w:r w:rsidRPr="003F076F">
              <w:rPr>
                <w:rFonts w:ascii="Book Antiqua" w:hAnsi="Book Antiqua"/>
                <w:sz w:val="24"/>
              </w:rPr>
              <w:t>RIM</w:t>
            </w:r>
          </w:p>
        </w:tc>
        <w:tc>
          <w:tcPr>
            <w:tcW w:w="1445" w:type="dxa"/>
            <w:tcBorders>
              <w:top w:val="nil"/>
              <w:bottom w:val="single" w:color="7F7F7F" w:sz="8" w:space="0"/>
              <w:right w:val="single" w:color="auto" w:sz="4" w:space="0"/>
            </w:tcBorders>
            <w:shd w:val="clear" w:color="auto" w:fill="auto"/>
            <w:vAlign w:val="bottom"/>
          </w:tcPr>
          <w:p w:rsidRPr="003F076F" w:rsidR="007334C8" w:rsidP="002E66DC" w:rsidRDefault="007334C8" w14:paraId="15750869" w14:textId="77777777">
            <w:pPr>
              <w:pStyle w:val="TableHeading"/>
              <w:keepLines w:val="0"/>
              <w:rPr>
                <w:rFonts w:ascii="Book Antiqua" w:hAnsi="Book Antiqua"/>
                <w:sz w:val="24"/>
              </w:rPr>
            </w:pPr>
            <w:r w:rsidRPr="003F076F">
              <w:rPr>
                <w:rFonts w:ascii="Book Antiqua" w:hAnsi="Book Antiqua"/>
                <w:sz w:val="24"/>
              </w:rPr>
              <w:t>PA</w:t>
            </w:r>
          </w:p>
        </w:tc>
      </w:tr>
      <w:tr w:rsidRPr="003F076F" w:rsidR="007334C8" w:rsidTr="002E66DC" w14:paraId="688CEDD7" w14:textId="77777777">
        <w:trPr>
          <w:cantSplit/>
        </w:trPr>
        <w:tc>
          <w:tcPr>
            <w:tcW w:w="1255" w:type="dxa"/>
            <w:vMerge w:val="restart"/>
            <w:tcBorders>
              <w:top w:val="single" w:color="7F7F7F" w:sz="12" w:space="0"/>
              <w:left w:val="single" w:color="auto" w:sz="4" w:space="0"/>
            </w:tcBorders>
            <w:vAlign w:val="center"/>
          </w:tcPr>
          <w:p w:rsidRPr="003F076F" w:rsidR="007334C8" w:rsidP="002E66DC" w:rsidRDefault="007334C8" w14:paraId="68C63201" w14:textId="77777777">
            <w:pPr>
              <w:pStyle w:val="TableCellsFirstColumn"/>
              <w:keepNext/>
              <w:keepLines w:val="0"/>
              <w:rPr>
                <w:rFonts w:ascii="Book Antiqua" w:hAnsi="Book Antiqua"/>
                <w:sz w:val="24"/>
              </w:rPr>
            </w:pPr>
            <w:r w:rsidRPr="003F076F">
              <w:rPr>
                <w:rFonts w:ascii="Book Antiqua" w:hAnsi="Book Antiqua"/>
                <w:sz w:val="24"/>
              </w:rPr>
              <w:t>PG&amp;E</w:t>
            </w:r>
          </w:p>
        </w:tc>
        <w:tc>
          <w:tcPr>
            <w:tcW w:w="2160" w:type="dxa"/>
            <w:tcBorders>
              <w:top w:val="single" w:color="7F7F7F" w:sz="12" w:space="0"/>
            </w:tcBorders>
            <w:shd w:val="clear" w:color="auto" w:fill="auto"/>
            <w:vAlign w:val="center"/>
          </w:tcPr>
          <w:p w:rsidRPr="003F076F" w:rsidR="007334C8" w:rsidP="002E66DC" w:rsidRDefault="007334C8" w14:paraId="16793A77" w14:textId="77777777">
            <w:pPr>
              <w:pStyle w:val="TableCellsFirstColumn"/>
              <w:keepNext/>
              <w:keepLines w:val="0"/>
              <w:rPr>
                <w:rFonts w:ascii="Book Antiqua" w:hAnsi="Book Antiqua"/>
                <w:sz w:val="24"/>
              </w:rPr>
            </w:pPr>
            <w:r w:rsidRPr="003F076F">
              <w:rPr>
                <w:rFonts w:ascii="Book Antiqua" w:hAnsi="Book Antiqua"/>
                <w:sz w:val="24"/>
              </w:rPr>
              <w:t>Agriculture</w:t>
            </w:r>
          </w:p>
        </w:tc>
        <w:tc>
          <w:tcPr>
            <w:tcW w:w="1440" w:type="dxa"/>
            <w:tcBorders>
              <w:top w:val="single" w:color="7F7F7F" w:sz="12" w:space="0"/>
            </w:tcBorders>
            <w:shd w:val="clear" w:color="auto" w:fill="auto"/>
            <w:vAlign w:val="center"/>
          </w:tcPr>
          <w:p w:rsidRPr="003F076F" w:rsidR="007334C8" w:rsidP="002E66DC" w:rsidRDefault="007334C8" w14:paraId="43C4A280" w14:textId="77777777">
            <w:pPr>
              <w:pStyle w:val="TableCells"/>
              <w:keepNext/>
              <w:keepLines w:val="0"/>
              <w:rPr>
                <w:rFonts w:ascii="Book Antiqua" w:hAnsi="Book Antiqua"/>
                <w:sz w:val="24"/>
              </w:rPr>
            </w:pPr>
            <w:r w:rsidRPr="003F076F">
              <w:rPr>
                <w:rFonts w:ascii="Book Antiqua" w:hAnsi="Book Antiqua"/>
                <w:sz w:val="24"/>
              </w:rPr>
              <w:t>1.72</w:t>
            </w:r>
          </w:p>
        </w:tc>
        <w:tc>
          <w:tcPr>
            <w:tcW w:w="1620" w:type="dxa"/>
            <w:tcBorders>
              <w:top w:val="single" w:color="7F7F7F" w:sz="12" w:space="0"/>
            </w:tcBorders>
            <w:shd w:val="clear" w:color="auto" w:fill="auto"/>
            <w:vAlign w:val="center"/>
          </w:tcPr>
          <w:p w:rsidRPr="003F076F" w:rsidR="007334C8" w:rsidP="002E66DC" w:rsidRDefault="007334C8" w14:paraId="699AD5F9" w14:textId="77777777">
            <w:pPr>
              <w:pStyle w:val="TableCells"/>
              <w:keepNext/>
              <w:keepLines w:val="0"/>
              <w:rPr>
                <w:rFonts w:ascii="Book Antiqua" w:hAnsi="Book Antiqua"/>
                <w:sz w:val="24"/>
              </w:rPr>
            </w:pPr>
            <w:r w:rsidRPr="003F076F">
              <w:rPr>
                <w:rFonts w:ascii="Book Antiqua" w:hAnsi="Book Antiqua"/>
                <w:sz w:val="24"/>
              </w:rPr>
              <w:t>1.19</w:t>
            </w:r>
          </w:p>
        </w:tc>
        <w:tc>
          <w:tcPr>
            <w:tcW w:w="1440" w:type="dxa"/>
            <w:tcBorders>
              <w:top w:val="single" w:color="7F7F7F" w:sz="12" w:space="0"/>
            </w:tcBorders>
            <w:shd w:val="clear" w:color="auto" w:fill="auto"/>
            <w:vAlign w:val="center"/>
          </w:tcPr>
          <w:p w:rsidRPr="003F076F" w:rsidR="007334C8" w:rsidP="002E66DC" w:rsidRDefault="007334C8" w14:paraId="740FAA9D" w14:textId="77777777">
            <w:pPr>
              <w:pStyle w:val="TableCells"/>
              <w:keepNext/>
              <w:keepLines w:val="0"/>
              <w:rPr>
                <w:rFonts w:ascii="Book Antiqua" w:hAnsi="Book Antiqua"/>
                <w:sz w:val="24"/>
              </w:rPr>
            </w:pPr>
            <w:r w:rsidRPr="003F076F">
              <w:rPr>
                <w:rFonts w:ascii="Book Antiqua" w:hAnsi="Book Antiqua"/>
                <w:sz w:val="24"/>
              </w:rPr>
              <w:t>0.41</w:t>
            </w:r>
          </w:p>
        </w:tc>
        <w:tc>
          <w:tcPr>
            <w:tcW w:w="1445" w:type="dxa"/>
            <w:tcBorders>
              <w:top w:val="single" w:color="7F7F7F" w:sz="12" w:space="0"/>
              <w:right w:val="single" w:color="auto" w:sz="4" w:space="0"/>
            </w:tcBorders>
            <w:shd w:val="clear" w:color="auto" w:fill="auto"/>
            <w:vAlign w:val="center"/>
          </w:tcPr>
          <w:p w:rsidRPr="003F076F" w:rsidR="007334C8" w:rsidP="002E66DC" w:rsidRDefault="007334C8" w14:paraId="18113E3A" w14:textId="77777777">
            <w:pPr>
              <w:pStyle w:val="TableCells"/>
              <w:keepNext/>
              <w:keepLines w:val="0"/>
              <w:rPr>
                <w:rFonts w:ascii="Book Antiqua" w:hAnsi="Book Antiqua"/>
                <w:sz w:val="24"/>
              </w:rPr>
            </w:pPr>
            <w:r w:rsidRPr="003F076F">
              <w:rPr>
                <w:rFonts w:ascii="Book Antiqua" w:hAnsi="Book Antiqua"/>
                <w:sz w:val="24"/>
              </w:rPr>
              <w:t>590.70</w:t>
            </w:r>
          </w:p>
        </w:tc>
      </w:tr>
      <w:tr w:rsidRPr="003F076F" w:rsidR="007334C8" w:rsidTr="002E66DC" w14:paraId="73F7A393" w14:textId="77777777">
        <w:trPr>
          <w:cantSplit/>
        </w:trPr>
        <w:tc>
          <w:tcPr>
            <w:tcW w:w="1255" w:type="dxa"/>
            <w:vMerge/>
            <w:tcBorders>
              <w:left w:val="single" w:color="auto" w:sz="4" w:space="0"/>
            </w:tcBorders>
            <w:vAlign w:val="center"/>
          </w:tcPr>
          <w:p w:rsidRPr="003F076F" w:rsidR="007334C8" w:rsidP="005E7044" w:rsidRDefault="007334C8" w14:paraId="018D48D8" w14:textId="77777777">
            <w:pPr>
              <w:pStyle w:val="TableCellsFirstColumn"/>
              <w:keepLines w:val="0"/>
              <w:rPr>
                <w:rFonts w:ascii="Book Antiqua" w:hAnsi="Book Antiqua"/>
                <w:sz w:val="24"/>
              </w:rPr>
            </w:pPr>
          </w:p>
        </w:tc>
        <w:tc>
          <w:tcPr>
            <w:tcW w:w="2160" w:type="dxa"/>
            <w:tcBorders>
              <w:top w:val="single" w:color="7F7F7F" w:sz="12" w:space="0"/>
            </w:tcBorders>
            <w:shd w:val="clear" w:color="auto" w:fill="auto"/>
            <w:vAlign w:val="center"/>
          </w:tcPr>
          <w:p w:rsidRPr="003F076F" w:rsidR="007334C8" w:rsidP="005E7044" w:rsidRDefault="007334C8" w14:paraId="243043FD" w14:textId="77777777">
            <w:pPr>
              <w:pStyle w:val="TableCellsFirstColumn"/>
              <w:keepLines w:val="0"/>
              <w:rPr>
                <w:rFonts w:ascii="Book Antiqua" w:hAnsi="Book Antiqua"/>
                <w:sz w:val="24"/>
              </w:rPr>
            </w:pPr>
            <w:r w:rsidRPr="003F076F">
              <w:rPr>
                <w:rFonts w:ascii="Book Antiqua" w:hAnsi="Book Antiqua"/>
                <w:sz w:val="24"/>
              </w:rPr>
              <w:t>Commercial</w:t>
            </w:r>
          </w:p>
        </w:tc>
        <w:tc>
          <w:tcPr>
            <w:tcW w:w="1440" w:type="dxa"/>
            <w:tcBorders>
              <w:top w:val="single" w:color="7F7F7F" w:sz="12" w:space="0"/>
            </w:tcBorders>
            <w:shd w:val="clear" w:color="auto" w:fill="auto"/>
            <w:vAlign w:val="center"/>
          </w:tcPr>
          <w:p w:rsidRPr="003F076F" w:rsidR="007334C8" w:rsidP="005E7044" w:rsidRDefault="007334C8" w14:paraId="6AACF941" w14:textId="77777777">
            <w:pPr>
              <w:pStyle w:val="TableCells"/>
              <w:keepLines w:val="0"/>
              <w:rPr>
                <w:rFonts w:ascii="Book Antiqua" w:hAnsi="Book Antiqua"/>
                <w:sz w:val="24"/>
              </w:rPr>
            </w:pPr>
            <w:r w:rsidRPr="003F076F">
              <w:rPr>
                <w:rFonts w:ascii="Book Antiqua" w:hAnsi="Book Antiqua"/>
                <w:sz w:val="24"/>
              </w:rPr>
              <w:t>1.79</w:t>
            </w:r>
          </w:p>
        </w:tc>
        <w:tc>
          <w:tcPr>
            <w:tcW w:w="1620" w:type="dxa"/>
            <w:tcBorders>
              <w:top w:val="single" w:color="7F7F7F" w:sz="12" w:space="0"/>
            </w:tcBorders>
            <w:shd w:val="clear" w:color="auto" w:fill="auto"/>
            <w:vAlign w:val="center"/>
          </w:tcPr>
          <w:p w:rsidRPr="003F076F" w:rsidR="007334C8" w:rsidP="005E7044" w:rsidRDefault="007334C8" w14:paraId="08E32EBC" w14:textId="77777777">
            <w:pPr>
              <w:pStyle w:val="TableCells"/>
              <w:keepLines w:val="0"/>
              <w:rPr>
                <w:rFonts w:ascii="Book Antiqua" w:hAnsi="Book Antiqua"/>
                <w:sz w:val="24"/>
              </w:rPr>
            </w:pPr>
            <w:r w:rsidRPr="003F076F">
              <w:rPr>
                <w:rFonts w:ascii="Book Antiqua" w:hAnsi="Book Antiqua"/>
                <w:sz w:val="24"/>
              </w:rPr>
              <w:t>1.12</w:t>
            </w:r>
          </w:p>
        </w:tc>
        <w:tc>
          <w:tcPr>
            <w:tcW w:w="1440" w:type="dxa"/>
            <w:tcBorders>
              <w:top w:val="single" w:color="7F7F7F" w:sz="12" w:space="0"/>
            </w:tcBorders>
            <w:shd w:val="clear" w:color="auto" w:fill="auto"/>
            <w:vAlign w:val="center"/>
          </w:tcPr>
          <w:p w:rsidRPr="003F076F" w:rsidR="007334C8" w:rsidP="005E7044" w:rsidRDefault="007334C8" w14:paraId="0E84A4B0" w14:textId="77777777">
            <w:pPr>
              <w:pStyle w:val="TableCells"/>
              <w:keepLines w:val="0"/>
              <w:rPr>
                <w:rFonts w:ascii="Book Antiqua" w:hAnsi="Book Antiqua"/>
                <w:sz w:val="24"/>
              </w:rPr>
            </w:pPr>
            <w:r w:rsidRPr="003F076F">
              <w:rPr>
                <w:rFonts w:ascii="Book Antiqua" w:hAnsi="Book Antiqua"/>
                <w:sz w:val="24"/>
              </w:rPr>
              <w:t>0.37</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11AEA4DE" w14:textId="77777777">
            <w:pPr>
              <w:pStyle w:val="TableCells"/>
              <w:keepLines w:val="0"/>
              <w:rPr>
                <w:rFonts w:ascii="Book Antiqua" w:hAnsi="Book Antiqua"/>
                <w:sz w:val="24"/>
              </w:rPr>
            </w:pPr>
            <w:r w:rsidRPr="003F076F">
              <w:rPr>
                <w:rFonts w:ascii="Book Antiqua" w:hAnsi="Book Antiqua"/>
                <w:sz w:val="24"/>
              </w:rPr>
              <w:t>437.07</w:t>
            </w:r>
          </w:p>
        </w:tc>
      </w:tr>
      <w:tr w:rsidRPr="003F076F" w:rsidR="007334C8" w:rsidTr="002E66DC" w14:paraId="06AE133E" w14:textId="77777777">
        <w:trPr>
          <w:cantSplit/>
        </w:trPr>
        <w:tc>
          <w:tcPr>
            <w:tcW w:w="1255" w:type="dxa"/>
            <w:vMerge/>
            <w:tcBorders>
              <w:left w:val="single" w:color="auto" w:sz="4" w:space="0"/>
            </w:tcBorders>
            <w:vAlign w:val="center"/>
          </w:tcPr>
          <w:p w:rsidRPr="003F076F" w:rsidR="007334C8" w:rsidP="005E7044" w:rsidRDefault="007334C8" w14:paraId="7E4B30D0" w14:textId="77777777">
            <w:pPr>
              <w:pStyle w:val="TableCellsFirstColumn"/>
              <w:keepLines w:val="0"/>
              <w:rPr>
                <w:rFonts w:ascii="Book Antiqua" w:hAnsi="Book Antiqua"/>
                <w:sz w:val="24"/>
              </w:rPr>
            </w:pPr>
          </w:p>
        </w:tc>
        <w:tc>
          <w:tcPr>
            <w:tcW w:w="2160" w:type="dxa"/>
            <w:tcBorders>
              <w:top w:val="single" w:color="7F7F7F" w:sz="12" w:space="0"/>
            </w:tcBorders>
            <w:shd w:val="clear" w:color="auto" w:fill="auto"/>
            <w:vAlign w:val="center"/>
          </w:tcPr>
          <w:p w:rsidRPr="003F076F" w:rsidR="007334C8" w:rsidP="005E7044" w:rsidRDefault="007334C8" w14:paraId="259CA9DA" w14:textId="77777777">
            <w:pPr>
              <w:pStyle w:val="TableCellsFirstColumn"/>
              <w:keepLines w:val="0"/>
              <w:rPr>
                <w:rFonts w:ascii="Book Antiqua" w:hAnsi="Book Antiqua"/>
                <w:sz w:val="24"/>
              </w:rPr>
            </w:pPr>
            <w:r w:rsidRPr="003F076F">
              <w:rPr>
                <w:rFonts w:ascii="Book Antiqua" w:hAnsi="Book Antiqua"/>
                <w:sz w:val="24"/>
              </w:rPr>
              <w:t>Industrial</w:t>
            </w:r>
          </w:p>
        </w:tc>
        <w:tc>
          <w:tcPr>
            <w:tcW w:w="1440" w:type="dxa"/>
            <w:tcBorders>
              <w:top w:val="single" w:color="7F7F7F" w:sz="12" w:space="0"/>
            </w:tcBorders>
            <w:shd w:val="clear" w:color="auto" w:fill="auto"/>
            <w:vAlign w:val="center"/>
          </w:tcPr>
          <w:p w:rsidRPr="003F076F" w:rsidR="007334C8" w:rsidP="005E7044" w:rsidRDefault="007334C8" w14:paraId="062CE7A4" w14:textId="77777777">
            <w:pPr>
              <w:pStyle w:val="TableCells"/>
              <w:keepLines w:val="0"/>
              <w:rPr>
                <w:rFonts w:ascii="Book Antiqua" w:hAnsi="Book Antiqua"/>
                <w:sz w:val="24"/>
              </w:rPr>
            </w:pPr>
            <w:r w:rsidRPr="003F076F">
              <w:rPr>
                <w:rFonts w:ascii="Book Antiqua" w:hAnsi="Book Antiqua"/>
                <w:sz w:val="24"/>
              </w:rPr>
              <w:t>1.47</w:t>
            </w:r>
          </w:p>
        </w:tc>
        <w:tc>
          <w:tcPr>
            <w:tcW w:w="1620" w:type="dxa"/>
            <w:tcBorders>
              <w:top w:val="single" w:color="7F7F7F" w:sz="12" w:space="0"/>
            </w:tcBorders>
            <w:shd w:val="clear" w:color="auto" w:fill="auto"/>
            <w:vAlign w:val="center"/>
          </w:tcPr>
          <w:p w:rsidRPr="003F076F" w:rsidR="007334C8" w:rsidP="005E7044" w:rsidRDefault="007334C8" w14:paraId="03BF3115" w14:textId="77777777">
            <w:pPr>
              <w:pStyle w:val="TableCells"/>
              <w:keepLines w:val="0"/>
              <w:rPr>
                <w:rFonts w:ascii="Book Antiqua" w:hAnsi="Book Antiqua"/>
                <w:sz w:val="24"/>
              </w:rPr>
            </w:pPr>
            <w:r w:rsidRPr="003F076F">
              <w:rPr>
                <w:rFonts w:ascii="Book Antiqua" w:hAnsi="Book Antiqua"/>
                <w:sz w:val="24"/>
              </w:rPr>
              <w:t>1.17</w:t>
            </w:r>
          </w:p>
        </w:tc>
        <w:tc>
          <w:tcPr>
            <w:tcW w:w="1440" w:type="dxa"/>
            <w:tcBorders>
              <w:top w:val="single" w:color="7F7F7F" w:sz="12" w:space="0"/>
            </w:tcBorders>
            <w:shd w:val="clear" w:color="auto" w:fill="auto"/>
            <w:vAlign w:val="center"/>
          </w:tcPr>
          <w:p w:rsidRPr="003F076F" w:rsidR="007334C8" w:rsidP="005E7044" w:rsidRDefault="007334C8" w14:paraId="58CAB670" w14:textId="77777777">
            <w:pPr>
              <w:pStyle w:val="TableCells"/>
              <w:keepLines w:val="0"/>
              <w:rPr>
                <w:rFonts w:ascii="Book Antiqua" w:hAnsi="Book Antiqua"/>
                <w:sz w:val="24"/>
              </w:rPr>
            </w:pPr>
            <w:r w:rsidRPr="003F076F">
              <w:rPr>
                <w:rFonts w:ascii="Book Antiqua" w:hAnsi="Book Antiqua"/>
                <w:sz w:val="24"/>
              </w:rPr>
              <w:t>0.51</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73C5CF49" w14:textId="77777777">
            <w:pPr>
              <w:pStyle w:val="TableCells"/>
              <w:keepLines w:val="0"/>
              <w:rPr>
                <w:rFonts w:ascii="Book Antiqua" w:hAnsi="Book Antiqua"/>
                <w:sz w:val="24"/>
              </w:rPr>
            </w:pPr>
            <w:r w:rsidRPr="003F076F">
              <w:rPr>
                <w:rFonts w:ascii="Book Antiqua" w:hAnsi="Book Antiqua"/>
                <w:sz w:val="24"/>
              </w:rPr>
              <w:t>6,128.90</w:t>
            </w:r>
          </w:p>
        </w:tc>
      </w:tr>
      <w:tr w:rsidRPr="003F076F" w:rsidR="007334C8" w:rsidTr="002E66DC" w14:paraId="1A5B57CE" w14:textId="77777777">
        <w:trPr>
          <w:cantSplit/>
        </w:trPr>
        <w:tc>
          <w:tcPr>
            <w:tcW w:w="1255" w:type="dxa"/>
            <w:vMerge/>
            <w:tcBorders>
              <w:left w:val="single" w:color="auto" w:sz="4" w:space="0"/>
            </w:tcBorders>
            <w:vAlign w:val="center"/>
          </w:tcPr>
          <w:p w:rsidRPr="003F076F" w:rsidR="007334C8" w:rsidP="005E7044" w:rsidRDefault="007334C8" w14:paraId="5F24DE67" w14:textId="77777777">
            <w:pPr>
              <w:pStyle w:val="TableCellsFirstColumn"/>
              <w:keepLines w:val="0"/>
              <w:rPr>
                <w:rFonts w:ascii="Book Antiqua" w:hAnsi="Book Antiqua"/>
                <w:sz w:val="24"/>
              </w:rPr>
            </w:pPr>
          </w:p>
        </w:tc>
        <w:tc>
          <w:tcPr>
            <w:tcW w:w="2160" w:type="dxa"/>
            <w:tcBorders>
              <w:top w:val="single" w:color="7F7F7F" w:sz="12" w:space="0"/>
            </w:tcBorders>
            <w:shd w:val="clear" w:color="auto" w:fill="auto"/>
            <w:vAlign w:val="center"/>
          </w:tcPr>
          <w:p w:rsidRPr="003F076F" w:rsidR="007334C8" w:rsidP="005E7044" w:rsidRDefault="007334C8" w14:paraId="24750E0E" w14:textId="77777777">
            <w:pPr>
              <w:pStyle w:val="TableCellsFirstColumn"/>
              <w:keepLines w:val="0"/>
              <w:rPr>
                <w:rFonts w:ascii="Book Antiqua" w:hAnsi="Book Antiqua"/>
                <w:sz w:val="24"/>
              </w:rPr>
            </w:pPr>
            <w:r w:rsidRPr="003F076F">
              <w:rPr>
                <w:rFonts w:ascii="Book Antiqua" w:hAnsi="Book Antiqua"/>
                <w:sz w:val="24"/>
              </w:rPr>
              <w:t>Residential</w:t>
            </w:r>
          </w:p>
        </w:tc>
        <w:tc>
          <w:tcPr>
            <w:tcW w:w="1440" w:type="dxa"/>
            <w:tcBorders>
              <w:top w:val="single" w:color="7F7F7F" w:sz="12" w:space="0"/>
            </w:tcBorders>
            <w:shd w:val="clear" w:color="auto" w:fill="auto"/>
            <w:vAlign w:val="center"/>
          </w:tcPr>
          <w:p w:rsidRPr="003F076F" w:rsidR="007334C8" w:rsidP="005E7044" w:rsidRDefault="007334C8" w14:paraId="39A8F37F" w14:textId="77777777">
            <w:pPr>
              <w:pStyle w:val="TableCells"/>
              <w:keepLines w:val="0"/>
              <w:rPr>
                <w:rFonts w:ascii="Book Antiqua" w:hAnsi="Book Antiqua"/>
                <w:sz w:val="24"/>
              </w:rPr>
            </w:pPr>
            <w:r w:rsidRPr="003F076F">
              <w:rPr>
                <w:rFonts w:ascii="Book Antiqua" w:hAnsi="Book Antiqua"/>
                <w:sz w:val="24"/>
              </w:rPr>
              <w:t>1.83</w:t>
            </w:r>
          </w:p>
        </w:tc>
        <w:tc>
          <w:tcPr>
            <w:tcW w:w="1620" w:type="dxa"/>
            <w:tcBorders>
              <w:top w:val="single" w:color="7F7F7F" w:sz="12" w:space="0"/>
            </w:tcBorders>
            <w:shd w:val="clear" w:color="auto" w:fill="auto"/>
            <w:vAlign w:val="center"/>
          </w:tcPr>
          <w:p w:rsidRPr="003F076F" w:rsidR="007334C8" w:rsidP="005E7044" w:rsidRDefault="007334C8" w14:paraId="219222C2" w14:textId="77777777">
            <w:pPr>
              <w:pStyle w:val="TableCells"/>
              <w:keepLines w:val="0"/>
              <w:rPr>
                <w:rFonts w:ascii="Book Antiqua" w:hAnsi="Book Antiqua"/>
                <w:sz w:val="24"/>
              </w:rPr>
            </w:pPr>
            <w:r w:rsidRPr="003F076F">
              <w:rPr>
                <w:rFonts w:ascii="Book Antiqua" w:hAnsi="Book Antiqua"/>
                <w:sz w:val="24"/>
              </w:rPr>
              <w:t>0.69</w:t>
            </w:r>
          </w:p>
        </w:tc>
        <w:tc>
          <w:tcPr>
            <w:tcW w:w="1440" w:type="dxa"/>
            <w:tcBorders>
              <w:top w:val="single" w:color="7F7F7F" w:sz="12" w:space="0"/>
            </w:tcBorders>
            <w:shd w:val="clear" w:color="auto" w:fill="auto"/>
            <w:vAlign w:val="center"/>
          </w:tcPr>
          <w:p w:rsidRPr="003F076F" w:rsidR="007334C8" w:rsidP="005E7044" w:rsidRDefault="007334C8" w14:paraId="7E4C3B39" w14:textId="77777777">
            <w:pPr>
              <w:pStyle w:val="TableCells"/>
              <w:keepLines w:val="0"/>
              <w:rPr>
                <w:rFonts w:ascii="Book Antiqua" w:hAnsi="Book Antiqua"/>
                <w:sz w:val="24"/>
              </w:rPr>
            </w:pPr>
            <w:r w:rsidRPr="003F076F">
              <w:rPr>
                <w:rFonts w:ascii="Book Antiqua" w:hAnsi="Book Antiqua"/>
                <w:sz w:val="24"/>
              </w:rPr>
              <w:t>0.31</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4D88F63D" w14:textId="77777777">
            <w:pPr>
              <w:pStyle w:val="TableCells"/>
              <w:keepLines w:val="0"/>
              <w:rPr>
                <w:rFonts w:ascii="Book Antiqua" w:hAnsi="Book Antiqua"/>
                <w:sz w:val="24"/>
              </w:rPr>
            </w:pPr>
            <w:r w:rsidRPr="003F076F">
              <w:rPr>
                <w:rFonts w:ascii="Book Antiqua" w:hAnsi="Book Antiqua"/>
                <w:sz w:val="24"/>
              </w:rPr>
              <w:t>28.77</w:t>
            </w:r>
          </w:p>
        </w:tc>
      </w:tr>
      <w:tr w:rsidRPr="003F076F" w:rsidR="007334C8" w:rsidTr="002E66DC" w14:paraId="496AA574" w14:textId="77777777">
        <w:trPr>
          <w:cantSplit/>
        </w:trPr>
        <w:tc>
          <w:tcPr>
            <w:tcW w:w="1255" w:type="dxa"/>
            <w:vMerge w:val="restart"/>
            <w:tcBorders>
              <w:top w:val="single" w:color="7F7F7F" w:sz="12" w:space="0"/>
              <w:left w:val="single" w:color="auto" w:sz="4" w:space="0"/>
            </w:tcBorders>
            <w:vAlign w:val="center"/>
          </w:tcPr>
          <w:p w:rsidRPr="003F076F" w:rsidR="007334C8" w:rsidP="005E7044" w:rsidRDefault="007334C8" w14:paraId="3D4444EA" w14:textId="77777777">
            <w:pPr>
              <w:pStyle w:val="TableCellsFirstColumn"/>
              <w:keepLines w:val="0"/>
              <w:rPr>
                <w:rFonts w:ascii="Book Antiqua" w:hAnsi="Book Antiqua"/>
                <w:sz w:val="24"/>
              </w:rPr>
            </w:pPr>
            <w:r w:rsidRPr="003F076F">
              <w:rPr>
                <w:rFonts w:ascii="Book Antiqua" w:hAnsi="Book Antiqua"/>
                <w:sz w:val="24"/>
              </w:rPr>
              <w:t>SCE</w:t>
            </w:r>
          </w:p>
        </w:tc>
        <w:tc>
          <w:tcPr>
            <w:tcW w:w="2160" w:type="dxa"/>
            <w:tcBorders>
              <w:top w:val="single" w:color="7F7F7F" w:sz="12" w:space="0"/>
            </w:tcBorders>
            <w:shd w:val="clear" w:color="auto" w:fill="auto"/>
            <w:vAlign w:val="center"/>
          </w:tcPr>
          <w:p w:rsidRPr="003F076F" w:rsidR="007334C8" w:rsidP="005E7044" w:rsidRDefault="007334C8" w14:paraId="7F149EFE" w14:textId="77777777">
            <w:pPr>
              <w:pStyle w:val="TableCellsFirstColumn"/>
              <w:keepLines w:val="0"/>
              <w:rPr>
                <w:rFonts w:ascii="Book Antiqua" w:hAnsi="Book Antiqua"/>
                <w:sz w:val="24"/>
              </w:rPr>
            </w:pPr>
            <w:r w:rsidRPr="003F076F">
              <w:rPr>
                <w:rFonts w:ascii="Book Antiqua" w:hAnsi="Book Antiqua"/>
                <w:sz w:val="24"/>
              </w:rPr>
              <w:t>Agriculture</w:t>
            </w:r>
          </w:p>
        </w:tc>
        <w:tc>
          <w:tcPr>
            <w:tcW w:w="1440" w:type="dxa"/>
            <w:tcBorders>
              <w:top w:val="single" w:color="7F7F7F" w:sz="12" w:space="0"/>
            </w:tcBorders>
            <w:shd w:val="clear" w:color="auto" w:fill="auto"/>
            <w:vAlign w:val="center"/>
          </w:tcPr>
          <w:p w:rsidRPr="003F076F" w:rsidR="007334C8" w:rsidP="005E7044" w:rsidRDefault="007334C8" w14:paraId="55247C3F" w14:textId="77777777">
            <w:pPr>
              <w:pStyle w:val="TableCells"/>
              <w:keepLines w:val="0"/>
              <w:rPr>
                <w:rFonts w:ascii="Book Antiqua" w:hAnsi="Book Antiqua"/>
                <w:sz w:val="24"/>
              </w:rPr>
            </w:pPr>
            <w:r w:rsidRPr="003F076F">
              <w:rPr>
                <w:rFonts w:ascii="Book Antiqua" w:hAnsi="Book Antiqua"/>
                <w:sz w:val="24"/>
              </w:rPr>
              <w:t>1.23</w:t>
            </w:r>
          </w:p>
        </w:tc>
        <w:tc>
          <w:tcPr>
            <w:tcW w:w="1620" w:type="dxa"/>
            <w:tcBorders>
              <w:top w:val="single" w:color="7F7F7F" w:sz="12" w:space="0"/>
            </w:tcBorders>
            <w:shd w:val="clear" w:color="auto" w:fill="auto"/>
            <w:vAlign w:val="center"/>
          </w:tcPr>
          <w:p w:rsidRPr="003F076F" w:rsidR="007334C8" w:rsidP="005E7044" w:rsidRDefault="007334C8" w14:paraId="73BF4E08" w14:textId="77777777">
            <w:pPr>
              <w:pStyle w:val="TableCells"/>
              <w:keepLines w:val="0"/>
              <w:rPr>
                <w:rFonts w:ascii="Book Antiqua" w:hAnsi="Book Antiqua"/>
                <w:sz w:val="24"/>
              </w:rPr>
            </w:pPr>
            <w:r w:rsidRPr="003F076F">
              <w:rPr>
                <w:rFonts w:ascii="Book Antiqua" w:hAnsi="Book Antiqua"/>
                <w:sz w:val="24"/>
              </w:rPr>
              <w:t>1.43</w:t>
            </w:r>
          </w:p>
        </w:tc>
        <w:tc>
          <w:tcPr>
            <w:tcW w:w="1440" w:type="dxa"/>
            <w:tcBorders>
              <w:top w:val="single" w:color="7F7F7F" w:sz="12" w:space="0"/>
            </w:tcBorders>
            <w:shd w:val="clear" w:color="auto" w:fill="auto"/>
            <w:vAlign w:val="center"/>
          </w:tcPr>
          <w:p w:rsidRPr="003F076F" w:rsidR="007334C8" w:rsidP="005E7044" w:rsidRDefault="007334C8" w14:paraId="0D217E3F" w14:textId="77777777">
            <w:pPr>
              <w:pStyle w:val="TableCells"/>
              <w:keepLines w:val="0"/>
              <w:rPr>
                <w:rFonts w:ascii="Book Antiqua" w:hAnsi="Book Antiqua"/>
                <w:sz w:val="24"/>
              </w:rPr>
            </w:pPr>
            <w:r w:rsidRPr="003F076F">
              <w:rPr>
                <w:rFonts w:ascii="Book Antiqua" w:hAnsi="Book Antiqua"/>
                <w:sz w:val="24"/>
              </w:rPr>
              <w:t>0.85</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58F4FBBF" w14:textId="77777777">
            <w:pPr>
              <w:pStyle w:val="TableCells"/>
              <w:keepLines w:val="0"/>
              <w:rPr>
                <w:rFonts w:ascii="Book Antiqua" w:hAnsi="Book Antiqua"/>
                <w:sz w:val="24"/>
              </w:rPr>
            </w:pPr>
            <w:r w:rsidRPr="003F076F">
              <w:rPr>
                <w:rFonts w:ascii="Book Antiqua" w:hAnsi="Book Antiqua"/>
                <w:sz w:val="24"/>
              </w:rPr>
              <w:t>337.88</w:t>
            </w:r>
          </w:p>
        </w:tc>
      </w:tr>
      <w:tr w:rsidRPr="003F076F" w:rsidR="007334C8" w:rsidTr="002E66DC" w14:paraId="48E89C1A" w14:textId="77777777">
        <w:trPr>
          <w:cantSplit/>
        </w:trPr>
        <w:tc>
          <w:tcPr>
            <w:tcW w:w="1255" w:type="dxa"/>
            <w:vMerge/>
            <w:tcBorders>
              <w:left w:val="single" w:color="auto" w:sz="4" w:space="0"/>
            </w:tcBorders>
            <w:vAlign w:val="center"/>
          </w:tcPr>
          <w:p w:rsidRPr="003F076F" w:rsidR="007334C8" w:rsidP="005E7044" w:rsidRDefault="007334C8" w14:paraId="1B5A2F88" w14:textId="77777777">
            <w:pPr>
              <w:pStyle w:val="TableCellsFirstColumn"/>
              <w:keepLines w:val="0"/>
              <w:rPr>
                <w:rFonts w:ascii="Book Antiqua" w:hAnsi="Book Antiqua"/>
                <w:sz w:val="24"/>
              </w:rPr>
            </w:pPr>
          </w:p>
        </w:tc>
        <w:tc>
          <w:tcPr>
            <w:tcW w:w="2160" w:type="dxa"/>
            <w:tcBorders>
              <w:top w:val="single" w:color="7F7F7F" w:sz="12" w:space="0"/>
            </w:tcBorders>
            <w:shd w:val="clear" w:color="auto" w:fill="auto"/>
            <w:vAlign w:val="center"/>
          </w:tcPr>
          <w:p w:rsidRPr="003F076F" w:rsidR="007334C8" w:rsidP="005E7044" w:rsidRDefault="007334C8" w14:paraId="6DDE2675" w14:textId="77777777">
            <w:pPr>
              <w:pStyle w:val="TableCellsFirstColumn"/>
              <w:keepLines w:val="0"/>
              <w:rPr>
                <w:rFonts w:ascii="Book Antiqua" w:hAnsi="Book Antiqua"/>
                <w:sz w:val="24"/>
              </w:rPr>
            </w:pPr>
            <w:r w:rsidRPr="003F076F">
              <w:rPr>
                <w:rFonts w:ascii="Book Antiqua" w:hAnsi="Book Antiqua"/>
                <w:sz w:val="24"/>
              </w:rPr>
              <w:t>Commercial</w:t>
            </w:r>
          </w:p>
        </w:tc>
        <w:tc>
          <w:tcPr>
            <w:tcW w:w="1440" w:type="dxa"/>
            <w:tcBorders>
              <w:top w:val="single" w:color="7F7F7F" w:sz="12" w:space="0"/>
            </w:tcBorders>
            <w:shd w:val="clear" w:color="auto" w:fill="auto"/>
            <w:vAlign w:val="center"/>
          </w:tcPr>
          <w:p w:rsidRPr="003F076F" w:rsidR="007334C8" w:rsidP="005E7044" w:rsidRDefault="007334C8" w14:paraId="7E763D3A" w14:textId="77777777">
            <w:pPr>
              <w:pStyle w:val="TableCells"/>
              <w:keepLines w:val="0"/>
              <w:rPr>
                <w:rFonts w:ascii="Book Antiqua" w:hAnsi="Book Antiqua"/>
                <w:sz w:val="24"/>
              </w:rPr>
            </w:pPr>
            <w:r w:rsidRPr="003F076F">
              <w:rPr>
                <w:rFonts w:ascii="Book Antiqua" w:hAnsi="Book Antiqua"/>
                <w:sz w:val="24"/>
              </w:rPr>
              <w:t>1.32</w:t>
            </w:r>
          </w:p>
        </w:tc>
        <w:tc>
          <w:tcPr>
            <w:tcW w:w="1620" w:type="dxa"/>
            <w:tcBorders>
              <w:top w:val="single" w:color="7F7F7F" w:sz="12" w:space="0"/>
            </w:tcBorders>
            <w:shd w:val="clear" w:color="auto" w:fill="auto"/>
            <w:vAlign w:val="center"/>
          </w:tcPr>
          <w:p w:rsidRPr="003F076F" w:rsidR="007334C8" w:rsidP="005E7044" w:rsidRDefault="007334C8" w14:paraId="1917DB79" w14:textId="77777777">
            <w:pPr>
              <w:pStyle w:val="TableCells"/>
              <w:keepLines w:val="0"/>
              <w:rPr>
                <w:rFonts w:ascii="Book Antiqua" w:hAnsi="Book Antiqua"/>
                <w:sz w:val="24"/>
              </w:rPr>
            </w:pPr>
            <w:r w:rsidRPr="003F076F">
              <w:rPr>
                <w:rFonts w:ascii="Book Antiqua" w:hAnsi="Book Antiqua"/>
                <w:sz w:val="24"/>
              </w:rPr>
              <w:t>1.35</w:t>
            </w:r>
          </w:p>
        </w:tc>
        <w:tc>
          <w:tcPr>
            <w:tcW w:w="1440" w:type="dxa"/>
            <w:tcBorders>
              <w:top w:val="single" w:color="7F7F7F" w:sz="12" w:space="0"/>
            </w:tcBorders>
            <w:shd w:val="clear" w:color="auto" w:fill="auto"/>
            <w:vAlign w:val="center"/>
          </w:tcPr>
          <w:p w:rsidRPr="003F076F" w:rsidR="007334C8" w:rsidP="005E7044" w:rsidRDefault="007334C8" w14:paraId="434B7F1B" w14:textId="77777777">
            <w:pPr>
              <w:pStyle w:val="TableCells"/>
              <w:keepLines w:val="0"/>
              <w:rPr>
                <w:rFonts w:ascii="Book Antiqua" w:hAnsi="Book Antiqua"/>
                <w:sz w:val="24"/>
              </w:rPr>
            </w:pPr>
            <w:r w:rsidRPr="003F076F">
              <w:rPr>
                <w:rFonts w:ascii="Book Antiqua" w:hAnsi="Book Antiqua"/>
                <w:sz w:val="24"/>
              </w:rPr>
              <w:t>0.72</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425819F5" w14:textId="77777777">
            <w:pPr>
              <w:pStyle w:val="TableCells"/>
              <w:keepLines w:val="0"/>
              <w:rPr>
                <w:rFonts w:ascii="Book Antiqua" w:hAnsi="Book Antiqua"/>
                <w:sz w:val="24"/>
              </w:rPr>
            </w:pPr>
            <w:r w:rsidRPr="003F076F">
              <w:rPr>
                <w:rFonts w:ascii="Book Antiqua" w:hAnsi="Book Antiqua"/>
                <w:sz w:val="24"/>
              </w:rPr>
              <w:t>96.86</w:t>
            </w:r>
          </w:p>
        </w:tc>
      </w:tr>
      <w:tr w:rsidRPr="003F076F" w:rsidR="007334C8" w:rsidTr="002E66DC" w14:paraId="063DA020" w14:textId="77777777">
        <w:trPr>
          <w:cantSplit/>
        </w:trPr>
        <w:tc>
          <w:tcPr>
            <w:tcW w:w="1255" w:type="dxa"/>
            <w:vMerge/>
            <w:tcBorders>
              <w:left w:val="single" w:color="auto" w:sz="4" w:space="0"/>
            </w:tcBorders>
            <w:vAlign w:val="center"/>
          </w:tcPr>
          <w:p w:rsidRPr="003F076F" w:rsidR="007334C8" w:rsidP="005E7044" w:rsidRDefault="007334C8" w14:paraId="1EB971F5" w14:textId="77777777">
            <w:pPr>
              <w:pStyle w:val="TableCellsFirstColumn"/>
              <w:keepLines w:val="0"/>
              <w:rPr>
                <w:rFonts w:ascii="Book Antiqua" w:hAnsi="Book Antiqua"/>
                <w:sz w:val="24"/>
              </w:rPr>
            </w:pPr>
          </w:p>
        </w:tc>
        <w:tc>
          <w:tcPr>
            <w:tcW w:w="2160" w:type="dxa"/>
            <w:tcBorders>
              <w:top w:val="single" w:color="7F7F7F" w:sz="12" w:space="0"/>
            </w:tcBorders>
            <w:shd w:val="clear" w:color="auto" w:fill="auto"/>
            <w:vAlign w:val="center"/>
          </w:tcPr>
          <w:p w:rsidRPr="003F076F" w:rsidR="007334C8" w:rsidP="005E7044" w:rsidRDefault="007334C8" w14:paraId="4B5575AE" w14:textId="77777777">
            <w:pPr>
              <w:pStyle w:val="TableCellsFirstColumn"/>
              <w:keepLines w:val="0"/>
              <w:rPr>
                <w:rFonts w:ascii="Book Antiqua" w:hAnsi="Book Antiqua"/>
                <w:sz w:val="24"/>
              </w:rPr>
            </w:pPr>
            <w:r w:rsidRPr="003F076F">
              <w:rPr>
                <w:rFonts w:ascii="Book Antiqua" w:hAnsi="Book Antiqua"/>
                <w:sz w:val="24"/>
              </w:rPr>
              <w:t>Industrial</w:t>
            </w:r>
          </w:p>
        </w:tc>
        <w:tc>
          <w:tcPr>
            <w:tcW w:w="1440" w:type="dxa"/>
            <w:tcBorders>
              <w:top w:val="single" w:color="7F7F7F" w:sz="12" w:space="0"/>
            </w:tcBorders>
            <w:shd w:val="clear" w:color="auto" w:fill="auto"/>
            <w:vAlign w:val="center"/>
          </w:tcPr>
          <w:p w:rsidRPr="003F076F" w:rsidR="007334C8" w:rsidP="005E7044" w:rsidRDefault="007334C8" w14:paraId="28907E76" w14:textId="77777777">
            <w:pPr>
              <w:pStyle w:val="TableCells"/>
              <w:keepLines w:val="0"/>
              <w:rPr>
                <w:rFonts w:ascii="Book Antiqua" w:hAnsi="Book Antiqua"/>
                <w:sz w:val="24"/>
              </w:rPr>
            </w:pPr>
            <w:r w:rsidRPr="003F076F">
              <w:rPr>
                <w:rFonts w:ascii="Book Antiqua" w:hAnsi="Book Antiqua"/>
                <w:sz w:val="24"/>
              </w:rPr>
              <w:t>1.16</w:t>
            </w:r>
          </w:p>
        </w:tc>
        <w:tc>
          <w:tcPr>
            <w:tcW w:w="1620" w:type="dxa"/>
            <w:tcBorders>
              <w:top w:val="single" w:color="7F7F7F" w:sz="12" w:space="0"/>
            </w:tcBorders>
            <w:shd w:val="clear" w:color="auto" w:fill="auto"/>
            <w:vAlign w:val="center"/>
          </w:tcPr>
          <w:p w:rsidRPr="003F076F" w:rsidR="007334C8" w:rsidP="005E7044" w:rsidRDefault="007334C8" w14:paraId="4A503E12" w14:textId="77777777">
            <w:pPr>
              <w:pStyle w:val="TableCells"/>
              <w:keepLines w:val="0"/>
              <w:rPr>
                <w:rFonts w:ascii="Book Antiqua" w:hAnsi="Book Antiqua"/>
                <w:sz w:val="24"/>
              </w:rPr>
            </w:pPr>
            <w:r w:rsidRPr="003F076F">
              <w:rPr>
                <w:rFonts w:ascii="Book Antiqua" w:hAnsi="Book Antiqua"/>
                <w:sz w:val="24"/>
              </w:rPr>
              <w:t>1.34</w:t>
            </w:r>
          </w:p>
        </w:tc>
        <w:tc>
          <w:tcPr>
            <w:tcW w:w="1440" w:type="dxa"/>
            <w:tcBorders>
              <w:top w:val="single" w:color="7F7F7F" w:sz="12" w:space="0"/>
            </w:tcBorders>
            <w:shd w:val="clear" w:color="auto" w:fill="auto"/>
            <w:vAlign w:val="center"/>
          </w:tcPr>
          <w:p w:rsidRPr="003F076F" w:rsidR="007334C8" w:rsidP="005E7044" w:rsidRDefault="007334C8" w14:paraId="036A2424" w14:textId="77777777">
            <w:pPr>
              <w:pStyle w:val="TableCells"/>
              <w:keepLines w:val="0"/>
              <w:rPr>
                <w:rFonts w:ascii="Book Antiqua" w:hAnsi="Book Antiqua"/>
                <w:sz w:val="24"/>
              </w:rPr>
            </w:pPr>
            <w:r w:rsidRPr="003F076F">
              <w:rPr>
                <w:rFonts w:ascii="Book Antiqua" w:hAnsi="Book Antiqua"/>
                <w:sz w:val="24"/>
              </w:rPr>
              <w:t>0.87</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19F92643" w14:textId="77777777">
            <w:pPr>
              <w:pStyle w:val="TableCells"/>
              <w:keepLines w:val="0"/>
              <w:rPr>
                <w:rFonts w:ascii="Book Antiqua" w:hAnsi="Book Antiqua"/>
                <w:sz w:val="24"/>
              </w:rPr>
            </w:pPr>
            <w:r w:rsidRPr="003F076F">
              <w:rPr>
                <w:rFonts w:ascii="Book Antiqua" w:hAnsi="Book Antiqua"/>
                <w:sz w:val="24"/>
              </w:rPr>
              <w:t>880.11</w:t>
            </w:r>
          </w:p>
        </w:tc>
      </w:tr>
      <w:tr w:rsidRPr="003F076F" w:rsidR="007334C8" w:rsidTr="002E66DC" w14:paraId="323D1295" w14:textId="77777777">
        <w:trPr>
          <w:cantSplit/>
        </w:trPr>
        <w:tc>
          <w:tcPr>
            <w:tcW w:w="1255" w:type="dxa"/>
            <w:vMerge/>
            <w:tcBorders>
              <w:left w:val="single" w:color="auto" w:sz="4" w:space="0"/>
            </w:tcBorders>
            <w:vAlign w:val="center"/>
          </w:tcPr>
          <w:p w:rsidRPr="003F076F" w:rsidR="007334C8" w:rsidP="005E7044" w:rsidRDefault="007334C8" w14:paraId="05349F8E" w14:textId="77777777">
            <w:pPr>
              <w:pStyle w:val="TableCellsFirstColumn"/>
              <w:keepLines w:val="0"/>
              <w:rPr>
                <w:rFonts w:ascii="Book Antiqua" w:hAnsi="Book Antiqua"/>
                <w:sz w:val="24"/>
              </w:rPr>
            </w:pPr>
          </w:p>
        </w:tc>
        <w:tc>
          <w:tcPr>
            <w:tcW w:w="2160" w:type="dxa"/>
            <w:tcBorders>
              <w:top w:val="single" w:color="7F7F7F" w:sz="12" w:space="0"/>
            </w:tcBorders>
            <w:shd w:val="clear" w:color="auto" w:fill="auto"/>
            <w:vAlign w:val="center"/>
          </w:tcPr>
          <w:p w:rsidRPr="003F076F" w:rsidR="007334C8" w:rsidP="005E7044" w:rsidRDefault="007334C8" w14:paraId="4ED9B957" w14:textId="77777777">
            <w:pPr>
              <w:pStyle w:val="TableCellsFirstColumn"/>
              <w:keepLines w:val="0"/>
              <w:rPr>
                <w:rFonts w:ascii="Book Antiqua" w:hAnsi="Book Antiqua"/>
                <w:sz w:val="24"/>
              </w:rPr>
            </w:pPr>
            <w:r w:rsidRPr="003F076F">
              <w:rPr>
                <w:rFonts w:ascii="Book Antiqua" w:hAnsi="Book Antiqua"/>
                <w:sz w:val="24"/>
              </w:rPr>
              <w:t>Residential</w:t>
            </w:r>
          </w:p>
        </w:tc>
        <w:tc>
          <w:tcPr>
            <w:tcW w:w="1440" w:type="dxa"/>
            <w:tcBorders>
              <w:top w:val="single" w:color="7F7F7F" w:sz="12" w:space="0"/>
            </w:tcBorders>
            <w:shd w:val="clear" w:color="auto" w:fill="auto"/>
            <w:vAlign w:val="center"/>
          </w:tcPr>
          <w:p w:rsidRPr="003F076F" w:rsidR="007334C8" w:rsidP="005E7044" w:rsidRDefault="007334C8" w14:paraId="11A825A3" w14:textId="77777777">
            <w:pPr>
              <w:pStyle w:val="TableCells"/>
              <w:keepLines w:val="0"/>
              <w:rPr>
                <w:rFonts w:ascii="Book Antiqua" w:hAnsi="Book Antiqua"/>
                <w:sz w:val="24"/>
              </w:rPr>
            </w:pPr>
            <w:r w:rsidRPr="003F076F">
              <w:rPr>
                <w:rFonts w:ascii="Book Antiqua" w:hAnsi="Book Antiqua"/>
                <w:sz w:val="24"/>
              </w:rPr>
              <w:t>1.62</w:t>
            </w:r>
          </w:p>
        </w:tc>
        <w:tc>
          <w:tcPr>
            <w:tcW w:w="1620" w:type="dxa"/>
            <w:tcBorders>
              <w:top w:val="single" w:color="7F7F7F" w:sz="12" w:space="0"/>
            </w:tcBorders>
            <w:shd w:val="clear" w:color="auto" w:fill="auto"/>
            <w:vAlign w:val="center"/>
          </w:tcPr>
          <w:p w:rsidRPr="003F076F" w:rsidR="007334C8" w:rsidP="005E7044" w:rsidRDefault="007334C8" w14:paraId="7AB88852" w14:textId="77777777">
            <w:pPr>
              <w:pStyle w:val="TableCells"/>
              <w:keepLines w:val="0"/>
              <w:rPr>
                <w:rFonts w:ascii="Book Antiqua" w:hAnsi="Book Antiqua"/>
                <w:sz w:val="24"/>
              </w:rPr>
            </w:pPr>
            <w:r w:rsidRPr="003F076F">
              <w:rPr>
                <w:rFonts w:ascii="Book Antiqua" w:hAnsi="Book Antiqua"/>
                <w:sz w:val="24"/>
              </w:rPr>
              <w:t>0.80</w:t>
            </w:r>
          </w:p>
        </w:tc>
        <w:tc>
          <w:tcPr>
            <w:tcW w:w="1440" w:type="dxa"/>
            <w:tcBorders>
              <w:top w:val="single" w:color="7F7F7F" w:sz="12" w:space="0"/>
            </w:tcBorders>
            <w:shd w:val="clear" w:color="auto" w:fill="auto"/>
            <w:vAlign w:val="center"/>
          </w:tcPr>
          <w:p w:rsidRPr="003F076F" w:rsidR="007334C8" w:rsidP="005E7044" w:rsidRDefault="007334C8" w14:paraId="1452B524" w14:textId="77777777">
            <w:pPr>
              <w:pStyle w:val="TableCells"/>
              <w:keepLines w:val="0"/>
              <w:rPr>
                <w:rFonts w:ascii="Book Antiqua" w:hAnsi="Book Antiqua"/>
                <w:sz w:val="24"/>
              </w:rPr>
            </w:pPr>
            <w:r w:rsidRPr="003F076F">
              <w:rPr>
                <w:rFonts w:ascii="Book Antiqua" w:hAnsi="Book Antiqua"/>
                <w:sz w:val="24"/>
              </w:rPr>
              <w:t>0.43</w:t>
            </w:r>
          </w:p>
        </w:tc>
        <w:tc>
          <w:tcPr>
            <w:tcW w:w="1445" w:type="dxa"/>
            <w:tcBorders>
              <w:top w:val="single" w:color="7F7F7F" w:sz="12" w:space="0"/>
              <w:right w:val="single" w:color="auto" w:sz="4" w:space="0"/>
            </w:tcBorders>
            <w:shd w:val="clear" w:color="auto" w:fill="auto"/>
            <w:vAlign w:val="center"/>
          </w:tcPr>
          <w:p w:rsidRPr="003F076F" w:rsidR="007334C8" w:rsidP="005E7044" w:rsidRDefault="007334C8" w14:paraId="43FBE997" w14:textId="77777777">
            <w:pPr>
              <w:pStyle w:val="TableCells"/>
              <w:keepLines w:val="0"/>
              <w:rPr>
                <w:rFonts w:ascii="Book Antiqua" w:hAnsi="Book Antiqua"/>
                <w:sz w:val="24"/>
              </w:rPr>
            </w:pPr>
            <w:r w:rsidRPr="003F076F">
              <w:rPr>
                <w:rFonts w:ascii="Book Antiqua" w:hAnsi="Book Antiqua"/>
                <w:sz w:val="24"/>
              </w:rPr>
              <w:t>8.20</w:t>
            </w:r>
          </w:p>
        </w:tc>
      </w:tr>
      <w:tr w:rsidRPr="003F076F" w:rsidR="007334C8" w:rsidTr="002E66DC" w14:paraId="6E462E33" w14:textId="77777777">
        <w:trPr>
          <w:cantSplit/>
        </w:trPr>
        <w:tc>
          <w:tcPr>
            <w:tcW w:w="1255" w:type="dxa"/>
            <w:vMerge w:val="restart"/>
            <w:tcBorders>
              <w:top w:val="single" w:color="7F7F7F" w:sz="12" w:space="0"/>
              <w:left w:val="single" w:color="auto" w:sz="4" w:space="0"/>
            </w:tcBorders>
            <w:vAlign w:val="center"/>
          </w:tcPr>
          <w:p w:rsidRPr="003F076F" w:rsidR="007334C8" w:rsidP="002E66DC" w:rsidRDefault="007334C8" w14:paraId="6BFEB7F7" w14:textId="77777777">
            <w:pPr>
              <w:pStyle w:val="TableCellsFirstColumn"/>
              <w:keepNext/>
              <w:keepLines w:val="0"/>
              <w:rPr>
                <w:rFonts w:ascii="Book Antiqua" w:hAnsi="Book Antiqua"/>
                <w:sz w:val="24"/>
              </w:rPr>
            </w:pPr>
            <w:r w:rsidRPr="003F076F">
              <w:rPr>
                <w:rFonts w:ascii="Book Antiqua" w:hAnsi="Book Antiqua"/>
                <w:sz w:val="24"/>
              </w:rPr>
              <w:lastRenderedPageBreak/>
              <w:t>SDG&amp;E</w:t>
            </w:r>
          </w:p>
        </w:tc>
        <w:tc>
          <w:tcPr>
            <w:tcW w:w="2160" w:type="dxa"/>
            <w:tcBorders>
              <w:top w:val="single" w:color="7F7F7F" w:sz="12" w:space="0"/>
            </w:tcBorders>
            <w:shd w:val="clear" w:color="auto" w:fill="auto"/>
            <w:vAlign w:val="center"/>
          </w:tcPr>
          <w:p w:rsidRPr="003F076F" w:rsidR="007334C8" w:rsidP="002E66DC" w:rsidRDefault="007334C8" w14:paraId="25E476C4" w14:textId="77777777">
            <w:pPr>
              <w:pStyle w:val="TableCellsFirstColumn"/>
              <w:keepNext/>
              <w:keepLines w:val="0"/>
              <w:rPr>
                <w:rFonts w:ascii="Book Antiqua" w:hAnsi="Book Antiqua"/>
                <w:sz w:val="24"/>
              </w:rPr>
            </w:pPr>
            <w:r w:rsidRPr="003F076F">
              <w:rPr>
                <w:rFonts w:ascii="Book Antiqua" w:hAnsi="Book Antiqua"/>
                <w:sz w:val="24"/>
              </w:rPr>
              <w:t>Agriculture</w:t>
            </w:r>
          </w:p>
        </w:tc>
        <w:tc>
          <w:tcPr>
            <w:tcW w:w="1440" w:type="dxa"/>
            <w:tcBorders>
              <w:top w:val="single" w:color="7F7F7F" w:sz="12" w:space="0"/>
            </w:tcBorders>
            <w:shd w:val="clear" w:color="auto" w:fill="auto"/>
            <w:vAlign w:val="center"/>
          </w:tcPr>
          <w:p w:rsidRPr="003F076F" w:rsidR="007334C8" w:rsidP="002E66DC" w:rsidRDefault="007334C8" w14:paraId="48AD16BE" w14:textId="77777777">
            <w:pPr>
              <w:pStyle w:val="TableCells"/>
              <w:keepNext/>
              <w:keepLines w:val="0"/>
              <w:rPr>
                <w:rFonts w:ascii="Book Antiqua" w:hAnsi="Book Antiqua"/>
                <w:sz w:val="24"/>
              </w:rPr>
            </w:pPr>
            <w:r w:rsidRPr="003F076F">
              <w:rPr>
                <w:rFonts w:ascii="Book Antiqua" w:hAnsi="Book Antiqua"/>
                <w:sz w:val="24"/>
              </w:rPr>
              <w:t>1.51</w:t>
            </w:r>
          </w:p>
        </w:tc>
        <w:tc>
          <w:tcPr>
            <w:tcW w:w="1620" w:type="dxa"/>
            <w:tcBorders>
              <w:top w:val="single" w:color="7F7F7F" w:sz="12" w:space="0"/>
            </w:tcBorders>
            <w:shd w:val="clear" w:color="auto" w:fill="auto"/>
            <w:vAlign w:val="center"/>
          </w:tcPr>
          <w:p w:rsidRPr="003F076F" w:rsidR="007334C8" w:rsidP="002E66DC" w:rsidRDefault="007334C8" w14:paraId="334E5330" w14:textId="77777777">
            <w:pPr>
              <w:pStyle w:val="TableCells"/>
              <w:keepNext/>
              <w:keepLines w:val="0"/>
              <w:rPr>
                <w:rFonts w:ascii="Book Antiqua" w:hAnsi="Book Antiqua"/>
                <w:sz w:val="24"/>
              </w:rPr>
            </w:pPr>
            <w:r w:rsidRPr="003F076F">
              <w:rPr>
                <w:rFonts w:ascii="Book Antiqua" w:hAnsi="Book Antiqua"/>
                <w:sz w:val="24"/>
              </w:rPr>
              <w:t>1.25</w:t>
            </w:r>
          </w:p>
        </w:tc>
        <w:tc>
          <w:tcPr>
            <w:tcW w:w="1440" w:type="dxa"/>
            <w:tcBorders>
              <w:top w:val="single" w:color="7F7F7F" w:sz="12" w:space="0"/>
            </w:tcBorders>
            <w:shd w:val="clear" w:color="auto" w:fill="auto"/>
            <w:vAlign w:val="center"/>
          </w:tcPr>
          <w:p w:rsidRPr="003F076F" w:rsidR="007334C8" w:rsidP="002E66DC" w:rsidRDefault="007334C8" w14:paraId="5EDA1BF2" w14:textId="77777777">
            <w:pPr>
              <w:pStyle w:val="TableCells"/>
              <w:keepNext/>
              <w:keepLines w:val="0"/>
              <w:rPr>
                <w:rFonts w:ascii="Book Antiqua" w:hAnsi="Book Antiqua"/>
                <w:sz w:val="24"/>
              </w:rPr>
            </w:pPr>
            <w:r w:rsidRPr="003F076F">
              <w:rPr>
                <w:rFonts w:ascii="Book Antiqua" w:hAnsi="Book Antiqua"/>
                <w:sz w:val="24"/>
              </w:rPr>
              <w:t>0.53</w:t>
            </w:r>
          </w:p>
        </w:tc>
        <w:tc>
          <w:tcPr>
            <w:tcW w:w="1445" w:type="dxa"/>
            <w:tcBorders>
              <w:top w:val="single" w:color="7F7F7F" w:sz="12" w:space="0"/>
              <w:right w:val="single" w:color="auto" w:sz="4" w:space="0"/>
            </w:tcBorders>
            <w:shd w:val="clear" w:color="auto" w:fill="auto"/>
            <w:vAlign w:val="center"/>
          </w:tcPr>
          <w:p w:rsidRPr="003F076F" w:rsidR="007334C8" w:rsidP="002E66DC" w:rsidRDefault="007334C8" w14:paraId="706F0600" w14:textId="77777777">
            <w:pPr>
              <w:pStyle w:val="TableCells"/>
              <w:keepNext/>
              <w:keepLines w:val="0"/>
              <w:rPr>
                <w:rFonts w:ascii="Book Antiqua" w:hAnsi="Book Antiqua"/>
                <w:sz w:val="24"/>
              </w:rPr>
            </w:pPr>
            <w:r w:rsidRPr="003F076F">
              <w:rPr>
                <w:rFonts w:ascii="Book Antiqua" w:hAnsi="Book Antiqua"/>
                <w:sz w:val="24"/>
              </w:rPr>
              <w:t>821.47</w:t>
            </w:r>
          </w:p>
        </w:tc>
      </w:tr>
      <w:tr w:rsidRPr="003F076F" w:rsidR="007334C8" w:rsidTr="002E66DC" w14:paraId="3F6F06BC" w14:textId="77777777">
        <w:trPr>
          <w:cantSplit/>
        </w:trPr>
        <w:tc>
          <w:tcPr>
            <w:tcW w:w="1255" w:type="dxa"/>
            <w:vMerge/>
            <w:tcBorders>
              <w:left w:val="single" w:color="auto" w:sz="4" w:space="0"/>
            </w:tcBorders>
          </w:tcPr>
          <w:p w:rsidRPr="003F076F" w:rsidR="007334C8" w:rsidP="002E66DC" w:rsidRDefault="007334C8" w14:paraId="156752A4" w14:textId="77777777">
            <w:pPr>
              <w:pStyle w:val="TableCellsFirstColumn"/>
              <w:keepNext/>
              <w:keepLines w:val="0"/>
              <w:rPr>
                <w:rFonts w:ascii="Book Antiqua" w:hAnsi="Book Antiqua"/>
                <w:sz w:val="24"/>
              </w:rPr>
            </w:pPr>
          </w:p>
        </w:tc>
        <w:tc>
          <w:tcPr>
            <w:tcW w:w="2160" w:type="dxa"/>
            <w:shd w:val="clear" w:color="auto" w:fill="auto"/>
            <w:vAlign w:val="center"/>
          </w:tcPr>
          <w:p w:rsidRPr="003F076F" w:rsidR="007334C8" w:rsidP="002E66DC" w:rsidRDefault="007334C8" w14:paraId="37DA17A6" w14:textId="77777777">
            <w:pPr>
              <w:pStyle w:val="TableCellsFirstColumn"/>
              <w:keepNext/>
              <w:keepLines w:val="0"/>
              <w:rPr>
                <w:rFonts w:ascii="Book Antiqua" w:hAnsi="Book Antiqua"/>
                <w:sz w:val="24"/>
              </w:rPr>
            </w:pPr>
            <w:r w:rsidRPr="003F076F">
              <w:rPr>
                <w:rFonts w:ascii="Book Antiqua" w:hAnsi="Book Antiqua"/>
                <w:sz w:val="24"/>
              </w:rPr>
              <w:t>Commercial</w:t>
            </w:r>
          </w:p>
        </w:tc>
        <w:tc>
          <w:tcPr>
            <w:tcW w:w="1440" w:type="dxa"/>
            <w:shd w:val="clear" w:color="auto" w:fill="auto"/>
            <w:vAlign w:val="center"/>
          </w:tcPr>
          <w:p w:rsidRPr="003F076F" w:rsidR="007334C8" w:rsidP="002E66DC" w:rsidRDefault="007334C8" w14:paraId="44CA0C61" w14:textId="77777777">
            <w:pPr>
              <w:pStyle w:val="TableCells"/>
              <w:keepNext/>
              <w:keepLines w:val="0"/>
              <w:rPr>
                <w:rFonts w:ascii="Book Antiqua" w:hAnsi="Book Antiqua"/>
                <w:sz w:val="24"/>
              </w:rPr>
            </w:pPr>
            <w:r w:rsidRPr="003F076F">
              <w:rPr>
                <w:rFonts w:ascii="Book Antiqua" w:hAnsi="Book Antiqua"/>
                <w:sz w:val="24"/>
              </w:rPr>
              <w:t>1.87</w:t>
            </w:r>
          </w:p>
        </w:tc>
        <w:tc>
          <w:tcPr>
            <w:tcW w:w="1620" w:type="dxa"/>
            <w:shd w:val="clear" w:color="auto" w:fill="auto"/>
            <w:vAlign w:val="center"/>
          </w:tcPr>
          <w:p w:rsidRPr="003F076F" w:rsidR="007334C8" w:rsidP="002E66DC" w:rsidRDefault="007334C8" w14:paraId="1649AD3F" w14:textId="77777777">
            <w:pPr>
              <w:pStyle w:val="TableCells"/>
              <w:keepNext/>
              <w:keepLines w:val="0"/>
              <w:rPr>
                <w:rFonts w:ascii="Book Antiqua" w:hAnsi="Book Antiqua"/>
                <w:sz w:val="24"/>
              </w:rPr>
            </w:pPr>
            <w:r w:rsidRPr="003F076F">
              <w:rPr>
                <w:rFonts w:ascii="Book Antiqua" w:hAnsi="Book Antiqua"/>
                <w:sz w:val="24"/>
              </w:rPr>
              <w:t>1.18</w:t>
            </w:r>
          </w:p>
        </w:tc>
        <w:tc>
          <w:tcPr>
            <w:tcW w:w="1440" w:type="dxa"/>
            <w:shd w:val="clear" w:color="auto" w:fill="auto"/>
            <w:vAlign w:val="center"/>
          </w:tcPr>
          <w:p w:rsidRPr="003F076F" w:rsidR="007334C8" w:rsidP="002E66DC" w:rsidRDefault="007334C8" w14:paraId="238812B8" w14:textId="77777777">
            <w:pPr>
              <w:pStyle w:val="TableCells"/>
              <w:keepNext/>
              <w:keepLines w:val="0"/>
              <w:rPr>
                <w:rFonts w:ascii="Book Antiqua" w:hAnsi="Book Antiqua"/>
                <w:sz w:val="24"/>
              </w:rPr>
            </w:pPr>
            <w:r w:rsidRPr="003F076F">
              <w:rPr>
                <w:rFonts w:ascii="Book Antiqua" w:hAnsi="Book Antiqua"/>
                <w:sz w:val="24"/>
              </w:rPr>
              <w:t>0.37</w:t>
            </w:r>
          </w:p>
        </w:tc>
        <w:tc>
          <w:tcPr>
            <w:tcW w:w="1445" w:type="dxa"/>
            <w:tcBorders>
              <w:right w:val="single" w:color="auto" w:sz="4" w:space="0"/>
            </w:tcBorders>
            <w:shd w:val="clear" w:color="auto" w:fill="auto"/>
            <w:vAlign w:val="center"/>
          </w:tcPr>
          <w:p w:rsidRPr="003F076F" w:rsidR="007334C8" w:rsidP="002E66DC" w:rsidRDefault="007334C8" w14:paraId="3642E59A" w14:textId="77777777">
            <w:pPr>
              <w:pStyle w:val="TableCells"/>
              <w:keepNext/>
              <w:keepLines w:val="0"/>
              <w:rPr>
                <w:rFonts w:ascii="Book Antiqua" w:hAnsi="Book Antiqua"/>
                <w:sz w:val="24"/>
              </w:rPr>
            </w:pPr>
            <w:r w:rsidRPr="003F076F">
              <w:rPr>
                <w:rFonts w:ascii="Book Antiqua" w:hAnsi="Book Antiqua"/>
                <w:sz w:val="24"/>
              </w:rPr>
              <w:t>1,344.24</w:t>
            </w:r>
          </w:p>
        </w:tc>
      </w:tr>
      <w:tr w:rsidRPr="003F076F" w:rsidR="007334C8" w:rsidTr="002E66DC" w14:paraId="4F65E694" w14:textId="77777777">
        <w:trPr>
          <w:cantSplit/>
        </w:trPr>
        <w:tc>
          <w:tcPr>
            <w:tcW w:w="1255" w:type="dxa"/>
            <w:vMerge/>
            <w:tcBorders>
              <w:left w:val="single" w:color="auto" w:sz="4" w:space="0"/>
            </w:tcBorders>
          </w:tcPr>
          <w:p w:rsidRPr="003F076F" w:rsidR="007334C8" w:rsidP="002E66DC" w:rsidRDefault="007334C8" w14:paraId="21622035" w14:textId="77777777">
            <w:pPr>
              <w:pStyle w:val="TableCellsFirstColumn"/>
              <w:keepNext/>
              <w:keepLines w:val="0"/>
              <w:rPr>
                <w:rFonts w:ascii="Book Antiqua" w:hAnsi="Book Antiqua"/>
                <w:sz w:val="24"/>
              </w:rPr>
            </w:pPr>
          </w:p>
        </w:tc>
        <w:tc>
          <w:tcPr>
            <w:tcW w:w="2160" w:type="dxa"/>
            <w:shd w:val="clear" w:color="auto" w:fill="auto"/>
            <w:vAlign w:val="center"/>
          </w:tcPr>
          <w:p w:rsidRPr="003F076F" w:rsidR="007334C8" w:rsidP="002E66DC" w:rsidRDefault="007334C8" w14:paraId="4C7A56C9" w14:textId="77777777">
            <w:pPr>
              <w:pStyle w:val="TableCellsFirstColumn"/>
              <w:keepNext/>
              <w:keepLines w:val="0"/>
              <w:rPr>
                <w:rFonts w:ascii="Book Antiqua" w:hAnsi="Book Antiqua"/>
                <w:sz w:val="24"/>
              </w:rPr>
            </w:pPr>
            <w:r w:rsidRPr="003F076F">
              <w:rPr>
                <w:rFonts w:ascii="Book Antiqua" w:hAnsi="Book Antiqua"/>
                <w:sz w:val="24"/>
              </w:rPr>
              <w:t>Industrial</w:t>
            </w:r>
          </w:p>
        </w:tc>
        <w:tc>
          <w:tcPr>
            <w:tcW w:w="1440" w:type="dxa"/>
            <w:shd w:val="clear" w:color="auto" w:fill="auto"/>
            <w:vAlign w:val="center"/>
          </w:tcPr>
          <w:p w:rsidRPr="003F076F" w:rsidR="007334C8" w:rsidP="002E66DC" w:rsidRDefault="007334C8" w14:paraId="0C604C71" w14:textId="77777777">
            <w:pPr>
              <w:pStyle w:val="TableCells"/>
              <w:keepNext/>
              <w:keepLines w:val="0"/>
              <w:rPr>
                <w:rFonts w:ascii="Book Antiqua" w:hAnsi="Book Antiqua"/>
                <w:sz w:val="24"/>
              </w:rPr>
            </w:pPr>
            <w:r w:rsidRPr="003F076F">
              <w:rPr>
                <w:rFonts w:ascii="Book Antiqua" w:hAnsi="Book Antiqua"/>
                <w:sz w:val="24"/>
              </w:rPr>
              <w:t>1.57</w:t>
            </w:r>
          </w:p>
        </w:tc>
        <w:tc>
          <w:tcPr>
            <w:tcW w:w="1620" w:type="dxa"/>
            <w:shd w:val="clear" w:color="auto" w:fill="auto"/>
            <w:vAlign w:val="center"/>
          </w:tcPr>
          <w:p w:rsidRPr="003F076F" w:rsidR="007334C8" w:rsidP="002E66DC" w:rsidRDefault="007334C8" w14:paraId="65614259" w14:textId="77777777">
            <w:pPr>
              <w:pStyle w:val="TableCells"/>
              <w:keepNext/>
              <w:keepLines w:val="0"/>
              <w:rPr>
                <w:rFonts w:ascii="Book Antiqua" w:hAnsi="Book Antiqua"/>
                <w:sz w:val="24"/>
              </w:rPr>
            </w:pPr>
            <w:r w:rsidRPr="003F076F">
              <w:rPr>
                <w:rFonts w:ascii="Book Antiqua" w:hAnsi="Book Antiqua"/>
                <w:sz w:val="24"/>
              </w:rPr>
              <w:t>1.21</w:t>
            </w:r>
          </w:p>
        </w:tc>
        <w:tc>
          <w:tcPr>
            <w:tcW w:w="1440" w:type="dxa"/>
            <w:shd w:val="clear" w:color="auto" w:fill="auto"/>
            <w:vAlign w:val="center"/>
          </w:tcPr>
          <w:p w:rsidRPr="003F076F" w:rsidR="007334C8" w:rsidP="002E66DC" w:rsidRDefault="007334C8" w14:paraId="5F3B2C1E" w14:textId="77777777">
            <w:pPr>
              <w:pStyle w:val="TableCells"/>
              <w:keepNext/>
              <w:keepLines w:val="0"/>
              <w:rPr>
                <w:rFonts w:ascii="Book Antiqua" w:hAnsi="Book Antiqua"/>
                <w:sz w:val="24"/>
              </w:rPr>
            </w:pPr>
            <w:r w:rsidRPr="003F076F">
              <w:rPr>
                <w:rFonts w:ascii="Book Antiqua" w:hAnsi="Book Antiqua"/>
                <w:sz w:val="24"/>
              </w:rPr>
              <w:t>0.49</w:t>
            </w:r>
          </w:p>
        </w:tc>
        <w:tc>
          <w:tcPr>
            <w:tcW w:w="1445" w:type="dxa"/>
            <w:tcBorders>
              <w:right w:val="single" w:color="auto" w:sz="4" w:space="0"/>
            </w:tcBorders>
            <w:shd w:val="clear" w:color="auto" w:fill="auto"/>
            <w:vAlign w:val="center"/>
          </w:tcPr>
          <w:p w:rsidRPr="003F076F" w:rsidR="007334C8" w:rsidP="002E66DC" w:rsidRDefault="007334C8" w14:paraId="7C18684A" w14:textId="77777777">
            <w:pPr>
              <w:pStyle w:val="TableCells"/>
              <w:keepNext/>
              <w:keepLines w:val="0"/>
              <w:rPr>
                <w:rFonts w:ascii="Book Antiqua" w:hAnsi="Book Antiqua"/>
                <w:sz w:val="24"/>
              </w:rPr>
            </w:pPr>
            <w:r w:rsidRPr="003F076F">
              <w:rPr>
                <w:rFonts w:ascii="Book Antiqua" w:hAnsi="Book Antiqua"/>
                <w:sz w:val="24"/>
              </w:rPr>
              <w:t>16,696.43</w:t>
            </w:r>
          </w:p>
        </w:tc>
      </w:tr>
      <w:tr w:rsidRPr="003F076F" w:rsidR="007334C8" w:rsidTr="002E66DC" w14:paraId="2B5790AD" w14:textId="77777777">
        <w:trPr>
          <w:cantSplit/>
        </w:trPr>
        <w:tc>
          <w:tcPr>
            <w:tcW w:w="1255" w:type="dxa"/>
            <w:vMerge/>
            <w:tcBorders>
              <w:left w:val="single" w:color="auto" w:sz="4" w:space="0"/>
              <w:bottom w:val="single" w:color="auto" w:sz="4" w:space="0"/>
            </w:tcBorders>
          </w:tcPr>
          <w:p w:rsidRPr="003F076F" w:rsidR="007334C8" w:rsidP="005E7044" w:rsidRDefault="007334C8" w14:paraId="134B93CF" w14:textId="77777777">
            <w:pPr>
              <w:pStyle w:val="TableCellsFirstColumn"/>
              <w:keepLines w:val="0"/>
              <w:rPr>
                <w:rFonts w:ascii="Book Antiqua" w:hAnsi="Book Antiqua"/>
                <w:sz w:val="24"/>
              </w:rPr>
            </w:pPr>
          </w:p>
        </w:tc>
        <w:tc>
          <w:tcPr>
            <w:tcW w:w="2160" w:type="dxa"/>
            <w:tcBorders>
              <w:bottom w:val="single" w:color="auto" w:sz="4" w:space="0"/>
            </w:tcBorders>
            <w:shd w:val="clear" w:color="auto" w:fill="auto"/>
            <w:vAlign w:val="center"/>
          </w:tcPr>
          <w:p w:rsidRPr="003F076F" w:rsidR="007334C8" w:rsidP="005E7044" w:rsidRDefault="007334C8" w14:paraId="55723015" w14:textId="77777777">
            <w:pPr>
              <w:pStyle w:val="TableCellsFirstColumn"/>
              <w:keepLines w:val="0"/>
              <w:rPr>
                <w:rFonts w:ascii="Book Antiqua" w:hAnsi="Book Antiqua"/>
                <w:sz w:val="24"/>
              </w:rPr>
            </w:pPr>
            <w:r w:rsidRPr="003F076F">
              <w:rPr>
                <w:rFonts w:ascii="Book Antiqua" w:hAnsi="Book Antiqua"/>
                <w:sz w:val="24"/>
              </w:rPr>
              <w:t>Residential</w:t>
            </w:r>
          </w:p>
        </w:tc>
        <w:tc>
          <w:tcPr>
            <w:tcW w:w="1440" w:type="dxa"/>
            <w:tcBorders>
              <w:bottom w:val="single" w:color="auto" w:sz="4" w:space="0"/>
            </w:tcBorders>
            <w:shd w:val="clear" w:color="auto" w:fill="auto"/>
            <w:vAlign w:val="center"/>
          </w:tcPr>
          <w:p w:rsidRPr="003F076F" w:rsidR="007334C8" w:rsidP="005E7044" w:rsidRDefault="007334C8" w14:paraId="18AB8533" w14:textId="77777777">
            <w:pPr>
              <w:pStyle w:val="TableCells"/>
              <w:keepLines w:val="0"/>
              <w:rPr>
                <w:rFonts w:ascii="Book Antiqua" w:hAnsi="Book Antiqua"/>
                <w:sz w:val="24"/>
              </w:rPr>
            </w:pPr>
            <w:r w:rsidRPr="003F076F">
              <w:rPr>
                <w:rFonts w:ascii="Book Antiqua" w:hAnsi="Book Antiqua"/>
                <w:sz w:val="24"/>
              </w:rPr>
              <w:t>2.08</w:t>
            </w:r>
          </w:p>
        </w:tc>
        <w:tc>
          <w:tcPr>
            <w:tcW w:w="1620" w:type="dxa"/>
            <w:tcBorders>
              <w:bottom w:val="single" w:color="auto" w:sz="4" w:space="0"/>
            </w:tcBorders>
            <w:shd w:val="clear" w:color="auto" w:fill="auto"/>
            <w:vAlign w:val="center"/>
          </w:tcPr>
          <w:p w:rsidRPr="003F076F" w:rsidR="007334C8" w:rsidP="005E7044" w:rsidRDefault="007334C8" w14:paraId="0721BAC4" w14:textId="77777777">
            <w:pPr>
              <w:pStyle w:val="TableCells"/>
              <w:keepLines w:val="0"/>
              <w:rPr>
                <w:rFonts w:ascii="Book Antiqua" w:hAnsi="Book Antiqua"/>
                <w:sz w:val="24"/>
              </w:rPr>
            </w:pPr>
            <w:r w:rsidRPr="003F076F">
              <w:rPr>
                <w:rFonts w:ascii="Book Antiqua" w:hAnsi="Book Antiqua"/>
                <w:sz w:val="24"/>
              </w:rPr>
              <w:t>0.76</w:t>
            </w:r>
          </w:p>
        </w:tc>
        <w:tc>
          <w:tcPr>
            <w:tcW w:w="1440" w:type="dxa"/>
            <w:tcBorders>
              <w:bottom w:val="single" w:color="auto" w:sz="4" w:space="0"/>
            </w:tcBorders>
            <w:shd w:val="clear" w:color="auto" w:fill="auto"/>
            <w:vAlign w:val="center"/>
          </w:tcPr>
          <w:p w:rsidRPr="003F076F" w:rsidR="007334C8" w:rsidP="005E7044" w:rsidRDefault="007334C8" w14:paraId="34069E63" w14:textId="77777777">
            <w:pPr>
              <w:pStyle w:val="TableCells"/>
              <w:keepLines w:val="0"/>
              <w:rPr>
                <w:rFonts w:ascii="Book Antiqua" w:hAnsi="Book Antiqua"/>
                <w:sz w:val="24"/>
              </w:rPr>
            </w:pPr>
            <w:r w:rsidRPr="003F076F">
              <w:rPr>
                <w:rFonts w:ascii="Book Antiqua" w:hAnsi="Book Antiqua"/>
                <w:sz w:val="24"/>
              </w:rPr>
              <w:t>0.29</w:t>
            </w:r>
          </w:p>
        </w:tc>
        <w:tc>
          <w:tcPr>
            <w:tcW w:w="1445" w:type="dxa"/>
            <w:tcBorders>
              <w:bottom w:val="single" w:color="auto" w:sz="4" w:space="0"/>
              <w:right w:val="single" w:color="auto" w:sz="4" w:space="0"/>
            </w:tcBorders>
            <w:shd w:val="clear" w:color="auto" w:fill="auto"/>
            <w:vAlign w:val="center"/>
          </w:tcPr>
          <w:p w:rsidRPr="003F076F" w:rsidR="007334C8" w:rsidP="005E7044" w:rsidRDefault="007334C8" w14:paraId="7CF703BE" w14:textId="77777777">
            <w:pPr>
              <w:pStyle w:val="TableCells"/>
              <w:keepLines w:val="0"/>
              <w:rPr>
                <w:rFonts w:ascii="Book Antiqua" w:hAnsi="Book Antiqua"/>
                <w:sz w:val="24"/>
              </w:rPr>
            </w:pPr>
            <w:r w:rsidRPr="003F076F">
              <w:rPr>
                <w:rFonts w:ascii="Book Antiqua" w:hAnsi="Book Antiqua"/>
                <w:sz w:val="24"/>
              </w:rPr>
              <w:t>100.09</w:t>
            </w:r>
          </w:p>
        </w:tc>
      </w:tr>
    </w:tbl>
    <w:p w:rsidR="00943FB5" w:rsidP="00910053" w:rsidRDefault="00966659" w14:paraId="41FCF118" w14:textId="0819EAF2">
      <w:pPr>
        <w:pStyle w:val="Standard"/>
        <w:spacing w:before="180"/>
      </w:pPr>
      <w:r>
        <w:t>This</w:t>
      </w:r>
      <w:r w:rsidR="00F9127C">
        <w:t xml:space="preserve"> discussion </w:t>
      </w:r>
      <w:r>
        <w:t xml:space="preserve">first focuses </w:t>
      </w:r>
      <w:r w:rsidR="00F9127C">
        <w:t xml:space="preserve">on the nonresidential sectors of the </w:t>
      </w:r>
      <w:r w:rsidR="00602BC5">
        <w:t>NEM 2.0</w:t>
      </w:r>
      <w:r w:rsidR="00135D55">
        <w:t xml:space="preserve"> </w:t>
      </w:r>
      <w:r w:rsidR="00F9127C">
        <w:t xml:space="preserve">tariff.  </w:t>
      </w:r>
      <w:r w:rsidR="00B41F6A">
        <w:t>As previously discussed, PCF argues that because the cost</w:t>
      </w:r>
      <w:r w:rsidR="00827602">
        <w:noBreakHyphen/>
      </w:r>
      <w:r w:rsidR="00B41F6A">
        <w:t>effectiveness tests used in the Lookback Study were performed using the Avoided Cost Calculator, the results underestimate many of the concrete benefits of behind</w:t>
      </w:r>
      <w:r w:rsidR="00827602">
        <w:noBreakHyphen/>
      </w:r>
      <w:r w:rsidR="00B41F6A">
        <w:t>the</w:t>
      </w:r>
      <w:r w:rsidR="00827602">
        <w:noBreakHyphen/>
      </w:r>
      <w:r w:rsidR="00B41F6A">
        <w:t>meter generation, including greenhouse gas reductions, system resiliency</w:t>
      </w:r>
      <w:r w:rsidR="003A2E59">
        <w:t>,</w:t>
      </w:r>
      <w:r w:rsidR="00B41F6A">
        <w:t xml:space="preserve"> and reliability.</w:t>
      </w:r>
      <w:r w:rsidR="00B41F6A">
        <w:rPr>
          <w:rStyle w:val="FootnoteReference"/>
        </w:rPr>
        <w:footnoteReference w:id="68"/>
      </w:r>
      <w:r w:rsidR="00B41F6A">
        <w:t xml:space="preserve">  For the same reasons presented </w:t>
      </w:r>
      <w:r w:rsidR="004D58E3">
        <w:t xml:space="preserve">in </w:t>
      </w:r>
      <w:r w:rsidR="0034029C">
        <w:t>Section 8</w:t>
      </w:r>
      <w:r w:rsidR="004D58E3">
        <w:t xml:space="preserve">.1.1 </w:t>
      </w:r>
      <w:r w:rsidR="00B41F6A">
        <w:t xml:space="preserve">above, </w:t>
      </w:r>
      <w:r>
        <w:t xml:space="preserve">this decision </w:t>
      </w:r>
      <w:r w:rsidR="00B41F6A">
        <w:t>disagree</w:t>
      </w:r>
      <w:r>
        <w:t>s</w:t>
      </w:r>
      <w:r w:rsidR="00B41F6A">
        <w:t xml:space="preserve"> with PCF.</w:t>
      </w:r>
      <w:r w:rsidR="00943FB5">
        <w:t xml:space="preserve">  </w:t>
      </w:r>
      <w:bookmarkStart w:name="_Hlk88642610" w:id="111"/>
      <w:r w:rsidR="003F012D">
        <w:t>N</w:t>
      </w:r>
      <w:r w:rsidR="00B41F6A">
        <w:t xml:space="preserve">o other party disputes the </w:t>
      </w:r>
      <w:r w:rsidR="00387702">
        <w:t xml:space="preserve">PCT, RIM, and </w:t>
      </w:r>
      <w:proofErr w:type="spellStart"/>
      <w:r w:rsidR="00387702">
        <w:t>TRC</w:t>
      </w:r>
      <w:proofErr w:type="spellEnd"/>
      <w:r w:rsidR="00387702">
        <w:t xml:space="preserve"> </w:t>
      </w:r>
      <w:r w:rsidR="00B41F6A">
        <w:t>cost</w:t>
      </w:r>
      <w:r w:rsidR="00827602">
        <w:noBreakHyphen/>
      </w:r>
      <w:r w:rsidR="00B41F6A">
        <w:t>effectiveness results for the commercial, agricultural, and industrial sectors and</w:t>
      </w:r>
      <w:r>
        <w:t xml:space="preserve">, </w:t>
      </w:r>
      <w:r w:rsidR="007033E9">
        <w:t>since</w:t>
      </w:r>
      <w:r w:rsidR="00B41F6A">
        <w:t xml:space="preserve"> </w:t>
      </w:r>
      <w:r>
        <w:t xml:space="preserve">this decision </w:t>
      </w:r>
      <w:r w:rsidR="00B41F6A">
        <w:t>previously found the analys</w:t>
      </w:r>
      <w:r w:rsidR="004643E4">
        <w:t>i</w:t>
      </w:r>
      <w:r w:rsidR="00B41F6A">
        <w:t xml:space="preserve">s </w:t>
      </w:r>
      <w:r>
        <w:t>was</w:t>
      </w:r>
      <w:r w:rsidR="00B41F6A">
        <w:t xml:space="preserve"> </w:t>
      </w:r>
      <w:r w:rsidR="00EC76A7">
        <w:t>performed</w:t>
      </w:r>
      <w:r w:rsidR="00B41F6A">
        <w:t xml:space="preserve"> in compliance with Commission directives, it </w:t>
      </w:r>
      <w:r>
        <w:t xml:space="preserve">is </w:t>
      </w:r>
      <w:r w:rsidR="00B41F6A">
        <w:t xml:space="preserve">reasonable to </w:t>
      </w:r>
      <w:r w:rsidR="00DD5863">
        <w:t>affirm</w:t>
      </w:r>
      <w:r w:rsidR="00637A0B">
        <w:t xml:space="preserve"> </w:t>
      </w:r>
      <w:r w:rsidR="00B41F6A">
        <w:t>the cost</w:t>
      </w:r>
      <w:r w:rsidR="00827602">
        <w:noBreakHyphen/>
      </w:r>
      <w:r w:rsidR="00B41F6A">
        <w:t xml:space="preserve">effectiveness </w:t>
      </w:r>
      <w:r w:rsidR="00EC76A7">
        <w:t>results</w:t>
      </w:r>
      <w:r w:rsidR="00B41F6A">
        <w:t xml:space="preserve"> for the commercial, agricultural, and industrial sectors.</w:t>
      </w:r>
    </w:p>
    <w:p w:rsidR="00943FB5" w:rsidP="00943FB5" w:rsidRDefault="00943FB5" w14:paraId="0CB18676" w14:textId="0A263F2A">
      <w:pPr>
        <w:pStyle w:val="Standard"/>
      </w:pPr>
      <w:r>
        <w:t xml:space="preserve">Walmart asserts the Lookback Study’s </w:t>
      </w:r>
      <w:proofErr w:type="spellStart"/>
      <w:r>
        <w:t>TRC</w:t>
      </w:r>
      <w:proofErr w:type="spellEnd"/>
      <w:r>
        <w:t xml:space="preserve"> results for the commercial, industrial, and agricultural segments of the </w:t>
      </w:r>
      <w:r w:rsidR="00602BC5">
        <w:t>NEM 2.0</w:t>
      </w:r>
      <w:r>
        <w:t xml:space="preserve"> tariff show </w:t>
      </w:r>
      <w:r w:rsidR="00602BC5">
        <w:t>NEM 2.0</w:t>
      </w:r>
      <w:r>
        <w:t xml:space="preserve"> is cost</w:t>
      </w:r>
      <w:r w:rsidR="00827602">
        <w:noBreakHyphen/>
      </w:r>
      <w:r>
        <w:t>effective for these market segments.</w:t>
      </w:r>
      <w:r>
        <w:rPr>
          <w:rStyle w:val="FootnoteReference"/>
        </w:rPr>
        <w:footnoteReference w:id="69"/>
      </w:r>
      <w:r>
        <w:t xml:space="preserve">  Also concurring with the results, SEIA/Vote Solar submit commercial, agricultural, and industrial sectors generally pay rates that fully cover their costs.</w:t>
      </w:r>
      <w:r>
        <w:rPr>
          <w:rStyle w:val="FootnoteReference"/>
        </w:rPr>
        <w:footnoteReference w:id="70"/>
      </w:r>
      <w:r>
        <w:t xml:space="preserve"> This opinion is shared by </w:t>
      </w:r>
      <w:r>
        <w:lastRenderedPageBreak/>
        <w:t xml:space="preserve">Foundation </w:t>
      </w:r>
      <w:proofErr w:type="spellStart"/>
      <w:r>
        <w:t>Windpower</w:t>
      </w:r>
      <w:proofErr w:type="spellEnd"/>
      <w:r>
        <w:t>, Agricultural Energy Consumers Association, and California Farm Bureau Federation</w:t>
      </w:r>
      <w:r w:rsidR="009A399B">
        <w:t xml:space="preserve"> (Farm Bureau)</w:t>
      </w:r>
      <w:r>
        <w:t>.</w:t>
      </w:r>
      <w:r>
        <w:rPr>
          <w:rStyle w:val="FootnoteReference"/>
        </w:rPr>
        <w:footnoteReference w:id="71"/>
      </w:r>
      <w:r>
        <w:t xml:space="preserve">  </w:t>
      </w:r>
      <w:r w:rsidR="003F012D">
        <w:t>However, as discuss</w:t>
      </w:r>
      <w:r w:rsidR="00966659">
        <w:t>ed</w:t>
      </w:r>
      <w:r w:rsidR="001567E5">
        <w:t xml:space="preserve"> in </w:t>
      </w:r>
      <w:r w:rsidR="0034029C">
        <w:t>Section 8</w:t>
      </w:r>
      <w:r w:rsidR="001567E5">
        <w:t xml:space="preserve">.2.2 below, results of all three Standard Practice Manual tests </w:t>
      </w:r>
      <w:r w:rsidR="00966659">
        <w:t xml:space="preserve">should be considered </w:t>
      </w:r>
      <w:r w:rsidR="001567E5">
        <w:t>when determining the cost</w:t>
      </w:r>
      <w:r w:rsidR="00827602">
        <w:noBreakHyphen/>
      </w:r>
      <w:r w:rsidR="001567E5">
        <w:t>effectiveness of a resource.</w:t>
      </w:r>
    </w:p>
    <w:p w:rsidR="000B0D69" w:rsidP="00943FB5" w:rsidRDefault="00943FB5" w14:paraId="12991201" w14:textId="0A9DD892">
      <w:pPr>
        <w:pStyle w:val="Standard"/>
      </w:pPr>
      <w:r>
        <w:t>W</w:t>
      </w:r>
      <w:r w:rsidR="001567E5">
        <w:t xml:space="preserve">hile </w:t>
      </w:r>
      <w:r w:rsidR="00DD5863">
        <w:t xml:space="preserve">the Lookback Study found commercial, agricultural, and industrial sectors of the </w:t>
      </w:r>
      <w:r w:rsidR="00602BC5">
        <w:t>NEM 2.0</w:t>
      </w:r>
      <w:r w:rsidR="00135D55">
        <w:t xml:space="preserve"> </w:t>
      </w:r>
      <w:r w:rsidR="00DD5863">
        <w:t xml:space="preserve">tariff had </w:t>
      </w:r>
      <w:proofErr w:type="spellStart"/>
      <w:r w:rsidR="00DD5863">
        <w:t>TRC</w:t>
      </w:r>
      <w:proofErr w:type="spellEnd"/>
      <w:r w:rsidR="00DD5863">
        <w:t xml:space="preserve"> and PCT results of 1.0 or better, the results of the RIM test</w:t>
      </w:r>
      <w:r w:rsidR="00637A0B">
        <w:t>, which fared poorly,</w:t>
      </w:r>
      <w:r w:rsidR="00DD5863">
        <w:t xml:space="preserve"> should also be considered.</w:t>
      </w:r>
      <w:r w:rsidR="00412015">
        <w:rPr>
          <w:rStyle w:val="FootnoteReference"/>
        </w:rPr>
        <w:footnoteReference w:id="72"/>
      </w:r>
      <w:r w:rsidR="00387702">
        <w:t xml:space="preserve">  </w:t>
      </w:r>
      <w:r w:rsidR="000D504F">
        <w:t>The RIM test is useful for examining whether disproportionate impacts occur on non</w:t>
      </w:r>
      <w:r w:rsidR="00827602">
        <w:noBreakHyphen/>
      </w:r>
      <w:r w:rsidR="000D504F">
        <w:t>participants, as part of complying with the statute’s requirements to ensure benefits approximately equal costs to all customers</w:t>
      </w:r>
      <w:r w:rsidR="007F17CF">
        <w:t xml:space="preserve">; such an </w:t>
      </w:r>
      <w:r w:rsidR="000D504F">
        <w:t xml:space="preserve">examination cannot be conducted with the </w:t>
      </w:r>
      <w:proofErr w:type="spellStart"/>
      <w:r w:rsidR="000D504F">
        <w:t>TRC</w:t>
      </w:r>
      <w:proofErr w:type="spellEnd"/>
      <w:r w:rsidR="000D504F">
        <w:t xml:space="preserve"> test.  </w:t>
      </w:r>
      <w:r w:rsidR="007F17CF">
        <w:t xml:space="preserve">Thus, the Commission should place more weight on the results of the RIM test.  </w:t>
      </w:r>
      <w:r w:rsidR="00387702">
        <w:t xml:space="preserve">Further, </w:t>
      </w:r>
      <w:r w:rsidR="00136910">
        <w:t xml:space="preserve">Joint Utilities assert </w:t>
      </w:r>
      <w:r w:rsidR="00387702">
        <w:t>th</w:t>
      </w:r>
      <w:r w:rsidR="00136910">
        <w:t xml:space="preserve">at using the </w:t>
      </w:r>
      <w:r w:rsidR="00AC424B">
        <w:t>2021 Avoided</w:t>
      </w:r>
      <w:r w:rsidR="00136910">
        <w:t xml:space="preserve"> Cost Calculator, instead of the inaccurate 2020 Avoided Cost Calculator, would result in lower RIM results.</w:t>
      </w:r>
      <w:r w:rsidRPr="00C07F03" w:rsidR="00C07F03">
        <w:rPr>
          <w:rStyle w:val="FootnoteReference"/>
        </w:rPr>
        <w:t xml:space="preserve"> </w:t>
      </w:r>
      <w:r w:rsidR="00C07F03">
        <w:rPr>
          <w:rStyle w:val="FootnoteReference"/>
        </w:rPr>
        <w:footnoteReference w:id="73"/>
      </w:r>
      <w:r w:rsidR="00A11EA4">
        <w:t xml:space="preserve">  Thus, the nonresidential sectors of the </w:t>
      </w:r>
      <w:r w:rsidR="00602BC5">
        <w:t>NEM 2.0</w:t>
      </w:r>
      <w:r w:rsidR="00135D55">
        <w:t xml:space="preserve"> </w:t>
      </w:r>
      <w:r w:rsidR="00A11EA4">
        <w:t xml:space="preserve">tariff </w:t>
      </w:r>
      <w:r w:rsidR="0028345B">
        <w:t>are</w:t>
      </w:r>
      <w:r w:rsidR="00966659">
        <w:t xml:space="preserve"> not</w:t>
      </w:r>
      <w:r w:rsidR="00A11EA4">
        <w:t xml:space="preserve"> cost</w:t>
      </w:r>
      <w:r w:rsidR="00827602">
        <w:noBreakHyphen/>
      </w:r>
      <w:r w:rsidR="00A11EA4">
        <w:t>effective.</w:t>
      </w:r>
    </w:p>
    <w:bookmarkEnd w:id="111"/>
    <w:p w:rsidR="00A24908" w:rsidP="00982047" w:rsidRDefault="007D7B76" w14:paraId="07892D89" w14:textId="3FCE1967">
      <w:pPr>
        <w:pStyle w:val="Standard"/>
      </w:pPr>
      <w:r>
        <w:t xml:space="preserve">With respect to the residential customer sector for </w:t>
      </w:r>
      <w:r w:rsidR="00602BC5">
        <w:t>NEM 2.0</w:t>
      </w:r>
      <w:r>
        <w:t xml:space="preserve">, </w:t>
      </w:r>
      <w:r w:rsidR="00B0609D">
        <w:t xml:space="preserve">Joint Utilities support the </w:t>
      </w:r>
      <w:r w:rsidR="003D2162">
        <w:t>Lookback Study</w:t>
      </w:r>
      <w:r w:rsidR="003A2E59">
        <w:t>’s</w:t>
      </w:r>
      <w:r w:rsidR="003D2162">
        <w:t xml:space="preserve"> </w:t>
      </w:r>
      <w:r w:rsidR="00B0609D">
        <w:t xml:space="preserve">finding that </w:t>
      </w:r>
      <w:r w:rsidR="00602BC5">
        <w:t>NEM 2.0</w:t>
      </w:r>
      <w:r w:rsidR="00135D55">
        <w:t xml:space="preserve"> </w:t>
      </w:r>
      <w:r w:rsidR="00B0609D">
        <w:t>is not cost</w:t>
      </w:r>
      <w:r w:rsidR="00827602">
        <w:noBreakHyphen/>
      </w:r>
      <w:r w:rsidR="00B0609D">
        <w:t>effective for non</w:t>
      </w:r>
      <w:r w:rsidR="00827602">
        <w:noBreakHyphen/>
      </w:r>
      <w:r w:rsidR="00B0609D">
        <w:t xml:space="preserve">participants and </w:t>
      </w:r>
      <w:r w:rsidR="00BA1EAE">
        <w:t>“</w:t>
      </w:r>
      <w:r w:rsidR="00B0609D">
        <w:t>demonstrates a wealth transfer from lower</w:t>
      </w:r>
      <w:r w:rsidR="00827602">
        <w:noBreakHyphen/>
      </w:r>
      <w:r w:rsidR="00B0609D">
        <w:t>income to higher</w:t>
      </w:r>
      <w:r w:rsidR="00827602">
        <w:noBreakHyphen/>
      </w:r>
      <w:r w:rsidR="00B0609D">
        <w:t xml:space="preserve">income </w:t>
      </w:r>
      <w:r w:rsidRPr="00476870" w:rsidR="00B0609D">
        <w:t>customers.</w:t>
      </w:r>
      <w:r w:rsidR="00BA1EAE">
        <w:t>”</w:t>
      </w:r>
      <w:r w:rsidRPr="00476870" w:rsidR="00B0609D">
        <w:rPr>
          <w:rStyle w:val="FootnoteReference"/>
        </w:rPr>
        <w:footnoteReference w:id="74"/>
      </w:r>
      <w:r w:rsidRPr="00476870" w:rsidR="00106D4C">
        <w:t xml:space="preserve">  (</w:t>
      </w:r>
      <w:r w:rsidR="00966659">
        <w:t>T</w:t>
      </w:r>
      <w:r w:rsidR="00106D4C">
        <w:t xml:space="preserve">his alleged wealth transfer </w:t>
      </w:r>
      <w:r w:rsidR="00966659">
        <w:t xml:space="preserve">is discussed </w:t>
      </w:r>
      <w:r w:rsidR="00106D4C">
        <w:t xml:space="preserve">in </w:t>
      </w:r>
      <w:r w:rsidR="0034029C">
        <w:t>Section 8</w:t>
      </w:r>
      <w:r w:rsidR="00106D4C">
        <w:t>.1.4 below.)</w:t>
      </w:r>
      <w:r w:rsidR="00A87BFA">
        <w:t xml:space="preserve">  CUE highlights the low cost</w:t>
      </w:r>
      <w:r w:rsidR="00827602">
        <w:noBreakHyphen/>
      </w:r>
      <w:r w:rsidR="00A87BFA">
        <w:t xml:space="preserve">effectiveness RIM and </w:t>
      </w:r>
      <w:proofErr w:type="spellStart"/>
      <w:r w:rsidR="00A87BFA">
        <w:t>TRC</w:t>
      </w:r>
      <w:proofErr w:type="spellEnd"/>
      <w:r w:rsidR="00A87BFA">
        <w:t xml:space="preserve"> </w:t>
      </w:r>
      <w:r w:rsidR="00F04C32">
        <w:lastRenderedPageBreak/>
        <w:t xml:space="preserve">test </w:t>
      </w:r>
      <w:r w:rsidR="00A87BFA">
        <w:t xml:space="preserve">results for </w:t>
      </w:r>
      <w:r w:rsidR="00602BC5">
        <w:t>NEM 2.0</w:t>
      </w:r>
      <w:r w:rsidR="00A87BFA">
        <w:t xml:space="preserve">, noting that </w:t>
      </w:r>
      <w:r w:rsidR="00602BC5">
        <w:t>NEM 2.0</w:t>
      </w:r>
      <w:r w:rsidR="00135D55">
        <w:t xml:space="preserve"> </w:t>
      </w:r>
      <w:r w:rsidR="00A87BFA">
        <w:t xml:space="preserve">does not come close to passing the </w:t>
      </w:r>
      <w:proofErr w:type="spellStart"/>
      <w:r w:rsidR="00A87BFA">
        <w:t>TRC</w:t>
      </w:r>
      <w:proofErr w:type="spellEnd"/>
      <w:r w:rsidR="00A87BFA">
        <w:t xml:space="preserve"> test.</w:t>
      </w:r>
      <w:r w:rsidR="00A87BFA">
        <w:rPr>
          <w:rStyle w:val="FootnoteReference"/>
        </w:rPr>
        <w:footnoteReference w:id="75"/>
      </w:r>
      <w:r w:rsidR="00A87BFA">
        <w:t xml:space="preserve">  </w:t>
      </w:r>
      <w:r w:rsidR="00B0609D">
        <w:t xml:space="preserve">Sierra Club </w:t>
      </w:r>
      <w:r w:rsidR="00A87BFA">
        <w:t xml:space="preserve">also </w:t>
      </w:r>
      <w:r w:rsidR="00B0609D">
        <w:t>suppor</w:t>
      </w:r>
      <w:r w:rsidR="00A87BFA">
        <w:t xml:space="preserve">ts </w:t>
      </w:r>
      <w:r w:rsidR="00B0609D">
        <w:t>the cost</w:t>
      </w:r>
      <w:r w:rsidR="00827602">
        <w:noBreakHyphen/>
      </w:r>
      <w:r w:rsidR="00B0609D">
        <w:t xml:space="preserve">effectiveness findings in the Lookback Study, which show </w:t>
      </w:r>
      <w:r w:rsidR="00BA1EAE">
        <w:t>“</w:t>
      </w:r>
      <w:proofErr w:type="spellStart"/>
      <w:r w:rsidR="00287414">
        <w:t>TRC</w:t>
      </w:r>
      <w:proofErr w:type="spellEnd"/>
      <w:r w:rsidR="00287414">
        <w:t xml:space="preserve"> and RIM </w:t>
      </w:r>
      <w:r w:rsidRPr="000703BC" w:rsidR="00B0609D">
        <w:t>test results as under 1.0 and P</w:t>
      </w:r>
      <w:r w:rsidR="00287414">
        <w:t xml:space="preserve">CT </w:t>
      </w:r>
      <w:r w:rsidRPr="000703BC" w:rsidR="00B0609D">
        <w:t>results as above 1.5 for SCE, above 1.75 for PG&amp;E and above 2.0 for SDG&amp;E</w:t>
      </w:r>
      <w:r w:rsidR="00B0609D">
        <w:t>.</w:t>
      </w:r>
      <w:r w:rsidR="00BA1EAE">
        <w:t>”</w:t>
      </w:r>
      <w:r w:rsidR="00B0609D">
        <w:t xml:space="preserve">  Sierra Club contends the Commission should rely on these results to support transitioning </w:t>
      </w:r>
      <w:r w:rsidR="00BB6391">
        <w:t xml:space="preserve">retail </w:t>
      </w:r>
      <w:r w:rsidR="00B0609D">
        <w:t xml:space="preserve">export compensation rates from being based on retail </w:t>
      </w:r>
      <w:r w:rsidR="00BB6391">
        <w:t xml:space="preserve">import </w:t>
      </w:r>
      <w:r w:rsidR="00B0609D">
        <w:t>rates to being based on avoided cost.</w:t>
      </w:r>
      <w:r w:rsidR="00B0609D">
        <w:rPr>
          <w:rStyle w:val="FootnoteReference"/>
        </w:rPr>
        <w:footnoteReference w:id="76"/>
      </w:r>
    </w:p>
    <w:p w:rsidR="001826F7" w:rsidP="00982047" w:rsidRDefault="00A24908" w14:paraId="1B2E3311" w14:textId="56441EDA">
      <w:pPr>
        <w:pStyle w:val="Standard"/>
      </w:pPr>
      <w:r>
        <w:t>The cost</w:t>
      </w:r>
      <w:r w:rsidR="00827602">
        <w:noBreakHyphen/>
      </w:r>
      <w:r>
        <w:t xml:space="preserve">effectiveness analysis results of the Lookback Study for the residential segment are incorporated into this decision as findings of fact.  </w:t>
      </w:r>
      <w:r w:rsidR="008E66A4">
        <w:t xml:space="preserve">This decision </w:t>
      </w:r>
      <w:r>
        <w:t>find</w:t>
      </w:r>
      <w:r w:rsidR="008E66A4">
        <w:t>s</w:t>
      </w:r>
      <w:r>
        <w:t xml:space="preserve"> the analysis followed the directives of prior Commission rulings.  Accordingly, the Commission should conclude that for the residential sector, </w:t>
      </w:r>
      <w:r w:rsidR="00602BC5">
        <w:t>NEM 2.0</w:t>
      </w:r>
      <w:r w:rsidR="00135D55">
        <w:t xml:space="preserve"> </w:t>
      </w:r>
      <w:r>
        <w:t>is not cost</w:t>
      </w:r>
      <w:r w:rsidR="00827602">
        <w:noBreakHyphen/>
      </w:r>
      <w:r>
        <w:t>effective.</w:t>
      </w:r>
    </w:p>
    <w:p w:rsidR="003D2162" w:rsidP="005E7044" w:rsidRDefault="0045370E" w14:paraId="2E2360B8" w14:textId="25361B97">
      <w:pPr>
        <w:pStyle w:val="Heading3"/>
        <w:keepLines w:val="0"/>
      </w:pPr>
      <w:bookmarkStart w:name="_Toc117674076" w:id="112"/>
      <w:bookmarkStart w:name="_Toc118285067" w:id="113"/>
      <w:bookmarkStart w:name="_Toc121854394" w:id="114"/>
      <w:r w:rsidRPr="00511DA0">
        <w:t>The</w:t>
      </w:r>
      <w:r>
        <w:t xml:space="preserve"> Lookback Study Shows</w:t>
      </w:r>
      <w:r w:rsidR="009B7A5F">
        <w:br/>
      </w:r>
      <w:r w:rsidR="00602BC5">
        <w:t>NEM 2.0</w:t>
      </w:r>
      <w:r w:rsidR="00135D55">
        <w:t xml:space="preserve"> </w:t>
      </w:r>
      <w:r>
        <w:t>Disproportionately</w:t>
      </w:r>
      <w:r w:rsidR="005D17DE">
        <w:br/>
      </w:r>
      <w:r>
        <w:t>Harms Low</w:t>
      </w:r>
      <w:r w:rsidR="00827602">
        <w:noBreakHyphen/>
      </w:r>
      <w:r>
        <w:t>Income Ratepayers</w:t>
      </w:r>
      <w:bookmarkEnd w:id="112"/>
      <w:bookmarkEnd w:id="113"/>
      <w:bookmarkEnd w:id="114"/>
    </w:p>
    <w:p w:rsidR="006E7F5E" w:rsidP="00982047" w:rsidRDefault="004D58E3" w14:paraId="78C40D36" w14:textId="00DF43EA">
      <w:pPr>
        <w:pStyle w:val="Standard"/>
      </w:pPr>
      <w:r>
        <w:t>H</w:t>
      </w:r>
      <w:r w:rsidR="006E7F5E">
        <w:t>ighlight</w:t>
      </w:r>
      <w:r>
        <w:t>ing</w:t>
      </w:r>
      <w:r w:rsidR="006E7F5E">
        <w:t xml:space="preserve"> results from the Lookback Stud</w:t>
      </w:r>
      <w:r>
        <w:t xml:space="preserve">y, parties </w:t>
      </w:r>
      <w:r w:rsidR="006E7F5E">
        <w:t xml:space="preserve">contend </w:t>
      </w:r>
      <w:r>
        <w:t xml:space="preserve">the study </w:t>
      </w:r>
      <w:r w:rsidR="006E7F5E">
        <w:t>indicate</w:t>
      </w:r>
      <w:r>
        <w:t>s</w:t>
      </w:r>
      <w:r w:rsidR="006E7F5E">
        <w:t xml:space="preserve"> </w:t>
      </w:r>
      <w:r w:rsidR="00602BC5">
        <w:t>NEM 2.0</w:t>
      </w:r>
      <w:r w:rsidR="00135D55">
        <w:t xml:space="preserve"> </w:t>
      </w:r>
      <w:r w:rsidR="00B21865">
        <w:t xml:space="preserve">leads to great </w:t>
      </w:r>
      <w:r w:rsidR="006E7F5E">
        <w:t>financial disparity between upper</w:t>
      </w:r>
      <w:r w:rsidR="00827602">
        <w:noBreakHyphen/>
      </w:r>
      <w:r w:rsidR="006E7F5E">
        <w:t xml:space="preserve"> and lower</w:t>
      </w:r>
      <w:r w:rsidR="00827602">
        <w:noBreakHyphen/>
      </w:r>
      <w:r w:rsidR="006E7F5E">
        <w:t>income brackets of customers</w:t>
      </w:r>
      <w:r w:rsidR="00172F98">
        <w:t xml:space="preserve">.  Parties recommend the Commission conclude that </w:t>
      </w:r>
      <w:r w:rsidR="00602BC5">
        <w:t>NEM 2.0</w:t>
      </w:r>
      <w:r w:rsidR="00135D55">
        <w:t xml:space="preserve"> </w:t>
      </w:r>
      <w:r w:rsidR="00172F98">
        <w:t>disproportionately harms low</w:t>
      </w:r>
      <w:r w:rsidR="00827602">
        <w:noBreakHyphen/>
      </w:r>
      <w:r w:rsidR="00172F98">
        <w:t>income customer</w:t>
      </w:r>
      <w:r w:rsidR="00F2003E">
        <w:t>s</w:t>
      </w:r>
      <w:r w:rsidR="00F04C32">
        <w:t xml:space="preserve"> </w:t>
      </w:r>
      <w:r w:rsidR="00172F98">
        <w:t>not participating in the net energy metering tariff.</w:t>
      </w:r>
    </w:p>
    <w:p w:rsidR="00533B2F" w:rsidP="00982047" w:rsidRDefault="006E7F5E" w14:paraId="18FE19FE" w14:textId="7503EA54">
      <w:pPr>
        <w:pStyle w:val="Standard"/>
      </w:pPr>
      <w:r>
        <w:t xml:space="preserve">TURN </w:t>
      </w:r>
      <w:r w:rsidR="00172F98">
        <w:t>submits</w:t>
      </w:r>
      <w:r>
        <w:t xml:space="preserve"> that </w:t>
      </w:r>
      <w:r w:rsidR="00F2003E">
        <w:t xml:space="preserve">the </w:t>
      </w:r>
      <w:r>
        <w:t xml:space="preserve">Lookback Study </w:t>
      </w:r>
      <w:r w:rsidR="00172F98">
        <w:t xml:space="preserve">results </w:t>
      </w:r>
      <w:r w:rsidR="00F2003E">
        <w:t xml:space="preserve">demonstrate </w:t>
      </w:r>
      <w:r>
        <w:t>the existing net energy metering tariffs have disproportionately benefited non</w:t>
      </w:r>
      <w:r w:rsidR="00827602">
        <w:noBreakHyphen/>
      </w:r>
      <w:r>
        <w:t>CARE residential net energy metering customers.</w:t>
      </w:r>
      <w:r>
        <w:rPr>
          <w:rStyle w:val="FootnoteReference"/>
        </w:rPr>
        <w:footnoteReference w:id="77"/>
      </w:r>
      <w:r w:rsidR="00172F98">
        <w:t xml:space="preserve">  TURN offers several examples of </w:t>
      </w:r>
      <w:r w:rsidR="00172F98">
        <w:lastRenderedPageBreak/>
        <w:t>such results.  First, in r</w:t>
      </w:r>
      <w:r w:rsidR="009E6103">
        <w:t>eferencing the cost</w:t>
      </w:r>
      <w:r w:rsidR="00827602">
        <w:noBreakHyphen/>
      </w:r>
      <w:r w:rsidR="009E6103">
        <w:t xml:space="preserve">effectiveness test results in the Lookback Study, TURN </w:t>
      </w:r>
      <w:r w:rsidR="00172F98">
        <w:t xml:space="preserve">states </w:t>
      </w:r>
      <w:r w:rsidR="00BA1EAE">
        <w:t>“</w:t>
      </w:r>
      <w:r w:rsidR="009E6103">
        <w:t>high PCT values and the low residential RIM test scores (average 0.32 for non</w:t>
      </w:r>
      <w:r w:rsidR="00827602">
        <w:noBreakHyphen/>
      </w:r>
      <w:r w:rsidR="009E6103">
        <w:t xml:space="preserve">CARE customers) was accompanied by the finding that bill payments by residential </w:t>
      </w:r>
      <w:r w:rsidR="00602BC5">
        <w:t>NEM 2.0</w:t>
      </w:r>
      <w:r w:rsidR="00135D55">
        <w:t xml:space="preserve"> </w:t>
      </w:r>
      <w:r w:rsidR="009E6103">
        <w:t>customers, on average</w:t>
      </w:r>
      <w:r w:rsidR="00B21865">
        <w:t xml:space="preserve">, </w:t>
      </w:r>
      <w:r w:rsidR="009E6103">
        <w:t xml:space="preserve">covered </w:t>
      </w:r>
      <w:r w:rsidR="00B21865">
        <w:t>between</w:t>
      </w:r>
      <w:r w:rsidR="009E6103">
        <w:t xml:space="preserve"> 9</w:t>
      </w:r>
      <w:r w:rsidR="00827602">
        <w:noBreakHyphen/>
      </w:r>
      <w:r w:rsidR="009E6103">
        <w:t>18</w:t>
      </w:r>
      <w:r w:rsidR="008A1771">
        <w:t> </w:t>
      </w:r>
      <w:r w:rsidR="009E6103">
        <w:t>[percent] of their cost of service.</w:t>
      </w:r>
      <w:r w:rsidR="00BA1EAE">
        <w:t>”</w:t>
      </w:r>
      <w:r w:rsidR="009E6103">
        <w:rPr>
          <w:rStyle w:val="FootnoteReference"/>
        </w:rPr>
        <w:footnoteReference w:id="78"/>
      </w:r>
      <w:r w:rsidR="009E6103">
        <w:t xml:space="preserve">  </w:t>
      </w:r>
      <w:r w:rsidR="00B21865">
        <w:t xml:space="preserve">Yet, for CARE </w:t>
      </w:r>
      <w:r w:rsidR="00602BC5">
        <w:t>NEM 2.0</w:t>
      </w:r>
      <w:r w:rsidR="00135D55">
        <w:t xml:space="preserve"> </w:t>
      </w:r>
      <w:r w:rsidRPr="00513D04" w:rsidR="00B21865">
        <w:t xml:space="preserve">customers, </w:t>
      </w:r>
      <w:r w:rsidRPr="00513D04" w:rsidR="009E6103">
        <w:t xml:space="preserve">TURN </w:t>
      </w:r>
      <w:r w:rsidRPr="00513D04" w:rsidR="00B21865">
        <w:t xml:space="preserve">states </w:t>
      </w:r>
      <w:r w:rsidRPr="00513D04" w:rsidR="009E6103">
        <w:t xml:space="preserve">the Lookback Study </w:t>
      </w:r>
      <w:r w:rsidRPr="00513D04" w:rsidR="00F2003E">
        <w:t>indicates</w:t>
      </w:r>
      <w:r w:rsidRPr="00513D04" w:rsidR="009E6103">
        <w:t xml:space="preserve"> </w:t>
      </w:r>
      <w:r w:rsidRPr="00513D04" w:rsidR="00076AF3">
        <w:t xml:space="preserve">that the </w:t>
      </w:r>
      <w:r w:rsidR="00BA1EAE">
        <w:t>“</w:t>
      </w:r>
      <w:r w:rsidR="00602BC5">
        <w:t>NEM 2.0</w:t>
      </w:r>
      <w:r w:rsidR="00135D55">
        <w:t xml:space="preserve"> </w:t>
      </w:r>
      <w:r w:rsidRPr="00513D04" w:rsidR="009E6103">
        <w:t>program</w:t>
      </w:r>
      <w:r w:rsidR="009E6103">
        <w:t xml:space="preserve"> yields lower participant cost test values and a longer payback period for CARE customers,</w:t>
      </w:r>
      <w:r w:rsidR="00BA1EAE">
        <w:t>”</w:t>
      </w:r>
      <w:r w:rsidR="009E6103">
        <w:t xml:space="preserve"> </w:t>
      </w:r>
      <w:r w:rsidR="00B21865">
        <w:t xml:space="preserve">and </w:t>
      </w:r>
      <w:r w:rsidR="009E6103">
        <w:t>not</w:t>
      </w:r>
      <w:r w:rsidR="00B21865">
        <w:t xml:space="preserve">es </w:t>
      </w:r>
      <w:r w:rsidR="009E6103">
        <w:t>the payback period for a CARE net energy metering customer was two times that of a non</w:t>
      </w:r>
      <w:r w:rsidR="00827602">
        <w:noBreakHyphen/>
      </w:r>
      <w:r w:rsidR="009E6103">
        <w:t>CARE net energy metering customer.</w:t>
      </w:r>
      <w:r w:rsidR="009E6103">
        <w:rPr>
          <w:rStyle w:val="FootnoteReference"/>
        </w:rPr>
        <w:footnoteReference w:id="79"/>
      </w:r>
    </w:p>
    <w:p w:rsidR="00490092" w:rsidP="00982047" w:rsidRDefault="00C776C7" w14:paraId="04E312F6" w14:textId="2F9DF2DE">
      <w:pPr>
        <w:pStyle w:val="Standard"/>
      </w:pPr>
      <w:r>
        <w:t xml:space="preserve">Taking a different view, </w:t>
      </w:r>
      <w:r w:rsidR="00076AF3">
        <w:t>GRID</w:t>
      </w:r>
      <w:r>
        <w:t xml:space="preserve"> </w:t>
      </w:r>
      <w:r w:rsidR="001C71AF">
        <w:rPr>
          <w:i/>
          <w:iCs/>
        </w:rPr>
        <w:t>et al</w:t>
      </w:r>
      <w:r>
        <w:t>. asserts the Lookback Study makes clear that low</w:t>
      </w:r>
      <w:r w:rsidR="00827602">
        <w:noBreakHyphen/>
      </w:r>
      <w:r>
        <w:t xml:space="preserve">income customers are not participating in net energy metering at levels equal to other residential customers.  Pointing to </w:t>
      </w:r>
      <w:r w:rsidR="00037F69">
        <w:t>Figure 3</w:t>
      </w:r>
      <w:r w:rsidR="00827602">
        <w:noBreakHyphen/>
      </w:r>
      <w:r>
        <w:t>6 of the Lookback Study, G</w:t>
      </w:r>
      <w:r w:rsidR="00076AF3">
        <w:t>RID</w:t>
      </w:r>
      <w:r>
        <w:t xml:space="preserve"> </w:t>
      </w:r>
      <w:r w:rsidR="001C71AF">
        <w:rPr>
          <w:i/>
          <w:iCs/>
        </w:rPr>
        <w:t>et al</w:t>
      </w:r>
      <w:r w:rsidRPr="00A943E5">
        <w:rPr>
          <w:i/>
          <w:iCs/>
        </w:rPr>
        <w:t>.</w:t>
      </w:r>
      <w:r>
        <w:t xml:space="preserve"> underscores that the three lowest income brackets had lower rates of net energy metering participation in comparison to their share of the population and the three highest income brackets had higher participation rates compared to their share of population.</w:t>
      </w:r>
      <w:r>
        <w:rPr>
          <w:rStyle w:val="FootnoteReference"/>
        </w:rPr>
        <w:footnoteReference w:id="80"/>
      </w:r>
      <w:r>
        <w:t xml:space="preserve">  </w:t>
      </w:r>
      <w:proofErr w:type="spellStart"/>
      <w:r w:rsidR="00F2003E">
        <w:t>IEPA</w:t>
      </w:r>
      <w:proofErr w:type="spellEnd"/>
      <w:r w:rsidR="00F2003E">
        <w:t xml:space="preserve"> points to the Lookback Study finding that net energy metering systems are </w:t>
      </w:r>
      <w:r w:rsidR="00D30D00">
        <w:t xml:space="preserve">located </w:t>
      </w:r>
      <w:r w:rsidR="00F2003E">
        <w:t xml:space="preserve">disproportionately in ZIP </w:t>
      </w:r>
      <w:r w:rsidR="00076AF3">
        <w:t>C</w:t>
      </w:r>
      <w:r w:rsidR="00F2003E">
        <w:t xml:space="preserve">odes with high median </w:t>
      </w:r>
      <w:r w:rsidRPr="00B21865" w:rsidR="00F2003E">
        <w:t>incomes.</w:t>
      </w:r>
      <w:r w:rsidRPr="00B21865" w:rsidR="00F2003E">
        <w:rPr>
          <w:rStyle w:val="FootnoteReference"/>
        </w:rPr>
        <w:footnoteReference w:id="81"/>
      </w:r>
      <w:r w:rsidR="00B21865">
        <w:t xml:space="preserve">  </w:t>
      </w:r>
      <w:r w:rsidR="00FF627C">
        <w:t>NRDC</w:t>
      </w:r>
      <w:r w:rsidR="00B21865">
        <w:t xml:space="preserve"> highlights </w:t>
      </w:r>
      <w:r w:rsidR="00FF627C">
        <w:t>the Lookback Study finding is corroborated by a Lawrence Berkel</w:t>
      </w:r>
      <w:r w:rsidR="00C3498A">
        <w:t>e</w:t>
      </w:r>
      <w:r w:rsidR="00FF627C">
        <w:t xml:space="preserve">y National Laboratory study, which indicates </w:t>
      </w:r>
      <w:r w:rsidR="00B21865">
        <w:t>that only about 1</w:t>
      </w:r>
      <w:r w:rsidR="00C04724">
        <w:t>3 percent</w:t>
      </w:r>
      <w:r w:rsidR="00B21865">
        <w:t xml:space="preserve"> of net energy metering customers </w:t>
      </w:r>
      <w:r w:rsidR="00B21865">
        <w:lastRenderedPageBreak/>
        <w:t>come from the lowest 4</w:t>
      </w:r>
      <w:r w:rsidR="00C04724">
        <w:t>0 percent</w:t>
      </w:r>
      <w:r w:rsidR="00B21865">
        <w:t xml:space="preserve"> of income, while customers in the top 2</w:t>
      </w:r>
      <w:r w:rsidR="00C04724">
        <w:t>0 percent</w:t>
      </w:r>
      <w:r w:rsidR="00B21865">
        <w:t xml:space="preserve"> of income make up 4</w:t>
      </w:r>
      <w:r w:rsidR="00C04724">
        <w:t>3 percent</w:t>
      </w:r>
      <w:r w:rsidR="00B21865">
        <w:t xml:space="preserve"> of net energy metering adopters.</w:t>
      </w:r>
      <w:r w:rsidR="00B21865">
        <w:rPr>
          <w:rStyle w:val="FootnoteReference"/>
        </w:rPr>
        <w:footnoteReference w:id="82"/>
      </w:r>
      <w:r>
        <w:t xml:space="preserve">  Additionally, CUE asserts the Lookback Study indicates that both the </w:t>
      </w:r>
      <w:r w:rsidR="00602BC5">
        <w:t>NEM 1.0</w:t>
      </w:r>
      <w:r>
        <w:t xml:space="preserve"> and </w:t>
      </w:r>
      <w:r w:rsidR="00602BC5">
        <w:t>NEM 2.0</w:t>
      </w:r>
      <w:r w:rsidR="00135D55">
        <w:t xml:space="preserve"> </w:t>
      </w:r>
      <w:r>
        <w:t xml:space="preserve">tariffs </w:t>
      </w:r>
      <w:r w:rsidR="00BA1EAE">
        <w:t>“</w:t>
      </w:r>
      <w:r>
        <w:t>disproportionately harm disadvantaged communities</w:t>
      </w:r>
      <w:r w:rsidR="00BA1EAE">
        <w:t>”</w:t>
      </w:r>
      <w:r>
        <w:t xml:space="preserve"> in that while only a small percentage of residential net energy metering systems (11 to 1</w:t>
      </w:r>
      <w:r w:rsidR="00C04724">
        <w:t>2 percent</w:t>
      </w:r>
      <w:r>
        <w:t>) are installed in disadvantaged communities, these same communities are responsible for a portion of the costs of systems installed in all communities regardless of the income level.</w:t>
      </w:r>
      <w:r>
        <w:rPr>
          <w:rStyle w:val="FootnoteReference"/>
        </w:rPr>
        <w:footnoteReference w:id="83"/>
      </w:r>
    </w:p>
    <w:p w:rsidR="00533B2F" w:rsidP="00982047" w:rsidRDefault="00C776C7" w14:paraId="6768AE0E" w14:textId="661237BE">
      <w:pPr>
        <w:pStyle w:val="Standard"/>
      </w:pPr>
      <w:r>
        <w:t xml:space="preserve">PCF </w:t>
      </w:r>
      <w:r w:rsidR="00B30F35">
        <w:t xml:space="preserve">disputes </w:t>
      </w:r>
      <w:r w:rsidR="00246D65">
        <w:t>this</w:t>
      </w:r>
      <w:r w:rsidR="00B30F35">
        <w:t xml:space="preserve"> concern of </w:t>
      </w:r>
      <w:r w:rsidR="00246D65">
        <w:t xml:space="preserve">income </w:t>
      </w:r>
      <w:r w:rsidR="00B30F35">
        <w:t xml:space="preserve">inequity, stating that </w:t>
      </w:r>
      <w:r w:rsidR="00BA1EAE">
        <w:t>“</w:t>
      </w:r>
      <w:r w:rsidR="00B30F35">
        <w:t>parties’ narrative distorts the reality of which customers bear the burdens of the purported cost shift.</w:t>
      </w:r>
      <w:r w:rsidR="00BA1EAE">
        <w:t>”</w:t>
      </w:r>
      <w:r w:rsidR="00B30F35">
        <w:rPr>
          <w:rStyle w:val="FootnoteReference"/>
        </w:rPr>
        <w:footnoteReference w:id="84"/>
      </w:r>
      <w:r w:rsidR="00B30F35">
        <w:t xml:space="preserve">  PCF agrees that areas with higher median incomes have higher concentrations of net energy metering customers compared to lower incomes but states that </w:t>
      </w:r>
      <w:r w:rsidR="00BA1EAE">
        <w:t>“</w:t>
      </w:r>
      <w:r w:rsidR="00B30F35">
        <w:t>even in those higher</w:t>
      </w:r>
      <w:r w:rsidR="00827602">
        <w:noBreakHyphen/>
      </w:r>
      <w:r w:rsidR="00B30F35">
        <w:t xml:space="preserve">income areas, the overwhelming majority of households do not have </w:t>
      </w:r>
      <w:r w:rsidR="00D1271F">
        <w:t xml:space="preserve">[net energy metering] </w:t>
      </w:r>
      <w:r w:rsidR="00B30F35">
        <w:t>solar installations,</w:t>
      </w:r>
      <w:r w:rsidR="00BA1EAE">
        <w:t>”</w:t>
      </w:r>
      <w:r w:rsidR="00B30F35">
        <w:t xml:space="preserve"> approximately </w:t>
      </w:r>
      <w:r w:rsidR="00246D65">
        <w:t>93</w:t>
      </w:r>
      <w:r w:rsidR="00BD6332">
        <w:t xml:space="preserve"> </w:t>
      </w:r>
      <w:r w:rsidR="00246D65">
        <w:t xml:space="preserve">to </w:t>
      </w:r>
      <w:r w:rsidR="00B30F35">
        <w:t>9</w:t>
      </w:r>
      <w:r w:rsidR="00C04724">
        <w:t>7 percent</w:t>
      </w:r>
      <w:r w:rsidR="00B30F35">
        <w:t>.</w:t>
      </w:r>
      <w:r w:rsidR="00B30F35">
        <w:rPr>
          <w:rStyle w:val="FootnoteReference"/>
        </w:rPr>
        <w:footnoteReference w:id="85"/>
      </w:r>
      <w:r w:rsidR="00B30F35">
        <w:t xml:space="preserve">  PCF argues the disproportional harm does not exist, the cost shift is distributed not only among non</w:t>
      </w:r>
      <w:r w:rsidR="00827602">
        <w:noBreakHyphen/>
      </w:r>
      <w:r w:rsidR="00B30F35">
        <w:t>participants in lower</w:t>
      </w:r>
      <w:r w:rsidR="00827602">
        <w:noBreakHyphen/>
      </w:r>
      <w:r w:rsidR="00B30F35">
        <w:t>income zip codes but also among the 93 to 9</w:t>
      </w:r>
      <w:r w:rsidR="00C04724">
        <w:t>7 percent</w:t>
      </w:r>
      <w:r w:rsidR="00B30F35">
        <w:t xml:space="preserve"> of customers in higher</w:t>
      </w:r>
      <w:r w:rsidR="00827602">
        <w:noBreakHyphen/>
      </w:r>
      <w:r w:rsidR="00B30F35">
        <w:t>income zip codes.</w:t>
      </w:r>
      <w:r w:rsidR="00B30F35">
        <w:rPr>
          <w:rStyle w:val="FootnoteReference"/>
        </w:rPr>
        <w:footnoteReference w:id="86"/>
      </w:r>
      <w:r w:rsidR="00246D65">
        <w:t xml:space="preserve">  PCF argues that 9</w:t>
      </w:r>
      <w:r w:rsidR="00C04724">
        <w:t>2 percent</w:t>
      </w:r>
      <w:r w:rsidR="00246D65">
        <w:t xml:space="preserve"> of the cost shift is being borne by non</w:t>
      </w:r>
      <w:r w:rsidR="00827602">
        <w:noBreakHyphen/>
      </w:r>
      <w:r w:rsidR="00246D65">
        <w:t>CARE customers.</w:t>
      </w:r>
      <w:r w:rsidR="00246D65">
        <w:rPr>
          <w:rStyle w:val="FootnoteReference"/>
        </w:rPr>
        <w:footnoteReference w:id="87"/>
      </w:r>
    </w:p>
    <w:p w:rsidR="00B21865" w:rsidP="00982047" w:rsidRDefault="00E42E08" w14:paraId="36A6822F" w14:textId="459FBE19">
      <w:pPr>
        <w:pStyle w:val="Standard"/>
      </w:pPr>
      <w:r>
        <w:lastRenderedPageBreak/>
        <w:t>PCF</w:t>
      </w:r>
      <w:r w:rsidR="00705372">
        <w:t>’s comments fail to acknowledge that l</w:t>
      </w:r>
      <w:r>
        <w:t>ower</w:t>
      </w:r>
      <w:r w:rsidR="00827602">
        <w:noBreakHyphen/>
      </w:r>
      <w:r>
        <w:t>income customers, including those who just barely miss the eligibility criteria for CARE, are disproportionately harmed because they are burdened with the additional expense of a portion of the 82 to 9</w:t>
      </w:r>
      <w:r w:rsidR="00C04724">
        <w:t>1 percent</w:t>
      </w:r>
      <w:r>
        <w:t xml:space="preserve"> of the cost of service bypassed by predominantly wealthier </w:t>
      </w:r>
      <w:r w:rsidR="00602BC5">
        <w:t>NEM 2.0</w:t>
      </w:r>
      <w:r w:rsidR="00135D55">
        <w:t xml:space="preserve"> </w:t>
      </w:r>
      <w:r>
        <w:t xml:space="preserve">customers whose </w:t>
      </w:r>
      <w:r w:rsidR="00BA1EAE">
        <w:t>“</w:t>
      </w:r>
      <w:r>
        <w:t xml:space="preserve">bill payments by residential </w:t>
      </w:r>
      <w:r w:rsidR="00602BC5">
        <w:t>NEM 2.0</w:t>
      </w:r>
      <w:r w:rsidR="00135D55">
        <w:t xml:space="preserve"> </w:t>
      </w:r>
      <w:r>
        <w:t>customers, on average, only covered between 9</w:t>
      </w:r>
      <w:r w:rsidR="00827602">
        <w:noBreakHyphen/>
      </w:r>
      <w:r>
        <w:t>18</w:t>
      </w:r>
      <w:r w:rsidR="00605E98">
        <w:t> </w:t>
      </w:r>
      <w:r>
        <w:t>[percent] of their cost of service.</w:t>
      </w:r>
      <w:r w:rsidR="00BA1EAE">
        <w:t>”</w:t>
      </w:r>
      <w:r>
        <w:t xml:space="preserve">  PCF’s arguments </w:t>
      </w:r>
      <w:r w:rsidR="002D2383">
        <w:t xml:space="preserve">disputing the validity of the equity concern </w:t>
      </w:r>
      <w:r w:rsidR="008E66A4">
        <w:t>are</w:t>
      </w:r>
      <w:r w:rsidR="002D2383">
        <w:t xml:space="preserve"> dismissive and glib.</w:t>
      </w:r>
    </w:p>
    <w:p w:rsidR="00533B2F" w:rsidP="00982047" w:rsidRDefault="008E66A4" w14:paraId="74C34BA9" w14:textId="19DE02B0">
      <w:pPr>
        <w:pStyle w:val="Standard"/>
      </w:pPr>
      <w:r>
        <w:t xml:space="preserve">The Commission </w:t>
      </w:r>
      <w:r w:rsidR="002D2383">
        <w:t>agree</w:t>
      </w:r>
      <w:r>
        <w:t>s</w:t>
      </w:r>
      <w:r w:rsidR="002D2383">
        <w:t xml:space="preserve"> that the Lookback Study indicates that </w:t>
      </w:r>
      <w:r w:rsidR="00602BC5">
        <w:t>NEM 2.0</w:t>
      </w:r>
      <w:r w:rsidR="00135D55">
        <w:t xml:space="preserve"> </w:t>
      </w:r>
      <w:r w:rsidR="002D2383">
        <w:t>disproportionately harms low</w:t>
      </w:r>
      <w:r w:rsidR="00827602">
        <w:noBreakHyphen/>
      </w:r>
      <w:r w:rsidR="002D2383">
        <w:t xml:space="preserve">income customers not participating in the net energy metering tariff.  The findings in the Lookback Study show that </w:t>
      </w:r>
      <w:r w:rsidR="00602BC5">
        <w:t>NEM 2.0</w:t>
      </w:r>
      <w:r w:rsidR="002D2383">
        <w:t xml:space="preserve">, and thus </w:t>
      </w:r>
      <w:r w:rsidR="00602BC5">
        <w:t>NEM 1.0</w:t>
      </w:r>
      <w:r w:rsidR="002D2383">
        <w:t>, disproportionately benefited non</w:t>
      </w:r>
      <w:r w:rsidR="00827602">
        <w:noBreakHyphen/>
      </w:r>
      <w:r w:rsidR="002D2383">
        <w:t>CARE residential net energy metering customers</w:t>
      </w:r>
      <w:r w:rsidR="00C86148">
        <w:t xml:space="preserve"> while all customers, including those with lower incomes, </w:t>
      </w:r>
      <w:r w:rsidR="00D374EE">
        <w:t>must</w:t>
      </w:r>
      <w:r w:rsidR="00C86148">
        <w:t xml:space="preserve"> bear the addition of </w:t>
      </w:r>
      <w:r w:rsidR="00C3498A">
        <w:t xml:space="preserve">the </w:t>
      </w:r>
      <w:r w:rsidR="00C86148">
        <w:t>82 to 9</w:t>
      </w:r>
      <w:r w:rsidR="00C04724">
        <w:t>1 percent</w:t>
      </w:r>
      <w:r w:rsidR="00C86148">
        <w:t xml:space="preserve"> of the cost of service bypassed by net energy metering customers</w:t>
      </w:r>
      <w:r w:rsidR="00156611">
        <w:t>.</w:t>
      </w:r>
      <w:r w:rsidR="00C86148">
        <w:t xml:space="preserve"> </w:t>
      </w:r>
      <w:r w:rsidR="00156611">
        <w:t xml:space="preserve"> </w:t>
      </w:r>
      <w:r w:rsidR="00C86148">
        <w:t>The Commission find</w:t>
      </w:r>
      <w:r w:rsidR="00076AF3">
        <w:t>s</w:t>
      </w:r>
      <w:r w:rsidR="00C86148">
        <w:t xml:space="preserve"> the Lookback Study indicates that </w:t>
      </w:r>
      <w:r w:rsidR="00602BC5">
        <w:t>NEM 2.0</w:t>
      </w:r>
      <w:r w:rsidR="00135D55">
        <w:t xml:space="preserve"> </w:t>
      </w:r>
      <w:r w:rsidR="00C86148">
        <w:t>disproportionately harms low</w:t>
      </w:r>
      <w:r w:rsidR="00827602">
        <w:noBreakHyphen/>
      </w:r>
      <w:r w:rsidR="00C86148">
        <w:t>income customers not participating in the net energy metering tariff.</w:t>
      </w:r>
    </w:p>
    <w:p w:rsidR="000614BC" w:rsidP="005E7044" w:rsidRDefault="000614BC" w14:paraId="47AF9741" w14:textId="35EA336A">
      <w:pPr>
        <w:pStyle w:val="Heading2"/>
        <w:keepLines w:val="0"/>
      </w:pPr>
      <w:bookmarkStart w:name="_Toc117674077" w:id="115"/>
      <w:bookmarkStart w:name="_Toc118285068" w:id="116"/>
      <w:bookmarkStart w:name="_Toc121854395" w:id="117"/>
      <w:bookmarkStart w:name="_Hlk85877434" w:id="118"/>
      <w:r>
        <w:t>Analyzing Tariff Elements and Proposals</w:t>
      </w:r>
      <w:bookmarkEnd w:id="115"/>
      <w:bookmarkEnd w:id="116"/>
      <w:bookmarkEnd w:id="117"/>
    </w:p>
    <w:p w:rsidR="0042286A" w:rsidP="00982047" w:rsidRDefault="001438DC" w14:paraId="5BB6CC6F" w14:textId="7E1D3CCF">
      <w:pPr>
        <w:pStyle w:val="Standard"/>
      </w:pPr>
      <w:r>
        <w:t>Parties were asked to comment on the methods the Commission should use to analyze the successor program elements and the successor tariff</w:t>
      </w:r>
      <w:r w:rsidR="00F711B8">
        <w:t>,</w:t>
      </w:r>
      <w:r w:rsidR="00935904">
        <w:t xml:space="preserve"> to </w:t>
      </w:r>
      <w:r w:rsidR="00F711B8">
        <w:t xml:space="preserve">determine whether </w:t>
      </w:r>
      <w:r>
        <w:t xml:space="preserve">the proposals comply with the guiding principles.  </w:t>
      </w:r>
      <w:proofErr w:type="spellStart"/>
      <w:r w:rsidR="002C591D">
        <w:t>CALSSA</w:t>
      </w:r>
      <w:proofErr w:type="spellEnd"/>
      <w:r w:rsidR="002C591D">
        <w:t xml:space="preserve"> states that </w:t>
      </w:r>
      <w:r w:rsidR="00BA1EAE">
        <w:t>“</w:t>
      </w:r>
      <w:r w:rsidR="002C591D">
        <w:t xml:space="preserve">the legal standards for the successor tariff inform the methodologies the Commission should use to analyze parties’ proposals and their resulting program elements, while ensuring the proposals comply with the guiding </w:t>
      </w:r>
      <w:r w:rsidR="002C591D">
        <w:lastRenderedPageBreak/>
        <w:t>principles.</w:t>
      </w:r>
      <w:r w:rsidR="00BA1EAE">
        <w:t>”</w:t>
      </w:r>
      <w:r w:rsidR="002C591D">
        <w:rPr>
          <w:rStyle w:val="FootnoteReference"/>
        </w:rPr>
        <w:footnoteReference w:id="88"/>
      </w:r>
      <w:r w:rsidR="002C591D">
        <w:t xml:space="preserve">  </w:t>
      </w:r>
      <w:proofErr w:type="spellStart"/>
      <w:r w:rsidR="006F24EA">
        <w:t>CALSSA</w:t>
      </w:r>
      <w:proofErr w:type="spellEnd"/>
      <w:r w:rsidR="006F24EA">
        <w:t xml:space="preserve"> highlights that </w:t>
      </w:r>
      <w:r w:rsidR="00BA1EAE">
        <w:t>“</w:t>
      </w:r>
      <w:r w:rsidR="006F24EA">
        <w:t>while parties largely agree on the types of methodologies to be utilized, parties disagree on both the correct way to execute those methodologies and the assumptions used therein.</w:t>
      </w:r>
      <w:r w:rsidR="00BA1EAE">
        <w:t>”</w:t>
      </w:r>
      <w:r w:rsidR="006F24EA">
        <w:rPr>
          <w:rStyle w:val="FootnoteReference"/>
        </w:rPr>
        <w:footnoteReference w:id="89"/>
      </w:r>
      <w:r w:rsidR="006F24EA">
        <w:t xml:space="preserve">  </w:t>
      </w:r>
      <w:r w:rsidR="00505D88">
        <w:t>In addition, parties offer differing interpretations of certain aspects of the statute and guiding principles</w:t>
      </w:r>
      <w:r w:rsidR="00C2601D">
        <w:t xml:space="preserve"> that the tariff elements and tariff proposals are required to follow.  </w:t>
      </w:r>
      <w:r w:rsidR="006F24EA">
        <w:t xml:space="preserve">Accordingly, </w:t>
      </w:r>
      <w:r w:rsidR="008E66A4">
        <w:t xml:space="preserve">this decision </w:t>
      </w:r>
      <w:r>
        <w:t>address</w:t>
      </w:r>
      <w:r w:rsidR="008E66A4">
        <w:t>es</w:t>
      </w:r>
      <w:r>
        <w:t xml:space="preserve"> </w:t>
      </w:r>
      <w:r w:rsidR="001F656D">
        <w:t>the following aspects</w:t>
      </w:r>
      <w:r>
        <w:t xml:space="preserve"> </w:t>
      </w:r>
      <w:r w:rsidR="0042286A">
        <w:t xml:space="preserve">of this scoping issue </w:t>
      </w:r>
      <w:r>
        <w:t>in the sections below</w:t>
      </w:r>
      <w:r w:rsidR="00555CC0">
        <w:t xml:space="preserve">:  </w:t>
      </w:r>
      <w:r w:rsidR="00D416A8">
        <w:t xml:space="preserve">the definition of sustainable growth; </w:t>
      </w:r>
      <w:r w:rsidR="00935904">
        <w:t>c</w:t>
      </w:r>
      <w:r w:rsidR="001F656D">
        <w:t>ost</w:t>
      </w:r>
      <w:r w:rsidR="00827602">
        <w:noBreakHyphen/>
      </w:r>
      <w:r w:rsidR="001F656D">
        <w:t xml:space="preserve">effectiveness </w:t>
      </w:r>
      <w:r w:rsidR="00D94BD0">
        <w:t>a</w:t>
      </w:r>
      <w:r w:rsidR="001F656D">
        <w:t>pproaches</w:t>
      </w:r>
      <w:r w:rsidR="0042286A">
        <w:t xml:space="preserve"> and the </w:t>
      </w:r>
      <w:r w:rsidR="001F656D">
        <w:t>consider</w:t>
      </w:r>
      <w:r w:rsidR="0042286A">
        <w:t>ation of</w:t>
      </w:r>
      <w:r w:rsidR="001F656D">
        <w:t xml:space="preserve"> </w:t>
      </w:r>
      <w:r w:rsidR="0042286A">
        <w:t xml:space="preserve">other </w:t>
      </w:r>
      <w:r w:rsidR="001F656D">
        <w:t>benefits</w:t>
      </w:r>
      <w:r w:rsidR="00D94BD0">
        <w:t>; the appropriate length of time for a net energy metering participant p</w:t>
      </w:r>
      <w:r>
        <w:t xml:space="preserve">ayback </w:t>
      </w:r>
      <w:r w:rsidR="00D416A8">
        <w:t xml:space="preserve">period </w:t>
      </w:r>
      <w:r w:rsidR="0042286A">
        <w:t>(</w:t>
      </w:r>
      <w:r w:rsidRPr="00AD3467" w:rsidR="00D94BD0">
        <w:rPr>
          <w:i/>
          <w:iCs/>
        </w:rPr>
        <w:t>i.e</w:t>
      </w:r>
      <w:r w:rsidR="00D94BD0">
        <w:t xml:space="preserve">., </w:t>
      </w:r>
      <w:r>
        <w:t>cost recovery</w:t>
      </w:r>
      <w:r w:rsidR="00D94BD0">
        <w:t xml:space="preserve"> time</w:t>
      </w:r>
      <w:r w:rsidR="0042286A">
        <w:t>)</w:t>
      </w:r>
      <w:r w:rsidR="00D94BD0">
        <w:t xml:space="preserve">; </w:t>
      </w:r>
      <w:r w:rsidR="00935904">
        <w:t xml:space="preserve">and </w:t>
      </w:r>
      <w:r w:rsidR="00D94BD0">
        <w:t xml:space="preserve">a definition of </w:t>
      </w:r>
      <w:r w:rsidR="00BA1EAE">
        <w:t>“</w:t>
      </w:r>
      <w:r w:rsidR="00D94BD0">
        <w:t>equity among all ratepayers</w:t>
      </w:r>
      <w:r w:rsidR="00935904">
        <w:t>.</w:t>
      </w:r>
      <w:r w:rsidR="00BA1EAE">
        <w:t>”</w:t>
      </w:r>
    </w:p>
    <w:p w:rsidR="00D416A8" w:rsidP="005E7044" w:rsidRDefault="00D416A8" w14:paraId="34BD5CA7" w14:textId="3DDDC05E">
      <w:pPr>
        <w:pStyle w:val="Heading3"/>
        <w:keepLines w:val="0"/>
      </w:pPr>
      <w:bookmarkStart w:name="_Toc117674078" w:id="119"/>
      <w:bookmarkStart w:name="_Toc118285069" w:id="120"/>
      <w:bookmarkStart w:name="_Toc121854396" w:id="121"/>
      <w:r>
        <w:t>Tariff Participation Growth Should</w:t>
      </w:r>
      <w:r w:rsidR="00251594">
        <w:br/>
      </w:r>
      <w:r>
        <w:t>Not Require Nonparticipant</w:t>
      </w:r>
      <w:r w:rsidR="00251594">
        <w:br/>
      </w:r>
      <w:r>
        <w:t>Financial Burden</w:t>
      </w:r>
      <w:bookmarkEnd w:id="119"/>
      <w:bookmarkEnd w:id="120"/>
      <w:bookmarkEnd w:id="121"/>
    </w:p>
    <w:p w:rsidR="00D416A8" w:rsidP="005E7044" w:rsidRDefault="00D416A8" w14:paraId="5F984F5A" w14:textId="60043A94">
      <w:pPr>
        <w:pStyle w:val="Standard"/>
      </w:pPr>
      <w:r>
        <w:t xml:space="preserve">All parties agree that the final successor to the current net energy metering tariff should comply with Public Utilities Code </w:t>
      </w:r>
      <w:r w:rsidR="0034029C">
        <w:t>Section 2</w:t>
      </w:r>
      <w:r>
        <w:t>8</w:t>
      </w:r>
      <w:r w:rsidR="00F04C32">
        <w:t>2</w:t>
      </w:r>
      <w:r>
        <w:t xml:space="preserve">7.1(b)(1), which mandates that the Commission adopt a successor to the existing net energy metering tariff that </w:t>
      </w:r>
      <w:r w:rsidR="00BA1EAE">
        <w:t>“</w:t>
      </w:r>
      <w:r w:rsidRPr="00B729E3">
        <w:t>ensures that customer</w:t>
      </w:r>
      <w:r w:rsidR="00827602">
        <w:noBreakHyphen/>
      </w:r>
      <w:r w:rsidRPr="00B729E3">
        <w:t>sited renewable distributed generation continues to grow sustainably and include</w:t>
      </w:r>
      <w:r>
        <w:t>s</w:t>
      </w:r>
      <w:r w:rsidRPr="00B729E3">
        <w:t xml:space="preserve"> specific alternatives designed for growth among residential customers in disadvantaged communities</w:t>
      </w:r>
      <w:r>
        <w:t>.</w:t>
      </w:r>
      <w:r w:rsidR="00BA1EAE">
        <w:t>”</w:t>
      </w:r>
      <w:r>
        <w:t xml:space="preserve">  However, parties have varying interpretations of the phrase </w:t>
      </w:r>
      <w:r w:rsidR="00BA1EAE">
        <w:t>“</w:t>
      </w:r>
      <w:r>
        <w:t>grow sustainably</w:t>
      </w:r>
      <w:r w:rsidR="00BA1EAE">
        <w:t>”</w:t>
      </w:r>
      <w:r>
        <w:t xml:space="preserve"> and what that means for the successor tariff.</w:t>
      </w:r>
    </w:p>
    <w:p w:rsidR="00D416A8" w:rsidP="00A015B3" w:rsidRDefault="00D416A8" w14:paraId="712923FB" w14:textId="0526D007">
      <w:pPr>
        <w:pStyle w:val="Standard"/>
      </w:pPr>
      <w:proofErr w:type="spellStart"/>
      <w:r>
        <w:t>CALSSA</w:t>
      </w:r>
      <w:proofErr w:type="spellEnd"/>
      <w:r>
        <w:t xml:space="preserve"> asserts the plain meaning of </w:t>
      </w:r>
      <w:r w:rsidR="00BA1EAE">
        <w:t>“</w:t>
      </w:r>
      <w:r>
        <w:t>grow sustainably</w:t>
      </w:r>
      <w:r w:rsidR="00BA1EAE">
        <w:t>”</w:t>
      </w:r>
      <w:r>
        <w:t xml:space="preserve"> is </w:t>
      </w:r>
      <w:r w:rsidR="00BA1EAE">
        <w:t>“</w:t>
      </w:r>
      <w:r>
        <w:t>continued increase of customer</w:t>
      </w:r>
      <w:r w:rsidR="00827602">
        <w:noBreakHyphen/>
      </w:r>
      <w:r>
        <w:t xml:space="preserve">sited distribution generation in the State in a manner that </w:t>
      </w:r>
      <w:r>
        <w:lastRenderedPageBreak/>
        <w:t>can continue over a period of time.</w:t>
      </w:r>
      <w:r w:rsidR="00BA1EAE">
        <w:t>”</w:t>
      </w:r>
      <w:r>
        <w:rPr>
          <w:rStyle w:val="FootnoteReference"/>
        </w:rPr>
        <w:footnoteReference w:id="90"/>
      </w:r>
      <w:r>
        <w:t xml:space="preserve">  </w:t>
      </w:r>
      <w:proofErr w:type="spellStart"/>
      <w:r>
        <w:t>CALSSA</w:t>
      </w:r>
      <w:proofErr w:type="spellEnd"/>
      <w:r>
        <w:t xml:space="preserve"> maintains the phrase </w:t>
      </w:r>
      <w:r w:rsidR="00BA1EAE">
        <w:t>“</w:t>
      </w:r>
      <w:r>
        <w:t>grow sustainably</w:t>
      </w:r>
      <w:r w:rsidR="00BA1EAE">
        <w:t>”</w:t>
      </w:r>
      <w:r>
        <w:t xml:space="preserve"> included in </w:t>
      </w:r>
      <w:r w:rsidR="00F138A9">
        <w:t>AB </w:t>
      </w:r>
      <w:r>
        <w:t xml:space="preserve">327 reflects the Legislature’s desire for net energy metering </w:t>
      </w:r>
      <w:r w:rsidR="00BA1EAE">
        <w:t>“</w:t>
      </w:r>
      <w:r>
        <w:t>to avoid the fits and starts that the previous capped program placed on the industry’s growth.</w:t>
      </w:r>
      <w:r w:rsidR="00BA1EAE">
        <w:t>”</w:t>
      </w:r>
      <w:r>
        <w:rPr>
          <w:rStyle w:val="FootnoteReference"/>
        </w:rPr>
        <w:footnoteReference w:id="91"/>
      </w:r>
      <w:r>
        <w:t xml:space="preserve">  Further, </w:t>
      </w:r>
      <w:proofErr w:type="spellStart"/>
      <w:r>
        <w:t>CALSSA</w:t>
      </w:r>
      <w:proofErr w:type="spellEnd"/>
      <w:r>
        <w:t xml:space="preserve"> contends this is consistent with a prior interpretation of the phrase in D.16</w:t>
      </w:r>
      <w:r w:rsidR="00827602">
        <w:noBreakHyphen/>
      </w:r>
      <w:r>
        <w:t>01</w:t>
      </w:r>
      <w:r w:rsidR="00827602">
        <w:noBreakHyphen/>
      </w:r>
      <w:r>
        <w:t xml:space="preserve">044 where the Commission stated its </w:t>
      </w:r>
      <w:r w:rsidR="00BA1EAE">
        <w:t>“</w:t>
      </w:r>
      <w:r>
        <w:t xml:space="preserve">responsibility under </w:t>
      </w:r>
      <w:r w:rsidR="0034029C">
        <w:t>Section 2</w:t>
      </w:r>
      <w:r>
        <w:t>827.1 is to see to the continued growth of customer</w:t>
      </w:r>
      <w:r w:rsidR="00827602">
        <w:noBreakHyphen/>
      </w:r>
      <w:r>
        <w:t>sited renewable [distributed generation].</w:t>
      </w:r>
      <w:r w:rsidR="00BA1EAE">
        <w:t>”</w:t>
      </w:r>
      <w:r>
        <w:rPr>
          <w:rStyle w:val="FootnoteReference"/>
        </w:rPr>
        <w:footnoteReference w:id="92"/>
      </w:r>
      <w:r>
        <w:t xml:space="preserve">  TURN, however, points out that the Commission made modifications to D.16</w:t>
      </w:r>
      <w:r w:rsidR="00827602">
        <w:noBreakHyphen/>
      </w:r>
      <w:r>
        <w:t>01</w:t>
      </w:r>
      <w:r w:rsidR="00827602">
        <w:noBreakHyphen/>
      </w:r>
      <w:r>
        <w:t xml:space="preserve">044 in response to applications for rehearing to clarify that the </w:t>
      </w:r>
      <w:r w:rsidR="00BA1EAE">
        <w:t>“</w:t>
      </w:r>
      <w:r>
        <w:t>sustainable growth</w:t>
      </w:r>
      <w:r w:rsidR="00BA1EAE">
        <w:t>”</w:t>
      </w:r>
      <w:r>
        <w:t xml:space="preserve"> criteria is no more important than other provisions of the statute, stating that </w:t>
      </w:r>
      <w:r w:rsidR="00BA1EAE">
        <w:t>“</w:t>
      </w:r>
      <w:r>
        <w:t>the Commission was not placing a greater emphasis on achieving sustainable growth</w:t>
      </w:r>
      <w:r w:rsidR="00BA1EAE">
        <w:t>”</w:t>
      </w:r>
      <w:r>
        <w:t xml:space="preserve"> over other statutory obligations.</w:t>
      </w:r>
      <w:r>
        <w:rPr>
          <w:rStyle w:val="FootnoteReference"/>
        </w:rPr>
        <w:footnoteReference w:id="93"/>
      </w:r>
    </w:p>
    <w:p w:rsidR="00D416A8" w:rsidP="00A015B3" w:rsidRDefault="00D416A8" w14:paraId="525650CA" w14:textId="5E840B3E">
      <w:pPr>
        <w:pStyle w:val="Standard"/>
      </w:pPr>
      <w:r>
        <w:t xml:space="preserve">TURN does not attempt to define the phrase </w:t>
      </w:r>
      <w:r w:rsidR="00BA1EAE">
        <w:t>“</w:t>
      </w:r>
      <w:r>
        <w:t>grow sustainably</w:t>
      </w:r>
      <w:r w:rsidR="00BA1EAE">
        <w:t>”</w:t>
      </w:r>
      <w:r>
        <w:t xml:space="preserve"> but contends that the requirement </w:t>
      </w:r>
      <w:r w:rsidR="00BA1EAE">
        <w:t>“</w:t>
      </w:r>
      <w:r>
        <w:t>can be satisfied if a successor tariff is found to be cost</w:t>
      </w:r>
      <w:r w:rsidR="00827602">
        <w:noBreakHyphen/>
      </w:r>
      <w:r>
        <w:t>effective for certain participants over a reasonably defined timeframe.</w:t>
      </w:r>
      <w:r w:rsidR="00BA1EAE">
        <w:t>”</w:t>
      </w:r>
      <w:r>
        <w:rPr>
          <w:rStyle w:val="FootnoteReference"/>
        </w:rPr>
        <w:footnoteReference w:id="94"/>
      </w:r>
      <w:r>
        <w:t xml:space="preserve">  Other parties offer </w:t>
      </w:r>
      <w:r w:rsidR="00F04C32">
        <w:t xml:space="preserve">other </w:t>
      </w:r>
      <w:r>
        <w:t>definitions of the term.  For example, CUE recommends the Commission adopt the United Nations’ definition</w:t>
      </w:r>
      <w:r w:rsidR="00555CC0">
        <w:t xml:space="preserve">:  </w:t>
      </w:r>
      <w:r w:rsidR="00BA1EAE">
        <w:t>“</w:t>
      </w:r>
      <w:r>
        <w:t>growth that is repeatable, ethical and responsible to, and for, current and future communities.</w:t>
      </w:r>
      <w:r w:rsidR="00BA1EAE">
        <w:t>”</w:t>
      </w:r>
      <w:r>
        <w:rPr>
          <w:rStyle w:val="FootnoteReference"/>
        </w:rPr>
        <w:footnoteReference w:id="95"/>
      </w:r>
      <w:r>
        <w:t xml:space="preserve">  CUE submits this means that the growth of the net energy </w:t>
      </w:r>
      <w:r>
        <w:lastRenderedPageBreak/>
        <w:t xml:space="preserve">metering tariff </w:t>
      </w:r>
      <w:r w:rsidR="00BA1EAE">
        <w:t>“</w:t>
      </w:r>
      <w:r>
        <w:t>is not sustainable if it does not take into account inequities caused by the tariff, either now or in the future.</w:t>
      </w:r>
      <w:r w:rsidR="00BA1EAE">
        <w:t>”</w:t>
      </w:r>
      <w:r>
        <w:rPr>
          <w:rStyle w:val="FootnoteReference"/>
        </w:rPr>
        <w:footnoteReference w:id="96"/>
      </w:r>
    </w:p>
    <w:p w:rsidR="00D416A8" w:rsidP="00A015B3" w:rsidRDefault="00D416A8" w14:paraId="546631EB" w14:textId="253A9693">
      <w:pPr>
        <w:pStyle w:val="Standard"/>
      </w:pPr>
      <w:r>
        <w:t xml:space="preserve">SEIA/Vote Solar counsels the Commission to look to the statute itself when defining the term </w:t>
      </w:r>
      <w:r w:rsidR="00BA1EAE">
        <w:t>“</w:t>
      </w:r>
      <w:r>
        <w:t>continues to grow sustainably</w:t>
      </w:r>
      <w:r w:rsidR="00BA1EAE">
        <w:t>”</w:t>
      </w:r>
      <w:r>
        <w:t xml:space="preserve"> and points out that in Donovan</w:t>
      </w:r>
      <w:r w:rsidR="000A6509">
        <w:t xml:space="preserve"> v. </w:t>
      </w:r>
      <w:r>
        <w:t xml:space="preserve">Poway Unified School District, the court stated, </w:t>
      </w:r>
      <w:r w:rsidR="00BA1EAE">
        <w:t>“</w:t>
      </w:r>
      <w:r>
        <w:t>[w]e must presume that the Legislature intended ‘every word, phrase, and provision…in a statute…to have meaning and to perform in a useful function.</w:t>
      </w:r>
      <w:r w:rsidR="0081717D">
        <w:t>’</w:t>
      </w:r>
      <w:r w:rsidR="00BA1EAE">
        <w:t>”</w:t>
      </w:r>
      <w:r>
        <w:rPr>
          <w:rStyle w:val="FootnoteReference"/>
        </w:rPr>
        <w:footnoteReference w:id="97"/>
      </w:r>
      <w:r>
        <w:t xml:space="preserve">  SEIA/Vote Solar concludes that the statutory language </w:t>
      </w:r>
      <w:r w:rsidR="00BA1EAE">
        <w:t>“</w:t>
      </w:r>
      <w:r>
        <w:t>grow sustainably</w:t>
      </w:r>
      <w:r w:rsidR="00BA1EAE">
        <w:t>”</w:t>
      </w:r>
      <w:r>
        <w:t xml:space="preserve"> </w:t>
      </w:r>
      <w:r w:rsidR="00BA1EAE">
        <w:t>“</w:t>
      </w:r>
      <w:r>
        <w:t>refers to examining any proposed change to the tariff in light of its impact on the growth of the customer</w:t>
      </w:r>
      <w:r w:rsidR="00827602">
        <w:noBreakHyphen/>
      </w:r>
      <w:r>
        <w:t>sited renewable [distributed generation] market.</w:t>
      </w:r>
      <w:r w:rsidR="00BA1EAE">
        <w:t>”</w:t>
      </w:r>
      <w:r>
        <w:rPr>
          <w:rStyle w:val="FootnoteReference"/>
        </w:rPr>
        <w:footnoteReference w:id="98"/>
      </w:r>
    </w:p>
    <w:p w:rsidR="00490092" w:rsidP="00A015B3" w:rsidRDefault="008E66A4" w14:paraId="3DCE9CE9" w14:textId="5B437797">
      <w:pPr>
        <w:pStyle w:val="Standard"/>
      </w:pPr>
      <w:r>
        <w:t xml:space="preserve">This decision returns </w:t>
      </w:r>
      <w:r w:rsidR="00D416A8">
        <w:t xml:space="preserve">to the Commission’s prior statement on </w:t>
      </w:r>
      <w:r w:rsidR="00BA1EAE">
        <w:t>“</w:t>
      </w:r>
      <w:r w:rsidR="00D416A8">
        <w:t>grow sustainably</w:t>
      </w:r>
      <w:r w:rsidR="00BA1EAE">
        <w:t>”</w:t>
      </w:r>
      <w:r w:rsidR="00D416A8">
        <w:t xml:space="preserve"> in which the Commission stated that it </w:t>
      </w:r>
      <w:r w:rsidR="00BA1EAE">
        <w:t>“</w:t>
      </w:r>
      <w:r w:rsidR="00D416A8">
        <w:t>was not placing a greater emphasis on achieving sustainable growth</w:t>
      </w:r>
      <w:r w:rsidR="00BA1EAE">
        <w:t>”</w:t>
      </w:r>
      <w:r w:rsidR="00D416A8">
        <w:t xml:space="preserve"> over other statutory obligations.</w:t>
      </w:r>
      <w:r w:rsidR="00D416A8">
        <w:rPr>
          <w:rStyle w:val="FootnoteReference"/>
        </w:rPr>
        <w:footnoteReference w:id="99"/>
      </w:r>
      <w:r w:rsidR="00D416A8">
        <w:t xml:space="preserve">  There is nothing in the record of this proceeding that would lead </w:t>
      </w:r>
      <w:r w:rsidR="00DE2B90">
        <w:t xml:space="preserve">the Commission </w:t>
      </w:r>
      <w:r w:rsidR="00D416A8">
        <w:t xml:space="preserve">to stray from this position.  </w:t>
      </w:r>
      <w:r>
        <w:t xml:space="preserve">The Commission </w:t>
      </w:r>
      <w:r w:rsidR="00D416A8">
        <w:t>agree</w:t>
      </w:r>
      <w:r>
        <w:t>s</w:t>
      </w:r>
      <w:r w:rsidR="00D416A8">
        <w:t xml:space="preserve"> with SEIA/Vote Solar that any proposed change to the tariff should consider the impact on the growth of the net energy metering market.  </w:t>
      </w:r>
      <w:r w:rsidR="009258CC">
        <w:t>This decision clarifies that because most customer</w:t>
      </w:r>
      <w:r w:rsidR="00827602">
        <w:noBreakHyphen/>
      </w:r>
      <w:r w:rsidR="009258CC">
        <w:t xml:space="preserve">sited renewable distributed generation in California is from solar systems, the sustainable growth of the solar industry must also be </w:t>
      </w:r>
      <w:r w:rsidR="009258CC">
        <w:lastRenderedPageBreak/>
        <w:t>considered to ensure the sustainable growth of customer</w:t>
      </w:r>
      <w:r w:rsidR="00827602">
        <w:noBreakHyphen/>
      </w:r>
      <w:r w:rsidR="009258CC">
        <w:t>sited renewable distributed generation.</w:t>
      </w:r>
      <w:r w:rsidR="009258CC">
        <w:rPr>
          <w:rStyle w:val="FootnoteReference"/>
        </w:rPr>
        <w:footnoteReference w:id="100"/>
      </w:r>
    </w:p>
    <w:p w:rsidR="00257C7D" w:rsidP="00A015B3" w:rsidRDefault="00D416A8" w14:paraId="164E490E" w14:textId="3F905593">
      <w:pPr>
        <w:pStyle w:val="Standard"/>
      </w:pPr>
      <w:r>
        <w:t>As multiple parties have acknowledged, the net energy metering program has assist</w:t>
      </w:r>
      <w:r w:rsidR="007F17CF">
        <w:t>ed</w:t>
      </w:r>
      <w:r>
        <w:t xml:space="preserve"> the State in meeting its energy and climate goals.  However, because the Commission is mandated to create a tariff that adheres to the entire statute</w:t>
      </w:r>
      <w:r w:rsidR="00F55701">
        <w:t xml:space="preserve"> — </w:t>
      </w:r>
      <w:r>
        <w:t>including equity concerns</w:t>
      </w:r>
      <w:r w:rsidR="00F55701">
        <w:t xml:space="preserve"> — </w:t>
      </w:r>
      <w:r>
        <w:t xml:space="preserve">the growth of the market should not come at the undue </w:t>
      </w:r>
      <w:r w:rsidR="0068491E">
        <w:t xml:space="preserve">and burdensome financial </w:t>
      </w:r>
      <w:r>
        <w:t xml:space="preserve">expense of </w:t>
      </w:r>
      <w:r w:rsidR="0068491E">
        <w:t xml:space="preserve">nonparticipant </w:t>
      </w:r>
      <w:r>
        <w:t xml:space="preserve">ratepayers.  </w:t>
      </w:r>
      <w:r w:rsidR="008E76BE">
        <w:t>A</w:t>
      </w:r>
      <w:r w:rsidR="00257C7D">
        <w:t xml:space="preserve">llowing the net energy metering </w:t>
      </w:r>
      <w:r w:rsidR="00F61188">
        <w:t xml:space="preserve">tariff </w:t>
      </w:r>
      <w:r w:rsidR="00257C7D">
        <w:t xml:space="preserve">to result in </w:t>
      </w:r>
      <w:r w:rsidR="00443C5E">
        <w:t xml:space="preserve">growing </w:t>
      </w:r>
      <w:r w:rsidR="00257C7D">
        <w:t xml:space="preserve">costs shifted to nonparticipant ratepayers is not sustainable to the overall health of </w:t>
      </w:r>
      <w:r w:rsidR="00F61188">
        <w:t>net energy metering</w:t>
      </w:r>
      <w:r w:rsidR="00257C7D">
        <w:t>.</w:t>
      </w:r>
    </w:p>
    <w:p w:rsidR="00D416A8" w:rsidP="00A015B3" w:rsidRDefault="00257C7D" w14:paraId="10C01A4B" w14:textId="05D2344E">
      <w:pPr>
        <w:pStyle w:val="Standard"/>
      </w:pPr>
      <w:r>
        <w:t>T</w:t>
      </w:r>
      <w:r w:rsidR="00D416A8">
        <w:t>he Commission analyzed the elements of the tariff and the proposals with the entirety of the statute in mind, as well as the other guiding principles, to develop a successor that balances the requirements of the statute and the guiding principles.</w:t>
      </w:r>
    </w:p>
    <w:p w:rsidR="00D94BD0" w:rsidP="005E7044" w:rsidRDefault="00D94BD0" w14:paraId="5265E620" w14:textId="390D29CF">
      <w:pPr>
        <w:pStyle w:val="Heading3"/>
        <w:keepLines w:val="0"/>
      </w:pPr>
      <w:bookmarkStart w:name="_Toc117674079" w:id="122"/>
      <w:bookmarkStart w:name="_Toc118285070" w:id="123"/>
      <w:bookmarkStart w:name="_Toc121854397" w:id="124"/>
      <w:r>
        <w:t>Cost</w:t>
      </w:r>
      <w:r w:rsidR="00827602">
        <w:noBreakHyphen/>
      </w:r>
      <w:r>
        <w:t xml:space="preserve">effectiveness Analyses Shall </w:t>
      </w:r>
      <w:r w:rsidR="009F013F">
        <w:t>B</w:t>
      </w:r>
      <w:r>
        <w:t>e</w:t>
      </w:r>
      <w:r w:rsidR="009F013F">
        <w:br/>
      </w:r>
      <w:r>
        <w:t>Conducted Pursuant to D.19</w:t>
      </w:r>
      <w:r w:rsidR="00827602">
        <w:noBreakHyphen/>
      </w:r>
      <w:r>
        <w:t>05</w:t>
      </w:r>
      <w:r w:rsidR="00827602">
        <w:noBreakHyphen/>
      </w:r>
      <w:r>
        <w:t>019</w:t>
      </w:r>
      <w:r w:rsidR="009F013F">
        <w:br/>
      </w:r>
      <w:r>
        <w:t xml:space="preserve">Using </w:t>
      </w:r>
      <w:r w:rsidR="004A1AD3">
        <w:t xml:space="preserve">the </w:t>
      </w:r>
      <w:r>
        <w:t>202</w:t>
      </w:r>
      <w:r w:rsidR="00D43419">
        <w:t>2</w:t>
      </w:r>
      <w:r>
        <w:t xml:space="preserve"> Avoided Cost Calculator</w:t>
      </w:r>
      <w:bookmarkEnd w:id="122"/>
      <w:bookmarkEnd w:id="123"/>
      <w:bookmarkEnd w:id="124"/>
    </w:p>
    <w:p w:rsidR="00A0562E" w:rsidP="00A015B3" w:rsidRDefault="00A0562E" w14:paraId="6EBA48D8" w14:textId="17DF4212">
      <w:pPr>
        <w:pStyle w:val="Standard"/>
      </w:pPr>
      <w:r>
        <w:t>With respect to analyzing cost</w:t>
      </w:r>
      <w:r w:rsidR="00827602">
        <w:noBreakHyphen/>
      </w:r>
      <w:r>
        <w:t>effectiveness, in D.21</w:t>
      </w:r>
      <w:r w:rsidR="00827602">
        <w:noBreakHyphen/>
      </w:r>
      <w:r>
        <w:t>02</w:t>
      </w:r>
      <w:r w:rsidR="00827602">
        <w:noBreakHyphen/>
      </w:r>
      <w:r>
        <w:t>0</w:t>
      </w:r>
      <w:r w:rsidR="0081717D">
        <w:t>07</w:t>
      </w:r>
      <w:r w:rsidR="00A01890">
        <w:t xml:space="preserve"> of this proceeding</w:t>
      </w:r>
      <w:r>
        <w:t>,</w:t>
      </w:r>
      <w:r w:rsidR="00A01890">
        <w:t xml:space="preserve"> </w:t>
      </w:r>
      <w:r w:rsidRPr="008D2F2D">
        <w:rPr>
          <w:i/>
          <w:iCs/>
        </w:rPr>
        <w:t>Decision Adopting Guiding Principles</w:t>
      </w:r>
      <w:r>
        <w:t>, the Commission stated that:</w:t>
      </w:r>
    </w:p>
    <w:p w:rsidRPr="00513D04" w:rsidR="00D94BD0" w:rsidP="006B4534" w:rsidRDefault="00A0562E" w14:paraId="00297B25" w14:textId="5604ECAB">
      <w:pPr>
        <w:pStyle w:val="BlockQuote0"/>
      </w:pPr>
      <w:r w:rsidRPr="00513D04">
        <w:t>cost</w:t>
      </w:r>
      <w:r w:rsidR="00827602">
        <w:noBreakHyphen/>
      </w:r>
      <w:r w:rsidRPr="00513D04">
        <w:t>effectiveness shall be conducted in the manner directed by D.19</w:t>
      </w:r>
      <w:r w:rsidR="00827602">
        <w:noBreakHyphen/>
      </w:r>
      <w:r w:rsidRPr="00513D04">
        <w:t>05</w:t>
      </w:r>
      <w:r w:rsidR="00827602">
        <w:noBreakHyphen/>
      </w:r>
      <w:r w:rsidRPr="00513D04">
        <w:t xml:space="preserve">019. </w:t>
      </w:r>
      <w:r w:rsidRPr="00513D04" w:rsidR="00F711B8">
        <w:t xml:space="preserve"> </w:t>
      </w:r>
      <w:r w:rsidRPr="00513D04">
        <w:t>Relatedly, D.16</w:t>
      </w:r>
      <w:r w:rsidR="00827602">
        <w:noBreakHyphen/>
      </w:r>
      <w:r w:rsidRPr="00513D04">
        <w:t>06</w:t>
      </w:r>
      <w:r w:rsidR="00827602">
        <w:noBreakHyphen/>
      </w:r>
      <w:r w:rsidRPr="00513D04">
        <w:t>007 requires that cost</w:t>
      </w:r>
      <w:r w:rsidR="00827602">
        <w:noBreakHyphen/>
      </w:r>
      <w:r w:rsidRPr="00513D04">
        <w:t xml:space="preserve">effectiveness evaluations for distributed energy resources shall use the most recent version of the Avoided Cost Calculator. </w:t>
      </w:r>
      <w:r w:rsidRPr="00513D04" w:rsidR="00C63A6F">
        <w:t xml:space="preserve"> </w:t>
      </w:r>
      <w:r w:rsidRPr="00513D04">
        <w:t>We clarify that the most recent version of the Avoided Cost Calculator was adopted by the Commission in D.20</w:t>
      </w:r>
      <w:r w:rsidR="00827602">
        <w:noBreakHyphen/>
      </w:r>
      <w:r w:rsidRPr="00513D04">
        <w:t>04</w:t>
      </w:r>
      <w:r w:rsidR="00827602">
        <w:noBreakHyphen/>
      </w:r>
      <w:r w:rsidRPr="00513D04">
        <w:t>010 and Resolution</w:t>
      </w:r>
      <w:r w:rsidRPr="00513D04" w:rsidR="00F61AE4">
        <w:t> </w:t>
      </w:r>
      <w:r w:rsidRPr="00513D04">
        <w:t>E</w:t>
      </w:r>
      <w:r w:rsidR="00827602">
        <w:noBreakHyphen/>
      </w:r>
      <w:r w:rsidRPr="00513D04">
        <w:t xml:space="preserve">5077. </w:t>
      </w:r>
      <w:r w:rsidRPr="00513D04" w:rsidR="00F711B8">
        <w:t xml:space="preserve"> </w:t>
      </w:r>
      <w:r w:rsidRPr="00513D04">
        <w:t xml:space="preserve">Accordingly, requests for changes to the Avoided Cost Calculator in this proceeding will not be considered. </w:t>
      </w:r>
      <w:r w:rsidRPr="00513D04" w:rsidR="00F711B8">
        <w:t xml:space="preserve"> </w:t>
      </w:r>
      <w:r w:rsidRPr="00513D04">
        <w:t xml:space="preserve">However, we underscore that in </w:t>
      </w:r>
      <w:r w:rsidRPr="00513D04">
        <w:lastRenderedPageBreak/>
        <w:t>D.20</w:t>
      </w:r>
      <w:r w:rsidR="00827602">
        <w:noBreakHyphen/>
      </w:r>
      <w:r w:rsidRPr="00513D04">
        <w:t>04</w:t>
      </w:r>
      <w:r w:rsidR="00827602">
        <w:noBreakHyphen/>
      </w:r>
      <w:r w:rsidRPr="00513D04">
        <w:t xml:space="preserve">010, the Commission concluded that </w:t>
      </w:r>
      <w:r w:rsidR="00BA1EAE">
        <w:t>“</w:t>
      </w:r>
      <w:r w:rsidRPr="00513D04">
        <w:t>consideration of the benefits of grid services provided by specific distributed energy resources should be addressed in resource</w:t>
      </w:r>
      <w:r w:rsidR="00827602">
        <w:noBreakHyphen/>
      </w:r>
      <w:r w:rsidRPr="00513D04">
        <w:t>specific proceedings.</w:t>
      </w:r>
      <w:r w:rsidRPr="00513D04" w:rsidR="00C81C58">
        <w:rPr>
          <w:rStyle w:val="FootnoteReference"/>
        </w:rPr>
        <w:footnoteReference w:id="101"/>
      </w:r>
    </w:p>
    <w:p w:rsidR="00D43419" w:rsidP="00A015B3" w:rsidRDefault="00477A31" w14:paraId="1BD19940" w14:textId="37F8444E">
      <w:pPr>
        <w:pStyle w:val="Standard"/>
      </w:pPr>
      <w:r>
        <w:t xml:space="preserve">As described in the most recent update of the Avoided Cost Calculator, </w:t>
      </w:r>
      <w:r w:rsidR="00BA1EAE">
        <w:t>“</w:t>
      </w:r>
      <w:r>
        <w:t>the Commission uses the Avoided Cost Calculator to determine the primary benefits of distributed energy resources across Commission proceedings, the primary benefits being the avoided costs related to the provision of electric and natural gas service. The Avoided Cost Calculator calculates seven types of avoided costs</w:t>
      </w:r>
      <w:r w:rsidR="00555CC0">
        <w:t xml:space="preserve">:  </w:t>
      </w:r>
      <w:r>
        <w:t>generation capacity, energy, transmission and distribution capacity, ancillary services, Renewables Portfolio Standard, greenhouse gas emissions, and high global warming potential gases. The outputs of the Avoided Cost Calculator feed into the cost</w:t>
      </w:r>
      <w:r w:rsidR="00827602">
        <w:noBreakHyphen/>
      </w:r>
      <w:r>
        <w:t>benefit analysis for distributed energy resources.</w:t>
      </w:r>
      <w:r w:rsidR="00BA1EAE">
        <w:t>”</w:t>
      </w:r>
      <w:r>
        <w:rPr>
          <w:rStyle w:val="FootnoteReference"/>
        </w:rPr>
        <w:footnoteReference w:id="102"/>
      </w:r>
      <w:r>
        <w:t xml:space="preserve">  </w:t>
      </w:r>
      <w:r w:rsidR="00EC0562">
        <w:t xml:space="preserve">As the Commission previously </w:t>
      </w:r>
      <w:r w:rsidR="006A5027">
        <w:t>directed</w:t>
      </w:r>
      <w:r w:rsidR="00EC0562">
        <w:t xml:space="preserve"> in both D.1</w:t>
      </w:r>
      <w:r w:rsidR="00770511">
        <w:t>6</w:t>
      </w:r>
      <w:r w:rsidR="00827602">
        <w:noBreakHyphen/>
      </w:r>
      <w:r w:rsidR="00EC0562">
        <w:t>06</w:t>
      </w:r>
      <w:r w:rsidR="00827602">
        <w:noBreakHyphen/>
      </w:r>
      <w:r w:rsidR="00EC0562">
        <w:t>007 and D.</w:t>
      </w:r>
      <w:r w:rsidR="00770511">
        <w:t>19</w:t>
      </w:r>
      <w:r w:rsidR="00827602">
        <w:noBreakHyphen/>
      </w:r>
      <w:r w:rsidR="00770511">
        <w:t>05</w:t>
      </w:r>
      <w:r w:rsidR="00827602">
        <w:noBreakHyphen/>
      </w:r>
      <w:r w:rsidR="00770511">
        <w:t xml:space="preserve">019, avoided costs shall be determined in the </w:t>
      </w:r>
      <w:r w:rsidR="00B72D29">
        <w:t xml:space="preserve">routine </w:t>
      </w:r>
      <w:r w:rsidR="00770511">
        <w:t xml:space="preserve">update of the Avoided Cost Calculator, which will then be used as inputs in the four standard </w:t>
      </w:r>
      <w:r w:rsidR="00150629">
        <w:t xml:space="preserve">practice manual </w:t>
      </w:r>
      <w:r w:rsidR="00770511">
        <w:t>tests</w:t>
      </w:r>
      <w:r w:rsidR="00B72D29">
        <w:t xml:space="preserve"> </w:t>
      </w:r>
      <w:r w:rsidR="00770511">
        <w:t>to determine cost</w:t>
      </w:r>
      <w:r w:rsidR="00827602">
        <w:noBreakHyphen/>
      </w:r>
      <w:r w:rsidR="00770511">
        <w:t>effectiveness</w:t>
      </w:r>
      <w:r w:rsidR="00B72D29">
        <w:t xml:space="preserve"> in resource specific proceedings, including this net energy metering revisit</w:t>
      </w:r>
      <w:r w:rsidR="00770511">
        <w:t>.</w:t>
      </w:r>
    </w:p>
    <w:p w:rsidR="00477A31" w:rsidP="00A015B3" w:rsidRDefault="00D43419" w14:paraId="460A8693" w14:textId="6B9704D7">
      <w:pPr>
        <w:pStyle w:val="Standard"/>
      </w:pPr>
      <w:r>
        <w:t>For further clarity, t</w:t>
      </w:r>
      <w:r w:rsidR="00BD5E98">
        <w:t xml:space="preserve">his decision </w:t>
      </w:r>
      <w:r>
        <w:t xml:space="preserve">notes </w:t>
      </w:r>
      <w:r w:rsidR="00BD5E98">
        <w:t>that t</w:t>
      </w:r>
      <w:r w:rsidR="00477A31">
        <w:t xml:space="preserve">he avoided costs </w:t>
      </w:r>
      <w:r>
        <w:t xml:space="preserve">determined </w:t>
      </w:r>
      <w:r w:rsidR="00EC0562">
        <w:t xml:space="preserve">in the Avoided Cost Calculator </w:t>
      </w:r>
      <w:r>
        <w:t xml:space="preserve">are </w:t>
      </w:r>
      <w:r w:rsidR="00EF199A">
        <w:t xml:space="preserve">the utilities’ marginal costs of providing electric service to customers.  Those costs can be avoided when the demand for energy decreases because of distributed energy resources, and are, thus, the </w:t>
      </w:r>
      <w:r>
        <w:t xml:space="preserve">benefits of </w:t>
      </w:r>
      <w:r w:rsidR="00EF199A">
        <w:t xml:space="preserve">using </w:t>
      </w:r>
      <w:r>
        <w:t>distributed energy resources</w:t>
      </w:r>
      <w:r w:rsidR="00EC0562">
        <w:t>.</w:t>
      </w:r>
      <w:r>
        <w:t xml:space="preserve">  The avoided costs determined in the Avoided Cost Calculator should not be confused with the term </w:t>
      </w:r>
      <w:r w:rsidR="00BA1EAE">
        <w:t>“</w:t>
      </w:r>
      <w:r>
        <w:t>avoided cost</w:t>
      </w:r>
      <w:r w:rsidR="00BA1EAE">
        <w:t>”</w:t>
      </w:r>
      <w:r>
        <w:t xml:space="preserve"> </w:t>
      </w:r>
      <w:r>
        <w:lastRenderedPageBreak/>
        <w:t>used in federal law, where avoided cost is the cost of energy or capacity to a purchasing utility of the next increment of that wholesale energy or capacity.</w:t>
      </w:r>
      <w:r>
        <w:rPr>
          <w:rStyle w:val="FootnoteReference"/>
        </w:rPr>
        <w:footnoteReference w:id="103"/>
      </w:r>
      <w:r w:rsidR="00BB013F">
        <w:t xml:space="preserve">  Because this decision does not make any changes to net surplus compensation, the Commission declines to consider the creation of a new tariff or power purchase agreement for facilities up to three megawatts as recommend</w:t>
      </w:r>
      <w:r w:rsidR="00333F8E">
        <w:t>ed</w:t>
      </w:r>
      <w:r w:rsidR="00BB013F">
        <w:t xml:space="preserve"> by Californians for Renewable Energy.</w:t>
      </w:r>
      <w:r w:rsidR="00BB013F">
        <w:rPr>
          <w:rStyle w:val="FootnoteReference"/>
        </w:rPr>
        <w:footnoteReference w:id="104"/>
      </w:r>
    </w:p>
    <w:p w:rsidR="00533B2F" w:rsidP="00A015B3" w:rsidRDefault="00DE47E6" w14:paraId="1554CAC3" w14:textId="7442E67E">
      <w:pPr>
        <w:pStyle w:val="Standard"/>
      </w:pPr>
      <w:r w:rsidRPr="00513D04">
        <w:t xml:space="preserve">While </w:t>
      </w:r>
      <w:r w:rsidRPr="00513D04" w:rsidR="0081717D">
        <w:t xml:space="preserve">some </w:t>
      </w:r>
      <w:r w:rsidRPr="00513D04">
        <w:t>parties express concern about the current Avoided Cost Calculator and offer modifications to th</w:t>
      </w:r>
      <w:r w:rsidRPr="00513D04" w:rsidR="00A01890">
        <w:t>ese</w:t>
      </w:r>
      <w:r w:rsidR="00A01890">
        <w:t xml:space="preserve"> directives</w:t>
      </w:r>
      <w:r>
        <w:t xml:space="preserve"> </w:t>
      </w:r>
      <w:r w:rsidR="00015467">
        <w:t xml:space="preserve">(which </w:t>
      </w:r>
      <w:r w:rsidR="00FA3385">
        <w:t>is</w:t>
      </w:r>
      <w:r w:rsidR="00015467">
        <w:t xml:space="preserve"> address</w:t>
      </w:r>
      <w:r w:rsidR="00FA3385">
        <w:t>ed</w:t>
      </w:r>
      <w:r w:rsidR="00015467">
        <w:t xml:space="preserve"> below) </w:t>
      </w:r>
      <w:r>
        <w:t>only PCF argues for an alternate cost</w:t>
      </w:r>
      <w:r w:rsidR="00827602">
        <w:noBreakHyphen/>
      </w:r>
      <w:r>
        <w:t xml:space="preserve">effectiveness approach.  </w:t>
      </w:r>
      <w:r w:rsidR="00F711B8">
        <w:t>PCF</w:t>
      </w:r>
      <w:r w:rsidR="00CF6EDA">
        <w:t xml:space="preserve"> </w:t>
      </w:r>
      <w:r>
        <w:t>states,</w:t>
      </w:r>
      <w:r w:rsidR="00F711B8">
        <w:t xml:space="preserve"> Public Utilities Code </w:t>
      </w:r>
      <w:r w:rsidR="0034029C">
        <w:t>Section 2</w:t>
      </w:r>
      <w:r w:rsidR="00F711B8">
        <w:t xml:space="preserve">827.1(b) requires that the successor be </w:t>
      </w:r>
      <w:r w:rsidR="00BA1EAE">
        <w:t>“</w:t>
      </w:r>
      <w:r w:rsidR="00F711B8">
        <w:t>based on the costs and benefits of the renewable electrical facility</w:t>
      </w:r>
      <w:r w:rsidR="00BA1EAE">
        <w:t>”</w:t>
      </w:r>
      <w:r w:rsidR="00F711B8">
        <w:t xml:space="preserve"> </w:t>
      </w:r>
      <w:r w:rsidR="00CF6EDA">
        <w:t xml:space="preserve">and that </w:t>
      </w:r>
      <w:r w:rsidRPr="00CF6EDA" w:rsidR="00CF6EDA">
        <w:t xml:space="preserve">the </w:t>
      </w:r>
      <w:r w:rsidR="00BA1EAE">
        <w:t>“</w:t>
      </w:r>
      <w:r w:rsidRPr="00CF6EDA" w:rsidR="00CF6EDA">
        <w:t>total benefits</w:t>
      </w:r>
      <w:r w:rsidRPr="00CF6EDA" w:rsidR="00CF6EDA">
        <w:rPr>
          <w:i/>
          <w:iCs/>
        </w:rPr>
        <w:t xml:space="preserve"> </w:t>
      </w:r>
      <w:r w:rsidRPr="00CF6EDA" w:rsidR="00CF6EDA">
        <w:t>of the standard contract or tariff to all</w:t>
      </w:r>
      <w:r w:rsidR="00CF6EDA">
        <w:t xml:space="preserve"> </w:t>
      </w:r>
      <w:r w:rsidRPr="00CF6EDA" w:rsidR="00CF6EDA">
        <w:t>customers and the electrical system are approximately equal to the total</w:t>
      </w:r>
      <w:r w:rsidRPr="00CF6EDA" w:rsidR="00CF6EDA">
        <w:rPr>
          <w:i/>
          <w:iCs/>
        </w:rPr>
        <w:t xml:space="preserve"> </w:t>
      </w:r>
      <w:r w:rsidRPr="00CF6EDA" w:rsidR="00CF6EDA">
        <w:t>costs.</w:t>
      </w:r>
      <w:r w:rsidR="00BA1EAE">
        <w:t>”</w:t>
      </w:r>
      <w:r w:rsidR="00F95B01">
        <w:rPr>
          <w:rStyle w:val="FootnoteReference"/>
        </w:rPr>
        <w:footnoteReference w:id="105"/>
      </w:r>
      <w:r w:rsidR="00CF6EDA">
        <w:t xml:space="preserve">  </w:t>
      </w:r>
      <w:r w:rsidR="00F95B01">
        <w:t>PCF recommends that to ensure compliance with the statute, the Commission should rely on the Lookback Study’s cost</w:t>
      </w:r>
      <w:r w:rsidR="00827602">
        <w:noBreakHyphen/>
      </w:r>
      <w:r w:rsidR="00F95B01">
        <w:t>of</w:t>
      </w:r>
      <w:r w:rsidR="00827602">
        <w:noBreakHyphen/>
      </w:r>
      <w:r w:rsidR="00F95B01">
        <w:t>service analysis to identify the actual cost to serve net energy metering customers.</w:t>
      </w:r>
      <w:r w:rsidR="00F95B01">
        <w:rPr>
          <w:rStyle w:val="FootnoteReference"/>
        </w:rPr>
        <w:footnoteReference w:id="106"/>
      </w:r>
      <w:r w:rsidR="00F95B01">
        <w:t xml:space="preserve">  PCF asserts the cost</w:t>
      </w:r>
      <w:r w:rsidR="00827602">
        <w:noBreakHyphen/>
      </w:r>
      <w:r w:rsidR="00F95B01">
        <w:t>of</w:t>
      </w:r>
      <w:r w:rsidR="00827602">
        <w:noBreakHyphen/>
      </w:r>
      <w:r w:rsidR="00F95B01">
        <w:t>service analysis determines the actual costs to serve net energy metering customers and relies on the actual data that is transparent.</w:t>
      </w:r>
      <w:r w:rsidR="00F95B01">
        <w:rPr>
          <w:rStyle w:val="FootnoteReference"/>
        </w:rPr>
        <w:footnoteReference w:id="107"/>
      </w:r>
      <w:r w:rsidR="00F95B01">
        <w:t xml:space="preserve">  PCF contends the Avoided Cost Calculator underestimates the benefits of behind</w:t>
      </w:r>
      <w:r w:rsidR="00827602">
        <w:noBreakHyphen/>
      </w:r>
      <w:r w:rsidR="00F95B01">
        <w:t>the</w:t>
      </w:r>
      <w:r w:rsidR="00827602">
        <w:noBreakHyphen/>
      </w:r>
      <w:r w:rsidR="00F95B01">
        <w:t xml:space="preserve">meter generation such as reduced transmission and </w:t>
      </w:r>
      <w:r w:rsidR="00F95B01">
        <w:lastRenderedPageBreak/>
        <w:t>distribution costs, reduced greenhouse gases, and system resiliency and reliability.</w:t>
      </w:r>
      <w:r w:rsidR="00F95B01">
        <w:rPr>
          <w:rStyle w:val="FootnoteReference"/>
        </w:rPr>
        <w:footnoteReference w:id="108"/>
      </w:r>
    </w:p>
    <w:p w:rsidR="00935904" w:rsidP="00A015B3" w:rsidRDefault="00313D1B" w14:paraId="6FB99E15" w14:textId="58F29455">
      <w:pPr>
        <w:pStyle w:val="Standard"/>
      </w:pPr>
      <w:r>
        <w:t xml:space="preserve">PCF recognizes </w:t>
      </w:r>
      <w:r w:rsidR="00A01890">
        <w:t>the</w:t>
      </w:r>
      <w:r>
        <w:t xml:space="preserve"> prior determination </w:t>
      </w:r>
      <w:r w:rsidRPr="00313D1B">
        <w:t xml:space="preserve">that requests for changes to the Avoided Cost Calculator in this proceeding will not be considered.  </w:t>
      </w:r>
      <w:r>
        <w:t>In lieu</w:t>
      </w:r>
      <w:r w:rsidRPr="00313D1B">
        <w:t xml:space="preserve"> of </w:t>
      </w:r>
      <w:r>
        <w:t>requesting</w:t>
      </w:r>
      <w:r w:rsidRPr="00313D1B">
        <w:t xml:space="preserve"> changes to the Avoided Cost Calculator, PCF asks the Commission to </w:t>
      </w:r>
      <w:r w:rsidR="00BA1EAE">
        <w:t>“</w:t>
      </w:r>
      <w:r w:rsidR="0071796A">
        <w:t>rely on the Lookback Study’s cost</w:t>
      </w:r>
      <w:r w:rsidR="00827602">
        <w:noBreakHyphen/>
      </w:r>
      <w:r w:rsidR="0071796A">
        <w:t>of</w:t>
      </w:r>
      <w:r w:rsidR="00827602">
        <w:noBreakHyphen/>
      </w:r>
      <w:r w:rsidR="0071796A">
        <w:t xml:space="preserve">service analysis to identify the </w:t>
      </w:r>
      <w:r w:rsidR="00EF2C39">
        <w:t xml:space="preserve">actual </w:t>
      </w:r>
      <w:r w:rsidR="0071796A">
        <w:t xml:space="preserve">cost to serve </w:t>
      </w:r>
      <w:r w:rsidR="00EF2C39">
        <w:t xml:space="preserve">[net energy metering] </w:t>
      </w:r>
      <w:r w:rsidR="0071796A">
        <w:t>customers</w:t>
      </w:r>
      <w:r w:rsidR="0048238A">
        <w:t xml:space="preserve"> and </w:t>
      </w:r>
      <w:r w:rsidR="00BA1EAE">
        <w:t>“</w:t>
      </w:r>
      <w:r w:rsidR="0048238A">
        <w:t>not rely on the Avoided Cost Calculator as the primary indicator of the cost</w:t>
      </w:r>
      <w:r w:rsidR="00827602">
        <w:noBreakHyphen/>
      </w:r>
      <w:r w:rsidR="0048238A">
        <w:t>effectiveness of any [net energy metering] tariff</w:t>
      </w:r>
      <w:r w:rsidR="0071796A">
        <w:t>.</w:t>
      </w:r>
      <w:r w:rsidR="00BA1EAE">
        <w:t>”</w:t>
      </w:r>
      <w:r w:rsidR="0071796A">
        <w:rPr>
          <w:rStyle w:val="FootnoteReference"/>
        </w:rPr>
        <w:footnoteReference w:id="109"/>
      </w:r>
      <w:r w:rsidR="0071796A">
        <w:t xml:space="preserve"> </w:t>
      </w:r>
      <w:r>
        <w:t xml:space="preserve">PCF’s justification for this is </w:t>
      </w:r>
      <w:r w:rsidR="00767185">
        <w:t>its</w:t>
      </w:r>
      <w:r>
        <w:t xml:space="preserve"> claim that the Avoided Cost Calculator underestimates </w:t>
      </w:r>
      <w:r w:rsidR="002501A3">
        <w:t>transmission and distribution costs, reduced greenhouse gases</w:t>
      </w:r>
      <w:r w:rsidR="00A01890">
        <w:t>,</w:t>
      </w:r>
      <w:r w:rsidR="002501A3">
        <w:t xml:space="preserve"> and system resiliency and reliability</w:t>
      </w:r>
      <w:r w:rsidR="00A01890">
        <w:t>;</w:t>
      </w:r>
      <w:r w:rsidR="0071796A">
        <w:rPr>
          <w:rStyle w:val="FootnoteReference"/>
        </w:rPr>
        <w:footnoteReference w:id="110"/>
      </w:r>
      <w:r w:rsidR="002501A3">
        <w:t xml:space="preserve"> all of which </w:t>
      </w:r>
      <w:r w:rsidR="00A01890">
        <w:t>the Commission</w:t>
      </w:r>
      <w:r w:rsidR="002501A3">
        <w:t xml:space="preserve"> addressed in D.20</w:t>
      </w:r>
      <w:r w:rsidR="00827602">
        <w:noBreakHyphen/>
      </w:r>
      <w:r w:rsidR="002501A3">
        <w:t>04</w:t>
      </w:r>
      <w:r w:rsidR="00827602">
        <w:noBreakHyphen/>
      </w:r>
      <w:r w:rsidR="002501A3">
        <w:t>010.</w:t>
      </w:r>
      <w:r w:rsidR="00C27468">
        <w:rPr>
          <w:rStyle w:val="FootnoteReference"/>
        </w:rPr>
        <w:footnoteReference w:id="111"/>
      </w:r>
      <w:r w:rsidR="002501A3">
        <w:t xml:space="preserve">  </w:t>
      </w:r>
      <w:r w:rsidR="0071796A">
        <w:t xml:space="preserve">Hence, PCF is essentially asking the Commission to </w:t>
      </w:r>
      <w:r w:rsidRPr="00313D1B" w:rsidR="0071796A">
        <w:t xml:space="preserve">upend three prior decisions </w:t>
      </w:r>
      <w:r w:rsidR="0071796A">
        <w:t xml:space="preserve">requiring use of the Avoided Cost Calculator </w:t>
      </w:r>
      <w:r w:rsidR="0048238A">
        <w:t>as the determinant of the inputs for the standard practice manual cost</w:t>
      </w:r>
      <w:r w:rsidR="00827602">
        <w:noBreakHyphen/>
      </w:r>
      <w:r w:rsidR="0048238A">
        <w:t xml:space="preserve">effectiveness tests </w:t>
      </w:r>
      <w:r w:rsidRPr="00313D1B" w:rsidR="0071796A">
        <w:t xml:space="preserve">and </w:t>
      </w:r>
      <w:r w:rsidR="0048238A">
        <w:t>instead use the</w:t>
      </w:r>
      <w:r w:rsidRPr="00313D1B" w:rsidR="0071796A">
        <w:t xml:space="preserve"> Lookback Study’</w:t>
      </w:r>
      <w:r w:rsidR="0071796A">
        <w:t>s</w:t>
      </w:r>
      <w:r w:rsidRPr="00313D1B" w:rsidR="0071796A">
        <w:t xml:space="preserve"> cost</w:t>
      </w:r>
      <w:r w:rsidR="00827602">
        <w:noBreakHyphen/>
      </w:r>
      <w:r w:rsidRPr="00313D1B" w:rsidR="0071796A">
        <w:t>of</w:t>
      </w:r>
      <w:r w:rsidR="00827602">
        <w:noBreakHyphen/>
      </w:r>
      <w:r w:rsidRPr="00313D1B" w:rsidR="0071796A">
        <w:t>service analysis.</w:t>
      </w:r>
      <w:r w:rsidR="0071796A">
        <w:t xml:space="preserve">  </w:t>
      </w:r>
      <w:r w:rsidR="00C27468">
        <w:t>Accordingly</w:t>
      </w:r>
      <w:r w:rsidR="002501A3">
        <w:t xml:space="preserve">, the request by PCF to </w:t>
      </w:r>
      <w:r w:rsidR="0048238A">
        <w:t>use the Lookback Study cost</w:t>
      </w:r>
      <w:r w:rsidR="00827602">
        <w:noBreakHyphen/>
      </w:r>
      <w:r w:rsidR="0048238A">
        <w:t>of</w:t>
      </w:r>
      <w:r w:rsidR="00827602">
        <w:noBreakHyphen/>
      </w:r>
      <w:r w:rsidR="0048238A">
        <w:t xml:space="preserve">service analysis in </w:t>
      </w:r>
      <w:r w:rsidR="002501A3">
        <w:t xml:space="preserve">place </w:t>
      </w:r>
      <w:r w:rsidR="0048238A">
        <w:t xml:space="preserve">of </w:t>
      </w:r>
      <w:r w:rsidR="002501A3">
        <w:t xml:space="preserve">the Avoided Cost Calculator </w:t>
      </w:r>
      <w:r w:rsidR="0048238A">
        <w:t>and the standard practice manual cost</w:t>
      </w:r>
      <w:r w:rsidR="00827602">
        <w:noBreakHyphen/>
      </w:r>
      <w:r w:rsidR="0048238A">
        <w:t xml:space="preserve">effectiveness tests </w:t>
      </w:r>
      <w:r w:rsidR="008E66A4">
        <w:t>is denied</w:t>
      </w:r>
      <w:r w:rsidR="002501A3">
        <w:t>.</w:t>
      </w:r>
    </w:p>
    <w:p w:rsidR="00EE2A51" w:rsidP="00A015B3" w:rsidRDefault="00EE2A51" w14:paraId="78259E62" w14:textId="1C6334A2">
      <w:pPr>
        <w:pStyle w:val="Standard"/>
      </w:pPr>
      <w:r>
        <w:t>W</w:t>
      </w:r>
      <w:r w:rsidR="008E66A4">
        <w:t xml:space="preserve">ith respect </w:t>
      </w:r>
      <w:r>
        <w:t xml:space="preserve">to </w:t>
      </w:r>
      <w:r w:rsidR="003E4029">
        <w:t xml:space="preserve">requested </w:t>
      </w:r>
      <w:r>
        <w:t>modifications to the adopted approach</w:t>
      </w:r>
      <w:r w:rsidR="008822DE">
        <w:t xml:space="preserve"> of analyzing cost</w:t>
      </w:r>
      <w:r w:rsidR="00827602">
        <w:noBreakHyphen/>
      </w:r>
      <w:r w:rsidR="008822DE">
        <w:t>effectiveness</w:t>
      </w:r>
      <w:r w:rsidR="008E66A4">
        <w:t xml:space="preserve">, </w:t>
      </w:r>
      <w:r>
        <w:t>parties offer t</w:t>
      </w:r>
      <w:r w:rsidR="005F493E">
        <w:t>w</w:t>
      </w:r>
      <w:r>
        <w:t>o categories of modifications</w:t>
      </w:r>
      <w:r w:rsidR="00555CC0">
        <w:t xml:space="preserve">:  </w:t>
      </w:r>
      <w:r w:rsidR="00354650">
        <w:t>(1)</w:t>
      </w:r>
      <w:r w:rsidR="009716EC">
        <w:t> </w:t>
      </w:r>
      <w:r>
        <w:t>revisions to the tests themselves</w:t>
      </w:r>
      <w:r w:rsidR="00354650">
        <w:t>;</w:t>
      </w:r>
      <w:r>
        <w:t xml:space="preserve"> and </w:t>
      </w:r>
      <w:r w:rsidR="00354650">
        <w:t>(2)</w:t>
      </w:r>
      <w:r w:rsidR="009716EC">
        <w:t> </w:t>
      </w:r>
      <w:r>
        <w:t xml:space="preserve">revisions to the weight </w:t>
      </w:r>
      <w:r w:rsidR="00424628">
        <w:t>given</w:t>
      </w:r>
      <w:r>
        <w:t xml:space="preserve"> </w:t>
      </w:r>
      <w:r w:rsidR="00424628">
        <w:t xml:space="preserve">to </w:t>
      </w:r>
      <w:r>
        <w:t xml:space="preserve">each of the four tests.  </w:t>
      </w:r>
      <w:r w:rsidR="008E66A4">
        <w:t xml:space="preserve">This decision </w:t>
      </w:r>
      <w:r>
        <w:t>begin</w:t>
      </w:r>
      <w:r w:rsidR="008E66A4">
        <w:t>s</w:t>
      </w:r>
      <w:r>
        <w:t xml:space="preserve"> with the lat</w:t>
      </w:r>
      <w:r w:rsidR="006B0FD9">
        <w:t>t</w:t>
      </w:r>
      <w:r>
        <w:t>er.</w:t>
      </w:r>
    </w:p>
    <w:p w:rsidR="002119E0" w:rsidP="00A015B3" w:rsidRDefault="00EE2A51" w14:paraId="16F85FC8" w14:textId="2C648AD6">
      <w:pPr>
        <w:pStyle w:val="Standard"/>
      </w:pPr>
      <w:r>
        <w:lastRenderedPageBreak/>
        <w:t xml:space="preserve">Several parties support the Commission directive </w:t>
      </w:r>
      <w:r w:rsidR="001252BD">
        <w:t>requiring</w:t>
      </w:r>
      <w:r w:rsidR="005F493E">
        <w:t xml:space="preserve"> </w:t>
      </w:r>
      <w:r w:rsidR="001252BD">
        <w:t>cost</w:t>
      </w:r>
      <w:r w:rsidR="00827602">
        <w:noBreakHyphen/>
      </w:r>
      <w:r w:rsidR="001252BD">
        <w:t>effectiveness analyses</w:t>
      </w:r>
      <w:r w:rsidR="005F493E">
        <w:t xml:space="preserve"> </w:t>
      </w:r>
      <w:r w:rsidR="001252BD">
        <w:t xml:space="preserve">to </w:t>
      </w:r>
      <w:r w:rsidR="005F493E">
        <w:t xml:space="preserve">review the </w:t>
      </w:r>
      <w:proofErr w:type="spellStart"/>
      <w:r w:rsidR="005F493E">
        <w:t>TRC</w:t>
      </w:r>
      <w:proofErr w:type="spellEnd"/>
      <w:r w:rsidR="005F493E">
        <w:t xml:space="preserve">, PCT, and RIM </w:t>
      </w:r>
      <w:r w:rsidR="00C81C58">
        <w:t xml:space="preserve">test </w:t>
      </w:r>
      <w:r w:rsidR="005F493E">
        <w:t xml:space="preserve">results, </w:t>
      </w:r>
      <w:r w:rsidR="001252BD">
        <w:t xml:space="preserve">but naming </w:t>
      </w:r>
      <w:r>
        <w:t xml:space="preserve">the </w:t>
      </w:r>
      <w:proofErr w:type="spellStart"/>
      <w:r>
        <w:t>TRC</w:t>
      </w:r>
      <w:proofErr w:type="spellEnd"/>
      <w:r>
        <w:t xml:space="preserve"> </w:t>
      </w:r>
      <w:r w:rsidR="001252BD">
        <w:t>as</w:t>
      </w:r>
      <w:r>
        <w:t xml:space="preserve"> the primary test by which to evaluate cost</w:t>
      </w:r>
      <w:r w:rsidR="00827602">
        <w:noBreakHyphen/>
      </w:r>
      <w:r>
        <w:t>effectiveness.</w:t>
      </w:r>
      <w:r w:rsidR="007C4232">
        <w:rPr>
          <w:rStyle w:val="FootnoteReference"/>
        </w:rPr>
        <w:footnoteReference w:id="112"/>
      </w:r>
      <w:r>
        <w:t xml:space="preserve"> </w:t>
      </w:r>
      <w:r w:rsidR="00767185">
        <w:t xml:space="preserve"> </w:t>
      </w:r>
      <w:proofErr w:type="spellStart"/>
      <w:r w:rsidR="00424628">
        <w:t>SBUA</w:t>
      </w:r>
      <w:proofErr w:type="spellEnd"/>
      <w:r w:rsidR="00424628">
        <w:t xml:space="preserve"> </w:t>
      </w:r>
      <w:r w:rsidR="004160B1">
        <w:t xml:space="preserve">concurs with this approach </w:t>
      </w:r>
      <w:r w:rsidR="00C97E0A">
        <w:t xml:space="preserve">and notes </w:t>
      </w:r>
      <w:r w:rsidR="004160B1">
        <w:t xml:space="preserve">that relying primarily on the </w:t>
      </w:r>
      <w:proofErr w:type="spellStart"/>
      <w:r w:rsidR="004160B1">
        <w:t>TRC</w:t>
      </w:r>
      <w:proofErr w:type="spellEnd"/>
      <w:r w:rsidR="004160B1">
        <w:t xml:space="preserve"> </w:t>
      </w:r>
      <w:r w:rsidR="00C81C58">
        <w:t xml:space="preserve">test </w:t>
      </w:r>
      <w:r w:rsidR="004160B1">
        <w:t xml:space="preserve">is supported by Public Utilities Code </w:t>
      </w:r>
      <w:r w:rsidR="0034029C">
        <w:t>Section 2</w:t>
      </w:r>
      <w:r w:rsidR="004160B1">
        <w:t xml:space="preserve">827.1, </w:t>
      </w:r>
      <w:r w:rsidR="00A01890">
        <w:t>which requires</w:t>
      </w:r>
      <w:r w:rsidR="004160B1">
        <w:t xml:space="preserve"> the tariff to ensure that total benefits of the tariff to all customers and the electrical system are approximately equal to the total costs.</w:t>
      </w:r>
      <w:r w:rsidR="004160B1">
        <w:rPr>
          <w:rStyle w:val="FootnoteReference"/>
        </w:rPr>
        <w:footnoteReference w:id="113"/>
      </w:r>
      <w:r w:rsidR="002D4647">
        <w:t xml:space="preserve">  </w:t>
      </w:r>
      <w:r w:rsidR="00A01890">
        <w:t>While</w:t>
      </w:r>
      <w:r w:rsidR="002D4647">
        <w:t xml:space="preserve"> agreeing the </w:t>
      </w:r>
      <w:proofErr w:type="spellStart"/>
      <w:r w:rsidR="002D4647">
        <w:t>TRC</w:t>
      </w:r>
      <w:proofErr w:type="spellEnd"/>
      <w:r w:rsidR="002D4647">
        <w:t xml:space="preserve"> </w:t>
      </w:r>
      <w:r w:rsidR="00C81C58">
        <w:t xml:space="preserve">test </w:t>
      </w:r>
      <w:r w:rsidR="002D4647">
        <w:t xml:space="preserve">is the primary test, </w:t>
      </w:r>
      <w:proofErr w:type="spellStart"/>
      <w:r w:rsidR="002D4647">
        <w:t>CALSSA</w:t>
      </w:r>
      <w:proofErr w:type="spellEnd"/>
      <w:r w:rsidR="007A75F6">
        <w:t xml:space="preserve"> </w:t>
      </w:r>
      <w:r w:rsidR="002D4647">
        <w:t xml:space="preserve">underscores the principle stated in the Standard Practice Manual that the tests </w:t>
      </w:r>
      <w:r w:rsidR="00BA1EAE">
        <w:t>“</w:t>
      </w:r>
      <w:r w:rsidR="002D4647">
        <w:t>are not intended to be used individually or in isolation</w:t>
      </w:r>
      <w:r w:rsidR="00BA1EAE">
        <w:t>”</w:t>
      </w:r>
      <w:r w:rsidR="002D4647">
        <w:t xml:space="preserve"> but</w:t>
      </w:r>
      <w:r w:rsidR="00A01890">
        <w:t xml:space="preserve">, rather, </w:t>
      </w:r>
      <w:r w:rsidR="001252BD">
        <w:t>necessitate</w:t>
      </w:r>
      <w:r w:rsidR="002D4647">
        <w:t xml:space="preserve"> the consideration of </w:t>
      </w:r>
      <w:r w:rsidR="001252BD">
        <w:t xml:space="preserve">the </w:t>
      </w:r>
      <w:r w:rsidR="00BA1EAE">
        <w:t>“</w:t>
      </w:r>
      <w:r w:rsidR="002D4647">
        <w:t>tradeoffs between the tests.</w:t>
      </w:r>
      <w:r w:rsidR="00BA1EAE">
        <w:t>”</w:t>
      </w:r>
      <w:r w:rsidR="002D4647">
        <w:rPr>
          <w:rStyle w:val="FootnoteReference"/>
        </w:rPr>
        <w:footnoteReference w:id="114"/>
      </w:r>
    </w:p>
    <w:p w:rsidR="004160B1" w:rsidP="00A015B3" w:rsidRDefault="007C4232" w14:paraId="1A524F71" w14:textId="4C2D6300">
      <w:pPr>
        <w:pStyle w:val="Standard"/>
      </w:pPr>
      <w:proofErr w:type="spellStart"/>
      <w:r>
        <w:t>IEPA</w:t>
      </w:r>
      <w:proofErr w:type="spellEnd"/>
      <w:r w:rsidR="007A75F6">
        <w:t xml:space="preserve"> </w:t>
      </w:r>
      <w:r>
        <w:t xml:space="preserve">maintains the </w:t>
      </w:r>
      <w:proofErr w:type="spellStart"/>
      <w:r>
        <w:t>TRC</w:t>
      </w:r>
      <w:proofErr w:type="spellEnd"/>
      <w:r>
        <w:t xml:space="preserve"> </w:t>
      </w:r>
      <w:r w:rsidR="00C81C58">
        <w:t xml:space="preserve">test </w:t>
      </w:r>
      <w:r>
        <w:t>does not offer much insight in the cost</w:t>
      </w:r>
      <w:r w:rsidR="007A75F6">
        <w:t>s</w:t>
      </w:r>
      <w:r>
        <w:t xml:space="preserve"> and benefits of individual proposals for the successor tariff.  </w:t>
      </w:r>
      <w:proofErr w:type="spellStart"/>
      <w:r>
        <w:t>IEPA</w:t>
      </w:r>
      <w:proofErr w:type="spellEnd"/>
      <w:r>
        <w:t xml:space="preserve"> submits </w:t>
      </w:r>
      <w:r w:rsidR="00767185">
        <w:t xml:space="preserve">that </w:t>
      </w:r>
      <w:r>
        <w:t xml:space="preserve">a resource can have a </w:t>
      </w:r>
      <w:proofErr w:type="spellStart"/>
      <w:r>
        <w:t>TRC</w:t>
      </w:r>
      <w:proofErr w:type="spellEnd"/>
      <w:r>
        <w:t xml:space="preserve"> </w:t>
      </w:r>
      <w:r w:rsidR="00C81C58">
        <w:t xml:space="preserve">test </w:t>
      </w:r>
      <w:r>
        <w:t>score of more than one indicating cost</w:t>
      </w:r>
      <w:r w:rsidR="00827602">
        <w:noBreakHyphen/>
      </w:r>
      <w:r>
        <w:t>effectiveness, but that score does not indicate whether the resource is a better choice than another resource with a higher score.</w:t>
      </w:r>
      <w:r>
        <w:rPr>
          <w:rStyle w:val="FootnoteReference"/>
        </w:rPr>
        <w:footnoteReference w:id="115"/>
      </w:r>
      <w:r>
        <w:t xml:space="preserve">  </w:t>
      </w:r>
      <w:r w:rsidR="007A75F6">
        <w:t xml:space="preserve">Similar to </w:t>
      </w:r>
      <w:proofErr w:type="spellStart"/>
      <w:r w:rsidR="007A75F6">
        <w:t>CALSSA</w:t>
      </w:r>
      <w:proofErr w:type="spellEnd"/>
      <w:r>
        <w:t xml:space="preserve">, </w:t>
      </w:r>
      <w:proofErr w:type="spellStart"/>
      <w:r>
        <w:t>IEPA</w:t>
      </w:r>
      <w:proofErr w:type="spellEnd"/>
      <w:r>
        <w:t xml:space="preserve"> contends use of the </w:t>
      </w:r>
      <w:proofErr w:type="spellStart"/>
      <w:r>
        <w:t>TRC</w:t>
      </w:r>
      <w:proofErr w:type="spellEnd"/>
      <w:r>
        <w:t xml:space="preserve"> </w:t>
      </w:r>
      <w:r w:rsidR="00C81C58">
        <w:t xml:space="preserve">test </w:t>
      </w:r>
      <w:r>
        <w:t xml:space="preserve">along with the RIM and PCT </w:t>
      </w:r>
      <w:r w:rsidR="00C81C58">
        <w:t xml:space="preserve">tests </w:t>
      </w:r>
      <w:r>
        <w:t xml:space="preserve">will provide the Commission with useful information about </w:t>
      </w:r>
      <w:r w:rsidR="00D416A8">
        <w:t>different</w:t>
      </w:r>
      <w:r>
        <w:t xml:space="preserve"> aspects of proposals.</w:t>
      </w:r>
      <w:r>
        <w:rPr>
          <w:rStyle w:val="FootnoteReference"/>
        </w:rPr>
        <w:footnoteReference w:id="116"/>
      </w:r>
      <w:r w:rsidR="005F493E">
        <w:t xml:space="preserve">  </w:t>
      </w:r>
      <w:r w:rsidR="003E4029">
        <w:t xml:space="preserve">Joint Utilities </w:t>
      </w:r>
      <w:r w:rsidR="007A75F6">
        <w:t xml:space="preserve">also </w:t>
      </w:r>
      <w:r w:rsidR="003E4029">
        <w:t>support use of all three</w:t>
      </w:r>
      <w:r w:rsidR="00D416A8">
        <w:t xml:space="preserve"> tests</w:t>
      </w:r>
      <w:r w:rsidR="003E4029">
        <w:t>, indicating each has its value</w:t>
      </w:r>
      <w:r w:rsidR="00555CC0">
        <w:t xml:space="preserve">:  </w:t>
      </w:r>
      <w:r w:rsidR="003E4029">
        <w:t xml:space="preserve">the </w:t>
      </w:r>
      <w:proofErr w:type="spellStart"/>
      <w:r w:rsidR="003E4029">
        <w:t>TRC</w:t>
      </w:r>
      <w:proofErr w:type="spellEnd"/>
      <w:r w:rsidR="003E4029">
        <w:t xml:space="preserve"> </w:t>
      </w:r>
      <w:r w:rsidR="00C81C58">
        <w:t xml:space="preserve">test </w:t>
      </w:r>
      <w:r w:rsidR="003E4029">
        <w:t xml:space="preserve">has the ability to indicate whether a </w:t>
      </w:r>
      <w:r w:rsidR="00812B81">
        <w:t>d</w:t>
      </w:r>
      <w:r w:rsidR="003E4029">
        <w:t>emand side program is cost</w:t>
      </w:r>
      <w:r w:rsidR="00827602">
        <w:noBreakHyphen/>
      </w:r>
      <w:r w:rsidR="003E4029">
        <w:t xml:space="preserve">effective to the grid </w:t>
      </w:r>
      <w:r w:rsidR="003E4029">
        <w:lastRenderedPageBreak/>
        <w:t>relative to other resource options;</w:t>
      </w:r>
      <w:r w:rsidR="003E4029">
        <w:rPr>
          <w:rStyle w:val="FootnoteReference"/>
        </w:rPr>
        <w:footnoteReference w:id="117"/>
      </w:r>
      <w:r w:rsidR="003E4029">
        <w:t xml:space="preserve"> the RIM </w:t>
      </w:r>
      <w:r w:rsidR="00C81C58">
        <w:t xml:space="preserve">test </w:t>
      </w:r>
      <w:r w:rsidR="003E4029">
        <w:t>measures what happens to rates due to changes in utility revenues and operating costs caused by the program;</w:t>
      </w:r>
      <w:r w:rsidR="003E4029">
        <w:rPr>
          <w:rStyle w:val="FootnoteReference"/>
        </w:rPr>
        <w:footnoteReference w:id="118"/>
      </w:r>
      <w:r w:rsidR="003E4029">
        <w:t xml:space="preserve"> and the PCT measures the economic viability of a distributed generation facility to the developer or customer installing the facility and can assist the Commission in determining the level of incentive needed to promote the investment.</w:t>
      </w:r>
      <w:r w:rsidR="003E4029">
        <w:rPr>
          <w:rStyle w:val="FootnoteReference"/>
        </w:rPr>
        <w:footnoteReference w:id="119"/>
      </w:r>
    </w:p>
    <w:p w:rsidR="003C41A0" w:rsidP="00A015B3" w:rsidRDefault="00D87A35" w14:paraId="6B7E63DA" w14:textId="0DCEB9D9">
      <w:pPr>
        <w:pStyle w:val="Standard"/>
      </w:pPr>
      <w:r>
        <w:t xml:space="preserve">In support of the RIM test as the primary test, </w:t>
      </w:r>
      <w:r w:rsidR="009355F1">
        <w:t>Cal Advoc</w:t>
      </w:r>
      <w:r>
        <w:t>ates argue</w:t>
      </w:r>
      <w:r w:rsidR="00FA70F0">
        <w:t>s</w:t>
      </w:r>
      <w:r>
        <w:t xml:space="preserve"> </w:t>
      </w:r>
      <w:r w:rsidR="00893753">
        <w:t xml:space="preserve">that </w:t>
      </w:r>
      <w:r>
        <w:t xml:space="preserve">use of the RIM </w:t>
      </w:r>
      <w:r w:rsidR="00C81C58">
        <w:t xml:space="preserve">test </w:t>
      </w:r>
      <w:r>
        <w:t>will ensure the most accurate analysis since it is the only test that captures the tariff’s cost burden for non</w:t>
      </w:r>
      <w:r w:rsidR="00827602">
        <w:noBreakHyphen/>
      </w:r>
      <w:r>
        <w:t>participants, thus addressing the principle of equity.</w:t>
      </w:r>
      <w:r>
        <w:rPr>
          <w:rStyle w:val="FootnoteReference"/>
        </w:rPr>
        <w:footnoteReference w:id="120"/>
      </w:r>
      <w:r>
        <w:t xml:space="preserve">  </w:t>
      </w:r>
      <w:r w:rsidR="009355F1">
        <w:t>Cal Advoc</w:t>
      </w:r>
      <w:r>
        <w:t xml:space="preserve">ates </w:t>
      </w:r>
      <w:r w:rsidR="005E6065">
        <w:t xml:space="preserve">further </w:t>
      </w:r>
      <w:r>
        <w:t>argue</w:t>
      </w:r>
      <w:r w:rsidR="00FA70F0">
        <w:t>s</w:t>
      </w:r>
      <w:r>
        <w:t xml:space="preserve"> </w:t>
      </w:r>
      <w:r w:rsidR="00A01890">
        <w:t xml:space="preserve">that </w:t>
      </w:r>
      <w:r>
        <w:t xml:space="preserve">the </w:t>
      </w:r>
      <w:r w:rsidR="00014AD9">
        <w:t>co</w:t>
      </w:r>
      <w:r w:rsidR="00827602">
        <w:noBreakHyphen/>
      </w:r>
      <w:r w:rsidR="00014AD9">
        <w:t xml:space="preserve">mingling of participants and nonparticipants in </w:t>
      </w:r>
      <w:r w:rsidR="00A01890">
        <w:t xml:space="preserve">the </w:t>
      </w:r>
      <w:proofErr w:type="spellStart"/>
      <w:r>
        <w:t>TRC</w:t>
      </w:r>
      <w:proofErr w:type="spellEnd"/>
      <w:r>
        <w:t xml:space="preserve"> </w:t>
      </w:r>
      <w:r w:rsidR="00C81C58">
        <w:t xml:space="preserve">test </w:t>
      </w:r>
      <w:r w:rsidR="00014AD9">
        <w:t>(</w:t>
      </w:r>
      <w:r w:rsidRPr="00C63A6F" w:rsidR="00014AD9">
        <w:rPr>
          <w:i/>
          <w:iCs/>
        </w:rPr>
        <w:t>i.e</w:t>
      </w:r>
      <w:r w:rsidR="00014AD9">
        <w:t>.</w:t>
      </w:r>
      <w:r w:rsidR="00E0000C">
        <w:t>,</w:t>
      </w:r>
      <w:r w:rsidR="00014AD9">
        <w:t xml:space="preserve"> general ratepayers) </w:t>
      </w:r>
      <w:r>
        <w:t>does not capture alteration</w:t>
      </w:r>
      <w:r w:rsidR="00A01890">
        <w:t>s</w:t>
      </w:r>
      <w:r>
        <w:t xml:space="preserve"> in net energy metering tariff design nor does it address equity concerns.</w:t>
      </w:r>
      <w:r w:rsidR="005E6065">
        <w:rPr>
          <w:rStyle w:val="FootnoteReference"/>
        </w:rPr>
        <w:footnoteReference w:id="121"/>
      </w:r>
      <w:r>
        <w:t xml:space="preserve">  </w:t>
      </w:r>
      <w:r w:rsidR="00FA4005">
        <w:t>NRDC points out the impact of distributed generation with a net energy metering tariff is two</w:t>
      </w:r>
      <w:r w:rsidR="00827602">
        <w:noBreakHyphen/>
      </w:r>
      <w:r w:rsidR="00FA4005">
        <w:t>fold in that participants are paid for electricity exports and they offset their onsite consumption with self</w:t>
      </w:r>
      <w:r w:rsidR="00827602">
        <w:noBreakHyphen/>
      </w:r>
      <w:r w:rsidR="00FA4005">
        <w:t xml:space="preserve">generation, neither of which are achieved without installing the </w:t>
      </w:r>
      <w:r w:rsidR="00CA1BA0">
        <w:t xml:space="preserve">generation </w:t>
      </w:r>
      <w:r w:rsidR="00FA4005">
        <w:t>system.</w:t>
      </w:r>
      <w:r w:rsidR="00FA4005">
        <w:rPr>
          <w:rStyle w:val="FootnoteReference"/>
        </w:rPr>
        <w:footnoteReference w:id="122"/>
      </w:r>
      <w:r w:rsidR="00FA4005">
        <w:t xml:space="preserve">  NRDC contends the RIM test </w:t>
      </w:r>
      <w:r w:rsidR="00C81C58">
        <w:t>evaluates</w:t>
      </w:r>
      <w:r w:rsidR="00FA4005">
        <w:t xml:space="preserve"> the impact of both self</w:t>
      </w:r>
      <w:r w:rsidR="00827602">
        <w:noBreakHyphen/>
      </w:r>
      <w:r w:rsidR="00FA4005">
        <w:t>consumption and export.</w:t>
      </w:r>
      <w:r w:rsidR="00FA4005">
        <w:rPr>
          <w:rStyle w:val="FootnoteReference"/>
        </w:rPr>
        <w:footnoteReference w:id="123"/>
      </w:r>
      <w:r w:rsidR="00FA4005">
        <w:t xml:space="preserve">  </w:t>
      </w:r>
      <w:proofErr w:type="spellStart"/>
      <w:r w:rsidR="004160B1">
        <w:t>SBUA</w:t>
      </w:r>
      <w:proofErr w:type="spellEnd"/>
      <w:r w:rsidR="004160B1">
        <w:t xml:space="preserve"> opposes primary reliance on the RIM test as a measure of cost</w:t>
      </w:r>
      <w:r w:rsidR="00827602">
        <w:noBreakHyphen/>
      </w:r>
      <w:r w:rsidR="004160B1">
        <w:t xml:space="preserve">effectiveness for all customers, as it </w:t>
      </w:r>
      <w:r w:rsidR="00BA1EAE">
        <w:t>“</w:t>
      </w:r>
      <w:r w:rsidR="004160B1">
        <w:t>accounts only for certain effects on non</w:t>
      </w:r>
      <w:r w:rsidR="00827602">
        <w:noBreakHyphen/>
      </w:r>
      <w:r w:rsidR="004160B1">
        <w:t xml:space="preserve">participants, ignoring the benefits to participants, the utility system as a whole, and the </w:t>
      </w:r>
      <w:r w:rsidR="004160B1">
        <w:lastRenderedPageBreak/>
        <w:t>environment.</w:t>
      </w:r>
      <w:r w:rsidR="00BA1EAE">
        <w:t>”</w:t>
      </w:r>
      <w:r w:rsidR="004160B1">
        <w:rPr>
          <w:rStyle w:val="FootnoteReference"/>
        </w:rPr>
        <w:footnoteReference w:id="124"/>
      </w:r>
      <w:r w:rsidR="00014AD9">
        <w:t xml:space="preserve">  </w:t>
      </w:r>
      <w:r w:rsidR="00A01890">
        <w:t xml:space="preserve">Further support for </w:t>
      </w:r>
      <w:r w:rsidR="001252BD">
        <w:t xml:space="preserve">reliance </w:t>
      </w:r>
      <w:r w:rsidR="00C81C58">
        <w:t xml:space="preserve">on the RIM test </w:t>
      </w:r>
      <w:r w:rsidR="00A01890">
        <w:t xml:space="preserve">comes from </w:t>
      </w:r>
      <w:r w:rsidR="00014AD9">
        <w:t>TURN</w:t>
      </w:r>
      <w:r w:rsidR="00A01890">
        <w:t xml:space="preserve">, who </w:t>
      </w:r>
      <w:r w:rsidR="00014AD9">
        <w:t>argues that the Commission cannot evaluate the cost</w:t>
      </w:r>
      <w:r w:rsidR="00827602">
        <w:noBreakHyphen/>
      </w:r>
      <w:r w:rsidR="00014AD9">
        <w:t>effectiveness of different tariff options</w:t>
      </w:r>
      <w:r w:rsidR="00FA70F0">
        <w:t xml:space="preserve"> because the key elements of tariff design (incentives, retail export compensation rates, netting, grid charges, </w:t>
      </w:r>
      <w:r w:rsidRPr="00451C74" w:rsidR="00FA70F0">
        <w:rPr>
          <w:i/>
          <w:iCs/>
        </w:rPr>
        <w:t>etc.</w:t>
      </w:r>
      <w:r w:rsidR="00FA70F0">
        <w:t xml:space="preserve">) are not quantified in the </w:t>
      </w:r>
      <w:proofErr w:type="spellStart"/>
      <w:r w:rsidR="00FA70F0">
        <w:t>TRC</w:t>
      </w:r>
      <w:proofErr w:type="spellEnd"/>
      <w:r w:rsidR="00014AD9">
        <w:t>.</w:t>
      </w:r>
      <w:r w:rsidR="00014AD9">
        <w:rPr>
          <w:rStyle w:val="FootnoteReference"/>
        </w:rPr>
        <w:footnoteReference w:id="125"/>
      </w:r>
      <w:r w:rsidR="00014AD9">
        <w:t xml:space="preserve">  TURN contends the RIM </w:t>
      </w:r>
      <w:r w:rsidR="00C81C58">
        <w:t xml:space="preserve">test </w:t>
      </w:r>
      <w:r w:rsidR="00014AD9">
        <w:t>compares the benefits received by all customers (primarily avoided cost savings) with the incremental costs incurred to serve participating customers including utility program costs, ince</w:t>
      </w:r>
      <w:r w:rsidR="00153825">
        <w:t>ntives paid to participants, and decreased revenues received from participants.</w:t>
      </w:r>
      <w:r w:rsidR="00153825">
        <w:rPr>
          <w:rStyle w:val="FootnoteReference"/>
        </w:rPr>
        <w:footnoteReference w:id="126"/>
      </w:r>
      <w:r w:rsidR="00153825">
        <w:t xml:space="preserve">  TURN </w:t>
      </w:r>
      <w:r w:rsidR="00014AD9">
        <w:t xml:space="preserve">concludes the RIM </w:t>
      </w:r>
      <w:r w:rsidR="00C81C58">
        <w:t xml:space="preserve">test </w:t>
      </w:r>
      <w:r w:rsidR="00014AD9">
        <w:t>is the only approach that properly accounts for the impact of the tariff design on all customers.</w:t>
      </w:r>
    </w:p>
    <w:p w:rsidR="00153825" w:rsidP="000764E1" w:rsidRDefault="003C41A0" w14:paraId="55309208" w14:textId="65A6289C">
      <w:pPr>
        <w:pStyle w:val="Standard"/>
      </w:pPr>
      <w:r>
        <w:t>SEIA/Vote Solar acknowledges it advoca</w:t>
      </w:r>
      <w:r w:rsidR="002C7F94">
        <w:t>ted</w:t>
      </w:r>
      <w:r>
        <w:t xml:space="preserve"> for the affirmation in D.21</w:t>
      </w:r>
      <w:r w:rsidR="00827602">
        <w:noBreakHyphen/>
      </w:r>
      <w:r>
        <w:t>02</w:t>
      </w:r>
      <w:r w:rsidR="00827602">
        <w:noBreakHyphen/>
      </w:r>
      <w:r>
        <w:t>007 that cost</w:t>
      </w:r>
      <w:r w:rsidR="00827602">
        <w:noBreakHyphen/>
      </w:r>
      <w:r>
        <w:t>effectiveness analysis would be performed in the manner directed in D.19</w:t>
      </w:r>
      <w:r w:rsidR="00827602">
        <w:noBreakHyphen/>
      </w:r>
      <w:r>
        <w:t>05</w:t>
      </w:r>
      <w:r w:rsidR="00827602">
        <w:noBreakHyphen/>
      </w:r>
      <w:r>
        <w:t xml:space="preserve">019 but </w:t>
      </w:r>
      <w:r w:rsidR="00AC2055">
        <w:t>states</w:t>
      </w:r>
      <w:r>
        <w:t xml:space="preserve"> the </w:t>
      </w:r>
      <w:r w:rsidR="00AC424B">
        <w:t>2021 Avoided</w:t>
      </w:r>
      <w:r>
        <w:t xml:space="preserve"> Cost Calculator values complicate this support.</w:t>
      </w:r>
      <w:r>
        <w:rPr>
          <w:rStyle w:val="FootnoteReference"/>
        </w:rPr>
        <w:footnoteReference w:id="127"/>
      </w:r>
      <w:r>
        <w:t xml:space="preserve">  </w:t>
      </w:r>
      <w:r w:rsidR="00153825">
        <w:t>SEIA/Vote Solar concedes that</w:t>
      </w:r>
      <w:r w:rsidR="001252BD">
        <w:t xml:space="preserve">, </w:t>
      </w:r>
      <w:r w:rsidR="00153825">
        <w:t xml:space="preserve">using the </w:t>
      </w:r>
      <w:r w:rsidR="00AC424B">
        <w:t>2021 Avoided</w:t>
      </w:r>
      <w:r w:rsidR="00153825">
        <w:t xml:space="preserve"> Cost Calculator values, solar alone does not pass the </w:t>
      </w:r>
      <w:proofErr w:type="spellStart"/>
      <w:r w:rsidR="00153825">
        <w:t>TRC</w:t>
      </w:r>
      <w:proofErr w:type="spellEnd"/>
      <w:r w:rsidR="00153825">
        <w:t xml:space="preserve"> </w:t>
      </w:r>
      <w:r w:rsidR="00CB14FF">
        <w:t xml:space="preserve">test </w:t>
      </w:r>
      <w:r w:rsidR="00153825">
        <w:t>under any parties’ proposal based on the cost</w:t>
      </w:r>
      <w:r w:rsidR="00827602">
        <w:noBreakHyphen/>
      </w:r>
      <w:r w:rsidR="00153825">
        <w:t>effectiveness analyses performed by E3.</w:t>
      </w:r>
      <w:r w:rsidR="00153825">
        <w:rPr>
          <w:rStyle w:val="FootnoteReference"/>
        </w:rPr>
        <w:footnoteReference w:id="128"/>
      </w:r>
      <w:r w:rsidR="00153825">
        <w:t xml:space="preserve">  </w:t>
      </w:r>
      <w:r>
        <w:t xml:space="preserve">Thus, SEIA/Vote Solar cautions the Commission to consider other factors when looking at the </w:t>
      </w:r>
      <w:proofErr w:type="spellStart"/>
      <w:r>
        <w:t>TRC</w:t>
      </w:r>
      <w:proofErr w:type="spellEnd"/>
      <w:r>
        <w:t xml:space="preserve"> </w:t>
      </w:r>
      <w:r w:rsidR="00CB14FF">
        <w:t xml:space="preserve">test </w:t>
      </w:r>
      <w:r>
        <w:t>results</w:t>
      </w:r>
      <w:r w:rsidR="00876280">
        <w:t xml:space="preserve"> such as the contributions distributed generation can make to the climate</w:t>
      </w:r>
      <w:r w:rsidR="00585142">
        <w:t xml:space="preserve"> goals and other societal benefits.</w:t>
      </w:r>
      <w:r w:rsidR="00585142">
        <w:rPr>
          <w:rStyle w:val="FootnoteReference"/>
        </w:rPr>
        <w:footnoteReference w:id="129"/>
      </w:r>
      <w:r>
        <w:t xml:space="preserve"> </w:t>
      </w:r>
      <w:r w:rsidR="00585142">
        <w:t xml:space="preserve"> With </w:t>
      </w:r>
      <w:r w:rsidR="00585142">
        <w:lastRenderedPageBreak/>
        <w:t>respect to looking at the RIM</w:t>
      </w:r>
      <w:r w:rsidR="00CB14FF">
        <w:t xml:space="preserve"> test</w:t>
      </w:r>
      <w:r w:rsidR="00585142">
        <w:t xml:space="preserve"> in addition to the </w:t>
      </w:r>
      <w:proofErr w:type="spellStart"/>
      <w:r w:rsidR="00585142">
        <w:t>TRC</w:t>
      </w:r>
      <w:proofErr w:type="spellEnd"/>
      <w:r w:rsidR="00CB14FF">
        <w:t xml:space="preserve"> test</w:t>
      </w:r>
      <w:r w:rsidR="00585142">
        <w:t xml:space="preserve">, </w:t>
      </w:r>
      <w:r w:rsidR="00153825">
        <w:t xml:space="preserve">SEIA/Vote Solar </w:t>
      </w:r>
      <w:r w:rsidR="004539D6">
        <w:t xml:space="preserve">recommends the Commission take a broader view of </w:t>
      </w:r>
      <w:r w:rsidR="00CB14FF">
        <w:t xml:space="preserve">the </w:t>
      </w:r>
      <w:r w:rsidR="004539D6">
        <w:t xml:space="preserve">RIM </w:t>
      </w:r>
      <w:r w:rsidR="00CB14FF">
        <w:t xml:space="preserve">test </w:t>
      </w:r>
      <w:r w:rsidR="004539D6">
        <w:t>results</w:t>
      </w:r>
      <w:r w:rsidR="005015BC">
        <w:t xml:space="preserve"> and require improvement of the RIM </w:t>
      </w:r>
      <w:r w:rsidR="00CB14FF">
        <w:t xml:space="preserve">test </w:t>
      </w:r>
      <w:r w:rsidR="005015BC">
        <w:t>score over time.</w:t>
      </w:r>
      <w:r w:rsidR="004539D6">
        <w:rPr>
          <w:rStyle w:val="FootnoteReference"/>
        </w:rPr>
        <w:footnoteReference w:id="130"/>
      </w:r>
      <w:r w:rsidR="00585142">
        <w:t xml:space="preserve">  SEIA/Vote Solar explains this will allow the Commission to ensure that impacts on net energy metering customers (</w:t>
      </w:r>
      <w:r w:rsidRPr="00F61AE4" w:rsidR="00585142">
        <w:rPr>
          <w:i/>
          <w:iCs/>
        </w:rPr>
        <w:t>i.e</w:t>
      </w:r>
      <w:r w:rsidR="00585142">
        <w:t xml:space="preserve">., lower </w:t>
      </w:r>
      <w:r w:rsidR="00BB6391">
        <w:t xml:space="preserve">retail </w:t>
      </w:r>
      <w:r w:rsidR="00585142">
        <w:t xml:space="preserve">export </w:t>
      </w:r>
      <w:r w:rsidR="00116E9B">
        <w:t xml:space="preserve">compensation </w:t>
      </w:r>
      <w:r w:rsidR="00585142">
        <w:t xml:space="preserve">rates) will not impact the sustainable growth of the distributed energy resources market, as required by </w:t>
      </w:r>
      <w:r w:rsidR="00F138A9">
        <w:t>AB </w:t>
      </w:r>
      <w:r w:rsidR="00585142">
        <w:t>327.</w:t>
      </w:r>
      <w:r w:rsidR="00585142">
        <w:rPr>
          <w:rStyle w:val="FootnoteReference"/>
        </w:rPr>
        <w:footnoteReference w:id="131"/>
      </w:r>
    </w:p>
    <w:p w:rsidR="004C2A44" w:rsidP="00A015B3" w:rsidRDefault="005015BC" w14:paraId="142CA887" w14:textId="058D6A51">
      <w:pPr>
        <w:pStyle w:val="Standard"/>
      </w:pPr>
      <w:r>
        <w:t xml:space="preserve">The record in this proceeding </w:t>
      </w:r>
      <w:r w:rsidR="004C2A44">
        <w:t xml:space="preserve">leads </w:t>
      </w:r>
      <w:r w:rsidR="001A378D">
        <w:t xml:space="preserve">the Commission </w:t>
      </w:r>
      <w:r w:rsidR="004C2A44">
        <w:t>to align</w:t>
      </w:r>
      <w:r>
        <w:t xml:space="preserve"> </w:t>
      </w:r>
      <w:r w:rsidR="001A378D">
        <w:t>the</w:t>
      </w:r>
      <w:r w:rsidR="00585142">
        <w:t xml:space="preserve"> analysis here </w:t>
      </w:r>
      <w:r>
        <w:t xml:space="preserve">with prior </w:t>
      </w:r>
      <w:r w:rsidR="004C2A44">
        <w:t>guidance</w:t>
      </w:r>
      <w:r>
        <w:t xml:space="preserve"> from the Standard Practice Manual</w:t>
      </w:r>
      <w:r w:rsidR="00585142">
        <w:t>,</w:t>
      </w:r>
      <w:r>
        <w:t xml:space="preserve"> </w:t>
      </w:r>
      <w:r w:rsidR="004C2A44">
        <w:t>in that</w:t>
      </w:r>
      <w:r>
        <w:t xml:space="preserve"> the tests should not be used individually or in isolation </w:t>
      </w:r>
      <w:r w:rsidR="004C2A44">
        <w:t>but, instead,</w:t>
      </w:r>
      <w:r>
        <w:t xml:space="preserve"> </w:t>
      </w:r>
      <w:r w:rsidR="00585142">
        <w:t>allow for</w:t>
      </w:r>
      <w:r>
        <w:t xml:space="preserve"> the consideration of the tradeoffs between the tests.  </w:t>
      </w:r>
      <w:r w:rsidR="00D553B5">
        <w:t>While D.19</w:t>
      </w:r>
      <w:r w:rsidR="00827602">
        <w:noBreakHyphen/>
      </w:r>
      <w:r w:rsidR="00D553B5">
        <w:t>05</w:t>
      </w:r>
      <w:r w:rsidR="00827602">
        <w:noBreakHyphen/>
      </w:r>
      <w:r w:rsidR="00D553B5">
        <w:t xml:space="preserve">019 directs the use of the </w:t>
      </w:r>
      <w:proofErr w:type="spellStart"/>
      <w:r w:rsidR="00D553B5">
        <w:t>TRC</w:t>
      </w:r>
      <w:proofErr w:type="spellEnd"/>
      <w:r w:rsidR="00D553B5">
        <w:t xml:space="preserve"> </w:t>
      </w:r>
      <w:r w:rsidR="00CB14FF">
        <w:t xml:space="preserve">test </w:t>
      </w:r>
      <w:r w:rsidR="00D553B5">
        <w:t xml:space="preserve">as the primary test, </w:t>
      </w:r>
      <w:r w:rsidR="00505D88">
        <w:t>it also recognize</w:t>
      </w:r>
      <w:r w:rsidR="00FA70F0">
        <w:t>s</w:t>
      </w:r>
      <w:r w:rsidR="00505D88">
        <w:t xml:space="preserve"> the importance of the PAC and RIM</w:t>
      </w:r>
      <w:r w:rsidR="00CB14FF">
        <w:t xml:space="preserve"> tests</w:t>
      </w:r>
      <w:r w:rsidR="00505D88">
        <w:t xml:space="preserve">.  Parties have shown in this proceeding that each test has value and together the tests tell a complete story.  </w:t>
      </w:r>
      <w:r>
        <w:t>Hence, as directed by D.19</w:t>
      </w:r>
      <w:r w:rsidR="00827602">
        <w:noBreakHyphen/>
      </w:r>
      <w:r>
        <w:t>05</w:t>
      </w:r>
      <w:r w:rsidR="00827602">
        <w:noBreakHyphen/>
      </w:r>
      <w:r>
        <w:t xml:space="preserve">019, </w:t>
      </w:r>
      <w:r w:rsidR="00093D3A">
        <w:t xml:space="preserve">the Commission </w:t>
      </w:r>
      <w:r w:rsidR="004C2A44">
        <w:t>reviewed and considered the results of the PAC and RIM test</w:t>
      </w:r>
      <w:r w:rsidR="00CB14FF">
        <w:t>s</w:t>
      </w:r>
      <w:r w:rsidR="004C2A44">
        <w:t xml:space="preserve">, in addition to the </w:t>
      </w:r>
      <w:proofErr w:type="spellStart"/>
      <w:r w:rsidR="004C2A44">
        <w:t>TRC</w:t>
      </w:r>
      <w:proofErr w:type="spellEnd"/>
      <w:r w:rsidR="00CB14FF">
        <w:t xml:space="preserve"> test</w:t>
      </w:r>
      <w:r w:rsidR="004C2A44">
        <w:t xml:space="preserve">, in </w:t>
      </w:r>
      <w:r w:rsidR="001A378D">
        <w:t xml:space="preserve">the </w:t>
      </w:r>
      <w:r w:rsidR="004C2A44">
        <w:t xml:space="preserve">final tariff determinations in this decision.  Similar to the need to </w:t>
      </w:r>
      <w:r w:rsidR="00505D88">
        <w:t>consider</w:t>
      </w:r>
      <w:r w:rsidR="004C2A44">
        <w:t xml:space="preserve"> the competing requirements of the statute, consideration of all the tests allow</w:t>
      </w:r>
      <w:r w:rsidR="00AC2055">
        <w:t>s</w:t>
      </w:r>
      <w:r w:rsidR="004C2A44">
        <w:t xml:space="preserve"> </w:t>
      </w:r>
      <w:r w:rsidR="00196C78">
        <w:t xml:space="preserve">the Commission </w:t>
      </w:r>
      <w:r w:rsidR="004C2A44">
        <w:t xml:space="preserve">to also </w:t>
      </w:r>
      <w:r w:rsidR="00505D88">
        <w:t>consider</w:t>
      </w:r>
      <w:r w:rsidR="004C2A44">
        <w:t xml:space="preserve"> the </w:t>
      </w:r>
      <w:r w:rsidR="00505D88">
        <w:t xml:space="preserve">values </w:t>
      </w:r>
      <w:r w:rsidR="00F61188">
        <w:t xml:space="preserve">of </w:t>
      </w:r>
      <w:r w:rsidR="00505D88">
        <w:t xml:space="preserve">and </w:t>
      </w:r>
      <w:r w:rsidR="004C2A44">
        <w:t xml:space="preserve">tradeoffs between the tests.  </w:t>
      </w:r>
      <w:r w:rsidR="00196C78">
        <w:t>Hence, t</w:t>
      </w:r>
      <w:r w:rsidR="00093D3A">
        <w:t xml:space="preserve">his decision </w:t>
      </w:r>
      <w:r w:rsidR="004C2A44">
        <w:t>do</w:t>
      </w:r>
      <w:r w:rsidR="00093D3A">
        <w:t>es</w:t>
      </w:r>
      <w:r w:rsidR="004C2A44">
        <w:t xml:space="preserve"> not adopt the recommendation by SEIA/Vote Solar to strive solely for </w:t>
      </w:r>
      <w:r w:rsidR="00CB14FF">
        <w:t xml:space="preserve">a </w:t>
      </w:r>
      <w:r w:rsidR="004C2A44">
        <w:t xml:space="preserve">RIM </w:t>
      </w:r>
      <w:r w:rsidR="00CB14FF">
        <w:t xml:space="preserve">test </w:t>
      </w:r>
      <w:r w:rsidR="004C2A44">
        <w:t xml:space="preserve">score improvement, </w:t>
      </w:r>
      <w:r w:rsidR="00093D3A">
        <w:t>nor</w:t>
      </w:r>
      <w:r w:rsidR="00505D88">
        <w:t xml:space="preserve"> </w:t>
      </w:r>
      <w:r w:rsidR="004C2A44">
        <w:t>do</w:t>
      </w:r>
      <w:r w:rsidR="00093D3A">
        <w:t>es this decision</w:t>
      </w:r>
      <w:r w:rsidR="004C2A44">
        <w:t xml:space="preserve"> strive for perfection </w:t>
      </w:r>
      <w:r w:rsidR="00585142">
        <w:t xml:space="preserve">in one test </w:t>
      </w:r>
      <w:r w:rsidR="00505D88">
        <w:t xml:space="preserve">but rather a </w:t>
      </w:r>
      <w:r w:rsidR="004C2A44">
        <w:t xml:space="preserve">balance of </w:t>
      </w:r>
      <w:r w:rsidR="00505D88">
        <w:t xml:space="preserve">the value and </w:t>
      </w:r>
      <w:r w:rsidR="004C2A44">
        <w:t>tradeoffs</w:t>
      </w:r>
      <w:r w:rsidR="00585142">
        <w:t xml:space="preserve"> between the tests</w:t>
      </w:r>
      <w:r w:rsidR="004C2A44">
        <w:t>.</w:t>
      </w:r>
    </w:p>
    <w:p w:rsidRPr="004B2881" w:rsidR="00B032BA" w:rsidP="00A015B3" w:rsidRDefault="00EA5324" w14:paraId="777A2F6B" w14:textId="530D31CC">
      <w:pPr>
        <w:pStyle w:val="Standard"/>
      </w:pPr>
      <w:r>
        <w:lastRenderedPageBreak/>
        <w:t>Relatedly, PCF recommends the Commission use the Societal Cost Test to analyze the cost</w:t>
      </w:r>
      <w:r w:rsidR="00827602">
        <w:noBreakHyphen/>
      </w:r>
      <w:r>
        <w:t>effectiveness of the successor tariff.</w:t>
      </w:r>
      <w:r w:rsidR="00770999">
        <w:rPr>
          <w:rStyle w:val="FootnoteReference"/>
        </w:rPr>
        <w:footnoteReference w:id="132"/>
      </w:r>
      <w:r>
        <w:t xml:space="preserve">  PCF asserts the Commission must consider societal benefits to ensure the costs and benefits of any net energy metering tariff are approximately equal.</w:t>
      </w:r>
      <w:r>
        <w:rPr>
          <w:rStyle w:val="FootnoteReference"/>
        </w:rPr>
        <w:footnoteReference w:id="133"/>
      </w:r>
      <w:r>
        <w:t xml:space="preserve">  Acknowledging the Societal Cost Test has not been approved for use in other proceedings, PCF contends the Commission cannot ignore th</w:t>
      </w:r>
      <w:r w:rsidR="00770999">
        <w:t>e</w:t>
      </w:r>
      <w:r>
        <w:t>se benefits since the Societal Cost Test offers the Commission the means to comply with the requirement to take into account the total benefits of customer</w:t>
      </w:r>
      <w:r w:rsidR="00827602">
        <w:noBreakHyphen/>
      </w:r>
      <w:r>
        <w:t>sited generation.</w:t>
      </w:r>
      <w:r>
        <w:rPr>
          <w:rStyle w:val="FootnoteReference"/>
        </w:rPr>
        <w:footnoteReference w:id="134"/>
      </w:r>
      <w:r w:rsidR="00770999">
        <w:t xml:space="preserve">  </w:t>
      </w:r>
      <w:r w:rsidR="00093D3A">
        <w:t>T</w:t>
      </w:r>
      <w:r w:rsidR="00B032BA">
        <w:t xml:space="preserve">he request to </w:t>
      </w:r>
      <w:r w:rsidR="00770999">
        <w:t xml:space="preserve">use the Societal Cost Test in </w:t>
      </w:r>
      <w:r w:rsidR="00DB4129">
        <w:t xml:space="preserve">the </w:t>
      </w:r>
      <w:r w:rsidR="00770999">
        <w:t xml:space="preserve">analysis </w:t>
      </w:r>
      <w:r w:rsidR="00DB4129">
        <w:t xml:space="preserve">of the successor tariff </w:t>
      </w:r>
      <w:r w:rsidR="00093D3A">
        <w:t>is denied. A</w:t>
      </w:r>
      <w:r w:rsidR="00770999">
        <w:t xml:space="preserve">s Joint Utilities note, application of this test is premature because the evaluation to determine the final details of the test has not been </w:t>
      </w:r>
      <w:r w:rsidRPr="004B2881" w:rsidR="00770999">
        <w:t>completed.</w:t>
      </w:r>
      <w:r w:rsidRPr="004B2881" w:rsidR="00770999">
        <w:rPr>
          <w:rStyle w:val="FootnoteReference"/>
        </w:rPr>
        <w:footnoteReference w:id="135"/>
      </w:r>
      <w:r w:rsidRPr="004B2881" w:rsidR="00065811">
        <w:t xml:space="preserve">  </w:t>
      </w:r>
      <w:r w:rsidR="00FD6B96">
        <w:t>In R.14</w:t>
      </w:r>
      <w:r w:rsidR="00827602">
        <w:noBreakHyphen/>
      </w:r>
      <w:r w:rsidR="00FD6B96">
        <w:t>10</w:t>
      </w:r>
      <w:r w:rsidR="00827602">
        <w:noBreakHyphen/>
      </w:r>
      <w:r w:rsidR="00FD6B96">
        <w:t>003 (Rulemaking to Create a Consistent Regulatory Framework for the Guidance, Planning, and Evaluation of Integrated Distributed Energy Resources) the Commission adopted D.19</w:t>
      </w:r>
      <w:r w:rsidR="00827602">
        <w:noBreakHyphen/>
      </w:r>
      <w:r w:rsidR="00FD6B96">
        <w:t>05</w:t>
      </w:r>
      <w:r w:rsidR="00827602">
        <w:noBreakHyphen/>
      </w:r>
      <w:r w:rsidR="00FD6B96">
        <w:t>019, which authorized Energy Division to conduct an evaluation of the Societal Cost Test.  D.22</w:t>
      </w:r>
      <w:r w:rsidR="00827602">
        <w:noBreakHyphen/>
      </w:r>
      <w:r w:rsidR="00FD6B96">
        <w:t>05</w:t>
      </w:r>
      <w:r w:rsidR="00827602">
        <w:noBreakHyphen/>
      </w:r>
      <w:r w:rsidR="00FD6B96">
        <w:t>002 closed R.14</w:t>
      </w:r>
      <w:r w:rsidR="00827602">
        <w:noBreakHyphen/>
      </w:r>
      <w:r w:rsidR="00FD6B96">
        <w:t>10</w:t>
      </w:r>
      <w:r w:rsidR="00827602">
        <w:noBreakHyphen/>
      </w:r>
      <w:r w:rsidR="00FD6B96">
        <w:t>003 but stated that a successor proceeding would be initiated.  Accordingly, t</w:t>
      </w:r>
      <w:r w:rsidRPr="004B2881" w:rsidR="00065811">
        <w:t>he evaluation of the Societal Cost Test</w:t>
      </w:r>
      <w:r w:rsidRPr="004B2881" w:rsidR="00FA70F0">
        <w:t xml:space="preserve"> </w:t>
      </w:r>
      <w:r w:rsidRPr="004B2881" w:rsidR="00065811">
        <w:t xml:space="preserve">will be considered by the Commission in </w:t>
      </w:r>
      <w:r w:rsidR="00EF199A">
        <w:t>a successor proceeding to R.14</w:t>
      </w:r>
      <w:r w:rsidR="00827602">
        <w:noBreakHyphen/>
      </w:r>
      <w:r w:rsidR="00EF199A">
        <w:t>10</w:t>
      </w:r>
      <w:r w:rsidR="00827602">
        <w:noBreakHyphen/>
      </w:r>
      <w:r w:rsidR="00EF199A">
        <w:t>003</w:t>
      </w:r>
      <w:r w:rsidRPr="004B2881" w:rsidR="00065811">
        <w:t>.</w:t>
      </w:r>
    </w:p>
    <w:p w:rsidR="00533B2F" w:rsidP="00A015B3" w:rsidRDefault="00605DE7" w14:paraId="78CC0CB0" w14:textId="087A1CB6">
      <w:pPr>
        <w:pStyle w:val="Standard"/>
      </w:pPr>
      <w:r w:rsidRPr="004B2881">
        <w:lastRenderedPageBreak/>
        <w:t xml:space="preserve">PCF </w:t>
      </w:r>
      <w:r w:rsidRPr="004B2881" w:rsidR="00E0000C">
        <w:t xml:space="preserve">also </w:t>
      </w:r>
      <w:r w:rsidRPr="004B2881">
        <w:t>recommends</w:t>
      </w:r>
      <w:r w:rsidRPr="004B2881" w:rsidR="00544D7D">
        <w:t>,</w:t>
      </w:r>
      <w:r w:rsidRPr="004B2881">
        <w:t xml:space="preserve"> in lieu of the Societal Cost Test, the Commission</w:t>
      </w:r>
      <w:r>
        <w:t xml:space="preserve"> consider </w:t>
      </w:r>
      <w:r w:rsidR="00544D7D">
        <w:t xml:space="preserve">the </w:t>
      </w:r>
      <w:r>
        <w:t>societal benefits</w:t>
      </w:r>
      <w:r w:rsidR="00544D7D">
        <w:t xml:space="preserve"> of resiliency</w:t>
      </w:r>
      <w:r w:rsidR="00544D7D">
        <w:rPr>
          <w:rStyle w:val="FootnoteReference"/>
        </w:rPr>
        <w:footnoteReference w:id="136"/>
      </w:r>
      <w:r w:rsidR="00544D7D">
        <w:t xml:space="preserve"> and avoided out</w:t>
      </w:r>
      <w:r w:rsidR="00827602">
        <w:noBreakHyphen/>
      </w:r>
      <w:r w:rsidR="00544D7D">
        <w:t>of</w:t>
      </w:r>
      <w:r w:rsidR="00827602">
        <w:noBreakHyphen/>
      </w:r>
      <w:r w:rsidR="00544D7D">
        <w:t>state methane leakage.</w:t>
      </w:r>
      <w:r w:rsidR="00544D7D">
        <w:rPr>
          <w:rStyle w:val="FootnoteReference"/>
        </w:rPr>
        <w:footnoteReference w:id="137"/>
      </w:r>
      <w:r>
        <w:t xml:space="preserve">  Other parties also </w:t>
      </w:r>
      <w:r w:rsidR="00585142">
        <w:t>recommend the</w:t>
      </w:r>
      <w:r>
        <w:t xml:space="preserve"> consideration </w:t>
      </w:r>
      <w:r w:rsidR="00585142">
        <w:t xml:space="preserve">of benefits </w:t>
      </w:r>
      <w:r w:rsidR="00AC2055">
        <w:t xml:space="preserve">they state are </w:t>
      </w:r>
      <w:r w:rsidR="00585142">
        <w:t>not included</w:t>
      </w:r>
      <w:r w:rsidR="00AC2055">
        <w:t xml:space="preserve"> </w:t>
      </w:r>
      <w:r w:rsidR="00585142">
        <w:t>in the Avoided Cost Calculator</w:t>
      </w:r>
      <w:r w:rsidR="00555CC0">
        <w:t xml:space="preserve">:  </w:t>
      </w:r>
      <w:r w:rsidR="00FA70F0">
        <w:t>(1)</w:t>
      </w:r>
      <w:r w:rsidR="009716EC">
        <w:t> </w:t>
      </w:r>
      <w:r>
        <w:t>SEIA/Vote Solar advocates for a resiliency adder</w:t>
      </w:r>
      <w:r w:rsidR="003F3E70">
        <w:t>,</w:t>
      </w:r>
      <w:r>
        <w:rPr>
          <w:rStyle w:val="FootnoteReference"/>
        </w:rPr>
        <w:footnoteReference w:id="138"/>
      </w:r>
      <w:r>
        <w:t xml:space="preserve"> </w:t>
      </w:r>
      <w:r w:rsidR="00BD5E4E">
        <w:t>recognition of societal benefits of net energy metering systems</w:t>
      </w:r>
      <w:r w:rsidR="00BD5E4E">
        <w:rPr>
          <w:rStyle w:val="FootnoteReference"/>
        </w:rPr>
        <w:footnoteReference w:id="139"/>
      </w:r>
      <w:r w:rsidR="00BD5E4E">
        <w:t xml:space="preserve"> including </w:t>
      </w:r>
      <w:r w:rsidR="003F3E70">
        <w:t>an updated social cost of carbon metric,</w:t>
      </w:r>
      <w:r w:rsidR="003F3E70">
        <w:rPr>
          <w:rStyle w:val="FootnoteReference"/>
        </w:rPr>
        <w:footnoteReference w:id="140"/>
      </w:r>
      <w:r w:rsidR="003F3E70">
        <w:t xml:space="preserve"> </w:t>
      </w:r>
      <w:r>
        <w:t>and a reduced methane leakage multiplier</w:t>
      </w:r>
      <w:r w:rsidR="000C7668">
        <w:t>;</w:t>
      </w:r>
      <w:r>
        <w:rPr>
          <w:rStyle w:val="FootnoteReference"/>
        </w:rPr>
        <w:footnoteReference w:id="141"/>
      </w:r>
      <w:r>
        <w:t xml:space="preserve"> </w:t>
      </w:r>
      <w:r w:rsidR="000C7668">
        <w:t xml:space="preserve">and </w:t>
      </w:r>
      <w:r w:rsidR="00FA70F0">
        <w:t>(2)</w:t>
      </w:r>
      <w:r w:rsidR="009716EC">
        <w:t> </w:t>
      </w:r>
      <w:proofErr w:type="spellStart"/>
      <w:r w:rsidR="000C7668">
        <w:t>CALSSA</w:t>
      </w:r>
      <w:proofErr w:type="spellEnd"/>
      <w:r w:rsidR="000C7668">
        <w:t xml:space="preserve"> advocates for recognition of the land conservation benefits,</w:t>
      </w:r>
      <w:r w:rsidR="000C7668">
        <w:rPr>
          <w:rStyle w:val="FootnoteReference"/>
        </w:rPr>
        <w:footnoteReference w:id="142"/>
      </w:r>
      <w:r w:rsidR="000C7668">
        <w:t xml:space="preserve"> avoided future transmission costs,</w:t>
      </w:r>
      <w:r w:rsidR="000C7668">
        <w:rPr>
          <w:rStyle w:val="FootnoteReference"/>
        </w:rPr>
        <w:footnoteReference w:id="143"/>
      </w:r>
      <w:r w:rsidR="000C7668">
        <w:t xml:space="preserve"> and community resilience benefits</w:t>
      </w:r>
      <w:r w:rsidR="00156611">
        <w:t>.</w:t>
      </w:r>
      <w:r w:rsidR="000C7668">
        <w:rPr>
          <w:rStyle w:val="FootnoteReference"/>
        </w:rPr>
        <w:footnoteReference w:id="144"/>
      </w:r>
      <w:r>
        <w:t xml:space="preserve">  </w:t>
      </w:r>
      <w:proofErr w:type="spellStart"/>
      <w:r w:rsidR="000C7668">
        <w:t>CALSSA</w:t>
      </w:r>
      <w:proofErr w:type="spellEnd"/>
      <w:r w:rsidR="000C7668">
        <w:t xml:space="preserve"> acknowledge</w:t>
      </w:r>
      <w:r w:rsidR="00FA70F0">
        <w:t>s</w:t>
      </w:r>
      <w:r w:rsidR="000C7668">
        <w:t xml:space="preserve"> that its </w:t>
      </w:r>
      <w:r w:rsidR="00A93CA7">
        <w:t xml:space="preserve">recommended societal benefits are difficult to measure and recommends the Commission consider these benefits when reviewing proposals with </w:t>
      </w:r>
      <w:proofErr w:type="spellStart"/>
      <w:r w:rsidR="00A93CA7">
        <w:t>TRC</w:t>
      </w:r>
      <w:proofErr w:type="spellEnd"/>
      <w:r w:rsidR="00A93CA7">
        <w:t xml:space="preserve"> and RIM </w:t>
      </w:r>
      <w:r w:rsidR="00CB14FF">
        <w:t xml:space="preserve">test </w:t>
      </w:r>
      <w:r w:rsidR="00A93CA7">
        <w:t>scores well below 1.0 and find these proposals to be cost</w:t>
      </w:r>
      <w:r w:rsidR="00827602">
        <w:noBreakHyphen/>
      </w:r>
      <w:r w:rsidR="00A93CA7">
        <w:t>effective.</w:t>
      </w:r>
      <w:r w:rsidR="00A93CA7">
        <w:rPr>
          <w:rStyle w:val="FootnoteReference"/>
        </w:rPr>
        <w:footnoteReference w:id="145"/>
      </w:r>
    </w:p>
    <w:p w:rsidR="00731CB3" w:rsidP="00A015B3" w:rsidRDefault="00EA28A0" w14:paraId="0E98AD84" w14:textId="0CD3378F">
      <w:pPr>
        <w:pStyle w:val="Standard"/>
      </w:pPr>
      <w:r w:rsidRPr="00EA28A0">
        <w:t>In D.</w:t>
      </w:r>
      <w:r w:rsidR="00FF600C">
        <w:t>20</w:t>
      </w:r>
      <w:r w:rsidR="00827602">
        <w:noBreakHyphen/>
      </w:r>
      <w:r w:rsidR="00FF600C">
        <w:t>04</w:t>
      </w:r>
      <w:r w:rsidR="00827602">
        <w:noBreakHyphen/>
      </w:r>
      <w:r w:rsidRPr="00EA28A0">
        <w:t>010, the Commission concluded that consideration of the benefits of grid services provided by specific distributed energy resources should be addressed in resource</w:t>
      </w:r>
      <w:r w:rsidR="00827602">
        <w:noBreakHyphen/>
      </w:r>
      <w:r w:rsidRPr="00EA28A0">
        <w:t>specific proceedings.</w:t>
      </w:r>
      <w:r w:rsidR="00B4748A">
        <w:t xml:space="preserve">  </w:t>
      </w:r>
      <w:r w:rsidR="00A93CA7">
        <w:t xml:space="preserve">Hence, </w:t>
      </w:r>
      <w:r w:rsidR="00093D3A">
        <w:t xml:space="preserve">this decision </w:t>
      </w:r>
      <w:r w:rsidR="00A93CA7">
        <w:t>review</w:t>
      </w:r>
      <w:r w:rsidR="00093D3A">
        <w:t>s</w:t>
      </w:r>
      <w:r w:rsidR="00A93CA7">
        <w:t xml:space="preserve"> </w:t>
      </w:r>
      <w:r w:rsidR="0045121C">
        <w:t>party</w:t>
      </w:r>
      <w:r w:rsidR="00A93CA7">
        <w:t xml:space="preserve"> recommend</w:t>
      </w:r>
      <w:r w:rsidR="00375193">
        <w:t>ations to consider</w:t>
      </w:r>
      <w:r w:rsidR="0045121C">
        <w:t xml:space="preserve"> </w:t>
      </w:r>
      <w:r w:rsidR="00AC2055">
        <w:t xml:space="preserve">proposed </w:t>
      </w:r>
      <w:r w:rsidR="00A93CA7">
        <w:t>additional benefit</w:t>
      </w:r>
      <w:r w:rsidR="00AC2055">
        <w:t>s</w:t>
      </w:r>
      <w:r w:rsidR="00694063">
        <w:t xml:space="preserve"> that are specific </w:t>
      </w:r>
      <w:r w:rsidR="00694063">
        <w:lastRenderedPageBreak/>
        <w:t>to those distributed energy resources used by net energy metering participating customers</w:t>
      </w:r>
      <w:r w:rsidR="00A93CA7">
        <w:t>.</w:t>
      </w:r>
    </w:p>
    <w:p w:rsidR="00AC2055" w:rsidP="00A015B3" w:rsidRDefault="00B4748A" w14:paraId="1A78D31B" w14:textId="44B81E07">
      <w:pPr>
        <w:pStyle w:val="Standard"/>
      </w:pPr>
      <w:r>
        <w:t xml:space="preserve">In </w:t>
      </w:r>
      <w:r w:rsidR="0045121C">
        <w:t>D.20</w:t>
      </w:r>
      <w:r w:rsidR="00827602">
        <w:noBreakHyphen/>
      </w:r>
      <w:r w:rsidR="0045121C">
        <w:t>04</w:t>
      </w:r>
      <w:r w:rsidR="00827602">
        <w:noBreakHyphen/>
      </w:r>
      <w:r w:rsidR="0045121C">
        <w:t>010</w:t>
      </w:r>
      <w:r>
        <w:t xml:space="preserve">, the Commission considered </w:t>
      </w:r>
      <w:r w:rsidR="00FF600C">
        <w:t xml:space="preserve">SEIA/Vote Solar’s proposals for avoided reliability and resiliency costs and found the benefits described could only be attributable to </w:t>
      </w:r>
      <w:r w:rsidR="00D1271F">
        <w:t>stand</w:t>
      </w:r>
      <w:r w:rsidR="00827602">
        <w:noBreakHyphen/>
      </w:r>
      <w:r w:rsidR="00D1271F">
        <w:t xml:space="preserve">alone solar </w:t>
      </w:r>
      <w:r w:rsidR="00FF600C">
        <w:t xml:space="preserve">and </w:t>
      </w:r>
      <w:r w:rsidR="00D1271F">
        <w:t xml:space="preserve">solar paired with </w:t>
      </w:r>
      <w:r w:rsidR="00FF600C">
        <w:t>storage</w:t>
      </w:r>
      <w:r w:rsidR="00CA4195">
        <w:t>.  Further, D.20</w:t>
      </w:r>
      <w:r w:rsidR="00827602">
        <w:noBreakHyphen/>
      </w:r>
      <w:r w:rsidR="00CA4195">
        <w:t>04</w:t>
      </w:r>
      <w:r w:rsidR="00827602">
        <w:noBreakHyphen/>
      </w:r>
      <w:r w:rsidR="00CA4195">
        <w:t xml:space="preserve">010 found </w:t>
      </w:r>
      <w:r w:rsidR="00FF600C">
        <w:t xml:space="preserve">that </w:t>
      </w:r>
      <w:r w:rsidR="00CB14FF">
        <w:t xml:space="preserve">SEIA/Vote Solar </w:t>
      </w:r>
      <w:r w:rsidR="00CA4195">
        <w:t xml:space="preserve">proposal </w:t>
      </w:r>
      <w:r w:rsidR="00BA1EAE">
        <w:t>“</w:t>
      </w:r>
      <w:r w:rsidR="00CA4195">
        <w:t xml:space="preserve">has not shown any deferred or avoided costs to utility ratepayers, but rather has shown </w:t>
      </w:r>
      <w:r w:rsidR="00CB14FF">
        <w:t xml:space="preserve">only </w:t>
      </w:r>
      <w:r w:rsidR="00CA4195">
        <w:t>that</w:t>
      </w:r>
      <w:r w:rsidR="0045121C">
        <w:t xml:space="preserve"> </w:t>
      </w:r>
      <w:r w:rsidR="00CA4195">
        <w:t>ratepayers who use these technologies receive additional participant benefits.</w:t>
      </w:r>
      <w:r w:rsidR="00BA1EAE">
        <w:t>”</w:t>
      </w:r>
      <w:r w:rsidR="00CA4195">
        <w:rPr>
          <w:rStyle w:val="FootnoteReference"/>
        </w:rPr>
        <w:footnoteReference w:id="146"/>
      </w:r>
      <w:r w:rsidR="00375193">
        <w:t xml:space="preserve">  In this proceeding, SEIA/Vote Solar refined its advocacy for considering the benefits of resiliency, recommending a resiliency adder of $104 per kilowatt each year</w:t>
      </w:r>
      <w:r w:rsidR="00767185">
        <w:t xml:space="preserve"> for residential net energy metering </w:t>
      </w:r>
      <w:r w:rsidR="00A41E95">
        <w:t xml:space="preserve">and $106 per kilowatt each year for </w:t>
      </w:r>
      <w:r w:rsidR="00890222">
        <w:t>nonresidential</w:t>
      </w:r>
      <w:r w:rsidR="00375193">
        <w:t>.</w:t>
      </w:r>
      <w:r w:rsidR="00375193">
        <w:rPr>
          <w:rStyle w:val="FootnoteReference"/>
        </w:rPr>
        <w:footnoteReference w:id="147"/>
      </w:r>
      <w:r w:rsidR="00375193">
        <w:t xml:space="preserve">  </w:t>
      </w:r>
      <w:r w:rsidR="006B0FD9">
        <w:t>SEIA</w:t>
      </w:r>
      <w:r w:rsidR="00375193">
        <w:t xml:space="preserve">/Vote Solar contend this adder is not an avoided cost to the utility that would otherwise be included in the </w:t>
      </w:r>
      <w:r w:rsidR="00A016F9">
        <w:t xml:space="preserve">Avoided Cost Calculator.  Rather, SEIA/Vote Solar propose </w:t>
      </w:r>
      <w:r w:rsidR="004D0B26">
        <w:t xml:space="preserve">the adder as </w:t>
      </w:r>
      <w:r w:rsidR="00A016F9">
        <w:t>a quantification of the resiliency benefits that accrue when the grid is not operating for a lengthy period (</w:t>
      </w:r>
      <w:r w:rsidRPr="00C63A6F" w:rsidR="00A016F9">
        <w:rPr>
          <w:i/>
          <w:iCs/>
        </w:rPr>
        <w:t>i.e</w:t>
      </w:r>
      <w:r w:rsidR="00A016F9">
        <w:t>., dark sky events), which SEIA/Vote Solar contend results in individual customers reaching out and assisting one another, thus benefiting all ratepayers.</w:t>
      </w:r>
      <w:r w:rsidR="00A016F9">
        <w:rPr>
          <w:rStyle w:val="FootnoteReference"/>
        </w:rPr>
        <w:footnoteReference w:id="148"/>
      </w:r>
    </w:p>
    <w:p w:rsidR="00670AD1" w:rsidP="00A015B3" w:rsidRDefault="00731CB3" w14:paraId="58B03BBD" w14:textId="7D416F4A">
      <w:pPr>
        <w:pStyle w:val="Standard"/>
      </w:pPr>
      <w:r>
        <w:t xml:space="preserve">While not proposing </w:t>
      </w:r>
      <w:r w:rsidR="004D0B26">
        <w:t>a</w:t>
      </w:r>
      <w:r>
        <w:t xml:space="preserve"> particular value, PCF </w:t>
      </w:r>
      <w:r w:rsidR="00767185">
        <w:t xml:space="preserve">also </w:t>
      </w:r>
      <w:r>
        <w:t xml:space="preserve">supports the adoption of resiliency benefits for solar systems paired with energy storage.  PCF </w:t>
      </w:r>
      <w:r w:rsidR="008822DE">
        <w:t>submits</w:t>
      </w:r>
      <w:r>
        <w:t xml:space="preserve"> </w:t>
      </w:r>
      <w:r w:rsidR="00E71FF3">
        <w:t xml:space="preserve">paired storage </w:t>
      </w:r>
      <w:r>
        <w:t xml:space="preserve">offers </w:t>
      </w:r>
      <w:r w:rsidR="00BA1EAE">
        <w:t>“</w:t>
      </w:r>
      <w:r>
        <w:t>resiliency</w:t>
      </w:r>
      <w:r w:rsidR="00827602">
        <w:noBreakHyphen/>
      </w:r>
      <w:r>
        <w:t xml:space="preserve">related benefits that accrue to society as a </w:t>
      </w:r>
      <w:r>
        <w:lastRenderedPageBreak/>
        <w:t>whole</w:t>
      </w:r>
      <w:r w:rsidR="00767185">
        <w:t>,</w:t>
      </w:r>
      <w:r w:rsidR="00BA1EAE">
        <w:t>”</w:t>
      </w:r>
      <w:r>
        <w:t xml:space="preserve"> such as the ability to generate onsite power during a heat wave, </w:t>
      </w:r>
      <w:r w:rsidR="00FC2AB9">
        <w:t>the ability to prevent increased emergency room visits during heat waves; the ability to prevent food spoilage and waste due to loss of refrigeration; and the ability to continue educational classes during remote learning.</w:t>
      </w:r>
      <w:r w:rsidR="00FC2AB9">
        <w:rPr>
          <w:rStyle w:val="FootnoteReference"/>
        </w:rPr>
        <w:footnoteReference w:id="149"/>
      </w:r>
    </w:p>
    <w:p w:rsidR="00533B2F" w:rsidP="00A015B3" w:rsidRDefault="008822DE" w14:paraId="4094B0A9" w14:textId="7F009A90">
      <w:pPr>
        <w:pStyle w:val="Standard"/>
      </w:pPr>
      <w:r>
        <w:t xml:space="preserve">TURN contends these benefits </w:t>
      </w:r>
      <w:r w:rsidR="00BA1EAE">
        <w:t>“</w:t>
      </w:r>
      <w:r>
        <w:t>are either private or highly speculative and limited to very unique circumstances.</w:t>
      </w:r>
      <w:r w:rsidR="00BA1EAE">
        <w:t>”</w:t>
      </w:r>
      <w:r>
        <w:rPr>
          <w:rStyle w:val="FootnoteReference"/>
        </w:rPr>
        <w:footnoteReference w:id="150"/>
      </w:r>
      <w:r>
        <w:t xml:space="preserve">  TURN concludes that if the Commission finds value in these circumstances, calculations of such value should address granular specifics such as probabilities and duration of outages.</w:t>
      </w:r>
      <w:r>
        <w:rPr>
          <w:rStyle w:val="FootnoteReference"/>
        </w:rPr>
        <w:footnoteReference w:id="151"/>
      </w:r>
      <w:r w:rsidR="004D0B26">
        <w:t xml:space="preserve">  </w:t>
      </w:r>
      <w:r w:rsidR="007E2FE2">
        <w:t xml:space="preserve">Joint Utilities argue that the adoption of the </w:t>
      </w:r>
      <w:r w:rsidR="00AC424B">
        <w:t>2021 Avoided</w:t>
      </w:r>
      <w:r w:rsidR="007E2FE2">
        <w:t xml:space="preserve"> Cost Calculator should account for all discernable benefits </w:t>
      </w:r>
      <w:r w:rsidR="00731CB3">
        <w:t>the Commission deems reasonable to incorporate into the cost</w:t>
      </w:r>
      <w:r w:rsidR="00827602">
        <w:noBreakHyphen/>
      </w:r>
      <w:r w:rsidR="00731CB3">
        <w:t>effectiveness analysis.</w:t>
      </w:r>
      <w:r w:rsidR="004D0B26">
        <w:rPr>
          <w:rStyle w:val="FootnoteReference"/>
        </w:rPr>
        <w:footnoteReference w:id="152"/>
      </w:r>
      <w:r w:rsidR="00731CB3">
        <w:t xml:space="preserve">  Joint Utilities contend </w:t>
      </w:r>
      <w:r w:rsidR="004D0B26">
        <w:t xml:space="preserve">that </w:t>
      </w:r>
      <w:r w:rsidR="00BA1EAE">
        <w:t>“</w:t>
      </w:r>
      <w:r w:rsidR="00731CB3">
        <w:t>no additional, unquantified benefits should be added, much less ones the Commission already has rejected.</w:t>
      </w:r>
      <w:r w:rsidR="00BA1EAE">
        <w:t>”</w:t>
      </w:r>
      <w:r w:rsidR="004D0B26">
        <w:rPr>
          <w:rStyle w:val="FootnoteReference"/>
        </w:rPr>
        <w:footnoteReference w:id="153"/>
      </w:r>
    </w:p>
    <w:p w:rsidR="00CE3D72" w:rsidP="00A015B3" w:rsidRDefault="00093D3A" w14:paraId="6C4197D3" w14:textId="70F34B17">
      <w:pPr>
        <w:pStyle w:val="Standard"/>
      </w:pPr>
      <w:r>
        <w:t xml:space="preserve">The Commission </w:t>
      </w:r>
      <w:r w:rsidR="005539FA">
        <w:t>decline</w:t>
      </w:r>
      <w:r>
        <w:t>s</w:t>
      </w:r>
      <w:r w:rsidR="005539FA">
        <w:t xml:space="preserve"> to adopt resiliency adder</w:t>
      </w:r>
      <w:r w:rsidR="008B2454">
        <w:t>s</w:t>
      </w:r>
      <w:r w:rsidR="005539FA">
        <w:t xml:space="preserve">.  Neither SEIA/Vote Solar nor PCF have provided </w:t>
      </w:r>
      <w:r w:rsidR="000B407C">
        <w:t xml:space="preserve">convincing </w:t>
      </w:r>
      <w:r w:rsidR="005539FA">
        <w:t xml:space="preserve">evidence that the </w:t>
      </w:r>
      <w:r w:rsidR="000B407C">
        <w:t xml:space="preserve">examples of </w:t>
      </w:r>
      <w:r w:rsidR="005539FA">
        <w:t xml:space="preserve">resiliency benefits </w:t>
      </w:r>
      <w:r w:rsidR="000B407C">
        <w:t xml:space="preserve">offered </w:t>
      </w:r>
      <w:r w:rsidR="005539FA">
        <w:t xml:space="preserve">are more than individual benefits.  </w:t>
      </w:r>
      <w:r>
        <w:t>T</w:t>
      </w:r>
      <w:r w:rsidR="005539FA">
        <w:t xml:space="preserve">he examples </w:t>
      </w:r>
      <w:r w:rsidR="000B407C">
        <w:t xml:space="preserve">given by PCF and SEIA/Vote Solar are either private </w:t>
      </w:r>
      <w:r w:rsidR="00EE59AE">
        <w:t xml:space="preserve">benefits </w:t>
      </w:r>
      <w:r w:rsidR="000B407C">
        <w:t xml:space="preserve">or highly speculative and limited to </w:t>
      </w:r>
      <w:r w:rsidR="00D374EE">
        <w:t>unique</w:t>
      </w:r>
      <w:r w:rsidR="000B407C">
        <w:t xml:space="preserve"> circumstances; none of which would lead </w:t>
      </w:r>
      <w:r>
        <w:t xml:space="preserve">the Commission </w:t>
      </w:r>
      <w:r w:rsidR="000B407C">
        <w:t>to ascribe a resiliency adder for all net energy metering customers.</w:t>
      </w:r>
      <w:r w:rsidR="00CB14FF">
        <w:t xml:space="preserve">  While declin</w:t>
      </w:r>
      <w:r>
        <w:t>ing</w:t>
      </w:r>
      <w:r w:rsidR="00CB14FF">
        <w:t xml:space="preserve"> to quantify resiliency benefits </w:t>
      </w:r>
      <w:r>
        <w:t>here</w:t>
      </w:r>
      <w:r w:rsidR="00CB14FF">
        <w:t xml:space="preserve">, </w:t>
      </w:r>
      <w:r>
        <w:t xml:space="preserve">the Commission </w:t>
      </w:r>
      <w:r w:rsidR="00CB14FF">
        <w:t>recognize</w:t>
      </w:r>
      <w:r>
        <w:t>s</w:t>
      </w:r>
      <w:r w:rsidR="00CB14FF">
        <w:t xml:space="preserve"> that evolving analysis and changing grid conditions may result in more persuasive arguments </w:t>
      </w:r>
      <w:r w:rsidR="00CB14FF">
        <w:lastRenderedPageBreak/>
        <w:t>in favor of quantifying resiliency benefits in the future</w:t>
      </w:r>
      <w:r w:rsidR="00D33B1B">
        <w:t>, especially locational ones</w:t>
      </w:r>
      <w:r w:rsidR="00CB14FF">
        <w:t>; the Commission may consider this issue at a future time.</w:t>
      </w:r>
    </w:p>
    <w:p w:rsidR="00533B2F" w:rsidP="00A015B3" w:rsidRDefault="00EE59AE" w14:paraId="6B117255" w14:textId="14F0AF50">
      <w:pPr>
        <w:pStyle w:val="Standard"/>
      </w:pPr>
      <w:r>
        <w:t xml:space="preserve">This decision </w:t>
      </w:r>
      <w:r w:rsidR="00485077">
        <w:t xml:space="preserve">also </w:t>
      </w:r>
      <w:r w:rsidR="000B407C">
        <w:t>decline</w:t>
      </w:r>
      <w:r>
        <w:t>s</w:t>
      </w:r>
      <w:r w:rsidR="000B407C">
        <w:t xml:space="preserve"> to adopt </w:t>
      </w:r>
      <w:r w:rsidR="00670AD1">
        <w:t>the proposed societal benefits of an updated social cost of carbon metric, a reduced methane leakage multiplier</w:t>
      </w:r>
      <w:r w:rsidR="00D57523">
        <w:t>,</w:t>
      </w:r>
      <w:r w:rsidR="00670AD1">
        <w:t xml:space="preserve"> and avoided future transmission costs.</w:t>
      </w:r>
      <w:r w:rsidR="00485077">
        <w:t xml:space="preserve">  </w:t>
      </w:r>
      <w:r w:rsidR="00CE3D72">
        <w:t>The Commission stated in D.20</w:t>
      </w:r>
      <w:r w:rsidR="00827602">
        <w:noBreakHyphen/>
      </w:r>
      <w:r w:rsidR="00CE3D72">
        <w:t>04</w:t>
      </w:r>
      <w:r w:rsidR="00827602">
        <w:noBreakHyphen/>
      </w:r>
      <w:r w:rsidRPr="00EA28A0" w:rsidR="00CE3D72">
        <w:t xml:space="preserve">010, </w:t>
      </w:r>
      <w:r w:rsidR="00CE3D72">
        <w:t xml:space="preserve">that the </w:t>
      </w:r>
      <w:r w:rsidRPr="00EA28A0" w:rsidR="00CE3D72">
        <w:t>consideration of the benefits of grid services provided by specific distributed energy resources should be addressed in resource</w:t>
      </w:r>
      <w:r w:rsidR="00827602">
        <w:noBreakHyphen/>
      </w:r>
      <w:r w:rsidRPr="00EA28A0" w:rsidR="00CE3D72">
        <w:t>specific proceedings.</w:t>
      </w:r>
      <w:r w:rsidR="00CE3D72">
        <w:t xml:space="preserve">  </w:t>
      </w:r>
      <w:r w:rsidR="001A1ECE">
        <w:t xml:space="preserve">However, </w:t>
      </w:r>
      <w:r w:rsidR="00B9036C">
        <w:t xml:space="preserve">some of </w:t>
      </w:r>
      <w:r w:rsidR="00CE3D72">
        <w:t>t</w:t>
      </w:r>
      <w:r w:rsidR="00485077">
        <w:t xml:space="preserve">hese benefits </w:t>
      </w:r>
      <w:r w:rsidR="00CE3D72">
        <w:t>(methane leakage</w:t>
      </w:r>
      <w:r w:rsidR="001A1ECE">
        <w:t>, future transmission costs,</w:t>
      </w:r>
      <w:r w:rsidR="00B9036C">
        <w:t xml:space="preserve"> </w:t>
      </w:r>
      <w:r w:rsidR="00CE3D72">
        <w:t xml:space="preserve">and updated </w:t>
      </w:r>
      <w:r w:rsidR="000360AF">
        <w:t xml:space="preserve">social </w:t>
      </w:r>
      <w:r w:rsidR="00CE3D72">
        <w:t xml:space="preserve">cost of carbon) </w:t>
      </w:r>
      <w:r w:rsidR="00485077">
        <w:t>can be attributable to resources other than net energy metering</w:t>
      </w:r>
      <w:r w:rsidR="00CE3D72">
        <w:t xml:space="preserve">, </w:t>
      </w:r>
      <w:r w:rsidR="00D57523">
        <w:t xml:space="preserve">thus, </w:t>
      </w:r>
      <w:r w:rsidR="00485077">
        <w:t>it is not appropriate to determine values only for net energy metering resources.</w:t>
      </w:r>
      <w:r w:rsidR="00C45475">
        <w:t xml:space="preserve">  Furthermore, </w:t>
      </w:r>
      <w:r w:rsidR="005059E8">
        <w:t>in</w:t>
      </w:r>
      <w:r w:rsidR="00827602">
        <w:noBreakHyphen/>
      </w:r>
      <w:r w:rsidR="005059E8">
        <w:t>state methane leakage</w:t>
      </w:r>
      <w:r w:rsidR="00C277A8">
        <w:t xml:space="preserve"> </w:t>
      </w:r>
      <w:r w:rsidR="00D57523">
        <w:t>is</w:t>
      </w:r>
      <w:r w:rsidR="00C45475">
        <w:t xml:space="preserve"> already accounted for in the Avoided Cost Calculator</w:t>
      </w:r>
      <w:r w:rsidR="00D43F04">
        <w:t xml:space="preserve">.  </w:t>
      </w:r>
      <w:r w:rsidR="00B9036C">
        <w:t>Thus</w:t>
      </w:r>
      <w:r w:rsidR="00D43F04">
        <w:t>, allowing for an additional</w:t>
      </w:r>
      <w:r w:rsidR="00B9036C">
        <w:t xml:space="preserve"> value for </w:t>
      </w:r>
      <w:r w:rsidR="00D57523">
        <w:t xml:space="preserve">this </w:t>
      </w:r>
      <w:r w:rsidR="00B9036C">
        <w:t xml:space="preserve">benefit </w:t>
      </w:r>
      <w:r w:rsidR="00D43F04">
        <w:t xml:space="preserve">would result in the double counting of </w:t>
      </w:r>
      <w:r w:rsidR="00D57523">
        <w:t xml:space="preserve">the </w:t>
      </w:r>
      <w:r w:rsidR="00D43F04">
        <w:t>benefit.</w:t>
      </w:r>
      <w:r w:rsidR="008C692F">
        <w:t xml:space="preserve">  </w:t>
      </w:r>
      <w:r w:rsidR="003F2E8B">
        <w:t>Relatedly, f</w:t>
      </w:r>
      <w:r w:rsidR="008C692F">
        <w:t>ollowing the filing of briefs in this proceeding, the Commission adopted D.22</w:t>
      </w:r>
      <w:r w:rsidR="00827602">
        <w:noBreakHyphen/>
      </w:r>
      <w:r w:rsidR="008C692F">
        <w:t>05</w:t>
      </w:r>
      <w:r w:rsidR="00827602">
        <w:noBreakHyphen/>
      </w:r>
      <w:r w:rsidR="008C692F">
        <w:t>002 that updated the Avoided Cost Calculator for 2022.  In that decision, the Commission declined to adopt a proposal to include out</w:t>
      </w:r>
      <w:r w:rsidR="00827602">
        <w:noBreakHyphen/>
      </w:r>
      <w:r w:rsidR="008C692F">
        <w:t>of</w:t>
      </w:r>
      <w:r w:rsidR="00827602">
        <w:noBreakHyphen/>
      </w:r>
      <w:r w:rsidR="008C692F">
        <w:t>state methane leakage values in the Avoided Cost Calculator</w:t>
      </w:r>
      <w:r w:rsidR="005059E8">
        <w:t>.</w:t>
      </w:r>
    </w:p>
    <w:p w:rsidR="00CA4195" w:rsidP="00A015B3" w:rsidRDefault="00D57523" w14:paraId="770FB90D" w14:textId="16909174">
      <w:pPr>
        <w:pStyle w:val="Standard"/>
      </w:pPr>
      <w:r>
        <w:t>Finally, w</w:t>
      </w:r>
      <w:r w:rsidR="001A1ECE">
        <w:t>ith respect to land</w:t>
      </w:r>
      <w:r w:rsidR="00827602">
        <w:noBreakHyphen/>
      </w:r>
      <w:r w:rsidR="001A1ECE">
        <w:t xml:space="preserve">use conservation, </w:t>
      </w:r>
      <w:proofErr w:type="spellStart"/>
      <w:r w:rsidR="00F15B43">
        <w:t>CALSSA</w:t>
      </w:r>
      <w:proofErr w:type="spellEnd"/>
      <w:r w:rsidR="00F15B43">
        <w:t xml:space="preserve"> asserts </w:t>
      </w:r>
      <w:r>
        <w:t xml:space="preserve">that </w:t>
      </w:r>
      <w:r w:rsidR="00F15B43">
        <w:t>the current cost</w:t>
      </w:r>
      <w:r w:rsidR="00827602">
        <w:noBreakHyphen/>
      </w:r>
      <w:r w:rsidR="00F15B43">
        <w:t>effectiveness tests do not consider the land conservation benefits of rooftop solar versus utility</w:t>
      </w:r>
      <w:r w:rsidR="00827602">
        <w:noBreakHyphen/>
      </w:r>
      <w:r w:rsidR="00F15B43">
        <w:t xml:space="preserve">scale solar.  </w:t>
      </w:r>
      <w:proofErr w:type="spellStart"/>
      <w:r w:rsidR="00F15B43">
        <w:t>CALSSA</w:t>
      </w:r>
      <w:proofErr w:type="spellEnd"/>
      <w:r w:rsidR="00F15B43">
        <w:t xml:space="preserve"> contends that implementation of </w:t>
      </w:r>
      <w:r w:rsidR="00E27AE8">
        <w:t>SB </w:t>
      </w:r>
      <w:r w:rsidR="00F15B43">
        <w:t>100 requires triple the amount of utility</w:t>
      </w:r>
      <w:r w:rsidR="00827602">
        <w:noBreakHyphen/>
      </w:r>
      <w:r w:rsidR="00F15B43">
        <w:t xml:space="preserve">scale solar built annually through 2045, which </w:t>
      </w:r>
      <w:r w:rsidR="00DB26EB">
        <w:t>would result in the need to</w:t>
      </w:r>
      <w:r w:rsidR="00F15B43">
        <w:t xml:space="preserve"> develop</w:t>
      </w:r>
      <w:r w:rsidR="00DB26EB">
        <w:t xml:space="preserve"> </w:t>
      </w:r>
      <w:r w:rsidR="00F15B43">
        <w:t>one</w:t>
      </w:r>
      <w:r w:rsidR="00BD4AC8">
        <w:t> million</w:t>
      </w:r>
      <w:r w:rsidR="00F15B43">
        <w:t xml:space="preserve"> acres of land.</w:t>
      </w:r>
      <w:r w:rsidR="00F15B43">
        <w:rPr>
          <w:rStyle w:val="FootnoteReference"/>
        </w:rPr>
        <w:footnoteReference w:id="154"/>
      </w:r>
      <w:r w:rsidR="001B1DF4">
        <w:t xml:space="preserve">  </w:t>
      </w:r>
      <w:proofErr w:type="spellStart"/>
      <w:r w:rsidR="00A01BBB">
        <w:t>CALSSA</w:t>
      </w:r>
      <w:proofErr w:type="spellEnd"/>
      <w:r w:rsidR="00A01BBB">
        <w:t xml:space="preserve"> concludes that </w:t>
      </w:r>
      <w:r w:rsidR="009205BD">
        <w:t>decreased net energy metering installations would increase this need</w:t>
      </w:r>
      <w:r w:rsidR="007325A5">
        <w:t xml:space="preserve"> and, therefore, asserts that increased installations would </w:t>
      </w:r>
      <w:r w:rsidR="007325A5">
        <w:lastRenderedPageBreak/>
        <w:t>decrease the need</w:t>
      </w:r>
      <w:r w:rsidR="009205BD">
        <w:t xml:space="preserve">.  </w:t>
      </w:r>
      <w:r w:rsidR="009472DB">
        <w:t xml:space="preserve">Similarly, SEIA/Vote Solar agree that distributed solar </w:t>
      </w:r>
      <w:r w:rsidR="00BA1EAE">
        <w:t>“</w:t>
      </w:r>
      <w:r w:rsidR="009472DB">
        <w:t>has the societal (environmental) benefit of avoiding the land use impacts of utility</w:t>
      </w:r>
      <w:r w:rsidR="00827602">
        <w:noBreakHyphen/>
      </w:r>
      <w:r w:rsidR="009472DB">
        <w:t>scale solar or wind generation.</w:t>
      </w:r>
      <w:r w:rsidR="00BA1EAE">
        <w:t>”</w:t>
      </w:r>
      <w:r w:rsidR="009472DB">
        <w:rPr>
          <w:rStyle w:val="FootnoteReference"/>
        </w:rPr>
        <w:footnoteReference w:id="155"/>
      </w:r>
      <w:r w:rsidR="009472DB">
        <w:t xml:space="preserve">  </w:t>
      </w:r>
      <w:r w:rsidR="00A01BBB">
        <w:t>N</w:t>
      </w:r>
      <w:r w:rsidR="001B1DF4">
        <w:t xml:space="preserve">ot </w:t>
      </w:r>
      <w:r w:rsidR="00917412">
        <w:t xml:space="preserve">offering </w:t>
      </w:r>
      <w:r w:rsidR="001B1DF4">
        <w:t xml:space="preserve">a specific calculation of this benefit, </w:t>
      </w:r>
      <w:proofErr w:type="spellStart"/>
      <w:r w:rsidR="001B1DF4">
        <w:t>CALSSA</w:t>
      </w:r>
      <w:proofErr w:type="spellEnd"/>
      <w:r w:rsidR="001B1DF4">
        <w:t xml:space="preserve"> </w:t>
      </w:r>
      <w:r w:rsidR="00A01BBB">
        <w:t xml:space="preserve">instead </w:t>
      </w:r>
      <w:r w:rsidR="001B1DF4">
        <w:t>proposes the Commission consider these land conservation benefits when determining cost</w:t>
      </w:r>
      <w:r w:rsidR="00827602">
        <w:noBreakHyphen/>
      </w:r>
      <w:r w:rsidR="001B1DF4">
        <w:t>effectiveness.</w:t>
      </w:r>
      <w:r w:rsidR="00917412">
        <w:rPr>
          <w:rStyle w:val="FootnoteReference"/>
        </w:rPr>
        <w:footnoteReference w:id="156"/>
      </w:r>
      <w:r w:rsidR="001B1DF4">
        <w:t xml:space="preserve">  </w:t>
      </w:r>
      <w:r w:rsidR="0020042B">
        <w:t xml:space="preserve">Neither </w:t>
      </w:r>
      <w:proofErr w:type="spellStart"/>
      <w:r w:rsidR="0020042B">
        <w:t>CALSSA</w:t>
      </w:r>
      <w:proofErr w:type="spellEnd"/>
      <w:r w:rsidR="0020042B">
        <w:t xml:space="preserve"> nor SEIA/Vote Solar offer any evidence </w:t>
      </w:r>
      <w:r w:rsidR="00A01BBB">
        <w:t xml:space="preserve">that increased </w:t>
      </w:r>
      <w:r w:rsidR="009205BD">
        <w:t xml:space="preserve">net energy metering installations will </w:t>
      </w:r>
      <w:r w:rsidR="00846FA5">
        <w:t xml:space="preserve">directly </w:t>
      </w:r>
      <w:r w:rsidR="009205BD">
        <w:t>result in decreased utility scale projects</w:t>
      </w:r>
      <w:r w:rsidR="0020042B">
        <w:t xml:space="preserve">.  Further, </w:t>
      </w:r>
      <w:proofErr w:type="spellStart"/>
      <w:r w:rsidR="0020042B">
        <w:t>CalWEA</w:t>
      </w:r>
      <w:proofErr w:type="spellEnd"/>
      <w:r w:rsidR="0020042B">
        <w:t xml:space="preserve"> </w:t>
      </w:r>
      <w:r w:rsidR="00A01BBB">
        <w:t xml:space="preserve">presents </w:t>
      </w:r>
      <w:r w:rsidR="009205BD">
        <w:t xml:space="preserve">an analysis of </w:t>
      </w:r>
      <w:r w:rsidR="00E27AE8">
        <w:t>SB </w:t>
      </w:r>
      <w:r w:rsidR="009205BD">
        <w:t>100</w:t>
      </w:r>
      <w:r w:rsidR="00423320">
        <w:t xml:space="preserve"> they contend indicates that the </w:t>
      </w:r>
      <w:r w:rsidR="00BA1EAE">
        <w:t>“</w:t>
      </w:r>
      <w:r w:rsidR="00423320">
        <w:t>need for utility</w:t>
      </w:r>
      <w:r w:rsidR="00827602">
        <w:noBreakHyphen/>
      </w:r>
      <w:r w:rsidR="00423320">
        <w:t>scale renewables remains virtually the same when we reduce the growth rate of customer</w:t>
      </w:r>
      <w:r w:rsidR="00827602">
        <w:noBreakHyphen/>
      </w:r>
      <w:r w:rsidR="00423320">
        <w:t>side solar.</w:t>
      </w:r>
      <w:r w:rsidR="00BA1EAE">
        <w:t>”</w:t>
      </w:r>
      <w:r w:rsidR="00423320">
        <w:rPr>
          <w:rStyle w:val="FootnoteReference"/>
        </w:rPr>
        <w:footnoteReference w:id="157"/>
      </w:r>
      <w:r w:rsidR="007325A5">
        <w:t xml:space="preserve">  The Commission is not persuaded by the arguments for a land</w:t>
      </w:r>
      <w:r w:rsidR="00827602">
        <w:noBreakHyphen/>
      </w:r>
      <w:r w:rsidR="007325A5">
        <w:t>use societal benefit.</w:t>
      </w:r>
    </w:p>
    <w:p w:rsidR="002C7F94" w:rsidP="005E7044" w:rsidRDefault="00E421FA" w14:paraId="5E3B745F" w14:textId="1273D0A4">
      <w:pPr>
        <w:pStyle w:val="Heading3"/>
        <w:keepLines w:val="0"/>
      </w:pPr>
      <w:bookmarkStart w:name="_Toc117674080" w:id="125"/>
      <w:bookmarkStart w:name="_Toc118285071" w:id="126"/>
      <w:bookmarkStart w:name="_Toc121854398" w:id="127"/>
      <w:r>
        <w:t>The Number of Years to Payback</w:t>
      </w:r>
      <w:r w:rsidR="00A20635">
        <w:br/>
      </w:r>
      <w:r w:rsidR="002C7F94">
        <w:t>Should Appropriately Balance</w:t>
      </w:r>
      <w:r w:rsidR="00A20635">
        <w:br/>
      </w:r>
      <w:r w:rsidR="002C7F94">
        <w:t>Participant and Nonparticipant Needs</w:t>
      </w:r>
      <w:bookmarkEnd w:id="125"/>
      <w:bookmarkEnd w:id="126"/>
      <w:bookmarkEnd w:id="127"/>
    </w:p>
    <w:p w:rsidR="00533B2F" w:rsidP="00A015B3" w:rsidRDefault="0040236E" w14:paraId="417AFC49" w14:textId="5B71871E">
      <w:pPr>
        <w:pStyle w:val="Standard"/>
      </w:pPr>
      <w:r>
        <w:rPr>
          <w:rFonts w:cs="TimesNewRomanPSMT"/>
          <w:szCs w:val="26"/>
        </w:rPr>
        <w:t>TURN defines the payback period as the length of time required for participating customer bill savings to recover the participating customer’s investment in the net energy metering</w:t>
      </w:r>
      <w:r w:rsidR="00827602">
        <w:rPr>
          <w:rFonts w:cs="TimesNewRomanPSMT"/>
          <w:szCs w:val="26"/>
        </w:rPr>
        <w:noBreakHyphen/>
      </w:r>
      <w:r>
        <w:rPr>
          <w:rFonts w:cs="TimesNewRomanPSMT"/>
          <w:szCs w:val="26"/>
        </w:rPr>
        <w:t>eligible resource.</w:t>
      </w:r>
      <w:r>
        <w:rPr>
          <w:rStyle w:val="FootnoteReference"/>
          <w:rFonts w:cs="TimesNewRomanPSMT"/>
          <w:szCs w:val="26"/>
        </w:rPr>
        <w:footnoteReference w:id="158"/>
      </w:r>
      <w:r>
        <w:rPr>
          <w:rFonts w:cs="TimesNewRomanPSMT"/>
          <w:szCs w:val="26"/>
        </w:rPr>
        <w:t xml:space="preserve">  </w:t>
      </w:r>
      <w:r w:rsidR="0052412C">
        <w:rPr>
          <w:rFonts w:cs="TimesNewRomanPSMT"/>
          <w:szCs w:val="26"/>
        </w:rPr>
        <w:t xml:space="preserve">Similarly, </w:t>
      </w:r>
      <w:r w:rsidR="009355F1">
        <w:t>Cal Advoc</w:t>
      </w:r>
      <w:r w:rsidR="0052412C">
        <w:t xml:space="preserve">ates defines the payback period as </w:t>
      </w:r>
      <w:r w:rsidR="00BA1EAE">
        <w:t>“</w:t>
      </w:r>
      <w:r w:rsidR="0052412C">
        <w:t>the time it takes for a customer to recoup the total installation costs of their system through their cumulative total annual bill savings.</w:t>
      </w:r>
      <w:r w:rsidR="00BA1EAE">
        <w:t>”</w:t>
      </w:r>
      <w:r w:rsidR="0052412C">
        <w:rPr>
          <w:rStyle w:val="FootnoteReference"/>
        </w:rPr>
        <w:footnoteReference w:id="159"/>
      </w:r>
      <w:r w:rsidR="0052412C">
        <w:t xml:space="preserve">  </w:t>
      </w:r>
      <w:r w:rsidR="004429A5">
        <w:t xml:space="preserve">Parties </w:t>
      </w:r>
      <w:r w:rsidR="00B11594">
        <w:t xml:space="preserve">concur </w:t>
      </w:r>
      <w:r w:rsidR="004429A5">
        <w:t xml:space="preserve">to differing degrees that the Commission should consider </w:t>
      </w:r>
      <w:r w:rsidR="0031366A">
        <w:t>the length of time for a</w:t>
      </w:r>
      <w:r w:rsidR="004429A5">
        <w:t xml:space="preserve"> customer’s payback period </w:t>
      </w:r>
      <w:r w:rsidR="0031366A">
        <w:t xml:space="preserve">when </w:t>
      </w:r>
      <w:r w:rsidR="004429A5">
        <w:t>determining the reasonableness of the successor tariff.</w:t>
      </w:r>
      <w:r w:rsidR="007D1499">
        <w:t xml:space="preserve">  </w:t>
      </w:r>
      <w:r w:rsidR="0031366A">
        <w:t xml:space="preserve">Parties’ opinions diverge </w:t>
      </w:r>
      <w:r w:rsidR="0031366A">
        <w:lastRenderedPageBreak/>
        <w:t xml:space="preserve">on the length of time for a reasonable payback </w:t>
      </w:r>
      <w:r>
        <w:t>period and how to calculate that period</w:t>
      </w:r>
      <w:r w:rsidR="0031366A">
        <w:t xml:space="preserve">.  </w:t>
      </w:r>
      <w:r w:rsidR="00EE59AE">
        <w:t>T</w:t>
      </w:r>
      <w:r w:rsidR="0052412C">
        <w:t xml:space="preserve">hese divergences </w:t>
      </w:r>
      <w:r w:rsidR="00EE59AE">
        <w:t xml:space="preserve">are discussed </w:t>
      </w:r>
      <w:r w:rsidR="0031366A">
        <w:t>below.</w:t>
      </w:r>
    </w:p>
    <w:p w:rsidR="00533B2F" w:rsidP="00A015B3" w:rsidRDefault="00CF6A34" w14:paraId="424C054B" w14:textId="5D34CDD1">
      <w:pPr>
        <w:pStyle w:val="Standard"/>
      </w:pPr>
      <w:r>
        <w:t>PCF asserts the Commission should evaluate the successor tariff based on whether customers receive an attractive economic value proposition.</w:t>
      </w:r>
      <w:r>
        <w:rPr>
          <w:rStyle w:val="FootnoteReference"/>
        </w:rPr>
        <w:footnoteReference w:id="160"/>
      </w:r>
      <w:r>
        <w:t xml:space="preserve">  PCF explains that while some customers may adopt solar to combat climate change, most will only invest if they recover their costs.</w:t>
      </w:r>
      <w:r w:rsidR="00C21576">
        <w:rPr>
          <w:rStyle w:val="FootnoteReference"/>
        </w:rPr>
        <w:footnoteReference w:id="161"/>
      </w:r>
      <w:r>
        <w:t xml:space="preserve">  </w:t>
      </w:r>
      <w:r w:rsidR="0052412C">
        <w:t>Most, if not all, parties</w:t>
      </w:r>
      <w:r>
        <w:t xml:space="preserve"> support this proposition</w:t>
      </w:r>
      <w:r w:rsidR="00A3292F">
        <w:t>,</w:t>
      </w:r>
      <w:r>
        <w:t xml:space="preserve"> including SEIA/Vote Solar</w:t>
      </w:r>
      <w:r w:rsidR="0052412C">
        <w:t xml:space="preserve">, </w:t>
      </w:r>
      <w:r>
        <w:t>who state sustainable growth requires reasonable economics for participants</w:t>
      </w:r>
      <w:r w:rsidR="0052412C">
        <w:t>;</w:t>
      </w:r>
      <w:r>
        <w:rPr>
          <w:rStyle w:val="FootnoteReference"/>
        </w:rPr>
        <w:footnoteReference w:id="162"/>
      </w:r>
      <w:r>
        <w:t xml:space="preserve"> Environmental Working Group</w:t>
      </w:r>
      <w:r w:rsidR="0052412C">
        <w:t xml:space="preserve">, </w:t>
      </w:r>
      <w:r>
        <w:t xml:space="preserve">who contends sustainable growth for solar requires </w:t>
      </w:r>
      <w:r w:rsidR="00BA1EAE">
        <w:t>“</w:t>
      </w:r>
      <w:r>
        <w:t xml:space="preserve">a sufficiently attractive product for a large number of residents to </w:t>
      </w:r>
      <w:r w:rsidR="00C21576">
        <w:t>choose</w:t>
      </w:r>
      <w:r>
        <w:t xml:space="preserve"> to invest in it</w:t>
      </w:r>
      <w:r w:rsidR="0052412C">
        <w:t>;</w:t>
      </w:r>
      <w:r w:rsidR="00BA1EAE">
        <w:t>”</w:t>
      </w:r>
      <w:r w:rsidR="00C21576">
        <w:rPr>
          <w:rStyle w:val="FootnoteReference"/>
        </w:rPr>
        <w:footnoteReference w:id="163"/>
      </w:r>
      <w:r w:rsidR="00C21576">
        <w:t xml:space="preserve"> and </w:t>
      </w:r>
      <w:proofErr w:type="spellStart"/>
      <w:r w:rsidR="00C21576">
        <w:t>CALSSA</w:t>
      </w:r>
      <w:proofErr w:type="spellEnd"/>
      <w:r w:rsidR="0052412C">
        <w:t>,</w:t>
      </w:r>
      <w:r w:rsidR="00C21576">
        <w:t xml:space="preserve"> who identifies a reasonable cost recovery or payback period as the best measure of </w:t>
      </w:r>
      <w:r w:rsidR="00C42363">
        <w:t>circumstances</w:t>
      </w:r>
      <w:r w:rsidR="00C21576">
        <w:t xml:space="preserve"> </w:t>
      </w:r>
      <w:r w:rsidR="00C42363">
        <w:t xml:space="preserve">allowing </w:t>
      </w:r>
      <w:r w:rsidR="00F87E7A">
        <w:t xml:space="preserve">consistent </w:t>
      </w:r>
      <w:r w:rsidR="00C21576">
        <w:t>growth in distributed generation.</w:t>
      </w:r>
      <w:r w:rsidR="00C21576">
        <w:rPr>
          <w:rStyle w:val="FootnoteReference"/>
        </w:rPr>
        <w:footnoteReference w:id="164"/>
      </w:r>
    </w:p>
    <w:p w:rsidR="0052412C" w:rsidP="00A015B3" w:rsidRDefault="0052412C" w14:paraId="50DF9868" w14:textId="5D422E11">
      <w:pPr>
        <w:pStyle w:val="Standard"/>
      </w:pPr>
      <w:r>
        <w:rPr>
          <w:rFonts w:cs="TimesNewRomanPSMT"/>
          <w:szCs w:val="26"/>
        </w:rPr>
        <w:t>Further</w:t>
      </w:r>
      <w:r w:rsidR="00996FC0">
        <w:rPr>
          <w:rFonts w:cs="TimesNewRomanPSMT"/>
          <w:szCs w:val="26"/>
        </w:rPr>
        <w:t xml:space="preserve"> advocating for a focus on payback periods</w:t>
      </w:r>
      <w:r>
        <w:rPr>
          <w:rFonts w:cs="TimesNewRomanPSMT"/>
          <w:szCs w:val="26"/>
        </w:rPr>
        <w:t xml:space="preserve">, </w:t>
      </w:r>
      <w:r w:rsidR="0040236E">
        <w:rPr>
          <w:rFonts w:cs="TimesNewRomanPSMT"/>
          <w:szCs w:val="26"/>
        </w:rPr>
        <w:t xml:space="preserve">SEIA/Vote Solar </w:t>
      </w:r>
      <w:r>
        <w:rPr>
          <w:rFonts w:cs="TimesNewRomanPSMT"/>
          <w:szCs w:val="26"/>
        </w:rPr>
        <w:t>submit that</w:t>
      </w:r>
      <w:r w:rsidR="0040236E">
        <w:rPr>
          <w:rFonts w:cs="TimesNewRomanPSMT"/>
          <w:szCs w:val="26"/>
        </w:rPr>
        <w:t xml:space="preserve"> net energy metering customers consider payback periods as well as bill savings when deciding whether to invest in distributed energy resources.</w:t>
      </w:r>
      <w:r w:rsidR="0040236E">
        <w:rPr>
          <w:rStyle w:val="FootnoteReference"/>
          <w:rFonts w:cs="TimesNewRomanPSMT"/>
          <w:szCs w:val="26"/>
        </w:rPr>
        <w:footnoteReference w:id="165"/>
      </w:r>
      <w:r w:rsidR="0040236E">
        <w:rPr>
          <w:rFonts w:cs="TimesNewRomanPSMT"/>
          <w:szCs w:val="26"/>
        </w:rPr>
        <w:t xml:space="preserve">  </w:t>
      </w:r>
      <w:r w:rsidR="00CF6A34">
        <w:t xml:space="preserve">PCF </w:t>
      </w:r>
      <w:r w:rsidR="00FA6006">
        <w:t xml:space="preserve">also supports the use of payback periods, </w:t>
      </w:r>
      <w:r w:rsidR="00CF6A34">
        <w:t>assert</w:t>
      </w:r>
      <w:r w:rsidR="00FA6006">
        <w:t xml:space="preserve">ing </w:t>
      </w:r>
      <w:r w:rsidR="00F87E7A">
        <w:t xml:space="preserve">that </w:t>
      </w:r>
      <w:r w:rsidR="00CF6A34">
        <w:t>a reasonable payback period remains a key determinant of whether distributed generation presents a viable economic value proposition.</w:t>
      </w:r>
      <w:r w:rsidRPr="00C21576" w:rsidR="00C21576">
        <w:rPr>
          <w:rStyle w:val="FootnoteReference"/>
        </w:rPr>
        <w:t xml:space="preserve"> </w:t>
      </w:r>
      <w:r w:rsidR="00C21576">
        <w:rPr>
          <w:rStyle w:val="FootnoteReference"/>
        </w:rPr>
        <w:footnoteReference w:id="166"/>
      </w:r>
      <w:r w:rsidR="00C21576">
        <w:t xml:space="preserve">  </w:t>
      </w:r>
      <w:r w:rsidR="00FA6006">
        <w:t xml:space="preserve">Similarly, </w:t>
      </w:r>
      <w:proofErr w:type="spellStart"/>
      <w:r w:rsidR="00F87E7A">
        <w:t>CALSSA</w:t>
      </w:r>
      <w:proofErr w:type="spellEnd"/>
      <w:r w:rsidR="00F87E7A">
        <w:t xml:space="preserve"> states </w:t>
      </w:r>
      <w:r w:rsidR="00BA1EAE">
        <w:lastRenderedPageBreak/>
        <w:t>“</w:t>
      </w:r>
      <w:r w:rsidR="00F87E7A">
        <w:t>payback is by far the most important indicator of customers’ willingness to invest and, therefore, the best indicator of whether</w:t>
      </w:r>
      <w:r w:rsidR="00A3292F">
        <w:t xml:space="preserve"> </w:t>
      </w:r>
      <w:r w:rsidR="00F87E7A">
        <w:t>a</w:t>
      </w:r>
      <w:r w:rsidR="00A3292F">
        <w:t xml:space="preserve"> </w:t>
      </w:r>
      <w:r w:rsidR="00F87E7A">
        <w:t>party’s proposal will ensure ‘customer</w:t>
      </w:r>
      <w:r w:rsidR="00827602">
        <w:noBreakHyphen/>
      </w:r>
      <w:r w:rsidR="00F87E7A">
        <w:t xml:space="preserve">sited renewable </w:t>
      </w:r>
      <w:r w:rsidR="00A3292F">
        <w:t xml:space="preserve">distributed </w:t>
      </w:r>
      <w:r w:rsidR="00F87E7A">
        <w:t>generation continues to grow sustainably.</w:t>
      </w:r>
      <w:r w:rsidR="006B0B07">
        <w:t>’</w:t>
      </w:r>
      <w:r w:rsidR="00BA1EAE">
        <w:t>”</w:t>
      </w:r>
      <w:r w:rsidR="00F87E7A">
        <w:rPr>
          <w:rStyle w:val="FootnoteReference"/>
        </w:rPr>
        <w:footnoteReference w:id="167"/>
      </w:r>
    </w:p>
    <w:p w:rsidR="0052412C" w:rsidP="00A015B3" w:rsidRDefault="0058675B" w14:paraId="3E0C9D4A" w14:textId="41A1903B">
      <w:pPr>
        <w:pStyle w:val="Standard"/>
      </w:pPr>
      <w:r>
        <w:t xml:space="preserve">Continuing the discussion of payback periods, </w:t>
      </w:r>
      <w:r w:rsidR="004643E4">
        <w:t>s</w:t>
      </w:r>
      <w:r w:rsidR="00C4207F">
        <w:t xml:space="preserve">olar parties have varying opinions on the length of time for the payback period.  </w:t>
      </w:r>
      <w:proofErr w:type="spellStart"/>
      <w:r w:rsidR="00A0562E">
        <w:t>CALSSA’s</w:t>
      </w:r>
      <w:proofErr w:type="spellEnd"/>
      <w:r w:rsidR="00A0562E">
        <w:t xml:space="preserve"> targeted cost recovery period is seven years and </w:t>
      </w:r>
      <w:r w:rsidR="005532D2">
        <w:t xml:space="preserve">is </w:t>
      </w:r>
      <w:r w:rsidR="00A0562E">
        <w:t>based on the collective experience of its members.</w:t>
      </w:r>
      <w:r w:rsidR="00A0562E">
        <w:rPr>
          <w:rStyle w:val="FootnoteReference"/>
        </w:rPr>
        <w:footnoteReference w:id="168"/>
      </w:r>
      <w:r w:rsidR="00C21576">
        <w:t xml:space="preserve">  </w:t>
      </w:r>
      <w:r w:rsidR="0052412C">
        <w:rPr>
          <w:rFonts w:cs="TimesNewRomanPSMT"/>
          <w:szCs w:val="26"/>
        </w:rPr>
        <w:t>SEIA/Vote Solar contends a simple payback period longer than 10 years i</w:t>
      </w:r>
      <w:r w:rsidR="00C4207F">
        <w:rPr>
          <w:rFonts w:cs="TimesNewRomanPSMT"/>
          <w:szCs w:val="26"/>
        </w:rPr>
        <w:t>s</w:t>
      </w:r>
      <w:r w:rsidR="0052412C">
        <w:rPr>
          <w:rFonts w:cs="TimesNewRomanPSMT"/>
          <w:szCs w:val="26"/>
        </w:rPr>
        <w:t xml:space="preserve"> unlikely to attract significant customer interest.</w:t>
      </w:r>
      <w:r w:rsidR="0052412C">
        <w:rPr>
          <w:rStyle w:val="FootnoteReference"/>
          <w:rFonts w:cs="TimesNewRomanPSMT"/>
          <w:szCs w:val="26"/>
        </w:rPr>
        <w:footnoteReference w:id="169"/>
      </w:r>
      <w:r w:rsidR="0052412C">
        <w:rPr>
          <w:rFonts w:cs="TimesNewRomanPSMT"/>
          <w:szCs w:val="26"/>
        </w:rPr>
        <w:t xml:space="preserve">  Further, SEIA/Vote Solar opposes payback periods of more than 15</w:t>
      </w:r>
      <w:r w:rsidR="00F6148B">
        <w:rPr>
          <w:rFonts w:cs="TimesNewRomanPSMT"/>
          <w:szCs w:val="26"/>
        </w:rPr>
        <w:t> </w:t>
      </w:r>
      <w:r w:rsidR="0052412C">
        <w:rPr>
          <w:rFonts w:cs="TimesNewRomanPSMT"/>
          <w:szCs w:val="26"/>
        </w:rPr>
        <w:t xml:space="preserve">years, stating </w:t>
      </w:r>
      <w:r w:rsidR="00C4207F">
        <w:rPr>
          <w:rFonts w:cs="TimesNewRomanPSMT"/>
          <w:szCs w:val="26"/>
        </w:rPr>
        <w:t>this is</w:t>
      </w:r>
      <w:r w:rsidR="0052412C">
        <w:rPr>
          <w:rFonts w:cs="TimesNewRomanPSMT"/>
          <w:szCs w:val="26"/>
        </w:rPr>
        <w:t xml:space="preserve"> far longer than the average Californian stays in their home.</w:t>
      </w:r>
      <w:r w:rsidR="0052412C">
        <w:rPr>
          <w:rStyle w:val="FootnoteReference"/>
          <w:rFonts w:cs="TimesNewRomanPSMT"/>
          <w:szCs w:val="26"/>
        </w:rPr>
        <w:footnoteReference w:id="170"/>
      </w:r>
      <w:r w:rsidR="0052412C">
        <w:rPr>
          <w:rFonts w:cs="TimesNewRomanPSMT"/>
          <w:szCs w:val="26"/>
        </w:rPr>
        <w:t xml:space="preserve">  </w:t>
      </w:r>
      <w:proofErr w:type="spellStart"/>
      <w:r w:rsidR="00C4207F">
        <w:rPr>
          <w:rFonts w:cs="TimesNewRomanPSMT"/>
          <w:szCs w:val="26"/>
        </w:rPr>
        <w:t>SBUA</w:t>
      </w:r>
      <w:proofErr w:type="spellEnd"/>
      <w:r w:rsidR="00C4207F">
        <w:rPr>
          <w:rFonts w:cs="TimesNewRomanPSMT"/>
          <w:szCs w:val="26"/>
        </w:rPr>
        <w:t xml:space="preserve"> presents an analysis asserting that increasing the payback period from five to nine</w:t>
      </w:r>
      <w:r w:rsidR="003F6CB7">
        <w:rPr>
          <w:rFonts w:cs="TimesNewRomanPSMT"/>
          <w:szCs w:val="26"/>
        </w:rPr>
        <w:t> </w:t>
      </w:r>
      <w:r w:rsidR="00C4207F">
        <w:rPr>
          <w:rFonts w:cs="TimesNewRomanPSMT"/>
          <w:szCs w:val="26"/>
        </w:rPr>
        <w:t>years reduces solar uptake by 5</w:t>
      </w:r>
      <w:r w:rsidR="00C04724">
        <w:rPr>
          <w:rFonts w:cs="TimesNewRomanPSMT"/>
          <w:szCs w:val="26"/>
        </w:rPr>
        <w:t>5 percent</w:t>
      </w:r>
      <w:r w:rsidR="00C4207F">
        <w:rPr>
          <w:rFonts w:cs="TimesNewRomanPSMT"/>
          <w:szCs w:val="26"/>
        </w:rPr>
        <w:t>.</w:t>
      </w:r>
      <w:r w:rsidR="00C4207F">
        <w:rPr>
          <w:rStyle w:val="FootnoteReference"/>
          <w:rFonts w:cs="TimesNewRomanPSMT"/>
          <w:szCs w:val="26"/>
        </w:rPr>
        <w:footnoteReference w:id="171"/>
      </w:r>
      <w:r w:rsidR="00C4207F">
        <w:rPr>
          <w:rFonts w:cs="TimesNewRomanPSMT"/>
          <w:szCs w:val="26"/>
        </w:rPr>
        <w:t xml:space="preserve">  </w:t>
      </w:r>
      <w:proofErr w:type="spellStart"/>
      <w:r w:rsidR="0052412C">
        <w:rPr>
          <w:rFonts w:cs="TimesNewRomanPSMT"/>
          <w:szCs w:val="26"/>
        </w:rPr>
        <w:t>SBUA’s</w:t>
      </w:r>
      <w:proofErr w:type="spellEnd"/>
      <w:r w:rsidR="0052412C">
        <w:rPr>
          <w:rFonts w:cs="TimesNewRomanPSMT"/>
          <w:szCs w:val="26"/>
        </w:rPr>
        <w:t xml:space="preserve"> analysis looked at state level data from several sources, </w:t>
      </w:r>
      <w:r w:rsidR="00C4207F">
        <w:rPr>
          <w:rFonts w:cs="TimesNewRomanPSMT"/>
          <w:szCs w:val="26"/>
        </w:rPr>
        <w:t xml:space="preserve">and set the </w:t>
      </w:r>
      <w:r w:rsidR="0052412C">
        <w:rPr>
          <w:rFonts w:cs="TimesNewRomanPSMT"/>
          <w:szCs w:val="26"/>
        </w:rPr>
        <w:t xml:space="preserve">payback period </w:t>
      </w:r>
      <w:r w:rsidR="00C4207F">
        <w:rPr>
          <w:rFonts w:cs="TimesNewRomanPSMT"/>
          <w:szCs w:val="26"/>
        </w:rPr>
        <w:t xml:space="preserve">as </w:t>
      </w:r>
      <w:r w:rsidR="0052412C">
        <w:rPr>
          <w:rFonts w:cs="TimesNewRomanPSMT"/>
          <w:szCs w:val="26"/>
        </w:rPr>
        <w:t xml:space="preserve">the average payback reported for each state by Energy Sage and Solar Nation, </w:t>
      </w:r>
      <w:r w:rsidR="00C4207F">
        <w:rPr>
          <w:rFonts w:cs="TimesNewRomanPSMT"/>
          <w:szCs w:val="26"/>
        </w:rPr>
        <w:t xml:space="preserve">the </w:t>
      </w:r>
      <w:r w:rsidR="0052412C">
        <w:rPr>
          <w:rFonts w:cs="TimesNewRomanPSMT"/>
          <w:szCs w:val="26"/>
        </w:rPr>
        <w:t xml:space="preserve">installation rate </w:t>
      </w:r>
      <w:r w:rsidR="00C4207F">
        <w:rPr>
          <w:rFonts w:cs="TimesNewRomanPSMT"/>
          <w:szCs w:val="26"/>
        </w:rPr>
        <w:t xml:space="preserve">as </w:t>
      </w:r>
      <w:r w:rsidR="0052412C">
        <w:rPr>
          <w:rFonts w:cs="TimesNewRomanPSMT"/>
          <w:szCs w:val="26"/>
        </w:rPr>
        <w:t>the capacity of residential behind</w:t>
      </w:r>
      <w:r w:rsidR="00827602">
        <w:rPr>
          <w:rFonts w:cs="TimesNewRomanPSMT"/>
          <w:szCs w:val="26"/>
        </w:rPr>
        <w:noBreakHyphen/>
      </w:r>
      <w:r w:rsidR="0052412C">
        <w:rPr>
          <w:rFonts w:cs="TimesNewRomanPSMT"/>
          <w:szCs w:val="26"/>
        </w:rPr>
        <w:t>the</w:t>
      </w:r>
      <w:r w:rsidR="00827602">
        <w:rPr>
          <w:rFonts w:cs="TimesNewRomanPSMT"/>
          <w:szCs w:val="26"/>
        </w:rPr>
        <w:noBreakHyphen/>
      </w:r>
      <w:r w:rsidR="0052412C">
        <w:rPr>
          <w:rFonts w:cs="TimesNewRomanPSMT"/>
          <w:szCs w:val="26"/>
        </w:rPr>
        <w:t xml:space="preserve">meter solar installations from December 2020, </w:t>
      </w:r>
      <w:r w:rsidR="00C4207F">
        <w:rPr>
          <w:rFonts w:cs="TimesNewRomanPSMT"/>
          <w:szCs w:val="26"/>
        </w:rPr>
        <w:t xml:space="preserve">and the </w:t>
      </w:r>
      <w:r w:rsidR="0052412C">
        <w:rPr>
          <w:rFonts w:cs="TimesNewRomanPSMT"/>
          <w:szCs w:val="26"/>
        </w:rPr>
        <w:t xml:space="preserve">potential installation rate </w:t>
      </w:r>
      <w:r w:rsidR="00C4207F">
        <w:rPr>
          <w:rFonts w:cs="TimesNewRomanPSMT"/>
          <w:szCs w:val="26"/>
        </w:rPr>
        <w:t xml:space="preserve">determined by a </w:t>
      </w:r>
      <w:r w:rsidR="00AE557A">
        <w:rPr>
          <w:rFonts w:cs="TimesNewRomanPSMT"/>
          <w:szCs w:val="26"/>
        </w:rPr>
        <w:t>National Renewable Energy Laboratory (</w:t>
      </w:r>
      <w:proofErr w:type="spellStart"/>
      <w:r w:rsidR="0052412C">
        <w:rPr>
          <w:rFonts w:cs="TimesNewRomanPSMT"/>
          <w:szCs w:val="26"/>
        </w:rPr>
        <w:t>NREL</w:t>
      </w:r>
      <w:proofErr w:type="spellEnd"/>
      <w:r w:rsidR="00AE557A">
        <w:rPr>
          <w:rFonts w:cs="TimesNewRomanPSMT"/>
          <w:szCs w:val="26"/>
        </w:rPr>
        <w:t>)</w:t>
      </w:r>
      <w:r w:rsidR="0052412C">
        <w:rPr>
          <w:rFonts w:cs="TimesNewRomanPSMT"/>
          <w:szCs w:val="26"/>
        </w:rPr>
        <w:t xml:space="preserve"> analysis of rooftop </w:t>
      </w:r>
      <w:r w:rsidRPr="00A120E8" w:rsidR="00FF2849">
        <w:rPr>
          <w:rFonts w:cs="TimesNewRomanPSMT"/>
          <w:szCs w:val="26"/>
        </w:rPr>
        <w:t>photovoltaic</w:t>
      </w:r>
      <w:r w:rsidR="0052412C">
        <w:rPr>
          <w:rFonts w:cs="TimesNewRomanPSMT"/>
          <w:szCs w:val="26"/>
        </w:rPr>
        <w:t xml:space="preserve"> technical potential.</w:t>
      </w:r>
      <w:r w:rsidR="0052412C">
        <w:rPr>
          <w:rStyle w:val="FootnoteReference"/>
          <w:rFonts w:cs="TimesNewRomanPSMT"/>
          <w:szCs w:val="26"/>
        </w:rPr>
        <w:footnoteReference w:id="172"/>
      </w:r>
    </w:p>
    <w:p w:rsidR="00996FC0" w:rsidP="00A015B3" w:rsidRDefault="0058675B" w14:paraId="6FAD8C67" w14:textId="0EF3576B">
      <w:pPr>
        <w:pStyle w:val="Standard"/>
      </w:pPr>
      <w:r>
        <w:t xml:space="preserve">In further support of short payback periods, </w:t>
      </w:r>
      <w:proofErr w:type="spellStart"/>
      <w:r w:rsidR="00C21576">
        <w:t>CALSSA</w:t>
      </w:r>
      <w:proofErr w:type="spellEnd"/>
      <w:r w:rsidR="00C21576">
        <w:t xml:space="preserve"> maintains that </w:t>
      </w:r>
      <w:r w:rsidR="00BA1EAE">
        <w:t>“</w:t>
      </w:r>
      <w:r w:rsidR="00F87E7A">
        <w:t>[</w:t>
      </w:r>
      <w:r w:rsidR="00C21576">
        <w:t>c</w:t>
      </w:r>
      <w:r w:rsidR="00F87E7A">
        <w:t>]</w:t>
      </w:r>
      <w:proofErr w:type="spellStart"/>
      <w:r w:rsidR="00A0562E">
        <w:t>ustomers</w:t>
      </w:r>
      <w:proofErr w:type="spellEnd"/>
      <w:r w:rsidR="00A0562E">
        <w:t xml:space="preserve"> do not invest their own capital in projects </w:t>
      </w:r>
      <w:r w:rsidR="00307FBB">
        <w:t>when</w:t>
      </w:r>
      <w:r w:rsidR="00A0562E">
        <w:t xml:space="preserve"> the only </w:t>
      </w:r>
      <w:r w:rsidR="00A0562E">
        <w:lastRenderedPageBreak/>
        <w:t>expectation is to get their money back over time</w:t>
      </w:r>
      <w:r w:rsidR="00BA1EAE">
        <w:t>”</w:t>
      </w:r>
      <w:r w:rsidR="00F87E7A">
        <w:t xml:space="preserve"> and claims </w:t>
      </w:r>
      <w:r w:rsidR="006679CA">
        <w:t xml:space="preserve">that </w:t>
      </w:r>
      <w:r w:rsidR="00F87E7A">
        <w:t>s</w:t>
      </w:r>
      <w:r w:rsidR="00A0562E">
        <w:t>even years with a negative return is the upward bound of what should be considered acceptable for residential customers.</w:t>
      </w:r>
      <w:r w:rsidR="00A0562E">
        <w:rPr>
          <w:rStyle w:val="FootnoteReference"/>
        </w:rPr>
        <w:footnoteReference w:id="173"/>
      </w:r>
      <w:r w:rsidR="00A0562E">
        <w:t xml:space="preserve">  </w:t>
      </w:r>
      <w:proofErr w:type="spellStart"/>
      <w:r w:rsidR="00F87E7A">
        <w:t>CALSSA</w:t>
      </w:r>
      <w:proofErr w:type="spellEnd"/>
      <w:r w:rsidR="00F87E7A">
        <w:t xml:space="preserve"> cites the</w:t>
      </w:r>
      <w:r w:rsidR="00A0562E">
        <w:t xml:space="preserve"> </w:t>
      </w:r>
      <w:proofErr w:type="spellStart"/>
      <w:r w:rsidR="00A0562E">
        <w:t>NREL</w:t>
      </w:r>
      <w:proofErr w:type="spellEnd"/>
      <w:r w:rsidR="00A0562E">
        <w:t xml:space="preserve"> </w:t>
      </w:r>
      <w:proofErr w:type="spellStart"/>
      <w:r w:rsidR="00A0562E">
        <w:t>dGen</w:t>
      </w:r>
      <w:proofErr w:type="spellEnd"/>
      <w:r w:rsidR="00A0562E">
        <w:t xml:space="preserve"> model</w:t>
      </w:r>
      <w:r w:rsidR="00F87E7A">
        <w:t xml:space="preserve">, which </w:t>
      </w:r>
      <w:r w:rsidR="00A0562E">
        <w:t>assesses market demand for residential solar under different policy assumptions</w:t>
      </w:r>
      <w:r w:rsidR="00F87E7A">
        <w:t>,</w:t>
      </w:r>
      <w:r w:rsidR="00A0562E">
        <w:rPr>
          <w:rStyle w:val="FootnoteReference"/>
        </w:rPr>
        <w:footnoteReference w:id="174"/>
      </w:r>
      <w:r w:rsidR="00F87E7A">
        <w:t xml:space="preserve"> and </w:t>
      </w:r>
      <w:r w:rsidR="00AE557A">
        <w:t xml:space="preserve">an </w:t>
      </w:r>
      <w:proofErr w:type="spellStart"/>
      <w:r w:rsidR="00AE557A">
        <w:t>NREL</w:t>
      </w:r>
      <w:proofErr w:type="spellEnd"/>
      <w:r w:rsidR="00AE557A">
        <w:t xml:space="preserve"> study published in 2013 (2013</w:t>
      </w:r>
      <w:r w:rsidR="00F6148B">
        <w:t> </w:t>
      </w:r>
      <w:proofErr w:type="spellStart"/>
      <w:r w:rsidR="00AE557A">
        <w:t>NREL</w:t>
      </w:r>
      <w:proofErr w:type="spellEnd"/>
      <w:r w:rsidR="00AE557A">
        <w:t xml:space="preserve"> Study) to argue </w:t>
      </w:r>
      <w:r w:rsidR="00A0562E">
        <w:t>the portion of the eligible market base</w:t>
      </w:r>
      <w:r w:rsidR="00F87E7A">
        <w:t xml:space="preserve"> </w:t>
      </w:r>
      <w:r w:rsidR="00A0562E">
        <w:t xml:space="preserve">willing to adopt solar drops precipitously as the cost recovery period moves from five to </w:t>
      </w:r>
      <w:r w:rsidR="00302665">
        <w:t>10</w:t>
      </w:r>
      <w:r w:rsidR="006527EB">
        <w:t> </w:t>
      </w:r>
      <w:r w:rsidR="00A0562E">
        <w:t>years.</w:t>
      </w:r>
      <w:r w:rsidR="00A0562E">
        <w:rPr>
          <w:rStyle w:val="FootnoteReference"/>
        </w:rPr>
        <w:footnoteReference w:id="175"/>
      </w:r>
      <w:r w:rsidR="00C4207F">
        <w:t xml:space="preserve">  </w:t>
      </w:r>
      <w:r w:rsidR="0080538E">
        <w:t xml:space="preserve">Joint Utilities </w:t>
      </w:r>
      <w:r>
        <w:t xml:space="preserve">argue </w:t>
      </w:r>
      <w:r w:rsidR="0080538E">
        <w:t xml:space="preserve">the </w:t>
      </w:r>
      <w:r w:rsidR="00E9058E">
        <w:t xml:space="preserve">2013 </w:t>
      </w:r>
      <w:proofErr w:type="spellStart"/>
      <w:r w:rsidR="0080538E">
        <w:t>NREL</w:t>
      </w:r>
      <w:proofErr w:type="spellEnd"/>
      <w:r w:rsidR="0080538E">
        <w:t xml:space="preserve"> </w:t>
      </w:r>
      <w:r w:rsidR="00E9058E">
        <w:t>S</w:t>
      </w:r>
      <w:r w:rsidR="0080538E">
        <w:t xml:space="preserve">tudy does not support </w:t>
      </w:r>
      <w:proofErr w:type="spellStart"/>
      <w:r w:rsidR="00996FC0">
        <w:t>CALSSA</w:t>
      </w:r>
      <w:r w:rsidR="007D1499">
        <w:t>’s</w:t>
      </w:r>
      <w:proofErr w:type="spellEnd"/>
      <w:r w:rsidR="007D1499">
        <w:t xml:space="preserve"> </w:t>
      </w:r>
      <w:r w:rsidR="00F21A42">
        <w:t>argument</w:t>
      </w:r>
      <w:r w:rsidR="007D1499">
        <w:t>.  R</w:t>
      </w:r>
      <w:r w:rsidR="0080538E">
        <w:t>ather</w:t>
      </w:r>
      <w:r w:rsidR="00014CFF">
        <w:t xml:space="preserve">, </w:t>
      </w:r>
      <w:r w:rsidR="00FA6006">
        <w:t xml:space="preserve">Joint Utilities assert, </w:t>
      </w:r>
      <w:r w:rsidR="0080538E">
        <w:t xml:space="preserve">the study indicates monthly bill savings </w:t>
      </w:r>
      <w:r w:rsidR="007D1499">
        <w:t>is</w:t>
      </w:r>
      <w:r w:rsidR="0080538E">
        <w:t xml:space="preserve"> the most important economic factor in households’ decisions whether to adopt</w:t>
      </w:r>
      <w:r w:rsidR="007D1499">
        <w:t xml:space="preserve"> solar</w:t>
      </w:r>
      <w:r w:rsidR="0080538E">
        <w:t>.</w:t>
      </w:r>
      <w:r w:rsidR="00DA1CE9">
        <w:rPr>
          <w:rStyle w:val="FootnoteReference"/>
        </w:rPr>
        <w:footnoteReference w:id="176"/>
      </w:r>
      <w:r w:rsidR="0080538E">
        <w:t xml:space="preserve">  </w:t>
      </w:r>
      <w:r w:rsidR="00CE4A1D">
        <w:t>(</w:t>
      </w:r>
      <w:r w:rsidRPr="00F61AE4" w:rsidR="00CE4A1D">
        <w:rPr>
          <w:i/>
          <w:iCs/>
        </w:rPr>
        <w:t>See</w:t>
      </w:r>
      <w:r w:rsidR="00CE4A1D">
        <w:t xml:space="preserve"> </w:t>
      </w:r>
      <w:r w:rsidR="007F6676">
        <w:t>Table 4</w:t>
      </w:r>
      <w:r w:rsidR="00CE4A1D">
        <w:t xml:space="preserve"> </w:t>
      </w:r>
      <w:r w:rsidR="0080538E">
        <w:t xml:space="preserve">below from </w:t>
      </w:r>
      <w:r w:rsidR="007D1499">
        <w:t xml:space="preserve">the </w:t>
      </w:r>
      <w:r w:rsidR="00E9058E">
        <w:t xml:space="preserve">2013 </w:t>
      </w:r>
      <w:proofErr w:type="spellStart"/>
      <w:r w:rsidR="0080538E">
        <w:t>NREL</w:t>
      </w:r>
      <w:proofErr w:type="spellEnd"/>
      <w:r w:rsidR="0080538E">
        <w:t xml:space="preserve"> </w:t>
      </w:r>
      <w:r w:rsidR="00E9058E">
        <w:t>S</w:t>
      </w:r>
      <w:r w:rsidR="0080538E">
        <w:t>tudy.</w:t>
      </w:r>
      <w:r w:rsidR="00DA1CE9">
        <w:t>)</w:t>
      </w:r>
    </w:p>
    <w:p w:rsidR="0048272A" w:rsidDel="00996FC0" w:rsidP="00A015B3" w:rsidRDefault="0048272A" w14:paraId="51B882CA" w14:textId="3689440D">
      <w:pPr>
        <w:pStyle w:val="Standard"/>
      </w:pPr>
      <w:bookmarkStart w:name="Table4" w:id="128"/>
      <w:r>
        <w:rPr>
          <w:b/>
          <w:bCs/>
        </w:rPr>
        <w:t>Table 4.</w:t>
      </w:r>
      <w:r>
        <w:rPr>
          <w:b/>
          <w:bCs/>
        </w:rPr>
        <w:tab/>
      </w:r>
      <w:r w:rsidRPr="0048272A">
        <w:rPr>
          <w:bCs/>
        </w:rPr>
        <w:t xml:space="preserve">Economic Metrics Used to Evaluate Solar </w:t>
      </w:r>
      <w:r w:rsidRPr="0048272A">
        <w:t>Investment</w:t>
      </w:r>
      <w:bookmarkEnd w:id="128"/>
      <w:r w:rsidRPr="0048272A">
        <w:rPr>
          <w:rStyle w:val="FootnoteReference"/>
        </w:rPr>
        <w:footnoteReference w:id="177"/>
      </w:r>
    </w:p>
    <w:tbl>
      <w:tblPr>
        <w:tblStyle w:val="TableGrid"/>
        <w:tblW w:w="9360" w:type="dxa"/>
        <w:tblLayout w:type="fixed"/>
        <w:tblCellMar>
          <w:top w:w="58" w:type="dxa"/>
          <w:bottom w:w="58" w:type="dxa"/>
        </w:tblCellMar>
        <w:tblLook w:val="04A0" w:firstRow="1" w:lastRow="0" w:firstColumn="1" w:lastColumn="0" w:noHBand="0" w:noVBand="1"/>
      </w:tblPr>
      <w:tblGrid>
        <w:gridCol w:w="4045"/>
        <w:gridCol w:w="1620"/>
        <w:gridCol w:w="1620"/>
        <w:gridCol w:w="2075"/>
      </w:tblGrid>
      <w:tr w:rsidR="00996FC0" w:rsidTr="0048272A" w14:paraId="423A0CE0" w14:textId="77777777">
        <w:trPr>
          <w:cantSplit/>
          <w:tblHeader/>
        </w:trPr>
        <w:tc>
          <w:tcPr>
            <w:tcW w:w="4045" w:type="dxa"/>
            <w:vAlign w:val="bottom"/>
          </w:tcPr>
          <w:p w:rsidRPr="00CE4A1D" w:rsidR="00996FC0" w:rsidP="0048272A" w:rsidRDefault="00996FC0" w14:paraId="2048A275" w14:textId="77777777">
            <w:pPr>
              <w:keepNext/>
              <w:spacing w:line="240" w:lineRule="auto"/>
              <w:ind w:firstLine="0"/>
              <w:rPr>
                <w:b/>
                <w:bCs/>
              </w:rPr>
            </w:pPr>
            <w:r w:rsidRPr="00CE4A1D">
              <w:rPr>
                <w:b/>
                <w:bCs/>
              </w:rPr>
              <w:t>Metric</w:t>
            </w:r>
          </w:p>
        </w:tc>
        <w:tc>
          <w:tcPr>
            <w:tcW w:w="1620" w:type="dxa"/>
            <w:vAlign w:val="bottom"/>
          </w:tcPr>
          <w:p w:rsidRPr="00CE4A1D" w:rsidR="00996FC0" w:rsidP="0048272A" w:rsidRDefault="00996FC0" w14:paraId="1D8D2019" w14:textId="77777777">
            <w:pPr>
              <w:keepNext/>
              <w:spacing w:line="240" w:lineRule="auto"/>
              <w:ind w:firstLine="0"/>
              <w:rPr>
                <w:b/>
                <w:bCs/>
              </w:rPr>
            </w:pPr>
            <w:r w:rsidRPr="00CE4A1D">
              <w:rPr>
                <w:b/>
                <w:bCs/>
              </w:rPr>
              <w:t>Buyers</w:t>
            </w:r>
          </w:p>
        </w:tc>
        <w:tc>
          <w:tcPr>
            <w:tcW w:w="1620" w:type="dxa"/>
            <w:vAlign w:val="bottom"/>
          </w:tcPr>
          <w:p w:rsidRPr="00CE4A1D" w:rsidR="00996FC0" w:rsidP="0048272A" w:rsidRDefault="00996FC0" w14:paraId="4A151E65" w14:textId="77777777">
            <w:pPr>
              <w:keepNext/>
              <w:spacing w:line="240" w:lineRule="auto"/>
              <w:ind w:firstLine="0"/>
              <w:rPr>
                <w:b/>
                <w:bCs/>
              </w:rPr>
            </w:pPr>
            <w:r w:rsidRPr="00CE4A1D">
              <w:rPr>
                <w:b/>
                <w:bCs/>
              </w:rPr>
              <w:t>Leasers</w:t>
            </w:r>
          </w:p>
        </w:tc>
        <w:tc>
          <w:tcPr>
            <w:tcW w:w="2075" w:type="dxa"/>
            <w:vAlign w:val="bottom"/>
          </w:tcPr>
          <w:p w:rsidRPr="00CE4A1D" w:rsidR="00996FC0" w:rsidP="0048272A" w:rsidRDefault="00996FC0" w14:paraId="273BF530" w14:textId="6AFB19FE">
            <w:pPr>
              <w:keepNext/>
              <w:spacing w:line="240" w:lineRule="auto"/>
              <w:ind w:firstLine="0"/>
              <w:rPr>
                <w:b/>
                <w:bCs/>
              </w:rPr>
            </w:pPr>
            <w:r w:rsidRPr="00CE4A1D">
              <w:rPr>
                <w:b/>
                <w:bCs/>
              </w:rPr>
              <w:t>Non</w:t>
            </w:r>
            <w:r w:rsidR="00827602">
              <w:rPr>
                <w:b/>
                <w:bCs/>
              </w:rPr>
              <w:noBreakHyphen/>
            </w:r>
            <w:r w:rsidRPr="00CE4A1D">
              <w:rPr>
                <w:b/>
                <w:bCs/>
              </w:rPr>
              <w:t>Adopters</w:t>
            </w:r>
          </w:p>
        </w:tc>
      </w:tr>
      <w:tr w:rsidR="00996FC0" w:rsidTr="0048272A" w14:paraId="70918DFC" w14:textId="77777777">
        <w:trPr>
          <w:cantSplit/>
        </w:trPr>
        <w:tc>
          <w:tcPr>
            <w:tcW w:w="4045" w:type="dxa"/>
          </w:tcPr>
          <w:p w:rsidR="00996FC0" w:rsidP="0048272A" w:rsidRDefault="00996FC0" w14:paraId="480CD06E" w14:textId="77777777">
            <w:pPr>
              <w:keepNext/>
              <w:spacing w:line="240" w:lineRule="auto"/>
              <w:ind w:firstLine="0"/>
            </w:pPr>
            <w:r>
              <w:t>Monthly Bill Savings</w:t>
            </w:r>
          </w:p>
        </w:tc>
        <w:tc>
          <w:tcPr>
            <w:tcW w:w="1620" w:type="dxa"/>
            <w:vAlign w:val="bottom"/>
          </w:tcPr>
          <w:p w:rsidR="00996FC0" w:rsidP="0048272A" w:rsidRDefault="00996FC0" w14:paraId="2EA4EABF" w14:textId="77777777">
            <w:pPr>
              <w:keepNext/>
              <w:spacing w:line="240" w:lineRule="auto"/>
              <w:ind w:firstLine="0"/>
            </w:pPr>
            <w:r>
              <w:t>40.3%</w:t>
            </w:r>
          </w:p>
        </w:tc>
        <w:tc>
          <w:tcPr>
            <w:tcW w:w="1620" w:type="dxa"/>
            <w:vAlign w:val="bottom"/>
          </w:tcPr>
          <w:p w:rsidR="00996FC0" w:rsidP="0048272A" w:rsidRDefault="00996FC0" w14:paraId="07CE729D" w14:textId="77777777">
            <w:pPr>
              <w:keepNext/>
              <w:spacing w:line="240" w:lineRule="auto"/>
              <w:ind w:firstLine="0"/>
            </w:pPr>
            <w:r>
              <w:t>60.5%</w:t>
            </w:r>
          </w:p>
        </w:tc>
        <w:tc>
          <w:tcPr>
            <w:tcW w:w="2075" w:type="dxa"/>
            <w:vAlign w:val="bottom"/>
          </w:tcPr>
          <w:p w:rsidR="00996FC0" w:rsidP="0048272A" w:rsidRDefault="00996FC0" w14:paraId="160FA09E" w14:textId="77777777">
            <w:pPr>
              <w:keepNext/>
              <w:spacing w:line="240" w:lineRule="auto"/>
              <w:ind w:firstLine="0"/>
            </w:pPr>
            <w:r>
              <w:t>43.4%</w:t>
            </w:r>
          </w:p>
        </w:tc>
      </w:tr>
      <w:tr w:rsidR="00996FC0" w:rsidTr="0048272A" w14:paraId="6828D135" w14:textId="77777777">
        <w:trPr>
          <w:cantSplit/>
        </w:trPr>
        <w:tc>
          <w:tcPr>
            <w:tcW w:w="4045" w:type="dxa"/>
          </w:tcPr>
          <w:p w:rsidR="00996FC0" w:rsidP="0048272A" w:rsidRDefault="00996FC0" w14:paraId="1B00EC6B" w14:textId="77777777">
            <w:pPr>
              <w:spacing w:line="240" w:lineRule="auto"/>
              <w:ind w:firstLine="0"/>
            </w:pPr>
            <w:r>
              <w:t>Payback Time</w:t>
            </w:r>
          </w:p>
        </w:tc>
        <w:tc>
          <w:tcPr>
            <w:tcW w:w="1620" w:type="dxa"/>
            <w:vAlign w:val="bottom"/>
          </w:tcPr>
          <w:p w:rsidR="00996FC0" w:rsidP="0048272A" w:rsidRDefault="00996FC0" w14:paraId="0D7A7FB1" w14:textId="77777777">
            <w:pPr>
              <w:spacing w:line="240" w:lineRule="auto"/>
              <w:ind w:firstLine="0"/>
            </w:pPr>
            <w:r>
              <w:t>29.5%</w:t>
            </w:r>
          </w:p>
        </w:tc>
        <w:tc>
          <w:tcPr>
            <w:tcW w:w="1620" w:type="dxa"/>
            <w:vAlign w:val="bottom"/>
          </w:tcPr>
          <w:p w:rsidR="00996FC0" w:rsidP="0048272A" w:rsidRDefault="00996FC0" w14:paraId="2F817355" w14:textId="77777777">
            <w:pPr>
              <w:spacing w:line="240" w:lineRule="auto"/>
              <w:ind w:firstLine="0"/>
            </w:pPr>
            <w:r>
              <w:t>16.1%</w:t>
            </w:r>
          </w:p>
        </w:tc>
        <w:tc>
          <w:tcPr>
            <w:tcW w:w="2075" w:type="dxa"/>
            <w:vAlign w:val="bottom"/>
          </w:tcPr>
          <w:p w:rsidR="00996FC0" w:rsidP="0048272A" w:rsidRDefault="00996FC0" w14:paraId="1432490A" w14:textId="77777777">
            <w:pPr>
              <w:spacing w:line="240" w:lineRule="auto"/>
              <w:ind w:firstLine="0"/>
            </w:pPr>
            <w:r>
              <w:t>41.8%</w:t>
            </w:r>
          </w:p>
        </w:tc>
      </w:tr>
      <w:tr w:rsidR="00996FC0" w:rsidTr="0048272A" w14:paraId="30D450CC" w14:textId="77777777">
        <w:trPr>
          <w:cantSplit/>
        </w:trPr>
        <w:tc>
          <w:tcPr>
            <w:tcW w:w="4045" w:type="dxa"/>
          </w:tcPr>
          <w:p w:rsidR="00996FC0" w:rsidP="0048272A" w:rsidRDefault="00996FC0" w14:paraId="00EED086" w14:textId="77777777">
            <w:pPr>
              <w:spacing w:line="240" w:lineRule="auto"/>
              <w:ind w:firstLine="0"/>
            </w:pPr>
            <w:r>
              <w:t>Rate of Return</w:t>
            </w:r>
          </w:p>
        </w:tc>
        <w:tc>
          <w:tcPr>
            <w:tcW w:w="1620" w:type="dxa"/>
            <w:vAlign w:val="bottom"/>
          </w:tcPr>
          <w:p w:rsidR="00996FC0" w:rsidP="0048272A" w:rsidRDefault="00996FC0" w14:paraId="64C2583A" w14:textId="77777777">
            <w:pPr>
              <w:spacing w:line="240" w:lineRule="auto"/>
              <w:ind w:firstLine="0"/>
            </w:pPr>
            <w:r>
              <w:t>17.1%</w:t>
            </w:r>
          </w:p>
        </w:tc>
        <w:tc>
          <w:tcPr>
            <w:tcW w:w="1620" w:type="dxa"/>
            <w:vAlign w:val="bottom"/>
          </w:tcPr>
          <w:p w:rsidR="00996FC0" w:rsidP="0048272A" w:rsidRDefault="00996FC0" w14:paraId="0EBFA814" w14:textId="77777777">
            <w:pPr>
              <w:spacing w:line="240" w:lineRule="auto"/>
              <w:ind w:firstLine="0"/>
            </w:pPr>
            <w:r>
              <w:t>9.8%</w:t>
            </w:r>
          </w:p>
        </w:tc>
        <w:tc>
          <w:tcPr>
            <w:tcW w:w="2075" w:type="dxa"/>
            <w:vAlign w:val="bottom"/>
          </w:tcPr>
          <w:p w:rsidR="00996FC0" w:rsidP="0048272A" w:rsidRDefault="00996FC0" w14:paraId="699FC1A2" w14:textId="77777777">
            <w:pPr>
              <w:spacing w:line="240" w:lineRule="auto"/>
              <w:ind w:firstLine="0"/>
            </w:pPr>
            <w:r>
              <w:t>6.3%</w:t>
            </w:r>
          </w:p>
        </w:tc>
      </w:tr>
      <w:tr w:rsidR="00996FC0" w:rsidTr="0048272A" w14:paraId="6C51B302" w14:textId="77777777">
        <w:trPr>
          <w:cantSplit/>
        </w:trPr>
        <w:tc>
          <w:tcPr>
            <w:tcW w:w="4045" w:type="dxa"/>
          </w:tcPr>
          <w:p w:rsidR="00996FC0" w:rsidP="0048272A" w:rsidRDefault="00996FC0" w14:paraId="5C2C7FFE" w14:textId="77777777">
            <w:pPr>
              <w:spacing w:line="240" w:lineRule="auto"/>
              <w:ind w:firstLine="0"/>
            </w:pPr>
            <w:r>
              <w:t>Net Present Value</w:t>
            </w:r>
          </w:p>
        </w:tc>
        <w:tc>
          <w:tcPr>
            <w:tcW w:w="1620" w:type="dxa"/>
            <w:vAlign w:val="bottom"/>
          </w:tcPr>
          <w:p w:rsidR="00996FC0" w:rsidP="0048272A" w:rsidRDefault="00996FC0" w14:paraId="323723F7" w14:textId="77777777">
            <w:pPr>
              <w:spacing w:line="240" w:lineRule="auto"/>
              <w:ind w:firstLine="0"/>
            </w:pPr>
            <w:r>
              <w:t>2.2%</w:t>
            </w:r>
          </w:p>
        </w:tc>
        <w:tc>
          <w:tcPr>
            <w:tcW w:w="1620" w:type="dxa"/>
            <w:vAlign w:val="bottom"/>
          </w:tcPr>
          <w:p w:rsidR="00996FC0" w:rsidP="0048272A" w:rsidRDefault="00996FC0" w14:paraId="086B9BC4" w14:textId="77777777">
            <w:pPr>
              <w:spacing w:line="240" w:lineRule="auto"/>
              <w:ind w:firstLine="0"/>
            </w:pPr>
            <w:r>
              <w:t>1.6%</w:t>
            </w:r>
          </w:p>
        </w:tc>
        <w:tc>
          <w:tcPr>
            <w:tcW w:w="2075" w:type="dxa"/>
            <w:vAlign w:val="bottom"/>
          </w:tcPr>
          <w:p w:rsidR="00996FC0" w:rsidP="0048272A" w:rsidRDefault="00996FC0" w14:paraId="23436A4C" w14:textId="77777777">
            <w:pPr>
              <w:spacing w:line="240" w:lineRule="auto"/>
              <w:ind w:firstLine="0"/>
            </w:pPr>
            <w:r>
              <w:t>3.5%</w:t>
            </w:r>
          </w:p>
        </w:tc>
      </w:tr>
      <w:tr w:rsidR="00996FC0" w:rsidTr="0048272A" w14:paraId="0E7D4401" w14:textId="77777777">
        <w:trPr>
          <w:cantSplit/>
        </w:trPr>
        <w:tc>
          <w:tcPr>
            <w:tcW w:w="4045" w:type="dxa"/>
          </w:tcPr>
          <w:p w:rsidR="00996FC0" w:rsidP="0048272A" w:rsidRDefault="00996FC0" w14:paraId="154D45EC" w14:textId="77777777">
            <w:pPr>
              <w:keepNext/>
              <w:spacing w:line="240" w:lineRule="auto"/>
              <w:ind w:firstLine="0"/>
            </w:pPr>
            <w:r>
              <w:lastRenderedPageBreak/>
              <w:t>Would Not Estimate Economics</w:t>
            </w:r>
          </w:p>
        </w:tc>
        <w:tc>
          <w:tcPr>
            <w:tcW w:w="1620" w:type="dxa"/>
            <w:vAlign w:val="bottom"/>
          </w:tcPr>
          <w:p w:rsidR="00996FC0" w:rsidP="0048272A" w:rsidRDefault="00996FC0" w14:paraId="50801B51" w14:textId="77777777">
            <w:pPr>
              <w:keepNext/>
              <w:spacing w:line="240" w:lineRule="auto"/>
              <w:ind w:firstLine="0"/>
            </w:pPr>
            <w:r>
              <w:t>3.0%</w:t>
            </w:r>
          </w:p>
        </w:tc>
        <w:tc>
          <w:tcPr>
            <w:tcW w:w="1620" w:type="dxa"/>
            <w:vAlign w:val="bottom"/>
          </w:tcPr>
          <w:p w:rsidR="00996FC0" w:rsidP="0048272A" w:rsidRDefault="00996FC0" w14:paraId="5DA4CF2F" w14:textId="77777777">
            <w:pPr>
              <w:keepNext/>
              <w:spacing w:line="240" w:lineRule="auto"/>
              <w:ind w:firstLine="0"/>
            </w:pPr>
            <w:r>
              <w:t>4.6%</w:t>
            </w:r>
          </w:p>
        </w:tc>
        <w:tc>
          <w:tcPr>
            <w:tcW w:w="2075" w:type="dxa"/>
            <w:vAlign w:val="bottom"/>
          </w:tcPr>
          <w:p w:rsidR="00996FC0" w:rsidP="0048272A" w:rsidRDefault="00996FC0" w14:paraId="16AD3956" w14:textId="77777777">
            <w:pPr>
              <w:keepNext/>
              <w:spacing w:line="240" w:lineRule="auto"/>
              <w:ind w:firstLine="0"/>
            </w:pPr>
            <w:r>
              <w:t>3.7%</w:t>
            </w:r>
          </w:p>
        </w:tc>
      </w:tr>
      <w:tr w:rsidR="00996FC0" w:rsidTr="0048272A" w14:paraId="3570F6A3" w14:textId="77777777">
        <w:trPr>
          <w:cantSplit/>
        </w:trPr>
        <w:tc>
          <w:tcPr>
            <w:tcW w:w="4045" w:type="dxa"/>
          </w:tcPr>
          <w:p w:rsidR="00996FC0" w:rsidP="0048272A" w:rsidRDefault="00996FC0" w14:paraId="76A690D5" w14:textId="77777777">
            <w:pPr>
              <w:spacing w:line="240" w:lineRule="auto"/>
              <w:ind w:firstLine="0"/>
            </w:pPr>
            <w:r>
              <w:t>Other</w:t>
            </w:r>
          </w:p>
        </w:tc>
        <w:tc>
          <w:tcPr>
            <w:tcW w:w="1620" w:type="dxa"/>
            <w:vAlign w:val="bottom"/>
          </w:tcPr>
          <w:p w:rsidR="00996FC0" w:rsidP="0048272A" w:rsidRDefault="00996FC0" w14:paraId="6F0F3D9A" w14:textId="77777777">
            <w:pPr>
              <w:spacing w:line="240" w:lineRule="auto"/>
              <w:ind w:firstLine="0"/>
            </w:pPr>
            <w:r>
              <w:t>7.8%</w:t>
            </w:r>
          </w:p>
        </w:tc>
        <w:tc>
          <w:tcPr>
            <w:tcW w:w="1620" w:type="dxa"/>
            <w:vAlign w:val="bottom"/>
          </w:tcPr>
          <w:p w:rsidR="00996FC0" w:rsidP="0048272A" w:rsidRDefault="00996FC0" w14:paraId="36BB3176" w14:textId="77777777">
            <w:pPr>
              <w:spacing w:line="240" w:lineRule="auto"/>
              <w:ind w:firstLine="0"/>
            </w:pPr>
            <w:r>
              <w:t>7.2%</w:t>
            </w:r>
          </w:p>
        </w:tc>
        <w:tc>
          <w:tcPr>
            <w:tcW w:w="2075" w:type="dxa"/>
            <w:vAlign w:val="bottom"/>
          </w:tcPr>
          <w:p w:rsidR="00996FC0" w:rsidP="0048272A" w:rsidRDefault="00996FC0" w14:paraId="466540BA" w14:textId="77777777">
            <w:pPr>
              <w:spacing w:line="240" w:lineRule="auto"/>
              <w:ind w:firstLine="0"/>
            </w:pPr>
            <w:r>
              <w:t>1.4%</w:t>
            </w:r>
          </w:p>
        </w:tc>
      </w:tr>
    </w:tbl>
    <w:p w:rsidR="00533B2F" w:rsidP="009D6E8F" w:rsidRDefault="0080538E" w14:paraId="34317AC7" w14:textId="73DC411A">
      <w:pPr>
        <w:pStyle w:val="Standard"/>
        <w:spacing w:before="180"/>
      </w:pPr>
      <w:r>
        <w:t xml:space="preserve">Joint Utilities point to several statements from the study that </w:t>
      </w:r>
      <w:r w:rsidR="00F04406">
        <w:t xml:space="preserve">demonstrates </w:t>
      </w:r>
      <w:r w:rsidR="00BA1EAE">
        <w:t>“</w:t>
      </w:r>
      <w:r w:rsidR="00F04406">
        <w:t>lowering total electricity costs and protecting one’s household from future increases in prices are now the two more important reasons.</w:t>
      </w:r>
      <w:r w:rsidR="00BA1EAE">
        <w:t>”</w:t>
      </w:r>
      <w:r w:rsidR="00DA1CE9">
        <w:rPr>
          <w:rStyle w:val="FootnoteReference"/>
        </w:rPr>
        <w:footnoteReference w:id="178"/>
      </w:r>
      <w:r w:rsidR="00F04406">
        <w:t xml:space="preserve">  </w:t>
      </w:r>
      <w:r w:rsidR="00DA1CE9">
        <w:t>Joint Utilities also reference the stud</w:t>
      </w:r>
      <w:r w:rsidR="00F87E7A">
        <w:t>y’s</w:t>
      </w:r>
      <w:r w:rsidR="00DA1CE9">
        <w:t xml:space="preserve"> statement that </w:t>
      </w:r>
      <w:r w:rsidR="00BA1EAE">
        <w:t>“</w:t>
      </w:r>
      <w:r w:rsidR="00DA1CE9">
        <w:t>[c]</w:t>
      </w:r>
      <w:proofErr w:type="spellStart"/>
      <w:r w:rsidR="00F04406">
        <w:t>oncerns</w:t>
      </w:r>
      <w:proofErr w:type="spellEnd"/>
      <w:r w:rsidR="00F04406">
        <w:t xml:space="preserve"> over high electricity bills, in addition to concern about future rate changes is [sic] often highlighted as a motivation for adopting solar</w:t>
      </w:r>
      <w:r w:rsidR="002268EB">
        <w:t xml:space="preserve"> — </w:t>
      </w:r>
      <w:r w:rsidR="00F04406">
        <w:t>supported by our results, particularly in California, which has some of the highest retail rates of the nation.</w:t>
      </w:r>
      <w:r w:rsidR="00BA1EAE">
        <w:t>”</w:t>
      </w:r>
      <w:r w:rsidR="00DA1CE9">
        <w:rPr>
          <w:rStyle w:val="FootnoteReference"/>
        </w:rPr>
        <w:footnoteReference w:id="179"/>
      </w:r>
      <w:r w:rsidR="004429A5">
        <w:t xml:space="preserve">  </w:t>
      </w:r>
      <w:r w:rsidR="007D1499">
        <w:t xml:space="preserve">Further, </w:t>
      </w:r>
      <w:r w:rsidR="004429A5">
        <w:t xml:space="preserve">Joint Utilities and </w:t>
      </w:r>
      <w:r w:rsidR="009355F1">
        <w:t>Cal Advoc</w:t>
      </w:r>
      <w:r w:rsidR="004429A5">
        <w:t xml:space="preserve">ates reference another </w:t>
      </w:r>
      <w:proofErr w:type="spellStart"/>
      <w:r w:rsidR="004429A5">
        <w:t>NREL</w:t>
      </w:r>
      <w:proofErr w:type="spellEnd"/>
      <w:r w:rsidR="004429A5">
        <w:t xml:space="preserve"> study from 2017, which found that 7</w:t>
      </w:r>
      <w:r w:rsidR="00C04724">
        <w:t>2 percent</w:t>
      </w:r>
      <w:r w:rsidR="004429A5">
        <w:t xml:space="preserve"> of solar adopters used monthly or annual electric bill savings as their motivating metric, while only 13.</w:t>
      </w:r>
      <w:r w:rsidR="00C04724">
        <w:t>3 percent</w:t>
      </w:r>
      <w:r w:rsidR="004429A5">
        <w:t xml:space="preserve"> used the payback period.</w:t>
      </w:r>
      <w:r w:rsidR="004429A5">
        <w:rPr>
          <w:rStyle w:val="FootnoteReference"/>
        </w:rPr>
        <w:footnoteReference w:id="180"/>
      </w:r>
    </w:p>
    <w:p w:rsidRPr="00B9013E" w:rsidR="00AC2055" w:rsidP="00A015B3" w:rsidRDefault="00C4207F" w14:paraId="6C400706" w14:textId="2CC72C02">
      <w:pPr>
        <w:pStyle w:val="Standard"/>
        <w:rPr>
          <w:rFonts w:cs="TimesNewRomanPSMT"/>
          <w:szCs w:val="26"/>
        </w:rPr>
      </w:pPr>
      <w:r>
        <w:t xml:space="preserve">Joint Utilities and </w:t>
      </w:r>
      <w:r w:rsidR="009355F1">
        <w:t>Cal Advoc</w:t>
      </w:r>
      <w:r>
        <w:t xml:space="preserve">ates </w:t>
      </w:r>
      <w:r w:rsidR="00423FA0">
        <w:t xml:space="preserve">submit that </w:t>
      </w:r>
      <w:r>
        <w:t xml:space="preserve">current payback periods are short.  </w:t>
      </w:r>
      <w:r w:rsidR="00FA6006">
        <w:t xml:space="preserve">Joint Utilities </w:t>
      </w:r>
      <w:r w:rsidR="00423FA0">
        <w:t>assert the</w:t>
      </w:r>
      <w:r w:rsidRPr="00815A43" w:rsidR="00FA6006">
        <w:t xml:space="preserve"> </w:t>
      </w:r>
      <w:r w:rsidR="00FA6006">
        <w:t xml:space="preserve">residential </w:t>
      </w:r>
      <w:r w:rsidR="00602BC5">
        <w:t>NEM 2.0</w:t>
      </w:r>
      <w:r w:rsidR="00135D55">
        <w:t xml:space="preserve"> </w:t>
      </w:r>
      <w:r w:rsidR="00FA6006">
        <w:t xml:space="preserve">customer </w:t>
      </w:r>
      <w:r w:rsidRPr="00815A43" w:rsidR="00FA6006">
        <w:t>payback period</w:t>
      </w:r>
      <w:r w:rsidR="00FA6006">
        <w:t xml:space="preserve"> </w:t>
      </w:r>
      <w:r w:rsidR="00FA70F0">
        <w:t>is</w:t>
      </w:r>
      <w:r w:rsidRPr="00815A43" w:rsidR="00423FA0">
        <w:t xml:space="preserve"> </w:t>
      </w:r>
      <w:r w:rsidR="002B7BFD">
        <w:t>three to five years</w:t>
      </w:r>
      <w:r w:rsidRPr="00815A43" w:rsidR="00FA6006">
        <w:t>.</w:t>
      </w:r>
      <w:r w:rsidR="00FA6006">
        <w:rPr>
          <w:rStyle w:val="FootnoteReference"/>
        </w:rPr>
        <w:footnoteReference w:id="181"/>
      </w:r>
      <w:r w:rsidR="00FA6006">
        <w:t xml:space="preserve">  Referring to these</w:t>
      </w:r>
      <w:r w:rsidRPr="00815A43" w:rsidR="00FA6006">
        <w:t xml:space="preserve"> payback times</w:t>
      </w:r>
      <w:r w:rsidR="00FA6006">
        <w:t>, Joint Utilities maintain the</w:t>
      </w:r>
      <w:r w:rsidR="00FA70F0">
        <w:t xml:space="preserve"> payback period is</w:t>
      </w:r>
      <w:r w:rsidRPr="00815A43" w:rsidR="00FA6006">
        <w:t xml:space="preserve"> far less than the </w:t>
      </w:r>
      <w:r w:rsidR="00602BC5">
        <w:t>NEM 2.0</w:t>
      </w:r>
      <w:r w:rsidR="00135D55">
        <w:t xml:space="preserve"> </w:t>
      </w:r>
      <w:r w:rsidRPr="00815A43" w:rsidR="00FA6006">
        <w:t>20</w:t>
      </w:r>
      <w:r w:rsidR="00827602">
        <w:noBreakHyphen/>
      </w:r>
      <w:r w:rsidRPr="00815A43" w:rsidR="00FA6006">
        <w:t>year legacy period</w:t>
      </w:r>
      <w:r w:rsidR="00FA6006">
        <w:t xml:space="preserve"> and </w:t>
      </w:r>
      <w:r w:rsidRPr="00815A43" w:rsidR="00FA6006">
        <w:t>the estimated 35</w:t>
      </w:r>
      <w:r w:rsidR="00827602">
        <w:noBreakHyphen/>
      </w:r>
      <w:r w:rsidRPr="00815A43" w:rsidR="00FA6006">
        <w:t>year estimated useful life represented by a major solar manufacturer.</w:t>
      </w:r>
      <w:r w:rsidR="00FA6006">
        <w:rPr>
          <w:rStyle w:val="FootnoteReference"/>
        </w:rPr>
        <w:footnoteReference w:id="182"/>
      </w:r>
      <w:r w:rsidRPr="00815A43" w:rsidR="00FA6006">
        <w:t xml:space="preserve"> </w:t>
      </w:r>
      <w:r w:rsidR="00F61AE4">
        <w:t xml:space="preserve"> </w:t>
      </w:r>
      <w:r w:rsidR="009355F1">
        <w:t>Cal Advoc</w:t>
      </w:r>
      <w:r>
        <w:t xml:space="preserve">ates states, </w:t>
      </w:r>
      <w:r w:rsidR="00BA1EAE">
        <w:rPr>
          <w:rFonts w:cs="TimesNewRomanPSMT"/>
          <w:szCs w:val="26"/>
        </w:rPr>
        <w:t>“</w:t>
      </w:r>
      <w:r>
        <w:rPr>
          <w:rFonts w:cs="TimesNewRomanPSMT"/>
          <w:szCs w:val="26"/>
        </w:rPr>
        <w:t>[</w:t>
      </w:r>
      <w:proofErr w:type="spellStart"/>
      <w:r w:rsidR="00B9013E">
        <w:rPr>
          <w:rFonts w:cs="TimesNewRomanPSMT"/>
          <w:szCs w:val="26"/>
        </w:rPr>
        <w:t>i</w:t>
      </w:r>
      <w:proofErr w:type="spellEnd"/>
      <w:r w:rsidR="00B9013E">
        <w:rPr>
          <w:rFonts w:cs="TimesNewRomanPSMT"/>
          <w:szCs w:val="26"/>
        </w:rPr>
        <w:t>]</w:t>
      </w:r>
      <w:r w:rsidRPr="00474EA3">
        <w:rPr>
          <w:rFonts w:cs="TimesNewRomanPSMT"/>
          <w:szCs w:val="26"/>
        </w:rPr>
        <w:t xml:space="preserve">t speaks volumes that even </w:t>
      </w:r>
      <w:proofErr w:type="spellStart"/>
      <w:r w:rsidRPr="00474EA3">
        <w:rPr>
          <w:rFonts w:cs="TimesNewRomanPSMT"/>
          <w:szCs w:val="26"/>
        </w:rPr>
        <w:t>SEIA’s</w:t>
      </w:r>
      <w:proofErr w:type="spellEnd"/>
      <w:r w:rsidRPr="00474EA3">
        <w:rPr>
          <w:rFonts w:cs="TimesNewRomanPSMT"/>
          <w:szCs w:val="26"/>
        </w:rPr>
        <w:t xml:space="preserve"> expert witness testified that the</w:t>
      </w:r>
      <w:r w:rsidRPr="00474EA3">
        <w:t xml:space="preserve"> </w:t>
      </w:r>
      <w:r w:rsidRPr="00474EA3">
        <w:rPr>
          <w:rFonts w:cs="TimesNewRomanPSMT"/>
          <w:szCs w:val="26"/>
        </w:rPr>
        <w:t xml:space="preserve">current payback periods in California are too </w:t>
      </w:r>
      <w:r w:rsidRPr="00474EA3">
        <w:rPr>
          <w:rFonts w:cs="TimesNewRomanPSMT"/>
          <w:szCs w:val="26"/>
        </w:rPr>
        <w:lastRenderedPageBreak/>
        <w:t>short.</w:t>
      </w:r>
      <w:r w:rsidR="00BA1EAE">
        <w:rPr>
          <w:rFonts w:cs="TimesNewRomanPSMT"/>
          <w:szCs w:val="26"/>
        </w:rPr>
        <w:t>”</w:t>
      </w:r>
      <w:r>
        <w:rPr>
          <w:rStyle w:val="FootnoteReference"/>
          <w:rFonts w:cs="TimesNewRomanPSMT"/>
          <w:szCs w:val="26"/>
        </w:rPr>
        <w:footnoteReference w:id="183"/>
      </w:r>
      <w:r w:rsidR="00B9013E">
        <w:rPr>
          <w:rFonts w:cs="TimesNewRomanPSMT"/>
          <w:szCs w:val="26"/>
        </w:rPr>
        <w:t xml:space="preserve">  </w:t>
      </w:r>
      <w:r>
        <w:t xml:space="preserve">Joint Utilities advocate that longer payback periods are reasonable.  Further, Joint Utilities </w:t>
      </w:r>
      <w:r w:rsidR="00FA6006">
        <w:t>reference</w:t>
      </w:r>
      <w:r>
        <w:t xml:space="preserve"> </w:t>
      </w:r>
      <w:r w:rsidR="00B9013E">
        <w:t>the</w:t>
      </w:r>
      <w:r w:rsidRPr="00815A43" w:rsidR="00AC2055">
        <w:t xml:space="preserve"> White</w:t>
      </w:r>
      <w:r w:rsidR="00796D5E">
        <w:t xml:space="preserve"> P</w:t>
      </w:r>
      <w:r w:rsidRPr="00815A43" w:rsidR="00AC2055">
        <w:t>aper</w:t>
      </w:r>
      <w:r>
        <w:t xml:space="preserve">, which </w:t>
      </w:r>
      <w:r w:rsidRPr="00815A43" w:rsidR="00AC2055">
        <w:t>shows a payback period of 4.1</w:t>
      </w:r>
      <w:r w:rsidR="000B4726">
        <w:t> </w:t>
      </w:r>
      <w:r w:rsidRPr="00815A43" w:rsidR="00AC2055">
        <w:t>years using SDG&amp;E’s rate, indicating that payback times may be far lower for more recent installations.</w:t>
      </w:r>
      <w:r w:rsidR="00AC2055">
        <w:rPr>
          <w:rStyle w:val="FootnoteReference"/>
        </w:rPr>
        <w:footnoteReference w:id="184"/>
      </w:r>
    </w:p>
    <w:p w:rsidR="003A3645" w:rsidP="00A015B3" w:rsidRDefault="00EE59AE" w14:paraId="3FAEBB3A" w14:textId="6FE62FD7">
      <w:pPr>
        <w:pStyle w:val="Standard"/>
        <w:rPr>
          <w:rFonts w:cs="TimesNewRomanPSMT"/>
          <w:szCs w:val="26"/>
        </w:rPr>
      </w:pPr>
      <w:r>
        <w:rPr>
          <w:rFonts w:cs="TimesNewRomanPSMT"/>
          <w:szCs w:val="26"/>
        </w:rPr>
        <w:t xml:space="preserve">This decision </w:t>
      </w:r>
      <w:r w:rsidR="00B9013E">
        <w:rPr>
          <w:rFonts w:cs="TimesNewRomanPSMT"/>
          <w:szCs w:val="26"/>
        </w:rPr>
        <w:t>reiterate</w:t>
      </w:r>
      <w:r>
        <w:rPr>
          <w:rFonts w:cs="TimesNewRomanPSMT"/>
          <w:szCs w:val="26"/>
        </w:rPr>
        <w:t>s</w:t>
      </w:r>
      <w:r w:rsidR="00B9013E">
        <w:rPr>
          <w:rFonts w:cs="TimesNewRomanPSMT"/>
          <w:szCs w:val="26"/>
        </w:rPr>
        <w:t xml:space="preserve"> </w:t>
      </w:r>
      <w:r>
        <w:rPr>
          <w:rFonts w:cs="TimesNewRomanPSMT"/>
          <w:szCs w:val="26"/>
        </w:rPr>
        <w:t xml:space="preserve">the </w:t>
      </w:r>
      <w:r w:rsidR="00B9013E">
        <w:rPr>
          <w:rFonts w:cs="TimesNewRomanPSMT"/>
          <w:szCs w:val="26"/>
        </w:rPr>
        <w:t>previous statement that analysis of the successor tariff requires balancing multiple</w:t>
      </w:r>
      <w:r w:rsidR="00F55701">
        <w:rPr>
          <w:rFonts w:cs="TimesNewRomanPSMT"/>
          <w:szCs w:val="26"/>
        </w:rPr>
        <w:t xml:space="preserve"> — </w:t>
      </w:r>
      <w:r w:rsidR="00B9013E">
        <w:rPr>
          <w:rFonts w:cs="TimesNewRomanPSMT"/>
          <w:szCs w:val="26"/>
        </w:rPr>
        <w:t>and sometime</w:t>
      </w:r>
      <w:r w:rsidR="002B7BFD">
        <w:rPr>
          <w:rFonts w:cs="TimesNewRomanPSMT"/>
          <w:szCs w:val="26"/>
        </w:rPr>
        <w:t>s</w:t>
      </w:r>
      <w:r w:rsidR="00B9013E">
        <w:rPr>
          <w:rFonts w:cs="TimesNewRomanPSMT"/>
          <w:szCs w:val="26"/>
        </w:rPr>
        <w:t xml:space="preserve"> conflicting</w:t>
      </w:r>
      <w:r w:rsidR="00F55701">
        <w:rPr>
          <w:rFonts w:cs="TimesNewRomanPSMT"/>
          <w:szCs w:val="26"/>
        </w:rPr>
        <w:t xml:space="preserve"> — </w:t>
      </w:r>
      <w:r w:rsidR="00B9013E">
        <w:rPr>
          <w:rFonts w:cs="TimesNewRomanPSMT"/>
          <w:szCs w:val="26"/>
        </w:rPr>
        <w:t>legislative requirements and guiding principles</w:t>
      </w:r>
      <w:r w:rsidR="00CF2812">
        <w:rPr>
          <w:rFonts w:cs="TimesNewRomanPSMT"/>
          <w:szCs w:val="26"/>
        </w:rPr>
        <w:t>, as well as balancing the needs of participants and nonparticipants</w:t>
      </w:r>
      <w:r w:rsidR="00B9013E">
        <w:rPr>
          <w:rFonts w:cs="TimesNewRomanPSMT"/>
          <w:szCs w:val="26"/>
        </w:rPr>
        <w:t xml:space="preserve">.  Hence, no </w:t>
      </w:r>
      <w:r w:rsidR="006C62F9">
        <w:rPr>
          <w:rFonts w:cs="TimesNewRomanPSMT"/>
          <w:szCs w:val="26"/>
        </w:rPr>
        <w:t>single</w:t>
      </w:r>
      <w:r w:rsidR="00B9013E">
        <w:rPr>
          <w:rFonts w:cs="TimesNewRomanPSMT"/>
          <w:szCs w:val="26"/>
        </w:rPr>
        <w:t xml:space="preserve"> method </w:t>
      </w:r>
      <w:r w:rsidR="006C62F9">
        <w:rPr>
          <w:rFonts w:cs="TimesNewRomanPSMT"/>
          <w:szCs w:val="26"/>
        </w:rPr>
        <w:t xml:space="preserve">of analysis </w:t>
      </w:r>
      <w:r w:rsidR="00B9013E">
        <w:rPr>
          <w:rFonts w:cs="TimesNewRomanPSMT"/>
          <w:szCs w:val="26"/>
        </w:rPr>
        <w:t>will be the overriding determinant of a final successor tariff</w:t>
      </w:r>
      <w:r w:rsidR="00772D16">
        <w:rPr>
          <w:rFonts w:cs="TimesNewRomanPSMT"/>
          <w:szCs w:val="26"/>
        </w:rPr>
        <w:t>, including the length of time for the payback period</w:t>
      </w:r>
      <w:r w:rsidR="00B9013E">
        <w:rPr>
          <w:rFonts w:cs="TimesNewRomanPSMT"/>
          <w:szCs w:val="26"/>
        </w:rPr>
        <w:t>.</w:t>
      </w:r>
    </w:p>
    <w:p w:rsidR="00533B2F" w:rsidP="00A015B3" w:rsidRDefault="006C62F9" w14:paraId="6F9B3A27" w14:textId="77777777">
      <w:pPr>
        <w:pStyle w:val="Standard"/>
      </w:pPr>
      <w:r>
        <w:rPr>
          <w:rFonts w:cs="TimesNewRomanPSMT"/>
          <w:szCs w:val="26"/>
        </w:rPr>
        <w:t xml:space="preserve">With respect to </w:t>
      </w:r>
      <w:r w:rsidR="003A3645">
        <w:rPr>
          <w:rFonts w:cs="TimesNewRomanPSMT"/>
          <w:szCs w:val="26"/>
        </w:rPr>
        <w:t>the</w:t>
      </w:r>
      <w:r>
        <w:rPr>
          <w:rFonts w:cs="TimesNewRomanPSMT"/>
          <w:szCs w:val="26"/>
        </w:rPr>
        <w:t xml:space="preserve"> payback period, </w:t>
      </w:r>
      <w:r w:rsidR="00EE59AE">
        <w:rPr>
          <w:rFonts w:cs="TimesNewRomanPSMT"/>
          <w:szCs w:val="26"/>
        </w:rPr>
        <w:t xml:space="preserve">this decision </w:t>
      </w:r>
      <w:r>
        <w:rPr>
          <w:rFonts w:cs="TimesNewRomanPSMT"/>
          <w:szCs w:val="26"/>
        </w:rPr>
        <w:t>agree</w:t>
      </w:r>
      <w:r w:rsidR="00EE59AE">
        <w:rPr>
          <w:rFonts w:cs="TimesNewRomanPSMT"/>
          <w:szCs w:val="26"/>
        </w:rPr>
        <w:t>s</w:t>
      </w:r>
      <w:r>
        <w:rPr>
          <w:rFonts w:cs="TimesNewRomanPSMT"/>
          <w:szCs w:val="26"/>
        </w:rPr>
        <w:t xml:space="preserve"> with most parties that </w:t>
      </w:r>
      <w:r>
        <w:t>the Commission should consider the length of time for a customer’s payback period when determining the reasonableness of the successor tariff</w:t>
      </w:r>
      <w:r>
        <w:rPr>
          <w:rFonts w:cs="TimesNewRomanPSMT"/>
          <w:szCs w:val="26"/>
        </w:rPr>
        <w:t>.  However, t</w:t>
      </w:r>
      <w:r w:rsidR="00B9013E">
        <w:rPr>
          <w:rFonts w:cs="TimesNewRomanPSMT"/>
          <w:szCs w:val="26"/>
        </w:rPr>
        <w:t xml:space="preserve">urning to the </w:t>
      </w:r>
      <w:r>
        <w:rPr>
          <w:rFonts w:cs="TimesNewRomanPSMT"/>
          <w:szCs w:val="26"/>
        </w:rPr>
        <w:t xml:space="preserve">three </w:t>
      </w:r>
      <w:r w:rsidR="00B9013E">
        <w:rPr>
          <w:rFonts w:cs="TimesNewRomanPSMT"/>
          <w:szCs w:val="26"/>
        </w:rPr>
        <w:t>studies reference</w:t>
      </w:r>
      <w:r w:rsidR="00230D5D">
        <w:rPr>
          <w:rFonts w:cs="TimesNewRomanPSMT"/>
          <w:szCs w:val="26"/>
        </w:rPr>
        <w:t>d by parties</w:t>
      </w:r>
      <w:r w:rsidR="00B9013E">
        <w:rPr>
          <w:rFonts w:cs="TimesNewRomanPSMT"/>
          <w:szCs w:val="26"/>
        </w:rPr>
        <w:t xml:space="preserve">, </w:t>
      </w:r>
      <w:r w:rsidR="00EE59AE">
        <w:rPr>
          <w:rFonts w:cs="TimesNewRomanPSMT"/>
          <w:szCs w:val="26"/>
        </w:rPr>
        <w:t xml:space="preserve">the Commission is </w:t>
      </w:r>
      <w:r w:rsidR="00B9013E">
        <w:rPr>
          <w:rFonts w:cs="TimesNewRomanPSMT"/>
          <w:szCs w:val="26"/>
        </w:rPr>
        <w:t>not persuaded that payback periods</w:t>
      </w:r>
      <w:r>
        <w:rPr>
          <w:rFonts w:cs="TimesNewRomanPSMT"/>
          <w:szCs w:val="26"/>
        </w:rPr>
        <w:t xml:space="preserve"> </w:t>
      </w:r>
      <w:r w:rsidR="00230D5D">
        <w:rPr>
          <w:rFonts w:cs="TimesNewRomanPSMT"/>
          <w:szCs w:val="26"/>
        </w:rPr>
        <w:t>are the predominant factor for customers when considering solar adoption</w:t>
      </w:r>
      <w:r>
        <w:rPr>
          <w:rFonts w:cs="TimesNewRomanPSMT"/>
          <w:szCs w:val="26"/>
        </w:rPr>
        <w:t xml:space="preserve">.  Ultimately, </w:t>
      </w:r>
      <w:r w:rsidR="00EE59AE">
        <w:rPr>
          <w:rFonts w:cs="TimesNewRomanPSMT"/>
          <w:szCs w:val="26"/>
        </w:rPr>
        <w:t xml:space="preserve">this decision </w:t>
      </w:r>
      <w:r>
        <w:rPr>
          <w:rFonts w:cs="TimesNewRomanPSMT"/>
          <w:szCs w:val="26"/>
        </w:rPr>
        <w:t>find</w:t>
      </w:r>
      <w:r w:rsidR="00EE59AE">
        <w:rPr>
          <w:rFonts w:cs="TimesNewRomanPSMT"/>
          <w:szCs w:val="26"/>
        </w:rPr>
        <w:t>s</w:t>
      </w:r>
      <w:r>
        <w:rPr>
          <w:rFonts w:cs="TimesNewRomanPSMT"/>
          <w:szCs w:val="26"/>
        </w:rPr>
        <w:t xml:space="preserve"> that both the 2013 and 2017 </w:t>
      </w:r>
      <w:proofErr w:type="spellStart"/>
      <w:r>
        <w:rPr>
          <w:rFonts w:cs="TimesNewRomanPSMT"/>
          <w:szCs w:val="26"/>
        </w:rPr>
        <w:t>NREL</w:t>
      </w:r>
      <w:proofErr w:type="spellEnd"/>
      <w:r>
        <w:rPr>
          <w:rFonts w:cs="TimesNewRomanPSMT"/>
          <w:szCs w:val="26"/>
        </w:rPr>
        <w:t xml:space="preserve"> studies show that consumers (especially in California where rates are amongst the highest in the nation) </w:t>
      </w:r>
      <w:r w:rsidR="003A3645">
        <w:rPr>
          <w:rFonts w:cs="TimesNewRomanPSMT"/>
          <w:szCs w:val="26"/>
        </w:rPr>
        <w:t xml:space="preserve">look at monthly bill savings when making an economic decision on adopting solar.  </w:t>
      </w:r>
      <w:r w:rsidR="00B9013E">
        <w:t xml:space="preserve">In fact, the 2013 </w:t>
      </w:r>
      <w:proofErr w:type="spellStart"/>
      <w:r w:rsidR="00B9013E">
        <w:t>NREL</w:t>
      </w:r>
      <w:proofErr w:type="spellEnd"/>
      <w:r w:rsidR="00B9013E">
        <w:t xml:space="preserve"> Study states that</w:t>
      </w:r>
      <w:r w:rsidR="00E27AE8">
        <w:t>:</w:t>
      </w:r>
    </w:p>
    <w:p w:rsidR="00533B2F" w:rsidP="00A015B3" w:rsidRDefault="00B9013E" w14:paraId="3A6EB606" w14:textId="6987D090">
      <w:pPr>
        <w:pStyle w:val="BlockQuote0"/>
      </w:pPr>
      <w:r>
        <w:t>previously, the consumer behavior literature has suggested that residential customers primarily use a simple payback time to evaluate a new technology.  However, with the strong growth of third</w:t>
      </w:r>
      <w:r w:rsidR="00827602">
        <w:noBreakHyphen/>
      </w:r>
      <w:r>
        <w:t xml:space="preserve">party owned systems, we expected that leasing customers are frequently being pitched PV systems </w:t>
      </w:r>
      <w:r>
        <w:lastRenderedPageBreak/>
        <w:t>based on the monthly bill savings rather than a payback time.  Surprisingly, customers who bought PV systems are also increasingly using monthly bill savings.</w:t>
      </w:r>
      <w:r>
        <w:rPr>
          <w:rStyle w:val="FootnoteReference"/>
        </w:rPr>
        <w:footnoteReference w:id="185"/>
      </w:r>
    </w:p>
    <w:p w:rsidR="00533B2F" w:rsidP="00A015B3" w:rsidRDefault="00772D16" w14:paraId="5E2DF623" w14:textId="3540B718">
      <w:pPr>
        <w:pStyle w:val="Standard"/>
        <w:rPr>
          <w:rFonts w:cs="TimesNewRomanPSMT"/>
          <w:szCs w:val="26"/>
        </w:rPr>
      </w:pPr>
      <w:bookmarkStart w:name="_Hlk118726862" w:id="129"/>
      <w:r>
        <w:t>Despite</w:t>
      </w:r>
      <w:r w:rsidR="00230D5D">
        <w:t xml:space="preserve"> this determination, it </w:t>
      </w:r>
      <w:r w:rsidR="00EE59AE">
        <w:t xml:space="preserve">is </w:t>
      </w:r>
      <w:r w:rsidR="00230D5D">
        <w:t>reasonable</w:t>
      </w:r>
      <w:r w:rsidR="00F55701">
        <w:t xml:space="preserve"> — </w:t>
      </w:r>
      <w:r w:rsidR="00230D5D">
        <w:t xml:space="preserve">from a </w:t>
      </w:r>
      <w:r w:rsidR="003F0F3A">
        <w:t xml:space="preserve">consumer </w:t>
      </w:r>
      <w:r w:rsidR="00230D5D">
        <w:t>protection perspective</w:t>
      </w:r>
      <w:r w:rsidR="00F55701">
        <w:t xml:space="preserve"> — </w:t>
      </w:r>
      <w:r w:rsidR="00230D5D">
        <w:t xml:space="preserve">that the successor tariff </w:t>
      </w:r>
      <w:r w:rsidR="00667B8B">
        <w:t>targets</w:t>
      </w:r>
      <w:r w:rsidR="00230D5D">
        <w:t xml:space="preserve"> </w:t>
      </w:r>
      <w:r w:rsidR="003A36AF">
        <w:t xml:space="preserve">a </w:t>
      </w:r>
      <w:r w:rsidR="00F036C6">
        <w:t>nine</w:t>
      </w:r>
      <w:r w:rsidR="00827602">
        <w:noBreakHyphen/>
      </w:r>
      <w:r w:rsidR="00F036C6">
        <w:t>year</w:t>
      </w:r>
      <w:r w:rsidR="003A36AF">
        <w:t xml:space="preserve"> </w:t>
      </w:r>
      <w:r w:rsidR="006D2BBE">
        <w:t>s</w:t>
      </w:r>
      <w:r w:rsidR="003A36AF">
        <w:t>imple</w:t>
      </w:r>
      <w:r w:rsidR="006D2BBE">
        <w:t xml:space="preserve"> payback</w:t>
      </w:r>
      <w:r w:rsidR="002B7BFD">
        <w:t xml:space="preserve"> for </w:t>
      </w:r>
      <w:r w:rsidR="00D87A19">
        <w:t>a stand</w:t>
      </w:r>
      <w:r w:rsidR="00827602">
        <w:noBreakHyphen/>
      </w:r>
      <w:r w:rsidR="00D87A19">
        <w:t xml:space="preserve">alone </w:t>
      </w:r>
      <w:r w:rsidR="00621687">
        <w:t xml:space="preserve">solar </w:t>
      </w:r>
      <w:r w:rsidR="002B7BFD">
        <w:t>system</w:t>
      </w:r>
      <w:r w:rsidR="00254D48">
        <w:t xml:space="preserve">, </w:t>
      </w:r>
      <w:r w:rsidR="00023318">
        <w:t xml:space="preserve">which is </w:t>
      </w:r>
      <w:r w:rsidR="00254D48">
        <w:t xml:space="preserve">equivalent to </w:t>
      </w:r>
      <w:r w:rsidR="00684C6D">
        <w:t>nearly</w:t>
      </w:r>
      <w:r w:rsidRPr="00286A66" w:rsidR="00684C6D">
        <w:t xml:space="preserve"> </w:t>
      </w:r>
      <w:r w:rsidRPr="00910053" w:rsidR="00254D48">
        <w:t>$</w:t>
      </w:r>
      <w:r w:rsidRPr="00286A66" w:rsidR="00286A66">
        <w:t xml:space="preserve">100 </w:t>
      </w:r>
      <w:r w:rsidRPr="00286A66" w:rsidR="00254D48">
        <w:t>in monthly</w:t>
      </w:r>
      <w:r w:rsidR="00254D48">
        <w:t xml:space="preserve"> bill savings</w:t>
      </w:r>
      <w:r w:rsidR="00230D5D">
        <w:t>.</w:t>
      </w:r>
      <w:r w:rsidR="00F61583">
        <w:t xml:space="preserve">  As noted by TURN, </w:t>
      </w:r>
      <w:r w:rsidR="00F61583">
        <w:rPr>
          <w:rFonts w:cs="TimesNewRomanPSMT"/>
          <w:szCs w:val="26"/>
        </w:rPr>
        <w:t>a tariff expected to produce a full</w:t>
      </w:r>
      <w:r w:rsidR="007E120D">
        <w:rPr>
          <w:rFonts w:cs="TimesNewRomanPSMT"/>
          <w:szCs w:val="26"/>
        </w:rPr>
        <w:t>y</w:t>
      </w:r>
      <w:r w:rsidR="00F61583">
        <w:rPr>
          <w:rFonts w:cs="TimesNewRomanPSMT"/>
          <w:szCs w:val="26"/>
        </w:rPr>
        <w:t xml:space="preserve"> discounted payback in a future year may still result in the customer realizing net savings in every year.</w:t>
      </w:r>
      <w:r w:rsidR="00F61583">
        <w:rPr>
          <w:rStyle w:val="FootnoteReference"/>
          <w:rFonts w:cs="TimesNewRomanPSMT"/>
          <w:szCs w:val="26"/>
        </w:rPr>
        <w:footnoteReference w:id="186"/>
      </w:r>
      <w:r w:rsidR="00F61583">
        <w:rPr>
          <w:rFonts w:cs="TimesNewRomanPSMT"/>
          <w:szCs w:val="26"/>
        </w:rPr>
        <w:t xml:space="preserve">  As </w:t>
      </w:r>
      <w:r w:rsidR="00EE59AE">
        <w:rPr>
          <w:rFonts w:cs="TimesNewRomanPSMT"/>
          <w:szCs w:val="26"/>
        </w:rPr>
        <w:t xml:space="preserve">this decision determined that </w:t>
      </w:r>
      <w:r w:rsidR="00F61583">
        <w:rPr>
          <w:rFonts w:cs="TimesNewRomanPSMT"/>
          <w:szCs w:val="26"/>
        </w:rPr>
        <w:t xml:space="preserve">monthly bill savings is </w:t>
      </w:r>
      <w:r w:rsidR="00E61DDD">
        <w:rPr>
          <w:rFonts w:cs="TimesNewRomanPSMT"/>
          <w:szCs w:val="26"/>
        </w:rPr>
        <w:t xml:space="preserve">a major </w:t>
      </w:r>
      <w:r w:rsidR="00F61583">
        <w:rPr>
          <w:rFonts w:cs="TimesNewRomanPSMT"/>
          <w:szCs w:val="26"/>
        </w:rPr>
        <w:t xml:space="preserve">factor in </w:t>
      </w:r>
      <w:r w:rsidR="00E61DDD">
        <w:rPr>
          <w:rFonts w:cs="TimesNewRomanPSMT"/>
          <w:szCs w:val="26"/>
        </w:rPr>
        <w:t xml:space="preserve">customers </w:t>
      </w:r>
      <w:r w:rsidR="00F61583">
        <w:rPr>
          <w:rFonts w:cs="TimesNewRomanPSMT"/>
          <w:szCs w:val="26"/>
        </w:rPr>
        <w:t xml:space="preserve">deciding to </w:t>
      </w:r>
      <w:r w:rsidR="00646BEE">
        <w:rPr>
          <w:rFonts w:cs="TimesNewRomanPSMT"/>
          <w:szCs w:val="26"/>
        </w:rPr>
        <w:t xml:space="preserve">install a </w:t>
      </w:r>
      <w:r w:rsidR="00F61583">
        <w:rPr>
          <w:rFonts w:cs="TimesNewRomanPSMT"/>
          <w:szCs w:val="26"/>
        </w:rPr>
        <w:t>solar</w:t>
      </w:r>
      <w:r w:rsidR="00646BEE">
        <w:rPr>
          <w:rFonts w:cs="TimesNewRomanPSMT"/>
          <w:szCs w:val="26"/>
        </w:rPr>
        <w:t xml:space="preserve"> system</w:t>
      </w:r>
      <w:r w:rsidR="00F61583">
        <w:rPr>
          <w:rFonts w:cs="TimesNewRomanPSMT"/>
          <w:szCs w:val="26"/>
        </w:rPr>
        <w:t xml:space="preserve">, </w:t>
      </w:r>
      <w:r w:rsidR="00B21D80">
        <w:rPr>
          <w:rFonts w:cs="TimesNewRomanPSMT"/>
          <w:szCs w:val="26"/>
        </w:rPr>
        <w:t xml:space="preserve">this decision finds that </w:t>
      </w:r>
      <w:r w:rsidR="00151F02">
        <w:rPr>
          <w:rFonts w:cs="TimesNewRomanPSMT"/>
          <w:szCs w:val="26"/>
        </w:rPr>
        <w:t xml:space="preserve">a </w:t>
      </w:r>
      <w:r w:rsidR="00667B8B">
        <w:rPr>
          <w:rFonts w:cs="TimesNewRomanPSMT"/>
          <w:szCs w:val="26"/>
        </w:rPr>
        <w:t xml:space="preserve">target of </w:t>
      </w:r>
      <w:r w:rsidR="00F51BAD">
        <w:rPr>
          <w:rFonts w:cs="TimesNewRomanPSMT"/>
          <w:szCs w:val="26"/>
        </w:rPr>
        <w:t xml:space="preserve">a </w:t>
      </w:r>
      <w:r w:rsidR="00E40FD3">
        <w:rPr>
          <w:rFonts w:cs="TimesNewRomanPSMT"/>
          <w:szCs w:val="26"/>
        </w:rPr>
        <w:t>nine</w:t>
      </w:r>
      <w:r w:rsidR="00827602">
        <w:rPr>
          <w:rFonts w:cs="TimesNewRomanPSMT"/>
          <w:szCs w:val="26"/>
        </w:rPr>
        <w:noBreakHyphen/>
      </w:r>
      <w:r w:rsidR="00E421FA">
        <w:rPr>
          <w:rFonts w:cs="TimesNewRomanPSMT"/>
          <w:szCs w:val="26"/>
        </w:rPr>
        <w:t>year</w:t>
      </w:r>
      <w:r w:rsidR="006D2BBE">
        <w:rPr>
          <w:rFonts w:cs="TimesNewRomanPSMT"/>
          <w:szCs w:val="26"/>
        </w:rPr>
        <w:t xml:space="preserve"> </w:t>
      </w:r>
      <w:r w:rsidR="00151F02">
        <w:rPr>
          <w:rFonts w:cs="TimesNewRomanPSMT"/>
          <w:szCs w:val="26"/>
        </w:rPr>
        <w:t xml:space="preserve">simple </w:t>
      </w:r>
      <w:r w:rsidR="006D2BBE">
        <w:rPr>
          <w:rFonts w:cs="TimesNewRomanPSMT"/>
          <w:szCs w:val="26"/>
        </w:rPr>
        <w:t xml:space="preserve">payback </w:t>
      </w:r>
      <w:r w:rsidR="006B0B07">
        <w:rPr>
          <w:rFonts w:cs="TimesNewRomanPSMT"/>
          <w:szCs w:val="26"/>
        </w:rPr>
        <w:t xml:space="preserve">for </w:t>
      </w:r>
      <w:r w:rsidR="00EF434E">
        <w:rPr>
          <w:rFonts w:cs="TimesNewRomanPSMT"/>
          <w:szCs w:val="26"/>
        </w:rPr>
        <w:t>a stand</w:t>
      </w:r>
      <w:r w:rsidR="00827602">
        <w:rPr>
          <w:rFonts w:cs="TimesNewRomanPSMT"/>
          <w:szCs w:val="26"/>
        </w:rPr>
        <w:noBreakHyphen/>
      </w:r>
      <w:r w:rsidR="00EF434E">
        <w:rPr>
          <w:rFonts w:cs="TimesNewRomanPSMT"/>
          <w:szCs w:val="26"/>
        </w:rPr>
        <w:t>alone</w:t>
      </w:r>
      <w:r w:rsidR="004B42BB">
        <w:rPr>
          <w:rFonts w:cs="TimesNewRomanPSMT"/>
          <w:szCs w:val="26"/>
        </w:rPr>
        <w:t xml:space="preserve"> </w:t>
      </w:r>
      <w:r w:rsidR="00D1271F">
        <w:rPr>
          <w:rFonts w:cs="TimesNewRomanPSMT"/>
          <w:szCs w:val="26"/>
        </w:rPr>
        <w:t>solar</w:t>
      </w:r>
      <w:r w:rsidR="0041083E">
        <w:rPr>
          <w:rFonts w:cs="TimesNewRomanPSMT"/>
          <w:szCs w:val="26"/>
        </w:rPr>
        <w:t xml:space="preserve"> </w:t>
      </w:r>
      <w:r w:rsidRPr="00F4220A" w:rsidR="006B0B07">
        <w:rPr>
          <w:rFonts w:cs="TimesNewRomanPSMT"/>
          <w:szCs w:val="26"/>
        </w:rPr>
        <w:t>system</w:t>
      </w:r>
      <w:r w:rsidR="00F55701">
        <w:rPr>
          <w:rFonts w:cs="TimesNewRomanPSMT"/>
          <w:szCs w:val="26"/>
        </w:rPr>
        <w:t xml:space="preserve"> — </w:t>
      </w:r>
      <w:r w:rsidR="00151F02">
        <w:rPr>
          <w:rFonts w:cs="TimesNewRomanPSMT"/>
          <w:szCs w:val="26"/>
        </w:rPr>
        <w:t xml:space="preserve">equivalent to </w:t>
      </w:r>
      <w:r w:rsidR="00684C6D">
        <w:rPr>
          <w:rFonts w:cs="TimesNewRomanPSMT"/>
          <w:szCs w:val="26"/>
        </w:rPr>
        <w:t>nearly</w:t>
      </w:r>
      <w:r w:rsidRPr="00447DD9" w:rsidR="00684C6D">
        <w:rPr>
          <w:rFonts w:cs="TimesNewRomanPSMT"/>
          <w:szCs w:val="26"/>
        </w:rPr>
        <w:t xml:space="preserve"> </w:t>
      </w:r>
      <w:r w:rsidRPr="00447DD9" w:rsidR="003A25AE">
        <w:rPr>
          <w:rFonts w:cs="TimesNewRomanPSMT"/>
          <w:szCs w:val="26"/>
        </w:rPr>
        <w:t>$</w:t>
      </w:r>
      <w:r w:rsidRPr="00910053" w:rsidR="00447DD9">
        <w:rPr>
          <w:rFonts w:cs="TimesNewRomanPSMT"/>
          <w:szCs w:val="26"/>
        </w:rPr>
        <w:t>100</w:t>
      </w:r>
      <w:r w:rsidRPr="00447DD9" w:rsidR="00151F02">
        <w:rPr>
          <w:rFonts w:cs="TimesNewRomanPSMT"/>
          <w:szCs w:val="26"/>
        </w:rPr>
        <w:t xml:space="preserve"> in</w:t>
      </w:r>
      <w:r w:rsidR="00662D80">
        <w:rPr>
          <w:rFonts w:cs="TimesNewRomanPSMT"/>
          <w:szCs w:val="26"/>
        </w:rPr>
        <w:t xml:space="preserve"> monthly bill savings</w:t>
      </w:r>
      <w:r w:rsidR="00F55701">
        <w:rPr>
          <w:rFonts w:cs="TimesNewRomanPSMT"/>
          <w:szCs w:val="26"/>
        </w:rPr>
        <w:t xml:space="preserve"> — </w:t>
      </w:r>
      <w:r w:rsidR="00895D94">
        <w:rPr>
          <w:rFonts w:cs="TimesNewRomanPSMT"/>
          <w:szCs w:val="26"/>
        </w:rPr>
        <w:t>presents</w:t>
      </w:r>
      <w:r w:rsidR="00F61583">
        <w:rPr>
          <w:rFonts w:cs="TimesNewRomanPSMT"/>
          <w:szCs w:val="26"/>
        </w:rPr>
        <w:t xml:space="preserve"> a balanced approach</w:t>
      </w:r>
      <w:r w:rsidR="00662D80">
        <w:rPr>
          <w:rFonts w:cs="TimesNewRomanPSMT"/>
          <w:szCs w:val="26"/>
        </w:rPr>
        <w:t xml:space="preserve"> to </w:t>
      </w:r>
      <w:r w:rsidR="00EF434E">
        <w:rPr>
          <w:rFonts w:cs="TimesNewRomanPSMT"/>
          <w:szCs w:val="26"/>
        </w:rPr>
        <w:t xml:space="preserve">ensuring </w:t>
      </w:r>
      <w:r w:rsidR="00E61DDD">
        <w:rPr>
          <w:rFonts w:cs="TimesNewRomanPSMT"/>
          <w:szCs w:val="26"/>
        </w:rPr>
        <w:t>customer</w:t>
      </w:r>
      <w:r w:rsidR="00827602">
        <w:rPr>
          <w:rFonts w:cs="TimesNewRomanPSMT"/>
          <w:szCs w:val="26"/>
        </w:rPr>
        <w:noBreakHyphen/>
      </w:r>
      <w:r w:rsidR="00E61DDD">
        <w:rPr>
          <w:rFonts w:cs="TimesNewRomanPSMT"/>
          <w:szCs w:val="26"/>
        </w:rPr>
        <w:t xml:space="preserve">sited renewable </w:t>
      </w:r>
      <w:r w:rsidR="00151F02">
        <w:rPr>
          <w:rFonts w:cs="TimesNewRomanPSMT"/>
          <w:szCs w:val="26"/>
        </w:rPr>
        <w:t xml:space="preserve">distributed </w:t>
      </w:r>
      <w:r w:rsidR="00E61DDD">
        <w:rPr>
          <w:rFonts w:cs="TimesNewRomanPSMT"/>
          <w:szCs w:val="26"/>
        </w:rPr>
        <w:t>generation continues to grow sustainably</w:t>
      </w:r>
      <w:r w:rsidR="003A25AE">
        <w:rPr>
          <w:rFonts w:cs="TimesNewRomanPSMT"/>
          <w:szCs w:val="26"/>
        </w:rPr>
        <w:t>.</w:t>
      </w:r>
      <w:r w:rsidR="00447DD9">
        <w:rPr>
          <w:rStyle w:val="FootnoteReference"/>
          <w:rFonts w:cs="TimesNewRomanPSMT"/>
          <w:szCs w:val="26"/>
        </w:rPr>
        <w:footnoteReference w:id="187"/>
      </w:r>
      <w:r w:rsidR="003A25AE">
        <w:rPr>
          <w:rFonts w:cs="TimesNewRomanPSMT"/>
          <w:szCs w:val="26"/>
        </w:rPr>
        <w:t xml:space="preserve">  </w:t>
      </w:r>
    </w:p>
    <w:p w:rsidR="00533B2F" w:rsidP="00A015B3" w:rsidRDefault="00C91EAA" w14:paraId="537BB8C3" w14:textId="0D0DA7F6">
      <w:pPr>
        <w:pStyle w:val="Standard"/>
        <w:rPr>
          <w:rFonts w:cs="TimesNewRomanPSMT"/>
          <w:szCs w:val="26"/>
        </w:rPr>
      </w:pPr>
      <w:bookmarkStart w:name="_Hlk118729178" w:id="131"/>
      <w:bookmarkEnd w:id="129"/>
      <w:r>
        <w:rPr>
          <w:rFonts w:cs="TimesNewRomanPSMT"/>
          <w:szCs w:val="26"/>
        </w:rPr>
        <w:t>T</w:t>
      </w:r>
      <w:r w:rsidR="00CF2812">
        <w:rPr>
          <w:rFonts w:cs="TimesNewRomanPSMT"/>
          <w:szCs w:val="26"/>
        </w:rPr>
        <w:t xml:space="preserve">he </w:t>
      </w:r>
      <w:r w:rsidR="00387702">
        <w:rPr>
          <w:rFonts w:cs="TimesNewRomanPSMT"/>
          <w:szCs w:val="26"/>
        </w:rPr>
        <w:t>increased</w:t>
      </w:r>
      <w:r w:rsidR="00CF2812">
        <w:rPr>
          <w:rFonts w:cs="TimesNewRomanPSMT"/>
          <w:szCs w:val="26"/>
        </w:rPr>
        <w:t xml:space="preserve"> </w:t>
      </w:r>
      <w:r w:rsidR="006D2BBE">
        <w:rPr>
          <w:rFonts w:cs="TimesNewRomanPSMT"/>
          <w:szCs w:val="26"/>
        </w:rPr>
        <w:t>number of years to payback</w:t>
      </w:r>
      <w:r w:rsidR="00506DB8">
        <w:rPr>
          <w:rFonts w:cs="TimesNewRomanPSMT"/>
          <w:szCs w:val="26"/>
        </w:rPr>
        <w:t xml:space="preserve">, in addition to the other elements of the adopted successor tariff, </w:t>
      </w:r>
      <w:r w:rsidR="00CF2812">
        <w:rPr>
          <w:rFonts w:cs="TimesNewRomanPSMT"/>
          <w:szCs w:val="26"/>
        </w:rPr>
        <w:t xml:space="preserve">will </w:t>
      </w:r>
      <w:r w:rsidR="002B7BFD">
        <w:rPr>
          <w:rFonts w:cs="TimesNewRomanPSMT"/>
          <w:szCs w:val="26"/>
        </w:rPr>
        <w:t xml:space="preserve">work towards </w:t>
      </w:r>
      <w:r w:rsidR="00895D94">
        <w:rPr>
          <w:rFonts w:cs="TimesNewRomanPSMT"/>
          <w:szCs w:val="26"/>
        </w:rPr>
        <w:t>alleviat</w:t>
      </w:r>
      <w:r w:rsidR="002B7BFD">
        <w:rPr>
          <w:rFonts w:cs="TimesNewRomanPSMT"/>
          <w:szCs w:val="26"/>
        </w:rPr>
        <w:t xml:space="preserve">ing </w:t>
      </w:r>
      <w:r w:rsidR="00F07BEE">
        <w:rPr>
          <w:rFonts w:cs="TimesNewRomanPSMT"/>
          <w:szCs w:val="26"/>
        </w:rPr>
        <w:t>a</w:t>
      </w:r>
      <w:r w:rsidR="002B7BFD">
        <w:rPr>
          <w:rFonts w:cs="TimesNewRomanPSMT"/>
          <w:szCs w:val="26"/>
        </w:rPr>
        <w:t xml:space="preserve"> </w:t>
      </w:r>
      <w:r w:rsidR="009F5C12">
        <w:rPr>
          <w:rFonts w:cs="TimesNewRomanPSMT"/>
          <w:szCs w:val="26"/>
        </w:rPr>
        <w:t xml:space="preserve">future </w:t>
      </w:r>
      <w:r w:rsidR="00CF2812">
        <w:rPr>
          <w:rFonts w:cs="TimesNewRomanPSMT"/>
          <w:szCs w:val="26"/>
        </w:rPr>
        <w:t>cost shift</w:t>
      </w:r>
      <w:r w:rsidR="009F2712">
        <w:rPr>
          <w:rFonts w:cs="TimesNewRomanPSMT"/>
          <w:szCs w:val="26"/>
        </w:rPr>
        <w:t xml:space="preserve">, </w:t>
      </w:r>
      <w:r w:rsidR="009F5C12">
        <w:rPr>
          <w:rFonts w:cs="TimesNewRomanPSMT"/>
          <w:szCs w:val="26"/>
        </w:rPr>
        <w:t xml:space="preserve">as </w:t>
      </w:r>
      <w:r w:rsidR="00E03240">
        <w:rPr>
          <w:rFonts w:cs="TimesNewRomanPSMT"/>
          <w:szCs w:val="26"/>
        </w:rPr>
        <w:t xml:space="preserve">was </w:t>
      </w:r>
      <w:r w:rsidR="00CF2812">
        <w:rPr>
          <w:rFonts w:cs="TimesNewRomanPSMT"/>
          <w:szCs w:val="26"/>
        </w:rPr>
        <w:t xml:space="preserve">experienced in both </w:t>
      </w:r>
      <w:r w:rsidR="00602BC5">
        <w:rPr>
          <w:rFonts w:cs="TimesNewRomanPSMT"/>
          <w:szCs w:val="26"/>
        </w:rPr>
        <w:t>NEM 1.0</w:t>
      </w:r>
      <w:r w:rsidR="00CF2812">
        <w:rPr>
          <w:rFonts w:cs="TimesNewRomanPSMT"/>
          <w:szCs w:val="26"/>
        </w:rPr>
        <w:t xml:space="preserve"> and </w:t>
      </w:r>
      <w:r w:rsidR="00602BC5">
        <w:rPr>
          <w:rFonts w:cs="TimesNewRomanPSMT"/>
          <w:szCs w:val="26"/>
        </w:rPr>
        <w:t>NEM 2.0</w:t>
      </w:r>
      <w:r w:rsidR="00CF2812">
        <w:rPr>
          <w:rFonts w:cs="TimesNewRomanPSMT"/>
          <w:szCs w:val="26"/>
        </w:rPr>
        <w:t>.</w:t>
      </w:r>
      <w:r w:rsidR="00F07BEE">
        <w:rPr>
          <w:rFonts w:cs="TimesNewRomanPSMT"/>
          <w:szCs w:val="26"/>
        </w:rPr>
        <w:t xml:space="preserve">  </w:t>
      </w:r>
      <w:r w:rsidR="00EA09E8">
        <w:rPr>
          <w:rFonts w:cs="TimesNewRomanPSMT"/>
          <w:szCs w:val="26"/>
        </w:rPr>
        <w:t>The Commission analysis</w:t>
      </w:r>
      <w:r w:rsidR="009F5C12">
        <w:rPr>
          <w:rFonts w:cs="TimesNewRomanPSMT"/>
          <w:szCs w:val="26"/>
        </w:rPr>
        <w:t xml:space="preserve"> in </w:t>
      </w:r>
      <w:r w:rsidR="0034029C">
        <w:rPr>
          <w:rFonts w:cs="TimesNewRomanPSMT"/>
          <w:szCs w:val="26"/>
        </w:rPr>
        <w:t>Section 8</w:t>
      </w:r>
      <w:r w:rsidR="009F5C12">
        <w:rPr>
          <w:rFonts w:cs="TimesNewRomanPSMT"/>
          <w:szCs w:val="26"/>
        </w:rPr>
        <w:t>.5.5 below indicate</w:t>
      </w:r>
      <w:r w:rsidR="00EA09E8">
        <w:rPr>
          <w:rFonts w:cs="TimesNewRomanPSMT"/>
          <w:szCs w:val="26"/>
        </w:rPr>
        <w:t>s</w:t>
      </w:r>
      <w:r w:rsidR="009F5C12">
        <w:rPr>
          <w:rFonts w:cs="TimesNewRomanPSMT"/>
          <w:szCs w:val="26"/>
        </w:rPr>
        <w:t xml:space="preserve"> that the </w:t>
      </w:r>
      <w:r w:rsidR="00D3612A">
        <w:rPr>
          <w:rFonts w:cs="TimesNewRomanPSMT"/>
          <w:szCs w:val="26"/>
        </w:rPr>
        <w:t xml:space="preserve">solar </w:t>
      </w:r>
      <w:r w:rsidR="009F5C12">
        <w:rPr>
          <w:rFonts w:cs="TimesNewRomanPSMT"/>
          <w:szCs w:val="26"/>
        </w:rPr>
        <w:t xml:space="preserve">paired </w:t>
      </w:r>
      <w:r w:rsidR="00D3612A">
        <w:rPr>
          <w:rFonts w:cs="TimesNewRomanPSMT"/>
          <w:szCs w:val="26"/>
        </w:rPr>
        <w:t xml:space="preserve">with </w:t>
      </w:r>
      <w:r w:rsidR="009F5C12">
        <w:rPr>
          <w:rFonts w:cs="TimesNewRomanPSMT"/>
          <w:szCs w:val="26"/>
        </w:rPr>
        <w:t>storage system</w:t>
      </w:r>
      <w:r w:rsidR="00151F02">
        <w:rPr>
          <w:rFonts w:cs="TimesNewRomanPSMT"/>
          <w:szCs w:val="26"/>
        </w:rPr>
        <w:t xml:space="preserve">, </w:t>
      </w:r>
      <w:r w:rsidR="007B0CE1">
        <w:rPr>
          <w:rFonts w:cs="TimesNewRomanPSMT"/>
          <w:szCs w:val="26"/>
        </w:rPr>
        <w:t xml:space="preserve">in </w:t>
      </w:r>
      <w:r w:rsidR="00151F02">
        <w:rPr>
          <w:rFonts w:cs="TimesNewRomanPSMT"/>
          <w:szCs w:val="26"/>
        </w:rPr>
        <w:t xml:space="preserve">which </w:t>
      </w:r>
      <w:r w:rsidR="007B0CE1">
        <w:rPr>
          <w:rFonts w:cs="TimesNewRomanPSMT"/>
          <w:szCs w:val="26"/>
        </w:rPr>
        <w:t xml:space="preserve">residential customers </w:t>
      </w:r>
      <w:r w:rsidR="00151F02">
        <w:rPr>
          <w:rFonts w:cs="TimesNewRomanPSMT"/>
          <w:szCs w:val="26"/>
        </w:rPr>
        <w:t xml:space="preserve">will </w:t>
      </w:r>
      <w:r w:rsidRPr="00531F1A" w:rsidR="00151F02">
        <w:rPr>
          <w:rFonts w:cs="TimesNewRomanPSMT"/>
          <w:szCs w:val="26"/>
        </w:rPr>
        <w:t xml:space="preserve">experience payback periods </w:t>
      </w:r>
      <w:r w:rsidRPr="00531F1A" w:rsidR="00912518">
        <w:rPr>
          <w:rFonts w:cs="TimesNewRomanPSMT"/>
          <w:szCs w:val="26"/>
        </w:rPr>
        <w:t>of approximately 8.88</w:t>
      </w:r>
      <w:r w:rsidR="002F5949">
        <w:rPr>
          <w:rFonts w:cs="TimesNewRomanPSMT"/>
          <w:szCs w:val="26"/>
        </w:rPr>
        <w:t> </w:t>
      </w:r>
      <w:r w:rsidRPr="00531F1A" w:rsidR="00912518">
        <w:rPr>
          <w:rFonts w:cs="TimesNewRomanPSMT"/>
          <w:szCs w:val="26"/>
        </w:rPr>
        <w:t xml:space="preserve">years </w:t>
      </w:r>
      <w:r w:rsidRPr="00531F1A" w:rsidR="00D3612A">
        <w:rPr>
          <w:rFonts w:cs="TimesNewRomanPSMT"/>
          <w:szCs w:val="26"/>
        </w:rPr>
        <w:t xml:space="preserve">and </w:t>
      </w:r>
      <w:r w:rsidR="007B0CE1">
        <w:rPr>
          <w:rFonts w:cs="TimesNewRomanPSMT"/>
          <w:szCs w:val="26"/>
        </w:rPr>
        <w:t xml:space="preserve">at least </w:t>
      </w:r>
      <w:r w:rsidRPr="00531F1A" w:rsidR="00D3612A">
        <w:rPr>
          <w:rFonts w:cs="TimesNewRomanPSMT"/>
          <w:szCs w:val="26"/>
        </w:rPr>
        <w:t>$</w:t>
      </w:r>
      <w:r w:rsidRPr="00531F1A" w:rsidR="00531F1A">
        <w:rPr>
          <w:rFonts w:cs="TimesNewRomanPSMT"/>
          <w:szCs w:val="26"/>
        </w:rPr>
        <w:t>136</w:t>
      </w:r>
      <w:r w:rsidR="00830AA0">
        <w:rPr>
          <w:rFonts w:cs="TimesNewRomanPSMT"/>
          <w:szCs w:val="26"/>
        </w:rPr>
        <w:t xml:space="preserve"> </w:t>
      </w:r>
      <w:r w:rsidRPr="00531F1A" w:rsidR="00D3612A">
        <w:rPr>
          <w:rFonts w:cs="TimesNewRomanPSMT"/>
          <w:szCs w:val="26"/>
        </w:rPr>
        <w:t>monthly bill</w:t>
      </w:r>
      <w:r w:rsidR="00D3612A">
        <w:rPr>
          <w:rFonts w:cs="TimesNewRomanPSMT"/>
          <w:szCs w:val="26"/>
        </w:rPr>
        <w:t xml:space="preserve"> savings </w:t>
      </w:r>
      <w:r w:rsidR="00151F02">
        <w:rPr>
          <w:rFonts w:cs="TimesNewRomanPSMT"/>
          <w:szCs w:val="26"/>
        </w:rPr>
        <w:t>during the first year of the glide path,</w:t>
      </w:r>
      <w:r w:rsidR="009F5C12">
        <w:rPr>
          <w:rFonts w:cs="TimesNewRomanPSMT"/>
          <w:szCs w:val="26"/>
        </w:rPr>
        <w:t xml:space="preserve"> is closer to cost</w:t>
      </w:r>
      <w:r w:rsidR="00827602">
        <w:rPr>
          <w:rFonts w:cs="TimesNewRomanPSMT"/>
          <w:szCs w:val="26"/>
        </w:rPr>
        <w:noBreakHyphen/>
      </w:r>
      <w:r w:rsidR="009F5C12">
        <w:rPr>
          <w:rFonts w:cs="TimesNewRomanPSMT"/>
          <w:szCs w:val="26"/>
        </w:rPr>
        <w:t>effective as compared to stand</w:t>
      </w:r>
      <w:r w:rsidR="00827602">
        <w:rPr>
          <w:rFonts w:cs="TimesNewRomanPSMT"/>
          <w:szCs w:val="26"/>
        </w:rPr>
        <w:noBreakHyphen/>
      </w:r>
      <w:r w:rsidR="009F5C12">
        <w:rPr>
          <w:rFonts w:cs="TimesNewRomanPSMT"/>
          <w:szCs w:val="26"/>
        </w:rPr>
        <w:t xml:space="preserve">alone </w:t>
      </w:r>
      <w:r w:rsidR="00D540CC">
        <w:rPr>
          <w:rFonts w:cs="TimesNewRomanPSMT"/>
          <w:szCs w:val="26"/>
        </w:rPr>
        <w:lastRenderedPageBreak/>
        <w:t>solar</w:t>
      </w:r>
      <w:r w:rsidR="009F5C12">
        <w:rPr>
          <w:rFonts w:cs="TimesNewRomanPSMT"/>
          <w:szCs w:val="26"/>
        </w:rPr>
        <w:t>.</w:t>
      </w:r>
      <w:r w:rsidR="00531F1A">
        <w:rPr>
          <w:rStyle w:val="FootnoteReference"/>
          <w:rFonts w:cs="TimesNewRomanPSMT"/>
          <w:szCs w:val="26"/>
        </w:rPr>
        <w:footnoteReference w:id="188"/>
      </w:r>
      <w:r w:rsidR="009F5C12">
        <w:rPr>
          <w:rFonts w:cs="TimesNewRomanPSMT"/>
          <w:szCs w:val="26"/>
        </w:rPr>
        <w:t xml:space="preserve">  </w:t>
      </w:r>
      <w:r w:rsidR="003F06A5">
        <w:rPr>
          <w:rFonts w:cs="TimesNewRomanPSMT"/>
          <w:szCs w:val="26"/>
        </w:rPr>
        <w:t xml:space="preserve">Furthermore, successor tariff customers with a solar system paired with storage will likely have a shorter payback period and may see greater monthly bill savings than participating customers with </w:t>
      </w:r>
      <w:r w:rsidR="00626763">
        <w:rPr>
          <w:rFonts w:cs="TimesNewRomanPSMT"/>
          <w:szCs w:val="26"/>
        </w:rPr>
        <w:t>stand</w:t>
      </w:r>
      <w:r w:rsidR="00827602">
        <w:rPr>
          <w:rFonts w:cs="TimesNewRomanPSMT"/>
          <w:szCs w:val="26"/>
        </w:rPr>
        <w:noBreakHyphen/>
      </w:r>
      <w:r w:rsidR="00626763">
        <w:rPr>
          <w:rFonts w:cs="TimesNewRomanPSMT"/>
          <w:szCs w:val="26"/>
        </w:rPr>
        <w:t xml:space="preserve">alone </w:t>
      </w:r>
      <w:r w:rsidR="003F06A5">
        <w:rPr>
          <w:rFonts w:cs="TimesNewRomanPSMT"/>
          <w:szCs w:val="26"/>
        </w:rPr>
        <w:t xml:space="preserve">solar system. </w:t>
      </w:r>
      <w:r w:rsidR="00B21D80">
        <w:rPr>
          <w:rFonts w:cs="TimesNewRomanPSMT"/>
          <w:szCs w:val="26"/>
        </w:rPr>
        <w:t>T</w:t>
      </w:r>
      <w:r w:rsidR="009F5C12">
        <w:rPr>
          <w:rFonts w:cs="TimesNewRomanPSMT"/>
          <w:szCs w:val="26"/>
        </w:rPr>
        <w:t xml:space="preserve">his </w:t>
      </w:r>
      <w:r w:rsidR="00B21D80">
        <w:rPr>
          <w:rFonts w:cs="TimesNewRomanPSMT"/>
          <w:szCs w:val="26"/>
        </w:rPr>
        <w:t xml:space="preserve">is discussed further </w:t>
      </w:r>
      <w:r w:rsidR="009F5C12">
        <w:rPr>
          <w:rFonts w:cs="TimesNewRomanPSMT"/>
          <w:szCs w:val="26"/>
        </w:rPr>
        <w:t xml:space="preserve">in </w:t>
      </w:r>
      <w:r w:rsidR="0034029C">
        <w:rPr>
          <w:rFonts w:cs="TimesNewRomanPSMT"/>
          <w:szCs w:val="26"/>
        </w:rPr>
        <w:t>Section 8</w:t>
      </w:r>
      <w:r w:rsidR="009F5C12">
        <w:rPr>
          <w:rFonts w:cs="TimesNewRomanPSMT"/>
          <w:szCs w:val="26"/>
        </w:rPr>
        <w:t>.5.5.</w:t>
      </w:r>
    </w:p>
    <w:bookmarkEnd w:id="131"/>
    <w:p w:rsidR="00F61583" w:rsidP="00A015B3" w:rsidRDefault="00C91EAA" w14:paraId="4B7C624C" w14:textId="1D73619F">
      <w:pPr>
        <w:pStyle w:val="Standard"/>
        <w:rPr>
          <w:rFonts w:cs="TimesNewRomanPSMT"/>
          <w:szCs w:val="26"/>
        </w:rPr>
      </w:pPr>
      <w:r>
        <w:rPr>
          <w:rFonts w:cs="TimesNewRomanPSMT"/>
          <w:szCs w:val="26"/>
        </w:rPr>
        <w:t>Relatedly, p</w:t>
      </w:r>
      <w:r w:rsidR="00F61583">
        <w:rPr>
          <w:rFonts w:cs="TimesNewRomanPSMT"/>
          <w:szCs w:val="26"/>
        </w:rPr>
        <w:t xml:space="preserve">arties also discuss the differing analyses </w:t>
      </w:r>
      <w:r w:rsidR="006D2BBE">
        <w:rPr>
          <w:rFonts w:cs="TimesNewRomanPSMT"/>
          <w:szCs w:val="26"/>
        </w:rPr>
        <w:t>to determine the number of years to payback</w:t>
      </w:r>
      <w:r w:rsidR="00F61583">
        <w:rPr>
          <w:rFonts w:cs="TimesNewRomanPSMT"/>
          <w:szCs w:val="26"/>
        </w:rPr>
        <w:t xml:space="preserve">.  </w:t>
      </w:r>
      <w:r w:rsidR="0040236E">
        <w:rPr>
          <w:rFonts w:cs="TimesNewRomanPSMT"/>
          <w:szCs w:val="26"/>
        </w:rPr>
        <w:t xml:space="preserve">SEIA/Vote Solar cautions the Commission to understand the different payback metrics.  </w:t>
      </w:r>
      <w:r w:rsidR="00875254">
        <w:rPr>
          <w:rFonts w:cs="TimesNewRomanPSMT"/>
          <w:szCs w:val="26"/>
        </w:rPr>
        <w:t xml:space="preserve">TURN </w:t>
      </w:r>
      <w:r w:rsidR="00F61583">
        <w:rPr>
          <w:rFonts w:cs="TimesNewRomanPSMT"/>
          <w:szCs w:val="26"/>
        </w:rPr>
        <w:t xml:space="preserve">also </w:t>
      </w:r>
      <w:r w:rsidR="00875254">
        <w:rPr>
          <w:rFonts w:cs="TimesNewRomanPSMT"/>
          <w:szCs w:val="26"/>
        </w:rPr>
        <w:t>acknowledge</w:t>
      </w:r>
      <w:r w:rsidR="00F61583">
        <w:rPr>
          <w:rFonts w:cs="TimesNewRomanPSMT"/>
          <w:szCs w:val="26"/>
        </w:rPr>
        <w:t>s</w:t>
      </w:r>
      <w:r w:rsidR="00875254">
        <w:rPr>
          <w:rFonts w:cs="TimesNewRomanPSMT"/>
          <w:szCs w:val="26"/>
        </w:rPr>
        <w:t xml:space="preserve"> that parties use different payback metrics and therefore cautions the Commission to </w:t>
      </w:r>
      <w:r w:rsidR="00BA1EAE">
        <w:rPr>
          <w:rFonts w:cs="TimesNewRomanPSMT"/>
          <w:szCs w:val="26"/>
        </w:rPr>
        <w:t>“</w:t>
      </w:r>
      <w:r w:rsidR="00875254">
        <w:rPr>
          <w:rFonts w:cs="TimesNewRomanPSMT"/>
          <w:szCs w:val="26"/>
        </w:rPr>
        <w:t>ensure any reliance on payback periods uses consistent metrics and does not conflate the various approaches.</w:t>
      </w:r>
      <w:r w:rsidR="00BA1EAE">
        <w:rPr>
          <w:rFonts w:cs="TimesNewRomanPSMT"/>
          <w:szCs w:val="26"/>
        </w:rPr>
        <w:t>”</w:t>
      </w:r>
      <w:r w:rsidR="00875254">
        <w:rPr>
          <w:rStyle w:val="FootnoteReference"/>
          <w:rFonts w:cs="TimesNewRomanPSMT"/>
          <w:szCs w:val="26"/>
        </w:rPr>
        <w:footnoteReference w:id="189"/>
      </w:r>
      <w:r w:rsidR="00875254">
        <w:rPr>
          <w:rFonts w:cs="TimesNewRomanPSMT"/>
          <w:szCs w:val="26"/>
        </w:rPr>
        <w:t xml:space="preserve">  TURN lists the five basi</w:t>
      </w:r>
      <w:r w:rsidR="00506DB8">
        <w:rPr>
          <w:rFonts w:cs="TimesNewRomanPSMT"/>
          <w:szCs w:val="26"/>
        </w:rPr>
        <w:t>c</w:t>
      </w:r>
      <w:r w:rsidR="00875254">
        <w:rPr>
          <w:rFonts w:cs="TimesNewRomanPSMT"/>
          <w:szCs w:val="26"/>
        </w:rPr>
        <w:t xml:space="preserve"> payback methods as</w:t>
      </w:r>
      <w:r w:rsidR="00555CC0">
        <w:rPr>
          <w:rFonts w:cs="TimesNewRomanPSMT"/>
          <w:szCs w:val="26"/>
        </w:rPr>
        <w:t xml:space="preserve">:  </w:t>
      </w:r>
      <w:bookmarkStart w:name="_Hlk85018409" w:id="133"/>
      <w:r w:rsidR="00A27EF9">
        <w:rPr>
          <w:rFonts w:cs="TimesNewRomanPSMT"/>
          <w:szCs w:val="26"/>
        </w:rPr>
        <w:t>(</w:t>
      </w:r>
      <w:r w:rsidR="00875254">
        <w:rPr>
          <w:rFonts w:cs="TimesNewRomanPSMT"/>
          <w:szCs w:val="26"/>
        </w:rPr>
        <w:t>1)</w:t>
      </w:r>
      <w:r w:rsidR="00BA75E3">
        <w:rPr>
          <w:rFonts w:cs="TimesNewRomanPSMT"/>
          <w:szCs w:val="26"/>
        </w:rPr>
        <w:t> </w:t>
      </w:r>
      <w:r w:rsidR="00875254">
        <w:rPr>
          <w:rFonts w:cs="TimesNewRomanPSMT"/>
          <w:szCs w:val="26"/>
        </w:rPr>
        <w:t xml:space="preserve">simple payback; </w:t>
      </w:r>
      <w:r w:rsidR="00A27EF9">
        <w:rPr>
          <w:rFonts w:cs="TimesNewRomanPSMT"/>
          <w:szCs w:val="26"/>
        </w:rPr>
        <w:t>(</w:t>
      </w:r>
      <w:r w:rsidR="00875254">
        <w:rPr>
          <w:rFonts w:cs="TimesNewRomanPSMT"/>
          <w:szCs w:val="26"/>
        </w:rPr>
        <w:t>2)</w:t>
      </w:r>
      <w:r w:rsidR="00BA75E3">
        <w:rPr>
          <w:rFonts w:cs="TimesNewRomanPSMT"/>
          <w:szCs w:val="26"/>
        </w:rPr>
        <w:t> </w:t>
      </w:r>
      <w:r w:rsidR="00875254">
        <w:rPr>
          <w:rFonts w:cs="TimesNewRomanPSMT"/>
          <w:szCs w:val="26"/>
        </w:rPr>
        <w:t xml:space="preserve">escalated simple payback; </w:t>
      </w:r>
      <w:r w:rsidR="00A27EF9">
        <w:rPr>
          <w:rFonts w:cs="TimesNewRomanPSMT"/>
          <w:szCs w:val="26"/>
        </w:rPr>
        <w:t>(</w:t>
      </w:r>
      <w:r w:rsidR="00875254">
        <w:rPr>
          <w:rFonts w:cs="TimesNewRomanPSMT"/>
          <w:szCs w:val="26"/>
        </w:rPr>
        <w:t xml:space="preserve">3) simple discounted payback; </w:t>
      </w:r>
      <w:r w:rsidR="00A27EF9">
        <w:rPr>
          <w:rFonts w:cs="TimesNewRomanPSMT"/>
          <w:szCs w:val="26"/>
        </w:rPr>
        <w:t>(</w:t>
      </w:r>
      <w:r w:rsidR="00875254">
        <w:rPr>
          <w:rFonts w:cs="TimesNewRomanPSMT"/>
          <w:szCs w:val="26"/>
        </w:rPr>
        <w:t>4)</w:t>
      </w:r>
      <w:r w:rsidR="00BA75E3">
        <w:rPr>
          <w:rFonts w:cs="TimesNewRomanPSMT"/>
          <w:szCs w:val="26"/>
        </w:rPr>
        <w:t> </w:t>
      </w:r>
      <w:r w:rsidR="00875254">
        <w:rPr>
          <w:rFonts w:cs="TimesNewRomanPSMT"/>
          <w:szCs w:val="26"/>
        </w:rPr>
        <w:t xml:space="preserve">E3 payback; and </w:t>
      </w:r>
      <w:r w:rsidR="00A27EF9">
        <w:rPr>
          <w:rFonts w:cs="TimesNewRomanPSMT"/>
          <w:szCs w:val="26"/>
        </w:rPr>
        <w:t>(</w:t>
      </w:r>
      <w:r w:rsidR="00875254">
        <w:rPr>
          <w:rFonts w:cs="TimesNewRomanPSMT"/>
          <w:szCs w:val="26"/>
        </w:rPr>
        <w:t>5)</w:t>
      </w:r>
      <w:r w:rsidR="00BA75E3">
        <w:rPr>
          <w:rFonts w:cs="TimesNewRomanPSMT"/>
          <w:szCs w:val="26"/>
        </w:rPr>
        <w:t> </w:t>
      </w:r>
      <w:r w:rsidR="00875254">
        <w:rPr>
          <w:rFonts w:cs="TimesNewRomanPSMT"/>
          <w:szCs w:val="26"/>
        </w:rPr>
        <w:t>full discounted payback</w:t>
      </w:r>
      <w:bookmarkEnd w:id="133"/>
      <w:r w:rsidR="00875254">
        <w:rPr>
          <w:rFonts w:cs="TimesNewRomanPSMT"/>
          <w:szCs w:val="26"/>
        </w:rPr>
        <w:t>.</w:t>
      </w:r>
      <w:r w:rsidR="00875254">
        <w:rPr>
          <w:rStyle w:val="FootnoteReference"/>
          <w:rFonts w:cs="TimesNewRomanPSMT"/>
          <w:szCs w:val="26"/>
        </w:rPr>
        <w:footnoteReference w:id="190"/>
      </w:r>
    </w:p>
    <w:p w:rsidR="003A25AE" w:rsidP="00A015B3" w:rsidRDefault="00F61583" w14:paraId="2A96993C" w14:textId="53058195">
      <w:pPr>
        <w:pStyle w:val="Standard"/>
        <w:rPr>
          <w:rFonts w:cs="TimesNewRomanPSMT"/>
          <w:szCs w:val="26"/>
        </w:rPr>
      </w:pPr>
      <w:r>
        <w:rPr>
          <w:rFonts w:cs="TimesNewRomanPSMT"/>
          <w:szCs w:val="26"/>
        </w:rPr>
        <w:t xml:space="preserve">SEIA/Vote Solar explains </w:t>
      </w:r>
      <w:r w:rsidR="00662D80">
        <w:rPr>
          <w:rFonts w:cs="TimesNewRomanPSMT"/>
          <w:szCs w:val="26"/>
        </w:rPr>
        <w:t xml:space="preserve">that </w:t>
      </w:r>
      <w:r>
        <w:rPr>
          <w:rFonts w:cs="TimesNewRomanPSMT"/>
          <w:szCs w:val="26"/>
        </w:rPr>
        <w:t xml:space="preserve">the simple payback </w:t>
      </w:r>
      <w:r w:rsidR="00662D80">
        <w:rPr>
          <w:rFonts w:cs="TimesNewRomanPSMT"/>
          <w:szCs w:val="26"/>
        </w:rPr>
        <w:t xml:space="preserve">method </w:t>
      </w:r>
      <w:r>
        <w:rPr>
          <w:rFonts w:cs="TimesNewRomanPSMT"/>
          <w:szCs w:val="26"/>
        </w:rPr>
        <w:t>(the capital cost of a system divided by the first</w:t>
      </w:r>
      <w:r w:rsidR="00827602">
        <w:rPr>
          <w:rFonts w:cs="TimesNewRomanPSMT"/>
          <w:szCs w:val="26"/>
        </w:rPr>
        <w:noBreakHyphen/>
      </w:r>
      <w:r>
        <w:rPr>
          <w:rFonts w:cs="TimesNewRomanPSMT"/>
          <w:szCs w:val="26"/>
        </w:rPr>
        <w:t>year bill savings) assumes the customer pays cash for the system and does not consider ongoing maintenance costs, the time value of money, or the need to earn a return on their investment.</w:t>
      </w:r>
      <w:r>
        <w:rPr>
          <w:rStyle w:val="FootnoteReference"/>
          <w:rFonts w:cs="TimesNewRomanPSMT"/>
          <w:szCs w:val="26"/>
        </w:rPr>
        <w:footnoteReference w:id="191"/>
      </w:r>
      <w:r>
        <w:rPr>
          <w:rFonts w:cs="TimesNewRomanPSMT"/>
          <w:szCs w:val="26"/>
        </w:rPr>
        <w:t xml:space="preserve">  </w:t>
      </w:r>
      <w:r w:rsidR="00422CC0">
        <w:rPr>
          <w:rFonts w:cs="TimesNewRomanPSMT"/>
          <w:szCs w:val="26"/>
        </w:rPr>
        <w:t>TURN describes the full discounted payback as having the ability to quantify either a stream of annual lease costs, or a scenario where a participating customer purchases a resource upfront and finances the resource over time.</w:t>
      </w:r>
      <w:r w:rsidR="00422CC0">
        <w:rPr>
          <w:rStyle w:val="FootnoteReference"/>
          <w:rFonts w:cs="TimesNewRomanPSMT"/>
          <w:szCs w:val="26"/>
        </w:rPr>
        <w:footnoteReference w:id="192"/>
      </w:r>
      <w:r w:rsidR="00422CC0">
        <w:rPr>
          <w:rFonts w:cs="TimesNewRomanPSMT"/>
          <w:szCs w:val="26"/>
        </w:rPr>
        <w:t xml:space="preserve">  </w:t>
      </w:r>
      <w:r w:rsidR="00662D80">
        <w:rPr>
          <w:rFonts w:cs="TimesNewRomanPSMT"/>
          <w:szCs w:val="26"/>
        </w:rPr>
        <w:t>Explaining</w:t>
      </w:r>
      <w:r w:rsidR="00422CC0">
        <w:rPr>
          <w:rFonts w:cs="TimesNewRomanPSMT"/>
          <w:szCs w:val="26"/>
        </w:rPr>
        <w:t xml:space="preserve"> </w:t>
      </w:r>
      <w:r w:rsidR="00422CC0">
        <w:rPr>
          <w:rFonts w:cs="TimesNewRomanPSMT"/>
          <w:szCs w:val="26"/>
        </w:rPr>
        <w:lastRenderedPageBreak/>
        <w:t>that a 10</w:t>
      </w:r>
      <w:r w:rsidR="00827602">
        <w:rPr>
          <w:rFonts w:cs="TimesNewRomanPSMT"/>
          <w:szCs w:val="26"/>
        </w:rPr>
        <w:noBreakHyphen/>
      </w:r>
      <w:r w:rsidR="00422CC0">
        <w:rPr>
          <w:rFonts w:cs="TimesNewRomanPSMT"/>
          <w:szCs w:val="26"/>
        </w:rPr>
        <w:t xml:space="preserve">year discounted payback can result in a simple payback of as little as </w:t>
      </w:r>
      <w:r w:rsidR="001243CC">
        <w:rPr>
          <w:rFonts w:cs="TimesNewRomanPSMT"/>
          <w:szCs w:val="26"/>
        </w:rPr>
        <w:t>five</w:t>
      </w:r>
      <w:r w:rsidR="00822440">
        <w:rPr>
          <w:rFonts w:cs="TimesNewRomanPSMT"/>
          <w:szCs w:val="26"/>
        </w:rPr>
        <w:t> </w:t>
      </w:r>
      <w:r w:rsidR="00422CC0">
        <w:rPr>
          <w:rFonts w:cs="TimesNewRomanPSMT"/>
          <w:szCs w:val="26"/>
        </w:rPr>
        <w:t>years</w:t>
      </w:r>
      <w:r w:rsidR="00662D80">
        <w:rPr>
          <w:rFonts w:cs="TimesNewRomanPSMT"/>
          <w:szCs w:val="26"/>
        </w:rPr>
        <w:t xml:space="preserve">, </w:t>
      </w:r>
      <w:r w:rsidR="00422CC0">
        <w:rPr>
          <w:rFonts w:cs="TimesNewRomanPSMT"/>
          <w:szCs w:val="26"/>
        </w:rPr>
        <w:t>TURN asserts the full discounted payback metric does not reveal the extent to which a customer realizes positive cash flow (which TURN defines as annual bill savings exceeding annual expenses) in any particular year.</w:t>
      </w:r>
      <w:r w:rsidR="00422CC0">
        <w:rPr>
          <w:rStyle w:val="FootnoteReference"/>
          <w:rFonts w:cs="TimesNewRomanPSMT"/>
          <w:szCs w:val="26"/>
        </w:rPr>
        <w:footnoteReference w:id="193"/>
      </w:r>
    </w:p>
    <w:p w:rsidR="00D850D1" w:rsidP="00A015B3" w:rsidRDefault="00D850D1" w14:paraId="52300F40" w14:textId="4C0E3BE6">
      <w:pPr>
        <w:pStyle w:val="Standard"/>
      </w:pPr>
      <w:r>
        <w:rPr>
          <w:rFonts w:cs="TimesNewRomanPSMT"/>
          <w:szCs w:val="26"/>
        </w:rPr>
        <w:t>This decision adopts a simple payback metric as the most transparent and consumer</w:t>
      </w:r>
      <w:r w:rsidR="00827602">
        <w:rPr>
          <w:rFonts w:cs="TimesNewRomanPSMT"/>
          <w:szCs w:val="26"/>
        </w:rPr>
        <w:noBreakHyphen/>
      </w:r>
      <w:r>
        <w:rPr>
          <w:rFonts w:cs="TimesNewRomanPSMT"/>
          <w:szCs w:val="26"/>
        </w:rPr>
        <w:t xml:space="preserve">friendly metric.  </w:t>
      </w:r>
      <w:r w:rsidR="003F0F3A">
        <w:rPr>
          <w:rFonts w:cs="TimesNewRomanPSMT"/>
          <w:szCs w:val="26"/>
        </w:rPr>
        <w:t>The simple payback metric equals the cost of the system divided by first</w:t>
      </w:r>
      <w:r w:rsidR="00827602">
        <w:rPr>
          <w:rFonts w:cs="TimesNewRomanPSMT"/>
          <w:szCs w:val="26"/>
        </w:rPr>
        <w:noBreakHyphen/>
      </w:r>
      <w:r w:rsidR="003F0F3A">
        <w:rPr>
          <w:rFonts w:cs="TimesNewRomanPSMT"/>
          <w:szCs w:val="26"/>
        </w:rPr>
        <w:t xml:space="preserve">year bill savings.  </w:t>
      </w:r>
      <w:r>
        <w:rPr>
          <w:rFonts w:cs="TimesNewRomanPSMT"/>
          <w:szCs w:val="26"/>
        </w:rPr>
        <w:t xml:space="preserve">As discussed in </w:t>
      </w:r>
      <w:r w:rsidR="0034029C">
        <w:rPr>
          <w:rFonts w:cs="TimesNewRomanPSMT"/>
          <w:szCs w:val="26"/>
        </w:rPr>
        <w:t>Section 8</w:t>
      </w:r>
      <w:r>
        <w:rPr>
          <w:rFonts w:cs="TimesNewRomanPSMT"/>
          <w:szCs w:val="26"/>
        </w:rPr>
        <w:t>.5.2, this metric will be used to determine the glide path incentive amount.</w:t>
      </w:r>
      <w:r w:rsidR="00387F9B">
        <w:rPr>
          <w:rFonts w:cs="TimesNewRomanPSMT"/>
          <w:szCs w:val="26"/>
        </w:rPr>
        <w:t xml:space="preserve">  </w:t>
      </w:r>
      <w:r w:rsidR="006D2BBE">
        <w:t xml:space="preserve">The number of years to payback </w:t>
      </w:r>
      <w:r w:rsidR="00662D80">
        <w:t xml:space="preserve">should </w:t>
      </w:r>
      <w:r w:rsidR="00E03240">
        <w:t>reflect</w:t>
      </w:r>
      <w:r w:rsidR="00662D80">
        <w:t xml:space="preserve"> all costs of </w:t>
      </w:r>
      <w:r w:rsidR="00626763">
        <w:t>stand</w:t>
      </w:r>
      <w:r w:rsidR="00827602">
        <w:noBreakHyphen/>
      </w:r>
      <w:r w:rsidR="00626763">
        <w:t xml:space="preserve">alone </w:t>
      </w:r>
      <w:r w:rsidR="00662D80">
        <w:t xml:space="preserve">solar </w:t>
      </w:r>
      <w:r w:rsidR="00790141">
        <w:t xml:space="preserve">and </w:t>
      </w:r>
      <w:r w:rsidR="00621687">
        <w:t xml:space="preserve">solar </w:t>
      </w:r>
      <w:r w:rsidR="00790141">
        <w:t xml:space="preserve">paired </w:t>
      </w:r>
      <w:r w:rsidR="00D1271F">
        <w:t xml:space="preserve">with </w:t>
      </w:r>
      <w:r w:rsidR="00790141">
        <w:t xml:space="preserve">storage </w:t>
      </w:r>
      <w:r w:rsidR="00662D80">
        <w:t xml:space="preserve">adoption.  </w:t>
      </w:r>
      <w:r w:rsidR="00B21D80">
        <w:t xml:space="preserve">This </w:t>
      </w:r>
      <w:r w:rsidR="00662D80">
        <w:t>ha</w:t>
      </w:r>
      <w:r w:rsidR="00B21D80">
        <w:t xml:space="preserve">s been </w:t>
      </w:r>
      <w:r w:rsidR="00662D80">
        <w:t>taken into consideration in the determination of the successor tariff adopt</w:t>
      </w:r>
      <w:r w:rsidR="00531F1A">
        <w:t>ed</w:t>
      </w:r>
      <w:r w:rsidR="00662D80">
        <w:t xml:space="preserve"> in this decision.</w:t>
      </w:r>
      <w:r w:rsidR="00E421FA">
        <w:t xml:space="preserve">  </w:t>
      </w:r>
      <w:r w:rsidR="00B21D80">
        <w:t>M</w:t>
      </w:r>
      <w:r w:rsidR="00C468E5">
        <w:t xml:space="preserve">odeling and </w:t>
      </w:r>
      <w:r w:rsidR="00531F1A">
        <w:t xml:space="preserve">analysis </w:t>
      </w:r>
      <w:r w:rsidR="00C468E5">
        <w:t xml:space="preserve">results </w:t>
      </w:r>
      <w:r w:rsidR="00B21D80">
        <w:t xml:space="preserve">are discussed </w:t>
      </w:r>
      <w:r w:rsidR="00C468E5">
        <w:t xml:space="preserve">in </w:t>
      </w:r>
      <w:r w:rsidR="0034029C">
        <w:t>Section 8</w:t>
      </w:r>
      <w:r w:rsidR="00C468E5">
        <w:t>.5.5 below</w:t>
      </w:r>
      <w:r>
        <w:t>.</w:t>
      </w:r>
    </w:p>
    <w:p w:rsidR="00D850D1" w:rsidP="00A015B3" w:rsidRDefault="00387F9B" w14:paraId="47E873F6" w14:textId="23182CF5">
      <w:pPr>
        <w:pStyle w:val="Standard"/>
      </w:pPr>
      <w:r>
        <w:t>As determined above, this decision finds a nine</w:t>
      </w:r>
      <w:r w:rsidR="00827602">
        <w:noBreakHyphen/>
      </w:r>
      <w:r>
        <w:t>year simple payback for stand</w:t>
      </w:r>
      <w:r w:rsidR="00827602">
        <w:noBreakHyphen/>
      </w:r>
      <w:r>
        <w:t xml:space="preserve">alone solar to be reasonable.  </w:t>
      </w:r>
      <w:r w:rsidR="00D850D1">
        <w:t>The Commission recognizes that the time to payback for residential stand</w:t>
      </w:r>
      <w:r w:rsidR="00827602">
        <w:noBreakHyphen/>
      </w:r>
      <w:r w:rsidR="00D850D1">
        <w:t xml:space="preserve">alone </w:t>
      </w:r>
      <w:r w:rsidR="00BD5835">
        <w:t xml:space="preserve">solar </w:t>
      </w:r>
      <w:r w:rsidR="00D850D1">
        <w:t xml:space="preserve">systems installed during the </w:t>
      </w:r>
      <w:r w:rsidR="001D29B8">
        <w:t xml:space="preserve">transition </w:t>
      </w:r>
      <w:r w:rsidR="00D850D1">
        <w:t xml:space="preserve">period will be shorter than nine years due to rate escalation.  </w:t>
      </w:r>
      <w:r>
        <w:t xml:space="preserve">This decision clarifies that rate escalation is not a component of a simple payback metric.  </w:t>
      </w:r>
    </w:p>
    <w:p w:rsidR="008D2F2D" w:rsidP="005E7044" w:rsidRDefault="00C107C2" w14:paraId="0E4E3A6D" w14:textId="69042FFB">
      <w:pPr>
        <w:pStyle w:val="Heading3"/>
        <w:keepLines w:val="0"/>
      </w:pPr>
      <w:bookmarkStart w:name="_Toc117674081" w:id="134"/>
      <w:bookmarkStart w:name="_Toc118285072" w:id="135"/>
      <w:bookmarkStart w:name="_Toc121854399" w:id="136"/>
      <w:r>
        <w:t xml:space="preserve">The </w:t>
      </w:r>
      <w:r w:rsidR="003A1274">
        <w:t xml:space="preserve">Adopted </w:t>
      </w:r>
      <w:r w:rsidR="00E02B8D">
        <w:t>Cost of Solar</w:t>
      </w:r>
      <w:r w:rsidR="00A015B3">
        <w:br/>
        <w:t>I</w:t>
      </w:r>
      <w:r w:rsidR="003D0C9E">
        <w:t xml:space="preserve">s </w:t>
      </w:r>
      <w:r w:rsidR="003A1274">
        <w:t>$3.</w:t>
      </w:r>
      <w:r w:rsidR="00C51416">
        <w:t>3</w:t>
      </w:r>
      <w:r w:rsidR="003A1274">
        <w:t>0</w:t>
      </w:r>
      <w:r>
        <w:t xml:space="preserve"> </w:t>
      </w:r>
      <w:r w:rsidR="00C93D4D">
        <w:t>P</w:t>
      </w:r>
      <w:r>
        <w:t xml:space="preserve">er </w:t>
      </w:r>
      <w:r w:rsidR="00C93D4D">
        <w:t>W</w:t>
      </w:r>
      <w:r>
        <w:t>att</w:t>
      </w:r>
      <w:bookmarkEnd w:id="134"/>
      <w:bookmarkEnd w:id="135"/>
      <w:bookmarkEnd w:id="136"/>
    </w:p>
    <w:p w:rsidR="004B6909" w:rsidP="00823631" w:rsidRDefault="003A1274" w14:paraId="7F8647A8" w14:textId="0A9FC328">
      <w:pPr>
        <w:pStyle w:val="Standard"/>
      </w:pPr>
      <w:r>
        <w:t>There is a wide range of values for the cost of solar in the record of this proceeding.  At the low</w:t>
      </w:r>
      <w:r w:rsidR="00D3612A">
        <w:t xml:space="preserve"> </w:t>
      </w:r>
      <w:r>
        <w:t xml:space="preserve">end of the range, Joint Utilities, and TURN submit that the </w:t>
      </w:r>
      <w:proofErr w:type="spellStart"/>
      <w:r>
        <w:t>NREL</w:t>
      </w:r>
      <w:proofErr w:type="spellEnd"/>
      <w:r>
        <w:t xml:space="preserve"> Annual Technology Baseline value of $2.34 </w:t>
      </w:r>
      <w:r w:rsidR="009807F7">
        <w:t xml:space="preserve">per watt </w:t>
      </w:r>
      <w:r>
        <w:t xml:space="preserve">is a reasonable value </w:t>
      </w:r>
      <w:r w:rsidR="009807F7">
        <w:t xml:space="preserve">for the Commission to adopt as the cost of solar.  </w:t>
      </w:r>
      <w:proofErr w:type="spellStart"/>
      <w:r w:rsidR="00E02B8D">
        <w:t>CALSSA</w:t>
      </w:r>
      <w:proofErr w:type="spellEnd"/>
      <w:r w:rsidR="00E02B8D">
        <w:t xml:space="preserve"> contends the $2.34 per watt cost of solar is an idealized cost of residential solar that does not reflect real</w:t>
      </w:r>
      <w:r w:rsidR="00827602">
        <w:noBreakHyphen/>
      </w:r>
      <w:r w:rsidR="00E02B8D">
        <w:t xml:space="preserve">world pricing and results in </w:t>
      </w:r>
      <w:r w:rsidR="00BA1EAE">
        <w:t>“</w:t>
      </w:r>
      <w:r w:rsidR="00BF3273">
        <w:t>overly</w:t>
      </w:r>
      <w:r w:rsidR="00BA1EAE">
        <w:t>”</w:t>
      </w:r>
      <w:r w:rsidR="00BF3273">
        <w:t xml:space="preserve"> </w:t>
      </w:r>
      <w:r w:rsidR="00E02B8D">
        <w:t>low estimates of cost</w:t>
      </w:r>
      <w:r w:rsidR="00827602">
        <w:noBreakHyphen/>
      </w:r>
      <w:r w:rsidR="00E02B8D">
        <w:t xml:space="preserve">recovery </w:t>
      </w:r>
      <w:r w:rsidR="00E02B8D">
        <w:lastRenderedPageBreak/>
        <w:t>periods, especially for small companies.</w:t>
      </w:r>
      <w:r w:rsidR="00E02B8D">
        <w:rPr>
          <w:rStyle w:val="FootnoteReference"/>
        </w:rPr>
        <w:footnoteReference w:id="194"/>
      </w:r>
      <w:r w:rsidR="00E02B8D">
        <w:t xml:space="preserve">  </w:t>
      </w:r>
      <w:proofErr w:type="spellStart"/>
      <w:r w:rsidR="00E02B8D">
        <w:t>CALSSA</w:t>
      </w:r>
      <w:proofErr w:type="spellEnd"/>
      <w:r w:rsidR="00E02B8D">
        <w:t xml:space="preserve"> asserts the </w:t>
      </w:r>
      <w:proofErr w:type="spellStart"/>
      <w:r w:rsidR="00E02B8D">
        <w:t>NREL</w:t>
      </w:r>
      <w:proofErr w:type="spellEnd"/>
      <w:r w:rsidR="00E02B8D">
        <w:t xml:space="preserve"> Annual Technology Baseline estimated cost is a bottom</w:t>
      </w:r>
      <w:r w:rsidR="00827602">
        <w:noBreakHyphen/>
      </w:r>
      <w:r w:rsidR="00E02B8D">
        <w:t>up analysis rather than an analysis of actual market prices</w:t>
      </w:r>
      <w:r w:rsidR="00C125EE">
        <w:t xml:space="preserve">, </w:t>
      </w:r>
      <w:r w:rsidR="003D0C9E">
        <w:t xml:space="preserve">and </w:t>
      </w:r>
      <w:r w:rsidR="00C125EE">
        <w:t>highlight</w:t>
      </w:r>
      <w:r w:rsidR="003D0C9E">
        <w:t xml:space="preserve">s </w:t>
      </w:r>
      <w:r w:rsidR="00E02B8D">
        <w:t xml:space="preserve">that main panel upgrades, permitting and interconnection delays, and financing costs are not included in the </w:t>
      </w:r>
      <w:proofErr w:type="spellStart"/>
      <w:r w:rsidR="00E02B8D">
        <w:t>NREL</w:t>
      </w:r>
      <w:proofErr w:type="spellEnd"/>
      <w:r w:rsidR="00E02B8D">
        <w:t xml:space="preserve"> estimated cost.</w:t>
      </w:r>
      <w:r w:rsidR="00C125EE">
        <w:rPr>
          <w:rStyle w:val="FootnoteReference"/>
        </w:rPr>
        <w:footnoteReference w:id="195"/>
      </w:r>
      <w:r w:rsidR="00E02B8D">
        <w:t xml:space="preserve">  </w:t>
      </w:r>
      <w:proofErr w:type="spellStart"/>
      <w:r w:rsidR="00E02B8D">
        <w:t>CALSSA</w:t>
      </w:r>
      <w:proofErr w:type="spellEnd"/>
      <w:r w:rsidR="00E02B8D">
        <w:t xml:space="preserve"> maintains there are more realistic sources for the actual cost of solar</w:t>
      </w:r>
      <w:r w:rsidR="003C12CE">
        <w:t xml:space="preserve"> and recommends the Commission </w:t>
      </w:r>
      <w:r w:rsidR="009807F7">
        <w:t xml:space="preserve">use </w:t>
      </w:r>
      <w:r w:rsidR="003C12CE">
        <w:t>the</w:t>
      </w:r>
      <w:r w:rsidR="00C125EE">
        <w:t xml:space="preserve"> </w:t>
      </w:r>
      <w:r w:rsidR="003C12CE">
        <w:t>December 2020 edition of the</w:t>
      </w:r>
      <w:r w:rsidR="009B4E88">
        <w:t xml:space="preserve"> Lawrence Berkeley National Laboratory’s (</w:t>
      </w:r>
      <w:proofErr w:type="spellStart"/>
      <w:r w:rsidR="009B4E88">
        <w:t>LBNL’s</w:t>
      </w:r>
      <w:proofErr w:type="spellEnd"/>
      <w:r w:rsidR="009B4E88">
        <w:t>)</w:t>
      </w:r>
      <w:r w:rsidR="003C12CE">
        <w:t xml:space="preserve"> </w:t>
      </w:r>
      <w:r w:rsidRPr="00F036C6" w:rsidR="003C12CE">
        <w:rPr>
          <w:i/>
          <w:iCs/>
        </w:rPr>
        <w:t>Tracking the Sun</w:t>
      </w:r>
      <w:r w:rsidR="003C12CE">
        <w:t xml:space="preserve"> report, which estimates the average cost of solar to residential customers in California was $3.80</w:t>
      </w:r>
      <w:r w:rsidR="00F61AE4">
        <w:t> </w:t>
      </w:r>
      <w:r w:rsidR="003C12CE">
        <w:t>per watt in 2019.</w:t>
      </w:r>
      <w:r w:rsidR="003C12CE">
        <w:rPr>
          <w:rStyle w:val="FootnoteReference"/>
        </w:rPr>
        <w:footnoteReference w:id="196"/>
      </w:r>
    </w:p>
    <w:p w:rsidR="001129EC" w:rsidP="00823631" w:rsidRDefault="004B6909" w14:paraId="0C112C7B" w14:textId="6551D58A">
      <w:pPr>
        <w:pStyle w:val="Standard"/>
      </w:pPr>
      <w:r>
        <w:t xml:space="preserve">TURN responds to </w:t>
      </w:r>
      <w:proofErr w:type="spellStart"/>
      <w:r>
        <w:t>CALSSA’s</w:t>
      </w:r>
      <w:proofErr w:type="spellEnd"/>
      <w:r>
        <w:t xml:space="preserve"> arguments to use the </w:t>
      </w:r>
      <w:r w:rsidR="003D0C9E">
        <w:t xml:space="preserve">higher </w:t>
      </w:r>
      <w:r>
        <w:t xml:space="preserve">cost estimate from </w:t>
      </w:r>
      <w:r w:rsidR="005215D8">
        <w:t xml:space="preserve">the </w:t>
      </w:r>
      <w:r w:rsidRPr="00F036C6">
        <w:rPr>
          <w:i/>
          <w:iCs/>
        </w:rPr>
        <w:t>Tracking the Sun</w:t>
      </w:r>
      <w:r w:rsidR="005215D8">
        <w:rPr>
          <w:i/>
          <w:iCs/>
        </w:rPr>
        <w:t xml:space="preserve"> </w:t>
      </w:r>
      <w:r w:rsidRPr="00F036C6" w:rsidR="005215D8">
        <w:t>report</w:t>
      </w:r>
      <w:r>
        <w:t xml:space="preserve">.  TURN maintains that instead of relying on historical market prices, the Commission should estimate future installation costs and, thus, relying on the </w:t>
      </w:r>
      <w:proofErr w:type="spellStart"/>
      <w:r>
        <w:t>NREL</w:t>
      </w:r>
      <w:proofErr w:type="spellEnd"/>
      <w:r>
        <w:t xml:space="preserve"> data provides the best snapshot of future costs available in this proceeding.</w:t>
      </w:r>
      <w:r>
        <w:rPr>
          <w:rStyle w:val="FootnoteReference"/>
        </w:rPr>
        <w:footnoteReference w:id="197"/>
      </w:r>
      <w:r>
        <w:t xml:space="preserve">  Further, TURN disputes </w:t>
      </w:r>
      <w:r w:rsidR="00530F03">
        <w:t xml:space="preserve">claims that the </w:t>
      </w:r>
      <w:proofErr w:type="spellStart"/>
      <w:r w:rsidR="00530F03">
        <w:t>NREL</w:t>
      </w:r>
      <w:proofErr w:type="spellEnd"/>
      <w:r w:rsidR="00530F03">
        <w:t xml:space="preserve"> estimate does not include costs for main electrical panel upgrades and permitting and interconnection delays.  TURN contends these costs should not be included because </w:t>
      </w:r>
      <w:r w:rsidR="00BA1EAE">
        <w:t>“</w:t>
      </w:r>
      <w:r w:rsidR="00530F03">
        <w:t>they are not incurred for most installations and therefore should not be assumed in base case quantifications.</w:t>
      </w:r>
      <w:r w:rsidR="00BA1EAE">
        <w:t>”</w:t>
      </w:r>
      <w:r w:rsidR="00530F03">
        <w:rPr>
          <w:rStyle w:val="FootnoteReference"/>
        </w:rPr>
        <w:footnoteReference w:id="198"/>
      </w:r>
      <w:r w:rsidR="00530F03">
        <w:t xml:space="preserve">  TURN points to a </w:t>
      </w:r>
      <w:proofErr w:type="spellStart"/>
      <w:r w:rsidR="00530F03">
        <w:t>CALSSA</w:t>
      </w:r>
      <w:proofErr w:type="spellEnd"/>
      <w:r w:rsidR="00530F03">
        <w:t xml:space="preserve"> survey that found only 2</w:t>
      </w:r>
      <w:r w:rsidR="00C04724">
        <w:t>8 percent</w:t>
      </w:r>
      <w:r w:rsidR="00530F03">
        <w:t xml:space="preserve"> of new installations involve main panel upgrades.</w:t>
      </w:r>
      <w:r w:rsidR="00530F03">
        <w:rPr>
          <w:rStyle w:val="FootnoteReference"/>
        </w:rPr>
        <w:footnoteReference w:id="199"/>
      </w:r>
    </w:p>
    <w:p w:rsidR="00AB2A56" w:rsidP="00823631" w:rsidRDefault="00AB2A56" w14:paraId="3EA29068" w14:textId="2CAADA32">
      <w:pPr>
        <w:pStyle w:val="Standard"/>
      </w:pPr>
      <w:r>
        <w:lastRenderedPageBreak/>
        <w:t>In comments to the May 2022 Ruling, NRDC recommends the Commission consider a cost per watt between Energy Sage’s value of $2.85 per watt</w:t>
      </w:r>
      <w:r w:rsidR="00E44765">
        <w:t xml:space="preserve"> (</w:t>
      </w:r>
      <w:r>
        <w:t xml:space="preserve">which </w:t>
      </w:r>
      <w:r w:rsidR="00E44765">
        <w:t>NRDC</w:t>
      </w:r>
      <w:r>
        <w:t xml:space="preserve"> assert</w:t>
      </w:r>
      <w:r w:rsidR="00E44765">
        <w:t>s</w:t>
      </w:r>
      <w:r>
        <w:t xml:space="preserve"> represents the most efficient part of the market</w:t>
      </w:r>
      <w:r w:rsidR="00E44765">
        <w:t>)</w:t>
      </w:r>
      <w:r>
        <w:t xml:space="preserve"> and values presented in the </w:t>
      </w:r>
      <w:r w:rsidRPr="00F036C6">
        <w:rPr>
          <w:i/>
          <w:iCs/>
        </w:rPr>
        <w:t>Tracking the Sun</w:t>
      </w:r>
      <w:r>
        <w:t xml:space="preserve"> report.</w:t>
      </w:r>
      <w:r w:rsidR="00E44765">
        <w:rPr>
          <w:rStyle w:val="FootnoteReference"/>
        </w:rPr>
        <w:footnoteReference w:id="200"/>
      </w:r>
      <w:r w:rsidR="00E44765">
        <w:t xml:space="preserve">  NRDC claims that it is important to start with a representative installation cost when designing a glide path that to provide the solar industry time to adapt to a new tariff.</w:t>
      </w:r>
    </w:p>
    <w:p w:rsidR="00083239" w:rsidP="00823631" w:rsidRDefault="009C7831" w14:paraId="31AE3EE7" w14:textId="3C57AB08">
      <w:pPr>
        <w:pStyle w:val="Standard"/>
      </w:pPr>
      <w:r>
        <w:t xml:space="preserve">This decision finds that a reasonable cost of </w:t>
      </w:r>
      <w:r w:rsidR="00891FB1">
        <w:rPr>
          <w:noProof/>
        </w:rPr>
        <mc:AlternateContent>
          <mc:Choice Requires="wpi">
            <w:drawing>
              <wp:anchor distT="0" distB="0" distL="114300" distR="114300" simplePos="0" relativeHeight="251662336" behindDoc="0" locked="0" layoutInCell="1" allowOverlap="1" wp14:editId="44CDFBF9" wp14:anchorId="1BE55326">
                <wp:simplePos x="0" y="0"/>
                <wp:positionH relativeFrom="column">
                  <wp:posOffset>822325</wp:posOffset>
                </wp:positionH>
                <wp:positionV relativeFrom="paragraph">
                  <wp:posOffset>445770</wp:posOffset>
                </wp:positionV>
                <wp:extent cx="18415" cy="18415"/>
                <wp:effectExtent l="50800" t="53340" r="45085" b="42545"/>
                <wp:wrapNone/>
                <wp:docPr id="12"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21" bwMode="auto">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id="Ink 6" style="position:absolute;margin-left:28.5pt;margin-top:-1.1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&#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" w14:anchorId="4520B20F">
                <v:imagedata o:title="" r:id="rId22"/>
                <o:lock v:ext="edit" rotation="t" verticies="t" shapetype="t"/>
              </v:shape>
            </w:pict>
          </mc:Fallback>
        </mc:AlternateContent>
      </w:r>
      <w:r>
        <w:t xml:space="preserve">solar is between $2.34 and $3.80 per watt.  </w:t>
      </w:r>
      <w:r w:rsidR="00083239">
        <w:t>Acknowledging that most residential customers installing solar systems will require financing, especially lower</w:t>
      </w:r>
      <w:r w:rsidR="00827602">
        <w:noBreakHyphen/>
      </w:r>
      <w:r w:rsidR="00083239">
        <w:t>income households, t</w:t>
      </w:r>
      <w:r>
        <w:t>he Commission recognizes that the low</w:t>
      </w:r>
      <w:r w:rsidR="00827602">
        <w:noBreakHyphen/>
      </w:r>
      <w:r>
        <w:t>end cost of $2.34 per watt does not include financing costs</w:t>
      </w:r>
      <w:r w:rsidR="009807F7">
        <w:t>.</w:t>
      </w:r>
      <w:r w:rsidR="00083239">
        <w:rPr>
          <w:rStyle w:val="FootnoteReference"/>
        </w:rPr>
        <w:footnoteReference w:id="201"/>
      </w:r>
      <w:r w:rsidR="00083239">
        <w:t xml:space="preserve">  </w:t>
      </w:r>
      <w:r w:rsidR="009807F7">
        <w:t xml:space="preserve">Further, the Commission also </w:t>
      </w:r>
      <w:r w:rsidR="00083239">
        <w:t>recognizes</w:t>
      </w:r>
      <w:r w:rsidR="009807F7">
        <w:t xml:space="preserve"> this value does not account for the fact </w:t>
      </w:r>
      <w:r>
        <w:t xml:space="preserve">that </w:t>
      </w:r>
      <w:r w:rsidR="00997F06">
        <w:t>over one</w:t>
      </w:r>
      <w:r w:rsidR="00827602">
        <w:noBreakHyphen/>
      </w:r>
      <w:r w:rsidR="00997F06">
        <w:t xml:space="preserve">quarter </w:t>
      </w:r>
      <w:r>
        <w:t xml:space="preserve">of installations require main electrical panel </w:t>
      </w:r>
      <w:r w:rsidR="00997F06">
        <w:t>upgrades,</w:t>
      </w:r>
      <w:r>
        <w:t xml:space="preserve"> and </w:t>
      </w:r>
      <w:r w:rsidR="00083239">
        <w:t>a percentage of</w:t>
      </w:r>
      <w:r w:rsidR="00997F06">
        <w:t xml:space="preserve"> </w:t>
      </w:r>
      <w:r w:rsidR="009807F7">
        <w:t xml:space="preserve">installations </w:t>
      </w:r>
      <w:r>
        <w:t xml:space="preserve">may </w:t>
      </w:r>
      <w:r w:rsidR="002C2D0D">
        <w:t xml:space="preserve">experience </w:t>
      </w:r>
      <w:r>
        <w:t>permitting and interconnection delay</w:t>
      </w:r>
      <w:r w:rsidR="002C2D0D">
        <w:t>s</w:t>
      </w:r>
      <w:r w:rsidR="009807F7">
        <w:t>, both of which would lead to higher costs</w:t>
      </w:r>
      <w:r w:rsidR="002C2D0D">
        <w:t xml:space="preserve">.  </w:t>
      </w:r>
      <w:r w:rsidR="00083239">
        <w:t>Hence, this decision finds that the value of $2.34 per watt is low and should not be adopted.</w:t>
      </w:r>
    </w:p>
    <w:p w:rsidR="00621868" w:rsidP="00823631" w:rsidRDefault="00685D8D" w14:paraId="164ED586" w14:textId="4BF2DB10">
      <w:pPr>
        <w:pStyle w:val="Standard"/>
        <w:rPr>
          <w:noProof/>
        </w:rPr>
      </w:pPr>
      <w:r>
        <w:t xml:space="preserve">While this decision finds the </w:t>
      </w:r>
      <w:proofErr w:type="spellStart"/>
      <w:r>
        <w:t>NREL</w:t>
      </w:r>
      <w:proofErr w:type="spellEnd"/>
      <w:r>
        <w:t xml:space="preserve"> cost of solar to be low, it is important to address the allegations by Joint Utilities, TURN</w:t>
      </w:r>
      <w:r w:rsidR="003F06A5">
        <w:t>,</w:t>
      </w:r>
      <w:r>
        <w:t xml:space="preserve"> and NRDC that both </w:t>
      </w:r>
      <w:proofErr w:type="spellStart"/>
      <w:r>
        <w:t>CALSSA</w:t>
      </w:r>
      <w:proofErr w:type="spellEnd"/>
      <w:r>
        <w:t xml:space="preserve"> and SEIA/Vote Solar have previously supported the use of the </w:t>
      </w:r>
      <w:proofErr w:type="spellStart"/>
      <w:r>
        <w:t>NREL</w:t>
      </w:r>
      <w:proofErr w:type="spellEnd"/>
      <w:r>
        <w:t xml:space="preserve"> data</w:t>
      </w:r>
      <w:r>
        <w:rPr>
          <w:noProof/>
        </w:rPr>
        <w:t xml:space="preserve"> </w:t>
      </w:r>
      <w:r w:rsidR="00891FB1">
        <w:rPr>
          <w:noProof/>
        </w:rPr>
        <mc:AlternateContent>
          <mc:Choice Requires="wpi">
            <w:drawing>
              <wp:anchor distT="0" distB="0" distL="114300" distR="114300" simplePos="0" relativeHeight="251663360" behindDoc="0" locked="0" layoutInCell="1" allowOverlap="1" wp14:editId="0156611E" wp14:anchorId="1612F377">
                <wp:simplePos x="0" y="0"/>
                <wp:positionH relativeFrom="column">
                  <wp:posOffset>1044575</wp:posOffset>
                </wp:positionH>
                <wp:positionV relativeFrom="paragraph">
                  <wp:posOffset>405130</wp:posOffset>
                </wp:positionV>
                <wp:extent cx="34925" cy="20955"/>
                <wp:effectExtent l="53975" t="51435" r="44450" b="41910"/>
                <wp:wrapNone/>
                <wp:docPr id="11"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23" bwMode="auto">
                      <w14:nvContentPartPr>
                        <w14:cNvContentPartPr>
                          <a14:cpLocks xmlns:a14="http://schemas.microsoft.com/office/drawing/2010/main" noRot="1" noChangeAspect="1" noEditPoints="1" noChangeArrowheads="1" noChangeShapeType="1"/>
                        </w14:cNvContentPartPr>
                      </w14:nvContentPartPr>
                      <w14:xfrm>
                        <a:off x="0" y="0"/>
                        <a:ext cx="34925" cy="20955"/>
                      </w14:xfrm>
                    </w14:contentPart>
                  </a:graphicData>
                </a:graphic>
                <wp14:sizeRelH relativeFrom="page">
                  <wp14:pctWidth>0</wp14:pctWidth>
                </wp14:sizeRelH>
                <wp14:sizeRelV relativeFrom="page">
                  <wp14:pctHeight>0</wp14:pctHeight>
                </wp14:sizeRelV>
              </wp:anchor>
            </w:drawing>
          </mc:Choice>
          <mc:Fallback>
            <w:pict>
              <v:shape id="Ink 5" style="position:absolute;margin-left:81.55pt;margin-top:31.1pt;width:4.1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" w14:anchorId="69E86CAC">
                <v:imagedata o:title="" r:id="rId24"/>
                <o:lock v:ext="edit" rotation="t" verticies="t" shapetype="t"/>
              </v:shape>
            </w:pict>
          </mc:Fallback>
        </mc:AlternateContent>
      </w:r>
      <w:r>
        <w:rPr>
          <w:noProof/>
        </w:rPr>
        <w:t xml:space="preserve">during the </w:t>
      </w:r>
      <w:r w:rsidR="00F15E9F">
        <w:rPr>
          <w:noProof/>
        </w:rPr>
        <w:t>development of the Lookback Study.  As NRDC explain</w:t>
      </w:r>
      <w:r w:rsidR="003F06A5">
        <w:rPr>
          <w:noProof/>
        </w:rPr>
        <w:t>s</w:t>
      </w:r>
      <w:r w:rsidR="00F15E9F">
        <w:rPr>
          <w:noProof/>
        </w:rPr>
        <w:t xml:space="preserve">, SEIA and CALSSA demonstrated to the Commission that the 2018 value of $3.80 per watt from </w:t>
      </w:r>
      <w:r w:rsidRPr="00F036C6" w:rsidR="00F15E9F">
        <w:rPr>
          <w:i/>
          <w:iCs/>
          <w:noProof/>
        </w:rPr>
        <w:t xml:space="preserve">Tracking the Sun </w:t>
      </w:r>
      <w:r w:rsidR="00F15E9F">
        <w:rPr>
          <w:noProof/>
        </w:rPr>
        <w:t>is too high.</w:t>
      </w:r>
      <w:r w:rsidR="00BF2474">
        <w:rPr>
          <w:noProof/>
        </w:rPr>
        <w:t xml:space="preserve">  In its pleading, SEIA state</w:t>
      </w:r>
      <w:r w:rsidR="003F06A5">
        <w:rPr>
          <w:noProof/>
        </w:rPr>
        <w:t>s</w:t>
      </w:r>
      <w:r w:rsidR="00BF2474">
        <w:rPr>
          <w:noProof/>
        </w:rPr>
        <w:t xml:space="preserve"> that </w:t>
      </w:r>
      <w:r w:rsidR="00202FCA">
        <w:rPr>
          <w:noProof/>
        </w:rPr>
        <w:t>t</w:t>
      </w:r>
      <w:r w:rsidR="00BF2474">
        <w:rPr>
          <w:noProof/>
        </w:rPr>
        <w:t xml:space="preserve">hese </w:t>
      </w:r>
      <w:r w:rsidR="00BA1EAE">
        <w:rPr>
          <w:noProof/>
        </w:rPr>
        <w:t>“</w:t>
      </w:r>
      <w:r w:rsidR="00BF2474">
        <w:rPr>
          <w:noProof/>
        </w:rPr>
        <w:t xml:space="preserve">2018 </w:t>
      </w:r>
      <w:r w:rsidR="00BF2474">
        <w:rPr>
          <w:noProof/>
        </w:rPr>
        <w:lastRenderedPageBreak/>
        <w:t>costs are likely to be much higher than solar costs in 2022 or 2023.</w:t>
      </w:r>
      <w:r w:rsidR="00BA1EAE">
        <w:rPr>
          <w:noProof/>
        </w:rPr>
        <w:t>”</w:t>
      </w:r>
      <w:r w:rsidR="00BF2474">
        <w:rPr>
          <w:rStyle w:val="FootnoteReference"/>
          <w:noProof/>
        </w:rPr>
        <w:footnoteReference w:id="202"/>
      </w:r>
      <w:r w:rsidR="00BF2474">
        <w:rPr>
          <w:noProof/>
        </w:rPr>
        <w:t xml:space="preserve">  SEIA further argue</w:t>
      </w:r>
      <w:r w:rsidR="003F06A5">
        <w:rPr>
          <w:noProof/>
        </w:rPr>
        <w:t>s</w:t>
      </w:r>
      <w:r w:rsidR="00BF2474">
        <w:rPr>
          <w:noProof/>
        </w:rPr>
        <w:t xml:space="preserve"> </w:t>
      </w:r>
      <w:r w:rsidR="00202FCA">
        <w:rPr>
          <w:noProof/>
        </w:rPr>
        <w:t xml:space="preserve">that </w:t>
      </w:r>
      <w:r w:rsidR="00BF2474">
        <w:rPr>
          <w:noProof/>
        </w:rPr>
        <w:t>using these costs for the Lookback Study results in a low TRC.  CALSSA agreed</w:t>
      </w:r>
      <w:r w:rsidR="00621868">
        <w:rPr>
          <w:noProof/>
        </w:rPr>
        <w:t xml:space="preserve"> that $3.80 </w:t>
      </w:r>
      <w:r w:rsidR="00B2284E">
        <w:rPr>
          <w:noProof/>
        </w:rPr>
        <w:t>is high</w:t>
      </w:r>
      <w:r w:rsidR="00BF2474">
        <w:rPr>
          <w:noProof/>
        </w:rPr>
        <w:t>.</w:t>
      </w:r>
      <w:r w:rsidR="00621868">
        <w:rPr>
          <w:rStyle w:val="FootnoteReference"/>
          <w:noProof/>
        </w:rPr>
        <w:footnoteReference w:id="203"/>
      </w:r>
    </w:p>
    <w:p w:rsidR="003A73D8" w:rsidP="00823631" w:rsidRDefault="00744DD3" w14:paraId="6A52F603" w14:textId="22517A70">
      <w:pPr>
        <w:pStyle w:val="Standard"/>
      </w:pPr>
      <w:r>
        <w:t>Turning to th</w:t>
      </w:r>
      <w:r w:rsidR="00B2284E">
        <w:t>e</w:t>
      </w:r>
      <w:r>
        <w:t xml:space="preserve"> upper end of the range, this decision finds that the value of $3.80 </w:t>
      </w:r>
      <w:r w:rsidR="00372C43">
        <w:t xml:space="preserve">per watt </w:t>
      </w:r>
      <w:r>
        <w:t xml:space="preserve">is high </w:t>
      </w:r>
      <w:r w:rsidR="00716C31">
        <w:t xml:space="preserve">for 2023 costs </w:t>
      </w:r>
      <w:r>
        <w:t>and should not be adopted.  T</w:t>
      </w:r>
      <w:r w:rsidR="00A11B09">
        <w:t xml:space="preserve">he record shows that the </w:t>
      </w:r>
      <w:r w:rsidRPr="00F036C6" w:rsidR="00A11B09">
        <w:rPr>
          <w:i/>
          <w:iCs/>
        </w:rPr>
        <w:t>Tracking the Sun</w:t>
      </w:r>
      <w:r w:rsidR="00A11B09">
        <w:t xml:space="preserve"> </w:t>
      </w:r>
      <w:r w:rsidR="00D46109">
        <w:t xml:space="preserve">data </w:t>
      </w:r>
      <w:r w:rsidR="003A1274">
        <w:t xml:space="preserve">from </w:t>
      </w:r>
      <w:proofErr w:type="spellStart"/>
      <w:r w:rsidR="00D4236B">
        <w:t>LBNL</w:t>
      </w:r>
      <w:proofErr w:type="spellEnd"/>
      <w:r w:rsidR="00D4236B">
        <w:t xml:space="preserve"> </w:t>
      </w:r>
      <w:r w:rsidR="003A1274">
        <w:t>is</w:t>
      </w:r>
      <w:r w:rsidR="00D46109">
        <w:t xml:space="preserve"> </w:t>
      </w:r>
      <w:r>
        <w:t xml:space="preserve">an aggregation of </w:t>
      </w:r>
      <w:r w:rsidR="00665D1D">
        <w:t xml:space="preserve">historical </w:t>
      </w:r>
      <w:r>
        <w:t xml:space="preserve">data provided by </w:t>
      </w:r>
      <w:r w:rsidR="00AC0B0D">
        <w:t>state agencies and utilities that administer photovoltaic incentive programs, renewable energy credit systems, or interconnection processes.</w:t>
      </w:r>
      <w:r w:rsidR="003A73D8">
        <w:t xml:space="preserve">  As shown above, all parties agree that this value is higher than solar costs in 2022 or 2023.</w:t>
      </w:r>
    </w:p>
    <w:p w:rsidR="00533B2F" w:rsidP="00823631" w:rsidRDefault="00E44765" w14:paraId="0D8B39A5" w14:textId="1252D48C">
      <w:pPr>
        <w:pStyle w:val="Standard"/>
      </w:pPr>
      <w:r>
        <w:t>T</w:t>
      </w:r>
      <w:r w:rsidR="002235AF">
        <w:t xml:space="preserve">his decision finds a value of $3.30 per watt to be reasonable as the adopted 2023 cost of solar.  Given the </w:t>
      </w:r>
      <w:r w:rsidR="00CE5C26">
        <w:t xml:space="preserve">absence </w:t>
      </w:r>
      <w:r w:rsidR="002235AF">
        <w:t xml:space="preserve">of costs for financing, panel upgrades, or installation delays in the $2.34 per watt value and the high value of $3.80, as conceded by SEIA/Vote Solar and </w:t>
      </w:r>
      <w:proofErr w:type="spellStart"/>
      <w:r w:rsidR="002235AF">
        <w:t>CALSSA</w:t>
      </w:r>
      <w:proofErr w:type="spellEnd"/>
      <w:r w:rsidR="002235AF">
        <w:t xml:space="preserve">, the Commission considers </w:t>
      </w:r>
      <w:r w:rsidR="002E0F0A">
        <w:t xml:space="preserve">the </w:t>
      </w:r>
      <w:r w:rsidR="002235AF">
        <w:t xml:space="preserve">cost of solar to fall in between the two values.  </w:t>
      </w:r>
      <w:r>
        <w:t>Given the pros and cons to each of the proposed data sources and because a crystal ball to determine the future cost of solar in California</w:t>
      </w:r>
      <w:r w:rsidR="00FA3385">
        <w:t xml:space="preserve"> does not exist</w:t>
      </w:r>
      <w:r>
        <w:t xml:space="preserve">, </w:t>
      </w:r>
      <w:r w:rsidR="00ED113E">
        <w:t>t</w:t>
      </w:r>
      <w:r w:rsidR="00A6313B">
        <w:t xml:space="preserve">he Commission </w:t>
      </w:r>
      <w:r w:rsidR="00ED113E">
        <w:t xml:space="preserve">finds </w:t>
      </w:r>
      <w:r>
        <w:t xml:space="preserve">a cost of </w:t>
      </w:r>
      <w:r w:rsidR="00ED113E">
        <w:t>$3.</w:t>
      </w:r>
      <w:r>
        <w:t>3</w:t>
      </w:r>
      <w:r w:rsidR="00ED113E">
        <w:t xml:space="preserve">0 per watt </w:t>
      </w:r>
      <w:r>
        <w:t>to reasonably account for</w:t>
      </w:r>
      <w:r w:rsidR="00ED113E">
        <w:t xml:space="preserve"> </w:t>
      </w:r>
      <w:r w:rsidR="005A143A">
        <w:t xml:space="preserve">electrical </w:t>
      </w:r>
      <w:r w:rsidR="001C0F1B">
        <w:t>panel upgrades</w:t>
      </w:r>
      <w:r>
        <w:t xml:space="preserve">, </w:t>
      </w:r>
      <w:r w:rsidR="001C0F1B">
        <w:t>delays</w:t>
      </w:r>
      <w:r>
        <w:t xml:space="preserve">, and </w:t>
      </w:r>
      <w:r w:rsidR="001C0F1B">
        <w:t xml:space="preserve">the current inflationary costs </w:t>
      </w:r>
      <w:r w:rsidR="00A0049D">
        <w:t>a</w:t>
      </w:r>
      <w:r w:rsidR="007D05C5">
        <w:t xml:space="preserve">rising from a combination of factors in </w:t>
      </w:r>
      <w:r w:rsidR="00DB4129">
        <w:t>the</w:t>
      </w:r>
      <w:r w:rsidR="007D05C5">
        <w:t xml:space="preserve"> economy.</w:t>
      </w:r>
      <w:r w:rsidR="00202FCA">
        <w:t xml:space="preserve">  The Commission should adopt the value of $3.30 per watt as the 2023 cost of solar.</w:t>
      </w:r>
    </w:p>
    <w:p w:rsidR="00BA4649" w:rsidP="00BA4649" w:rsidRDefault="004E4E1A" w14:paraId="3A3E6512" w14:textId="1362143A">
      <w:pPr>
        <w:pStyle w:val="Standard"/>
      </w:pPr>
      <w:r>
        <w:lastRenderedPageBreak/>
        <w:t>In comments to the proposed decision, parties continue to argue for their preferred cost of solar.  This decision does not reiterate those arguments</w:t>
      </w:r>
      <w:r w:rsidR="00455FFA">
        <w:t xml:space="preserve">, as they are provided earlier in this section.  However, </w:t>
      </w:r>
      <w:r w:rsidR="007E120D">
        <w:t>GRID</w:t>
      </w:r>
      <w:r w:rsidR="00455FFA">
        <w:t xml:space="preserve"> </w:t>
      </w:r>
      <w:r w:rsidRPr="00C441E0" w:rsidR="00455FFA">
        <w:rPr>
          <w:i/>
          <w:iCs/>
        </w:rPr>
        <w:t>et</w:t>
      </w:r>
      <w:r w:rsidR="00C441E0">
        <w:rPr>
          <w:i/>
          <w:iCs/>
        </w:rPr>
        <w:t> </w:t>
      </w:r>
      <w:r w:rsidRPr="00C441E0" w:rsidR="00455FFA">
        <w:rPr>
          <w:i/>
          <w:iCs/>
        </w:rPr>
        <w:t>al.</w:t>
      </w:r>
      <w:r w:rsidR="00455FFA">
        <w:t xml:space="preserve"> proposed that the Commission adopt a distinct cost of solar for evaluating the tariff for low</w:t>
      </w:r>
      <w:r w:rsidR="008E22AB">
        <w:noBreakHyphen/>
      </w:r>
      <w:r w:rsidR="00455FFA">
        <w:t xml:space="preserve">income households.  </w:t>
      </w:r>
      <w:r w:rsidR="00BA4649">
        <w:t xml:space="preserve">The proposed decision </w:t>
      </w:r>
      <w:r w:rsidR="00B8651E">
        <w:t>previously omitted</w:t>
      </w:r>
      <w:r w:rsidR="00BA4649">
        <w:t xml:space="preserve"> this data point.  Hence, the pros and cons are weighed below.</w:t>
      </w:r>
    </w:p>
    <w:p w:rsidR="00E8178D" w:rsidP="00BA4649" w:rsidRDefault="007E120D" w14:paraId="5E1086E3" w14:textId="63C182E5">
      <w:pPr>
        <w:pStyle w:val="Standard"/>
      </w:pPr>
      <w:r>
        <w:t>GRID</w:t>
      </w:r>
      <w:r w:rsidR="00455FFA">
        <w:t xml:space="preserve"> </w:t>
      </w:r>
      <w:r w:rsidRPr="00C441E0" w:rsidR="00455FFA">
        <w:rPr>
          <w:i/>
          <w:iCs/>
        </w:rPr>
        <w:t>et</w:t>
      </w:r>
      <w:r w:rsidR="00C441E0">
        <w:rPr>
          <w:i/>
          <w:iCs/>
        </w:rPr>
        <w:t> </w:t>
      </w:r>
      <w:r w:rsidRPr="00C441E0" w:rsidR="00455FFA">
        <w:rPr>
          <w:i/>
          <w:iCs/>
        </w:rPr>
        <w:t>al.</w:t>
      </w:r>
      <w:r w:rsidR="00455FFA">
        <w:t xml:space="preserve"> states that Cal</w:t>
      </w:r>
      <w:r w:rsidR="006B769C">
        <w:t> </w:t>
      </w:r>
      <w:r w:rsidR="00455FFA">
        <w:t xml:space="preserve">Advocates </w:t>
      </w:r>
      <w:r w:rsidR="005D5936">
        <w:t>referenced</w:t>
      </w:r>
      <w:r w:rsidR="00455FFA">
        <w:t xml:space="preserve"> an installed cost of solar of $4.28/</w:t>
      </w:r>
      <w:r w:rsidR="002E1F66">
        <w:t>w</w:t>
      </w:r>
      <w:r w:rsidR="00394710">
        <w:t>atts</w:t>
      </w:r>
      <w:r w:rsidR="002E1F66">
        <w:t xml:space="preserve"> (d</w:t>
      </w:r>
      <w:r w:rsidR="00394710">
        <w:t xml:space="preserve">irect </w:t>
      </w:r>
      <w:r w:rsidR="002E1F66">
        <w:t>c</w:t>
      </w:r>
      <w:r w:rsidR="00394710">
        <w:t>urrent</w:t>
      </w:r>
      <w:r w:rsidR="002E1F66">
        <w:t>)</w:t>
      </w:r>
      <w:r w:rsidR="00394710">
        <w:t xml:space="preserve"> (</w:t>
      </w:r>
      <w:r w:rsidR="00455FFA">
        <w:t>W</w:t>
      </w:r>
      <w:r w:rsidR="008E22AB">
        <w:noBreakHyphen/>
      </w:r>
      <w:r w:rsidR="00455FFA">
        <w:t>DC</w:t>
      </w:r>
      <w:r w:rsidR="00394710">
        <w:t>)</w:t>
      </w:r>
      <w:r w:rsidR="00455FFA">
        <w:t xml:space="preserve"> </w:t>
      </w:r>
      <w:r w:rsidR="005D5936">
        <w:t>in this proceeding for</w:t>
      </w:r>
      <w:r w:rsidR="00455FFA">
        <w:t xml:space="preserve"> CARE</w:t>
      </w:r>
      <w:r w:rsidR="008E22AB">
        <w:noBreakHyphen/>
      </w:r>
      <w:r w:rsidR="00455FFA">
        <w:t>eligible single</w:t>
      </w:r>
      <w:r w:rsidR="008E22AB">
        <w:noBreakHyphen/>
      </w:r>
      <w:r w:rsidR="00455FFA">
        <w:t>family households in Disadvantaged Communities.</w:t>
      </w:r>
      <w:r w:rsidR="00455FFA">
        <w:rPr>
          <w:rStyle w:val="FootnoteReference"/>
        </w:rPr>
        <w:footnoteReference w:id="204"/>
      </w:r>
      <w:r w:rsidR="005D5936">
        <w:t xml:space="preserve">  While omitting any citation to the record, G</w:t>
      </w:r>
      <w:r>
        <w:t>RID</w:t>
      </w:r>
      <w:r w:rsidR="005D5936">
        <w:t xml:space="preserve"> </w:t>
      </w:r>
      <w:r w:rsidRPr="00C441E0" w:rsidR="005D5936">
        <w:rPr>
          <w:i/>
          <w:iCs/>
        </w:rPr>
        <w:t>et</w:t>
      </w:r>
      <w:r w:rsidR="00C441E0">
        <w:rPr>
          <w:i/>
          <w:iCs/>
        </w:rPr>
        <w:t> </w:t>
      </w:r>
      <w:r w:rsidRPr="00C441E0" w:rsidR="005D5936">
        <w:rPr>
          <w:i/>
          <w:iCs/>
        </w:rPr>
        <w:t>al.</w:t>
      </w:r>
      <w:r w:rsidR="005D5936">
        <w:t xml:space="preserve"> contends that it “also discussed, at length and on</w:t>
      </w:r>
      <w:r w:rsidR="008E22AB">
        <w:noBreakHyphen/>
      </w:r>
      <w:r w:rsidR="005D5936">
        <w:t>the</w:t>
      </w:r>
      <w:r w:rsidR="008E22AB">
        <w:noBreakHyphen/>
      </w:r>
      <w:r w:rsidR="005D5936">
        <w:t>record, the many reasons why a $4.28/W</w:t>
      </w:r>
      <w:r w:rsidR="008E22AB">
        <w:noBreakHyphen/>
      </w:r>
      <w:r w:rsidR="005D5936">
        <w:t>DC, is the accurate installed cost needed to responsibly serve a hard</w:t>
      </w:r>
      <w:r w:rsidR="008E22AB">
        <w:noBreakHyphen/>
      </w:r>
      <w:r w:rsidR="005D5936">
        <w:t>to</w:t>
      </w:r>
      <w:r w:rsidR="008E22AB">
        <w:noBreakHyphen/>
      </w:r>
      <w:r w:rsidR="005D5936">
        <w:t>reach market in 2021</w:t>
      </w:r>
      <w:r w:rsidR="008E22AB">
        <w:noBreakHyphen/>
      </w:r>
      <w:r w:rsidR="005D5936">
        <w:t>2022.”</w:t>
      </w:r>
      <w:r w:rsidR="005D5936">
        <w:rPr>
          <w:rStyle w:val="FootnoteReference"/>
        </w:rPr>
        <w:footnoteReference w:id="205"/>
      </w:r>
      <w:r w:rsidR="005D5936">
        <w:t xml:space="preserve">  Asserting that low</w:t>
      </w:r>
      <w:r w:rsidR="008E22AB">
        <w:noBreakHyphen/>
      </w:r>
      <w:r w:rsidR="005D5936">
        <w:t xml:space="preserve">income households often do not have the capital to purchase their systems outright or reduce their system cost through the Investment Tax Credit, Grid </w:t>
      </w:r>
      <w:r w:rsidRPr="00C441E0" w:rsidR="005D5936">
        <w:rPr>
          <w:i/>
          <w:iCs/>
        </w:rPr>
        <w:t>et</w:t>
      </w:r>
      <w:r w:rsidR="00C441E0">
        <w:rPr>
          <w:i/>
          <w:iCs/>
        </w:rPr>
        <w:t> </w:t>
      </w:r>
      <w:r w:rsidRPr="00C441E0" w:rsidR="005D5936">
        <w:rPr>
          <w:i/>
          <w:iCs/>
        </w:rPr>
        <w:t>al</w:t>
      </w:r>
      <w:r w:rsidR="005D5936">
        <w:t>. contends that financing and third</w:t>
      </w:r>
      <w:r w:rsidR="008E22AB">
        <w:noBreakHyphen/>
      </w:r>
      <w:r w:rsidR="005D5936">
        <w:t xml:space="preserve">party ownership provides a pathway for these </w:t>
      </w:r>
      <w:r w:rsidR="00E02EDE">
        <w:t>households, which is taken into consideration in the $4.28/W</w:t>
      </w:r>
      <w:r w:rsidR="008E22AB">
        <w:noBreakHyphen/>
      </w:r>
      <w:r w:rsidR="00E02EDE">
        <w:t>DC cost of solar.</w:t>
      </w:r>
      <w:r w:rsidR="00E02EDE">
        <w:rPr>
          <w:rStyle w:val="FootnoteReference"/>
        </w:rPr>
        <w:footnoteReference w:id="206"/>
      </w:r>
      <w:r w:rsidR="00CD40BD">
        <w:t xml:space="preserve">  Joint Utilities oppose using the higher cost of solar to calculate the ACC Plus adder for low</w:t>
      </w:r>
      <w:r w:rsidR="008E22AB">
        <w:noBreakHyphen/>
      </w:r>
      <w:r w:rsidR="00CD40BD">
        <w:t>income households.  Joint Utilities and TURN assert that the upfront incentives contemplated by appropriated funds available on July</w:t>
      </w:r>
      <w:r w:rsidR="00C441E0">
        <w:t> </w:t>
      </w:r>
      <w:r w:rsidR="00CD40BD">
        <w:t>1,</w:t>
      </w:r>
      <w:r w:rsidR="00C441E0">
        <w:t> </w:t>
      </w:r>
      <w:r w:rsidR="00CD40BD">
        <w:t xml:space="preserve">2023 could </w:t>
      </w:r>
      <w:r w:rsidR="00BA4649">
        <w:t xml:space="preserve">dramatically reduce the payback period and </w:t>
      </w:r>
      <w:r w:rsidR="00CD40BD">
        <w:t>result in low</w:t>
      </w:r>
      <w:r w:rsidR="008E22AB">
        <w:noBreakHyphen/>
      </w:r>
      <w:r w:rsidR="00CD40BD">
        <w:t>income customers receiving incentives up to 100</w:t>
      </w:r>
      <w:r w:rsidR="000D48E4">
        <w:t> </w:t>
      </w:r>
      <w:r w:rsidR="00CD40BD">
        <w:t xml:space="preserve">percent of the upfront </w:t>
      </w:r>
      <w:r w:rsidR="00CD40BD">
        <w:lastRenderedPageBreak/>
        <w:t>cost of systems.</w:t>
      </w:r>
      <w:r w:rsidR="00BA4649">
        <w:rPr>
          <w:rStyle w:val="FootnoteReference"/>
        </w:rPr>
        <w:footnoteReference w:id="207"/>
      </w:r>
      <w:r w:rsidR="00CD40BD">
        <w:t xml:space="preserve">  Joint Utilities conclude adopting a $4.28/W</w:t>
      </w:r>
      <w:r w:rsidR="008E22AB">
        <w:noBreakHyphen/>
      </w:r>
      <w:r w:rsidR="00CD40BD">
        <w:t>DC cost of solar to determine the ACC Plus for low</w:t>
      </w:r>
      <w:r w:rsidR="008E22AB">
        <w:noBreakHyphen/>
      </w:r>
      <w:r w:rsidR="00CD40BD">
        <w:t xml:space="preserve">income households </w:t>
      </w:r>
      <w:r w:rsidR="00625AB5">
        <w:t>could be a “wasteful use of ratepayer funds.”</w:t>
      </w:r>
      <w:r w:rsidR="00625AB5">
        <w:rPr>
          <w:rStyle w:val="FootnoteReference"/>
        </w:rPr>
        <w:footnoteReference w:id="208"/>
      </w:r>
    </w:p>
    <w:p w:rsidR="00BA4649" w:rsidP="00BA4649" w:rsidRDefault="00BA4649" w14:paraId="7984E624" w14:textId="5831DFE5">
      <w:pPr>
        <w:pStyle w:val="Standard"/>
      </w:pPr>
      <w:r>
        <w:t>This decision declines to adopt a distinct and higher cost of solar for low</w:t>
      </w:r>
      <w:r w:rsidR="008E22AB">
        <w:noBreakHyphen/>
      </w:r>
      <w:r>
        <w:t xml:space="preserve">income households.  </w:t>
      </w:r>
      <w:r w:rsidR="007E120D">
        <w:t>GRID</w:t>
      </w:r>
      <w:r w:rsidR="00770890">
        <w:t xml:space="preserve"> </w:t>
      </w:r>
      <w:r w:rsidRPr="00C441E0" w:rsidR="00770890">
        <w:rPr>
          <w:i/>
          <w:iCs/>
        </w:rPr>
        <w:t>et</w:t>
      </w:r>
      <w:r w:rsidR="00C441E0">
        <w:rPr>
          <w:i/>
          <w:iCs/>
        </w:rPr>
        <w:t> </w:t>
      </w:r>
      <w:r w:rsidRPr="00C441E0" w:rsidR="00770890">
        <w:rPr>
          <w:i/>
          <w:iCs/>
        </w:rPr>
        <w:t>al</w:t>
      </w:r>
      <w:r w:rsidR="00770890">
        <w:t xml:space="preserve">. </w:t>
      </w:r>
      <w:r w:rsidR="00DE192D">
        <w:t>proposes the Commission use</w:t>
      </w:r>
      <w:r w:rsidR="00770890">
        <w:t xml:space="preserve"> </w:t>
      </w:r>
      <w:r w:rsidR="00DE192D">
        <w:t>this</w:t>
      </w:r>
      <w:r w:rsidR="00770890">
        <w:t xml:space="preserve"> higher cost of solar to determine increased ACC Plus adders</w:t>
      </w:r>
      <w:r w:rsidR="00EB03EF">
        <w:t xml:space="preserve"> for low</w:t>
      </w:r>
      <w:r w:rsidR="008E22AB">
        <w:noBreakHyphen/>
      </w:r>
      <w:r w:rsidR="00EB03EF">
        <w:t>income households</w:t>
      </w:r>
      <w:r w:rsidR="007E120D">
        <w:t xml:space="preserve"> based on participation costs from </w:t>
      </w:r>
      <w:r w:rsidR="00B01997">
        <w:t>the</w:t>
      </w:r>
      <w:r w:rsidR="007E120D">
        <w:t xml:space="preserve"> incentive program, DAC</w:t>
      </w:r>
      <w:r w:rsidR="008E22AB">
        <w:noBreakHyphen/>
      </w:r>
      <w:r w:rsidR="007E120D">
        <w:t>SASH</w:t>
      </w:r>
      <w:r w:rsidR="00614D3E">
        <w:t xml:space="preserve">.  </w:t>
      </w:r>
      <w:r w:rsidR="000835B5">
        <w:t xml:space="preserve">First, this decision clarifies that this cost of solar referenced by GRID </w:t>
      </w:r>
      <w:r w:rsidRPr="00C441E0" w:rsidR="000835B5">
        <w:rPr>
          <w:i/>
          <w:iCs/>
        </w:rPr>
        <w:t>et</w:t>
      </w:r>
      <w:r w:rsidR="00C441E0">
        <w:rPr>
          <w:i/>
          <w:iCs/>
        </w:rPr>
        <w:t> </w:t>
      </w:r>
      <w:r w:rsidRPr="00C441E0" w:rsidR="000835B5">
        <w:rPr>
          <w:i/>
          <w:iCs/>
        </w:rPr>
        <w:t>al.</w:t>
      </w:r>
      <w:r w:rsidR="000835B5">
        <w:t xml:space="preserve"> and Cal</w:t>
      </w:r>
      <w:r w:rsidR="006B769C">
        <w:t> </w:t>
      </w:r>
      <w:r w:rsidR="000835B5">
        <w:t>Advocates is more specifically, “</w:t>
      </w:r>
      <w:proofErr w:type="spellStart"/>
      <w:r w:rsidR="000835B5">
        <w:t>GRID’s</w:t>
      </w:r>
      <w:proofErr w:type="spellEnd"/>
      <w:r w:rsidR="000835B5">
        <w:t xml:space="preserve"> average cost to install DAC</w:t>
      </w:r>
      <w:r w:rsidR="008E22AB">
        <w:noBreakHyphen/>
      </w:r>
      <w:r w:rsidR="000835B5">
        <w:t>SASH systems through 2020.</w:t>
      </w:r>
      <w:r w:rsidR="000835B5">
        <w:rPr>
          <w:rStyle w:val="FootnoteReference"/>
        </w:rPr>
        <w:footnoteReference w:id="209"/>
      </w:r>
      <w:r w:rsidR="000835B5">
        <w:t xml:space="preserve">”  </w:t>
      </w:r>
      <w:r w:rsidR="00614D3E">
        <w:t>However, DAC</w:t>
      </w:r>
      <w:r w:rsidR="008E22AB">
        <w:noBreakHyphen/>
      </w:r>
      <w:r w:rsidR="00614D3E">
        <w:t>SASH</w:t>
      </w:r>
      <w:r w:rsidR="00B01997">
        <w:t>, with its unique requirements,</w:t>
      </w:r>
      <w:r w:rsidR="007E120D">
        <w:t xml:space="preserve"> </w:t>
      </w:r>
      <w:r w:rsidR="00B01997">
        <w:t>is</w:t>
      </w:r>
      <w:r w:rsidR="007E120D">
        <w:t xml:space="preserve"> not analogous to </w:t>
      </w:r>
      <w:r w:rsidR="00B01997">
        <w:t xml:space="preserve">the </w:t>
      </w:r>
      <w:r w:rsidR="00CE2C8B">
        <w:t>n</w:t>
      </w:r>
      <w:r w:rsidR="00B01997">
        <w:t xml:space="preserve">et </w:t>
      </w:r>
      <w:r w:rsidR="00CE2C8B">
        <w:t>b</w:t>
      </w:r>
      <w:r w:rsidR="00B01997">
        <w:t xml:space="preserve">illing </w:t>
      </w:r>
      <w:r w:rsidR="00CE2C8B">
        <w:t>t</w:t>
      </w:r>
      <w:r w:rsidR="00B01997">
        <w:t xml:space="preserve">ariff, where </w:t>
      </w:r>
      <w:r w:rsidR="007E120D">
        <w:t xml:space="preserve">a homeowner </w:t>
      </w:r>
      <w:r w:rsidR="00B01997">
        <w:t xml:space="preserve">is </w:t>
      </w:r>
      <w:r w:rsidR="007E120D">
        <w:t>making their own choices in an open, competitive market</w:t>
      </w:r>
      <w:r w:rsidR="00770890">
        <w:t xml:space="preserve">.  </w:t>
      </w:r>
      <w:r w:rsidR="00E20FF7">
        <w:t>A</w:t>
      </w:r>
      <w:r w:rsidR="00CF48F6">
        <w:t xml:space="preserve"> proceeding </w:t>
      </w:r>
      <w:r w:rsidR="00E20FF7">
        <w:t xml:space="preserve">in which the </w:t>
      </w:r>
      <w:r w:rsidR="00CF48F6">
        <w:t>DAC</w:t>
      </w:r>
      <w:r w:rsidR="008E22AB">
        <w:noBreakHyphen/>
      </w:r>
      <w:r w:rsidR="00CF48F6">
        <w:t xml:space="preserve">SASH program </w:t>
      </w:r>
      <w:r w:rsidR="00E20FF7">
        <w:t xml:space="preserve">is being evaluated would </w:t>
      </w:r>
      <w:r w:rsidR="00CF48F6">
        <w:t xml:space="preserve">be the more appropriate venue to consider </w:t>
      </w:r>
      <w:r w:rsidR="00B01997">
        <w:t xml:space="preserve">use of </w:t>
      </w:r>
      <w:r w:rsidR="00CF48F6">
        <w:t xml:space="preserve">this higher cost of solar.  </w:t>
      </w:r>
      <w:r w:rsidR="00B01997">
        <w:t xml:space="preserve">Additionally, GRID </w:t>
      </w:r>
      <w:r w:rsidRPr="00C441E0" w:rsidR="00B01997">
        <w:rPr>
          <w:i/>
          <w:iCs/>
        </w:rPr>
        <w:t>et</w:t>
      </w:r>
      <w:r w:rsidR="00C441E0">
        <w:rPr>
          <w:i/>
          <w:iCs/>
        </w:rPr>
        <w:t> </w:t>
      </w:r>
      <w:r w:rsidRPr="00C441E0" w:rsidR="00B01997">
        <w:rPr>
          <w:i/>
          <w:iCs/>
        </w:rPr>
        <w:t>al</w:t>
      </w:r>
      <w:r w:rsidRPr="00C441E0" w:rsidR="00C441E0">
        <w:rPr>
          <w:i/>
          <w:iCs/>
        </w:rPr>
        <w:t>.</w:t>
      </w:r>
      <w:r w:rsidR="00B01997">
        <w:t xml:space="preserve"> contends this higher cost of solar includes financing costs, which the adopted cost of solar already addresses.</w:t>
      </w:r>
      <w:r w:rsidR="009F4923">
        <w:rPr>
          <w:rStyle w:val="FootnoteReference"/>
        </w:rPr>
        <w:footnoteReference w:id="210"/>
      </w:r>
      <w:r w:rsidR="00CF48F6">
        <w:t xml:space="preserve"> </w:t>
      </w:r>
      <w:r w:rsidR="00B01997">
        <w:t>Finally</w:t>
      </w:r>
      <w:r w:rsidR="004B4837">
        <w:t xml:space="preserve">, GRID </w:t>
      </w:r>
      <w:r w:rsidRPr="00C441E0" w:rsidR="004B4837">
        <w:rPr>
          <w:i/>
          <w:iCs/>
        </w:rPr>
        <w:t>et</w:t>
      </w:r>
      <w:r w:rsidR="00C441E0">
        <w:rPr>
          <w:i/>
          <w:iCs/>
        </w:rPr>
        <w:t> </w:t>
      </w:r>
      <w:r w:rsidRPr="00C441E0" w:rsidR="004B4837">
        <w:rPr>
          <w:i/>
          <w:iCs/>
        </w:rPr>
        <w:t>al.</w:t>
      </w:r>
      <w:r w:rsidR="004B4837">
        <w:t xml:space="preserve"> contends that it has “discussed, at length and on</w:t>
      </w:r>
      <w:r w:rsidR="008E22AB">
        <w:noBreakHyphen/>
      </w:r>
      <w:r w:rsidR="004B4837">
        <w:t>the</w:t>
      </w:r>
      <w:r w:rsidR="008E22AB">
        <w:noBreakHyphen/>
      </w:r>
      <w:r w:rsidR="004B4837">
        <w:t>record, the many reasons why a $4.28/W</w:t>
      </w:r>
      <w:r w:rsidR="008E22AB">
        <w:noBreakHyphen/>
      </w:r>
      <w:r w:rsidR="004B4837">
        <w:t>DC is the accurate installed cost” for hard</w:t>
      </w:r>
      <w:r w:rsidR="008E22AB">
        <w:noBreakHyphen/>
      </w:r>
      <w:r w:rsidR="004B4837">
        <w:t>to</w:t>
      </w:r>
      <w:r w:rsidR="008E22AB">
        <w:noBreakHyphen/>
      </w:r>
      <w:r w:rsidR="004B4837">
        <w:t>reach markets.</w:t>
      </w:r>
      <w:r w:rsidR="004B4837">
        <w:rPr>
          <w:rStyle w:val="FootnoteReference"/>
        </w:rPr>
        <w:footnoteReference w:id="211"/>
      </w:r>
      <w:r w:rsidR="004B4837">
        <w:t xml:space="preserve">  The Commission finds this statement disingenuous when GRID </w:t>
      </w:r>
      <w:r w:rsidRPr="00C441E0" w:rsidR="004B4837">
        <w:rPr>
          <w:i/>
          <w:iCs/>
        </w:rPr>
        <w:t>et</w:t>
      </w:r>
      <w:r w:rsidR="00C441E0">
        <w:rPr>
          <w:i/>
          <w:iCs/>
        </w:rPr>
        <w:t> </w:t>
      </w:r>
      <w:r w:rsidRPr="00C441E0" w:rsidR="004B4837">
        <w:rPr>
          <w:i/>
          <w:iCs/>
        </w:rPr>
        <w:t>al.</w:t>
      </w:r>
      <w:r w:rsidR="004B4837">
        <w:t xml:space="preserve"> only sites to the Semi Annual Progress Report in </w:t>
      </w:r>
      <w:r w:rsidR="004B4837">
        <w:lastRenderedPageBreak/>
        <w:t>Cal</w:t>
      </w:r>
      <w:r w:rsidR="006B769C">
        <w:t> </w:t>
      </w:r>
      <w:r w:rsidR="004B4837">
        <w:t>Advocates’ testimony and only references the higher financing costs as the reason to adopt this higher cost of solar.</w:t>
      </w:r>
      <w:r w:rsidR="004B4837">
        <w:rPr>
          <w:rStyle w:val="FootnoteReference"/>
        </w:rPr>
        <w:footnoteReference w:id="212"/>
      </w:r>
      <w:r w:rsidR="004B4837">
        <w:t xml:space="preserve">    </w:t>
      </w:r>
    </w:p>
    <w:p w:rsidR="00935904" w:rsidP="005E7044" w:rsidRDefault="00B34A32" w14:paraId="6AE58BFD" w14:textId="244887B7">
      <w:pPr>
        <w:pStyle w:val="Heading2"/>
        <w:keepLines w:val="0"/>
      </w:pPr>
      <w:bookmarkStart w:name="_Toc117674082" w:id="137"/>
      <w:bookmarkStart w:name="_Toc118285073" w:id="138"/>
      <w:bookmarkStart w:name="_Toc121854400" w:id="139"/>
      <w:r>
        <w:t>Policies</w:t>
      </w:r>
      <w:r w:rsidR="00935904">
        <w:t xml:space="preserve"> </w:t>
      </w:r>
      <w:r w:rsidR="00252DB7">
        <w:t>for the</w:t>
      </w:r>
      <w:r w:rsidR="006F24EA">
        <w:t xml:space="preserve"> Successor Tariff</w:t>
      </w:r>
      <w:bookmarkEnd w:id="137"/>
      <w:bookmarkEnd w:id="138"/>
      <w:bookmarkEnd w:id="139"/>
    </w:p>
    <w:p w:rsidR="00935904" w:rsidP="00823631" w:rsidRDefault="00B34A32" w14:paraId="3C999492" w14:textId="176F7FA9">
      <w:pPr>
        <w:pStyle w:val="Standard"/>
      </w:pPr>
      <w:r>
        <w:t xml:space="preserve">Parties presented recommended policies for the successor tariff.  </w:t>
      </w:r>
      <w:r w:rsidR="00252DB7">
        <w:t xml:space="preserve">Of the recommended </w:t>
      </w:r>
      <w:r>
        <w:t>policies, most parties agree that the successor tariff should have a glide</w:t>
      </w:r>
      <w:r w:rsidR="00BF3273">
        <w:t xml:space="preserve"> </w:t>
      </w:r>
      <w:r>
        <w:t xml:space="preserve">path from the current tariff to the successor and that the successor should encourage paired storage, ensure equity, and promote electrification.  </w:t>
      </w:r>
      <w:r w:rsidR="00174F5C">
        <w:t xml:space="preserve">Disparity of opinions occurred in the specifics of these policies.  </w:t>
      </w:r>
      <w:r w:rsidR="00B21D80">
        <w:t>The following sections present t</w:t>
      </w:r>
      <w:r w:rsidR="00895D94">
        <w:t xml:space="preserve">he </w:t>
      </w:r>
      <w:r w:rsidR="00252DB7">
        <w:t xml:space="preserve">recommended policies, the varying opinions of </w:t>
      </w:r>
      <w:r w:rsidR="00895D94">
        <w:t>the pros and cons for adoption</w:t>
      </w:r>
      <w:r w:rsidR="00252DB7">
        <w:t xml:space="preserve">, and </w:t>
      </w:r>
      <w:r w:rsidR="00B21D80">
        <w:t>the adopted policies</w:t>
      </w:r>
      <w:r w:rsidR="00252DB7">
        <w:t>.</w:t>
      </w:r>
    </w:p>
    <w:p w:rsidR="00895D94" w:rsidP="005E7044" w:rsidRDefault="00252DB7" w14:paraId="04E274A5" w14:textId="61D79BA3">
      <w:pPr>
        <w:pStyle w:val="Heading3"/>
        <w:keepLines w:val="0"/>
      </w:pPr>
      <w:bookmarkStart w:name="_Toc117674083" w:id="140"/>
      <w:bookmarkStart w:name="_Toc118285074" w:id="141"/>
      <w:bookmarkStart w:name="_Toc121854401" w:id="142"/>
      <w:r>
        <w:t>The Successor Tariff Should</w:t>
      </w:r>
      <w:r w:rsidR="00822440">
        <w:br/>
      </w:r>
      <w:r>
        <w:t>Include a Glide</w:t>
      </w:r>
      <w:r w:rsidR="00AC5A0B">
        <w:t xml:space="preserve"> P</w:t>
      </w:r>
      <w:r>
        <w:t>ath</w:t>
      </w:r>
      <w:bookmarkEnd w:id="140"/>
      <w:bookmarkEnd w:id="141"/>
      <w:bookmarkEnd w:id="142"/>
    </w:p>
    <w:p w:rsidR="00F4206A" w:rsidP="005E7044" w:rsidRDefault="005D4B92" w14:paraId="1FEF72B1" w14:textId="7B556D6F">
      <w:pPr>
        <w:pStyle w:val="Standard"/>
      </w:pPr>
      <w:r>
        <w:t>Several</w:t>
      </w:r>
      <w:r w:rsidR="001F4B97">
        <w:t xml:space="preserve"> parties </w:t>
      </w:r>
      <w:r>
        <w:t xml:space="preserve">advocate for </w:t>
      </w:r>
      <w:r w:rsidR="001F4B97">
        <w:t>inclusion of a glide</w:t>
      </w:r>
      <w:r w:rsidR="00AC5A0B">
        <w:t xml:space="preserve"> </w:t>
      </w:r>
      <w:r w:rsidR="001F4B97">
        <w:t>path in the successor tariff.</w:t>
      </w:r>
      <w:r w:rsidR="00A46B08">
        <w:t xml:space="preserve">  Noting the White Paper’s recommendation for a gradual pace of change, </w:t>
      </w:r>
      <w:proofErr w:type="spellStart"/>
      <w:r w:rsidR="00A46B08">
        <w:t>CALSSA</w:t>
      </w:r>
      <w:proofErr w:type="spellEnd"/>
      <w:r w:rsidR="00A46B08">
        <w:t xml:space="preserve"> proposes an eight</w:t>
      </w:r>
      <w:r w:rsidR="00827602">
        <w:noBreakHyphen/>
      </w:r>
      <w:r w:rsidR="00A46B08">
        <w:t>year transition to the future</w:t>
      </w:r>
      <w:r w:rsidR="00C42363">
        <w:t xml:space="preserve"> final tariff design</w:t>
      </w:r>
      <w:r w:rsidR="00A46B08">
        <w:t xml:space="preserve">, which </w:t>
      </w:r>
      <w:proofErr w:type="spellStart"/>
      <w:r w:rsidR="00A46B08">
        <w:t>CALSSA</w:t>
      </w:r>
      <w:proofErr w:type="spellEnd"/>
      <w:r w:rsidR="00A46B08">
        <w:t xml:space="preserve"> recognizes must include energy storage as a major part of the </w:t>
      </w:r>
      <w:r w:rsidR="00A434E6">
        <w:t>customer</w:t>
      </w:r>
      <w:r w:rsidR="00827602">
        <w:noBreakHyphen/>
      </w:r>
      <w:r w:rsidR="00A434E6">
        <w:t xml:space="preserve">sited renewable distributed generation </w:t>
      </w:r>
      <w:r w:rsidR="00A46B08">
        <w:t xml:space="preserve">market.  Underscoring multiple obstacles to reaching maturity in the </w:t>
      </w:r>
      <w:r w:rsidR="00E71FF3">
        <w:t xml:space="preserve">paired storage </w:t>
      </w:r>
      <w:r w:rsidR="00A46B08">
        <w:t xml:space="preserve">market, </w:t>
      </w:r>
      <w:proofErr w:type="spellStart"/>
      <w:r w:rsidR="00A46B08">
        <w:t>CALSSA</w:t>
      </w:r>
      <w:proofErr w:type="spellEnd"/>
      <w:r w:rsidR="00A46B08">
        <w:t xml:space="preserve"> cautions the Commission to design a transition </w:t>
      </w:r>
      <w:r w:rsidR="0040042D">
        <w:t xml:space="preserve">period </w:t>
      </w:r>
      <w:r w:rsidR="00A46B08">
        <w:t xml:space="preserve">that </w:t>
      </w:r>
      <w:r w:rsidR="0040042D">
        <w:t xml:space="preserve">will </w:t>
      </w:r>
      <w:r w:rsidR="00A46B08">
        <w:t xml:space="preserve">allow the current market to remain strong until maturity in </w:t>
      </w:r>
      <w:r w:rsidR="0040042D">
        <w:t xml:space="preserve">the </w:t>
      </w:r>
      <w:r w:rsidR="00E71FF3">
        <w:t xml:space="preserve">paired storage </w:t>
      </w:r>
      <w:r w:rsidR="0040042D">
        <w:t xml:space="preserve">market </w:t>
      </w:r>
      <w:r w:rsidR="00A46B08">
        <w:t>is attained.</w:t>
      </w:r>
      <w:r w:rsidR="00A46B08">
        <w:rPr>
          <w:rStyle w:val="FootnoteReference"/>
        </w:rPr>
        <w:footnoteReference w:id="213"/>
      </w:r>
      <w:r w:rsidR="00A46B08">
        <w:t xml:space="preserve">  </w:t>
      </w:r>
      <w:proofErr w:type="spellStart"/>
      <w:r w:rsidR="00A46B08">
        <w:t>CALSSA</w:t>
      </w:r>
      <w:proofErr w:type="spellEnd"/>
      <w:r w:rsidR="00A46B08">
        <w:t xml:space="preserve"> asserts the barriers include the still relatively high price of storage, increas</w:t>
      </w:r>
      <w:r w:rsidR="0040042D">
        <w:t>ed</w:t>
      </w:r>
      <w:r w:rsidR="00A46B08">
        <w:t xml:space="preserve"> demand for storage resources in light of </w:t>
      </w:r>
      <w:r w:rsidR="0040042D">
        <w:t xml:space="preserve">growing </w:t>
      </w:r>
      <w:r w:rsidR="00A46B08">
        <w:t>electric vehicle</w:t>
      </w:r>
      <w:r w:rsidR="0040042D">
        <w:t xml:space="preserve"> adoption</w:t>
      </w:r>
      <w:r w:rsidR="00A46B08">
        <w:t xml:space="preserve">, </w:t>
      </w:r>
      <w:r w:rsidR="0040042D">
        <w:t xml:space="preserve">outdated building codes and standards, and limited contractor </w:t>
      </w:r>
      <w:r w:rsidR="0040042D">
        <w:lastRenderedPageBreak/>
        <w:t>expertise.</w:t>
      </w:r>
      <w:r w:rsidR="0040042D">
        <w:rPr>
          <w:rStyle w:val="FootnoteReference"/>
        </w:rPr>
        <w:footnoteReference w:id="214"/>
      </w:r>
      <w:r w:rsidR="0040042D">
        <w:t xml:space="preserve">  </w:t>
      </w:r>
      <w:proofErr w:type="spellStart"/>
      <w:r w:rsidR="0040042D">
        <w:t>CALSSA</w:t>
      </w:r>
      <w:proofErr w:type="spellEnd"/>
      <w:r w:rsidR="0040042D">
        <w:t xml:space="preserve"> recommends a glide</w:t>
      </w:r>
      <w:r w:rsidR="00BF3273">
        <w:t xml:space="preserve"> </w:t>
      </w:r>
      <w:r w:rsidR="0040042D">
        <w:t xml:space="preserve">path of decreasing export </w:t>
      </w:r>
      <w:r w:rsidR="00116E9B">
        <w:t xml:space="preserve">compensation </w:t>
      </w:r>
      <w:r w:rsidR="0040042D">
        <w:t>rates in five steps, where each step reflect</w:t>
      </w:r>
      <w:r w:rsidR="00FA70F0">
        <w:t>s</w:t>
      </w:r>
      <w:r w:rsidR="0040042D">
        <w:t xml:space="preserve"> a percentage of a utility’s retail rate.  </w:t>
      </w:r>
      <w:proofErr w:type="spellStart"/>
      <w:r w:rsidR="0040042D">
        <w:t>CALSSA</w:t>
      </w:r>
      <w:proofErr w:type="spellEnd"/>
      <w:r w:rsidR="0040042D">
        <w:t xml:space="preserve"> explains that </w:t>
      </w:r>
      <w:r w:rsidR="00D874EF">
        <w:t>the eight</w:t>
      </w:r>
      <w:r w:rsidR="00827602">
        <w:noBreakHyphen/>
      </w:r>
      <w:r w:rsidR="00D874EF">
        <w:t>year glide</w:t>
      </w:r>
      <w:r w:rsidR="009A3132">
        <w:t xml:space="preserve"> </w:t>
      </w:r>
      <w:r w:rsidR="00D874EF">
        <w:t>path would have four transitions after the initial implementation, with each step designed to take two years.</w:t>
      </w:r>
      <w:r w:rsidR="00D874EF">
        <w:rPr>
          <w:rStyle w:val="FootnoteReference"/>
        </w:rPr>
        <w:footnoteReference w:id="215"/>
      </w:r>
      <w:r w:rsidR="00D874EF">
        <w:t xml:space="preserve">  SEIA/Vote Solar propose a similar rate step</w:t>
      </w:r>
      <w:r w:rsidR="009A3132">
        <w:t xml:space="preserve"> </w:t>
      </w:r>
      <w:r w:rsidR="00D874EF">
        <w:t>down glide</w:t>
      </w:r>
      <w:r w:rsidR="00BF3273">
        <w:t xml:space="preserve"> </w:t>
      </w:r>
      <w:r w:rsidR="00D874EF">
        <w:t xml:space="preserve">path, which </w:t>
      </w:r>
      <w:r w:rsidR="00FA70F0">
        <w:t>they</w:t>
      </w:r>
      <w:r w:rsidR="00D874EF">
        <w:t xml:space="preserve"> contend is similar to a Market Transition Credit in that it gradually decreases over</w:t>
      </w:r>
      <w:r w:rsidR="00C42363">
        <w:t xml:space="preserve"> </w:t>
      </w:r>
      <w:r w:rsidR="00D874EF">
        <w:t>time</w:t>
      </w:r>
      <w:r w:rsidR="00FA70F0">
        <w:t>,</w:t>
      </w:r>
      <w:r w:rsidR="00D874EF">
        <w:t xml:space="preserve"> thus reducing any existing cost shift.</w:t>
      </w:r>
      <w:r w:rsidR="00D874EF">
        <w:rPr>
          <w:rStyle w:val="FootnoteReference"/>
        </w:rPr>
        <w:footnoteReference w:id="216"/>
      </w:r>
      <w:r w:rsidR="00D874EF">
        <w:t xml:space="preserve">  Pointing to net energy metering tariff experience in Nevada and Hawaii, SEIA/Vote Solar asserts a glide</w:t>
      </w:r>
      <w:r w:rsidR="009A3132">
        <w:t xml:space="preserve"> </w:t>
      </w:r>
      <w:r w:rsidR="00D874EF">
        <w:t>path would alleviate downturns in the solar market, along with related job loss</w:t>
      </w:r>
      <w:r w:rsidR="00C42363">
        <w:t>es</w:t>
      </w:r>
      <w:r w:rsidR="00D874EF">
        <w:t>.</w:t>
      </w:r>
      <w:r w:rsidR="00D874EF">
        <w:rPr>
          <w:rStyle w:val="FootnoteReference"/>
        </w:rPr>
        <w:footnoteReference w:id="217"/>
      </w:r>
    </w:p>
    <w:p w:rsidR="00444CA0" w:rsidP="005E7044" w:rsidRDefault="00444CA0" w14:paraId="3CFD9F93" w14:textId="63542E13">
      <w:pPr>
        <w:pStyle w:val="Standard"/>
      </w:pPr>
      <w:r>
        <w:t>Sierra Club supports a glide path with step</w:t>
      </w:r>
      <w:r w:rsidR="00827602">
        <w:noBreakHyphen/>
      </w:r>
      <w:r>
        <w:t xml:space="preserve">downs as well, but different from </w:t>
      </w:r>
      <w:proofErr w:type="spellStart"/>
      <w:r>
        <w:t>CALSSA</w:t>
      </w:r>
      <w:proofErr w:type="spellEnd"/>
      <w:r>
        <w:t xml:space="preserve"> and SEIA/Vote Solar.  Sierra Club proposes setting </w:t>
      </w:r>
      <w:r w:rsidR="00BB6391">
        <w:t xml:space="preserve">retail </w:t>
      </w:r>
      <w:r>
        <w:t xml:space="preserve">export compensation </w:t>
      </w:r>
      <w:r w:rsidR="00BB6391">
        <w:t xml:space="preserve">rates </w:t>
      </w:r>
      <w:r w:rsidR="00BF3273">
        <w:t xml:space="preserve">at </w:t>
      </w:r>
      <w:r>
        <w:t xml:space="preserve">the qualifying electrification </w:t>
      </w:r>
      <w:r w:rsidR="00BF3273">
        <w:t xml:space="preserve">retail </w:t>
      </w:r>
      <w:r w:rsidR="00BB6391">
        <w:t xml:space="preserve">import </w:t>
      </w:r>
      <w:r>
        <w:t>rate with 1</w:t>
      </w:r>
      <w:r w:rsidR="003537FB">
        <w:t> gigawatt</w:t>
      </w:r>
      <w:r>
        <w:t xml:space="preserve"> step</w:t>
      </w:r>
      <w:r w:rsidR="00827602">
        <w:noBreakHyphen/>
      </w:r>
      <w:r>
        <w:t xml:space="preserve">downs reducing </w:t>
      </w:r>
      <w:r w:rsidR="00BB6391">
        <w:t xml:space="preserve">retail </w:t>
      </w:r>
      <w:r>
        <w:t xml:space="preserve">export compensation </w:t>
      </w:r>
      <w:r w:rsidR="00BB6391">
        <w:t xml:space="preserve">rates </w:t>
      </w:r>
      <w:r w:rsidR="00C04724">
        <w:t>10 percent</w:t>
      </w:r>
      <w:r>
        <w:t xml:space="preserve"> from the 2021 rate to short</w:t>
      </w:r>
      <w:r w:rsidR="00827602">
        <w:noBreakHyphen/>
      </w:r>
      <w:r>
        <w:t>run avoided cost, where avoided cost is reached after 10</w:t>
      </w:r>
      <w:r w:rsidR="003537FB">
        <w:t> gigawatt</w:t>
      </w:r>
      <w:r>
        <w:t>s of total deployment.</w:t>
      </w:r>
      <w:r>
        <w:rPr>
          <w:rStyle w:val="FootnoteReference"/>
        </w:rPr>
        <w:footnoteReference w:id="218"/>
      </w:r>
      <w:r w:rsidR="0086500C">
        <w:t xml:space="preserve">  Maintaining that a glide path is necessary to avoid market shock and ensur</w:t>
      </w:r>
      <w:r w:rsidR="00176C96">
        <w:t>e</w:t>
      </w:r>
      <w:r w:rsidR="0086500C">
        <w:t xml:space="preserve"> customer</w:t>
      </w:r>
      <w:r w:rsidR="00827602">
        <w:noBreakHyphen/>
      </w:r>
      <w:r w:rsidR="0086500C">
        <w:t>sited renewable generation continues to grow sustainably,</w:t>
      </w:r>
      <w:r w:rsidR="0086500C">
        <w:rPr>
          <w:rStyle w:val="FootnoteReference"/>
        </w:rPr>
        <w:footnoteReference w:id="219"/>
      </w:r>
      <w:r w:rsidR="0086500C">
        <w:t xml:space="preserve"> Sierra Club cautions that absent a glide path the Commission could experience </w:t>
      </w:r>
      <w:r w:rsidR="00BA1EAE">
        <w:t>“</w:t>
      </w:r>
      <w:r w:rsidR="0086500C">
        <w:t xml:space="preserve">an immediate disruption in installations as the economics to install solar would drop, followed by an uncertain recovery </w:t>
      </w:r>
      <w:r w:rsidR="0086500C">
        <w:lastRenderedPageBreak/>
        <w:t>dependent on future changes to the Avoided Cost Calculator.</w:t>
      </w:r>
      <w:r w:rsidR="00BA1EAE">
        <w:t>”</w:t>
      </w:r>
      <w:r w:rsidR="0086500C">
        <w:rPr>
          <w:rStyle w:val="FootnoteReference"/>
        </w:rPr>
        <w:footnoteReference w:id="220"/>
      </w:r>
      <w:r w:rsidR="0086500C">
        <w:t xml:space="preserve">  Referencing the experience of other states implementing net energy metering tariff changes, Sierra Club </w:t>
      </w:r>
      <w:r w:rsidR="00176C96">
        <w:t>asserts the record demonstrates that a stepdown approach allows solar installations to remain stable.</w:t>
      </w:r>
      <w:r w:rsidR="00176C96">
        <w:rPr>
          <w:rStyle w:val="FootnoteReference"/>
        </w:rPr>
        <w:footnoteReference w:id="221"/>
      </w:r>
    </w:p>
    <w:p w:rsidR="004C3EF2" w:rsidP="005E7044" w:rsidRDefault="004C3EF2" w14:paraId="3C5D98C9" w14:textId="14EB6903">
      <w:pPr>
        <w:pStyle w:val="Standard"/>
      </w:pPr>
      <w:r>
        <w:t xml:space="preserve">Opposing the </w:t>
      </w:r>
      <w:r w:rsidR="00BA1EAE">
        <w:t>“</w:t>
      </w:r>
      <w:r>
        <w:t>gradualism</w:t>
      </w:r>
      <w:r w:rsidR="00BA1EAE">
        <w:t>”</w:t>
      </w:r>
      <w:r>
        <w:t xml:space="preserve"> advocated for by </w:t>
      </w:r>
      <w:proofErr w:type="spellStart"/>
      <w:r>
        <w:t>CALSSA</w:t>
      </w:r>
      <w:proofErr w:type="spellEnd"/>
      <w:r>
        <w:t xml:space="preserve"> and SEIA/Vote Solar, Joint Utilities argue this is </w:t>
      </w:r>
      <w:r w:rsidR="00BA1EAE">
        <w:t>“</w:t>
      </w:r>
      <w:r>
        <w:t>not a plan to avoid abrupt or overnight change, but rather a request to perpetuate the inequity caused by the current net energy metering program.</w:t>
      </w:r>
      <w:r>
        <w:rPr>
          <w:rStyle w:val="FootnoteReference"/>
        </w:rPr>
        <w:footnoteReference w:id="222"/>
      </w:r>
      <w:r>
        <w:t xml:space="preserve">  Further, Joint Utilities contend its proposal offers a natural glide path for transition from </w:t>
      </w:r>
      <w:r w:rsidR="00602BC5">
        <w:t>NEM 2.0</w:t>
      </w:r>
      <w:r w:rsidR="00135D55">
        <w:t xml:space="preserve"> </w:t>
      </w:r>
      <w:r>
        <w:t>to the successor tariff.</w:t>
      </w:r>
    </w:p>
    <w:p w:rsidR="004C3EF2" w:rsidP="005E7044" w:rsidRDefault="009355F1" w14:paraId="2BF931C3" w14:textId="4572134E">
      <w:pPr>
        <w:pStyle w:val="Standard"/>
      </w:pPr>
      <w:r>
        <w:t>Cal Advoc</w:t>
      </w:r>
      <w:r w:rsidR="00F4206A">
        <w:t>ates contend</w:t>
      </w:r>
      <w:r w:rsidR="00FA70F0">
        <w:t>s</w:t>
      </w:r>
      <w:r w:rsidR="00F4206A">
        <w:t xml:space="preserve"> the magnitude and severity of the cost shift requires the acceleration of net energy metering reform but if the Commission finds a glide</w:t>
      </w:r>
      <w:r w:rsidR="00AC5A0B">
        <w:t xml:space="preserve"> </w:t>
      </w:r>
      <w:r w:rsidR="00F4206A">
        <w:t>path necessary, it recommends a one</w:t>
      </w:r>
      <w:r w:rsidR="00827602">
        <w:noBreakHyphen/>
      </w:r>
      <w:r w:rsidR="00F4206A">
        <w:t xml:space="preserve"> to two</w:t>
      </w:r>
      <w:r w:rsidR="00827602">
        <w:noBreakHyphen/>
      </w:r>
      <w:r w:rsidR="00F4206A">
        <w:t xml:space="preserve">year interim rate whereby </w:t>
      </w:r>
      <w:r w:rsidR="00BA1EAE">
        <w:t>“</w:t>
      </w:r>
      <w:r w:rsidR="00F4206A">
        <w:t xml:space="preserve">the </w:t>
      </w:r>
      <w:r w:rsidR="00BB6391">
        <w:t xml:space="preserve">retail </w:t>
      </w:r>
      <w:r w:rsidR="00F4206A">
        <w:t xml:space="preserve">export compensation rate is set </w:t>
      </w:r>
      <w:r w:rsidRPr="00F4206A" w:rsidR="00F4206A">
        <w:t xml:space="preserve">at a defined percentage reduction to the </w:t>
      </w:r>
      <w:r w:rsidR="00F4206A">
        <w:t>n</w:t>
      </w:r>
      <w:r w:rsidRPr="00F4206A" w:rsidR="00F4206A">
        <w:t>on</w:t>
      </w:r>
      <w:r w:rsidR="00827602">
        <w:noBreakHyphen/>
      </w:r>
      <w:r w:rsidRPr="00F4206A" w:rsidR="00F4206A">
        <w:t>CARE</w:t>
      </w:r>
      <w:r w:rsidR="00F4206A">
        <w:t xml:space="preserve"> </w:t>
      </w:r>
      <w:r w:rsidR="00790141">
        <w:t>‘</w:t>
      </w:r>
      <w:r w:rsidRPr="00F4206A" w:rsidR="00F4206A">
        <w:t>net</w:t>
      </w:r>
      <w:r w:rsidR="00790141">
        <w:t>’</w:t>
      </w:r>
      <w:r w:rsidRPr="00F4206A" w:rsidR="00F4206A">
        <w:t xml:space="preserve"> electrification retail rate at the time the interim successor tariff is enacted in</w:t>
      </w:r>
      <w:r w:rsidR="00F4206A">
        <w:t xml:space="preserve"> </w:t>
      </w:r>
      <w:r w:rsidRPr="00F4206A" w:rsidR="00F4206A">
        <w:t>2022.</w:t>
      </w:r>
      <w:r w:rsidR="00F4206A">
        <w:t xml:space="preserve">  </w:t>
      </w:r>
      <w:r w:rsidRPr="00F4206A" w:rsidR="00F4206A">
        <w:t xml:space="preserve">The </w:t>
      </w:r>
      <w:r w:rsidR="0031678A">
        <w:t>‘</w:t>
      </w:r>
      <w:r w:rsidRPr="00F4206A" w:rsidR="00F4206A">
        <w:t>net</w:t>
      </w:r>
      <w:r w:rsidR="0031678A">
        <w:t>’</w:t>
      </w:r>
      <w:r w:rsidRPr="00F4206A" w:rsidR="00F4206A">
        <w:t xml:space="preserve"> electrification retail rate is the residential electrification retail rate</w:t>
      </w:r>
      <w:r w:rsidR="00F4206A">
        <w:t xml:space="preserve"> </w:t>
      </w:r>
      <w:r w:rsidRPr="00F4206A" w:rsidR="00F4206A">
        <w:t>net of the four non</w:t>
      </w:r>
      <w:r w:rsidR="00827602">
        <w:noBreakHyphen/>
      </w:r>
      <w:proofErr w:type="spellStart"/>
      <w:r w:rsidRPr="00F4206A" w:rsidR="00F4206A">
        <w:t>bypassable</w:t>
      </w:r>
      <w:proofErr w:type="spellEnd"/>
      <w:r w:rsidRPr="00F4206A" w:rsidR="00F4206A">
        <w:t xml:space="preserve"> charges recognized under </w:t>
      </w:r>
      <w:r w:rsidR="00602BC5">
        <w:t>NEM 2.0</w:t>
      </w:r>
      <w:r w:rsidR="00135D55">
        <w:t xml:space="preserve"> </w:t>
      </w:r>
      <w:r w:rsidRPr="00F4206A" w:rsidR="00F4206A">
        <w:t>and the Power</w:t>
      </w:r>
      <w:r w:rsidR="00F4206A">
        <w:t xml:space="preserve"> </w:t>
      </w:r>
      <w:r w:rsidRPr="00F4206A" w:rsidR="00F4206A">
        <w:t>Charge Indifference Adjustment.</w:t>
      </w:r>
      <w:r w:rsidR="00BA1EAE">
        <w:t>”</w:t>
      </w:r>
      <w:r w:rsidR="00F4206A">
        <w:rPr>
          <w:rStyle w:val="FootnoteReference"/>
        </w:rPr>
        <w:footnoteReference w:id="223"/>
      </w:r>
      <w:r w:rsidR="00F4206A">
        <w:t xml:space="preserve">  </w:t>
      </w:r>
      <w:r w:rsidR="00E073A1">
        <w:lastRenderedPageBreak/>
        <w:t xml:space="preserve">Others supporting this interim rate </w:t>
      </w:r>
      <w:r w:rsidR="009A3132">
        <w:t xml:space="preserve">as a glide path </w:t>
      </w:r>
      <w:r w:rsidR="00E073A1">
        <w:t>include TURN,</w:t>
      </w:r>
      <w:r w:rsidR="00E073A1">
        <w:rPr>
          <w:rStyle w:val="FootnoteReference"/>
        </w:rPr>
        <w:footnoteReference w:id="224"/>
      </w:r>
      <w:r w:rsidR="00E073A1">
        <w:t xml:space="preserve"> NRDC,</w:t>
      </w:r>
      <w:r w:rsidR="007C2E89">
        <w:rPr>
          <w:rStyle w:val="FootnoteReference"/>
        </w:rPr>
        <w:footnoteReference w:id="225"/>
      </w:r>
      <w:r w:rsidR="00E073A1">
        <w:t xml:space="preserve"> </w:t>
      </w:r>
      <w:r w:rsidR="00AE7832">
        <w:t>CUE,</w:t>
      </w:r>
      <w:r w:rsidR="008818E0">
        <w:rPr>
          <w:rStyle w:val="FootnoteReference"/>
        </w:rPr>
        <w:footnoteReference w:id="226"/>
      </w:r>
      <w:r w:rsidR="00AE7832">
        <w:t xml:space="preserve"> </w:t>
      </w:r>
      <w:proofErr w:type="spellStart"/>
      <w:r w:rsidR="00AE7832">
        <w:t>CalWEA</w:t>
      </w:r>
      <w:proofErr w:type="spellEnd"/>
      <w:r w:rsidR="00AE7832">
        <w:t>,</w:t>
      </w:r>
      <w:r w:rsidR="008818E0">
        <w:rPr>
          <w:rStyle w:val="FootnoteReference"/>
        </w:rPr>
        <w:footnoteReference w:id="227"/>
      </w:r>
      <w:r w:rsidR="00AE7832">
        <w:t xml:space="preserve"> and </w:t>
      </w:r>
      <w:proofErr w:type="spellStart"/>
      <w:r w:rsidR="00AE7832">
        <w:t>IEPA</w:t>
      </w:r>
      <w:proofErr w:type="spellEnd"/>
      <w:r w:rsidR="00AE7832">
        <w:t>.</w:t>
      </w:r>
      <w:r w:rsidR="007C2E89">
        <w:rPr>
          <w:rStyle w:val="FootnoteReference"/>
        </w:rPr>
        <w:footnoteReference w:id="228"/>
      </w:r>
    </w:p>
    <w:p w:rsidR="00E073A1" w:rsidP="005E7044" w:rsidRDefault="00AC5A0B" w14:paraId="35B1EBAE" w14:textId="579590D5">
      <w:pPr>
        <w:pStyle w:val="Standard"/>
      </w:pPr>
      <w:r>
        <w:t xml:space="preserve">As explained in the White Paper, </w:t>
      </w:r>
      <w:r w:rsidR="00BA1EAE">
        <w:t>“</w:t>
      </w:r>
      <w:r>
        <w:t>[p]</w:t>
      </w:r>
      <w:r w:rsidRPr="00AC5A0B">
        <w:t xml:space="preserve">reservation of a viable market is likely to require a </w:t>
      </w:r>
      <w:r w:rsidR="00556C65">
        <w:t>‘</w:t>
      </w:r>
      <w:r w:rsidRPr="00AC5A0B">
        <w:t>glide path</w:t>
      </w:r>
      <w:r w:rsidR="00556C65">
        <w:t>’</w:t>
      </w:r>
      <w:r w:rsidRPr="00AC5A0B">
        <w:t xml:space="preserve"> including both a gradual rate reform and an external transitional support mechanism designed specifically to enable a reasonable payback period for customers investing in onsite renewable generation.</w:t>
      </w:r>
      <w:r w:rsidR="00BA1EAE">
        <w:t>”</w:t>
      </w:r>
      <w:r>
        <w:rPr>
          <w:rStyle w:val="FootnoteReference"/>
        </w:rPr>
        <w:footnoteReference w:id="229"/>
      </w:r>
      <w:r>
        <w:t xml:space="preserve">  Previously in this decision, </w:t>
      </w:r>
      <w:r w:rsidR="00AA0061">
        <w:t xml:space="preserve">the Commission </w:t>
      </w:r>
      <w:r>
        <w:t xml:space="preserve">stated that any proposed change to the tariff should consider the impact on the growth of the </w:t>
      </w:r>
      <w:r w:rsidR="00BF3273">
        <w:t>customer</w:t>
      </w:r>
      <w:r w:rsidR="00827602">
        <w:noBreakHyphen/>
      </w:r>
      <w:r w:rsidR="00BF3273">
        <w:t>sited renewable distributed generation</w:t>
      </w:r>
      <w:r>
        <w:t xml:space="preserve"> market.  </w:t>
      </w:r>
      <w:r w:rsidR="00AA0061">
        <w:t>I</w:t>
      </w:r>
      <w:r w:rsidR="009A3132">
        <w:t xml:space="preserve">nclusion of a glide path is </w:t>
      </w:r>
      <w:r w:rsidR="004C4DB7">
        <w:t>essential</w:t>
      </w:r>
      <w:r w:rsidR="009A3132">
        <w:t xml:space="preserve"> to balance the multiple requirements the tariff is required to </w:t>
      </w:r>
      <w:r w:rsidR="00C12CD1">
        <w:t>meet</w:t>
      </w:r>
      <w:r w:rsidR="009A3132">
        <w:t xml:space="preserve">.  However, </w:t>
      </w:r>
      <w:r w:rsidR="00B21D80">
        <w:t xml:space="preserve">this decision </w:t>
      </w:r>
      <w:r w:rsidR="009A3132">
        <w:t>agree</w:t>
      </w:r>
      <w:r w:rsidR="00B21D80">
        <w:t>s</w:t>
      </w:r>
      <w:r w:rsidR="009A3132">
        <w:t xml:space="preserve"> with </w:t>
      </w:r>
      <w:r w:rsidR="009355F1">
        <w:t>Cal Advoc</w:t>
      </w:r>
      <w:r w:rsidR="009A3132">
        <w:t>ates that the magnitude and severity of the cost shift</w:t>
      </w:r>
      <w:r w:rsidR="00A434E6">
        <w:t xml:space="preserve">, as well as the resulting affordability challenges it poses, </w:t>
      </w:r>
      <w:r w:rsidR="009A3132">
        <w:t xml:space="preserve">requires immediate action by the Commission.  </w:t>
      </w:r>
      <w:r w:rsidR="009F0CE7">
        <w:t xml:space="preserve">Hence, </w:t>
      </w:r>
      <w:r w:rsidR="001343E9">
        <w:t xml:space="preserve">lengthy </w:t>
      </w:r>
      <w:r w:rsidR="009F30E0">
        <w:t>transitions, as in the</w:t>
      </w:r>
      <w:r w:rsidR="009F0CE7">
        <w:t xml:space="preserve"> propos</w:t>
      </w:r>
      <w:r w:rsidR="00BF3273">
        <w:t>al</w:t>
      </w:r>
      <w:r w:rsidR="009F30E0">
        <w:t>s</w:t>
      </w:r>
      <w:r w:rsidR="009F0CE7">
        <w:t xml:space="preserve"> by </w:t>
      </w:r>
      <w:proofErr w:type="spellStart"/>
      <w:r w:rsidR="009F0CE7">
        <w:t>CALSSA</w:t>
      </w:r>
      <w:proofErr w:type="spellEnd"/>
      <w:r w:rsidR="009F0CE7">
        <w:t xml:space="preserve"> and SEIA/Vote Solar </w:t>
      </w:r>
      <w:r w:rsidR="009F30E0">
        <w:t>are</w:t>
      </w:r>
      <w:r w:rsidR="00B21D80">
        <w:t xml:space="preserve"> </w:t>
      </w:r>
      <w:r w:rsidR="009F0CE7">
        <w:t>inadequate</w:t>
      </w:r>
      <w:r w:rsidR="00471F92">
        <w:t xml:space="preserve">.  </w:t>
      </w:r>
      <w:r w:rsidR="009355F1">
        <w:t>Cal Advoc</w:t>
      </w:r>
      <w:r w:rsidR="004757F9">
        <w:t>ates</w:t>
      </w:r>
      <w:r w:rsidR="009714A7">
        <w:t xml:space="preserve">, TURN, NRDC, CUE, </w:t>
      </w:r>
      <w:proofErr w:type="spellStart"/>
      <w:r w:rsidR="009714A7">
        <w:t>CalWEA</w:t>
      </w:r>
      <w:proofErr w:type="spellEnd"/>
      <w:r w:rsidR="009714A7">
        <w:t xml:space="preserve">, and </w:t>
      </w:r>
      <w:proofErr w:type="spellStart"/>
      <w:r w:rsidR="009714A7">
        <w:t>IEPA</w:t>
      </w:r>
      <w:proofErr w:type="spellEnd"/>
      <w:r w:rsidR="004757F9">
        <w:t xml:space="preserve"> </w:t>
      </w:r>
      <w:r w:rsidR="009714A7">
        <w:t>support</w:t>
      </w:r>
      <w:r w:rsidR="004757F9">
        <w:t xml:space="preserve"> a </w:t>
      </w:r>
      <w:r w:rsidR="009714A7">
        <w:t xml:space="preserve">glide path in the form of a </w:t>
      </w:r>
      <w:r w:rsidR="004757F9">
        <w:t>one</w:t>
      </w:r>
      <w:r w:rsidR="00827602">
        <w:noBreakHyphen/>
      </w:r>
      <w:r w:rsidR="004757F9">
        <w:t>to</w:t>
      </w:r>
      <w:r w:rsidR="00827602">
        <w:noBreakHyphen/>
      </w:r>
      <w:r w:rsidR="009714A7">
        <w:t>two</w:t>
      </w:r>
      <w:r w:rsidR="00827602">
        <w:noBreakHyphen/>
      </w:r>
      <w:r w:rsidR="009714A7">
        <w:t>year</w:t>
      </w:r>
      <w:r w:rsidR="004757F9">
        <w:t xml:space="preserve"> </w:t>
      </w:r>
      <w:r w:rsidR="009714A7">
        <w:t>interim rate</w:t>
      </w:r>
      <w:r w:rsidR="004757F9">
        <w:t>, which the Commission finds too short to ensure sustainable growth of the industry, especially the stand</w:t>
      </w:r>
      <w:r w:rsidR="00827602">
        <w:noBreakHyphen/>
      </w:r>
      <w:r w:rsidR="004757F9">
        <w:t xml:space="preserve">alone solar industry.  </w:t>
      </w:r>
      <w:r w:rsidR="00850BFD">
        <w:t>Th</w:t>
      </w:r>
      <w:r w:rsidR="004C3EF2">
        <w:t>e Commission</w:t>
      </w:r>
      <w:r w:rsidR="00850BFD">
        <w:t xml:space="preserve"> finds that a five</w:t>
      </w:r>
      <w:r w:rsidR="00827602">
        <w:noBreakHyphen/>
      </w:r>
      <w:r w:rsidR="00850BFD">
        <w:t xml:space="preserve">year glide path </w:t>
      </w:r>
      <w:r w:rsidR="00564D94">
        <w:t xml:space="preserve">should </w:t>
      </w:r>
      <w:r w:rsidR="00B053DF">
        <w:t>provide a</w:t>
      </w:r>
      <w:r w:rsidR="009F0CE7">
        <w:t xml:space="preserve"> balanced approach that</w:t>
      </w:r>
      <w:r w:rsidR="00872F09">
        <w:t xml:space="preserve"> </w:t>
      </w:r>
      <w:r w:rsidR="009714A7">
        <w:t>allows for</w:t>
      </w:r>
      <w:r w:rsidR="00872F09">
        <w:t xml:space="preserve"> </w:t>
      </w:r>
      <w:r w:rsidR="00564D94">
        <w:t xml:space="preserve">sustainable </w:t>
      </w:r>
      <w:r w:rsidR="00872F09">
        <w:t xml:space="preserve">market </w:t>
      </w:r>
      <w:r w:rsidR="00556C65">
        <w:t>growth that does not occur</w:t>
      </w:r>
      <w:r w:rsidR="00872F09">
        <w:t xml:space="preserve"> at the undue and burdensome financial expense of nonparticipant ratepayers</w:t>
      </w:r>
      <w:r w:rsidR="009714A7">
        <w:t xml:space="preserve"> and, </w:t>
      </w:r>
      <w:r w:rsidR="009714A7">
        <w:lastRenderedPageBreak/>
        <w:t xml:space="preserve">therefore, minimizes any cost shift to ensure equity among all customers, while providing time for the industry to transition </w:t>
      </w:r>
      <w:r w:rsidR="00E24E16">
        <w:t>from a predominantly stand</w:t>
      </w:r>
      <w:r w:rsidR="00827602">
        <w:noBreakHyphen/>
      </w:r>
      <w:r w:rsidR="00E24E16">
        <w:t xml:space="preserve">alone solar system tariff </w:t>
      </w:r>
      <w:r w:rsidR="009714A7">
        <w:t xml:space="preserve">to </w:t>
      </w:r>
      <w:r w:rsidR="00E24E16">
        <w:t xml:space="preserve">one that promotes the adoption of </w:t>
      </w:r>
      <w:r w:rsidR="009714A7">
        <w:t xml:space="preserve">solar </w:t>
      </w:r>
      <w:r w:rsidR="00E24E16">
        <w:t xml:space="preserve">systems </w:t>
      </w:r>
      <w:r w:rsidR="009714A7">
        <w:t>paired with storage</w:t>
      </w:r>
      <w:r w:rsidR="00872F09">
        <w:t xml:space="preserve">.  </w:t>
      </w:r>
      <w:r w:rsidR="00B053DF">
        <w:t>T</w:t>
      </w:r>
      <w:r w:rsidR="009A3132">
        <w:t xml:space="preserve">he </w:t>
      </w:r>
      <w:r w:rsidR="00471F92">
        <w:t xml:space="preserve">approach and </w:t>
      </w:r>
      <w:r w:rsidR="009A3132">
        <w:t xml:space="preserve">design of the glide path </w:t>
      </w:r>
      <w:r w:rsidR="00471F92">
        <w:t>are</w:t>
      </w:r>
      <w:r w:rsidR="00B053DF">
        <w:t xml:space="preserve"> </w:t>
      </w:r>
      <w:r w:rsidR="00471F92">
        <w:t xml:space="preserve">discussed </w:t>
      </w:r>
      <w:r w:rsidR="009A3132">
        <w:t>in Section</w:t>
      </w:r>
      <w:r w:rsidR="00FD6EA3">
        <w:t> </w:t>
      </w:r>
      <w:r w:rsidR="009A3132">
        <w:t>8.</w:t>
      </w:r>
      <w:r w:rsidR="00B66013">
        <w:t>4</w:t>
      </w:r>
      <w:r w:rsidR="009A3132">
        <w:t xml:space="preserve"> and </w:t>
      </w:r>
      <w:r w:rsidR="00FD6EA3">
        <w:t>Section</w:t>
      </w:r>
      <w:r w:rsidR="00A20621">
        <w:t> </w:t>
      </w:r>
      <w:r w:rsidR="009A3132">
        <w:t>8.5 below.</w:t>
      </w:r>
    </w:p>
    <w:p w:rsidR="009C442C" w:rsidP="005E7044" w:rsidRDefault="00252DB7" w14:paraId="47B9BBC9" w14:textId="58E6A842">
      <w:pPr>
        <w:pStyle w:val="Heading3"/>
        <w:keepLines w:val="0"/>
      </w:pPr>
      <w:bookmarkStart w:name="_Toc117674084" w:id="143"/>
      <w:bookmarkStart w:name="_Toc118285075" w:id="144"/>
      <w:bookmarkStart w:name="_Toc121854402" w:id="145"/>
      <w:r>
        <w:t>The Successor Should Promote</w:t>
      </w:r>
      <w:r w:rsidR="00D54FC0">
        <w:br/>
      </w:r>
      <w:r>
        <w:t>Equity and Inclusion</w:t>
      </w:r>
      <w:bookmarkEnd w:id="143"/>
      <w:bookmarkEnd w:id="144"/>
      <w:bookmarkEnd w:id="145"/>
    </w:p>
    <w:p w:rsidR="001B05A0" w:rsidP="005E7044" w:rsidRDefault="00F138A9" w14:paraId="3B9952B2" w14:textId="37B4ED0D">
      <w:pPr>
        <w:pStyle w:val="Standard"/>
      </w:pPr>
      <w:r>
        <w:t>AB </w:t>
      </w:r>
      <w:r w:rsidR="001B05A0">
        <w:t>327 mandate</w:t>
      </w:r>
      <w:r w:rsidR="008D6DCC">
        <w:t>s</w:t>
      </w:r>
      <w:r w:rsidR="001B05A0">
        <w:t xml:space="preserve"> the Commission </w:t>
      </w:r>
      <w:r w:rsidR="008D6DCC">
        <w:t xml:space="preserve">to </w:t>
      </w:r>
      <w:r w:rsidR="001B05A0">
        <w:t>adopt a successor to the existing net energy metering tariff that</w:t>
      </w:r>
      <w:r w:rsidRPr="00B729E3" w:rsidR="001B05A0">
        <w:t xml:space="preserve"> include</w:t>
      </w:r>
      <w:r w:rsidR="001B05A0">
        <w:t>s</w:t>
      </w:r>
      <w:r w:rsidRPr="00B729E3" w:rsidR="001B05A0">
        <w:t xml:space="preserve"> </w:t>
      </w:r>
      <w:r w:rsidR="00BA1EAE">
        <w:t>“</w:t>
      </w:r>
      <w:r w:rsidRPr="00B729E3" w:rsidR="001B05A0">
        <w:t>specific alternatives designed for growth among residential customers in disadvantaged communities.</w:t>
      </w:r>
      <w:r w:rsidR="00BA1EAE">
        <w:t>”</w:t>
      </w:r>
      <w:r w:rsidR="001B05A0">
        <w:t xml:space="preserve">  Further, in D.21</w:t>
      </w:r>
      <w:r w:rsidR="00827602">
        <w:noBreakHyphen/>
      </w:r>
      <w:r w:rsidR="001B05A0">
        <w:t>02</w:t>
      </w:r>
      <w:r w:rsidR="00827602">
        <w:noBreakHyphen/>
      </w:r>
      <w:r w:rsidR="001B05A0">
        <w:t>0</w:t>
      </w:r>
      <w:r w:rsidR="0031678A">
        <w:t>07</w:t>
      </w:r>
      <w:r w:rsidR="001B05A0">
        <w:t xml:space="preserve">, the Commission adopted guiding principles to assist in the development and evaluation of a successor, one of which requires </w:t>
      </w:r>
      <w:r w:rsidR="000A4899">
        <w:t>the</w:t>
      </w:r>
      <w:r w:rsidR="001B05A0">
        <w:t xml:space="preserve"> successor to ensure equity among customers.  </w:t>
      </w:r>
      <w:r w:rsidR="002C2D54">
        <w:t>Hence</w:t>
      </w:r>
      <w:r w:rsidR="001B05A0">
        <w:t xml:space="preserve">, parties addressed the issues of equity and inclusion in testimony and briefs.  The discussion included general policies and, in some cases, specific tariff elements.  </w:t>
      </w:r>
      <w:r w:rsidR="00B053DF">
        <w:t>G</w:t>
      </w:r>
      <w:r w:rsidR="001B05A0">
        <w:t xml:space="preserve">eneral policy aspects of equity </w:t>
      </w:r>
      <w:r w:rsidR="00B053DF">
        <w:t xml:space="preserve">are discussed </w:t>
      </w:r>
      <w:r w:rsidR="001B05A0">
        <w:t>here</w:t>
      </w:r>
      <w:r w:rsidR="00B053DF">
        <w:t>,</w:t>
      </w:r>
      <w:r w:rsidR="001B05A0">
        <w:t xml:space="preserve"> </w:t>
      </w:r>
      <w:r w:rsidR="00B053DF">
        <w:t xml:space="preserve">while </w:t>
      </w:r>
      <w:r w:rsidR="00221976">
        <w:t xml:space="preserve">proposals for </w:t>
      </w:r>
      <w:r w:rsidR="00705D58">
        <w:t xml:space="preserve">specific </w:t>
      </w:r>
      <w:r w:rsidR="001B05A0">
        <w:t>tariff element</w:t>
      </w:r>
      <w:r w:rsidR="00221976">
        <w:t xml:space="preserve">s </w:t>
      </w:r>
      <w:r w:rsidR="0098438F">
        <w:t>are</w:t>
      </w:r>
      <w:r w:rsidR="001B05A0">
        <w:t xml:space="preserve"> discussed in </w:t>
      </w:r>
      <w:r w:rsidR="00664B35">
        <w:t>S</w:t>
      </w:r>
      <w:r w:rsidR="001B05A0">
        <w:t>ection</w:t>
      </w:r>
      <w:r w:rsidR="006660CA">
        <w:t> </w:t>
      </w:r>
      <w:r w:rsidR="001B05A0">
        <w:t xml:space="preserve">8.4 </w:t>
      </w:r>
      <w:r w:rsidR="00705D58">
        <w:t xml:space="preserve">and </w:t>
      </w:r>
      <w:r w:rsidR="00664B35">
        <w:t>Section </w:t>
      </w:r>
      <w:r w:rsidR="00705D58">
        <w:t xml:space="preserve">8.6.1 </w:t>
      </w:r>
      <w:r w:rsidR="001B05A0">
        <w:t>below.</w:t>
      </w:r>
    </w:p>
    <w:p w:rsidR="002C2D54" w:rsidP="005E7044" w:rsidRDefault="008D6DCC" w14:paraId="6A89D055" w14:textId="5A9F840F">
      <w:pPr>
        <w:pStyle w:val="Standard"/>
      </w:pPr>
      <w:r>
        <w:t>Many</w:t>
      </w:r>
      <w:r w:rsidR="001B05A0">
        <w:t xml:space="preserve"> parties advocated that the successor tariff should promote equity and inclusion both </w:t>
      </w:r>
      <w:r>
        <w:t xml:space="preserve">with respect to the </w:t>
      </w:r>
      <w:r w:rsidR="001B05A0">
        <w:t>costs of net energy metering as well as direct and indirect benefits.</w:t>
      </w:r>
      <w:r>
        <w:t xml:space="preserve">  PCF states the Commission should address equity concerns by expanding access to net energy metering to more low</w:t>
      </w:r>
      <w:r w:rsidR="00827602">
        <w:noBreakHyphen/>
      </w:r>
      <w:r>
        <w:t>income customers, renters, and multi</w:t>
      </w:r>
      <w:r w:rsidR="00827602">
        <w:noBreakHyphen/>
      </w:r>
      <w:r>
        <w:t>unit building residents.</w:t>
      </w:r>
      <w:r>
        <w:rPr>
          <w:rStyle w:val="FootnoteReference"/>
        </w:rPr>
        <w:footnoteReference w:id="230"/>
      </w:r>
      <w:r w:rsidR="0098438F">
        <w:t xml:space="preserve">  </w:t>
      </w:r>
      <w:r w:rsidR="00665D2B">
        <w:t>While noting a tenfold growth in low</w:t>
      </w:r>
      <w:r w:rsidR="00827602">
        <w:noBreakHyphen/>
      </w:r>
      <w:r w:rsidR="00665D2B">
        <w:t>income solar adoption rate between 2010 and 2019,</w:t>
      </w:r>
      <w:r w:rsidR="00665D2B">
        <w:rPr>
          <w:rStyle w:val="FootnoteReference"/>
        </w:rPr>
        <w:footnoteReference w:id="231"/>
      </w:r>
      <w:r w:rsidR="00665D2B">
        <w:t xml:space="preserve"> </w:t>
      </w:r>
      <w:r w:rsidR="00A03290">
        <w:t xml:space="preserve"> </w:t>
      </w:r>
      <w:proofErr w:type="spellStart"/>
      <w:r w:rsidR="0098438F">
        <w:t>CALSSA</w:t>
      </w:r>
      <w:proofErr w:type="spellEnd"/>
      <w:r w:rsidR="0098438F">
        <w:t xml:space="preserve"> contends the </w:t>
      </w:r>
      <w:r w:rsidR="000A4899">
        <w:t xml:space="preserve">successor </w:t>
      </w:r>
      <w:r w:rsidR="0098438F">
        <w:t xml:space="preserve">tariff must increase adoption of solar and other </w:t>
      </w:r>
      <w:r w:rsidR="0098438F">
        <w:lastRenderedPageBreak/>
        <w:t xml:space="preserve">distributed generation by </w:t>
      </w:r>
      <w:r w:rsidR="00665D2B">
        <w:t>customers in disadvantaged communities, as intended by the Legislature.</w:t>
      </w:r>
      <w:r w:rsidR="00665D2B">
        <w:rPr>
          <w:rStyle w:val="FootnoteReference"/>
        </w:rPr>
        <w:footnoteReference w:id="232"/>
      </w:r>
      <w:r w:rsidR="008546DB">
        <w:t xml:space="preserve">  </w:t>
      </w:r>
      <w:r w:rsidR="00046A62">
        <w:t xml:space="preserve">GRID </w:t>
      </w:r>
      <w:r w:rsidR="000A4899">
        <w:t>emphasizes</w:t>
      </w:r>
      <w:r w:rsidR="00046A62">
        <w:t xml:space="preserve"> that the equity issue has two sides</w:t>
      </w:r>
      <w:r w:rsidR="00555CC0">
        <w:t xml:space="preserve">:  </w:t>
      </w:r>
      <w:r w:rsidR="00BB7D5D">
        <w:t>(</w:t>
      </w:r>
      <w:r w:rsidR="00046A62">
        <w:t>1)</w:t>
      </w:r>
      <w:r w:rsidR="00A03290">
        <w:t> </w:t>
      </w:r>
      <w:r w:rsidR="00046A62">
        <w:t xml:space="preserve">disproportionate impacts on </w:t>
      </w:r>
      <w:proofErr w:type="spellStart"/>
      <w:r w:rsidR="00046A62">
        <w:t>ESJ</w:t>
      </w:r>
      <w:proofErr w:type="spellEnd"/>
      <w:r w:rsidR="00046A62">
        <w:t xml:space="preserve"> communities from burning fossil fuels</w:t>
      </w:r>
      <w:r w:rsidR="006660CA">
        <w:t>;</w:t>
      </w:r>
      <w:r w:rsidR="00046A62">
        <w:t xml:space="preserve"> and </w:t>
      </w:r>
      <w:r w:rsidR="00BB7D5D">
        <w:t>(</w:t>
      </w:r>
      <w:r w:rsidR="00046A62">
        <w:t>2)</w:t>
      </w:r>
      <w:r w:rsidR="00A03290">
        <w:t> </w:t>
      </w:r>
      <w:r w:rsidR="00046A62">
        <w:t>ensuring access to electrification technologies.</w:t>
      </w:r>
      <w:r w:rsidR="00046A62">
        <w:rPr>
          <w:rStyle w:val="FootnoteReference"/>
        </w:rPr>
        <w:footnoteReference w:id="233"/>
      </w:r>
      <w:r w:rsidR="00046A62">
        <w:t xml:space="preserve">  GRID contends that any equity program should </w:t>
      </w:r>
      <w:r w:rsidR="002E7C3C">
        <w:t xml:space="preserve">include </w:t>
      </w:r>
      <w:r w:rsidR="000403AB">
        <w:t>adopt</w:t>
      </w:r>
      <w:r w:rsidR="002E7C3C">
        <w:t>ion of</w:t>
      </w:r>
      <w:r w:rsidR="000403AB">
        <w:t xml:space="preserve"> the following policies</w:t>
      </w:r>
      <w:r w:rsidR="00555CC0">
        <w:t xml:space="preserve">:  </w:t>
      </w:r>
      <w:r w:rsidR="00BB7D5D">
        <w:t>(</w:t>
      </w:r>
      <w:r w:rsidR="000403AB">
        <w:t>1)</w:t>
      </w:r>
      <w:r w:rsidR="00A03290">
        <w:t> </w:t>
      </w:r>
      <w:r w:rsidR="000403AB">
        <w:t>increase</w:t>
      </w:r>
      <w:r w:rsidR="002E7C3C">
        <w:t>d</w:t>
      </w:r>
      <w:r w:rsidR="000403AB">
        <w:t xml:space="preserve"> net energy metering deployment in </w:t>
      </w:r>
      <w:proofErr w:type="spellStart"/>
      <w:r w:rsidR="000403AB">
        <w:t>ESJ</w:t>
      </w:r>
      <w:proofErr w:type="spellEnd"/>
      <w:r w:rsidR="000403AB">
        <w:t xml:space="preserve"> communities; </w:t>
      </w:r>
      <w:r w:rsidR="00BB7D5D">
        <w:t>(</w:t>
      </w:r>
      <w:r w:rsidR="000403AB">
        <w:t>2)</w:t>
      </w:r>
      <w:r w:rsidR="00A03290">
        <w:t> </w:t>
      </w:r>
      <w:r w:rsidR="000403AB">
        <w:t xml:space="preserve">payback periods and bill savings for </w:t>
      </w:r>
      <w:proofErr w:type="spellStart"/>
      <w:r w:rsidR="000403AB">
        <w:t>ESJ</w:t>
      </w:r>
      <w:proofErr w:type="spellEnd"/>
      <w:r w:rsidR="000403AB">
        <w:t xml:space="preserve"> customers greater than or equal to those in </w:t>
      </w:r>
      <w:r w:rsidR="00602BC5">
        <w:t>NEM 2.0</w:t>
      </w:r>
      <w:r w:rsidR="000403AB">
        <w:t xml:space="preserve">; </w:t>
      </w:r>
      <w:r w:rsidR="00BB7D5D">
        <w:t>(</w:t>
      </w:r>
      <w:r w:rsidR="000403AB">
        <w:t>3)</w:t>
      </w:r>
      <w:r w:rsidR="00A03290">
        <w:t> </w:t>
      </w:r>
      <w:r w:rsidR="000403AB">
        <w:t>allow</w:t>
      </w:r>
      <w:r w:rsidR="002E7C3C">
        <w:t>ing</w:t>
      </w:r>
      <w:r w:rsidR="000403AB">
        <w:t xml:space="preserve"> third</w:t>
      </w:r>
      <w:r w:rsidR="00827602">
        <w:noBreakHyphen/>
      </w:r>
      <w:r w:rsidR="000403AB">
        <w:t>party ownership</w:t>
      </w:r>
      <w:r w:rsidR="00556C65">
        <w:t>;</w:t>
      </w:r>
      <w:r w:rsidR="000403AB">
        <w:t xml:space="preserve"> and </w:t>
      </w:r>
      <w:r w:rsidR="00F862F2">
        <w:t>(</w:t>
      </w:r>
      <w:r w:rsidR="000403AB">
        <w:t>4)</w:t>
      </w:r>
      <w:r w:rsidR="00A03290">
        <w:t> </w:t>
      </w:r>
      <w:r w:rsidR="000403AB">
        <w:t>encourag</w:t>
      </w:r>
      <w:r w:rsidR="00221976">
        <w:t>ing</w:t>
      </w:r>
      <w:r w:rsidR="000403AB">
        <w:t xml:space="preserve"> storage </w:t>
      </w:r>
      <w:r w:rsidR="002E7C3C">
        <w:t xml:space="preserve">adoption </w:t>
      </w:r>
      <w:r w:rsidR="000403AB">
        <w:t xml:space="preserve">by </w:t>
      </w:r>
      <w:proofErr w:type="spellStart"/>
      <w:r w:rsidR="000403AB">
        <w:t>ESJ</w:t>
      </w:r>
      <w:proofErr w:type="spellEnd"/>
      <w:r w:rsidR="000403AB">
        <w:t xml:space="preserve"> customers.</w:t>
      </w:r>
      <w:r w:rsidR="000403AB">
        <w:rPr>
          <w:rStyle w:val="FootnoteReference"/>
        </w:rPr>
        <w:footnoteReference w:id="234"/>
      </w:r>
    </w:p>
    <w:p w:rsidR="002E7C3C" w:rsidP="005E7044" w:rsidRDefault="000403AB" w14:paraId="5E115831" w14:textId="79A04333">
      <w:pPr>
        <w:pStyle w:val="Standard"/>
      </w:pPr>
      <w:r>
        <w:t>Joint Utilities approach the equity issue differently</w:t>
      </w:r>
      <w:r w:rsidR="000A4899">
        <w:t xml:space="preserve">, </w:t>
      </w:r>
      <w:r>
        <w:t xml:space="preserve">contending </w:t>
      </w:r>
      <w:r w:rsidR="002E7C3C">
        <w:t xml:space="preserve">that </w:t>
      </w:r>
      <w:r>
        <w:t>to do the greatest good for lower</w:t>
      </w:r>
      <w:r w:rsidR="00827602">
        <w:noBreakHyphen/>
      </w:r>
      <w:r>
        <w:t xml:space="preserve">income customers, the Commission should focus </w:t>
      </w:r>
      <w:r w:rsidR="00BA1EAE">
        <w:t>“</w:t>
      </w:r>
      <w:r>
        <w:t>first and foremost on ending the cost shift.</w:t>
      </w:r>
      <w:r w:rsidR="00BA1EAE">
        <w:t>”</w:t>
      </w:r>
      <w:r>
        <w:rPr>
          <w:rStyle w:val="FootnoteReference"/>
        </w:rPr>
        <w:footnoteReference w:id="235"/>
      </w:r>
      <w:r w:rsidR="00477ED8">
        <w:t xml:space="preserve">  </w:t>
      </w:r>
      <w:r w:rsidR="00705D58">
        <w:t>Additionally</w:t>
      </w:r>
      <w:r w:rsidR="00477ED8">
        <w:t xml:space="preserve">, Joint Utilities submit their </w:t>
      </w:r>
      <w:r w:rsidR="00556C65">
        <w:t xml:space="preserve">equity </w:t>
      </w:r>
      <w:r w:rsidR="00477ED8">
        <w:t>proposal will narrow the adoption gap</w:t>
      </w:r>
      <w:r w:rsidR="00481A2D">
        <w:t xml:space="preserve">; this and other equity proposals </w:t>
      </w:r>
      <w:r w:rsidR="00AA0061">
        <w:t xml:space="preserve">are discussed </w:t>
      </w:r>
      <w:r w:rsidR="00477ED8">
        <w:t xml:space="preserve">in </w:t>
      </w:r>
      <w:r w:rsidR="0034029C">
        <w:t>Section 8</w:t>
      </w:r>
      <w:r w:rsidR="00477ED8">
        <w:t>.4 below.</w:t>
      </w:r>
      <w:r w:rsidR="000A4899">
        <w:t xml:space="preserve">  </w:t>
      </w:r>
      <w:r w:rsidR="009E690A">
        <w:t>Similarly</w:t>
      </w:r>
      <w:r w:rsidR="000A4899">
        <w:t xml:space="preserve">, </w:t>
      </w:r>
      <w:proofErr w:type="spellStart"/>
      <w:r w:rsidR="009E690A">
        <w:t>CalWEA</w:t>
      </w:r>
      <w:proofErr w:type="spellEnd"/>
      <w:r w:rsidR="009E690A">
        <w:t xml:space="preserve">, CUE, </w:t>
      </w:r>
      <w:proofErr w:type="spellStart"/>
      <w:r w:rsidR="002E7C3C">
        <w:t>IEPA</w:t>
      </w:r>
      <w:proofErr w:type="spellEnd"/>
      <w:r w:rsidR="009E690A">
        <w:t xml:space="preserve">, NRDC, </w:t>
      </w:r>
      <w:r w:rsidR="009355F1">
        <w:t>Cal Advoc</w:t>
      </w:r>
      <w:r w:rsidR="00117EE9">
        <w:t>ates</w:t>
      </w:r>
      <w:r w:rsidR="009E690A">
        <w:t>, and TURN</w:t>
      </w:r>
      <w:r w:rsidR="00117EE9">
        <w:t xml:space="preserve"> </w:t>
      </w:r>
      <w:r w:rsidR="002E7C3C">
        <w:t>recommend that a net energy metering successor tariff should help low</w:t>
      </w:r>
      <w:r w:rsidR="00827602">
        <w:noBreakHyphen/>
      </w:r>
      <w:r w:rsidR="002E7C3C">
        <w:t xml:space="preserve">income customers by first reforming net energy metering </w:t>
      </w:r>
      <w:r w:rsidR="00BB6391">
        <w:t xml:space="preserve">retail </w:t>
      </w:r>
      <w:r w:rsidR="002E7C3C">
        <w:t xml:space="preserve">export compensation </w:t>
      </w:r>
      <w:r w:rsidR="00BB6391">
        <w:t xml:space="preserve">rates </w:t>
      </w:r>
      <w:r w:rsidR="00D374EE">
        <w:t>to</w:t>
      </w:r>
      <w:r w:rsidR="002E7C3C">
        <w:t xml:space="preserve"> red</w:t>
      </w:r>
      <w:r w:rsidR="000A4899">
        <w:t>uce the cost shift</w:t>
      </w:r>
      <w:r w:rsidR="00117EE9">
        <w:t>.</w:t>
      </w:r>
      <w:r w:rsidRPr="009E690A" w:rsidR="009E690A">
        <w:rPr>
          <w:rStyle w:val="FootnoteReference"/>
        </w:rPr>
        <w:t xml:space="preserve"> </w:t>
      </w:r>
      <w:r w:rsidR="009E690A">
        <w:rPr>
          <w:rStyle w:val="FootnoteReference"/>
        </w:rPr>
        <w:footnoteReference w:id="236"/>
      </w:r>
      <w:r w:rsidR="00117EE9">
        <w:t xml:space="preserve">  However, this group </w:t>
      </w:r>
      <w:r w:rsidR="00680567">
        <w:t xml:space="preserve">of parties </w:t>
      </w:r>
      <w:r w:rsidR="000A4899">
        <w:t>also recommends the successor help low</w:t>
      </w:r>
      <w:r w:rsidR="00827602">
        <w:noBreakHyphen/>
      </w:r>
      <w:r w:rsidR="000A4899">
        <w:t xml:space="preserve">income customers participate in net energy metering </w:t>
      </w:r>
      <w:r w:rsidR="00117EE9">
        <w:t>by</w:t>
      </w:r>
      <w:r w:rsidR="000A4899">
        <w:t xml:space="preserve"> prioritiz</w:t>
      </w:r>
      <w:r w:rsidR="00117EE9">
        <w:t>ing</w:t>
      </w:r>
      <w:r w:rsidR="000A4899">
        <w:t xml:space="preserve"> incentives</w:t>
      </w:r>
      <w:r w:rsidR="00117EE9">
        <w:t xml:space="preserve"> and reducing initial system costs</w:t>
      </w:r>
      <w:r w:rsidR="000A4899">
        <w:t>.</w:t>
      </w:r>
      <w:r w:rsidR="009E690A">
        <w:rPr>
          <w:rStyle w:val="FootnoteReference"/>
        </w:rPr>
        <w:footnoteReference w:id="237"/>
      </w:r>
    </w:p>
    <w:p w:rsidR="00533B2F" w:rsidP="005E7044" w:rsidRDefault="002C2D54" w14:paraId="62171264" w14:textId="2FE725D0">
      <w:pPr>
        <w:pStyle w:val="Standard"/>
      </w:pPr>
      <w:r>
        <w:lastRenderedPageBreak/>
        <w:t xml:space="preserve">Relatedly, parties discuss </w:t>
      </w:r>
      <w:r w:rsidR="005201DD">
        <w:t>eligibility requirements for low</w:t>
      </w:r>
      <w:r w:rsidR="00827602">
        <w:noBreakHyphen/>
      </w:r>
      <w:r w:rsidR="005201DD">
        <w:t>income net energy metering opportunities.  Currently,</w:t>
      </w:r>
      <w:r w:rsidR="008D6DCC">
        <w:t xml:space="preserve"> </w:t>
      </w:r>
      <w:r w:rsidR="005201DD">
        <w:t>customers eligible for the CARE and FERA programs are eligible for low</w:t>
      </w:r>
      <w:r w:rsidR="00827602">
        <w:noBreakHyphen/>
      </w:r>
      <w:r w:rsidR="005201DD">
        <w:t xml:space="preserve">income </w:t>
      </w:r>
      <w:r w:rsidR="002E2417">
        <w:t xml:space="preserve">solar and storage programs that utilize the </w:t>
      </w:r>
      <w:r w:rsidR="005201DD">
        <w:t xml:space="preserve">net energy metering </w:t>
      </w:r>
      <w:r w:rsidR="002E2417">
        <w:t>tariff</w:t>
      </w:r>
      <w:r w:rsidR="005201DD">
        <w:t xml:space="preserve">.  </w:t>
      </w:r>
      <w:r w:rsidR="00E23BD2">
        <w:t>Proposing to set the income eligibility at 8</w:t>
      </w:r>
      <w:r w:rsidR="00C04724">
        <w:t>0 percent</w:t>
      </w:r>
      <w:r w:rsidR="00E23BD2">
        <w:t xml:space="preserve"> of </w:t>
      </w:r>
      <w:r w:rsidR="00481A2D">
        <w:t xml:space="preserve">the </w:t>
      </w:r>
      <w:r w:rsidR="00E23BD2">
        <w:t xml:space="preserve">AMI, </w:t>
      </w:r>
      <w:r w:rsidR="008546DB">
        <w:t>G</w:t>
      </w:r>
      <w:r w:rsidR="00FB4A0C">
        <w:t>RID</w:t>
      </w:r>
      <w:r w:rsidR="008546DB">
        <w:t xml:space="preserve"> and </w:t>
      </w:r>
      <w:proofErr w:type="spellStart"/>
      <w:r w:rsidR="00E23BD2">
        <w:t>CALSSA</w:t>
      </w:r>
      <w:proofErr w:type="spellEnd"/>
      <w:r w:rsidR="00E23BD2">
        <w:t xml:space="preserve"> contend this is a well</w:t>
      </w:r>
      <w:r w:rsidR="00827602">
        <w:noBreakHyphen/>
      </w:r>
      <w:r w:rsidR="00E23BD2">
        <w:t>accepted benchmark for low</w:t>
      </w:r>
      <w:r w:rsidR="00827602">
        <w:noBreakHyphen/>
      </w:r>
      <w:r w:rsidR="00E23BD2">
        <w:t xml:space="preserve">income customers </w:t>
      </w:r>
      <w:r w:rsidR="00481A2D">
        <w:t xml:space="preserve">and </w:t>
      </w:r>
      <w:r w:rsidR="00E23BD2">
        <w:t xml:space="preserve">it has been adopted in the Commission’s </w:t>
      </w:r>
      <w:proofErr w:type="spellStart"/>
      <w:r w:rsidR="008B10AE">
        <w:t>ESJ</w:t>
      </w:r>
      <w:proofErr w:type="spellEnd"/>
      <w:r w:rsidR="002E2417">
        <w:t xml:space="preserve"> </w:t>
      </w:r>
      <w:r w:rsidR="00E23BD2">
        <w:t>Action Plan.</w:t>
      </w:r>
      <w:r w:rsidR="00E23BD2">
        <w:rPr>
          <w:rStyle w:val="FootnoteReference"/>
        </w:rPr>
        <w:footnoteReference w:id="238"/>
      </w:r>
      <w:r w:rsidR="00E23BD2">
        <w:t xml:space="preserve">  </w:t>
      </w:r>
      <w:proofErr w:type="spellStart"/>
      <w:r w:rsidR="00E23BD2">
        <w:t>CALSSA</w:t>
      </w:r>
      <w:proofErr w:type="spellEnd"/>
      <w:r w:rsidR="00E23BD2">
        <w:t xml:space="preserve"> </w:t>
      </w:r>
      <w:r w:rsidR="00481A2D">
        <w:t xml:space="preserve">further </w:t>
      </w:r>
      <w:r w:rsidR="009E690A">
        <w:t>asserts</w:t>
      </w:r>
      <w:r w:rsidR="00E23BD2">
        <w:t xml:space="preserve"> </w:t>
      </w:r>
      <w:r w:rsidR="002E2417">
        <w:t>revising</w:t>
      </w:r>
      <w:r w:rsidR="00E23BD2">
        <w:t xml:space="preserve"> the eligibility requirement</w:t>
      </w:r>
      <w:r w:rsidR="00743593">
        <w:t>s</w:t>
      </w:r>
      <w:r w:rsidR="00E23BD2">
        <w:t xml:space="preserve"> </w:t>
      </w:r>
      <w:r w:rsidR="002E2417">
        <w:t xml:space="preserve">for equity net energy metering programs </w:t>
      </w:r>
      <w:r w:rsidR="00A25653">
        <w:t>by</w:t>
      </w:r>
      <w:r w:rsidR="00E23BD2">
        <w:t xml:space="preserve"> bas</w:t>
      </w:r>
      <w:r w:rsidR="00A25653">
        <w:t>ing them</w:t>
      </w:r>
      <w:r w:rsidR="00E23BD2">
        <w:t xml:space="preserve"> on the</w:t>
      </w:r>
      <w:r w:rsidR="00481A2D">
        <w:t xml:space="preserve"> </w:t>
      </w:r>
      <w:r w:rsidR="00E23BD2">
        <w:t>AMI would f</w:t>
      </w:r>
      <w:r w:rsidR="002E2417">
        <w:t>u</w:t>
      </w:r>
      <w:r w:rsidR="00E23BD2">
        <w:t>rther advance equity goals.</w:t>
      </w:r>
      <w:r w:rsidR="00E23BD2">
        <w:rPr>
          <w:rStyle w:val="FootnoteReference"/>
        </w:rPr>
        <w:footnoteReference w:id="239"/>
      </w:r>
      <w:r w:rsidR="00E23BD2">
        <w:t xml:space="preserve">  </w:t>
      </w:r>
      <w:proofErr w:type="spellStart"/>
      <w:r w:rsidR="00E23BD2">
        <w:t>CALSSA</w:t>
      </w:r>
      <w:proofErr w:type="spellEnd"/>
      <w:r w:rsidR="00E23BD2">
        <w:t xml:space="preserve"> explains that o</w:t>
      </w:r>
      <w:r w:rsidRPr="00E23BD2" w:rsidR="00E23BD2">
        <w:t>ver two</w:t>
      </w:r>
      <w:r w:rsidR="00827602">
        <w:noBreakHyphen/>
      </w:r>
      <w:r w:rsidRPr="00E23BD2" w:rsidR="00E23BD2">
        <w:t>thirds of four</w:t>
      </w:r>
      <w:r w:rsidR="00827602">
        <w:noBreakHyphen/>
      </w:r>
      <w:r w:rsidRPr="00E23BD2" w:rsidR="00E23BD2">
        <w:t>person households in</w:t>
      </w:r>
      <w:r w:rsidR="00E23BD2">
        <w:t xml:space="preserve"> </w:t>
      </w:r>
      <w:r w:rsidRPr="00E23BD2" w:rsidR="00E23BD2">
        <w:t>the top 2</w:t>
      </w:r>
      <w:r w:rsidR="00C04724">
        <w:t>5 percent</w:t>
      </w:r>
      <w:r w:rsidR="00E23BD2">
        <w:t xml:space="preserve"> </w:t>
      </w:r>
      <w:r w:rsidRPr="00E23BD2" w:rsidR="00E23BD2">
        <w:t>disadvantaged communities have incomes at or below 8</w:t>
      </w:r>
      <w:r w:rsidR="00C04724">
        <w:t>0 percent</w:t>
      </w:r>
      <w:r w:rsidRPr="00E23BD2" w:rsidR="00E23BD2">
        <w:t xml:space="preserve"> of AMI</w:t>
      </w:r>
      <w:r w:rsidR="00E23BD2">
        <w:t xml:space="preserve"> </w:t>
      </w:r>
      <w:r w:rsidR="00046A62">
        <w:t>and</w:t>
      </w:r>
      <w:r w:rsidR="00E23BD2">
        <w:t xml:space="preserve"> nearly one </w:t>
      </w:r>
      <w:r w:rsidRPr="00E23BD2" w:rsidR="00E23BD2">
        <w:t>quarter</w:t>
      </w:r>
      <w:r w:rsidR="00E23BD2">
        <w:t xml:space="preserve"> </w:t>
      </w:r>
      <w:r w:rsidRPr="00E23BD2" w:rsidR="00E23BD2">
        <w:t xml:space="preserve">of these households have incomes above the CARE </w:t>
      </w:r>
      <w:r w:rsidR="00E23BD2">
        <w:t>eligibility threshold (</w:t>
      </w:r>
      <w:r w:rsidRPr="00E23BD2" w:rsidR="00E23BD2">
        <w:t>20</w:t>
      </w:r>
      <w:r w:rsidR="00C04724">
        <w:t>0 percent</w:t>
      </w:r>
      <w:r w:rsidRPr="00E23BD2" w:rsidR="00E23BD2">
        <w:t xml:space="preserve"> of the</w:t>
      </w:r>
      <w:r w:rsidR="00E23BD2">
        <w:t xml:space="preserve"> </w:t>
      </w:r>
      <w:r w:rsidRPr="00E23BD2" w:rsidR="00E23BD2">
        <w:t>federal poverty level</w:t>
      </w:r>
      <w:r w:rsidR="00E23BD2">
        <w:t>).</w:t>
      </w:r>
      <w:r w:rsidR="00E23BD2">
        <w:rPr>
          <w:rStyle w:val="FootnoteReference"/>
        </w:rPr>
        <w:footnoteReference w:id="240"/>
      </w:r>
      <w:r w:rsidRPr="00E23BD2" w:rsidR="00E23BD2">
        <w:t xml:space="preserve"> </w:t>
      </w:r>
      <w:r w:rsidR="00046A62">
        <w:t xml:space="preserve"> </w:t>
      </w:r>
      <w:r w:rsidR="009E690A">
        <w:t xml:space="preserve">Further, </w:t>
      </w:r>
      <w:r w:rsidR="008546DB">
        <w:t>GRID notes that the 8</w:t>
      </w:r>
      <w:r w:rsidR="00C04724">
        <w:t>0 percent</w:t>
      </w:r>
      <w:r w:rsidR="008546DB">
        <w:t xml:space="preserve"> of AMI threshold is also used in the Commission’s Self Generation Incentive Program (</w:t>
      </w:r>
      <w:proofErr w:type="spellStart"/>
      <w:r w:rsidR="008546DB">
        <w:t>SGIP</w:t>
      </w:r>
      <w:proofErr w:type="spellEnd"/>
      <w:r w:rsidR="008546DB">
        <w:t>).</w:t>
      </w:r>
      <w:r w:rsidR="008546DB">
        <w:rPr>
          <w:rStyle w:val="FootnoteReference"/>
        </w:rPr>
        <w:footnoteReference w:id="241"/>
      </w:r>
      <w:r w:rsidR="008546DB">
        <w:t xml:space="preserve">  </w:t>
      </w:r>
      <w:proofErr w:type="spellStart"/>
      <w:r w:rsidR="00E23BD2">
        <w:t>CALSSA</w:t>
      </w:r>
      <w:proofErr w:type="spellEnd"/>
      <w:r w:rsidR="00E23BD2">
        <w:t xml:space="preserve"> asserts </w:t>
      </w:r>
      <w:r w:rsidR="005E1AD0">
        <w:t>maintaining the CARE and FERA eligibility requirements restricts the reach of equity proposals.</w:t>
      </w:r>
      <w:r w:rsidR="005E1AD0">
        <w:rPr>
          <w:rStyle w:val="FootnoteReference"/>
        </w:rPr>
        <w:footnoteReference w:id="242"/>
      </w:r>
    </w:p>
    <w:p w:rsidR="00533B2F" w:rsidP="005E7044" w:rsidRDefault="009E690A" w14:paraId="1382DEF5" w14:textId="47BF478A">
      <w:pPr>
        <w:pStyle w:val="Standard"/>
      </w:pPr>
      <w:r>
        <w:t>The g</w:t>
      </w:r>
      <w:r w:rsidR="00812B81">
        <w:t>u</w:t>
      </w:r>
      <w:r>
        <w:t xml:space="preserve">iding principles adopted in this proceeding confirmed that a successor will strive to both ensure equity among all ratepayers and expand net </w:t>
      </w:r>
      <w:r>
        <w:lastRenderedPageBreak/>
        <w:t xml:space="preserve">energy metering to disadvantaged communities.  </w:t>
      </w:r>
      <w:r w:rsidR="00AA0061">
        <w:t xml:space="preserve">The Commission </w:t>
      </w:r>
      <w:r w:rsidR="00033689">
        <w:t>dis</w:t>
      </w:r>
      <w:r>
        <w:t>agree</w:t>
      </w:r>
      <w:r w:rsidR="007D3239">
        <w:t>s</w:t>
      </w:r>
      <w:r>
        <w:t xml:space="preserve"> with </w:t>
      </w:r>
      <w:r w:rsidR="00033689">
        <w:t xml:space="preserve">Joint Utilities that the equity issue can be addressed solely by reducing the cost shift.  Disadvantaged communities should not continue to be left </w:t>
      </w:r>
      <w:r w:rsidR="00BC77A7">
        <w:t xml:space="preserve">behind with respect to clean energy options, including electrification and storage.  The successor tariff will address the equity issue by </w:t>
      </w:r>
      <w:r w:rsidR="006C0968">
        <w:t>working to ensure</w:t>
      </w:r>
      <w:r w:rsidR="00BC77A7">
        <w:t xml:space="preserve"> increased participation by disadvantaged communities.  </w:t>
      </w:r>
      <w:r w:rsidR="006E46A0">
        <w:t xml:space="preserve">Accordingly, the successor tariff will include elements to both combat the cost shift and increase participation by households in </w:t>
      </w:r>
      <w:r w:rsidR="00705D58">
        <w:t>low</w:t>
      </w:r>
      <w:r w:rsidR="00827602">
        <w:noBreakHyphen/>
      </w:r>
      <w:r w:rsidR="00705D58">
        <w:t xml:space="preserve">income households and </w:t>
      </w:r>
      <w:r w:rsidR="006E46A0">
        <w:t>disadvantaged communities.</w:t>
      </w:r>
      <w:r w:rsidR="00705D58">
        <w:t xml:space="preserve">  The specifics are discussed in </w:t>
      </w:r>
      <w:r w:rsidR="0034029C">
        <w:t>Section 8</w:t>
      </w:r>
      <w:r w:rsidR="00705D58">
        <w:t>.6.1 below.</w:t>
      </w:r>
    </w:p>
    <w:p w:rsidRPr="00790E5D" w:rsidR="009C442C" w:rsidP="005E7044" w:rsidRDefault="00252DB7" w14:paraId="4E9678FF" w14:textId="2A297539">
      <w:pPr>
        <w:pStyle w:val="Heading3"/>
        <w:keepLines w:val="0"/>
      </w:pPr>
      <w:bookmarkStart w:name="_Toc117674085" w:id="146"/>
      <w:bookmarkStart w:name="_Toc118285076" w:id="147"/>
      <w:bookmarkStart w:name="_Toc121854403" w:id="148"/>
      <w:r>
        <w:t>The Successor Should</w:t>
      </w:r>
      <w:r w:rsidR="002838AC">
        <w:br/>
      </w:r>
      <w:r w:rsidRPr="00790E5D">
        <w:t>Promote Electrification</w:t>
      </w:r>
      <w:bookmarkEnd w:id="146"/>
      <w:bookmarkEnd w:id="147"/>
      <w:bookmarkEnd w:id="148"/>
    </w:p>
    <w:p w:rsidR="008D2260" w:rsidP="005E7044" w:rsidRDefault="008D2260" w14:paraId="184DA2FC" w14:textId="014E9D15">
      <w:pPr>
        <w:pStyle w:val="Standard"/>
      </w:pPr>
      <w:r>
        <w:t xml:space="preserve">No party opposes the promotion of electrification by </w:t>
      </w:r>
      <w:r w:rsidR="00E82DDF">
        <w:t>a</w:t>
      </w:r>
      <w:r>
        <w:t xml:space="preserve"> successor</w:t>
      </w:r>
      <w:r w:rsidR="00E82DDF">
        <w:t xml:space="preserve"> tariff</w:t>
      </w:r>
      <w:r>
        <w:t xml:space="preserve">, but there is disparity regarding the approach.  </w:t>
      </w:r>
      <w:r w:rsidR="007D3239">
        <w:t xml:space="preserve">The Commission </w:t>
      </w:r>
      <w:r w:rsidR="009362F4">
        <w:t>agree</w:t>
      </w:r>
      <w:r w:rsidR="007D3239">
        <w:t>s</w:t>
      </w:r>
      <w:r w:rsidR="009362F4">
        <w:t xml:space="preserve"> with NRDC that the successor tariff should encourage net energy metering customers to consume electricity when carbon</w:t>
      </w:r>
      <w:r w:rsidR="00827602">
        <w:noBreakHyphen/>
      </w:r>
      <w:r w:rsidR="009362F4">
        <w:t>free energy is abundant, and to export electricity onto the grid when carbon</w:t>
      </w:r>
      <w:r w:rsidR="00827602">
        <w:noBreakHyphen/>
      </w:r>
      <w:r w:rsidR="009362F4">
        <w:t>intensive electricity is at the margin; both of these actions should incentivize beneficial electrification.</w:t>
      </w:r>
      <w:r w:rsidR="009362F4">
        <w:rPr>
          <w:rStyle w:val="FootnoteReference"/>
        </w:rPr>
        <w:footnoteReference w:id="243"/>
      </w:r>
      <w:r w:rsidR="009362F4">
        <w:t xml:space="preserve">  </w:t>
      </w:r>
      <w:r w:rsidR="007D3239">
        <w:t>T</w:t>
      </w:r>
      <w:r w:rsidR="009362F4">
        <w:t xml:space="preserve">he pros and cons of the varying approaches </w:t>
      </w:r>
      <w:r w:rsidR="007D3239">
        <w:t xml:space="preserve">are discussed </w:t>
      </w:r>
      <w:r w:rsidR="009362F4">
        <w:t xml:space="preserve">in </w:t>
      </w:r>
      <w:r w:rsidR="0034029C">
        <w:t>Section 8</w:t>
      </w:r>
      <w:r w:rsidR="009362F4">
        <w:t>.4 below</w:t>
      </w:r>
      <w:r w:rsidR="00186F95">
        <w:t xml:space="preserve">.  </w:t>
      </w:r>
      <w:r w:rsidR="00BB746F">
        <w:t>In this section,</w:t>
      </w:r>
      <w:r w:rsidR="00186F95">
        <w:t xml:space="preserve"> general policies regarding the relationship between net energy metering and electrification</w:t>
      </w:r>
      <w:r w:rsidR="007D3239">
        <w:t xml:space="preserve"> are discussed</w:t>
      </w:r>
      <w:r w:rsidR="00186F95">
        <w:t>.</w:t>
      </w:r>
    </w:p>
    <w:p w:rsidR="00533B2F" w:rsidP="005E7044" w:rsidRDefault="007D3239" w14:paraId="6252BD6A" w14:textId="47E5D455">
      <w:pPr>
        <w:pStyle w:val="Standard"/>
      </w:pPr>
      <w:r>
        <w:t xml:space="preserve">First, this decision </w:t>
      </w:r>
      <w:r w:rsidR="00E82DDF">
        <w:t>begin</w:t>
      </w:r>
      <w:r>
        <w:t>s</w:t>
      </w:r>
      <w:r w:rsidR="00E82DDF">
        <w:t xml:space="preserve"> with a discussion of how the structure of </w:t>
      </w:r>
      <w:r w:rsidR="00A7012D">
        <w:t xml:space="preserve">the </w:t>
      </w:r>
      <w:r w:rsidR="00E82DDF">
        <w:t xml:space="preserve">net energy metering </w:t>
      </w:r>
      <w:r w:rsidR="00A7012D">
        <w:t xml:space="preserve">tariff </w:t>
      </w:r>
      <w:r w:rsidR="00E82DDF">
        <w:t>influences customer decisions on electrification.  S</w:t>
      </w:r>
      <w:r w:rsidR="00186F95">
        <w:t xml:space="preserve">everal parties contend the current structure of </w:t>
      </w:r>
      <w:r w:rsidR="00A7012D">
        <w:t xml:space="preserve">the tariff </w:t>
      </w:r>
      <w:r w:rsidR="00186F95">
        <w:t>and its cost shift discourage electrification.</w:t>
      </w:r>
      <w:r w:rsidR="00E82DDF">
        <w:t xml:space="preserve">  </w:t>
      </w:r>
      <w:r w:rsidR="00342D10">
        <w:t xml:space="preserve">Joint Utilities assert the cost shift makes electricity more </w:t>
      </w:r>
      <w:r w:rsidR="00342D10">
        <w:lastRenderedPageBreak/>
        <w:t xml:space="preserve">expensive for </w:t>
      </w:r>
      <w:r w:rsidR="00FB4A0C">
        <w:t xml:space="preserve">all ratepayers </w:t>
      </w:r>
      <w:r w:rsidR="00342D10">
        <w:t>and makes electrification less attractive.</w:t>
      </w:r>
      <w:r w:rsidR="00342D10">
        <w:rPr>
          <w:rStyle w:val="FootnoteReference"/>
        </w:rPr>
        <w:footnoteReference w:id="244"/>
      </w:r>
      <w:r w:rsidR="00342D10">
        <w:t xml:space="preserve">  </w:t>
      </w:r>
      <w:r w:rsidR="00E82DDF">
        <w:t xml:space="preserve">PCF disagrees </w:t>
      </w:r>
      <w:r w:rsidR="00E779D8">
        <w:t xml:space="preserve">that the cost shift is responsible for high electricity prices, </w:t>
      </w:r>
      <w:r w:rsidR="00E82DDF">
        <w:t>stating that transmission and distribution charges remain by far the largest contributors to electricity prices, as well as the restructuring of residential tariffs.</w:t>
      </w:r>
      <w:r w:rsidR="00E82DDF">
        <w:rPr>
          <w:rStyle w:val="FootnoteReference"/>
        </w:rPr>
        <w:footnoteReference w:id="245"/>
      </w:r>
      <w:r w:rsidR="00E82DDF">
        <w:t xml:space="preserve">  </w:t>
      </w:r>
      <w:r w:rsidR="006438AF">
        <w:t xml:space="preserve">Pointing to the </w:t>
      </w:r>
      <w:r w:rsidR="00E82DDF">
        <w:t>transmission charges</w:t>
      </w:r>
      <w:r w:rsidR="006438AF">
        <w:t xml:space="preserve">, PCF contends these charges </w:t>
      </w:r>
      <w:r w:rsidR="00E82DDF">
        <w:t xml:space="preserve">have risen by </w:t>
      </w:r>
      <w:r w:rsidR="00A62F31">
        <w:t>$2.3</w:t>
      </w:r>
      <w:r w:rsidR="002268EB">
        <w:t> billion</w:t>
      </w:r>
      <w:r w:rsidR="00A62F31">
        <w:t xml:space="preserve"> a year since 2007.</w:t>
      </w:r>
      <w:r w:rsidR="00A62F31">
        <w:rPr>
          <w:rStyle w:val="FootnoteReference"/>
        </w:rPr>
        <w:footnoteReference w:id="246"/>
      </w:r>
      <w:r w:rsidR="00AE281E">
        <w:t xml:space="preserve">  </w:t>
      </w:r>
      <w:r w:rsidR="000D4A55">
        <w:t xml:space="preserve">While supporting PCF’s contentions regarding transmission charges, </w:t>
      </w:r>
      <w:r w:rsidR="00AE281E">
        <w:t xml:space="preserve">SEIA/Vote Solar asserts there are a number of reasons that electric rates are </w:t>
      </w:r>
      <w:r w:rsidR="00BB746F">
        <w:t>high</w:t>
      </w:r>
      <w:r w:rsidR="000D4A55">
        <w:t xml:space="preserve">.  </w:t>
      </w:r>
      <w:r>
        <w:t xml:space="preserve">The Commission </w:t>
      </w:r>
      <w:r w:rsidR="000D4A55">
        <w:t>agree</w:t>
      </w:r>
      <w:r>
        <w:t>s</w:t>
      </w:r>
      <w:r w:rsidR="000D4A55">
        <w:t xml:space="preserve"> that the </w:t>
      </w:r>
      <w:r w:rsidR="00E779D8">
        <w:t xml:space="preserve">net energy metering </w:t>
      </w:r>
      <w:r w:rsidR="00AE281E">
        <w:t xml:space="preserve">cost shift alone is not </w:t>
      </w:r>
      <w:r w:rsidR="004A5DE4">
        <w:t xml:space="preserve">responsible for </w:t>
      </w:r>
      <w:r w:rsidR="00AE281E">
        <w:t xml:space="preserve">the entirety of high rates in California.  But </w:t>
      </w:r>
      <w:r w:rsidR="00E779D8">
        <w:t xml:space="preserve">a </w:t>
      </w:r>
      <w:r w:rsidR="00AE281E">
        <w:t xml:space="preserve">cost shift </w:t>
      </w:r>
      <w:r w:rsidR="00E779D8">
        <w:t>exists</w:t>
      </w:r>
      <w:r w:rsidR="009E1044">
        <w:t>,</w:t>
      </w:r>
      <w:r w:rsidR="00E779D8">
        <w:t xml:space="preserve"> </w:t>
      </w:r>
      <w:r w:rsidR="00AE281E">
        <w:t xml:space="preserve">and continuation of the cost shift </w:t>
      </w:r>
      <w:r w:rsidR="004A5DE4">
        <w:t>feeds into high</w:t>
      </w:r>
      <w:r w:rsidR="00E779D8">
        <w:t>er electricity</w:t>
      </w:r>
      <w:r w:rsidR="004A5DE4">
        <w:t xml:space="preserve"> rates</w:t>
      </w:r>
      <w:r w:rsidR="00BB746F">
        <w:t xml:space="preserve">, </w:t>
      </w:r>
      <w:r w:rsidR="004A5DE4">
        <w:t>which discourage electrification.</w:t>
      </w:r>
      <w:r w:rsidR="00BB746F">
        <w:t xml:space="preserve">  </w:t>
      </w:r>
      <w:r w:rsidR="009E1044">
        <w:t>Accordingly, t</w:t>
      </w:r>
      <w:r w:rsidR="00BB746F">
        <w:t>he successor tariff should address the cost shift</w:t>
      </w:r>
      <w:r w:rsidR="006438AF">
        <w:t xml:space="preserve"> not only</w:t>
      </w:r>
      <w:r w:rsidR="00BB746F">
        <w:t xml:space="preserve"> </w:t>
      </w:r>
      <w:r w:rsidR="00A365A2">
        <w:t xml:space="preserve">to ensure equity but also </w:t>
      </w:r>
      <w:r w:rsidR="00BB746F">
        <w:t>to encourage electrification</w:t>
      </w:r>
      <w:r w:rsidR="000D4A55">
        <w:t xml:space="preserve"> to ensure California </w:t>
      </w:r>
      <w:r w:rsidR="008B0ECE">
        <w:t>can meet</w:t>
      </w:r>
      <w:r w:rsidR="000D4A55">
        <w:t xml:space="preserve"> its climate and clean energy objectives</w:t>
      </w:r>
      <w:r w:rsidR="00BB746F">
        <w:t>.</w:t>
      </w:r>
    </w:p>
    <w:p w:rsidR="006438AF" w:rsidP="005E7044" w:rsidRDefault="000D4A55" w14:paraId="15AADA66" w14:textId="77C0A324">
      <w:pPr>
        <w:pStyle w:val="Standard"/>
      </w:pPr>
      <w:r>
        <w:t xml:space="preserve">Supporting the status quo, </w:t>
      </w:r>
      <w:r w:rsidR="00E779D8">
        <w:t xml:space="preserve">PCF </w:t>
      </w:r>
      <w:r>
        <w:t xml:space="preserve">argues </w:t>
      </w:r>
      <w:r w:rsidR="00E779D8">
        <w:t xml:space="preserve">that the current structure of </w:t>
      </w:r>
      <w:r w:rsidR="00A7012D">
        <w:t xml:space="preserve">the tariff </w:t>
      </w:r>
      <w:r w:rsidR="00E779D8">
        <w:t>promote</w:t>
      </w:r>
      <w:r w:rsidR="00A365A2">
        <w:t>s</w:t>
      </w:r>
      <w:r w:rsidR="00E779D8">
        <w:t xml:space="preserve"> electrification goals.</w:t>
      </w:r>
      <w:r w:rsidR="00E779D8">
        <w:rPr>
          <w:rStyle w:val="FootnoteReference"/>
        </w:rPr>
        <w:footnoteReference w:id="247"/>
      </w:r>
      <w:r w:rsidR="00E779D8">
        <w:t xml:space="preserve">  </w:t>
      </w:r>
      <w:r w:rsidR="00A62F31">
        <w:t xml:space="preserve">Pointing to the results of the Lookback Study, PCF asserts that net energy metering customers are more likely to adopt an electric vehicle than an individual who does not have </w:t>
      </w:r>
      <w:r w:rsidR="00E779D8">
        <w:t>such a system</w:t>
      </w:r>
      <w:r w:rsidR="00A62F31">
        <w:t>.</w:t>
      </w:r>
      <w:r w:rsidR="00A62F31">
        <w:rPr>
          <w:rStyle w:val="FootnoteReference"/>
        </w:rPr>
        <w:footnoteReference w:id="248"/>
      </w:r>
      <w:r w:rsidR="00A62F31">
        <w:t xml:space="preserve">  </w:t>
      </w:r>
      <w:r w:rsidR="00E779D8">
        <w:t xml:space="preserve">SEIA/Vote Solar supports this assertion, </w:t>
      </w:r>
      <w:r w:rsidR="00A26142">
        <w:t xml:space="preserve">concluding from </w:t>
      </w:r>
      <w:r w:rsidR="00E779D8">
        <w:t xml:space="preserve">the </w:t>
      </w:r>
      <w:r w:rsidR="006438AF">
        <w:t xml:space="preserve">Lookback Study </w:t>
      </w:r>
      <w:r w:rsidR="00E779D8">
        <w:t xml:space="preserve">that </w:t>
      </w:r>
      <w:r w:rsidR="00BA1EAE">
        <w:t>“</w:t>
      </w:r>
      <w:r w:rsidR="00E779D8">
        <w:t xml:space="preserve">a customer’s investment in a solar system is often the precursor and </w:t>
      </w:r>
      <w:r w:rsidR="00E779D8">
        <w:lastRenderedPageBreak/>
        <w:t>catalyst for other types of [distributed energy resources] such as electric vehicles and electric appliances.</w:t>
      </w:r>
      <w:r w:rsidR="00BA1EAE">
        <w:t>”</w:t>
      </w:r>
      <w:r w:rsidR="00E779D8">
        <w:rPr>
          <w:rStyle w:val="FootnoteReference"/>
        </w:rPr>
        <w:footnoteReference w:id="249"/>
      </w:r>
    </w:p>
    <w:p w:rsidR="00260255" w:rsidP="005E7044" w:rsidRDefault="007D3239" w14:paraId="07DB169C" w14:textId="7B8BAFEC">
      <w:pPr>
        <w:pStyle w:val="Standard"/>
      </w:pPr>
      <w:r>
        <w:t xml:space="preserve">The Commission </w:t>
      </w:r>
      <w:r w:rsidR="009362F4">
        <w:t>do</w:t>
      </w:r>
      <w:r>
        <w:t>es</w:t>
      </w:r>
      <w:r w:rsidR="009362F4">
        <w:t xml:space="preserve"> not </w:t>
      </w:r>
      <w:r w:rsidR="008B0ECE">
        <w:t xml:space="preserve">necessarily </w:t>
      </w:r>
      <w:r w:rsidR="009362F4">
        <w:t xml:space="preserve">disagree with either of these statements, but these statements are about net energy metering customers and not the current tariff structure.  </w:t>
      </w:r>
      <w:r>
        <w:t xml:space="preserve">This decision finds that </w:t>
      </w:r>
      <w:r w:rsidR="00983815">
        <w:t>t</w:t>
      </w:r>
      <w:r w:rsidR="009E1044">
        <w:t xml:space="preserve">he Lookback Study </w:t>
      </w:r>
      <w:r>
        <w:t xml:space="preserve">does not </w:t>
      </w:r>
      <w:r w:rsidR="009E1044">
        <w:t xml:space="preserve">show </w:t>
      </w:r>
      <w:r w:rsidR="00ED2723">
        <w:t xml:space="preserve">whether </w:t>
      </w:r>
      <w:r w:rsidR="009E1044">
        <w:t xml:space="preserve">the current </w:t>
      </w:r>
      <w:r w:rsidR="00701047">
        <w:t xml:space="preserve">tariff </w:t>
      </w:r>
      <w:r w:rsidR="009E1044">
        <w:t xml:space="preserve">structure promotes electrification goals.  </w:t>
      </w:r>
      <w:r w:rsidR="009362F4">
        <w:t>T</w:t>
      </w:r>
      <w:r w:rsidR="009E1044">
        <w:t>he objective</w:t>
      </w:r>
      <w:r w:rsidR="00260255">
        <w:t>s</w:t>
      </w:r>
      <w:r w:rsidR="009E1044">
        <w:t xml:space="preserve"> of the study were to </w:t>
      </w:r>
      <w:r w:rsidR="00BA1EAE">
        <w:t>“</w:t>
      </w:r>
      <w:r w:rsidR="009E1044">
        <w:t xml:space="preserve">examine the impacts of </w:t>
      </w:r>
      <w:r w:rsidR="00602BC5">
        <w:t>NEM 2.0</w:t>
      </w:r>
      <w:r w:rsidR="00135D55">
        <w:t xml:space="preserve"> </w:t>
      </w:r>
      <w:r w:rsidR="009E1044">
        <w:t xml:space="preserve">and to compare how different metrics have changed following the transition from </w:t>
      </w:r>
      <w:r w:rsidR="00602BC5">
        <w:t>NEM 1.0</w:t>
      </w:r>
      <w:r w:rsidR="009E1044">
        <w:t xml:space="preserve"> to </w:t>
      </w:r>
      <w:r w:rsidR="00602BC5">
        <w:t>NEM 2.0</w:t>
      </w:r>
      <w:r w:rsidR="00371C89">
        <w:t>;</w:t>
      </w:r>
      <w:r w:rsidR="00BA1EAE">
        <w:t>”</w:t>
      </w:r>
      <w:r w:rsidR="009E1044">
        <w:rPr>
          <w:rStyle w:val="FootnoteReference"/>
        </w:rPr>
        <w:footnoteReference w:id="250"/>
      </w:r>
      <w:r w:rsidR="00260255">
        <w:t xml:space="preserve"> </w:t>
      </w:r>
      <w:r w:rsidR="00371C89">
        <w:t>electricity consumption</w:t>
      </w:r>
      <w:r w:rsidR="009362F4">
        <w:t xml:space="preserve"> patterns </w:t>
      </w:r>
      <w:r w:rsidR="00371C89">
        <w:t xml:space="preserve">are not discussed in the key takeaways. </w:t>
      </w:r>
      <w:r w:rsidR="009E1044">
        <w:t xml:space="preserve"> </w:t>
      </w:r>
      <w:r w:rsidR="009362F4">
        <w:t>Further</w:t>
      </w:r>
      <w:r w:rsidR="009E1044">
        <w:t xml:space="preserve">, </w:t>
      </w:r>
      <w:r w:rsidR="00260255">
        <w:t xml:space="preserve">energy </w:t>
      </w:r>
      <w:r w:rsidR="009362F4">
        <w:t xml:space="preserve">consumption </w:t>
      </w:r>
      <w:r w:rsidR="00260255">
        <w:t>patterns included in the study contain in</w:t>
      </w:r>
      <w:r w:rsidR="009362F4">
        <w:t>sufficient</w:t>
      </w:r>
      <w:r w:rsidR="00371C89">
        <w:t xml:space="preserve"> </w:t>
      </w:r>
      <w:r w:rsidR="00260255">
        <w:t xml:space="preserve">data to make the assertion that the current </w:t>
      </w:r>
      <w:r w:rsidR="00701047">
        <w:t xml:space="preserve">tariff </w:t>
      </w:r>
      <w:r w:rsidR="00260255">
        <w:t>structure promotes electrification; there was incomplete data regarding change in consumption for SCE customers.</w:t>
      </w:r>
      <w:r w:rsidR="00795F41">
        <w:rPr>
          <w:rStyle w:val="FootnoteReference"/>
        </w:rPr>
        <w:footnoteReference w:id="251"/>
      </w:r>
      <w:r w:rsidR="009362F4">
        <w:t xml:space="preserve">  </w:t>
      </w:r>
      <w:r w:rsidR="00452308">
        <w:t>W</w:t>
      </w:r>
      <w:r w:rsidR="00583AFB">
        <w:t>ithout complete data and more in</w:t>
      </w:r>
      <w:r w:rsidR="00827602">
        <w:noBreakHyphen/>
      </w:r>
      <w:r w:rsidR="00583AFB">
        <w:t>depth analysis</w:t>
      </w:r>
      <w:r w:rsidR="009362F4">
        <w:t xml:space="preserve"> on electricity consumption patterns</w:t>
      </w:r>
      <w:r w:rsidR="00583AFB">
        <w:t xml:space="preserve">, assertions regarding </w:t>
      </w:r>
      <w:r w:rsidR="009362F4">
        <w:t xml:space="preserve">the promotion of electrification </w:t>
      </w:r>
      <w:r w:rsidR="006966C8">
        <w:t xml:space="preserve">by </w:t>
      </w:r>
      <w:r w:rsidR="00602BC5">
        <w:t>NEM 2.0</w:t>
      </w:r>
      <w:r w:rsidR="00135D55">
        <w:t xml:space="preserve"> </w:t>
      </w:r>
      <w:r w:rsidR="00583AFB">
        <w:t>can</w:t>
      </w:r>
      <w:r w:rsidR="00A25653">
        <w:t xml:space="preserve"> neither be</w:t>
      </w:r>
      <w:r w:rsidR="00583AFB">
        <w:t xml:space="preserve"> </w:t>
      </w:r>
      <w:r w:rsidR="006438AF">
        <w:t xml:space="preserve">made nor </w:t>
      </w:r>
      <w:r w:rsidR="00583AFB">
        <w:t>relied upon</w:t>
      </w:r>
      <w:r w:rsidR="00452308">
        <w:t xml:space="preserve"> in this decision</w:t>
      </w:r>
      <w:r w:rsidR="00583AFB">
        <w:t>.</w:t>
      </w:r>
    </w:p>
    <w:p w:rsidR="00533B2F" w:rsidP="005E7044" w:rsidRDefault="00983815" w14:paraId="7A843ACE" w14:textId="7676E6F4">
      <w:pPr>
        <w:pStyle w:val="Standard"/>
      </w:pPr>
      <w:r>
        <w:t xml:space="preserve">This </w:t>
      </w:r>
      <w:r w:rsidR="00ED2723">
        <w:t>section</w:t>
      </w:r>
      <w:r>
        <w:t xml:space="preserve"> </w:t>
      </w:r>
      <w:r w:rsidR="009362F4">
        <w:t>address</w:t>
      </w:r>
      <w:r>
        <w:t>es</w:t>
      </w:r>
      <w:r w:rsidR="009362F4">
        <w:t xml:space="preserve"> </w:t>
      </w:r>
      <w:r w:rsidR="00740BE7">
        <w:t>one</w:t>
      </w:r>
      <w:r w:rsidR="009362F4">
        <w:t xml:space="preserve"> additional policy consideration with respect to net energy metering and electrification.  </w:t>
      </w:r>
      <w:r w:rsidR="00740BE7">
        <w:t xml:space="preserve">First, </w:t>
      </w:r>
      <w:r w:rsidR="005E3833">
        <w:t xml:space="preserve">SEIA/Vote Solar submit the successor tariff should advance California’s electrification goals </w:t>
      </w:r>
      <w:r w:rsidR="008B0ECE">
        <w:t>by allowing</w:t>
      </w:r>
      <w:r w:rsidR="005E3833">
        <w:t xml:space="preserve"> new customers to oversize their systems by 5</w:t>
      </w:r>
      <w:r w:rsidR="00C04724">
        <w:t>0 percent</w:t>
      </w:r>
      <w:r w:rsidR="00704962">
        <w:t>, as</w:t>
      </w:r>
      <w:r w:rsidR="001B0C34">
        <w:t xml:space="preserve"> </w:t>
      </w:r>
      <w:r w:rsidR="006034B0">
        <w:t>this would allow solar customers to grow their loads through the purchase of electric vehicles and electric appliances over time</w:t>
      </w:r>
      <w:r w:rsidR="00704962">
        <w:t>.</w:t>
      </w:r>
      <w:r w:rsidR="00704962">
        <w:rPr>
          <w:rStyle w:val="FootnoteReference"/>
        </w:rPr>
        <w:footnoteReference w:id="252"/>
      </w:r>
      <w:r w:rsidR="00704962">
        <w:t xml:space="preserve"> </w:t>
      </w:r>
      <w:r w:rsidR="006034B0">
        <w:t xml:space="preserve"> </w:t>
      </w:r>
      <w:r w:rsidR="009E63BB">
        <w:t xml:space="preserve">SEIA/Vote Solar propose the net surplus </w:t>
      </w:r>
      <w:r w:rsidR="009E63BB">
        <w:lastRenderedPageBreak/>
        <w:t>compensation rate be set equal to current avoided costs for distributed energy resources.</w:t>
      </w:r>
      <w:r w:rsidR="009E63BB">
        <w:rPr>
          <w:rStyle w:val="FootnoteReference"/>
        </w:rPr>
        <w:footnoteReference w:id="253"/>
      </w:r>
      <w:r w:rsidR="009E63BB">
        <w:t xml:space="preserve">  </w:t>
      </w:r>
      <w:r w:rsidR="00704962">
        <w:t xml:space="preserve">Contending this expands upon existing opportunities, </w:t>
      </w:r>
      <w:r w:rsidR="006034B0">
        <w:t xml:space="preserve">SEIA/Vote Solar </w:t>
      </w:r>
      <w:r w:rsidR="00704962">
        <w:t>point to the SCE document</w:t>
      </w:r>
      <w:r w:rsidR="00555CC0">
        <w:t xml:space="preserve">:  </w:t>
      </w:r>
      <w:r w:rsidRPr="00704962" w:rsidR="00704962">
        <w:rPr>
          <w:i/>
          <w:iCs/>
        </w:rPr>
        <w:t>Net Energy Metering System Residential Customer System Size Acknowledgement 30</w:t>
      </w:r>
      <w:r w:rsidR="00024A91">
        <w:rPr>
          <w:i/>
          <w:iCs/>
        </w:rPr>
        <w:t> </w:t>
      </w:r>
      <w:r w:rsidRPr="00704962" w:rsidR="00704962">
        <w:rPr>
          <w:i/>
          <w:iCs/>
        </w:rPr>
        <w:t xml:space="preserve">kW or </w:t>
      </w:r>
      <w:r w:rsidR="00704962">
        <w:rPr>
          <w:i/>
          <w:iCs/>
        </w:rPr>
        <w:t>L</w:t>
      </w:r>
      <w:r w:rsidRPr="00704962" w:rsidR="00704962">
        <w:rPr>
          <w:i/>
          <w:iCs/>
        </w:rPr>
        <w:t>ess</w:t>
      </w:r>
      <w:r w:rsidR="00FC1E83">
        <w:rPr>
          <w:i/>
          <w:iCs/>
        </w:rPr>
        <w:t xml:space="preserve">, </w:t>
      </w:r>
      <w:r w:rsidRPr="00FC1E83" w:rsidR="00FC1E83">
        <w:t xml:space="preserve">which SEIA/Vote Solar states </w:t>
      </w:r>
      <w:r w:rsidR="00BA1EAE">
        <w:t>“</w:t>
      </w:r>
      <w:r w:rsidRPr="00FC1E83" w:rsidR="00FC1E83">
        <w:t>allows for the customer to attest to oversizing their system provided that the customers also attests that it expects to increase its</w:t>
      </w:r>
      <w:r w:rsidRPr="00FC1E83" w:rsidR="00812B81">
        <w:t xml:space="preserve"> </w:t>
      </w:r>
      <w:r w:rsidRPr="00FC1E83" w:rsidR="00FC1E83">
        <w:t>usage accordingly in the next year</w:t>
      </w:r>
      <w:r w:rsidRPr="00FC1E83" w:rsidR="00704962">
        <w:t>.</w:t>
      </w:r>
      <w:r w:rsidR="00BA1EAE">
        <w:t>”</w:t>
      </w:r>
      <w:r w:rsidR="00704962">
        <w:rPr>
          <w:rStyle w:val="FootnoteReference"/>
        </w:rPr>
        <w:footnoteReference w:id="254"/>
      </w:r>
    </w:p>
    <w:p w:rsidR="009C442C" w:rsidP="005E7044" w:rsidRDefault="00FC1E83" w14:paraId="7DAC9FEE" w14:textId="59145417">
      <w:pPr>
        <w:pStyle w:val="Standard"/>
      </w:pPr>
      <w:r>
        <w:t xml:space="preserve">SEIA/Vote Solar </w:t>
      </w:r>
      <w:r w:rsidR="00024914">
        <w:t xml:space="preserve">highlight </w:t>
      </w:r>
      <w:r>
        <w:t xml:space="preserve">that </w:t>
      </w:r>
      <w:r w:rsidR="009355F1">
        <w:t>Cal Advoc</w:t>
      </w:r>
      <w:r>
        <w:t>ates support</w:t>
      </w:r>
      <w:r w:rsidR="00A25653">
        <w:t>s</w:t>
      </w:r>
      <w:r>
        <w:t xml:space="preserve"> oversizing, with exports </w:t>
      </w:r>
      <w:r w:rsidR="00500D9E">
        <w:t xml:space="preserve">and annual net surplus generation </w:t>
      </w:r>
      <w:r>
        <w:t xml:space="preserve">compensated at avoided costs and with the requirement that, after five years, the </w:t>
      </w:r>
      <w:r w:rsidR="00500D9E">
        <w:t xml:space="preserve">net surplus generation </w:t>
      </w:r>
      <w:r>
        <w:t xml:space="preserve">compensation would </w:t>
      </w:r>
      <w:r w:rsidR="00D97E5D">
        <w:t xml:space="preserve">decrease </w:t>
      </w:r>
      <w:r w:rsidR="009E63BB">
        <w:t xml:space="preserve">from avoided costs </w:t>
      </w:r>
      <w:r>
        <w:t>to wholesale rates to incentivize the customer toward more rapid electrification.</w:t>
      </w:r>
      <w:r>
        <w:rPr>
          <w:rStyle w:val="FootnoteReference"/>
        </w:rPr>
        <w:footnoteReference w:id="255"/>
      </w:r>
      <w:r w:rsidR="00D6361D">
        <w:t xml:space="preserve">  </w:t>
      </w:r>
      <w:r w:rsidR="009355F1">
        <w:t>Cal Advoc</w:t>
      </w:r>
      <w:r w:rsidR="00500D9E">
        <w:t>ates explain</w:t>
      </w:r>
      <w:r w:rsidR="00A25653">
        <w:t>s</w:t>
      </w:r>
      <w:r w:rsidR="00500D9E">
        <w:t xml:space="preserve"> this would address a serious flaw in SEIA/Vote Solar’s proposal, in that it does not encourage consumption of the solar system generation.</w:t>
      </w:r>
      <w:r w:rsidR="00500D9E">
        <w:rPr>
          <w:rStyle w:val="FootnoteReference"/>
        </w:rPr>
        <w:footnoteReference w:id="256"/>
      </w:r>
      <w:r w:rsidR="00701047">
        <w:t xml:space="preserve">  Sierra Club supports a similar proposal, recommending systems be sized to meet a household’s project</w:t>
      </w:r>
      <w:r w:rsidR="00E5112F">
        <w:t>ed</w:t>
      </w:r>
      <w:r w:rsidR="00701047">
        <w:t xml:space="preserve"> load if fully electrified with two electric vehicles</w:t>
      </w:r>
      <w:r w:rsidR="008B0576">
        <w:t>, and that net surplus compensation from oversized system</w:t>
      </w:r>
      <w:r w:rsidR="00FB4A0C">
        <w:t>s</w:t>
      </w:r>
      <w:r w:rsidR="008B0576">
        <w:t xml:space="preserve"> be collected to fund low</w:t>
      </w:r>
      <w:r w:rsidR="00827602">
        <w:noBreakHyphen/>
      </w:r>
      <w:r w:rsidR="008B0576">
        <w:t>income programs</w:t>
      </w:r>
      <w:r w:rsidR="00701047">
        <w:t>.</w:t>
      </w:r>
      <w:r w:rsidR="00701047">
        <w:rPr>
          <w:rStyle w:val="FootnoteReference"/>
        </w:rPr>
        <w:footnoteReference w:id="257"/>
      </w:r>
    </w:p>
    <w:p w:rsidR="006438AF" w:rsidP="005E7044" w:rsidRDefault="00500D9E" w14:paraId="3E63A2EE" w14:textId="03F4EF4D">
      <w:pPr>
        <w:pStyle w:val="Standard"/>
      </w:pPr>
      <w:r>
        <w:lastRenderedPageBreak/>
        <w:t xml:space="preserve">SEIA/Vote Solar note that in testimony, Joint Utilities </w:t>
      </w:r>
      <w:r w:rsidR="00BA1EAE">
        <w:t>“</w:t>
      </w:r>
      <w:r>
        <w:t>suggest that the Commission exercise ‘extreme caution’ when considering whether to allow the oversizing of systems by [net energy metering] customers.</w:t>
      </w:r>
      <w:r w:rsidR="00BA1EAE">
        <w:t>”</w:t>
      </w:r>
      <w:r>
        <w:rPr>
          <w:rStyle w:val="FootnoteReference"/>
        </w:rPr>
        <w:footnoteReference w:id="258"/>
      </w:r>
      <w:r w:rsidR="00986C63">
        <w:t xml:space="preserve">  </w:t>
      </w:r>
      <w:r w:rsidR="0022567F">
        <w:t>While not specifically</w:t>
      </w:r>
      <w:r w:rsidR="00986C63">
        <w:t xml:space="preserve"> oppos</w:t>
      </w:r>
      <w:r w:rsidR="0022567F">
        <w:t>ing</w:t>
      </w:r>
      <w:r w:rsidR="00986C63">
        <w:t xml:space="preserve"> this proposal, Joint Utilities argue that Commission policy has consistently been to require </w:t>
      </w:r>
      <w:r w:rsidR="00AF2EF1">
        <w:t xml:space="preserve">that </w:t>
      </w:r>
      <w:r w:rsidR="00986C63">
        <w:t>generation systems are sized to meet b</w:t>
      </w:r>
      <w:r w:rsidR="00AF2EF1">
        <w:t>ut</w:t>
      </w:r>
      <w:r w:rsidR="00986C63">
        <w:t xml:space="preserve"> not exceed a customer’s annual onsite load.</w:t>
      </w:r>
      <w:r w:rsidR="00986C63">
        <w:rPr>
          <w:rStyle w:val="FootnoteReference"/>
        </w:rPr>
        <w:footnoteReference w:id="259"/>
      </w:r>
    </w:p>
    <w:p w:rsidR="00533B2F" w:rsidP="005E7044" w:rsidRDefault="00FB333A" w14:paraId="08C30187" w14:textId="06BAFB1F">
      <w:pPr>
        <w:pStyle w:val="Standard"/>
      </w:pPr>
      <w:bookmarkStart w:name="_Hlk121496414" w:id="149"/>
      <w:r>
        <w:t xml:space="preserve">While the Commission has consistently sent a message that net energy metering systems should be sized to </w:t>
      </w:r>
      <w:r w:rsidR="00321AE9">
        <w:t xml:space="preserve">a customer’s onsite </w:t>
      </w:r>
      <w:r>
        <w:t xml:space="preserve">load, these messages were </w:t>
      </w:r>
      <w:r w:rsidR="00C61F5B">
        <w:t xml:space="preserve">conveyed </w:t>
      </w:r>
      <w:r>
        <w:t xml:space="preserve">prior to </w:t>
      </w:r>
      <w:r w:rsidR="00C61F5B">
        <w:t xml:space="preserve">the contemplation of the </w:t>
      </w:r>
      <w:r>
        <w:t>electrification</w:t>
      </w:r>
      <w:r w:rsidR="00C61F5B">
        <w:t xml:space="preserve"> policy</w:t>
      </w:r>
      <w:r>
        <w:t xml:space="preserve">.  None of the decisions cited by Joint Utilities address the </w:t>
      </w:r>
      <w:r w:rsidR="00C61F5B">
        <w:t>policy</w:t>
      </w:r>
      <w:r>
        <w:t xml:space="preserve"> of electrification.  </w:t>
      </w:r>
      <w:r w:rsidR="0022567F">
        <w:t>SEIA/Vote Solar’s proposal will further promote electrification and should be adopted</w:t>
      </w:r>
      <w:r w:rsidR="00983815">
        <w:t xml:space="preserve"> with </w:t>
      </w:r>
      <w:r w:rsidR="00B40364">
        <w:t xml:space="preserve">two </w:t>
      </w:r>
      <w:r w:rsidR="001456E6">
        <w:t>modification</w:t>
      </w:r>
      <w:r w:rsidR="00B40364">
        <w:t xml:space="preserve">s. First, </w:t>
      </w:r>
      <w:r w:rsidR="0073217E">
        <w:t xml:space="preserve">the measurement of </w:t>
      </w:r>
      <w:r w:rsidR="00B40364">
        <w:t>oversizing will be in comparison to the past 12</w:t>
      </w:r>
      <w:r w:rsidR="008E22AB">
        <w:t> </w:t>
      </w:r>
      <w:r w:rsidR="00B40364">
        <w:t>months of usage unless the customer does not yet have 12</w:t>
      </w:r>
      <w:r w:rsidR="008E22AB">
        <w:t> </w:t>
      </w:r>
      <w:r w:rsidR="00B40364">
        <w:t>months of usage or attests to having more recently increased their usage, and that customer must attest to expecting to increase their usage to correspond with the system size within 12</w:t>
      </w:r>
      <w:r w:rsidR="008E22AB">
        <w:t> </w:t>
      </w:r>
      <w:r w:rsidR="00B40364">
        <w:t>months of interconnection.</w:t>
      </w:r>
      <w:r w:rsidRPr="00054964" w:rsidR="00054964">
        <w:rPr>
          <w:rStyle w:val="FootnoteReference"/>
        </w:rPr>
        <w:t xml:space="preserve"> </w:t>
      </w:r>
      <w:r w:rsidR="00054964">
        <w:rPr>
          <w:rStyle w:val="FootnoteReference"/>
        </w:rPr>
        <w:footnoteReference w:id="260"/>
      </w:r>
      <w:r w:rsidR="00B40364">
        <w:t xml:space="preserve"> </w:t>
      </w:r>
      <w:r w:rsidR="00054964">
        <w:t xml:space="preserve"> </w:t>
      </w:r>
      <w:r w:rsidR="00B40364">
        <w:t>This first modification is similar to a current practice followed by SCE.</w:t>
      </w:r>
      <w:r w:rsidRPr="00B40364" w:rsidR="00B40364">
        <w:rPr>
          <w:rStyle w:val="FootnoteReference"/>
        </w:rPr>
        <w:t xml:space="preserve"> </w:t>
      </w:r>
      <w:r w:rsidR="00054964">
        <w:rPr>
          <w:rStyle w:val="FootnoteReference"/>
        </w:rPr>
        <w:t xml:space="preserve"> </w:t>
      </w:r>
      <w:r w:rsidR="00B40364">
        <w:t>This will prevent oversizing that is not designed to meet a future increase in onsite annual load.  The second modification is that</w:t>
      </w:r>
      <w:r w:rsidR="001456E6">
        <w:t xml:space="preserve"> net surplus generation will be compensated at </w:t>
      </w:r>
      <w:r w:rsidR="001E79F5">
        <w:t>the c</w:t>
      </w:r>
      <w:r w:rsidR="00812B81">
        <w:t>u</w:t>
      </w:r>
      <w:r w:rsidR="001E79F5">
        <w:t xml:space="preserve">rrent </w:t>
      </w:r>
      <w:r w:rsidR="001456E6">
        <w:t>net surplus compensation rates</w:t>
      </w:r>
      <w:r w:rsidR="001E79F5">
        <w:t xml:space="preserve">, as described in </w:t>
      </w:r>
      <w:r w:rsidR="0034029C">
        <w:t>Section 8</w:t>
      </w:r>
      <w:r w:rsidR="001E79F5">
        <w:t>.5.3 below</w:t>
      </w:r>
      <w:r w:rsidR="001456E6">
        <w:t xml:space="preserve">.  </w:t>
      </w:r>
      <w:r w:rsidR="001E79F5">
        <w:t xml:space="preserve">As Joint Utilities </w:t>
      </w:r>
      <w:r w:rsidR="009960D2">
        <w:t>described, the Commission require</w:t>
      </w:r>
      <w:r w:rsidR="00FB4A0C">
        <w:t>s</w:t>
      </w:r>
      <w:r w:rsidR="009960D2">
        <w:t xml:space="preserve"> utilities to compensate customer qualifying </w:t>
      </w:r>
      <w:r w:rsidR="009960D2">
        <w:lastRenderedPageBreak/>
        <w:t xml:space="preserve">facilities for net surplus </w:t>
      </w:r>
      <w:r w:rsidR="007C740A">
        <w:t>generation</w:t>
      </w:r>
      <w:r w:rsidR="009960D2">
        <w:t xml:space="preserve"> for </w:t>
      </w:r>
      <w:r w:rsidR="00BA1EAE">
        <w:t>“</w:t>
      </w:r>
      <w:r w:rsidR="009960D2">
        <w:t>random, modest, inadvertent net exports</w:t>
      </w:r>
      <w:r w:rsidR="00BA1EAE">
        <w:t>”</w:t>
      </w:r>
      <w:r w:rsidR="009960D2">
        <w:t xml:space="preserve"> at the Default Load Aggregation Point (</w:t>
      </w:r>
      <w:proofErr w:type="spellStart"/>
      <w:r w:rsidR="009960D2">
        <w:t>DLAP</w:t>
      </w:r>
      <w:proofErr w:type="spellEnd"/>
      <w:r w:rsidR="009960D2">
        <w:t>) price.</w:t>
      </w:r>
      <w:r w:rsidR="00141E2A">
        <w:rPr>
          <w:rStyle w:val="FootnoteReference"/>
        </w:rPr>
        <w:footnoteReference w:id="261"/>
      </w:r>
      <w:r w:rsidR="001E79F5">
        <w:t xml:space="preserve"> </w:t>
      </w:r>
      <w:r w:rsidR="00141E2A">
        <w:t xml:space="preserve"> </w:t>
      </w:r>
      <w:r w:rsidR="00983815">
        <w:t>The</w:t>
      </w:r>
      <w:r w:rsidR="00E24E16">
        <w:t xml:space="preserve"> Commission is not revising the compensation for net surplus generation at this time.</w:t>
      </w:r>
      <w:r w:rsidR="00E24E16">
        <w:rPr>
          <w:rStyle w:val="FootnoteReference"/>
        </w:rPr>
        <w:footnoteReference w:id="262"/>
      </w:r>
      <w:r w:rsidR="00E24E16">
        <w:t xml:space="preserve">  </w:t>
      </w:r>
      <w:bookmarkEnd w:id="149"/>
    </w:p>
    <w:p w:rsidR="00252DB7" w:rsidP="005E7044" w:rsidRDefault="00252DB7" w14:paraId="5C144F95" w14:textId="69C9F956">
      <w:pPr>
        <w:pStyle w:val="Heading3"/>
        <w:keepLines w:val="0"/>
      </w:pPr>
      <w:bookmarkStart w:name="_Toc117674086" w:id="150"/>
      <w:bookmarkStart w:name="_Toc118285077" w:id="151"/>
      <w:bookmarkStart w:name="_Toc121854404" w:id="152"/>
      <w:r>
        <w:t xml:space="preserve">The Successor </w:t>
      </w:r>
      <w:r w:rsidR="005864F5">
        <w:t xml:space="preserve">Tariff </w:t>
      </w:r>
      <w:r>
        <w:t xml:space="preserve">Should </w:t>
      </w:r>
      <w:r w:rsidR="00D33B1B">
        <w:t>Transition</w:t>
      </w:r>
      <w:r w:rsidR="00B23047">
        <w:br/>
      </w:r>
      <w:r w:rsidR="00D33B1B">
        <w:t>the</w:t>
      </w:r>
      <w:r w:rsidR="00B23047">
        <w:t xml:space="preserve"> </w:t>
      </w:r>
      <w:r w:rsidR="001C3E48">
        <w:t>Solar Market to a Solar Paired</w:t>
      </w:r>
      <w:r w:rsidR="00B23047">
        <w:br/>
      </w:r>
      <w:r w:rsidR="001C3E48">
        <w:t>with</w:t>
      </w:r>
      <w:r w:rsidR="00B23047">
        <w:t xml:space="preserve"> </w:t>
      </w:r>
      <w:r w:rsidR="001C3E48">
        <w:t>Storage Market</w:t>
      </w:r>
      <w:bookmarkEnd w:id="150"/>
      <w:bookmarkEnd w:id="151"/>
      <w:bookmarkEnd w:id="152"/>
    </w:p>
    <w:p w:rsidR="008A3924" w:rsidP="005E7044" w:rsidRDefault="000B2505" w14:paraId="24F38C8A" w14:textId="73D41827">
      <w:pPr>
        <w:pStyle w:val="Standard"/>
      </w:pPr>
      <w:r>
        <w:t>SEIA/Vote Solar observe part</w:t>
      </w:r>
      <w:r w:rsidR="00C61F5B">
        <w:t>y</w:t>
      </w:r>
      <w:r>
        <w:t xml:space="preserve"> agree</w:t>
      </w:r>
      <w:r w:rsidR="00C61F5B">
        <w:t>ment that</w:t>
      </w:r>
      <w:r w:rsidR="00B31D64">
        <w:t xml:space="preserve"> </w:t>
      </w:r>
      <w:r>
        <w:t>the solar industry in California must tra</w:t>
      </w:r>
      <w:r w:rsidR="00220110">
        <w:t>ns</w:t>
      </w:r>
      <w:r>
        <w:t xml:space="preserve">ition to </w:t>
      </w:r>
      <w:r w:rsidR="00E71FF3">
        <w:t>paired storage</w:t>
      </w:r>
      <w:r>
        <w:t>.</w:t>
      </w:r>
      <w:r w:rsidR="006216CC">
        <w:rPr>
          <w:rStyle w:val="FootnoteReference"/>
        </w:rPr>
        <w:footnoteReference w:id="263"/>
      </w:r>
      <w:r>
        <w:t xml:space="preserve">  </w:t>
      </w:r>
      <w:r w:rsidR="00B31D64">
        <w:t>PCF points out that most parties also agree</w:t>
      </w:r>
      <w:r w:rsidR="00220110">
        <w:t xml:space="preserve"> that</w:t>
      </w:r>
      <w:r w:rsidR="00B31D64">
        <w:t xml:space="preserve"> </w:t>
      </w:r>
      <w:r w:rsidR="00BA1EAE">
        <w:t>“</w:t>
      </w:r>
      <w:r w:rsidR="00B31D64">
        <w:t>storage resources have the ability to increase the benefits of net energy metering solar to the grid.</w:t>
      </w:r>
      <w:r w:rsidR="00BA1EAE">
        <w:t>”</w:t>
      </w:r>
      <w:r w:rsidR="00B31D64">
        <w:rPr>
          <w:rStyle w:val="FootnoteReference"/>
        </w:rPr>
        <w:footnoteReference w:id="264"/>
      </w:r>
      <w:r w:rsidR="00B31D64">
        <w:t xml:space="preserve">  To explain this </w:t>
      </w:r>
      <w:r w:rsidR="00220110">
        <w:t>assertion</w:t>
      </w:r>
      <w:r w:rsidR="00B31D64">
        <w:t xml:space="preserve">, </w:t>
      </w:r>
      <w:r w:rsidR="008A3924">
        <w:t xml:space="preserve">PCF submits </w:t>
      </w:r>
      <w:r w:rsidR="00220110">
        <w:t xml:space="preserve">that </w:t>
      </w:r>
      <w:r w:rsidR="008A3924">
        <w:t>storage paired with renewable generation can help flatten the demand curve and reduce strain on the grid by shifting the time renewable energy is consumed to later in the day.</w:t>
      </w:r>
      <w:r w:rsidR="008A3924">
        <w:rPr>
          <w:rStyle w:val="FootnoteReference"/>
        </w:rPr>
        <w:footnoteReference w:id="265"/>
      </w:r>
      <w:r w:rsidR="00B31D64">
        <w:t xml:space="preserve">  Joint Utilities </w:t>
      </w:r>
      <w:r w:rsidR="00DD22CF">
        <w:t>agree the Commission should promote storage</w:t>
      </w:r>
      <w:r w:rsidR="00220110">
        <w:t>,</w:t>
      </w:r>
      <w:r w:rsidR="00DD22CF">
        <w:t xml:space="preserve"> stating that storage</w:t>
      </w:r>
      <w:r w:rsidR="00827602">
        <w:noBreakHyphen/>
      </w:r>
      <w:r w:rsidR="00DD22CF">
        <w:t xml:space="preserve">paired solar systems can provide </w:t>
      </w:r>
      <w:r w:rsidR="00320820">
        <w:t>better alignment between grid and customer benefits.</w:t>
      </w:r>
      <w:r w:rsidR="00320820">
        <w:rPr>
          <w:rStyle w:val="FootnoteReference"/>
        </w:rPr>
        <w:footnoteReference w:id="266"/>
      </w:r>
      <w:r w:rsidR="00320820">
        <w:t xml:space="preserve">  </w:t>
      </w:r>
      <w:r w:rsidR="00220110">
        <w:t xml:space="preserve">However, </w:t>
      </w:r>
      <w:proofErr w:type="spellStart"/>
      <w:r w:rsidR="008A3924">
        <w:t>CALSSA</w:t>
      </w:r>
      <w:proofErr w:type="spellEnd"/>
      <w:r w:rsidR="008A3924">
        <w:t xml:space="preserve"> asserts that storage will come on the back of the solar market, contending that limited </w:t>
      </w:r>
      <w:r>
        <w:t>b</w:t>
      </w:r>
      <w:r w:rsidR="008A3924">
        <w:t>attery availability and high soft costs for storage projects</w:t>
      </w:r>
      <w:r>
        <w:t xml:space="preserve"> </w:t>
      </w:r>
      <w:r w:rsidR="008A3924">
        <w:t>remain barriers to full</w:t>
      </w:r>
      <w:r w:rsidR="00827602">
        <w:noBreakHyphen/>
      </w:r>
      <w:r>
        <w:t>scale storage deployment.</w:t>
      </w:r>
      <w:r>
        <w:rPr>
          <w:rStyle w:val="FootnoteReference"/>
        </w:rPr>
        <w:footnoteReference w:id="267"/>
      </w:r>
      <w:r>
        <w:t xml:space="preserve">  </w:t>
      </w:r>
      <w:proofErr w:type="spellStart"/>
      <w:r>
        <w:t>CALSSA</w:t>
      </w:r>
      <w:proofErr w:type="spellEnd"/>
      <w:r>
        <w:t xml:space="preserve"> cautions the Commission to allow time for the storage market to mature</w:t>
      </w:r>
      <w:r w:rsidR="00320820">
        <w:t xml:space="preserve"> before relying primarily on paired storage.</w:t>
      </w:r>
    </w:p>
    <w:p w:rsidR="000119F0" w:rsidP="005E7044" w:rsidRDefault="000119F0" w14:paraId="2400362E" w14:textId="376D2067">
      <w:pPr>
        <w:pStyle w:val="Standard"/>
      </w:pPr>
      <w:r>
        <w:lastRenderedPageBreak/>
        <w:t>PCF recommends the Commission encourage customers to maximize the value of their behind</w:t>
      </w:r>
      <w:r w:rsidR="00827602">
        <w:noBreakHyphen/>
      </w:r>
      <w:r>
        <w:t>the</w:t>
      </w:r>
      <w:r w:rsidR="00827602">
        <w:noBreakHyphen/>
      </w:r>
      <w:r>
        <w:t xml:space="preserve">meter systems to </w:t>
      </w:r>
      <w:r w:rsidR="00A26142">
        <w:t xml:space="preserve">the </w:t>
      </w:r>
      <w:r>
        <w:t>grid by increasing incentives to pair solar with storage.</w:t>
      </w:r>
      <w:r>
        <w:rPr>
          <w:rStyle w:val="FootnoteReference"/>
        </w:rPr>
        <w:footnoteReference w:id="268"/>
      </w:r>
      <w:r>
        <w:t xml:space="preserve">  Noting the small differentials between peak</w:t>
      </w:r>
      <w:r w:rsidR="00827602">
        <w:noBreakHyphen/>
      </w:r>
      <w:r>
        <w:t xml:space="preserve"> and off</w:t>
      </w:r>
      <w:r w:rsidR="00827602">
        <w:noBreakHyphen/>
      </w:r>
      <w:r>
        <w:t xml:space="preserve">peak pricing </w:t>
      </w:r>
      <w:r w:rsidR="000C4710">
        <w:t>weaken the price signals to customers, PCF submits time</w:t>
      </w:r>
      <w:r w:rsidR="00827602">
        <w:noBreakHyphen/>
      </w:r>
      <w:r w:rsidR="000C4710">
        <w:t>of</w:t>
      </w:r>
      <w:r w:rsidR="00827602">
        <w:noBreakHyphen/>
      </w:r>
      <w:r w:rsidR="000C4710">
        <w:t>use rates should be revised to provide greater differentials between peak</w:t>
      </w:r>
      <w:r w:rsidR="00827602">
        <w:noBreakHyphen/>
      </w:r>
      <w:r w:rsidR="000C4710">
        <w:t xml:space="preserve"> and off</w:t>
      </w:r>
      <w:r w:rsidR="00827602">
        <w:noBreakHyphen/>
      </w:r>
      <w:r w:rsidR="000C4710">
        <w:t>peak pricing.</w:t>
      </w:r>
      <w:r w:rsidR="000C4710">
        <w:rPr>
          <w:rStyle w:val="FootnoteReference"/>
        </w:rPr>
        <w:footnoteReference w:id="269"/>
      </w:r>
      <w:r w:rsidR="000C4710">
        <w:t xml:space="preserve">  PCF contends paired storage would then be encouraged to discharge batteries during peak periods.</w:t>
      </w:r>
      <w:r w:rsidR="000C4710">
        <w:rPr>
          <w:rStyle w:val="FootnoteReference"/>
        </w:rPr>
        <w:footnoteReference w:id="270"/>
      </w:r>
    </w:p>
    <w:p w:rsidR="000119F0" w:rsidP="005E7044" w:rsidRDefault="00983815" w14:paraId="5B174E27" w14:textId="14E64516">
      <w:pPr>
        <w:pStyle w:val="Standard"/>
      </w:pPr>
      <w:r>
        <w:t xml:space="preserve">This decision </w:t>
      </w:r>
      <w:r w:rsidR="00DF71F8">
        <w:t>agree</w:t>
      </w:r>
      <w:r>
        <w:t>s</w:t>
      </w:r>
      <w:r w:rsidR="00DF71F8">
        <w:t xml:space="preserve"> that the addition of storage provides greater benefits to both the customer and the grid.  For example, Joint Utilities highlight that </w:t>
      </w:r>
      <w:r w:rsidR="00BA1EAE">
        <w:t>“</w:t>
      </w:r>
      <w:r w:rsidR="00DF71F8">
        <w:t>paired storage can help manage the problems created by generation (since behind</w:t>
      </w:r>
      <w:r w:rsidR="00827602">
        <w:noBreakHyphen/>
      </w:r>
      <w:r w:rsidR="00DF71F8">
        <w:t>the</w:t>
      </w:r>
      <w:r w:rsidR="00827602">
        <w:noBreakHyphen/>
      </w:r>
      <w:r w:rsidR="00DF71F8">
        <w:t>meter solar cannot be curtailed), in that such excess energy can be stored…</w:t>
      </w:r>
      <w:r w:rsidR="005377BD">
        <w:t xml:space="preserve"> </w:t>
      </w:r>
      <w:r w:rsidR="00DF71F8">
        <w:t>to meet load at its peak later in the day.</w:t>
      </w:r>
      <w:r w:rsidR="00BA1EAE">
        <w:t>”</w:t>
      </w:r>
      <w:r w:rsidR="00DF71F8">
        <w:rPr>
          <w:rStyle w:val="FootnoteReference"/>
        </w:rPr>
        <w:footnoteReference w:id="271"/>
      </w:r>
      <w:r w:rsidR="00DF71F8">
        <w:t xml:space="preserve">  Joint Utilities contend </w:t>
      </w:r>
      <w:r w:rsidR="00BA1EAE">
        <w:t>“</w:t>
      </w:r>
      <w:r w:rsidR="00DF71F8">
        <w:t>paired storage will reduce our dependency upon carbon emitting resources.</w:t>
      </w:r>
      <w:r w:rsidR="00BA1EAE">
        <w:t>”</w:t>
      </w:r>
      <w:r w:rsidR="00DF71F8">
        <w:rPr>
          <w:rStyle w:val="FootnoteReference"/>
        </w:rPr>
        <w:footnoteReference w:id="272"/>
      </w:r>
      <w:r w:rsidR="005B4DEB">
        <w:t xml:space="preserve">  Joint Utilities also assert financial benefits to customers, maintaining that, </w:t>
      </w:r>
      <w:r w:rsidR="00BA1EAE">
        <w:t>“</w:t>
      </w:r>
      <w:r w:rsidR="005B4DEB">
        <w:t>s</w:t>
      </w:r>
      <w:r w:rsidRPr="005B4DEB" w:rsidR="005B4DEB">
        <w:t>torage allows the customer to use energy generated by their panels during low</w:t>
      </w:r>
      <w:r w:rsidR="00827602">
        <w:noBreakHyphen/>
      </w:r>
      <w:r w:rsidRPr="005B4DEB" w:rsidR="005B4DEB">
        <w:t>value midday hours later in the day when the sun is not shining and energy prices are at their highest, shortening the system payback period.</w:t>
      </w:r>
      <w:r w:rsidR="00BA1EAE">
        <w:t>”</w:t>
      </w:r>
      <w:r w:rsidR="005B4DEB">
        <w:rPr>
          <w:rStyle w:val="FootnoteReference"/>
        </w:rPr>
        <w:footnoteReference w:id="273"/>
      </w:r>
      <w:r w:rsidR="00117709">
        <w:t xml:space="preserve">  Some parties also note </w:t>
      </w:r>
      <w:r w:rsidR="001C3E48">
        <w:t>the importance of</w:t>
      </w:r>
      <w:r w:rsidR="00117709">
        <w:t xml:space="preserve"> virtual power plant pilots underway that aggregate behind</w:t>
      </w:r>
      <w:r w:rsidR="00827602">
        <w:noBreakHyphen/>
      </w:r>
      <w:r w:rsidR="00117709">
        <w:t>the</w:t>
      </w:r>
      <w:r w:rsidR="00827602">
        <w:noBreakHyphen/>
      </w:r>
      <w:r w:rsidR="00117709">
        <w:t xml:space="preserve">meter storage projects to drive down peak demand when </w:t>
      </w:r>
      <w:r w:rsidR="00117709">
        <w:lastRenderedPageBreak/>
        <w:t>the grid is stressed</w:t>
      </w:r>
      <w:r w:rsidR="001C3E48">
        <w:t xml:space="preserve"> and count toward local capacity requirements</w:t>
      </w:r>
      <w:r w:rsidR="00117709">
        <w:t xml:space="preserve">, </w:t>
      </w:r>
      <w:r w:rsidR="001C3E48">
        <w:t>creating</w:t>
      </w:r>
      <w:r w:rsidR="00117709">
        <w:t xml:space="preserve"> a potential new value stream for storage customers.</w:t>
      </w:r>
      <w:r w:rsidR="001C3E48">
        <w:rPr>
          <w:rStyle w:val="FootnoteReference"/>
        </w:rPr>
        <w:footnoteReference w:id="274"/>
      </w:r>
    </w:p>
    <w:p w:rsidR="005034EB" w:rsidP="005E7044" w:rsidRDefault="000119F0" w14:paraId="2172C478" w14:textId="12F1391C">
      <w:pPr>
        <w:pStyle w:val="Standard"/>
      </w:pPr>
      <w:r>
        <w:t xml:space="preserve">While </w:t>
      </w:r>
      <w:r w:rsidR="00983815">
        <w:t xml:space="preserve">the Commission </w:t>
      </w:r>
      <w:r>
        <w:t>acknowledge</w:t>
      </w:r>
      <w:r w:rsidR="00983815">
        <w:t>s</w:t>
      </w:r>
      <w:r>
        <w:t xml:space="preserve"> the benefits of storage, the current cost of storage create</w:t>
      </w:r>
      <w:r w:rsidR="006F4726">
        <w:t>s</w:t>
      </w:r>
      <w:r>
        <w:t xml:space="preserve"> cost</w:t>
      </w:r>
      <w:r w:rsidR="00827602">
        <w:noBreakHyphen/>
      </w:r>
      <w:r>
        <w:t xml:space="preserve">effectiveness concerns </w:t>
      </w:r>
      <w:r w:rsidR="000C4710">
        <w:t xml:space="preserve">as </w:t>
      </w:r>
      <w:r w:rsidR="00087EB9">
        <w:t>discussed in</w:t>
      </w:r>
      <w:r w:rsidR="000C4710">
        <w:t xml:space="preserve"> the Lookback Study</w:t>
      </w:r>
      <w:r w:rsidR="001E6766">
        <w:t xml:space="preserve">.  The Lookback Study found that the </w:t>
      </w:r>
      <w:proofErr w:type="spellStart"/>
      <w:r w:rsidR="001E6766">
        <w:t>TRC</w:t>
      </w:r>
      <w:proofErr w:type="spellEnd"/>
      <w:r w:rsidR="001E6766">
        <w:t xml:space="preserve"> test’s benefit</w:t>
      </w:r>
      <w:r w:rsidR="00827602">
        <w:noBreakHyphen/>
      </w:r>
      <w:r w:rsidR="001E6766">
        <w:t xml:space="preserve">cost ratio is consistently higher for solar PV systems when compared to paired storage systems.  The study surmised that this </w:t>
      </w:r>
      <w:r w:rsidR="00BA1EAE">
        <w:t>“</w:t>
      </w:r>
      <w:r w:rsidR="001E6766">
        <w:t>suggests that while energy storage systems can achieve higher avoided cost benefits, the incremental costs of energy storage are greater than the avoided cost benefits they currently provide</w:t>
      </w:r>
      <w:r w:rsidR="00BA1EAE">
        <w:t>”</w:t>
      </w:r>
      <w:r w:rsidR="001E6766">
        <w:t xml:space="preserve"> but </w:t>
      </w:r>
      <w:r w:rsidR="00BA1EAE">
        <w:t>“</w:t>
      </w:r>
      <w:r w:rsidR="001E6766">
        <w:t xml:space="preserve">future energy storage cost reductions would tend to improve the </w:t>
      </w:r>
      <w:proofErr w:type="spellStart"/>
      <w:r w:rsidR="001E6766">
        <w:t>TRC</w:t>
      </w:r>
      <w:proofErr w:type="spellEnd"/>
      <w:r w:rsidR="001E6766">
        <w:t xml:space="preserve"> for [paired storage] systems.</w:t>
      </w:r>
      <w:r w:rsidR="00BA1EAE">
        <w:t>”</w:t>
      </w:r>
      <w:r w:rsidR="001E6766">
        <w:rPr>
          <w:rStyle w:val="FootnoteReference"/>
        </w:rPr>
        <w:footnoteReference w:id="275"/>
      </w:r>
      <w:r w:rsidR="007543A3">
        <w:t xml:space="preserve">  </w:t>
      </w:r>
      <w:r w:rsidR="001E6766">
        <w:t xml:space="preserve">The </w:t>
      </w:r>
      <w:r w:rsidR="00654639">
        <w:t xml:space="preserve">current </w:t>
      </w:r>
      <w:r w:rsidR="001E6766">
        <w:t xml:space="preserve">cost of storage also </w:t>
      </w:r>
      <w:r>
        <w:t>present</w:t>
      </w:r>
      <w:r w:rsidR="006F4726">
        <w:t>s</w:t>
      </w:r>
      <w:r>
        <w:t xml:space="preserve"> a barrier to widespread adoption</w:t>
      </w:r>
      <w:r w:rsidR="00654639">
        <w:t xml:space="preserve"> in the near</w:t>
      </w:r>
      <w:r w:rsidR="00827602">
        <w:noBreakHyphen/>
      </w:r>
      <w:r w:rsidR="00654639">
        <w:t>term</w:t>
      </w:r>
      <w:r w:rsidR="000C4710">
        <w:t xml:space="preserve">, as </w:t>
      </w:r>
      <w:r w:rsidR="005034EB">
        <w:t>underscored</w:t>
      </w:r>
      <w:r w:rsidR="000C4710">
        <w:t xml:space="preserve"> by </w:t>
      </w:r>
      <w:proofErr w:type="spellStart"/>
      <w:r w:rsidR="000C4710">
        <w:t>CALSSA</w:t>
      </w:r>
      <w:proofErr w:type="spellEnd"/>
      <w:r w:rsidR="000C4710">
        <w:t xml:space="preserve"> and PCF</w:t>
      </w:r>
      <w:r>
        <w:t xml:space="preserve">.  </w:t>
      </w:r>
      <w:r w:rsidR="006F4726">
        <w:t xml:space="preserve">PCF references an analysis performed by E3, where E3 estimated that the addition of a battery increased the length of a </w:t>
      </w:r>
      <w:r w:rsidR="00602BC5">
        <w:t>NEM 2.0</w:t>
      </w:r>
      <w:r w:rsidR="00135D55">
        <w:t xml:space="preserve"> </w:t>
      </w:r>
      <w:r w:rsidR="006F4726">
        <w:t>customer’s payback period by 14 to 2</w:t>
      </w:r>
      <w:r w:rsidR="00C04724">
        <w:t>5 percent</w:t>
      </w:r>
      <w:r w:rsidR="006F4726">
        <w:t>, depending on the utility.</w:t>
      </w:r>
      <w:r w:rsidR="006F4726">
        <w:rPr>
          <w:rStyle w:val="FootnoteReference"/>
        </w:rPr>
        <w:footnoteReference w:id="276"/>
      </w:r>
      <w:r w:rsidR="0076154B">
        <w:t xml:space="preserve">  </w:t>
      </w:r>
      <w:r w:rsidR="00087EB9">
        <w:t>H</w:t>
      </w:r>
      <w:r w:rsidR="0076154B">
        <w:t xml:space="preserve">owever, this same analysis indicates a higher </w:t>
      </w:r>
      <w:proofErr w:type="spellStart"/>
      <w:r w:rsidR="0076154B">
        <w:t>TRC</w:t>
      </w:r>
      <w:proofErr w:type="spellEnd"/>
      <w:r w:rsidR="0076154B">
        <w:t xml:space="preserve"> test results for </w:t>
      </w:r>
      <w:r w:rsidR="00602BC5">
        <w:t>NEM 2.0</w:t>
      </w:r>
      <w:r w:rsidR="00135D55">
        <w:t xml:space="preserve"> </w:t>
      </w:r>
      <w:r w:rsidR="00024914">
        <w:t xml:space="preserve">solar paired with </w:t>
      </w:r>
      <w:r w:rsidR="0076154B">
        <w:t>stor</w:t>
      </w:r>
      <w:r w:rsidR="00024914">
        <w:t>a</w:t>
      </w:r>
      <w:r w:rsidR="0076154B">
        <w:t xml:space="preserve">ge and </w:t>
      </w:r>
      <w:r w:rsidR="00602BC5">
        <w:t>NEM 2.0</w:t>
      </w:r>
      <w:r w:rsidR="00135D55">
        <w:t xml:space="preserve"> </w:t>
      </w:r>
      <w:r w:rsidR="00626763">
        <w:t>stand</w:t>
      </w:r>
      <w:r w:rsidR="00827602">
        <w:noBreakHyphen/>
      </w:r>
      <w:r w:rsidR="00626763">
        <w:t xml:space="preserve">alone </w:t>
      </w:r>
      <w:r w:rsidR="0076154B">
        <w:t>solar.  With these facts in mind,</w:t>
      </w:r>
      <w:r w:rsidR="005034EB">
        <w:t xml:space="preserve"> it is and will </w:t>
      </w:r>
      <w:r w:rsidR="00E63FE5">
        <w:t xml:space="preserve">continue to </w:t>
      </w:r>
      <w:r w:rsidR="005034EB">
        <w:t>be Commission policy to encourage solar</w:t>
      </w:r>
      <w:r w:rsidR="00626763">
        <w:t xml:space="preserve"> systems paired with storage</w:t>
      </w:r>
      <w:r w:rsidR="00C93EAF">
        <w:t xml:space="preserve">, while considering the </w:t>
      </w:r>
      <w:r w:rsidR="0076154B">
        <w:t>costs and benefits</w:t>
      </w:r>
      <w:r w:rsidR="005034EB">
        <w:t xml:space="preserve">.  As discussed in </w:t>
      </w:r>
      <w:r w:rsidR="0034029C">
        <w:t>Section 8</w:t>
      </w:r>
      <w:r w:rsidR="005034EB">
        <w:t xml:space="preserve">.4 and </w:t>
      </w:r>
      <w:r w:rsidR="007543A3">
        <w:t>Section </w:t>
      </w:r>
      <w:r w:rsidR="005034EB">
        <w:t>8.</w:t>
      </w:r>
      <w:r w:rsidR="001E6766">
        <w:t>5</w:t>
      </w:r>
      <w:r w:rsidR="00E63FE5">
        <w:t xml:space="preserve"> below</w:t>
      </w:r>
      <w:r w:rsidR="005034EB">
        <w:t xml:space="preserve">, </w:t>
      </w:r>
      <w:r w:rsidR="00087EB9">
        <w:t xml:space="preserve">this decision </w:t>
      </w:r>
      <w:r w:rsidR="005034EB">
        <w:t>adopt</w:t>
      </w:r>
      <w:r w:rsidR="00087EB9">
        <w:t>s</w:t>
      </w:r>
      <w:r w:rsidR="005034EB">
        <w:t xml:space="preserve"> a successor tariff with this balance at the forefront.</w:t>
      </w:r>
    </w:p>
    <w:p w:rsidR="00252DB7" w:rsidP="005E7044" w:rsidRDefault="00252DB7" w14:paraId="24B19265" w14:textId="118BBD86">
      <w:pPr>
        <w:pStyle w:val="Heading2"/>
        <w:keepLines w:val="0"/>
      </w:pPr>
      <w:bookmarkStart w:name="_Toc117674087" w:id="153"/>
      <w:bookmarkStart w:name="_Toc118285078" w:id="154"/>
      <w:bookmarkStart w:name="_Toc121854405" w:id="155"/>
      <w:bookmarkEnd w:id="118"/>
      <w:r>
        <w:lastRenderedPageBreak/>
        <w:t>Elements to Include in</w:t>
      </w:r>
      <w:r w:rsidR="00165B44">
        <w:br/>
      </w:r>
      <w:r>
        <w:t>the</w:t>
      </w:r>
      <w:r w:rsidR="00165B44">
        <w:t xml:space="preserve"> </w:t>
      </w:r>
      <w:r>
        <w:t>Successor Tariff</w:t>
      </w:r>
      <w:bookmarkEnd w:id="153"/>
      <w:bookmarkEnd w:id="154"/>
      <w:bookmarkEnd w:id="155"/>
    </w:p>
    <w:p w:rsidR="009C442C" w:rsidP="005E7044" w:rsidRDefault="00252DB7" w14:paraId="3E75C956" w14:textId="0E2135BB">
      <w:pPr>
        <w:pStyle w:val="Standard"/>
      </w:pPr>
      <w:r>
        <w:t xml:space="preserve">Parties presented recommended policies for the successor tariff.  Of the recommended policies, the </w:t>
      </w:r>
      <w:r w:rsidR="00E91C73">
        <w:t xml:space="preserve">structure of the </w:t>
      </w:r>
      <w:r>
        <w:t xml:space="preserve">successor tariff </w:t>
      </w:r>
      <w:r w:rsidR="00E91C73">
        <w:t xml:space="preserve">should be revised to be a better version of net billing, with a </w:t>
      </w:r>
      <w:r w:rsidR="00BB6391">
        <w:t xml:space="preserve">retail </w:t>
      </w:r>
      <w:r w:rsidR="00E91C73">
        <w:t xml:space="preserve">export compensation rate better aligned with the value </w:t>
      </w:r>
      <w:r w:rsidR="00750601">
        <w:t>exported energy</w:t>
      </w:r>
      <w:r w:rsidR="00E91C73">
        <w:t xml:space="preserve"> provides to the grid based on when the value </w:t>
      </w:r>
      <w:r w:rsidR="0076154B">
        <w:t xml:space="preserve">in terms of energy </w:t>
      </w:r>
      <w:r w:rsidR="00E91C73">
        <w:t xml:space="preserve">is provided.  Hence, </w:t>
      </w:r>
      <w:r w:rsidR="00BB6391">
        <w:t xml:space="preserve">retail </w:t>
      </w:r>
      <w:r w:rsidR="00E91C73">
        <w:t xml:space="preserve">export compensation </w:t>
      </w:r>
      <w:r w:rsidR="00BB6391">
        <w:t xml:space="preserve">rates </w:t>
      </w:r>
      <w:r w:rsidR="00E91C73">
        <w:t xml:space="preserve">should be based on avoided cost values and </w:t>
      </w:r>
      <w:r w:rsidR="0076154B">
        <w:t xml:space="preserve">successor </w:t>
      </w:r>
      <w:r w:rsidR="00E91C73">
        <w:t xml:space="preserve">tariff customers should pay for their usage of the grid.  Further, the import rate should align with </w:t>
      </w:r>
      <w:r w:rsidR="00DB4129">
        <w:t xml:space="preserve">the </w:t>
      </w:r>
      <w:r w:rsidR="00E91C73">
        <w:t xml:space="preserve">prior determination of </w:t>
      </w:r>
      <w:r w:rsidR="00927CE0">
        <w:t>promoting paired storage and</w:t>
      </w:r>
      <w:r w:rsidR="00E91C73">
        <w:t xml:space="preserve"> electrification.  Finally, in order to ensure </w:t>
      </w:r>
      <w:r w:rsidR="00024914">
        <w:t>that customer</w:t>
      </w:r>
      <w:r w:rsidR="00827602">
        <w:noBreakHyphen/>
      </w:r>
      <w:r w:rsidR="00024914">
        <w:t xml:space="preserve">sited renewable </w:t>
      </w:r>
      <w:r w:rsidR="00E91C73">
        <w:t>distributed generation</w:t>
      </w:r>
      <w:r w:rsidR="00024914">
        <w:t xml:space="preserve"> continues to grow sustainably</w:t>
      </w:r>
      <w:r w:rsidR="00E91C73">
        <w:t>, a glide path in the form of a</w:t>
      </w:r>
      <w:r w:rsidR="000B5FDF">
        <w:t>n</w:t>
      </w:r>
      <w:r w:rsidR="00E91C73">
        <w:t xml:space="preserve"> </w:t>
      </w:r>
      <w:r w:rsidR="008B0576">
        <w:t xml:space="preserve">Avoided Cost Calculator </w:t>
      </w:r>
      <w:r w:rsidR="000B5FDF">
        <w:t>Plus Adder</w:t>
      </w:r>
      <w:r w:rsidR="00E91C73">
        <w:t xml:space="preserve"> </w:t>
      </w:r>
      <w:r w:rsidR="008B0576">
        <w:t xml:space="preserve">(ACC Plus) </w:t>
      </w:r>
      <w:r w:rsidR="00E91C73">
        <w:t xml:space="preserve">offers a better option for </w:t>
      </w:r>
      <w:r w:rsidR="00DA4A81">
        <w:t xml:space="preserve">balancing the needs of participants and all other ratepayers.  </w:t>
      </w:r>
      <w:r w:rsidR="00C93EAF">
        <w:t>E</w:t>
      </w:r>
      <w:r w:rsidR="00DA4A81">
        <w:t xml:space="preserve">ach of the elements </w:t>
      </w:r>
      <w:r w:rsidR="00C93EAF">
        <w:t xml:space="preserve">are discussed separately </w:t>
      </w:r>
      <w:r w:rsidR="00DA4A81">
        <w:t>below.</w:t>
      </w:r>
    </w:p>
    <w:p w:rsidR="00252DB7" w:rsidP="005E7044" w:rsidRDefault="00BB6391" w14:paraId="4A2B417C" w14:textId="1E0BCE7A">
      <w:pPr>
        <w:pStyle w:val="Heading3"/>
        <w:keepLines w:val="0"/>
      </w:pPr>
      <w:bookmarkStart w:name="_Toc118285079" w:id="156"/>
      <w:bookmarkStart w:name="_Toc121854406" w:id="157"/>
      <w:r>
        <w:t xml:space="preserve">Retail </w:t>
      </w:r>
      <w:r w:rsidR="00116E9B">
        <w:t xml:space="preserve">Export </w:t>
      </w:r>
      <w:bookmarkStart w:name="_Toc117674088" w:id="158"/>
      <w:r w:rsidR="00252DB7">
        <w:t>Compensation</w:t>
      </w:r>
      <w:r w:rsidR="00830AA0">
        <w:br/>
      </w:r>
      <w:r>
        <w:t xml:space="preserve">Rate </w:t>
      </w:r>
      <w:r w:rsidR="00272459">
        <w:t>Structure</w:t>
      </w:r>
      <w:bookmarkEnd w:id="156"/>
      <w:bookmarkEnd w:id="157"/>
      <w:bookmarkEnd w:id="158"/>
    </w:p>
    <w:p w:rsidR="00252DB7" w:rsidP="005E7044" w:rsidRDefault="00272459" w14:paraId="787C0BE2" w14:textId="4C1E7FAC">
      <w:pPr>
        <w:pStyle w:val="Standard"/>
      </w:pPr>
      <w:r>
        <w:t>Net billing allows the dollar value of credits to be set at a different level than the energy’s import price.</w:t>
      </w:r>
      <w:r w:rsidR="00E90BCE">
        <w:t xml:space="preserve">  W</w:t>
      </w:r>
      <w:r>
        <w:t xml:space="preserve">ith the exception of </w:t>
      </w:r>
      <w:r w:rsidR="00E90BCE">
        <w:t xml:space="preserve">Clean Coalition and </w:t>
      </w:r>
      <w:r>
        <w:t xml:space="preserve">PCF, most parties support the </w:t>
      </w:r>
      <w:r w:rsidR="002B41A7">
        <w:t>use</w:t>
      </w:r>
      <w:r>
        <w:t xml:space="preserve"> of net billing </w:t>
      </w:r>
      <w:r w:rsidR="0065512F">
        <w:t xml:space="preserve">as the compensation structure </w:t>
      </w:r>
      <w:r>
        <w:t xml:space="preserve">for the successor tariff.  </w:t>
      </w:r>
      <w:r w:rsidR="009355F1">
        <w:t>Cal Advoc</w:t>
      </w:r>
      <w:r w:rsidR="00293EDE">
        <w:t>ates point</w:t>
      </w:r>
      <w:r w:rsidR="00EC1455">
        <w:t>s</w:t>
      </w:r>
      <w:r w:rsidR="00293EDE">
        <w:t xml:space="preserve"> out that net billing will disassociate export compensation from the retail rate, thus providing a more objective and transparent approach.</w:t>
      </w:r>
      <w:r w:rsidR="00293EDE">
        <w:rPr>
          <w:rStyle w:val="FootnoteReference"/>
        </w:rPr>
        <w:footnoteReference w:id="277"/>
      </w:r>
      <w:r w:rsidR="00293EDE">
        <w:t xml:space="preserve">  </w:t>
      </w:r>
      <w:r w:rsidR="00336EBF">
        <w:t>SEIA/Vote Solar explain that the use of a net billing structure is key to its proposed successor tariff.</w:t>
      </w:r>
      <w:r w:rsidR="00336EBF">
        <w:rPr>
          <w:rStyle w:val="FootnoteReference"/>
        </w:rPr>
        <w:footnoteReference w:id="278"/>
      </w:r>
      <w:r w:rsidR="008A2559">
        <w:t xml:space="preserve">  Joint Utilities assert their proposal reforms the net energy metering program through adoption of a net </w:t>
      </w:r>
      <w:r w:rsidR="008A2559">
        <w:lastRenderedPageBreak/>
        <w:t>billing structure.</w:t>
      </w:r>
      <w:r w:rsidR="008A2559">
        <w:rPr>
          <w:rStyle w:val="FootnoteReference"/>
        </w:rPr>
        <w:footnoteReference w:id="279"/>
      </w:r>
      <w:r w:rsidR="008A2559">
        <w:t xml:space="preserve">  </w:t>
      </w:r>
      <w:r w:rsidR="00336EBF">
        <w:t xml:space="preserve">Also supporting net billing, </w:t>
      </w:r>
      <w:proofErr w:type="spellStart"/>
      <w:r w:rsidR="00336EBF">
        <w:t>IEPA</w:t>
      </w:r>
      <w:proofErr w:type="spellEnd"/>
      <w:r w:rsidR="00336EBF">
        <w:t xml:space="preserve"> </w:t>
      </w:r>
      <w:r w:rsidR="002F0C30">
        <w:t>emphasizes</w:t>
      </w:r>
      <w:r w:rsidR="008A2559">
        <w:t xml:space="preserve"> that net billing allows the Commission to set compensation for exports that more closely reflect the va</w:t>
      </w:r>
      <w:r w:rsidR="00812B81">
        <w:t>l</w:t>
      </w:r>
      <w:r w:rsidR="008A2559">
        <w:t>ue of exports to the electrical system.</w:t>
      </w:r>
      <w:r w:rsidR="008A2559">
        <w:rPr>
          <w:rStyle w:val="FootnoteReference"/>
        </w:rPr>
        <w:footnoteReference w:id="280"/>
      </w:r>
      <w:r w:rsidR="008A2559">
        <w:t xml:space="preserve">  Likewise, </w:t>
      </w:r>
      <w:r w:rsidR="00336EBF">
        <w:t xml:space="preserve">NRDC </w:t>
      </w:r>
      <w:r w:rsidR="008A2559">
        <w:t>highlights that</w:t>
      </w:r>
      <w:r w:rsidR="00336EBF">
        <w:t xml:space="preserve"> there is widespread support </w:t>
      </w:r>
      <w:r w:rsidR="00EC1455">
        <w:t xml:space="preserve">from parties showing </w:t>
      </w:r>
      <w:r w:rsidR="00336EBF">
        <w:t>that the current net energy metering tariff needs to evolve to a net billing structure that compensates customers for the value they provide to the grid.</w:t>
      </w:r>
      <w:r w:rsidR="00336EBF">
        <w:rPr>
          <w:rStyle w:val="FootnoteReference"/>
        </w:rPr>
        <w:footnoteReference w:id="281"/>
      </w:r>
      <w:r w:rsidR="002B41A7">
        <w:t xml:space="preserve">  </w:t>
      </w:r>
      <w:r w:rsidR="0065512F">
        <w:t xml:space="preserve">The compensation value </w:t>
      </w:r>
      <w:r w:rsidR="002B41A7">
        <w:t>is where part</w:t>
      </w:r>
      <w:r w:rsidR="00E90BCE">
        <w:t>ies’</w:t>
      </w:r>
      <w:r w:rsidR="002B41A7">
        <w:t xml:space="preserve"> opinion</w:t>
      </w:r>
      <w:r w:rsidR="00E90BCE">
        <w:t>s</w:t>
      </w:r>
      <w:r w:rsidR="002B41A7">
        <w:t xml:space="preserve"> diverge.</w:t>
      </w:r>
    </w:p>
    <w:p w:rsidR="00533B2F" w:rsidP="005E7044" w:rsidRDefault="00E66AAD" w14:paraId="117FD80B" w14:textId="4156DF44">
      <w:pPr>
        <w:pStyle w:val="Standard"/>
      </w:pPr>
      <w:r>
        <w:t xml:space="preserve">Generally, recommendations for </w:t>
      </w:r>
      <w:r w:rsidR="006C7609">
        <w:t>the</w:t>
      </w:r>
      <w:r>
        <w:t xml:space="preserve"> </w:t>
      </w:r>
      <w:r w:rsidR="00E24E16">
        <w:t xml:space="preserve">retail </w:t>
      </w:r>
      <w:r>
        <w:t xml:space="preserve">export compensation </w:t>
      </w:r>
      <w:r w:rsidR="00FB4A0C">
        <w:t xml:space="preserve">rate </w:t>
      </w:r>
      <w:r>
        <w:t>structure fall in</w:t>
      </w:r>
      <w:r w:rsidR="00750601">
        <w:t>to</w:t>
      </w:r>
      <w:r>
        <w:t xml:space="preserve"> two categories</w:t>
      </w:r>
      <w:r w:rsidR="00555CC0">
        <w:t xml:space="preserve">:  </w:t>
      </w:r>
      <w:r w:rsidR="00EC1455">
        <w:t>(1)</w:t>
      </w:r>
      <w:r w:rsidR="00531689">
        <w:t> </w:t>
      </w:r>
      <w:r w:rsidR="00FB4A0C">
        <w:t xml:space="preserve">a retail </w:t>
      </w:r>
      <w:r w:rsidR="006C7609">
        <w:t xml:space="preserve">export </w:t>
      </w:r>
      <w:r>
        <w:t xml:space="preserve">compensation </w:t>
      </w:r>
      <w:r w:rsidR="00FB4A0C">
        <w:t xml:space="preserve">rate </w:t>
      </w:r>
      <w:r>
        <w:t xml:space="preserve">based on the retail </w:t>
      </w:r>
      <w:r w:rsidR="00BB6391">
        <w:t xml:space="preserve">import </w:t>
      </w:r>
      <w:r>
        <w:t xml:space="preserve">rate (as is the </w:t>
      </w:r>
      <w:r w:rsidR="005D4B92">
        <w:t>structure of</w:t>
      </w:r>
      <w:r>
        <w:t xml:space="preserve"> </w:t>
      </w:r>
      <w:r w:rsidR="00602BC5">
        <w:t>NEM 1.0</w:t>
      </w:r>
      <w:r>
        <w:t xml:space="preserve"> and </w:t>
      </w:r>
      <w:r w:rsidR="00602BC5">
        <w:t>NEM 2.0</w:t>
      </w:r>
      <w:r>
        <w:t>)</w:t>
      </w:r>
      <w:r w:rsidR="00EC1455">
        <w:t>;</w:t>
      </w:r>
      <w:r>
        <w:t xml:space="preserve"> and </w:t>
      </w:r>
      <w:r w:rsidR="00EC1455">
        <w:t>(2)</w:t>
      </w:r>
      <w:r w:rsidR="00531689">
        <w:t> </w:t>
      </w:r>
      <w:r w:rsidR="00FB4A0C">
        <w:t xml:space="preserve">a retail </w:t>
      </w:r>
      <w:r w:rsidR="006C7609">
        <w:t xml:space="preserve">export </w:t>
      </w:r>
      <w:r>
        <w:t xml:space="preserve">compensation </w:t>
      </w:r>
      <w:r w:rsidR="00FB4A0C">
        <w:t xml:space="preserve">rate </w:t>
      </w:r>
      <w:r>
        <w:t xml:space="preserve">based on </w:t>
      </w:r>
      <w:r w:rsidR="00032FC3">
        <w:t>values from the</w:t>
      </w:r>
      <w:r>
        <w:t xml:space="preserve"> Avoided Cost Calculator.</w:t>
      </w:r>
    </w:p>
    <w:p w:rsidR="00444CA0" w:rsidP="005E7044" w:rsidRDefault="001F21C6" w14:paraId="38609339" w14:textId="07AA7F52">
      <w:pPr>
        <w:pStyle w:val="Standard"/>
      </w:pPr>
      <w:r>
        <w:t xml:space="preserve">CUE, </w:t>
      </w:r>
      <w:proofErr w:type="spellStart"/>
      <w:r>
        <w:t>IEPA</w:t>
      </w:r>
      <w:proofErr w:type="spellEnd"/>
      <w:r>
        <w:t xml:space="preserve">, </w:t>
      </w:r>
      <w:r w:rsidR="00444CA0">
        <w:t xml:space="preserve">Joint Utilities, </w:t>
      </w:r>
      <w:r w:rsidR="00E90BCE">
        <w:t xml:space="preserve">NRDC, </w:t>
      </w:r>
      <w:r w:rsidR="009355F1">
        <w:t>Cal Advoc</w:t>
      </w:r>
      <w:r w:rsidR="00444CA0">
        <w:t xml:space="preserve">ates, </w:t>
      </w:r>
      <w:r>
        <w:t xml:space="preserve">and TURN recommend energy exported to the grid be compensated at a rate based on the Avoided Cost Calculator.  Each one approaches the concept differently.  However, they all agree the basic concept to this approach is to align </w:t>
      </w:r>
      <w:r w:rsidR="00FB4A0C">
        <w:t xml:space="preserve">the retail </w:t>
      </w:r>
      <w:r w:rsidR="00AD5CD4">
        <w:t xml:space="preserve">export </w:t>
      </w:r>
      <w:r>
        <w:t xml:space="preserve">compensation </w:t>
      </w:r>
      <w:r w:rsidR="00FB4A0C">
        <w:t xml:space="preserve">rate </w:t>
      </w:r>
      <w:r>
        <w:t xml:space="preserve">with the value </w:t>
      </w:r>
      <w:r w:rsidR="00AD5CD4">
        <w:t xml:space="preserve">it provides </w:t>
      </w:r>
      <w:r>
        <w:t xml:space="preserve">to the grid </w:t>
      </w:r>
      <w:r w:rsidR="00AD5CD4">
        <w:t>based on when the value is provided.</w:t>
      </w:r>
      <w:r w:rsidR="00AD5CD4">
        <w:rPr>
          <w:rStyle w:val="FootnoteReference"/>
        </w:rPr>
        <w:footnoteReference w:id="282"/>
      </w:r>
    </w:p>
    <w:p w:rsidR="000B20B0" w:rsidP="005E7044" w:rsidRDefault="00EF7EE1" w14:paraId="12D6A469" w14:textId="5CE810FA">
      <w:pPr>
        <w:pStyle w:val="Standard"/>
      </w:pPr>
      <w:proofErr w:type="spellStart"/>
      <w:r>
        <w:t>CALSSA</w:t>
      </w:r>
      <w:proofErr w:type="spellEnd"/>
      <w:r>
        <w:t xml:space="preserve"> contends th</w:t>
      </w:r>
      <w:r w:rsidR="00F263DA">
        <w:t xml:space="preserve">e Commission’s Avoided Cost Calculator </w:t>
      </w:r>
      <w:r w:rsidR="00AE524D">
        <w:t xml:space="preserve">undervalues exports and </w:t>
      </w:r>
      <w:r>
        <w:t xml:space="preserve">would </w:t>
      </w:r>
      <w:r w:rsidR="003A05AF">
        <w:t xml:space="preserve">result in reduced compensation and </w:t>
      </w:r>
      <w:r>
        <w:t xml:space="preserve">significantly </w:t>
      </w:r>
      <w:r w:rsidR="003A05AF">
        <w:t>lengthier</w:t>
      </w:r>
      <w:r>
        <w:t xml:space="preserve"> payback periods.</w:t>
      </w:r>
      <w:r>
        <w:rPr>
          <w:rStyle w:val="FootnoteReference"/>
        </w:rPr>
        <w:footnoteReference w:id="283"/>
      </w:r>
      <w:r>
        <w:t xml:space="preserve">  </w:t>
      </w:r>
      <w:proofErr w:type="spellStart"/>
      <w:r>
        <w:t>CALSSA</w:t>
      </w:r>
      <w:proofErr w:type="spellEnd"/>
      <w:r>
        <w:t xml:space="preserve"> provides analysis asserting </w:t>
      </w:r>
      <w:r>
        <w:lastRenderedPageBreak/>
        <w:t xml:space="preserve">this would result in </w:t>
      </w:r>
      <w:r w:rsidR="003A05AF">
        <w:t xml:space="preserve">payback </w:t>
      </w:r>
      <w:r>
        <w:t xml:space="preserve">periods of </w:t>
      </w:r>
      <w:r w:rsidR="00601CB3">
        <w:t xml:space="preserve">nine to </w:t>
      </w:r>
      <w:r>
        <w:t>18 years.</w:t>
      </w:r>
      <w:r w:rsidR="003A05AF">
        <w:t xml:space="preserve">  Noting the admittance by Joint Utilities that the Avoided Cost Calculator </w:t>
      </w:r>
      <w:r w:rsidR="00BA1EAE">
        <w:t>“</w:t>
      </w:r>
      <w:r w:rsidR="003A05AF">
        <w:t>was not designed to directly inform rate design,</w:t>
      </w:r>
      <w:r w:rsidR="00BA1EAE">
        <w:t>”</w:t>
      </w:r>
      <w:r w:rsidR="003A05AF">
        <w:t xml:space="preserve"> </w:t>
      </w:r>
      <w:proofErr w:type="spellStart"/>
      <w:r w:rsidR="003A05AF">
        <w:t>CALSSA</w:t>
      </w:r>
      <w:proofErr w:type="spellEnd"/>
      <w:r w:rsidR="003A05AF">
        <w:t xml:space="preserve"> argues this approach exceeds the tool’s capabilities.</w:t>
      </w:r>
      <w:r w:rsidR="003A05AF">
        <w:rPr>
          <w:rStyle w:val="FootnoteReference"/>
        </w:rPr>
        <w:footnoteReference w:id="284"/>
      </w:r>
      <w:r w:rsidR="003A05AF">
        <w:t xml:space="preserve">  </w:t>
      </w:r>
      <w:r w:rsidR="00E33577">
        <w:t xml:space="preserve">Agreeing the Avoided Cost Calculator has never been used to design rates, SEIA/Vote Solar </w:t>
      </w:r>
      <w:r w:rsidR="00B81196">
        <w:t xml:space="preserve">also </w:t>
      </w:r>
      <w:r w:rsidR="00E33577">
        <w:t xml:space="preserve">highlights the tool does not capture the total benefits referenced in Public Utilities Code </w:t>
      </w:r>
      <w:r w:rsidR="0034029C">
        <w:t>Section 2</w:t>
      </w:r>
      <w:r w:rsidR="00E33577">
        <w:t>827.1(b)(4).</w:t>
      </w:r>
      <w:r w:rsidR="00E33577">
        <w:rPr>
          <w:rStyle w:val="FootnoteReference"/>
        </w:rPr>
        <w:footnoteReference w:id="285"/>
      </w:r>
      <w:r w:rsidR="00B81196">
        <w:t xml:space="preserve">  </w:t>
      </w:r>
      <w:r w:rsidR="00A34BAE">
        <w:t xml:space="preserve">Further, </w:t>
      </w:r>
      <w:proofErr w:type="spellStart"/>
      <w:r w:rsidR="00A34BAE">
        <w:t>CALSSA</w:t>
      </w:r>
      <w:proofErr w:type="spellEnd"/>
      <w:r w:rsidR="00A34BAE">
        <w:t xml:space="preserve"> alleges that the Avoided Cost Calculator is volatile and controversial, pointing to the 2021 update process, and should only be used as a guide.</w:t>
      </w:r>
      <w:r w:rsidR="00A34BAE">
        <w:rPr>
          <w:rStyle w:val="FootnoteReference"/>
        </w:rPr>
        <w:footnoteReference w:id="286"/>
      </w:r>
      <w:r w:rsidR="00A34BAE">
        <w:t xml:space="preserve">  </w:t>
      </w:r>
      <w:r w:rsidR="00B81196">
        <w:t xml:space="preserve">In addition, </w:t>
      </w:r>
      <w:r w:rsidR="00DC2AFB">
        <w:t xml:space="preserve">SEIA/Vote Solar assert the </w:t>
      </w:r>
      <w:r w:rsidR="00BB6391">
        <w:t xml:space="preserve">retail </w:t>
      </w:r>
      <w:r w:rsidR="00DC2AFB">
        <w:t xml:space="preserve">export compensation rate should be easily understood, explaining that </w:t>
      </w:r>
      <w:r w:rsidR="00BA1EAE">
        <w:t>“</w:t>
      </w:r>
      <w:r w:rsidR="00DC2AFB">
        <w:t>a customer’s willingness to invest in solar or solar</w:t>
      </w:r>
      <w:r w:rsidR="0041083E">
        <w:t xml:space="preserve"> [paired with] </w:t>
      </w:r>
      <w:r w:rsidR="00DC2AFB">
        <w:t>storage is ultimately tied to their ability to understand</w:t>
      </w:r>
      <w:r w:rsidR="00BA1EAE">
        <w:t>”</w:t>
      </w:r>
      <w:r w:rsidR="00DC2AFB">
        <w:t xml:space="preserve"> their compensation.</w:t>
      </w:r>
      <w:r w:rsidR="00DC2AFB">
        <w:rPr>
          <w:rStyle w:val="FootnoteReference"/>
        </w:rPr>
        <w:footnoteReference w:id="287"/>
      </w:r>
      <w:r w:rsidR="00DC2AFB">
        <w:t xml:space="preserve">  SEIA/Vote Solar </w:t>
      </w:r>
      <w:r w:rsidR="00A34BAE">
        <w:t>concludes</w:t>
      </w:r>
      <w:r w:rsidR="00DC2AFB">
        <w:t xml:space="preserve"> use of the Avoided Cost Calculator for setting </w:t>
      </w:r>
      <w:r w:rsidR="00BB6391">
        <w:t xml:space="preserve">retail </w:t>
      </w:r>
      <w:r w:rsidR="00DC2AFB">
        <w:t xml:space="preserve">export compensation rates is </w:t>
      </w:r>
      <w:r w:rsidR="00BA1EAE">
        <w:t>“</w:t>
      </w:r>
      <w:r w:rsidR="00DC2AFB">
        <w:t>far from understandable</w:t>
      </w:r>
      <w:r w:rsidR="00A34BAE">
        <w:t>,</w:t>
      </w:r>
      <w:r w:rsidR="00BA1EAE">
        <w:t>”</w:t>
      </w:r>
      <w:r w:rsidR="00A34BAE">
        <w:t xml:space="preserve"> </w:t>
      </w:r>
      <w:r w:rsidR="002B6B8F">
        <w:t>thus</w:t>
      </w:r>
      <w:r w:rsidR="00A34BAE">
        <w:t xml:space="preserve"> </w:t>
      </w:r>
      <w:r w:rsidR="00DC2AFB">
        <w:t>conflict</w:t>
      </w:r>
      <w:r w:rsidR="00A34BAE">
        <w:t>ing</w:t>
      </w:r>
      <w:r w:rsidR="00DC2AFB">
        <w:t xml:space="preserve"> with rate design principles</w:t>
      </w:r>
      <w:r w:rsidR="002B6B8F">
        <w:t>.</w:t>
      </w:r>
      <w:r w:rsidR="00DC2AFB">
        <w:rPr>
          <w:rStyle w:val="FootnoteReference"/>
        </w:rPr>
        <w:footnoteReference w:id="288"/>
      </w:r>
      <w:r w:rsidR="002B6B8F">
        <w:t xml:space="preserve">  SEIA/Vote Solar </w:t>
      </w:r>
      <w:r w:rsidR="005C6351">
        <w:t>disputes Joint Utilities</w:t>
      </w:r>
      <w:r w:rsidR="001E6766">
        <w:t>’</w:t>
      </w:r>
      <w:r w:rsidR="005C6351">
        <w:t xml:space="preserve"> assertion that this approach is neither novel nor untested, maintaining that there is no evidence on whether such an approach has resulted in continued sustainable growth of the solar industry.</w:t>
      </w:r>
      <w:r w:rsidR="005C6351">
        <w:rPr>
          <w:rStyle w:val="FootnoteReference"/>
        </w:rPr>
        <w:footnoteReference w:id="289"/>
      </w:r>
    </w:p>
    <w:p w:rsidR="00533B2F" w:rsidP="005E7044" w:rsidRDefault="00A34BAE" w14:paraId="70B72553" w14:textId="26E5B4AF">
      <w:pPr>
        <w:pStyle w:val="Standard"/>
      </w:pPr>
      <w:r>
        <w:t>Although</w:t>
      </w:r>
      <w:r w:rsidR="00F97007">
        <w:t xml:space="preserve"> </w:t>
      </w:r>
      <w:proofErr w:type="spellStart"/>
      <w:r w:rsidR="00F97007">
        <w:t>CALSSA</w:t>
      </w:r>
      <w:proofErr w:type="spellEnd"/>
      <w:r w:rsidR="00F97007">
        <w:t xml:space="preserve"> contends it</w:t>
      </w:r>
      <w:r w:rsidR="00EF7EE1">
        <w:t xml:space="preserve">s proposal </w:t>
      </w:r>
      <w:r w:rsidR="00F97007">
        <w:t xml:space="preserve">utilizes the Avoided Cost Calculator as a key component in ensuring </w:t>
      </w:r>
      <w:r w:rsidR="00BB6391">
        <w:t xml:space="preserve">retail </w:t>
      </w:r>
      <w:r w:rsidR="00F97007">
        <w:t xml:space="preserve">export compensation rates are </w:t>
      </w:r>
      <w:r w:rsidR="00F97007">
        <w:lastRenderedPageBreak/>
        <w:t>just and reasonable,</w:t>
      </w:r>
      <w:r w:rsidR="00F97007">
        <w:rPr>
          <w:rStyle w:val="FootnoteReference"/>
        </w:rPr>
        <w:footnoteReference w:id="290"/>
      </w:r>
      <w:r w:rsidR="00F97007">
        <w:t xml:space="preserve"> </w:t>
      </w:r>
      <w:proofErr w:type="spellStart"/>
      <w:r w:rsidR="00E66AAD">
        <w:t>CALSSA</w:t>
      </w:r>
      <w:proofErr w:type="spellEnd"/>
      <w:r w:rsidR="00E66AAD">
        <w:t xml:space="preserve"> </w:t>
      </w:r>
      <w:r w:rsidR="000B20B0">
        <w:t>as well as</w:t>
      </w:r>
      <w:r w:rsidR="00E66AAD">
        <w:t xml:space="preserve"> SEIA/Vote Solar </w:t>
      </w:r>
      <w:r w:rsidR="000B20B0">
        <w:t xml:space="preserve">and Sierra Club </w:t>
      </w:r>
      <w:r w:rsidR="00E66AAD">
        <w:t>urge the Commission to continu</w:t>
      </w:r>
      <w:r w:rsidR="001F4B97">
        <w:t xml:space="preserve">e </w:t>
      </w:r>
      <w:r w:rsidR="00AE524D">
        <w:t>basing</w:t>
      </w:r>
      <w:r w:rsidR="001F4B97">
        <w:t xml:space="preserve"> compensation on the retail rate</w:t>
      </w:r>
      <w:r w:rsidR="006C7609">
        <w:t xml:space="preserve"> but with step</w:t>
      </w:r>
      <w:r w:rsidR="003B2AE7">
        <w:t xml:space="preserve">s </w:t>
      </w:r>
      <w:r w:rsidR="000B20B0">
        <w:t>that would decrease com</w:t>
      </w:r>
      <w:r w:rsidR="003B2AE7">
        <w:t xml:space="preserve">pensation over time.  </w:t>
      </w:r>
      <w:proofErr w:type="spellStart"/>
      <w:r w:rsidR="003B2AE7">
        <w:t>CALSSA</w:t>
      </w:r>
      <w:proofErr w:type="spellEnd"/>
      <w:r w:rsidR="003B2AE7">
        <w:t xml:space="preserve"> proposes each subsequent step would occur when cumulative installed residential capacity reached certain designated megawatt thresholds</w:t>
      </w:r>
      <w:r w:rsidR="003A05AF">
        <w:t xml:space="preserve"> and range from an initial 2</w:t>
      </w:r>
      <w:r w:rsidR="00C04724">
        <w:t>0 percent</w:t>
      </w:r>
      <w:r w:rsidR="003A05AF">
        <w:t xml:space="preserve"> decrease in </w:t>
      </w:r>
      <w:r w:rsidR="00EA0B93">
        <w:t xml:space="preserve">the initial </w:t>
      </w:r>
      <w:r w:rsidR="003A05AF">
        <w:t>step to a 5</w:t>
      </w:r>
      <w:r w:rsidR="00C04724">
        <w:t>0 percent</w:t>
      </w:r>
      <w:r w:rsidR="003A05AF">
        <w:t xml:space="preserve"> decrease in the final step</w:t>
      </w:r>
      <w:r w:rsidR="003B2AE7">
        <w:t>.</w:t>
      </w:r>
      <w:r w:rsidR="003B2AE7">
        <w:rPr>
          <w:rStyle w:val="FootnoteReference"/>
        </w:rPr>
        <w:footnoteReference w:id="291"/>
      </w:r>
      <w:r w:rsidR="00E63FE5">
        <w:t xml:space="preserve">  </w:t>
      </w:r>
      <w:proofErr w:type="spellStart"/>
      <w:r w:rsidR="00E63FE5">
        <w:t>CALSSA</w:t>
      </w:r>
      <w:proofErr w:type="spellEnd"/>
      <w:r w:rsidR="00E63FE5">
        <w:t xml:space="preserve"> warns that the depth of change is based on what </w:t>
      </w:r>
      <w:proofErr w:type="spellStart"/>
      <w:r w:rsidR="00E63FE5">
        <w:t>CALSSA</w:t>
      </w:r>
      <w:proofErr w:type="spellEnd"/>
      <w:r w:rsidR="00E63FE5">
        <w:t xml:space="preserve"> believes the market can bear.</w:t>
      </w:r>
      <w:r w:rsidR="00E63FE5">
        <w:rPr>
          <w:rStyle w:val="FootnoteReference"/>
        </w:rPr>
        <w:footnoteReference w:id="292"/>
      </w:r>
      <w:r w:rsidR="00AA6498">
        <w:t xml:space="preserve">  Similarly SEIA/Vote Solar recommend a step</w:t>
      </w:r>
      <w:r w:rsidR="00827602">
        <w:noBreakHyphen/>
      </w:r>
      <w:r w:rsidR="00AA6498">
        <w:t xml:space="preserve">down approach, which would reduce </w:t>
      </w:r>
      <w:r w:rsidR="00BB6391">
        <w:t xml:space="preserve">retail </w:t>
      </w:r>
      <w:r w:rsidR="00AA6498">
        <w:t xml:space="preserve">export compensation </w:t>
      </w:r>
      <w:r w:rsidR="00BB6391">
        <w:t xml:space="preserve">rates </w:t>
      </w:r>
      <w:r w:rsidR="00AA6498">
        <w:t>by 5</w:t>
      </w:r>
      <w:r w:rsidR="00C04724">
        <w:t>0 percent</w:t>
      </w:r>
      <w:r w:rsidR="00AA6498">
        <w:t xml:space="preserve"> by the year 2030.</w:t>
      </w:r>
      <w:r w:rsidR="00AA6498">
        <w:rPr>
          <w:rStyle w:val="FootnoteReference"/>
        </w:rPr>
        <w:footnoteReference w:id="293"/>
      </w:r>
      <w:r w:rsidR="00AA6498">
        <w:t xml:space="preserve">  SEIA/Vote Solar explain </w:t>
      </w:r>
      <w:r w:rsidR="00EC1455">
        <w:t>their</w:t>
      </w:r>
      <w:r w:rsidR="00AA6498">
        <w:t xml:space="preserve"> step</w:t>
      </w:r>
      <w:r w:rsidR="00827602">
        <w:noBreakHyphen/>
      </w:r>
      <w:r w:rsidR="00AA6498">
        <w:t>down approach, in combination with the requirement for customers to take service under current time</w:t>
      </w:r>
      <w:r w:rsidR="00827602">
        <w:noBreakHyphen/>
      </w:r>
      <w:r w:rsidR="00AA6498">
        <w:t>of</w:t>
      </w:r>
      <w:r w:rsidR="00827602">
        <w:noBreakHyphen/>
      </w:r>
      <w:r w:rsidR="00AA6498">
        <w:t>use or electrification rates, would bring bill savings for residential customers into alignment with the benefits of their renewable generation as measured by the Avoided Cost Calculator</w:t>
      </w:r>
      <w:r w:rsidR="000B20B0">
        <w:t>.  SEIA/Vote Solar underscore</w:t>
      </w:r>
      <w:r w:rsidR="00EC1455">
        <w:t xml:space="preserve"> their</w:t>
      </w:r>
      <w:r w:rsidR="000B20B0">
        <w:t xml:space="preserve"> step</w:t>
      </w:r>
      <w:r w:rsidR="00827602">
        <w:noBreakHyphen/>
      </w:r>
      <w:r w:rsidR="000B20B0">
        <w:t>down approach provides a glide</w:t>
      </w:r>
      <w:r w:rsidR="00331D85">
        <w:t xml:space="preserve"> </w:t>
      </w:r>
      <w:r w:rsidR="000B20B0">
        <w:t>path, which results in a reason</w:t>
      </w:r>
      <w:r w:rsidR="00E90BCE">
        <w:t>able</w:t>
      </w:r>
      <w:r w:rsidR="000B20B0">
        <w:t xml:space="preserve"> payback for customers as the market transitions.</w:t>
      </w:r>
      <w:r w:rsidR="000B20B0">
        <w:rPr>
          <w:rStyle w:val="FootnoteReference"/>
        </w:rPr>
        <w:footnoteReference w:id="294"/>
      </w:r>
      <w:r w:rsidR="000B20B0">
        <w:t xml:space="preserve">  Instead of creating a new rate with complex features or fixed charges, Sierra Club proposes maintaining the current structure and for each gigawatt of total solar deployment, compensation for each successor </w:t>
      </w:r>
      <w:r w:rsidR="00BA1EAE">
        <w:t>“</w:t>
      </w:r>
      <w:r w:rsidR="000B20B0">
        <w:t>tranche</w:t>
      </w:r>
      <w:r w:rsidR="00BA1EAE">
        <w:t>”</w:t>
      </w:r>
      <w:r w:rsidR="000B20B0">
        <w:t xml:space="preserve"> of net energy metering customers would decrease by </w:t>
      </w:r>
      <w:r w:rsidR="00C04724">
        <w:t>10 percent</w:t>
      </w:r>
      <w:r w:rsidR="000B20B0">
        <w:t xml:space="preserve"> toward avoided cost as determined by that year’s </w:t>
      </w:r>
      <w:r w:rsidR="00331D85">
        <w:t>A</w:t>
      </w:r>
      <w:r w:rsidR="000B20B0">
        <w:t xml:space="preserve">voided </w:t>
      </w:r>
      <w:r w:rsidR="00331D85">
        <w:t>C</w:t>
      </w:r>
      <w:r w:rsidR="000B20B0">
        <w:t xml:space="preserve">ost </w:t>
      </w:r>
      <w:r w:rsidR="00331D85">
        <w:lastRenderedPageBreak/>
        <w:t>C</w:t>
      </w:r>
      <w:r w:rsidR="000B20B0">
        <w:t xml:space="preserve">alculator.  Sierra Club estimates that once the three utilities reach </w:t>
      </w:r>
      <w:r w:rsidR="003537FB">
        <w:t>10 gigawatt</w:t>
      </w:r>
      <w:r w:rsidR="000B20B0">
        <w:t>s of total rooftop solar deployment, compensation would reach avoided cost.</w:t>
      </w:r>
    </w:p>
    <w:p w:rsidR="00E31896" w:rsidP="005E7044" w:rsidRDefault="005B12C2" w14:paraId="29FF8B98" w14:textId="3092D85D">
      <w:pPr>
        <w:pStyle w:val="Standard"/>
      </w:pPr>
      <w:r>
        <w:t xml:space="preserve">Continuing to base </w:t>
      </w:r>
      <w:r w:rsidR="00BB6391">
        <w:t xml:space="preserve">retail </w:t>
      </w:r>
      <w:r>
        <w:t xml:space="preserve">export compensation </w:t>
      </w:r>
      <w:r w:rsidR="00BB6391">
        <w:t xml:space="preserve">rates </w:t>
      </w:r>
      <w:r>
        <w:t xml:space="preserve">on retail </w:t>
      </w:r>
      <w:r w:rsidR="00BB6391">
        <w:t xml:space="preserve">import </w:t>
      </w:r>
      <w:r>
        <w:t xml:space="preserve">rates does not comply with </w:t>
      </w:r>
      <w:r w:rsidR="003C6FCB">
        <w:t xml:space="preserve">Public Utilities Code </w:t>
      </w:r>
      <w:r w:rsidR="0034029C">
        <w:t>Section 2</w:t>
      </w:r>
      <w:r w:rsidR="003C6FCB">
        <w:t>827.1</w:t>
      </w:r>
      <w:r w:rsidR="006C1765">
        <w:t xml:space="preserve">, </w:t>
      </w:r>
      <w:r w:rsidR="00B66013">
        <w:t xml:space="preserve">thereby </w:t>
      </w:r>
      <w:r w:rsidR="006C1765">
        <w:t>conflict</w:t>
      </w:r>
      <w:r w:rsidR="00B66013">
        <w:t>ing</w:t>
      </w:r>
      <w:r w:rsidR="006C1765">
        <w:t xml:space="preserve"> with one of </w:t>
      </w:r>
      <w:r w:rsidR="00DB4129">
        <w:t xml:space="preserve">the </w:t>
      </w:r>
      <w:r w:rsidR="006C1765">
        <w:t>guiding principles</w:t>
      </w:r>
      <w:r>
        <w:t xml:space="preserve">.  </w:t>
      </w:r>
      <w:r w:rsidR="003C6FCB">
        <w:t>R</w:t>
      </w:r>
      <w:r>
        <w:t xml:space="preserve">etail </w:t>
      </w:r>
      <w:r w:rsidR="00BB6391">
        <w:t xml:space="preserve">import </w:t>
      </w:r>
      <w:r>
        <w:t xml:space="preserve">rates </w:t>
      </w:r>
      <w:r w:rsidR="00E90BCE">
        <w:t>do not reflect</w:t>
      </w:r>
      <w:r>
        <w:t xml:space="preserve"> the </w:t>
      </w:r>
      <w:r w:rsidR="003C6FCB">
        <w:t xml:space="preserve">actual </w:t>
      </w:r>
      <w:r>
        <w:t xml:space="preserve">costs </w:t>
      </w:r>
      <w:r w:rsidR="003C6FCB">
        <w:t xml:space="preserve">of </w:t>
      </w:r>
      <w:r w:rsidR="006C1765">
        <w:t xml:space="preserve">the </w:t>
      </w:r>
      <w:r w:rsidR="003C6FCB">
        <w:t>exports or the</w:t>
      </w:r>
      <w:r>
        <w:t xml:space="preserve"> benefits </w:t>
      </w:r>
      <w:r w:rsidR="003C6FCB">
        <w:t xml:space="preserve">the </w:t>
      </w:r>
      <w:r>
        <w:t xml:space="preserve">exports provide to </w:t>
      </w:r>
      <w:r w:rsidR="00F263DA">
        <w:t xml:space="preserve">all customers </w:t>
      </w:r>
      <w:r>
        <w:t>and the grid</w:t>
      </w:r>
      <w:r w:rsidR="006C1765">
        <w:t xml:space="preserve">, both of which </w:t>
      </w:r>
      <w:r w:rsidR="00C93EAF">
        <w:t>should be</w:t>
      </w:r>
      <w:r w:rsidR="006C1765">
        <w:t xml:space="preserve"> </w:t>
      </w:r>
      <w:r>
        <w:t>approximately equal</w:t>
      </w:r>
      <w:r w:rsidR="00D83027">
        <w:t xml:space="preserve"> pursuant to </w:t>
      </w:r>
      <w:r w:rsidR="0034029C">
        <w:t>Section 2</w:t>
      </w:r>
      <w:r w:rsidR="00D83027">
        <w:t>827.1</w:t>
      </w:r>
      <w:r>
        <w:t xml:space="preserve">.  </w:t>
      </w:r>
      <w:r w:rsidR="00C93EAF">
        <w:t xml:space="preserve">The Commission </w:t>
      </w:r>
      <w:r w:rsidR="002B6B8F">
        <w:t>acknowledge</w:t>
      </w:r>
      <w:r w:rsidR="00C93EAF">
        <w:t>s</w:t>
      </w:r>
      <w:r w:rsidR="002B6B8F">
        <w:t xml:space="preserve"> </w:t>
      </w:r>
      <w:r w:rsidR="009355F1">
        <w:t>Cal Advoc</w:t>
      </w:r>
      <w:r w:rsidR="002B6B8F">
        <w:t>ates</w:t>
      </w:r>
      <w:r w:rsidR="006806FE">
        <w:t>’</w:t>
      </w:r>
      <w:r w:rsidR="002B6B8F">
        <w:t xml:space="preserve"> analysis that basing </w:t>
      </w:r>
      <w:r w:rsidR="00BB6391">
        <w:t xml:space="preserve">retail </w:t>
      </w:r>
      <w:r w:rsidR="002B6B8F">
        <w:t xml:space="preserve">export </w:t>
      </w:r>
      <w:r w:rsidR="00116E9B">
        <w:t xml:space="preserve">compensation </w:t>
      </w:r>
      <w:r w:rsidR="002B6B8F">
        <w:t xml:space="preserve">rates on retail </w:t>
      </w:r>
      <w:r w:rsidR="00BB6391">
        <w:t xml:space="preserve">import </w:t>
      </w:r>
      <w:r w:rsidR="002B6B8F">
        <w:t>rates has resulted in compensation levels 3.8 to 5.4 times higher than the benefits they provide to the electrical systems in the form of avoided costs.</w:t>
      </w:r>
      <w:r w:rsidR="002B6B8F">
        <w:rPr>
          <w:rStyle w:val="FootnoteReference"/>
        </w:rPr>
        <w:footnoteReference w:id="295"/>
      </w:r>
      <w:r w:rsidR="002B6B8F">
        <w:t xml:space="preserve">  </w:t>
      </w:r>
      <w:r w:rsidR="00C93EAF">
        <w:t xml:space="preserve">This decision </w:t>
      </w:r>
      <w:r w:rsidR="00D83027">
        <w:t>conclude</w:t>
      </w:r>
      <w:r w:rsidR="00C93EAF">
        <w:t>s</w:t>
      </w:r>
      <w:r w:rsidR="00D83027">
        <w:t xml:space="preserve"> that </w:t>
      </w:r>
      <w:r w:rsidR="00F263DA">
        <w:t xml:space="preserve">the </w:t>
      </w:r>
      <w:r w:rsidR="00BB6391">
        <w:t xml:space="preserve">retail </w:t>
      </w:r>
      <w:r w:rsidR="00D83027">
        <w:t>e</w:t>
      </w:r>
      <w:r w:rsidR="00B81196">
        <w:t xml:space="preserve">xport compensation </w:t>
      </w:r>
      <w:r w:rsidR="00F263DA">
        <w:t xml:space="preserve">rate </w:t>
      </w:r>
      <w:r w:rsidR="00B81196">
        <w:t xml:space="preserve">should be based on </w:t>
      </w:r>
      <w:r w:rsidR="00293EDE">
        <w:t xml:space="preserve">values derived from </w:t>
      </w:r>
      <w:r w:rsidR="00B81196">
        <w:t xml:space="preserve">the Avoided Cost Calculator.  </w:t>
      </w:r>
      <w:r w:rsidR="002B6B8F">
        <w:t>U</w:t>
      </w:r>
      <w:r w:rsidR="003C6FCB">
        <w:t xml:space="preserve">sing avoided cost values instead of the </w:t>
      </w:r>
      <w:r w:rsidR="00026B44">
        <w:t xml:space="preserve">retail </w:t>
      </w:r>
      <w:r w:rsidR="00F263DA">
        <w:t xml:space="preserve">import </w:t>
      </w:r>
      <w:r w:rsidR="003C6FCB">
        <w:t>rate brings the cost of the successor tariff for utilities closer to its value, thus complying with two other guiding principles</w:t>
      </w:r>
      <w:r w:rsidR="00555CC0">
        <w:t xml:space="preserve">:  </w:t>
      </w:r>
      <w:r w:rsidR="00EC1455">
        <w:t>(1)</w:t>
      </w:r>
      <w:r w:rsidR="00531689">
        <w:t> </w:t>
      </w:r>
      <w:r w:rsidR="003C6FCB">
        <w:t>ensuring equity among customers; and maximizing the value of the resource to all customers</w:t>
      </w:r>
      <w:r w:rsidR="00EC1455">
        <w:t>;</w:t>
      </w:r>
      <w:r w:rsidR="003C6FCB">
        <w:t xml:space="preserve"> and </w:t>
      </w:r>
      <w:r w:rsidR="00EC1455">
        <w:t>(2)</w:t>
      </w:r>
      <w:r w:rsidR="00531689">
        <w:t> </w:t>
      </w:r>
      <w:r w:rsidR="003C6FCB">
        <w:t>to the electrical system.</w:t>
      </w:r>
      <w:r w:rsidR="00E31896">
        <w:t xml:space="preserve">  For these reasons, </w:t>
      </w:r>
      <w:r w:rsidR="00C93EAF">
        <w:t xml:space="preserve">this decision </w:t>
      </w:r>
      <w:r w:rsidR="00E31896">
        <w:t>also decline</w:t>
      </w:r>
      <w:r w:rsidR="00C93EAF">
        <w:t>s</w:t>
      </w:r>
      <w:r w:rsidR="00E31896">
        <w:t xml:space="preserve"> to adopt the SEIA/Vote Solar or </w:t>
      </w:r>
      <w:proofErr w:type="spellStart"/>
      <w:r w:rsidR="00E31896">
        <w:t>CALSSA</w:t>
      </w:r>
      <w:proofErr w:type="spellEnd"/>
      <w:r w:rsidR="00E31896">
        <w:t xml:space="preserve"> stepped</w:t>
      </w:r>
      <w:r w:rsidR="00827602">
        <w:noBreakHyphen/>
      </w:r>
      <w:r w:rsidR="00E31896">
        <w:t xml:space="preserve">down approach that continues to </w:t>
      </w:r>
      <w:r w:rsidR="00026B44">
        <w:t xml:space="preserve">base retail export compensation rates on </w:t>
      </w:r>
      <w:r w:rsidR="00E31896">
        <w:t xml:space="preserve">the retail </w:t>
      </w:r>
      <w:r w:rsidR="00026B44">
        <w:t xml:space="preserve">import </w:t>
      </w:r>
      <w:r w:rsidR="00E31896">
        <w:t xml:space="preserve">rate.  </w:t>
      </w:r>
      <w:r w:rsidR="00026B44">
        <w:t>Retail e</w:t>
      </w:r>
      <w:r w:rsidR="00E31896">
        <w:t xml:space="preserve">xport compensation </w:t>
      </w:r>
      <w:r w:rsidR="00F263DA">
        <w:t xml:space="preserve">rates </w:t>
      </w:r>
      <w:r w:rsidR="00E31896">
        <w:t>based on the Avoided Cost Calculator send</w:t>
      </w:r>
      <w:r w:rsidR="008D45A0">
        <w:t>s</w:t>
      </w:r>
      <w:r w:rsidR="00E31896">
        <w:t xml:space="preserve"> more accurate price signals</w:t>
      </w:r>
      <w:r w:rsidR="00FC6357">
        <w:t xml:space="preserve"> and promotes </w:t>
      </w:r>
      <w:r w:rsidR="00026B44">
        <w:t xml:space="preserve">solar </w:t>
      </w:r>
      <w:r w:rsidR="00FC6357">
        <w:t xml:space="preserve">paired </w:t>
      </w:r>
      <w:r w:rsidR="00026B44">
        <w:t xml:space="preserve">with </w:t>
      </w:r>
      <w:r w:rsidR="00FC6357">
        <w:t>storage, another objective of the successor tariff</w:t>
      </w:r>
      <w:r w:rsidR="00E31896">
        <w:t>.</w:t>
      </w:r>
    </w:p>
    <w:p w:rsidR="00AF17DC" w:rsidP="005E7044" w:rsidRDefault="00D83027" w14:paraId="146C45B3" w14:textId="291775BB">
      <w:pPr>
        <w:pStyle w:val="Standard"/>
      </w:pPr>
      <w:r>
        <w:t xml:space="preserve">In arguing against use of the Avoided Cost Calculator, </w:t>
      </w:r>
      <w:r w:rsidR="006C1765">
        <w:t>SEIA/Vote Solar asserts a lack of evidence on whether such an approach has resulted in continued sustainable growth of the solar industry.</w:t>
      </w:r>
      <w:r>
        <w:t xml:space="preserve">  While the record contains only a few </w:t>
      </w:r>
      <w:r>
        <w:lastRenderedPageBreak/>
        <w:t xml:space="preserve">examples of its use, </w:t>
      </w:r>
      <w:r w:rsidR="00C93EAF">
        <w:t xml:space="preserve">the Commission </w:t>
      </w:r>
      <w:r>
        <w:t>remind</w:t>
      </w:r>
      <w:r w:rsidR="00C93EAF">
        <w:t>s</w:t>
      </w:r>
      <w:r>
        <w:t xml:space="preserve"> SEIA/Vote Solar that ensuring </w:t>
      </w:r>
      <w:r w:rsidR="001533B1">
        <w:t xml:space="preserve">the sustainable </w:t>
      </w:r>
      <w:r>
        <w:t xml:space="preserve">growth </w:t>
      </w:r>
      <w:r w:rsidR="001533B1">
        <w:t>of customer</w:t>
      </w:r>
      <w:r w:rsidR="00827602">
        <w:noBreakHyphen/>
      </w:r>
      <w:r w:rsidR="001533B1">
        <w:t xml:space="preserve">sited generation </w:t>
      </w:r>
      <w:r>
        <w:t xml:space="preserve">is not </w:t>
      </w:r>
      <w:r w:rsidR="001533B1">
        <w:t xml:space="preserve">its </w:t>
      </w:r>
      <w:r>
        <w:t xml:space="preserve">only concern.  However, using this approach to ensure the costs and benefits are approximately equal, as instructed by the Legislature, should lead to positive outcomes for customers and nonparticipating ratepayers.  </w:t>
      </w:r>
      <w:r w:rsidR="00B80698">
        <w:t>The Commission is</w:t>
      </w:r>
      <w:r w:rsidR="00FC6357">
        <w:t xml:space="preserve"> not </w:t>
      </w:r>
      <w:r w:rsidR="00AF17DC">
        <w:t xml:space="preserve">swayed by the arguments that the Avoided Cost Calculator is volatile and inconsistent.  </w:t>
      </w:r>
      <w:r w:rsidR="00D374EE">
        <w:t>Except for</w:t>
      </w:r>
      <w:r w:rsidR="00AF17DC">
        <w:t xml:space="preserve"> the 2020 version, the Avoided Cost Calculator has consistent</w:t>
      </w:r>
      <w:r w:rsidR="00FC6357">
        <w:t xml:space="preserve">ly reflected the value of exported energy, </w:t>
      </w:r>
      <w:r w:rsidR="00AF17DC">
        <w:t xml:space="preserve">year </w:t>
      </w:r>
      <w:r w:rsidR="00FC6357">
        <w:t xml:space="preserve">after </w:t>
      </w:r>
      <w:r w:rsidR="00AF17DC">
        <w:t xml:space="preserve">year.  </w:t>
      </w:r>
      <w:r w:rsidR="00B80698">
        <w:t>Further, the Commission</w:t>
      </w:r>
      <w:r w:rsidR="006E6DE4">
        <w:t xml:space="preserve"> agre</w:t>
      </w:r>
      <w:r w:rsidR="00EA0B93">
        <w:t>e</w:t>
      </w:r>
      <w:r w:rsidR="00B80698">
        <w:t>s</w:t>
      </w:r>
      <w:r w:rsidR="00EA0B93">
        <w:t xml:space="preserve"> </w:t>
      </w:r>
      <w:r w:rsidR="006E6DE4">
        <w:t xml:space="preserve">that </w:t>
      </w:r>
      <w:r w:rsidR="00E547FD">
        <w:t xml:space="preserve">the Avoided Cost Calculator values will ensure </w:t>
      </w:r>
      <w:r w:rsidR="001533B1">
        <w:t xml:space="preserve">the </w:t>
      </w:r>
      <w:r w:rsidR="00026B44">
        <w:t xml:space="preserve">retail </w:t>
      </w:r>
      <w:r w:rsidR="00E547FD">
        <w:t xml:space="preserve">export compensation </w:t>
      </w:r>
      <w:r w:rsidR="001533B1">
        <w:t xml:space="preserve">rate </w:t>
      </w:r>
      <w:r w:rsidR="00E547FD">
        <w:t>is based on the benefits provide</w:t>
      </w:r>
      <w:r w:rsidR="001533B1">
        <w:t>d</w:t>
      </w:r>
      <w:r w:rsidR="00E547FD">
        <w:t xml:space="preserve"> to the </w:t>
      </w:r>
      <w:r w:rsidR="001533B1">
        <w:t xml:space="preserve">electric grid </w:t>
      </w:r>
      <w:r w:rsidR="00E547FD">
        <w:t xml:space="preserve">and will, therefore, reduce the </w:t>
      </w:r>
      <w:r w:rsidR="006C1765">
        <w:t xml:space="preserve">previously confirmed </w:t>
      </w:r>
      <w:r w:rsidR="00E547FD">
        <w:t>cost shift</w:t>
      </w:r>
      <w:r w:rsidR="002B6B8F">
        <w:t xml:space="preserve">.  </w:t>
      </w:r>
      <w:r w:rsidR="00D67A4B">
        <w:t xml:space="preserve">While </w:t>
      </w:r>
      <w:r w:rsidR="00B80698">
        <w:t>this decision</w:t>
      </w:r>
      <w:r w:rsidR="00D67A4B">
        <w:t xml:space="preserve"> recognize</w:t>
      </w:r>
      <w:r w:rsidR="00B80698">
        <w:t>s</w:t>
      </w:r>
      <w:r w:rsidR="00D67A4B">
        <w:t xml:space="preserve"> the </w:t>
      </w:r>
      <w:r w:rsidR="006C1765">
        <w:t>warning</w:t>
      </w:r>
      <w:r w:rsidR="00D67A4B">
        <w:t xml:space="preserve"> by </w:t>
      </w:r>
      <w:proofErr w:type="spellStart"/>
      <w:r w:rsidR="00D67A4B">
        <w:t>CALSSA</w:t>
      </w:r>
      <w:proofErr w:type="spellEnd"/>
      <w:r w:rsidR="00D67A4B">
        <w:t xml:space="preserve"> and SEIA/Vote Solar to proceed in a measured fashion, other elements and tools </w:t>
      </w:r>
      <w:r w:rsidR="00B80698">
        <w:t xml:space="preserve">exist </w:t>
      </w:r>
      <w:r w:rsidR="00A445CC">
        <w:t>that can</w:t>
      </w:r>
      <w:r w:rsidR="00D67A4B">
        <w:t xml:space="preserve"> </w:t>
      </w:r>
      <w:r w:rsidR="00B80698">
        <w:t xml:space="preserve">be </w:t>
      </w:r>
      <w:r w:rsidR="00D67A4B">
        <w:t>use</w:t>
      </w:r>
      <w:r w:rsidR="00B80698">
        <w:t>d</w:t>
      </w:r>
      <w:r w:rsidR="00D67A4B">
        <w:t xml:space="preserve"> to </w:t>
      </w:r>
      <w:r w:rsidR="00A34BAE">
        <w:t>produce</w:t>
      </w:r>
      <w:r w:rsidR="00D67A4B">
        <w:t xml:space="preserve"> </w:t>
      </w:r>
      <w:r w:rsidR="00AF3775">
        <w:t xml:space="preserve">such a </w:t>
      </w:r>
      <w:r w:rsidR="00D67A4B">
        <w:t>measured approach</w:t>
      </w:r>
      <w:r w:rsidR="007601FA">
        <w:t xml:space="preserve">, as </w:t>
      </w:r>
      <w:r w:rsidR="00B80698">
        <w:t>this</w:t>
      </w:r>
      <w:r w:rsidR="007601FA">
        <w:t xml:space="preserve"> </w:t>
      </w:r>
      <w:r w:rsidR="00B80698">
        <w:t xml:space="preserve">decision </w:t>
      </w:r>
      <w:r w:rsidR="007601FA">
        <w:t>explain</w:t>
      </w:r>
      <w:r w:rsidR="00B80698">
        <w:t>s</w:t>
      </w:r>
      <w:r w:rsidR="007601FA">
        <w:t xml:space="preserve"> in </w:t>
      </w:r>
      <w:r w:rsidR="0034029C">
        <w:t>Section 8</w:t>
      </w:r>
      <w:r w:rsidR="007601FA">
        <w:t>.5 below</w:t>
      </w:r>
      <w:r w:rsidR="00D67A4B">
        <w:t>.</w:t>
      </w:r>
    </w:p>
    <w:p w:rsidR="00C1672A" w:rsidP="005E7044" w:rsidRDefault="00966DAE" w14:paraId="57C9DDDD" w14:textId="54F2636E">
      <w:pPr>
        <w:pStyle w:val="Standard"/>
      </w:pPr>
      <w:r>
        <w:t>Lastly</w:t>
      </w:r>
      <w:r w:rsidR="00EA0B93">
        <w:t xml:space="preserve">, </w:t>
      </w:r>
      <w:r w:rsidR="00B80698">
        <w:t xml:space="preserve">this decision </w:t>
      </w:r>
      <w:r w:rsidR="000730B4">
        <w:t>acknowledge</w:t>
      </w:r>
      <w:r w:rsidR="00B80698">
        <w:t>s</w:t>
      </w:r>
      <w:r w:rsidR="00BF2396">
        <w:t xml:space="preserve"> SEIA/Vote Solar</w:t>
      </w:r>
      <w:r w:rsidR="00EA0B93">
        <w:t>’s</w:t>
      </w:r>
      <w:r w:rsidR="006E6DE4">
        <w:t xml:space="preserve"> </w:t>
      </w:r>
      <w:r w:rsidR="00EA0B93">
        <w:t>position</w:t>
      </w:r>
      <w:r w:rsidR="006E6DE4">
        <w:t xml:space="preserve"> th</w:t>
      </w:r>
      <w:r w:rsidR="00E46300">
        <w:t xml:space="preserve">at </w:t>
      </w:r>
      <w:r w:rsidR="00026B44">
        <w:t xml:space="preserve">retail </w:t>
      </w:r>
      <w:r w:rsidR="00FB631F">
        <w:t>export compensation rate</w:t>
      </w:r>
      <w:r w:rsidR="00FC6357">
        <w:t>s</w:t>
      </w:r>
      <w:r w:rsidR="00FB631F">
        <w:t xml:space="preserve"> should be easily understood</w:t>
      </w:r>
      <w:r w:rsidR="000E094C">
        <w:t xml:space="preserve">.  SEIA/Vote Solar </w:t>
      </w:r>
      <w:r w:rsidR="00FB631F">
        <w:t>conclu</w:t>
      </w:r>
      <w:r w:rsidR="000E094C">
        <w:t>de</w:t>
      </w:r>
      <w:r w:rsidR="00FB631F">
        <w:t xml:space="preserve"> that use of the Avoided Cost Calculator for setting </w:t>
      </w:r>
      <w:r w:rsidR="00026B44">
        <w:t xml:space="preserve">retail </w:t>
      </w:r>
      <w:r w:rsidR="00FB631F">
        <w:t xml:space="preserve">export compensation rates is </w:t>
      </w:r>
      <w:r w:rsidR="00BA1EAE">
        <w:t>“</w:t>
      </w:r>
      <w:r w:rsidR="00FB631F">
        <w:t>far from understandable,</w:t>
      </w:r>
      <w:r w:rsidR="00BA1EAE">
        <w:t>”</w:t>
      </w:r>
      <w:r w:rsidR="00FB631F">
        <w:t xml:space="preserve"> and conflicts with rate design principles</w:t>
      </w:r>
      <w:r w:rsidR="00BF2396">
        <w:t>.</w:t>
      </w:r>
      <w:r w:rsidR="00255823">
        <w:t xml:space="preserve">  </w:t>
      </w:r>
      <w:r w:rsidR="00B80698">
        <w:t xml:space="preserve">The Commission </w:t>
      </w:r>
      <w:r w:rsidR="00C1672A">
        <w:t>disagree</w:t>
      </w:r>
      <w:r w:rsidR="00B80698">
        <w:t>s</w:t>
      </w:r>
      <w:r w:rsidR="00C1672A">
        <w:t xml:space="preserve">.  As noted by </w:t>
      </w:r>
      <w:r w:rsidR="009355F1">
        <w:t>Cal Advoc</w:t>
      </w:r>
      <w:r w:rsidR="00C1672A">
        <w:t>ates, these claims ignore the reality that the mechanics behind any retail rate design are complex.</w:t>
      </w:r>
      <w:r w:rsidR="00C1672A">
        <w:rPr>
          <w:rStyle w:val="FootnoteReference"/>
        </w:rPr>
        <w:footnoteReference w:id="296"/>
      </w:r>
      <w:r w:rsidR="00C1672A">
        <w:t xml:space="preserve">  </w:t>
      </w:r>
      <w:r w:rsidR="003B0EC3">
        <w:t>This decision agrees that c</w:t>
      </w:r>
      <w:r w:rsidR="00C1672A">
        <w:t>ustomers will be able to understand that their exports are compensa</w:t>
      </w:r>
      <w:r w:rsidR="00812B81">
        <w:t>t</w:t>
      </w:r>
      <w:r w:rsidR="00C1672A">
        <w:t>ed on a per kilowatt</w:t>
      </w:r>
      <w:r w:rsidR="00827602">
        <w:noBreakHyphen/>
      </w:r>
      <w:r w:rsidR="00C1672A">
        <w:t>hour basis without having to understand the avoided cost components.</w:t>
      </w:r>
      <w:r w:rsidR="00C1672A">
        <w:rPr>
          <w:rStyle w:val="FootnoteReference"/>
        </w:rPr>
        <w:footnoteReference w:id="297"/>
      </w:r>
    </w:p>
    <w:p w:rsidR="00D320A9" w:rsidP="005E7044" w:rsidRDefault="00C1672A" w14:paraId="233A7D17" w14:textId="10705250">
      <w:pPr>
        <w:pStyle w:val="Standard"/>
      </w:pPr>
      <w:r>
        <w:lastRenderedPageBreak/>
        <w:t xml:space="preserve">However, </w:t>
      </w:r>
      <w:r w:rsidR="003B0EC3">
        <w:t xml:space="preserve">this decision </w:t>
      </w:r>
      <w:r>
        <w:t xml:space="preserve">also </w:t>
      </w:r>
      <w:r w:rsidR="000730B4">
        <w:t>recognize</w:t>
      </w:r>
      <w:r w:rsidR="003B0EC3">
        <w:t>s</w:t>
      </w:r>
      <w:r w:rsidR="00EA0B93">
        <w:t xml:space="preserve"> there are multiple </w:t>
      </w:r>
      <w:r w:rsidR="003B0EC3">
        <w:t xml:space="preserve">elements </w:t>
      </w:r>
      <w:r w:rsidR="00EA0B93">
        <w:t>to th</w:t>
      </w:r>
      <w:r w:rsidR="000E094C">
        <w:t xml:space="preserve">e </w:t>
      </w:r>
      <w:r w:rsidR="00F263DA">
        <w:t xml:space="preserve">retail </w:t>
      </w:r>
      <w:r w:rsidR="000E094C">
        <w:t>export compensation rate</w:t>
      </w:r>
      <w:r w:rsidR="000730B4">
        <w:t>, which can lead to confusion for customers</w:t>
      </w:r>
      <w:r w:rsidR="000E094C">
        <w:t xml:space="preserve">.  </w:t>
      </w:r>
      <w:r w:rsidR="003B0EC3">
        <w:t>The Commission</w:t>
      </w:r>
      <w:r w:rsidR="0004136B">
        <w:t xml:space="preserve"> should ensure customers can understand the </w:t>
      </w:r>
      <w:r w:rsidR="00F263DA">
        <w:t xml:space="preserve">retail </w:t>
      </w:r>
      <w:r w:rsidR="0004136B">
        <w:t xml:space="preserve">export compensation rate to be able to make an informed decision on whether to purchase solar.  </w:t>
      </w:r>
      <w:r w:rsidR="000E094C">
        <w:t xml:space="preserve">Hence, </w:t>
      </w:r>
      <w:r w:rsidR="003B0EC3">
        <w:t xml:space="preserve">this decision </w:t>
      </w:r>
      <w:r w:rsidR="000E094C">
        <w:t>look</w:t>
      </w:r>
      <w:r w:rsidR="003B0EC3">
        <w:t>s</w:t>
      </w:r>
      <w:r w:rsidR="000E094C">
        <w:t xml:space="preserve"> to </w:t>
      </w:r>
      <w:r w:rsidR="00AF3775">
        <w:t>simplify while balancing all other requirements and principles</w:t>
      </w:r>
      <w:r w:rsidR="000E094C">
        <w:t>.</w:t>
      </w:r>
      <w:r w:rsidR="00AF3775">
        <w:t xml:space="preserve">  </w:t>
      </w:r>
      <w:r w:rsidR="003B0EC3">
        <w:t>T</w:t>
      </w:r>
      <w:r w:rsidR="00AF3775">
        <w:t xml:space="preserve">his </w:t>
      </w:r>
      <w:r w:rsidR="003B0EC3">
        <w:t xml:space="preserve">balance </w:t>
      </w:r>
      <w:r w:rsidR="002B44FC">
        <w:t xml:space="preserve">and the specifics of the </w:t>
      </w:r>
      <w:r w:rsidR="00F263DA">
        <w:t xml:space="preserve">retail </w:t>
      </w:r>
      <w:r w:rsidR="00331D85">
        <w:t>e</w:t>
      </w:r>
      <w:r w:rsidR="002B44FC">
        <w:t xml:space="preserve">xport </w:t>
      </w:r>
      <w:r w:rsidR="00331D85">
        <w:t>c</w:t>
      </w:r>
      <w:r w:rsidR="002B44FC">
        <w:t xml:space="preserve">ompensation </w:t>
      </w:r>
      <w:r w:rsidR="00331D85">
        <w:t>r</w:t>
      </w:r>
      <w:r w:rsidR="002B44FC">
        <w:t xml:space="preserve">ate </w:t>
      </w:r>
      <w:r w:rsidR="003B0EC3">
        <w:t xml:space="preserve">are discussed </w:t>
      </w:r>
      <w:r w:rsidR="00AF3775">
        <w:t xml:space="preserve">in </w:t>
      </w:r>
      <w:r w:rsidR="0034029C">
        <w:t>Section 8</w:t>
      </w:r>
      <w:r w:rsidR="00D320A9">
        <w:t>.5 below.</w:t>
      </w:r>
    </w:p>
    <w:p w:rsidR="00066322" w:rsidP="005E7044" w:rsidRDefault="00890222" w14:paraId="549A3BC4" w14:textId="09B135D1">
      <w:pPr>
        <w:pStyle w:val="Heading3"/>
        <w:keepLines w:val="0"/>
      </w:pPr>
      <w:bookmarkStart w:name="_Toc117674089" w:id="159"/>
      <w:bookmarkStart w:name="_Toc118285080" w:id="160"/>
      <w:bookmarkStart w:name="_Toc121854407" w:id="161"/>
      <w:r>
        <w:t>Nonresidential</w:t>
      </w:r>
      <w:r w:rsidR="00066322">
        <w:t xml:space="preserve"> Successor Tariff</w:t>
      </w:r>
      <w:bookmarkEnd w:id="159"/>
      <w:bookmarkEnd w:id="160"/>
      <w:bookmarkEnd w:id="161"/>
    </w:p>
    <w:p w:rsidR="00066322" w:rsidP="005E7044" w:rsidRDefault="00A11EA4" w14:paraId="3BF3A4AC" w14:textId="0FAE1F60">
      <w:pPr>
        <w:pStyle w:val="Standard"/>
      </w:pPr>
      <w:bookmarkStart w:name="_Hlk88644663" w:id="162"/>
      <w:r>
        <w:t xml:space="preserve">Noting the </w:t>
      </w:r>
      <w:proofErr w:type="spellStart"/>
      <w:r>
        <w:t>TRC</w:t>
      </w:r>
      <w:proofErr w:type="spellEnd"/>
      <w:r>
        <w:t xml:space="preserve"> and PCT scores from the Lookback Study, </w:t>
      </w:r>
      <w:proofErr w:type="spellStart"/>
      <w:r w:rsidR="00066322">
        <w:t>CALSSA</w:t>
      </w:r>
      <w:proofErr w:type="spellEnd"/>
      <w:r w:rsidR="00066322">
        <w:t xml:space="preserve">, SEIA/Vote Solar, Foundation </w:t>
      </w:r>
      <w:proofErr w:type="spellStart"/>
      <w:r w:rsidR="00066322">
        <w:t>Wind</w:t>
      </w:r>
      <w:r w:rsidR="00A27BA9">
        <w:t>power</w:t>
      </w:r>
      <w:proofErr w:type="spellEnd"/>
      <w:r w:rsidR="00066322">
        <w:t xml:space="preserve">, and </w:t>
      </w:r>
      <w:proofErr w:type="spellStart"/>
      <w:r w:rsidR="00066322">
        <w:t>SBUA</w:t>
      </w:r>
      <w:proofErr w:type="spellEnd"/>
      <w:r w:rsidR="00066322">
        <w:t xml:space="preserve"> all contend that </w:t>
      </w:r>
      <w:r w:rsidR="00890222">
        <w:t>nonresidential</w:t>
      </w:r>
      <w:r w:rsidR="00066322">
        <w:t xml:space="preserve"> </w:t>
      </w:r>
      <w:r w:rsidR="00602BC5">
        <w:t>NEM 2.0</w:t>
      </w:r>
      <w:r w:rsidR="00135D55">
        <w:t xml:space="preserve"> </w:t>
      </w:r>
      <w:r w:rsidR="00066322">
        <w:t>is cost</w:t>
      </w:r>
      <w:r w:rsidR="00827602">
        <w:noBreakHyphen/>
      </w:r>
      <w:r w:rsidR="00066322">
        <w:t xml:space="preserve">effective, </w:t>
      </w:r>
      <w:r w:rsidR="00641D29">
        <w:t xml:space="preserve">and, therefore, </w:t>
      </w:r>
      <w:r w:rsidR="00066322">
        <w:t>the Commission should retain the same structure for the successor tariff.</w:t>
      </w:r>
      <w:r w:rsidR="00F9127C">
        <w:t xml:space="preserve">  However, as discussed below, the Commission should look broadly at </w:t>
      </w:r>
      <w:r w:rsidR="00DB4129">
        <w:t xml:space="preserve">the </w:t>
      </w:r>
      <w:r w:rsidR="002358B8">
        <w:t xml:space="preserve">review of the current </w:t>
      </w:r>
      <w:r w:rsidR="00955405">
        <w:t xml:space="preserve">net energy metering </w:t>
      </w:r>
      <w:r w:rsidR="002358B8">
        <w:t xml:space="preserve">tariff and ensure that </w:t>
      </w:r>
      <w:r w:rsidR="00955405">
        <w:t xml:space="preserve">all </w:t>
      </w:r>
      <w:r w:rsidR="002358B8">
        <w:rPr>
          <w:rFonts w:eastAsia="Times New Roman"/>
          <w:color w:val="000000"/>
          <w:szCs w:val="26"/>
        </w:rPr>
        <w:t>r</w:t>
      </w:r>
      <w:r w:rsidR="002358B8">
        <w:t xml:space="preserve">etail </w:t>
      </w:r>
      <w:r w:rsidR="001D29B8">
        <w:t xml:space="preserve">export compensation </w:t>
      </w:r>
      <w:r w:rsidR="002358B8">
        <w:t xml:space="preserve">rates are aligned with the </w:t>
      </w:r>
      <w:r w:rsidR="00955405">
        <w:t xml:space="preserve">true </w:t>
      </w:r>
      <w:r w:rsidR="002358B8">
        <w:t xml:space="preserve">costs of the exports </w:t>
      </w:r>
      <w:r w:rsidR="00955405">
        <w:t>and</w:t>
      </w:r>
      <w:r w:rsidR="002358B8">
        <w:t xml:space="preserve"> the benefits the exports provide to </w:t>
      </w:r>
      <w:r w:rsidR="00A4441F">
        <w:t>customers</w:t>
      </w:r>
      <w:r w:rsidR="00DB4129">
        <w:t xml:space="preserve"> </w:t>
      </w:r>
      <w:r w:rsidR="002358B8">
        <w:t>and the grid</w:t>
      </w:r>
      <w:r w:rsidR="00955405">
        <w:t>.</w:t>
      </w:r>
    </w:p>
    <w:p w:rsidR="00826278" w:rsidP="005E7044" w:rsidRDefault="00066322" w14:paraId="57C3A053" w14:textId="55B99DB4">
      <w:pPr>
        <w:pStyle w:val="Standard"/>
      </w:pPr>
      <w:r>
        <w:t xml:space="preserve">Foundation </w:t>
      </w:r>
      <w:proofErr w:type="spellStart"/>
      <w:r w:rsidR="00F263DA">
        <w:t>Wind</w:t>
      </w:r>
      <w:r w:rsidR="00A27BA9">
        <w:t>power</w:t>
      </w:r>
      <w:proofErr w:type="spellEnd"/>
      <w:r w:rsidR="00F263DA">
        <w:t xml:space="preserve"> </w:t>
      </w:r>
      <w:r>
        <w:t>argues that the Lookback Study’s data and analysis regarding the cost</w:t>
      </w:r>
      <w:r w:rsidR="00827602">
        <w:noBreakHyphen/>
      </w:r>
      <w:r>
        <w:t>effectiveness of medium and large commercial, industrial and agricultural customers deploying wind energy facilities must not be overlooked.</w:t>
      </w:r>
      <w:r>
        <w:rPr>
          <w:rStyle w:val="FootnoteReference"/>
        </w:rPr>
        <w:footnoteReference w:id="298"/>
      </w:r>
      <w:r>
        <w:t xml:space="preserve">  Foundation </w:t>
      </w:r>
      <w:proofErr w:type="spellStart"/>
      <w:r w:rsidR="00F263DA">
        <w:t>Wind</w:t>
      </w:r>
      <w:r w:rsidR="00A27BA9">
        <w:t>power</w:t>
      </w:r>
      <w:proofErr w:type="spellEnd"/>
      <w:r w:rsidR="00F263DA">
        <w:t xml:space="preserve"> </w:t>
      </w:r>
      <w:r>
        <w:t xml:space="preserve">further contends the </w:t>
      </w:r>
      <w:r w:rsidR="00EC1455">
        <w:t>g</w:t>
      </w:r>
      <w:r>
        <w:t xml:space="preserve">uiding </w:t>
      </w:r>
      <w:r w:rsidR="00EC1455">
        <w:t>p</w:t>
      </w:r>
      <w:r>
        <w:t>rinciple instructing the successor to fairly consider all technologies should allow the Commission to treat one technology differently from others, thus creating a carve</w:t>
      </w:r>
      <w:r w:rsidR="00827602">
        <w:noBreakHyphen/>
      </w:r>
      <w:r>
        <w:t>out.</w:t>
      </w:r>
      <w:r>
        <w:rPr>
          <w:rStyle w:val="FootnoteReference"/>
        </w:rPr>
        <w:footnoteReference w:id="299"/>
      </w:r>
      <w:r>
        <w:t xml:space="preserve">  </w:t>
      </w:r>
      <w:r w:rsidR="004A3047">
        <w:rPr>
          <w:rFonts w:eastAsia="Times New Roman"/>
          <w:color w:val="000000"/>
          <w:szCs w:val="26"/>
        </w:rPr>
        <w:t xml:space="preserve">Arguing against making any changes to the nonresidential net </w:t>
      </w:r>
      <w:r w:rsidR="004A3047">
        <w:rPr>
          <w:rFonts w:eastAsia="Times New Roman"/>
          <w:color w:val="000000"/>
          <w:szCs w:val="26"/>
        </w:rPr>
        <w:lastRenderedPageBreak/>
        <w:t xml:space="preserve">energy metering tariff, </w:t>
      </w:r>
      <w:proofErr w:type="spellStart"/>
      <w:r w:rsidR="004A3047">
        <w:rPr>
          <w:rFonts w:eastAsia="Times New Roman"/>
          <w:color w:val="000000"/>
          <w:szCs w:val="26"/>
        </w:rPr>
        <w:t>CALSSA</w:t>
      </w:r>
      <w:proofErr w:type="spellEnd"/>
      <w:r w:rsidR="004A3047">
        <w:rPr>
          <w:rFonts w:eastAsia="Times New Roman"/>
          <w:color w:val="000000"/>
          <w:szCs w:val="26"/>
        </w:rPr>
        <w:t xml:space="preserve"> contends that</w:t>
      </w:r>
      <w:r w:rsidR="00EC1455">
        <w:rPr>
          <w:rFonts w:eastAsia="Times New Roman"/>
          <w:color w:val="000000"/>
          <w:szCs w:val="26"/>
        </w:rPr>
        <w:t>,</w:t>
      </w:r>
      <w:r w:rsidR="004A3047">
        <w:rPr>
          <w:rFonts w:eastAsia="Times New Roman"/>
          <w:color w:val="000000"/>
          <w:szCs w:val="26"/>
        </w:rPr>
        <w:t xml:space="preserve"> as of December</w:t>
      </w:r>
      <w:r w:rsidR="00FC0B47">
        <w:rPr>
          <w:rFonts w:eastAsia="Times New Roman"/>
          <w:color w:val="000000"/>
          <w:szCs w:val="26"/>
        </w:rPr>
        <w:t> </w:t>
      </w:r>
      <w:r w:rsidR="004A3047">
        <w:rPr>
          <w:rFonts w:eastAsia="Times New Roman"/>
          <w:color w:val="000000"/>
          <w:szCs w:val="26"/>
        </w:rPr>
        <w:t>2019</w:t>
      </w:r>
      <w:r w:rsidR="00EC1455">
        <w:rPr>
          <w:rFonts w:eastAsia="Times New Roman"/>
          <w:color w:val="000000"/>
          <w:szCs w:val="26"/>
        </w:rPr>
        <w:t>,</w:t>
      </w:r>
      <w:r w:rsidR="004A3047">
        <w:rPr>
          <w:rFonts w:eastAsia="Times New Roman"/>
          <w:color w:val="000000"/>
          <w:szCs w:val="26"/>
        </w:rPr>
        <w:t xml:space="preserve"> </w:t>
      </w:r>
      <w:r w:rsidR="00FC6357">
        <w:rPr>
          <w:rFonts w:eastAsia="Times New Roman"/>
          <w:color w:val="000000"/>
          <w:szCs w:val="26"/>
        </w:rPr>
        <w:t xml:space="preserve">commercial and agricultural </w:t>
      </w:r>
      <w:r w:rsidR="00602BC5">
        <w:rPr>
          <w:rFonts w:eastAsia="Times New Roman"/>
          <w:color w:val="000000"/>
          <w:szCs w:val="26"/>
        </w:rPr>
        <w:t>NEM 2.0</w:t>
      </w:r>
      <w:r w:rsidR="00135D55">
        <w:rPr>
          <w:rFonts w:eastAsia="Times New Roman"/>
          <w:color w:val="000000"/>
          <w:szCs w:val="26"/>
        </w:rPr>
        <w:t xml:space="preserve"> </w:t>
      </w:r>
      <w:r w:rsidR="00FC6357">
        <w:rPr>
          <w:rFonts w:eastAsia="Times New Roman"/>
          <w:color w:val="000000"/>
          <w:szCs w:val="26"/>
        </w:rPr>
        <w:t xml:space="preserve">customers </w:t>
      </w:r>
      <w:r w:rsidR="004A3047">
        <w:rPr>
          <w:rFonts w:eastAsia="Times New Roman"/>
          <w:color w:val="000000"/>
          <w:szCs w:val="26"/>
        </w:rPr>
        <w:t>pay $11</w:t>
      </w:r>
      <w:r w:rsidR="00542A08">
        <w:rPr>
          <w:rFonts w:eastAsia="Times New Roman"/>
          <w:color w:val="000000"/>
          <w:szCs w:val="26"/>
        </w:rPr>
        <w:t>7 million</w:t>
      </w:r>
      <w:r w:rsidR="004A3047">
        <w:rPr>
          <w:rFonts w:eastAsia="Times New Roman"/>
          <w:color w:val="000000"/>
          <w:szCs w:val="26"/>
        </w:rPr>
        <w:t xml:space="preserve"> more per year than the cost to serve them.</w:t>
      </w:r>
      <w:r w:rsidR="004A3047">
        <w:rPr>
          <w:rStyle w:val="FootnoteReference"/>
          <w:rFonts w:eastAsia="Times New Roman"/>
          <w:color w:val="000000"/>
          <w:szCs w:val="26"/>
        </w:rPr>
        <w:footnoteReference w:id="300"/>
      </w:r>
      <w:r w:rsidR="004A3047">
        <w:rPr>
          <w:rFonts w:eastAsia="Times New Roman"/>
          <w:color w:val="000000"/>
          <w:szCs w:val="26"/>
        </w:rPr>
        <w:t xml:space="preserve">  </w:t>
      </w:r>
      <w:r>
        <w:t xml:space="preserve">SEIA/Vote Solar </w:t>
      </w:r>
      <w:r w:rsidR="004A3047">
        <w:t>asserts</w:t>
      </w:r>
      <w:r>
        <w:t xml:space="preserve"> that there has already been a significant drop in installations in the commercial market segment, </w:t>
      </w:r>
      <w:r w:rsidR="00890222">
        <w:t xml:space="preserve">thus </w:t>
      </w:r>
      <w:r>
        <w:t xml:space="preserve">decreasing </w:t>
      </w:r>
      <w:r w:rsidR="00026B44">
        <w:t xml:space="preserve">retail </w:t>
      </w:r>
      <w:r>
        <w:t xml:space="preserve">export </w:t>
      </w:r>
      <w:r w:rsidR="00116E9B">
        <w:t xml:space="preserve">compensation </w:t>
      </w:r>
      <w:r>
        <w:t>rates could endanger its sustainability.</w:t>
      </w:r>
      <w:r>
        <w:rPr>
          <w:rStyle w:val="FootnoteReference"/>
        </w:rPr>
        <w:footnoteReference w:id="301"/>
      </w:r>
    </w:p>
    <w:p w:rsidR="00533B2F" w:rsidP="005E7044" w:rsidRDefault="00826278" w14:paraId="06C84344" w14:textId="56A3DA10">
      <w:pPr>
        <w:pStyle w:val="Standard"/>
      </w:pPr>
      <w:r>
        <w:t xml:space="preserve">In testimony, Joint Utilities dispute these assertions of </w:t>
      </w:r>
      <w:proofErr w:type="spellStart"/>
      <w:r>
        <w:t>CALSSA</w:t>
      </w:r>
      <w:proofErr w:type="spellEnd"/>
      <w:r>
        <w:t xml:space="preserve"> and SEIA/Vote Solar.  Joint Utilities contend the cost</w:t>
      </w:r>
      <w:r w:rsidR="00827602">
        <w:noBreakHyphen/>
      </w:r>
      <w:r>
        <w:t>of</w:t>
      </w:r>
      <w:r w:rsidR="00827602">
        <w:noBreakHyphen/>
      </w:r>
      <w:r>
        <w:t xml:space="preserve">service analysis performed in the Lookback Study is of limited use in developing the successor tariff, as the methodology is not </w:t>
      </w:r>
      <w:r w:rsidR="00045D3F">
        <w:t xml:space="preserve">as </w:t>
      </w:r>
      <w:r>
        <w:t>vetted</w:t>
      </w:r>
      <w:r w:rsidR="00045D3F">
        <w:t xml:space="preserve"> as the standard practice manual tests</w:t>
      </w:r>
      <w:r>
        <w:t>.</w:t>
      </w:r>
      <w:r w:rsidR="00045D3F">
        <w:rPr>
          <w:rStyle w:val="FootnoteReference"/>
        </w:rPr>
        <w:footnoteReference w:id="302"/>
      </w:r>
      <w:r w:rsidR="00045D3F">
        <w:t xml:space="preserve">  Joint Utilities also argue that looking at the results of the RIM test, nonresidential </w:t>
      </w:r>
      <w:r w:rsidR="00602BC5">
        <w:t>NEM 2.0</w:t>
      </w:r>
      <w:r w:rsidR="00135D55">
        <w:t xml:space="preserve"> </w:t>
      </w:r>
      <w:r w:rsidR="00045D3F">
        <w:t xml:space="preserve">generation is only slightly less burdensome than residential </w:t>
      </w:r>
      <w:r w:rsidR="00602BC5">
        <w:t>NEM 2.0</w:t>
      </w:r>
      <w:r w:rsidR="00135D55">
        <w:t xml:space="preserve"> </w:t>
      </w:r>
      <w:r w:rsidR="00045D3F">
        <w:t>generation.</w:t>
      </w:r>
      <w:r w:rsidR="00045D3F">
        <w:rPr>
          <w:rStyle w:val="FootnoteReference"/>
        </w:rPr>
        <w:footnoteReference w:id="303"/>
      </w:r>
      <w:r w:rsidR="00045D3F">
        <w:t xml:space="preserve">  Further, </w:t>
      </w:r>
      <w:r w:rsidR="00641D29">
        <w:t xml:space="preserve">as noted in </w:t>
      </w:r>
      <w:r w:rsidR="0034029C">
        <w:t>Section 8</w:t>
      </w:r>
      <w:r w:rsidR="00641D29">
        <w:t xml:space="preserve">.1.3, </w:t>
      </w:r>
      <w:r w:rsidR="00045D3F">
        <w:t xml:space="preserve">Joint Utilities </w:t>
      </w:r>
      <w:r w:rsidR="00641D29">
        <w:t>assert</w:t>
      </w:r>
      <w:r w:rsidR="00045D3F">
        <w:t xml:space="preserve"> that the RIM scores would be lower if updated </w:t>
      </w:r>
      <w:r w:rsidR="0071053D">
        <w:t xml:space="preserve">to use the </w:t>
      </w:r>
      <w:r w:rsidR="00AC424B">
        <w:t>2021 Avoided</w:t>
      </w:r>
      <w:r w:rsidR="0071053D">
        <w:t xml:space="preserve"> Cost Calculator.</w:t>
      </w:r>
    </w:p>
    <w:p w:rsidR="00F07E9C" w:rsidP="00333F8E" w:rsidRDefault="003B0EC3" w14:paraId="4495340C" w14:textId="2C8E5173">
      <w:pPr>
        <w:pStyle w:val="Standard"/>
        <w:rPr>
          <w:rFonts w:eastAsia="Times New Roman"/>
          <w:color w:val="000000"/>
          <w:szCs w:val="26"/>
        </w:rPr>
      </w:pPr>
      <w:r>
        <w:rPr>
          <w:rFonts w:eastAsia="Times New Roman"/>
          <w:color w:val="000000"/>
          <w:szCs w:val="26"/>
        </w:rPr>
        <w:t>Previously, this decision</w:t>
      </w:r>
      <w:r w:rsidR="00955405">
        <w:rPr>
          <w:rFonts w:eastAsia="Times New Roman"/>
          <w:color w:val="000000"/>
          <w:szCs w:val="26"/>
        </w:rPr>
        <w:t xml:space="preserve"> found that while the </w:t>
      </w:r>
      <w:proofErr w:type="spellStart"/>
      <w:r w:rsidR="00955405">
        <w:rPr>
          <w:rFonts w:eastAsia="Times New Roman"/>
          <w:color w:val="000000"/>
          <w:szCs w:val="26"/>
        </w:rPr>
        <w:t>TRC</w:t>
      </w:r>
      <w:proofErr w:type="spellEnd"/>
      <w:r w:rsidR="00955405">
        <w:rPr>
          <w:rFonts w:eastAsia="Times New Roman"/>
          <w:color w:val="000000"/>
          <w:szCs w:val="26"/>
        </w:rPr>
        <w:t xml:space="preserve"> and PCT scores for the nonresidential sector are above 1.0, in looking at the RIM and other factors, the </w:t>
      </w:r>
      <w:r w:rsidRPr="00682BD3" w:rsidR="00066322">
        <w:rPr>
          <w:rFonts w:eastAsia="Times New Roman"/>
          <w:color w:val="000000"/>
          <w:szCs w:val="26"/>
        </w:rPr>
        <w:t xml:space="preserve">nonresidential sector of </w:t>
      </w:r>
      <w:r w:rsidR="00602BC5">
        <w:rPr>
          <w:rFonts w:eastAsia="Times New Roman"/>
          <w:color w:val="000000"/>
          <w:szCs w:val="26"/>
        </w:rPr>
        <w:t>NEM 2.0</w:t>
      </w:r>
      <w:r w:rsidR="00135D55">
        <w:rPr>
          <w:rFonts w:eastAsia="Times New Roman"/>
          <w:color w:val="000000"/>
          <w:szCs w:val="26"/>
        </w:rPr>
        <w:t xml:space="preserve"> </w:t>
      </w:r>
      <w:r w:rsidRPr="00682BD3" w:rsidR="00066322">
        <w:rPr>
          <w:rFonts w:eastAsia="Times New Roman"/>
          <w:color w:val="000000"/>
          <w:szCs w:val="26"/>
        </w:rPr>
        <w:t xml:space="preserve">is </w:t>
      </w:r>
      <w:r w:rsidR="00955405">
        <w:rPr>
          <w:rFonts w:eastAsia="Times New Roman"/>
          <w:color w:val="000000"/>
          <w:szCs w:val="26"/>
        </w:rPr>
        <w:t xml:space="preserve">not </w:t>
      </w:r>
      <w:r w:rsidRPr="00682BD3" w:rsidR="00066322">
        <w:rPr>
          <w:rFonts w:eastAsia="Times New Roman"/>
          <w:color w:val="000000"/>
          <w:szCs w:val="26"/>
        </w:rPr>
        <w:t>cost</w:t>
      </w:r>
      <w:r w:rsidR="00827602">
        <w:rPr>
          <w:rFonts w:eastAsia="Times New Roman"/>
          <w:color w:val="000000"/>
          <w:szCs w:val="26"/>
        </w:rPr>
        <w:noBreakHyphen/>
      </w:r>
      <w:r w:rsidRPr="00682BD3" w:rsidR="00066322">
        <w:rPr>
          <w:rFonts w:eastAsia="Times New Roman"/>
          <w:color w:val="000000"/>
          <w:szCs w:val="26"/>
        </w:rPr>
        <w:t>effective</w:t>
      </w:r>
      <w:r w:rsidR="00955405">
        <w:rPr>
          <w:rFonts w:eastAsia="Times New Roman"/>
          <w:color w:val="000000"/>
          <w:szCs w:val="26"/>
        </w:rPr>
        <w:t xml:space="preserve">.  </w:t>
      </w:r>
      <w:r>
        <w:rPr>
          <w:rFonts w:eastAsia="Times New Roman"/>
          <w:color w:val="000000"/>
          <w:szCs w:val="26"/>
        </w:rPr>
        <w:t>This decision</w:t>
      </w:r>
      <w:r w:rsidRPr="00682BD3">
        <w:rPr>
          <w:rFonts w:eastAsia="Times New Roman"/>
          <w:color w:val="000000"/>
          <w:szCs w:val="26"/>
        </w:rPr>
        <w:t xml:space="preserve"> </w:t>
      </w:r>
      <w:r w:rsidR="00066322">
        <w:rPr>
          <w:rFonts w:eastAsia="Times New Roman"/>
          <w:color w:val="000000"/>
          <w:szCs w:val="26"/>
        </w:rPr>
        <w:t>also found</w:t>
      </w:r>
      <w:r w:rsidRPr="00682BD3" w:rsidR="00066322">
        <w:rPr>
          <w:rFonts w:eastAsia="Times New Roman"/>
          <w:color w:val="000000"/>
          <w:szCs w:val="26"/>
        </w:rPr>
        <w:t xml:space="preserve"> that </w:t>
      </w:r>
      <w:r w:rsidR="00066322">
        <w:rPr>
          <w:rFonts w:eastAsia="Times New Roman"/>
          <w:color w:val="000000"/>
          <w:szCs w:val="26"/>
        </w:rPr>
        <w:t xml:space="preserve">the structure of </w:t>
      </w:r>
      <w:r w:rsidR="00602BC5">
        <w:rPr>
          <w:rFonts w:eastAsia="Times New Roman"/>
          <w:color w:val="000000"/>
          <w:szCs w:val="26"/>
        </w:rPr>
        <w:t>NEM 2.0</w:t>
      </w:r>
      <w:r w:rsidR="00135D55">
        <w:rPr>
          <w:rFonts w:eastAsia="Times New Roman"/>
          <w:color w:val="000000"/>
          <w:szCs w:val="26"/>
        </w:rPr>
        <w:t xml:space="preserve"> </w:t>
      </w:r>
      <w:r w:rsidRPr="00682BD3" w:rsidR="00066322">
        <w:rPr>
          <w:rFonts w:eastAsia="Times New Roman"/>
          <w:color w:val="000000"/>
          <w:szCs w:val="26"/>
        </w:rPr>
        <w:t>is not compliant with the guiding principles</w:t>
      </w:r>
      <w:r w:rsidR="00066322">
        <w:rPr>
          <w:rFonts w:eastAsia="Times New Roman"/>
          <w:color w:val="000000"/>
          <w:szCs w:val="26"/>
        </w:rPr>
        <w:t xml:space="preserve">.  In </w:t>
      </w:r>
      <w:r w:rsidR="0034029C">
        <w:rPr>
          <w:rFonts w:eastAsia="Times New Roman"/>
          <w:color w:val="000000"/>
          <w:szCs w:val="26"/>
        </w:rPr>
        <w:t>Section 8</w:t>
      </w:r>
      <w:r w:rsidR="00066322">
        <w:rPr>
          <w:rFonts w:eastAsia="Times New Roman"/>
          <w:color w:val="000000"/>
          <w:szCs w:val="26"/>
        </w:rPr>
        <w:t xml:space="preserve">.4.1 above, </w:t>
      </w:r>
      <w:r w:rsidR="00A27BA9">
        <w:rPr>
          <w:rFonts w:eastAsia="Times New Roman"/>
          <w:color w:val="000000"/>
          <w:szCs w:val="26"/>
        </w:rPr>
        <w:t xml:space="preserve">the use of </w:t>
      </w:r>
      <w:r w:rsidR="00066322">
        <w:rPr>
          <w:rFonts w:eastAsia="Times New Roman"/>
          <w:color w:val="000000"/>
          <w:szCs w:val="26"/>
        </w:rPr>
        <w:t>r</w:t>
      </w:r>
      <w:r w:rsidR="00066322">
        <w:t xml:space="preserve">etail rates </w:t>
      </w:r>
      <w:r w:rsidR="00A27BA9">
        <w:t xml:space="preserve">as a foundation for compensating customers for exporting electricity to the grid </w:t>
      </w:r>
      <w:r w:rsidR="00616D5D">
        <w:t>w</w:t>
      </w:r>
      <w:r w:rsidR="00A27BA9">
        <w:t>as</w:t>
      </w:r>
      <w:r w:rsidR="00616D5D">
        <w:t xml:space="preserve"> found to </w:t>
      </w:r>
      <w:r w:rsidR="00066322">
        <w:t xml:space="preserve">have no connection to the actual costs of the exports or the benefits the </w:t>
      </w:r>
      <w:r w:rsidR="00A27BA9">
        <w:t xml:space="preserve">exported </w:t>
      </w:r>
      <w:r w:rsidR="00F263DA">
        <w:t xml:space="preserve">electricity </w:t>
      </w:r>
      <w:r w:rsidR="00066322">
        <w:t>provide to</w:t>
      </w:r>
      <w:r w:rsidR="00F263DA">
        <w:t xml:space="preserve"> customers </w:t>
      </w:r>
      <w:r w:rsidR="00066322">
        <w:t xml:space="preserve">and the grid, both of which </w:t>
      </w:r>
      <w:r w:rsidR="00616D5D">
        <w:t xml:space="preserve">are </w:t>
      </w:r>
      <w:r w:rsidR="00066322">
        <w:t>need</w:t>
      </w:r>
      <w:r w:rsidR="00616D5D">
        <w:t>ed</w:t>
      </w:r>
      <w:r w:rsidR="00066322">
        <w:t xml:space="preserve"> to ensure they are approximately equal, pursuant to </w:t>
      </w:r>
      <w:r w:rsidR="0034029C">
        <w:t>Section 2</w:t>
      </w:r>
      <w:r w:rsidR="00066322">
        <w:t>827.1</w:t>
      </w:r>
      <w:r w:rsidR="008379D7">
        <w:t>.</w:t>
      </w:r>
      <w:r w:rsidR="00066322">
        <w:rPr>
          <w:rFonts w:eastAsia="Times New Roman"/>
          <w:color w:val="000000"/>
          <w:szCs w:val="26"/>
        </w:rPr>
        <w:t xml:space="preserve">  </w:t>
      </w:r>
      <w:r w:rsidR="004E4FD8">
        <w:rPr>
          <w:rFonts w:eastAsia="Times New Roman"/>
          <w:color w:val="000000"/>
          <w:szCs w:val="26"/>
        </w:rPr>
        <w:t xml:space="preserve">The Commission has </w:t>
      </w:r>
      <w:r w:rsidR="009447CF">
        <w:rPr>
          <w:rFonts w:eastAsia="Times New Roman"/>
          <w:color w:val="000000"/>
          <w:szCs w:val="26"/>
        </w:rPr>
        <w:lastRenderedPageBreak/>
        <w:t>determined</w:t>
      </w:r>
      <w:r w:rsidR="004E4FD8">
        <w:rPr>
          <w:rFonts w:eastAsia="Times New Roman"/>
          <w:color w:val="000000"/>
          <w:szCs w:val="26"/>
        </w:rPr>
        <w:t xml:space="preserve"> that Avoided Cost Calculator values provide the true value of the electricity exported to the grid.  </w:t>
      </w:r>
      <w:r w:rsidR="009447CF">
        <w:rPr>
          <w:rFonts w:eastAsia="Times New Roman"/>
          <w:color w:val="000000"/>
          <w:szCs w:val="26"/>
        </w:rPr>
        <w:t xml:space="preserve">Hence, </w:t>
      </w:r>
      <w:r w:rsidR="0073217E">
        <w:rPr>
          <w:rFonts w:eastAsia="Times New Roman"/>
          <w:color w:val="000000"/>
          <w:szCs w:val="26"/>
        </w:rPr>
        <w:t>the Commission should</w:t>
      </w:r>
      <w:r w:rsidR="00847CB6">
        <w:rPr>
          <w:rFonts w:eastAsia="Times New Roman"/>
          <w:color w:val="000000"/>
          <w:szCs w:val="26"/>
        </w:rPr>
        <w:t xml:space="preserve"> </w:t>
      </w:r>
      <w:r w:rsidR="00F07E9C">
        <w:rPr>
          <w:rFonts w:eastAsia="Times New Roman"/>
          <w:color w:val="000000"/>
          <w:szCs w:val="26"/>
        </w:rPr>
        <w:t>appl</w:t>
      </w:r>
      <w:r w:rsidR="0073217E">
        <w:rPr>
          <w:rFonts w:eastAsia="Times New Roman"/>
          <w:color w:val="000000"/>
          <w:szCs w:val="26"/>
        </w:rPr>
        <w:t>y</w:t>
      </w:r>
      <w:r w:rsidR="00F07E9C">
        <w:rPr>
          <w:rFonts w:eastAsia="Times New Roman"/>
          <w:color w:val="000000"/>
          <w:szCs w:val="26"/>
        </w:rPr>
        <w:t xml:space="preserve"> the Avoided Cost Calculator values to </w:t>
      </w:r>
      <w:r w:rsidR="00DE192D">
        <w:rPr>
          <w:rFonts w:eastAsia="Times New Roman"/>
          <w:color w:val="000000"/>
          <w:szCs w:val="26"/>
        </w:rPr>
        <w:t xml:space="preserve">determine the retail export compensation rate for </w:t>
      </w:r>
      <w:r w:rsidR="00F07E9C">
        <w:rPr>
          <w:rFonts w:eastAsia="Times New Roman"/>
          <w:color w:val="000000"/>
          <w:szCs w:val="26"/>
        </w:rPr>
        <w:t>nonresidential customers of this tariff.</w:t>
      </w:r>
    </w:p>
    <w:p w:rsidR="00533B2F" w:rsidP="00333F8E" w:rsidRDefault="00DE192D" w14:paraId="5A7D6872" w14:textId="080DCB1B">
      <w:pPr>
        <w:pStyle w:val="Standard"/>
        <w:rPr>
          <w:rFonts w:eastAsia="Times New Roman"/>
          <w:color w:val="000000"/>
          <w:szCs w:val="26"/>
        </w:rPr>
      </w:pPr>
      <w:r>
        <w:rPr>
          <w:rFonts w:eastAsia="Times New Roman"/>
          <w:color w:val="000000"/>
          <w:szCs w:val="26"/>
        </w:rPr>
        <w:t xml:space="preserve">On a related matter, </w:t>
      </w:r>
      <w:r w:rsidR="00B26851">
        <w:rPr>
          <w:rFonts w:eastAsia="Times New Roman"/>
          <w:color w:val="000000"/>
          <w:szCs w:val="26"/>
        </w:rPr>
        <w:t xml:space="preserve">unless there are clear benefits to doing </w:t>
      </w:r>
      <w:r w:rsidR="00E20FF7">
        <w:rPr>
          <w:rFonts w:eastAsia="Times New Roman"/>
          <w:color w:val="000000"/>
          <w:szCs w:val="26"/>
        </w:rPr>
        <w:t>s</w:t>
      </w:r>
      <w:r w:rsidR="00B26851">
        <w:rPr>
          <w:rFonts w:eastAsia="Times New Roman"/>
          <w:color w:val="000000"/>
          <w:szCs w:val="26"/>
        </w:rPr>
        <w:t xml:space="preserve">o, </w:t>
      </w:r>
      <w:r>
        <w:rPr>
          <w:rFonts w:eastAsia="Times New Roman"/>
          <w:color w:val="000000"/>
          <w:szCs w:val="26"/>
        </w:rPr>
        <w:t>t</w:t>
      </w:r>
      <w:r w:rsidR="00F07E9C">
        <w:rPr>
          <w:rFonts w:eastAsia="Times New Roman"/>
          <w:color w:val="000000"/>
          <w:szCs w:val="26"/>
        </w:rPr>
        <w:t xml:space="preserve">he Commission </w:t>
      </w:r>
      <w:r w:rsidR="00B26851">
        <w:rPr>
          <w:rFonts w:eastAsia="Times New Roman"/>
          <w:color w:val="000000"/>
          <w:szCs w:val="26"/>
        </w:rPr>
        <w:t>should not</w:t>
      </w:r>
      <w:r w:rsidR="00F07E9C">
        <w:rPr>
          <w:rFonts w:eastAsia="Times New Roman"/>
          <w:color w:val="000000"/>
          <w:szCs w:val="26"/>
        </w:rPr>
        <w:t xml:space="preserve"> treat one technology differently from another and, therefore, declines to create a carve</w:t>
      </w:r>
      <w:r w:rsidR="008E22AB">
        <w:rPr>
          <w:rFonts w:eastAsia="Times New Roman"/>
          <w:color w:val="000000"/>
          <w:szCs w:val="26"/>
        </w:rPr>
        <w:noBreakHyphen/>
      </w:r>
      <w:r w:rsidR="00F07E9C">
        <w:rPr>
          <w:rFonts w:eastAsia="Times New Roman"/>
          <w:color w:val="000000"/>
          <w:szCs w:val="26"/>
        </w:rPr>
        <w:t xml:space="preserve">out for wind energy.  Foundation </w:t>
      </w:r>
      <w:proofErr w:type="spellStart"/>
      <w:r w:rsidR="00F07E9C">
        <w:rPr>
          <w:rFonts w:eastAsia="Times New Roman"/>
          <w:color w:val="000000"/>
          <w:szCs w:val="26"/>
        </w:rPr>
        <w:t>Windpower</w:t>
      </w:r>
      <w:proofErr w:type="spellEnd"/>
      <w:r w:rsidR="00F07E9C">
        <w:rPr>
          <w:rFonts w:eastAsia="Times New Roman"/>
          <w:color w:val="000000"/>
          <w:szCs w:val="26"/>
        </w:rPr>
        <w:t xml:space="preserve"> requests the Commission to consider the cost</w:t>
      </w:r>
      <w:r w:rsidR="008E22AB">
        <w:rPr>
          <w:rFonts w:eastAsia="Times New Roman"/>
          <w:color w:val="000000"/>
          <w:szCs w:val="26"/>
        </w:rPr>
        <w:noBreakHyphen/>
      </w:r>
      <w:r w:rsidR="00F07E9C">
        <w:rPr>
          <w:rFonts w:eastAsia="Times New Roman"/>
          <w:color w:val="000000"/>
          <w:szCs w:val="26"/>
        </w:rPr>
        <w:t>effectiveness findings using the model from the Lookback Study</w:t>
      </w:r>
      <w:r>
        <w:rPr>
          <w:rFonts w:eastAsia="Times New Roman"/>
          <w:color w:val="000000"/>
          <w:szCs w:val="26"/>
        </w:rPr>
        <w:t xml:space="preserve">, which Foundation </w:t>
      </w:r>
      <w:proofErr w:type="spellStart"/>
      <w:r w:rsidR="00A27BA9">
        <w:rPr>
          <w:rFonts w:eastAsia="Times New Roman"/>
          <w:color w:val="000000"/>
          <w:szCs w:val="26"/>
        </w:rPr>
        <w:t>Windpower</w:t>
      </w:r>
      <w:proofErr w:type="spellEnd"/>
      <w:r w:rsidR="00A27BA9">
        <w:rPr>
          <w:rFonts w:eastAsia="Times New Roman"/>
          <w:color w:val="000000"/>
          <w:szCs w:val="26"/>
        </w:rPr>
        <w:t xml:space="preserve"> </w:t>
      </w:r>
      <w:r>
        <w:rPr>
          <w:rFonts w:eastAsia="Times New Roman"/>
          <w:color w:val="000000"/>
          <w:szCs w:val="26"/>
        </w:rPr>
        <w:t xml:space="preserve">asserts </w:t>
      </w:r>
      <w:r w:rsidR="00F07E9C">
        <w:rPr>
          <w:rFonts w:eastAsia="Times New Roman"/>
          <w:color w:val="000000"/>
          <w:szCs w:val="26"/>
        </w:rPr>
        <w:t>indicate</w:t>
      </w:r>
      <w:r>
        <w:rPr>
          <w:rFonts w:eastAsia="Times New Roman"/>
          <w:color w:val="000000"/>
          <w:szCs w:val="26"/>
        </w:rPr>
        <w:t>s</w:t>
      </w:r>
      <w:r w:rsidR="00F07E9C">
        <w:rPr>
          <w:rFonts w:eastAsia="Times New Roman"/>
          <w:color w:val="000000"/>
          <w:szCs w:val="26"/>
        </w:rPr>
        <w:t xml:space="preserve"> wind energy as being cost</w:t>
      </w:r>
      <w:r w:rsidR="008E22AB">
        <w:rPr>
          <w:rFonts w:eastAsia="Times New Roman"/>
          <w:color w:val="000000"/>
          <w:szCs w:val="26"/>
        </w:rPr>
        <w:noBreakHyphen/>
      </w:r>
      <w:r w:rsidR="00F07E9C">
        <w:rPr>
          <w:rFonts w:eastAsia="Times New Roman"/>
          <w:color w:val="000000"/>
          <w:szCs w:val="26"/>
        </w:rPr>
        <w:t>effective.</w:t>
      </w:r>
      <w:r w:rsidR="00F07E9C">
        <w:rPr>
          <w:rStyle w:val="FootnoteReference"/>
          <w:rFonts w:eastAsia="Times New Roman"/>
          <w:color w:val="000000"/>
          <w:szCs w:val="26"/>
        </w:rPr>
        <w:footnoteReference w:id="304"/>
      </w:r>
      <w:r w:rsidR="00F07E9C">
        <w:rPr>
          <w:rFonts w:eastAsia="Times New Roman"/>
          <w:color w:val="000000"/>
          <w:szCs w:val="26"/>
        </w:rPr>
        <w:t xml:space="preserve">  </w:t>
      </w:r>
      <w:r>
        <w:rPr>
          <w:rFonts w:eastAsia="Times New Roman"/>
          <w:color w:val="000000"/>
          <w:szCs w:val="26"/>
        </w:rPr>
        <w:t>I</w:t>
      </w:r>
      <w:r w:rsidR="00F07E9C">
        <w:rPr>
          <w:rFonts w:eastAsia="Times New Roman"/>
          <w:color w:val="000000"/>
          <w:szCs w:val="26"/>
        </w:rPr>
        <w:t xml:space="preserve">t </w:t>
      </w:r>
      <w:r w:rsidR="00B26851">
        <w:rPr>
          <w:rFonts w:eastAsia="Times New Roman"/>
          <w:color w:val="000000"/>
          <w:szCs w:val="26"/>
        </w:rPr>
        <w:t xml:space="preserve">is </w:t>
      </w:r>
      <w:r w:rsidR="00F07E9C">
        <w:rPr>
          <w:rFonts w:eastAsia="Times New Roman"/>
          <w:color w:val="000000"/>
          <w:szCs w:val="26"/>
        </w:rPr>
        <w:t xml:space="preserve">the Commission’s responsibility to </w:t>
      </w:r>
      <w:r w:rsidR="00093AA6">
        <w:rPr>
          <w:rFonts w:eastAsia="Times New Roman"/>
          <w:color w:val="000000"/>
          <w:szCs w:val="26"/>
        </w:rPr>
        <w:t xml:space="preserve">balance the </w:t>
      </w:r>
      <w:r>
        <w:rPr>
          <w:rFonts w:eastAsia="Times New Roman"/>
          <w:color w:val="000000"/>
          <w:szCs w:val="26"/>
        </w:rPr>
        <w:t xml:space="preserve">multiple and, sometimes, conflicting </w:t>
      </w:r>
      <w:r w:rsidR="00093AA6">
        <w:rPr>
          <w:rFonts w:eastAsia="Times New Roman"/>
          <w:color w:val="000000"/>
          <w:szCs w:val="26"/>
        </w:rPr>
        <w:t xml:space="preserve">requirements of the statute.  This decision has found that basing compensation for electricity exported to the grid on retail rates has no connection </w:t>
      </w:r>
      <w:r>
        <w:rPr>
          <w:rFonts w:eastAsia="Times New Roman"/>
          <w:color w:val="000000"/>
          <w:szCs w:val="26"/>
        </w:rPr>
        <w:t>to</w:t>
      </w:r>
      <w:r w:rsidR="00093AA6">
        <w:rPr>
          <w:rFonts w:eastAsia="Times New Roman"/>
          <w:color w:val="000000"/>
          <w:szCs w:val="26"/>
        </w:rPr>
        <w:t xml:space="preserve"> the true value the exports provide to the grid.  Accordingly, customers relying on wind power to provide the exports should not be allowed to continue using th</w:t>
      </w:r>
      <w:r>
        <w:rPr>
          <w:rFonts w:eastAsia="Times New Roman"/>
          <w:color w:val="000000"/>
          <w:szCs w:val="26"/>
        </w:rPr>
        <w:t>e</w:t>
      </w:r>
      <w:r w:rsidR="00093AA6">
        <w:rPr>
          <w:rFonts w:eastAsia="Times New Roman"/>
          <w:color w:val="000000"/>
          <w:szCs w:val="26"/>
        </w:rPr>
        <w:t xml:space="preserve"> inaccurate method of basing export compensation on the retail rate.</w:t>
      </w:r>
    </w:p>
    <w:p w:rsidR="00252DB7" w:rsidP="005E7044" w:rsidRDefault="00252DB7" w14:paraId="49E0D523" w14:textId="4A4D154F">
      <w:pPr>
        <w:pStyle w:val="Heading3"/>
        <w:keepLines w:val="0"/>
      </w:pPr>
      <w:bookmarkStart w:name="_Toc117674090" w:id="163"/>
      <w:bookmarkStart w:name="_Toc118285081" w:id="164"/>
      <w:bookmarkStart w:name="_Toc121854408" w:id="165"/>
      <w:bookmarkEnd w:id="162"/>
      <w:r>
        <w:t>Import Rate</w:t>
      </w:r>
      <w:bookmarkEnd w:id="163"/>
      <w:bookmarkEnd w:id="164"/>
      <w:bookmarkEnd w:id="165"/>
    </w:p>
    <w:p w:rsidR="0053487E" w:rsidP="005E7044" w:rsidRDefault="00447150" w14:paraId="550471C8" w14:textId="0534F6FB">
      <w:pPr>
        <w:pStyle w:val="Standard"/>
      </w:pPr>
      <w:r>
        <w:t xml:space="preserve">There is considerably more consensus amongst parties with respect to import rates.  </w:t>
      </w:r>
      <w:r w:rsidR="00400812">
        <w:t>With a few exceptions, m</w:t>
      </w:r>
      <w:r w:rsidR="00F25C03">
        <w:t xml:space="preserve">any </w:t>
      </w:r>
      <w:r w:rsidR="00400812">
        <w:t xml:space="preserve">parties </w:t>
      </w:r>
      <w:r w:rsidR="00F25C03">
        <w:t>agree</w:t>
      </w:r>
      <w:r w:rsidR="00400812">
        <w:t xml:space="preserve"> that </w:t>
      </w:r>
      <w:r w:rsidR="00F25C03">
        <w:t>moving toward highly differentiated time</w:t>
      </w:r>
      <w:r w:rsidR="00827602">
        <w:noBreakHyphen/>
      </w:r>
      <w:r w:rsidR="00F25C03">
        <w:t>of</w:t>
      </w:r>
      <w:r w:rsidR="00827602">
        <w:noBreakHyphen/>
      </w:r>
      <w:r w:rsidR="00F25C03">
        <w:t>use rates will address several objectives.</w:t>
      </w:r>
    </w:p>
    <w:p w:rsidR="00EA0B93" w:rsidP="005E7044" w:rsidRDefault="00447150" w14:paraId="63346E3F" w14:textId="4F3F78EC">
      <w:pPr>
        <w:pStyle w:val="Standard"/>
      </w:pPr>
      <w:r>
        <w:t>PCF asserts the current time</w:t>
      </w:r>
      <w:r w:rsidR="00827602">
        <w:noBreakHyphen/>
      </w:r>
      <w:r>
        <w:t>of</w:t>
      </w:r>
      <w:r w:rsidR="00827602">
        <w:noBreakHyphen/>
      </w:r>
      <w:r>
        <w:t xml:space="preserve">use rates, for PG&amp;E and SDG&amp;E, </w:t>
      </w:r>
      <w:r w:rsidR="00F25C03">
        <w:t>do</w:t>
      </w:r>
      <w:r>
        <w:t xml:space="preserve"> not send a strong signal to customers to divert energy usage to lower</w:t>
      </w:r>
      <w:r w:rsidR="00827602">
        <w:noBreakHyphen/>
      </w:r>
      <w:r>
        <w:t>priced hours</w:t>
      </w:r>
      <w:r w:rsidR="006528C9">
        <w:t xml:space="preserve"> when the solar system is producing</w:t>
      </w:r>
      <w:r>
        <w:t>.</w:t>
      </w:r>
      <w:r>
        <w:rPr>
          <w:rStyle w:val="FootnoteReference"/>
        </w:rPr>
        <w:footnoteReference w:id="305"/>
      </w:r>
      <w:r>
        <w:t xml:space="preserve">  </w:t>
      </w:r>
      <w:r w:rsidR="00F25C03">
        <w:t>To maximize benefits</w:t>
      </w:r>
      <w:r>
        <w:t xml:space="preserve">, PCF recommends </w:t>
      </w:r>
      <w:r>
        <w:lastRenderedPageBreak/>
        <w:t>revising time</w:t>
      </w:r>
      <w:r w:rsidR="00827602">
        <w:noBreakHyphen/>
      </w:r>
      <w:r>
        <w:t>of</w:t>
      </w:r>
      <w:r w:rsidR="00827602">
        <w:noBreakHyphen/>
      </w:r>
      <w:r>
        <w:t xml:space="preserve">use rates </w:t>
      </w:r>
      <w:r w:rsidR="007F6DE5">
        <w:t>to</w:t>
      </w:r>
      <w:r>
        <w:t xml:space="preserve"> have greater differentials between peak and off</w:t>
      </w:r>
      <w:r w:rsidR="00827602">
        <w:noBreakHyphen/>
      </w:r>
      <w:r>
        <w:t>peak pricing</w:t>
      </w:r>
      <w:r w:rsidR="006528C9">
        <w:t xml:space="preserve"> and </w:t>
      </w:r>
      <w:r w:rsidR="007F6DE5">
        <w:t>be</w:t>
      </w:r>
      <w:r w:rsidR="006528C9">
        <w:t xml:space="preserve"> seasonally adjusted</w:t>
      </w:r>
      <w:r>
        <w:t>.</w:t>
      </w:r>
      <w:r w:rsidR="006528C9">
        <w:rPr>
          <w:rStyle w:val="FootnoteReference"/>
        </w:rPr>
        <w:footnoteReference w:id="306"/>
      </w:r>
      <w:r w:rsidR="006528C9">
        <w:t xml:space="preserve">  PCF contends making these revisions would also decrease the cost shift.</w:t>
      </w:r>
      <w:r w:rsidR="006528C9">
        <w:rPr>
          <w:rStyle w:val="FootnoteReference"/>
        </w:rPr>
        <w:footnoteReference w:id="307"/>
      </w:r>
      <w:r w:rsidR="00F25C03">
        <w:t xml:space="preserve">  </w:t>
      </w:r>
      <w:proofErr w:type="spellStart"/>
      <w:r w:rsidR="00F25C03">
        <w:t>SBUA</w:t>
      </w:r>
      <w:proofErr w:type="spellEnd"/>
      <w:r w:rsidR="00F25C03">
        <w:t xml:space="preserve"> surmises that even without any other reform, a shift toward more fully</w:t>
      </w:r>
      <w:r w:rsidR="00827602">
        <w:noBreakHyphen/>
      </w:r>
      <w:r w:rsidR="00F25C03">
        <w:t>differentiated rates will increase bills for successor net energy metering customers.</w:t>
      </w:r>
      <w:r w:rsidR="00F25C03">
        <w:rPr>
          <w:rStyle w:val="FootnoteReference"/>
        </w:rPr>
        <w:footnoteReference w:id="308"/>
      </w:r>
      <w:r w:rsidR="007F6DE5">
        <w:t xml:space="preserve">  Others supporting new non</w:t>
      </w:r>
      <w:r w:rsidR="00827602">
        <w:noBreakHyphen/>
      </w:r>
      <w:r w:rsidR="007F6DE5">
        <w:t>tiered, highly differentiated time</w:t>
      </w:r>
      <w:r w:rsidR="00827602">
        <w:noBreakHyphen/>
      </w:r>
      <w:r w:rsidR="007F6DE5">
        <w:t>of</w:t>
      </w:r>
      <w:r w:rsidR="00827602">
        <w:noBreakHyphen/>
      </w:r>
      <w:r w:rsidR="007F6DE5">
        <w:t>use rates include</w:t>
      </w:r>
      <w:r w:rsidR="00996482">
        <w:t xml:space="preserve"> </w:t>
      </w:r>
      <w:proofErr w:type="spellStart"/>
      <w:r w:rsidR="00996482">
        <w:t>CalWEA</w:t>
      </w:r>
      <w:proofErr w:type="spellEnd"/>
      <w:r w:rsidR="00996482">
        <w:t xml:space="preserve">, CUE, </w:t>
      </w:r>
      <w:proofErr w:type="spellStart"/>
      <w:r w:rsidR="00996482">
        <w:t>IEPA</w:t>
      </w:r>
      <w:proofErr w:type="spellEnd"/>
      <w:r w:rsidR="00996482">
        <w:t xml:space="preserve">, NRDC, </w:t>
      </w:r>
      <w:r w:rsidR="009355F1">
        <w:t>Cal Advoc</w:t>
      </w:r>
      <w:r w:rsidR="007F6DE5">
        <w:t xml:space="preserve">ates, </w:t>
      </w:r>
      <w:r w:rsidR="00381E5C">
        <w:t xml:space="preserve">Sierra Club, </w:t>
      </w:r>
      <w:r w:rsidR="00996482">
        <w:t>and TURN.</w:t>
      </w:r>
      <w:r w:rsidR="00996482">
        <w:rPr>
          <w:rStyle w:val="FootnoteReference"/>
        </w:rPr>
        <w:footnoteReference w:id="309"/>
      </w:r>
      <w:r w:rsidR="00996482">
        <w:t xml:space="preserve">  However, TURN </w:t>
      </w:r>
      <w:r w:rsidR="000C4375">
        <w:t>cautions</w:t>
      </w:r>
      <w:r w:rsidR="00996482">
        <w:t xml:space="preserve"> that certain customers may experience adverse bill impacts when switching from a baseline rate to a</w:t>
      </w:r>
      <w:r w:rsidR="00AE0D52">
        <w:t xml:space="preserve"> non</w:t>
      </w:r>
      <w:r w:rsidR="00827602">
        <w:noBreakHyphen/>
      </w:r>
      <w:r w:rsidR="00996482">
        <w:t>tiered time</w:t>
      </w:r>
      <w:r w:rsidR="00827602">
        <w:noBreakHyphen/>
      </w:r>
      <w:r w:rsidR="00996482">
        <w:t>of</w:t>
      </w:r>
      <w:r w:rsidR="00827602">
        <w:noBreakHyphen/>
      </w:r>
      <w:r w:rsidR="00996482">
        <w:t>use rate.</w:t>
      </w:r>
      <w:r w:rsidR="00996482">
        <w:rPr>
          <w:rStyle w:val="FootnoteReference"/>
        </w:rPr>
        <w:footnoteReference w:id="310"/>
      </w:r>
    </w:p>
    <w:p w:rsidR="00533B2F" w:rsidP="005E7044" w:rsidRDefault="00381E5C" w14:paraId="02B0BCB9" w14:textId="5950DF13">
      <w:pPr>
        <w:pStyle w:val="Standard"/>
      </w:pPr>
      <w:r>
        <w:t xml:space="preserve">Sierra Club states that the foundational element of the successor tariff should be </w:t>
      </w:r>
      <w:r w:rsidR="001B7951">
        <w:t>requiring customers</w:t>
      </w:r>
      <w:r>
        <w:t xml:space="preserve"> to take service on an electrification rate with a fixed charge component. </w:t>
      </w:r>
      <w:r w:rsidR="001B7951">
        <w:t xml:space="preserve"> </w:t>
      </w:r>
      <w:r>
        <w:t>Sierra Club submits that electrification rates would reduce the cost shift through more appropriate time</w:t>
      </w:r>
      <w:r w:rsidR="00827602">
        <w:noBreakHyphen/>
      </w:r>
      <w:r>
        <w:t>variant pricing and discourage energy use during peak periods when carbon intensity is the highest.</w:t>
      </w:r>
      <w:r>
        <w:rPr>
          <w:rStyle w:val="FootnoteReference"/>
        </w:rPr>
        <w:footnoteReference w:id="311"/>
      </w:r>
      <w:r>
        <w:t xml:space="preserve"> </w:t>
      </w:r>
      <w:r w:rsidR="001B7951">
        <w:t xml:space="preserve"> </w:t>
      </w:r>
      <w:r w:rsidR="00315DEF">
        <w:t xml:space="preserve">SEIA/Vote Solar </w:t>
      </w:r>
      <w:r w:rsidR="00345867">
        <w:t>agree that</w:t>
      </w:r>
      <w:r w:rsidR="00315DEF">
        <w:t xml:space="preserve"> successor tariff customers </w:t>
      </w:r>
      <w:r w:rsidR="00345867">
        <w:t xml:space="preserve">should </w:t>
      </w:r>
      <w:r w:rsidR="00315DEF">
        <w:t>move to electrification rates</w:t>
      </w:r>
      <w:r w:rsidR="00C4592C">
        <w:t>, which will encourage electrification and help California reach its greenhouse gas reduction goal.</w:t>
      </w:r>
      <w:r w:rsidR="00C4592C">
        <w:rPr>
          <w:rStyle w:val="FootnoteReference"/>
        </w:rPr>
        <w:footnoteReference w:id="312"/>
      </w:r>
      <w:r w:rsidR="00C4592C">
        <w:t xml:space="preserve">  </w:t>
      </w:r>
      <w:r w:rsidR="00EA0B93">
        <w:t xml:space="preserve">Contending the existence of a link between solar installation and electric vehicle purchases, SEIA/Vote Solar maintains the link would be strengthened by the requirement of an existing </w:t>
      </w:r>
      <w:r w:rsidR="00EA0B93">
        <w:lastRenderedPageBreak/>
        <w:t>electrification rate.</w:t>
      </w:r>
      <w:r w:rsidR="00EA0B93">
        <w:rPr>
          <w:rStyle w:val="FootnoteReference"/>
        </w:rPr>
        <w:footnoteReference w:id="313"/>
      </w:r>
      <w:r w:rsidR="00EA0B93">
        <w:t xml:space="preserve">  Further, SEIA/Vote Solar asserts requiring electrification rates would help mitigate any cost shift between participants and non</w:t>
      </w:r>
      <w:r w:rsidR="00827602">
        <w:noBreakHyphen/>
      </w:r>
      <w:r w:rsidR="00EA0B93">
        <w:t>participants.</w:t>
      </w:r>
      <w:r w:rsidR="00EA0B93">
        <w:rPr>
          <w:rStyle w:val="FootnoteReference"/>
        </w:rPr>
        <w:footnoteReference w:id="314"/>
      </w:r>
      <w:r w:rsidR="00345867">
        <w:t xml:space="preserve">  However, SEIA/Vote Solar </w:t>
      </w:r>
      <w:r w:rsidR="00B22206">
        <w:t>underscores</w:t>
      </w:r>
      <w:r w:rsidR="00345867">
        <w:t xml:space="preserve"> that the electrification rates </w:t>
      </w:r>
      <w:r w:rsidR="0071053D">
        <w:t xml:space="preserve">adopted in this decision </w:t>
      </w:r>
      <w:r w:rsidR="00345867">
        <w:t>should be existing rates</w:t>
      </w:r>
      <w:r w:rsidR="00B81E8E">
        <w:t xml:space="preserve"> that </w:t>
      </w:r>
      <w:r w:rsidR="007E5B8A">
        <w:t>are available to all customers</w:t>
      </w:r>
      <w:r w:rsidR="00345867">
        <w:t>.</w:t>
      </w:r>
      <w:r w:rsidR="007E5B8A">
        <w:rPr>
          <w:rStyle w:val="FootnoteReference"/>
        </w:rPr>
        <w:footnoteReference w:id="315"/>
      </w:r>
    </w:p>
    <w:p w:rsidR="003D11B2" w:rsidP="005E7044" w:rsidRDefault="00C4592C" w14:paraId="6DFE9746" w14:textId="27C9E069">
      <w:pPr>
        <w:pStyle w:val="Standard"/>
      </w:pPr>
      <w:r>
        <w:t xml:space="preserve">Joint Utilities </w:t>
      </w:r>
      <w:r w:rsidR="00996482">
        <w:t xml:space="preserve">approach the import rate reform </w:t>
      </w:r>
      <w:r w:rsidR="00B81E8E">
        <w:t>more acutely</w:t>
      </w:r>
      <w:r w:rsidR="00996482">
        <w:t xml:space="preserve">, </w:t>
      </w:r>
      <w:r w:rsidR="00345867">
        <w:t>recommend</w:t>
      </w:r>
      <w:r w:rsidR="00996482">
        <w:t>ing</w:t>
      </w:r>
      <w:r w:rsidR="00345867">
        <w:t xml:space="preserve"> a new set of rates </w:t>
      </w:r>
      <w:r w:rsidR="005376B0">
        <w:t xml:space="preserve">for net energy metering </w:t>
      </w:r>
      <w:r w:rsidR="00345867">
        <w:t xml:space="preserve">successor </w:t>
      </w:r>
      <w:r w:rsidR="005376B0">
        <w:t xml:space="preserve">tariff </w:t>
      </w:r>
      <w:r w:rsidR="00345867">
        <w:t>customers</w:t>
      </w:r>
      <w:r w:rsidR="00996482">
        <w:t>.  Joint Utilities p</w:t>
      </w:r>
      <w:r>
        <w:t>ropos</w:t>
      </w:r>
      <w:r w:rsidR="00996482">
        <w:t>e</w:t>
      </w:r>
      <w:r>
        <w:t xml:space="preserve"> cost</w:t>
      </w:r>
      <w:r w:rsidR="00827602">
        <w:noBreakHyphen/>
      </w:r>
      <w:r>
        <w:t>based residential default rate</w:t>
      </w:r>
      <w:r w:rsidR="0071053D">
        <w:t>s</w:t>
      </w:r>
      <w:r>
        <w:t xml:space="preserve"> for residential customers, including on</w:t>
      </w:r>
      <w:r w:rsidR="00827602">
        <w:noBreakHyphen/>
      </w:r>
      <w:r>
        <w:t>peak, off</w:t>
      </w:r>
      <w:r w:rsidR="00827602">
        <w:noBreakHyphen/>
      </w:r>
      <w:r>
        <w:t>peak</w:t>
      </w:r>
      <w:r w:rsidR="00A4441F">
        <w:t>,</w:t>
      </w:r>
      <w:r>
        <w:t xml:space="preserve"> and super off</w:t>
      </w:r>
      <w:r w:rsidR="00827602">
        <w:noBreakHyphen/>
      </w:r>
      <w:r>
        <w:t>peak time</w:t>
      </w:r>
      <w:r w:rsidR="00827602">
        <w:noBreakHyphen/>
      </w:r>
      <w:r>
        <w:t>of</w:t>
      </w:r>
      <w:r w:rsidR="00827602">
        <w:noBreakHyphen/>
      </w:r>
      <w:r>
        <w:t>use rates for both summer and winter.</w:t>
      </w:r>
      <w:r>
        <w:rPr>
          <w:rStyle w:val="FootnoteReference"/>
        </w:rPr>
        <w:footnoteReference w:id="316"/>
      </w:r>
      <w:r>
        <w:t xml:space="preserve">  Joint Utilities assert that</w:t>
      </w:r>
      <w:r w:rsidR="007E70B7">
        <w:t xml:space="preserve">, </w:t>
      </w:r>
      <w:r>
        <w:t>in combination with fixed charges, these cost</w:t>
      </w:r>
      <w:r w:rsidR="00827602">
        <w:noBreakHyphen/>
      </w:r>
      <w:r>
        <w:t>based, non</w:t>
      </w:r>
      <w:r w:rsidR="00827602">
        <w:noBreakHyphen/>
      </w:r>
      <w:r>
        <w:t>tiered time</w:t>
      </w:r>
      <w:r w:rsidR="00827602">
        <w:noBreakHyphen/>
      </w:r>
      <w:r>
        <w:t>of</w:t>
      </w:r>
      <w:r w:rsidR="00827602">
        <w:noBreakHyphen/>
      </w:r>
      <w:r>
        <w:t>use differentials will result in ratepayer indifference and bring net energy metering into alignment with rate design principles, rectify the cost shift, provide subsidy transparency, and reflect accurate pricing.</w:t>
      </w:r>
      <w:r>
        <w:rPr>
          <w:rStyle w:val="FootnoteReference"/>
        </w:rPr>
        <w:footnoteReference w:id="317"/>
      </w:r>
    </w:p>
    <w:p w:rsidR="001C721E" w:rsidP="005E7044" w:rsidRDefault="0053487E" w14:paraId="49A16056" w14:textId="66ADD634">
      <w:pPr>
        <w:pStyle w:val="Standard"/>
      </w:pPr>
      <w:r>
        <w:t>SEIA/Vote Solar oppose Joint Utilities</w:t>
      </w:r>
      <w:r w:rsidR="0071053D">
        <w:t>’</w:t>
      </w:r>
      <w:r>
        <w:t xml:space="preserve"> new rate schedules for net energy metering customers</w:t>
      </w:r>
      <w:r w:rsidR="005376B0">
        <w:t xml:space="preserve"> (PG&amp;E and SDG&amp;E rates)</w:t>
      </w:r>
      <w:r>
        <w:t xml:space="preserve"> contending </w:t>
      </w:r>
      <w:r w:rsidR="005376B0">
        <w:t xml:space="preserve">that while available to other customers, </w:t>
      </w:r>
      <w:r w:rsidR="00BA1EAE">
        <w:t>“</w:t>
      </w:r>
      <w:r w:rsidR="005376B0">
        <w:t>the reality is that given its structure, with a fixed charge significantly higher than is imposed under any other currently operable PG&amp;E tariff, it is highly unlikely that other customers will opt in to it.</w:t>
      </w:r>
      <w:r w:rsidR="00BA1EAE">
        <w:t>”</w:t>
      </w:r>
      <w:r w:rsidR="005376B0">
        <w:rPr>
          <w:rStyle w:val="FootnoteReference"/>
        </w:rPr>
        <w:footnoteReference w:id="318"/>
      </w:r>
      <w:r w:rsidR="005376B0">
        <w:t xml:space="preserve">  SEIA/Vote Solar </w:t>
      </w:r>
      <w:r w:rsidR="007E5B8A">
        <w:t xml:space="preserve">cautions </w:t>
      </w:r>
      <w:r w:rsidR="001C721E">
        <w:t xml:space="preserve">that </w:t>
      </w:r>
      <w:r w:rsidR="007E5B8A">
        <w:t>adoption of these rates</w:t>
      </w:r>
      <w:r w:rsidR="005376B0">
        <w:t xml:space="preserve"> </w:t>
      </w:r>
      <w:r w:rsidR="007E5B8A">
        <w:t xml:space="preserve">could lead to segregation of customers </w:t>
      </w:r>
      <w:r w:rsidR="007E5B8A">
        <w:lastRenderedPageBreak/>
        <w:t xml:space="preserve">into groups based on whether they adopt a single type of distributed energy resource.  SEIA/Vote Solar submits that because the goal of the Commission is for customers to adopt multiple types of distributed energy resources in multiple combinations of technologies, having rate schedules geared toward </w:t>
      </w:r>
      <w:r w:rsidR="00AE0D52">
        <w:t xml:space="preserve">a </w:t>
      </w:r>
      <w:r w:rsidR="007E5B8A">
        <w:t>single distributed energy resources does not facilitate reaching this goal.  Further, SEIA/Vote Solar asserts it would be difficult for a customer to ascertain which rate schedule works best.</w:t>
      </w:r>
      <w:r w:rsidR="007E5B8A">
        <w:rPr>
          <w:rStyle w:val="FootnoteReference"/>
        </w:rPr>
        <w:footnoteReference w:id="319"/>
      </w:r>
    </w:p>
    <w:p w:rsidR="000D3B40" w:rsidP="005E7044" w:rsidRDefault="007E5B8A" w14:paraId="44C4A78F" w14:textId="490027CE">
      <w:pPr>
        <w:pStyle w:val="Standard"/>
      </w:pPr>
      <w:r>
        <w:t>Requiring the successor tariff customers to take service on time</w:t>
      </w:r>
      <w:r w:rsidR="00827602">
        <w:noBreakHyphen/>
      </w:r>
      <w:r>
        <w:t>of</w:t>
      </w:r>
      <w:r w:rsidR="00827602">
        <w:noBreakHyphen/>
      </w:r>
      <w:r>
        <w:t xml:space="preserve">use rates </w:t>
      </w:r>
      <w:r w:rsidR="008A7157">
        <w:t>with a high off</w:t>
      </w:r>
      <w:r w:rsidR="00827602">
        <w:noBreakHyphen/>
      </w:r>
      <w:r w:rsidR="008A7157">
        <w:t>peak/on peak price differentiation (</w:t>
      </w:r>
      <w:r w:rsidRPr="00A27C55" w:rsidR="008A7157">
        <w:rPr>
          <w:i/>
          <w:iCs/>
        </w:rPr>
        <w:t>i.e</w:t>
      </w:r>
      <w:r w:rsidR="008A7157">
        <w:t>., highly differentiated time</w:t>
      </w:r>
      <w:r w:rsidR="00827602">
        <w:noBreakHyphen/>
      </w:r>
      <w:r w:rsidR="008A7157">
        <w:t>of</w:t>
      </w:r>
      <w:r w:rsidR="00827602">
        <w:noBreakHyphen/>
      </w:r>
      <w:r w:rsidR="008A7157">
        <w:t xml:space="preserve">use rates) </w:t>
      </w:r>
      <w:r>
        <w:t xml:space="preserve">will </w:t>
      </w:r>
      <w:r w:rsidR="0023353C">
        <w:t>meet</w:t>
      </w:r>
      <w:r>
        <w:t xml:space="preserve"> </w:t>
      </w:r>
      <w:r w:rsidR="0023353C">
        <w:t>several</w:t>
      </w:r>
      <w:r>
        <w:t xml:space="preserve"> </w:t>
      </w:r>
      <w:r w:rsidR="0023353C">
        <w:t xml:space="preserve">guiding principles </w:t>
      </w:r>
      <w:r>
        <w:t xml:space="preserve">in this proceeding.  </w:t>
      </w:r>
      <w:r w:rsidR="00660F17">
        <w:t>Most importantly, highly</w:t>
      </w:r>
      <w:r w:rsidR="00C40412">
        <w:t xml:space="preserve"> </w:t>
      </w:r>
      <w:r w:rsidR="00660F17">
        <w:t>differentiated time</w:t>
      </w:r>
      <w:r w:rsidR="00827602">
        <w:noBreakHyphen/>
      </w:r>
      <w:r w:rsidR="00660F17">
        <w:t>of</w:t>
      </w:r>
      <w:r w:rsidR="00827602">
        <w:noBreakHyphen/>
      </w:r>
      <w:r w:rsidR="00660F17">
        <w:t>use rates</w:t>
      </w:r>
      <w:r>
        <w:t xml:space="preserve"> will </w:t>
      </w:r>
      <w:r w:rsidR="00660F17">
        <w:t>vastly</w:t>
      </w:r>
      <w:r>
        <w:t xml:space="preserve"> improve the pricing signal to customers</w:t>
      </w:r>
      <w:r w:rsidR="000D3B40">
        <w:t>.  These rates wil</w:t>
      </w:r>
      <w:r w:rsidR="00FF1B6A">
        <w:t xml:space="preserve">l </w:t>
      </w:r>
      <w:r w:rsidR="0023353C">
        <w:t xml:space="preserve">incentivize </w:t>
      </w:r>
      <w:r w:rsidR="00616D5D">
        <w:t xml:space="preserve">customers </w:t>
      </w:r>
      <w:r w:rsidR="0023353C">
        <w:t xml:space="preserve">to </w:t>
      </w:r>
      <w:r>
        <w:t>divert energy usage to lower</w:t>
      </w:r>
      <w:r w:rsidR="00827602">
        <w:noBreakHyphen/>
      </w:r>
      <w:r>
        <w:t>priced hours when the</w:t>
      </w:r>
      <w:r w:rsidR="00A4441F">
        <w:t>ir</w:t>
      </w:r>
      <w:r>
        <w:t xml:space="preserve"> solar system is producing</w:t>
      </w:r>
      <w:r w:rsidR="000D3B40">
        <w:t xml:space="preserve"> </w:t>
      </w:r>
      <w:r w:rsidR="001B7951">
        <w:t>and/</w:t>
      </w:r>
      <w:r w:rsidR="000D3B40">
        <w:t xml:space="preserve">or </w:t>
      </w:r>
      <w:r w:rsidR="001B7951">
        <w:t xml:space="preserve">when charging </w:t>
      </w:r>
      <w:r w:rsidR="000D3B40">
        <w:t>storage</w:t>
      </w:r>
      <w:r w:rsidR="00012B54">
        <w:t>,</w:t>
      </w:r>
      <w:r w:rsidR="000D3B40">
        <w:t xml:space="preserve"> </w:t>
      </w:r>
      <w:r w:rsidR="00AE0D52">
        <w:t>rather than using</w:t>
      </w:r>
      <w:r w:rsidR="000D3B40">
        <w:t xml:space="preserve"> </w:t>
      </w:r>
      <w:r w:rsidR="008906EB">
        <w:t xml:space="preserve">this </w:t>
      </w:r>
      <w:r w:rsidR="000D3B40">
        <w:t xml:space="preserve">energy at expensive times when the grid’s energy supply is constrained.  </w:t>
      </w:r>
      <w:r w:rsidR="00FF1B6A">
        <w:t xml:space="preserve">As a result, rates are closer to the </w:t>
      </w:r>
      <w:r w:rsidR="008A7157">
        <w:t>cost of service</w:t>
      </w:r>
      <w:r w:rsidR="00FF1B6A">
        <w:t xml:space="preserve">.  </w:t>
      </w:r>
      <w:r w:rsidR="001052B1">
        <w:t>T</w:t>
      </w:r>
      <w:r w:rsidR="00AB1864">
        <w:t>his</w:t>
      </w:r>
      <w:r w:rsidR="00C40412">
        <w:t xml:space="preserve"> maximiz</w:t>
      </w:r>
      <w:r w:rsidR="00AB1864">
        <w:t>es</w:t>
      </w:r>
      <w:r w:rsidR="00C40412">
        <w:t xml:space="preserve"> the value of the generation to all customers and to the electrical system</w:t>
      </w:r>
      <w:r w:rsidR="00012B54">
        <w:t xml:space="preserve"> and ensures equity among all customers</w:t>
      </w:r>
      <w:r w:rsidR="00660F17">
        <w:t>.</w:t>
      </w:r>
      <w:r w:rsidR="00C40412">
        <w:t xml:space="preserve">  Adoption of these import rates </w:t>
      </w:r>
      <w:r w:rsidR="000C4375">
        <w:t xml:space="preserve">will also </w:t>
      </w:r>
      <w:r w:rsidR="00C40412">
        <w:t>encourage electrification and help California reach its greenhouse gas reduction goal</w:t>
      </w:r>
      <w:r w:rsidR="0023353C">
        <w:t xml:space="preserve">, thus coordinating the successor tariff with </w:t>
      </w:r>
      <w:r w:rsidR="00DB4129">
        <w:t xml:space="preserve">the Commission’s </w:t>
      </w:r>
      <w:r w:rsidR="0023353C">
        <w:t>energy policies.</w:t>
      </w:r>
      <w:r w:rsidR="000C4375">
        <w:t xml:space="preserve">  </w:t>
      </w:r>
      <w:r w:rsidR="00616D5D">
        <w:t xml:space="preserve">Further, </w:t>
      </w:r>
      <w:r w:rsidR="000D3B40">
        <w:t xml:space="preserve">the rates should be available to all customers and should not be focused </w:t>
      </w:r>
      <w:r w:rsidR="001052B1">
        <w:t xml:space="preserve">solely </w:t>
      </w:r>
      <w:r w:rsidR="000D3B40">
        <w:t>on net energy metering customers</w:t>
      </w:r>
      <w:r w:rsidR="00B22206">
        <w:t>.</w:t>
      </w:r>
      <w:r w:rsidR="000D3B40">
        <w:t xml:space="preserve"> </w:t>
      </w:r>
      <w:r w:rsidR="00B22206">
        <w:t xml:space="preserve"> SEIA/Vote Solar</w:t>
      </w:r>
      <w:r w:rsidR="00C57877">
        <w:t xml:space="preserve"> provided </w:t>
      </w:r>
      <w:r w:rsidR="00D440DF">
        <w:t xml:space="preserve">no evidence to support its </w:t>
      </w:r>
      <w:r w:rsidR="00B22206">
        <w:t xml:space="preserve">claim that </w:t>
      </w:r>
      <w:r w:rsidR="000D3B40">
        <w:t>this could discourage the adoption of multiple distributed energy resources.</w:t>
      </w:r>
      <w:r w:rsidR="00AB1864">
        <w:t xml:space="preserve">  </w:t>
      </w:r>
      <w:r w:rsidR="000D3B40">
        <w:t>Accordingly, in the successor tariff</w:t>
      </w:r>
      <w:r w:rsidR="00012B54">
        <w:t>,</w:t>
      </w:r>
      <w:r w:rsidR="000D3B40">
        <w:t xml:space="preserve"> customers shall be required to take service on </w:t>
      </w:r>
      <w:r w:rsidR="00D540CC">
        <w:t xml:space="preserve">the </w:t>
      </w:r>
      <w:r w:rsidR="001B7951">
        <w:t>rate</w:t>
      </w:r>
      <w:r w:rsidR="000C43BE">
        <w:t xml:space="preserve">s </w:t>
      </w:r>
      <w:r w:rsidR="000C43BE">
        <w:lastRenderedPageBreak/>
        <w:t>that are available to all customers and have high</w:t>
      </w:r>
      <w:r w:rsidR="000D3B40">
        <w:t xml:space="preserve"> </w:t>
      </w:r>
      <w:r w:rsidR="001B7951">
        <w:t>time</w:t>
      </w:r>
      <w:r w:rsidR="00827602">
        <w:noBreakHyphen/>
      </w:r>
      <w:r w:rsidR="001B7951">
        <w:t>of</w:t>
      </w:r>
      <w:r w:rsidR="00827602">
        <w:noBreakHyphen/>
      </w:r>
      <w:r w:rsidR="001B7951">
        <w:t xml:space="preserve">use </w:t>
      </w:r>
      <w:r w:rsidR="000D3B40">
        <w:t xml:space="preserve">price differential between summer </w:t>
      </w:r>
      <w:r w:rsidR="008A7157">
        <w:t xml:space="preserve">weekday </w:t>
      </w:r>
      <w:r w:rsidR="000D3B40">
        <w:t>peak and summer weekday off</w:t>
      </w:r>
      <w:r w:rsidR="00827602">
        <w:noBreakHyphen/>
      </w:r>
      <w:r w:rsidR="000D3B40">
        <w:t>peak periods.</w:t>
      </w:r>
      <w:r w:rsidR="00D440DF">
        <w:t xml:space="preserve">  </w:t>
      </w:r>
      <w:r w:rsidR="007B46C3">
        <w:t xml:space="preserve">This is </w:t>
      </w:r>
      <w:r w:rsidR="00D440DF">
        <w:t>discuss</w:t>
      </w:r>
      <w:r w:rsidR="007B46C3">
        <w:t>ed</w:t>
      </w:r>
      <w:r w:rsidR="00D440DF">
        <w:t xml:space="preserve"> </w:t>
      </w:r>
      <w:r w:rsidR="0044793D">
        <w:t>in more detail</w:t>
      </w:r>
      <w:r w:rsidR="00D440DF">
        <w:t xml:space="preserve"> in </w:t>
      </w:r>
      <w:r w:rsidR="0034029C">
        <w:t>Section 8</w:t>
      </w:r>
      <w:r w:rsidR="00D440DF">
        <w:t>.5 below.</w:t>
      </w:r>
    </w:p>
    <w:p w:rsidR="00F969CD" w:rsidP="005E7044" w:rsidRDefault="00F969CD" w14:paraId="0C18E1A2" w14:textId="3DC6ED52">
      <w:pPr>
        <w:pStyle w:val="Heading3"/>
        <w:keepLines w:val="0"/>
      </w:pPr>
      <w:bookmarkStart w:name="_Toc117674091" w:id="166"/>
      <w:bookmarkStart w:name="_Toc118285082" w:id="167"/>
      <w:bookmarkStart w:name="_Toc121854409" w:id="168"/>
      <w:r>
        <w:t>Grid Benefit</w:t>
      </w:r>
      <w:r w:rsidR="00624FE6">
        <w:t>s</w:t>
      </w:r>
      <w:r>
        <w:t xml:space="preserve"> Charges</w:t>
      </w:r>
      <w:bookmarkEnd w:id="166"/>
      <w:bookmarkEnd w:id="167"/>
      <w:bookmarkEnd w:id="168"/>
    </w:p>
    <w:p w:rsidR="009D0FC5" w:rsidP="005E7044" w:rsidRDefault="009D0FC5" w14:paraId="58389092" w14:textId="17704E41">
      <w:pPr>
        <w:pStyle w:val="Standard"/>
      </w:pPr>
      <w:r>
        <w:t>Contending grid benefits charges are largely designed to recover lost utility revenues due to net energy metering customers’ self</w:t>
      </w:r>
      <w:r w:rsidR="00827602">
        <w:noBreakHyphen/>
      </w:r>
      <w:r>
        <w:t xml:space="preserve">generation, PCF asserts the grid benefits charge results in the assessment of </w:t>
      </w:r>
      <w:r w:rsidR="00BA1EAE">
        <w:t>“</w:t>
      </w:r>
      <w:r>
        <w:t>charges to net energy metering customers for services the utility provides to non</w:t>
      </w:r>
      <w:r w:rsidR="00827602">
        <w:noBreakHyphen/>
      </w:r>
      <w:r>
        <w:t>net energy metering customers.</w:t>
      </w:r>
      <w:r w:rsidR="00BA1EAE">
        <w:t>”</w:t>
      </w:r>
      <w:r>
        <w:t xml:space="preserve">  PCF </w:t>
      </w:r>
      <w:r w:rsidR="00600F37">
        <w:t>surmise</w:t>
      </w:r>
      <w:r w:rsidR="000C7446">
        <w:t>s</w:t>
      </w:r>
      <w:r>
        <w:t xml:space="preserve"> these charges penalize net energy metering customers for decreasing their use of energy from the grid</w:t>
      </w:r>
      <w:r w:rsidR="000C7446">
        <w:t>, comparing</w:t>
      </w:r>
      <w:r>
        <w:t xml:space="preserve"> it to charging non</w:t>
      </w:r>
      <w:r w:rsidR="00827602">
        <w:noBreakHyphen/>
      </w:r>
      <w:r>
        <w:t>net energy metering customers for hanging clothes instead of using an electric dryer.</w:t>
      </w:r>
      <w:r>
        <w:rPr>
          <w:rStyle w:val="FootnoteReference"/>
        </w:rPr>
        <w:footnoteReference w:id="320"/>
      </w:r>
    </w:p>
    <w:p w:rsidR="00EE3794" w:rsidP="005E7044" w:rsidRDefault="00EE3794" w14:paraId="1362F1E0" w14:textId="60BC74F5">
      <w:pPr>
        <w:pStyle w:val="Standard"/>
      </w:pPr>
      <w:r>
        <w:t xml:space="preserve">In support of the adoption of grid benefits charges in this proceeding, Joint Utilities, NRDC, </w:t>
      </w:r>
      <w:r w:rsidR="009355F1">
        <w:t>Cal Advoc</w:t>
      </w:r>
      <w:r>
        <w:t xml:space="preserve">ates, and TURN consider the grid benefits charge essential to ensuring net energy metering customers pay for the costs they impose on the system. </w:t>
      </w:r>
      <w:r w:rsidR="00FA6834">
        <w:t xml:space="preserve"> </w:t>
      </w:r>
      <w:r>
        <w:t xml:space="preserve">Joint Utilities explain that when net energy metering customers avoid paying volumetric rates </w:t>
      </w:r>
      <w:r w:rsidR="000C7446">
        <w:t>when</w:t>
      </w:r>
      <w:r>
        <w:t xml:space="preserve"> self</w:t>
      </w:r>
      <w:r w:rsidR="00827602">
        <w:noBreakHyphen/>
      </w:r>
      <w:r>
        <w:t xml:space="preserve">generating, they avoid paying certain aspects of the bill </w:t>
      </w:r>
      <w:r w:rsidR="00F463FA">
        <w:t xml:space="preserve">for which </w:t>
      </w:r>
      <w:r w:rsidR="000C7446">
        <w:t xml:space="preserve">all customers are responsible </w:t>
      </w:r>
      <w:r>
        <w:t xml:space="preserve">including grid services such as transmission, distribution, and </w:t>
      </w:r>
      <w:r w:rsidR="00EC1455">
        <w:t xml:space="preserve">the </w:t>
      </w:r>
      <w:r>
        <w:t xml:space="preserve">cost allocation mechanism; policy mandates such as CARE, program subsidies for energy efficiency programs, public purpose programs, the Wildfire Fund, </w:t>
      </w:r>
      <w:r w:rsidR="00F463FA">
        <w:t xml:space="preserve">and </w:t>
      </w:r>
      <w:r>
        <w:t>Nuclear Decommissioning; and the costs of utility</w:t>
      </w:r>
      <w:r w:rsidR="00827602">
        <w:noBreakHyphen/>
      </w:r>
      <w:r>
        <w:t>provided customer services.  These costs</w:t>
      </w:r>
      <w:r w:rsidR="009C12FB">
        <w:t xml:space="preserve"> (which are currently only assessed via the volumetric rate)</w:t>
      </w:r>
      <w:r>
        <w:t xml:space="preserve"> are </w:t>
      </w:r>
      <w:r w:rsidR="009C12FB">
        <w:t>thus</w:t>
      </w:r>
      <w:r>
        <w:t xml:space="preserve"> shifted to non</w:t>
      </w:r>
      <w:r w:rsidR="00827602">
        <w:noBreakHyphen/>
      </w:r>
      <w:r>
        <w:t xml:space="preserve">net energy metering customers in addition to their own costs for these </w:t>
      </w:r>
      <w:r>
        <w:lastRenderedPageBreak/>
        <w:t>items.</w:t>
      </w:r>
      <w:r>
        <w:rPr>
          <w:rStyle w:val="FootnoteReference"/>
        </w:rPr>
        <w:footnoteReference w:id="321"/>
      </w:r>
      <w:r w:rsidR="009C12FB">
        <w:t xml:space="preserve">  </w:t>
      </w:r>
      <w:r>
        <w:t xml:space="preserve">Joint Utilities </w:t>
      </w:r>
      <w:r w:rsidR="00D71BFA">
        <w:t xml:space="preserve">further </w:t>
      </w:r>
      <w:r>
        <w:t>explain that behind</w:t>
      </w:r>
      <w:r w:rsidR="00827602">
        <w:noBreakHyphen/>
      </w:r>
      <w:r>
        <w:t>the</w:t>
      </w:r>
      <w:r w:rsidR="00827602">
        <w:noBreakHyphen/>
      </w:r>
      <w:r>
        <w:t>meter</w:t>
      </w:r>
      <w:r w:rsidRPr="00EE3794">
        <w:t xml:space="preserve"> sol</w:t>
      </w:r>
      <w:r w:rsidR="002A7304">
        <w:t>ar without</w:t>
      </w:r>
      <w:r w:rsidRPr="00EE3794">
        <w:t xml:space="preserve"> paired storage, </w:t>
      </w:r>
      <w:r w:rsidR="00BA1EAE">
        <w:t>“</w:t>
      </w:r>
      <w:r w:rsidRPr="00EE3794">
        <w:t>does not decrease the need for the distribution or transmission system and resiliency, reliability, and safety upgrades to that infrastructure.</w:t>
      </w:r>
      <w:r w:rsidR="00BA1EAE">
        <w:t>”</w:t>
      </w:r>
      <w:r w:rsidR="002A7304">
        <w:rPr>
          <w:rStyle w:val="FootnoteReference"/>
        </w:rPr>
        <w:footnoteReference w:id="322"/>
      </w:r>
      <w:r w:rsidR="002A7304">
        <w:t xml:space="preserve"> </w:t>
      </w:r>
      <w:r w:rsidRPr="00EE3794">
        <w:t xml:space="preserve"> </w:t>
      </w:r>
      <w:r>
        <w:t xml:space="preserve">Joint Utilities assert utilities </w:t>
      </w:r>
      <w:r w:rsidR="00EA118A">
        <w:t>through ratepayers</w:t>
      </w:r>
      <w:r w:rsidRPr="00EE3794">
        <w:t xml:space="preserve"> </w:t>
      </w:r>
      <w:r w:rsidR="00BA1EAE">
        <w:t>“</w:t>
      </w:r>
      <w:r w:rsidRPr="00EE3794">
        <w:t xml:space="preserve">continue to pay generation legacy costs, as well as procure new generation to instantly meet </w:t>
      </w:r>
      <w:r>
        <w:t>net energy metering</w:t>
      </w:r>
      <w:r w:rsidRPr="00EE3794">
        <w:t xml:space="preserve"> customer demand should their systems be, for whatever reason, unavailable to serve all or part of their load.</w:t>
      </w:r>
      <w:r w:rsidR="00BA1EAE">
        <w:t>”</w:t>
      </w:r>
      <w:r w:rsidR="00F85563">
        <w:rPr>
          <w:rStyle w:val="FootnoteReference"/>
        </w:rPr>
        <w:footnoteReference w:id="323"/>
      </w:r>
    </w:p>
    <w:p w:rsidR="009C12FB" w:rsidP="005E7044" w:rsidRDefault="009C12FB" w14:paraId="23CCBD60" w14:textId="79859000">
      <w:pPr>
        <w:pStyle w:val="Standard"/>
      </w:pPr>
      <w:r>
        <w:t>Regarding the comparison that the grid benefits charge for net energy metering customers is like penalizing a residential customer for hanging laundry instead of using an electric dryer, NRDC counters that hanging laundry</w:t>
      </w:r>
      <w:r w:rsidR="00D71BFA">
        <w:t xml:space="preserve"> (</w:t>
      </w:r>
      <w:r w:rsidRPr="00C3007B" w:rsidR="00D71BFA">
        <w:rPr>
          <w:i/>
          <w:iCs/>
        </w:rPr>
        <w:t>i.e</w:t>
      </w:r>
      <w:r w:rsidR="00D71BFA">
        <w:t>.,</w:t>
      </w:r>
      <w:r w:rsidR="008924C3">
        <w:t> </w:t>
      </w:r>
      <w:r w:rsidR="00D71BFA">
        <w:t>conservation</w:t>
      </w:r>
      <w:r w:rsidR="00232B24">
        <w:t>)</w:t>
      </w:r>
      <w:r>
        <w:t xml:space="preserve"> and self</w:t>
      </w:r>
      <w:r w:rsidR="00827602">
        <w:noBreakHyphen/>
      </w:r>
      <w:r>
        <w:t>consumption</w:t>
      </w:r>
      <w:r w:rsidR="00D71BFA">
        <w:t xml:space="preserve"> (</w:t>
      </w:r>
      <w:r w:rsidRPr="006A462A" w:rsidR="00D71BFA">
        <w:rPr>
          <w:i/>
          <w:iCs/>
        </w:rPr>
        <w:t>i.e</w:t>
      </w:r>
      <w:r w:rsidR="00D71BFA">
        <w:t>.,</w:t>
      </w:r>
      <w:r w:rsidR="00FE583C">
        <w:t> </w:t>
      </w:r>
      <w:r w:rsidR="00D71BFA">
        <w:t>distribution)</w:t>
      </w:r>
      <w:r>
        <w:t xml:space="preserve"> have different grid impacts.</w:t>
      </w:r>
      <w:r w:rsidR="0044793D">
        <w:rPr>
          <w:rStyle w:val="FootnoteReference"/>
        </w:rPr>
        <w:footnoteReference w:id="324"/>
      </w:r>
      <w:r>
        <w:t xml:space="preserve">  NRDC explains that in conservation the </w:t>
      </w:r>
      <w:r w:rsidR="00232B24">
        <w:t>customer</w:t>
      </w:r>
      <w:r>
        <w:t xml:space="preserve"> </w:t>
      </w:r>
      <w:r w:rsidR="00F463FA">
        <w:t xml:space="preserve">permanently </w:t>
      </w:r>
      <w:r>
        <w:t xml:space="preserve">reduces their load, but net energy metering customers intermittently reduce </w:t>
      </w:r>
      <w:r w:rsidR="00F463FA">
        <w:t xml:space="preserve">their load </w:t>
      </w:r>
      <w:r>
        <w:t>depending upon the performance of the solar system.</w:t>
      </w:r>
      <w:r>
        <w:rPr>
          <w:rStyle w:val="FootnoteReference"/>
        </w:rPr>
        <w:footnoteReference w:id="325"/>
      </w:r>
      <w:r>
        <w:t xml:space="preserve">  NRDC also notes the two are different in that unplanned solar adoption can lead to increased distribution system investments, whereas conservation does not have this negative impact.</w:t>
      </w:r>
      <w:r>
        <w:rPr>
          <w:rStyle w:val="FootnoteReference"/>
        </w:rPr>
        <w:footnoteReference w:id="326"/>
      </w:r>
    </w:p>
    <w:p w:rsidR="00D71BFA" w:rsidP="005E7044" w:rsidRDefault="009C12FB" w14:paraId="6C537CAE" w14:textId="3C931175">
      <w:pPr>
        <w:pStyle w:val="Standard"/>
      </w:pPr>
      <w:r>
        <w:t xml:space="preserve">Turning to legal considerations, </w:t>
      </w:r>
      <w:proofErr w:type="spellStart"/>
      <w:r w:rsidR="00093416">
        <w:t>CALSSA</w:t>
      </w:r>
      <w:proofErr w:type="spellEnd"/>
      <w:r w:rsidR="00093416">
        <w:t xml:space="preserve"> asserts grid benefits charges violate state and federal law in that they are not just and reasonable.  </w:t>
      </w:r>
      <w:proofErr w:type="spellStart"/>
      <w:r w:rsidR="00093416">
        <w:t>CALSSA</w:t>
      </w:r>
      <w:proofErr w:type="spellEnd"/>
      <w:r w:rsidR="00093416">
        <w:t xml:space="preserve"> explains that the determination of just and reasonable has emphasized cost </w:t>
      </w:r>
      <w:r w:rsidR="00093416">
        <w:lastRenderedPageBreak/>
        <w:t>causation with the fair allocation of costs among different groups of ratepayers determined by cost</w:t>
      </w:r>
      <w:r w:rsidR="00827602">
        <w:noBreakHyphen/>
      </w:r>
      <w:r w:rsidR="00093416">
        <w:t>of</w:t>
      </w:r>
      <w:r w:rsidR="00827602">
        <w:noBreakHyphen/>
      </w:r>
      <w:r w:rsidR="00093416">
        <w:t>service studies.</w:t>
      </w:r>
      <w:r w:rsidR="00093416">
        <w:rPr>
          <w:rStyle w:val="FootnoteReference"/>
        </w:rPr>
        <w:footnoteReference w:id="327"/>
      </w:r>
      <w:r w:rsidR="00093416">
        <w:t xml:space="preserve">  </w:t>
      </w:r>
      <w:r w:rsidR="00D50EDD">
        <w:t>R</w:t>
      </w:r>
      <w:r w:rsidR="00093416">
        <w:t>eferenc</w:t>
      </w:r>
      <w:r w:rsidR="00D50EDD">
        <w:t>ing</w:t>
      </w:r>
      <w:r w:rsidR="00093416">
        <w:t xml:space="preserve"> D.15</w:t>
      </w:r>
      <w:r w:rsidR="00827602">
        <w:noBreakHyphen/>
      </w:r>
      <w:r w:rsidR="00093416">
        <w:t>07</w:t>
      </w:r>
      <w:r w:rsidR="00827602">
        <w:noBreakHyphen/>
      </w:r>
      <w:r w:rsidR="00093416">
        <w:t>001, which states that the determination of just and reasonable has emphasized cost causation</w:t>
      </w:r>
      <w:r w:rsidR="00D50EDD">
        <w:t>,</w:t>
      </w:r>
      <w:r w:rsidR="00093416">
        <w:rPr>
          <w:rStyle w:val="FootnoteReference"/>
        </w:rPr>
        <w:footnoteReference w:id="328"/>
      </w:r>
      <w:r w:rsidR="00093416">
        <w:t xml:space="preserve">  </w:t>
      </w:r>
      <w:proofErr w:type="spellStart"/>
      <w:r w:rsidR="00093416">
        <w:t>CALSSA</w:t>
      </w:r>
      <w:proofErr w:type="spellEnd"/>
      <w:r w:rsidR="00093416">
        <w:t xml:space="preserve"> concludes that because the grid benefits charges proposed in this proceeding </w:t>
      </w:r>
      <w:r w:rsidR="00BA1EAE">
        <w:t>“</w:t>
      </w:r>
      <w:r w:rsidR="00093416">
        <w:t>are not designed to account for any incremental cost to the utility of providing service to net energy metering customers,</w:t>
      </w:r>
      <w:r w:rsidR="00BA1EAE">
        <w:t>”</w:t>
      </w:r>
      <w:r w:rsidR="00093416">
        <w:t xml:space="preserve"> they are not just and reasonable.</w:t>
      </w:r>
      <w:r w:rsidR="00093416">
        <w:rPr>
          <w:rStyle w:val="FootnoteReference"/>
        </w:rPr>
        <w:footnoteReference w:id="329"/>
      </w:r>
    </w:p>
    <w:p w:rsidR="001D5CFF" w:rsidP="005E7044" w:rsidRDefault="009355F1" w14:paraId="5117F4E6" w14:textId="3BC5CB0C">
      <w:pPr>
        <w:pStyle w:val="Standard"/>
      </w:pPr>
      <w:r>
        <w:t>Cal Advoc</w:t>
      </w:r>
      <w:r w:rsidR="00402603">
        <w:t>ates respond</w:t>
      </w:r>
      <w:r w:rsidR="00EC1455">
        <w:t>s</w:t>
      </w:r>
      <w:r w:rsidR="00402603">
        <w:t xml:space="preserve"> that residential rates were not designed to produce accurate compensation at full retail rates for customers installing solar systems</w:t>
      </w:r>
      <w:r w:rsidR="006F531A">
        <w:t xml:space="preserve">, </w:t>
      </w:r>
      <w:r w:rsidR="00C91335">
        <w:t>highlighting</w:t>
      </w:r>
      <w:r w:rsidR="006F531A">
        <w:t xml:space="preserve"> </w:t>
      </w:r>
      <w:r w:rsidR="00C91335">
        <w:t xml:space="preserve">that </w:t>
      </w:r>
      <w:r w:rsidR="006F531A">
        <w:t>the design flaw shifts costs from net energy metering to non</w:t>
      </w:r>
      <w:r w:rsidR="00827602">
        <w:noBreakHyphen/>
      </w:r>
      <w:r w:rsidR="006F531A">
        <w:t>net energy metering customers</w:t>
      </w:r>
      <w:r w:rsidR="00402603">
        <w:t>.</w:t>
      </w:r>
      <w:r w:rsidR="00402603">
        <w:rPr>
          <w:rStyle w:val="FootnoteReference"/>
        </w:rPr>
        <w:footnoteReference w:id="330"/>
      </w:r>
      <w:r w:rsidR="006F531A">
        <w:t xml:space="preserve">  </w:t>
      </w:r>
      <w:r w:rsidR="00C91335">
        <w:t xml:space="preserve">Joint Utilities explain that </w:t>
      </w:r>
      <w:r w:rsidR="006F531A">
        <w:t xml:space="preserve">the volumetric rate approach </w:t>
      </w:r>
      <w:r w:rsidR="00C91335">
        <w:t xml:space="preserve">was a </w:t>
      </w:r>
      <w:r w:rsidR="006F531A">
        <w:t xml:space="preserve">practical </w:t>
      </w:r>
      <w:r w:rsidR="00C91335">
        <w:t xml:space="preserve">approach </w:t>
      </w:r>
      <w:r w:rsidR="006F531A">
        <w:t>when one</w:t>
      </w:r>
      <w:r w:rsidR="00827602">
        <w:noBreakHyphen/>
      </w:r>
      <w:r w:rsidR="006F531A">
        <w:t>way grid imports were the default supply option</w:t>
      </w:r>
      <w:r w:rsidR="00C91335">
        <w:t xml:space="preserve">.  Now, with </w:t>
      </w:r>
      <w:r w:rsidR="006F531A">
        <w:t>a system of imports and exports using the grid</w:t>
      </w:r>
      <w:r w:rsidR="00C91335">
        <w:t xml:space="preserve">, Joint Utilities contend </w:t>
      </w:r>
      <w:r w:rsidR="006F531A">
        <w:t xml:space="preserve">the volumetric rate approach </w:t>
      </w:r>
      <w:r w:rsidR="00C91335">
        <w:t xml:space="preserve">is no longer </w:t>
      </w:r>
      <w:r w:rsidR="006F531A">
        <w:t>practical.</w:t>
      </w:r>
      <w:r w:rsidR="006F531A">
        <w:rPr>
          <w:rStyle w:val="FootnoteReference"/>
        </w:rPr>
        <w:footnoteReference w:id="331"/>
      </w:r>
    </w:p>
    <w:p w:rsidR="00533B2F" w:rsidP="005E7044" w:rsidRDefault="007B46C3" w14:paraId="201F50C1" w14:textId="0624E7FB">
      <w:pPr>
        <w:pStyle w:val="Standard"/>
      </w:pPr>
      <w:r>
        <w:t>T</w:t>
      </w:r>
      <w:r w:rsidR="00C91335">
        <w:t>he current design of the</w:t>
      </w:r>
      <w:r w:rsidR="00C45B79">
        <w:t xml:space="preserve"> </w:t>
      </w:r>
      <w:r w:rsidR="00600F37">
        <w:t>retail rates no longer provide</w:t>
      </w:r>
      <w:r w:rsidR="00C91335">
        <w:t xml:space="preserve">s </w:t>
      </w:r>
      <w:r w:rsidR="00600F37">
        <w:t xml:space="preserve">the ability to </w:t>
      </w:r>
      <w:r w:rsidR="00D50EDD">
        <w:t>accurately</w:t>
      </w:r>
      <w:r w:rsidR="00600F37">
        <w:t xml:space="preserve"> calculate all</w:t>
      </w:r>
      <w:r w:rsidR="00C05A66">
        <w:t xml:space="preserve"> of</w:t>
      </w:r>
      <w:r w:rsidR="00C14229">
        <w:t xml:space="preserve"> a </w:t>
      </w:r>
      <w:r w:rsidR="00600F37">
        <w:t>customer’s energy and grid usage</w:t>
      </w:r>
      <w:r w:rsidR="00C14229">
        <w:t>, with respect to net energy metering customers.</w:t>
      </w:r>
      <w:r w:rsidR="00600F37">
        <w:t xml:space="preserve">  </w:t>
      </w:r>
      <w:r w:rsidR="00C14229">
        <w:t xml:space="preserve">As noted by Joint Utilities, </w:t>
      </w:r>
      <w:r w:rsidR="0072776D">
        <w:t xml:space="preserve">retail rates were created before the </w:t>
      </w:r>
      <w:r w:rsidR="00C45B79">
        <w:t xml:space="preserve">emergence of the </w:t>
      </w:r>
      <w:r w:rsidR="0072776D">
        <w:t>two</w:t>
      </w:r>
      <w:r w:rsidR="00827602">
        <w:noBreakHyphen/>
      </w:r>
      <w:r w:rsidR="0072776D">
        <w:t xml:space="preserve">way street of imports and exports.  Further, </w:t>
      </w:r>
      <w:r w:rsidR="00103D3A">
        <w:t xml:space="preserve">the Commission agrees that </w:t>
      </w:r>
      <w:r w:rsidR="00600F37">
        <w:t xml:space="preserve">net energy metering customers cause costs even when not </w:t>
      </w:r>
      <w:r w:rsidR="00232B24">
        <w:t xml:space="preserve">directly </w:t>
      </w:r>
      <w:r w:rsidR="00600F37">
        <w:t>importing energy from the grid</w:t>
      </w:r>
      <w:r w:rsidR="00C14229">
        <w:t xml:space="preserve">.  As NRDC described, net energy </w:t>
      </w:r>
      <w:r w:rsidR="00C14229">
        <w:lastRenderedPageBreak/>
        <w:t>metering customers intermittently reduce usage depending upon the performance of the solar system.  Thus, the grid must be always prepared for the intermittent decrease and increase of usage.</w:t>
      </w:r>
    </w:p>
    <w:p w:rsidR="005F6027" w:rsidP="005E7044" w:rsidRDefault="00103D3A" w14:paraId="7BA15184" w14:textId="310F3BBA">
      <w:pPr>
        <w:pStyle w:val="Standard"/>
      </w:pPr>
      <w:r>
        <w:t>S</w:t>
      </w:r>
      <w:r w:rsidR="00B25E03">
        <w:t>ubsequent to the filing of briefs in this proceeding, the Commission initiated R.</w:t>
      </w:r>
      <w:r w:rsidR="00673F94">
        <w:t>22</w:t>
      </w:r>
      <w:r w:rsidR="00827602">
        <w:noBreakHyphen/>
      </w:r>
      <w:r w:rsidR="00673F94">
        <w:t>07</w:t>
      </w:r>
      <w:r w:rsidR="00827602">
        <w:noBreakHyphen/>
      </w:r>
      <w:r w:rsidR="00673F94">
        <w:t xml:space="preserve">005, the Rulemaking to Advance Demand Flexibility Through Electric Rates.  </w:t>
      </w:r>
      <w:r w:rsidR="008F7DC4">
        <w:t>R.22</w:t>
      </w:r>
      <w:r w:rsidR="00827602">
        <w:noBreakHyphen/>
      </w:r>
      <w:r w:rsidR="008F7DC4">
        <w:t>07</w:t>
      </w:r>
      <w:r w:rsidR="00827602">
        <w:noBreakHyphen/>
      </w:r>
      <w:r w:rsidR="008F7DC4">
        <w:t>005</w:t>
      </w:r>
      <w:r w:rsidR="00673F94">
        <w:t xml:space="preserve"> will establish policies and modify electric rates to enhance reliability; improve bill affordability and equity; reduce curtailment of renewable energy and </w:t>
      </w:r>
      <w:r w:rsidR="00011C67">
        <w:t xml:space="preserve">reduce </w:t>
      </w:r>
      <w:r w:rsidR="00673F94">
        <w:t>greenhouse gas emissions; enable building and transportation electrification; reduce system costs through efficient pricing of electricity</w:t>
      </w:r>
      <w:r w:rsidR="007C2564">
        <w:t xml:space="preserve">; and enable demand flexibility participation.  One of the tasks the Commission will consider </w:t>
      </w:r>
      <w:r w:rsidR="00167583">
        <w:t xml:space="preserve">in the new rulemaking </w:t>
      </w:r>
      <w:r w:rsidR="007C2564">
        <w:t xml:space="preserve">is </w:t>
      </w:r>
      <w:r w:rsidR="0014528C">
        <w:t>the reformation of</w:t>
      </w:r>
      <w:r w:rsidR="007C2564">
        <w:t xml:space="preserve"> fixed charges</w:t>
      </w:r>
      <w:r w:rsidR="00011C67">
        <w:t xml:space="preserve">, pursuant to </w:t>
      </w:r>
      <w:r w:rsidR="00F138A9">
        <w:t>AB </w:t>
      </w:r>
      <w:r w:rsidR="00011C67">
        <w:t>205</w:t>
      </w:r>
      <w:r w:rsidR="007C2564">
        <w:t>.</w:t>
      </w:r>
      <w:r w:rsidR="0014528C">
        <w:t xml:space="preserve">  </w:t>
      </w:r>
      <w:r w:rsidR="00F138A9">
        <w:t>AB </w:t>
      </w:r>
      <w:r w:rsidR="00011C67">
        <w:t>205 directs the Commission to authorize a fixed charge for default residential rates no later than July</w:t>
      </w:r>
      <w:r w:rsidR="00F3441D">
        <w:t> </w:t>
      </w:r>
      <w:r w:rsidR="00011C67">
        <w:t>1,</w:t>
      </w:r>
      <w:r w:rsidR="00F3441D">
        <w:t> </w:t>
      </w:r>
      <w:r w:rsidR="00011C67">
        <w:t>2024.</w:t>
      </w:r>
    </w:p>
    <w:p w:rsidR="00C45B79" w:rsidP="005E7044" w:rsidRDefault="0014528C" w14:paraId="1411ED4F" w14:textId="60E44491">
      <w:pPr>
        <w:pStyle w:val="Standard"/>
      </w:pPr>
      <w:r>
        <w:t xml:space="preserve">Included as one of the preliminary scoping issues </w:t>
      </w:r>
      <w:r w:rsidR="005F6027">
        <w:t>in R.22</w:t>
      </w:r>
      <w:r w:rsidR="00827602">
        <w:noBreakHyphen/>
      </w:r>
      <w:r w:rsidR="005F6027">
        <w:t>07</w:t>
      </w:r>
      <w:r w:rsidR="00827602">
        <w:noBreakHyphen/>
      </w:r>
      <w:r w:rsidR="005F6027">
        <w:t xml:space="preserve">005 </w:t>
      </w:r>
      <w:r>
        <w:t>is the question of how to reform fixed charges for recovery of certain authorized utility costs.  The Commission considers this new rulemaking to be a more appropriate venue to consider the issue of accurately calculating a customer’s energy and grid usage</w:t>
      </w:r>
      <w:r w:rsidR="00EC7850">
        <w:t xml:space="preserve"> while ensuring that the grid is prepared for the intermittent decrease and increase of usage</w:t>
      </w:r>
      <w:r>
        <w:t xml:space="preserve">.  </w:t>
      </w:r>
      <w:r w:rsidR="00907907">
        <w:t xml:space="preserve">The new rulemaking will have the advantage of looking at the totality of rates when reforming fixed charges for the use of the grid.  </w:t>
      </w:r>
      <w:r>
        <w:t xml:space="preserve">Hence, this decision declines to adopt a grid benefits charge </w:t>
      </w:r>
      <w:r w:rsidR="00C14FFB">
        <w:t>as part of the successor tariff</w:t>
      </w:r>
      <w:r>
        <w:t>.</w:t>
      </w:r>
    </w:p>
    <w:p w:rsidR="00C40412" w:rsidP="005E7044" w:rsidRDefault="00F969CD" w14:paraId="6671743F" w14:textId="1BAD2924">
      <w:pPr>
        <w:pStyle w:val="Heading3"/>
        <w:keepLines w:val="0"/>
      </w:pPr>
      <w:bookmarkStart w:name="_Toc117674092" w:id="169"/>
      <w:bookmarkStart w:name="_Toc118285083" w:id="170"/>
      <w:bookmarkStart w:name="_Toc121854410" w:id="171"/>
      <w:r>
        <w:t>Non</w:t>
      </w:r>
      <w:r w:rsidR="00827602">
        <w:noBreakHyphen/>
      </w:r>
      <w:proofErr w:type="spellStart"/>
      <w:r>
        <w:t>bypassable</w:t>
      </w:r>
      <w:proofErr w:type="spellEnd"/>
      <w:r>
        <w:t xml:space="preserve"> </w:t>
      </w:r>
      <w:r w:rsidR="000313AC">
        <w:t>Charges</w:t>
      </w:r>
      <w:bookmarkEnd w:id="169"/>
      <w:bookmarkEnd w:id="170"/>
      <w:bookmarkEnd w:id="171"/>
    </w:p>
    <w:p w:rsidR="00F969CD" w:rsidP="005E7044" w:rsidRDefault="002A1D2F" w14:paraId="47ACE7CA" w14:textId="7718931D">
      <w:pPr>
        <w:pStyle w:val="Standard"/>
      </w:pPr>
      <w:r>
        <w:t xml:space="preserve">The Commission previously determined that those taking service on the </w:t>
      </w:r>
      <w:r w:rsidR="00602BC5">
        <w:t>NEM 2.0</w:t>
      </w:r>
      <w:r w:rsidR="00135D55">
        <w:t xml:space="preserve"> </w:t>
      </w:r>
      <w:r>
        <w:t xml:space="preserve">tariff would be required to </w:t>
      </w:r>
      <w:r w:rsidR="00E92DDF">
        <w:t>pay non</w:t>
      </w:r>
      <w:r w:rsidR="00827602">
        <w:noBreakHyphen/>
      </w:r>
      <w:proofErr w:type="spellStart"/>
      <w:r w:rsidR="00E92DDF">
        <w:t>bypassable</w:t>
      </w:r>
      <w:proofErr w:type="spellEnd"/>
      <w:r w:rsidR="00E92DDF">
        <w:t xml:space="preserve"> charges on each </w:t>
      </w:r>
      <w:r w:rsidR="00823BEA">
        <w:t>kilowatt hour (</w:t>
      </w:r>
      <w:r w:rsidR="00E92DDF">
        <w:t>kWh</w:t>
      </w:r>
      <w:r w:rsidR="00823BEA">
        <w:t>)</w:t>
      </w:r>
      <w:r w:rsidR="00E92DDF">
        <w:t xml:space="preserve"> of electricity they consume from the grid in each metered </w:t>
      </w:r>
      <w:r w:rsidR="00E92DDF">
        <w:lastRenderedPageBreak/>
        <w:t>interval.</w:t>
      </w:r>
      <w:r w:rsidR="001052B1">
        <w:rPr>
          <w:rStyle w:val="FootnoteReference"/>
        </w:rPr>
        <w:footnoteReference w:id="332"/>
      </w:r>
      <w:r w:rsidR="00E92DDF">
        <w:t xml:space="preserve">  </w:t>
      </w:r>
      <w:r w:rsidR="00506964">
        <w:t>D.16</w:t>
      </w:r>
      <w:r w:rsidR="00827602">
        <w:noBreakHyphen/>
      </w:r>
      <w:r w:rsidR="00506964">
        <w:t>01</w:t>
      </w:r>
      <w:r w:rsidR="00827602">
        <w:noBreakHyphen/>
      </w:r>
      <w:r w:rsidR="00506964">
        <w:t xml:space="preserve">044 determined </w:t>
      </w:r>
      <w:r w:rsidR="00C14FFB">
        <w:t xml:space="preserve">there are four </w:t>
      </w:r>
      <w:r w:rsidR="00506964">
        <w:t>non</w:t>
      </w:r>
      <w:r w:rsidR="00827602">
        <w:noBreakHyphen/>
      </w:r>
      <w:proofErr w:type="spellStart"/>
      <w:r w:rsidR="00506964">
        <w:t>bypassable</w:t>
      </w:r>
      <w:proofErr w:type="spellEnd"/>
      <w:r w:rsidR="00506964">
        <w:t xml:space="preserve"> charges </w:t>
      </w:r>
      <w:r w:rsidR="00C14FFB">
        <w:t>that</w:t>
      </w:r>
      <w:r w:rsidR="00506964">
        <w:t xml:space="preserve"> </w:t>
      </w:r>
      <w:r w:rsidR="00602BC5">
        <w:t>NEM 2.0</w:t>
      </w:r>
      <w:r w:rsidR="00135D55">
        <w:t xml:space="preserve"> </w:t>
      </w:r>
      <w:r w:rsidR="00506964">
        <w:t xml:space="preserve">customers </w:t>
      </w:r>
      <w:r w:rsidR="00C14FFB">
        <w:t>could not bypass by applying bill credits from exports to their bill</w:t>
      </w:r>
      <w:r w:rsidR="00555CC0">
        <w:t xml:space="preserve">:  </w:t>
      </w:r>
      <w:r w:rsidR="00D15967">
        <w:t xml:space="preserve">the </w:t>
      </w:r>
      <w:r w:rsidR="00506964">
        <w:t>public purpose program charge</w:t>
      </w:r>
      <w:r w:rsidR="0044793D">
        <w:t>,</w:t>
      </w:r>
      <w:r w:rsidR="00506964">
        <w:t xml:space="preserve"> nuclear decommissioning charge</w:t>
      </w:r>
      <w:r w:rsidR="0044793D">
        <w:t>,</w:t>
      </w:r>
      <w:r w:rsidR="00506964">
        <w:t xml:space="preserve"> competition transition charge</w:t>
      </w:r>
      <w:r w:rsidR="0044793D">
        <w:t>,</w:t>
      </w:r>
      <w:r w:rsidR="00506964">
        <w:t xml:space="preserve"> and Department of Water Resources bond charge.</w:t>
      </w:r>
      <w:r w:rsidR="00506964">
        <w:rPr>
          <w:rStyle w:val="FootnoteReference"/>
        </w:rPr>
        <w:footnoteReference w:id="333"/>
      </w:r>
    </w:p>
    <w:p w:rsidR="00C45B79" w:rsidP="005E7044" w:rsidRDefault="00F969CD" w14:paraId="2B5EA5AC" w14:textId="374885E2">
      <w:pPr>
        <w:pStyle w:val="Standard"/>
      </w:pPr>
      <w:r>
        <w:t>In this proceeding, several parties discuss non</w:t>
      </w:r>
      <w:r w:rsidR="00827602">
        <w:noBreakHyphen/>
      </w:r>
      <w:proofErr w:type="spellStart"/>
      <w:r>
        <w:t>bypassable</w:t>
      </w:r>
      <w:proofErr w:type="spellEnd"/>
      <w:r>
        <w:t xml:space="preserve"> charges within the discussion of grid benefits charges, </w:t>
      </w:r>
      <w:r w:rsidR="00535D73">
        <w:t xml:space="preserve">and </w:t>
      </w:r>
      <w:r>
        <w:t xml:space="preserve">many recommend including these charges within a grid benefit charge.  </w:t>
      </w:r>
      <w:r w:rsidR="009F716C">
        <w:t>As the Commission has declined to adopt a grid benefit charge in this proceeding, t</w:t>
      </w:r>
      <w:r>
        <w:t>he discussion in this section</w:t>
      </w:r>
      <w:r w:rsidR="007B46C3">
        <w:t xml:space="preserve"> is </w:t>
      </w:r>
      <w:r>
        <w:t>focus</w:t>
      </w:r>
      <w:r w:rsidR="007B46C3">
        <w:t>ed</w:t>
      </w:r>
      <w:r>
        <w:t xml:space="preserve"> solely on non</w:t>
      </w:r>
      <w:r w:rsidR="00827602">
        <w:noBreakHyphen/>
      </w:r>
      <w:proofErr w:type="spellStart"/>
      <w:r>
        <w:t>bypassable</w:t>
      </w:r>
      <w:proofErr w:type="spellEnd"/>
      <w:r>
        <w:t xml:space="preserve"> charges.  </w:t>
      </w:r>
      <w:r w:rsidR="00506964">
        <w:t xml:space="preserve">The disagreement in this proceeding is </w:t>
      </w:r>
      <w:r w:rsidR="00566936">
        <w:t>two</w:t>
      </w:r>
      <w:r w:rsidR="00827602">
        <w:noBreakHyphen/>
      </w:r>
      <w:r w:rsidR="00566936">
        <w:t>fold</w:t>
      </w:r>
      <w:r w:rsidR="00555CC0">
        <w:t xml:space="preserve">:  </w:t>
      </w:r>
      <w:r w:rsidR="00492133">
        <w:t>(</w:t>
      </w:r>
      <w:r w:rsidR="00EC1455">
        <w:t>1</w:t>
      </w:r>
      <w:r w:rsidR="00566936">
        <w:t>)</w:t>
      </w:r>
      <w:r w:rsidR="00492133">
        <w:t> </w:t>
      </w:r>
      <w:r w:rsidR="00566936">
        <w:t xml:space="preserve">whether the Commission should assess these charges on energy imported or a combination of energy imported from the grid and </w:t>
      </w:r>
      <w:r w:rsidR="00B97319">
        <w:t>consumption behind</w:t>
      </w:r>
      <w:r w:rsidR="00823BEA">
        <w:t xml:space="preserve"> </w:t>
      </w:r>
      <w:r w:rsidR="00B97319">
        <w:t>the</w:t>
      </w:r>
      <w:r w:rsidR="00823BEA">
        <w:t xml:space="preserve"> </w:t>
      </w:r>
      <w:r w:rsidR="00B97319">
        <w:t>meter</w:t>
      </w:r>
      <w:r w:rsidR="00855AE7">
        <w:t xml:space="preserve">, </w:t>
      </w:r>
      <w:r w:rsidRPr="00492133" w:rsidR="00855AE7">
        <w:rPr>
          <w:i/>
          <w:iCs/>
        </w:rPr>
        <w:t>i.e.</w:t>
      </w:r>
      <w:r w:rsidR="00855AE7">
        <w:t xml:space="preserve">, </w:t>
      </w:r>
      <w:r w:rsidR="00B97319">
        <w:t xml:space="preserve">together, </w:t>
      </w:r>
      <w:r w:rsidR="00855AE7">
        <w:t>gross consumption</w:t>
      </w:r>
      <w:r w:rsidR="00C14FFB">
        <w:t xml:space="preserve">; and </w:t>
      </w:r>
      <w:r w:rsidR="00492133">
        <w:t>(</w:t>
      </w:r>
      <w:r w:rsidR="00EC1455">
        <w:t>2</w:t>
      </w:r>
      <w:r w:rsidR="00C14FFB">
        <w:t>)</w:t>
      </w:r>
      <w:r w:rsidR="00492133">
        <w:t> </w:t>
      </w:r>
      <w:r w:rsidR="00C14FFB">
        <w:t>whether the li</w:t>
      </w:r>
      <w:r w:rsidR="0084305C">
        <w:t>s</w:t>
      </w:r>
      <w:r w:rsidR="00C14FFB">
        <w:t>t of charges that successor tariff customers may not bypass with bill credits should be expanded</w:t>
      </w:r>
      <w:r w:rsidR="00506964">
        <w:t>.</w:t>
      </w:r>
    </w:p>
    <w:p w:rsidR="00EF04CF" w:rsidP="005E7044" w:rsidRDefault="00566936" w14:paraId="0F5D348B" w14:textId="277983ED">
      <w:pPr>
        <w:pStyle w:val="Standard"/>
      </w:pPr>
      <w:r>
        <w:t xml:space="preserve">This decision begins with the question of </w:t>
      </w:r>
      <w:r w:rsidR="00855AE7">
        <w:t xml:space="preserve">how to assess </w:t>
      </w:r>
      <w:r>
        <w:t>the non</w:t>
      </w:r>
      <w:r w:rsidR="00827602">
        <w:noBreakHyphen/>
      </w:r>
      <w:proofErr w:type="spellStart"/>
      <w:r>
        <w:t>bypassable</w:t>
      </w:r>
      <w:proofErr w:type="spellEnd"/>
      <w:r>
        <w:t xml:space="preserve"> c</w:t>
      </w:r>
      <w:r w:rsidR="00855AE7">
        <w:t xml:space="preserve">harges.  In </w:t>
      </w:r>
      <w:r w:rsidR="00602BC5">
        <w:t>NEM 2.0</w:t>
      </w:r>
      <w:r w:rsidR="00855AE7">
        <w:t>, participating customers are assessed non</w:t>
      </w:r>
      <w:r w:rsidR="00827602">
        <w:noBreakHyphen/>
      </w:r>
      <w:proofErr w:type="spellStart"/>
      <w:r w:rsidR="00855AE7">
        <w:t>bypassable</w:t>
      </w:r>
      <w:proofErr w:type="spellEnd"/>
      <w:r w:rsidR="00855AE7">
        <w:t xml:space="preserve"> charges volumetrically, based on the amount of energy imported from the grid.</w:t>
      </w:r>
      <w:r w:rsidR="00CD1F8A">
        <w:t xml:space="preserve">  The </w:t>
      </w:r>
      <w:r w:rsidR="00693EB0">
        <w:t>May 9, 2022</w:t>
      </w:r>
      <w:r w:rsidR="00CD1F8A">
        <w:t xml:space="preserve"> Ruling referenced </w:t>
      </w:r>
      <w:r w:rsidR="00695BF5">
        <w:t>a</w:t>
      </w:r>
      <w:r w:rsidR="00CD1F8A">
        <w:t xml:space="preserve"> Sierra Club proposal, which suggested </w:t>
      </w:r>
      <w:r w:rsidR="00695BF5">
        <w:t>the Commission require</w:t>
      </w:r>
      <w:r w:rsidR="004871FF">
        <w:t xml:space="preserve"> the</w:t>
      </w:r>
      <w:r w:rsidR="00CD1F8A">
        <w:t xml:space="preserve"> collect</w:t>
      </w:r>
      <w:r w:rsidR="004871FF">
        <w:t>ion of</w:t>
      </w:r>
      <w:r w:rsidR="00CD1F8A">
        <w:t xml:space="preserve"> non</w:t>
      </w:r>
      <w:r w:rsidR="00827602">
        <w:noBreakHyphen/>
      </w:r>
      <w:proofErr w:type="spellStart"/>
      <w:r w:rsidR="00CD1F8A">
        <w:t>bypassable</w:t>
      </w:r>
      <w:proofErr w:type="spellEnd"/>
      <w:r w:rsidR="00CD1F8A">
        <w:t xml:space="preserve"> charges on each successor tariff customer’s gross consumption, </w:t>
      </w:r>
      <w:r w:rsidR="004871FF">
        <w:t>which includes assessing the charges on both imports and consumption behind</w:t>
      </w:r>
      <w:r w:rsidR="00827602">
        <w:noBreakHyphen/>
      </w:r>
      <w:r w:rsidR="004871FF">
        <w:t>the</w:t>
      </w:r>
      <w:r w:rsidR="00827602">
        <w:noBreakHyphen/>
      </w:r>
      <w:r w:rsidR="004871FF">
        <w:t>meter.</w:t>
      </w:r>
      <w:r w:rsidR="004871FF">
        <w:rPr>
          <w:rStyle w:val="FootnoteReference"/>
        </w:rPr>
        <w:footnoteReference w:id="334"/>
      </w:r>
      <w:r w:rsidR="004871FF">
        <w:t xml:space="preserve">  Sierra Club propose</w:t>
      </w:r>
      <w:r w:rsidR="00AE07D3">
        <w:t>s</w:t>
      </w:r>
      <w:r w:rsidR="004871FF">
        <w:t xml:space="preserve"> this </w:t>
      </w:r>
      <w:r w:rsidR="004871FF">
        <w:lastRenderedPageBreak/>
        <w:t>could be performed by either an estimation method or the installation of a separate meter.</w:t>
      </w:r>
    </w:p>
    <w:p w:rsidR="00533B2F" w:rsidP="005E7044" w:rsidRDefault="00EF04CF" w14:paraId="2F92EDBC" w14:textId="26DCB4D3">
      <w:pPr>
        <w:pStyle w:val="Standard"/>
      </w:pPr>
      <w:proofErr w:type="spellStart"/>
      <w:r>
        <w:t>CALSSA</w:t>
      </w:r>
      <w:proofErr w:type="spellEnd"/>
      <w:r>
        <w:t xml:space="preserve"> and SEIA/Vote Solar </w:t>
      </w:r>
      <w:r w:rsidR="0025197E">
        <w:t>oppose the assessment of non</w:t>
      </w:r>
      <w:r w:rsidR="00827602">
        <w:noBreakHyphen/>
      </w:r>
      <w:proofErr w:type="spellStart"/>
      <w:r w:rsidR="0025197E">
        <w:t>bypassable</w:t>
      </w:r>
      <w:proofErr w:type="spellEnd"/>
      <w:r w:rsidR="0025197E">
        <w:t xml:space="preserve"> charges on </w:t>
      </w:r>
      <w:r w:rsidR="00B97319">
        <w:t>consumption behind</w:t>
      </w:r>
      <w:r w:rsidR="00827602">
        <w:noBreakHyphen/>
      </w:r>
      <w:r w:rsidR="00B97319">
        <w:t>the</w:t>
      </w:r>
      <w:r w:rsidR="00827602">
        <w:noBreakHyphen/>
      </w:r>
      <w:r w:rsidR="00B97319">
        <w:t xml:space="preserve">meter.  </w:t>
      </w:r>
      <w:proofErr w:type="spellStart"/>
      <w:r w:rsidR="00B97319">
        <w:t>CALSSA</w:t>
      </w:r>
      <w:proofErr w:type="spellEnd"/>
      <w:r w:rsidR="00B97319">
        <w:t xml:space="preserve"> </w:t>
      </w:r>
      <w:r w:rsidR="00AE07D3">
        <w:t xml:space="preserve">asserts such an approach </w:t>
      </w:r>
      <w:r w:rsidR="00525813">
        <w:t>exceeds Commission jurisdiction and would violate</w:t>
      </w:r>
      <w:r w:rsidR="00AE07D3">
        <w:t xml:space="preserve"> federal and state</w:t>
      </w:r>
      <w:r w:rsidR="00525813">
        <w:t xml:space="preserve"> anti</w:t>
      </w:r>
      <w:r w:rsidR="00827602">
        <w:noBreakHyphen/>
      </w:r>
      <w:r w:rsidR="00525813">
        <w:t>discrimination</w:t>
      </w:r>
      <w:r w:rsidR="00AE07D3">
        <w:t xml:space="preserve"> law.</w:t>
      </w:r>
      <w:r w:rsidR="00525813">
        <w:t xml:space="preserve">  </w:t>
      </w:r>
      <w:proofErr w:type="spellStart"/>
      <w:r w:rsidR="00525813">
        <w:t>CALSSA</w:t>
      </w:r>
      <w:proofErr w:type="spellEnd"/>
      <w:r w:rsidR="00525813">
        <w:t xml:space="preserve"> contends the Commission has jurisdiction over public </w:t>
      </w:r>
      <w:r w:rsidR="001A1402">
        <w:t>utilities,</w:t>
      </w:r>
      <w:r w:rsidR="00525813">
        <w:t xml:space="preserve"> </w:t>
      </w:r>
      <w:r w:rsidR="001A1402">
        <w:t xml:space="preserve">but </w:t>
      </w:r>
      <w:r w:rsidR="00525813">
        <w:t xml:space="preserve">public utilities do not include solar energy producers as they are excluded from the definition of </w:t>
      </w:r>
      <w:r w:rsidR="00EC1455">
        <w:t xml:space="preserve">an </w:t>
      </w:r>
      <w:r w:rsidR="00525813">
        <w:t>electrical corporation</w:t>
      </w:r>
      <w:r w:rsidR="001A1402">
        <w:t>.</w:t>
      </w:r>
      <w:r w:rsidR="00525813">
        <w:rPr>
          <w:rStyle w:val="FootnoteReference"/>
        </w:rPr>
        <w:footnoteReference w:id="335"/>
      </w:r>
      <w:r w:rsidR="001A1402">
        <w:t xml:space="preserve">  </w:t>
      </w:r>
      <w:proofErr w:type="spellStart"/>
      <w:r w:rsidR="001A1402">
        <w:t>CALSSA</w:t>
      </w:r>
      <w:proofErr w:type="spellEnd"/>
      <w:r w:rsidR="001A1402">
        <w:t xml:space="preserve"> recognizes there are certain exceptions, </w:t>
      </w:r>
      <w:r w:rsidRPr="00BD4AC8" w:rsidR="001A1402">
        <w:rPr>
          <w:i/>
          <w:iCs/>
        </w:rPr>
        <w:t>i.e.</w:t>
      </w:r>
      <w:r w:rsidR="001A1402">
        <w:t>, for rates and practices</w:t>
      </w:r>
      <w:r w:rsidR="00D34C82">
        <w:t xml:space="preserve">.  However, </w:t>
      </w:r>
      <w:proofErr w:type="spellStart"/>
      <w:r w:rsidR="00D34C82">
        <w:t>CALSSA</w:t>
      </w:r>
      <w:proofErr w:type="spellEnd"/>
      <w:r w:rsidR="00D34C82">
        <w:t xml:space="preserve"> argues that </w:t>
      </w:r>
      <w:r w:rsidR="001A1402">
        <w:t>because behind</w:t>
      </w:r>
      <w:r w:rsidR="00827602">
        <w:noBreakHyphen/>
      </w:r>
      <w:r w:rsidR="001A1402">
        <w:t>the</w:t>
      </w:r>
      <w:r w:rsidR="00827602">
        <w:noBreakHyphen/>
      </w:r>
      <w:r w:rsidR="001A1402">
        <w:t>meter activity is not drawing any energy or services from the grid, the</w:t>
      </w:r>
      <w:r w:rsidR="00D34C82">
        <w:t xml:space="preserve"> </w:t>
      </w:r>
      <w:r w:rsidR="001A1402">
        <w:t>activities are private and not subject to the Commission’s jurisdiction.</w:t>
      </w:r>
      <w:r w:rsidR="001A1402">
        <w:rPr>
          <w:rStyle w:val="FootnoteReference"/>
        </w:rPr>
        <w:footnoteReference w:id="336"/>
      </w:r>
    </w:p>
    <w:p w:rsidR="00EF04CF" w:rsidP="005E7044" w:rsidRDefault="00D34C82" w14:paraId="4739916A" w14:textId="78F06032">
      <w:pPr>
        <w:pStyle w:val="Standard"/>
      </w:pPr>
      <w:r>
        <w:t>Joint Utilities argue that despite exempting net energy metering customers from non</w:t>
      </w:r>
      <w:r w:rsidR="00827602">
        <w:noBreakHyphen/>
      </w:r>
      <w:proofErr w:type="spellStart"/>
      <w:r>
        <w:t>bypassable</w:t>
      </w:r>
      <w:proofErr w:type="spellEnd"/>
      <w:r>
        <w:t xml:space="preserve"> charges in Public Utilities Code </w:t>
      </w:r>
      <w:r w:rsidR="0034029C">
        <w:t>Section 2</w:t>
      </w:r>
      <w:r>
        <w:t xml:space="preserve">827, </w:t>
      </w:r>
      <w:r w:rsidR="0034029C">
        <w:t>Section 2</w:t>
      </w:r>
      <w:r>
        <w:t>827(b)(7)</w:t>
      </w:r>
      <w:r w:rsidR="00391906">
        <w:t xml:space="preserve">, established by </w:t>
      </w:r>
      <w:r w:rsidR="00F138A9">
        <w:t>AB </w:t>
      </w:r>
      <w:r w:rsidR="00391906">
        <w:t xml:space="preserve">327, now </w:t>
      </w:r>
      <w:r>
        <w:t xml:space="preserve">requires the Commission to treat </w:t>
      </w:r>
      <w:r w:rsidR="00391906">
        <w:t>the new successor tariff customers (</w:t>
      </w:r>
      <w:r w:rsidRPr="00BD4AC8" w:rsidR="00391906">
        <w:rPr>
          <w:i/>
          <w:iCs/>
        </w:rPr>
        <w:t>i.e.</w:t>
      </w:r>
      <w:r w:rsidR="00391906">
        <w:t>, customer</w:t>
      </w:r>
      <w:r w:rsidR="00827602">
        <w:noBreakHyphen/>
      </w:r>
      <w:r w:rsidR="00391906">
        <w:t xml:space="preserve">generators) as departing load. </w:t>
      </w:r>
      <w:r>
        <w:t xml:space="preserve"> </w:t>
      </w:r>
      <w:r w:rsidR="00391906">
        <w:t>Joint Utilities assert that departing load customers must pay non</w:t>
      </w:r>
      <w:r w:rsidR="00827602">
        <w:noBreakHyphen/>
      </w:r>
      <w:proofErr w:type="spellStart"/>
      <w:r w:rsidR="00391906">
        <w:t>bypassable</w:t>
      </w:r>
      <w:proofErr w:type="spellEnd"/>
      <w:r w:rsidR="00391906">
        <w:t xml:space="preserve"> charges unless expressly exempted by statute.</w:t>
      </w:r>
      <w:r w:rsidR="00391906">
        <w:rPr>
          <w:rStyle w:val="FootnoteReference"/>
        </w:rPr>
        <w:footnoteReference w:id="337"/>
      </w:r>
    </w:p>
    <w:p w:rsidR="00391906" w:rsidP="005E7044" w:rsidRDefault="00391906" w14:paraId="7F5A4EB7" w14:textId="7D8ADB31">
      <w:pPr>
        <w:pStyle w:val="Standard"/>
      </w:pPr>
      <w:r>
        <w:t>The Commission determines th</w:t>
      </w:r>
      <w:r w:rsidR="000C0D5B">
        <w:t>is</w:t>
      </w:r>
      <w:r>
        <w:t xml:space="preserve"> issue </w:t>
      </w:r>
      <w:r w:rsidR="00EC1455">
        <w:t>is addressed by other Commission proceedings</w:t>
      </w:r>
      <w:r>
        <w:t>.</w:t>
      </w:r>
      <w:r w:rsidR="000C0D5B">
        <w:t xml:space="preserve">  As discussed in </w:t>
      </w:r>
      <w:r w:rsidR="0034029C">
        <w:t>Section 8</w:t>
      </w:r>
      <w:r w:rsidR="000C0D5B">
        <w:t>.4.4, the Commission recently initiated R.22</w:t>
      </w:r>
      <w:r w:rsidR="00827602">
        <w:noBreakHyphen/>
      </w:r>
      <w:r w:rsidR="000C0D5B">
        <w:t>07</w:t>
      </w:r>
      <w:r w:rsidR="00827602">
        <w:noBreakHyphen/>
      </w:r>
      <w:r w:rsidR="000C0D5B">
        <w:t>005, the Rulemaking to Advance Demand Flexibility Through Electric Rates, which will address the reformation of fixed charges</w:t>
      </w:r>
      <w:r w:rsidR="00DC34DD">
        <w:t xml:space="preserve"> and, </w:t>
      </w:r>
      <w:r w:rsidR="000C0D5B">
        <w:t xml:space="preserve">specifically, how </w:t>
      </w:r>
      <w:r w:rsidR="000C0D5B">
        <w:lastRenderedPageBreak/>
        <w:t>to reform fixed charges for recovery of certain authorized utility costs, including non</w:t>
      </w:r>
      <w:r w:rsidR="00827602">
        <w:noBreakHyphen/>
      </w:r>
      <w:proofErr w:type="spellStart"/>
      <w:r w:rsidR="000C0D5B">
        <w:t>bypassable</w:t>
      </w:r>
      <w:proofErr w:type="spellEnd"/>
      <w:r w:rsidR="000C0D5B">
        <w:t xml:space="preserve"> charges.</w:t>
      </w:r>
      <w:r w:rsidR="00DC34DD">
        <w:t xml:space="preserve">  Until </w:t>
      </w:r>
      <w:r w:rsidR="00374049">
        <w:t>such a fixed charge is determined and</w:t>
      </w:r>
      <w:r w:rsidR="00DC34DD">
        <w:t xml:space="preserve"> notice</w:t>
      </w:r>
      <w:r w:rsidR="00374049">
        <w:t>d</w:t>
      </w:r>
      <w:r w:rsidR="00443101">
        <w:t xml:space="preserve">, </w:t>
      </w:r>
      <w:r w:rsidR="00DC34DD">
        <w:t xml:space="preserve">and as further explained in </w:t>
      </w:r>
      <w:r w:rsidR="0034029C">
        <w:t>Section 8</w:t>
      </w:r>
      <w:r w:rsidR="00DC34DD">
        <w:t>.5.3, the successor tariff shall continue to assess non</w:t>
      </w:r>
      <w:r w:rsidR="00827602">
        <w:noBreakHyphen/>
      </w:r>
      <w:proofErr w:type="spellStart"/>
      <w:r w:rsidR="00DC34DD">
        <w:t>bypassable</w:t>
      </w:r>
      <w:proofErr w:type="spellEnd"/>
      <w:r w:rsidR="00DC34DD">
        <w:t xml:space="preserve"> charges </w:t>
      </w:r>
      <w:r w:rsidR="00374049">
        <w:t xml:space="preserve">based </w:t>
      </w:r>
      <w:r w:rsidR="00DC34DD">
        <w:t xml:space="preserve">on </w:t>
      </w:r>
      <w:r w:rsidR="00374049">
        <w:t xml:space="preserve">the </w:t>
      </w:r>
      <w:r w:rsidR="00DC34DD">
        <w:t xml:space="preserve">energy </w:t>
      </w:r>
      <w:r w:rsidR="00374049">
        <w:t xml:space="preserve">that successor tariff customers </w:t>
      </w:r>
      <w:r w:rsidR="00DC34DD">
        <w:t>import</w:t>
      </w:r>
      <w:r w:rsidR="00374049">
        <w:t xml:space="preserve"> </w:t>
      </w:r>
      <w:r w:rsidR="00DC34DD">
        <w:t>from the grid.</w:t>
      </w:r>
      <w:r w:rsidR="008C3247">
        <w:t xml:space="preserve">  This decision </w:t>
      </w:r>
      <w:r w:rsidR="00443101">
        <w:t>highlights</w:t>
      </w:r>
      <w:r w:rsidR="008C3247">
        <w:t xml:space="preserve"> the agreement by </w:t>
      </w:r>
      <w:proofErr w:type="spellStart"/>
      <w:r w:rsidR="008C3247">
        <w:t>CALSSA</w:t>
      </w:r>
      <w:proofErr w:type="spellEnd"/>
      <w:r w:rsidR="008C3247">
        <w:t xml:space="preserve"> that net energy metering customers should be assessed such a fixed charge</w:t>
      </w:r>
      <w:r w:rsidR="009C63A8">
        <w:t>, along with all residential customers</w:t>
      </w:r>
      <w:r w:rsidR="008C3247">
        <w:t>.</w:t>
      </w:r>
      <w:r w:rsidR="009C63A8">
        <w:t xml:space="preserve">  </w:t>
      </w:r>
      <w:proofErr w:type="spellStart"/>
      <w:r w:rsidR="009C63A8">
        <w:t>CALSSA</w:t>
      </w:r>
      <w:proofErr w:type="spellEnd"/>
      <w:r w:rsidR="009C63A8">
        <w:t xml:space="preserve"> states that utilizing a consistent methodology across all relevant customer classes and categories, </w:t>
      </w:r>
      <w:r w:rsidRPr="00BD4AC8" w:rsidR="009C63A8">
        <w:rPr>
          <w:i/>
          <w:iCs/>
        </w:rPr>
        <w:t>i.e.</w:t>
      </w:r>
      <w:r w:rsidR="009C63A8">
        <w:t>, a fixed charge, is the correct way to approach the question of how to recover utilities’ fixed costs equitably.</w:t>
      </w:r>
      <w:r w:rsidR="009C63A8">
        <w:rPr>
          <w:rStyle w:val="FootnoteReference"/>
        </w:rPr>
        <w:footnoteReference w:id="338"/>
      </w:r>
    </w:p>
    <w:p w:rsidR="00090664" w:rsidP="005E7044" w:rsidRDefault="00AE0E53" w14:paraId="4C8123B4" w14:textId="6E16C70F">
      <w:pPr>
        <w:pStyle w:val="Standard"/>
      </w:pPr>
      <w:r>
        <w:t xml:space="preserve">The </w:t>
      </w:r>
      <w:r w:rsidR="00693EB0">
        <w:t>May 9, 2022</w:t>
      </w:r>
      <w:r>
        <w:t xml:space="preserve"> Ruling provided the current </w:t>
      </w:r>
      <w:r w:rsidR="00090664">
        <w:t>non</w:t>
      </w:r>
      <w:r w:rsidR="00827602">
        <w:noBreakHyphen/>
      </w:r>
      <w:proofErr w:type="spellStart"/>
      <w:r w:rsidR="00090664">
        <w:t>bypassable</w:t>
      </w:r>
      <w:proofErr w:type="spellEnd"/>
      <w:r w:rsidR="00090664">
        <w:t xml:space="preserve"> charges</w:t>
      </w:r>
      <w:r w:rsidR="00F21DB9">
        <w:t xml:space="preserve"> that all customers pay on imported energy</w:t>
      </w:r>
      <w:r w:rsidR="00090664">
        <w:t>, w</w:t>
      </w:r>
      <w:r w:rsidR="00957CE9">
        <w:t>ith corrections from the Joint Utilities</w:t>
      </w:r>
      <w:r w:rsidR="00F21DB9">
        <w:t>.</w:t>
      </w:r>
      <w:r w:rsidR="00957CE9">
        <w:rPr>
          <w:rStyle w:val="FootnoteReference"/>
        </w:rPr>
        <w:footnoteReference w:id="339"/>
      </w:r>
      <w:r w:rsidR="00957CE9">
        <w:t xml:space="preserve"> </w:t>
      </w:r>
      <w:r w:rsidR="00F21DB9">
        <w:t xml:space="preserve">These </w:t>
      </w:r>
      <w:r w:rsidR="00090664">
        <w:t xml:space="preserve">are </w:t>
      </w:r>
      <w:r w:rsidRPr="00EE335A" w:rsidR="00090664">
        <w:t xml:space="preserve">presented in </w:t>
      </w:r>
      <w:r w:rsidR="007F6676">
        <w:t>Table 5</w:t>
      </w:r>
      <w:r w:rsidR="00090664">
        <w:t xml:space="preserve"> below.</w:t>
      </w:r>
    </w:p>
    <w:p w:rsidR="00693EB0" w:rsidP="00693EB0" w:rsidRDefault="00693EB0" w14:paraId="29743A5C" w14:textId="718B83A6">
      <w:pPr>
        <w:pStyle w:val="TableTitleBodyH085"/>
      </w:pPr>
      <w:bookmarkStart w:name="Table5" w:id="172"/>
      <w:r w:rsidRPr="00693EB0">
        <w:rPr>
          <w:b/>
          <w:bCs w:val="0"/>
        </w:rPr>
        <w:t>Table 5.</w:t>
      </w:r>
      <w:r>
        <w:tab/>
        <w:t>Current Electric Program and Securitization Charges</w:t>
      </w:r>
      <w:bookmarkEnd w:id="172"/>
    </w:p>
    <w:tbl>
      <w:tblPr>
        <w:tblStyle w:val="TableGrid"/>
        <w:tblW w:w="9360" w:type="dxa"/>
        <w:tblLayout w:type="fixed"/>
        <w:tblCellMar>
          <w:top w:w="58" w:type="dxa"/>
          <w:bottom w:w="58" w:type="dxa"/>
        </w:tblCellMar>
        <w:tblLook w:val="04A0" w:firstRow="1" w:lastRow="0" w:firstColumn="1" w:lastColumn="0" w:noHBand="0" w:noVBand="1"/>
      </w:tblPr>
      <w:tblGrid>
        <w:gridCol w:w="6025"/>
        <w:gridCol w:w="3335"/>
      </w:tblGrid>
      <w:tr w:rsidRPr="00957CE9" w:rsidR="00090664" w:rsidTr="00693EB0" w14:paraId="2BB03248" w14:textId="77777777">
        <w:trPr>
          <w:cantSplit/>
          <w:tblHeader/>
        </w:trPr>
        <w:tc>
          <w:tcPr>
            <w:tcW w:w="6025" w:type="dxa"/>
            <w:vAlign w:val="bottom"/>
          </w:tcPr>
          <w:p w:rsidRPr="00F036C6" w:rsidR="00090664" w:rsidP="00693EB0" w:rsidRDefault="00090664" w14:paraId="52CF6804" w14:textId="643E5E2C">
            <w:pPr>
              <w:pStyle w:val="Standard"/>
              <w:keepNext/>
              <w:spacing w:line="240" w:lineRule="auto"/>
              <w:ind w:firstLine="0"/>
              <w:jc w:val="center"/>
              <w:rPr>
                <w:b/>
                <w:bCs/>
              </w:rPr>
            </w:pPr>
            <w:r w:rsidRPr="00F036C6">
              <w:rPr>
                <w:b/>
                <w:bCs/>
              </w:rPr>
              <w:t>Charge</w:t>
            </w:r>
          </w:p>
        </w:tc>
        <w:tc>
          <w:tcPr>
            <w:tcW w:w="3335" w:type="dxa"/>
            <w:vAlign w:val="bottom"/>
          </w:tcPr>
          <w:p w:rsidRPr="00F036C6" w:rsidR="00090664" w:rsidP="00693EB0" w:rsidRDefault="00090664" w14:paraId="79D64208" w14:textId="148ACF97">
            <w:pPr>
              <w:pStyle w:val="Standard"/>
              <w:keepNext/>
              <w:spacing w:line="240" w:lineRule="auto"/>
              <w:ind w:firstLine="0"/>
              <w:jc w:val="center"/>
              <w:rPr>
                <w:b/>
                <w:bCs/>
              </w:rPr>
            </w:pPr>
            <w:r w:rsidRPr="00F036C6">
              <w:rPr>
                <w:b/>
                <w:bCs/>
              </w:rPr>
              <w:t>Applicable Utility</w:t>
            </w:r>
          </w:p>
        </w:tc>
      </w:tr>
      <w:tr w:rsidR="00090664" w:rsidTr="00693EB0" w14:paraId="35819B24" w14:textId="77777777">
        <w:trPr>
          <w:cantSplit/>
        </w:trPr>
        <w:tc>
          <w:tcPr>
            <w:tcW w:w="6025" w:type="dxa"/>
          </w:tcPr>
          <w:p w:rsidR="00090664" w:rsidP="007C35D1" w:rsidRDefault="00090664" w14:paraId="2185B3EC" w14:textId="157BCD0F">
            <w:pPr>
              <w:pStyle w:val="Standard"/>
              <w:keepNext/>
              <w:spacing w:line="240" w:lineRule="auto"/>
              <w:ind w:firstLine="0"/>
            </w:pPr>
            <w:r>
              <w:t>Public Purpose Programs</w:t>
            </w:r>
            <w:r w:rsidR="002023A7">
              <w:t xml:space="preserve"> Charge</w:t>
            </w:r>
          </w:p>
        </w:tc>
        <w:tc>
          <w:tcPr>
            <w:tcW w:w="3335" w:type="dxa"/>
          </w:tcPr>
          <w:p w:rsidR="00090664" w:rsidP="007C35D1" w:rsidRDefault="00090664" w14:paraId="21542E51" w14:textId="137BA78E">
            <w:pPr>
              <w:pStyle w:val="Standard"/>
              <w:keepNext/>
              <w:spacing w:line="240" w:lineRule="auto"/>
              <w:ind w:firstLine="0"/>
            </w:pPr>
            <w:r>
              <w:t xml:space="preserve">PG&amp;E, SDG&amp;E, </w:t>
            </w:r>
            <w:r w:rsidR="00957CE9">
              <w:t xml:space="preserve">and </w:t>
            </w:r>
            <w:r>
              <w:t>SCE</w:t>
            </w:r>
          </w:p>
        </w:tc>
      </w:tr>
      <w:tr w:rsidR="00090664" w:rsidTr="00693EB0" w14:paraId="00D1FAA4" w14:textId="77777777">
        <w:trPr>
          <w:cantSplit/>
        </w:trPr>
        <w:tc>
          <w:tcPr>
            <w:tcW w:w="6025" w:type="dxa"/>
          </w:tcPr>
          <w:p w:rsidR="00090664" w:rsidP="00693EB0" w:rsidRDefault="00F54212" w14:paraId="48297305" w14:textId="6D07D824">
            <w:pPr>
              <w:pStyle w:val="Standard"/>
              <w:spacing w:line="240" w:lineRule="auto"/>
              <w:ind w:firstLine="0"/>
            </w:pPr>
            <w:r>
              <w:t>Wildfire Fund</w:t>
            </w:r>
            <w:r w:rsidR="002023A7">
              <w:t xml:space="preserve"> </w:t>
            </w:r>
            <w:r w:rsidR="00B74C96">
              <w:t>Non</w:t>
            </w:r>
            <w:r w:rsidR="00827602">
              <w:noBreakHyphen/>
            </w:r>
            <w:proofErr w:type="spellStart"/>
            <w:r w:rsidR="00B74C96">
              <w:t>Bypassable</w:t>
            </w:r>
            <w:proofErr w:type="spellEnd"/>
            <w:r w:rsidR="00B74C96">
              <w:t xml:space="preserve"> </w:t>
            </w:r>
            <w:r w:rsidR="002023A7">
              <w:t>Charge</w:t>
            </w:r>
          </w:p>
        </w:tc>
        <w:tc>
          <w:tcPr>
            <w:tcW w:w="3335" w:type="dxa"/>
          </w:tcPr>
          <w:p w:rsidR="00090664" w:rsidP="00693EB0" w:rsidRDefault="00F54212" w14:paraId="792E5078" w14:textId="042814C7">
            <w:pPr>
              <w:pStyle w:val="Standard"/>
              <w:spacing w:line="240" w:lineRule="auto"/>
              <w:ind w:firstLine="0"/>
            </w:pPr>
            <w:r>
              <w:t xml:space="preserve">PG&amp;E, SDG&amp;E, </w:t>
            </w:r>
            <w:r w:rsidR="00957CE9">
              <w:t xml:space="preserve">and </w:t>
            </w:r>
            <w:r>
              <w:t>SCE</w:t>
            </w:r>
          </w:p>
        </w:tc>
      </w:tr>
      <w:tr w:rsidR="00090664" w:rsidTr="00693EB0" w14:paraId="25EBF770" w14:textId="77777777">
        <w:trPr>
          <w:cantSplit/>
        </w:trPr>
        <w:tc>
          <w:tcPr>
            <w:tcW w:w="6025" w:type="dxa"/>
          </w:tcPr>
          <w:p w:rsidR="00090664" w:rsidP="00693EB0" w:rsidRDefault="00F54212" w14:paraId="1289208D" w14:textId="430A1D73">
            <w:pPr>
              <w:pStyle w:val="Standard"/>
              <w:spacing w:line="240" w:lineRule="auto"/>
              <w:ind w:firstLine="0"/>
            </w:pPr>
            <w:r>
              <w:t>Competition Transition Charge</w:t>
            </w:r>
          </w:p>
        </w:tc>
        <w:tc>
          <w:tcPr>
            <w:tcW w:w="3335" w:type="dxa"/>
          </w:tcPr>
          <w:p w:rsidR="00090664" w:rsidP="00693EB0" w:rsidRDefault="00F54212" w14:paraId="31B272D4" w14:textId="1CC87334">
            <w:pPr>
              <w:pStyle w:val="Standard"/>
              <w:spacing w:line="240" w:lineRule="auto"/>
              <w:ind w:firstLine="0"/>
            </w:pPr>
            <w:r>
              <w:t xml:space="preserve">PG&amp;E, SDG&amp;E, </w:t>
            </w:r>
            <w:r w:rsidR="00957CE9">
              <w:t xml:space="preserve">and </w:t>
            </w:r>
            <w:r>
              <w:t>SCE</w:t>
            </w:r>
          </w:p>
        </w:tc>
      </w:tr>
      <w:tr w:rsidR="005B5992" w:rsidTr="00693EB0" w14:paraId="271A37B9" w14:textId="77777777">
        <w:trPr>
          <w:cantSplit/>
        </w:trPr>
        <w:tc>
          <w:tcPr>
            <w:tcW w:w="6025" w:type="dxa"/>
          </w:tcPr>
          <w:p w:rsidR="005B5992" w:rsidP="00693EB0" w:rsidRDefault="005B5992" w14:paraId="50780350" w14:textId="767A0F6F">
            <w:pPr>
              <w:pStyle w:val="Standard"/>
              <w:spacing w:line="240" w:lineRule="auto"/>
              <w:ind w:firstLine="0"/>
            </w:pPr>
            <w:r>
              <w:t>CEC Fee</w:t>
            </w:r>
          </w:p>
        </w:tc>
        <w:tc>
          <w:tcPr>
            <w:tcW w:w="3335" w:type="dxa"/>
          </w:tcPr>
          <w:p w:rsidR="005B5992" w:rsidP="00693EB0" w:rsidRDefault="005B5992" w14:paraId="2723E523" w14:textId="6CCB7409">
            <w:pPr>
              <w:pStyle w:val="Standard"/>
              <w:spacing w:line="240" w:lineRule="auto"/>
              <w:ind w:firstLine="0"/>
            </w:pPr>
            <w:r>
              <w:t>PG&amp;E, SDG&amp;E, and SCE</w:t>
            </w:r>
          </w:p>
        </w:tc>
      </w:tr>
      <w:tr w:rsidR="005B5992" w:rsidTr="00693EB0" w14:paraId="4C66A8C5" w14:textId="77777777">
        <w:trPr>
          <w:cantSplit/>
        </w:trPr>
        <w:tc>
          <w:tcPr>
            <w:tcW w:w="6025" w:type="dxa"/>
          </w:tcPr>
          <w:p w:rsidR="005B5992" w:rsidP="00693EB0" w:rsidRDefault="005B5992" w14:paraId="6880394C" w14:textId="318183D5">
            <w:pPr>
              <w:pStyle w:val="Standard"/>
              <w:spacing w:line="240" w:lineRule="auto"/>
              <w:ind w:firstLine="0"/>
            </w:pPr>
            <w:r>
              <w:t>Nuclear Decommissioning</w:t>
            </w:r>
            <w:r w:rsidR="002023A7">
              <w:t xml:space="preserve"> Charge</w:t>
            </w:r>
          </w:p>
        </w:tc>
        <w:tc>
          <w:tcPr>
            <w:tcW w:w="3335" w:type="dxa"/>
          </w:tcPr>
          <w:p w:rsidR="005B5992" w:rsidP="00693EB0" w:rsidRDefault="005B5992" w14:paraId="1A23043F" w14:textId="2C2506FE">
            <w:pPr>
              <w:pStyle w:val="Standard"/>
              <w:spacing w:line="240" w:lineRule="auto"/>
              <w:ind w:firstLine="0"/>
            </w:pPr>
            <w:r>
              <w:t>PG&amp;E, SDG&amp;E, and SCE</w:t>
            </w:r>
          </w:p>
        </w:tc>
      </w:tr>
      <w:tr w:rsidR="005B5992" w:rsidTr="00693EB0" w14:paraId="3E2679D3" w14:textId="77777777">
        <w:trPr>
          <w:cantSplit/>
        </w:trPr>
        <w:tc>
          <w:tcPr>
            <w:tcW w:w="6025" w:type="dxa"/>
          </w:tcPr>
          <w:p w:rsidR="005B5992" w:rsidP="00693EB0" w:rsidRDefault="005B5992" w14:paraId="19657D23" w14:textId="3A64B0AC">
            <w:pPr>
              <w:pStyle w:val="Standard"/>
              <w:spacing w:line="240" w:lineRule="auto"/>
              <w:ind w:firstLine="0"/>
            </w:pPr>
            <w:r>
              <w:t>New System Generation</w:t>
            </w:r>
            <w:r w:rsidR="002023A7">
              <w:t xml:space="preserve"> Charge</w:t>
            </w:r>
          </w:p>
        </w:tc>
        <w:tc>
          <w:tcPr>
            <w:tcW w:w="3335" w:type="dxa"/>
          </w:tcPr>
          <w:p w:rsidR="005B5992" w:rsidP="00693EB0" w:rsidRDefault="005B5992" w14:paraId="657E6CF2" w14:textId="79B152A6">
            <w:pPr>
              <w:pStyle w:val="Standard"/>
              <w:spacing w:line="240" w:lineRule="auto"/>
              <w:ind w:firstLine="0"/>
            </w:pPr>
            <w:r>
              <w:t>PG&amp;E and SCE</w:t>
            </w:r>
          </w:p>
        </w:tc>
      </w:tr>
      <w:tr w:rsidR="005B5992" w:rsidTr="00693EB0" w14:paraId="5ADF82D2" w14:textId="77777777">
        <w:trPr>
          <w:cantSplit/>
        </w:trPr>
        <w:tc>
          <w:tcPr>
            <w:tcW w:w="6025" w:type="dxa"/>
          </w:tcPr>
          <w:p w:rsidR="005B5992" w:rsidP="00693EB0" w:rsidRDefault="005B5992" w14:paraId="5CC2DE8D" w14:textId="1CAE2FFC">
            <w:pPr>
              <w:pStyle w:val="Standard"/>
              <w:spacing w:line="240" w:lineRule="auto"/>
              <w:ind w:firstLine="0"/>
            </w:pPr>
            <w:r>
              <w:t>Local Generation</w:t>
            </w:r>
            <w:r w:rsidR="002023A7">
              <w:t xml:space="preserve"> Charge</w:t>
            </w:r>
          </w:p>
        </w:tc>
        <w:tc>
          <w:tcPr>
            <w:tcW w:w="3335" w:type="dxa"/>
          </w:tcPr>
          <w:p w:rsidR="005B5992" w:rsidP="00693EB0" w:rsidRDefault="005B5992" w14:paraId="3AE0BDD6" w14:textId="3966DFB2">
            <w:pPr>
              <w:pStyle w:val="Standard"/>
              <w:spacing w:line="240" w:lineRule="auto"/>
              <w:ind w:firstLine="0"/>
            </w:pPr>
            <w:r>
              <w:t>SDG&amp;E</w:t>
            </w:r>
          </w:p>
        </w:tc>
      </w:tr>
      <w:tr w:rsidR="005B5992" w:rsidTr="00693EB0" w14:paraId="71A1632E" w14:textId="77777777">
        <w:trPr>
          <w:cantSplit/>
        </w:trPr>
        <w:tc>
          <w:tcPr>
            <w:tcW w:w="6025" w:type="dxa"/>
          </w:tcPr>
          <w:p w:rsidR="005B5992" w:rsidP="00693EB0" w:rsidRDefault="005B5992" w14:paraId="58D94541" w14:textId="609F493C">
            <w:pPr>
              <w:pStyle w:val="Standard"/>
              <w:spacing w:line="240" w:lineRule="auto"/>
              <w:ind w:firstLine="0"/>
            </w:pPr>
            <w:r>
              <w:t>Recovery Bond Charge/Recovery Bond Credit</w:t>
            </w:r>
          </w:p>
        </w:tc>
        <w:tc>
          <w:tcPr>
            <w:tcW w:w="3335" w:type="dxa"/>
          </w:tcPr>
          <w:p w:rsidR="005B5992" w:rsidP="00693EB0" w:rsidRDefault="005B5992" w14:paraId="2242A42F" w14:textId="5909806A">
            <w:pPr>
              <w:pStyle w:val="Standard"/>
              <w:spacing w:line="240" w:lineRule="auto"/>
              <w:ind w:firstLine="0"/>
            </w:pPr>
            <w:r>
              <w:t>PG&amp;E</w:t>
            </w:r>
          </w:p>
        </w:tc>
      </w:tr>
      <w:tr w:rsidR="005B5992" w:rsidTr="00693EB0" w14:paraId="0FB2BA8B" w14:textId="77777777">
        <w:trPr>
          <w:cantSplit/>
        </w:trPr>
        <w:tc>
          <w:tcPr>
            <w:tcW w:w="6025" w:type="dxa"/>
          </w:tcPr>
          <w:p w:rsidR="005B5992" w:rsidP="00693EB0" w:rsidRDefault="005B5992" w14:paraId="3A7BF96F" w14:textId="17566F74">
            <w:pPr>
              <w:pStyle w:val="Standard"/>
              <w:spacing w:line="240" w:lineRule="auto"/>
              <w:ind w:firstLine="0"/>
            </w:pPr>
            <w:r>
              <w:t>Reliability Services</w:t>
            </w:r>
            <w:r w:rsidR="002023A7">
              <w:t xml:space="preserve"> Charge</w:t>
            </w:r>
          </w:p>
        </w:tc>
        <w:tc>
          <w:tcPr>
            <w:tcW w:w="3335" w:type="dxa"/>
          </w:tcPr>
          <w:p w:rsidR="005B5992" w:rsidP="00693EB0" w:rsidRDefault="005B5992" w14:paraId="411CFA14" w14:textId="176F23C0">
            <w:pPr>
              <w:pStyle w:val="Standard"/>
              <w:spacing w:line="240" w:lineRule="auto"/>
              <w:ind w:firstLine="0"/>
            </w:pPr>
            <w:r>
              <w:t>PG&amp;E, SDG&amp;E, and SCE</w:t>
            </w:r>
          </w:p>
        </w:tc>
      </w:tr>
      <w:tr w:rsidR="005B5992" w:rsidTr="00693EB0" w14:paraId="59BEFF6C" w14:textId="77777777">
        <w:trPr>
          <w:cantSplit/>
        </w:trPr>
        <w:tc>
          <w:tcPr>
            <w:tcW w:w="6025" w:type="dxa"/>
          </w:tcPr>
          <w:p w:rsidR="005B5992" w:rsidP="00693EB0" w:rsidRDefault="005B5992" w14:paraId="7B04C728" w14:textId="73442659">
            <w:pPr>
              <w:pStyle w:val="Standard"/>
              <w:spacing w:line="240" w:lineRule="auto"/>
              <w:ind w:firstLine="0"/>
            </w:pPr>
            <w:r>
              <w:lastRenderedPageBreak/>
              <w:t>PUC Reimbursement Fee</w:t>
            </w:r>
            <w:r w:rsidR="002023A7">
              <w:t xml:space="preserve"> Charge</w:t>
            </w:r>
          </w:p>
        </w:tc>
        <w:tc>
          <w:tcPr>
            <w:tcW w:w="3335" w:type="dxa"/>
          </w:tcPr>
          <w:p w:rsidR="005B5992" w:rsidP="00693EB0" w:rsidRDefault="005B5992" w14:paraId="01594BD6" w14:textId="668E842F">
            <w:pPr>
              <w:pStyle w:val="Standard"/>
              <w:spacing w:line="240" w:lineRule="auto"/>
              <w:ind w:firstLine="0"/>
            </w:pPr>
            <w:r>
              <w:t>PG&amp;E, SDG&amp;E, and SCE</w:t>
            </w:r>
          </w:p>
        </w:tc>
      </w:tr>
      <w:tr w:rsidR="005B5992" w:rsidTr="00693EB0" w14:paraId="2AD84B60" w14:textId="77777777">
        <w:trPr>
          <w:cantSplit/>
        </w:trPr>
        <w:tc>
          <w:tcPr>
            <w:tcW w:w="6025" w:type="dxa"/>
          </w:tcPr>
          <w:p w:rsidR="005B5992" w:rsidP="00693EB0" w:rsidRDefault="001025F0" w14:paraId="197F9F42" w14:textId="393EFC2B">
            <w:pPr>
              <w:pStyle w:val="Standard"/>
              <w:spacing w:line="240" w:lineRule="auto"/>
              <w:ind w:firstLine="0"/>
            </w:pPr>
            <w:r>
              <w:t>Securitized Wildfire Capital Costs/</w:t>
            </w:r>
            <w:r w:rsidR="005B5992">
              <w:t>Energy Cost Rec</w:t>
            </w:r>
            <w:r>
              <w:t>ove</w:t>
            </w:r>
            <w:r w:rsidR="005B5992">
              <w:t>ry Acc</w:t>
            </w:r>
            <w:r>
              <w:t>oun</w:t>
            </w:r>
            <w:r w:rsidR="005B5992">
              <w:t>t</w:t>
            </w:r>
          </w:p>
        </w:tc>
        <w:tc>
          <w:tcPr>
            <w:tcW w:w="3335" w:type="dxa"/>
          </w:tcPr>
          <w:p w:rsidR="005B5992" w:rsidP="00693EB0" w:rsidRDefault="005B5992" w14:paraId="500D573B" w14:textId="5328E6BB">
            <w:pPr>
              <w:pStyle w:val="Standard"/>
              <w:spacing w:line="240" w:lineRule="auto"/>
              <w:ind w:firstLine="0"/>
            </w:pPr>
            <w:r>
              <w:t>PG&amp;E</w:t>
            </w:r>
          </w:p>
        </w:tc>
      </w:tr>
      <w:tr w:rsidR="005B5992" w:rsidTr="00693EB0" w14:paraId="0A2BF01A" w14:textId="77777777">
        <w:trPr>
          <w:cantSplit/>
        </w:trPr>
        <w:tc>
          <w:tcPr>
            <w:tcW w:w="6025" w:type="dxa"/>
          </w:tcPr>
          <w:p w:rsidR="005B5992" w:rsidP="00681234" w:rsidRDefault="005B5992" w14:paraId="062C694E" w14:textId="20A25725">
            <w:pPr>
              <w:pStyle w:val="Standard"/>
              <w:keepNext/>
              <w:spacing w:line="240" w:lineRule="auto"/>
              <w:ind w:firstLine="0"/>
            </w:pPr>
            <w:r>
              <w:t>Wildfire Hardening</w:t>
            </w:r>
            <w:r w:rsidR="002023A7">
              <w:t xml:space="preserve"> Charge</w:t>
            </w:r>
          </w:p>
        </w:tc>
        <w:tc>
          <w:tcPr>
            <w:tcW w:w="3335" w:type="dxa"/>
          </w:tcPr>
          <w:p w:rsidR="005B5992" w:rsidP="00681234" w:rsidRDefault="005B5992" w14:paraId="70D08284" w14:textId="035EA0C3">
            <w:pPr>
              <w:pStyle w:val="Standard"/>
              <w:keepNext/>
              <w:spacing w:line="240" w:lineRule="auto"/>
              <w:ind w:firstLine="0"/>
            </w:pPr>
            <w:r>
              <w:t>SCE</w:t>
            </w:r>
          </w:p>
        </w:tc>
      </w:tr>
      <w:tr w:rsidR="005B5992" w:rsidTr="00693EB0" w14:paraId="22AEDF88" w14:textId="77777777">
        <w:trPr>
          <w:cantSplit/>
        </w:trPr>
        <w:tc>
          <w:tcPr>
            <w:tcW w:w="6025" w:type="dxa"/>
          </w:tcPr>
          <w:p w:rsidR="005B5992" w:rsidP="00693EB0" w:rsidRDefault="005B5992" w14:paraId="5201F082" w14:textId="4D203E04">
            <w:pPr>
              <w:pStyle w:val="Standard"/>
              <w:spacing w:line="240" w:lineRule="auto"/>
              <w:ind w:firstLine="0"/>
            </w:pPr>
            <w:r>
              <w:t>Power Charge Indifference Adjustment</w:t>
            </w:r>
            <w:r w:rsidR="002023A7">
              <w:t xml:space="preserve"> Charge</w:t>
            </w:r>
          </w:p>
        </w:tc>
        <w:tc>
          <w:tcPr>
            <w:tcW w:w="3335" w:type="dxa"/>
          </w:tcPr>
          <w:p w:rsidR="005B5992" w:rsidP="00693EB0" w:rsidRDefault="005B5992" w14:paraId="2F747B67" w14:textId="4963E711">
            <w:pPr>
              <w:pStyle w:val="Standard"/>
              <w:spacing w:line="240" w:lineRule="auto"/>
              <w:ind w:firstLine="0"/>
            </w:pPr>
            <w:r>
              <w:t>PG&amp;E, SDG&amp;E, and SCE</w:t>
            </w:r>
          </w:p>
        </w:tc>
      </w:tr>
    </w:tbl>
    <w:p w:rsidR="00F21DB9" w:rsidP="00586EBC" w:rsidRDefault="00F21DB9" w14:paraId="27057A98" w14:textId="34969C41">
      <w:pPr>
        <w:pStyle w:val="Standard"/>
        <w:spacing w:before="180"/>
      </w:pPr>
      <w:r>
        <w:t xml:space="preserve">Successor tariff customers will continue to pay these charges, as applicable, on imported energy.  Assessing </w:t>
      </w:r>
      <w:r w:rsidR="0084305C">
        <w:t xml:space="preserve">these </w:t>
      </w:r>
      <w:r>
        <w:t xml:space="preserve">charges on imported energy is consistent with the manner </w:t>
      </w:r>
      <w:r w:rsidR="0084305C">
        <w:t xml:space="preserve">in which </w:t>
      </w:r>
      <w:r>
        <w:t xml:space="preserve">all customers currently pay for these costs.  The Department of Water Resources </w:t>
      </w:r>
      <w:r w:rsidR="00ED14F2">
        <w:t>B</w:t>
      </w:r>
      <w:r>
        <w:t xml:space="preserve">ond </w:t>
      </w:r>
      <w:r w:rsidR="00ED14F2">
        <w:t>C</w:t>
      </w:r>
      <w:r>
        <w:t xml:space="preserve">harge </w:t>
      </w:r>
      <w:r w:rsidR="00ED14F2">
        <w:t xml:space="preserve">expired </w:t>
      </w:r>
      <w:r w:rsidR="00AD533E">
        <w:t xml:space="preserve">on September 30, 2020 </w:t>
      </w:r>
      <w:r w:rsidR="00ED14F2">
        <w:t xml:space="preserve">and </w:t>
      </w:r>
      <w:r w:rsidR="00AD533E">
        <w:t>was replaced with the</w:t>
      </w:r>
      <w:r>
        <w:t xml:space="preserve"> Wild</w:t>
      </w:r>
      <w:r w:rsidR="00823BEA">
        <w:t>fire</w:t>
      </w:r>
      <w:r>
        <w:t xml:space="preserve"> Fund </w:t>
      </w:r>
      <w:r w:rsidR="00AD533E">
        <w:t>Non</w:t>
      </w:r>
      <w:r w:rsidR="00827602">
        <w:noBreakHyphen/>
      </w:r>
      <w:proofErr w:type="spellStart"/>
      <w:r w:rsidR="00AD533E">
        <w:t>Bypassable</w:t>
      </w:r>
      <w:proofErr w:type="spellEnd"/>
      <w:r w:rsidR="00AD533E">
        <w:t xml:space="preserve"> </w:t>
      </w:r>
      <w:r>
        <w:t>Charge.</w:t>
      </w:r>
      <w:r w:rsidR="00AD533E">
        <w:rPr>
          <w:rStyle w:val="FootnoteReference"/>
        </w:rPr>
        <w:footnoteReference w:id="340"/>
      </w:r>
      <w:r>
        <w:t xml:space="preserve">  Hence, successor tariff customers should continue to be assessed for this renamed charge.</w:t>
      </w:r>
    </w:p>
    <w:p w:rsidR="00490092" w:rsidP="005E7044" w:rsidRDefault="00F21DB9" w14:paraId="131B399C" w14:textId="684E0BF8">
      <w:pPr>
        <w:pStyle w:val="Standard"/>
      </w:pPr>
      <w:r>
        <w:t>Turning to the question of which non</w:t>
      </w:r>
      <w:r w:rsidR="00827602">
        <w:noBreakHyphen/>
      </w:r>
      <w:proofErr w:type="spellStart"/>
      <w:r>
        <w:t>bypassable</w:t>
      </w:r>
      <w:proofErr w:type="spellEnd"/>
      <w:r>
        <w:t xml:space="preserve"> charges successor tariff customers cannot bypass by applying bill credits from exported energy to their bills, </w:t>
      </w:r>
      <w:proofErr w:type="spellStart"/>
      <w:r>
        <w:t>CALSSA</w:t>
      </w:r>
      <w:proofErr w:type="spellEnd"/>
      <w:r>
        <w:t xml:space="preserve"> and SEIA/Vote Solar assert the list of non</w:t>
      </w:r>
      <w:r w:rsidR="00827602">
        <w:noBreakHyphen/>
      </w:r>
      <w:proofErr w:type="spellStart"/>
      <w:r>
        <w:t>bypassable</w:t>
      </w:r>
      <w:proofErr w:type="spellEnd"/>
      <w:r>
        <w:t xml:space="preserve"> charges should remain as in the current </w:t>
      </w:r>
      <w:r w:rsidR="00602BC5">
        <w:t>NEM 2.0</w:t>
      </w:r>
      <w:r w:rsidR="00135D55">
        <w:t xml:space="preserve"> </w:t>
      </w:r>
      <w:r>
        <w:t xml:space="preserve">tariff.  TURN, in addition to </w:t>
      </w:r>
      <w:proofErr w:type="spellStart"/>
      <w:r>
        <w:t>CalWEA</w:t>
      </w:r>
      <w:proofErr w:type="spellEnd"/>
      <w:r>
        <w:t xml:space="preserve">, CUE, </w:t>
      </w:r>
      <w:proofErr w:type="spellStart"/>
      <w:r>
        <w:t>IEPA</w:t>
      </w:r>
      <w:proofErr w:type="spellEnd"/>
      <w:r>
        <w:t xml:space="preserve">, NRDC, and </w:t>
      </w:r>
      <w:r w:rsidR="009355F1">
        <w:t>Cal Advoc</w:t>
      </w:r>
      <w:r>
        <w:t>ates recommend the list of non</w:t>
      </w:r>
      <w:r w:rsidR="00827602">
        <w:noBreakHyphen/>
      </w:r>
      <w:proofErr w:type="spellStart"/>
      <w:r>
        <w:t>bypassable</w:t>
      </w:r>
      <w:proofErr w:type="spellEnd"/>
      <w:r>
        <w:t xml:space="preserve"> charges that cannot be offset on bills should be expanded to also include the Wildfire Fund </w:t>
      </w:r>
      <w:r w:rsidR="00130485">
        <w:t>Non</w:t>
      </w:r>
      <w:r w:rsidR="00827602">
        <w:noBreakHyphen/>
      </w:r>
      <w:proofErr w:type="spellStart"/>
      <w:r w:rsidR="00130485">
        <w:t>Bypassable</w:t>
      </w:r>
      <w:proofErr w:type="spellEnd"/>
      <w:r w:rsidR="00130485">
        <w:t xml:space="preserve"> </w:t>
      </w:r>
      <w:r>
        <w:t>Charge, Reliability Services, New System Generation Costs, Investor</w:t>
      </w:r>
      <w:r w:rsidR="00827602">
        <w:noBreakHyphen/>
      </w:r>
      <w:r>
        <w:t xml:space="preserve">Owned Utility securitization costs relating to wildfires or other </w:t>
      </w:r>
      <w:proofErr w:type="spellStart"/>
      <w:r>
        <w:t>undercollections</w:t>
      </w:r>
      <w:proofErr w:type="spellEnd"/>
      <w:r>
        <w:t>, Energy Cost Recovery Account (for PG&amp;E customers) and PUC Reimbursement Surcharge.</w:t>
      </w:r>
      <w:r>
        <w:rPr>
          <w:rStyle w:val="FootnoteReference"/>
        </w:rPr>
        <w:footnoteReference w:id="341"/>
      </w:r>
    </w:p>
    <w:p w:rsidR="00490092" w:rsidP="005E7044" w:rsidRDefault="00F21DB9" w14:paraId="721B0942" w14:textId="59A77509">
      <w:pPr>
        <w:pStyle w:val="Standard"/>
      </w:pPr>
      <w:r>
        <w:lastRenderedPageBreak/>
        <w:t>TURN argues the Commission should expand the list of non</w:t>
      </w:r>
      <w:r w:rsidR="00827602">
        <w:noBreakHyphen/>
      </w:r>
      <w:proofErr w:type="spellStart"/>
      <w:r>
        <w:t>bypassable</w:t>
      </w:r>
      <w:proofErr w:type="spellEnd"/>
      <w:r>
        <w:t xml:space="preserve"> charges to include all current non</w:t>
      </w:r>
      <w:r w:rsidR="00827602">
        <w:noBreakHyphen/>
      </w:r>
      <w:proofErr w:type="spellStart"/>
      <w:r>
        <w:t>bypassable</w:t>
      </w:r>
      <w:proofErr w:type="spellEnd"/>
      <w:r>
        <w:t xml:space="preserve"> charges, as they have been deemed non</w:t>
      </w:r>
      <w:r w:rsidR="00827602">
        <w:noBreakHyphen/>
      </w:r>
      <w:proofErr w:type="spellStart"/>
      <w:r>
        <w:t>bypassable</w:t>
      </w:r>
      <w:proofErr w:type="spellEnd"/>
      <w:r>
        <w:t xml:space="preserve"> by statute and were not in existence at the time that </w:t>
      </w:r>
      <w:r w:rsidR="00602BC5">
        <w:t>NEM 2.0</w:t>
      </w:r>
      <w:r w:rsidR="00135D55">
        <w:t xml:space="preserve"> </w:t>
      </w:r>
      <w:r>
        <w:t>was adopted.</w:t>
      </w:r>
      <w:r>
        <w:rPr>
          <w:rStyle w:val="FootnoteReference"/>
        </w:rPr>
        <w:footnoteReference w:id="342"/>
      </w:r>
      <w:r w:rsidR="00C10796">
        <w:t xml:space="preserve">  Other than the statement that these are non</w:t>
      </w:r>
      <w:r w:rsidR="00827602">
        <w:noBreakHyphen/>
      </w:r>
      <w:proofErr w:type="spellStart"/>
      <w:r w:rsidR="00C10796">
        <w:t>bypassable</w:t>
      </w:r>
      <w:proofErr w:type="spellEnd"/>
      <w:r w:rsidR="00C10796">
        <w:t xml:space="preserve"> by statute, TURN offers no other justification for including the new charges.</w:t>
      </w:r>
      <w:r w:rsidR="007543A3">
        <w:t xml:space="preserve">  </w:t>
      </w:r>
      <w:r w:rsidR="00DB4129">
        <w:t>This decision maintains the four charges adopted in D.16</w:t>
      </w:r>
      <w:r w:rsidR="00827602">
        <w:noBreakHyphen/>
      </w:r>
      <w:r w:rsidR="00DB4129">
        <w:t>01</w:t>
      </w:r>
      <w:r w:rsidR="00827602">
        <w:noBreakHyphen/>
      </w:r>
      <w:r w:rsidR="00DB4129">
        <w:t xml:space="preserve">044, the public purpose program charge, nuclear decommissioning charge, competition transition charge, and the  Wildfire Fund </w:t>
      </w:r>
      <w:r w:rsidR="00130485">
        <w:t>Non</w:t>
      </w:r>
      <w:r w:rsidR="00827602">
        <w:noBreakHyphen/>
      </w:r>
      <w:proofErr w:type="spellStart"/>
      <w:r w:rsidR="00130485">
        <w:t>Bypassable</w:t>
      </w:r>
      <w:proofErr w:type="spellEnd"/>
      <w:r w:rsidR="00130485">
        <w:t xml:space="preserve"> </w:t>
      </w:r>
      <w:r w:rsidR="00DB4129">
        <w:t xml:space="preserve">Charge, </w:t>
      </w:r>
      <w:r w:rsidR="00A53835">
        <w:t>and affirms that, as was the case in D.16</w:t>
      </w:r>
      <w:r w:rsidR="00827602">
        <w:noBreakHyphen/>
      </w:r>
      <w:r w:rsidR="00A53835">
        <w:t>01</w:t>
      </w:r>
      <w:r w:rsidR="00827602">
        <w:noBreakHyphen/>
      </w:r>
      <w:r w:rsidR="00A53835">
        <w:t xml:space="preserve">044, these charges </w:t>
      </w:r>
      <w:r w:rsidR="00DB4129">
        <w:t>will continue to be non</w:t>
      </w:r>
      <w:r w:rsidR="00827602">
        <w:noBreakHyphen/>
      </w:r>
      <w:proofErr w:type="spellStart"/>
      <w:r w:rsidR="00DB4129">
        <w:t>bypassable</w:t>
      </w:r>
      <w:proofErr w:type="spellEnd"/>
      <w:r w:rsidR="00DB4129">
        <w:t xml:space="preserve"> for successor tariff customers, </w:t>
      </w:r>
      <w:r w:rsidRPr="00BD4AC8" w:rsidR="00DB4129">
        <w:rPr>
          <w:i/>
          <w:iCs/>
        </w:rPr>
        <w:t>i.e.</w:t>
      </w:r>
      <w:r w:rsidR="00DB4129">
        <w:t>, successor tariff customers cannot offset these four charges with bill credits from exported energy.</w:t>
      </w:r>
    </w:p>
    <w:p w:rsidR="00252DB7" w:rsidP="005E7044" w:rsidRDefault="00C93A8F" w14:paraId="76D0AF76" w14:textId="63E62A93">
      <w:pPr>
        <w:pStyle w:val="Heading3"/>
        <w:keepLines w:val="0"/>
      </w:pPr>
      <w:bookmarkStart w:name="_Toc118285084" w:id="173"/>
      <w:bookmarkStart w:name="_Toc121854411" w:id="174"/>
      <w:r>
        <w:t>Glide Path</w:t>
      </w:r>
      <w:bookmarkEnd w:id="173"/>
      <w:bookmarkEnd w:id="174"/>
    </w:p>
    <w:p w:rsidR="00533B2F" w:rsidP="005E7044" w:rsidRDefault="005A7990" w14:paraId="5E9954A2" w14:textId="4514F0F2">
      <w:pPr>
        <w:pStyle w:val="Standard"/>
      </w:pPr>
      <w:r>
        <w:t xml:space="preserve">The </w:t>
      </w:r>
      <w:r w:rsidR="00C93A8F">
        <w:t xml:space="preserve">White Paper </w:t>
      </w:r>
      <w:r w:rsidR="0075765B">
        <w:t xml:space="preserve">proposed </w:t>
      </w:r>
      <w:r w:rsidR="00C93A8F">
        <w:t>a Market Transition Credit</w:t>
      </w:r>
      <w:r w:rsidR="0030356A">
        <w:t xml:space="preserve"> to provide a glide path for the successor tariff, creating both a gradual </w:t>
      </w:r>
      <w:r w:rsidR="00B87E54">
        <w:t xml:space="preserve">retail </w:t>
      </w:r>
      <w:r w:rsidR="005D0999">
        <w:t xml:space="preserve">export </w:t>
      </w:r>
      <w:r w:rsidR="00116E9B">
        <w:t xml:space="preserve">compensation </w:t>
      </w:r>
      <w:r w:rsidR="0030356A">
        <w:t xml:space="preserve">rate reform and an external transitional support mechanism designed specifically to enable a reasonable payback period for customers investing in onsite renewable generation.  </w:t>
      </w:r>
      <w:r w:rsidR="00AD6AAA">
        <w:t>E</w:t>
      </w:r>
      <w:r w:rsidR="00397881">
        <w:t>xplain</w:t>
      </w:r>
      <w:r w:rsidR="00AD6AAA">
        <w:t xml:space="preserve">ing </w:t>
      </w:r>
      <w:r w:rsidR="00397881">
        <w:t xml:space="preserve">the credit would be </w:t>
      </w:r>
      <w:r w:rsidR="00AD6AAA">
        <w:t>flexible, the White Paper suggests the credit would also be sensitive to cost declines.</w:t>
      </w:r>
      <w:r w:rsidR="00AD6AAA">
        <w:rPr>
          <w:rStyle w:val="FootnoteReference"/>
        </w:rPr>
        <w:footnoteReference w:id="343"/>
      </w:r>
      <w:r w:rsidR="00397881">
        <w:t xml:space="preserve">  </w:t>
      </w:r>
      <w:r w:rsidR="00AD6AAA">
        <w:t>The White Paper proposes the credit would be fixed over a defined payback period for each net energy metering customer vintage and could be based on time, number of subscribed customers, or the volume of net energy metering generator adoption.</w:t>
      </w:r>
      <w:r w:rsidR="00AD6AAA">
        <w:rPr>
          <w:rStyle w:val="FootnoteReference"/>
        </w:rPr>
        <w:footnoteReference w:id="344"/>
      </w:r>
    </w:p>
    <w:p w:rsidR="00E35759" w:rsidP="005E7044" w:rsidRDefault="005D285A" w14:paraId="0C9BCE0A" w14:textId="61AA7864">
      <w:pPr>
        <w:pStyle w:val="Standard"/>
      </w:pPr>
      <w:r>
        <w:lastRenderedPageBreak/>
        <w:t xml:space="preserve">Only NRDC and TURN </w:t>
      </w:r>
      <w:r w:rsidR="00207B4B">
        <w:t>recommend</w:t>
      </w:r>
      <w:r>
        <w:t xml:space="preserve"> a Market Transition Credit as part of their </w:t>
      </w:r>
      <w:r w:rsidR="00207B4B">
        <w:t>tariff proposals.</w:t>
      </w:r>
      <w:r w:rsidR="00382DF8">
        <w:rPr>
          <w:rStyle w:val="FootnoteReference"/>
        </w:rPr>
        <w:footnoteReference w:id="345"/>
      </w:r>
      <w:r w:rsidR="00382DF8">
        <w:t xml:space="preserve">  </w:t>
      </w:r>
      <w:r w:rsidR="00243461">
        <w:t xml:space="preserve">TURN proposes </w:t>
      </w:r>
      <w:r w:rsidR="00033302">
        <w:t>structuring the credit as a one</w:t>
      </w:r>
      <w:r w:rsidR="00827602">
        <w:noBreakHyphen/>
      </w:r>
      <w:r w:rsidR="00033302">
        <w:t>time upfront rebate to reduce the costs of the new investment and eliminate the subsidy from retail rates.</w:t>
      </w:r>
      <w:r w:rsidR="00033302">
        <w:rPr>
          <w:rStyle w:val="FootnoteReference"/>
        </w:rPr>
        <w:footnoteReference w:id="346"/>
      </w:r>
      <w:r w:rsidR="00033302">
        <w:t xml:space="preserve">  TURN contends its proposal presents a transparent upfront subsidy that could be used to target adoptions and eliminate cost shifts.</w:t>
      </w:r>
      <w:r w:rsidR="00033302">
        <w:rPr>
          <w:rStyle w:val="FootnoteReference"/>
        </w:rPr>
        <w:footnoteReference w:id="347"/>
      </w:r>
      <w:r w:rsidR="00033302">
        <w:t xml:space="preserve">  TURN further proposes the Market Transit</w:t>
      </w:r>
      <w:r w:rsidR="00C963C8">
        <w:t>ion</w:t>
      </w:r>
      <w:r w:rsidR="00033302">
        <w:t xml:space="preserve"> Credit be administered by either the Commission or a third</w:t>
      </w:r>
      <w:r w:rsidR="00827602">
        <w:noBreakHyphen/>
      </w:r>
      <w:r w:rsidR="00033302">
        <w:t>party entity.</w:t>
      </w:r>
      <w:r w:rsidR="00E35759">
        <w:t xml:space="preserve">  </w:t>
      </w:r>
      <w:proofErr w:type="spellStart"/>
      <w:r w:rsidR="00E35759">
        <w:t>TURN’s</w:t>
      </w:r>
      <w:proofErr w:type="spellEnd"/>
      <w:r w:rsidR="00E35759">
        <w:t xml:space="preserve"> and NRDC’s proposal</w:t>
      </w:r>
      <w:r w:rsidR="00535D73">
        <w:t>s</w:t>
      </w:r>
      <w:r w:rsidR="00E35759">
        <w:t xml:space="preserve"> for the</w:t>
      </w:r>
      <w:r w:rsidR="00C963C8">
        <w:t xml:space="preserve"> credit </w:t>
      </w:r>
      <w:r w:rsidR="00E35759">
        <w:t xml:space="preserve">are identical except that in </w:t>
      </w:r>
      <w:proofErr w:type="spellStart"/>
      <w:r w:rsidR="00E35759">
        <w:t>TURN’s</w:t>
      </w:r>
      <w:proofErr w:type="spellEnd"/>
      <w:r w:rsidR="00E35759">
        <w:t xml:space="preserve"> proposal only low</w:t>
      </w:r>
      <w:r w:rsidR="00827602">
        <w:noBreakHyphen/>
      </w:r>
      <w:r w:rsidR="00E35759">
        <w:t>income customers would qualify for the credit, while NRDC recommends the credit be available to all customers to ensure the market continues to grow sustainably.</w:t>
      </w:r>
      <w:r w:rsidR="00E35759">
        <w:rPr>
          <w:rStyle w:val="FootnoteReference"/>
        </w:rPr>
        <w:footnoteReference w:id="348"/>
      </w:r>
    </w:p>
    <w:p w:rsidR="00A36BFB" w:rsidP="005E7044" w:rsidRDefault="00A36BFB" w14:paraId="620A1201" w14:textId="2B74CA7B">
      <w:pPr>
        <w:pStyle w:val="Standard"/>
      </w:pPr>
      <w:proofErr w:type="spellStart"/>
      <w:r>
        <w:t>CALSSA</w:t>
      </w:r>
      <w:proofErr w:type="spellEnd"/>
      <w:r>
        <w:t xml:space="preserve"> and SEIA/Vote Solar oppose the TURN and NRDC proposals for the Market Transition Credit.  Turning first to </w:t>
      </w:r>
      <w:r w:rsidR="00482A84">
        <w:t xml:space="preserve">NRDC’s proposal, both </w:t>
      </w:r>
      <w:proofErr w:type="spellStart"/>
      <w:r w:rsidR="00482A84">
        <w:t>CALSSA</w:t>
      </w:r>
      <w:proofErr w:type="spellEnd"/>
      <w:r w:rsidR="00482A84">
        <w:t xml:space="preserve"> and SEIA/Vote Solar consider NRDC’s proposal to be incomplete because NRDC does not provide the value of the credit but rather describ</w:t>
      </w:r>
      <w:r w:rsidR="00535D73">
        <w:t>es</w:t>
      </w:r>
      <w:r w:rsidR="00482A84">
        <w:t xml:space="preserve"> the credit as the amount necessary for a customer to achieve a 10</w:t>
      </w:r>
      <w:r w:rsidR="00827602">
        <w:noBreakHyphen/>
      </w:r>
      <w:r w:rsidR="00482A84">
        <w:t>year payback period.</w:t>
      </w:r>
      <w:r w:rsidR="00482A84">
        <w:rPr>
          <w:rStyle w:val="FootnoteReference"/>
        </w:rPr>
        <w:footnoteReference w:id="349"/>
      </w:r>
      <w:r w:rsidR="00482A84">
        <w:t xml:space="preserve">  With respect to </w:t>
      </w:r>
      <w:proofErr w:type="spellStart"/>
      <w:r>
        <w:t>TURN’s</w:t>
      </w:r>
      <w:proofErr w:type="spellEnd"/>
      <w:r>
        <w:t xml:space="preserve"> proposal, </w:t>
      </w:r>
      <w:proofErr w:type="spellStart"/>
      <w:r>
        <w:t>CALSSA</w:t>
      </w:r>
      <w:proofErr w:type="spellEnd"/>
      <w:r>
        <w:t xml:space="preserve"> contends the TURN proposal for the credit would result in a substantial credit for customers, up to $2,331 per kilowatt in SDG&amp;E’s territory.</w:t>
      </w:r>
      <w:r>
        <w:rPr>
          <w:rStyle w:val="FootnoteReference"/>
        </w:rPr>
        <w:footnoteReference w:id="350"/>
      </w:r>
      <w:r>
        <w:t xml:space="preserve">  </w:t>
      </w:r>
      <w:proofErr w:type="spellStart"/>
      <w:r>
        <w:t>CALSSA</w:t>
      </w:r>
      <w:proofErr w:type="spellEnd"/>
      <w:r>
        <w:t xml:space="preserve"> blames the high incentive on the high solar fee </w:t>
      </w:r>
      <w:r>
        <w:lastRenderedPageBreak/>
        <w:t xml:space="preserve">and low </w:t>
      </w:r>
      <w:r w:rsidR="00B87E54">
        <w:t xml:space="preserve">retail </w:t>
      </w:r>
      <w:r>
        <w:t xml:space="preserve">export compensation rate contained in </w:t>
      </w:r>
      <w:proofErr w:type="spellStart"/>
      <w:r>
        <w:t>TURN’s</w:t>
      </w:r>
      <w:proofErr w:type="spellEnd"/>
      <w:r>
        <w:t xml:space="preserve"> proposal.</w:t>
      </w:r>
      <w:r>
        <w:rPr>
          <w:rStyle w:val="FootnoteReference"/>
        </w:rPr>
        <w:footnoteReference w:id="351"/>
      </w:r>
      <w:r w:rsidR="00CA7D5B">
        <w:t xml:space="preserve">  </w:t>
      </w:r>
      <w:proofErr w:type="spellStart"/>
      <w:r w:rsidR="00CA7D5B">
        <w:t>CALSSA</w:t>
      </w:r>
      <w:proofErr w:type="spellEnd"/>
      <w:r w:rsidR="00CA7D5B">
        <w:t xml:space="preserve"> also contends that the modeling TURN provided to calculate the credit is a black box.  While the Commission has not adopted the TURN model, </w:t>
      </w:r>
      <w:r w:rsidR="007B46C3">
        <w:t xml:space="preserve">this decision </w:t>
      </w:r>
      <w:r w:rsidR="006A59DF">
        <w:t>do</w:t>
      </w:r>
      <w:r w:rsidR="007B46C3">
        <w:t>es</w:t>
      </w:r>
      <w:r w:rsidR="006A59DF">
        <w:t xml:space="preserve"> not consider it a black box, as TURN provided it to all parties and, as they stated, the model is fully transparent, runs on Microsoft Excel</w:t>
      </w:r>
      <w:r w:rsidR="00630AD1">
        <w:t>,</w:t>
      </w:r>
      <w:r w:rsidR="006A59DF">
        <w:t xml:space="preserve"> and has no confidential material.</w:t>
      </w:r>
      <w:r w:rsidR="00482A84">
        <w:rPr>
          <w:rStyle w:val="FootnoteReference"/>
        </w:rPr>
        <w:footnoteReference w:id="352"/>
      </w:r>
      <w:r w:rsidR="006A59DF">
        <w:t xml:space="preserve">  </w:t>
      </w:r>
      <w:r w:rsidR="00482A84">
        <w:t xml:space="preserve">SEIA/Vote Solar assert the TURN proposal is unclear on what </w:t>
      </w:r>
      <w:r w:rsidR="00D15967">
        <w:t xml:space="preserve">is being </w:t>
      </w:r>
      <w:r w:rsidR="00482A84">
        <w:t>offer</w:t>
      </w:r>
      <w:r w:rsidR="00D15967">
        <w:t xml:space="preserve">ed </w:t>
      </w:r>
      <w:r w:rsidR="00482A84">
        <w:t>and that several key elements</w:t>
      </w:r>
      <w:r w:rsidR="00D15967">
        <w:t xml:space="preserve"> </w:t>
      </w:r>
      <w:r w:rsidR="00482A84">
        <w:t xml:space="preserve">are </w:t>
      </w:r>
      <w:r w:rsidR="00BA1EAE">
        <w:t>“</w:t>
      </w:r>
      <w:r w:rsidR="00482A84">
        <w:t>left up for grabs in the implementation phase.</w:t>
      </w:r>
      <w:r w:rsidR="00BA1EAE">
        <w:t>”</w:t>
      </w:r>
      <w:r w:rsidR="00F0418E">
        <w:rPr>
          <w:rStyle w:val="FootnoteReference"/>
        </w:rPr>
        <w:footnoteReference w:id="353"/>
      </w:r>
    </w:p>
    <w:p w:rsidR="00B62123" w:rsidP="005E7044" w:rsidRDefault="00F0418E" w14:paraId="4519B9B7" w14:textId="46758662">
      <w:pPr>
        <w:pStyle w:val="Standard"/>
      </w:pPr>
      <w:r>
        <w:t xml:space="preserve">Ultimately, </w:t>
      </w:r>
      <w:proofErr w:type="spellStart"/>
      <w:r w:rsidR="00C963C8">
        <w:t>CALSSA</w:t>
      </w:r>
      <w:proofErr w:type="spellEnd"/>
      <w:r w:rsidR="00C963C8">
        <w:t xml:space="preserve"> opposes </w:t>
      </w:r>
      <w:r w:rsidR="00A36BFB">
        <w:t>any</w:t>
      </w:r>
      <w:r w:rsidR="00C963C8">
        <w:t xml:space="preserve"> use of a Market Transition Credit, contending </w:t>
      </w:r>
      <w:r w:rsidR="003E385E">
        <w:t xml:space="preserve">such credits </w:t>
      </w:r>
      <w:r w:rsidR="00C963C8">
        <w:t>are difficult to administer</w:t>
      </w:r>
      <w:r w:rsidR="00E41082">
        <w:t xml:space="preserve"> and </w:t>
      </w:r>
      <w:r w:rsidR="00CA7D5B">
        <w:t>providing</w:t>
      </w:r>
      <w:r w:rsidR="00E41082">
        <w:t xml:space="preserve"> the examples of </w:t>
      </w:r>
      <w:r w:rsidR="00535D73">
        <w:t xml:space="preserve">the </w:t>
      </w:r>
      <w:r w:rsidR="0057038C">
        <w:t xml:space="preserve">Solar on Multifamily Affordable Housing (SOMAH) </w:t>
      </w:r>
      <w:r w:rsidR="00535D73">
        <w:t>program</w:t>
      </w:r>
      <w:r w:rsidR="00E41082">
        <w:t xml:space="preserve"> and </w:t>
      </w:r>
      <w:proofErr w:type="spellStart"/>
      <w:r w:rsidR="00E41082">
        <w:t>SGIP</w:t>
      </w:r>
      <w:proofErr w:type="spellEnd"/>
      <w:r w:rsidR="00C963C8">
        <w:t>.</w:t>
      </w:r>
      <w:r w:rsidR="00C963C8">
        <w:rPr>
          <w:rStyle w:val="FootnoteReference"/>
        </w:rPr>
        <w:footnoteReference w:id="354"/>
      </w:r>
      <w:r w:rsidR="009C6D30">
        <w:t xml:space="preserve">  With respect to administration of the SOMAH program, </w:t>
      </w:r>
      <w:proofErr w:type="spellStart"/>
      <w:r w:rsidR="009C6D30">
        <w:t>CALSSA</w:t>
      </w:r>
      <w:proofErr w:type="spellEnd"/>
      <w:r w:rsidR="009C6D30">
        <w:t xml:space="preserve"> bases its opposition on </w:t>
      </w:r>
      <w:r w:rsidR="001E3D38">
        <w:t>a delay (</w:t>
      </w:r>
      <w:r w:rsidR="009C6D30">
        <w:t>15</w:t>
      </w:r>
      <w:r w:rsidR="00DA707C">
        <w:t> </w:t>
      </w:r>
      <w:r w:rsidR="009C6D30">
        <w:t>months</w:t>
      </w:r>
      <w:r w:rsidR="001E3D38">
        <w:t>)</w:t>
      </w:r>
      <w:r w:rsidR="009C6D30">
        <w:t xml:space="preserve"> for the Commission to issue a decision on the SOMAH incentive levels.  The lengthy amount of time to determine incentives does not justify </w:t>
      </w:r>
      <w:proofErr w:type="spellStart"/>
      <w:r w:rsidR="009C6D30">
        <w:t>CALSSA’s</w:t>
      </w:r>
      <w:proofErr w:type="spellEnd"/>
      <w:r w:rsidR="009C6D30">
        <w:t xml:space="preserve"> claim of administrative difficulties.  </w:t>
      </w:r>
      <w:proofErr w:type="spellStart"/>
      <w:r w:rsidR="009C6D30">
        <w:t>CALSSA</w:t>
      </w:r>
      <w:proofErr w:type="spellEnd"/>
      <w:r w:rsidR="009C6D30">
        <w:t xml:space="preserve"> also contends program performance has been disappointing due to incentive levels being misaligned with program economics</w:t>
      </w:r>
      <w:r w:rsidR="001E3D38">
        <w:t xml:space="preserve"> but provides no evidence that this is due to administrative difficulty</w:t>
      </w:r>
      <w:r w:rsidR="009C6D30">
        <w:t xml:space="preserve">.  </w:t>
      </w:r>
      <w:proofErr w:type="spellStart"/>
      <w:r w:rsidR="001E3D38">
        <w:t>CALSSA</w:t>
      </w:r>
      <w:proofErr w:type="spellEnd"/>
      <w:r w:rsidR="001E3D38">
        <w:t xml:space="preserve"> contends the commercial storage budget in </w:t>
      </w:r>
      <w:proofErr w:type="spellStart"/>
      <w:r w:rsidR="001E3D38">
        <w:t>SGIP</w:t>
      </w:r>
      <w:proofErr w:type="spellEnd"/>
      <w:r w:rsidR="001E3D38">
        <w:t xml:space="preserve"> lingered for years with minimal activity before finally gaining momentum</w:t>
      </w:r>
      <w:r w:rsidR="00E41082">
        <w:t xml:space="preserve"> but again provides no evidence this is due to administrative difficulty</w:t>
      </w:r>
      <w:r w:rsidR="001E3D38">
        <w:t xml:space="preserve">.  </w:t>
      </w:r>
      <w:r w:rsidR="00E41082">
        <w:t xml:space="preserve">Finally, </w:t>
      </w:r>
      <w:proofErr w:type="spellStart"/>
      <w:r w:rsidR="00E41082">
        <w:t>CALSSA</w:t>
      </w:r>
      <w:proofErr w:type="spellEnd"/>
      <w:r w:rsidR="00E41082">
        <w:t xml:space="preserve"> concludes that the Commission is not positioned to </w:t>
      </w:r>
      <w:r w:rsidR="00E41082">
        <w:lastRenderedPageBreak/>
        <w:t xml:space="preserve">understand market pricing or the level of granularity necessary to create and accurate, </w:t>
      </w:r>
      <w:r w:rsidR="00D374EE">
        <w:t>current,</w:t>
      </w:r>
      <w:r w:rsidR="00E41082">
        <w:t xml:space="preserve"> and evolving credit amount on day one</w:t>
      </w:r>
      <w:r>
        <w:t>.</w:t>
      </w:r>
    </w:p>
    <w:p w:rsidR="00732A88" w:rsidP="005E7044" w:rsidRDefault="00732A88" w14:paraId="0507B0C2" w14:textId="276322F2">
      <w:pPr>
        <w:pStyle w:val="Standard"/>
      </w:pPr>
      <w:r>
        <w:t xml:space="preserve">As previously discussed, the Commission set aside submission of the record to seek further comment on </w:t>
      </w:r>
      <w:r w:rsidR="00C652A4">
        <w:t xml:space="preserve">the </w:t>
      </w:r>
      <w:r w:rsidR="00564D94">
        <w:t xml:space="preserve">approaches to </w:t>
      </w:r>
      <w:r>
        <w:t xml:space="preserve">the glide path.  The </w:t>
      </w:r>
      <w:r w:rsidR="00693EB0">
        <w:t>May 9, 2022</w:t>
      </w:r>
      <w:r w:rsidR="007D00C9">
        <w:t xml:space="preserve"> R</w:t>
      </w:r>
      <w:r>
        <w:t xml:space="preserve">uling proposed </w:t>
      </w:r>
      <w:r w:rsidR="00564D94">
        <w:t>a different</w:t>
      </w:r>
      <w:r>
        <w:t xml:space="preserve"> </w:t>
      </w:r>
      <w:r w:rsidR="00644E27">
        <w:t>approach</w:t>
      </w:r>
      <w:r>
        <w:t xml:space="preserve"> </w:t>
      </w:r>
      <w:r w:rsidR="00644E27">
        <w:t xml:space="preserve">to </w:t>
      </w:r>
      <w:r>
        <w:t>the glide path</w:t>
      </w:r>
      <w:r w:rsidR="00644E27">
        <w:t>, referred to as the ACC Plus</w:t>
      </w:r>
      <w:r>
        <w:t>.</w:t>
      </w:r>
      <w:r w:rsidR="00644E27">
        <w:t xml:space="preserve">  The ACC Plus would provide</w:t>
      </w:r>
      <w:r w:rsidR="00630AD1">
        <w:t xml:space="preserve"> either a multiplier or </w:t>
      </w:r>
      <w:r w:rsidR="00644E27">
        <w:t>a fixed cents per kilowatt</w:t>
      </w:r>
      <w:r w:rsidR="00827602">
        <w:noBreakHyphen/>
      </w:r>
      <w:r w:rsidR="00644E27">
        <w:t>hour (c/kWh) export adder on top of the Avoided Cost Calculator</w:t>
      </w:r>
      <w:r w:rsidR="00827602">
        <w:noBreakHyphen/>
      </w:r>
      <w:r w:rsidR="00644E27">
        <w:t>based hourly export credits.  As th</w:t>
      </w:r>
      <w:r w:rsidR="007D00C9">
        <w:t xml:space="preserve">at </w:t>
      </w:r>
      <w:r w:rsidR="00644E27">
        <w:t xml:space="preserve">ruling explained, a customer enrolled in the successor tariff in </w:t>
      </w:r>
      <w:r w:rsidR="00761693">
        <w:t>Year 1</w:t>
      </w:r>
      <w:r w:rsidR="00644E27">
        <w:t xml:space="preserve"> of the glide path would be compensated for any energy exported to the grid</w:t>
      </w:r>
      <w:r w:rsidR="00C707A2">
        <w:t xml:space="preserve"> </w:t>
      </w:r>
      <w:r w:rsidR="00644E27">
        <w:t>based on the corresponding hourly Avoided Cost Calculator value plus the adder.</w:t>
      </w:r>
      <w:r w:rsidR="00E27975">
        <w:t xml:space="preserve">  The </w:t>
      </w:r>
      <w:r w:rsidR="00693EB0">
        <w:t>May 9, 2022</w:t>
      </w:r>
      <w:r w:rsidR="007D00C9">
        <w:t xml:space="preserve"> R</w:t>
      </w:r>
      <w:r w:rsidR="00E27975">
        <w:t>uling explain</w:t>
      </w:r>
      <w:r w:rsidR="00630AD1">
        <w:t>s</w:t>
      </w:r>
      <w:r w:rsidR="00E27975">
        <w:t xml:space="preserve"> that the ACC Plus would decrease over time for prospective customers, resulting in a glide path that ends at the Avoided Cost Calculator values.</w:t>
      </w:r>
    </w:p>
    <w:p w:rsidR="0057411A" w:rsidP="005E7044" w:rsidRDefault="00E27975" w14:paraId="7AEDDF96" w14:textId="028F5E3A">
      <w:pPr>
        <w:pStyle w:val="Standard"/>
      </w:pPr>
      <w:r>
        <w:t>P</w:t>
      </w:r>
      <w:r w:rsidR="007D00C9">
        <w:t>arties were asked to comment on this alternative approach to the glide path</w:t>
      </w:r>
      <w:r w:rsidR="00C707A2">
        <w:t xml:space="preserve"> and compare it to the proposed Market Transition Credit</w:t>
      </w:r>
      <w:r w:rsidR="00471F92">
        <w:t xml:space="preserve"> and the retail rate step</w:t>
      </w:r>
      <w:r w:rsidR="00827602">
        <w:noBreakHyphen/>
      </w:r>
      <w:r w:rsidR="00471F92">
        <w:t xml:space="preserve">down approach proposed by </w:t>
      </w:r>
      <w:proofErr w:type="spellStart"/>
      <w:r w:rsidR="00471F92">
        <w:t>CALSSA</w:t>
      </w:r>
      <w:proofErr w:type="spellEnd"/>
      <w:r w:rsidR="00471F92">
        <w:t xml:space="preserve"> and SEIA/Vote Solar</w:t>
      </w:r>
      <w:r w:rsidR="007D00C9">
        <w:t xml:space="preserve">.  </w:t>
      </w:r>
      <w:r w:rsidR="009B2262">
        <w:t xml:space="preserve">Generally, parties were divided on which glide path approach the Commission should adopt.  </w:t>
      </w:r>
      <w:r w:rsidR="007F1822">
        <w:t>350 Bay Area</w:t>
      </w:r>
      <w:r w:rsidR="00EF6E9E">
        <w:t xml:space="preserve">, Albion, </w:t>
      </w:r>
      <w:r w:rsidR="009B2262">
        <w:t xml:space="preserve">Aurora, </w:t>
      </w:r>
      <w:proofErr w:type="spellStart"/>
      <w:r w:rsidR="009B2262">
        <w:t>CALSSA</w:t>
      </w:r>
      <w:proofErr w:type="spellEnd"/>
      <w:r w:rsidR="009B2262">
        <w:t xml:space="preserve">, the County of </w:t>
      </w:r>
      <w:r w:rsidR="007061A7">
        <w:t>Los </w:t>
      </w:r>
      <w:r w:rsidR="009B2262">
        <w:t>Angeles, G</w:t>
      </w:r>
      <w:r w:rsidR="00B53899">
        <w:t xml:space="preserve">RID </w:t>
      </w:r>
      <w:r w:rsidR="0079730B">
        <w:t>with Sierra Club</w:t>
      </w:r>
      <w:r w:rsidR="00C707A2">
        <w:rPr>
          <w:rStyle w:val="FootnoteReference"/>
        </w:rPr>
        <w:footnoteReference w:id="355"/>
      </w:r>
      <w:r w:rsidR="00C707A2">
        <w:t xml:space="preserve"> </w:t>
      </w:r>
      <w:r w:rsidR="0079730B">
        <w:t>and Vote Solar</w:t>
      </w:r>
      <w:r w:rsidR="009B2262">
        <w:t xml:space="preserve">, Joint </w:t>
      </w:r>
      <w:proofErr w:type="spellStart"/>
      <w:r w:rsidR="009B2262">
        <w:t>CCAs</w:t>
      </w:r>
      <w:proofErr w:type="spellEnd"/>
      <w:r w:rsidR="009B2262">
        <w:t xml:space="preserve">, PosiGen, </w:t>
      </w:r>
      <w:proofErr w:type="spellStart"/>
      <w:r w:rsidR="009B2262">
        <w:t>SBUA</w:t>
      </w:r>
      <w:proofErr w:type="spellEnd"/>
      <w:r w:rsidR="009B2262">
        <w:t xml:space="preserve">, </w:t>
      </w:r>
      <w:r w:rsidR="00C707A2">
        <w:t xml:space="preserve">Sierra Club (individually), and </w:t>
      </w:r>
      <w:r w:rsidR="009B2262">
        <w:t>SEIA</w:t>
      </w:r>
      <w:r w:rsidR="0079730B">
        <w:t xml:space="preserve"> </w:t>
      </w:r>
      <w:r w:rsidR="009B2262">
        <w:t>support the ACC Plus approach as preferable to the Market Transition Credit, stating it would be best for supporting solar</w:t>
      </w:r>
      <w:r w:rsidR="00827602">
        <w:noBreakHyphen/>
      </w:r>
      <w:r w:rsidR="009B2262">
        <w:t xml:space="preserve">only installations during the transition to solar </w:t>
      </w:r>
      <w:r w:rsidR="00626763">
        <w:t xml:space="preserve">paired with </w:t>
      </w:r>
      <w:r w:rsidR="009B2262">
        <w:t xml:space="preserve">storage </w:t>
      </w:r>
      <w:r w:rsidR="003525DA">
        <w:t xml:space="preserve">as the preferred system.  </w:t>
      </w:r>
      <w:r w:rsidR="00C652A4">
        <w:t>However,</w:t>
      </w:r>
      <w:r w:rsidR="00F51CC0">
        <w:t xml:space="preserve"> </w:t>
      </w:r>
      <w:r w:rsidR="003525DA">
        <w:t xml:space="preserve">Aurora, </w:t>
      </w:r>
      <w:proofErr w:type="spellStart"/>
      <w:r w:rsidR="003525DA">
        <w:t>CALSSA</w:t>
      </w:r>
      <w:proofErr w:type="spellEnd"/>
      <w:r w:rsidR="003525DA">
        <w:t xml:space="preserve">, </w:t>
      </w:r>
      <w:r w:rsidR="0079730B">
        <w:t xml:space="preserve">Enphase, </w:t>
      </w:r>
      <w:r w:rsidR="003525DA">
        <w:t xml:space="preserve">and </w:t>
      </w:r>
      <w:r w:rsidR="00F51CC0">
        <w:t>G</w:t>
      </w:r>
      <w:r w:rsidR="00B53899">
        <w:t xml:space="preserve">RID </w:t>
      </w:r>
      <w:r w:rsidR="00F51CC0">
        <w:t xml:space="preserve">with </w:t>
      </w:r>
      <w:r w:rsidR="00C707A2">
        <w:t xml:space="preserve">Sierra Club and </w:t>
      </w:r>
      <w:r w:rsidR="00F51CC0">
        <w:lastRenderedPageBreak/>
        <w:t>Vote Solar,</w:t>
      </w:r>
      <w:r w:rsidR="00C707A2">
        <w:t xml:space="preserve"> </w:t>
      </w:r>
      <w:r w:rsidR="00F51CC0">
        <w:t xml:space="preserve">Joint </w:t>
      </w:r>
      <w:proofErr w:type="spellStart"/>
      <w:r w:rsidR="00F51CC0">
        <w:t>CCAs</w:t>
      </w:r>
      <w:proofErr w:type="spellEnd"/>
      <w:r w:rsidR="00F51CC0">
        <w:t xml:space="preserve">, </w:t>
      </w:r>
      <w:r w:rsidR="000005EE">
        <w:t>and</w:t>
      </w:r>
      <w:r w:rsidR="00F51CC0">
        <w:t xml:space="preserve"> </w:t>
      </w:r>
      <w:r w:rsidR="003525DA">
        <w:t>SEIA continue to advocate for the retail rate step</w:t>
      </w:r>
      <w:r w:rsidR="00827602">
        <w:noBreakHyphen/>
      </w:r>
      <w:r w:rsidR="003525DA">
        <w:t>down approach.</w:t>
      </w:r>
      <w:r w:rsidR="00C93D4D">
        <w:t xml:space="preserve"> </w:t>
      </w:r>
      <w:r w:rsidR="003525DA">
        <w:t xml:space="preserve">CESA, CUE, </w:t>
      </w:r>
      <w:proofErr w:type="spellStart"/>
      <w:r w:rsidR="003525DA">
        <w:t>IEPA</w:t>
      </w:r>
      <w:proofErr w:type="spellEnd"/>
      <w:r w:rsidR="003525DA">
        <w:t xml:space="preserve">, Joint Utilities, NRDC, </w:t>
      </w:r>
      <w:r w:rsidR="009355F1">
        <w:t>Cal Advoc</w:t>
      </w:r>
      <w:r w:rsidR="003525DA">
        <w:t xml:space="preserve">ates, and TURN contend the Market Transition Credit is simpler and less volatile than the ACC Plus and immediately encourages the adoption of solar </w:t>
      </w:r>
      <w:r w:rsidR="00626763">
        <w:t xml:space="preserve">paired with </w:t>
      </w:r>
      <w:r w:rsidR="003525DA">
        <w:t>storage systems</w:t>
      </w:r>
      <w:r w:rsidR="00166FA0">
        <w:t xml:space="preserve">.  </w:t>
      </w:r>
      <w:r w:rsidR="00C652A4">
        <w:t>A</w:t>
      </w:r>
      <w:r w:rsidR="0079730B">
        <w:t xml:space="preserve"> majority of </w:t>
      </w:r>
      <w:r w:rsidR="003525DA">
        <w:t xml:space="preserve">this group </w:t>
      </w:r>
      <w:r w:rsidR="0079730B">
        <w:t xml:space="preserve">expresses </w:t>
      </w:r>
      <w:r w:rsidR="003525DA">
        <w:t xml:space="preserve">support </w:t>
      </w:r>
      <w:r w:rsidR="0079730B">
        <w:t xml:space="preserve">for </w:t>
      </w:r>
      <w:r w:rsidR="003525DA">
        <w:t>the use of the ACC Plus over the retail rate step</w:t>
      </w:r>
      <w:r w:rsidR="00827602">
        <w:noBreakHyphen/>
      </w:r>
      <w:r w:rsidR="003525DA">
        <w:t>down approach.</w:t>
      </w:r>
      <w:r w:rsidR="00EF6E9E">
        <w:t xml:space="preserve">  </w:t>
      </w:r>
      <w:r w:rsidR="0057411A">
        <w:t>Representing</w:t>
      </w:r>
      <w:r w:rsidR="00F97CA6">
        <w:t xml:space="preserve"> the extreme opposite</w:t>
      </w:r>
      <w:r w:rsidR="00B53899">
        <w:t xml:space="preserve"> position</w:t>
      </w:r>
      <w:r w:rsidR="00A53835">
        <w:t>s</w:t>
      </w:r>
      <w:r w:rsidR="00B53899">
        <w:t xml:space="preserve"> on</w:t>
      </w:r>
      <w:r w:rsidR="00F97CA6">
        <w:t xml:space="preserve"> this issue</w:t>
      </w:r>
      <w:r w:rsidR="00EF6E9E">
        <w:t xml:space="preserve">, Joint Utilities continue to </w:t>
      </w:r>
      <w:r w:rsidR="00484E11">
        <w:t xml:space="preserve">contend that a </w:t>
      </w:r>
      <w:r w:rsidR="00EF6E9E">
        <w:t>glide path</w:t>
      </w:r>
      <w:r w:rsidR="00484E11">
        <w:t xml:space="preserve"> or transition credit is unnecessary for successor tariff customers</w:t>
      </w:r>
      <w:r w:rsidR="00F97CA6">
        <w:t xml:space="preserve"> and PCF continues to oppose any approach except for that based on </w:t>
      </w:r>
      <w:r w:rsidR="0057411A">
        <w:t xml:space="preserve">retail rate </w:t>
      </w:r>
      <w:r w:rsidR="00F97CA6">
        <w:t>decreases</w:t>
      </w:r>
      <w:r w:rsidR="00533B2F">
        <w:t>.</w:t>
      </w:r>
    </w:p>
    <w:p w:rsidR="00946003" w:rsidP="005E7044" w:rsidRDefault="007B46C3" w14:paraId="65C79690" w14:textId="2ED81CD0">
      <w:pPr>
        <w:pStyle w:val="Standard"/>
      </w:pPr>
      <w:r>
        <w:t xml:space="preserve">This decision </w:t>
      </w:r>
      <w:r w:rsidR="000005EE">
        <w:t>previously</w:t>
      </w:r>
      <w:r w:rsidR="00F924CF">
        <w:t xml:space="preserve"> determined </w:t>
      </w:r>
      <w:r w:rsidR="00D15967">
        <w:t xml:space="preserve">that </w:t>
      </w:r>
      <w:r w:rsidR="00F924CF">
        <w:t xml:space="preserve">the inclusion of a glide path is essential to balance the multiple </w:t>
      </w:r>
      <w:r w:rsidR="00A5242D">
        <w:t xml:space="preserve">tariff </w:t>
      </w:r>
      <w:r w:rsidR="00F924CF">
        <w:t xml:space="preserve">requirements </w:t>
      </w:r>
      <w:r w:rsidR="00372A86">
        <w:t>but</w:t>
      </w:r>
      <w:r w:rsidR="00D15967">
        <w:t xml:space="preserve"> </w:t>
      </w:r>
      <w:r w:rsidR="00476D99">
        <w:t xml:space="preserve">that </w:t>
      </w:r>
      <w:r w:rsidR="009F30E0">
        <w:t xml:space="preserve">a </w:t>
      </w:r>
      <w:r w:rsidR="00F924CF">
        <w:t>lengthy glide path</w:t>
      </w:r>
      <w:r w:rsidR="009F30E0">
        <w:t xml:space="preserve"> is </w:t>
      </w:r>
      <w:r w:rsidR="00F924CF">
        <w:t>inadequate</w:t>
      </w:r>
      <w:r w:rsidR="00A5242D">
        <w:t xml:space="preserve">.  </w:t>
      </w:r>
      <w:r w:rsidR="00740504">
        <w:t>T</w:t>
      </w:r>
      <w:r w:rsidR="008B3AB6">
        <w:t>he adopted glide path should</w:t>
      </w:r>
      <w:r w:rsidR="00822B05">
        <w:t>:  (1)</w:t>
      </w:r>
      <w:r w:rsidR="00807722">
        <w:t> </w:t>
      </w:r>
      <w:r w:rsidR="008B3AB6">
        <w:t xml:space="preserve">encourage sustainable market growth </w:t>
      </w:r>
      <w:r w:rsidR="00E719E4">
        <w:t>during the transition from a predominantly stand</w:t>
      </w:r>
      <w:r w:rsidR="00827602">
        <w:noBreakHyphen/>
      </w:r>
      <w:r w:rsidR="00E719E4">
        <w:t xml:space="preserve">alone solar system program to one that encourages </w:t>
      </w:r>
      <w:r w:rsidR="00B53899">
        <w:t xml:space="preserve">the </w:t>
      </w:r>
      <w:r w:rsidR="00E719E4">
        <w:t xml:space="preserve">adoption of solar </w:t>
      </w:r>
      <w:r w:rsidR="00626763">
        <w:t xml:space="preserve">paired with </w:t>
      </w:r>
      <w:r w:rsidR="00E719E4">
        <w:t>storage systems</w:t>
      </w:r>
      <w:r w:rsidR="00E84B70">
        <w:t>;</w:t>
      </w:r>
      <w:r w:rsidR="00822B05">
        <w:t xml:space="preserve"> (2)</w:t>
      </w:r>
      <w:r w:rsidR="00807722">
        <w:t> </w:t>
      </w:r>
      <w:r w:rsidR="00D265BF">
        <w:t>minimize cost shifts</w:t>
      </w:r>
      <w:r w:rsidR="00E719E4">
        <w:t xml:space="preserve"> to ensure </w:t>
      </w:r>
      <w:r w:rsidR="00476D99">
        <w:t xml:space="preserve">growth is sustainable </w:t>
      </w:r>
      <w:r w:rsidR="00E84B70">
        <w:t xml:space="preserve">and, </w:t>
      </w:r>
      <w:r w:rsidR="00476D99">
        <w:t>therefore,</w:t>
      </w:r>
      <w:r w:rsidR="00B53899">
        <w:t xml:space="preserve"> </w:t>
      </w:r>
      <w:r w:rsidR="00476D99">
        <w:t>not occur at the undue and burdensome financial expense of nonparticipant ratepayers</w:t>
      </w:r>
      <w:r w:rsidR="00E84B70">
        <w:t>;</w:t>
      </w:r>
      <w:r w:rsidR="00D265BF">
        <w:t xml:space="preserve"> </w:t>
      </w:r>
      <w:r w:rsidR="00476D99">
        <w:t xml:space="preserve">and </w:t>
      </w:r>
      <w:r w:rsidR="00822B05">
        <w:t>(3)</w:t>
      </w:r>
      <w:r w:rsidR="00807722">
        <w:t> </w:t>
      </w:r>
      <w:r w:rsidR="00476D99">
        <w:t>provide</w:t>
      </w:r>
      <w:r w:rsidR="00946003">
        <w:t xml:space="preserve"> transparen</w:t>
      </w:r>
      <w:r w:rsidR="00476D99">
        <w:t>cy to successor tariff customers</w:t>
      </w:r>
      <w:r w:rsidR="00D935BF">
        <w:t>.</w:t>
      </w:r>
    </w:p>
    <w:p w:rsidR="006776DB" w:rsidP="005E7044" w:rsidRDefault="00A0746F" w14:paraId="4C838FB6" w14:textId="1771CD1C">
      <w:pPr>
        <w:pStyle w:val="Standard"/>
      </w:pPr>
      <w:r>
        <w:t>Parties i</w:t>
      </w:r>
      <w:r w:rsidR="00617788">
        <w:t>n</w:t>
      </w:r>
      <w:r>
        <w:t xml:space="preserve"> support of the proposed Market Transition Credit maintain it is easier to understand than the ACC Plus approach</w:t>
      </w:r>
      <w:r w:rsidR="00310B8D">
        <w:t xml:space="preserve">, </w:t>
      </w:r>
      <w:r w:rsidR="00B53899">
        <w:t xml:space="preserve">is </w:t>
      </w:r>
      <w:r w:rsidR="00310B8D">
        <w:t>more transparent and predictable,</w:t>
      </w:r>
      <w:r w:rsidR="00223AF5">
        <w:t xml:space="preserve"> and encourages the adoption of solar systems paired with storage.</w:t>
      </w:r>
      <w:r w:rsidR="00223AF5">
        <w:rPr>
          <w:rStyle w:val="FootnoteReference"/>
        </w:rPr>
        <w:footnoteReference w:id="356"/>
      </w:r>
      <w:r w:rsidR="00223AF5">
        <w:t xml:space="preserve">  </w:t>
      </w:r>
      <w:r w:rsidR="0080301F">
        <w:lastRenderedPageBreak/>
        <w:t xml:space="preserve">Parties </w:t>
      </w:r>
      <w:r w:rsidR="00C66669">
        <w:t xml:space="preserve">opposing the </w:t>
      </w:r>
      <w:r w:rsidR="0080301F">
        <w:t>Market Transition Credit</w:t>
      </w:r>
      <w:r w:rsidR="00D265BF">
        <w:t xml:space="preserve"> assert the approach </w:t>
      </w:r>
      <w:r w:rsidR="0080301F">
        <w:t>is untested</w:t>
      </w:r>
      <w:r w:rsidR="00835808">
        <w:t xml:space="preserve">, </w:t>
      </w:r>
      <w:r w:rsidR="00D265BF">
        <w:t>complex</w:t>
      </w:r>
      <w:r w:rsidR="00835808">
        <w:t>, and completely divorced from the customer’s exports to the grid</w:t>
      </w:r>
      <w:r w:rsidR="00D265BF">
        <w:t>.</w:t>
      </w:r>
      <w:r w:rsidR="00D265BF">
        <w:rPr>
          <w:rStyle w:val="FootnoteReference"/>
        </w:rPr>
        <w:footnoteReference w:id="357"/>
      </w:r>
    </w:p>
    <w:p w:rsidR="00490092" w:rsidP="005E7044" w:rsidRDefault="0082346F" w14:paraId="724A0C18" w14:textId="482A9377">
      <w:pPr>
        <w:pStyle w:val="Standard"/>
      </w:pPr>
      <w:r>
        <w:t xml:space="preserve">Regarding </w:t>
      </w:r>
      <w:r w:rsidR="004A438B">
        <w:t>the</w:t>
      </w:r>
      <w:r w:rsidR="005C1A37">
        <w:t xml:space="preserve"> objective </w:t>
      </w:r>
      <w:r w:rsidR="004A438B">
        <w:t>to</w:t>
      </w:r>
      <w:r>
        <w:t xml:space="preserve"> </w:t>
      </w:r>
      <w:r w:rsidR="005C1A37">
        <w:t>encourag</w:t>
      </w:r>
      <w:r w:rsidR="004A438B">
        <w:t xml:space="preserve">e </w:t>
      </w:r>
      <w:r w:rsidR="005C1A37">
        <w:t xml:space="preserve">the </w:t>
      </w:r>
      <w:r>
        <w:t>adoption of solar systems paired with stor</w:t>
      </w:r>
      <w:r w:rsidR="00C10796">
        <w:t>a</w:t>
      </w:r>
      <w:r>
        <w:t xml:space="preserve">ge, </w:t>
      </w:r>
      <w:r w:rsidR="005C1A37">
        <w:t xml:space="preserve">parties were asked whether the ACC Plus would impact </w:t>
      </w:r>
      <w:r w:rsidR="00124D96">
        <w:t>the</w:t>
      </w:r>
      <w:r w:rsidR="005C1A37">
        <w:t xml:space="preserve"> dispatch </w:t>
      </w:r>
      <w:r w:rsidR="00124D96">
        <w:t xml:space="preserve">of a </w:t>
      </w:r>
      <w:r w:rsidR="005C1A37">
        <w:t xml:space="preserve">battery.  </w:t>
      </w:r>
      <w:r w:rsidR="00F2091F">
        <w:t>Parties contend</w:t>
      </w:r>
      <w:r w:rsidR="004439AC">
        <w:t xml:space="preserve"> batteries would </w:t>
      </w:r>
      <w:r w:rsidR="00B53899">
        <w:t xml:space="preserve">typically </w:t>
      </w:r>
      <w:r w:rsidR="004439AC">
        <w:t xml:space="preserve">only discharge if needed to serve onsite load and avoid paying retail rates for imports.  </w:t>
      </w:r>
      <w:r w:rsidR="001135AC">
        <w:t xml:space="preserve">NRDC asserts that high differentiated rates </w:t>
      </w:r>
      <w:r w:rsidR="00124D96">
        <w:t>that</w:t>
      </w:r>
      <w:r w:rsidR="001135AC">
        <w:t xml:space="preserve"> encourage grid</w:t>
      </w:r>
      <w:r w:rsidR="00827602">
        <w:noBreakHyphen/>
      </w:r>
      <w:r w:rsidR="001135AC">
        <w:t>friendly dispatch will lead to batteries continuing to export based on those rates.</w:t>
      </w:r>
      <w:r w:rsidR="001135AC">
        <w:rPr>
          <w:rStyle w:val="FootnoteReference"/>
        </w:rPr>
        <w:footnoteReference w:id="358"/>
      </w:r>
      <w:r w:rsidR="00F2091F">
        <w:t xml:space="preserve">  </w:t>
      </w:r>
      <w:r w:rsidR="00E84B70">
        <w:t>SEIA/Vote Solar submit that</w:t>
      </w:r>
      <w:r w:rsidR="00822B05">
        <w:t>,</w:t>
      </w:r>
      <w:r w:rsidR="00E84B70">
        <w:t xml:space="preserve"> </w:t>
      </w:r>
      <w:r w:rsidR="002E05E0">
        <w:t xml:space="preserve">only </w:t>
      </w:r>
      <w:r w:rsidR="00E84B70">
        <w:t xml:space="preserve">in September, </w:t>
      </w:r>
      <w:r w:rsidR="00106A35">
        <w:t xml:space="preserve">retail </w:t>
      </w:r>
      <w:r w:rsidR="00E84B70">
        <w:t xml:space="preserve">export </w:t>
      </w:r>
      <w:r w:rsidR="00116E9B">
        <w:t xml:space="preserve">compensation </w:t>
      </w:r>
      <w:r w:rsidR="00E84B70">
        <w:t>rates may be high enough to encourage exports during the peak.</w:t>
      </w:r>
      <w:r w:rsidR="001A335C">
        <w:rPr>
          <w:rStyle w:val="FootnoteReference"/>
        </w:rPr>
        <w:footnoteReference w:id="359"/>
      </w:r>
      <w:r w:rsidR="00E84B70">
        <w:t xml:space="preserve">  </w:t>
      </w:r>
      <w:r w:rsidR="001A335C">
        <w:t>SEIA/Vote Solar recommends averaging the Avoided Cost Calculator values across the same time</w:t>
      </w:r>
      <w:r w:rsidR="00827602">
        <w:noBreakHyphen/>
      </w:r>
      <w:r w:rsidR="001A335C">
        <w:t>of</w:t>
      </w:r>
      <w:r w:rsidR="00827602">
        <w:noBreakHyphen/>
      </w:r>
      <w:r w:rsidR="001A335C">
        <w:t xml:space="preserve">use periods to present a stronger signal to export </w:t>
      </w:r>
      <w:r w:rsidR="00E82404">
        <w:t xml:space="preserve">during the peak.  </w:t>
      </w:r>
      <w:r w:rsidR="002E05E0">
        <w:t>T</w:t>
      </w:r>
      <w:r w:rsidR="00F2091F">
        <w:t xml:space="preserve">he Commission anticipates minimal negative impacts </w:t>
      </w:r>
      <w:r w:rsidR="00B53899">
        <w:t xml:space="preserve">on the grid with the ACC Plus approach compared to a Market Transition Credit approach </w:t>
      </w:r>
      <w:r w:rsidR="00F2091F">
        <w:t xml:space="preserve">because total </w:t>
      </w:r>
      <w:r w:rsidR="00106A35">
        <w:t xml:space="preserve">retail </w:t>
      </w:r>
      <w:r w:rsidR="00F2091F">
        <w:t xml:space="preserve">export </w:t>
      </w:r>
      <w:r w:rsidR="002E05E0">
        <w:t>compensation</w:t>
      </w:r>
      <w:r w:rsidR="00B87E54">
        <w:t xml:space="preserve"> rates</w:t>
      </w:r>
      <w:r w:rsidR="002E05E0">
        <w:t xml:space="preserve">, </w:t>
      </w:r>
      <w:r w:rsidR="00F2091F">
        <w:t>including the ACC Plus</w:t>
      </w:r>
      <w:r w:rsidR="002E05E0">
        <w:t xml:space="preserve">, </w:t>
      </w:r>
      <w:r w:rsidR="00B87E54">
        <w:t xml:space="preserve">are </w:t>
      </w:r>
      <w:r w:rsidR="00596BA1">
        <w:t xml:space="preserve">typically </w:t>
      </w:r>
      <w:r w:rsidR="00F2091F">
        <w:t>lower than the retail rate</w:t>
      </w:r>
      <w:r w:rsidR="00B53899">
        <w:t xml:space="preserve"> for imports</w:t>
      </w:r>
      <w:r w:rsidR="00F2091F">
        <w:t>.</w:t>
      </w:r>
    </w:p>
    <w:p w:rsidR="00533B2F" w:rsidP="005E7044" w:rsidRDefault="003F728B" w14:paraId="2088A370" w14:textId="3BF5DFCE">
      <w:pPr>
        <w:pStyle w:val="Standard"/>
      </w:pPr>
      <w:r>
        <w:t xml:space="preserve">SEIA/Vote Solar argue that the </w:t>
      </w:r>
      <w:r w:rsidR="00617788">
        <w:t xml:space="preserve">glide path </w:t>
      </w:r>
      <w:r>
        <w:t xml:space="preserve">should be based either on the current </w:t>
      </w:r>
      <w:r w:rsidR="00B87E54">
        <w:t xml:space="preserve">retail </w:t>
      </w:r>
      <w:r>
        <w:t>export compensation</w:t>
      </w:r>
      <w:r w:rsidR="00B53899">
        <w:t xml:space="preserve"> </w:t>
      </w:r>
      <w:r w:rsidR="00B87E54">
        <w:t xml:space="preserve">rate </w:t>
      </w:r>
      <w:r w:rsidR="00B53899">
        <w:t>structure</w:t>
      </w:r>
      <w:r w:rsidR="004C0D8B">
        <w:t xml:space="preserve"> (</w:t>
      </w:r>
      <w:r w:rsidRPr="00490050">
        <w:rPr>
          <w:i/>
          <w:iCs/>
        </w:rPr>
        <w:t>i.e.</w:t>
      </w:r>
      <w:r>
        <w:t xml:space="preserve">, retail </w:t>
      </w:r>
      <w:r w:rsidR="00B87E54">
        <w:t xml:space="preserve">import </w:t>
      </w:r>
      <w:r>
        <w:t>rates</w:t>
      </w:r>
      <w:r w:rsidR="004C0D8B">
        <w:t>)</w:t>
      </w:r>
      <w:r>
        <w:t xml:space="preserve"> or the final structure</w:t>
      </w:r>
      <w:r w:rsidR="004C0D8B">
        <w:t xml:space="preserve"> (</w:t>
      </w:r>
      <w:r w:rsidRPr="004C0D8B">
        <w:rPr>
          <w:i/>
          <w:iCs/>
        </w:rPr>
        <w:t>i.e.</w:t>
      </w:r>
      <w:r>
        <w:t>, Avoided Cost Calculator values</w:t>
      </w:r>
      <w:r w:rsidR="004C0D8B">
        <w:t>)</w:t>
      </w:r>
      <w:r>
        <w:t>.</w:t>
      </w:r>
      <w:r w:rsidR="00793348">
        <w:rPr>
          <w:rStyle w:val="FootnoteReference"/>
        </w:rPr>
        <w:footnoteReference w:id="360"/>
      </w:r>
      <w:r>
        <w:t xml:space="preserve">  </w:t>
      </w:r>
      <w:r w:rsidR="00BB3E3C">
        <w:t xml:space="preserve">SEIA/Vote Solar assert </w:t>
      </w:r>
      <w:r w:rsidR="00586F42">
        <w:lastRenderedPageBreak/>
        <w:t xml:space="preserve">that because the </w:t>
      </w:r>
      <w:r w:rsidR="00BB3E3C">
        <w:t xml:space="preserve">ACC Plus approach </w:t>
      </w:r>
      <w:r w:rsidR="00586F42">
        <w:t xml:space="preserve">is based on customers’ exports, it </w:t>
      </w:r>
      <w:r w:rsidR="00BB3E3C">
        <w:t>will provide benefit in the near</w:t>
      </w:r>
      <w:r w:rsidR="00827602">
        <w:noBreakHyphen/>
      </w:r>
      <w:r w:rsidR="00BB3E3C">
        <w:t>term to customers with stand</w:t>
      </w:r>
      <w:r w:rsidR="00827602">
        <w:noBreakHyphen/>
      </w:r>
      <w:r w:rsidR="00BB3E3C">
        <w:t>alone solar systems</w:t>
      </w:r>
      <w:r w:rsidR="00586F42">
        <w:t xml:space="preserve">.  SEIA/Vote Solar contend this transition </w:t>
      </w:r>
      <w:r w:rsidR="001B3CEF">
        <w:t xml:space="preserve">tool </w:t>
      </w:r>
      <w:r w:rsidR="00BB3E3C">
        <w:t xml:space="preserve">will allow </w:t>
      </w:r>
      <w:r w:rsidR="00835808">
        <w:t xml:space="preserve">time for </w:t>
      </w:r>
      <w:r w:rsidR="00BB3E3C">
        <w:t xml:space="preserve">the industry to sustainably grow </w:t>
      </w:r>
      <w:r w:rsidR="00E719E4">
        <w:t xml:space="preserve">during the </w:t>
      </w:r>
      <w:r w:rsidR="001B3CEF">
        <w:t xml:space="preserve">successor tariff’s </w:t>
      </w:r>
      <w:r w:rsidR="00835808">
        <w:t xml:space="preserve">evolution </w:t>
      </w:r>
      <w:r w:rsidR="00E719E4">
        <w:t xml:space="preserve">to </w:t>
      </w:r>
      <w:r w:rsidR="00586F42">
        <w:t xml:space="preserve">a </w:t>
      </w:r>
      <w:r w:rsidR="00C10796">
        <w:t>tariff</w:t>
      </w:r>
      <w:r w:rsidR="00586F42">
        <w:t xml:space="preserve"> that </w:t>
      </w:r>
      <w:r w:rsidR="001B3CEF">
        <w:t>favors</w:t>
      </w:r>
      <w:r w:rsidR="00586F42">
        <w:t xml:space="preserve"> solar </w:t>
      </w:r>
      <w:r w:rsidR="00626763">
        <w:t xml:space="preserve">paired with </w:t>
      </w:r>
      <w:r w:rsidR="00586F42">
        <w:t>storage systems</w:t>
      </w:r>
      <w:r w:rsidR="00E719E4">
        <w:t>.</w:t>
      </w:r>
      <w:r w:rsidR="00E719E4">
        <w:rPr>
          <w:rStyle w:val="FootnoteReference"/>
        </w:rPr>
        <w:footnoteReference w:id="361"/>
      </w:r>
      <w:r w:rsidR="00586F42">
        <w:t xml:space="preserve">  SEIA/Vote Solar state this transition should allow time for storage costs to continue to decline.</w:t>
      </w:r>
      <w:r w:rsidR="00586F42">
        <w:rPr>
          <w:rStyle w:val="FootnoteReference"/>
        </w:rPr>
        <w:footnoteReference w:id="362"/>
      </w:r>
      <w:r w:rsidR="00617788">
        <w:t xml:space="preserve">  </w:t>
      </w:r>
      <w:r w:rsidR="006776DB">
        <w:t>In support of the retail rate step</w:t>
      </w:r>
      <w:r w:rsidR="00827602">
        <w:noBreakHyphen/>
      </w:r>
      <w:r w:rsidR="006776DB">
        <w:t xml:space="preserve">down approach, SEIA/Vote Solar assert that a </w:t>
      </w:r>
      <w:r w:rsidR="00B87E54">
        <w:t xml:space="preserve">retail </w:t>
      </w:r>
      <w:r w:rsidR="006776DB">
        <w:t xml:space="preserve">export </w:t>
      </w:r>
      <w:r w:rsidR="00116E9B">
        <w:t xml:space="preserve">compensation </w:t>
      </w:r>
      <w:r w:rsidR="006776DB">
        <w:t xml:space="preserve">rate linked to the retail rate is superior to the ACC Plus because retaining a link between </w:t>
      </w:r>
      <w:r w:rsidR="00B87E54">
        <w:t xml:space="preserve">the </w:t>
      </w:r>
      <w:r w:rsidR="006776DB">
        <w:t xml:space="preserve">retail </w:t>
      </w:r>
      <w:r w:rsidR="00B87E54">
        <w:t xml:space="preserve">import </w:t>
      </w:r>
      <w:r w:rsidR="006776DB">
        <w:t xml:space="preserve">rate and </w:t>
      </w:r>
      <w:r w:rsidR="00B87E54">
        <w:t xml:space="preserve">the retail </w:t>
      </w:r>
      <w:r w:rsidR="006776DB">
        <w:t xml:space="preserve">export compensation </w:t>
      </w:r>
      <w:r w:rsidR="00B87E54">
        <w:t xml:space="preserve">rate </w:t>
      </w:r>
      <w:r w:rsidR="006776DB">
        <w:t>will enhance customer understanding.</w:t>
      </w:r>
      <w:r w:rsidR="00BB4918">
        <w:t xml:space="preserve">  In opposition to the retail rate step</w:t>
      </w:r>
      <w:r w:rsidR="00827602">
        <w:noBreakHyphen/>
      </w:r>
      <w:r w:rsidR="00BB4918">
        <w:t xml:space="preserve">down approach, both Joint Utilities and the County of </w:t>
      </w:r>
      <w:r w:rsidR="007061A7">
        <w:t>Los </w:t>
      </w:r>
      <w:r w:rsidR="00BB4918">
        <w:t>Angeles point to the focus on the Avoided Cost Calculator values as better reflecting grid conditions and actual market data.</w:t>
      </w:r>
      <w:r w:rsidR="00BB4918">
        <w:rPr>
          <w:rStyle w:val="FootnoteReference"/>
        </w:rPr>
        <w:footnoteReference w:id="363"/>
      </w:r>
    </w:p>
    <w:p w:rsidR="00E24143" w:rsidP="005E7044" w:rsidRDefault="00617788" w14:paraId="5CFF9F29" w14:textId="7902A3CA">
      <w:pPr>
        <w:pStyle w:val="Standard"/>
      </w:pPr>
      <w:r>
        <w:t>This decision finds</w:t>
      </w:r>
      <w:r w:rsidR="00A0746F">
        <w:t xml:space="preserve"> the ACC Plus </w:t>
      </w:r>
      <w:r>
        <w:t xml:space="preserve">to be </w:t>
      </w:r>
      <w:r w:rsidR="00A0746F">
        <w:t xml:space="preserve">superior to </w:t>
      </w:r>
      <w:r w:rsidR="00F0163C">
        <w:t xml:space="preserve">either </w:t>
      </w:r>
      <w:r w:rsidR="00A0746F">
        <w:t xml:space="preserve">the </w:t>
      </w:r>
      <w:r>
        <w:t xml:space="preserve">Market Transition Credit </w:t>
      </w:r>
      <w:r w:rsidR="00F0163C">
        <w:t>or</w:t>
      </w:r>
      <w:r>
        <w:t xml:space="preserve"> the </w:t>
      </w:r>
      <w:r w:rsidR="00A0746F">
        <w:t>retail rate</w:t>
      </w:r>
      <w:r>
        <w:t xml:space="preserve"> step</w:t>
      </w:r>
      <w:r w:rsidR="00827602">
        <w:noBreakHyphen/>
      </w:r>
      <w:r>
        <w:t xml:space="preserve">down approaches because of its direct linkage to the adopted </w:t>
      </w:r>
      <w:r w:rsidR="00596BA1">
        <w:t xml:space="preserve">retail </w:t>
      </w:r>
      <w:r>
        <w:t xml:space="preserve">export compensation value.  </w:t>
      </w:r>
      <w:r w:rsidR="001B3CEF">
        <w:t xml:space="preserve">The Market Transition Credit has no </w:t>
      </w:r>
      <w:r w:rsidR="007E2C3A">
        <w:t xml:space="preserve">direct </w:t>
      </w:r>
      <w:r w:rsidR="001B3CEF">
        <w:t xml:space="preserve">linkage to either the current </w:t>
      </w:r>
      <w:r w:rsidR="00B87E54">
        <w:t xml:space="preserve">retail </w:t>
      </w:r>
      <w:r w:rsidR="001B3CEF">
        <w:t xml:space="preserve">export compensation </w:t>
      </w:r>
      <w:r w:rsidR="00B87E54">
        <w:t xml:space="preserve">rate </w:t>
      </w:r>
      <w:r w:rsidR="001B3CEF">
        <w:t xml:space="preserve">structure of </w:t>
      </w:r>
      <w:r w:rsidR="00602BC5">
        <w:t>NEM 2.0</w:t>
      </w:r>
      <w:r w:rsidR="00135D55">
        <w:t xml:space="preserve"> </w:t>
      </w:r>
      <w:r w:rsidR="001B3CEF">
        <w:t>or the future structure of Avoided Cost Calculator</w:t>
      </w:r>
      <w:r w:rsidR="00827602">
        <w:noBreakHyphen/>
      </w:r>
      <w:r w:rsidR="001B3CEF">
        <w:t>based values.  While the retail rate step</w:t>
      </w:r>
      <w:r w:rsidR="00827602">
        <w:noBreakHyphen/>
      </w:r>
      <w:r w:rsidR="001B3CEF">
        <w:t xml:space="preserve">down approach is linked to the current compensation structure, the </w:t>
      </w:r>
      <w:r w:rsidR="00F0163C">
        <w:t>glide path</w:t>
      </w:r>
      <w:r w:rsidR="001B3CEF">
        <w:t xml:space="preserve"> will be provided to successor tariff customers who have never received compensation</w:t>
      </w:r>
      <w:r w:rsidR="00F0163C">
        <w:t xml:space="preserve"> based on the retail rate</w:t>
      </w:r>
      <w:r w:rsidR="00B87E54">
        <w:t xml:space="preserve"> for their exported energy</w:t>
      </w:r>
      <w:r w:rsidR="001B3CEF">
        <w:t xml:space="preserve">.  </w:t>
      </w:r>
      <w:r w:rsidR="008F041A">
        <w:t xml:space="preserve">Further, basing the glide path on the Avoided Cost </w:t>
      </w:r>
      <w:r w:rsidR="008F041A">
        <w:lastRenderedPageBreak/>
        <w:t>Calculator values ensure</w:t>
      </w:r>
      <w:r w:rsidR="00C10796">
        <w:t>s</w:t>
      </w:r>
      <w:r w:rsidR="008F041A">
        <w:t xml:space="preserve"> that values are current, as these values are updated every two years, whereas changes to retail rates and time</w:t>
      </w:r>
      <w:r w:rsidR="00827602">
        <w:noBreakHyphen/>
      </w:r>
      <w:r w:rsidR="008F041A">
        <w:t>of</w:t>
      </w:r>
      <w:r w:rsidR="00827602">
        <w:noBreakHyphen/>
      </w:r>
      <w:r w:rsidR="008F041A">
        <w:t>use periods can be slow, as stated by Joint Utilities.</w:t>
      </w:r>
      <w:r w:rsidR="008F041A">
        <w:rPr>
          <w:rStyle w:val="FootnoteReference"/>
        </w:rPr>
        <w:footnoteReference w:id="364"/>
      </w:r>
      <w:r w:rsidR="008F041A">
        <w:t xml:space="preserve">  </w:t>
      </w:r>
      <w:r w:rsidR="00F0163C">
        <w:t xml:space="preserve">Hence, the Commission considers the ACC Plus approach </w:t>
      </w:r>
      <w:r w:rsidR="005B0ABA">
        <w:t xml:space="preserve">to </w:t>
      </w:r>
      <w:r w:rsidR="00BD594D">
        <w:t>enable</w:t>
      </w:r>
      <w:r w:rsidR="005B0ABA">
        <w:t xml:space="preserve"> </w:t>
      </w:r>
      <w:r w:rsidR="00F0163C">
        <w:t>successor tariff customers to become familiar with the Avoided Cost Calculator values</w:t>
      </w:r>
      <w:r w:rsidR="00BD594D">
        <w:t xml:space="preserve"> immediately</w:t>
      </w:r>
      <w:r w:rsidR="007E2C3A">
        <w:t xml:space="preserve"> compared to the retail rate step</w:t>
      </w:r>
      <w:r w:rsidR="00827602">
        <w:noBreakHyphen/>
      </w:r>
      <w:r w:rsidR="007E2C3A">
        <w:t>down approach</w:t>
      </w:r>
      <w:r w:rsidR="00F0163C">
        <w:t xml:space="preserve">.  </w:t>
      </w:r>
      <w:r w:rsidR="00BD594D">
        <w:t>I</w:t>
      </w:r>
      <w:r w:rsidR="001B3CEF">
        <w:t xml:space="preserve">t is important for successor customers to understand and be educated on the </w:t>
      </w:r>
      <w:r w:rsidR="00334984">
        <w:t>Avoided Cost Calculator</w:t>
      </w:r>
      <w:r w:rsidR="00827602">
        <w:noBreakHyphen/>
      </w:r>
      <w:r w:rsidR="00334984">
        <w:t>based values.</w:t>
      </w:r>
    </w:p>
    <w:p w:rsidR="00490092" w:rsidP="005E7044" w:rsidRDefault="002341C1" w14:paraId="038A5558" w14:textId="7937702A">
      <w:pPr>
        <w:pStyle w:val="Standard"/>
      </w:pPr>
      <w:r>
        <w:t xml:space="preserve">Parties both in support of and opposed to the ACC Plus </w:t>
      </w:r>
      <w:r w:rsidR="00B20A42">
        <w:t>concede</w:t>
      </w:r>
      <w:r>
        <w:t xml:space="preserve"> that the ACC Plus would most likely result in customers providing higher value to the grid by providing better price signals</w:t>
      </w:r>
      <w:r w:rsidR="00596BA1">
        <w:t xml:space="preserve"> than with a glide path based on retail rates</w:t>
      </w:r>
      <w:r>
        <w:t>.</w:t>
      </w:r>
      <w:r>
        <w:rPr>
          <w:rStyle w:val="FootnoteReference"/>
        </w:rPr>
        <w:footnoteReference w:id="365"/>
      </w:r>
      <w:r w:rsidR="00D20F85">
        <w:t xml:space="preserve">  </w:t>
      </w:r>
      <w:r w:rsidR="00E24143">
        <w:t>T</w:t>
      </w:r>
      <w:r w:rsidR="00B20A42">
        <w:t xml:space="preserve">he Commission </w:t>
      </w:r>
      <w:r w:rsidR="00E24143">
        <w:t xml:space="preserve">recognizes that while </w:t>
      </w:r>
      <w:r w:rsidR="007E2C3A">
        <w:t xml:space="preserve">the ACC Plus </w:t>
      </w:r>
      <w:r w:rsidR="00E24143">
        <w:t>send</w:t>
      </w:r>
      <w:r w:rsidR="007E2C3A">
        <w:t xml:space="preserve">s </w:t>
      </w:r>
      <w:r w:rsidR="00E24143">
        <w:t>the right price signals</w:t>
      </w:r>
      <w:r w:rsidR="007E2C3A">
        <w:t xml:space="preserve"> to support the grid</w:t>
      </w:r>
      <w:r w:rsidR="00E24143">
        <w:t xml:space="preserve">, </w:t>
      </w:r>
      <w:r w:rsidR="00626763">
        <w:t>stand</w:t>
      </w:r>
      <w:r w:rsidR="00827602">
        <w:noBreakHyphen/>
      </w:r>
      <w:r w:rsidR="00626763">
        <w:t xml:space="preserve">alone </w:t>
      </w:r>
      <w:r w:rsidR="00A93051">
        <w:t>solar systems would benefit more from th</w:t>
      </w:r>
      <w:r w:rsidR="00334984">
        <w:t xml:space="preserve">e ACC Plus </w:t>
      </w:r>
      <w:r w:rsidR="00A93051">
        <w:t>approach</w:t>
      </w:r>
      <w:r w:rsidR="007E2C3A">
        <w:t xml:space="preserve"> than solar paired with storage systems during the </w:t>
      </w:r>
      <w:r w:rsidR="001D29B8">
        <w:t xml:space="preserve">transition </w:t>
      </w:r>
      <w:r w:rsidR="007E2C3A">
        <w:t>period</w:t>
      </w:r>
      <w:r w:rsidR="00E24143">
        <w:t xml:space="preserve">.  </w:t>
      </w:r>
      <w:r w:rsidR="007E2C3A">
        <w:t>T</w:t>
      </w:r>
      <w:r w:rsidR="00E24143">
        <w:t>his decision finds this</w:t>
      </w:r>
      <w:r w:rsidR="007E2C3A">
        <w:t xml:space="preserve"> </w:t>
      </w:r>
      <w:r w:rsidR="00E24143">
        <w:t xml:space="preserve">reasonable as it will </w:t>
      </w:r>
      <w:r w:rsidR="00A93051">
        <w:t xml:space="preserve">allow the industry to </w:t>
      </w:r>
      <w:r w:rsidR="007E2C3A">
        <w:t xml:space="preserve">grow </w:t>
      </w:r>
      <w:r w:rsidR="00A93051">
        <w:t>sustainabl</w:t>
      </w:r>
      <w:r w:rsidR="007E2C3A">
        <w:t xml:space="preserve">y </w:t>
      </w:r>
      <w:r w:rsidR="00A93051">
        <w:t xml:space="preserve">during the transition </w:t>
      </w:r>
      <w:r w:rsidR="007E2C3A">
        <w:t>to a market that predominantly sells and leases solar paired with storage systems</w:t>
      </w:r>
      <w:r w:rsidR="00A93051">
        <w:t xml:space="preserve">.  </w:t>
      </w:r>
      <w:r w:rsidR="002E05E0">
        <w:t>T</w:t>
      </w:r>
      <w:r w:rsidR="00780D7A">
        <w:t xml:space="preserve">his decision </w:t>
      </w:r>
      <w:r w:rsidR="00E24143">
        <w:t xml:space="preserve">underscores that </w:t>
      </w:r>
      <w:r w:rsidR="00A93051">
        <w:t xml:space="preserve">by adopting this glide path approach, it is the Commission’s intention to </w:t>
      </w:r>
      <w:r w:rsidR="006013F9">
        <w:t xml:space="preserve">strongly </w:t>
      </w:r>
      <w:r w:rsidR="00A93051">
        <w:t xml:space="preserve">encourage the solar industry to </w:t>
      </w:r>
      <w:r w:rsidR="007E2C3A">
        <w:t xml:space="preserve">leverage </w:t>
      </w:r>
      <w:r w:rsidR="00A93051">
        <w:t xml:space="preserve">the </w:t>
      </w:r>
      <w:r w:rsidR="007E2C3A">
        <w:t xml:space="preserve">overall </w:t>
      </w:r>
      <w:r w:rsidR="00A93051">
        <w:t>declining cost of storage and evolve to an industry that is focused on the installation of solar paired with storage systems.</w:t>
      </w:r>
    </w:p>
    <w:p w:rsidR="00533B2F" w:rsidP="005E7044" w:rsidRDefault="004C51F2" w14:paraId="219FF30E" w14:textId="76184B07">
      <w:pPr>
        <w:pStyle w:val="Standard"/>
      </w:pPr>
      <w:r>
        <w:lastRenderedPageBreak/>
        <w:t xml:space="preserve">Again, a glide path is essential to balance the multiple requirements the tariff is required to meet. </w:t>
      </w:r>
      <w:r w:rsidR="001816B5">
        <w:t>B</w:t>
      </w:r>
      <w:r w:rsidR="0080301F">
        <w:t xml:space="preserve">y adopting </w:t>
      </w:r>
      <w:r w:rsidR="00835808">
        <w:t>the</w:t>
      </w:r>
      <w:r w:rsidR="0080301F">
        <w:t xml:space="preserve"> </w:t>
      </w:r>
      <w:r w:rsidR="00946003">
        <w:t>ACC Plus</w:t>
      </w:r>
      <w:r w:rsidR="001816B5">
        <w:t xml:space="preserve"> with specific design elements, as discussed in </w:t>
      </w:r>
      <w:r w:rsidR="0034029C">
        <w:t>Section 8</w:t>
      </w:r>
      <w:r w:rsidR="001816B5">
        <w:t>.5</w:t>
      </w:r>
      <w:r w:rsidR="00A1351A">
        <w:t>.2</w:t>
      </w:r>
      <w:r w:rsidR="001816B5">
        <w:t xml:space="preserve"> below</w:t>
      </w:r>
      <w:r w:rsidR="00946003">
        <w:t xml:space="preserve">, </w:t>
      </w:r>
      <w:r w:rsidR="007B46C3">
        <w:t xml:space="preserve">the Commission </w:t>
      </w:r>
      <w:r w:rsidR="006A46F6">
        <w:t>create</w:t>
      </w:r>
      <w:r w:rsidR="006141F4">
        <w:t>s</w:t>
      </w:r>
      <w:r w:rsidR="006A46F6">
        <w:t xml:space="preserve"> a </w:t>
      </w:r>
      <w:r w:rsidR="00946003">
        <w:t>glide path</w:t>
      </w:r>
      <w:r w:rsidR="006A46F6">
        <w:t xml:space="preserve"> that </w:t>
      </w:r>
      <w:r w:rsidR="006141F4">
        <w:t xml:space="preserve">is </w:t>
      </w:r>
      <w:r w:rsidR="00596BA1">
        <w:t xml:space="preserve">more </w:t>
      </w:r>
      <w:r w:rsidR="006141F4">
        <w:t xml:space="preserve">easily understood by customers, will send </w:t>
      </w:r>
      <w:r w:rsidR="007E2C3A">
        <w:t xml:space="preserve">accurate </w:t>
      </w:r>
      <w:r w:rsidR="006141F4">
        <w:t>price signals</w:t>
      </w:r>
      <w:r w:rsidR="007E2C3A">
        <w:t xml:space="preserve"> to support grid needs</w:t>
      </w:r>
      <w:r w:rsidR="006141F4">
        <w:t xml:space="preserve">, will communicate the true value of exports, and will allow </w:t>
      </w:r>
      <w:r w:rsidR="00106A35">
        <w:t xml:space="preserve">the </w:t>
      </w:r>
      <w:r w:rsidR="007E2C3A">
        <w:t>customer</w:t>
      </w:r>
      <w:r w:rsidR="00827602">
        <w:noBreakHyphen/>
      </w:r>
      <w:r w:rsidR="007E2C3A">
        <w:t xml:space="preserve">sited renewable generation </w:t>
      </w:r>
      <w:r w:rsidR="00106A35">
        <w:t xml:space="preserve">industry </w:t>
      </w:r>
      <w:r w:rsidR="006141F4">
        <w:t xml:space="preserve">to </w:t>
      </w:r>
      <w:r w:rsidR="00596BA1">
        <w:t xml:space="preserve">adapt and </w:t>
      </w:r>
      <w:r w:rsidR="006141F4">
        <w:t>grow sustainably</w:t>
      </w:r>
      <w:r w:rsidR="006A46F6">
        <w:t>.</w:t>
      </w:r>
    </w:p>
    <w:p w:rsidR="00252DB7" w:rsidP="005E7044" w:rsidRDefault="00252DB7" w14:paraId="6BD1A599" w14:textId="3388C951">
      <w:pPr>
        <w:pStyle w:val="Heading3"/>
        <w:keepLines w:val="0"/>
      </w:pPr>
      <w:bookmarkStart w:name="_Toc117674094" w:id="175"/>
      <w:bookmarkStart w:name="_Toc118285085" w:id="176"/>
      <w:bookmarkStart w:name="_Toc121854412" w:id="177"/>
      <w:r>
        <w:t>Minimum Bill</w:t>
      </w:r>
      <w:bookmarkEnd w:id="175"/>
      <w:bookmarkEnd w:id="176"/>
      <w:bookmarkEnd w:id="177"/>
    </w:p>
    <w:p w:rsidR="00FE49C1" w:rsidP="005E7044" w:rsidRDefault="00270822" w14:paraId="426A294E" w14:textId="7938C566">
      <w:pPr>
        <w:pStyle w:val="Standard"/>
      </w:pPr>
      <w:r>
        <w:t xml:space="preserve">Parties did not indicate whether a minimum bill should be one of the elements of the successor tariff.  </w:t>
      </w:r>
      <w:r w:rsidR="00FE49C1">
        <w:t xml:space="preserve">NRDC and </w:t>
      </w:r>
      <w:r w:rsidR="009355F1">
        <w:t>Cal Advoc</w:t>
      </w:r>
      <w:r w:rsidR="00FE49C1">
        <w:t>ates contend the grid benefits charge is preferable over the minimum bill, calling the minimum bill regressive.</w:t>
      </w:r>
      <w:r w:rsidR="00FE49C1">
        <w:rPr>
          <w:rStyle w:val="FootnoteReference"/>
        </w:rPr>
        <w:footnoteReference w:id="366"/>
      </w:r>
    </w:p>
    <w:p w:rsidR="00733EC8" w:rsidP="005E7044" w:rsidRDefault="004D0CDA" w14:paraId="0E1CC5CD" w14:textId="2B783EC4">
      <w:pPr>
        <w:pStyle w:val="Standard"/>
      </w:pPr>
      <w:r>
        <w:t>In D</w:t>
      </w:r>
      <w:r w:rsidR="00453B5E">
        <w:t>.15</w:t>
      </w:r>
      <w:r w:rsidR="00827602">
        <w:noBreakHyphen/>
      </w:r>
      <w:r w:rsidR="00453B5E">
        <w:t>07</w:t>
      </w:r>
      <w:r w:rsidR="00827602">
        <w:noBreakHyphen/>
      </w:r>
      <w:r w:rsidR="00453B5E">
        <w:t>001</w:t>
      </w:r>
      <w:r>
        <w:t>, the Commission</w:t>
      </w:r>
      <w:r w:rsidR="00453B5E">
        <w:t xml:space="preserve"> adopted a minimum bill standard for residential customers on the non</w:t>
      </w:r>
      <w:r w:rsidR="00827602">
        <w:noBreakHyphen/>
      </w:r>
      <w:r w:rsidR="00453B5E">
        <w:t>generation portion of their monthly electric bill</w:t>
      </w:r>
      <w:r w:rsidR="00B35F7A">
        <w:t>,</w:t>
      </w:r>
      <w:r w:rsidR="00372A86">
        <w:t xml:space="preserve"> which included a </w:t>
      </w:r>
      <w:r w:rsidR="00453B5E">
        <w:t xml:space="preserve">minimum bill rate </w:t>
      </w:r>
      <w:r w:rsidR="00372A86">
        <w:t>of</w:t>
      </w:r>
      <w:r w:rsidR="00453B5E">
        <w:t xml:space="preserve"> $5 for CARE customers and </w:t>
      </w:r>
      <w:r w:rsidR="00FE49C1">
        <w:t>$</w:t>
      </w:r>
      <w:r w:rsidR="00453B5E">
        <w:t>10 for non</w:t>
      </w:r>
      <w:r w:rsidR="00827602">
        <w:noBreakHyphen/>
      </w:r>
      <w:r w:rsidR="00453B5E">
        <w:t>CARE customers.</w:t>
      </w:r>
    </w:p>
    <w:p w:rsidR="00252DB7" w:rsidP="005E7044" w:rsidRDefault="001816B5" w14:paraId="64CAD81D" w14:textId="671F2DB6">
      <w:pPr>
        <w:pStyle w:val="Standard"/>
      </w:pPr>
      <w:r>
        <w:t xml:space="preserve">As discussed in </w:t>
      </w:r>
      <w:r w:rsidR="0034029C">
        <w:t>Section 8</w:t>
      </w:r>
      <w:r>
        <w:t>.4.4 above</w:t>
      </w:r>
      <w:r w:rsidR="00A5242D">
        <w:t xml:space="preserve">, </w:t>
      </w:r>
      <w:r w:rsidR="00FA002A">
        <w:t>the Commission initiated R.22</w:t>
      </w:r>
      <w:r w:rsidR="00827602">
        <w:noBreakHyphen/>
      </w:r>
      <w:r w:rsidR="00FA002A">
        <w:t>07</w:t>
      </w:r>
      <w:r w:rsidR="00827602">
        <w:noBreakHyphen/>
      </w:r>
      <w:r w:rsidR="00FA002A">
        <w:t xml:space="preserve">005 to establish policies and modify electric rates to enhance reliability; improve bill affordability and equity; reduce curtailment of renewable energy and greenhouse gas emissions; enable building and transportation electrification; reduce system costs through efficient pricing of electricity; and enable demand flexibility participation.  The Commission will consider the reformation of fixed charges, which </w:t>
      </w:r>
      <w:r w:rsidR="00733EC8">
        <w:t xml:space="preserve">could include </w:t>
      </w:r>
      <w:r w:rsidR="006708ED">
        <w:t>the continuance or elimination</w:t>
      </w:r>
      <w:r w:rsidR="00733EC8">
        <w:t xml:space="preserve"> of a minimum bill</w:t>
      </w:r>
      <w:r w:rsidR="00E554DF">
        <w:t xml:space="preserve"> requirement</w:t>
      </w:r>
      <w:r w:rsidR="00FA002A">
        <w:t xml:space="preserve">.  The Commission considers this new rulemaking to be a more </w:t>
      </w:r>
      <w:r w:rsidR="00FA002A">
        <w:lastRenderedPageBreak/>
        <w:t xml:space="preserve">appropriate venue to consider </w:t>
      </w:r>
      <w:r w:rsidR="00733EC8">
        <w:t xml:space="preserve">this </w:t>
      </w:r>
      <w:r w:rsidR="006708ED">
        <w:t>issue</w:t>
      </w:r>
      <w:r w:rsidR="00FA002A">
        <w:t xml:space="preserve">.  The new rulemaking will have the advantage of looking at the totality of rates when </w:t>
      </w:r>
      <w:r w:rsidR="00E554DF">
        <w:t>considering</w:t>
      </w:r>
      <w:r w:rsidR="00FA002A">
        <w:t xml:space="preserve"> fixed charges</w:t>
      </w:r>
      <w:r w:rsidR="00E554DF">
        <w:t xml:space="preserve"> or a minimum bill requirement</w:t>
      </w:r>
      <w:r w:rsidR="00FA002A">
        <w:t xml:space="preserve">.  </w:t>
      </w:r>
      <w:r w:rsidR="00E554DF">
        <w:t>T</w:t>
      </w:r>
      <w:r w:rsidR="00FA002A">
        <w:t xml:space="preserve">his decision declines to </w:t>
      </w:r>
      <w:r w:rsidR="00E554DF">
        <w:t>establish a minimum bill requirement as part of the successor tariff</w:t>
      </w:r>
      <w:r w:rsidR="00A5242D">
        <w:t>.</w:t>
      </w:r>
      <w:r w:rsidR="00596BA1">
        <w:t xml:space="preserve">  This decision clarifies that certain rate schedules for which successor tariff customers are eligible </w:t>
      </w:r>
      <w:r w:rsidR="00106A35">
        <w:t xml:space="preserve">may </w:t>
      </w:r>
      <w:r w:rsidR="00596BA1">
        <w:t xml:space="preserve">require a minimum bill.  As is the current practice in </w:t>
      </w:r>
      <w:r w:rsidR="00602BC5">
        <w:t>NEM 2.0</w:t>
      </w:r>
      <w:r w:rsidR="00596BA1">
        <w:t xml:space="preserve">, </w:t>
      </w:r>
      <w:r w:rsidR="00CE2C8B">
        <w:t>n</w:t>
      </w:r>
      <w:r w:rsidR="00596BA1">
        <w:t xml:space="preserve">et </w:t>
      </w:r>
      <w:r w:rsidR="00CE2C8B">
        <w:t>b</w:t>
      </w:r>
      <w:r w:rsidR="00596BA1">
        <w:t>illing tariff customers will be subject to any minimum bill or fixed charge that is contained in a customer’s applicable rate.</w:t>
      </w:r>
    </w:p>
    <w:p w:rsidR="00252DB7" w:rsidP="005E7044" w:rsidRDefault="00252DB7" w14:paraId="54D1C25A" w14:textId="7F345F9B">
      <w:pPr>
        <w:pStyle w:val="Heading3"/>
        <w:keepLines w:val="0"/>
      </w:pPr>
      <w:bookmarkStart w:name="_Toc117674095" w:id="178"/>
      <w:bookmarkStart w:name="_Toc118285086" w:id="179"/>
      <w:bookmarkStart w:name="_Toc121854413" w:id="180"/>
      <w:r>
        <w:t>Netting</w:t>
      </w:r>
      <w:r w:rsidR="00412E7A">
        <w:t xml:space="preserve"> Intervals for </w:t>
      </w:r>
      <w:r w:rsidR="00DE2B90">
        <w:t xml:space="preserve">the </w:t>
      </w:r>
      <w:r w:rsidR="00412E7A">
        <w:t>Successor Tariff</w:t>
      </w:r>
      <w:bookmarkEnd w:id="178"/>
      <w:bookmarkEnd w:id="179"/>
      <w:bookmarkEnd w:id="180"/>
    </w:p>
    <w:p w:rsidR="00252DB7" w:rsidP="005E7044" w:rsidRDefault="0089789A" w14:paraId="0E19CD2A" w14:textId="0327D097">
      <w:pPr>
        <w:pStyle w:val="Standard"/>
      </w:pPr>
      <w:r>
        <w:t xml:space="preserve">Currently, </w:t>
      </w:r>
      <w:r w:rsidR="00602BC5">
        <w:t>NEM 2.0</w:t>
      </w:r>
      <w:r w:rsidR="00135D55">
        <w:t xml:space="preserve"> </w:t>
      </w:r>
      <w:r>
        <w:t>nonresidential customers have a 15</w:t>
      </w:r>
      <w:r w:rsidR="00827602">
        <w:noBreakHyphen/>
      </w:r>
      <w:r>
        <w:t>minute netting interval and residential customers have a one</w:t>
      </w:r>
      <w:r w:rsidR="00827602">
        <w:noBreakHyphen/>
      </w:r>
      <w:r>
        <w:t>hour netting interval.  Joint Utilities explain that the current netting policy</w:t>
      </w:r>
      <w:r w:rsidR="002268EB">
        <w:t xml:space="preserve"> — </w:t>
      </w:r>
      <w:r>
        <w:t>to net imports a</w:t>
      </w:r>
      <w:r w:rsidR="004770A9">
        <w:t>n</w:t>
      </w:r>
      <w:r>
        <w:t>d exports within each metered interval</w:t>
      </w:r>
      <w:r w:rsidR="002268EB">
        <w:t xml:space="preserve"> — </w:t>
      </w:r>
      <w:r>
        <w:t>is a billing construct to measure the kilowatt</w:t>
      </w:r>
      <w:r w:rsidR="00827602">
        <w:noBreakHyphen/>
      </w:r>
      <w:r>
        <w:t>hour consumption to which non</w:t>
      </w:r>
      <w:r w:rsidR="00827602">
        <w:noBreakHyphen/>
      </w:r>
      <w:proofErr w:type="spellStart"/>
      <w:r>
        <w:t>bypassable</w:t>
      </w:r>
      <w:proofErr w:type="spellEnd"/>
      <w:r>
        <w:t xml:space="preserve"> charges should </w:t>
      </w:r>
      <w:r w:rsidR="00A77EBB">
        <w:t>b</w:t>
      </w:r>
      <w:r>
        <w:t>e applied.</w:t>
      </w:r>
      <w:r w:rsidR="00A77EBB">
        <w:rPr>
          <w:rStyle w:val="FootnoteReference"/>
        </w:rPr>
        <w:footnoteReference w:id="367"/>
      </w:r>
      <w:r>
        <w:t xml:space="preserve">  Joint Utilities contend this does not have to continue.  Joint Utilities recommend implementation of </w:t>
      </w:r>
      <w:r w:rsidR="00E75F79">
        <w:t xml:space="preserve">no </w:t>
      </w:r>
      <w:r>
        <w:t xml:space="preserve">netting </w:t>
      </w:r>
      <w:r w:rsidR="00E75F79">
        <w:t xml:space="preserve">(also referred to </w:t>
      </w:r>
      <w:r w:rsidR="008B2752">
        <w:t xml:space="preserve">less </w:t>
      </w:r>
      <w:r w:rsidR="00E75F79">
        <w:t xml:space="preserve">correctly as instantaneous netting) </w:t>
      </w:r>
      <w:r>
        <w:t xml:space="preserve">where all recorded imports on the first meter channel are charged the </w:t>
      </w:r>
      <w:r w:rsidR="00412E7A">
        <w:t xml:space="preserve">import </w:t>
      </w:r>
      <w:r>
        <w:t>retail rate, and all recorded exports on the second meter channel are c</w:t>
      </w:r>
      <w:r w:rsidR="00F9612A">
        <w:t>redited</w:t>
      </w:r>
      <w:r>
        <w:t xml:space="preserve"> the </w:t>
      </w:r>
      <w:r w:rsidR="00813D18">
        <w:t xml:space="preserve">retail </w:t>
      </w:r>
      <w:r>
        <w:t>export compensation rate.  Joint Utilities contend this is a very easy process.</w:t>
      </w:r>
      <w:r w:rsidR="00A77EBB">
        <w:rPr>
          <w:rStyle w:val="FootnoteReference"/>
        </w:rPr>
        <w:footnoteReference w:id="368"/>
      </w:r>
      <w:r>
        <w:t xml:space="preserve">  </w:t>
      </w:r>
      <w:proofErr w:type="spellStart"/>
      <w:r w:rsidR="00A77EBB">
        <w:t>CalWEA</w:t>
      </w:r>
      <w:proofErr w:type="spellEnd"/>
      <w:r w:rsidR="00A77EBB">
        <w:t xml:space="preserve">, CUE, </w:t>
      </w:r>
      <w:proofErr w:type="spellStart"/>
      <w:r w:rsidR="00A77EBB">
        <w:t>IEPA</w:t>
      </w:r>
      <w:proofErr w:type="spellEnd"/>
      <w:r w:rsidR="00371B39">
        <w:t>,</w:t>
      </w:r>
      <w:r w:rsidR="00A77EBB">
        <w:t xml:space="preserve"> NRDC, </w:t>
      </w:r>
      <w:r w:rsidR="009355F1">
        <w:t>Cal Advoc</w:t>
      </w:r>
      <w:r>
        <w:t xml:space="preserve">ates </w:t>
      </w:r>
      <w:r w:rsidR="00A77EBB">
        <w:t xml:space="preserve">and TURN </w:t>
      </w:r>
      <w:r>
        <w:t>concur</w:t>
      </w:r>
      <w:r w:rsidR="00A77EBB">
        <w:t xml:space="preserve">, </w:t>
      </w:r>
      <w:r>
        <w:t>making the same recommendation.</w:t>
      </w:r>
      <w:r w:rsidR="00A77EBB">
        <w:rPr>
          <w:rStyle w:val="FootnoteReference"/>
        </w:rPr>
        <w:footnoteReference w:id="369"/>
      </w:r>
    </w:p>
    <w:p w:rsidR="00371B39" w:rsidP="005E7044" w:rsidRDefault="004770A9" w14:paraId="25323EC0" w14:textId="298220E4">
      <w:pPr>
        <w:pStyle w:val="Standard"/>
      </w:pPr>
      <w:r>
        <w:t xml:space="preserve">In support of hourly billing intervals, </w:t>
      </w:r>
      <w:r w:rsidR="00371B39">
        <w:t xml:space="preserve">SEIA/Vote Solar argues </w:t>
      </w:r>
      <w:r>
        <w:t xml:space="preserve">the instantaneous netting </w:t>
      </w:r>
      <w:r w:rsidR="00371B39">
        <w:t xml:space="preserve">approach creates significant consumer protection concerns, </w:t>
      </w:r>
      <w:r w:rsidR="00371B39">
        <w:lastRenderedPageBreak/>
        <w:t>stating the customer does not have access to instantaneous metered data.</w:t>
      </w:r>
      <w:r w:rsidR="00371B39">
        <w:rPr>
          <w:rStyle w:val="FootnoteReference"/>
        </w:rPr>
        <w:footnoteReference w:id="370"/>
      </w:r>
      <w:r w:rsidR="00371B39">
        <w:t xml:space="preserve">  Agreeing with this concern, </w:t>
      </w:r>
      <w:proofErr w:type="spellStart"/>
      <w:r w:rsidR="00371B39">
        <w:t>CALSSA</w:t>
      </w:r>
      <w:proofErr w:type="spellEnd"/>
      <w:r w:rsidR="00371B39">
        <w:t xml:space="preserve"> notes that contractors also do not have access to this data</w:t>
      </w:r>
      <w:r w:rsidR="00A5242D">
        <w:t xml:space="preserve"> and </w:t>
      </w:r>
      <w:proofErr w:type="spellStart"/>
      <w:r w:rsidR="00A5242D">
        <w:t>SBUA</w:t>
      </w:r>
      <w:proofErr w:type="spellEnd"/>
      <w:r w:rsidR="00A5242D">
        <w:t xml:space="preserve"> asserts that instantaneous netting creates unreasonable challenges for solar installers and customers in terms of accessing and </w:t>
      </w:r>
      <w:r w:rsidR="00745F7B">
        <w:t>analyzing data to forecast project economics</w:t>
      </w:r>
      <w:r w:rsidR="00371B39">
        <w:t>.</w:t>
      </w:r>
      <w:r w:rsidR="00371B39">
        <w:rPr>
          <w:rStyle w:val="FootnoteReference"/>
        </w:rPr>
        <w:footnoteReference w:id="371"/>
      </w:r>
      <w:r w:rsidR="00371B39">
        <w:t xml:space="preserve">  SEIA/Vote Solar contends if billing were calculated with instantaneous netting and data is only available on an interval basis, developers could not provide </w:t>
      </w:r>
      <w:r w:rsidR="008F73BC">
        <w:t xml:space="preserve">prospective </w:t>
      </w:r>
      <w:r w:rsidR="00371B39">
        <w:t>customers with solar savings estimates, as required by the Commission.</w:t>
      </w:r>
      <w:r w:rsidR="005C39E9">
        <w:t xml:space="preserve">  SEIA/Vote Solar </w:t>
      </w:r>
      <w:r w:rsidR="00412E7A">
        <w:t>references testimony from Aurora</w:t>
      </w:r>
      <w:r w:rsidR="00387875">
        <w:t>, which</w:t>
      </w:r>
      <w:r w:rsidR="00412E7A">
        <w:t xml:space="preserve"> claim</w:t>
      </w:r>
      <w:r w:rsidR="00387875">
        <w:t xml:space="preserve">s </w:t>
      </w:r>
      <w:r w:rsidR="00412E7A">
        <w:t>that modeling bill savings under instantaneous netting would require both high</w:t>
      </w:r>
      <w:r w:rsidR="00827602">
        <w:noBreakHyphen/>
      </w:r>
      <w:r w:rsidR="00412E7A">
        <w:t xml:space="preserve">frequency </w:t>
      </w:r>
      <w:r w:rsidR="00387875">
        <w:t>production estimates and high</w:t>
      </w:r>
      <w:r w:rsidR="00827602">
        <w:noBreakHyphen/>
      </w:r>
      <w:r w:rsidR="00387875">
        <w:t>frequency consumption readings.  Aurora assert</w:t>
      </w:r>
      <w:r w:rsidR="00AA4ED3">
        <w:t>s</w:t>
      </w:r>
      <w:r w:rsidR="00387875">
        <w:t xml:space="preserve"> that weather data used for production estimates is almost always offered in 15</w:t>
      </w:r>
      <w:r w:rsidR="00827602">
        <w:noBreakHyphen/>
      </w:r>
      <w:r w:rsidR="00387875">
        <w:t>, 30</w:t>
      </w:r>
      <w:r w:rsidR="00827602">
        <w:noBreakHyphen/>
      </w:r>
      <w:r w:rsidR="00387875">
        <w:t>, or 60</w:t>
      </w:r>
      <w:r w:rsidR="00827602">
        <w:noBreakHyphen/>
      </w:r>
      <w:r w:rsidR="00387875">
        <w:t>minute intervals, and that the utilities could not provide high frequency consumption data.</w:t>
      </w:r>
      <w:r w:rsidR="00387875">
        <w:rPr>
          <w:rStyle w:val="FootnoteReference"/>
        </w:rPr>
        <w:footnoteReference w:id="372"/>
      </w:r>
      <w:r w:rsidR="00510DB0">
        <w:t xml:space="preserve">  </w:t>
      </w:r>
      <w:r w:rsidR="00387875">
        <w:t xml:space="preserve">With respect to this issue, </w:t>
      </w:r>
      <w:r w:rsidR="00510DB0">
        <w:t xml:space="preserve">Joint Utilities contend </w:t>
      </w:r>
      <w:r w:rsidR="00BA1EAE">
        <w:t>“</w:t>
      </w:r>
      <w:r w:rsidR="00510DB0">
        <w:t>all three utilities either already or will soon have the capability for solar customers to see and share both channels of data.</w:t>
      </w:r>
      <w:r w:rsidR="00510DB0">
        <w:rPr>
          <w:rStyle w:val="FootnoteReference"/>
        </w:rPr>
        <w:footnoteReference w:id="373"/>
      </w:r>
      <w:r w:rsidR="00387875">
        <w:t xml:space="preserve">  </w:t>
      </w:r>
      <w:r w:rsidR="004102E6">
        <w:t>However, this data does not address the need for high</w:t>
      </w:r>
      <w:r w:rsidR="00827602">
        <w:noBreakHyphen/>
      </w:r>
      <w:r w:rsidR="004102E6">
        <w:t xml:space="preserve">frequency production estimates raised by the solar parties, as </w:t>
      </w:r>
      <w:r w:rsidRPr="000A7C8F" w:rsidR="004102E6">
        <w:t>prospective solar customers</w:t>
      </w:r>
      <w:r w:rsidR="004102E6">
        <w:t xml:space="preserve"> </w:t>
      </w:r>
      <w:r w:rsidRPr="000A7C8F" w:rsidR="004102E6">
        <w:t>only see one channel of import data</w:t>
      </w:r>
      <w:r w:rsidR="004102E6">
        <w:t>.</w:t>
      </w:r>
      <w:r w:rsidR="004102E6">
        <w:rPr>
          <w:rStyle w:val="FootnoteReference"/>
        </w:rPr>
        <w:footnoteReference w:id="374"/>
      </w:r>
      <w:r w:rsidR="004102E6">
        <w:t xml:space="preserve"> Also, </w:t>
      </w:r>
      <w:proofErr w:type="spellStart"/>
      <w:r w:rsidR="004102E6">
        <w:t>CALSSA</w:t>
      </w:r>
      <w:proofErr w:type="spellEnd"/>
      <w:r w:rsidR="004102E6">
        <w:t xml:space="preserve"> notes that </w:t>
      </w:r>
      <w:r w:rsidR="00BA1EAE">
        <w:t>“</w:t>
      </w:r>
      <w:r w:rsidR="004102E6">
        <w:t>[e]</w:t>
      </w:r>
      <w:proofErr w:type="spellStart"/>
      <w:r w:rsidRPr="00A32372" w:rsidR="004102E6">
        <w:t>ven</w:t>
      </w:r>
      <w:proofErr w:type="spellEnd"/>
      <w:r w:rsidRPr="00A32372" w:rsidR="004102E6">
        <w:t xml:space="preserve"> if the data were made available, it would not align with the PV Watts solar generation projection that D.20</w:t>
      </w:r>
      <w:r w:rsidR="00827602">
        <w:noBreakHyphen/>
      </w:r>
      <w:r w:rsidRPr="00A32372" w:rsidR="004102E6">
        <w:t>08</w:t>
      </w:r>
      <w:r w:rsidR="00827602">
        <w:noBreakHyphen/>
      </w:r>
      <w:r w:rsidRPr="00A32372" w:rsidR="004102E6">
        <w:t>001 also requires contractors to use.</w:t>
      </w:r>
      <w:r w:rsidR="00BA1EAE">
        <w:t>”</w:t>
      </w:r>
      <w:r w:rsidR="004102E6">
        <w:rPr>
          <w:rStyle w:val="FootnoteReference"/>
        </w:rPr>
        <w:footnoteReference w:id="375"/>
      </w:r>
      <w:r w:rsidRPr="00A32372" w:rsidR="004102E6">
        <w:t xml:space="preserve"> </w:t>
      </w:r>
      <w:r w:rsidR="004102E6">
        <w:t xml:space="preserve"> </w:t>
      </w:r>
      <w:r w:rsidR="004102E6">
        <w:lastRenderedPageBreak/>
        <w:t>Solar savings estimates, which are imprecise by nature, could theoretically be created to reflect no netting by comparing 15</w:t>
      </w:r>
      <w:r w:rsidR="00827602">
        <w:noBreakHyphen/>
      </w:r>
      <w:r w:rsidR="004102E6">
        <w:t>minute production estimates to 15</w:t>
      </w:r>
      <w:r w:rsidR="00827602">
        <w:noBreakHyphen/>
      </w:r>
      <w:r w:rsidR="004102E6">
        <w:t>minute consumption data from the first meter channel.  A</w:t>
      </w:r>
      <w:r w:rsidR="00AA4ED3">
        <w:t>ccordingly</w:t>
      </w:r>
      <w:r w:rsidR="004102E6">
        <w:t xml:space="preserve">, this decision adopts </w:t>
      </w:r>
      <w:r w:rsidR="00AA4ED3">
        <w:t xml:space="preserve">a process for establishing </w:t>
      </w:r>
      <w:r w:rsidR="004102E6">
        <w:t>an adjustment factor</w:t>
      </w:r>
      <w:r w:rsidR="00822B05">
        <w:t>, as discussed</w:t>
      </w:r>
      <w:r w:rsidR="004102E6">
        <w:t xml:space="preserve"> below</w:t>
      </w:r>
      <w:r w:rsidR="00822B05">
        <w:t>,</w:t>
      </w:r>
      <w:r w:rsidR="004102E6">
        <w:t xml:space="preserve"> that can be used with hourly production estimates and consumption data.</w:t>
      </w:r>
    </w:p>
    <w:p w:rsidR="00A21ECD" w:rsidP="005E7044" w:rsidRDefault="009355F1" w14:paraId="76E57984" w14:textId="738208F6">
      <w:pPr>
        <w:pStyle w:val="Standard"/>
      </w:pPr>
      <w:r>
        <w:t>Cal Advoc</w:t>
      </w:r>
      <w:r w:rsidR="00A21ECD">
        <w:t>ates assert</w:t>
      </w:r>
      <w:r w:rsidR="00822B05">
        <w:t>s</w:t>
      </w:r>
      <w:r w:rsidR="00A21ECD">
        <w:t xml:space="preserve"> that continuing to employ hourly netting neglects the </w:t>
      </w:r>
      <w:r w:rsidR="00BA1EAE">
        <w:t>“</w:t>
      </w:r>
      <w:r w:rsidR="00A21ECD">
        <w:t>actual relationship of customers’ usage and exports with the system.</w:t>
      </w:r>
      <w:r w:rsidR="00BA1EAE">
        <w:t>”</w:t>
      </w:r>
      <w:r w:rsidR="00A21ECD">
        <w:t xml:space="preserve">  </w:t>
      </w:r>
      <w:r>
        <w:t>Cal Advoc</w:t>
      </w:r>
      <w:r w:rsidR="00A21ECD">
        <w:t xml:space="preserve">ates explain that generation is variable and consumption changes frequently within the hour, </w:t>
      </w:r>
      <w:r w:rsidR="00BA1EAE">
        <w:t>“</w:t>
      </w:r>
      <w:r w:rsidR="00A21ECD">
        <w:t xml:space="preserve">so even </w:t>
      </w:r>
      <w:r w:rsidR="00395003">
        <w:t>during times of high PV generation, customers are importing and exporting power from the utility at sub</w:t>
      </w:r>
      <w:r w:rsidR="00827602">
        <w:noBreakHyphen/>
      </w:r>
      <w:r w:rsidR="00395003">
        <w:t>hourly intervals.</w:t>
      </w:r>
      <w:r w:rsidR="00395003">
        <w:rPr>
          <w:rStyle w:val="FootnoteReference"/>
        </w:rPr>
        <w:footnoteReference w:id="376"/>
      </w:r>
      <w:r w:rsidR="00395003">
        <w:t xml:space="preserve">  </w:t>
      </w:r>
      <w:r>
        <w:t>Cal Advoc</w:t>
      </w:r>
      <w:r w:rsidR="00395003">
        <w:t>ates contend</w:t>
      </w:r>
      <w:r w:rsidR="00822B05">
        <w:t>s</w:t>
      </w:r>
      <w:r w:rsidR="00395003">
        <w:t xml:space="preserve"> that hourly netting allows customers </w:t>
      </w:r>
      <w:r w:rsidR="00BA1EAE">
        <w:t>“</w:t>
      </w:r>
      <w:r w:rsidR="00395003">
        <w:t xml:space="preserve">to increase their consumption in the last 15 minutes of an hour and use excess generation at the beginning of the hour (when PV production is higher) to </w:t>
      </w:r>
      <w:r w:rsidR="00BA1EAE">
        <w:t>“</w:t>
      </w:r>
      <w:r w:rsidR="00395003">
        <w:t>offset</w:t>
      </w:r>
      <w:r w:rsidR="00BA1EAE">
        <w:t>”</w:t>
      </w:r>
      <w:r w:rsidR="00395003">
        <w:t xml:space="preserve"> their end</w:t>
      </w:r>
      <w:r w:rsidR="00827602">
        <w:noBreakHyphen/>
      </w:r>
      <w:r w:rsidR="00395003">
        <w:t>of</w:t>
      </w:r>
      <w:r w:rsidR="00827602">
        <w:noBreakHyphen/>
      </w:r>
      <w:r w:rsidR="00395003">
        <w:t>hour consumption.</w:t>
      </w:r>
      <w:r w:rsidR="00BA1EAE">
        <w:t>”</w:t>
      </w:r>
      <w:r w:rsidR="00395003">
        <w:rPr>
          <w:rStyle w:val="FootnoteReference"/>
        </w:rPr>
        <w:footnoteReference w:id="377"/>
      </w:r>
      <w:r w:rsidR="00395003">
        <w:t xml:space="preserve">  </w:t>
      </w:r>
      <w:r>
        <w:t>Cal Advoc</w:t>
      </w:r>
      <w:r w:rsidR="00395003">
        <w:t xml:space="preserve">ates </w:t>
      </w:r>
      <w:r w:rsidR="00911ADE">
        <w:t>highlight</w:t>
      </w:r>
      <w:r w:rsidR="00822B05">
        <w:t>s</w:t>
      </w:r>
      <w:r w:rsidR="00395003">
        <w:t xml:space="preserve"> that the California Solar Initiative Final Impact Evaluation found that customers participat</w:t>
      </w:r>
      <w:r w:rsidR="00822B05">
        <w:t>ing</w:t>
      </w:r>
      <w:r w:rsidR="00395003">
        <w:t xml:space="preserve"> in </w:t>
      </w:r>
      <w:r w:rsidR="00602BC5">
        <w:t>NEM 1.0</w:t>
      </w:r>
      <w:r w:rsidR="00C45E40">
        <w:t xml:space="preserve"> and </w:t>
      </w:r>
      <w:r w:rsidR="00602BC5">
        <w:t>NEM 2.0</w:t>
      </w:r>
      <w:r w:rsidR="00135D55">
        <w:t xml:space="preserve"> </w:t>
      </w:r>
      <w:r w:rsidR="00C45E40">
        <w:t xml:space="preserve">increase </w:t>
      </w:r>
      <w:r w:rsidR="00822B05">
        <w:t xml:space="preserve">their </w:t>
      </w:r>
      <w:r w:rsidR="00C45E40">
        <w:t>consumption during the hours of 3</w:t>
      </w:r>
      <w:r w:rsidR="00CE01CC">
        <w:t>:00 </w:t>
      </w:r>
      <w:r w:rsidR="00C45E40">
        <w:t>p</w:t>
      </w:r>
      <w:r w:rsidR="00CE01CC">
        <w:t>.</w:t>
      </w:r>
      <w:r w:rsidR="00C45E40">
        <w:t>m</w:t>
      </w:r>
      <w:r w:rsidR="00CE01CC">
        <w:t>.</w:t>
      </w:r>
      <w:r w:rsidR="00C45E40">
        <w:t xml:space="preserve"> to 6</w:t>
      </w:r>
      <w:r w:rsidR="00CE01CC">
        <w:t>:00 </w:t>
      </w:r>
      <w:r w:rsidR="00C45E40">
        <w:t>p</w:t>
      </w:r>
      <w:r w:rsidR="00CE01CC">
        <w:t>.</w:t>
      </w:r>
      <w:r w:rsidR="00C45E40">
        <w:t>m</w:t>
      </w:r>
      <w:r w:rsidR="00B26851">
        <w:t>.</w:t>
      </w:r>
      <w:r w:rsidR="00822B05">
        <w:t xml:space="preserve"> after installing solar</w:t>
      </w:r>
      <w:r w:rsidR="00C45E40">
        <w:t xml:space="preserve">.  That study concluded this </w:t>
      </w:r>
      <w:r w:rsidR="00822B05">
        <w:t xml:space="preserve">increase </w:t>
      </w:r>
      <w:r w:rsidR="00BA1EAE">
        <w:t>“</w:t>
      </w:r>
      <w:r w:rsidR="00C45E40">
        <w:t>is potentially reducing the grid benefits of [photovoltaics] and contributing to the later afternoon net load ramp.</w:t>
      </w:r>
      <w:r w:rsidR="00BA1EAE">
        <w:t>”</w:t>
      </w:r>
      <w:r w:rsidR="00C45E40">
        <w:rPr>
          <w:rStyle w:val="FootnoteReference"/>
        </w:rPr>
        <w:footnoteReference w:id="378"/>
      </w:r>
      <w:r w:rsidR="00911ADE">
        <w:t xml:space="preserve">  </w:t>
      </w:r>
      <w:r>
        <w:t>Cal Advoc</w:t>
      </w:r>
      <w:r w:rsidR="00911ADE">
        <w:t>ates explain</w:t>
      </w:r>
      <w:r w:rsidR="00822B05">
        <w:t>s</w:t>
      </w:r>
      <w:r w:rsidR="00911ADE">
        <w:t xml:space="preserve"> </w:t>
      </w:r>
      <w:r w:rsidR="006806FE">
        <w:t xml:space="preserve">that </w:t>
      </w:r>
      <w:r w:rsidR="00911ADE">
        <w:t>the steep afternoon net load ramps</w:t>
      </w:r>
      <w:r w:rsidR="00F55701">
        <w:t xml:space="preserve"> — </w:t>
      </w:r>
      <w:r w:rsidR="00911ADE">
        <w:t xml:space="preserve">referred to as the </w:t>
      </w:r>
      <w:r w:rsidR="00BA1EAE">
        <w:t>“</w:t>
      </w:r>
      <w:r w:rsidR="00911ADE">
        <w:t xml:space="preserve">neck of the duck </w:t>
      </w:r>
      <w:r w:rsidR="00911ADE">
        <w:lastRenderedPageBreak/>
        <w:t>curve</w:t>
      </w:r>
      <w:r w:rsidR="00BA1EAE">
        <w:t>”</w:t>
      </w:r>
      <w:r w:rsidR="00F55701">
        <w:t xml:space="preserve"> — </w:t>
      </w:r>
      <w:r w:rsidR="00576BA3">
        <w:t>impose operational difficulties on the system and require adequate supply to meet this demand, often in the form of gas</w:t>
      </w:r>
      <w:r w:rsidR="00827602">
        <w:noBreakHyphen/>
      </w:r>
      <w:r w:rsidR="00576BA3">
        <w:t>fired generation.</w:t>
      </w:r>
      <w:r w:rsidR="00576BA3">
        <w:rPr>
          <w:rStyle w:val="FootnoteReference"/>
        </w:rPr>
        <w:footnoteReference w:id="379"/>
      </w:r>
    </w:p>
    <w:bookmarkStart w:name="_Hlk118130097" w:id="181"/>
    <w:p w:rsidR="00643D41" w:rsidP="005E7044" w:rsidRDefault="00891FB1" w14:paraId="6E9EE44A" w14:textId="7AC828E5">
      <w:pPr>
        <w:pStyle w:val="Standard"/>
      </w:pPr>
      <w:r>
        <w:rPr>
          <w:noProof/>
        </w:rPr>
        <mc:AlternateContent>
          <mc:Choice Requires="wpi">
            <w:drawing>
              <wp:anchor distT="0" distB="0" distL="114300" distR="114300" simplePos="0" relativeHeight="251658752" behindDoc="0" locked="0" layoutInCell="1" allowOverlap="1" wp14:editId="011C9FD3" wp14:anchorId="554D1D09">
                <wp:simplePos x="0" y="0"/>
                <wp:positionH relativeFrom="column">
                  <wp:posOffset>5215890</wp:posOffset>
                </wp:positionH>
                <wp:positionV relativeFrom="paragraph">
                  <wp:posOffset>1644015</wp:posOffset>
                </wp:positionV>
                <wp:extent cx="18415" cy="18415"/>
                <wp:effectExtent l="53340" t="49530" r="42545" b="46355"/>
                <wp:wrapNone/>
                <wp:docPr id="10" name="Ink 7"/>
                <wp:cNvGraphicFramePr>
                  <a:graphicFrameLocks xmlns:a="http://schemas.openxmlformats.org/drawingml/2006/main"/>
                </wp:cNvGraphicFramePr>
                <a:graphic xmlns:a="http://schemas.openxmlformats.org/drawingml/2006/main">
                  <a:graphicData uri="http://schemas.microsoft.com/office/word/2010/wordprocessingInk">
                    <w14:contentPart r:id="rId25" bwMode="auto">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id="Ink 7" style="position:absolute;margin-left:374.45pt;margin-top:93.2pt;width:72.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" w14:anchorId="712A518B">
                <v:imagedata o:title="" r:id="rId22"/>
                <o:lock v:ext="edit" rotation="t" aspectratio="f"/>
              </v:shape>
            </w:pict>
          </mc:Fallback>
        </mc:AlternateContent>
      </w:r>
      <w:r w:rsidR="00576BA3">
        <w:t xml:space="preserve">The Commission finds that hourly netting could lead to additional strain on the grid, which does not meet the requirements of the statute.  </w:t>
      </w:r>
      <w:r w:rsidR="004102E6">
        <w:t xml:space="preserve">Eliminating </w:t>
      </w:r>
      <w:r w:rsidR="00300E21">
        <w:t>the netting interval exposes more of the customers’ imports and exports to net billing</w:t>
      </w:r>
      <w:r w:rsidR="007B58DC">
        <w:t xml:space="preserve">, which </w:t>
      </w:r>
      <w:r w:rsidR="007B46C3">
        <w:t xml:space="preserve">this decision </w:t>
      </w:r>
      <w:r w:rsidR="007B58DC">
        <w:t>ha</w:t>
      </w:r>
      <w:r w:rsidR="007B46C3">
        <w:t>s</w:t>
      </w:r>
      <w:r w:rsidR="007B58DC">
        <w:t xml:space="preserve"> found is more aligned with system costs</w:t>
      </w:r>
      <w:r w:rsidR="00300E21">
        <w:t xml:space="preserve">.  </w:t>
      </w:r>
      <w:r w:rsidR="004102E6">
        <w:t>Customer imports include the non</w:t>
      </w:r>
      <w:r w:rsidR="00827602">
        <w:noBreakHyphen/>
      </w:r>
      <w:proofErr w:type="spellStart"/>
      <w:r w:rsidR="004102E6">
        <w:t>bypassable</w:t>
      </w:r>
      <w:proofErr w:type="spellEnd"/>
      <w:r w:rsidR="004102E6">
        <w:t xml:space="preserve"> charges, which will be collected on each kilowatt</w:t>
      </w:r>
      <w:r w:rsidR="00827602">
        <w:noBreakHyphen/>
      </w:r>
      <w:r w:rsidR="006C7201">
        <w:t xml:space="preserve">hour of electricity imported from the grid. </w:t>
      </w:r>
      <w:r w:rsidR="0077049C">
        <w:t xml:space="preserve"> </w:t>
      </w:r>
      <w:r w:rsidR="00300E21">
        <w:t xml:space="preserve">As one of </w:t>
      </w:r>
      <w:r w:rsidR="00063A84">
        <w:t>the</w:t>
      </w:r>
      <w:r w:rsidR="00300E21">
        <w:t xml:space="preserve"> </w:t>
      </w:r>
      <w:r w:rsidR="00063A84">
        <w:t xml:space="preserve">guiding </w:t>
      </w:r>
      <w:r w:rsidR="00300E21">
        <w:t>principles is to adopt a tariff that maximizes the value of customer</w:t>
      </w:r>
      <w:r w:rsidR="00827602">
        <w:noBreakHyphen/>
      </w:r>
      <w:r w:rsidR="00300E21">
        <w:t xml:space="preserve">sited renewable generation to all customers and to the </w:t>
      </w:r>
      <w:r w:rsidR="00E2278E">
        <w:t>grid</w:t>
      </w:r>
      <w:r w:rsidR="00300E21">
        <w:t xml:space="preserve">, </w:t>
      </w:r>
      <w:r w:rsidR="00063A84">
        <w:t>this decision</w:t>
      </w:r>
      <w:r w:rsidR="00300E21">
        <w:t xml:space="preserve"> find</w:t>
      </w:r>
      <w:r w:rsidR="00063A84">
        <w:t>s</w:t>
      </w:r>
      <w:r w:rsidR="00300E21">
        <w:t xml:space="preserve"> </w:t>
      </w:r>
      <w:r w:rsidR="00E75F79">
        <w:t xml:space="preserve">no </w:t>
      </w:r>
      <w:r w:rsidR="00300E21">
        <w:t>netting is more consistent with cost</w:t>
      </w:r>
      <w:r w:rsidR="00827602">
        <w:noBreakHyphen/>
      </w:r>
      <w:r w:rsidR="00300E21">
        <w:t>based compensation</w:t>
      </w:r>
      <w:r w:rsidR="007A6263">
        <w:t xml:space="preserve"> and should be adopted as part of the successor tariff</w:t>
      </w:r>
      <w:r w:rsidR="00300E21">
        <w:t>.</w:t>
      </w:r>
      <w:r w:rsidR="00353809">
        <w:t xml:space="preserve">  This modifies the practice adopted in D.16</w:t>
      </w:r>
      <w:r w:rsidR="00827602">
        <w:noBreakHyphen/>
      </w:r>
      <w:r w:rsidR="00353809">
        <w:t>01</w:t>
      </w:r>
      <w:r w:rsidR="00827602">
        <w:noBreakHyphen/>
      </w:r>
      <w:r w:rsidR="00353809">
        <w:t>044 and clarified in D.19</w:t>
      </w:r>
      <w:r w:rsidR="00827602">
        <w:noBreakHyphen/>
      </w:r>
      <w:r w:rsidR="00353809">
        <w:t>04</w:t>
      </w:r>
      <w:r w:rsidR="00827602">
        <w:noBreakHyphen/>
      </w:r>
      <w:r w:rsidR="00353809">
        <w:t>019, where</w:t>
      </w:r>
      <w:r w:rsidR="00822B05">
        <w:t>in</w:t>
      </w:r>
      <w:r w:rsidR="00353809">
        <w:t xml:space="preserve"> non</w:t>
      </w:r>
      <w:r w:rsidR="00827602">
        <w:noBreakHyphen/>
      </w:r>
      <w:proofErr w:type="spellStart"/>
      <w:r w:rsidR="00353809">
        <w:t>bypassable</w:t>
      </w:r>
      <w:proofErr w:type="spellEnd"/>
      <w:r w:rsidR="00353809">
        <w:t xml:space="preserve"> charges were assessed on the kilowatt</w:t>
      </w:r>
      <w:r w:rsidR="00827602">
        <w:noBreakHyphen/>
      </w:r>
      <w:r w:rsidR="00353809">
        <w:t>hours consumed in each metered interval net of exports under the net energy metering successor tariff.</w:t>
      </w:r>
      <w:r w:rsidR="00353809">
        <w:rPr>
          <w:rStyle w:val="FootnoteReference"/>
        </w:rPr>
        <w:footnoteReference w:id="380"/>
      </w:r>
      <w:r w:rsidR="00353809">
        <w:t xml:space="preserve">  Because the Commission adopts a no netting approach, the metered interval approach is no longer relevant. </w:t>
      </w:r>
    </w:p>
    <w:bookmarkEnd w:id="181"/>
    <w:p w:rsidR="00533B2F" w:rsidP="005E7044" w:rsidRDefault="005D730E" w14:paraId="62FA6870" w14:textId="39E82D99">
      <w:pPr>
        <w:pStyle w:val="Standard"/>
      </w:pPr>
      <w:r>
        <w:t>This decision addresses</w:t>
      </w:r>
      <w:r w:rsidR="001E720A">
        <w:t xml:space="preserve"> two distinct concerns with </w:t>
      </w:r>
      <w:r>
        <w:t xml:space="preserve">the </w:t>
      </w:r>
      <w:r w:rsidR="001E720A">
        <w:t>no netting</w:t>
      </w:r>
      <w:r>
        <w:t xml:space="preserve"> approach.  First, the Commission should </w:t>
      </w:r>
      <w:r w:rsidR="001E720A">
        <w:t>ensur</w:t>
      </w:r>
      <w:r>
        <w:t xml:space="preserve">e that </w:t>
      </w:r>
      <w:r w:rsidR="001E720A">
        <w:t xml:space="preserve">a successor tariff customer’s bill is </w:t>
      </w:r>
      <w:r w:rsidR="008A316E">
        <w:t>transparent</w:t>
      </w:r>
      <w:r w:rsidR="00CA600D">
        <w:t>.  S</w:t>
      </w:r>
      <w:r>
        <w:t xml:space="preserve">econd, the Commission should require that </w:t>
      </w:r>
      <w:r w:rsidR="001E720A">
        <w:t xml:space="preserve">prospective customers </w:t>
      </w:r>
      <w:r>
        <w:t xml:space="preserve">receive </w:t>
      </w:r>
      <w:r w:rsidR="001E720A">
        <w:t>accurate estimates of bill savings.</w:t>
      </w:r>
    </w:p>
    <w:p w:rsidR="00533B2F" w:rsidP="005E7044" w:rsidRDefault="001E720A" w14:paraId="0BA1A8B2" w14:textId="65D50376">
      <w:pPr>
        <w:pStyle w:val="Standard"/>
      </w:pPr>
      <w:r>
        <w:t>With respect to the former</w:t>
      </w:r>
      <w:r w:rsidR="003911F7">
        <w:t xml:space="preserve"> concern</w:t>
      </w:r>
      <w:r w:rsidR="00E2278E">
        <w:t xml:space="preserve">, </w:t>
      </w:r>
      <w:r w:rsidR="00666036">
        <w:t xml:space="preserve">this decision directs </w:t>
      </w:r>
      <w:r w:rsidR="00E2278E">
        <w:t xml:space="preserve">the utilities </w:t>
      </w:r>
      <w:r w:rsidR="00666036">
        <w:t xml:space="preserve">to </w:t>
      </w:r>
      <w:r w:rsidR="00E2278E">
        <w:t xml:space="preserve">include both channels of data </w:t>
      </w:r>
      <w:r w:rsidR="006C7201">
        <w:t>in 15</w:t>
      </w:r>
      <w:r w:rsidR="00827602">
        <w:noBreakHyphen/>
      </w:r>
      <w:r w:rsidR="006C7201">
        <w:t xml:space="preserve">minute intervals </w:t>
      </w:r>
      <w:r w:rsidR="00E2278E">
        <w:t>in their customer</w:t>
      </w:r>
      <w:r w:rsidR="00827602">
        <w:noBreakHyphen/>
      </w:r>
      <w:r w:rsidR="00E2278E">
        <w:t>authorized energy usage data portals.</w:t>
      </w:r>
      <w:r w:rsidR="006C7201">
        <w:t xml:space="preserve">  </w:t>
      </w:r>
      <w:r>
        <w:t>Utilities testified they have this ability</w:t>
      </w:r>
      <w:r w:rsidR="008A316E">
        <w:t xml:space="preserve">.  Requiring this </w:t>
      </w:r>
      <w:r w:rsidR="008A316E">
        <w:lastRenderedPageBreak/>
        <w:t>data will provide transparency to customers</w:t>
      </w:r>
      <w:r>
        <w:t xml:space="preserve"> and</w:t>
      </w:r>
      <w:r w:rsidR="008A316E">
        <w:t xml:space="preserve"> </w:t>
      </w:r>
      <w:r>
        <w:t>will allow customers with distributed generation to have the most accurate data possible.</w:t>
      </w:r>
      <w:r w:rsidR="00CA7FE7">
        <w:t xml:space="preserve">  In comments to the proposed decision, Joint Utilities </w:t>
      </w:r>
      <w:r w:rsidR="0071504C">
        <w:t xml:space="preserve">request this directive </w:t>
      </w:r>
      <w:r w:rsidR="004F619B">
        <w:t xml:space="preserve">to </w:t>
      </w:r>
      <w:r w:rsidR="0071504C">
        <w:t>be stricken.  Joint Utilities assert this directive would be a multi</w:t>
      </w:r>
      <w:r w:rsidR="008E22AB">
        <w:noBreakHyphen/>
      </w:r>
      <w:r w:rsidR="0071504C">
        <w:t>year and multi</w:t>
      </w:r>
      <w:r w:rsidR="008E22AB">
        <w:noBreakHyphen/>
      </w:r>
      <w:r w:rsidR="0071504C">
        <w:t>million</w:t>
      </w:r>
      <w:r w:rsidR="008E22AB">
        <w:noBreakHyphen/>
      </w:r>
      <w:r w:rsidR="0071504C">
        <w:t xml:space="preserve">dollar effort without a corresponding benefit to prospective </w:t>
      </w:r>
      <w:r w:rsidR="00CE2C8B">
        <w:t>n</w:t>
      </w:r>
      <w:r w:rsidR="0071504C">
        <w:t xml:space="preserve">et </w:t>
      </w:r>
      <w:r w:rsidR="00CE2C8B">
        <w:t>b</w:t>
      </w:r>
      <w:r w:rsidR="0071504C">
        <w:t>illing tariff customers.</w:t>
      </w:r>
      <w:r w:rsidR="0071504C">
        <w:rPr>
          <w:rStyle w:val="FootnoteReference"/>
        </w:rPr>
        <w:footnoteReference w:id="381"/>
      </w:r>
      <w:r w:rsidR="0071504C">
        <w:t xml:space="preserve">  Joint Utilities also contend the record does not demonstrate that providing this more granular dat</w:t>
      </w:r>
      <w:r w:rsidR="00B26851">
        <w:t>a</w:t>
      </w:r>
      <w:r w:rsidR="0071504C">
        <w:t xml:space="preserve"> would improve forecasted customer bill savings</w:t>
      </w:r>
      <w:r w:rsidR="009615F0">
        <w:t xml:space="preserve"> and submits that Green Button data provides the same information</w:t>
      </w:r>
      <w:r w:rsidR="0071504C">
        <w:t>.</w:t>
      </w:r>
      <w:r w:rsidR="0071504C">
        <w:rPr>
          <w:rStyle w:val="FootnoteReference"/>
        </w:rPr>
        <w:footnoteReference w:id="382"/>
      </w:r>
    </w:p>
    <w:p w:rsidRPr="009615F0" w:rsidR="009615F0" w:rsidP="009615F0" w:rsidRDefault="009615F0" w14:paraId="7297AD61" w14:textId="2D8A748B">
      <w:pPr>
        <w:pStyle w:val="Standard"/>
      </w:pPr>
      <w:r w:rsidRPr="009615F0">
        <w:t>Allowing residential customers to access their 15</w:t>
      </w:r>
      <w:r w:rsidR="008E22AB">
        <w:noBreakHyphen/>
      </w:r>
      <w:r w:rsidRPr="009615F0">
        <w:t>minute interval consumption data will allow for more accurate bill savings estimate</w:t>
      </w:r>
      <w:r w:rsidR="00B26851">
        <w:t>s</w:t>
      </w:r>
      <w:r w:rsidRPr="009615F0">
        <w:t>.</w:t>
      </w:r>
      <w:r>
        <w:t xml:space="preserve"> </w:t>
      </w:r>
      <w:r w:rsidRPr="009615F0">
        <w:t xml:space="preserve"> </w:t>
      </w:r>
      <w:r>
        <w:t>T</w:t>
      </w:r>
      <w:r w:rsidRPr="009615F0">
        <w:t>he more granular (</w:t>
      </w:r>
      <w:r>
        <w:t xml:space="preserve">i.e., </w:t>
      </w:r>
      <w:r w:rsidRPr="009615F0">
        <w:t xml:space="preserve">shorter) the intervals are, </w:t>
      </w:r>
      <w:r>
        <w:t xml:space="preserve">the </w:t>
      </w:r>
      <w:r w:rsidRPr="009615F0">
        <w:t xml:space="preserve">less imports and exports </w:t>
      </w:r>
      <w:r>
        <w:t>will be</w:t>
      </w:r>
      <w:r w:rsidRPr="009615F0">
        <w:t xml:space="preserve"> “hidden” within th</w:t>
      </w:r>
      <w:r>
        <w:t>at</w:t>
      </w:r>
      <w:r w:rsidRPr="009615F0">
        <w:t xml:space="preserve"> data. This is particularly important during the shoulder hours where the sun is rising/setting and the customer is often shifting between being a net exporter to a net exporter at any given moment. </w:t>
      </w:r>
      <w:r>
        <w:t xml:space="preserve"> The Commission finds </w:t>
      </w:r>
      <w:r w:rsidR="00A81525">
        <w:t xml:space="preserve">providing this data will </w:t>
      </w:r>
      <w:r w:rsidRPr="009615F0">
        <w:t>benefit the accuracy of future netting adjustment factors by making the standard deviation less important.</w:t>
      </w:r>
    </w:p>
    <w:p w:rsidR="009615F0" w:rsidP="009615F0" w:rsidRDefault="009615F0" w14:paraId="653A86F3" w14:textId="3703CB75">
      <w:pPr>
        <w:pStyle w:val="Standard"/>
      </w:pPr>
      <w:r w:rsidRPr="009615F0">
        <w:t xml:space="preserve">As Aurora </w:t>
      </w:r>
      <w:r w:rsidR="00A81525">
        <w:t>asserted</w:t>
      </w:r>
      <w:r w:rsidRPr="009615F0">
        <w:t xml:space="preserve"> in opening comments, one</w:t>
      </w:r>
      <w:r w:rsidR="008E22AB">
        <w:noBreakHyphen/>
      </w:r>
      <w:r w:rsidRPr="009615F0">
        <w:t>minute intervals would be ideal.</w:t>
      </w:r>
      <w:r w:rsidR="00A81525">
        <w:rPr>
          <w:rStyle w:val="FootnoteReference"/>
        </w:rPr>
        <w:footnoteReference w:id="383"/>
      </w:r>
      <w:r w:rsidR="00A81525">
        <w:t xml:space="preserve"> </w:t>
      </w:r>
      <w:r w:rsidRPr="009615F0">
        <w:t xml:space="preserve"> A one</w:t>
      </w:r>
      <w:r w:rsidR="008E22AB">
        <w:noBreakHyphen/>
      </w:r>
      <w:r w:rsidRPr="009615F0">
        <w:t xml:space="preserve">minute interval would effectively render the adjustment factor unnecessary. </w:t>
      </w:r>
      <w:r w:rsidR="004F619B">
        <w:t xml:space="preserve"> </w:t>
      </w:r>
      <w:r w:rsidRPr="009615F0">
        <w:t>However, 15</w:t>
      </w:r>
      <w:r w:rsidR="008E22AB">
        <w:noBreakHyphen/>
      </w:r>
      <w:r w:rsidRPr="009615F0">
        <w:t xml:space="preserve">minute intervals </w:t>
      </w:r>
      <w:r w:rsidR="00A81525">
        <w:t>are</w:t>
      </w:r>
      <w:r w:rsidRPr="009615F0">
        <w:t xml:space="preserve"> the shortest interval available with current advanced metering infrastructure</w:t>
      </w:r>
      <w:r w:rsidR="00A81525">
        <w:t xml:space="preserve"> (AMI)</w:t>
      </w:r>
      <w:r w:rsidRPr="009615F0">
        <w:t xml:space="preserve">. </w:t>
      </w:r>
      <w:r w:rsidR="004F619B">
        <w:t xml:space="preserve"> </w:t>
      </w:r>
      <w:r w:rsidR="00A81525">
        <w:t xml:space="preserve">Furthermore, the Commission finds it is efficient to rely upon AMI data given </w:t>
      </w:r>
      <w:r w:rsidRPr="009615F0">
        <w:t xml:space="preserve">the </w:t>
      </w:r>
      <w:r w:rsidR="00A81525">
        <w:t>considerable</w:t>
      </w:r>
      <w:r w:rsidRPr="009615F0">
        <w:t xml:space="preserve"> ratepayer investment that</w:t>
      </w:r>
      <w:r w:rsidR="004F619B">
        <w:t xml:space="preserve"> ha</w:t>
      </w:r>
      <w:r w:rsidRPr="009615F0">
        <w:t xml:space="preserve">s been made in the </w:t>
      </w:r>
      <w:r w:rsidR="004F619B">
        <w:t>implementation</w:t>
      </w:r>
      <w:r w:rsidRPr="009615F0">
        <w:t xml:space="preserve"> of AMI.</w:t>
      </w:r>
      <w:r w:rsidR="004F619B">
        <w:t xml:space="preserve">  Hence, </w:t>
      </w:r>
      <w:r w:rsidR="004F619B">
        <w:lastRenderedPageBreak/>
        <w:t xml:space="preserve">this decision retains the directive for Joint Utilities to provide </w:t>
      </w:r>
      <w:r w:rsidR="001C7D02">
        <w:t>15</w:t>
      </w:r>
      <w:r w:rsidR="008E22AB">
        <w:noBreakHyphen/>
      </w:r>
      <w:r w:rsidR="001C7D02">
        <w:t>minute</w:t>
      </w:r>
      <w:r w:rsidR="004F619B">
        <w:t xml:space="preserve"> data to customers.</w:t>
      </w:r>
    </w:p>
    <w:p w:rsidR="00510DB0" w:rsidP="005E7044" w:rsidRDefault="008219BE" w14:paraId="5B8F8DA1" w14:textId="718D3965">
      <w:pPr>
        <w:pStyle w:val="Standard"/>
      </w:pPr>
      <w:r>
        <w:t>Regarding</w:t>
      </w:r>
      <w:r w:rsidR="003911F7">
        <w:t xml:space="preserve"> the latter concern, the Commission</w:t>
      </w:r>
      <w:r w:rsidR="00666036">
        <w:t xml:space="preserve"> recognize</w:t>
      </w:r>
      <w:r w:rsidR="003911F7">
        <w:t>s</w:t>
      </w:r>
      <w:r w:rsidR="00666036">
        <w:t xml:space="preserve"> the importance of providing accurate </w:t>
      </w:r>
      <w:r w:rsidR="003911F7">
        <w:t xml:space="preserve">bill </w:t>
      </w:r>
      <w:r w:rsidR="00666036">
        <w:t>saving</w:t>
      </w:r>
      <w:r w:rsidR="003911F7">
        <w:t>s</w:t>
      </w:r>
      <w:r w:rsidR="00666036">
        <w:t xml:space="preserve"> estimates</w:t>
      </w:r>
      <w:r w:rsidR="003911F7">
        <w:t xml:space="preserve"> to prospective customers.  </w:t>
      </w:r>
      <w:r w:rsidR="009355F1">
        <w:t>Cal Advoc</w:t>
      </w:r>
      <w:r w:rsidR="003911F7">
        <w:t xml:space="preserve">ates </w:t>
      </w:r>
      <w:r>
        <w:t>provide</w:t>
      </w:r>
      <w:r w:rsidR="00CA600D">
        <w:t>s</w:t>
      </w:r>
      <w:r>
        <w:t xml:space="preserve"> a comparison of the annual difference in residential customer’s net exports under no netting versus 15</w:t>
      </w:r>
      <w:r w:rsidR="00827602">
        <w:noBreakHyphen/>
      </w:r>
      <w:r>
        <w:t xml:space="preserve">minute interval netting.  In that comparison, </w:t>
      </w:r>
      <w:r w:rsidR="009355F1">
        <w:t>Cal Advoc</w:t>
      </w:r>
      <w:r>
        <w:t>ates offer</w:t>
      </w:r>
      <w:r w:rsidR="00CA600D">
        <w:t>s</w:t>
      </w:r>
      <w:r>
        <w:t xml:space="preserve"> an adjustment to convert total annual exports from hourly to no netting.</w:t>
      </w:r>
      <w:r>
        <w:rPr>
          <w:rStyle w:val="FootnoteReference"/>
        </w:rPr>
        <w:footnoteReference w:id="384"/>
      </w:r>
      <w:r>
        <w:t xml:space="preserve">  </w:t>
      </w:r>
      <w:r w:rsidR="005E70C4">
        <w:t>The Commission</w:t>
      </w:r>
      <w:r>
        <w:t xml:space="preserve"> find</w:t>
      </w:r>
      <w:r w:rsidR="005E70C4">
        <w:t>s</w:t>
      </w:r>
      <w:r>
        <w:t xml:space="preserve"> </w:t>
      </w:r>
      <w:r w:rsidR="005E70C4">
        <w:t>an</w:t>
      </w:r>
      <w:r>
        <w:t xml:space="preserve"> adjustment factor to be useful </w:t>
      </w:r>
      <w:r w:rsidR="005E70C4">
        <w:t>as</w:t>
      </w:r>
      <w:r>
        <w:t xml:space="preserve"> a proxy for no netting.</w:t>
      </w:r>
      <w:r w:rsidR="003911F7">
        <w:t xml:space="preserve"> </w:t>
      </w:r>
      <w:r w:rsidR="005E70C4">
        <w:t xml:space="preserve">Joint Utilities are directed to </w:t>
      </w:r>
      <w:r w:rsidR="0010258B">
        <w:t>propose</w:t>
      </w:r>
      <w:r w:rsidR="005E70C4">
        <w:t xml:space="preserve"> adjustment factors </w:t>
      </w:r>
      <w:r w:rsidR="0010258B">
        <w:t xml:space="preserve">through a </w:t>
      </w:r>
      <w:r w:rsidR="00BB092B">
        <w:t>Tier 3</w:t>
      </w:r>
      <w:r w:rsidR="0010258B">
        <w:t xml:space="preserve"> </w:t>
      </w:r>
      <w:r w:rsidR="0018427D">
        <w:t>a</w:t>
      </w:r>
      <w:r w:rsidR="0010258B">
        <w:t xml:space="preserve">dvice </w:t>
      </w:r>
      <w:r w:rsidR="0018427D">
        <w:t>l</w:t>
      </w:r>
      <w:r w:rsidR="0010258B">
        <w:t xml:space="preserve">etter to be submitted no later than 90 days from the </w:t>
      </w:r>
      <w:r w:rsidR="00F711E3">
        <w:t xml:space="preserve">adoption </w:t>
      </w:r>
      <w:r w:rsidR="0010258B">
        <w:t>of this decision</w:t>
      </w:r>
      <w:r w:rsidR="006C7201">
        <w:t xml:space="preserve"> and to update those adjustment factors in a </w:t>
      </w:r>
      <w:r w:rsidR="00B346C0">
        <w:t>Tier 1</w:t>
      </w:r>
      <w:r w:rsidR="006C7201">
        <w:t xml:space="preserve"> </w:t>
      </w:r>
      <w:r w:rsidR="0018427D">
        <w:t>a</w:t>
      </w:r>
      <w:r w:rsidR="006C7201">
        <w:t xml:space="preserve">dvice </w:t>
      </w:r>
      <w:r w:rsidR="0018427D">
        <w:t>l</w:t>
      </w:r>
      <w:r w:rsidR="006C7201">
        <w:t>etter annually thereafter</w:t>
      </w:r>
      <w:r w:rsidR="0010258B">
        <w:t>.  Following a Commission resolution</w:t>
      </w:r>
      <w:r w:rsidR="005D730E">
        <w:t xml:space="preserve"> on th</w:t>
      </w:r>
      <w:r w:rsidR="0018427D">
        <w:t>is</w:t>
      </w:r>
      <w:r w:rsidR="005D730E">
        <w:t xml:space="preserve"> </w:t>
      </w:r>
      <w:r w:rsidR="00BB092B">
        <w:t>Tier 3</w:t>
      </w:r>
      <w:r w:rsidR="005D730E">
        <w:t xml:space="preserve"> </w:t>
      </w:r>
      <w:r w:rsidR="0018427D">
        <w:t>a</w:t>
      </w:r>
      <w:r w:rsidR="005D730E">
        <w:t xml:space="preserve">dvice </w:t>
      </w:r>
      <w:r w:rsidR="0018427D">
        <w:t>l</w:t>
      </w:r>
      <w:r w:rsidR="005D730E">
        <w:t>etter</w:t>
      </w:r>
      <w:r w:rsidR="0010258B">
        <w:t>, the adopted adjustment factor can be incorporated into the bill savings inputs and assumption requirements for developers.</w:t>
      </w:r>
    </w:p>
    <w:p w:rsidRPr="003E14F7" w:rsidR="00252DB7" w:rsidP="005E7044" w:rsidRDefault="00252DB7" w14:paraId="001A3D28" w14:textId="0FD26753">
      <w:pPr>
        <w:pStyle w:val="Heading3"/>
        <w:keepLines w:val="0"/>
      </w:pPr>
      <w:bookmarkStart w:name="_Toc117674096" w:id="182"/>
      <w:bookmarkStart w:name="_Toc118285087" w:id="183"/>
      <w:bookmarkStart w:name="_Toc121854414" w:id="184"/>
      <w:r w:rsidRPr="003E14F7">
        <w:t>True</w:t>
      </w:r>
      <w:r w:rsidR="00827602">
        <w:noBreakHyphen/>
      </w:r>
      <w:r w:rsidRPr="003E14F7">
        <w:t>Up Period</w:t>
      </w:r>
      <w:bookmarkEnd w:id="182"/>
      <w:bookmarkEnd w:id="183"/>
      <w:bookmarkEnd w:id="184"/>
    </w:p>
    <w:p w:rsidR="00252DB7" w:rsidP="005E7044" w:rsidRDefault="00DC292A" w14:paraId="3A840C17" w14:textId="0A23FEE7">
      <w:pPr>
        <w:pStyle w:val="Standard"/>
      </w:pPr>
      <w:r>
        <w:t xml:space="preserve">Currently, net energy metering customers receive a monthly bill and, if the customer generates more </w:t>
      </w:r>
      <w:r w:rsidR="00E2278E">
        <w:t>bill credits</w:t>
      </w:r>
      <w:r>
        <w:t xml:space="preserve"> than they use </w:t>
      </w:r>
      <w:r w:rsidR="000F6251">
        <w:t>during that</w:t>
      </w:r>
      <w:r>
        <w:t xml:space="preserve"> month, they can carry forward the excess credits to the following months</w:t>
      </w:r>
      <w:r w:rsidR="00E2278E">
        <w:t>, within a 12</w:t>
      </w:r>
      <w:r w:rsidR="00827602">
        <w:noBreakHyphen/>
      </w:r>
      <w:r w:rsidR="00E2278E">
        <w:t>month period.  This is considered the annual true</w:t>
      </w:r>
      <w:r w:rsidR="00827602">
        <w:noBreakHyphen/>
      </w:r>
      <w:r w:rsidR="00E2278E">
        <w:t xml:space="preserve">up.  </w:t>
      </w:r>
      <w:r w:rsidR="003B3FF7">
        <w:t>I</w:t>
      </w:r>
      <w:r>
        <w:t xml:space="preserve">f </w:t>
      </w:r>
      <w:r w:rsidR="005813E4">
        <w:t>the net energy metering customer</w:t>
      </w:r>
      <w:r>
        <w:t xml:space="preserve"> </w:t>
      </w:r>
      <w:r w:rsidR="00E2278E">
        <w:t xml:space="preserve">incurs a bill greater than </w:t>
      </w:r>
      <w:r w:rsidR="006C7201">
        <w:t>their minimum bill</w:t>
      </w:r>
      <w:r w:rsidR="00824F76">
        <w:t>, they can carry forward the amount due to the next month</w:t>
      </w:r>
      <w:r w:rsidR="00E2278E">
        <w:t>, within a 12</w:t>
      </w:r>
      <w:r w:rsidR="00827602">
        <w:noBreakHyphen/>
      </w:r>
      <w:r w:rsidR="00E2278E">
        <w:t>month period</w:t>
      </w:r>
      <w:r w:rsidR="00824F76">
        <w:t xml:space="preserve">.  </w:t>
      </w:r>
      <w:r w:rsidR="006647E1">
        <w:t>This is referred to as annual billing</w:t>
      </w:r>
      <w:r w:rsidR="00EB5C4C">
        <w:t xml:space="preserve"> and is the relevant netting period for determining whether a customer has triggered federal jurisdiction under a state net </w:t>
      </w:r>
      <w:r w:rsidR="009B045F">
        <w:t xml:space="preserve">energy </w:t>
      </w:r>
      <w:r w:rsidR="00EB5C4C">
        <w:t xml:space="preserve">metering program by producing more power than the customer consumes over the billing </w:t>
      </w:r>
      <w:r w:rsidR="00EB5C4C">
        <w:lastRenderedPageBreak/>
        <w:t>period</w:t>
      </w:r>
      <w:r w:rsidR="006647E1">
        <w:t>.</w:t>
      </w:r>
      <w:r w:rsidR="00EB5C4C">
        <w:rPr>
          <w:rStyle w:val="FootnoteReference"/>
        </w:rPr>
        <w:footnoteReference w:id="385"/>
      </w:r>
      <w:r w:rsidR="006647E1">
        <w:t xml:space="preserve">  </w:t>
      </w:r>
      <w:r w:rsidR="00824F76">
        <w:t>On an annual basis</w:t>
      </w:r>
      <w:r w:rsidR="009B3B42">
        <w:t xml:space="preserve">, based on the </w:t>
      </w:r>
      <w:r w:rsidR="006647E1">
        <w:t xml:space="preserve">customer’s </w:t>
      </w:r>
      <w:r w:rsidR="009B3B42">
        <w:t>interconnection date</w:t>
      </w:r>
      <w:r w:rsidR="00824F76">
        <w:t>, each net energy metering customer’s bill is true</w:t>
      </w:r>
      <w:r w:rsidR="005813E4">
        <w:t>d</w:t>
      </w:r>
      <w:r w:rsidR="00827602">
        <w:noBreakHyphen/>
      </w:r>
      <w:r w:rsidR="00824F76">
        <w:t>up and the customer either pays the amount owed or receive</w:t>
      </w:r>
      <w:r w:rsidR="005813E4">
        <w:t>s compensation for any credits at the Net Surplus Compensation rate.</w:t>
      </w:r>
      <w:r w:rsidR="009B3B42">
        <w:rPr>
          <w:rStyle w:val="FootnoteReference"/>
        </w:rPr>
        <w:footnoteReference w:id="386"/>
      </w:r>
    </w:p>
    <w:p w:rsidRPr="00682BD3" w:rsidR="00682BD3" w:rsidP="005E7044" w:rsidRDefault="009B3B42" w14:paraId="316DAAD4" w14:textId="4D8F173A">
      <w:pPr>
        <w:pStyle w:val="Standard"/>
        <w:rPr>
          <w:szCs w:val="26"/>
        </w:rPr>
      </w:pPr>
      <w:r>
        <w:rPr>
          <w:szCs w:val="26"/>
        </w:rPr>
        <w:t>Joint Utilities propose that the annual true</w:t>
      </w:r>
      <w:r w:rsidR="00827602">
        <w:rPr>
          <w:szCs w:val="26"/>
        </w:rPr>
        <w:noBreakHyphen/>
      </w:r>
      <w:r>
        <w:rPr>
          <w:szCs w:val="26"/>
        </w:rPr>
        <w:t>up be converted to a month</w:t>
      </w:r>
      <w:r w:rsidR="00745F7B">
        <w:rPr>
          <w:szCs w:val="26"/>
        </w:rPr>
        <w:t>ly</w:t>
      </w:r>
      <w:r>
        <w:rPr>
          <w:szCs w:val="26"/>
        </w:rPr>
        <w:t xml:space="preserve"> true</w:t>
      </w:r>
      <w:r w:rsidR="00827602">
        <w:rPr>
          <w:szCs w:val="26"/>
        </w:rPr>
        <w:noBreakHyphen/>
      </w:r>
      <w:r>
        <w:rPr>
          <w:szCs w:val="26"/>
        </w:rPr>
        <w:t>up</w:t>
      </w:r>
      <w:r w:rsidR="000F6251">
        <w:rPr>
          <w:szCs w:val="26"/>
        </w:rPr>
        <w:t>.  Joint Utilities contend the current annual true</w:t>
      </w:r>
      <w:r w:rsidR="00827602">
        <w:rPr>
          <w:szCs w:val="26"/>
        </w:rPr>
        <w:noBreakHyphen/>
      </w:r>
      <w:r w:rsidR="000F6251">
        <w:rPr>
          <w:szCs w:val="26"/>
        </w:rPr>
        <w:t>up undermines greenhouse gas goals because it does not incentivize customers to shift load out of the on</w:t>
      </w:r>
      <w:r w:rsidR="00827602">
        <w:rPr>
          <w:szCs w:val="26"/>
        </w:rPr>
        <w:noBreakHyphen/>
      </w:r>
      <w:r w:rsidR="000F6251">
        <w:rPr>
          <w:szCs w:val="26"/>
        </w:rPr>
        <w:t>peak period and it results in non</w:t>
      </w:r>
      <w:r w:rsidR="00827602">
        <w:rPr>
          <w:szCs w:val="26"/>
        </w:rPr>
        <w:noBreakHyphen/>
      </w:r>
      <w:r w:rsidR="000F6251">
        <w:rPr>
          <w:szCs w:val="26"/>
        </w:rPr>
        <w:t>participating customers pay</w:t>
      </w:r>
      <w:r w:rsidR="00745F7B">
        <w:rPr>
          <w:szCs w:val="26"/>
        </w:rPr>
        <w:t>ing</w:t>
      </w:r>
      <w:r w:rsidR="000F6251">
        <w:rPr>
          <w:szCs w:val="26"/>
        </w:rPr>
        <w:t xml:space="preserve"> more for energy exports than they are worth.</w:t>
      </w:r>
      <w:r w:rsidR="000F6251">
        <w:rPr>
          <w:rStyle w:val="FootnoteReference"/>
          <w:szCs w:val="26"/>
        </w:rPr>
        <w:footnoteReference w:id="387"/>
      </w:r>
      <w:r w:rsidR="000F6251">
        <w:rPr>
          <w:szCs w:val="26"/>
        </w:rPr>
        <w:t xml:space="preserve">  Further, Joint Utilities assert requiring monthly true</w:t>
      </w:r>
      <w:r w:rsidR="00827602">
        <w:rPr>
          <w:szCs w:val="26"/>
        </w:rPr>
        <w:noBreakHyphen/>
      </w:r>
      <w:r w:rsidR="000F6251">
        <w:rPr>
          <w:szCs w:val="26"/>
        </w:rPr>
        <w:t xml:space="preserve">ups </w:t>
      </w:r>
      <w:r>
        <w:rPr>
          <w:szCs w:val="26"/>
        </w:rPr>
        <w:t>is consistent with federal law.</w:t>
      </w:r>
      <w:r w:rsidR="000F6251">
        <w:rPr>
          <w:rStyle w:val="FootnoteReference"/>
          <w:szCs w:val="26"/>
        </w:rPr>
        <w:footnoteReference w:id="388"/>
      </w:r>
    </w:p>
    <w:p w:rsidR="00852B18" w:rsidP="005E7044" w:rsidRDefault="00E07C03" w14:paraId="11AE616B" w14:textId="51F16D7A">
      <w:pPr>
        <w:pStyle w:val="Standard"/>
        <w:rPr>
          <w:szCs w:val="26"/>
        </w:rPr>
      </w:pPr>
      <w:r>
        <w:t xml:space="preserve">SEIA/Vote Solar and </w:t>
      </w:r>
      <w:proofErr w:type="spellStart"/>
      <w:r>
        <w:t>CALSSA</w:t>
      </w:r>
      <w:proofErr w:type="spellEnd"/>
      <w:r>
        <w:t xml:space="preserve"> oppose </w:t>
      </w:r>
      <w:r w:rsidR="00F57C3E">
        <w:t xml:space="preserve">requiring a </w:t>
      </w:r>
      <w:r>
        <w:t>monthly true</w:t>
      </w:r>
      <w:r w:rsidR="00827602">
        <w:noBreakHyphen/>
      </w:r>
      <w:r>
        <w:t xml:space="preserve">up.  </w:t>
      </w:r>
      <w:proofErr w:type="spellStart"/>
      <w:r w:rsidR="00852B18">
        <w:t>CALSSA</w:t>
      </w:r>
      <w:proofErr w:type="spellEnd"/>
      <w:r w:rsidR="00852B18">
        <w:t xml:space="preserve"> disputes Joint Utilities claim that </w:t>
      </w:r>
      <w:r w:rsidR="00852B18">
        <w:rPr>
          <w:szCs w:val="26"/>
        </w:rPr>
        <w:t>non</w:t>
      </w:r>
      <w:r w:rsidR="00827602">
        <w:rPr>
          <w:szCs w:val="26"/>
        </w:rPr>
        <w:noBreakHyphen/>
      </w:r>
      <w:r w:rsidR="00852B18">
        <w:rPr>
          <w:szCs w:val="26"/>
        </w:rPr>
        <w:t>participating customers are paying more for energy exports than they are worth if credits are generated at one time to offset consumption at a</w:t>
      </w:r>
      <w:r w:rsidR="00CA600D">
        <w:rPr>
          <w:szCs w:val="26"/>
        </w:rPr>
        <w:t xml:space="preserve"> different</w:t>
      </w:r>
      <w:r w:rsidR="00852B18">
        <w:rPr>
          <w:szCs w:val="26"/>
        </w:rPr>
        <w:t xml:space="preserve"> time.  </w:t>
      </w:r>
      <w:proofErr w:type="spellStart"/>
      <w:r w:rsidR="00852B18">
        <w:rPr>
          <w:szCs w:val="26"/>
        </w:rPr>
        <w:t>CALSSA</w:t>
      </w:r>
      <w:proofErr w:type="spellEnd"/>
      <w:r w:rsidR="00852B18">
        <w:rPr>
          <w:szCs w:val="26"/>
        </w:rPr>
        <w:t xml:space="preserve"> argues that the generation is credited for exactly what it is valued based upon the rate at that hour.</w:t>
      </w:r>
      <w:r w:rsidR="00852B18">
        <w:rPr>
          <w:rStyle w:val="FootnoteReference"/>
          <w:szCs w:val="26"/>
        </w:rPr>
        <w:footnoteReference w:id="389"/>
      </w:r>
      <w:r w:rsidR="00852B18">
        <w:rPr>
          <w:szCs w:val="26"/>
        </w:rPr>
        <w:t xml:space="preserve">  </w:t>
      </w:r>
      <w:proofErr w:type="spellStart"/>
      <w:r w:rsidR="00852B18">
        <w:rPr>
          <w:szCs w:val="26"/>
        </w:rPr>
        <w:t>CALSSA</w:t>
      </w:r>
      <w:proofErr w:type="spellEnd"/>
      <w:r w:rsidR="00852B18">
        <w:rPr>
          <w:szCs w:val="26"/>
        </w:rPr>
        <w:t xml:space="preserve"> explains that net energy metering credits are not a one</w:t>
      </w:r>
      <w:r w:rsidR="00827602">
        <w:rPr>
          <w:szCs w:val="26"/>
        </w:rPr>
        <w:noBreakHyphen/>
      </w:r>
      <w:r w:rsidR="00852B18">
        <w:rPr>
          <w:szCs w:val="26"/>
        </w:rPr>
        <w:t>for</w:t>
      </w:r>
      <w:r w:rsidR="00827602">
        <w:rPr>
          <w:szCs w:val="26"/>
        </w:rPr>
        <w:noBreakHyphen/>
      </w:r>
      <w:r w:rsidR="00852B18">
        <w:rPr>
          <w:szCs w:val="26"/>
        </w:rPr>
        <w:t>one exchange in kilowatt hours and provides the following example</w:t>
      </w:r>
      <w:r w:rsidR="00555CC0">
        <w:rPr>
          <w:szCs w:val="26"/>
        </w:rPr>
        <w:t xml:space="preserve">:  </w:t>
      </w:r>
      <w:r w:rsidR="00852B18">
        <w:rPr>
          <w:szCs w:val="26"/>
        </w:rPr>
        <w:t>monthly net generation during mid</w:t>
      </w:r>
      <w:r w:rsidR="00827602">
        <w:rPr>
          <w:szCs w:val="26"/>
        </w:rPr>
        <w:noBreakHyphen/>
      </w:r>
      <w:r w:rsidR="00852B18">
        <w:rPr>
          <w:szCs w:val="26"/>
        </w:rPr>
        <w:t>day hours in the spring are valued at winter off</w:t>
      </w:r>
      <w:r w:rsidR="00827602">
        <w:rPr>
          <w:szCs w:val="26"/>
        </w:rPr>
        <w:noBreakHyphen/>
      </w:r>
      <w:r w:rsidR="00852B18">
        <w:rPr>
          <w:szCs w:val="26"/>
        </w:rPr>
        <w:t xml:space="preserve">peak </w:t>
      </w:r>
      <w:r w:rsidR="00852B18">
        <w:rPr>
          <w:szCs w:val="26"/>
        </w:rPr>
        <w:lastRenderedPageBreak/>
        <w:t>rates and export credits during off</w:t>
      </w:r>
      <w:r w:rsidR="00827602">
        <w:rPr>
          <w:szCs w:val="26"/>
        </w:rPr>
        <w:noBreakHyphen/>
      </w:r>
      <w:r w:rsidR="00852B18">
        <w:rPr>
          <w:szCs w:val="26"/>
        </w:rPr>
        <w:t>peak hours are lower value than the rates for on</w:t>
      </w:r>
      <w:r w:rsidR="00827602">
        <w:rPr>
          <w:szCs w:val="26"/>
        </w:rPr>
        <w:noBreakHyphen/>
      </w:r>
      <w:r w:rsidR="00852B18">
        <w:rPr>
          <w:szCs w:val="26"/>
        </w:rPr>
        <w:t>peak energy consumed from the grid.</w:t>
      </w:r>
      <w:r w:rsidR="00852B18">
        <w:rPr>
          <w:rStyle w:val="FootnoteReference"/>
          <w:szCs w:val="26"/>
        </w:rPr>
        <w:footnoteReference w:id="390"/>
      </w:r>
    </w:p>
    <w:p w:rsidR="00533B2F" w:rsidP="005E7044" w:rsidRDefault="00852B18" w14:paraId="25EAE3DA" w14:textId="36DD0717">
      <w:pPr>
        <w:pStyle w:val="Standard"/>
      </w:pPr>
      <w:r>
        <w:rPr>
          <w:szCs w:val="26"/>
        </w:rPr>
        <w:t xml:space="preserve">Further, </w:t>
      </w:r>
      <w:proofErr w:type="spellStart"/>
      <w:r w:rsidR="00E07C03">
        <w:t>CALSSA</w:t>
      </w:r>
      <w:proofErr w:type="spellEnd"/>
      <w:r w:rsidR="00E07C03">
        <w:t xml:space="preserve"> </w:t>
      </w:r>
      <w:r>
        <w:t xml:space="preserve">contends </w:t>
      </w:r>
      <w:r w:rsidR="00E07C03">
        <w:t>that annual true</w:t>
      </w:r>
      <w:r w:rsidR="00827602">
        <w:noBreakHyphen/>
      </w:r>
      <w:r w:rsidR="00E07C03">
        <w:t xml:space="preserve">ups allow for the natural cycle of solar conditions, with systems producing two </w:t>
      </w:r>
      <w:r w:rsidR="00F57C3E">
        <w:t>or</w:t>
      </w:r>
      <w:r w:rsidR="00E07C03">
        <w:t xml:space="preserve"> three time</w:t>
      </w:r>
      <w:r w:rsidR="00F57C3E">
        <w:t>s</w:t>
      </w:r>
      <w:r w:rsidR="00E07C03">
        <w:t xml:space="preserve"> mor</w:t>
      </w:r>
      <w:r w:rsidR="00F57C3E">
        <w:t>e</w:t>
      </w:r>
      <w:r w:rsidR="00E07C03">
        <w:t xml:space="preserve"> electricity in the summer than in the winter.</w:t>
      </w:r>
      <w:r w:rsidR="00E07C03">
        <w:rPr>
          <w:rStyle w:val="FootnoteReference"/>
        </w:rPr>
        <w:footnoteReference w:id="391"/>
      </w:r>
      <w:r w:rsidR="00E07C03">
        <w:t xml:space="preserve">  </w:t>
      </w:r>
      <w:proofErr w:type="spellStart"/>
      <w:r w:rsidR="00E07C03">
        <w:t>CALSSA</w:t>
      </w:r>
      <w:proofErr w:type="spellEnd"/>
      <w:r w:rsidR="00E07C03">
        <w:t xml:space="preserve"> notes that, with monthly true</w:t>
      </w:r>
      <w:r w:rsidR="00827602">
        <w:noBreakHyphen/>
      </w:r>
      <w:r w:rsidR="00E07C03">
        <w:t xml:space="preserve">ups, if more generation than consumption occurs during a month, the customer is reimbursed at the net </w:t>
      </w:r>
      <w:r w:rsidR="006C7201">
        <w:t xml:space="preserve">surplus </w:t>
      </w:r>
      <w:r w:rsidR="00E07C03">
        <w:t>compensation rate rather than carrying forward credits to the following month.</w:t>
      </w:r>
      <w:r w:rsidR="00F57C3E">
        <w:rPr>
          <w:rStyle w:val="FootnoteReference"/>
        </w:rPr>
        <w:footnoteReference w:id="392"/>
      </w:r>
      <w:r w:rsidR="00F57C3E">
        <w:t xml:space="preserve">  </w:t>
      </w:r>
      <w:proofErr w:type="spellStart"/>
      <w:r w:rsidR="00F57C3E">
        <w:t>CALSSA</w:t>
      </w:r>
      <w:proofErr w:type="spellEnd"/>
      <w:r w:rsidR="00F57C3E">
        <w:t xml:space="preserve"> underscores this would hurt agricultural customers and schools most because their load is seasonal.</w:t>
      </w:r>
      <w:r w:rsidR="00F57C3E">
        <w:rPr>
          <w:rStyle w:val="FootnoteReference"/>
        </w:rPr>
        <w:footnoteReference w:id="393"/>
      </w:r>
    </w:p>
    <w:p w:rsidR="00533B2F" w:rsidP="005E7044" w:rsidRDefault="00384A70" w14:paraId="464D8E7B" w14:textId="3B74FE57">
      <w:pPr>
        <w:pStyle w:val="Standard"/>
      </w:pPr>
      <w:r>
        <w:t>This decision declines to revise the true</w:t>
      </w:r>
      <w:r w:rsidR="00827602">
        <w:noBreakHyphen/>
      </w:r>
      <w:r>
        <w:t xml:space="preserve">up period and retains, unchanged, the terms of the </w:t>
      </w:r>
      <w:r w:rsidR="00602BC5">
        <w:t>NEM 2.0</w:t>
      </w:r>
      <w:r w:rsidR="00135D55">
        <w:t xml:space="preserve"> </w:t>
      </w:r>
      <w:r>
        <w:t>tariff, which established the annual true</w:t>
      </w:r>
      <w:r w:rsidR="00827602">
        <w:noBreakHyphen/>
      </w:r>
      <w:r>
        <w:t xml:space="preserve">up one year from interconnection as the retail netting period.  </w:t>
      </w:r>
      <w:r w:rsidR="00063A84">
        <w:t>A</w:t>
      </w:r>
      <w:r w:rsidR="00FC204A">
        <w:t>nnual true</w:t>
      </w:r>
      <w:r w:rsidR="00827602">
        <w:noBreakHyphen/>
      </w:r>
      <w:r w:rsidR="00FC204A">
        <w:t xml:space="preserve">ups </w:t>
      </w:r>
      <w:r w:rsidR="00063A84">
        <w:t xml:space="preserve">are maintained </w:t>
      </w:r>
      <w:r w:rsidR="00FC204A">
        <w:t>for both residential and nonresidential customers</w:t>
      </w:r>
      <w:r w:rsidR="008009A4">
        <w:t xml:space="preserve"> of the successor tariff</w:t>
      </w:r>
      <w:r w:rsidR="00654639">
        <w:t xml:space="preserve">, meaning </w:t>
      </w:r>
      <w:r w:rsidR="00404A45">
        <w:t xml:space="preserve">bill </w:t>
      </w:r>
      <w:r w:rsidR="00654639">
        <w:t>credits can be carried forward to future months within a 12</w:t>
      </w:r>
      <w:r w:rsidR="00827602">
        <w:noBreakHyphen/>
      </w:r>
      <w:r w:rsidR="00654639">
        <w:t>month billing period</w:t>
      </w:r>
      <w:r w:rsidR="00FC204A">
        <w:t xml:space="preserve">.  </w:t>
      </w:r>
      <w:r>
        <w:t>C</w:t>
      </w:r>
      <w:r w:rsidR="000E0967">
        <w:t xml:space="preserve">ustomers </w:t>
      </w:r>
      <w:r w:rsidR="007A32CC">
        <w:t xml:space="preserve">may </w:t>
      </w:r>
      <w:r>
        <w:t>make a one</w:t>
      </w:r>
      <w:r w:rsidR="00827602">
        <w:noBreakHyphen/>
      </w:r>
      <w:r>
        <w:t xml:space="preserve">time </w:t>
      </w:r>
      <w:r w:rsidR="007A32CC">
        <w:t xml:space="preserve">request </w:t>
      </w:r>
      <w:r w:rsidR="00404A45">
        <w:t xml:space="preserve">that their </w:t>
      </w:r>
      <w:r w:rsidR="008009A4">
        <w:t>true</w:t>
      </w:r>
      <w:r w:rsidR="00827602">
        <w:noBreakHyphen/>
      </w:r>
      <w:r w:rsidR="008009A4">
        <w:t xml:space="preserve">up </w:t>
      </w:r>
      <w:r w:rsidR="00404A45">
        <w:t xml:space="preserve">date be changed going forward </w:t>
      </w:r>
      <w:r w:rsidR="007A32CC">
        <w:t xml:space="preserve">in order </w:t>
      </w:r>
      <w:r w:rsidR="008009A4">
        <w:t>to use any generation credits accrued in the summer</w:t>
      </w:r>
      <w:r w:rsidR="007A32CC">
        <w:t xml:space="preserve">, which will </w:t>
      </w:r>
      <w:r w:rsidR="008009A4">
        <w:t>alleviate winter bills.</w:t>
      </w:r>
    </w:p>
    <w:p w:rsidR="00533B2F" w:rsidP="005E7044" w:rsidRDefault="0041083E" w14:paraId="7E422ADE" w14:textId="466A6E25">
      <w:pPr>
        <w:pStyle w:val="Standard"/>
      </w:pPr>
      <w:r>
        <w:t>However,</w:t>
      </w:r>
      <w:r w:rsidR="00654639">
        <w:t xml:space="preserve"> </w:t>
      </w:r>
      <w:r w:rsidR="00063A84">
        <w:t xml:space="preserve">this decision </w:t>
      </w:r>
      <w:r w:rsidR="00654639">
        <w:t>require</w:t>
      </w:r>
      <w:r w:rsidR="00063A84">
        <w:t>s</w:t>
      </w:r>
      <w:r w:rsidR="00654639">
        <w:t xml:space="preserve"> residential customers and nonresidential customers to pay their bills monthly, meaning customers must pay all incurred charges every month.  </w:t>
      </w:r>
      <w:r w:rsidR="00063A84">
        <w:t xml:space="preserve">The Commission </w:t>
      </w:r>
      <w:r w:rsidR="00852B18">
        <w:t>agree</w:t>
      </w:r>
      <w:r w:rsidR="00063A84">
        <w:t>s</w:t>
      </w:r>
      <w:r w:rsidR="00852B18">
        <w:t xml:space="preserve"> with </w:t>
      </w:r>
      <w:proofErr w:type="spellStart"/>
      <w:r w:rsidR="00852B18">
        <w:t>CALSSA</w:t>
      </w:r>
      <w:proofErr w:type="spellEnd"/>
      <w:r w:rsidR="00852B18">
        <w:t xml:space="preserve"> that </w:t>
      </w:r>
      <w:r w:rsidR="00404A45">
        <w:t xml:space="preserve">an </w:t>
      </w:r>
      <w:r w:rsidR="008E3A9D">
        <w:t>annual true</w:t>
      </w:r>
      <w:r w:rsidR="00827602">
        <w:noBreakHyphen/>
      </w:r>
      <w:r w:rsidR="008E3A9D">
        <w:t xml:space="preserve">up allows </w:t>
      </w:r>
      <w:r w:rsidR="00852B18">
        <w:rPr>
          <w:szCs w:val="26"/>
        </w:rPr>
        <w:t xml:space="preserve">generation </w:t>
      </w:r>
      <w:r w:rsidR="008E3A9D">
        <w:rPr>
          <w:szCs w:val="26"/>
        </w:rPr>
        <w:t xml:space="preserve">to be </w:t>
      </w:r>
      <w:r w:rsidR="00852B18">
        <w:rPr>
          <w:szCs w:val="26"/>
        </w:rPr>
        <w:t>credited for exactly what it is valued based upon the rate at that hour</w:t>
      </w:r>
      <w:r w:rsidR="00FC204A">
        <w:t xml:space="preserve">.  </w:t>
      </w:r>
      <w:r w:rsidR="007465B7">
        <w:t xml:space="preserve">Further, </w:t>
      </w:r>
      <w:r w:rsidR="00063A84">
        <w:t xml:space="preserve">the Commission </w:t>
      </w:r>
      <w:r w:rsidR="007465B7">
        <w:t>disagree</w:t>
      </w:r>
      <w:r w:rsidR="00063A84">
        <w:t>s</w:t>
      </w:r>
      <w:r w:rsidR="007465B7">
        <w:t xml:space="preserve"> with Joint Utilities that </w:t>
      </w:r>
      <w:r w:rsidR="007465B7">
        <w:lastRenderedPageBreak/>
        <w:t>annual true</w:t>
      </w:r>
      <w:r w:rsidR="00827602">
        <w:noBreakHyphen/>
      </w:r>
      <w:r w:rsidR="007465B7">
        <w:t>ups undermine California’s greenhouse gas emissions goals.  Joint Utilities argue that currently a net energy metering customer can carry over credits during less costly month</w:t>
      </w:r>
      <w:r w:rsidR="00CA600D">
        <w:t>s</w:t>
      </w:r>
      <w:r w:rsidR="007465B7">
        <w:t xml:space="preserve"> to more costly months.</w:t>
      </w:r>
      <w:r w:rsidR="00427C4E">
        <w:rPr>
          <w:rStyle w:val="FootnoteReference"/>
        </w:rPr>
        <w:footnoteReference w:id="394"/>
      </w:r>
      <w:r w:rsidR="007465B7">
        <w:t xml:space="preserve">  However, as noted by </w:t>
      </w:r>
      <w:proofErr w:type="spellStart"/>
      <w:r w:rsidR="007465B7">
        <w:t>CALSSA</w:t>
      </w:r>
      <w:proofErr w:type="spellEnd"/>
      <w:r w:rsidR="007465B7">
        <w:t xml:space="preserve">, those </w:t>
      </w:r>
      <w:r w:rsidR="00B44665">
        <w:t xml:space="preserve">earned </w:t>
      </w:r>
      <w:r w:rsidR="007465B7">
        <w:t>credits are valued at the appropriate prices</w:t>
      </w:r>
      <w:r w:rsidR="00B44665">
        <w:t>.</w:t>
      </w:r>
      <w:r w:rsidR="00427C4E">
        <w:rPr>
          <w:rStyle w:val="FootnoteReference"/>
        </w:rPr>
        <w:footnoteReference w:id="395"/>
      </w:r>
      <w:r w:rsidR="00B44665">
        <w:t xml:space="preserve">  </w:t>
      </w:r>
      <w:r w:rsidR="00063A84">
        <w:t xml:space="preserve">The </w:t>
      </w:r>
      <w:r w:rsidR="00272500">
        <w:t xml:space="preserve">purpose in </w:t>
      </w:r>
      <w:r w:rsidR="005B5589">
        <w:t xml:space="preserve">maintaining </w:t>
      </w:r>
      <w:r w:rsidR="00387476">
        <w:t xml:space="preserve">annual </w:t>
      </w:r>
      <w:r w:rsidR="00D374EE">
        <w:t>true</w:t>
      </w:r>
      <w:r w:rsidR="00827602">
        <w:noBreakHyphen/>
      </w:r>
      <w:r w:rsidR="00D374EE">
        <w:t>up</w:t>
      </w:r>
      <w:r w:rsidR="001D29B8">
        <w:t xml:space="preserve"> period</w:t>
      </w:r>
      <w:r w:rsidR="00D374EE">
        <w:t>s</w:t>
      </w:r>
      <w:r w:rsidR="00272500">
        <w:t xml:space="preserve"> is to create a successor tariff that </w:t>
      </w:r>
      <w:r w:rsidR="008E3A9D">
        <w:t>balances the various requirements of the statute</w:t>
      </w:r>
      <w:r w:rsidR="00272500">
        <w:t>.</w:t>
      </w:r>
    </w:p>
    <w:p w:rsidR="000614BC" w:rsidP="005E7044" w:rsidRDefault="000614BC" w14:paraId="69980CF5" w14:textId="285FCCD7">
      <w:pPr>
        <w:pStyle w:val="Heading2"/>
        <w:keepLines w:val="0"/>
      </w:pPr>
      <w:bookmarkStart w:name="_Toc117674097" w:id="185"/>
      <w:bookmarkStart w:name="_Toc118285088" w:id="186"/>
      <w:bookmarkStart w:name="_Toc121854415" w:id="187"/>
      <w:r>
        <w:t>The Successor Tariff</w:t>
      </w:r>
      <w:bookmarkEnd w:id="185"/>
      <w:bookmarkEnd w:id="186"/>
      <w:bookmarkEnd w:id="187"/>
    </w:p>
    <w:p w:rsidR="004C1379" w:rsidP="00823631" w:rsidRDefault="00DD4A48" w14:paraId="757E688F" w14:textId="2ECA1B0F">
      <w:pPr>
        <w:pStyle w:val="Standard"/>
      </w:pPr>
      <w:r>
        <w:t xml:space="preserve">In </w:t>
      </w:r>
      <w:r w:rsidR="00063A84">
        <w:t xml:space="preserve">the </w:t>
      </w:r>
      <w:r>
        <w:t xml:space="preserve">review of the proposals filed in this proceeding, </w:t>
      </w:r>
      <w:r w:rsidR="00063A84">
        <w:t xml:space="preserve">this decision </w:t>
      </w:r>
      <w:r w:rsidR="00174F5C">
        <w:t>find</w:t>
      </w:r>
      <w:r w:rsidR="00063A84">
        <w:t>s</w:t>
      </w:r>
      <w:r>
        <w:t xml:space="preserve"> that no one proposal meets all the requirements of a successor tariff</w:t>
      </w:r>
      <w:r w:rsidR="00BB0D0A">
        <w:t xml:space="preserve">.  Many </w:t>
      </w:r>
      <w:r w:rsidR="004C1379">
        <w:t xml:space="preserve">proposals </w:t>
      </w:r>
      <w:r w:rsidR="00BB0D0A">
        <w:t>focused solely on meeting the cost</w:t>
      </w:r>
      <w:r w:rsidR="00827602">
        <w:noBreakHyphen/>
      </w:r>
      <w:r w:rsidR="00BB0D0A">
        <w:t>effectiveness thresholds and eliminating the cost</w:t>
      </w:r>
      <w:r w:rsidR="0029634B">
        <w:t xml:space="preserve"> </w:t>
      </w:r>
      <w:r w:rsidR="00BB0D0A">
        <w:t>shift without any true deference to attempting to ensure customer</w:t>
      </w:r>
      <w:r w:rsidR="00827602">
        <w:noBreakHyphen/>
      </w:r>
      <w:r w:rsidR="00745F7B">
        <w:t>sited</w:t>
      </w:r>
      <w:r w:rsidR="00BB0D0A">
        <w:t xml:space="preserve"> </w:t>
      </w:r>
      <w:r w:rsidR="00745F7B">
        <w:t xml:space="preserve">renewable </w:t>
      </w:r>
      <w:r w:rsidR="00BB0D0A">
        <w:t xml:space="preserve">generation continues to grow sustainably.  Other proposals make a less valiant effort at addressing the cost shift and focus </w:t>
      </w:r>
      <w:r w:rsidR="004E59AD">
        <w:t xml:space="preserve">primarily </w:t>
      </w:r>
      <w:r w:rsidR="00BB0D0A">
        <w:t xml:space="preserve">on maintaining the status quo.  </w:t>
      </w:r>
      <w:r>
        <w:t xml:space="preserve">However, </w:t>
      </w:r>
      <w:r w:rsidR="00BD3F1A">
        <w:t xml:space="preserve">as previously </w:t>
      </w:r>
      <w:r>
        <w:t xml:space="preserve">determined </w:t>
      </w:r>
      <w:r w:rsidR="00BD3F1A">
        <w:t xml:space="preserve">in this decision, </w:t>
      </w:r>
      <w:r>
        <w:t xml:space="preserve">many elements recommended </w:t>
      </w:r>
      <w:r w:rsidR="00BD3F1A">
        <w:t xml:space="preserve">by </w:t>
      </w:r>
      <w:r>
        <w:t xml:space="preserve">the proposals are appropriate </w:t>
      </w:r>
      <w:r w:rsidR="00BB0D0A">
        <w:t xml:space="preserve">for </w:t>
      </w:r>
      <w:r w:rsidR="005C3E1C">
        <w:t>a</w:t>
      </w:r>
      <w:r w:rsidR="00BB0D0A">
        <w:t xml:space="preserve"> successor tariff</w:t>
      </w:r>
      <w:r w:rsidR="004E59AD">
        <w:t xml:space="preserve"> and selecting these elements at an appropriate size or amount can help achieve a successful </w:t>
      </w:r>
      <w:r w:rsidR="005C3E1C">
        <w:t xml:space="preserve">successor </w:t>
      </w:r>
      <w:r w:rsidR="004E59AD">
        <w:t>tariff</w:t>
      </w:r>
      <w:r>
        <w:t>.</w:t>
      </w:r>
      <w:r w:rsidR="004E59AD">
        <w:t xml:space="preserve">  </w:t>
      </w:r>
      <w:r>
        <w:t xml:space="preserve">Accordingly, </w:t>
      </w:r>
      <w:r w:rsidR="00063A84">
        <w:t xml:space="preserve">this decision </w:t>
      </w:r>
      <w:r w:rsidR="004E59AD">
        <w:t>do</w:t>
      </w:r>
      <w:r w:rsidR="00063A84">
        <w:t>es</w:t>
      </w:r>
      <w:r w:rsidR="004E59AD">
        <w:t xml:space="preserve"> not adopt any </w:t>
      </w:r>
      <w:r w:rsidR="00384A70">
        <w:t xml:space="preserve">single </w:t>
      </w:r>
      <w:r w:rsidR="004E59AD">
        <w:t xml:space="preserve">proposed tariff but, rather, </w:t>
      </w:r>
      <w:r w:rsidR="00063A84">
        <w:t xml:space="preserve">the Commission </w:t>
      </w:r>
      <w:r>
        <w:t>ha</w:t>
      </w:r>
      <w:r w:rsidR="00063A84">
        <w:t>s</w:t>
      </w:r>
      <w:r>
        <w:t xml:space="preserve"> developed a successor net billing tariff that </w:t>
      </w:r>
      <w:r w:rsidR="00D04731">
        <w:t>balances</w:t>
      </w:r>
      <w:r>
        <w:t xml:space="preserve"> the </w:t>
      </w:r>
      <w:r w:rsidR="00D04731">
        <w:t xml:space="preserve">multiple </w:t>
      </w:r>
      <w:r>
        <w:t>guiding principles adopted in D.2</w:t>
      </w:r>
      <w:r w:rsidR="00745F7B">
        <w:t>1</w:t>
      </w:r>
      <w:r w:rsidR="00827602">
        <w:noBreakHyphen/>
      </w:r>
      <w:r>
        <w:t>02</w:t>
      </w:r>
      <w:r w:rsidR="00827602">
        <w:noBreakHyphen/>
      </w:r>
      <w:r>
        <w:t>0</w:t>
      </w:r>
      <w:r w:rsidR="00745F7B">
        <w:t>07</w:t>
      </w:r>
      <w:r>
        <w:t>.</w:t>
      </w:r>
    </w:p>
    <w:p w:rsidR="00910E81" w:rsidP="00823631" w:rsidRDefault="00DD4A48" w14:paraId="2FF781B0" w14:textId="45C1A8A6">
      <w:pPr>
        <w:pStyle w:val="Standard"/>
      </w:pPr>
      <w:r>
        <w:t xml:space="preserve">To distinguish this tariff from the two prior </w:t>
      </w:r>
      <w:r w:rsidR="00BD3F1A">
        <w:t xml:space="preserve">net energy metering </w:t>
      </w:r>
      <w:r>
        <w:t xml:space="preserve">tariffs, </w:t>
      </w:r>
      <w:r w:rsidR="00063A84">
        <w:t xml:space="preserve">this decision </w:t>
      </w:r>
      <w:r>
        <w:t>break</w:t>
      </w:r>
      <w:r w:rsidR="00063A84">
        <w:t>s</w:t>
      </w:r>
      <w:r>
        <w:t xml:space="preserve"> from the previous nomenclature</w:t>
      </w:r>
      <w:r w:rsidR="005D0F26">
        <w:t xml:space="preserve"> and do</w:t>
      </w:r>
      <w:r w:rsidR="00063A84">
        <w:t>es</w:t>
      </w:r>
      <w:r w:rsidR="005D0F26">
        <w:t xml:space="preserve"> not refer to this tariff</w:t>
      </w:r>
      <w:r>
        <w:t xml:space="preserve"> as </w:t>
      </w:r>
      <w:r w:rsidR="00FA6D19">
        <w:t>NEM 3.0</w:t>
      </w:r>
      <w:r>
        <w:t xml:space="preserve"> but rather</w:t>
      </w:r>
      <w:r w:rsidR="005D0F26">
        <w:t xml:space="preserve"> refer</w:t>
      </w:r>
      <w:r w:rsidR="00063A84">
        <w:t>s</w:t>
      </w:r>
      <w:r w:rsidR="005D0F26">
        <w:t xml:space="preserve"> to it as the </w:t>
      </w:r>
      <w:r w:rsidR="00CE2C8B">
        <w:t>n</w:t>
      </w:r>
      <w:r w:rsidR="005D0F26">
        <w:t xml:space="preserve">et </w:t>
      </w:r>
      <w:r w:rsidR="00CE2C8B">
        <w:t>b</w:t>
      </w:r>
      <w:r w:rsidR="005D0F26">
        <w:t>illing tariff</w:t>
      </w:r>
      <w:r w:rsidR="00D320A9">
        <w:t xml:space="preserve">.  </w:t>
      </w:r>
      <w:r w:rsidR="00910E81">
        <w:t xml:space="preserve">This decision </w:t>
      </w:r>
      <w:r w:rsidR="00910E81">
        <w:lastRenderedPageBreak/>
        <w:t xml:space="preserve">clarifies that all references to net energy metering requirements established in other decisions will continue to apply to the </w:t>
      </w:r>
      <w:r w:rsidR="00CE2C8B">
        <w:t>n</w:t>
      </w:r>
      <w:r w:rsidR="00910E81">
        <w:t xml:space="preserve">et </w:t>
      </w:r>
      <w:r w:rsidR="00CE2C8B">
        <w:t>b</w:t>
      </w:r>
      <w:r w:rsidR="00910E81">
        <w:t>illing tariff</w:t>
      </w:r>
      <w:r w:rsidR="00D17553">
        <w:t xml:space="preserve"> unless explicitly altered by this decision.  The Commission reiterates here that all consumer protection efforts initiated for prior net energy metering customers will continue for future customers taking service under the </w:t>
      </w:r>
      <w:r w:rsidR="00CE2C8B">
        <w:t>n</w:t>
      </w:r>
      <w:r w:rsidR="00D17553">
        <w:t xml:space="preserve">et </w:t>
      </w:r>
      <w:r w:rsidR="00CE2C8B">
        <w:t>b</w:t>
      </w:r>
      <w:r w:rsidR="00D17553">
        <w:t>illing tariff</w:t>
      </w:r>
      <w:r w:rsidR="00910E81">
        <w:t>.</w:t>
      </w:r>
    </w:p>
    <w:p w:rsidR="00F924CF" w:rsidP="00823631" w:rsidRDefault="00BD3F1A" w14:paraId="15EB238F" w14:textId="784F6147">
      <w:pPr>
        <w:pStyle w:val="Standard"/>
      </w:pPr>
      <w:r>
        <w:t xml:space="preserve">In the </w:t>
      </w:r>
      <w:r w:rsidR="005C3E1C">
        <w:t>successor</w:t>
      </w:r>
      <w:r>
        <w:t xml:space="preserve"> tariff, </w:t>
      </w:r>
      <w:r w:rsidR="00D04731">
        <w:t>the adopted</w:t>
      </w:r>
      <w:r>
        <w:t xml:space="preserve"> elements </w:t>
      </w:r>
      <w:r w:rsidR="00071337">
        <w:t xml:space="preserve">are rationalized and </w:t>
      </w:r>
      <w:r>
        <w:t>balance</w:t>
      </w:r>
      <w:r w:rsidR="00071337">
        <w:t>d</w:t>
      </w:r>
      <w:r>
        <w:t xml:space="preserve"> </w:t>
      </w:r>
      <w:r w:rsidR="00071337">
        <w:t xml:space="preserve">to meet </w:t>
      </w:r>
      <w:r>
        <w:t xml:space="preserve">the needs of the grid, </w:t>
      </w:r>
      <w:r w:rsidR="00D04731">
        <w:t xml:space="preserve">participating </w:t>
      </w:r>
      <w:r>
        <w:t xml:space="preserve">customers, and all other </w:t>
      </w:r>
      <w:r w:rsidR="00D04731">
        <w:t>customers</w:t>
      </w:r>
      <w:r>
        <w:t xml:space="preserve">, as well as the environment.  </w:t>
      </w:r>
      <w:r w:rsidR="00063A84">
        <w:t>E</w:t>
      </w:r>
      <w:r w:rsidR="00D320A9">
        <w:t xml:space="preserve">ach of the elements of the new tariff </w:t>
      </w:r>
      <w:r w:rsidR="00AA4ED3">
        <w:t xml:space="preserve">is </w:t>
      </w:r>
      <w:r w:rsidR="00063A84">
        <w:t xml:space="preserve">discussed </w:t>
      </w:r>
      <w:r w:rsidR="00D320A9">
        <w:t>below and describe</w:t>
      </w:r>
      <w:r w:rsidR="00063A84">
        <w:t>d</w:t>
      </w:r>
      <w:r w:rsidR="00D320A9">
        <w:t xml:space="preserve"> </w:t>
      </w:r>
      <w:r w:rsidR="00D17553">
        <w:t xml:space="preserve">in </w:t>
      </w:r>
      <w:r w:rsidR="00AA4ED3">
        <w:t xml:space="preserve">terms of </w:t>
      </w:r>
      <w:r w:rsidR="00D320A9">
        <w:t>how it meets the multiple requirements of the guiding principles</w:t>
      </w:r>
      <w:r w:rsidR="004C1379">
        <w:t>.</w:t>
      </w:r>
      <w:r w:rsidR="00F93165">
        <w:t xml:space="preserve">  T</w:t>
      </w:r>
      <w:r w:rsidR="00092670">
        <w:t>o illustrate a</w:t>
      </w:r>
      <w:r w:rsidR="00F56CCE">
        <w:t>n example of how</w:t>
      </w:r>
      <w:r w:rsidR="00092670">
        <w:t xml:space="preserve"> t</w:t>
      </w:r>
      <w:r w:rsidR="00F93165">
        <w:t xml:space="preserve">o ensure customer understanding of the successor tariff, a description of the </w:t>
      </w:r>
      <w:r w:rsidR="00CE2C8B">
        <w:t>n</w:t>
      </w:r>
      <w:r w:rsidR="00F93165">
        <w:t xml:space="preserve">et </w:t>
      </w:r>
      <w:r w:rsidR="00CE2C8B">
        <w:t>b</w:t>
      </w:r>
      <w:r w:rsidR="00F93165">
        <w:t xml:space="preserve">illing tariff developed for customers </w:t>
      </w:r>
      <w:r w:rsidR="001F5254">
        <w:t xml:space="preserve">is provided </w:t>
      </w:r>
      <w:r w:rsidR="00F93165">
        <w:t xml:space="preserve">in </w:t>
      </w:r>
      <w:r w:rsidR="00123055">
        <w:t>Appendix A</w:t>
      </w:r>
      <w:r w:rsidR="00F93165">
        <w:t>.</w:t>
      </w:r>
      <w:r w:rsidR="00092670">
        <w:t xml:space="preserve">  Such a description can be used in customer education materials such as the California Solar Consumer Protection Guide</w:t>
      </w:r>
      <w:r w:rsidR="006F649C">
        <w:t xml:space="preserve">, which will </w:t>
      </w:r>
      <w:r w:rsidR="00D17553">
        <w:t xml:space="preserve">also </w:t>
      </w:r>
      <w:r w:rsidR="006F649C">
        <w:t xml:space="preserve">apply to the </w:t>
      </w:r>
      <w:r w:rsidR="00CE2C8B">
        <w:t>n</w:t>
      </w:r>
      <w:r w:rsidR="006F649C">
        <w:t xml:space="preserve">et </w:t>
      </w:r>
      <w:r w:rsidR="00CE2C8B">
        <w:t>b</w:t>
      </w:r>
      <w:r w:rsidR="006F649C">
        <w:t>illing tariff</w:t>
      </w:r>
      <w:r w:rsidR="00092670">
        <w:t>.</w:t>
      </w:r>
    </w:p>
    <w:p w:rsidR="00D320A9" w:rsidP="005E7044" w:rsidRDefault="00B87E54" w14:paraId="433AF513" w14:textId="109BBEAE">
      <w:pPr>
        <w:pStyle w:val="Heading3"/>
        <w:keepLines w:val="0"/>
      </w:pPr>
      <w:bookmarkStart w:name="_Toc118285089" w:id="188"/>
      <w:bookmarkStart w:name="_Toc121854416" w:id="189"/>
      <w:r>
        <w:t xml:space="preserve">Retail </w:t>
      </w:r>
      <w:bookmarkStart w:name="_Toc117674098" w:id="190"/>
      <w:r w:rsidR="00D320A9">
        <w:t>Export Compensation</w:t>
      </w:r>
      <w:r w:rsidR="007E4E1B">
        <w:br/>
      </w:r>
      <w:r w:rsidR="0025229C">
        <w:t xml:space="preserve">Rates </w:t>
      </w:r>
      <w:r w:rsidR="00D320A9">
        <w:t>Based on</w:t>
      </w:r>
      <w:r w:rsidR="0025229C">
        <w:t xml:space="preserve"> </w:t>
      </w:r>
      <w:r w:rsidR="00D320A9">
        <w:t>Avoided</w:t>
      </w:r>
      <w:r w:rsidR="007E4E1B">
        <w:br/>
      </w:r>
      <w:r w:rsidR="00D320A9">
        <w:t>Cost Calculator Values</w:t>
      </w:r>
      <w:bookmarkEnd w:id="188"/>
      <w:bookmarkEnd w:id="189"/>
      <w:bookmarkEnd w:id="190"/>
    </w:p>
    <w:p w:rsidR="00F924CF" w:rsidP="005E7044" w:rsidRDefault="00D320A9" w14:paraId="78BFE29D" w14:textId="23341923">
      <w:pPr>
        <w:pStyle w:val="Standard"/>
      </w:pPr>
      <w:r>
        <w:t xml:space="preserve">In </w:t>
      </w:r>
      <w:r w:rsidR="0034029C">
        <w:t>Section 8</w:t>
      </w:r>
      <w:r>
        <w:t xml:space="preserve">.4.1, </w:t>
      </w:r>
      <w:r w:rsidR="001F5254">
        <w:t>this decision</w:t>
      </w:r>
      <w:r>
        <w:t xml:space="preserve"> determined that </w:t>
      </w:r>
      <w:r w:rsidR="00B87E54">
        <w:t xml:space="preserve">retail </w:t>
      </w:r>
      <w:r>
        <w:t xml:space="preserve">export compensation </w:t>
      </w:r>
      <w:r w:rsidR="00B87E54">
        <w:t xml:space="preserve">rates </w:t>
      </w:r>
      <w:r>
        <w:t xml:space="preserve">should be based on values derived from the Avoided Cost Calculator.  </w:t>
      </w:r>
      <w:r w:rsidR="00F924CF">
        <w:t xml:space="preserve">While several parties (Joint Utilities, NRDC, </w:t>
      </w:r>
      <w:r w:rsidR="009355F1">
        <w:t>Cal Advoc</w:t>
      </w:r>
      <w:r w:rsidR="00F924CF">
        <w:t xml:space="preserve">ates, and TURN) advocate for use of the Avoided Cost Calculator, there are differences in the specifics of the proposals.  </w:t>
      </w:r>
      <w:r w:rsidR="001F5254">
        <w:t>T</w:t>
      </w:r>
      <w:r w:rsidR="00F924CF">
        <w:t>he pros and cons for these differences</w:t>
      </w:r>
      <w:r>
        <w:t xml:space="preserve"> and </w:t>
      </w:r>
      <w:r w:rsidR="00DB4129">
        <w:t xml:space="preserve">the </w:t>
      </w:r>
      <w:r>
        <w:t xml:space="preserve">adopted </w:t>
      </w:r>
      <w:r w:rsidR="00B87E54">
        <w:t xml:space="preserve">retail </w:t>
      </w:r>
      <w:r>
        <w:t xml:space="preserve">export compensation </w:t>
      </w:r>
      <w:r w:rsidR="00DB4129">
        <w:t xml:space="preserve">rate </w:t>
      </w:r>
      <w:r>
        <w:t>structure</w:t>
      </w:r>
      <w:r w:rsidR="001F5254">
        <w:t xml:space="preserve"> are discussed below</w:t>
      </w:r>
      <w:r>
        <w:t>.</w:t>
      </w:r>
    </w:p>
    <w:p w:rsidR="00F924CF" w:rsidP="005E7044" w:rsidRDefault="001F5254" w14:paraId="74658DAE" w14:textId="701F5C20">
      <w:pPr>
        <w:pStyle w:val="Standard"/>
      </w:pPr>
      <w:r>
        <w:t>The</w:t>
      </w:r>
      <w:r w:rsidR="00F924CF">
        <w:t xml:space="preserve"> Joint Utilities proposal</w:t>
      </w:r>
      <w:r>
        <w:t xml:space="preserve"> </w:t>
      </w:r>
      <w:r w:rsidR="00F924CF">
        <w:t>aggregate</w:t>
      </w:r>
      <w:r>
        <w:t>s</w:t>
      </w:r>
      <w:r w:rsidR="00F924CF">
        <w:t xml:space="preserve"> the 8,760</w:t>
      </w:r>
      <w:r w:rsidR="00CF3935">
        <w:t> </w:t>
      </w:r>
      <w:r w:rsidR="00F924CF">
        <w:t xml:space="preserve">hourly avoided cost values produced by the Avoided Cost Calculator into </w:t>
      </w:r>
      <w:r w:rsidR="00B87E54">
        <w:t xml:space="preserve">retail </w:t>
      </w:r>
      <w:r w:rsidR="00F924CF">
        <w:t>export compensation rates, weight</w:t>
      </w:r>
      <w:r w:rsidR="00EF6CBE">
        <w:t>s</w:t>
      </w:r>
      <w:r w:rsidR="00F924CF">
        <w:t xml:space="preserve"> the </w:t>
      </w:r>
      <w:r w:rsidR="00CF4EFC">
        <w:t>one</w:t>
      </w:r>
      <w:r w:rsidR="00827602">
        <w:noBreakHyphen/>
      </w:r>
      <w:r w:rsidR="00F924CF">
        <w:t xml:space="preserve">year levelized avoided costs by metered customers’ exports, </w:t>
      </w:r>
      <w:r w:rsidR="00595548">
        <w:t>using time</w:t>
      </w:r>
      <w:r w:rsidR="00827602">
        <w:noBreakHyphen/>
      </w:r>
      <w:r w:rsidR="00595548">
        <w:t>of</w:t>
      </w:r>
      <w:r w:rsidR="00827602">
        <w:noBreakHyphen/>
      </w:r>
      <w:r w:rsidR="00595548">
        <w:t>export periods that match the time</w:t>
      </w:r>
      <w:r w:rsidR="00827602">
        <w:noBreakHyphen/>
      </w:r>
      <w:r w:rsidR="00595548">
        <w:t>of</w:t>
      </w:r>
      <w:r w:rsidR="00827602">
        <w:noBreakHyphen/>
      </w:r>
      <w:r w:rsidR="00595548">
        <w:t xml:space="preserve">use periods of the </w:t>
      </w:r>
      <w:r w:rsidR="00595548">
        <w:lastRenderedPageBreak/>
        <w:t xml:space="preserve">underlying tariff, </w:t>
      </w:r>
      <w:r w:rsidR="00F924CF">
        <w:t>and cap</w:t>
      </w:r>
      <w:r w:rsidR="00EF6CBE">
        <w:t>s</w:t>
      </w:r>
      <w:r w:rsidR="00F924CF">
        <w:t xml:space="preserve"> rates at no more than the corresponding retail rate in each time period.  The resulting rates would be updated following the adoption of the Avoided Cost Calculator</w:t>
      </w:r>
      <w:r w:rsidR="00FC203C">
        <w:t>, which is currently conducted on a biannual basis as directed in D.22</w:t>
      </w:r>
      <w:r w:rsidR="00827602">
        <w:noBreakHyphen/>
      </w:r>
      <w:r w:rsidR="00FC203C">
        <w:t>05</w:t>
      </w:r>
      <w:r w:rsidR="00827602">
        <w:noBreakHyphen/>
      </w:r>
      <w:r w:rsidR="00FC203C">
        <w:t>002</w:t>
      </w:r>
      <w:r w:rsidR="00F924CF">
        <w:t xml:space="preserve">.  </w:t>
      </w:r>
      <w:proofErr w:type="spellStart"/>
      <w:r w:rsidR="00F924CF">
        <w:t>CALSSA</w:t>
      </w:r>
      <w:proofErr w:type="spellEnd"/>
      <w:r w:rsidR="00F924CF">
        <w:t xml:space="preserve"> surmises this approach would require customers and developers to predict the values for thirteen separate rates (six </w:t>
      </w:r>
      <w:r w:rsidR="00B87E54">
        <w:t xml:space="preserve">retail </w:t>
      </w:r>
      <w:r w:rsidR="00F924CF">
        <w:t xml:space="preserve">export </w:t>
      </w:r>
      <w:r w:rsidR="00116E9B">
        <w:t xml:space="preserve">compensation </w:t>
      </w:r>
      <w:r w:rsidR="00F924CF">
        <w:t>rates, six</w:t>
      </w:r>
      <w:r w:rsidR="009D251E">
        <w:t xml:space="preserve"> </w:t>
      </w:r>
      <w:r w:rsidR="00F924CF">
        <w:t xml:space="preserve">retail </w:t>
      </w:r>
      <w:r w:rsidR="00B87E54">
        <w:t xml:space="preserve">import </w:t>
      </w:r>
      <w:r w:rsidR="00F924CF">
        <w:t xml:space="preserve">rates and the net surplus </w:t>
      </w:r>
      <w:r w:rsidR="00720271">
        <w:t xml:space="preserve">compensation </w:t>
      </w:r>
      <w:r w:rsidR="00F924CF">
        <w:t>rate) in order to predict the benefits of installing solar.</w:t>
      </w:r>
      <w:r w:rsidR="00F924CF">
        <w:rPr>
          <w:rStyle w:val="FootnoteReference"/>
        </w:rPr>
        <w:footnoteReference w:id="396"/>
      </w:r>
      <w:r w:rsidR="00F924CF">
        <w:t xml:space="preserve">  </w:t>
      </w:r>
      <w:proofErr w:type="spellStart"/>
      <w:r w:rsidR="00F924CF">
        <w:t>CALSSA</w:t>
      </w:r>
      <w:proofErr w:type="spellEnd"/>
      <w:r w:rsidR="00F924CF">
        <w:t xml:space="preserve"> also contends capping the </w:t>
      </w:r>
      <w:r w:rsidR="00B87E54">
        <w:t xml:space="preserve">retail </w:t>
      </w:r>
      <w:r w:rsidR="00F924CF">
        <w:t xml:space="preserve">export </w:t>
      </w:r>
      <w:r w:rsidR="00116E9B">
        <w:t xml:space="preserve">compensation </w:t>
      </w:r>
      <w:r w:rsidR="00F924CF">
        <w:t xml:space="preserve">rate at the retail </w:t>
      </w:r>
      <w:r w:rsidR="00B87E54">
        <w:t xml:space="preserve">import </w:t>
      </w:r>
      <w:r w:rsidR="00F924CF">
        <w:t>rate creates a double standard in that Joint Utilities only rely on the Avoided Cost Calculator to a point.</w:t>
      </w:r>
      <w:r w:rsidR="00F924CF">
        <w:rPr>
          <w:rStyle w:val="FootnoteReference"/>
        </w:rPr>
        <w:footnoteReference w:id="397"/>
      </w:r>
      <w:r w:rsidR="00F924CF">
        <w:t xml:space="preserve">  Further, </w:t>
      </w:r>
      <w:proofErr w:type="spellStart"/>
      <w:r w:rsidR="00F924CF">
        <w:t>CALSSA</w:t>
      </w:r>
      <w:proofErr w:type="spellEnd"/>
      <w:r w:rsidR="00F924CF">
        <w:t xml:space="preserve"> underscores this approach provides no glide</w:t>
      </w:r>
      <w:r w:rsidR="005C3E1C">
        <w:t xml:space="preserve"> </w:t>
      </w:r>
      <w:r w:rsidR="00F924CF">
        <w:t xml:space="preserve">path for the industry and declares these aspects of the proposal will leave customers with excessive uncertainty about their investments.  Asserting these aspects of the proposal will result in a </w:t>
      </w:r>
      <w:r w:rsidR="00B87E54">
        <w:t xml:space="preserve">retail </w:t>
      </w:r>
      <w:r w:rsidR="00F924CF">
        <w:t xml:space="preserve">export </w:t>
      </w:r>
      <w:r w:rsidR="00116E9B">
        <w:t xml:space="preserve">compensation </w:t>
      </w:r>
      <w:r w:rsidR="00F924CF">
        <w:t>rate decline of 64 to 8</w:t>
      </w:r>
      <w:r w:rsidR="00C04724">
        <w:t>4 percent</w:t>
      </w:r>
      <w:r w:rsidR="00F924CF">
        <w:t xml:space="preserve">, </w:t>
      </w:r>
      <w:proofErr w:type="spellStart"/>
      <w:r w:rsidR="00F924CF">
        <w:t>CALSSA</w:t>
      </w:r>
      <w:proofErr w:type="spellEnd"/>
      <w:r w:rsidR="00F924CF">
        <w:t xml:space="preserve"> contends this is in opposition to the requirement for sustainable growth.</w:t>
      </w:r>
      <w:r w:rsidR="00F924CF">
        <w:rPr>
          <w:rStyle w:val="FootnoteReference"/>
        </w:rPr>
        <w:footnoteReference w:id="398"/>
      </w:r>
    </w:p>
    <w:p w:rsidR="00F924CF" w:rsidP="005E7044" w:rsidRDefault="00F924CF" w14:paraId="76F934BC" w14:textId="59D504E9">
      <w:pPr>
        <w:pStyle w:val="Standard"/>
      </w:pPr>
      <w:r>
        <w:t xml:space="preserve">With respect to the correct </w:t>
      </w:r>
      <w:proofErr w:type="spellStart"/>
      <w:r>
        <w:t>levelization</w:t>
      </w:r>
      <w:proofErr w:type="spellEnd"/>
      <w:r>
        <w:t xml:space="preserve"> period, </w:t>
      </w:r>
      <w:proofErr w:type="spellStart"/>
      <w:r>
        <w:t>CALSSA</w:t>
      </w:r>
      <w:proofErr w:type="spellEnd"/>
      <w:r>
        <w:t xml:space="preserve"> and SEIA/Vote Solar support a period of 25 years since systems are a 25</w:t>
      </w:r>
      <w:r w:rsidR="00827602">
        <w:noBreakHyphen/>
      </w:r>
      <w:r>
        <w:t>year resource.</w:t>
      </w:r>
      <w:r>
        <w:rPr>
          <w:rStyle w:val="FootnoteReference"/>
        </w:rPr>
        <w:footnoteReference w:id="399"/>
      </w:r>
      <w:r>
        <w:t xml:space="preserve">  Joint Utilities contend one</w:t>
      </w:r>
      <w:r w:rsidR="00827602">
        <w:noBreakHyphen/>
      </w:r>
      <w:r>
        <w:t>year forward time</w:t>
      </w:r>
      <w:r w:rsidR="00827602">
        <w:noBreakHyphen/>
      </w:r>
      <w:r>
        <w:t>differentiated avoided costs, updated annually</w:t>
      </w:r>
      <w:r w:rsidR="005F270C">
        <w:t>,</w:t>
      </w:r>
      <w:r>
        <w:t xml:space="preserve"> more closely align with the value of exports to the system over the course of a day and a season as well as the character of system benefits as they </w:t>
      </w:r>
      <w:r>
        <w:lastRenderedPageBreak/>
        <w:t>evolve annually.</w:t>
      </w:r>
      <w:r>
        <w:rPr>
          <w:rStyle w:val="FootnoteReference"/>
        </w:rPr>
        <w:footnoteReference w:id="400"/>
      </w:r>
      <w:r>
        <w:t xml:space="preserve">  Joint Utilities highlight that several parties agree forecasts are not </w:t>
      </w:r>
      <w:r w:rsidR="002F327F">
        <w:t xml:space="preserve">an </w:t>
      </w:r>
      <w:r>
        <w:t>exact science and are more accurate the closer they are to the present.</w:t>
      </w:r>
      <w:r>
        <w:rPr>
          <w:rStyle w:val="FootnoteReference"/>
        </w:rPr>
        <w:footnoteReference w:id="401"/>
      </w:r>
      <w:r>
        <w:t xml:space="preserve">  However, NRDC and </w:t>
      </w:r>
      <w:r w:rsidR="009355F1">
        <w:t>Cal Advoc</w:t>
      </w:r>
      <w:r>
        <w:t>ates take</w:t>
      </w:r>
      <w:r w:rsidR="00CA600D">
        <w:t>s</w:t>
      </w:r>
      <w:r>
        <w:t xml:space="preserve"> a different approach, looking at three and four years of avoided costs to </w:t>
      </w:r>
      <w:r w:rsidR="00BA1EAE">
        <w:t>“</w:t>
      </w:r>
      <w:r>
        <w:t>maintain current information but provide customers with more certainty on net energy metering earnings.</w:t>
      </w:r>
      <w:r w:rsidR="00BA1EAE">
        <w:t>”</w:t>
      </w:r>
      <w:r>
        <w:rPr>
          <w:rStyle w:val="FootnoteReference"/>
        </w:rPr>
        <w:footnoteReference w:id="402"/>
      </w:r>
    </w:p>
    <w:p w:rsidR="00F924CF" w:rsidP="005E7044" w:rsidRDefault="00F924CF" w14:paraId="5168F91F" w14:textId="3885A53A">
      <w:pPr>
        <w:pStyle w:val="Standard"/>
      </w:pPr>
      <w:r>
        <w:t xml:space="preserve">Very similar to Joint Utilities’ proposal, </w:t>
      </w:r>
      <w:r w:rsidR="009355F1">
        <w:t>Cal Advoc</w:t>
      </w:r>
      <w:r>
        <w:t>ates propose</w:t>
      </w:r>
      <w:r w:rsidR="00CA600D">
        <w:t>s</w:t>
      </w:r>
      <w:r>
        <w:t xml:space="preserve"> the </w:t>
      </w:r>
      <w:r w:rsidR="00B87E54">
        <w:t xml:space="preserve">retail </w:t>
      </w:r>
      <w:r>
        <w:t>export compensation rate would be based on avoided cost</w:t>
      </w:r>
      <w:r w:rsidR="00595548">
        <w:t>s</w:t>
      </w:r>
      <w:r>
        <w:t xml:space="preserve"> and vary by time</w:t>
      </w:r>
      <w:r w:rsidR="00827602">
        <w:noBreakHyphen/>
      </w:r>
      <w:r>
        <w:t>of</w:t>
      </w:r>
      <w:r w:rsidR="00827602">
        <w:noBreakHyphen/>
      </w:r>
      <w:r>
        <w:t xml:space="preserve">use period to reflect </w:t>
      </w:r>
      <w:r w:rsidR="005C3E1C">
        <w:t xml:space="preserve">the </w:t>
      </w:r>
      <w:r>
        <w:t>time</w:t>
      </w:r>
      <w:r w:rsidR="00827602">
        <w:noBreakHyphen/>
      </w:r>
      <w:r>
        <w:t xml:space="preserve">varying nature of marginal costs, which </w:t>
      </w:r>
      <w:r w:rsidR="009355F1">
        <w:t>Cal Advoc</w:t>
      </w:r>
      <w:r>
        <w:t>ates contend</w:t>
      </w:r>
      <w:r w:rsidR="00CA600D">
        <w:t>s</w:t>
      </w:r>
      <w:r>
        <w:t xml:space="preserve"> will improve rate stability and minimize confusion.</w:t>
      </w:r>
      <w:r>
        <w:rPr>
          <w:rStyle w:val="FootnoteReference"/>
        </w:rPr>
        <w:footnoteReference w:id="403"/>
      </w:r>
      <w:r>
        <w:t xml:space="preserve">  However, </w:t>
      </w:r>
      <w:r w:rsidR="009355F1">
        <w:t>Cal Advoc</w:t>
      </w:r>
      <w:r>
        <w:t>ates also recommend</w:t>
      </w:r>
      <w:r w:rsidR="00CA600D">
        <w:t>s</w:t>
      </w:r>
      <w:r>
        <w:t xml:space="preserve"> the avoided costs </w:t>
      </w:r>
      <w:r w:rsidR="002668A8">
        <w:t xml:space="preserve">be </w:t>
      </w:r>
      <w:r>
        <w:t>weighted by solar production for each period during non</w:t>
      </w:r>
      <w:r w:rsidR="00827602">
        <w:noBreakHyphen/>
      </w:r>
      <w:r>
        <w:t>evening time</w:t>
      </w:r>
      <w:r w:rsidR="00827602">
        <w:noBreakHyphen/>
      </w:r>
      <w:r>
        <w:t>of</w:t>
      </w:r>
      <w:r w:rsidR="00827602">
        <w:noBreakHyphen/>
      </w:r>
      <w:r>
        <w:t>use periods so that exports are properly compensated for the value they provide.</w:t>
      </w:r>
      <w:r>
        <w:rPr>
          <w:rStyle w:val="FootnoteReference"/>
        </w:rPr>
        <w:footnoteReference w:id="404"/>
      </w:r>
      <w:r>
        <w:t xml:space="preserve">  </w:t>
      </w:r>
      <w:r w:rsidR="009355F1">
        <w:t>Cal Advoc</w:t>
      </w:r>
      <w:r>
        <w:t>ates further recommend</w:t>
      </w:r>
      <w:r w:rsidR="00CA600D">
        <w:t>s</w:t>
      </w:r>
      <w:r>
        <w:t xml:space="preserve"> compensation for any time</w:t>
      </w:r>
      <w:r w:rsidR="00827602">
        <w:noBreakHyphen/>
      </w:r>
      <w:r>
        <w:t>of</w:t>
      </w:r>
      <w:r w:rsidR="00827602">
        <w:noBreakHyphen/>
      </w:r>
      <w:r>
        <w:t>use period</w:t>
      </w:r>
      <w:r w:rsidR="005C3E1C">
        <w:t xml:space="preserve">, that </w:t>
      </w:r>
      <w:r>
        <w:t>begins at 4</w:t>
      </w:r>
      <w:r w:rsidR="00CF3935">
        <w:t> </w:t>
      </w:r>
      <w:r w:rsidR="005C3E1C">
        <w:t>p</w:t>
      </w:r>
      <w:r w:rsidR="00020A88">
        <w:t>.</w:t>
      </w:r>
      <w:r w:rsidR="005C3E1C">
        <w:t>m</w:t>
      </w:r>
      <w:r w:rsidR="00020A88">
        <w:t>.</w:t>
      </w:r>
      <w:r>
        <w:t xml:space="preserve"> or later and ends at midnight or earlier</w:t>
      </w:r>
      <w:r w:rsidR="005C3E1C">
        <w:t xml:space="preserve">, </w:t>
      </w:r>
      <w:r>
        <w:t>be based on a simple average of avoided costs to encourage adoption of battery storage.</w:t>
      </w:r>
      <w:r>
        <w:rPr>
          <w:rStyle w:val="FootnoteReference"/>
        </w:rPr>
        <w:footnoteReference w:id="405"/>
      </w:r>
      <w:r>
        <w:t xml:space="preserve">  Further, like Joint Utilities, </w:t>
      </w:r>
      <w:r w:rsidR="009355F1">
        <w:t>Cal Advoc</w:t>
      </w:r>
      <w:r>
        <w:t xml:space="preserve">ates propose to cap </w:t>
      </w:r>
      <w:r w:rsidR="00B87E54">
        <w:t xml:space="preserve">retail </w:t>
      </w:r>
      <w:r>
        <w:t xml:space="preserve">export </w:t>
      </w:r>
      <w:r w:rsidR="00116E9B">
        <w:t xml:space="preserve">compensation </w:t>
      </w:r>
      <w:r>
        <w:t>rates at less than the time</w:t>
      </w:r>
      <w:r w:rsidR="00827602">
        <w:noBreakHyphen/>
      </w:r>
      <w:r>
        <w:t>of</w:t>
      </w:r>
      <w:r w:rsidR="00827602">
        <w:noBreakHyphen/>
      </w:r>
      <w:r>
        <w:t xml:space="preserve">use retail </w:t>
      </w:r>
      <w:r w:rsidR="009A756C">
        <w:t xml:space="preserve">import </w:t>
      </w:r>
      <w:r>
        <w:t>rate to avoid reducing the generator’s value to the system and other customers.</w:t>
      </w:r>
      <w:r>
        <w:rPr>
          <w:rStyle w:val="FootnoteReference"/>
        </w:rPr>
        <w:footnoteReference w:id="406"/>
      </w:r>
      <w:r>
        <w:t xml:space="preserve">  To provide stability to customers, </w:t>
      </w:r>
      <w:r w:rsidR="009355F1">
        <w:t>Cal Advoc</w:t>
      </w:r>
      <w:r>
        <w:t xml:space="preserve">ates propose avoided cost values be averaged based on a going </w:t>
      </w:r>
      <w:r>
        <w:lastRenderedPageBreak/>
        <w:t>forward four</w:t>
      </w:r>
      <w:r w:rsidR="00827602">
        <w:noBreakHyphen/>
      </w:r>
      <w:r>
        <w:t>year average of the two</w:t>
      </w:r>
      <w:r w:rsidR="00827602">
        <w:noBreakHyphen/>
      </w:r>
      <w:r>
        <w:t>most recent approved Avoided Cost Calculator</w:t>
      </w:r>
      <w:r w:rsidR="005C3E1C">
        <w:t>s</w:t>
      </w:r>
      <w:r>
        <w:t>.</w:t>
      </w:r>
      <w:r>
        <w:rPr>
          <w:rStyle w:val="FootnoteReference"/>
        </w:rPr>
        <w:footnoteReference w:id="407"/>
      </w:r>
    </w:p>
    <w:p w:rsidR="00F924CF" w:rsidP="005E7044" w:rsidRDefault="00F924CF" w14:paraId="4329F899" w14:textId="4A0AD927">
      <w:pPr>
        <w:pStyle w:val="Standard"/>
      </w:pPr>
      <w:r>
        <w:t xml:space="preserve">NRDC’s </w:t>
      </w:r>
      <w:r w:rsidR="00F810B6">
        <w:t xml:space="preserve">retail </w:t>
      </w:r>
      <w:r>
        <w:t>export compensation rate proposal would require customers be paid for the total value that their panels provide at near</w:t>
      </w:r>
      <w:r w:rsidR="00827602">
        <w:noBreakHyphen/>
      </w:r>
      <w:r>
        <w:t>term hourly avoided costs.  NRDC proposes this export value would vary hourly, which would encourage customers to export electricity when it is most valuable to the grid and provide incentives to install battery storage.</w:t>
      </w:r>
    </w:p>
    <w:p w:rsidR="00F924CF" w:rsidP="005E7044" w:rsidRDefault="00F924CF" w14:paraId="3C32D35C" w14:textId="6A5A20EC">
      <w:pPr>
        <w:pStyle w:val="Standard"/>
      </w:pPr>
      <w:r>
        <w:t xml:space="preserve">Lastly, TURN proposes setting </w:t>
      </w:r>
      <w:r w:rsidR="00F810B6">
        <w:t xml:space="preserve">retail </w:t>
      </w:r>
      <w:r>
        <w:t xml:space="preserve">export </w:t>
      </w:r>
      <w:r w:rsidR="00116E9B">
        <w:t xml:space="preserve">compensation </w:t>
      </w:r>
      <w:r>
        <w:t xml:space="preserve">rates based on actual hourly exports by the customer’s system and relying on hourly values from the Avoided Cost Calculator that are modified by actual recorded CAISO market prices.  CCSA also supports using CAISO market or day ahead prices.  The modification would replace forecasted values for energy, ancillary services, </w:t>
      </w:r>
      <w:r w:rsidR="00D374EE">
        <w:t>losses,</w:t>
      </w:r>
      <w:r>
        <w:t xml:space="preserve"> and greenhouse gas cap</w:t>
      </w:r>
      <w:r w:rsidR="00827602">
        <w:noBreakHyphen/>
      </w:r>
      <w:r>
        <w:t>and</w:t>
      </w:r>
      <w:r w:rsidR="00827602">
        <w:noBreakHyphen/>
      </w:r>
      <w:r>
        <w:t>trade with actual market prices.  TURN proposes that after 12</w:t>
      </w:r>
      <w:r w:rsidR="00CF3935">
        <w:t> </w:t>
      </w:r>
      <w:r>
        <w:t>months, the balance would be adjusted based on the net surplus compensation formula.</w:t>
      </w:r>
    </w:p>
    <w:p w:rsidR="00595548" w:rsidP="00C24BC9" w:rsidRDefault="00EF6CBE" w14:paraId="58E8DFE0" w14:textId="171FE8F3">
      <w:pPr>
        <w:pStyle w:val="Standard"/>
      </w:pPr>
      <w:r w:rsidRPr="00071EA8">
        <w:t xml:space="preserve">As </w:t>
      </w:r>
      <w:r w:rsidRPr="00071EA8" w:rsidR="007147D0">
        <w:t>previously stated</w:t>
      </w:r>
      <w:r w:rsidRPr="00071EA8">
        <w:t xml:space="preserve">, this decision </w:t>
      </w:r>
      <w:r w:rsidR="00FC203C">
        <w:t xml:space="preserve">must </w:t>
      </w:r>
      <w:r w:rsidRPr="00071EA8" w:rsidR="007147D0">
        <w:t>balanc</w:t>
      </w:r>
      <w:r w:rsidRPr="00071EA8" w:rsidR="00595548">
        <w:t xml:space="preserve">e </w:t>
      </w:r>
      <w:r w:rsidRPr="00071EA8" w:rsidR="007147D0">
        <w:t xml:space="preserve">all requirements and principles.  </w:t>
      </w:r>
      <w:r w:rsidRPr="00071EA8" w:rsidR="00B634FB">
        <w:t>Accordingly</w:t>
      </w:r>
      <w:r w:rsidRPr="00071EA8" w:rsidR="007147D0">
        <w:t xml:space="preserve">, </w:t>
      </w:r>
      <w:r w:rsidRPr="00071EA8" w:rsidR="00D320A9">
        <w:t xml:space="preserve">the </w:t>
      </w:r>
      <w:r w:rsidR="00F810B6">
        <w:t xml:space="preserve">retail </w:t>
      </w:r>
      <w:r w:rsidRPr="00071EA8" w:rsidR="00D320A9">
        <w:t xml:space="preserve">export compensation rate </w:t>
      </w:r>
      <w:r w:rsidRPr="00071EA8">
        <w:t xml:space="preserve">is set </w:t>
      </w:r>
      <w:r w:rsidRPr="00071EA8" w:rsidR="00D320A9">
        <w:t>at averaged monthly values for each hour, differentiated between weekday and wee</w:t>
      </w:r>
      <w:r w:rsidRPr="00071EA8" w:rsidR="007713CC">
        <w:t>kend</w:t>
      </w:r>
      <w:r w:rsidR="00AA4ED3">
        <w:t>/holiday</w:t>
      </w:r>
      <w:r w:rsidRPr="00071EA8" w:rsidR="007713CC">
        <w:t xml:space="preserve">.  </w:t>
      </w:r>
      <w:r w:rsidRPr="00071EA8" w:rsidR="007147D0">
        <w:t>For example, the hour of 3</w:t>
      </w:r>
      <w:r w:rsidR="009D251E">
        <w:t>:00</w:t>
      </w:r>
      <w:r w:rsidRPr="00071EA8" w:rsidR="00020A88">
        <w:t> </w:t>
      </w:r>
      <w:r w:rsidRPr="00071EA8" w:rsidR="007147D0">
        <w:t>p</w:t>
      </w:r>
      <w:r w:rsidRPr="00071EA8" w:rsidR="00020A88">
        <w:t>.</w:t>
      </w:r>
      <w:r w:rsidRPr="00071EA8" w:rsidR="007147D0">
        <w:t>m</w:t>
      </w:r>
      <w:r w:rsidRPr="00071EA8" w:rsidR="00020A88">
        <w:t>.</w:t>
      </w:r>
      <w:r w:rsidRPr="00071EA8" w:rsidR="007147D0">
        <w:t xml:space="preserve"> to 4</w:t>
      </w:r>
      <w:r w:rsidR="009D251E">
        <w:t>:00</w:t>
      </w:r>
      <w:r w:rsidRPr="00071EA8" w:rsidR="00020A88">
        <w:t> </w:t>
      </w:r>
      <w:r w:rsidRPr="00071EA8" w:rsidR="007147D0">
        <w:t>p</w:t>
      </w:r>
      <w:r w:rsidRPr="00071EA8" w:rsidR="00020A88">
        <w:t>.</w:t>
      </w:r>
      <w:r w:rsidRPr="00071EA8" w:rsidR="007147D0">
        <w:t>m</w:t>
      </w:r>
      <w:r w:rsidRPr="00071EA8" w:rsidR="00020A88">
        <w:t>.</w:t>
      </w:r>
      <w:r w:rsidRPr="00071EA8" w:rsidR="007147D0">
        <w:t xml:space="preserve"> on weekdays in July</w:t>
      </w:r>
      <w:r w:rsidR="001D6AF9">
        <w:t> </w:t>
      </w:r>
      <w:r w:rsidRPr="00071EA8" w:rsidR="007147D0">
        <w:t xml:space="preserve">2023 will have the same </w:t>
      </w:r>
      <w:r w:rsidR="00F810B6">
        <w:t xml:space="preserve">retail </w:t>
      </w:r>
      <w:r w:rsidRPr="00071EA8" w:rsidR="007147D0">
        <w:t xml:space="preserve">export compensation rate.  </w:t>
      </w:r>
      <w:r w:rsidRPr="00071EA8" w:rsidR="00FC5DF5">
        <w:t xml:space="preserve">While </w:t>
      </w:r>
      <w:r w:rsidRPr="00071EA8">
        <w:t xml:space="preserve">the Commission </w:t>
      </w:r>
      <w:r w:rsidRPr="00071EA8" w:rsidR="00FC5DF5">
        <w:t>agree</w:t>
      </w:r>
      <w:r w:rsidRPr="00071EA8">
        <w:t>s</w:t>
      </w:r>
      <w:r w:rsidRPr="00071EA8" w:rsidR="00FC5DF5">
        <w:t xml:space="preserve"> with Joint Utilities that hourly values complicate the bill structure, </w:t>
      </w:r>
      <w:r w:rsidRPr="00071EA8">
        <w:t xml:space="preserve">this decision </w:t>
      </w:r>
      <w:r w:rsidRPr="00071EA8" w:rsidR="00FC5DF5">
        <w:t>find</w:t>
      </w:r>
      <w:r w:rsidRPr="00071EA8">
        <w:t>s</w:t>
      </w:r>
      <w:r w:rsidRPr="00071EA8" w:rsidR="00FC5DF5">
        <w:t xml:space="preserve"> that averaging the values across days in a month acknowledges the general trends in differences between hours and mo</w:t>
      </w:r>
      <w:r w:rsidRPr="00071EA8" w:rsidR="00C75D60">
        <w:t>n</w:t>
      </w:r>
      <w:r w:rsidRPr="00071EA8" w:rsidR="00FC5DF5">
        <w:t>ths</w:t>
      </w:r>
      <w:r w:rsidRPr="00071EA8" w:rsidR="007F0872">
        <w:t xml:space="preserve"> and results </w:t>
      </w:r>
      <w:r w:rsidRPr="00071EA8" w:rsidR="00333171">
        <w:t>in accurate value</w:t>
      </w:r>
      <w:r w:rsidRPr="00071EA8" w:rsidR="007F0872">
        <w:t>s</w:t>
      </w:r>
      <w:r w:rsidRPr="00071EA8" w:rsidR="00C75D60">
        <w:t>.</w:t>
      </w:r>
      <w:r w:rsidRPr="00071EA8" w:rsidR="00595548">
        <w:t xml:space="preserve">  </w:t>
      </w:r>
      <w:r w:rsidRPr="00071EA8">
        <w:t xml:space="preserve">The Commission </w:t>
      </w:r>
      <w:r w:rsidRPr="00071EA8" w:rsidR="00595548">
        <w:t>agree</w:t>
      </w:r>
      <w:r w:rsidRPr="00071EA8">
        <w:t>s</w:t>
      </w:r>
      <w:r w:rsidRPr="00071EA8" w:rsidR="00595548">
        <w:t xml:space="preserve"> with </w:t>
      </w:r>
      <w:proofErr w:type="spellStart"/>
      <w:r w:rsidRPr="00071EA8" w:rsidR="00595548">
        <w:t>CALSSA</w:t>
      </w:r>
      <w:proofErr w:type="spellEnd"/>
      <w:r w:rsidRPr="00071EA8" w:rsidR="00595548">
        <w:t xml:space="preserve"> that setting </w:t>
      </w:r>
      <w:r w:rsidRPr="00071EA8" w:rsidR="00595548">
        <w:lastRenderedPageBreak/>
        <w:t>export values at an hourly interval instead of a time</w:t>
      </w:r>
      <w:r w:rsidR="00827602">
        <w:noBreakHyphen/>
      </w:r>
      <w:r w:rsidRPr="00071EA8" w:rsidR="00595548">
        <w:t>of</w:t>
      </w:r>
      <w:r w:rsidR="00827602">
        <w:noBreakHyphen/>
      </w:r>
      <w:r w:rsidRPr="00071EA8" w:rsidR="00595548">
        <w:t xml:space="preserve">use interval results in one set of export values across all rates, which is more transparent for developers and customers.  This approach also yields more accurate signals for </w:t>
      </w:r>
      <w:r w:rsidRPr="00071EA8" w:rsidR="005F270C">
        <w:t xml:space="preserve">customer generators to reduce imports from the grid and for </w:t>
      </w:r>
      <w:r w:rsidRPr="00071EA8" w:rsidR="00595548">
        <w:t xml:space="preserve">battery storage to dispatch during the hours </w:t>
      </w:r>
      <w:r w:rsidR="00777494">
        <w:t xml:space="preserve">that are </w:t>
      </w:r>
      <w:r w:rsidRPr="00071EA8" w:rsidR="00595548">
        <w:t>most valuable to the grid.</w:t>
      </w:r>
    </w:p>
    <w:p w:rsidR="00FC5DF5" w:rsidP="005E7044" w:rsidRDefault="00333171" w14:paraId="5679799C" w14:textId="016C8A0C">
      <w:pPr>
        <w:pStyle w:val="Standard"/>
      </w:pPr>
      <w:r>
        <w:t>Further</w:t>
      </w:r>
      <w:r w:rsidR="00C75D60">
        <w:t>, this approach does not</w:t>
      </w:r>
      <w:r w:rsidR="00FC5DF5">
        <w:t xml:space="preserve"> </w:t>
      </w:r>
      <w:r w:rsidR="00C75D60">
        <w:t xml:space="preserve">add the </w:t>
      </w:r>
      <w:r w:rsidR="00FC5DF5">
        <w:t xml:space="preserve">false precision </w:t>
      </w:r>
      <w:r w:rsidR="00C75D60">
        <w:t xml:space="preserve">of </w:t>
      </w:r>
      <w:r w:rsidR="00FC5DF5">
        <w:t xml:space="preserve">potentially inaccurate forecasts of a specific hour’s weather and other conditions, as </w:t>
      </w:r>
      <w:r w:rsidR="003F1FF8">
        <w:t xml:space="preserve">cautioned </w:t>
      </w:r>
      <w:r w:rsidR="00FC5DF5">
        <w:t>by</w:t>
      </w:r>
      <w:r w:rsidR="00C75D60">
        <w:t xml:space="preserve"> NRDC</w:t>
      </w:r>
      <w:r w:rsidR="00B634FB">
        <w:t xml:space="preserve"> and TURN</w:t>
      </w:r>
      <w:r w:rsidR="00C75D60">
        <w:t>.</w:t>
      </w:r>
      <w:r w:rsidR="00B634FB">
        <w:t xml:space="preserve">  </w:t>
      </w:r>
      <w:r w:rsidR="00EF6CBE">
        <w:t xml:space="preserve">This decision previously </w:t>
      </w:r>
      <w:r>
        <w:t xml:space="preserve">found that basing </w:t>
      </w:r>
      <w:r w:rsidR="00F810B6">
        <w:t xml:space="preserve">retail </w:t>
      </w:r>
      <w:r>
        <w:t xml:space="preserve">export compensation </w:t>
      </w:r>
      <w:r w:rsidR="00F810B6">
        <w:t xml:space="preserve">rates </w:t>
      </w:r>
      <w:r>
        <w:t xml:space="preserve">on Avoided Cost Calculator values brings the cost of the successor tariff closer to its value.  </w:t>
      </w:r>
      <w:r w:rsidR="00EF6CBE">
        <w:t xml:space="preserve">Hence, </w:t>
      </w:r>
      <w:r>
        <w:t xml:space="preserve">using averaged monthly values for </w:t>
      </w:r>
      <w:r w:rsidR="00F810B6">
        <w:t xml:space="preserve">retail </w:t>
      </w:r>
      <w:r>
        <w:t xml:space="preserve">export compensation </w:t>
      </w:r>
      <w:r w:rsidR="00F810B6">
        <w:t xml:space="preserve">rates </w:t>
      </w:r>
      <w:r>
        <w:t xml:space="preserve">also </w:t>
      </w:r>
      <w:r w:rsidR="00B634FB">
        <w:t>ensure</w:t>
      </w:r>
      <w:r>
        <w:t>s</w:t>
      </w:r>
      <w:r w:rsidR="00B634FB">
        <w:t xml:space="preserve"> </w:t>
      </w:r>
      <w:r w:rsidR="005E435E">
        <w:t xml:space="preserve">the tariff is based on the </w:t>
      </w:r>
      <w:r w:rsidR="005F270C">
        <w:t xml:space="preserve">generator’s </w:t>
      </w:r>
      <w:r>
        <w:t xml:space="preserve">true </w:t>
      </w:r>
      <w:r w:rsidR="005E435E">
        <w:t xml:space="preserve">costs and benefits </w:t>
      </w:r>
      <w:r w:rsidR="005F270C">
        <w:t>to the grid</w:t>
      </w:r>
      <w:r>
        <w:t>, thus</w:t>
      </w:r>
      <w:r w:rsidR="005E435E">
        <w:t xml:space="preserve"> </w:t>
      </w:r>
      <w:r>
        <w:t xml:space="preserve">leading to </w:t>
      </w:r>
      <w:r w:rsidR="00B634FB">
        <w:t>equity among all ratepayers</w:t>
      </w:r>
      <w:r>
        <w:t xml:space="preserve"> while </w:t>
      </w:r>
      <w:r w:rsidR="005E435E">
        <w:t>maximiz</w:t>
      </w:r>
      <w:r>
        <w:t xml:space="preserve">ing </w:t>
      </w:r>
      <w:r w:rsidR="005E435E">
        <w:t>the value of the generation to all customers and to the grid.</w:t>
      </w:r>
    </w:p>
    <w:p w:rsidR="00671C98" w:rsidP="00C24BC9" w:rsidRDefault="00C24BC9" w14:paraId="6D23994D" w14:textId="7EEFFC2F">
      <w:pPr>
        <w:pStyle w:val="Standard"/>
      </w:pPr>
      <w:r>
        <w:t>In comments to the proposed decision, several parties coalesced around proposals to simplify the proposed decision’s export compensation structure of average monthly values for each hour, differentiated between weekday and weekend/holiday.</w:t>
      </w:r>
      <w:r>
        <w:rPr>
          <w:rStyle w:val="FootnoteReference"/>
        </w:rPr>
        <w:footnoteReference w:id="408"/>
      </w:r>
      <w:r>
        <w:t xml:space="preserve">  Joint Utilities and </w:t>
      </w:r>
      <w:proofErr w:type="spellStart"/>
      <w:r>
        <w:t>CALSSA</w:t>
      </w:r>
      <w:proofErr w:type="spellEnd"/>
      <w:r>
        <w:t xml:space="preserve"> recommend aggregating to the seasons of the underlying tariff and/or removing the weekday/weekend distinction.</w:t>
      </w:r>
      <w:r>
        <w:rPr>
          <w:rStyle w:val="FootnoteReference"/>
        </w:rPr>
        <w:footnoteReference w:id="409"/>
      </w:r>
      <w:r>
        <w:t xml:space="preserve">  SEIA/Vote Solar agree, stating that averaging export values by </w:t>
      </w:r>
      <w:r>
        <w:lastRenderedPageBreak/>
        <w:t>season instead of by month will better align with the realities of the grid.</w:t>
      </w:r>
      <w:r w:rsidRPr="00671C98" w:rsidR="00671C98">
        <w:rPr>
          <w:rStyle w:val="FootnoteReference"/>
        </w:rPr>
        <w:t xml:space="preserve"> </w:t>
      </w:r>
      <w:r w:rsidR="00671C98">
        <w:rPr>
          <w:rStyle w:val="FootnoteReference"/>
        </w:rPr>
        <w:footnoteReference w:id="410"/>
      </w:r>
      <w:r>
        <w:t xml:space="preserve">  Further, SEIA/Vote Solar asserts seasonal averaging simplifies the structure by decreasing the number of different export rates.</w:t>
      </w:r>
      <w:r w:rsidRPr="00671C98" w:rsidR="00671C98">
        <w:rPr>
          <w:rStyle w:val="FootnoteReference"/>
        </w:rPr>
        <w:t xml:space="preserve"> </w:t>
      </w:r>
      <w:r w:rsidR="00671C98">
        <w:rPr>
          <w:rStyle w:val="FootnoteReference"/>
        </w:rPr>
        <w:footnoteReference w:id="411"/>
      </w:r>
    </w:p>
    <w:p w:rsidR="00C24BC9" w:rsidP="00C24BC9" w:rsidRDefault="00C24BC9" w14:paraId="3B43AD49" w14:textId="558394D6">
      <w:pPr>
        <w:pStyle w:val="Standard"/>
      </w:pPr>
      <w:r>
        <w:t xml:space="preserve">While the Commission agrees that </w:t>
      </w:r>
      <w:r w:rsidR="00DD180C">
        <w:t xml:space="preserve">the idea of </w:t>
      </w:r>
      <w:r>
        <w:t>576 different values seem</w:t>
      </w:r>
      <w:r w:rsidR="00DD180C">
        <w:t>s</w:t>
      </w:r>
      <w:r>
        <w:t xml:space="preserve"> like “an excessive amount of complexity to manage and explain to customers,”</w:t>
      </w:r>
      <w:r>
        <w:rPr>
          <w:rStyle w:val="FootnoteReference"/>
        </w:rPr>
        <w:footnoteReference w:id="412"/>
      </w:r>
      <w:r>
        <w:t xml:space="preserve"> </w:t>
      </w:r>
      <w:r w:rsidR="00671C98">
        <w:t>the Commission</w:t>
      </w:r>
      <w:r w:rsidR="00DD180C">
        <w:t>’</w:t>
      </w:r>
      <w:r w:rsidR="00671C98">
        <w:t>s analysis of this simplification method leads to a concern of long</w:t>
      </w:r>
      <w:r w:rsidR="008E22AB">
        <w:noBreakHyphen/>
      </w:r>
      <w:r w:rsidR="00671C98">
        <w:t xml:space="preserve">run cost shift implications due to changing </w:t>
      </w:r>
      <w:r w:rsidR="00DD180C">
        <w:t xml:space="preserve">all </w:t>
      </w:r>
      <w:r w:rsidR="00671C98">
        <w:t>export compensation rate values</w:t>
      </w:r>
      <w:r>
        <w:t xml:space="preserve">.  </w:t>
      </w:r>
      <w:r w:rsidR="00DD180C">
        <w:t>In</w:t>
      </w:r>
      <w:r w:rsidR="00671C98">
        <w:t xml:space="preserve"> using Avoided Cost Calculator values to compensate customers for exporting electricity to the grid</w:t>
      </w:r>
      <w:r w:rsidR="00DD180C">
        <w:t xml:space="preserve">, the objective </w:t>
      </w:r>
      <w:r w:rsidR="00671C98">
        <w:t xml:space="preserve">is to send correct price signals and ensure </w:t>
      </w:r>
      <w:r w:rsidR="00DD180C">
        <w:t>the</w:t>
      </w:r>
      <w:r w:rsidR="00671C98">
        <w:t xml:space="preserve"> appropriate relationship between price signal and time for battery dispatch.</w:t>
      </w:r>
      <w:r w:rsidR="00DD180C">
        <w:t xml:space="preserve">  Because the record of this proceeding does </w:t>
      </w:r>
      <w:r w:rsidR="00B26851">
        <w:t xml:space="preserve">not </w:t>
      </w:r>
      <w:r w:rsidR="00DD180C">
        <w:t>include data on seasonal aggregation, the Commission hesitates to adopt a methodology based on a desire of simplification rather than ensuring the Commission’s overall objective.  Accordingly, this decision declines further simplification and retains monthly averaging</w:t>
      </w:r>
      <w:r w:rsidR="00B26851">
        <w:t xml:space="preserve"> and </w:t>
      </w:r>
      <w:r w:rsidR="00B93AC8">
        <w:t xml:space="preserve">the distinction between </w:t>
      </w:r>
      <w:r w:rsidR="00B26851">
        <w:t>weekda</w:t>
      </w:r>
      <w:r w:rsidR="00B93AC8">
        <w:t xml:space="preserve">ys and </w:t>
      </w:r>
      <w:r w:rsidR="00B26851">
        <w:t>weekend</w:t>
      </w:r>
      <w:r w:rsidR="00B93AC8">
        <w:t>s/holidays</w:t>
      </w:r>
      <w:r w:rsidR="00DD180C">
        <w:t xml:space="preserve">. </w:t>
      </w:r>
    </w:p>
    <w:p w:rsidR="00533B2F" w:rsidP="005E7044" w:rsidRDefault="00503142" w14:paraId="71089075" w14:textId="30D6120B">
      <w:pPr>
        <w:pStyle w:val="Standard"/>
      </w:pPr>
      <w:r>
        <w:t>As the successor tariff is available to both bundled and unbundled customers, Joint Utilities recommend that for unbundled customers where the export credit is divided between the customer’s load serving entity and distribution utility, the load serving entity should be responsible for energy, cap and trade, and generation capacity while the distribution utility should be responsible for transmission, distribution, greenhouse gas adder, and meth</w:t>
      </w:r>
      <w:r w:rsidR="0042198E">
        <w:t>a</w:t>
      </w:r>
      <w:r>
        <w:t xml:space="preserve">ne </w:t>
      </w:r>
      <w:r>
        <w:lastRenderedPageBreak/>
        <w:t>leakage.</w:t>
      </w:r>
      <w:r w:rsidR="0042198E">
        <w:rPr>
          <w:rStyle w:val="FootnoteReference"/>
        </w:rPr>
        <w:footnoteReference w:id="413"/>
      </w:r>
      <w:r w:rsidR="0042198E">
        <w:t xml:space="preserve">  </w:t>
      </w:r>
      <w:r w:rsidR="004A6AFB">
        <w:t>T</w:t>
      </w:r>
      <w:r w:rsidR="0042198E">
        <w:t>his approach is consistent with current tariff approaches and considers competitive neutrality amongst load serving entities</w:t>
      </w:r>
      <w:r w:rsidR="004A6AFB">
        <w:t>.</w:t>
      </w:r>
      <w:r w:rsidR="0042198E">
        <w:t xml:space="preserve"> </w:t>
      </w:r>
      <w:r w:rsidR="00DA746D">
        <w:t xml:space="preserve"> </w:t>
      </w:r>
      <w:r w:rsidR="004A6AFB">
        <w:t xml:space="preserve">Thus, </w:t>
      </w:r>
      <w:r w:rsidR="0042198E">
        <w:t>the Commission finds this division of credit to be reasonable for adoption.</w:t>
      </w:r>
    </w:p>
    <w:p w:rsidR="00337EBC" w:rsidP="00D818AC" w:rsidRDefault="00D17553" w14:paraId="721E214B" w14:textId="4259C751">
      <w:pPr>
        <w:pStyle w:val="Standard"/>
      </w:pPr>
      <w:r>
        <w:t xml:space="preserve">For any residential </w:t>
      </w:r>
      <w:r w:rsidR="00D818AC">
        <w:t xml:space="preserve">or nonresidential </w:t>
      </w:r>
      <w:r w:rsidR="0012680C">
        <w:t xml:space="preserve">PG&amp;E, SDG&amp;E, or SCE </w:t>
      </w:r>
      <w:r>
        <w:t>customer that enrolls in the successor tariff d</w:t>
      </w:r>
      <w:r w:rsidR="00867AE7">
        <w:t>uring the first five years of the tariff (</w:t>
      </w:r>
      <w:r w:rsidRPr="00970E61" w:rsidR="00867AE7">
        <w:rPr>
          <w:i/>
          <w:iCs/>
        </w:rPr>
        <w:t>i.e.</w:t>
      </w:r>
      <w:r w:rsidR="00867AE7">
        <w:t xml:space="preserve">, the </w:t>
      </w:r>
      <w:r w:rsidR="00E31C98">
        <w:t>transition time</w:t>
      </w:r>
      <w:r w:rsidR="00867AE7">
        <w:t xml:space="preserve">), </w:t>
      </w:r>
      <w:r w:rsidR="000C79A9">
        <w:t xml:space="preserve">the values </w:t>
      </w:r>
      <w:r w:rsidR="00387476">
        <w:t xml:space="preserve">for the first </w:t>
      </w:r>
      <w:r w:rsidR="00FC203C">
        <w:t>nine</w:t>
      </w:r>
      <w:r w:rsidR="00FC19F7">
        <w:t xml:space="preserve"> </w:t>
      </w:r>
      <w:r w:rsidR="00387476">
        <w:t xml:space="preserve">years following a customer’s interconnection date </w:t>
      </w:r>
      <w:r w:rsidR="000C79A9">
        <w:t xml:space="preserve">will be based on a </w:t>
      </w:r>
      <w:r w:rsidR="00FC203C">
        <w:t>nine</w:t>
      </w:r>
      <w:r w:rsidR="00827602">
        <w:noBreakHyphen/>
      </w:r>
      <w:r w:rsidR="000C79A9">
        <w:t xml:space="preserve">year schedule of values for each hour from </w:t>
      </w:r>
      <w:r w:rsidR="00BB3864">
        <w:t xml:space="preserve">the </w:t>
      </w:r>
      <w:r w:rsidR="000C79A9">
        <w:t>Avoided Cost Calculator</w:t>
      </w:r>
      <w:r w:rsidR="00BB3864">
        <w:t xml:space="preserve">.  </w:t>
      </w:r>
      <w:r w:rsidR="0005015D">
        <w:t>This nine</w:t>
      </w:r>
      <w:r w:rsidR="00827602">
        <w:noBreakHyphen/>
      </w:r>
      <w:r w:rsidR="0005015D">
        <w:t>year period is referred to as the lock</w:t>
      </w:r>
      <w:r w:rsidR="00827602">
        <w:noBreakHyphen/>
      </w:r>
      <w:r w:rsidR="0005015D">
        <w:t>in period</w:t>
      </w:r>
      <w:r w:rsidR="0012680C">
        <w:t xml:space="preserve">.  </w:t>
      </w:r>
      <w:r w:rsidR="00347FC9">
        <w:t>T</w:t>
      </w:r>
      <w:r w:rsidR="00867AE7">
        <w:t xml:space="preserve">his </w:t>
      </w:r>
      <w:r w:rsidR="00E31C98">
        <w:t xml:space="preserve">timing aligns with the customer payback period and </w:t>
      </w:r>
      <w:r w:rsidR="00867AE7">
        <w:t xml:space="preserve">will </w:t>
      </w:r>
      <w:r w:rsidR="00347FC9">
        <w:t xml:space="preserve">assist in </w:t>
      </w:r>
      <w:r w:rsidR="00867AE7">
        <w:t>ensur</w:t>
      </w:r>
      <w:r w:rsidR="00347FC9">
        <w:t>ing</w:t>
      </w:r>
      <w:r w:rsidR="00867AE7">
        <w:t xml:space="preserve"> sustainable growth of the industry </w:t>
      </w:r>
      <w:r w:rsidR="00E31C98">
        <w:t xml:space="preserve">during the transition time </w:t>
      </w:r>
      <w:r w:rsidR="00867AE7">
        <w:t>and enabl</w:t>
      </w:r>
      <w:r w:rsidR="00347FC9">
        <w:t>ing</w:t>
      </w:r>
      <w:r w:rsidR="00867AE7">
        <w:t xml:space="preserve"> solar providers to predict customer savings</w:t>
      </w:r>
      <w:r w:rsidR="00556D4B">
        <w:t xml:space="preserve"> leading to increased financial certainty for the customers as well as the industry</w:t>
      </w:r>
      <w:r w:rsidR="00347FC9">
        <w:t>.</w:t>
      </w:r>
      <w:r w:rsidR="00867AE7">
        <w:t xml:space="preserve"> </w:t>
      </w:r>
      <w:r w:rsidR="00905744">
        <w:t xml:space="preserve"> </w:t>
      </w:r>
      <w:r w:rsidR="00321311">
        <w:t>The availability of the lock</w:t>
      </w:r>
      <w:r w:rsidR="008E22AB">
        <w:noBreakHyphen/>
      </w:r>
      <w:r w:rsidR="00321311">
        <w:t xml:space="preserve">in period is part of the legacy period and, as such, is linked </w:t>
      </w:r>
      <w:r w:rsidR="00D818AC">
        <w:t>to the customer who originally causes the system to be installed, not to the system itself, as described in Section</w:t>
      </w:r>
      <w:r w:rsidR="002F5AA3">
        <w:t> </w:t>
      </w:r>
      <w:r w:rsidR="00D818AC">
        <w:t xml:space="preserve">8.5.4 below.  </w:t>
      </w:r>
      <w:r w:rsidR="00BB3864">
        <w:t xml:space="preserve">The Avoided Cost Calculator used will be the </w:t>
      </w:r>
      <w:r w:rsidR="005F270C">
        <w:t xml:space="preserve">most recent </w:t>
      </w:r>
      <w:r w:rsidR="00C61324">
        <w:t>calculator</w:t>
      </w:r>
      <w:r w:rsidR="00314D00">
        <w:t xml:space="preserve">, </w:t>
      </w:r>
      <w:r w:rsidR="00F56CCE">
        <w:t xml:space="preserve">adopted </w:t>
      </w:r>
      <w:r w:rsidR="00BB3864">
        <w:t>as of</w:t>
      </w:r>
      <w:r w:rsidR="000C79A9">
        <w:t xml:space="preserve"> </w:t>
      </w:r>
      <w:r w:rsidR="00BB3864">
        <w:t>January</w:t>
      </w:r>
      <w:r w:rsidR="005505B6">
        <w:t> </w:t>
      </w:r>
      <w:r w:rsidR="00BB3864">
        <w:t xml:space="preserve">1 of the </w:t>
      </w:r>
      <w:r w:rsidR="00C61324">
        <w:t xml:space="preserve">calendar year of the customer’s </w:t>
      </w:r>
      <w:r w:rsidR="00314D00">
        <w:t>interconnection date.</w:t>
      </w:r>
      <w:r w:rsidR="00FC5DF5">
        <w:t xml:space="preserve">  </w:t>
      </w:r>
      <w:r w:rsidR="001741C7">
        <w:t>P</w:t>
      </w:r>
      <w:r w:rsidR="00FC5DF5">
        <w:t xml:space="preserve">arties recommend </w:t>
      </w:r>
      <w:r w:rsidR="001741C7">
        <w:t xml:space="preserve">options for </w:t>
      </w:r>
      <w:r w:rsidR="00FC5DF5">
        <w:t xml:space="preserve">locking in the </w:t>
      </w:r>
      <w:r w:rsidRPr="00790E5D" w:rsidR="00FC5DF5">
        <w:t>values</w:t>
      </w:r>
      <w:r w:rsidR="00555CC0">
        <w:t xml:space="preserve">:  </w:t>
      </w:r>
      <w:r w:rsidRPr="00790E5D" w:rsidR="00FC5DF5">
        <w:t>one year (Joint</w:t>
      </w:r>
      <w:r w:rsidR="00FC5DF5">
        <w:t xml:space="preserve"> Utilities)</w:t>
      </w:r>
      <w:r w:rsidR="001741C7">
        <w:t>, 10</w:t>
      </w:r>
      <w:r w:rsidR="005505B6">
        <w:t> </w:t>
      </w:r>
      <w:r w:rsidR="001741C7">
        <w:t>years (NRDC</w:t>
      </w:r>
      <w:r w:rsidR="004A6AFB">
        <w:t xml:space="preserve"> and TURN</w:t>
      </w:r>
      <w:r w:rsidR="001741C7">
        <w:t xml:space="preserve">) and </w:t>
      </w:r>
      <w:r w:rsidR="00FC5DF5">
        <w:t>20</w:t>
      </w:r>
      <w:r w:rsidR="005505B6">
        <w:t> </w:t>
      </w:r>
      <w:r w:rsidR="00FC5DF5">
        <w:t>years (SEIA/Vote Solar)</w:t>
      </w:r>
      <w:r w:rsidR="001741C7">
        <w:t xml:space="preserve">.  </w:t>
      </w:r>
      <w:r w:rsidR="00DB2875">
        <w:t>A shorter time</w:t>
      </w:r>
      <w:r w:rsidR="00827602">
        <w:noBreakHyphen/>
      </w:r>
      <w:r w:rsidR="00DB2875">
        <w:t>period for locking in the values</w:t>
      </w:r>
      <w:r w:rsidR="00FC5DF5">
        <w:t xml:space="preserve"> is preferabl</w:t>
      </w:r>
      <w:r w:rsidR="00C61324">
        <w:t>e</w:t>
      </w:r>
      <w:r w:rsidR="00781B1C">
        <w:t xml:space="preserve"> because, l</w:t>
      </w:r>
      <w:r w:rsidR="00FC5DF5">
        <w:t xml:space="preserve">ike all forecasts, the Avoided Cost Calculator forecast values get increasingly uncertain </w:t>
      </w:r>
      <w:r w:rsidR="00FA3385">
        <w:t xml:space="preserve">as time moves </w:t>
      </w:r>
      <w:r w:rsidR="00FC5DF5">
        <w:t>away from the present.</w:t>
      </w:r>
      <w:r w:rsidR="00125558">
        <w:t xml:space="preserve">  </w:t>
      </w:r>
      <w:r>
        <w:t xml:space="preserve">This could result in export values being misaligned with grid needs in the future.  </w:t>
      </w:r>
      <w:r w:rsidR="00D818AC">
        <w:t xml:space="preserve">While </w:t>
      </w:r>
      <w:r w:rsidR="00777494">
        <w:t xml:space="preserve">the </w:t>
      </w:r>
      <w:r w:rsidR="00347FC9">
        <w:t xml:space="preserve">Commission’s </w:t>
      </w:r>
      <w:r w:rsidR="00777494">
        <w:t xml:space="preserve">analysis </w:t>
      </w:r>
      <w:r w:rsidR="00347FC9">
        <w:t xml:space="preserve">of the successor tariff </w:t>
      </w:r>
      <w:r w:rsidR="00777494">
        <w:t xml:space="preserve">indicates a shorter payback period for </w:t>
      </w:r>
      <w:r w:rsidR="00056A4E">
        <w:t xml:space="preserve">small </w:t>
      </w:r>
      <w:r w:rsidR="00777494">
        <w:t xml:space="preserve">commercial customers, this decision </w:t>
      </w:r>
      <w:r w:rsidR="00D818AC">
        <w:t>adopts the same nine</w:t>
      </w:r>
      <w:r w:rsidR="008E22AB">
        <w:noBreakHyphen/>
      </w:r>
      <w:r w:rsidR="00D818AC">
        <w:t>year lock</w:t>
      </w:r>
      <w:r w:rsidR="008E22AB">
        <w:noBreakHyphen/>
      </w:r>
      <w:r w:rsidR="00D818AC">
        <w:t xml:space="preserve">in </w:t>
      </w:r>
      <w:r w:rsidR="00D818AC">
        <w:lastRenderedPageBreak/>
        <w:t>period for</w:t>
      </w:r>
      <w:r w:rsidR="00777494">
        <w:t xml:space="preserve"> </w:t>
      </w:r>
      <w:r w:rsidR="00056A4E">
        <w:t>nonresidential</w:t>
      </w:r>
      <w:r w:rsidR="00777494">
        <w:t xml:space="preserve"> customers to provide certainty</w:t>
      </w:r>
      <w:r w:rsidR="00781B1C">
        <w:t>.</w:t>
      </w:r>
      <w:r w:rsidR="00D818AC">
        <w:t xml:space="preserve">  As alluded to in comments to the proposed decision, a nine</w:t>
      </w:r>
      <w:r w:rsidR="008E22AB">
        <w:noBreakHyphen/>
      </w:r>
      <w:r w:rsidR="00D818AC">
        <w:t>year lock</w:t>
      </w:r>
      <w:r w:rsidR="008E22AB">
        <w:noBreakHyphen/>
      </w:r>
      <w:r w:rsidR="00D818AC">
        <w:t>in period for nonresidential customers aligns with predicted payback periods ranging from 5.8</w:t>
      </w:r>
      <w:r w:rsidR="002F5AA3">
        <w:t xml:space="preserve"> </w:t>
      </w:r>
      <w:r w:rsidR="00D818AC">
        <w:t>to 9.4</w:t>
      </w:r>
      <w:r w:rsidR="002F5AA3">
        <w:t> </w:t>
      </w:r>
      <w:r w:rsidR="00D818AC">
        <w:t>years.</w:t>
      </w:r>
      <w:r w:rsidR="00D818AC">
        <w:rPr>
          <w:rStyle w:val="FootnoteReference"/>
        </w:rPr>
        <w:footnoteReference w:id="414"/>
      </w:r>
      <w:r w:rsidR="00D818AC">
        <w:t xml:space="preserve">  </w:t>
      </w:r>
    </w:p>
    <w:p w:rsidR="00337EBC" w:rsidP="005E7044" w:rsidRDefault="00337EBC" w14:paraId="605B2CAC" w14:textId="598AEDE9">
      <w:pPr>
        <w:pStyle w:val="Standard"/>
      </w:pPr>
      <w:r>
        <w:t xml:space="preserve">The Commission </w:t>
      </w:r>
      <w:r w:rsidR="00556D4B">
        <w:t xml:space="preserve">finds </w:t>
      </w:r>
      <w:r>
        <w:t>that lock</w:t>
      </w:r>
      <w:r w:rsidR="00827602">
        <w:noBreakHyphen/>
      </w:r>
      <w:r>
        <w:t>in periods will no</w:t>
      </w:r>
      <w:r w:rsidR="00556D4B">
        <w:t>t</w:t>
      </w:r>
      <w:r>
        <w:t xml:space="preserve"> </w:t>
      </w:r>
      <w:r w:rsidR="000E4FB2">
        <w:t xml:space="preserve">be </w:t>
      </w:r>
      <w:r w:rsidR="00556D4B">
        <w:t xml:space="preserve">necessary </w:t>
      </w:r>
      <w:r w:rsidR="000E4FB2">
        <w:t xml:space="preserve">after the transition time, considering the historical trends of increasing rates, decreasing costs of solar, consistency of the Avoided Cost Calculator (as discussed below), and increasing storage attachment rates.  </w:t>
      </w:r>
      <w:r w:rsidR="00556D4B">
        <w:t>Accordingly, c</w:t>
      </w:r>
      <w:r w:rsidR="000E4FB2">
        <w:t>ustomers may choose to exit their lock</w:t>
      </w:r>
      <w:r w:rsidR="00827602">
        <w:noBreakHyphen/>
      </w:r>
      <w:r w:rsidR="000E4FB2">
        <w:t>in periods early but may not reenter them after exiting.  Customers who exit their lock</w:t>
      </w:r>
      <w:r w:rsidR="00827602">
        <w:noBreakHyphen/>
      </w:r>
      <w:r w:rsidR="000E4FB2">
        <w:t xml:space="preserve">in period early will subsequently receive </w:t>
      </w:r>
      <w:r w:rsidR="00F810B6">
        <w:t xml:space="preserve">retail </w:t>
      </w:r>
      <w:r w:rsidR="000E4FB2">
        <w:t xml:space="preserve">export compensation </w:t>
      </w:r>
      <w:r w:rsidR="00F810B6">
        <w:t xml:space="preserve">rates </w:t>
      </w:r>
      <w:r w:rsidR="000E4FB2">
        <w:t>calculated using the most recently adopted Avoided Cost Calculator.</w:t>
      </w:r>
    </w:p>
    <w:p w:rsidR="00703E3E" w:rsidP="005E7044" w:rsidRDefault="00781B1C" w14:paraId="53C6F2B9" w14:textId="0713D428">
      <w:pPr>
        <w:pStyle w:val="Standard"/>
      </w:pPr>
      <w:r>
        <w:t>Following the lock</w:t>
      </w:r>
      <w:r w:rsidR="00F810B6">
        <w:t>ed</w:t>
      </w:r>
      <w:r w:rsidR="00827602">
        <w:noBreakHyphen/>
      </w:r>
      <w:r>
        <w:t xml:space="preserve">in period, </w:t>
      </w:r>
      <w:r w:rsidR="00F810B6">
        <w:t xml:space="preserve">retail </w:t>
      </w:r>
      <w:r>
        <w:t xml:space="preserve">export compensation </w:t>
      </w:r>
      <w:r w:rsidR="00F810B6">
        <w:t xml:space="preserve">rates </w:t>
      </w:r>
      <w:r>
        <w:t>will be based on averaged monthly avoided cost values, as previously described, but calculated by the version of the Avoided Cost Calculator</w:t>
      </w:r>
      <w:r w:rsidR="00C61324">
        <w:t xml:space="preserve"> adopted as of January</w:t>
      </w:r>
      <w:r w:rsidR="005505B6">
        <w:t> </w:t>
      </w:r>
      <w:r w:rsidR="00C61324">
        <w:t>1</w:t>
      </w:r>
      <w:r w:rsidR="00556D4B">
        <w:t xml:space="preserve"> of that year</w:t>
      </w:r>
      <w:r w:rsidR="000720B8">
        <w:t>.</w:t>
      </w:r>
      <w:r w:rsidR="0087729A">
        <w:t xml:space="preserve"> </w:t>
      </w:r>
      <w:r w:rsidR="00B74FF7">
        <w:t xml:space="preserve"> </w:t>
      </w:r>
      <w:r w:rsidR="00556D4B">
        <w:t>P</w:t>
      </w:r>
      <w:r w:rsidR="004A7545">
        <w:t>arties recommend</w:t>
      </w:r>
      <w:r w:rsidR="00A2326D">
        <w:t xml:space="preserve"> </w:t>
      </w:r>
      <w:r w:rsidR="004A7545">
        <w:t>averaging multiple years of the Avoided Cost Calculator to avoid rate shock from changes in the Avoided Cost Calculator.</w:t>
      </w:r>
      <w:r w:rsidR="00A2326D">
        <w:rPr>
          <w:rStyle w:val="FootnoteReference"/>
        </w:rPr>
        <w:footnoteReference w:id="415"/>
      </w:r>
      <w:r w:rsidR="004A7545">
        <w:t xml:space="preserve">  However, </w:t>
      </w:r>
      <w:r w:rsidR="00EF6CBE">
        <w:t xml:space="preserve">this decision </w:t>
      </w:r>
      <w:r w:rsidR="004A7545">
        <w:t>ha</w:t>
      </w:r>
      <w:r w:rsidR="00EF6CBE">
        <w:t>s</w:t>
      </w:r>
      <w:r w:rsidR="004A7545">
        <w:t xml:space="preserve"> already determined that, </w:t>
      </w:r>
      <w:r w:rsidR="00D374EE">
        <w:t>except for</w:t>
      </w:r>
      <w:r w:rsidR="004A7545">
        <w:t xml:space="preserve"> the 2020 values, Avoided Cost Calculator values have consistent</w:t>
      </w:r>
      <w:r w:rsidR="001741C7">
        <w:t>ly</w:t>
      </w:r>
      <w:r w:rsidR="004A7545">
        <w:t xml:space="preserve"> </w:t>
      </w:r>
      <w:r w:rsidR="001741C7">
        <w:t>reflected the value of exported energy</w:t>
      </w:r>
      <w:r w:rsidR="004A7545">
        <w:t xml:space="preserve"> year </w:t>
      </w:r>
      <w:r w:rsidR="001741C7">
        <w:t xml:space="preserve">after </w:t>
      </w:r>
      <w:r w:rsidR="004A7545">
        <w:t xml:space="preserve">year.  Accordingly, </w:t>
      </w:r>
      <w:r w:rsidR="00EF6CBE">
        <w:t>this decision</w:t>
      </w:r>
      <w:r w:rsidR="004A7545">
        <w:t xml:space="preserve"> </w:t>
      </w:r>
      <w:r w:rsidR="00CD39B6">
        <w:t>adopt</w:t>
      </w:r>
      <w:r w:rsidR="00EF6CBE">
        <w:t>s</w:t>
      </w:r>
      <w:r w:rsidR="00CD39B6">
        <w:t xml:space="preserve"> </w:t>
      </w:r>
      <w:r w:rsidR="004A7545">
        <w:t xml:space="preserve">use </w:t>
      </w:r>
      <w:r w:rsidR="00CD39B6">
        <w:t xml:space="preserve">of </w:t>
      </w:r>
      <w:r w:rsidR="004A7545">
        <w:t xml:space="preserve">the most recently </w:t>
      </w:r>
      <w:r w:rsidR="004A7545">
        <w:lastRenderedPageBreak/>
        <w:t>adopted Avoided Cost Calculator</w:t>
      </w:r>
      <w:r w:rsidR="001741C7">
        <w:t xml:space="preserve"> after the lock</w:t>
      </w:r>
      <w:r w:rsidR="00827602">
        <w:noBreakHyphen/>
      </w:r>
      <w:r w:rsidR="001741C7">
        <w:t>in period ends for each customer on the tariff</w:t>
      </w:r>
      <w:r w:rsidR="004A7545">
        <w:t xml:space="preserve">.  </w:t>
      </w:r>
      <w:r w:rsidR="00EF6CBE">
        <w:t>U</w:t>
      </w:r>
      <w:r w:rsidR="004A7545">
        <w:t>sing single years’ avoided cost values</w:t>
      </w:r>
      <w:r w:rsidR="005F270C">
        <w:t>,</w:t>
      </w:r>
      <w:r w:rsidR="004A7545">
        <w:t xml:space="preserve"> instead of averaged costs, brings the cost of the tariff closer to its value, which aligns with the requirements of Public Utilities Code </w:t>
      </w:r>
      <w:r w:rsidR="0034029C">
        <w:t>Section 2</w:t>
      </w:r>
      <w:r w:rsidR="004A7545">
        <w:t xml:space="preserve">827.1(b)(3), ensuring the tariff is based on the costs and benefits of the generator, and </w:t>
      </w:r>
      <w:r w:rsidR="00371738">
        <w:t>Section </w:t>
      </w:r>
      <w:r w:rsidR="004A7545">
        <w:t>2827.1(b)(4), ensuring the benefits are approximately equal to the total costs.</w:t>
      </w:r>
      <w:r w:rsidR="00056A4E">
        <w:t xml:space="preserve">  A customer that enrolls in the </w:t>
      </w:r>
      <w:r w:rsidR="00CE2C8B">
        <w:t>n</w:t>
      </w:r>
      <w:r w:rsidR="00056A4E">
        <w:t xml:space="preserve">et </w:t>
      </w:r>
      <w:r w:rsidR="00CE2C8B">
        <w:t>b</w:t>
      </w:r>
      <w:r w:rsidR="00056A4E">
        <w:t>illing tariff after the five</w:t>
      </w:r>
      <w:r w:rsidR="00827602">
        <w:noBreakHyphen/>
      </w:r>
      <w:r w:rsidR="00056A4E">
        <w:t xml:space="preserve">year glide path </w:t>
      </w:r>
      <w:r w:rsidR="001D29B8">
        <w:t xml:space="preserve">and transition </w:t>
      </w:r>
      <w:r w:rsidR="00056A4E">
        <w:t>period ends will not be eligible to lock</w:t>
      </w:r>
      <w:r w:rsidR="00827602">
        <w:noBreakHyphen/>
      </w:r>
      <w:r w:rsidR="00056A4E">
        <w:t>in Avoided Cost Calculator forecast values; their exports will be valued at the most recently adopted Avoided Cost Calculator values.</w:t>
      </w:r>
    </w:p>
    <w:p w:rsidR="00CA600D" w:rsidP="005E7044" w:rsidRDefault="007B1932" w14:paraId="71A63C97" w14:textId="5BF91021">
      <w:pPr>
        <w:pStyle w:val="Standard"/>
      </w:pPr>
      <w:r>
        <w:t xml:space="preserve">The Avoided Cost Calculator provides avoided cost values for each climate </w:t>
      </w:r>
      <w:r w:rsidRPr="00720271">
        <w:t>zone.</w:t>
      </w:r>
      <w:r w:rsidRPr="00720271" w:rsidR="00ED759A">
        <w:t xml:space="preserve"> </w:t>
      </w:r>
      <w:r w:rsidRPr="008B12A6">
        <w:t xml:space="preserve"> </w:t>
      </w:r>
      <w:r w:rsidR="000E4FB2">
        <w:t xml:space="preserve">Several parties </w:t>
      </w:r>
      <w:r w:rsidR="004E5BA1">
        <w:t>contend</w:t>
      </w:r>
      <w:r w:rsidR="000E4FB2">
        <w:t xml:space="preserve"> that there is minimal difference in the Avoided Cost Calculator between climate zones.</w:t>
      </w:r>
      <w:r w:rsidR="000E4FB2">
        <w:rPr>
          <w:rStyle w:val="FootnoteReference"/>
        </w:rPr>
        <w:footnoteReference w:id="416"/>
      </w:r>
      <w:r w:rsidR="000E4FB2">
        <w:t xml:space="preserve">  </w:t>
      </w:r>
      <w:r w:rsidR="004E5BA1">
        <w:t xml:space="preserve">Moreover, Aurora, </w:t>
      </w:r>
      <w:proofErr w:type="spellStart"/>
      <w:r w:rsidR="004E5BA1">
        <w:t>CALSSA</w:t>
      </w:r>
      <w:proofErr w:type="spellEnd"/>
      <w:r w:rsidR="004E5BA1">
        <w:t xml:space="preserve">, and Sierra Club assert that using </w:t>
      </w:r>
      <w:r w:rsidR="0098205C">
        <w:t xml:space="preserve">retail </w:t>
      </w:r>
      <w:r w:rsidR="004E5BA1">
        <w:t xml:space="preserve">export </w:t>
      </w:r>
      <w:r w:rsidR="00116E9B">
        <w:t xml:space="preserve">compensation </w:t>
      </w:r>
      <w:r w:rsidR="004E5BA1">
        <w:t>rates set by climate zone would be complex for solar providers and customers.</w:t>
      </w:r>
      <w:r w:rsidR="004E5BA1">
        <w:rPr>
          <w:rStyle w:val="FootnoteReference"/>
        </w:rPr>
        <w:footnoteReference w:id="417"/>
      </w:r>
    </w:p>
    <w:p w:rsidR="00346B63" w:rsidP="005E7044" w:rsidRDefault="004E5BA1" w14:paraId="2ABDC128" w14:textId="7B613C42">
      <w:pPr>
        <w:pStyle w:val="Standard"/>
      </w:pPr>
      <w:r>
        <w:t>The Commission finds that</w:t>
      </w:r>
      <w:r w:rsidRPr="000F2403">
        <w:t xml:space="preserve"> </w:t>
      </w:r>
      <w:r w:rsidR="0098205C">
        <w:t xml:space="preserve">retail </w:t>
      </w:r>
      <w:r w:rsidRPr="000F2403">
        <w:t xml:space="preserve">export </w:t>
      </w:r>
      <w:r w:rsidR="00116E9B">
        <w:t xml:space="preserve">compensation </w:t>
      </w:r>
      <w:r w:rsidRPr="000F2403">
        <w:t xml:space="preserve">rates specific to climate zones do not </w:t>
      </w:r>
      <w:r>
        <w:t xml:space="preserve">significantly </w:t>
      </w:r>
      <w:r w:rsidRPr="000F2403">
        <w:t>reflect Avoided Cost Calculator values more accurate</w:t>
      </w:r>
      <w:r>
        <w:t xml:space="preserve">ly.  </w:t>
      </w:r>
      <w:r w:rsidRPr="004A7EC7" w:rsidR="00E474E8">
        <w:t>T</w:t>
      </w:r>
      <w:r>
        <w:t>herefore, the Commission directs</w:t>
      </w:r>
      <w:r w:rsidRPr="00E6463F" w:rsidR="007B1932">
        <w:t xml:space="preserve"> Joint Utilities </w:t>
      </w:r>
      <w:r>
        <w:t xml:space="preserve">to </w:t>
      </w:r>
      <w:r w:rsidRPr="007C740A" w:rsidR="007B1932">
        <w:t xml:space="preserve">calculate </w:t>
      </w:r>
      <w:r w:rsidR="00071EA8">
        <w:t>average</w:t>
      </w:r>
      <w:r w:rsidRPr="007C740A" w:rsidR="00071EA8">
        <w:t xml:space="preserve"> </w:t>
      </w:r>
      <w:r w:rsidRPr="007C740A" w:rsidR="007B1932">
        <w:t xml:space="preserve">export compensation </w:t>
      </w:r>
      <w:r w:rsidR="006B1D67">
        <w:t xml:space="preserve">retail </w:t>
      </w:r>
      <w:r w:rsidRPr="007C740A" w:rsidR="007B1932">
        <w:t xml:space="preserve">rates </w:t>
      </w:r>
      <w:r w:rsidR="00071EA8">
        <w:t>across</w:t>
      </w:r>
      <w:r w:rsidRPr="007C740A" w:rsidR="00071EA8">
        <w:t xml:space="preserve"> </w:t>
      </w:r>
      <w:r w:rsidR="00071EA8">
        <w:t>the</w:t>
      </w:r>
      <w:r w:rsidRPr="007C740A" w:rsidR="00071EA8">
        <w:t xml:space="preserve"> </w:t>
      </w:r>
      <w:r w:rsidRPr="007C740A" w:rsidR="007B1932">
        <w:t>climate zone</w:t>
      </w:r>
      <w:r w:rsidR="00071EA8">
        <w:t>s</w:t>
      </w:r>
      <w:r w:rsidR="006B1D67">
        <w:t xml:space="preserve"> within each utility service territory</w:t>
      </w:r>
      <w:r w:rsidRPr="007C740A" w:rsidR="007B1932">
        <w:t>.</w:t>
      </w:r>
      <w:r w:rsidRPr="007C740A" w:rsidR="00ED759A">
        <w:t xml:space="preserve">  </w:t>
      </w:r>
      <w:r w:rsidR="007B1932">
        <w:t xml:space="preserve">Joint Utilities </w:t>
      </w:r>
      <w:r w:rsidR="00ED759A">
        <w:t xml:space="preserve">shall </w:t>
      </w:r>
      <w:r w:rsidR="007B1932">
        <w:t xml:space="preserve">coordinate </w:t>
      </w:r>
      <w:r w:rsidR="00ED759A">
        <w:t xml:space="preserve">to </w:t>
      </w:r>
      <w:r w:rsidR="007B1932">
        <w:t xml:space="preserve">standardize the method of deriving </w:t>
      </w:r>
      <w:r w:rsidR="0098205C">
        <w:t xml:space="preserve">retail </w:t>
      </w:r>
      <w:r w:rsidR="007B1932">
        <w:t xml:space="preserve">export compensation rates based on the Avoided Cost Calculator values in accordance with the findings of this </w:t>
      </w:r>
      <w:r w:rsidR="00ED759A">
        <w:t>decision</w:t>
      </w:r>
      <w:r w:rsidR="007B1932">
        <w:t xml:space="preserve">. </w:t>
      </w:r>
      <w:r w:rsidR="00E474E8">
        <w:t xml:space="preserve"> </w:t>
      </w:r>
      <w:r w:rsidR="00AE5011">
        <w:t>Th</w:t>
      </w:r>
      <w:r>
        <w:t xml:space="preserve">e Commission </w:t>
      </w:r>
      <w:r w:rsidR="00AE5011">
        <w:t xml:space="preserve">clarifies that in the case of negative hourly values, Joint Utilities shall present these values </w:t>
      </w:r>
      <w:r w:rsidR="00AE5011">
        <w:lastRenderedPageBreak/>
        <w:t xml:space="preserve">as $0.  </w:t>
      </w:r>
      <w:r w:rsidR="00371FEF">
        <w:t>Further, Joint Utilities shall coordinate to provide</w:t>
      </w:r>
      <w:r>
        <w:t xml:space="preserve"> uniform </w:t>
      </w:r>
      <w:r w:rsidR="00371FEF">
        <w:t>machine</w:t>
      </w:r>
      <w:r w:rsidR="00827602">
        <w:noBreakHyphen/>
      </w:r>
      <w:r w:rsidR="00371FEF">
        <w:t xml:space="preserve">readable spreadsheets containing the export values for each vintage of Avoided Cost Calculator updates.  </w:t>
      </w:r>
      <w:r>
        <w:t>The spreadsheets shall include separate columns for delivery</w:t>
      </w:r>
      <w:r w:rsidR="00827602">
        <w:noBreakHyphen/>
      </w:r>
      <w:r>
        <w:t>related and energy</w:t>
      </w:r>
      <w:r w:rsidR="00827602">
        <w:noBreakHyphen/>
      </w:r>
      <w:r>
        <w:t xml:space="preserve">related portions of the </w:t>
      </w:r>
      <w:r w:rsidR="0098205C">
        <w:t xml:space="preserve">retail </w:t>
      </w:r>
      <w:r>
        <w:t xml:space="preserve">export compensation rate to accommodate unbundled customers.  </w:t>
      </w:r>
      <w:r w:rsidR="007B1932">
        <w:t xml:space="preserve">In </w:t>
      </w:r>
      <w:r w:rsidR="0034029C">
        <w:t>Section 8</w:t>
      </w:r>
      <w:r w:rsidR="007B1932">
        <w:t xml:space="preserve">.7, </w:t>
      </w:r>
      <w:r w:rsidR="00EF6CBE">
        <w:t xml:space="preserve">this decision </w:t>
      </w:r>
      <w:r w:rsidR="007B1932">
        <w:t>direct</w:t>
      </w:r>
      <w:r w:rsidR="00EF6CBE">
        <w:t>s</w:t>
      </w:r>
      <w:r w:rsidR="007B1932">
        <w:t xml:space="preserve"> Joint Utilities to submit advice letters implementing the </w:t>
      </w:r>
      <w:r w:rsidR="00ED759A">
        <w:t>successor tariff</w:t>
      </w:r>
      <w:r w:rsidR="00E474E8">
        <w:t>; J</w:t>
      </w:r>
      <w:r w:rsidR="007B1932">
        <w:t>oint Utilities shall</w:t>
      </w:r>
      <w:r w:rsidR="00555CC0">
        <w:t xml:space="preserve">:  </w:t>
      </w:r>
      <w:r w:rsidR="00D73FE9">
        <w:t>(</w:t>
      </w:r>
      <w:r w:rsidR="00CA600D">
        <w:t>1</w:t>
      </w:r>
      <w:r w:rsidR="006B1D67">
        <w:t>)</w:t>
      </w:r>
      <w:r w:rsidR="00D73FE9">
        <w:t> </w:t>
      </w:r>
      <w:r w:rsidR="007B1932">
        <w:t xml:space="preserve">describe the standardized method and provide the </w:t>
      </w:r>
      <w:r w:rsidR="00F810B6">
        <w:t xml:space="preserve">retail </w:t>
      </w:r>
      <w:r w:rsidR="007B1932">
        <w:t>export compensation rates in the required advice letter</w:t>
      </w:r>
      <w:r w:rsidR="00D73FE9">
        <w:t>;</w:t>
      </w:r>
      <w:r w:rsidR="006B1D67">
        <w:t xml:space="preserve"> and </w:t>
      </w:r>
      <w:r w:rsidR="00D73FE9">
        <w:t>(</w:t>
      </w:r>
      <w:r w:rsidR="00CA600D">
        <w:t>2</w:t>
      </w:r>
      <w:r w:rsidR="006B1D67">
        <w:t>)</w:t>
      </w:r>
      <w:r w:rsidR="00D73FE9">
        <w:t> </w:t>
      </w:r>
      <w:r w:rsidR="006B1D67">
        <w:t xml:space="preserve">articulate which components of the Avoided Cost Calculator are under the jurisdiction of the utilities in the case of unbundled customers.  Joint Utilities shall also include an example of the spreadsheet as an attachment to the required </w:t>
      </w:r>
      <w:r w:rsidR="0018427D">
        <w:t>a</w:t>
      </w:r>
      <w:r w:rsidR="006B1D67">
        <w:t xml:space="preserve">dvice </w:t>
      </w:r>
      <w:r w:rsidR="0018427D">
        <w:t>l</w:t>
      </w:r>
      <w:r w:rsidR="006B1D67">
        <w:t>etter.</w:t>
      </w:r>
    </w:p>
    <w:p w:rsidR="00B30AA9" w:rsidP="005E7044" w:rsidRDefault="006013F9" w14:paraId="59E35268" w14:textId="0222008D">
      <w:pPr>
        <w:pStyle w:val="Heading3"/>
        <w:keepLines w:val="0"/>
      </w:pPr>
      <w:bookmarkStart w:name="_Toc117674099" w:id="191"/>
      <w:bookmarkStart w:name="_Toc118285090" w:id="192"/>
      <w:bookmarkStart w:name="_Toc121854417" w:id="193"/>
      <w:r>
        <w:t xml:space="preserve">ACC Plus Glide Path </w:t>
      </w:r>
      <w:r w:rsidR="00B30AA9">
        <w:t xml:space="preserve">as a </w:t>
      </w:r>
      <w:r>
        <w:t>Transition</w:t>
      </w:r>
      <w:r w:rsidR="00D217B7">
        <w:br/>
      </w:r>
      <w:r w:rsidR="00927CE0">
        <w:t>to</w:t>
      </w:r>
      <w:r w:rsidR="00D217B7">
        <w:t xml:space="preserve"> </w:t>
      </w:r>
      <w:r w:rsidR="00927CE0">
        <w:t>Solar Paired with Storage</w:t>
      </w:r>
      <w:bookmarkEnd w:id="191"/>
      <w:bookmarkEnd w:id="192"/>
      <w:bookmarkEnd w:id="193"/>
    </w:p>
    <w:p w:rsidR="00533B2F" w:rsidP="005E7044" w:rsidRDefault="00D068C8" w14:paraId="2BFD5471" w14:textId="41E9C89A">
      <w:pPr>
        <w:pStyle w:val="Standard"/>
      </w:pPr>
      <w:r>
        <w:t>A</w:t>
      </w:r>
      <w:r w:rsidR="00B30AA9">
        <w:t xml:space="preserve">doption of the revised </w:t>
      </w:r>
      <w:r w:rsidR="00F810B6">
        <w:t xml:space="preserve">retail </w:t>
      </w:r>
      <w:r w:rsidR="00B30AA9">
        <w:t xml:space="preserve">export compensation rates will lead to less compensation for successor tariff customers </w:t>
      </w:r>
      <w:r w:rsidR="002D1598">
        <w:t xml:space="preserve">as </w:t>
      </w:r>
      <w:r w:rsidR="00B30AA9">
        <w:t xml:space="preserve">compared to </w:t>
      </w:r>
      <w:r w:rsidR="00602BC5">
        <w:t>NEM 1.0</w:t>
      </w:r>
      <w:r w:rsidR="00B30AA9">
        <w:t xml:space="preserve"> and </w:t>
      </w:r>
      <w:r w:rsidR="00602BC5">
        <w:t>NEM 2.0</w:t>
      </w:r>
      <w:r w:rsidR="00135D55">
        <w:t xml:space="preserve"> </w:t>
      </w:r>
      <w:r w:rsidR="00B30AA9">
        <w:t xml:space="preserve">customers.  This will enable the Commission to meet the requirement that the tariff is based on the costs and benefits of the generators.  However, </w:t>
      </w:r>
      <w:r w:rsidR="00887BAE">
        <w:t xml:space="preserve">the Commission </w:t>
      </w:r>
      <w:r w:rsidR="00B30AA9">
        <w:t>recognize</w:t>
      </w:r>
      <w:r w:rsidR="00887BAE">
        <w:t>s</w:t>
      </w:r>
      <w:r w:rsidR="00B30AA9">
        <w:t xml:space="preserve"> the </w:t>
      </w:r>
      <w:r w:rsidR="002D1598">
        <w:t xml:space="preserve">need and </w:t>
      </w:r>
      <w:r w:rsidR="00B30AA9">
        <w:t>requirement that customer</w:t>
      </w:r>
      <w:r w:rsidR="00827602">
        <w:noBreakHyphen/>
      </w:r>
      <w:r w:rsidR="00B30AA9">
        <w:t xml:space="preserve">sited </w:t>
      </w:r>
      <w:r w:rsidR="00147013">
        <w:t xml:space="preserve">renewable </w:t>
      </w:r>
      <w:r w:rsidR="00B30AA9">
        <w:t>distributed generation continues to grow sustainably.</w:t>
      </w:r>
      <w:r w:rsidR="004A46A7">
        <w:t xml:space="preserve">  </w:t>
      </w:r>
      <w:r w:rsidR="00927CE0">
        <w:t xml:space="preserve">To attain this </w:t>
      </w:r>
      <w:r w:rsidR="00C70310">
        <w:t xml:space="preserve">sustainable </w:t>
      </w:r>
      <w:r w:rsidR="00927CE0">
        <w:t>growth, the market</w:t>
      </w:r>
      <w:r w:rsidR="006013F9">
        <w:t xml:space="preserve"> must </w:t>
      </w:r>
      <w:r w:rsidR="00927CE0">
        <w:t xml:space="preserve">transition to one </w:t>
      </w:r>
      <w:r w:rsidR="00147013">
        <w:t>focused on</w:t>
      </w:r>
      <w:r w:rsidR="00927CE0">
        <w:t xml:space="preserve"> solar paired with storage.</w:t>
      </w:r>
      <w:r w:rsidR="004A46A7">
        <w:t xml:space="preserve">  </w:t>
      </w:r>
      <w:r w:rsidR="00B30AA9">
        <w:t xml:space="preserve">Hence, as previously determined, </w:t>
      </w:r>
      <w:r>
        <w:t xml:space="preserve">this decision </w:t>
      </w:r>
      <w:r w:rsidR="00B30AA9">
        <w:t>find</w:t>
      </w:r>
      <w:r>
        <w:t>s</w:t>
      </w:r>
      <w:r w:rsidR="00B30AA9">
        <w:t xml:space="preserve"> inclusion of a glide path is </w:t>
      </w:r>
      <w:r w:rsidR="00A445CC">
        <w:t>essential,</w:t>
      </w:r>
      <w:r w:rsidR="0061245F">
        <w:t xml:space="preserve"> and </w:t>
      </w:r>
      <w:r w:rsidR="00B30AA9">
        <w:t xml:space="preserve">the </w:t>
      </w:r>
      <w:r w:rsidR="00871FE5">
        <w:t>ACC Plus</w:t>
      </w:r>
      <w:r w:rsidR="00B30AA9">
        <w:t xml:space="preserve"> </w:t>
      </w:r>
      <w:r w:rsidR="0061245F">
        <w:t>is</w:t>
      </w:r>
      <w:r w:rsidR="00B30AA9">
        <w:t xml:space="preserve"> the best </w:t>
      </w:r>
      <w:r w:rsidR="001741C7">
        <w:t xml:space="preserve">and most transparent </w:t>
      </w:r>
      <w:r w:rsidR="00B30AA9">
        <w:t xml:space="preserve">approach.  </w:t>
      </w:r>
      <w:r w:rsidR="0072783C">
        <w:t>T</w:t>
      </w:r>
      <w:r>
        <w:t>he</w:t>
      </w:r>
      <w:r w:rsidR="00B30AA9">
        <w:t xml:space="preserve"> </w:t>
      </w:r>
      <w:r w:rsidR="009D56DF">
        <w:t xml:space="preserve">details of the </w:t>
      </w:r>
      <w:r w:rsidR="00B30AA9">
        <w:t xml:space="preserve">adopted </w:t>
      </w:r>
      <w:r w:rsidR="00871FE5">
        <w:t>ACC Plus</w:t>
      </w:r>
      <w:r w:rsidR="00B30AA9">
        <w:t xml:space="preserve"> </w:t>
      </w:r>
      <w:r w:rsidR="009D56DF">
        <w:t>are</w:t>
      </w:r>
      <w:r>
        <w:t xml:space="preserve"> described</w:t>
      </w:r>
      <w:r w:rsidR="0072783C">
        <w:t xml:space="preserve"> below</w:t>
      </w:r>
      <w:r w:rsidR="009D56DF">
        <w:t>.  Th</w:t>
      </w:r>
      <w:r w:rsidR="00127772">
        <w:t xml:space="preserve">is </w:t>
      </w:r>
      <w:r w:rsidR="009D56DF">
        <w:t xml:space="preserve">glide path </w:t>
      </w:r>
      <w:r w:rsidR="00B30AA9">
        <w:t xml:space="preserve">will be available to </w:t>
      </w:r>
      <w:r w:rsidR="00127772">
        <w:t xml:space="preserve">eligible </w:t>
      </w:r>
      <w:r w:rsidR="00B30AA9">
        <w:t xml:space="preserve">successor tariff customers </w:t>
      </w:r>
      <w:r w:rsidR="00E474E8">
        <w:t xml:space="preserve">for the first </w:t>
      </w:r>
      <w:r w:rsidR="00871FE5">
        <w:t xml:space="preserve">five </w:t>
      </w:r>
      <w:r w:rsidR="00E474E8">
        <w:t xml:space="preserve">years of </w:t>
      </w:r>
      <w:r w:rsidR="00B30AA9">
        <w:t xml:space="preserve">the successor tariff and will ensure a </w:t>
      </w:r>
      <w:r w:rsidR="0061245F">
        <w:t>reasonable</w:t>
      </w:r>
      <w:r w:rsidR="00B30AA9">
        <w:t xml:space="preserve"> level of </w:t>
      </w:r>
      <w:r w:rsidR="006B1D67">
        <w:t xml:space="preserve">monthly </w:t>
      </w:r>
      <w:r w:rsidR="00B30AA9">
        <w:t>bills savings.</w:t>
      </w:r>
    </w:p>
    <w:p w:rsidR="00AC34D5" w:rsidP="005E7044" w:rsidRDefault="00887BAE" w14:paraId="2B855969" w14:textId="4B719427">
      <w:pPr>
        <w:pStyle w:val="Standard"/>
      </w:pPr>
      <w:r>
        <w:lastRenderedPageBreak/>
        <w:t xml:space="preserve">As described </w:t>
      </w:r>
      <w:r w:rsidR="00235E96">
        <w:t xml:space="preserve">in the </w:t>
      </w:r>
      <w:r w:rsidR="00693EB0">
        <w:t>May 9, 2022</w:t>
      </w:r>
      <w:r w:rsidR="00235E96">
        <w:t xml:space="preserve"> Ruling</w:t>
      </w:r>
      <w:r>
        <w:t xml:space="preserve">, the </w:t>
      </w:r>
      <w:r w:rsidR="00235E96">
        <w:t xml:space="preserve">proposed </w:t>
      </w:r>
      <w:r>
        <w:t xml:space="preserve">ACC Plus </w:t>
      </w:r>
      <w:r w:rsidR="00235E96">
        <w:t>would provide a fixed cents per kilowatt</w:t>
      </w:r>
      <w:r w:rsidR="00827602">
        <w:noBreakHyphen/>
      </w:r>
      <w:r w:rsidR="00235E96">
        <w:t>hour (c/kWh) export adder on top of the Avoided Cost Calculator</w:t>
      </w:r>
      <w:r w:rsidR="00827602">
        <w:noBreakHyphen/>
      </w:r>
      <w:r w:rsidR="00235E96">
        <w:t xml:space="preserve">based hourly export credits. For example, a residential customer </w:t>
      </w:r>
      <w:r w:rsidR="00147013">
        <w:t>who</w:t>
      </w:r>
      <w:r w:rsidR="00235E96">
        <w:t xml:space="preserve"> enrolls in the </w:t>
      </w:r>
      <w:r w:rsidR="00147013">
        <w:t>successor t</w:t>
      </w:r>
      <w:r w:rsidR="00235E96">
        <w:t xml:space="preserve">ariff in </w:t>
      </w:r>
      <w:r w:rsidR="00761693">
        <w:t>Year 1</w:t>
      </w:r>
      <w:r w:rsidR="00235E96">
        <w:t xml:space="preserve"> of the glide path would be compensated for any energy exported to the grid based on the corresponding hourly </w:t>
      </w:r>
      <w:r w:rsidR="00850BFD">
        <w:t>Avoided Cost Calculator</w:t>
      </w:r>
      <w:r w:rsidR="00235E96">
        <w:t xml:space="preserve"> value</w:t>
      </w:r>
      <w:r w:rsidR="00687F90">
        <w:t> </w:t>
      </w:r>
      <w:r w:rsidR="00235E96">
        <w:t>+</w:t>
      </w:r>
      <w:r w:rsidR="00B947F5">
        <w:t xml:space="preserve"> </w:t>
      </w:r>
      <w:r w:rsidR="00235E96">
        <w:t>X</w:t>
      </w:r>
      <w:r w:rsidR="008F1A6E">
        <w:t> </w:t>
      </w:r>
      <w:r w:rsidR="00235E96">
        <w:t>c/kWh (adder). The ACC Plus would step</w:t>
      </w:r>
      <w:r w:rsidR="00827602">
        <w:noBreakHyphen/>
      </w:r>
      <w:r w:rsidR="00235E96">
        <w:t xml:space="preserve">down over time for prospective customers, providing a glide path that ends at </w:t>
      </w:r>
      <w:r w:rsidR="006B1D67">
        <w:t>Avoided Cost Calculator</w:t>
      </w:r>
      <w:r w:rsidR="00235E96">
        <w:t xml:space="preserve"> values.</w:t>
      </w:r>
      <w:r w:rsidR="009220C6">
        <w:t xml:space="preserve"> </w:t>
      </w:r>
      <w:r w:rsidR="00235E96">
        <w:t xml:space="preserve"> </w:t>
      </w:r>
      <w:r w:rsidR="0098205C">
        <w:t>The May</w:t>
      </w:r>
      <w:r w:rsidR="002F5949">
        <w:t> </w:t>
      </w:r>
      <w:r w:rsidR="0098205C">
        <w:t>9,</w:t>
      </w:r>
      <w:r w:rsidR="002F5949">
        <w:t> </w:t>
      </w:r>
      <w:r w:rsidR="0098205C">
        <w:t>2022 Ruling provided an</w:t>
      </w:r>
      <w:r w:rsidR="00235E96">
        <w:t xml:space="preserve"> example</w:t>
      </w:r>
      <w:r w:rsidR="0098205C">
        <w:t xml:space="preserve"> of this calculation</w:t>
      </w:r>
      <w:r w:rsidR="00235E96">
        <w:t xml:space="preserve"> </w:t>
      </w:r>
      <w:r w:rsidR="0098205C">
        <w:t xml:space="preserve">where </w:t>
      </w:r>
      <w:r w:rsidR="00235E96">
        <w:t xml:space="preserve">a customer </w:t>
      </w:r>
      <w:r w:rsidR="00147013">
        <w:t>who</w:t>
      </w:r>
      <w:r w:rsidR="00235E96">
        <w:t xml:space="preserve"> enrolls in the </w:t>
      </w:r>
      <w:r w:rsidR="00147013">
        <w:t>successor t</w:t>
      </w:r>
      <w:r w:rsidR="00235E96">
        <w:t xml:space="preserve">ariff in </w:t>
      </w:r>
      <w:r w:rsidR="00761693">
        <w:t>Year 2</w:t>
      </w:r>
      <w:r w:rsidR="00235E96">
        <w:t xml:space="preserve"> of the glide path would be compensated based on the corresponding hourly </w:t>
      </w:r>
      <w:r w:rsidR="006B1D67">
        <w:t>Avoided Cost Calculator</w:t>
      </w:r>
      <w:r w:rsidR="00235E96">
        <w:t xml:space="preserve"> value</w:t>
      </w:r>
      <w:r w:rsidR="00B947F5">
        <w:t> </w:t>
      </w:r>
      <w:r w:rsidR="00235E96">
        <w:t>+ X</w:t>
      </w:r>
      <w:r w:rsidR="00B947F5">
        <w:t> </w:t>
      </w:r>
      <w:r w:rsidR="00235E96">
        <w:t>* 0.75</w:t>
      </w:r>
      <w:r w:rsidR="008F1A6E">
        <w:t> </w:t>
      </w:r>
      <w:r w:rsidR="00235E96">
        <w:t>c/kWh for their lock</w:t>
      </w:r>
      <w:r w:rsidR="00827602">
        <w:noBreakHyphen/>
      </w:r>
      <w:r w:rsidR="00235E96">
        <w:t>in period (this step</w:t>
      </w:r>
      <w:r w:rsidR="00827602">
        <w:noBreakHyphen/>
      </w:r>
      <w:r w:rsidR="00235E96">
        <w:t xml:space="preserve">down amount </w:t>
      </w:r>
      <w:r w:rsidR="005311AD">
        <w:t>was provided</w:t>
      </w:r>
      <w:r w:rsidR="00235E96">
        <w:t xml:space="preserve"> </w:t>
      </w:r>
      <w:r w:rsidR="00147013">
        <w:t xml:space="preserve">in the </w:t>
      </w:r>
      <w:r w:rsidR="00693EB0">
        <w:t>May 9, 2022</w:t>
      </w:r>
      <w:r w:rsidR="00147013">
        <w:t xml:space="preserve"> Ruling </w:t>
      </w:r>
      <w:r w:rsidR="00235E96">
        <w:t>for illustrative purposes only).</w:t>
      </w:r>
    </w:p>
    <w:p w:rsidR="00533B2F" w:rsidP="005E7044" w:rsidRDefault="00235E96" w14:paraId="7DD4BC61" w14:textId="72CD676D">
      <w:pPr>
        <w:pStyle w:val="Standard"/>
      </w:pPr>
      <w:r>
        <w:t xml:space="preserve">Parties were asked to comment on </w:t>
      </w:r>
      <w:r w:rsidR="00AC34D5">
        <w:t xml:space="preserve">details of the </w:t>
      </w:r>
      <w:r w:rsidR="00CA600D">
        <w:t xml:space="preserve">ACC </w:t>
      </w:r>
      <w:r w:rsidR="00AC34D5">
        <w:t>Plus</w:t>
      </w:r>
      <w:r w:rsidR="00CA600D">
        <w:t xml:space="preserve">, </w:t>
      </w:r>
      <w:r w:rsidR="00AC34D5">
        <w:t xml:space="preserve">including </w:t>
      </w:r>
      <w:r w:rsidR="0072783C">
        <w:t xml:space="preserve">who should receive the glide path, </w:t>
      </w:r>
      <w:r>
        <w:t xml:space="preserve">whether the Commission should consider a multiplier instead of a fixed adder value, </w:t>
      </w:r>
      <w:r w:rsidR="00147013">
        <w:t xml:space="preserve">and </w:t>
      </w:r>
      <w:r>
        <w:t xml:space="preserve">whether the </w:t>
      </w:r>
      <w:r w:rsidR="00633A41">
        <w:t xml:space="preserve">ACC Plus </w:t>
      </w:r>
      <w:r>
        <w:t>should result in a certain payback period or a certain level of bill savings.</w:t>
      </w:r>
      <w:r w:rsidR="00AC34D5">
        <w:t xml:space="preserve">  Parties were also asked to recommend the length of the glide path</w:t>
      </w:r>
      <w:r w:rsidR="007E0A84">
        <w:t>, which this decision</w:t>
      </w:r>
      <w:r w:rsidR="00646BEE">
        <w:t xml:space="preserve"> </w:t>
      </w:r>
      <w:r w:rsidR="007E0A84">
        <w:t>determined</w:t>
      </w:r>
      <w:r w:rsidR="00CA600D">
        <w:t xml:space="preserve">, as discussed in </w:t>
      </w:r>
      <w:r w:rsidR="001764F0">
        <w:t>S</w:t>
      </w:r>
      <w:r w:rsidR="00CA600D">
        <w:t>ection</w:t>
      </w:r>
      <w:r w:rsidR="001764F0">
        <w:t> </w:t>
      </w:r>
      <w:r w:rsidR="00CA600D">
        <w:t>8.5.1 above,</w:t>
      </w:r>
      <w:r w:rsidR="007E0A84">
        <w:t xml:space="preserve"> should be five years,</w:t>
      </w:r>
      <w:r w:rsidR="00AC34D5">
        <w:t xml:space="preserve"> and the rate of step</w:t>
      </w:r>
      <w:r w:rsidR="00827602">
        <w:noBreakHyphen/>
      </w:r>
      <w:r w:rsidR="00AC34D5">
        <w:t>down so that the glide path ends at Avoided Cost Calculator</w:t>
      </w:r>
      <w:r w:rsidR="00827602">
        <w:noBreakHyphen/>
      </w:r>
      <w:r w:rsidR="00AC34D5">
        <w:t>based values.</w:t>
      </w:r>
    </w:p>
    <w:p w:rsidR="003E25A2" w:rsidP="005E7044" w:rsidRDefault="00A650E8" w14:paraId="46D9EA59" w14:textId="6D417291">
      <w:pPr>
        <w:pStyle w:val="Standard"/>
      </w:pPr>
      <w:r>
        <w:t xml:space="preserve">This discussion begins with the issue of the basis for determining the ACC Plus adder amount.  </w:t>
      </w:r>
      <w:r w:rsidR="00D20B01">
        <w:t>With one exception, parties agree that the Commission should calculate the adder amount based on a specific payback period.  Only Joint Utilities</w:t>
      </w:r>
      <w:r w:rsidR="001C46A5">
        <w:t xml:space="preserve"> </w:t>
      </w:r>
      <w:r w:rsidR="00D20B01">
        <w:t>oppose the focus on the payback period</w:t>
      </w:r>
      <w:r w:rsidR="00CA600D">
        <w:t xml:space="preserve">, </w:t>
      </w:r>
      <w:r w:rsidR="00D20B01">
        <w:t xml:space="preserve">stating that there is no </w:t>
      </w:r>
      <w:r w:rsidR="00D20B01">
        <w:lastRenderedPageBreak/>
        <w:t xml:space="preserve">need for a glidepath to satisfy the requirements of </w:t>
      </w:r>
      <w:r w:rsidR="00F138A9">
        <w:t>AB </w:t>
      </w:r>
      <w:r w:rsidR="00D20B01">
        <w:t>327.</w:t>
      </w:r>
      <w:r w:rsidR="001C46A5">
        <w:rPr>
          <w:rStyle w:val="FootnoteReference"/>
        </w:rPr>
        <w:footnoteReference w:id="418"/>
      </w:r>
      <w:r w:rsidR="003E25A2">
        <w:t xml:space="preserve">  Recommendations for the payback period range from seven </w:t>
      </w:r>
      <w:r w:rsidR="006B03BF">
        <w:t>(</w:t>
      </w:r>
      <w:proofErr w:type="spellStart"/>
      <w:r w:rsidR="006B03BF">
        <w:t>SBUA</w:t>
      </w:r>
      <w:proofErr w:type="spellEnd"/>
      <w:r w:rsidR="006B03BF">
        <w:t xml:space="preserve">) </w:t>
      </w:r>
      <w:r w:rsidR="003E25A2">
        <w:t xml:space="preserve">to 15 years </w:t>
      </w:r>
      <w:r w:rsidR="006B03BF">
        <w:t xml:space="preserve">(TURN) </w:t>
      </w:r>
      <w:r w:rsidR="003E25A2">
        <w:t>with some parties recommending this should be based on a successor tariff customer with solar paired with storage, while others contend it should be based on a customer with stand</w:t>
      </w:r>
      <w:r w:rsidR="00827602">
        <w:noBreakHyphen/>
      </w:r>
      <w:r w:rsidR="003E25A2">
        <w:t>alone solar.</w:t>
      </w:r>
    </w:p>
    <w:p w:rsidR="00533B2F" w:rsidP="005E7044" w:rsidRDefault="009B27E4" w14:paraId="28736B5F" w14:textId="07C9F226">
      <w:pPr>
        <w:pStyle w:val="Standard"/>
      </w:pPr>
      <w:r>
        <w:t>T</w:t>
      </w:r>
      <w:r w:rsidR="00F05713">
        <w:t>he</w:t>
      </w:r>
      <w:r w:rsidR="001243CC">
        <w:t xml:space="preserve"> </w:t>
      </w:r>
      <w:r w:rsidR="00F05713">
        <w:t xml:space="preserve">dual </w:t>
      </w:r>
      <w:r w:rsidR="00894A6A">
        <w:t>objectives</w:t>
      </w:r>
      <w:r w:rsidR="001243CC">
        <w:t xml:space="preserve"> of the glide path </w:t>
      </w:r>
      <w:r w:rsidR="00F05713">
        <w:t xml:space="preserve">are </w:t>
      </w:r>
      <w:r w:rsidR="001243CC">
        <w:t xml:space="preserve">to provide a transition from the current </w:t>
      </w:r>
      <w:r w:rsidR="00602BC5">
        <w:t>NEM 2.0</w:t>
      </w:r>
      <w:r w:rsidR="00135D55">
        <w:t xml:space="preserve"> </w:t>
      </w:r>
      <w:r w:rsidR="001243CC">
        <w:t xml:space="preserve">tariff to the successor tariff and ensure the transition allows for sustainable growth of </w:t>
      </w:r>
      <w:r w:rsidR="006B1D67">
        <w:t>customer</w:t>
      </w:r>
      <w:r w:rsidR="00827602">
        <w:noBreakHyphen/>
      </w:r>
      <w:r w:rsidR="006B1D67">
        <w:t>site renewable generation</w:t>
      </w:r>
      <w:r w:rsidR="001243CC">
        <w:t xml:space="preserve"> as </w:t>
      </w:r>
      <w:r w:rsidR="006B1D67">
        <w:t>the industry</w:t>
      </w:r>
      <w:r w:rsidR="001243CC">
        <w:t xml:space="preserve"> </w:t>
      </w:r>
      <w:r w:rsidR="006B03BF">
        <w:t xml:space="preserve">moves </w:t>
      </w:r>
      <w:r w:rsidR="00646D7B">
        <w:t>from a tariff dominated by stand</w:t>
      </w:r>
      <w:r w:rsidR="00827602">
        <w:noBreakHyphen/>
      </w:r>
      <w:r w:rsidR="00646D7B">
        <w:t xml:space="preserve">alone solar </w:t>
      </w:r>
      <w:r w:rsidR="006B03BF">
        <w:t xml:space="preserve">to a tariff focused on the growth of solar paired with storage.  </w:t>
      </w:r>
      <w:r w:rsidR="00646BEE">
        <w:t xml:space="preserve">In </w:t>
      </w:r>
      <w:r w:rsidR="0034029C">
        <w:t>Section 8</w:t>
      </w:r>
      <w:r w:rsidR="00646BEE">
        <w:t>.2.3, this decision found that a nine</w:t>
      </w:r>
      <w:r w:rsidR="00827602">
        <w:noBreakHyphen/>
      </w:r>
      <w:r w:rsidR="00646BEE">
        <w:t xml:space="preserve">year </w:t>
      </w:r>
      <w:r w:rsidR="006B1D67">
        <w:t xml:space="preserve">simple </w:t>
      </w:r>
      <w:r w:rsidR="00646BEE">
        <w:t xml:space="preserve">payback period </w:t>
      </w:r>
      <w:r w:rsidR="006B1D67">
        <w:t>for stand</w:t>
      </w:r>
      <w:r w:rsidR="00827602">
        <w:noBreakHyphen/>
      </w:r>
      <w:r w:rsidR="006B1D67">
        <w:t xml:space="preserve">alone solar systems </w:t>
      </w:r>
      <w:r w:rsidR="00646BEE">
        <w:t>is reasonable and falls within the range of recommendations from parties with respect to the glide path.</w:t>
      </w:r>
    </w:p>
    <w:p w:rsidR="00566058" w:rsidP="005E7044" w:rsidRDefault="00D068C8" w14:paraId="47612D72" w14:textId="5449D8B9">
      <w:pPr>
        <w:pStyle w:val="Standard"/>
      </w:pPr>
      <w:r>
        <w:t xml:space="preserve">This discussion </w:t>
      </w:r>
      <w:r w:rsidR="00A650E8">
        <w:t>turns to</w:t>
      </w:r>
      <w:r w:rsidR="00B30AA9">
        <w:t xml:space="preserve"> </w:t>
      </w:r>
      <w:r>
        <w:t xml:space="preserve">the matter of </w:t>
      </w:r>
      <w:r w:rsidR="00B30AA9">
        <w:t>eligibility requirements</w:t>
      </w:r>
      <w:r w:rsidR="00AC34D5">
        <w:t xml:space="preserve"> for the glide path</w:t>
      </w:r>
      <w:r w:rsidR="00B30AA9">
        <w:t xml:space="preserve">.  TURN </w:t>
      </w:r>
      <w:r w:rsidR="006671AD">
        <w:t xml:space="preserve">and CUE </w:t>
      </w:r>
      <w:r w:rsidR="00B30AA9">
        <w:t xml:space="preserve">recommend </w:t>
      </w:r>
      <w:r w:rsidR="007F0872">
        <w:t xml:space="preserve">limiting </w:t>
      </w:r>
      <w:r w:rsidR="00B30AA9">
        <w:t xml:space="preserve">the </w:t>
      </w:r>
      <w:r w:rsidR="00C22836">
        <w:t>glide path</w:t>
      </w:r>
      <w:r w:rsidR="007F0872">
        <w:t xml:space="preserve"> to low</w:t>
      </w:r>
      <w:r w:rsidR="00827602">
        <w:noBreakHyphen/>
      </w:r>
      <w:r w:rsidR="007F0872">
        <w:t>income customers</w:t>
      </w:r>
      <w:r w:rsidR="006671AD">
        <w:t xml:space="preserve"> to minimize further cost shifts</w:t>
      </w:r>
      <w:r w:rsidR="00B30AA9">
        <w:t>.</w:t>
      </w:r>
      <w:r w:rsidR="00292EE1">
        <w:rPr>
          <w:rStyle w:val="FootnoteReference"/>
        </w:rPr>
        <w:footnoteReference w:id="419"/>
      </w:r>
      <w:r w:rsidR="00B30AA9">
        <w:t xml:space="preserve">  </w:t>
      </w:r>
      <w:r w:rsidR="005F358F">
        <w:t>A</w:t>
      </w:r>
      <w:r w:rsidR="00147013">
        <w:t xml:space="preserve">n objective </w:t>
      </w:r>
      <w:r w:rsidR="00B30AA9">
        <w:t xml:space="preserve">of the </w:t>
      </w:r>
      <w:r w:rsidR="00C22836">
        <w:t>glide path</w:t>
      </w:r>
      <w:r w:rsidR="005F358F">
        <w:t xml:space="preserve">, </w:t>
      </w:r>
      <w:r w:rsidR="00147013">
        <w:t>as described in the White Paper</w:t>
      </w:r>
      <w:r w:rsidR="005F358F">
        <w:t xml:space="preserve">, </w:t>
      </w:r>
      <w:r w:rsidR="00B30AA9">
        <w:t xml:space="preserve">is </w:t>
      </w:r>
      <w:r w:rsidR="006671AD">
        <w:t>to ensure reasonable payback times for customers, especially low</w:t>
      </w:r>
      <w:r w:rsidR="00827602">
        <w:noBreakHyphen/>
      </w:r>
      <w:r w:rsidR="006671AD">
        <w:t>income customers</w:t>
      </w:r>
      <w:r w:rsidR="005F358F">
        <w:t>.  However, p</w:t>
      </w:r>
      <w:r w:rsidR="00292EE1">
        <w:t xml:space="preserve">roviding </w:t>
      </w:r>
      <w:r w:rsidR="00C22836">
        <w:t xml:space="preserve">a glide path </w:t>
      </w:r>
      <w:r w:rsidR="00292EE1">
        <w:t xml:space="preserve">to a small subset of customers would not ensure </w:t>
      </w:r>
      <w:r w:rsidR="0006246B">
        <w:t xml:space="preserve">that </w:t>
      </w:r>
      <w:r w:rsidR="00565CBA">
        <w:t xml:space="preserve">distributed </w:t>
      </w:r>
      <w:r w:rsidR="00292EE1">
        <w:t xml:space="preserve">generation continues to grow sustainably.  </w:t>
      </w:r>
      <w:r>
        <w:t>W</w:t>
      </w:r>
      <w:r w:rsidR="0061245F">
        <w:t xml:space="preserve">hile the tariff described in </w:t>
      </w:r>
      <w:r w:rsidR="0034029C">
        <w:t>Section 8</w:t>
      </w:r>
      <w:r w:rsidR="0061245F">
        <w:t>.6.</w:t>
      </w:r>
      <w:r w:rsidR="005311AD">
        <w:t>1</w:t>
      </w:r>
      <w:r w:rsidR="0061245F">
        <w:t xml:space="preserve"> below is </w:t>
      </w:r>
      <w:r w:rsidR="00AC34D5">
        <w:t xml:space="preserve">intended </w:t>
      </w:r>
      <w:r w:rsidR="0061245F">
        <w:t>to increase participation by CARE</w:t>
      </w:r>
      <w:r w:rsidR="00827602">
        <w:noBreakHyphen/>
      </w:r>
      <w:r w:rsidR="000E711C">
        <w:t xml:space="preserve"> and </w:t>
      </w:r>
      <w:r w:rsidR="00E5625F">
        <w:t>FERA</w:t>
      </w:r>
      <w:r w:rsidR="00827602">
        <w:noBreakHyphen/>
      </w:r>
      <w:r w:rsidR="0061245F">
        <w:t>e</w:t>
      </w:r>
      <w:r w:rsidR="00E5625F">
        <w:t>nrolled</w:t>
      </w:r>
      <w:r w:rsidR="0061245F">
        <w:t xml:space="preserve"> customers, </w:t>
      </w:r>
      <w:r>
        <w:t>th</w:t>
      </w:r>
      <w:r w:rsidR="00243D07">
        <w:t>is</w:t>
      </w:r>
      <w:r>
        <w:t xml:space="preserve"> </w:t>
      </w:r>
      <w:r w:rsidR="000E711C">
        <w:t>does</w:t>
      </w:r>
      <w:r w:rsidR="00292EE1">
        <w:t xml:space="preserve"> not </w:t>
      </w:r>
      <w:r w:rsidR="000E711C">
        <w:t xml:space="preserve">mean the Commission should </w:t>
      </w:r>
      <w:r w:rsidR="00292EE1">
        <w:t>solely focus on low</w:t>
      </w:r>
      <w:r w:rsidR="00827602">
        <w:noBreakHyphen/>
      </w:r>
      <w:r w:rsidR="00292EE1">
        <w:t xml:space="preserve">income customers to </w:t>
      </w:r>
      <w:r w:rsidR="0058766F">
        <w:t xml:space="preserve">sustainably </w:t>
      </w:r>
      <w:r w:rsidR="00292EE1">
        <w:t xml:space="preserve">grow the market.  </w:t>
      </w:r>
      <w:r w:rsidR="000E711C">
        <w:t>Therefore, t</w:t>
      </w:r>
      <w:r w:rsidR="00E5625F">
        <w:t xml:space="preserve">he intention </w:t>
      </w:r>
      <w:r w:rsidR="000E711C">
        <w:t xml:space="preserve">of the glide path should be </w:t>
      </w:r>
      <w:r w:rsidR="00E5625F">
        <w:t xml:space="preserve">to ensure </w:t>
      </w:r>
      <w:r w:rsidR="007341B9">
        <w:t xml:space="preserve">successor tariff </w:t>
      </w:r>
      <w:r w:rsidR="00E5625F">
        <w:t>customers</w:t>
      </w:r>
      <w:r w:rsidR="007341B9">
        <w:t>, including CARE</w:t>
      </w:r>
      <w:r w:rsidR="00827602">
        <w:noBreakHyphen/>
      </w:r>
      <w:r w:rsidR="007E0833">
        <w:t xml:space="preserve"> and </w:t>
      </w:r>
      <w:r w:rsidR="007341B9">
        <w:lastRenderedPageBreak/>
        <w:t>FERA</w:t>
      </w:r>
      <w:r w:rsidR="00827602">
        <w:noBreakHyphen/>
      </w:r>
      <w:r w:rsidR="007341B9">
        <w:t>enrolled customers,</w:t>
      </w:r>
      <w:r w:rsidR="00E5625F">
        <w:t xml:space="preserve"> have a </w:t>
      </w:r>
      <w:r w:rsidR="00FF1E95">
        <w:t>nine</w:t>
      </w:r>
      <w:r w:rsidR="00827602">
        <w:noBreakHyphen/>
      </w:r>
      <w:r w:rsidR="00E5625F">
        <w:t xml:space="preserve">year </w:t>
      </w:r>
      <w:r w:rsidR="00A24FBA">
        <w:t xml:space="preserve">simple </w:t>
      </w:r>
      <w:r w:rsidR="00E5625F">
        <w:t>payback period</w:t>
      </w:r>
      <w:r w:rsidR="00A24FBA">
        <w:t xml:space="preserve"> for stand</w:t>
      </w:r>
      <w:r w:rsidR="00827602">
        <w:noBreakHyphen/>
      </w:r>
      <w:r w:rsidR="00A24FBA">
        <w:t>alone solar</w:t>
      </w:r>
      <w:r w:rsidR="00E5625F">
        <w:t xml:space="preserve">.  </w:t>
      </w:r>
      <w:r w:rsidR="000E711C">
        <w:t>Accordingly</w:t>
      </w:r>
      <w:r w:rsidR="00292EE1">
        <w:t xml:space="preserve">, the </w:t>
      </w:r>
      <w:r w:rsidR="00C22836">
        <w:t>glide path</w:t>
      </w:r>
      <w:r w:rsidR="00292EE1">
        <w:t xml:space="preserve"> will be available to all </w:t>
      </w:r>
      <w:r w:rsidR="00E5625F">
        <w:t xml:space="preserve">residential </w:t>
      </w:r>
      <w:r w:rsidR="00292EE1">
        <w:t xml:space="preserve">customers who enroll in </w:t>
      </w:r>
      <w:r w:rsidR="007F0872">
        <w:t xml:space="preserve">the successor tariff over the course of </w:t>
      </w:r>
      <w:r w:rsidR="00292EE1">
        <w:t xml:space="preserve">the </w:t>
      </w:r>
      <w:r w:rsidR="00646D7B">
        <w:t xml:space="preserve">first </w:t>
      </w:r>
      <w:r w:rsidR="00C22836">
        <w:t xml:space="preserve">five </w:t>
      </w:r>
      <w:r w:rsidR="00292EE1">
        <w:t>year</w:t>
      </w:r>
      <w:r w:rsidR="001741C7">
        <w:t>s</w:t>
      </w:r>
      <w:r w:rsidR="00646D7B">
        <w:t xml:space="preserve"> of the successor tariff</w:t>
      </w:r>
      <w:r w:rsidR="00566058">
        <w:t xml:space="preserve">, </w:t>
      </w:r>
      <w:r w:rsidR="005F270C">
        <w:t>starting with the initial implementation</w:t>
      </w:r>
      <w:r w:rsidR="00566058">
        <w:t xml:space="preserve">, </w:t>
      </w:r>
      <w:r w:rsidR="00E5625F">
        <w:t xml:space="preserve">and </w:t>
      </w:r>
      <w:r w:rsidR="00565CBA">
        <w:t xml:space="preserve">that </w:t>
      </w:r>
      <w:r w:rsidR="007341B9">
        <w:t xml:space="preserve">have </w:t>
      </w:r>
      <w:r w:rsidR="0058766F">
        <w:t xml:space="preserve">more </w:t>
      </w:r>
      <w:r w:rsidR="00E5625F">
        <w:t xml:space="preserve">than a </w:t>
      </w:r>
      <w:r w:rsidR="00FF1E95">
        <w:t>nine</w:t>
      </w:r>
      <w:r w:rsidR="00827602">
        <w:noBreakHyphen/>
      </w:r>
      <w:r w:rsidR="00E5625F">
        <w:t>year payback period</w:t>
      </w:r>
      <w:r w:rsidR="00A24FBA">
        <w:t xml:space="preserve"> without the ACC Plus</w:t>
      </w:r>
      <w:r w:rsidR="00292EE1">
        <w:t>.</w:t>
      </w:r>
      <w:r w:rsidR="00C26DC4">
        <w:t xml:space="preserve">  Because the Commission’s objective </w:t>
      </w:r>
      <w:r w:rsidR="00F26CF7">
        <w:t xml:space="preserve">of the ACC Plus </w:t>
      </w:r>
      <w:r w:rsidR="00C26DC4">
        <w:t xml:space="preserve">is </w:t>
      </w:r>
      <w:r w:rsidR="00F26CF7">
        <w:t xml:space="preserve">that customers </w:t>
      </w:r>
      <w:r w:rsidR="00C26DC4">
        <w:t>achieve a simple payback period targeted at nine years, commercial customers will not receive the ACC Plus because of shorter payback periods</w:t>
      </w:r>
      <w:r w:rsidR="001808EA">
        <w:t xml:space="preserve"> without the ACC Plus</w:t>
      </w:r>
      <w:r w:rsidR="00C26DC4">
        <w:t>.</w:t>
      </w:r>
      <w:r w:rsidR="001808EA">
        <w:t xml:space="preserve">  Further, this decision clarifies that the ACC Plus is not applicable to new construction as new construction is </w:t>
      </w:r>
      <w:r w:rsidR="00CA600D">
        <w:t xml:space="preserve">already </w:t>
      </w:r>
      <w:r w:rsidR="001808EA">
        <w:t>required to install solar systems.  The ACC Plus should not fund solar systems</w:t>
      </w:r>
      <w:r w:rsidR="008604D5">
        <w:t xml:space="preserve"> required by other laws or regulations</w:t>
      </w:r>
      <w:r w:rsidR="001808EA">
        <w:t>.</w:t>
      </w:r>
      <w:r w:rsidR="00F26CF7">
        <w:t xml:space="preserve">  Lastly, this decision also clarifies that</w:t>
      </w:r>
      <w:r w:rsidR="008604D5">
        <w:t>:</w:t>
      </w:r>
      <w:r w:rsidR="008E22AB">
        <w:t xml:space="preserve"> </w:t>
      </w:r>
      <w:r w:rsidR="008604D5">
        <w:t xml:space="preserve"> </w:t>
      </w:r>
      <w:r w:rsidR="008E22AB">
        <w:t>(</w:t>
      </w:r>
      <w:r w:rsidR="008604D5">
        <w:t>1)</w:t>
      </w:r>
      <w:bookmarkStart w:name="_Hlk121566377" w:id="194"/>
      <w:r w:rsidR="008E22AB">
        <w:t> </w:t>
      </w:r>
      <w:r w:rsidR="00F26CF7">
        <w:t>customers transitioning from NEM</w:t>
      </w:r>
      <w:r w:rsidR="008E22AB">
        <w:t> </w:t>
      </w:r>
      <w:r w:rsidR="00F26CF7">
        <w:t>1.0 or NEM</w:t>
      </w:r>
      <w:r w:rsidR="008E22AB">
        <w:t> </w:t>
      </w:r>
      <w:r w:rsidR="00F26CF7">
        <w:t xml:space="preserve">2.0 at the end of their legacy period </w:t>
      </w:r>
      <w:r w:rsidR="008604D5">
        <w:t>are</w:t>
      </w:r>
      <w:r w:rsidR="00F26CF7">
        <w:t xml:space="preserve"> not eligible to receive the ACC Plus, as </w:t>
      </w:r>
      <w:r w:rsidR="00B93AC8">
        <w:t>the objective of the ACC Plus is to incent new systems for sustainable growth of the industry;</w:t>
      </w:r>
      <w:r w:rsidR="008604D5">
        <w:t xml:space="preserve"> and </w:t>
      </w:r>
      <w:r w:rsidR="008E22AB">
        <w:t>(</w:t>
      </w:r>
      <w:r w:rsidR="008604D5">
        <w:t>2)</w:t>
      </w:r>
      <w:r w:rsidR="008E22AB">
        <w:t> </w:t>
      </w:r>
      <w:r w:rsidR="008604D5">
        <w:t>customers who have purchased a building with an existing system are not eligible to receive the ACC Plus</w:t>
      </w:r>
      <w:r w:rsidR="00EE63E1">
        <w:t>, as the nine</w:t>
      </w:r>
      <w:r w:rsidR="008E22AB">
        <w:noBreakHyphen/>
      </w:r>
      <w:r w:rsidR="00EE63E1">
        <w:t>year payback period target is geared toward the customer making the initial purchase</w:t>
      </w:r>
      <w:r w:rsidR="00F26CF7">
        <w:t>.</w:t>
      </w:r>
      <w:bookmarkEnd w:id="194"/>
    </w:p>
    <w:p w:rsidR="00533B2F" w:rsidP="005E7044" w:rsidRDefault="00D068C8" w14:paraId="1A9C1B08" w14:textId="23D30E57">
      <w:pPr>
        <w:pStyle w:val="Standard"/>
      </w:pPr>
      <w:r>
        <w:t xml:space="preserve">This decision </w:t>
      </w:r>
      <w:r w:rsidR="00292EE1">
        <w:t>do</w:t>
      </w:r>
      <w:r>
        <w:t>es</w:t>
      </w:r>
      <w:r w:rsidR="00292EE1">
        <w:t xml:space="preserve"> not restrict eligibility </w:t>
      </w:r>
      <w:r w:rsidR="001808EA">
        <w:t>requir</w:t>
      </w:r>
      <w:r w:rsidR="005F358F">
        <w:t xml:space="preserve">ements for </w:t>
      </w:r>
      <w:r w:rsidR="00346B63">
        <w:t xml:space="preserve">the glide path </w:t>
      </w:r>
      <w:r w:rsidR="00292EE1">
        <w:t xml:space="preserve">by technology type.  </w:t>
      </w:r>
      <w:r w:rsidR="00566058">
        <w:t xml:space="preserve">The ACC Plus glide path is designed to provide the </w:t>
      </w:r>
      <w:r w:rsidR="00FF1E95">
        <w:t>nine</w:t>
      </w:r>
      <w:r w:rsidR="00827602">
        <w:noBreakHyphen/>
      </w:r>
      <w:r w:rsidR="00566058">
        <w:t>year payback based on a</w:t>
      </w:r>
      <w:r w:rsidR="00346B63">
        <w:t>doption of a</w:t>
      </w:r>
      <w:r w:rsidR="00566058">
        <w:t xml:space="preserve"> </w:t>
      </w:r>
      <w:r w:rsidR="00626763">
        <w:t>stand</w:t>
      </w:r>
      <w:r w:rsidR="00827602">
        <w:noBreakHyphen/>
      </w:r>
      <w:r w:rsidR="00626763">
        <w:t xml:space="preserve">alone </w:t>
      </w:r>
      <w:r w:rsidR="00566058">
        <w:t>solar system.  T</w:t>
      </w:r>
      <w:r w:rsidR="009626FD">
        <w:t>he Commission acknowledges t</w:t>
      </w:r>
      <w:r w:rsidR="00346B63">
        <w:t xml:space="preserve">hat continuing to encourage the adoption of </w:t>
      </w:r>
      <w:r w:rsidR="00626763">
        <w:t>stand</w:t>
      </w:r>
      <w:r w:rsidR="00827602">
        <w:noBreakHyphen/>
      </w:r>
      <w:r w:rsidR="00626763">
        <w:t xml:space="preserve">alone </w:t>
      </w:r>
      <w:r w:rsidR="00346B63">
        <w:t xml:space="preserve">solar systems </w:t>
      </w:r>
      <w:r w:rsidR="00243D07">
        <w:t xml:space="preserve">conflicts with the objective of encouraging the adoption of solar </w:t>
      </w:r>
      <w:r w:rsidR="00626763">
        <w:t xml:space="preserve">paired with </w:t>
      </w:r>
      <w:r w:rsidR="00243D07">
        <w:t>storage systems.</w:t>
      </w:r>
      <w:r w:rsidR="00346B63">
        <w:t xml:space="preserve">  </w:t>
      </w:r>
      <w:r w:rsidRPr="00593BB3" w:rsidR="00346B63">
        <w:t>Again</w:t>
      </w:r>
      <w:r w:rsidRPr="00565CBA" w:rsidR="00346B63">
        <w:t>,</w:t>
      </w:r>
      <w:r w:rsidRPr="00565CBA" w:rsidR="007B1792">
        <w:t xml:space="preserve"> </w:t>
      </w:r>
      <w:r w:rsidRPr="00565CBA" w:rsidR="00571352">
        <w:t>ensuring a nine</w:t>
      </w:r>
      <w:r w:rsidR="00827602">
        <w:noBreakHyphen/>
      </w:r>
      <w:r w:rsidR="00571352">
        <w:t xml:space="preserve">year payback, based on the adoption of a </w:t>
      </w:r>
      <w:r w:rsidR="00626763">
        <w:t>stand</w:t>
      </w:r>
      <w:r w:rsidR="00827602">
        <w:noBreakHyphen/>
      </w:r>
      <w:r w:rsidR="00626763">
        <w:t xml:space="preserve">alone </w:t>
      </w:r>
      <w:r w:rsidR="00571352">
        <w:t>solar system</w:t>
      </w:r>
      <w:r w:rsidR="00A24FBA">
        <w:t xml:space="preserve">, </w:t>
      </w:r>
      <w:r w:rsidR="00571352">
        <w:t xml:space="preserve">allows </w:t>
      </w:r>
      <w:r w:rsidR="00A24FBA">
        <w:t>customer</w:t>
      </w:r>
      <w:r w:rsidR="00827602">
        <w:noBreakHyphen/>
      </w:r>
      <w:r w:rsidR="00A24FBA">
        <w:t>sited renewable generation</w:t>
      </w:r>
      <w:r w:rsidR="00571352">
        <w:t xml:space="preserve"> to grow sustainably during the transition to </w:t>
      </w:r>
      <w:r w:rsidR="00A24FBA">
        <w:t>a tariff</w:t>
      </w:r>
      <w:r w:rsidR="00571352">
        <w:t xml:space="preserve"> that is focused on solar </w:t>
      </w:r>
      <w:r w:rsidR="00626763">
        <w:t xml:space="preserve">paired with </w:t>
      </w:r>
      <w:r w:rsidR="00571352">
        <w:t>storage</w:t>
      </w:r>
      <w:r w:rsidR="00346B63">
        <w:t>.</w:t>
      </w:r>
    </w:p>
    <w:p w:rsidR="00CD39B6" w:rsidP="005E7044" w:rsidRDefault="00D068C8" w14:paraId="48A25D52" w14:textId="1FC9E0C3">
      <w:pPr>
        <w:pStyle w:val="Standard"/>
      </w:pPr>
      <w:r>
        <w:lastRenderedPageBreak/>
        <w:t>T</w:t>
      </w:r>
      <w:r w:rsidR="00040460">
        <w:t xml:space="preserve">he design of the </w:t>
      </w:r>
      <w:r w:rsidR="003B68D0">
        <w:t>ACC Plus</w:t>
      </w:r>
      <w:r w:rsidR="00040460">
        <w:t xml:space="preserve"> will provide a transparent incentive to successor tariff customers.  </w:t>
      </w:r>
      <w:r w:rsidR="00A643B4">
        <w:t xml:space="preserve">As </w:t>
      </w:r>
      <w:r w:rsidR="003B68D0">
        <w:t xml:space="preserve">proposed in the </w:t>
      </w:r>
      <w:r w:rsidR="00693EB0">
        <w:t>May 9, 2022</w:t>
      </w:r>
      <w:r w:rsidR="003B68D0">
        <w:t xml:space="preserve"> Ruling</w:t>
      </w:r>
      <w:r w:rsidR="00A643B4">
        <w:t>, t</w:t>
      </w:r>
      <w:r w:rsidR="00040460">
        <w:t>h</w:t>
      </w:r>
      <w:r w:rsidR="003B68D0">
        <w:t xml:space="preserve">is approach could provide </w:t>
      </w:r>
      <w:r w:rsidR="00FF1E95">
        <w:t xml:space="preserve">either </w:t>
      </w:r>
      <w:r w:rsidR="003B68D0">
        <w:t xml:space="preserve">a fixed c/kWh adder value or a multiplier defined as a fixed percent that would increase </w:t>
      </w:r>
      <w:r w:rsidR="00565CBA">
        <w:t xml:space="preserve">the retail </w:t>
      </w:r>
      <w:r w:rsidR="003B68D0">
        <w:t xml:space="preserve">export compensation </w:t>
      </w:r>
      <w:r w:rsidR="00565CBA">
        <w:t xml:space="preserve">rate </w:t>
      </w:r>
      <w:r w:rsidR="003B68D0">
        <w:t>in all hours by the same percentage (</w:t>
      </w:r>
      <w:r w:rsidRPr="00E53DC6" w:rsidR="003B68D0">
        <w:rPr>
          <w:i/>
          <w:iCs/>
        </w:rPr>
        <w:t>i.e.</w:t>
      </w:r>
      <w:r w:rsidR="003B68D0">
        <w:t>, hourly Avoided Cost Calculator value multiplied by (1</w:t>
      </w:r>
      <w:r w:rsidR="00E53DC6">
        <w:t> </w:t>
      </w:r>
      <w:r w:rsidR="003B68D0">
        <w:t>+</w:t>
      </w:r>
      <w:r w:rsidR="00E53DC6">
        <w:t xml:space="preserve"> </w:t>
      </w:r>
      <w:r w:rsidR="003B68D0">
        <w:t>the adder)).</w:t>
      </w:r>
      <w:r w:rsidR="00040460">
        <w:t xml:space="preserve"> </w:t>
      </w:r>
      <w:r w:rsidR="005F358F">
        <w:t xml:space="preserve">Either </w:t>
      </w:r>
      <w:r w:rsidR="0061245F">
        <w:t xml:space="preserve">calculation </w:t>
      </w:r>
      <w:r>
        <w:t>is</w:t>
      </w:r>
      <w:r w:rsidR="0061245F">
        <w:t xml:space="preserve"> </w:t>
      </w:r>
      <w:r w:rsidR="006A5308">
        <w:t>user</w:t>
      </w:r>
      <w:r w:rsidR="00827602">
        <w:noBreakHyphen/>
      </w:r>
      <w:r w:rsidR="006A5308">
        <w:t>friendly</w:t>
      </w:r>
      <w:r w:rsidR="0061245F">
        <w:t>.  For customer transparency, t</w:t>
      </w:r>
      <w:r w:rsidR="00A643B4">
        <w:t xml:space="preserve">he monthly credit </w:t>
      </w:r>
      <w:r w:rsidR="005F358F">
        <w:t xml:space="preserve">could </w:t>
      </w:r>
      <w:r w:rsidR="00DE34F3">
        <w:t xml:space="preserve">be </w:t>
      </w:r>
      <w:r w:rsidR="00A643B4">
        <w:t xml:space="preserve">a discrete line item on the customer bill and </w:t>
      </w:r>
      <w:r w:rsidR="000E711C">
        <w:t xml:space="preserve">be </w:t>
      </w:r>
      <w:r w:rsidR="005F358F">
        <w:t xml:space="preserve">credited against </w:t>
      </w:r>
      <w:r w:rsidR="00A643B4">
        <w:t>all charges</w:t>
      </w:r>
      <w:r w:rsidR="005F358F">
        <w:t>, includ</w:t>
      </w:r>
      <w:r w:rsidR="000E711C">
        <w:t>ing</w:t>
      </w:r>
      <w:r w:rsidR="005F358F">
        <w:t xml:space="preserve"> non</w:t>
      </w:r>
      <w:r w:rsidR="00827602">
        <w:noBreakHyphen/>
      </w:r>
      <w:proofErr w:type="spellStart"/>
      <w:r w:rsidR="005F358F">
        <w:t>bypassable</w:t>
      </w:r>
      <w:proofErr w:type="spellEnd"/>
      <w:r w:rsidR="005F358F">
        <w:t xml:space="preserve"> charges</w:t>
      </w:r>
      <w:r w:rsidR="00A643B4">
        <w:t xml:space="preserve">.  </w:t>
      </w:r>
      <w:r w:rsidR="005F358F">
        <w:t xml:space="preserve">The </w:t>
      </w:r>
      <w:r w:rsidR="000E711C">
        <w:t>May</w:t>
      </w:r>
      <w:r w:rsidR="002F5949">
        <w:t> </w:t>
      </w:r>
      <w:r w:rsidR="000E711C">
        <w:t>9,</w:t>
      </w:r>
      <w:r w:rsidR="002F5949">
        <w:t> </w:t>
      </w:r>
      <w:r w:rsidR="000E711C">
        <w:t xml:space="preserve">2022 </w:t>
      </w:r>
      <w:r w:rsidR="005F358F">
        <w:t xml:space="preserve">Ruling proposed that </w:t>
      </w:r>
      <w:r w:rsidR="000E711C">
        <w:t>i</w:t>
      </w:r>
      <w:r w:rsidR="00A643B4">
        <w:t xml:space="preserve">f the </w:t>
      </w:r>
      <w:r w:rsidR="00AC34D5">
        <w:t>value of the ACC Plus</w:t>
      </w:r>
      <w:r w:rsidR="00A643B4">
        <w:t xml:space="preserve"> is greater than a customer’s charges in a certain month, </w:t>
      </w:r>
      <w:r w:rsidR="005F358F">
        <w:t xml:space="preserve">the value could </w:t>
      </w:r>
      <w:r w:rsidR="00A643B4">
        <w:t>be applied to future bills until the credit zeroe</w:t>
      </w:r>
      <w:r w:rsidR="00565CBA">
        <w:t>d</w:t>
      </w:r>
      <w:r w:rsidR="00A643B4">
        <w:t xml:space="preserve"> out.  </w:t>
      </w:r>
      <w:r>
        <w:t>T</w:t>
      </w:r>
      <w:r w:rsidR="00A643B4">
        <w:t xml:space="preserve">his </w:t>
      </w:r>
      <w:r w:rsidR="005F358F">
        <w:t xml:space="preserve">would </w:t>
      </w:r>
      <w:r w:rsidR="00A643B4">
        <w:t xml:space="preserve">prevent </w:t>
      </w:r>
      <w:r w:rsidR="0061245F">
        <w:t xml:space="preserve">the unnecessary </w:t>
      </w:r>
      <w:r w:rsidR="00A643B4">
        <w:t>us</w:t>
      </w:r>
      <w:r w:rsidR="0061245F">
        <w:t xml:space="preserve">age of </w:t>
      </w:r>
      <w:r w:rsidR="00A643B4">
        <w:t xml:space="preserve">energy </w:t>
      </w:r>
      <w:r w:rsidR="006A5308">
        <w:t xml:space="preserve">by customers </w:t>
      </w:r>
      <w:r w:rsidR="00A643B4">
        <w:t xml:space="preserve">if, instead, </w:t>
      </w:r>
      <w:r w:rsidR="00AC34D5">
        <w:t xml:space="preserve">the Commission </w:t>
      </w:r>
      <w:r w:rsidR="00A643B4">
        <w:t>imposed a deadline by which to use the credit.</w:t>
      </w:r>
    </w:p>
    <w:p w:rsidR="005311AD" w:rsidP="005E7044" w:rsidRDefault="005311AD" w14:paraId="7BCADF38" w14:textId="570AD9BF">
      <w:pPr>
        <w:pStyle w:val="Standard"/>
      </w:pPr>
      <w:r>
        <w:t xml:space="preserve">Turning to </w:t>
      </w:r>
      <w:r w:rsidR="008B725C">
        <w:t xml:space="preserve">the </w:t>
      </w:r>
      <w:r>
        <w:t>specifics</w:t>
      </w:r>
      <w:r w:rsidR="008B725C">
        <w:t xml:space="preserve"> of the ACC Plus</w:t>
      </w:r>
      <w:r>
        <w:t xml:space="preserve">, parties were asked whether the Commission should design the ACC Plus </w:t>
      </w:r>
      <w:r w:rsidR="001802FD">
        <w:t>with</w:t>
      </w:r>
      <w:r>
        <w:t xml:space="preserve"> an adder value or a multiplier.  </w:t>
      </w:r>
      <w:r w:rsidR="00B75DC2">
        <w:t>Aurora favors a single fixed adder value applied across all customer classes</w:t>
      </w:r>
      <w:r w:rsidR="005E1659">
        <w:t>, contending</w:t>
      </w:r>
      <w:r w:rsidR="00A60A4F">
        <w:t xml:space="preserve"> it </w:t>
      </w:r>
      <w:r w:rsidR="005F358F">
        <w:t xml:space="preserve">may be </w:t>
      </w:r>
      <w:r w:rsidR="00A60A4F">
        <w:t xml:space="preserve">easier to implement and </w:t>
      </w:r>
      <w:r w:rsidR="005F358F">
        <w:t xml:space="preserve">more </w:t>
      </w:r>
      <w:r w:rsidR="00A60A4F">
        <w:t>predictable for customers</w:t>
      </w:r>
      <w:r w:rsidR="00B75DC2">
        <w:t>.</w:t>
      </w:r>
      <w:r w:rsidR="00B75DC2">
        <w:rPr>
          <w:rStyle w:val="FootnoteReference"/>
        </w:rPr>
        <w:footnoteReference w:id="420"/>
      </w:r>
      <w:r w:rsidR="00A60A4F">
        <w:t xml:space="preserve">  Others supporting a fixed adder over the multiplier include </w:t>
      </w:r>
      <w:proofErr w:type="spellStart"/>
      <w:r w:rsidR="00A60A4F">
        <w:t>CALSSA</w:t>
      </w:r>
      <w:proofErr w:type="spellEnd"/>
      <w:r w:rsidR="00A60A4F">
        <w:t>, who agrees that the multiplier would be difficult to predict given the range of Avoided Cost Calculator values;</w:t>
      </w:r>
      <w:r w:rsidR="00A60A4F">
        <w:rPr>
          <w:rStyle w:val="FootnoteReference"/>
        </w:rPr>
        <w:footnoteReference w:id="421"/>
      </w:r>
      <w:r w:rsidR="00A60A4F">
        <w:t xml:space="preserve"> Joint Utilities, who</w:t>
      </w:r>
      <w:r w:rsidR="005E1659">
        <w:t xml:space="preserve"> caution that a multiplier could lead to perverse outcomes;</w:t>
      </w:r>
      <w:r w:rsidR="005E1659">
        <w:rPr>
          <w:rStyle w:val="FootnoteReference"/>
        </w:rPr>
        <w:footnoteReference w:id="422"/>
      </w:r>
      <w:r w:rsidR="005E1659">
        <w:t xml:space="preserve"> and SEIA/Vote Solar, who assert the fixed </w:t>
      </w:r>
      <w:r w:rsidR="005E1659">
        <w:lastRenderedPageBreak/>
        <w:t xml:space="preserve">adder will provide additional support to customers with </w:t>
      </w:r>
      <w:r w:rsidR="00626763">
        <w:t>stand</w:t>
      </w:r>
      <w:r w:rsidR="00827602">
        <w:noBreakHyphen/>
      </w:r>
      <w:r w:rsidR="00626763">
        <w:t xml:space="preserve">alone </w:t>
      </w:r>
      <w:r w:rsidR="005E1659">
        <w:t>solar systems.</w:t>
      </w:r>
      <w:r w:rsidR="008B725C">
        <w:rPr>
          <w:rStyle w:val="FootnoteReference"/>
        </w:rPr>
        <w:footnoteReference w:id="423"/>
      </w:r>
    </w:p>
    <w:p w:rsidR="00490092" w:rsidP="005E7044" w:rsidRDefault="008B725C" w14:paraId="1F05360B" w14:textId="61E717F7">
      <w:pPr>
        <w:pStyle w:val="Standard"/>
      </w:pPr>
      <w:r>
        <w:t xml:space="preserve">Preferring the multiplier, </w:t>
      </w:r>
      <w:r w:rsidR="009355F1">
        <w:t>Cal Advoc</w:t>
      </w:r>
      <w:r>
        <w:t>ates contend</w:t>
      </w:r>
      <w:r w:rsidR="00CA600D">
        <w:t>s</w:t>
      </w:r>
      <w:r>
        <w:t xml:space="preserve"> using a multiplier may provide more value to customers with solar </w:t>
      </w:r>
      <w:r w:rsidR="00626763">
        <w:t xml:space="preserve">paired with </w:t>
      </w:r>
      <w:r>
        <w:t xml:space="preserve">storage systems if they choose to export energy.  </w:t>
      </w:r>
      <w:r w:rsidR="009355F1">
        <w:t>Cal Advoc</w:t>
      </w:r>
      <w:r w:rsidR="006806FE">
        <w:t xml:space="preserve">ates </w:t>
      </w:r>
      <w:r>
        <w:t>maintain</w:t>
      </w:r>
      <w:r w:rsidR="00CA600D">
        <w:t>s</w:t>
      </w:r>
      <w:r>
        <w:t xml:space="preserve"> that </w:t>
      </w:r>
      <w:r w:rsidR="00BA1EAE">
        <w:t>“</w:t>
      </w:r>
      <w:r w:rsidR="00A30A12">
        <w:t>[a]</w:t>
      </w:r>
      <w:proofErr w:type="spellStart"/>
      <w:r w:rsidRPr="008B725C">
        <w:t>pplying</w:t>
      </w:r>
      <w:proofErr w:type="spellEnd"/>
      <w:r w:rsidRPr="008B725C">
        <w:t xml:space="preserve"> a fixed percentage would simply result in solar customers receiving higher</w:t>
      </w:r>
      <w:r w:rsidR="00A30A12">
        <w:t xml:space="preserve"> </w:t>
      </w:r>
      <w:r w:rsidRPr="008B725C">
        <w:t>compensation at the beginning and end of their production windows</w:t>
      </w:r>
      <w:r w:rsidR="00A30A12">
        <w:t xml:space="preserve"> </w:t>
      </w:r>
      <w:r w:rsidRPr="008B725C">
        <w:t>(assuming avoided costs are</w:t>
      </w:r>
      <w:r w:rsidR="00A30A12">
        <w:t xml:space="preserve"> </w:t>
      </w:r>
      <w:r w:rsidRPr="008B725C">
        <w:t>higher during those times) which introduces</w:t>
      </w:r>
      <w:r w:rsidR="00A30A12">
        <w:t xml:space="preserve"> </w:t>
      </w:r>
      <w:r w:rsidRPr="008B725C">
        <w:t>unnecessary complication for these customers. By</w:t>
      </w:r>
      <w:r w:rsidR="00A30A12">
        <w:t xml:space="preserve"> </w:t>
      </w:r>
      <w:r w:rsidRPr="008B725C">
        <w:t>contrast, the percentage</w:t>
      </w:r>
      <w:r w:rsidR="00827602">
        <w:noBreakHyphen/>
      </w:r>
      <w:r w:rsidRPr="008B725C">
        <w:t xml:space="preserve">based approach may provide benefit to some solar </w:t>
      </w:r>
      <w:r w:rsidR="005C718E">
        <w:t>paired with</w:t>
      </w:r>
      <w:r w:rsidRPr="008B725C" w:rsidR="005C718E">
        <w:t xml:space="preserve"> </w:t>
      </w:r>
      <w:r w:rsidRPr="008B725C">
        <w:t>storage</w:t>
      </w:r>
      <w:r w:rsidR="00A30A12">
        <w:t xml:space="preserve"> </w:t>
      </w:r>
      <w:r w:rsidRPr="008B725C">
        <w:t>customers if they select to export a portion of their production during peak hours when hourly</w:t>
      </w:r>
      <w:r w:rsidR="00A30A12">
        <w:t xml:space="preserve"> [Avoided Cost Calculator value</w:t>
      </w:r>
      <w:r w:rsidRPr="008B725C">
        <w:t>s</w:t>
      </w:r>
      <w:r w:rsidR="00A30A12">
        <w:t>]</w:t>
      </w:r>
      <w:r w:rsidRPr="008B725C">
        <w:t xml:space="preserve"> are higher, and therefore receive higher export compensation.</w:t>
      </w:r>
      <w:r w:rsidR="00BA1EAE">
        <w:t>”</w:t>
      </w:r>
      <w:r w:rsidR="00FF1E95">
        <w:rPr>
          <w:rStyle w:val="FootnoteReference"/>
        </w:rPr>
        <w:footnoteReference w:id="424"/>
      </w:r>
      <w:r w:rsidR="009B2EB6">
        <w:t xml:space="preserve">  In opposition to the multiplier, Joint Utilities caution that its use could lead to perverse outcomes for battery discharge.</w:t>
      </w:r>
      <w:r w:rsidR="00314673">
        <w:t xml:space="preserve"> Joint Utilities explain that </w:t>
      </w:r>
      <w:r w:rsidR="00BA1EAE">
        <w:t>“</w:t>
      </w:r>
      <w:r w:rsidRPr="00314673" w:rsidR="00314673">
        <w:t>using a multiplier would create inappropriately high subsidy adders in high value periods, resulting in export credits that can be higher than the retail on peak rate</w:t>
      </w:r>
      <w:r w:rsidR="00BA1EAE">
        <w:t>”</w:t>
      </w:r>
      <w:r w:rsidR="00314673">
        <w:t xml:space="preserve"> and leading to </w:t>
      </w:r>
      <w:r w:rsidR="00BA1EAE">
        <w:t>“</w:t>
      </w:r>
      <w:r w:rsidRPr="00314673" w:rsidR="00314673">
        <w:t>a battery discharging then recharging from the grid during the peak period.</w:t>
      </w:r>
      <w:r w:rsidR="00BA1EAE">
        <w:t>”</w:t>
      </w:r>
      <w:r w:rsidR="00314673">
        <w:rPr>
          <w:rStyle w:val="FootnoteReference"/>
        </w:rPr>
        <w:footnoteReference w:id="425"/>
      </w:r>
    </w:p>
    <w:p w:rsidR="00533B2F" w:rsidP="005E7044" w:rsidRDefault="00DF2EA3" w14:paraId="41C2E9B1" w14:textId="77777777">
      <w:pPr>
        <w:pStyle w:val="Standard"/>
      </w:pPr>
      <w:r>
        <w:t xml:space="preserve">The Commission finds that a fixed adder </w:t>
      </w:r>
      <w:r w:rsidR="00903386">
        <w:t>meets</w:t>
      </w:r>
      <w:r>
        <w:t xml:space="preserve"> </w:t>
      </w:r>
      <w:r w:rsidR="00903386">
        <w:t>many</w:t>
      </w:r>
      <w:r>
        <w:t xml:space="preserve"> objectives </w:t>
      </w:r>
      <w:r w:rsidR="00903386">
        <w:t xml:space="preserve">as compared to </w:t>
      </w:r>
      <w:r>
        <w:t xml:space="preserve">the </w:t>
      </w:r>
      <w:r w:rsidR="007E0A84">
        <w:t>multiplier</w:t>
      </w:r>
      <w:r w:rsidR="009B2EB6">
        <w:t xml:space="preserve"> and agrees with the Joint Utilities that a multiplier might have perverse outcomes on battery </w:t>
      </w:r>
      <w:r w:rsidR="005720DC">
        <w:t>discharge behavior and compensation</w:t>
      </w:r>
      <w:r w:rsidR="009B2EB6">
        <w:t>.  A fixed adder</w:t>
      </w:r>
      <w:r>
        <w:t xml:space="preserve"> </w:t>
      </w:r>
      <w:r w:rsidR="005720DC">
        <w:t>will</w:t>
      </w:r>
      <w:r>
        <w:t xml:space="preserve"> ensure </w:t>
      </w:r>
      <w:r w:rsidR="00811A81">
        <w:t xml:space="preserve">sustainable growth of the </w:t>
      </w:r>
      <w:r w:rsidR="00A24FBA">
        <w:t xml:space="preserve">renewable distributed generation </w:t>
      </w:r>
      <w:r w:rsidR="00811A81">
        <w:t xml:space="preserve">industry while </w:t>
      </w:r>
      <w:r w:rsidR="00A24FBA">
        <w:t xml:space="preserve">it </w:t>
      </w:r>
      <w:r w:rsidR="00811A81">
        <w:t>transition</w:t>
      </w:r>
      <w:r w:rsidR="00A24FBA">
        <w:t>s</w:t>
      </w:r>
      <w:r w:rsidR="00811A81">
        <w:t xml:space="preserve"> to a</w:t>
      </w:r>
      <w:r w:rsidR="00A24FBA">
        <w:t>n industry predominantly focused on</w:t>
      </w:r>
      <w:r w:rsidR="00811A81">
        <w:t xml:space="preserve"> </w:t>
      </w:r>
      <w:r w:rsidR="00811A81">
        <w:lastRenderedPageBreak/>
        <w:t xml:space="preserve">solar </w:t>
      </w:r>
      <w:r w:rsidR="00A24FBA">
        <w:t xml:space="preserve">paired with </w:t>
      </w:r>
      <w:r w:rsidR="00811A81">
        <w:t xml:space="preserve">storage, </w:t>
      </w:r>
      <w:r w:rsidR="009B2EB6">
        <w:t xml:space="preserve">which will then </w:t>
      </w:r>
      <w:r w:rsidR="00811A81">
        <w:t>provid</w:t>
      </w:r>
      <w:r w:rsidR="009B2EB6">
        <w:t xml:space="preserve">e </w:t>
      </w:r>
      <w:r w:rsidR="00811A81">
        <w:t xml:space="preserve">more value to the grid.  </w:t>
      </w:r>
      <w:r w:rsidR="005720DC">
        <w:t xml:space="preserve">Finally, the fixed adder </w:t>
      </w:r>
      <w:r w:rsidR="00811A81">
        <w:t xml:space="preserve">will provide more certainty to the customer by providing a predictable </w:t>
      </w:r>
      <w:r w:rsidR="009B2EB6">
        <w:t>value</w:t>
      </w:r>
      <w:r w:rsidR="00811A81">
        <w:t>.</w:t>
      </w:r>
    </w:p>
    <w:p w:rsidR="00CE4C4E" w:rsidP="005E7044" w:rsidRDefault="00CE4C4E" w14:paraId="1F66C656" w14:textId="711CD070">
      <w:pPr>
        <w:pStyle w:val="Standard"/>
      </w:pPr>
      <w:r>
        <w:t xml:space="preserve">The </w:t>
      </w:r>
      <w:r w:rsidRPr="001C42FF">
        <w:t>ACC Plus is designed to target a nine</w:t>
      </w:r>
      <w:r w:rsidR="00827602">
        <w:noBreakHyphen/>
      </w:r>
      <w:r w:rsidRPr="001C42FF">
        <w:t xml:space="preserve">year simple payback </w:t>
      </w:r>
      <w:r w:rsidR="00565CBA">
        <w:t xml:space="preserve">period </w:t>
      </w:r>
      <w:r w:rsidRPr="001C42FF">
        <w:t xml:space="preserve">for all residential successor tariff customers. </w:t>
      </w:r>
      <w:r w:rsidR="007F4381">
        <w:t xml:space="preserve"> </w:t>
      </w:r>
      <w:r w:rsidRPr="0023423C">
        <w:t xml:space="preserve">The </w:t>
      </w:r>
      <w:r w:rsidR="00C26DC4">
        <w:t>ACC</w:t>
      </w:r>
      <w:r w:rsidRPr="0023423C">
        <w:t xml:space="preserve"> Plus will be available to</w:t>
      </w:r>
      <w:r>
        <w:t xml:space="preserve"> eligible</w:t>
      </w:r>
      <w:r w:rsidRPr="0023423C">
        <w:t xml:space="preserve"> residential customers who enroll in the successor tariff over a five</w:t>
      </w:r>
      <w:r w:rsidR="00827602">
        <w:noBreakHyphen/>
      </w:r>
      <w:r w:rsidRPr="0023423C">
        <w:t>year period</w:t>
      </w:r>
      <w:r w:rsidRPr="001C42FF">
        <w:t xml:space="preserve">. </w:t>
      </w:r>
      <w:r w:rsidR="00C26DC4">
        <w:t xml:space="preserve"> </w:t>
      </w:r>
      <w:r w:rsidRPr="0023423C">
        <w:t>Residential c</w:t>
      </w:r>
      <w:r w:rsidRPr="001C42FF">
        <w:t xml:space="preserve">ustomers who enroll in the </w:t>
      </w:r>
      <w:r w:rsidR="00CE2C8B">
        <w:t>n</w:t>
      </w:r>
      <w:r w:rsidRPr="001C42FF">
        <w:t xml:space="preserve">et </w:t>
      </w:r>
      <w:r w:rsidR="00CE2C8B">
        <w:t>b</w:t>
      </w:r>
      <w:r w:rsidRPr="001C42FF">
        <w:t xml:space="preserve">illing tariff during the </w:t>
      </w:r>
      <w:r w:rsidR="001D29B8">
        <w:t xml:space="preserve">transition </w:t>
      </w:r>
      <w:r w:rsidRPr="001C42FF">
        <w:t>period will lock</w:t>
      </w:r>
      <w:r w:rsidR="00827602">
        <w:noBreakHyphen/>
      </w:r>
      <w:r w:rsidRPr="001C42FF">
        <w:t xml:space="preserve">in their ACC Plus fixed amount for nine years. </w:t>
      </w:r>
      <w:r w:rsidR="007F4381">
        <w:t xml:space="preserve"> </w:t>
      </w:r>
      <w:r w:rsidRPr="001C42FF">
        <w:t>The first</w:t>
      </w:r>
      <w:r w:rsidR="00827602">
        <w:noBreakHyphen/>
      </w:r>
      <w:r w:rsidRPr="001C42FF">
        <w:t xml:space="preserve">year glide path adder amount will be available to residential customers that submit interconnection applications </w:t>
      </w:r>
      <w:r w:rsidR="00EE63E1">
        <w:t xml:space="preserve">beginning </w:t>
      </w:r>
      <w:r>
        <w:t>the day after the</w:t>
      </w:r>
      <w:r w:rsidRPr="001C42FF">
        <w:t xml:space="preserve"> </w:t>
      </w:r>
      <w:r w:rsidR="00602BC5">
        <w:t>NEM 2.0</w:t>
      </w:r>
      <w:r w:rsidR="00135D55">
        <w:t xml:space="preserve"> </w:t>
      </w:r>
      <w:r w:rsidRPr="001C42FF">
        <w:t xml:space="preserve">sunset </w:t>
      </w:r>
      <w:r>
        <w:t xml:space="preserve">period ends. </w:t>
      </w:r>
      <w:r w:rsidR="007F4381">
        <w:t xml:space="preserve"> </w:t>
      </w:r>
      <w:r>
        <w:t>The ACC Plus is allowed to offset non</w:t>
      </w:r>
      <w:r w:rsidR="00827602">
        <w:noBreakHyphen/>
      </w:r>
      <w:proofErr w:type="spellStart"/>
      <w:r>
        <w:t>bypassable</w:t>
      </w:r>
      <w:proofErr w:type="spellEnd"/>
      <w:r>
        <w:t xml:space="preserve"> charges</w:t>
      </w:r>
      <w:r w:rsidR="009B27E4">
        <w:t>,</w:t>
      </w:r>
      <w:r>
        <w:t xml:space="preserve"> and any fixed charges associated with the import rate, as it is an incentive designed to achieve a target payback period.</w:t>
      </w:r>
    </w:p>
    <w:p w:rsidR="00CE4C4E" w:rsidP="005E7044" w:rsidRDefault="00CE4C4E" w14:paraId="44D38937" w14:textId="6067373E">
      <w:pPr>
        <w:pStyle w:val="Standard"/>
      </w:pPr>
      <w:r w:rsidRPr="005C718E">
        <w:t xml:space="preserve">As seen in </w:t>
      </w:r>
      <w:r w:rsidRPr="005C718E" w:rsidR="00565CBA">
        <w:t>T</w:t>
      </w:r>
      <w:r w:rsidRPr="005C718E">
        <w:t>able</w:t>
      </w:r>
      <w:r w:rsidRPr="005C718E" w:rsidR="00D73B49">
        <w:t> </w:t>
      </w:r>
      <w:r w:rsidRPr="00910053" w:rsidR="001A1ADB">
        <w:t>6</w:t>
      </w:r>
      <w:r w:rsidRPr="005C718E">
        <w:t>, residential SDG&amp;E</w:t>
      </w:r>
      <w:r w:rsidR="00B93F5F">
        <w:t xml:space="preserve"> successor tariff </w:t>
      </w:r>
      <w:r w:rsidRPr="005C718E">
        <w:t>customers have simple paybacks</w:t>
      </w:r>
      <w:r w:rsidRPr="0023423C">
        <w:t xml:space="preserve"> that range from </w:t>
      </w:r>
      <w:r w:rsidR="00565CBA">
        <w:t>4.70</w:t>
      </w:r>
      <w:r w:rsidR="002F5949">
        <w:t> </w:t>
      </w:r>
      <w:r w:rsidRPr="0023423C">
        <w:t xml:space="preserve">years to </w:t>
      </w:r>
      <w:r w:rsidR="00565CBA">
        <w:t>8.43</w:t>
      </w:r>
      <w:r w:rsidR="00D73B49">
        <w:t> </w:t>
      </w:r>
      <w:r w:rsidRPr="0023423C">
        <w:t>years</w:t>
      </w:r>
      <w:r>
        <w:t xml:space="preserve"> absent </w:t>
      </w:r>
      <w:r w:rsidR="007B0D0D">
        <w:t xml:space="preserve">the </w:t>
      </w:r>
      <w:r>
        <w:t xml:space="preserve">ACC Plus </w:t>
      </w:r>
      <w:r w:rsidRPr="0023423C">
        <w:t>due to higher rates in SDG&amp;E’s territory that result in relatively short payback</w:t>
      </w:r>
      <w:r>
        <w:t>s</w:t>
      </w:r>
      <w:r w:rsidRPr="0023423C">
        <w:t xml:space="preserve">. </w:t>
      </w:r>
      <w:r w:rsidR="00D73B49">
        <w:t xml:space="preserve"> </w:t>
      </w:r>
      <w:r w:rsidRPr="0023423C">
        <w:t>Since SDG&amp;E residential customers already have a simple payback period of less than nine years</w:t>
      </w:r>
      <w:r>
        <w:t xml:space="preserve"> without </w:t>
      </w:r>
      <w:r w:rsidR="007B0D0D">
        <w:t xml:space="preserve">the </w:t>
      </w:r>
      <w:r>
        <w:t>ACC Plus</w:t>
      </w:r>
      <w:r w:rsidRPr="0023423C">
        <w:t>, SDG&amp;E residenti</w:t>
      </w:r>
      <w:r w:rsidRPr="001C42FF">
        <w:t>a</w:t>
      </w:r>
      <w:r w:rsidRPr="0023423C">
        <w:t xml:space="preserve">l customers </w:t>
      </w:r>
      <w:r>
        <w:t xml:space="preserve">who interconnect during the </w:t>
      </w:r>
      <w:r w:rsidR="00147013">
        <w:t>five</w:t>
      </w:r>
      <w:r w:rsidR="00827602">
        <w:noBreakHyphen/>
      </w:r>
      <w:r w:rsidR="00147013">
        <w:t>year</w:t>
      </w:r>
      <w:r>
        <w:t xml:space="preserve"> glide path </w:t>
      </w:r>
      <w:r w:rsidR="001D29B8">
        <w:t xml:space="preserve">and transition </w:t>
      </w:r>
      <w:r>
        <w:t xml:space="preserve">period </w:t>
      </w:r>
      <w:r w:rsidRPr="0023423C">
        <w:t>will not receive an adder</w:t>
      </w:r>
      <w:r>
        <w:t>.</w:t>
      </w:r>
    </w:p>
    <w:p w:rsidR="001A1ADB" w:rsidP="001A1ADB" w:rsidRDefault="001A1ADB" w14:paraId="55D897FE" w14:textId="2B40579B">
      <w:pPr>
        <w:pStyle w:val="TableTitleBodyH085"/>
      </w:pPr>
      <w:bookmarkStart w:name="Table6" w:id="195"/>
      <w:r>
        <w:rPr>
          <w:b/>
        </w:rPr>
        <w:t>Table 6.</w:t>
      </w:r>
      <w:r>
        <w:rPr>
          <w:b/>
        </w:rPr>
        <w:tab/>
      </w:r>
      <w:r w:rsidRPr="009A4A25">
        <w:rPr>
          <w:bCs w:val="0"/>
        </w:rPr>
        <w:t xml:space="preserve">Simple Payback Periods for SDG&amp;E </w:t>
      </w:r>
      <w:r w:rsidR="00B93F5F">
        <w:rPr>
          <w:bCs w:val="0"/>
        </w:rPr>
        <w:t xml:space="preserve">Net Billing </w:t>
      </w:r>
      <w:r w:rsidRPr="009A4A25">
        <w:rPr>
          <w:bCs w:val="0"/>
        </w:rPr>
        <w:t>Customers</w:t>
      </w:r>
      <w:bookmarkEnd w:id="195"/>
    </w:p>
    <w:tbl>
      <w:tblPr>
        <w:tblStyle w:val="TableGrid"/>
        <w:tblW w:w="10075" w:type="dxa"/>
        <w:jc w:val="center"/>
        <w:tblLayout w:type="fixed"/>
        <w:tblCellMar>
          <w:top w:w="58" w:type="dxa"/>
          <w:bottom w:w="58" w:type="dxa"/>
        </w:tblCellMar>
        <w:tblLook w:val="04A0" w:firstRow="1" w:lastRow="0" w:firstColumn="1" w:lastColumn="0" w:noHBand="0" w:noVBand="1"/>
      </w:tblPr>
      <w:tblGrid>
        <w:gridCol w:w="3595"/>
        <w:gridCol w:w="3150"/>
        <w:gridCol w:w="3330"/>
      </w:tblGrid>
      <w:tr w:rsidR="00B93AC8" w:rsidTr="00DA746D" w14:paraId="31B5E994" w14:textId="77777777">
        <w:trPr>
          <w:cantSplit/>
          <w:tblHeader/>
          <w:jc w:val="center"/>
        </w:trPr>
        <w:tc>
          <w:tcPr>
            <w:tcW w:w="3595" w:type="dxa"/>
            <w:vAlign w:val="center"/>
          </w:tcPr>
          <w:p w:rsidRPr="003A4C48" w:rsidR="00B93AC8" w:rsidP="008B4CEE" w:rsidRDefault="00B93AC8" w14:paraId="714BC602" w14:textId="76276247">
            <w:pPr>
              <w:pStyle w:val="Standard"/>
              <w:keepNext/>
              <w:spacing w:line="240" w:lineRule="auto"/>
              <w:ind w:firstLine="0"/>
              <w:rPr>
                <w:b/>
                <w:bCs/>
              </w:rPr>
            </w:pPr>
            <w:r>
              <w:rPr>
                <w:b/>
                <w:bCs/>
              </w:rPr>
              <w:t xml:space="preserve">SDG&amp;E </w:t>
            </w:r>
            <w:r w:rsidRPr="003A4C48">
              <w:rPr>
                <w:b/>
                <w:bCs/>
              </w:rPr>
              <w:t>Customer Segment</w:t>
            </w:r>
          </w:p>
        </w:tc>
        <w:tc>
          <w:tcPr>
            <w:tcW w:w="3150" w:type="dxa"/>
          </w:tcPr>
          <w:p w:rsidR="00B93AC8" w:rsidP="008B4CEE" w:rsidRDefault="00B93AC8" w14:paraId="3306B984" w14:textId="77777777">
            <w:pPr>
              <w:pStyle w:val="Standard"/>
              <w:keepNext/>
              <w:spacing w:line="240" w:lineRule="auto"/>
              <w:ind w:firstLine="0"/>
              <w:jc w:val="center"/>
              <w:rPr>
                <w:b/>
                <w:bCs/>
              </w:rPr>
            </w:pPr>
            <w:r>
              <w:rPr>
                <w:b/>
                <w:bCs/>
              </w:rPr>
              <w:t xml:space="preserve">Stand-alone Solar </w:t>
            </w:r>
          </w:p>
          <w:p w:rsidR="00B93AC8" w:rsidP="008B4CEE" w:rsidRDefault="00B93AC8" w14:paraId="021648FC" w14:textId="4A72B226">
            <w:pPr>
              <w:pStyle w:val="Standard"/>
              <w:keepNext/>
              <w:spacing w:line="240" w:lineRule="auto"/>
              <w:ind w:firstLine="0"/>
              <w:jc w:val="center"/>
              <w:rPr>
                <w:b/>
                <w:bCs/>
              </w:rPr>
            </w:pPr>
            <w:r>
              <w:rPr>
                <w:b/>
                <w:bCs/>
              </w:rPr>
              <w:t>Payback Period (years)</w:t>
            </w:r>
          </w:p>
        </w:tc>
        <w:tc>
          <w:tcPr>
            <w:tcW w:w="3330" w:type="dxa"/>
            <w:vAlign w:val="center"/>
          </w:tcPr>
          <w:p w:rsidR="00B93AC8" w:rsidP="008B4CEE" w:rsidRDefault="00B93AC8" w14:paraId="59888644" w14:textId="0AE6DDAD">
            <w:pPr>
              <w:pStyle w:val="Standard"/>
              <w:keepNext/>
              <w:spacing w:line="240" w:lineRule="auto"/>
              <w:ind w:firstLine="0"/>
              <w:jc w:val="center"/>
              <w:rPr>
                <w:b/>
                <w:bCs/>
              </w:rPr>
            </w:pPr>
            <w:r>
              <w:rPr>
                <w:b/>
                <w:bCs/>
              </w:rPr>
              <w:t>Solar Paired with Storage</w:t>
            </w:r>
          </w:p>
          <w:p w:rsidRPr="003A4C48" w:rsidR="00B93AC8" w:rsidP="008B4CEE" w:rsidRDefault="00B93AC8" w14:paraId="07C8B07C" w14:textId="1E2055CE">
            <w:pPr>
              <w:pStyle w:val="Standard"/>
              <w:keepNext/>
              <w:spacing w:line="240" w:lineRule="auto"/>
              <w:ind w:firstLine="0"/>
              <w:jc w:val="center"/>
              <w:rPr>
                <w:b/>
                <w:bCs/>
              </w:rPr>
            </w:pPr>
            <w:r>
              <w:rPr>
                <w:b/>
                <w:bCs/>
              </w:rPr>
              <w:t>Payback Period (years)</w:t>
            </w:r>
          </w:p>
        </w:tc>
      </w:tr>
      <w:tr w:rsidR="00B93AC8" w:rsidTr="00DA746D" w14:paraId="0BABDE8B" w14:textId="77777777">
        <w:trPr>
          <w:cantSplit/>
          <w:jc w:val="center"/>
        </w:trPr>
        <w:tc>
          <w:tcPr>
            <w:tcW w:w="3595" w:type="dxa"/>
            <w:vAlign w:val="center"/>
          </w:tcPr>
          <w:p w:rsidRPr="003A4C48" w:rsidR="00B93AC8" w:rsidP="008B4CEE" w:rsidRDefault="00B93AC8" w14:paraId="2ACE9C6C" w14:textId="534BFC76">
            <w:pPr>
              <w:pStyle w:val="Standard"/>
              <w:keepNext/>
              <w:spacing w:line="240" w:lineRule="auto"/>
              <w:ind w:firstLine="0"/>
              <w:rPr>
                <w:b/>
                <w:bCs/>
              </w:rPr>
            </w:pPr>
            <w:r w:rsidRPr="003A4C48">
              <w:rPr>
                <w:b/>
                <w:bCs/>
              </w:rPr>
              <w:t>Residential</w:t>
            </w:r>
            <w:r>
              <w:rPr>
                <w:b/>
                <w:bCs/>
              </w:rPr>
              <w:t xml:space="preserve"> Non</w:t>
            </w:r>
            <w:r>
              <w:rPr>
                <w:b/>
                <w:bCs/>
              </w:rPr>
              <w:noBreakHyphen/>
              <w:t>CARE</w:t>
            </w:r>
          </w:p>
        </w:tc>
        <w:tc>
          <w:tcPr>
            <w:tcW w:w="3150" w:type="dxa"/>
          </w:tcPr>
          <w:p w:rsidRPr="005C41EA" w:rsidR="00B93AC8" w:rsidP="00DA746D" w:rsidRDefault="00B93AC8" w14:paraId="4B28FE88" w14:textId="545D272E">
            <w:pPr>
              <w:pStyle w:val="Standard"/>
              <w:keepNext/>
              <w:spacing w:line="240" w:lineRule="auto"/>
              <w:ind w:firstLine="0"/>
              <w:jc w:val="center"/>
            </w:pPr>
            <w:r>
              <w:t>5.95</w:t>
            </w:r>
          </w:p>
        </w:tc>
        <w:tc>
          <w:tcPr>
            <w:tcW w:w="3330" w:type="dxa"/>
          </w:tcPr>
          <w:p w:rsidR="00B93AC8" w:rsidP="00DA746D" w:rsidRDefault="00B93AC8" w14:paraId="4AC42931" w14:textId="570EE52F">
            <w:pPr>
              <w:pStyle w:val="Standard"/>
              <w:keepNext/>
              <w:spacing w:line="240" w:lineRule="auto"/>
              <w:ind w:firstLine="0"/>
              <w:jc w:val="center"/>
            </w:pPr>
            <w:r>
              <w:t>4.70</w:t>
            </w:r>
          </w:p>
        </w:tc>
      </w:tr>
      <w:tr w:rsidR="00B93AC8" w:rsidTr="00DA746D" w14:paraId="6BF91DBE" w14:textId="77777777">
        <w:trPr>
          <w:cantSplit/>
          <w:jc w:val="center"/>
        </w:trPr>
        <w:tc>
          <w:tcPr>
            <w:tcW w:w="3595" w:type="dxa"/>
            <w:vAlign w:val="center"/>
          </w:tcPr>
          <w:p w:rsidRPr="003A4C48" w:rsidR="00B93AC8" w:rsidP="008B4CEE" w:rsidRDefault="00B93AC8" w14:paraId="5B8520B5" w14:textId="77777777">
            <w:pPr>
              <w:pStyle w:val="Standard"/>
              <w:keepNext/>
              <w:spacing w:line="240" w:lineRule="auto"/>
              <w:ind w:firstLine="0"/>
              <w:rPr>
                <w:b/>
                <w:bCs/>
              </w:rPr>
            </w:pPr>
            <w:r>
              <w:rPr>
                <w:b/>
                <w:bCs/>
              </w:rPr>
              <w:t>Residential CARE</w:t>
            </w:r>
          </w:p>
        </w:tc>
        <w:tc>
          <w:tcPr>
            <w:tcW w:w="3150" w:type="dxa"/>
          </w:tcPr>
          <w:p w:rsidR="00B93AC8" w:rsidP="00DA746D" w:rsidRDefault="00B93AC8" w14:paraId="2DFC1B6C" w14:textId="748D66C3">
            <w:pPr>
              <w:pStyle w:val="Standard"/>
              <w:keepNext/>
              <w:spacing w:line="240" w:lineRule="auto"/>
              <w:ind w:firstLine="0"/>
              <w:jc w:val="center"/>
            </w:pPr>
            <w:r>
              <w:t>8.43</w:t>
            </w:r>
          </w:p>
        </w:tc>
        <w:tc>
          <w:tcPr>
            <w:tcW w:w="3330" w:type="dxa"/>
          </w:tcPr>
          <w:p w:rsidR="00B93AC8" w:rsidP="00DA746D" w:rsidRDefault="00B93AC8" w14:paraId="6F6E43BA" w14:textId="7EB983A4">
            <w:pPr>
              <w:pStyle w:val="Standard"/>
              <w:keepNext/>
              <w:spacing w:line="240" w:lineRule="auto"/>
              <w:ind w:firstLine="0"/>
              <w:jc w:val="center"/>
            </w:pPr>
            <w:r>
              <w:t>6.98</w:t>
            </w:r>
          </w:p>
        </w:tc>
      </w:tr>
      <w:tr w:rsidR="00B93AC8" w:rsidTr="00DA746D" w14:paraId="5E456954" w14:textId="77777777">
        <w:trPr>
          <w:cantSplit/>
          <w:jc w:val="center"/>
        </w:trPr>
        <w:tc>
          <w:tcPr>
            <w:tcW w:w="3595" w:type="dxa"/>
            <w:vAlign w:val="center"/>
          </w:tcPr>
          <w:p w:rsidR="00B93AC8" w:rsidDel="001A1ADB" w:rsidP="005359F4" w:rsidRDefault="00B93AC8" w14:paraId="4EF6FE07" w14:textId="77777777">
            <w:pPr>
              <w:pStyle w:val="Standard"/>
              <w:spacing w:line="240" w:lineRule="auto"/>
              <w:ind w:firstLine="0"/>
              <w:rPr>
                <w:b/>
                <w:bCs/>
              </w:rPr>
            </w:pPr>
            <w:r>
              <w:rPr>
                <w:b/>
                <w:bCs/>
              </w:rPr>
              <w:t>Commercial (not eligible)</w:t>
            </w:r>
          </w:p>
        </w:tc>
        <w:tc>
          <w:tcPr>
            <w:tcW w:w="3150" w:type="dxa"/>
          </w:tcPr>
          <w:p w:rsidR="00B93AC8" w:rsidP="00DA746D" w:rsidRDefault="00B93AC8" w14:paraId="2142C010" w14:textId="51912630">
            <w:pPr>
              <w:pStyle w:val="Standard"/>
              <w:spacing w:line="240" w:lineRule="auto"/>
              <w:ind w:firstLine="0"/>
              <w:jc w:val="center"/>
            </w:pPr>
            <w:r>
              <w:t>7.50</w:t>
            </w:r>
          </w:p>
        </w:tc>
        <w:tc>
          <w:tcPr>
            <w:tcW w:w="3330" w:type="dxa"/>
          </w:tcPr>
          <w:p w:rsidRPr="005C41EA" w:rsidR="00B93AC8" w:rsidP="00DA746D" w:rsidRDefault="00B93AC8" w14:paraId="5E4BD468" w14:textId="3BB4C6FE">
            <w:pPr>
              <w:pStyle w:val="Standard"/>
              <w:spacing w:line="240" w:lineRule="auto"/>
              <w:ind w:firstLine="0"/>
              <w:jc w:val="center"/>
            </w:pPr>
            <w:r>
              <w:t>5.82</w:t>
            </w:r>
          </w:p>
        </w:tc>
      </w:tr>
    </w:tbl>
    <w:p w:rsidR="00CE4C4E" w:rsidP="00910053" w:rsidRDefault="00CE4C4E" w14:paraId="273C91DE" w14:textId="5721F2CB">
      <w:pPr>
        <w:pStyle w:val="Standard"/>
        <w:spacing w:before="120"/>
      </w:pPr>
      <w:r w:rsidRPr="001C42FF">
        <w:lastRenderedPageBreak/>
        <w:t>The ACC Plus will be a stepped</w:t>
      </w:r>
      <w:r w:rsidR="00827602">
        <w:noBreakHyphen/>
      </w:r>
      <w:r w:rsidRPr="001C42FF">
        <w:t xml:space="preserve">down approach, as recommended by SEIA/Vote Solar, </w:t>
      </w:r>
      <w:proofErr w:type="spellStart"/>
      <w:r w:rsidRPr="001C42FF">
        <w:t>CALSSA</w:t>
      </w:r>
      <w:proofErr w:type="spellEnd"/>
      <w:r w:rsidRPr="001C42FF">
        <w:t>, and Sierra Club.</w:t>
      </w:r>
      <w:r w:rsidRPr="001C42FF">
        <w:rPr>
          <w:rStyle w:val="FootnoteReference"/>
        </w:rPr>
        <w:footnoteReference w:id="426"/>
      </w:r>
      <w:r w:rsidR="007543A3">
        <w:t xml:space="preserve">  </w:t>
      </w:r>
      <w:r w:rsidR="00DC69EB">
        <w:t>At</w:t>
      </w:r>
      <w:r w:rsidRPr="001C42FF" w:rsidR="00DC69EB">
        <w:t xml:space="preserve"> </w:t>
      </w:r>
      <w:r w:rsidRPr="001C42FF">
        <w:t xml:space="preserve">the </w:t>
      </w:r>
      <w:r w:rsidR="00DC69EB">
        <w:t xml:space="preserve">end of each calendar </w:t>
      </w:r>
      <w:r w:rsidRPr="001C42FF">
        <w:t>year</w:t>
      </w:r>
      <w:r w:rsidR="00DC69EB">
        <w:t xml:space="preserve"> (</w:t>
      </w:r>
      <w:r w:rsidRPr="005359F4" w:rsidR="00DC69EB">
        <w:rPr>
          <w:i/>
          <w:iCs/>
        </w:rPr>
        <w:t>e.g.</w:t>
      </w:r>
      <w:r w:rsidR="00DC69EB">
        <w:t>, December</w:t>
      </w:r>
      <w:r w:rsidR="002F5949">
        <w:t> </w:t>
      </w:r>
      <w:r w:rsidR="00DC69EB">
        <w:t>31,</w:t>
      </w:r>
      <w:r w:rsidR="002F5949">
        <w:t> </w:t>
      </w:r>
      <w:r w:rsidR="00DC69EB">
        <w:t>2023)</w:t>
      </w:r>
      <w:r w:rsidRPr="001C42FF">
        <w:t>, the adder will decrease by 2</w:t>
      </w:r>
      <w:r w:rsidR="00C04724">
        <w:t>0 percent</w:t>
      </w:r>
      <w:r w:rsidRPr="001C42FF">
        <w:t xml:space="preserve"> a year for eligible </w:t>
      </w:r>
      <w:r w:rsidRPr="0023423C">
        <w:t xml:space="preserve">residential </w:t>
      </w:r>
      <w:r w:rsidRPr="001C42FF">
        <w:t xml:space="preserve">customers who have yet to enroll in the net billing tariff, as measured from the </w:t>
      </w:r>
      <w:r w:rsidRPr="001C42FF" w:rsidR="00147013">
        <w:t>first</w:t>
      </w:r>
      <w:r w:rsidR="00827602">
        <w:noBreakHyphen/>
      </w:r>
      <w:r w:rsidRPr="001C42FF" w:rsidR="00147013">
        <w:t>year</w:t>
      </w:r>
      <w:r w:rsidRPr="001C42FF">
        <w:t xml:space="preserve"> adder until the adder reaches zero</w:t>
      </w:r>
      <w:r>
        <w:t xml:space="preserve"> by the end of year five</w:t>
      </w:r>
      <w:r w:rsidRPr="001C42FF">
        <w:t xml:space="preserve">.  Customers who take service on the successor tariff after the </w:t>
      </w:r>
      <w:r w:rsidR="00602BC5">
        <w:t>NEM 2.0</w:t>
      </w:r>
      <w:r w:rsidR="00135D55">
        <w:t xml:space="preserve"> </w:t>
      </w:r>
      <w:r w:rsidRPr="001C42FF">
        <w:t xml:space="preserve">tariff sunset date, but who are temporarily billed on the </w:t>
      </w:r>
      <w:r w:rsidR="00602BC5">
        <w:t>NEM 2.0</w:t>
      </w:r>
      <w:r w:rsidR="00135D55">
        <w:t xml:space="preserve"> </w:t>
      </w:r>
      <w:r w:rsidRPr="001C42FF">
        <w:t>tariff, will not receive the ACC Plus until the successor tariff</w:t>
      </w:r>
      <w:r>
        <w:t xml:space="preserve"> is operationalized.  These customers will receive the ACC Plus for nine years minus the amount of time they were billed on the </w:t>
      </w:r>
      <w:r w:rsidR="00602BC5">
        <w:t>NEM 2.0</w:t>
      </w:r>
      <w:r w:rsidR="00135D55">
        <w:t xml:space="preserve"> </w:t>
      </w:r>
      <w:r>
        <w:t xml:space="preserve">tariff.  This timing ensures a payback period of </w:t>
      </w:r>
      <w:r w:rsidR="00DC69EB">
        <w:t xml:space="preserve">approximately </w:t>
      </w:r>
      <w:r>
        <w:t>nine years for each of these customers.</w:t>
      </w:r>
    </w:p>
    <w:p w:rsidR="00A643B4" w:rsidP="005E7044" w:rsidRDefault="00172660" w14:paraId="265A23A3" w14:textId="545C472C">
      <w:pPr>
        <w:pStyle w:val="Standard"/>
      </w:pPr>
      <w:r>
        <w:t>Aligning the timing of the step</w:t>
      </w:r>
      <w:r w:rsidR="00827602">
        <w:noBreakHyphen/>
      </w:r>
      <w:r>
        <w:t xml:space="preserve">downs with calendar years will assist with customer understanding.  </w:t>
      </w:r>
      <w:r w:rsidR="004B4950">
        <w:t>Again, e</w:t>
      </w:r>
      <w:r w:rsidR="00CC75B8">
        <w:t xml:space="preserve">ach customer </w:t>
      </w:r>
      <w:r w:rsidR="005720DC">
        <w:t xml:space="preserve">who </w:t>
      </w:r>
      <w:r w:rsidR="00CC75B8">
        <w:t xml:space="preserve">is eligible will receive the </w:t>
      </w:r>
      <w:r w:rsidR="00883315">
        <w:t xml:space="preserve">adder </w:t>
      </w:r>
      <w:r w:rsidR="00CC75B8">
        <w:t xml:space="preserve">for a period of </w:t>
      </w:r>
      <w:r w:rsidR="00894A6A">
        <w:t xml:space="preserve">nine </w:t>
      </w:r>
      <w:r w:rsidR="00CC75B8">
        <w:t>years from their interconnection date</w:t>
      </w:r>
      <w:r w:rsidR="00894A6A">
        <w:t>, the same amount of time as their payback period</w:t>
      </w:r>
      <w:r w:rsidR="00CC75B8">
        <w:t>.</w:t>
      </w:r>
      <w:r w:rsidR="00AC45CB">
        <w:t xml:space="preserve">  The </w:t>
      </w:r>
      <w:r w:rsidR="00883315">
        <w:t xml:space="preserve">ACC Plus </w:t>
      </w:r>
      <w:r w:rsidR="004B4950">
        <w:t xml:space="preserve">glide path </w:t>
      </w:r>
      <w:r w:rsidR="00AC45CB">
        <w:t xml:space="preserve">for </w:t>
      </w:r>
      <w:r w:rsidR="004B4950">
        <w:t>(residential non</w:t>
      </w:r>
      <w:r w:rsidR="00827602">
        <w:noBreakHyphen/>
      </w:r>
      <w:r w:rsidR="004B4950">
        <w:t xml:space="preserve">CARE participant customers of) </w:t>
      </w:r>
      <w:r w:rsidR="00AC45CB">
        <w:t xml:space="preserve">each of the Joint Utilities is illustrated in </w:t>
      </w:r>
      <w:r w:rsidR="00037F69">
        <w:t>Figure 3</w:t>
      </w:r>
      <w:r w:rsidR="0043228A">
        <w:t xml:space="preserve"> through </w:t>
      </w:r>
      <w:r w:rsidR="00037F69">
        <w:t>Figure 5</w:t>
      </w:r>
      <w:r w:rsidR="00AC45CB">
        <w:t xml:space="preserve"> below.</w:t>
      </w:r>
      <w:r w:rsidR="00F833C7">
        <w:t xml:space="preserve">  T</w:t>
      </w:r>
      <w:r w:rsidRPr="00F833C7" w:rsidR="00F833C7">
        <w:t>hese figures provide an idea of the approximate adder that could be expected each year per kilowatt of solar installed for a residential, non</w:t>
      </w:r>
      <w:r w:rsidR="00827602">
        <w:noBreakHyphen/>
      </w:r>
      <w:r w:rsidRPr="00F833C7" w:rsidR="00F833C7">
        <w:t>CARE participant customer with a stand</w:t>
      </w:r>
      <w:r w:rsidR="00827602">
        <w:noBreakHyphen/>
      </w:r>
      <w:r w:rsidRPr="00F833C7" w:rsidR="00F833C7">
        <w:t>alone solar system sized to cover 100</w:t>
      </w:r>
      <w:r w:rsidR="002F5949">
        <w:t> </w:t>
      </w:r>
      <w:r w:rsidRPr="00F833C7" w:rsidR="00F833C7">
        <w:t xml:space="preserve">percent of the customer’s annual load. </w:t>
      </w:r>
      <w:r w:rsidR="005F1C9F">
        <w:t xml:space="preserve"> </w:t>
      </w:r>
      <w:r w:rsidRPr="00F833C7" w:rsidR="00F833C7">
        <w:t>(</w:t>
      </w:r>
      <w:r w:rsidR="00F833C7">
        <w:t>T</w:t>
      </w:r>
      <w:r w:rsidRPr="00F833C7" w:rsidR="00F833C7">
        <w:t>he number of kilowatt</w:t>
      </w:r>
      <w:r w:rsidR="00827602">
        <w:noBreakHyphen/>
      </w:r>
      <w:r w:rsidRPr="00F833C7" w:rsidR="00F833C7">
        <w:t xml:space="preserve">hours exported per kilowatt installed </w:t>
      </w:r>
      <w:r w:rsidR="00F833C7">
        <w:t xml:space="preserve">will </w:t>
      </w:r>
      <w:r w:rsidRPr="00F833C7" w:rsidR="00F833C7">
        <w:t>var</w:t>
      </w:r>
      <w:r w:rsidR="00F833C7">
        <w:t>y</w:t>
      </w:r>
      <w:r w:rsidRPr="00F833C7" w:rsidR="00F833C7">
        <w:t xml:space="preserve"> according to </w:t>
      </w:r>
      <w:r w:rsidRPr="00F833C7" w:rsidR="00F833C7">
        <w:lastRenderedPageBreak/>
        <w:t>each system configuration, customer behavior, and other factors.)</w:t>
      </w:r>
      <w:r w:rsidR="00F833C7">
        <w:t xml:space="preserve">  Because SDG&amp;E </w:t>
      </w:r>
      <w:r w:rsidR="00CE2C8B">
        <w:t>n</w:t>
      </w:r>
      <w:r w:rsidR="00F833C7">
        <w:t xml:space="preserve">et </w:t>
      </w:r>
      <w:r w:rsidR="00CE2C8B">
        <w:t>b</w:t>
      </w:r>
      <w:r w:rsidR="00D13B6F">
        <w:t xml:space="preserve">illing </w:t>
      </w:r>
      <w:r w:rsidR="00F833C7">
        <w:t xml:space="preserve">tariff customers will have payback periods of less than nine years, the graph does not indicate a glide path.  </w:t>
      </w:r>
    </w:p>
    <w:p w:rsidRPr="0043228A" w:rsidR="00AC45CB" w:rsidP="00962ACC" w:rsidRDefault="00037F69" w14:paraId="6B99F41C" w14:textId="0BD6C9A9">
      <w:pPr>
        <w:pStyle w:val="TableTitleBodyH085"/>
        <w:rPr>
          <w:b/>
          <w:bCs w:val="0"/>
        </w:rPr>
      </w:pPr>
      <w:bookmarkStart w:name="Figure3" w:id="196"/>
      <w:r>
        <w:rPr>
          <w:b/>
        </w:rPr>
        <w:t>Figure 3</w:t>
      </w:r>
      <w:r w:rsidR="00962ACC">
        <w:rPr>
          <w:b/>
          <w:bCs w:val="0"/>
        </w:rPr>
        <w:t>.</w:t>
      </w:r>
      <w:r w:rsidR="00962ACC">
        <w:rPr>
          <w:b/>
          <w:bCs w:val="0"/>
        </w:rPr>
        <w:tab/>
      </w:r>
      <w:r w:rsidRPr="00221B62" w:rsidR="00DC69EB">
        <w:t>ACC Plus Glide Path for New PG&amp;E Net Billing Customers</w:t>
      </w:r>
      <w:bookmarkEnd w:id="196"/>
    </w:p>
    <w:p w:rsidR="0043228A" w:rsidP="005E7044" w:rsidRDefault="00F833C7" w14:paraId="09825BE2" w14:textId="11EC23F2">
      <w:pPr>
        <w:pStyle w:val="Standard"/>
        <w:ind w:firstLine="0"/>
        <w:jc w:val="center"/>
      </w:pPr>
      <w:r w:rsidRPr="00F833C7">
        <w:t xml:space="preserve"> </w:t>
      </w:r>
      <w:r w:rsidRPr="00B933AF" w:rsidR="00B933AF">
        <w:t xml:space="preserve"> </w:t>
      </w:r>
      <w:r w:rsidR="00B933AF">
        <w:rPr>
          <w:noProof/>
        </w:rPr>
        <w:drawing>
          <wp:inline distT="0" distB="0" distL="0" distR="0" wp14:anchorId="5003B43B" wp14:editId="052D9A58">
            <wp:extent cx="4572000" cy="228600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Pr="0091632D" w:rsidR="0043228A" w:rsidP="007D3179" w:rsidRDefault="00037F69" w14:paraId="7EDCB6C5" w14:textId="50DF3E79">
      <w:pPr>
        <w:pStyle w:val="TableTitleBodyH085"/>
        <w:rPr>
          <w:b/>
          <w:bCs w:val="0"/>
        </w:rPr>
      </w:pPr>
      <w:bookmarkStart w:name="Figure4" w:id="197"/>
      <w:r>
        <w:rPr>
          <w:b/>
        </w:rPr>
        <w:t>Figure 4</w:t>
      </w:r>
      <w:r w:rsidR="007D3179">
        <w:rPr>
          <w:b/>
          <w:bCs w:val="0"/>
        </w:rPr>
        <w:t>.</w:t>
      </w:r>
      <w:r w:rsidR="007D3179">
        <w:rPr>
          <w:b/>
          <w:bCs w:val="0"/>
        </w:rPr>
        <w:tab/>
      </w:r>
      <w:r w:rsidRPr="00221B62" w:rsidR="00DC69EB">
        <w:t>ACC Plus Glide Path for New SDG&amp;E Net Billing Customers</w:t>
      </w:r>
      <w:r w:rsidRPr="007D3179" w:rsidDel="00DC69EB" w:rsidR="00DC69EB">
        <w:rPr>
          <w:b/>
          <w:bCs w:val="0"/>
          <w:highlight w:val="magenta"/>
        </w:rPr>
        <w:t xml:space="preserve"> </w:t>
      </w:r>
      <w:bookmarkEnd w:id="197"/>
    </w:p>
    <w:p w:rsidR="00AC45CB" w:rsidP="005E7044" w:rsidRDefault="00F833C7" w14:paraId="2F54EC6A" w14:textId="3EE52CFF">
      <w:pPr>
        <w:pStyle w:val="Standard"/>
        <w:ind w:firstLine="0"/>
        <w:jc w:val="center"/>
      </w:pPr>
      <w:r w:rsidRPr="00F833C7">
        <w:t xml:space="preserve"> </w:t>
      </w:r>
      <w:r>
        <w:rPr>
          <w:noProof/>
        </w:rPr>
        <w:drawing>
          <wp:inline distT="0" distB="0" distL="0" distR="0" wp14:anchorId="3BD13C5F" wp14:editId="4770C6ED">
            <wp:extent cx="4572000" cy="2286000"/>
            <wp:effectExtent l="0" t="0" r="0" b="0"/>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Pr="005505B6" w:rsidR="0043228A" w:rsidP="00B63FCF" w:rsidRDefault="00037F69" w14:paraId="17914908" w14:textId="436E427C">
      <w:pPr>
        <w:pStyle w:val="TableTitleBodyH085"/>
        <w:rPr>
          <w:b/>
          <w:bCs w:val="0"/>
        </w:rPr>
      </w:pPr>
      <w:bookmarkStart w:name="Figure5" w:id="198"/>
      <w:r>
        <w:rPr>
          <w:b/>
        </w:rPr>
        <w:lastRenderedPageBreak/>
        <w:t>Figure 5</w:t>
      </w:r>
      <w:r w:rsidR="00B63FCF">
        <w:rPr>
          <w:b/>
        </w:rPr>
        <w:t>.</w:t>
      </w:r>
      <w:r w:rsidR="00B63FCF">
        <w:rPr>
          <w:b/>
        </w:rPr>
        <w:tab/>
      </w:r>
      <w:r w:rsidRPr="00221B62" w:rsidR="00DC69EB">
        <w:t>ACC Plus Glide Path for New SCE Net Billing Customers</w:t>
      </w:r>
      <w:r w:rsidRPr="00B63FCF" w:rsidDel="00DC69EB" w:rsidR="00DC69EB">
        <w:rPr>
          <w:b/>
          <w:highlight w:val="magenta"/>
        </w:rPr>
        <w:t xml:space="preserve"> </w:t>
      </w:r>
      <w:bookmarkEnd w:id="198"/>
    </w:p>
    <w:p w:rsidR="0043228A" w:rsidP="005E7044" w:rsidRDefault="00F833C7" w14:paraId="046A855E" w14:textId="45721682">
      <w:pPr>
        <w:pStyle w:val="Standard"/>
        <w:ind w:firstLine="0"/>
        <w:jc w:val="center"/>
      </w:pPr>
      <w:r w:rsidRPr="00F833C7">
        <w:t xml:space="preserve"> </w:t>
      </w:r>
      <w:r>
        <w:rPr>
          <w:noProof/>
        </w:rPr>
        <w:drawing>
          <wp:inline distT="0" distB="0" distL="0" distR="0" wp14:anchorId="246BBEDC" wp14:editId="4AC0CC21">
            <wp:extent cx="4572000" cy="2286000"/>
            <wp:effectExtent l="0" t="0" r="0" b="0"/>
            <wp:docPr id="18" name="Picture 1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00170A9A" w:rsidP="005E7044" w:rsidRDefault="00E6685B" w14:paraId="4D99B856" w14:textId="18DF4CB1">
      <w:pPr>
        <w:pStyle w:val="Standard"/>
      </w:pPr>
      <w:r>
        <w:t xml:space="preserve">Lastly, the </w:t>
      </w:r>
      <w:r w:rsidR="00012B11">
        <w:t>ACC Plus</w:t>
      </w:r>
      <w:r>
        <w:t xml:space="preserve"> will be funded by all ratepayers.  Parties have varying </w:t>
      </w:r>
      <w:r w:rsidR="00D020FB">
        <w:t>proposals</w:t>
      </w:r>
      <w:r>
        <w:t xml:space="preserve"> on who should fund the </w:t>
      </w:r>
      <w:r w:rsidR="00012B11">
        <w:t>glide path</w:t>
      </w:r>
      <w:r>
        <w:t>.  TURN recommends apply</w:t>
      </w:r>
      <w:r w:rsidR="006A5308">
        <w:t>ing</w:t>
      </w:r>
      <w:r>
        <w:t xml:space="preserve"> a surcharge to existing non</w:t>
      </w:r>
      <w:r w:rsidR="00827602">
        <w:noBreakHyphen/>
      </w:r>
      <w:r>
        <w:t>C</w:t>
      </w:r>
      <w:r w:rsidR="0025229C">
        <w:t xml:space="preserve">ARE </w:t>
      </w:r>
      <w:r w:rsidR="00602BC5">
        <w:t>NEM 1.0</w:t>
      </w:r>
      <w:r>
        <w:t xml:space="preserve"> and </w:t>
      </w:r>
      <w:r w:rsidR="00602BC5">
        <w:t>NEM 2.0</w:t>
      </w:r>
      <w:r w:rsidR="00135D55">
        <w:t xml:space="preserve"> </w:t>
      </w:r>
      <w:r>
        <w:t xml:space="preserve">residential customers to fund half of the costs of the </w:t>
      </w:r>
      <w:r w:rsidR="00012B11">
        <w:t>glide path</w:t>
      </w:r>
      <w:r>
        <w:t xml:space="preserve"> with the remaining costs recovered in rates through the Public Purpose </w:t>
      </w:r>
      <w:r w:rsidR="005720DC">
        <w:t xml:space="preserve">Programs </w:t>
      </w:r>
      <w:r>
        <w:t>charge.</w:t>
      </w:r>
      <w:r>
        <w:rPr>
          <w:rStyle w:val="FootnoteReference"/>
        </w:rPr>
        <w:footnoteReference w:id="427"/>
      </w:r>
      <w:r>
        <w:t xml:space="preserve">  </w:t>
      </w:r>
      <w:r w:rsidR="00D020FB">
        <w:t xml:space="preserve">TURN submits </w:t>
      </w:r>
      <w:r w:rsidR="00EE63E1">
        <w:t xml:space="preserve">its proposal </w:t>
      </w:r>
      <w:r w:rsidR="00D020FB">
        <w:t>is justified because of the enormous financial benefits legacy net energy metering customers continue to realize under the existing tariffs.</w:t>
      </w:r>
      <w:r w:rsidR="00D020FB">
        <w:rPr>
          <w:rStyle w:val="FootnoteReference"/>
        </w:rPr>
        <w:footnoteReference w:id="428"/>
      </w:r>
      <w:r w:rsidR="00D020FB">
        <w:t xml:space="preserve">  </w:t>
      </w:r>
      <w:r>
        <w:t xml:space="preserve">Joint Utilities recommend the </w:t>
      </w:r>
      <w:r w:rsidR="00012B11">
        <w:t xml:space="preserve">glide path </w:t>
      </w:r>
      <w:r>
        <w:t xml:space="preserve">should be funded </w:t>
      </w:r>
      <w:r w:rsidR="000C5686">
        <w:t>through means other than rates</w:t>
      </w:r>
      <w:r>
        <w:t>.</w:t>
      </w:r>
      <w:r w:rsidR="000C5686">
        <w:rPr>
          <w:rStyle w:val="FootnoteReference"/>
        </w:rPr>
        <w:footnoteReference w:id="429"/>
      </w:r>
      <w:r w:rsidR="000C5686">
        <w:t xml:space="preserve">  Both SEIA/Vote Solar and </w:t>
      </w:r>
      <w:r w:rsidRPr="00790E5D" w:rsidR="000C5686">
        <w:t>Sierra</w:t>
      </w:r>
      <w:r w:rsidRPr="00790E5D" w:rsidR="00867616">
        <w:t> </w:t>
      </w:r>
      <w:r w:rsidRPr="00790E5D" w:rsidR="000C5686">
        <w:t>Club oppose</w:t>
      </w:r>
      <w:r w:rsidR="000C5686">
        <w:t xml:space="preserve"> the recovery of the </w:t>
      </w:r>
      <w:r w:rsidR="00012B11">
        <w:t>glide path</w:t>
      </w:r>
      <w:r w:rsidR="000C5686">
        <w:t xml:space="preserve"> from a particular subset of ratepayers.</w:t>
      </w:r>
    </w:p>
    <w:p w:rsidR="00DD5285" w:rsidP="005E7044" w:rsidRDefault="005067FB" w14:paraId="52C4337B" w14:textId="54662EF5">
      <w:pPr>
        <w:pStyle w:val="Standard"/>
      </w:pPr>
      <w:r>
        <w:t xml:space="preserve">There are many competing requirements of the successor tariff.  Specifically, </w:t>
      </w:r>
      <w:r w:rsidR="007F608B">
        <w:t xml:space="preserve">the Commission must </w:t>
      </w:r>
      <w:r>
        <w:t>ensure that customer</w:t>
      </w:r>
      <w:r w:rsidR="00827602">
        <w:noBreakHyphen/>
      </w:r>
      <w:r>
        <w:t xml:space="preserve">sited renewable distributed generation continues to grow sustainably while simultaneously ensuring that benefits to all customers and the electrical system are </w:t>
      </w:r>
      <w:r>
        <w:lastRenderedPageBreak/>
        <w:t xml:space="preserve">approximately equal to the total costs.  </w:t>
      </w:r>
      <w:r w:rsidR="00DB1640">
        <w:t xml:space="preserve">This decision previously </w:t>
      </w:r>
      <w:r>
        <w:t xml:space="preserve">stated that tariff participation growth should not require nonparticipant financial burden.  However, the tariff should also ensure California can meet its climate and clean energy objectives.  </w:t>
      </w:r>
      <w:r w:rsidR="00DB1640">
        <w:t>I</w:t>
      </w:r>
      <w:r>
        <w:t xml:space="preserve">n combination with </w:t>
      </w:r>
      <w:r w:rsidR="00DB1640">
        <w:t xml:space="preserve">the </w:t>
      </w:r>
      <w:r>
        <w:t xml:space="preserve">other elements of the successor </w:t>
      </w:r>
      <w:r w:rsidR="00A476AD">
        <w:t xml:space="preserve">tariff, </w:t>
      </w:r>
      <w:r w:rsidR="00646D7B">
        <w:t xml:space="preserve">overall </w:t>
      </w:r>
      <w:r w:rsidR="00D36A1C">
        <w:t xml:space="preserve">ratepayer </w:t>
      </w:r>
      <w:r>
        <w:t xml:space="preserve">funding </w:t>
      </w:r>
      <w:r w:rsidR="00EE63E1">
        <w:t xml:space="preserve">through the </w:t>
      </w:r>
      <w:r w:rsidR="004D4B38">
        <w:t xml:space="preserve">Public Purpose Programs charge </w:t>
      </w:r>
      <w:r w:rsidR="00EE63E1">
        <w:t xml:space="preserve">(across all customer classes of all three utilities) </w:t>
      </w:r>
      <w:r w:rsidR="00D36A1C">
        <w:t xml:space="preserve">of </w:t>
      </w:r>
      <w:r>
        <w:t>the stepped</w:t>
      </w:r>
      <w:r w:rsidR="00827602">
        <w:noBreakHyphen/>
      </w:r>
      <w:r>
        <w:t xml:space="preserve">down </w:t>
      </w:r>
      <w:r w:rsidR="00903386">
        <w:t>ACC Plus</w:t>
      </w:r>
      <w:r w:rsidR="00A476AD">
        <w:t xml:space="preserve"> </w:t>
      </w:r>
      <w:r w:rsidR="009B206A">
        <w:t xml:space="preserve">approach </w:t>
      </w:r>
      <w:r w:rsidR="004D4B38">
        <w:t>is reasonable</w:t>
      </w:r>
      <w:r w:rsidR="00EE63E1">
        <w:t xml:space="preserve"> </w:t>
      </w:r>
      <w:r w:rsidR="004D4B38">
        <w:t>because</w:t>
      </w:r>
      <w:r w:rsidR="00EE63E1">
        <w:t xml:space="preserve"> </w:t>
      </w:r>
      <w:r w:rsidR="00482133">
        <w:t xml:space="preserve">it encourages electrification and provides grid support to help California </w:t>
      </w:r>
      <w:r w:rsidR="004D4B38">
        <w:t>meet</w:t>
      </w:r>
      <w:r w:rsidR="00482133">
        <w:t xml:space="preserve"> its </w:t>
      </w:r>
      <w:r w:rsidR="00EE63E1">
        <w:t>climate and clean energy objectives</w:t>
      </w:r>
      <w:r w:rsidR="00482133">
        <w:t>, which will</w:t>
      </w:r>
      <w:r w:rsidR="00EE63E1">
        <w:t xml:space="preserve"> benefit all ratepayers</w:t>
      </w:r>
      <w:r>
        <w:t>.</w:t>
      </w:r>
    </w:p>
    <w:p w:rsidR="00533B2F" w:rsidP="005E7044" w:rsidRDefault="00DD5285" w14:paraId="4CA635EA" w14:textId="1601C0AF">
      <w:pPr>
        <w:pStyle w:val="Standard"/>
      </w:pPr>
      <w:bookmarkStart w:name="_Hlk121488749" w:id="199"/>
      <w:r>
        <w:t xml:space="preserve">In comments to the proposed decision, Joint </w:t>
      </w:r>
      <w:proofErr w:type="spellStart"/>
      <w:r>
        <w:t>CCAs</w:t>
      </w:r>
      <w:proofErr w:type="spellEnd"/>
      <w:r w:rsidR="0083500F">
        <w:t xml:space="preserve">, </w:t>
      </w:r>
      <w:r w:rsidR="00A27BA9">
        <w:t xml:space="preserve">California Farm Bureau Federation, </w:t>
      </w:r>
      <w:proofErr w:type="spellStart"/>
      <w:r>
        <w:t>SBUA</w:t>
      </w:r>
      <w:proofErr w:type="spellEnd"/>
      <w:r w:rsidR="0083500F">
        <w:t>, and SEIA/Vote Solar</w:t>
      </w:r>
      <w:r>
        <w:t xml:space="preserve"> argue that it is inequitable for SDG&amp;E </w:t>
      </w:r>
      <w:r w:rsidR="00CE2C8B">
        <w:t>n</w:t>
      </w:r>
      <w:r>
        <w:t xml:space="preserve">et </w:t>
      </w:r>
      <w:r w:rsidR="00CE2C8B">
        <w:t>b</w:t>
      </w:r>
      <w:r>
        <w:t xml:space="preserve">illing tariff customers and all nonresidential customers to pay for ACC Plus adders, when these customers are not eligible for </w:t>
      </w:r>
      <w:r w:rsidR="00482133">
        <w:t xml:space="preserve">the </w:t>
      </w:r>
      <w:r>
        <w:t>ACC Plus.</w:t>
      </w:r>
      <w:r>
        <w:rPr>
          <w:rStyle w:val="FootnoteReference"/>
        </w:rPr>
        <w:footnoteReference w:id="430"/>
      </w:r>
      <w:r>
        <w:t xml:space="preserve">  </w:t>
      </w:r>
      <w:r w:rsidR="009459E2">
        <w:t>As stated above, overall ratepayer funding through the Public Purpose Programs charge (across all customer classes of all three utilities) of the ACC Plus  is equitable because meeting California’s climate and clean energy objectives benefits all ratepayers regardless of utility or customer class.  Further, t</w:t>
      </w:r>
      <w:r w:rsidR="008F0920">
        <w:t>hese parties</w:t>
      </w:r>
      <w:r>
        <w:t xml:space="preserve"> misunderstand the purpose and construct of the ACC Plus.  </w:t>
      </w:r>
      <w:r w:rsidR="00655F44">
        <w:t xml:space="preserve">The purpose of the ACC Plus is to </w:t>
      </w:r>
      <w:r w:rsidR="00482133">
        <w:t xml:space="preserve">support the sustainable growth of distributed generation in California, </w:t>
      </w:r>
      <w:r w:rsidR="009B078F">
        <w:t>as directed by</w:t>
      </w:r>
      <w:r w:rsidR="00482133">
        <w:t xml:space="preserve"> statute</w:t>
      </w:r>
      <w:r w:rsidR="00655F44">
        <w:t xml:space="preserve">.  </w:t>
      </w:r>
      <w:r w:rsidR="009B078F">
        <w:t xml:space="preserve">The construct of the ACC Plus is to </w:t>
      </w:r>
      <w:r w:rsidR="00081B98">
        <w:t xml:space="preserve">provide a </w:t>
      </w:r>
      <w:r w:rsidR="009B078F">
        <w:t xml:space="preserve">targeted </w:t>
      </w:r>
      <w:r w:rsidR="00081B98">
        <w:t>nine</w:t>
      </w:r>
      <w:r w:rsidR="008E22AB">
        <w:noBreakHyphen/>
      </w:r>
      <w:r w:rsidR="00081B98">
        <w:t xml:space="preserve">year payback period </w:t>
      </w:r>
      <w:r w:rsidR="009B078F">
        <w:t>to successor tariff customers.  The retail export compensation structure already provides approximately a nine</w:t>
      </w:r>
      <w:r w:rsidR="008E22AB">
        <w:noBreakHyphen/>
      </w:r>
      <w:r w:rsidR="009B078F">
        <w:t xml:space="preserve">year </w:t>
      </w:r>
      <w:r w:rsidR="009B078F">
        <w:lastRenderedPageBreak/>
        <w:t xml:space="preserve">payback period </w:t>
      </w:r>
      <w:r w:rsidR="00081B98">
        <w:t xml:space="preserve">to nonresidential customers in the PG&amp;E and SCE territories and all customers in the SDG&amp;E territories.  Hence, the ACC Plus is not necessary for these customers.  </w:t>
      </w:r>
      <w:r w:rsidR="004B6BDE">
        <w:t xml:space="preserve">For clarity, this decision explains that Public Purpose Programs costs are determined utility wide.  </w:t>
      </w:r>
      <w:r w:rsidR="009B078F">
        <w:t>Thus</w:t>
      </w:r>
      <w:r w:rsidR="004B6BDE">
        <w:t>, a utility’s ratepayers only pay for Public Purpose Programs costs generated by that utility’s customers.</w:t>
      </w:r>
    </w:p>
    <w:bookmarkEnd w:id="199"/>
    <w:p w:rsidR="00426F3A" w:rsidP="00B70C1A" w:rsidRDefault="00CD39B6" w14:paraId="4063EF8B" w14:textId="1E0618BE">
      <w:pPr>
        <w:pStyle w:val="Standard"/>
      </w:pPr>
      <w:r>
        <w:t xml:space="preserve">The adopted </w:t>
      </w:r>
      <w:r w:rsidR="00012B11">
        <w:t>ACC Plus adders</w:t>
      </w:r>
      <w:r>
        <w:t xml:space="preserve"> are provided in </w:t>
      </w:r>
      <w:r w:rsidR="007F6676">
        <w:t>Table </w:t>
      </w:r>
      <w:r w:rsidR="000F2437">
        <w:t>7</w:t>
      </w:r>
      <w:r>
        <w:t xml:space="preserve"> below.</w:t>
      </w:r>
      <w:r w:rsidR="00A002F6">
        <w:t xml:space="preserve">  </w:t>
      </w:r>
      <w:r w:rsidR="00C64F90">
        <w:t xml:space="preserve">The </w:t>
      </w:r>
      <w:r w:rsidR="00012B11">
        <w:t>adders</w:t>
      </w:r>
      <w:r w:rsidR="00C64F90">
        <w:t xml:space="preserve"> are designed to achieve a </w:t>
      </w:r>
      <w:r w:rsidR="00736F15">
        <w:t>nine</w:t>
      </w:r>
      <w:r w:rsidR="00827602">
        <w:noBreakHyphen/>
      </w:r>
      <w:r w:rsidR="00C64F90">
        <w:t xml:space="preserve">year </w:t>
      </w:r>
      <w:r w:rsidR="00147013">
        <w:t xml:space="preserve">simple </w:t>
      </w:r>
      <w:r w:rsidR="00C64F90">
        <w:t>payback period</w:t>
      </w:r>
      <w:r w:rsidR="000A3CB4">
        <w:t xml:space="preserve"> (as defined in the Commission modeling)</w:t>
      </w:r>
      <w:r w:rsidR="00C64F90">
        <w:t xml:space="preserve"> for a </w:t>
      </w:r>
      <w:r w:rsidR="00736F15">
        <w:t>stand</w:t>
      </w:r>
      <w:r w:rsidR="00827602">
        <w:noBreakHyphen/>
      </w:r>
      <w:r w:rsidR="00736F15">
        <w:t xml:space="preserve">alone </w:t>
      </w:r>
      <w:r w:rsidRPr="00B70C1A" w:rsidR="00C64F90">
        <w:t>solar</w:t>
      </w:r>
      <w:r w:rsidR="00C64F90">
        <w:t xml:space="preserve"> </w:t>
      </w:r>
      <w:r w:rsidR="00012B11">
        <w:t xml:space="preserve">system </w:t>
      </w:r>
      <w:r w:rsidR="00C64F90">
        <w:t xml:space="preserve">adopter who does not receive an </w:t>
      </w:r>
      <w:proofErr w:type="spellStart"/>
      <w:r w:rsidR="00C64F90">
        <w:t>SGIP</w:t>
      </w:r>
      <w:proofErr w:type="spellEnd"/>
      <w:r w:rsidR="00C64F90">
        <w:t xml:space="preserve"> </w:t>
      </w:r>
      <w:r w:rsidRPr="0038155D" w:rsidR="00C64F90">
        <w:t>incentive, has a system sized to 10</w:t>
      </w:r>
      <w:r w:rsidR="00C04724">
        <w:t>0 percent</w:t>
      </w:r>
      <w:r w:rsidRPr="0038155D" w:rsidR="00C64F90">
        <w:t xml:space="preserve"> of load on an annual basis, and takes service</w:t>
      </w:r>
      <w:r w:rsidR="00C64F90">
        <w:t xml:space="preserve"> on one of the eligible import rates discussed in the next section.</w:t>
      </w:r>
      <w:r w:rsidR="00C64F90">
        <w:rPr>
          <w:rStyle w:val="FootnoteReference"/>
        </w:rPr>
        <w:footnoteReference w:id="431"/>
      </w:r>
    </w:p>
    <w:p w:rsidR="00B70C1A" w:rsidP="00B70C1A" w:rsidRDefault="00B70C1A" w14:paraId="79210DEA" w14:textId="32DB6F4A">
      <w:pPr>
        <w:pStyle w:val="TableTitleBodyH085"/>
      </w:pPr>
      <w:bookmarkStart w:name="Table7" w:id="200"/>
      <w:r>
        <w:rPr>
          <w:b/>
        </w:rPr>
        <w:t>Table </w:t>
      </w:r>
      <w:r w:rsidR="000F2437">
        <w:rPr>
          <w:b/>
        </w:rPr>
        <w:t>7</w:t>
      </w:r>
      <w:r>
        <w:rPr>
          <w:b/>
        </w:rPr>
        <w:t>.</w:t>
      </w:r>
      <w:r>
        <w:rPr>
          <w:b/>
        </w:rPr>
        <w:tab/>
      </w:r>
      <w:r w:rsidRPr="00B70C1A">
        <w:rPr>
          <w:bCs w:val="0"/>
        </w:rPr>
        <w:t>Adopted Initial ACC Plus Adder</w:t>
      </w:r>
      <w:r w:rsidR="007B0D0D">
        <w:rPr>
          <w:bCs w:val="0"/>
        </w:rPr>
        <w:t>s</w:t>
      </w:r>
      <w:r w:rsidRPr="00B70C1A">
        <w:rPr>
          <w:bCs w:val="0"/>
        </w:rPr>
        <w:t xml:space="preserve"> by Utility</w:t>
      </w:r>
      <w:bookmarkEnd w:id="200"/>
      <w:r w:rsidR="00334E25">
        <w:rPr>
          <w:bCs w:val="0"/>
        </w:rPr>
        <w:t xml:space="preserve"> ($/kWh)</w:t>
      </w:r>
    </w:p>
    <w:tbl>
      <w:tblPr>
        <w:tblStyle w:val="TableGrid"/>
        <w:tblW w:w="9360" w:type="dxa"/>
        <w:tblLayout w:type="fixed"/>
        <w:tblCellMar>
          <w:top w:w="58" w:type="dxa"/>
          <w:bottom w:w="58" w:type="dxa"/>
        </w:tblCellMar>
        <w:tblLook w:val="04A0" w:firstRow="1" w:lastRow="0" w:firstColumn="1" w:lastColumn="0" w:noHBand="0" w:noVBand="1"/>
      </w:tblPr>
      <w:tblGrid>
        <w:gridCol w:w="3419"/>
        <w:gridCol w:w="1980"/>
        <w:gridCol w:w="1980"/>
        <w:gridCol w:w="1981"/>
      </w:tblGrid>
      <w:tr w:rsidR="00CD39B6" w:rsidTr="00910053" w14:paraId="5D6FBFF3" w14:textId="77777777">
        <w:trPr>
          <w:cantSplit/>
          <w:tblHeader/>
        </w:trPr>
        <w:tc>
          <w:tcPr>
            <w:tcW w:w="3419" w:type="dxa"/>
            <w:vAlign w:val="center"/>
          </w:tcPr>
          <w:p w:rsidRPr="003A4C48" w:rsidR="00CD39B6" w:rsidP="00B70C1A" w:rsidRDefault="00CD39B6" w14:paraId="1850CD90" w14:textId="77777777">
            <w:pPr>
              <w:pStyle w:val="Standard"/>
              <w:keepNext/>
              <w:spacing w:line="240" w:lineRule="auto"/>
              <w:ind w:firstLine="0"/>
              <w:rPr>
                <w:b/>
                <w:bCs/>
              </w:rPr>
            </w:pPr>
            <w:r w:rsidRPr="003A4C48">
              <w:rPr>
                <w:b/>
                <w:bCs/>
              </w:rPr>
              <w:t>Customer Segment</w:t>
            </w:r>
          </w:p>
        </w:tc>
        <w:tc>
          <w:tcPr>
            <w:tcW w:w="1980" w:type="dxa"/>
            <w:vAlign w:val="center"/>
          </w:tcPr>
          <w:p w:rsidRPr="003A4C48" w:rsidR="00CD39B6" w:rsidP="00B70C1A" w:rsidRDefault="00CD39B6" w14:paraId="6EEAD2C5" w14:textId="77777777">
            <w:pPr>
              <w:pStyle w:val="Standard"/>
              <w:keepNext/>
              <w:spacing w:line="240" w:lineRule="auto"/>
              <w:ind w:firstLine="0"/>
              <w:jc w:val="center"/>
              <w:rPr>
                <w:b/>
                <w:bCs/>
              </w:rPr>
            </w:pPr>
            <w:r w:rsidRPr="003A4C48">
              <w:rPr>
                <w:b/>
                <w:bCs/>
              </w:rPr>
              <w:t>PG&amp;E</w:t>
            </w:r>
          </w:p>
        </w:tc>
        <w:tc>
          <w:tcPr>
            <w:tcW w:w="1980" w:type="dxa"/>
            <w:vAlign w:val="center"/>
          </w:tcPr>
          <w:p w:rsidRPr="003A4C48" w:rsidR="00CD39B6" w:rsidP="00B70C1A" w:rsidRDefault="00CD39B6" w14:paraId="41A4B804" w14:textId="77777777">
            <w:pPr>
              <w:pStyle w:val="Standard"/>
              <w:keepNext/>
              <w:spacing w:line="240" w:lineRule="auto"/>
              <w:ind w:firstLine="0"/>
              <w:jc w:val="center"/>
              <w:rPr>
                <w:b/>
                <w:bCs/>
              </w:rPr>
            </w:pPr>
            <w:r w:rsidRPr="003A4C48">
              <w:rPr>
                <w:b/>
                <w:bCs/>
              </w:rPr>
              <w:t>SDG&amp;E</w:t>
            </w:r>
          </w:p>
        </w:tc>
        <w:tc>
          <w:tcPr>
            <w:tcW w:w="1981" w:type="dxa"/>
            <w:vAlign w:val="center"/>
          </w:tcPr>
          <w:p w:rsidRPr="003A4C48" w:rsidR="00CD39B6" w:rsidP="00B70C1A" w:rsidRDefault="00CD39B6" w14:paraId="67345362" w14:textId="77777777">
            <w:pPr>
              <w:pStyle w:val="Standard"/>
              <w:keepNext/>
              <w:spacing w:line="240" w:lineRule="auto"/>
              <w:ind w:firstLine="0"/>
              <w:jc w:val="center"/>
              <w:rPr>
                <w:b/>
                <w:bCs/>
              </w:rPr>
            </w:pPr>
            <w:r w:rsidRPr="003A4C48">
              <w:rPr>
                <w:b/>
                <w:bCs/>
              </w:rPr>
              <w:t>SCE</w:t>
            </w:r>
          </w:p>
        </w:tc>
      </w:tr>
      <w:tr w:rsidR="0012680C" w:rsidTr="00910053" w14:paraId="0BD36341" w14:textId="77777777">
        <w:trPr>
          <w:cantSplit/>
        </w:trPr>
        <w:tc>
          <w:tcPr>
            <w:tcW w:w="3419" w:type="dxa"/>
            <w:vAlign w:val="center"/>
          </w:tcPr>
          <w:p w:rsidRPr="003A4C48" w:rsidR="0012680C" w:rsidP="0012680C" w:rsidRDefault="0012680C" w14:paraId="2323B5F4" w14:textId="1245BB58">
            <w:pPr>
              <w:pStyle w:val="Standard"/>
              <w:keepNext/>
              <w:spacing w:line="240" w:lineRule="auto"/>
              <w:ind w:firstLine="0"/>
              <w:rPr>
                <w:b/>
                <w:bCs/>
              </w:rPr>
            </w:pPr>
            <w:r w:rsidRPr="003A4C48">
              <w:rPr>
                <w:b/>
                <w:bCs/>
              </w:rPr>
              <w:t xml:space="preserve"> Residential</w:t>
            </w:r>
            <w:r>
              <w:rPr>
                <w:b/>
                <w:bCs/>
              </w:rPr>
              <w:t xml:space="preserve"> Non</w:t>
            </w:r>
            <w:r w:rsidR="00827602">
              <w:rPr>
                <w:b/>
                <w:bCs/>
              </w:rPr>
              <w:noBreakHyphen/>
            </w:r>
            <w:r>
              <w:rPr>
                <w:b/>
                <w:bCs/>
              </w:rPr>
              <w:t>CARE</w:t>
            </w:r>
          </w:p>
        </w:tc>
        <w:tc>
          <w:tcPr>
            <w:tcW w:w="1980" w:type="dxa"/>
          </w:tcPr>
          <w:p w:rsidR="0012680C" w:rsidP="0012680C" w:rsidRDefault="0012680C" w14:paraId="2C0821F7" w14:textId="3E40BA51">
            <w:pPr>
              <w:pStyle w:val="Standard"/>
              <w:keepNext/>
              <w:spacing w:line="240" w:lineRule="auto"/>
              <w:ind w:firstLine="0"/>
              <w:jc w:val="right"/>
            </w:pPr>
            <w:r w:rsidRPr="005C41EA">
              <w:t xml:space="preserve"> </w:t>
            </w:r>
            <w:r>
              <w:t>$</w:t>
            </w:r>
            <w:r w:rsidRPr="005C41EA">
              <w:t>0.0</w:t>
            </w:r>
            <w:r w:rsidR="00972333">
              <w:t>22</w:t>
            </w:r>
            <w:r w:rsidRPr="005C41EA">
              <w:t xml:space="preserve"> </w:t>
            </w:r>
          </w:p>
        </w:tc>
        <w:tc>
          <w:tcPr>
            <w:tcW w:w="1980" w:type="dxa"/>
          </w:tcPr>
          <w:p w:rsidR="0012680C" w:rsidP="0012680C" w:rsidRDefault="0012680C" w14:paraId="4F0BCFC7" w14:textId="02C12E23">
            <w:pPr>
              <w:pStyle w:val="Standard"/>
              <w:keepNext/>
              <w:spacing w:line="240" w:lineRule="auto"/>
              <w:ind w:firstLine="0"/>
              <w:jc w:val="right"/>
            </w:pPr>
            <w:r>
              <w:t>$0.000</w:t>
            </w:r>
          </w:p>
        </w:tc>
        <w:tc>
          <w:tcPr>
            <w:tcW w:w="1981" w:type="dxa"/>
          </w:tcPr>
          <w:p w:rsidR="0012680C" w:rsidP="0012680C" w:rsidRDefault="0012680C" w14:paraId="132EF756" w14:textId="71C5C066">
            <w:pPr>
              <w:pStyle w:val="Standard"/>
              <w:keepNext/>
              <w:spacing w:line="240" w:lineRule="auto"/>
              <w:ind w:firstLine="0"/>
              <w:jc w:val="right"/>
            </w:pPr>
            <w:r>
              <w:t>$</w:t>
            </w:r>
            <w:r w:rsidRPr="005C41EA">
              <w:t xml:space="preserve">0.040 </w:t>
            </w:r>
          </w:p>
        </w:tc>
      </w:tr>
      <w:tr w:rsidR="0012680C" w:rsidTr="00910053" w14:paraId="7090A432" w14:textId="77777777">
        <w:trPr>
          <w:cantSplit/>
        </w:trPr>
        <w:tc>
          <w:tcPr>
            <w:tcW w:w="3419" w:type="dxa"/>
            <w:vAlign w:val="center"/>
          </w:tcPr>
          <w:p w:rsidRPr="003A4C48" w:rsidR="0012680C" w:rsidP="0012680C" w:rsidRDefault="0012680C" w14:paraId="47937341" w14:textId="4D051B24">
            <w:pPr>
              <w:pStyle w:val="Standard"/>
              <w:keepNext/>
              <w:spacing w:line="240" w:lineRule="auto"/>
              <w:ind w:firstLine="0"/>
              <w:rPr>
                <w:b/>
                <w:bCs/>
              </w:rPr>
            </w:pPr>
            <w:r>
              <w:rPr>
                <w:b/>
                <w:bCs/>
              </w:rPr>
              <w:t>Residential CARE</w:t>
            </w:r>
          </w:p>
        </w:tc>
        <w:tc>
          <w:tcPr>
            <w:tcW w:w="1980" w:type="dxa"/>
          </w:tcPr>
          <w:p w:rsidR="0012680C" w:rsidP="0012680C" w:rsidRDefault="0012680C" w14:paraId="7EB958C1" w14:textId="2D6D7593">
            <w:pPr>
              <w:pStyle w:val="Standard"/>
              <w:keepNext/>
              <w:spacing w:line="240" w:lineRule="auto"/>
              <w:ind w:firstLine="0"/>
              <w:jc w:val="right"/>
            </w:pPr>
            <w:r w:rsidRPr="005C41EA">
              <w:t xml:space="preserve"> </w:t>
            </w:r>
            <w:r>
              <w:t>$</w:t>
            </w:r>
            <w:r w:rsidRPr="005C41EA">
              <w:t>0.0</w:t>
            </w:r>
            <w:r w:rsidR="00972333">
              <w:t>90</w:t>
            </w:r>
            <w:r w:rsidRPr="005C41EA">
              <w:t xml:space="preserve"> </w:t>
            </w:r>
          </w:p>
        </w:tc>
        <w:tc>
          <w:tcPr>
            <w:tcW w:w="1980" w:type="dxa"/>
          </w:tcPr>
          <w:p w:rsidR="0012680C" w:rsidP="0012680C" w:rsidRDefault="0012680C" w14:paraId="278EE3A5" w14:textId="204D2539">
            <w:pPr>
              <w:pStyle w:val="Standard"/>
              <w:keepNext/>
              <w:spacing w:line="240" w:lineRule="auto"/>
              <w:ind w:firstLine="0"/>
              <w:jc w:val="right"/>
            </w:pPr>
            <w:r>
              <w:t>$0.000</w:t>
            </w:r>
          </w:p>
        </w:tc>
        <w:tc>
          <w:tcPr>
            <w:tcW w:w="1981" w:type="dxa"/>
          </w:tcPr>
          <w:p w:rsidR="0012680C" w:rsidP="0012680C" w:rsidRDefault="0012680C" w14:paraId="2FBFEA6A" w14:textId="7ECAE378">
            <w:pPr>
              <w:pStyle w:val="Standard"/>
              <w:keepNext/>
              <w:spacing w:line="240" w:lineRule="auto"/>
              <w:ind w:firstLine="0"/>
              <w:jc w:val="right"/>
            </w:pPr>
            <w:r>
              <w:t>$</w:t>
            </w:r>
            <w:r w:rsidRPr="005C41EA">
              <w:t xml:space="preserve">0.093 </w:t>
            </w:r>
          </w:p>
        </w:tc>
      </w:tr>
      <w:tr w:rsidR="001A1ADB" w:rsidTr="001A1ADB" w14:paraId="766C37B5" w14:textId="77777777">
        <w:trPr>
          <w:cantSplit/>
        </w:trPr>
        <w:tc>
          <w:tcPr>
            <w:tcW w:w="3419" w:type="dxa"/>
            <w:vAlign w:val="center"/>
          </w:tcPr>
          <w:p w:rsidR="001A1ADB" w:rsidDel="001A1ADB" w:rsidP="009F0421" w:rsidRDefault="001A1ADB" w14:paraId="1D16DF37" w14:textId="2FA2CAD4">
            <w:pPr>
              <w:pStyle w:val="Standard"/>
              <w:spacing w:line="240" w:lineRule="auto"/>
              <w:ind w:firstLine="0"/>
              <w:rPr>
                <w:b/>
                <w:bCs/>
              </w:rPr>
            </w:pPr>
            <w:r>
              <w:rPr>
                <w:b/>
                <w:bCs/>
              </w:rPr>
              <w:t>Commercial (not eligible)</w:t>
            </w:r>
          </w:p>
        </w:tc>
        <w:tc>
          <w:tcPr>
            <w:tcW w:w="1980" w:type="dxa"/>
          </w:tcPr>
          <w:p w:rsidRPr="005C41EA" w:rsidR="001A1ADB" w:rsidP="009F0421" w:rsidRDefault="001A1ADB" w14:paraId="117E0565" w14:textId="2F08526E">
            <w:pPr>
              <w:pStyle w:val="Standard"/>
              <w:spacing w:line="240" w:lineRule="auto"/>
              <w:ind w:firstLine="0"/>
              <w:jc w:val="right"/>
            </w:pPr>
            <w:r>
              <w:t>$0.000</w:t>
            </w:r>
          </w:p>
        </w:tc>
        <w:tc>
          <w:tcPr>
            <w:tcW w:w="1980" w:type="dxa"/>
          </w:tcPr>
          <w:p w:rsidRPr="005C41EA" w:rsidR="001A1ADB" w:rsidP="009F0421" w:rsidRDefault="001A1ADB" w14:paraId="2AA1A0F3" w14:textId="31F2A4B0">
            <w:pPr>
              <w:pStyle w:val="Standard"/>
              <w:spacing w:line="240" w:lineRule="auto"/>
              <w:ind w:firstLine="0"/>
              <w:jc w:val="right"/>
            </w:pPr>
            <w:r>
              <w:t>$0.000</w:t>
            </w:r>
          </w:p>
        </w:tc>
        <w:tc>
          <w:tcPr>
            <w:tcW w:w="1981" w:type="dxa"/>
          </w:tcPr>
          <w:p w:rsidR="001A1ADB" w:rsidP="009F0421" w:rsidRDefault="001A1ADB" w14:paraId="15A85908" w14:textId="002DF084">
            <w:pPr>
              <w:pStyle w:val="Standard"/>
              <w:spacing w:line="240" w:lineRule="auto"/>
              <w:ind w:firstLine="0"/>
              <w:jc w:val="right"/>
            </w:pPr>
            <w:r>
              <w:t>$0.000</w:t>
            </w:r>
          </w:p>
        </w:tc>
      </w:tr>
    </w:tbl>
    <w:p w:rsidR="00784F0D" w:rsidP="00A00359" w:rsidRDefault="00784F0D" w14:paraId="33F29FA1" w14:textId="379829B2">
      <w:pPr>
        <w:pStyle w:val="Standard"/>
        <w:spacing w:before="180"/>
      </w:pPr>
      <w:r>
        <w:t xml:space="preserve">TURN and NRDC recommend a periodic review of the </w:t>
      </w:r>
      <w:r w:rsidR="00012B11">
        <w:t>glide path</w:t>
      </w:r>
      <w:r>
        <w:t xml:space="preserve"> to reflect the latest solar costs and avoided costs.</w:t>
      </w:r>
      <w:r>
        <w:rPr>
          <w:rStyle w:val="FootnoteReference"/>
        </w:rPr>
        <w:footnoteReference w:id="432"/>
      </w:r>
      <w:r>
        <w:t xml:space="preserve">  </w:t>
      </w:r>
      <w:r w:rsidR="00736F15">
        <w:t xml:space="preserve">Given that the glide path is only available for five years, this decision </w:t>
      </w:r>
      <w:r w:rsidR="00455C70">
        <w:t>declines to perform a periodic review</w:t>
      </w:r>
      <w:r w:rsidR="00736F15">
        <w:t>.</w:t>
      </w:r>
      <w:r>
        <w:t xml:space="preserve">  </w:t>
      </w:r>
      <w:r w:rsidR="00736F15">
        <w:t>However</w:t>
      </w:r>
      <w:r>
        <w:t xml:space="preserve">, </w:t>
      </w:r>
      <w:r w:rsidR="00903386">
        <w:t>the Commission finds it reasonable to collect data to monitor the</w:t>
      </w:r>
      <w:r>
        <w:t xml:space="preserve"> affordability of the successor tariff and continued equity among customers</w:t>
      </w:r>
      <w:r w:rsidR="00903386">
        <w:t xml:space="preserve">.  Hence, </w:t>
      </w:r>
      <w:r w:rsidR="00FF03B7">
        <w:t xml:space="preserve">Energy Division </w:t>
      </w:r>
      <w:r w:rsidR="00736F15">
        <w:t xml:space="preserve">is </w:t>
      </w:r>
      <w:r w:rsidR="006B1D67">
        <w:t>authorized</w:t>
      </w:r>
      <w:r w:rsidR="00736F15">
        <w:t xml:space="preserve"> to </w:t>
      </w:r>
      <w:r>
        <w:t xml:space="preserve">collect data on the </w:t>
      </w:r>
      <w:r w:rsidR="00736F15">
        <w:t>ACC Plus approach</w:t>
      </w:r>
      <w:r>
        <w:t xml:space="preserve">, </w:t>
      </w:r>
      <w:r>
        <w:lastRenderedPageBreak/>
        <w:t>as well as other affordability and equity elements</w:t>
      </w:r>
      <w:r w:rsidR="00C64F90">
        <w:t xml:space="preserve"> that will inform </w:t>
      </w:r>
      <w:r w:rsidR="00736F15">
        <w:t>a</w:t>
      </w:r>
      <w:r w:rsidR="009651DC">
        <w:t>n</w:t>
      </w:r>
      <w:r w:rsidR="00736F15">
        <w:t xml:space="preserve"> </w:t>
      </w:r>
      <w:r w:rsidR="00C64F90">
        <w:t>evaluation</w:t>
      </w:r>
      <w:r w:rsidR="00736F15">
        <w:t xml:space="preserve"> </w:t>
      </w:r>
      <w:r w:rsidR="00903386">
        <w:t xml:space="preserve">as </w:t>
      </w:r>
      <w:r w:rsidR="00736F15">
        <w:t xml:space="preserve">discussed in </w:t>
      </w:r>
      <w:r w:rsidR="0034029C">
        <w:t>Section 8</w:t>
      </w:r>
      <w:r w:rsidR="00736F15">
        <w:t>.6 below</w:t>
      </w:r>
      <w:r>
        <w:t>.</w:t>
      </w:r>
    </w:p>
    <w:p w:rsidRPr="0007023C" w:rsidR="00170A9A" w:rsidP="005E7044" w:rsidRDefault="00170A9A" w14:paraId="1002D882" w14:textId="6401CBC1">
      <w:pPr>
        <w:pStyle w:val="Heading3"/>
        <w:keepLines w:val="0"/>
      </w:pPr>
      <w:bookmarkStart w:name="_Toc117674100" w:id="201"/>
      <w:bookmarkStart w:name="_Toc118285091" w:id="202"/>
      <w:bookmarkStart w:name="_Toc121854418" w:id="203"/>
      <w:r w:rsidRPr="0007023C">
        <w:t>Rate Structure</w:t>
      </w:r>
      <w:bookmarkEnd w:id="201"/>
      <w:bookmarkEnd w:id="202"/>
      <w:bookmarkEnd w:id="203"/>
    </w:p>
    <w:p w:rsidR="00170A9A" w:rsidP="005E7044" w:rsidRDefault="00170A9A" w14:paraId="79B044E6" w14:textId="01659C4E">
      <w:pPr>
        <w:pStyle w:val="Standard"/>
      </w:pPr>
      <w:r>
        <w:t xml:space="preserve">The rate structure </w:t>
      </w:r>
      <w:r w:rsidR="00147182">
        <w:t xml:space="preserve">of the successor tariff </w:t>
      </w:r>
      <w:r>
        <w:t xml:space="preserve">will include </w:t>
      </w:r>
      <w:r w:rsidR="005720DC">
        <w:t>two</w:t>
      </w:r>
      <w:r w:rsidR="00167583">
        <w:t xml:space="preserve"> </w:t>
      </w:r>
      <w:r>
        <w:t>elements</w:t>
      </w:r>
      <w:r w:rsidR="00455C70">
        <w:t xml:space="preserve"> that</w:t>
      </w:r>
      <w:r>
        <w:t xml:space="preserve"> </w:t>
      </w:r>
      <w:r w:rsidR="00FF03B7">
        <w:t xml:space="preserve">this decision </w:t>
      </w:r>
      <w:r>
        <w:t xml:space="preserve">determined, in </w:t>
      </w:r>
      <w:r w:rsidR="0034029C">
        <w:t>Section 8</w:t>
      </w:r>
      <w:r>
        <w:t>.4 above, to be reasonable</w:t>
      </w:r>
      <w:r w:rsidR="00555CC0">
        <w:t xml:space="preserve">:  </w:t>
      </w:r>
      <w:r>
        <w:t>a highly differentiated time</w:t>
      </w:r>
      <w:r w:rsidR="00827602">
        <w:noBreakHyphen/>
      </w:r>
      <w:r>
        <w:t>of</w:t>
      </w:r>
      <w:r w:rsidR="00827602">
        <w:noBreakHyphen/>
      </w:r>
      <w:r>
        <w:t>use rate</w:t>
      </w:r>
      <w:r w:rsidR="005720DC">
        <w:t xml:space="preserve"> and </w:t>
      </w:r>
      <w:r w:rsidR="00D36A1C">
        <w:t>non</w:t>
      </w:r>
      <w:r w:rsidR="00827602">
        <w:noBreakHyphen/>
      </w:r>
      <w:proofErr w:type="spellStart"/>
      <w:r w:rsidR="00D36A1C">
        <w:t>bypassable</w:t>
      </w:r>
      <w:proofErr w:type="spellEnd"/>
      <w:r w:rsidR="00D36A1C">
        <w:t xml:space="preserve"> charges</w:t>
      </w:r>
      <w:r w:rsidR="005720DC">
        <w:t>.</w:t>
      </w:r>
      <w:r w:rsidR="00F852C4">
        <w:t xml:space="preserve">  </w:t>
      </w:r>
      <w:r>
        <w:t>Other related rate elements include the interconnection fees, net surplus compensation, and the true</w:t>
      </w:r>
      <w:r w:rsidR="00827602">
        <w:noBreakHyphen/>
      </w:r>
      <w:r>
        <w:t>up period.</w:t>
      </w:r>
    </w:p>
    <w:p w:rsidR="003B5550" w:rsidP="005E7044" w:rsidRDefault="00FF03B7" w14:paraId="65D69EF8" w14:textId="7E2E5332">
      <w:pPr>
        <w:pStyle w:val="Standard"/>
      </w:pPr>
      <w:r>
        <w:t xml:space="preserve">First, this decision </w:t>
      </w:r>
      <w:r w:rsidR="007D13A3">
        <w:t>describes</w:t>
      </w:r>
      <w:r>
        <w:t xml:space="preserve"> </w:t>
      </w:r>
      <w:r w:rsidR="00170A9A">
        <w:t xml:space="preserve">the </w:t>
      </w:r>
      <w:r w:rsidR="007D13A3">
        <w:t xml:space="preserve">adopted </w:t>
      </w:r>
      <w:r w:rsidR="00455C70">
        <w:t xml:space="preserve">residential </w:t>
      </w:r>
      <w:r w:rsidR="00170A9A">
        <w:t>time</w:t>
      </w:r>
      <w:r w:rsidR="00827602">
        <w:noBreakHyphen/>
      </w:r>
      <w:r w:rsidR="00170A9A">
        <w:t>of</w:t>
      </w:r>
      <w:r w:rsidR="00827602">
        <w:noBreakHyphen/>
      </w:r>
      <w:r w:rsidR="00170A9A">
        <w:t xml:space="preserve">use rate.  As previously </w:t>
      </w:r>
      <w:r w:rsidR="008C11D0">
        <w:t>determined</w:t>
      </w:r>
      <w:r w:rsidR="00170A9A">
        <w:t xml:space="preserve">, </w:t>
      </w:r>
      <w:r w:rsidR="008906EB">
        <w:t>requiring highly differentiated time</w:t>
      </w:r>
      <w:r w:rsidR="00827602">
        <w:noBreakHyphen/>
      </w:r>
      <w:r w:rsidR="008906EB">
        <w:t>of</w:t>
      </w:r>
      <w:r w:rsidR="00827602">
        <w:noBreakHyphen/>
      </w:r>
      <w:r w:rsidR="008906EB">
        <w:t xml:space="preserve">use rates will vastly improve the pricing signal to </w:t>
      </w:r>
      <w:r w:rsidR="0031117D">
        <w:t xml:space="preserve">successor tariff </w:t>
      </w:r>
      <w:r w:rsidR="008906EB">
        <w:t>customers</w:t>
      </w:r>
      <w:r w:rsidR="0031117D">
        <w:t>, encourage electrification, and maximize the value of generation, which</w:t>
      </w:r>
      <w:r w:rsidR="008906EB">
        <w:t xml:space="preserve"> meet</w:t>
      </w:r>
      <w:r w:rsidR="0031117D">
        <w:t>s</w:t>
      </w:r>
      <w:r w:rsidR="008906EB">
        <w:t xml:space="preserve"> several guiding principles in this proceeding.  </w:t>
      </w:r>
      <w:r w:rsidR="007F6676">
        <w:t>Table </w:t>
      </w:r>
      <w:r w:rsidR="000F2437">
        <w:t>8</w:t>
      </w:r>
      <w:r w:rsidR="00A8185E">
        <w:t xml:space="preserve"> below provides the existing electrification rates that are initially eligible for </w:t>
      </w:r>
      <w:r w:rsidR="005D0F26">
        <w:t>successor tariff</w:t>
      </w:r>
      <w:r w:rsidR="00455C70">
        <w:t xml:space="preserve"> residential customers</w:t>
      </w:r>
      <w:r w:rsidR="00A8185E">
        <w:t>.</w:t>
      </w:r>
      <w:r w:rsidR="004C19D1">
        <w:t xml:space="preserve">  </w:t>
      </w:r>
    </w:p>
    <w:p w:rsidR="00283C31" w:rsidP="00283C31" w:rsidRDefault="00283C31" w14:paraId="3891DD4D" w14:textId="6A981632">
      <w:pPr>
        <w:pStyle w:val="TableTitleBodyH085"/>
      </w:pPr>
      <w:bookmarkStart w:name="Table8" w:id="204"/>
      <w:r>
        <w:rPr>
          <w:b/>
        </w:rPr>
        <w:t>Table </w:t>
      </w:r>
      <w:r w:rsidR="000F2437">
        <w:rPr>
          <w:b/>
        </w:rPr>
        <w:t>8</w:t>
      </w:r>
      <w:r>
        <w:rPr>
          <w:b/>
        </w:rPr>
        <w:t>.</w:t>
      </w:r>
      <w:r>
        <w:rPr>
          <w:b/>
        </w:rPr>
        <w:tab/>
      </w:r>
      <w:r w:rsidRPr="009A4A25" w:rsidR="00455C70">
        <w:rPr>
          <w:bCs w:val="0"/>
        </w:rPr>
        <w:t>Residential Customers’</w:t>
      </w:r>
      <w:r w:rsidR="00455C70">
        <w:rPr>
          <w:b/>
        </w:rPr>
        <w:t xml:space="preserve"> </w:t>
      </w:r>
      <w:r w:rsidRPr="00283C31">
        <w:rPr>
          <w:bCs w:val="0"/>
        </w:rPr>
        <w:t>Eligible Time</w:t>
      </w:r>
      <w:r w:rsidR="00827602">
        <w:rPr>
          <w:bCs w:val="0"/>
        </w:rPr>
        <w:noBreakHyphen/>
      </w:r>
      <w:r w:rsidRPr="00283C31">
        <w:rPr>
          <w:bCs w:val="0"/>
        </w:rPr>
        <w:t>of</w:t>
      </w:r>
      <w:r w:rsidR="00827602">
        <w:rPr>
          <w:bCs w:val="0"/>
        </w:rPr>
        <w:noBreakHyphen/>
      </w:r>
      <w:r w:rsidRPr="00283C31">
        <w:rPr>
          <w:bCs w:val="0"/>
        </w:rPr>
        <w:t>Use Rates by Utility</w:t>
      </w:r>
      <w:bookmarkEnd w:id="204"/>
    </w:p>
    <w:tbl>
      <w:tblPr>
        <w:tblStyle w:val="TableGrid"/>
        <w:tblW w:w="9360" w:type="dxa"/>
        <w:tblLayout w:type="fixed"/>
        <w:tblCellMar>
          <w:top w:w="58" w:type="dxa"/>
          <w:bottom w:w="58" w:type="dxa"/>
        </w:tblCellMar>
        <w:tblLook w:val="04A0" w:firstRow="1" w:lastRow="0" w:firstColumn="1" w:lastColumn="0" w:noHBand="0" w:noVBand="1"/>
      </w:tblPr>
      <w:tblGrid>
        <w:gridCol w:w="2339"/>
        <w:gridCol w:w="2340"/>
        <w:gridCol w:w="2340"/>
        <w:gridCol w:w="2341"/>
      </w:tblGrid>
      <w:tr w:rsidR="00024285" w:rsidTr="002210EF" w14:paraId="06B6215F" w14:textId="77777777">
        <w:trPr>
          <w:cantSplit/>
          <w:tblHeader/>
        </w:trPr>
        <w:tc>
          <w:tcPr>
            <w:tcW w:w="2339" w:type="dxa"/>
          </w:tcPr>
          <w:p w:rsidRPr="003A4C48" w:rsidR="00024285" w:rsidP="00283C31" w:rsidRDefault="00024285" w14:paraId="5CA56C48" w14:textId="2AED40FD">
            <w:pPr>
              <w:pStyle w:val="Standard"/>
              <w:keepNext/>
              <w:spacing w:line="240" w:lineRule="auto"/>
              <w:ind w:firstLine="0"/>
              <w:rPr>
                <w:b/>
                <w:bCs/>
              </w:rPr>
            </w:pPr>
            <w:r w:rsidRPr="003A4C48">
              <w:rPr>
                <w:b/>
                <w:bCs/>
              </w:rPr>
              <w:t>Utility</w:t>
            </w:r>
          </w:p>
        </w:tc>
        <w:tc>
          <w:tcPr>
            <w:tcW w:w="2340" w:type="dxa"/>
          </w:tcPr>
          <w:p w:rsidRPr="003A4C48" w:rsidR="00024285" w:rsidP="00283C31" w:rsidRDefault="00024285" w14:paraId="5137E517" w14:textId="19E10B4B">
            <w:pPr>
              <w:pStyle w:val="Standard"/>
              <w:keepNext/>
              <w:spacing w:line="240" w:lineRule="auto"/>
              <w:ind w:firstLine="0"/>
              <w:jc w:val="center"/>
              <w:rPr>
                <w:b/>
                <w:bCs/>
              </w:rPr>
            </w:pPr>
            <w:r w:rsidRPr="003A4C48">
              <w:rPr>
                <w:b/>
                <w:bCs/>
              </w:rPr>
              <w:t>PG&amp;E</w:t>
            </w:r>
          </w:p>
        </w:tc>
        <w:tc>
          <w:tcPr>
            <w:tcW w:w="2340" w:type="dxa"/>
          </w:tcPr>
          <w:p w:rsidRPr="003A4C48" w:rsidR="00024285" w:rsidP="00283C31" w:rsidRDefault="00024285" w14:paraId="685C8283" w14:textId="4E63BD04">
            <w:pPr>
              <w:pStyle w:val="Standard"/>
              <w:keepNext/>
              <w:spacing w:line="240" w:lineRule="auto"/>
              <w:ind w:firstLine="0"/>
              <w:jc w:val="center"/>
              <w:rPr>
                <w:b/>
                <w:bCs/>
              </w:rPr>
            </w:pPr>
            <w:r w:rsidRPr="003A4C48">
              <w:rPr>
                <w:b/>
                <w:bCs/>
              </w:rPr>
              <w:t>SDG&amp;E</w:t>
            </w:r>
          </w:p>
        </w:tc>
        <w:tc>
          <w:tcPr>
            <w:tcW w:w="2341" w:type="dxa"/>
          </w:tcPr>
          <w:p w:rsidRPr="003A4C48" w:rsidR="00024285" w:rsidP="00283C31" w:rsidRDefault="00024285" w14:paraId="4007CFA7" w14:textId="69AF9CCE">
            <w:pPr>
              <w:pStyle w:val="Standard"/>
              <w:keepNext/>
              <w:spacing w:line="240" w:lineRule="auto"/>
              <w:ind w:firstLine="0"/>
              <w:jc w:val="center"/>
              <w:rPr>
                <w:b/>
                <w:bCs/>
              </w:rPr>
            </w:pPr>
            <w:r w:rsidRPr="003A4C48">
              <w:rPr>
                <w:b/>
                <w:bCs/>
              </w:rPr>
              <w:t>SCE</w:t>
            </w:r>
          </w:p>
        </w:tc>
      </w:tr>
      <w:tr w:rsidR="002210EF" w:rsidTr="002210EF" w14:paraId="250162B3" w14:textId="77777777">
        <w:trPr>
          <w:cantSplit/>
          <w:tblHeader/>
        </w:trPr>
        <w:tc>
          <w:tcPr>
            <w:tcW w:w="2339" w:type="dxa"/>
          </w:tcPr>
          <w:p w:rsidRPr="003A4C48" w:rsidR="002210EF" w:rsidP="00A6768E" w:rsidRDefault="002210EF" w14:paraId="4BE82A89" w14:textId="0FF0435C">
            <w:pPr>
              <w:pStyle w:val="Standard"/>
              <w:spacing w:line="240" w:lineRule="auto"/>
              <w:ind w:firstLine="0"/>
              <w:rPr>
                <w:b/>
                <w:bCs/>
              </w:rPr>
            </w:pPr>
            <w:r w:rsidRPr="003A4C48">
              <w:rPr>
                <w:b/>
                <w:bCs/>
              </w:rPr>
              <w:t>Eligible Rate</w:t>
            </w:r>
          </w:p>
        </w:tc>
        <w:tc>
          <w:tcPr>
            <w:tcW w:w="2340" w:type="dxa"/>
          </w:tcPr>
          <w:p w:rsidRPr="002210EF" w:rsidR="002210EF" w:rsidP="00A6768E" w:rsidRDefault="002210EF" w14:paraId="24B49F90" w14:textId="70C2A599">
            <w:pPr>
              <w:pStyle w:val="Standard"/>
              <w:spacing w:line="240" w:lineRule="auto"/>
              <w:ind w:firstLine="0"/>
              <w:jc w:val="center"/>
            </w:pPr>
            <w:r w:rsidRPr="002210EF">
              <w:t>E</w:t>
            </w:r>
            <w:r w:rsidR="00827602">
              <w:noBreakHyphen/>
            </w:r>
            <w:r w:rsidRPr="002210EF">
              <w:t>ELEC</w:t>
            </w:r>
          </w:p>
        </w:tc>
        <w:tc>
          <w:tcPr>
            <w:tcW w:w="2340" w:type="dxa"/>
          </w:tcPr>
          <w:p w:rsidRPr="002210EF" w:rsidR="002210EF" w:rsidP="00A6768E" w:rsidRDefault="002210EF" w14:paraId="405A3054" w14:textId="37449347">
            <w:pPr>
              <w:pStyle w:val="Standard"/>
              <w:spacing w:line="240" w:lineRule="auto"/>
              <w:ind w:firstLine="0"/>
              <w:jc w:val="center"/>
            </w:pPr>
            <w:r w:rsidRPr="002210EF">
              <w:t>EV</w:t>
            </w:r>
            <w:r w:rsidR="00827602">
              <w:noBreakHyphen/>
            </w:r>
            <w:r w:rsidRPr="002210EF">
              <w:t>TOU</w:t>
            </w:r>
            <w:r w:rsidR="00827602">
              <w:noBreakHyphen/>
            </w:r>
            <w:r w:rsidRPr="002210EF">
              <w:t>5</w:t>
            </w:r>
          </w:p>
        </w:tc>
        <w:tc>
          <w:tcPr>
            <w:tcW w:w="2341" w:type="dxa"/>
          </w:tcPr>
          <w:p w:rsidRPr="003A4C48" w:rsidR="002210EF" w:rsidP="00A6768E" w:rsidRDefault="002210EF" w14:paraId="5EFCD843" w14:textId="0B925493">
            <w:pPr>
              <w:pStyle w:val="Standard"/>
              <w:spacing w:line="240" w:lineRule="auto"/>
              <w:ind w:firstLine="0"/>
              <w:jc w:val="center"/>
              <w:rPr>
                <w:b/>
                <w:bCs/>
              </w:rPr>
            </w:pPr>
            <w:r>
              <w:t>TOU</w:t>
            </w:r>
            <w:r w:rsidR="00827602">
              <w:noBreakHyphen/>
            </w:r>
            <w:r>
              <w:t>D</w:t>
            </w:r>
            <w:r w:rsidR="00827602">
              <w:noBreakHyphen/>
            </w:r>
            <w:r>
              <w:t>PRIME</w:t>
            </w:r>
          </w:p>
        </w:tc>
      </w:tr>
    </w:tbl>
    <w:p w:rsidR="00533B2F" w:rsidP="005E7044" w:rsidRDefault="00B93F5F" w14:paraId="07C6ABF0" w14:textId="7958DD44">
      <w:pPr>
        <w:pStyle w:val="Standard"/>
        <w:spacing w:before="240"/>
      </w:pPr>
      <w:r>
        <w:t>Joint Utilities</w:t>
      </w:r>
      <w:r w:rsidR="00A8185E">
        <w:t xml:space="preserve"> propose new non</w:t>
      </w:r>
      <w:r w:rsidR="00827602">
        <w:noBreakHyphen/>
      </w:r>
      <w:r w:rsidR="00A8185E">
        <w:t>tiered rate</w:t>
      </w:r>
      <w:r w:rsidR="003B28A3">
        <w:t>s</w:t>
      </w:r>
      <w:r w:rsidR="00A8185E">
        <w:t xml:space="preserve"> that would be available to all residential customers, including successor tariff customers, that features a customer charge based on fully</w:t>
      </w:r>
      <w:r w:rsidR="00D02092">
        <w:t xml:space="preserve"> </w:t>
      </w:r>
      <w:r w:rsidR="00A8185E">
        <w:t>scaled customer costs and cost</w:t>
      </w:r>
      <w:r w:rsidR="00827602">
        <w:noBreakHyphen/>
      </w:r>
      <w:r w:rsidR="00A8185E">
        <w:t>based time</w:t>
      </w:r>
      <w:r w:rsidR="00827602">
        <w:noBreakHyphen/>
      </w:r>
      <w:r w:rsidR="00A8185E">
        <w:t>of</w:t>
      </w:r>
      <w:r w:rsidR="00827602">
        <w:noBreakHyphen/>
      </w:r>
      <w:r w:rsidR="00A8185E">
        <w:t>use differentials.</w:t>
      </w:r>
      <w:r w:rsidR="00CF5B2E">
        <w:rPr>
          <w:rStyle w:val="FootnoteReference"/>
        </w:rPr>
        <w:footnoteReference w:id="433"/>
      </w:r>
      <w:r w:rsidR="00A8185E">
        <w:t xml:space="preserve">  PG</w:t>
      </w:r>
      <w:r w:rsidR="00D02092">
        <w:t>&amp;E also proposes that E</w:t>
      </w:r>
      <w:r w:rsidR="00827602">
        <w:noBreakHyphen/>
      </w:r>
      <w:r w:rsidR="00D02092">
        <w:t xml:space="preserve">ELEC, which </w:t>
      </w:r>
      <w:r w:rsidR="002849A0">
        <w:t>was recently approved as part of</w:t>
      </w:r>
      <w:r w:rsidR="00D02092">
        <w:t xml:space="preserve"> PG&amp;E’s 2020 general rate case </w:t>
      </w:r>
      <w:r w:rsidR="00283C31">
        <w:t>Phase 2</w:t>
      </w:r>
      <w:r w:rsidR="00D02092">
        <w:t xml:space="preserve">, should be eligible for the </w:t>
      </w:r>
      <w:r w:rsidR="00D02092">
        <w:lastRenderedPageBreak/>
        <w:t>successor tariff.</w:t>
      </w:r>
      <w:r w:rsidR="00D02092">
        <w:rPr>
          <w:rStyle w:val="FootnoteReference"/>
        </w:rPr>
        <w:footnoteReference w:id="434"/>
      </w:r>
      <w:r w:rsidR="004C19D1">
        <w:t xml:space="preserve">  </w:t>
      </w:r>
      <w:r w:rsidR="007D13A3">
        <w:t xml:space="preserve">This decision </w:t>
      </w:r>
      <w:r w:rsidR="00990B05">
        <w:t xml:space="preserve">finds that </w:t>
      </w:r>
      <w:r w:rsidR="007D13A3">
        <w:t>the</w:t>
      </w:r>
      <w:r w:rsidR="00DF3338">
        <w:t xml:space="preserve"> </w:t>
      </w:r>
      <w:r w:rsidR="007D13A3">
        <w:t xml:space="preserve">rates </w:t>
      </w:r>
      <w:r w:rsidR="00DF3338">
        <w:t xml:space="preserve">provided in </w:t>
      </w:r>
      <w:r w:rsidR="007F6676">
        <w:t>Table </w:t>
      </w:r>
      <w:r w:rsidR="000F2437">
        <w:t>8</w:t>
      </w:r>
      <w:r w:rsidR="00DF3338">
        <w:t xml:space="preserve"> </w:t>
      </w:r>
      <w:r w:rsidR="007D13A3">
        <w:t xml:space="preserve">meet the objectives discussed in </w:t>
      </w:r>
      <w:r w:rsidR="0034029C">
        <w:t>Section 8</w:t>
      </w:r>
      <w:r w:rsidR="007D13A3">
        <w:t xml:space="preserve">.4.3 </w:t>
      </w:r>
      <w:r w:rsidR="002737CA">
        <w:t xml:space="preserve">in that they will improve the pricing signal to </w:t>
      </w:r>
      <w:r w:rsidR="0031117D">
        <w:t xml:space="preserve">successor tariff </w:t>
      </w:r>
      <w:r w:rsidR="002737CA">
        <w:t xml:space="preserve">customers, </w:t>
      </w:r>
      <w:r w:rsidR="00C22067">
        <w:t>increase</w:t>
      </w:r>
      <w:r w:rsidR="002737CA">
        <w:t xml:space="preserve"> the value of the generation to all customers and the electrical </w:t>
      </w:r>
      <w:r w:rsidR="009B2FB4">
        <w:t>grid</w:t>
      </w:r>
      <w:r w:rsidR="002737CA">
        <w:t>, and encourage electrification.</w:t>
      </w:r>
      <w:r w:rsidR="00990B05">
        <w:t xml:space="preserve">  The Commission should adopt the rates in </w:t>
      </w:r>
      <w:r w:rsidR="007F6676">
        <w:t>Table </w:t>
      </w:r>
      <w:r w:rsidR="000F2437">
        <w:t>8</w:t>
      </w:r>
      <w:r w:rsidR="00990B05">
        <w:t xml:space="preserve"> as the eligible import rates for the successor tariff.</w:t>
      </w:r>
    </w:p>
    <w:p w:rsidR="00DF3338" w:rsidP="005E7044" w:rsidRDefault="009355F1" w14:paraId="1128FD62" w14:textId="16166255">
      <w:pPr>
        <w:pStyle w:val="Standard"/>
      </w:pPr>
      <w:r>
        <w:t>Cal Advoc</w:t>
      </w:r>
      <w:r w:rsidRPr="00F036C6" w:rsidR="00985295">
        <w:t>ates assert there is a cost shift risk caused by customers on</w:t>
      </w:r>
      <w:r w:rsidR="00BB771D">
        <w:t xml:space="preserve"> SD</w:t>
      </w:r>
      <w:r w:rsidRPr="00F036C6" w:rsidR="00985295">
        <w:t>G&amp;E’s EV</w:t>
      </w:r>
      <w:r w:rsidR="00827602">
        <w:noBreakHyphen/>
      </w:r>
      <w:r w:rsidRPr="00F036C6" w:rsidR="00985295">
        <w:t>TOU</w:t>
      </w:r>
      <w:r w:rsidR="00827602">
        <w:noBreakHyphen/>
      </w:r>
      <w:r w:rsidRPr="00F036C6" w:rsidR="00985295">
        <w:t>5 rate because the super off</w:t>
      </w:r>
      <w:r w:rsidR="00827602">
        <w:noBreakHyphen/>
      </w:r>
      <w:r w:rsidRPr="00F036C6" w:rsidR="00985295">
        <w:t>peak rates included in the EV</w:t>
      </w:r>
      <w:r w:rsidR="00827602">
        <w:noBreakHyphen/>
      </w:r>
      <w:r w:rsidRPr="00F036C6" w:rsidR="00985295">
        <w:t>TOU</w:t>
      </w:r>
      <w:r w:rsidR="00827602">
        <w:noBreakHyphen/>
      </w:r>
      <w:r w:rsidRPr="00F036C6" w:rsidR="00985295">
        <w:t>5 rate are below marginal costs.</w:t>
      </w:r>
      <w:r w:rsidRPr="00F036C6" w:rsidR="00985295">
        <w:rPr>
          <w:rStyle w:val="FootnoteReference"/>
        </w:rPr>
        <w:footnoteReference w:id="435"/>
      </w:r>
      <w:r w:rsidRPr="00985295" w:rsidR="00985295">
        <w:t xml:space="preserve"> </w:t>
      </w:r>
      <w:r w:rsidR="00ED4920">
        <w:t xml:space="preserve"> </w:t>
      </w:r>
      <w:r w:rsidRPr="00985295" w:rsidR="0031117D">
        <w:t xml:space="preserve">The Commission acknowledges </w:t>
      </w:r>
      <w:r>
        <w:t>Cal Advoc</w:t>
      </w:r>
      <w:r w:rsidR="0031117D">
        <w:t xml:space="preserve">ates’ concern </w:t>
      </w:r>
      <w:r w:rsidR="00985295">
        <w:t xml:space="preserve">and authorizes </w:t>
      </w:r>
      <w:r w:rsidR="00C22067">
        <w:t>Energy Division to review this concern</w:t>
      </w:r>
      <w:r w:rsidR="009572A7">
        <w:t xml:space="preserve"> in the evaluation of the successor tariff, which is described in </w:t>
      </w:r>
      <w:r w:rsidR="0034029C">
        <w:t>Section 8</w:t>
      </w:r>
      <w:r w:rsidR="009572A7">
        <w:t>.8 below.</w:t>
      </w:r>
      <w:r w:rsidR="00C22067">
        <w:t xml:space="preserve">  Alternatively, Energy Division is authorized to review this issue through any modification of the eligible import rates, as described in this section.</w:t>
      </w:r>
    </w:p>
    <w:p w:rsidR="004C19D1" w:rsidP="005E7044" w:rsidRDefault="002849A0" w14:paraId="03421A53" w14:textId="13956FBB">
      <w:pPr>
        <w:pStyle w:val="Standard"/>
      </w:pPr>
      <w:r>
        <w:t>New rates</w:t>
      </w:r>
      <w:r w:rsidR="004C19D1">
        <w:t xml:space="preserve"> may be considered for future eligibility in the </w:t>
      </w:r>
      <w:r w:rsidR="005D0F26">
        <w:t>successor tariff</w:t>
      </w:r>
      <w:r w:rsidR="009572A7">
        <w:t>, either in addition to each utility’s successor tariff eligible rate or to replace the rate</w:t>
      </w:r>
      <w:r w:rsidR="004C19D1">
        <w:t xml:space="preserve">.  A utility may seek approval through submittal of a </w:t>
      </w:r>
      <w:r w:rsidR="00B346C0">
        <w:t>Tier 2</w:t>
      </w:r>
      <w:r w:rsidR="004C19D1">
        <w:t xml:space="preserve"> </w:t>
      </w:r>
      <w:r w:rsidR="0018427D">
        <w:t>a</w:t>
      </w:r>
      <w:r w:rsidR="004C19D1">
        <w:t xml:space="preserve">dvice </w:t>
      </w:r>
      <w:r w:rsidR="0018427D">
        <w:t>l</w:t>
      </w:r>
      <w:r w:rsidR="004C19D1">
        <w:t>etter</w:t>
      </w:r>
      <w:r w:rsidR="000C70D7">
        <w:t xml:space="preserve"> or through its general rate case </w:t>
      </w:r>
      <w:r w:rsidR="006107DF">
        <w:t>P</w:t>
      </w:r>
      <w:r w:rsidR="000C70D7">
        <w:t>hase</w:t>
      </w:r>
      <w:r w:rsidR="006107DF">
        <w:t> </w:t>
      </w:r>
      <w:r w:rsidR="000C70D7">
        <w:t>2 or rate design window</w:t>
      </w:r>
      <w:r w:rsidR="004C19D1">
        <w:t>.</w:t>
      </w:r>
      <w:r w:rsidR="000C70D7">
        <w:rPr>
          <w:rStyle w:val="FootnoteReference"/>
        </w:rPr>
        <w:footnoteReference w:id="436"/>
      </w:r>
      <w:r w:rsidR="00C64F90">
        <w:t xml:space="preserve">  </w:t>
      </w:r>
      <w:r w:rsidR="009572A7">
        <w:t xml:space="preserve">Additionally, </w:t>
      </w:r>
      <w:r w:rsidR="00C22067">
        <w:t>E</w:t>
      </w:r>
      <w:r w:rsidR="009572A7">
        <w:t xml:space="preserve">nergy </w:t>
      </w:r>
      <w:r w:rsidR="00C22067">
        <w:t>D</w:t>
      </w:r>
      <w:r w:rsidR="009572A7">
        <w:t>ivision may propose such changes through a self</w:t>
      </w:r>
      <w:r w:rsidR="00827602">
        <w:noBreakHyphen/>
      </w:r>
      <w:r w:rsidR="009572A7">
        <w:t xml:space="preserve">directed resolution.  </w:t>
      </w:r>
      <w:r w:rsidR="000C70D7">
        <w:t xml:space="preserve">All </w:t>
      </w:r>
      <w:r w:rsidR="009572A7">
        <w:t xml:space="preserve">four </w:t>
      </w:r>
      <w:r w:rsidR="006913D8">
        <w:t xml:space="preserve">options reasonably </w:t>
      </w:r>
      <w:r w:rsidR="000C70D7">
        <w:t xml:space="preserve">allow </w:t>
      </w:r>
      <w:r w:rsidR="006913D8">
        <w:t xml:space="preserve">for </w:t>
      </w:r>
      <w:r w:rsidR="000C70D7">
        <w:t>stakeholder</w:t>
      </w:r>
      <w:r w:rsidR="006913D8">
        <w:t xml:space="preserve"> </w:t>
      </w:r>
      <w:r w:rsidR="000C70D7">
        <w:t xml:space="preserve">opportunity to comment.  </w:t>
      </w:r>
      <w:r w:rsidR="00C64F90">
        <w:t xml:space="preserve">Successor tariff customers will pay any fixed charge components of an eligible </w:t>
      </w:r>
      <w:r w:rsidR="003512A7">
        <w:t xml:space="preserve">current or future retail </w:t>
      </w:r>
      <w:r w:rsidR="00C64F90">
        <w:t>import rate, similar to a nonparticipating customer who takes service on the same rate.</w:t>
      </w:r>
      <w:r w:rsidR="00FA752E">
        <w:t xml:space="preserve">  Any fixed charge contained in </w:t>
      </w:r>
      <w:r w:rsidR="003512A7">
        <w:t xml:space="preserve">current or future </w:t>
      </w:r>
      <w:r w:rsidR="00FA752E">
        <w:t>eligible retail import rates are considered non</w:t>
      </w:r>
      <w:r w:rsidR="00827602">
        <w:noBreakHyphen/>
      </w:r>
      <w:proofErr w:type="spellStart"/>
      <w:r w:rsidR="00FA752E">
        <w:t>bypassable</w:t>
      </w:r>
      <w:proofErr w:type="spellEnd"/>
      <w:r w:rsidR="00FA752E">
        <w:t xml:space="preserve"> through the use of export compensation and shall be treated as such.</w:t>
      </w:r>
    </w:p>
    <w:p w:rsidR="00170A9A" w:rsidP="005E7044" w:rsidRDefault="00FF03B7" w14:paraId="1069540F" w14:textId="318C268F">
      <w:pPr>
        <w:pStyle w:val="Standard"/>
      </w:pPr>
      <w:r>
        <w:lastRenderedPageBreak/>
        <w:t>C</w:t>
      </w:r>
      <w:r w:rsidR="0037527B">
        <w:t xml:space="preserve">ustomers should </w:t>
      </w:r>
      <w:r w:rsidR="00DF3338">
        <w:t xml:space="preserve">also </w:t>
      </w:r>
      <w:r w:rsidR="0037527B">
        <w:t>be provided the opportunity to elect critical peak pricing or peak day pricing rates on any rate option they select</w:t>
      </w:r>
      <w:r w:rsidR="008A5760">
        <w:t>.  SEIA/Vote Solar correctly state that the transition to the successor tariff will require customers to make substantial investments in storage, as well as solar, with longer payback periods.</w:t>
      </w:r>
      <w:r w:rsidR="008A5760">
        <w:rPr>
          <w:rStyle w:val="FootnoteReference"/>
        </w:rPr>
        <w:footnoteReference w:id="437"/>
      </w:r>
      <w:r w:rsidR="008A5760">
        <w:t xml:space="preserve">  SEIA/Vote Solar </w:t>
      </w:r>
      <w:r w:rsidR="00D8683F">
        <w:t>request</w:t>
      </w:r>
      <w:r w:rsidR="008A5760">
        <w:t xml:space="preserve"> the Commission enhance the value customers receive from solar and paired storage installations by requiring all three utilities to allow customers to participate in critical peak pricing; currently only SCE permits this.</w:t>
      </w:r>
      <w:r w:rsidR="003B5550">
        <w:rPr>
          <w:rStyle w:val="FootnoteReference"/>
        </w:rPr>
        <w:footnoteReference w:id="438"/>
      </w:r>
      <w:r w:rsidR="008A5760">
        <w:t xml:space="preserve">  Noting the high level of engagement of net energy metering customers, SEIA/Vote Solar underscore that these customers are more likely than other customers to choose critical peak pricing rates, which will </w:t>
      </w:r>
      <w:r w:rsidR="003B5550">
        <w:t>help the grid during critical peak days.</w:t>
      </w:r>
      <w:r w:rsidR="003B5550">
        <w:rPr>
          <w:rStyle w:val="FootnoteReference"/>
        </w:rPr>
        <w:footnoteReference w:id="439"/>
      </w:r>
      <w:r w:rsidR="00CF5B2E">
        <w:t xml:space="preserve">  </w:t>
      </w:r>
      <w:r w:rsidR="00966B80">
        <w:t>The Commission agrees that</w:t>
      </w:r>
      <w:r w:rsidR="00CF5B2E">
        <w:t xml:space="preserve"> </w:t>
      </w:r>
      <w:r w:rsidR="00966B80">
        <w:t xml:space="preserve">the availability of </w:t>
      </w:r>
      <w:r w:rsidR="00CF5B2E">
        <w:t xml:space="preserve">critical peak pricing and peak day pricing </w:t>
      </w:r>
      <w:r w:rsidR="00966B80">
        <w:t xml:space="preserve">will enhance the value of </w:t>
      </w:r>
      <w:r w:rsidR="005C718E">
        <w:t>stand</w:t>
      </w:r>
      <w:r w:rsidR="00827602">
        <w:noBreakHyphen/>
      </w:r>
      <w:r w:rsidR="005C718E">
        <w:t xml:space="preserve">alone </w:t>
      </w:r>
      <w:r w:rsidR="00966B80">
        <w:t xml:space="preserve">solar </w:t>
      </w:r>
      <w:r w:rsidR="005C718E">
        <w:t xml:space="preserve">systems </w:t>
      </w:r>
      <w:r w:rsidR="00966B80">
        <w:t xml:space="preserve">and </w:t>
      </w:r>
      <w:r w:rsidR="005C718E">
        <w:t xml:space="preserve">solar </w:t>
      </w:r>
      <w:r w:rsidR="00966B80">
        <w:t xml:space="preserve">paired </w:t>
      </w:r>
      <w:r w:rsidR="005C718E">
        <w:t xml:space="preserve">with </w:t>
      </w:r>
      <w:r w:rsidR="00966B80">
        <w:t>storage systems</w:t>
      </w:r>
      <w:r w:rsidR="00C22067">
        <w:t xml:space="preserve">.  Accordingly, critical peak pricing and peak day pricing </w:t>
      </w:r>
      <w:r w:rsidR="00966B80">
        <w:t xml:space="preserve">should be </w:t>
      </w:r>
      <w:r w:rsidR="00C22067">
        <w:t xml:space="preserve">considered as </w:t>
      </w:r>
      <w:r w:rsidR="00CF5B2E">
        <w:t xml:space="preserve">eligible rates for customers enrolled in the </w:t>
      </w:r>
      <w:r w:rsidR="005D0F26">
        <w:t>successor tariff</w:t>
      </w:r>
      <w:r w:rsidR="00CF5B2E">
        <w:t>.</w:t>
      </w:r>
    </w:p>
    <w:p w:rsidR="00533B2F" w:rsidP="005E7044" w:rsidRDefault="00FF03B7" w14:paraId="1184CDD9" w14:textId="0406F30C">
      <w:pPr>
        <w:pStyle w:val="Standard"/>
      </w:pPr>
      <w:r>
        <w:t>This decision</w:t>
      </w:r>
      <w:r w:rsidRPr="000C669A">
        <w:t xml:space="preserve"> </w:t>
      </w:r>
      <w:r w:rsidRPr="000C669A" w:rsidR="007D0284">
        <w:t>ha</w:t>
      </w:r>
      <w:r>
        <w:t>s</w:t>
      </w:r>
      <w:r w:rsidRPr="000C669A" w:rsidR="007D0284">
        <w:t xml:space="preserve"> already determined in </w:t>
      </w:r>
      <w:r w:rsidR="0034029C">
        <w:t>Section 8</w:t>
      </w:r>
      <w:r w:rsidRPr="000C669A" w:rsidR="007D0284">
        <w:t>.4.</w:t>
      </w:r>
      <w:r w:rsidRPr="000C669A" w:rsidR="00B35F7A">
        <w:t>9</w:t>
      </w:r>
      <w:r w:rsidRPr="000C669A" w:rsidR="007D0284">
        <w:t xml:space="preserve"> that it is reasonable to </w:t>
      </w:r>
      <w:r w:rsidR="00E056D6">
        <w:t>maintain</w:t>
      </w:r>
      <w:r w:rsidRPr="000C669A" w:rsidR="00E056D6">
        <w:t xml:space="preserve"> </w:t>
      </w:r>
      <w:r w:rsidR="00DC12DE">
        <w:t>an</w:t>
      </w:r>
      <w:r w:rsidRPr="000C669A" w:rsidR="007D0284">
        <w:t xml:space="preserve"> </w:t>
      </w:r>
      <w:r w:rsidRPr="00E056D6" w:rsidR="00AA21E9">
        <w:t xml:space="preserve">annual </w:t>
      </w:r>
      <w:r w:rsidRPr="00E056D6" w:rsidR="007D0284">
        <w:t>true</w:t>
      </w:r>
      <w:r w:rsidR="00827602">
        <w:noBreakHyphen/>
      </w:r>
      <w:r w:rsidRPr="00E056D6" w:rsidR="007D0284">
        <w:t>up</w:t>
      </w:r>
      <w:r w:rsidR="00DC12DE">
        <w:t xml:space="preserve"> and require monthly billing</w:t>
      </w:r>
      <w:r w:rsidRPr="00E056D6" w:rsidR="007D0284">
        <w:t>.</w:t>
      </w:r>
      <w:r w:rsidRPr="00E056D6" w:rsidR="00AC78E6">
        <w:t xml:space="preserve">  </w:t>
      </w:r>
      <w:r w:rsidRPr="00E056D6" w:rsidR="00507AE6">
        <w:t>Other</w:t>
      </w:r>
      <w:r w:rsidR="00507AE6">
        <w:t xml:space="preserve"> elements of the rate structure remain </w:t>
      </w:r>
      <w:r w:rsidR="00E45AA9">
        <w:t xml:space="preserve">the same as in the </w:t>
      </w:r>
      <w:r w:rsidR="00602BC5">
        <w:t>NEM 2.0</w:t>
      </w:r>
      <w:r w:rsidR="00135D55">
        <w:t xml:space="preserve"> </w:t>
      </w:r>
      <w:r w:rsidR="00E45AA9">
        <w:t>tariff.  Interconnection fees remain unchanged from D.16</w:t>
      </w:r>
      <w:r w:rsidR="00827602">
        <w:noBreakHyphen/>
      </w:r>
      <w:r w:rsidR="00E45AA9">
        <w:t>01</w:t>
      </w:r>
      <w:r w:rsidR="00827602">
        <w:noBreakHyphen/>
      </w:r>
      <w:r w:rsidR="00E45AA9">
        <w:t>044.</w:t>
      </w:r>
    </w:p>
    <w:p w:rsidR="00507AE6" w:rsidP="005E7044" w:rsidRDefault="009572A7" w14:paraId="17166110" w14:textId="2CAE7090">
      <w:pPr>
        <w:pStyle w:val="Standard"/>
      </w:pPr>
      <w:r>
        <w:t xml:space="preserve">This decision makes no changes to the calculation of </w:t>
      </w:r>
      <w:r w:rsidR="00E45AA9">
        <w:t xml:space="preserve">Net Surplus Compensation </w:t>
      </w:r>
      <w:r>
        <w:t>established by D.11</w:t>
      </w:r>
      <w:r w:rsidR="00827602">
        <w:noBreakHyphen/>
      </w:r>
      <w:r>
        <w:t>06</w:t>
      </w:r>
      <w:r w:rsidR="00827602">
        <w:noBreakHyphen/>
      </w:r>
      <w:r>
        <w:t xml:space="preserve">016.  Therefore, Net Surplus Compensation </w:t>
      </w:r>
      <w:r w:rsidR="00E45AA9">
        <w:t xml:space="preserve">will accrue at the current rate, calculated at the average </w:t>
      </w:r>
      <w:proofErr w:type="spellStart"/>
      <w:r w:rsidR="00E45AA9">
        <w:t>DLAP</w:t>
      </w:r>
      <w:proofErr w:type="spellEnd"/>
      <w:r w:rsidR="00E45AA9">
        <w:t xml:space="preserve"> prices between 7:00</w:t>
      </w:r>
      <w:r w:rsidR="00020A88">
        <w:t> </w:t>
      </w:r>
      <w:r w:rsidR="00E45AA9">
        <w:t>a</w:t>
      </w:r>
      <w:r w:rsidR="00020A88">
        <w:t>.</w:t>
      </w:r>
      <w:r w:rsidR="00E45AA9">
        <w:t>m</w:t>
      </w:r>
      <w:r w:rsidR="00020A88">
        <w:t>.</w:t>
      </w:r>
      <w:r w:rsidR="00E45AA9">
        <w:t xml:space="preserve"> to </w:t>
      </w:r>
      <w:r w:rsidR="002A4774">
        <w:t>5</w:t>
      </w:r>
      <w:r w:rsidR="00E45AA9">
        <w:t>:00</w:t>
      </w:r>
      <w:r w:rsidR="00020A88">
        <w:t> </w:t>
      </w:r>
      <w:r w:rsidR="00E45AA9">
        <w:t>p</w:t>
      </w:r>
      <w:r w:rsidR="00020A88">
        <w:t>.</w:t>
      </w:r>
      <w:r w:rsidR="00E45AA9">
        <w:t>m</w:t>
      </w:r>
      <w:r w:rsidR="00020A88">
        <w:t>.</w:t>
      </w:r>
      <w:r w:rsidR="00E45AA9">
        <w:t xml:space="preserve"> over the past 12 months.</w:t>
      </w:r>
      <w:r w:rsidR="00EF4B9C">
        <w:t xml:space="preserve">  Utilities are </w:t>
      </w:r>
      <w:r w:rsidR="00EF4B9C">
        <w:lastRenderedPageBreak/>
        <w:t xml:space="preserve">directed to be consistent </w:t>
      </w:r>
      <w:r w:rsidR="00F80601">
        <w:t>with respect to the calculation method of Net Surplus Compensation.</w:t>
      </w:r>
    </w:p>
    <w:p w:rsidR="004D4B38" w:rsidP="005E7044" w:rsidRDefault="00AA45ED" w14:paraId="1D199AF7" w14:textId="7A5B030D">
      <w:pPr>
        <w:pStyle w:val="Standard"/>
      </w:pPr>
      <w:bookmarkStart w:name="_Hlk117171890" w:id="205"/>
      <w:r>
        <w:t>While the calculation of the Net Surplus Compensation rate remains the same, t</w:t>
      </w:r>
      <w:r w:rsidRPr="00910053" w:rsidR="00FA752E">
        <w:t xml:space="preserve">his decision addresses one </w:t>
      </w:r>
      <w:r>
        <w:t>concern</w:t>
      </w:r>
      <w:r w:rsidRPr="00910053" w:rsidR="00FA752E">
        <w:t xml:space="preserve"> with respect to Net Surplus Compensation.  Joint Utilities contend that u</w:t>
      </w:r>
      <w:r w:rsidRPr="00910053" w:rsidR="009572A7">
        <w:t xml:space="preserve">nder the current </w:t>
      </w:r>
      <w:r w:rsidR="00602BC5">
        <w:t>NEM 2.0</w:t>
      </w:r>
      <w:r w:rsidRPr="00910053" w:rsidR="00135D55">
        <w:t xml:space="preserve"> </w:t>
      </w:r>
      <w:r w:rsidRPr="00910053" w:rsidR="009572A7">
        <w:t>tariff, it is possible for customers to receive double payment for the same exports</w:t>
      </w:r>
      <w:r w:rsidRPr="00910053" w:rsidR="002268EB">
        <w:t xml:space="preserve"> — </w:t>
      </w:r>
      <w:r w:rsidRPr="00910053" w:rsidR="009572A7">
        <w:t xml:space="preserve">one payment at the </w:t>
      </w:r>
      <w:r w:rsidR="00602BC5">
        <w:t>NEM 2.0</w:t>
      </w:r>
      <w:r w:rsidRPr="00910053" w:rsidR="00135D55">
        <w:t xml:space="preserve"> </w:t>
      </w:r>
      <w:r w:rsidR="00F64859">
        <w:t xml:space="preserve">retail </w:t>
      </w:r>
      <w:r w:rsidRPr="00910053" w:rsidR="009572A7">
        <w:t>export compensation rate and another at the Net Surplus compensation rate.</w:t>
      </w:r>
      <w:r w:rsidRPr="00910053" w:rsidR="00FA752E">
        <w:rPr>
          <w:rStyle w:val="FootnoteReference"/>
        </w:rPr>
        <w:footnoteReference w:id="440"/>
      </w:r>
      <w:r w:rsidRPr="00910053" w:rsidR="009572A7">
        <w:t xml:space="preserve">  </w:t>
      </w:r>
      <w:r w:rsidRPr="00910053" w:rsidR="00FA752E">
        <w:t>Joint Utilities recommend the Commission</w:t>
      </w:r>
      <w:r>
        <w:t xml:space="preserve"> adopt one of the following proposals</w:t>
      </w:r>
      <w:r w:rsidR="00555CC0">
        <w:t xml:space="preserve">:  </w:t>
      </w:r>
      <w:r w:rsidRPr="00910053" w:rsidR="00EA4423">
        <w:t>(</w:t>
      </w:r>
      <w:r w:rsidR="00D13B6F">
        <w:t>1</w:t>
      </w:r>
      <w:r w:rsidRPr="00910053" w:rsidR="00EA4423">
        <w:t>)</w:t>
      </w:r>
      <w:r w:rsidR="002F5949">
        <w:t> </w:t>
      </w:r>
      <w:r w:rsidRPr="00910053" w:rsidR="00FA752E">
        <w:t xml:space="preserve">eliminate </w:t>
      </w:r>
      <w:r w:rsidRPr="00910053" w:rsidR="00EA4423">
        <w:t xml:space="preserve">the </w:t>
      </w:r>
      <w:r w:rsidRPr="00910053" w:rsidR="00FA752E">
        <w:t>Net Surplus Compensation</w:t>
      </w:r>
      <w:r w:rsidRPr="00910053" w:rsidR="00EA4423">
        <w:t xml:space="preserve"> rate; (</w:t>
      </w:r>
      <w:r w:rsidR="00D13B6F">
        <w:t>2</w:t>
      </w:r>
      <w:r w:rsidRPr="00910053" w:rsidR="00EA4423">
        <w:t>)</w:t>
      </w:r>
      <w:r w:rsidR="002F5949">
        <w:t> </w:t>
      </w:r>
      <w:r w:rsidRPr="00910053" w:rsidR="00EA4423">
        <w:t>adopt the Joint Utilities monthly true</w:t>
      </w:r>
      <w:r w:rsidR="00827602">
        <w:noBreakHyphen/>
      </w:r>
      <w:r w:rsidRPr="00910053" w:rsidR="00EA4423">
        <w:t>up methodology; or (</w:t>
      </w:r>
      <w:r w:rsidR="00D13B6F">
        <w:t>3</w:t>
      </w:r>
      <w:r w:rsidRPr="00910053" w:rsidR="00EA4423">
        <w:t>)</w:t>
      </w:r>
      <w:r w:rsidR="002F5949">
        <w:t> </w:t>
      </w:r>
      <w:r w:rsidRPr="00910053" w:rsidR="00EA4423">
        <w:t>clarify that, regardless of whether the Net Surplus Compensation rate is monthly or annual, Joint Utilities are authorized to pay the Net Surplus Compensation rate only when it will not produce a double payment.  The Commission acknowledges the potential for a double payment and adopts a variation of the Joint Utilities</w:t>
      </w:r>
      <w:r w:rsidR="00D13B6F">
        <w:t>’</w:t>
      </w:r>
      <w:r w:rsidRPr="00910053" w:rsidR="00EA4423">
        <w:t xml:space="preserve"> </w:t>
      </w:r>
      <w:r>
        <w:t xml:space="preserve">third </w:t>
      </w:r>
      <w:r w:rsidRPr="00910053" w:rsidR="00EA4423">
        <w:t>proposed solution.  Accordingly, i</w:t>
      </w:r>
      <w:r w:rsidRPr="00910053" w:rsidR="009572A7">
        <w:t xml:space="preserve">n the successor tariff, </w:t>
      </w:r>
      <w:r w:rsidRPr="00910053" w:rsidR="00FA752E">
        <w:t xml:space="preserve">Joint </w:t>
      </w:r>
      <w:r w:rsidRPr="00910053" w:rsidR="009572A7">
        <w:t>Utilities are directed to discontinue th</w:t>
      </w:r>
      <w:r>
        <w:t>e</w:t>
      </w:r>
      <w:r w:rsidRPr="00910053" w:rsidR="009572A7">
        <w:t xml:space="preserve"> </w:t>
      </w:r>
      <w:r w:rsidR="00602BC5">
        <w:t>NEM 2.0</w:t>
      </w:r>
      <w:r w:rsidRPr="00910053" w:rsidR="00135D55">
        <w:t xml:space="preserve"> </w:t>
      </w:r>
      <w:r w:rsidRPr="00910053" w:rsidR="009572A7">
        <w:t>practice of double compensation.  During a customer’s 12</w:t>
      </w:r>
      <w:r w:rsidR="00827602">
        <w:noBreakHyphen/>
      </w:r>
      <w:r w:rsidRPr="00910053" w:rsidR="009572A7">
        <w:t>month annual true</w:t>
      </w:r>
      <w:r w:rsidR="00827602">
        <w:noBreakHyphen/>
      </w:r>
      <w:r w:rsidRPr="00910053" w:rsidR="009572A7">
        <w:t>up</w:t>
      </w:r>
      <w:r w:rsidRPr="00910053" w:rsidR="00EA4423">
        <w:t xml:space="preserve"> in the successor tariff</w:t>
      </w:r>
      <w:r w:rsidRPr="00910053" w:rsidR="009572A7">
        <w:t>, the utility shall determine if the customer’s net exports are positive</w:t>
      </w:r>
      <w:r w:rsidRPr="00910053" w:rsidR="00B8755F">
        <w:t xml:space="preserve">, </w:t>
      </w:r>
      <w:r w:rsidRPr="00910053" w:rsidR="009572A7">
        <w:rPr>
          <w:i/>
          <w:iCs/>
        </w:rPr>
        <w:t>i.e.</w:t>
      </w:r>
      <w:r w:rsidRPr="00910053" w:rsidR="009572A7">
        <w:t>, the customer exported more electricity than they imported over the past 12</w:t>
      </w:r>
      <w:r w:rsidR="00827602">
        <w:noBreakHyphen/>
      </w:r>
      <w:r w:rsidRPr="00910053" w:rsidR="009572A7">
        <w:t>month period</w:t>
      </w:r>
      <w:r w:rsidRPr="00910053" w:rsidR="00B8755F">
        <w:t>.</w:t>
      </w:r>
      <w:r w:rsidRPr="00910053" w:rsidR="009572A7">
        <w:t xml:space="preserve">  If the net exports are positive</w:t>
      </w:r>
      <w:r w:rsidR="00D13B6F">
        <w:t>,</w:t>
      </w:r>
      <w:r w:rsidRPr="00910053" w:rsidR="009572A7">
        <w:t xml:space="preserve"> </w:t>
      </w:r>
      <w:r w:rsidRPr="00910053" w:rsidR="00A85614">
        <w:t>that quantity of kilowatt hours will be debited from the customer’s account at a rate equal to the utility’s average real</w:t>
      </w:r>
      <w:r w:rsidR="00827602">
        <w:noBreakHyphen/>
      </w:r>
      <w:r w:rsidRPr="00910053" w:rsidR="00A85614">
        <w:t xml:space="preserve">world </w:t>
      </w:r>
      <w:r>
        <w:t xml:space="preserve">retail </w:t>
      </w:r>
      <w:r w:rsidRPr="00910053" w:rsidR="00A85614">
        <w:t xml:space="preserve">export compensation rates for all </w:t>
      </w:r>
      <w:r w:rsidR="00CE2C8B">
        <w:t>n</w:t>
      </w:r>
      <w:r w:rsidRPr="00910053" w:rsidR="00A85614">
        <w:t xml:space="preserve">et </w:t>
      </w:r>
      <w:r w:rsidR="00CE2C8B">
        <w:t>b</w:t>
      </w:r>
      <w:r w:rsidRPr="00910053" w:rsidR="00A85614">
        <w:t xml:space="preserve">illing tariff customers in their service territory over the past 12 months.  The customer will then be credited at the Net Surplus Compensation rate for the same number of kilowatt hours.  </w:t>
      </w:r>
      <w:r w:rsidRPr="00910053" w:rsidR="00FA752E">
        <w:t xml:space="preserve">Joint </w:t>
      </w:r>
      <w:r w:rsidRPr="00910053" w:rsidR="00A85614">
        <w:t xml:space="preserve">Utilities are </w:t>
      </w:r>
      <w:r w:rsidRPr="00910053" w:rsidR="00A85614">
        <w:lastRenderedPageBreak/>
        <w:t>directed to be consistent with respect to the calculation method of the average real</w:t>
      </w:r>
      <w:r w:rsidR="00827602">
        <w:noBreakHyphen/>
      </w:r>
      <w:r w:rsidRPr="00910053" w:rsidR="00A85614">
        <w:t xml:space="preserve">world </w:t>
      </w:r>
      <w:r w:rsidR="00F64859">
        <w:t xml:space="preserve">retail </w:t>
      </w:r>
      <w:r w:rsidRPr="00910053" w:rsidR="00A85614">
        <w:t xml:space="preserve">export compensation rates for all </w:t>
      </w:r>
      <w:r w:rsidR="00CE2C8B">
        <w:t>n</w:t>
      </w:r>
      <w:r w:rsidRPr="00910053" w:rsidR="00A85614">
        <w:t xml:space="preserve">et </w:t>
      </w:r>
      <w:r w:rsidR="00CE2C8B">
        <w:t>b</w:t>
      </w:r>
      <w:r w:rsidRPr="00910053" w:rsidR="00A85614">
        <w:t>illing tariff customers in their service territory.  This will eliminate double compensation of exports</w:t>
      </w:r>
      <w:r>
        <w:t xml:space="preserve"> </w:t>
      </w:r>
      <w:r w:rsidR="00D13B6F">
        <w:t>using</w:t>
      </w:r>
      <w:r>
        <w:t xml:space="preserve"> a simplistic approach</w:t>
      </w:r>
      <w:r w:rsidRPr="00910053" w:rsidR="00A85614">
        <w:t>.</w:t>
      </w:r>
    </w:p>
    <w:p w:rsidR="009572A7" w:rsidP="005E7044" w:rsidRDefault="004D4B38" w14:paraId="0C0C4521" w14:textId="1B255A5D">
      <w:pPr>
        <w:pStyle w:val="Standard"/>
      </w:pPr>
      <w:r>
        <w:t xml:space="preserve">In comments to the proposed decision, Joint Utilities requested clarification regarding whether the ACC Plus would be applied to Net Surplus Compensation.  </w:t>
      </w:r>
      <w:r w:rsidR="009D291F">
        <w:t xml:space="preserve">Joint Utilities assert applying the adder to Net Surplus Compensation would violate </w:t>
      </w:r>
      <w:proofErr w:type="spellStart"/>
      <w:r w:rsidR="009D291F">
        <w:t>PURPA</w:t>
      </w:r>
      <w:proofErr w:type="spellEnd"/>
      <w:r w:rsidR="009D291F">
        <w:t xml:space="preserve">.  Joint Utilities </w:t>
      </w:r>
      <w:r w:rsidR="00960D3A">
        <w:t>recommend</w:t>
      </w:r>
      <w:r w:rsidR="009D291F">
        <w:t xml:space="preserve"> that the ACC Plus paid to customers on net surplus generation be debited from the customer at the true</w:t>
      </w:r>
      <w:r w:rsidR="008E22AB">
        <w:noBreakHyphen/>
      </w:r>
      <w:r w:rsidR="009D291F">
        <w:t>up.</w:t>
      </w:r>
      <w:r w:rsidR="00960D3A">
        <w:rPr>
          <w:rStyle w:val="FootnoteReference"/>
        </w:rPr>
        <w:footnoteReference w:id="441"/>
      </w:r>
      <w:r w:rsidR="009D291F">
        <w:t xml:space="preserve">  The Commission disagrees.  The purpose of the ACC Plus is to subsidize the cost of </w:t>
      </w:r>
      <w:r w:rsidR="00960D3A">
        <w:t>a</w:t>
      </w:r>
      <w:r w:rsidR="009D291F">
        <w:t xml:space="preserve"> new successor customer</w:t>
      </w:r>
      <w:r w:rsidR="009459E2">
        <w:t>’</w:t>
      </w:r>
      <w:r w:rsidR="009D291F">
        <w:t xml:space="preserve">s system during the transition period, in order to ensure the industry continues to grow sustainably.  </w:t>
      </w:r>
      <w:r w:rsidR="00DD5285">
        <w:t>T</w:t>
      </w:r>
      <w:r w:rsidR="00960D3A">
        <w:t>he ACC Plus</w:t>
      </w:r>
      <w:r w:rsidR="009D291F">
        <w:t xml:space="preserve"> is unrelated to </w:t>
      </w:r>
      <w:proofErr w:type="spellStart"/>
      <w:r w:rsidR="009D291F">
        <w:t>PURPA</w:t>
      </w:r>
      <w:proofErr w:type="spellEnd"/>
      <w:r w:rsidR="009D291F">
        <w:t xml:space="preserve"> mandates for the compensation of net exports over a state</w:t>
      </w:r>
      <w:r w:rsidR="008E22AB">
        <w:noBreakHyphen/>
      </w:r>
      <w:r w:rsidR="009D291F">
        <w:t>defined period</w:t>
      </w:r>
      <w:r w:rsidR="00960D3A">
        <w:t xml:space="preserve">.  Accordingly, Joint Utilities recommendation to debit </w:t>
      </w:r>
      <w:r w:rsidR="00DD5285">
        <w:t xml:space="preserve">customers for </w:t>
      </w:r>
      <w:r w:rsidR="00960D3A">
        <w:t>ACC Plus at true</w:t>
      </w:r>
      <w:r w:rsidR="008E22AB">
        <w:noBreakHyphen/>
      </w:r>
      <w:r w:rsidR="00960D3A">
        <w:t>up is denied.</w:t>
      </w:r>
    </w:p>
    <w:p w:rsidR="00C2104E" w:rsidP="005E7044" w:rsidRDefault="00C2104E" w14:paraId="50F2848A" w14:textId="7746165F">
      <w:pPr>
        <w:pStyle w:val="Heading3"/>
        <w:keepLines w:val="0"/>
      </w:pPr>
      <w:bookmarkStart w:name="_Toc117674101" w:id="206"/>
      <w:bookmarkStart w:name="_Toc118285092" w:id="207"/>
      <w:bookmarkStart w:name="_Toc121854419" w:id="208"/>
      <w:bookmarkEnd w:id="205"/>
      <w:r>
        <w:t>Terms of Service and Billing Rules</w:t>
      </w:r>
      <w:bookmarkEnd w:id="206"/>
      <w:bookmarkEnd w:id="207"/>
      <w:bookmarkEnd w:id="208"/>
    </w:p>
    <w:p w:rsidR="009D3E03" w:rsidP="005E7044" w:rsidRDefault="00C2104E" w14:paraId="755EC582" w14:textId="179D9A5C">
      <w:pPr>
        <w:pStyle w:val="Standard"/>
      </w:pPr>
      <w:r>
        <w:t>With the exception of the import rate itself, the adopted successor tariff elements (Section</w:t>
      </w:r>
      <w:r w:rsidR="007A6BFC">
        <w:t> </w:t>
      </w:r>
      <w:r>
        <w:t xml:space="preserve">8.4 and </w:t>
      </w:r>
      <w:r w:rsidR="007A6BFC">
        <w:t>Section </w:t>
      </w:r>
      <w:r>
        <w:t xml:space="preserve">8.5) will be available to an enrolled customer </w:t>
      </w:r>
      <w:r w:rsidR="00321311">
        <w:t xml:space="preserve">(residential </w:t>
      </w:r>
      <w:r w:rsidR="009459E2">
        <w:t>or</w:t>
      </w:r>
      <w:r w:rsidR="00321311">
        <w:t xml:space="preserve"> nonresidential) </w:t>
      </w:r>
      <w:r>
        <w:t xml:space="preserve">for a period of </w:t>
      </w:r>
      <w:r w:rsidR="00DB2875">
        <w:t xml:space="preserve">nine </w:t>
      </w:r>
      <w:r>
        <w:t xml:space="preserve">years from </w:t>
      </w:r>
      <w:r w:rsidR="00D13B6F">
        <w:t xml:space="preserve">the </w:t>
      </w:r>
      <w:r>
        <w:t xml:space="preserve">interconnection date </w:t>
      </w:r>
      <w:r w:rsidR="00FF2D5E">
        <w:t>(</w:t>
      </w:r>
      <w:r w:rsidRPr="00020A88" w:rsidR="00FF2D5E">
        <w:rPr>
          <w:i/>
          <w:iCs/>
        </w:rPr>
        <w:t>i.e</w:t>
      </w:r>
      <w:r w:rsidR="00FF2D5E">
        <w:t xml:space="preserve">., the legacy period) </w:t>
      </w:r>
      <w:r>
        <w:t>to allow for sufficient time for the customer to pay for their investment while protecting other ratepayers from undue financial burden</w:t>
      </w:r>
      <w:r w:rsidR="00AA21E9">
        <w:t>.</w:t>
      </w:r>
      <w:r w:rsidR="00F80601">
        <w:t xml:space="preserve">  </w:t>
      </w:r>
      <w:r w:rsidR="00994BEA">
        <w:t>The nine</w:t>
      </w:r>
      <w:r w:rsidR="00827602">
        <w:noBreakHyphen/>
      </w:r>
      <w:r w:rsidR="00994BEA">
        <w:t>year legacy period is meant to provide the enrolled customer with certainty about the terms of their investment</w:t>
      </w:r>
      <w:r w:rsidR="00A90026">
        <w:t>.</w:t>
      </w:r>
    </w:p>
    <w:p w:rsidR="009D3E03" w:rsidP="009D3E03" w:rsidRDefault="009D3E03" w14:paraId="566FCD1C" w14:textId="60B0467A">
      <w:pPr>
        <w:pStyle w:val="Standard"/>
      </w:pPr>
      <w:r>
        <w:lastRenderedPageBreak/>
        <w:t>As noted in Section 8.2.3, a tariff expected to produce a payback in a future year may still result in the customer realizing net savings in every year.  This decision highlights that bill savings will continue to occur throughout the life of the installed system beyond the legacy period.</w:t>
      </w:r>
    </w:p>
    <w:p w:rsidR="009D3E03" w:rsidP="005E7044" w:rsidRDefault="009D3E03" w14:paraId="02A0E3BD" w14:textId="3EFBB79B">
      <w:pPr>
        <w:pStyle w:val="Standard"/>
      </w:pPr>
      <w:r>
        <w:t>In comments to the proposed decision, some parties recommend extending the legacy period to 15</w:t>
      </w:r>
      <w:r w:rsidR="008E22AB">
        <w:t> </w:t>
      </w:r>
      <w:r>
        <w:t>years.</w:t>
      </w:r>
      <w:r>
        <w:rPr>
          <w:rStyle w:val="FootnoteReference"/>
        </w:rPr>
        <w:footnoteReference w:id="442"/>
      </w:r>
      <w:r>
        <w:t xml:space="preserve">  The Commission finds that the nine</w:t>
      </w:r>
      <w:r w:rsidR="008E22AB">
        <w:noBreakHyphen/>
      </w:r>
      <w:r>
        <w:t xml:space="preserve">year legacy period provides certainty while ensuring </w:t>
      </w:r>
      <w:r w:rsidR="009459E2">
        <w:t xml:space="preserve">that compensation is based on </w:t>
      </w:r>
      <w:r>
        <w:t>the true value of the exported electricity</w:t>
      </w:r>
      <w:r w:rsidR="009459E2">
        <w:t xml:space="preserve"> after the legacy period ends</w:t>
      </w:r>
      <w:r>
        <w:t>.  As has been previously stated in this decision, the Avoided Cost Calculator is a forecast and</w:t>
      </w:r>
      <w:r w:rsidR="005C71C3">
        <w:t>, therefore, its values become increasingly uncertain as time moves away from the present</w:t>
      </w:r>
      <w:r>
        <w:t>.  The nine</w:t>
      </w:r>
      <w:r w:rsidR="008E22AB">
        <w:noBreakHyphen/>
      </w:r>
      <w:r>
        <w:t xml:space="preserve">year legacy period balances the Commission's need for accuracy </w:t>
      </w:r>
      <w:r w:rsidR="00E32F21">
        <w:t xml:space="preserve">in the valuation of exported electricity </w:t>
      </w:r>
      <w:r>
        <w:t>with its desire to provide certainty</w:t>
      </w:r>
      <w:r w:rsidR="00E32F21">
        <w:t xml:space="preserve"> to the </w:t>
      </w:r>
      <w:r w:rsidR="00CE2C8B">
        <w:t>n</w:t>
      </w:r>
      <w:r w:rsidR="00E32F21">
        <w:t xml:space="preserve">et </w:t>
      </w:r>
      <w:r w:rsidR="00CE2C8B">
        <w:t>b</w:t>
      </w:r>
      <w:r w:rsidR="00E32F21">
        <w:t>illing tariff customer</w:t>
      </w:r>
      <w:r>
        <w:t>.</w:t>
      </w:r>
    </w:p>
    <w:p w:rsidR="00442250" w:rsidP="009D3E03" w:rsidRDefault="00A90026" w14:paraId="1569BB6B" w14:textId="4EBB4FCA">
      <w:pPr>
        <w:pStyle w:val="Standard"/>
      </w:pPr>
      <w:r>
        <w:t xml:space="preserve">This decision clarifies that the legacy period is linked to </w:t>
      </w:r>
      <w:bookmarkStart w:name="_Hlk121566767" w:id="209"/>
      <w:r>
        <w:t xml:space="preserve">the customer who originally causes the system to be installed, not to the system itself.  If the original customer moves away within nine years from the system’s </w:t>
      </w:r>
      <w:r w:rsidR="00AA45ED">
        <w:t xml:space="preserve">interconnection date </w:t>
      </w:r>
      <w:r>
        <w:t>and another utility customer takes control of (</w:t>
      </w:r>
      <w:r w:rsidRPr="00AF6A75">
        <w:rPr>
          <w:i/>
          <w:iCs/>
        </w:rPr>
        <w:t>e.g.</w:t>
      </w:r>
      <w:r>
        <w:t>, buys, leases, or pays a power purchase agreement for) the system, the subsequent utility customer does not have a legacy period.  The exception is when the subsequent customer is or was the legal partner</w:t>
      </w:r>
      <w:r w:rsidR="007660B9">
        <w:t xml:space="preserve"> (</w:t>
      </w:r>
      <w:r w:rsidRPr="007660B9">
        <w:rPr>
          <w:i/>
          <w:iCs/>
        </w:rPr>
        <w:t>e.g.</w:t>
      </w:r>
      <w:r>
        <w:t>, spouse or domestic partner</w:t>
      </w:r>
      <w:r w:rsidR="006312BE">
        <w:t xml:space="preserve"> in the case of residential customers or, in the case of </w:t>
      </w:r>
      <w:r w:rsidR="005C71C3">
        <w:t>nonresidential customers</w:t>
      </w:r>
      <w:r w:rsidR="006312BE">
        <w:t>, the account</w:t>
      </w:r>
      <w:r w:rsidR="008E22AB">
        <w:noBreakHyphen/>
      </w:r>
      <w:r w:rsidR="006312BE">
        <w:t xml:space="preserve">holding entity continues to be majority controlled by the same underlying individuals or entities from the time the legacy system was </w:t>
      </w:r>
      <w:r w:rsidR="006312BE">
        <w:lastRenderedPageBreak/>
        <w:t>installed</w:t>
      </w:r>
      <w:r w:rsidR="006312BE">
        <w:rPr>
          <w:rStyle w:val="FootnoteReference"/>
        </w:rPr>
        <w:footnoteReference w:id="443"/>
      </w:r>
      <w:r>
        <w:t xml:space="preserve">) of the original customer.  For this latter group, the legacy period does not restart when the </w:t>
      </w:r>
      <w:r w:rsidR="00442250">
        <w:t>legal partner</w:t>
      </w:r>
      <w:r>
        <w:t xml:space="preserve"> takes control of the system.  Rather, the legacy period maintains its original interconnection date and length of nine years.</w:t>
      </w:r>
      <w:bookmarkEnd w:id="209"/>
      <w:r>
        <w:t xml:space="preserve">  Joint Utilities are directed </w:t>
      </w:r>
      <w:bookmarkStart w:name="_Hlk121567066" w:id="210"/>
      <w:r>
        <w:t>to create a uniform attestation for legal partners to use to take advantage of this exception</w:t>
      </w:r>
      <w:bookmarkEnd w:id="210"/>
      <w:r>
        <w:t>.</w:t>
      </w:r>
    </w:p>
    <w:p w:rsidR="009D3E03" w:rsidP="009D3E03" w:rsidRDefault="009D3E03" w14:paraId="3689273E" w14:textId="4BD624D8">
      <w:pPr>
        <w:pStyle w:val="Standard"/>
      </w:pPr>
      <w:proofErr w:type="spellStart"/>
      <w:r>
        <w:t>CALSSA</w:t>
      </w:r>
      <w:proofErr w:type="spellEnd"/>
      <w:r>
        <w:t xml:space="preserve"> asserts </w:t>
      </w:r>
      <w:r w:rsidR="007A01D3">
        <w:t xml:space="preserve">that </w:t>
      </w:r>
      <w:r>
        <w:t>tying the legacy period to the customer rather than the system breaks with current policy and may impact the value of a home.</w:t>
      </w:r>
      <w:r>
        <w:rPr>
          <w:rStyle w:val="FootnoteReference"/>
        </w:rPr>
        <w:footnoteReference w:id="444"/>
      </w:r>
      <w:r>
        <w:t xml:space="preserve">  The Commission finds that the purpose of the legacy period is to provide the customer certainty and incentivize them to install a customer</w:t>
      </w:r>
      <w:r w:rsidR="008E22AB">
        <w:noBreakHyphen/>
      </w:r>
      <w:r>
        <w:t>sited generation system.</w:t>
      </w:r>
    </w:p>
    <w:p w:rsidR="00C2104E" w:rsidP="005E7044" w:rsidRDefault="00C2104E" w14:paraId="5A92CE02" w14:textId="7C9905A1">
      <w:pPr>
        <w:pStyle w:val="Standard"/>
      </w:pPr>
      <w:r>
        <w:t xml:space="preserve">As determined in </w:t>
      </w:r>
      <w:r w:rsidR="0034029C">
        <w:t>Section 8</w:t>
      </w:r>
      <w:r>
        <w:t xml:space="preserve">.4.8 above, imports and exports will be calculated based on </w:t>
      </w:r>
      <w:r w:rsidR="00DB2875">
        <w:t xml:space="preserve">no </w:t>
      </w:r>
      <w:r>
        <w:t xml:space="preserve">netting of consumption and production whereby all recorded </w:t>
      </w:r>
      <w:r w:rsidR="002A4774">
        <w:t xml:space="preserve">net </w:t>
      </w:r>
      <w:r>
        <w:t xml:space="preserve">imports on the first meter channel are charged the retail rate and all recorded </w:t>
      </w:r>
      <w:r w:rsidR="002A4774">
        <w:t xml:space="preserve">net </w:t>
      </w:r>
      <w:r>
        <w:t xml:space="preserve">exports on the second meter channel are compensated at the </w:t>
      </w:r>
      <w:r w:rsidR="00F64859">
        <w:t xml:space="preserve">retail </w:t>
      </w:r>
      <w:r>
        <w:t>export compensation rate.</w:t>
      </w:r>
      <w:r w:rsidR="004770A9">
        <w:t xml:space="preserve">  Bill credits will be applicable toward import charges from any time </w:t>
      </w:r>
      <w:r w:rsidR="00AA21E9">
        <w:t xml:space="preserve">in that billing </w:t>
      </w:r>
      <w:r w:rsidR="004770A9">
        <w:t>period.  Joint Utilities recommend that bill credits only apply to charges in the time</w:t>
      </w:r>
      <w:r w:rsidR="00827602">
        <w:noBreakHyphen/>
      </w:r>
      <w:r w:rsidR="004770A9">
        <w:t>of</w:t>
      </w:r>
      <w:r w:rsidR="00827602">
        <w:noBreakHyphen/>
      </w:r>
      <w:r w:rsidR="004770A9">
        <w:t>use period as they were generated</w:t>
      </w:r>
      <w:r w:rsidR="00420E6C">
        <w:t>, arguing that applying credits to other time</w:t>
      </w:r>
      <w:r w:rsidR="00827602">
        <w:noBreakHyphen/>
      </w:r>
      <w:r w:rsidR="00420E6C">
        <w:t>of</w:t>
      </w:r>
      <w:r w:rsidR="00827602">
        <w:noBreakHyphen/>
      </w:r>
      <w:r w:rsidR="00420E6C">
        <w:t>use time</w:t>
      </w:r>
      <w:r w:rsidR="00827602">
        <w:noBreakHyphen/>
      </w:r>
      <w:r w:rsidR="00420E6C">
        <w:t>period</w:t>
      </w:r>
      <w:r w:rsidR="00AA45ED">
        <w:t>s</w:t>
      </w:r>
      <w:r w:rsidR="00420E6C">
        <w:t xml:space="preserve"> would result in inappropriate customer benefits during times the grid does not benefit.</w:t>
      </w:r>
      <w:r w:rsidR="00420E6C">
        <w:rPr>
          <w:rStyle w:val="FootnoteReference"/>
        </w:rPr>
        <w:footnoteReference w:id="445"/>
      </w:r>
      <w:r w:rsidR="00420E6C">
        <w:t xml:space="preserve">  </w:t>
      </w:r>
      <w:r w:rsidR="006229BE">
        <w:t>T</w:t>
      </w:r>
      <w:r w:rsidR="00420E6C">
        <w:t xml:space="preserve">his requirement </w:t>
      </w:r>
      <w:r w:rsidR="006229BE">
        <w:t xml:space="preserve">is </w:t>
      </w:r>
      <w:r w:rsidR="00420E6C">
        <w:t>overly prescriptive and</w:t>
      </w:r>
      <w:r w:rsidR="006229BE">
        <w:t>, therefore,</w:t>
      </w:r>
      <w:r w:rsidR="00420E6C">
        <w:t xml:space="preserve"> den</w:t>
      </w:r>
      <w:r w:rsidR="006229BE">
        <w:t>ied</w:t>
      </w:r>
      <w:r w:rsidR="00420E6C">
        <w:t>.</w:t>
      </w:r>
    </w:p>
    <w:p w:rsidR="00533B2F" w:rsidP="005E7044" w:rsidRDefault="006E3F76" w14:paraId="3231EAC8" w14:textId="42319889">
      <w:pPr>
        <w:pStyle w:val="Standard"/>
      </w:pPr>
      <w:r>
        <w:t>D.16</w:t>
      </w:r>
      <w:r w:rsidR="00827602">
        <w:noBreakHyphen/>
      </w:r>
      <w:r>
        <w:t>01</w:t>
      </w:r>
      <w:r w:rsidR="00827602">
        <w:noBreakHyphen/>
      </w:r>
      <w:r>
        <w:t xml:space="preserve">044 directed the utilities </w:t>
      </w:r>
      <w:r w:rsidR="00BA1EAE">
        <w:t>“</w:t>
      </w:r>
      <w:r>
        <w:t xml:space="preserve">to </w:t>
      </w:r>
      <w:r w:rsidRPr="000F0173">
        <w:t>require</w:t>
      </w:r>
      <w:r>
        <w:t xml:space="preserve"> that the applicant for [</w:t>
      </w:r>
      <w:r w:rsidR="00602BC5">
        <w:t>NEM 2.0</w:t>
      </w:r>
      <w:r>
        <w:t>]</w:t>
      </w:r>
      <w:r w:rsidRPr="000F0173">
        <w:t xml:space="preserve"> interconnection provide verification, as part of any interconnection request, that all major solar system components are on</w:t>
      </w:r>
      <w:r>
        <w:t xml:space="preserve"> the verified </w:t>
      </w:r>
      <w:r w:rsidRPr="000F0173">
        <w:t>equipment</w:t>
      </w:r>
      <w:r>
        <w:t xml:space="preserve"> </w:t>
      </w:r>
      <w:r>
        <w:lastRenderedPageBreak/>
        <w:t xml:space="preserve">list maintained by </w:t>
      </w:r>
      <w:r w:rsidRPr="000F0173">
        <w:t xml:space="preserve">the </w:t>
      </w:r>
      <w:r>
        <w:t>[California Energy Commission (CEC)].</w:t>
      </w:r>
      <w:r w:rsidR="00BA1EAE">
        <w:t>”</w:t>
      </w:r>
      <w:r>
        <w:rPr>
          <w:rStyle w:val="FootnoteReference"/>
        </w:rPr>
        <w:footnoteReference w:id="446"/>
      </w:r>
      <w:r>
        <w:t xml:space="preserve">  </w:t>
      </w:r>
      <w:bookmarkStart w:name="_Hlk118190291" w:id="211"/>
      <w:r>
        <w:t xml:space="preserve">The CEC’s verified equipment </w:t>
      </w:r>
      <w:r w:rsidRPr="00F73209">
        <w:rPr>
          <w:szCs w:val="26"/>
        </w:rPr>
        <w:t xml:space="preserve">list </w:t>
      </w:r>
      <w:r>
        <w:rPr>
          <w:szCs w:val="26"/>
        </w:rPr>
        <w:t>was required</w:t>
      </w:r>
      <w:r w:rsidRPr="00F73209">
        <w:rPr>
          <w:szCs w:val="26"/>
        </w:rPr>
        <w:t xml:space="preserve"> </w:t>
      </w:r>
      <w:r>
        <w:rPr>
          <w:szCs w:val="26"/>
        </w:rPr>
        <w:t>by</w:t>
      </w:r>
      <w:r w:rsidRPr="00F73209">
        <w:rPr>
          <w:szCs w:val="26"/>
        </w:rPr>
        <w:t xml:space="preserve"> </w:t>
      </w:r>
      <w:r w:rsidR="00E27AE8">
        <w:rPr>
          <w:szCs w:val="26"/>
        </w:rPr>
        <w:t>SB </w:t>
      </w:r>
      <w:r>
        <w:rPr>
          <w:szCs w:val="26"/>
        </w:rPr>
        <w:t xml:space="preserve">1 (Murray, 2006) </w:t>
      </w:r>
      <w:r w:rsidR="00BA1EAE">
        <w:rPr>
          <w:szCs w:val="26"/>
        </w:rPr>
        <w:t>“</w:t>
      </w:r>
      <w:r w:rsidRPr="00535222">
        <w:rPr>
          <w:color w:val="333333"/>
          <w:szCs w:val="26"/>
          <w:shd w:val="clear" w:color="auto" w:fill="FFFFFF"/>
        </w:rPr>
        <w:t>to establish conditions for ratepayer funded incentives that are applicable to the California Solar Initiative</w:t>
      </w:r>
      <w:r>
        <w:rPr>
          <w:color w:val="333333"/>
          <w:szCs w:val="26"/>
          <w:shd w:val="clear" w:color="auto" w:fill="FFFFFF"/>
        </w:rPr>
        <w:t>.</w:t>
      </w:r>
      <w:r w:rsidR="00BA1EAE">
        <w:rPr>
          <w:rFonts w:ascii="Verdana" w:hAnsi="Verdana"/>
          <w:color w:val="333333"/>
          <w:szCs w:val="26"/>
          <w:shd w:val="clear" w:color="auto" w:fill="FFFFFF"/>
        </w:rPr>
        <w:t>”</w:t>
      </w:r>
      <w:r w:rsidRPr="00F73209">
        <w:rPr>
          <w:rStyle w:val="FootnoteReference"/>
          <w:szCs w:val="26"/>
        </w:rPr>
        <w:footnoteReference w:id="447"/>
      </w:r>
      <w:bookmarkEnd w:id="211"/>
      <w:r>
        <w:t xml:space="preserve">  </w:t>
      </w:r>
      <w:r w:rsidR="00FA3385">
        <w:t>T</w:t>
      </w:r>
      <w:r>
        <w:t>his direction in D.16</w:t>
      </w:r>
      <w:r w:rsidR="00827602">
        <w:noBreakHyphen/>
      </w:r>
      <w:r>
        <w:t>01</w:t>
      </w:r>
      <w:r w:rsidR="00827602">
        <w:noBreakHyphen/>
      </w:r>
      <w:r>
        <w:t>044 was duplicative as similar criteria are listed in Section</w:t>
      </w:r>
      <w:r w:rsidR="00640AA3">
        <w:t>s</w:t>
      </w:r>
      <w:r w:rsidR="004E4D71">
        <w:t> </w:t>
      </w:r>
      <w:r>
        <w:t>L.2</w:t>
      </w:r>
      <w:r w:rsidR="00827602">
        <w:noBreakHyphen/>
      </w:r>
      <w:r>
        <w:t xml:space="preserve">L.4 and </w:t>
      </w:r>
      <w:r w:rsidR="00640AA3">
        <w:t>Section </w:t>
      </w:r>
      <w:r>
        <w:t xml:space="preserve">L.7 of Electric Rule </w:t>
      </w:r>
      <w:r w:rsidR="00932453">
        <w:t>No. </w:t>
      </w:r>
      <w:r>
        <w:t>21 (</w:t>
      </w:r>
      <w:r w:rsidR="00337F73">
        <w:t>Rule 2</w:t>
      </w:r>
      <w:r>
        <w:t xml:space="preserve">1).  While it was sensible in 2016 to leverage California Solar Initiative activities, </w:t>
      </w:r>
      <w:r w:rsidR="00602BC5">
        <w:t>NEM 2.0</w:t>
      </w:r>
      <w:r w:rsidR="00135D55">
        <w:t xml:space="preserve"> </w:t>
      </w:r>
      <w:r>
        <w:t xml:space="preserve">and the </w:t>
      </w:r>
      <w:r w:rsidR="00CE2C8B">
        <w:t>n</w:t>
      </w:r>
      <w:r>
        <w:t xml:space="preserve">et </w:t>
      </w:r>
      <w:r w:rsidR="00CE2C8B">
        <w:t>b</w:t>
      </w:r>
      <w:r>
        <w:t>illing tariff adopted here are not part of that initiative.  This decision amends this</w:t>
      </w:r>
      <w:r w:rsidDel="00D0767C">
        <w:t xml:space="preserve"> </w:t>
      </w:r>
      <w:r w:rsidR="00851CA3">
        <w:t xml:space="preserve">direction </w:t>
      </w:r>
      <w:r w:rsidR="00D13B6F">
        <w:t>in D.16</w:t>
      </w:r>
      <w:r w:rsidR="00827602">
        <w:noBreakHyphen/>
      </w:r>
      <w:r w:rsidR="00D13B6F">
        <w:t>01</w:t>
      </w:r>
      <w:r w:rsidR="00827602">
        <w:noBreakHyphen/>
      </w:r>
      <w:r w:rsidR="00D13B6F">
        <w:t xml:space="preserve">044 </w:t>
      </w:r>
      <w:r w:rsidR="00851CA3">
        <w:t>and</w:t>
      </w:r>
      <w:r>
        <w:t xml:space="preserve"> clarifies that the utilities shall use </w:t>
      </w:r>
      <w:r w:rsidR="00D13B6F">
        <w:t>the aforementioned</w:t>
      </w:r>
      <w:r>
        <w:t xml:space="preserve"> sections of </w:t>
      </w:r>
      <w:r w:rsidR="00337F73">
        <w:t>Rule 2</w:t>
      </w:r>
      <w:r>
        <w:t>1 to establish the certified and non</w:t>
      </w:r>
      <w:r w:rsidR="00827602">
        <w:noBreakHyphen/>
      </w:r>
      <w:r>
        <w:t xml:space="preserve">certified connection criteria for the </w:t>
      </w:r>
      <w:r w:rsidR="00CE2C8B">
        <w:t>n</w:t>
      </w:r>
      <w:r>
        <w:t xml:space="preserve">et </w:t>
      </w:r>
      <w:r w:rsidR="00CE2C8B">
        <w:t>b</w:t>
      </w:r>
      <w:r>
        <w:t>illing tariff</w:t>
      </w:r>
      <w:r w:rsidDel="00FA3F36">
        <w:t xml:space="preserve"> </w:t>
      </w:r>
      <w:r>
        <w:t>eligibility in place of the CEC’s verified equipment list.</w:t>
      </w:r>
    </w:p>
    <w:p w:rsidR="00533B2F" w:rsidP="005E7044" w:rsidRDefault="006E3F76" w14:paraId="2D656277" w14:textId="04EAF345">
      <w:pPr>
        <w:pStyle w:val="Standard"/>
      </w:pPr>
      <w:r>
        <w:t xml:space="preserve">This decision also clarifies that a customer currently taking service under </w:t>
      </w:r>
      <w:r w:rsidR="00602BC5">
        <w:t>NEM 2.0</w:t>
      </w:r>
      <w:r w:rsidR="00135D55">
        <w:t xml:space="preserve"> </w:t>
      </w:r>
      <w:r>
        <w:t xml:space="preserve">may add battery storage to their existing distributed generation system without altering their </w:t>
      </w:r>
      <w:r w:rsidR="00602BC5">
        <w:t>NEM 2.0</w:t>
      </w:r>
      <w:r>
        <w:t xml:space="preserve"> status.</w:t>
      </w:r>
    </w:p>
    <w:p w:rsidR="006E3F76" w:rsidP="005E7044" w:rsidRDefault="00D13B6F" w14:paraId="5F501C33" w14:textId="7BF59492">
      <w:pPr>
        <w:pStyle w:val="Standard"/>
      </w:pPr>
      <w:r>
        <w:t>Lastly, t</w:t>
      </w:r>
      <w:r w:rsidR="006E3F76">
        <w:t>he Commission recognizes that equipment failures or other issues may cause a customer’s solar system to go offline without the customer’s knowledge. This may cause unanticipated increases to the customer’s electric bill. Non</w:t>
      </w:r>
      <w:r w:rsidR="00827602">
        <w:noBreakHyphen/>
      </w:r>
      <w:r w:rsidR="006E3F76">
        <w:t xml:space="preserve">operating solar systems </w:t>
      </w:r>
      <w:r w:rsidR="0029634B">
        <w:t xml:space="preserve">would </w:t>
      </w:r>
      <w:r w:rsidR="006E3F76">
        <w:t xml:space="preserve">also result in underutilization of California’s installed renewable energy resources, impacting the State’s ability to meet its environmental and climate goals. </w:t>
      </w:r>
      <w:r w:rsidR="00B62BC2">
        <w:t xml:space="preserve"> </w:t>
      </w:r>
      <w:r w:rsidR="00AD2CB0">
        <w:t xml:space="preserve">The proposed decision </w:t>
      </w:r>
      <w:r w:rsidR="006E3F76">
        <w:t xml:space="preserve">directed </w:t>
      </w:r>
      <w:r w:rsidR="00AD2CB0">
        <w:t xml:space="preserve">Joint Utilities </w:t>
      </w:r>
      <w:r w:rsidR="006E3F76">
        <w:t xml:space="preserve">to </w:t>
      </w:r>
      <w:r w:rsidR="00CC7497">
        <w:t xml:space="preserve">propose </w:t>
      </w:r>
      <w:r w:rsidR="006E3F76">
        <w:t xml:space="preserve">a process to notify customers when their solar systems interconnected under the net energy metering or </w:t>
      </w:r>
      <w:r w:rsidR="00CE2C8B">
        <w:t>n</w:t>
      </w:r>
      <w:r w:rsidR="006E3F76">
        <w:t xml:space="preserve">et </w:t>
      </w:r>
      <w:r w:rsidR="00CE2C8B">
        <w:t>b</w:t>
      </w:r>
      <w:r w:rsidR="006E3F76">
        <w:t xml:space="preserve">illing tariffs appear to be offline for a period of </w:t>
      </w:r>
      <w:r>
        <w:t>seven</w:t>
      </w:r>
      <w:r w:rsidR="00F335A1">
        <w:t> </w:t>
      </w:r>
      <w:r w:rsidR="006E3F76">
        <w:t xml:space="preserve">days or more. </w:t>
      </w:r>
      <w:r w:rsidR="00AD2CB0">
        <w:t xml:space="preserve">In comments to the proposed decision, </w:t>
      </w:r>
      <w:r w:rsidR="00AD2CB0">
        <w:lastRenderedPageBreak/>
        <w:t xml:space="preserve">Joint Utilities </w:t>
      </w:r>
      <w:r w:rsidR="004B6BDE">
        <w:t>contend they “do not have the information necessary to meet this directive in a way that would provide customers accurate information</w:t>
      </w:r>
      <w:r w:rsidR="0046614C">
        <w:t>” and requests this directive be stricken</w:t>
      </w:r>
      <w:r w:rsidR="00CC7497">
        <w:t>.</w:t>
      </w:r>
      <w:r w:rsidR="004B6BDE">
        <w:rPr>
          <w:rStyle w:val="FootnoteReference"/>
        </w:rPr>
        <w:footnoteReference w:id="448"/>
      </w:r>
      <w:r w:rsidR="0046614C">
        <w:t xml:space="preserve">  Aurora Solar agrees and notes that many inverter manufacturers offer system monitoring.</w:t>
      </w:r>
      <w:r w:rsidR="0046614C">
        <w:rPr>
          <w:rStyle w:val="FootnoteReference"/>
        </w:rPr>
        <w:footnoteReference w:id="449"/>
      </w:r>
      <w:r w:rsidR="0046614C">
        <w:t xml:space="preserve">  </w:t>
      </w:r>
      <w:r w:rsidR="007A01D3">
        <w:t>While t</w:t>
      </w:r>
      <w:r w:rsidR="0046614C">
        <w:t>h</w:t>
      </w:r>
      <w:r w:rsidR="007A01D3">
        <w:t>is</w:t>
      </w:r>
      <w:r w:rsidR="0046614C">
        <w:t xml:space="preserve"> directive </w:t>
      </w:r>
      <w:r w:rsidR="007A01D3">
        <w:t>is</w:t>
      </w:r>
      <w:r w:rsidR="0046614C">
        <w:t xml:space="preserve"> </w:t>
      </w:r>
      <w:r w:rsidR="00E32F21">
        <w:t>omitted</w:t>
      </w:r>
      <w:r w:rsidR="007A01D3">
        <w:t xml:space="preserve"> at this time, the Commission may choose to revisit this issue in its consideration of enhanced consumer protections</w:t>
      </w:r>
      <w:r w:rsidR="0046614C">
        <w:t>.</w:t>
      </w:r>
    </w:p>
    <w:p w:rsidR="00071337" w:rsidP="005E7044" w:rsidRDefault="000D307A" w14:paraId="0FCC8830" w14:textId="11C34186">
      <w:pPr>
        <w:pStyle w:val="Heading3"/>
        <w:keepLines w:val="0"/>
      </w:pPr>
      <w:bookmarkStart w:name="_Toc117674102" w:id="213"/>
      <w:bookmarkStart w:name="_Toc118285093" w:id="214"/>
      <w:bookmarkStart w:name="_Toc121854420" w:id="215"/>
      <w:r>
        <w:t xml:space="preserve">Analysis </w:t>
      </w:r>
      <w:r w:rsidR="00071337">
        <w:t>Results of the Successor Tariff</w:t>
      </w:r>
      <w:bookmarkEnd w:id="213"/>
      <w:bookmarkEnd w:id="214"/>
      <w:bookmarkEnd w:id="215"/>
    </w:p>
    <w:p w:rsidR="00896148" w:rsidP="005E7044" w:rsidRDefault="00F02AF8" w14:paraId="0187FAC7" w14:textId="2D9860E5">
      <w:pPr>
        <w:pStyle w:val="Standard"/>
      </w:pPr>
      <w:r>
        <w:t xml:space="preserve">The Commission is statutorily mandated to adopt a successor tariff that meets the requirements of Public Utilities Code </w:t>
      </w:r>
      <w:r w:rsidR="0034029C">
        <w:t>Section 2</w:t>
      </w:r>
      <w:r>
        <w:t>827.1</w:t>
      </w:r>
      <w:r w:rsidR="00FF2D5E">
        <w:t>.</w:t>
      </w:r>
      <w:r>
        <w:t xml:space="preserve">  As part of the analysis of the successor tariff discussed above in </w:t>
      </w:r>
      <w:r w:rsidR="00F72D76">
        <w:t>Sections 8.5.1 through Section 8.5.4</w:t>
      </w:r>
      <w:r>
        <w:t>, the Commission must ensure that the costs are approximately equal to the benefits</w:t>
      </w:r>
      <w:r w:rsidR="00896148">
        <w:t xml:space="preserve">.  Previously, </w:t>
      </w:r>
      <w:r w:rsidR="006229BE">
        <w:t xml:space="preserve">this decision </w:t>
      </w:r>
      <w:r w:rsidR="00896148">
        <w:t>determined that the cost</w:t>
      </w:r>
      <w:r w:rsidR="00827602">
        <w:noBreakHyphen/>
      </w:r>
      <w:r w:rsidR="00896148">
        <w:t xml:space="preserve">effectiveness analysis </w:t>
      </w:r>
      <w:r w:rsidR="006229BE">
        <w:t xml:space="preserve">would be conducted </w:t>
      </w:r>
      <w:r w:rsidR="00896148">
        <w:t>as directed by the Commission in D.19</w:t>
      </w:r>
      <w:r w:rsidR="00827602">
        <w:noBreakHyphen/>
      </w:r>
      <w:r w:rsidR="00896148">
        <w:t>05</w:t>
      </w:r>
      <w:r w:rsidR="00827602">
        <w:noBreakHyphen/>
      </w:r>
      <w:r w:rsidR="00896148">
        <w:t>019</w:t>
      </w:r>
      <w:r w:rsidR="00F322A8">
        <w:t xml:space="preserve"> and the results of the </w:t>
      </w:r>
      <w:proofErr w:type="spellStart"/>
      <w:r w:rsidR="00F322A8">
        <w:t>TRC</w:t>
      </w:r>
      <w:proofErr w:type="spellEnd"/>
      <w:r w:rsidR="00F322A8">
        <w:t xml:space="preserve"> test, as well as the RIM and PCT tests</w:t>
      </w:r>
      <w:r w:rsidR="006229BE">
        <w:t>, would be reviewed</w:t>
      </w:r>
      <w:r w:rsidR="00896148">
        <w:t>.</w:t>
      </w:r>
      <w:r w:rsidR="00F322A8">
        <w:t xml:space="preserve">  Below, </w:t>
      </w:r>
      <w:r w:rsidR="006229BE">
        <w:t xml:space="preserve">this decision </w:t>
      </w:r>
      <w:r w:rsidR="00F322A8">
        <w:t>describe</w:t>
      </w:r>
      <w:r w:rsidR="006229BE">
        <w:t>s</w:t>
      </w:r>
      <w:r w:rsidR="00F322A8">
        <w:t xml:space="preserve"> the </w:t>
      </w:r>
      <w:r w:rsidR="000D307A">
        <w:t xml:space="preserve">approach </w:t>
      </w:r>
      <w:r w:rsidR="00F322A8">
        <w:t>and the resulting outputs</w:t>
      </w:r>
      <w:r w:rsidR="00E446B3">
        <w:t xml:space="preserve"> used to analyze t</w:t>
      </w:r>
      <w:r w:rsidR="00896148">
        <w:t xml:space="preserve">he </w:t>
      </w:r>
      <w:r w:rsidR="00E446B3">
        <w:t xml:space="preserve">cost effectiveness of the </w:t>
      </w:r>
      <w:r w:rsidR="00F322A8">
        <w:t xml:space="preserve">elements adopted above, as part of the </w:t>
      </w:r>
      <w:r w:rsidR="005D0F26">
        <w:t>successor tariff</w:t>
      </w:r>
      <w:r w:rsidR="00E446B3">
        <w:t>.</w:t>
      </w:r>
    </w:p>
    <w:p w:rsidRPr="00FC286C" w:rsidR="00FC286C" w:rsidP="005E7044" w:rsidRDefault="00FC286C" w14:paraId="70522A06" w14:textId="09AF72B4">
      <w:pPr>
        <w:pStyle w:val="Standard"/>
      </w:pPr>
      <w:r w:rsidRPr="00FC286C">
        <w:t>The Commission used</w:t>
      </w:r>
      <w:r w:rsidRPr="00FC286C" w:rsidR="00130485">
        <w:t xml:space="preserve"> </w:t>
      </w:r>
      <w:r w:rsidRPr="00FC286C">
        <w:t>an Excel</w:t>
      </w:r>
      <w:r w:rsidR="00827602">
        <w:noBreakHyphen/>
      </w:r>
      <w:r w:rsidRPr="00FC286C">
        <w:t xml:space="preserve">based spreadsheet to </w:t>
      </w:r>
      <w:r w:rsidR="000D307A">
        <w:t>analyze</w:t>
      </w:r>
      <w:r w:rsidRPr="00FC286C" w:rsidR="000D307A">
        <w:t xml:space="preserve"> </w:t>
      </w:r>
      <w:r w:rsidRPr="00FC286C">
        <w:t xml:space="preserve">the elements contained in </w:t>
      </w:r>
      <w:r w:rsidR="005D0F26">
        <w:t>the successor tariff</w:t>
      </w:r>
      <w:r w:rsidRPr="00FC286C">
        <w:t xml:space="preserve">. </w:t>
      </w:r>
      <w:r w:rsidR="005D0F26">
        <w:t xml:space="preserve"> </w:t>
      </w:r>
      <w:r w:rsidRPr="00FC286C">
        <w:t xml:space="preserve">This same </w:t>
      </w:r>
      <w:r w:rsidR="000D307A">
        <w:t>approach</w:t>
      </w:r>
      <w:r w:rsidRPr="00FC286C" w:rsidR="000D307A">
        <w:t xml:space="preserve"> </w:t>
      </w:r>
      <w:r w:rsidRPr="00FC286C">
        <w:t xml:space="preserve">was used previously in this proceeding to analyze the proposals discussed in </w:t>
      </w:r>
      <w:r w:rsidR="0034029C">
        <w:t>Section 6</w:t>
      </w:r>
      <w:r w:rsidRPr="00FC286C">
        <w:t xml:space="preserve"> of this decision.</w:t>
      </w:r>
      <w:r w:rsidR="006836BC">
        <w:t xml:space="preserve">  </w:t>
      </w:r>
      <w:r w:rsidRPr="00FC286C">
        <w:t xml:space="preserve">This </w:t>
      </w:r>
      <w:r w:rsidR="00D30E14">
        <w:t>approach</w:t>
      </w:r>
      <w:r w:rsidRPr="00FC286C" w:rsidR="00D30E14">
        <w:t xml:space="preserve"> </w:t>
      </w:r>
      <w:r w:rsidRPr="00FC286C">
        <w:t>used five standardized output metrics</w:t>
      </w:r>
      <w:r w:rsidR="00D30E14">
        <w:t xml:space="preserve"> and</w:t>
      </w:r>
      <w:r w:rsidRPr="00FC286C">
        <w:t xml:space="preserve"> calculated annual customer bills for representative customers assuming stand</w:t>
      </w:r>
      <w:r w:rsidR="00827602">
        <w:noBreakHyphen/>
      </w:r>
      <w:r w:rsidRPr="00FC286C">
        <w:t>alone solar and solar paired with storage</w:t>
      </w:r>
      <w:r w:rsidR="005C718E">
        <w:t xml:space="preserve"> systems</w:t>
      </w:r>
      <w:r w:rsidRPr="00FC286C">
        <w:t xml:space="preserve">. </w:t>
      </w:r>
      <w:r w:rsidR="00301122">
        <w:t xml:space="preserve"> </w:t>
      </w:r>
      <w:r w:rsidRPr="00FC286C">
        <w:t xml:space="preserve">Additionally, bill savings were calculated relative to a </w:t>
      </w:r>
      <w:r w:rsidRPr="00FC286C">
        <w:lastRenderedPageBreak/>
        <w:t>counterfactual customer with no solar or battery system.</w:t>
      </w:r>
      <w:r w:rsidR="00851CA3">
        <w:t xml:space="preserve">  This decision clarifies that while the Lookback Study used the 2020 version of the Avoided Cost Calculator</w:t>
      </w:r>
      <w:r w:rsidR="00221877">
        <w:t xml:space="preserve">, the most recent version at the time of publication, </w:t>
      </w:r>
      <w:r w:rsidR="004D0651">
        <w:t>more recent</w:t>
      </w:r>
      <w:r w:rsidR="00221877">
        <w:t xml:space="preserve"> analysis uses the current (2022) version of the Avoided Cost Calculator.</w:t>
      </w:r>
    </w:p>
    <w:p w:rsidR="00457C7D" w:rsidP="005E7044" w:rsidRDefault="00FC286C" w14:paraId="7B9D72AB" w14:textId="30D0BC36">
      <w:pPr>
        <w:pStyle w:val="Standard"/>
      </w:pPr>
      <w:r w:rsidRPr="00FC286C">
        <w:t xml:space="preserve">The </w:t>
      </w:r>
      <w:r w:rsidR="00D30E14">
        <w:t>analysis</w:t>
      </w:r>
      <w:r w:rsidRPr="00FC286C" w:rsidR="00D30E14">
        <w:t xml:space="preserve"> </w:t>
      </w:r>
      <w:r w:rsidRPr="00FC286C">
        <w:t>has several dimensions including</w:t>
      </w:r>
      <w:r w:rsidR="00537983">
        <w:t xml:space="preserve"> (1)</w:t>
      </w:r>
      <w:r w:rsidR="003072DF">
        <w:t> </w:t>
      </w:r>
      <w:r w:rsidRPr="00FC286C">
        <w:t>three different utilities</w:t>
      </w:r>
      <w:r w:rsidR="00537983">
        <w:t xml:space="preserve">:  </w:t>
      </w:r>
      <w:r w:rsidRPr="00FC286C">
        <w:t xml:space="preserve">PG&amp;E, SDG&amp;E, and SCE; </w:t>
      </w:r>
      <w:r w:rsidR="00D13B6F">
        <w:t>(2)</w:t>
      </w:r>
      <w:r w:rsidR="003072DF">
        <w:t> </w:t>
      </w:r>
      <w:r w:rsidRPr="00FC286C">
        <w:t>three customer categories</w:t>
      </w:r>
      <w:r w:rsidR="00555CC0">
        <w:t xml:space="preserve">:  </w:t>
      </w:r>
      <w:r w:rsidRPr="00FC286C">
        <w:t>non</w:t>
      </w:r>
      <w:r w:rsidR="00827602">
        <w:noBreakHyphen/>
      </w:r>
      <w:r w:rsidRPr="00FC286C">
        <w:t xml:space="preserve">CARE residential, CARE residential, and small commercial; </w:t>
      </w:r>
      <w:r w:rsidR="00851CA3">
        <w:t xml:space="preserve">and </w:t>
      </w:r>
      <w:r w:rsidR="00D13B6F">
        <w:t>(3)</w:t>
      </w:r>
      <w:r w:rsidR="003072DF">
        <w:t> </w:t>
      </w:r>
      <w:r w:rsidRPr="00FC286C">
        <w:t>two system types</w:t>
      </w:r>
      <w:r w:rsidR="00555CC0">
        <w:t xml:space="preserve">:  </w:t>
      </w:r>
      <w:r w:rsidR="00D05D6F">
        <w:t>stand</w:t>
      </w:r>
      <w:r w:rsidR="00827602">
        <w:noBreakHyphen/>
      </w:r>
      <w:r w:rsidR="00D05D6F">
        <w:t xml:space="preserve">alone </w:t>
      </w:r>
      <w:r w:rsidRPr="00FC286C">
        <w:t>solar and solar</w:t>
      </w:r>
      <w:r w:rsidR="00301122">
        <w:t> </w:t>
      </w:r>
      <w:r w:rsidRPr="00FC286C">
        <w:t xml:space="preserve">paired with </w:t>
      </w:r>
      <w:r w:rsidR="00AC4307">
        <w:t>two</w:t>
      </w:r>
      <w:r w:rsidR="00827602">
        <w:noBreakHyphen/>
      </w:r>
      <w:r w:rsidR="00AC4307">
        <w:t xml:space="preserve">hour </w:t>
      </w:r>
      <w:r w:rsidRPr="00851CA3" w:rsidR="00AC4307">
        <w:t>storage</w:t>
      </w:r>
      <w:r w:rsidRPr="00851CA3">
        <w:t>.</w:t>
      </w:r>
      <w:r w:rsidR="006836BC">
        <w:t xml:space="preserve">  </w:t>
      </w:r>
      <w:r w:rsidRPr="00851CA3">
        <w:t>For</w:t>
      </w:r>
      <w:r w:rsidRPr="00FC286C">
        <w:t xml:space="preserve"> each of these dimensions, </w:t>
      </w:r>
      <w:r w:rsidR="00D0382F">
        <w:t>seven</w:t>
      </w:r>
      <w:r w:rsidRPr="00FC286C" w:rsidR="00D0382F">
        <w:t xml:space="preserve"> </w:t>
      </w:r>
      <w:r w:rsidRPr="00FC286C">
        <w:t>metrics were evaluated</w:t>
      </w:r>
      <w:r w:rsidR="00555CC0">
        <w:t xml:space="preserve">:  </w:t>
      </w:r>
      <w:r w:rsidR="00BD2888">
        <w:t xml:space="preserve">simple </w:t>
      </w:r>
      <w:r w:rsidRPr="00FC286C">
        <w:t>payback period</w:t>
      </w:r>
      <w:r w:rsidR="00BD2888">
        <w:t xml:space="preserve"> (in years)</w:t>
      </w:r>
      <w:r w:rsidRPr="00FC286C">
        <w:t xml:space="preserve">, </w:t>
      </w:r>
      <w:r w:rsidR="00D05D6F">
        <w:t xml:space="preserve">time to payback (in years) </w:t>
      </w:r>
      <w:r w:rsidR="001C570C">
        <w:t>first</w:t>
      </w:r>
      <w:r w:rsidR="00827602">
        <w:noBreakHyphen/>
      </w:r>
      <w:r w:rsidR="001C570C">
        <w:t>year bill savings</w:t>
      </w:r>
      <w:r w:rsidR="00D05D6F">
        <w:t xml:space="preserve"> (in dollars</w:t>
      </w:r>
      <w:r w:rsidR="00A079FF">
        <w:t>),</w:t>
      </w:r>
      <w:r w:rsidR="001C570C">
        <w:t xml:space="preserve"> </w:t>
      </w:r>
      <w:r w:rsidRPr="00FC286C">
        <w:t>first</w:t>
      </w:r>
      <w:r w:rsidR="00827602">
        <w:noBreakHyphen/>
      </w:r>
      <w:r w:rsidRPr="00FC286C">
        <w:t>year cost</w:t>
      </w:r>
      <w:r w:rsidR="0029634B">
        <w:t xml:space="preserve"> </w:t>
      </w:r>
      <w:r w:rsidRPr="00FC286C">
        <w:t>shift</w:t>
      </w:r>
      <w:r w:rsidR="00D05D6F">
        <w:t xml:space="preserve"> (in dollars)</w:t>
      </w:r>
      <w:r w:rsidR="007030FB">
        <w:t>,</w:t>
      </w:r>
      <w:r w:rsidRPr="00FC286C" w:rsidR="007030FB">
        <w:t xml:space="preserve"> </w:t>
      </w:r>
      <w:r w:rsidRPr="00FC286C">
        <w:t>PCT benefit</w:t>
      </w:r>
      <w:r w:rsidR="00827602">
        <w:noBreakHyphen/>
      </w:r>
      <w:r w:rsidRPr="00FC286C">
        <w:t>cost ratio, RIM benefit</w:t>
      </w:r>
      <w:r w:rsidR="00827602">
        <w:noBreakHyphen/>
      </w:r>
      <w:r w:rsidRPr="00FC286C">
        <w:t xml:space="preserve">cost ratio, and </w:t>
      </w:r>
      <w:proofErr w:type="spellStart"/>
      <w:r w:rsidRPr="00FC286C">
        <w:t>TRC</w:t>
      </w:r>
      <w:proofErr w:type="spellEnd"/>
      <w:r w:rsidRPr="00FC286C">
        <w:t xml:space="preserve"> benefit</w:t>
      </w:r>
      <w:r w:rsidR="00827602">
        <w:noBreakHyphen/>
      </w:r>
      <w:r w:rsidRPr="00FC286C">
        <w:t>cost ratio.</w:t>
      </w:r>
      <w:r w:rsidR="00C86D04">
        <w:t xml:space="preserve">  </w:t>
      </w:r>
      <w:r w:rsidR="006229BE">
        <w:t>E</w:t>
      </w:r>
      <w:r w:rsidR="00C86D04">
        <w:t xml:space="preserve">ach of these metrics </w:t>
      </w:r>
      <w:r w:rsidR="006229BE">
        <w:t xml:space="preserve">are discussed </w:t>
      </w:r>
      <w:r w:rsidR="00C86D04">
        <w:t>individually.</w:t>
      </w:r>
      <w:r w:rsidR="00C43D7B">
        <w:t xml:space="preserve">  Full results from the </w:t>
      </w:r>
      <w:r w:rsidR="00D30E14">
        <w:t xml:space="preserve">analysis </w:t>
      </w:r>
      <w:r w:rsidR="00C43D7B">
        <w:t xml:space="preserve">and descriptions of the inputs and assumptions used are in </w:t>
      </w:r>
      <w:r w:rsidR="00123055">
        <w:t>Appendix B</w:t>
      </w:r>
      <w:r w:rsidR="00C922C4">
        <w:t>.</w:t>
      </w:r>
    </w:p>
    <w:p w:rsidR="00C86D04" w:rsidP="005E7044" w:rsidRDefault="006229BE" w14:paraId="30B0FD8D" w14:textId="4A087DA4">
      <w:pPr>
        <w:pStyle w:val="Standard"/>
      </w:pPr>
      <w:r>
        <w:t xml:space="preserve">This decision </w:t>
      </w:r>
      <w:r w:rsidR="00C86D04">
        <w:t>begin</w:t>
      </w:r>
      <w:r>
        <w:t>s</w:t>
      </w:r>
      <w:r w:rsidR="00C86D04">
        <w:t xml:space="preserve"> with </w:t>
      </w:r>
      <w:r>
        <w:t xml:space="preserve">a discussion of </w:t>
      </w:r>
      <w:r w:rsidR="00C86D04">
        <w:t>the payback period.  For residential customers</w:t>
      </w:r>
      <w:r w:rsidR="00D0382F">
        <w:t xml:space="preserve"> </w:t>
      </w:r>
      <w:r w:rsidR="004D0651">
        <w:t>with stand</w:t>
      </w:r>
      <w:r w:rsidR="00827602">
        <w:noBreakHyphen/>
      </w:r>
      <w:r w:rsidR="004D0651">
        <w:t>alone solar systems</w:t>
      </w:r>
      <w:r w:rsidR="00AC4307">
        <w:t xml:space="preserve">, </w:t>
      </w:r>
      <w:r w:rsidR="00C86D04">
        <w:t xml:space="preserve">the simple payback period ranges between a low of </w:t>
      </w:r>
      <w:r w:rsidR="00297F84">
        <w:t>5.95</w:t>
      </w:r>
      <w:r w:rsidR="002F5949">
        <w:t> </w:t>
      </w:r>
      <w:r w:rsidR="00C86D04">
        <w:t>years for an SDG&amp;E non</w:t>
      </w:r>
      <w:r w:rsidR="00827602">
        <w:noBreakHyphen/>
      </w:r>
      <w:r w:rsidR="00C86D04">
        <w:t xml:space="preserve">CARE customer to a high of </w:t>
      </w:r>
      <w:r w:rsidR="00484AC3">
        <w:t>nine</w:t>
      </w:r>
      <w:r w:rsidR="00C86D04">
        <w:t xml:space="preserve"> years for </w:t>
      </w:r>
      <w:r w:rsidR="00484AC3">
        <w:t xml:space="preserve">CARE and </w:t>
      </w:r>
      <w:r w:rsidR="00CA6787">
        <w:t>non</w:t>
      </w:r>
      <w:r w:rsidR="00827602">
        <w:noBreakHyphen/>
      </w:r>
      <w:r w:rsidR="00C86D04">
        <w:t>CARE customer</w:t>
      </w:r>
      <w:r w:rsidR="00484AC3">
        <w:t>s</w:t>
      </w:r>
      <w:r w:rsidR="00C86D04">
        <w:t xml:space="preserve"> in </w:t>
      </w:r>
      <w:r w:rsidR="00CA6787">
        <w:t>SC</w:t>
      </w:r>
      <w:r w:rsidR="00C86D04">
        <w:t xml:space="preserve">E </w:t>
      </w:r>
      <w:r w:rsidR="00484AC3">
        <w:t xml:space="preserve">and PG&amp;E </w:t>
      </w:r>
      <w:r w:rsidR="00C86D04">
        <w:t>territor</w:t>
      </w:r>
      <w:r w:rsidR="00297F84">
        <w:t>ies</w:t>
      </w:r>
      <w:r w:rsidR="00C86D04">
        <w:t xml:space="preserve"> </w:t>
      </w:r>
      <w:r w:rsidR="00297F84">
        <w:t>after application of the ACC Plus</w:t>
      </w:r>
      <w:r w:rsidR="00CA6787">
        <w:t xml:space="preserve">.  The results indicate the tariff </w:t>
      </w:r>
      <w:r w:rsidR="00C922C4">
        <w:t xml:space="preserve">generally </w:t>
      </w:r>
      <w:r w:rsidR="00CA6787">
        <w:t xml:space="preserve">provides a better economic investment for </w:t>
      </w:r>
      <w:r w:rsidR="00C872D1">
        <w:t xml:space="preserve">residential </w:t>
      </w:r>
      <w:r w:rsidR="009D0626">
        <w:t xml:space="preserve">customers with </w:t>
      </w:r>
      <w:r w:rsidR="00515041">
        <w:t xml:space="preserve">solar </w:t>
      </w:r>
      <w:r w:rsidR="009D0626">
        <w:t xml:space="preserve">paired </w:t>
      </w:r>
      <w:r w:rsidR="00515041">
        <w:t xml:space="preserve">with </w:t>
      </w:r>
      <w:r w:rsidR="009D0626">
        <w:t xml:space="preserve">storage, where the payback period ranges between </w:t>
      </w:r>
      <w:r w:rsidR="00F4291E">
        <w:t>4.7</w:t>
      </w:r>
      <w:r w:rsidR="009D0626">
        <w:t xml:space="preserve"> and </w:t>
      </w:r>
      <w:r w:rsidR="00297F84">
        <w:t>8.88</w:t>
      </w:r>
      <w:r w:rsidR="002F5949">
        <w:t> </w:t>
      </w:r>
      <w:r w:rsidR="009D0626">
        <w:t xml:space="preserve">years.  Certainly, </w:t>
      </w:r>
      <w:r w:rsidR="00C872D1">
        <w:t>these results comport</w:t>
      </w:r>
      <w:r w:rsidR="009D0626">
        <w:t xml:space="preserve"> with </w:t>
      </w:r>
      <w:r w:rsidR="00DB4129">
        <w:t xml:space="preserve">the </w:t>
      </w:r>
      <w:r w:rsidR="009D0626">
        <w:t xml:space="preserve">prior determination that the tariff should encourage paired storage.  </w:t>
      </w:r>
      <w:r w:rsidR="00297F84">
        <w:t xml:space="preserve">They </w:t>
      </w:r>
      <w:r w:rsidR="009D0626">
        <w:t xml:space="preserve">also </w:t>
      </w:r>
      <w:r w:rsidR="00C872D1">
        <w:t>align</w:t>
      </w:r>
      <w:r w:rsidR="009D0626">
        <w:t xml:space="preserve"> with </w:t>
      </w:r>
      <w:r w:rsidR="00DB4129">
        <w:t xml:space="preserve">the </w:t>
      </w:r>
      <w:r w:rsidR="009D0626">
        <w:t xml:space="preserve">determination that the </w:t>
      </w:r>
      <w:r w:rsidR="00C872D1">
        <w:t xml:space="preserve">payback period should balance the needs of participants and nonparticipants, but that a </w:t>
      </w:r>
      <w:r w:rsidR="00A13834">
        <w:t>nine</w:t>
      </w:r>
      <w:r w:rsidR="00827602">
        <w:noBreakHyphen/>
      </w:r>
      <w:r w:rsidR="00C872D1">
        <w:t xml:space="preserve">year payback period is </w:t>
      </w:r>
      <w:r w:rsidRPr="00851CA3" w:rsidR="00C872D1">
        <w:t xml:space="preserve">reasonable.  For nonresidential customers, the simple payback period is </w:t>
      </w:r>
      <w:r w:rsidR="00297F84">
        <w:t>also</w:t>
      </w:r>
      <w:r w:rsidRPr="00851CA3" w:rsidR="00297F84">
        <w:t xml:space="preserve"> </w:t>
      </w:r>
      <w:r w:rsidRPr="00851CA3" w:rsidR="00C872D1">
        <w:t xml:space="preserve">short, with a range between </w:t>
      </w:r>
      <w:r w:rsidR="00297F84">
        <w:t>5</w:t>
      </w:r>
      <w:r w:rsidRPr="00851CA3" w:rsidR="002A3377">
        <w:t>.</w:t>
      </w:r>
      <w:r w:rsidR="00297F84">
        <w:t>82</w:t>
      </w:r>
      <w:r w:rsidR="002F5949">
        <w:t> </w:t>
      </w:r>
      <w:r w:rsidRPr="00851CA3" w:rsidR="00C872D1">
        <w:t>years for a</w:t>
      </w:r>
      <w:r w:rsidRPr="00851CA3" w:rsidR="004C6E62">
        <w:t>n</w:t>
      </w:r>
      <w:r w:rsidRPr="00851CA3" w:rsidR="00C872D1">
        <w:t xml:space="preserve"> SDG&amp;E customer</w:t>
      </w:r>
      <w:r w:rsidRPr="00851CA3" w:rsidR="00273CAD">
        <w:t xml:space="preserve"> with solar </w:t>
      </w:r>
      <w:r w:rsidRPr="00851CA3" w:rsidR="00496B75">
        <w:t xml:space="preserve">paired with storage </w:t>
      </w:r>
      <w:r w:rsidRPr="00851CA3" w:rsidR="00273CAD">
        <w:t xml:space="preserve">to </w:t>
      </w:r>
      <w:r w:rsidRPr="00851CA3" w:rsidR="00273CAD">
        <w:lastRenderedPageBreak/>
        <w:t>9.</w:t>
      </w:r>
      <w:r w:rsidR="00496B75">
        <w:t>38</w:t>
      </w:r>
      <w:r w:rsidR="002F5949">
        <w:t> </w:t>
      </w:r>
      <w:r w:rsidRPr="00851CA3" w:rsidR="00273CAD">
        <w:t>years for a</w:t>
      </w:r>
      <w:r w:rsidRPr="00851CA3" w:rsidR="008F2E48">
        <w:t>n</w:t>
      </w:r>
      <w:r w:rsidRPr="00851CA3" w:rsidR="00273CAD">
        <w:t xml:space="preserve"> SCE customer with </w:t>
      </w:r>
      <w:r w:rsidRPr="00851CA3" w:rsidR="00496B75">
        <w:t>stand</w:t>
      </w:r>
      <w:r w:rsidR="00827602">
        <w:noBreakHyphen/>
      </w:r>
      <w:r w:rsidRPr="00851CA3" w:rsidR="00496B75">
        <w:t xml:space="preserve">alone </w:t>
      </w:r>
      <w:r w:rsidRPr="00851CA3" w:rsidR="00F4220A">
        <w:t>solar</w:t>
      </w:r>
      <w:r w:rsidRPr="00851CA3" w:rsidR="00273CAD">
        <w:t xml:space="preserve">.  Again, these results align with the finding that </w:t>
      </w:r>
      <w:r w:rsidR="00221877">
        <w:t xml:space="preserve">aiming for </w:t>
      </w:r>
      <w:r w:rsidRPr="00851CA3" w:rsidR="00273CAD">
        <w:t xml:space="preserve">a </w:t>
      </w:r>
      <w:r w:rsidRPr="00851CA3" w:rsidR="00A13834">
        <w:t>nine</w:t>
      </w:r>
      <w:r w:rsidR="00827602">
        <w:noBreakHyphen/>
      </w:r>
      <w:r w:rsidRPr="00851CA3" w:rsidR="00273CAD">
        <w:t>year payback period is reasonable.</w:t>
      </w:r>
    </w:p>
    <w:p w:rsidR="00533B2F" w:rsidP="005E7044" w:rsidRDefault="00273CAD" w14:paraId="23375A00" w14:textId="62CECA76">
      <w:pPr>
        <w:pStyle w:val="Standard"/>
      </w:pPr>
      <w:r>
        <w:t>Turning to the results regarding the first</w:t>
      </w:r>
      <w:r w:rsidR="00827602">
        <w:noBreakHyphen/>
      </w:r>
      <w:r>
        <w:t>year cost</w:t>
      </w:r>
      <w:r w:rsidR="0029634B">
        <w:t xml:space="preserve"> </w:t>
      </w:r>
      <w:r>
        <w:t xml:space="preserve">shift, the cost shift per </w:t>
      </w:r>
      <w:r w:rsidR="00416685">
        <w:t xml:space="preserve">residential </w:t>
      </w:r>
      <w:r>
        <w:t>customer ranges from a low of $</w:t>
      </w:r>
      <w:r w:rsidR="00936B9E">
        <w:t xml:space="preserve">582 </w:t>
      </w:r>
      <w:r>
        <w:t xml:space="preserve">for a CARE </w:t>
      </w:r>
      <w:r w:rsidR="00997D48">
        <w:t xml:space="preserve">customer in </w:t>
      </w:r>
      <w:r w:rsidR="00936B9E">
        <w:t xml:space="preserve">PG&amp;E </w:t>
      </w:r>
      <w:r w:rsidR="00997D48">
        <w:t xml:space="preserve">territory with </w:t>
      </w:r>
      <w:r w:rsidRPr="00790E5D">
        <w:t>sola</w:t>
      </w:r>
      <w:r w:rsidR="00F4291E">
        <w:t xml:space="preserve">r paired </w:t>
      </w:r>
      <w:r w:rsidR="00BD2888">
        <w:t xml:space="preserve">with </w:t>
      </w:r>
      <w:r w:rsidR="00F4291E">
        <w:t>storage</w:t>
      </w:r>
      <w:r w:rsidR="007468AE">
        <w:t xml:space="preserve"> </w:t>
      </w:r>
      <w:r>
        <w:t xml:space="preserve">to a high of </w:t>
      </w:r>
      <w:r w:rsidR="007468AE">
        <w:t>$</w:t>
      </w:r>
      <w:r w:rsidR="009B70FC">
        <w:t>1,79</w:t>
      </w:r>
      <w:r w:rsidR="002F4769">
        <w:t>5</w:t>
      </w:r>
      <w:r w:rsidR="002A3377">
        <w:t xml:space="preserve"> </w:t>
      </w:r>
      <w:r w:rsidR="007468AE">
        <w:t>for a non</w:t>
      </w:r>
      <w:r w:rsidR="00827602">
        <w:noBreakHyphen/>
      </w:r>
      <w:r w:rsidR="007468AE">
        <w:t>CARE customer in SDG&amp;E service territory</w:t>
      </w:r>
      <w:r w:rsidR="00BD2888">
        <w:t xml:space="preserve"> with solar paired with storage</w:t>
      </w:r>
      <w:r w:rsidR="007468AE">
        <w:t>.  While the tariff does not eliminate the cost shift</w:t>
      </w:r>
      <w:r w:rsidR="00416685">
        <w:t xml:space="preserve"> from residential customers</w:t>
      </w:r>
      <w:r w:rsidR="007468AE">
        <w:t xml:space="preserve">, it compares favorably with </w:t>
      </w:r>
      <w:r w:rsidR="00416685">
        <w:t>a</w:t>
      </w:r>
      <w:r w:rsidR="007468AE">
        <w:t xml:space="preserve"> majority of proposals in this proceeding</w:t>
      </w:r>
      <w:r w:rsidR="00416685">
        <w:t>, as shown in the E3 results</w:t>
      </w:r>
      <w:r w:rsidR="007468AE">
        <w:t>.</w:t>
      </w:r>
      <w:r w:rsidR="00416685">
        <w:rPr>
          <w:rStyle w:val="FootnoteReference"/>
        </w:rPr>
        <w:footnoteReference w:id="450"/>
      </w:r>
      <w:r w:rsidR="00416685">
        <w:t xml:space="preserve">  </w:t>
      </w:r>
      <w:r w:rsidR="00E30132">
        <w:t>T</w:t>
      </w:r>
      <w:r w:rsidR="00230109">
        <w:t>he first</w:t>
      </w:r>
      <w:r w:rsidR="00827602">
        <w:noBreakHyphen/>
      </w:r>
      <w:r w:rsidR="00230109">
        <w:t>year cost</w:t>
      </w:r>
      <w:r w:rsidR="0029634B">
        <w:t xml:space="preserve"> </w:t>
      </w:r>
      <w:r w:rsidR="00230109">
        <w:t xml:space="preserve">shift </w:t>
      </w:r>
      <w:r w:rsidR="00E30132">
        <w:t xml:space="preserve">for nonresidential customers </w:t>
      </w:r>
      <w:r w:rsidR="00230109">
        <w:t>range</w:t>
      </w:r>
      <w:r w:rsidR="00E30132">
        <w:t>s</w:t>
      </w:r>
      <w:r w:rsidR="00230109">
        <w:t xml:space="preserve"> from $</w:t>
      </w:r>
      <w:r w:rsidR="00997D48">
        <w:t>1</w:t>
      </w:r>
      <w:r w:rsidR="00FD31B6">
        <w:t>,</w:t>
      </w:r>
      <w:r w:rsidR="00BD2888">
        <w:t>563</w:t>
      </w:r>
      <w:r w:rsidR="00997D48">
        <w:t xml:space="preserve"> </w:t>
      </w:r>
      <w:r w:rsidR="00230109">
        <w:t xml:space="preserve">for SCE </w:t>
      </w:r>
      <w:r w:rsidR="00BD2888">
        <w:t>stand</w:t>
      </w:r>
      <w:r w:rsidR="00827602">
        <w:noBreakHyphen/>
      </w:r>
      <w:r w:rsidR="00BD2888">
        <w:t xml:space="preserve">alone </w:t>
      </w:r>
      <w:r w:rsidR="00230109">
        <w:t>solar customers to $2</w:t>
      </w:r>
      <w:r w:rsidR="00FD31B6">
        <w:t>,</w:t>
      </w:r>
      <w:r w:rsidR="00997D48">
        <w:t>56</w:t>
      </w:r>
      <w:r w:rsidR="00BD2888">
        <w:t>1</w:t>
      </w:r>
      <w:r w:rsidR="00230109">
        <w:t xml:space="preserve"> for SDG&amp;E </w:t>
      </w:r>
      <w:r w:rsidR="00BD2888">
        <w:t xml:space="preserve">customers with </w:t>
      </w:r>
      <w:r w:rsidR="00997D48">
        <w:t xml:space="preserve">solar </w:t>
      </w:r>
      <w:r w:rsidR="00230109">
        <w:t xml:space="preserve">paired </w:t>
      </w:r>
      <w:r w:rsidR="00997D48">
        <w:t xml:space="preserve">with </w:t>
      </w:r>
      <w:r w:rsidR="00230109">
        <w:t>storage.</w:t>
      </w:r>
      <w:r w:rsidR="00D0382F">
        <w:rPr>
          <w:rStyle w:val="FootnoteReference"/>
        </w:rPr>
        <w:footnoteReference w:id="451"/>
      </w:r>
    </w:p>
    <w:p w:rsidR="00A04D7D" w:rsidP="005E7044" w:rsidRDefault="006229BE" w14:paraId="54E61B32" w14:textId="343B4783">
      <w:pPr>
        <w:pStyle w:val="Standard"/>
      </w:pPr>
      <w:r>
        <w:t xml:space="preserve">This decision </w:t>
      </w:r>
      <w:r w:rsidR="00A04D7D">
        <w:t>turn</w:t>
      </w:r>
      <w:r>
        <w:t>s</w:t>
      </w:r>
      <w:r w:rsidR="00A04D7D">
        <w:t xml:space="preserve"> to the cost</w:t>
      </w:r>
      <w:r w:rsidR="00827602">
        <w:noBreakHyphen/>
      </w:r>
      <w:r w:rsidR="00A04D7D">
        <w:t xml:space="preserve">effectiveness analysis of the successor tariff, beginning with the results of the </w:t>
      </w:r>
      <w:proofErr w:type="spellStart"/>
      <w:r w:rsidR="00A04D7D">
        <w:t>TRC</w:t>
      </w:r>
      <w:proofErr w:type="spellEnd"/>
      <w:r w:rsidR="00A04D7D">
        <w:t xml:space="preserve"> test for both residential and nonresidential, as shown in </w:t>
      </w:r>
      <w:r w:rsidR="007F6676">
        <w:t>Table </w:t>
      </w:r>
      <w:r w:rsidR="000F2437">
        <w:t>9</w:t>
      </w:r>
      <w:r w:rsidR="00A04D7D">
        <w:t xml:space="preserve"> below.</w:t>
      </w:r>
    </w:p>
    <w:p w:rsidRPr="007E07D7" w:rsidR="004A7EC7" w:rsidP="007E07D7" w:rsidRDefault="007F6676" w14:paraId="23B88C66" w14:textId="3083CCF3">
      <w:pPr>
        <w:pStyle w:val="TableTitleBodyH085"/>
      </w:pPr>
      <w:bookmarkStart w:name="Table9" w:id="216"/>
      <w:r w:rsidRPr="00D72B09">
        <w:rPr>
          <w:b/>
        </w:rPr>
        <w:t>Table </w:t>
      </w:r>
      <w:r w:rsidRPr="00D72B09" w:rsidR="000F2437">
        <w:rPr>
          <w:b/>
        </w:rPr>
        <w:t>9</w:t>
      </w:r>
      <w:r w:rsidRPr="00D72B09" w:rsidR="0051031D">
        <w:rPr>
          <w:b/>
        </w:rPr>
        <w:t>.</w:t>
      </w:r>
      <w:r w:rsidRPr="00D72B09" w:rsidR="0051031D">
        <w:rPr>
          <w:b/>
        </w:rPr>
        <w:tab/>
      </w:r>
      <w:proofErr w:type="spellStart"/>
      <w:r w:rsidRPr="002E6918" w:rsidR="004A7EC7">
        <w:t>TRC</w:t>
      </w:r>
      <w:proofErr w:type="spellEnd"/>
      <w:r w:rsidR="0048434F">
        <w:t xml:space="preserve"> Test</w:t>
      </w:r>
      <w:r w:rsidR="009A2FA6">
        <w:rPr>
          <w:b/>
        </w:rPr>
        <w:t xml:space="preserve"> </w:t>
      </w:r>
      <w:r w:rsidRPr="002E6918" w:rsidR="004A7EC7">
        <w:t>Results</w:t>
      </w:r>
    </w:p>
    <w:tbl>
      <w:tblPr>
        <w:tblW w:w="9360" w:type="dxa"/>
        <w:tblLayout w:type="fixed"/>
        <w:tblCellMar>
          <w:top w:w="58" w:type="dxa"/>
          <w:bottom w:w="58" w:type="dxa"/>
        </w:tblCellMar>
        <w:tblLook w:val="04A0" w:firstRow="1" w:lastRow="0" w:firstColumn="1" w:lastColumn="0" w:noHBand="0" w:noVBand="1"/>
      </w:tblPr>
      <w:tblGrid>
        <w:gridCol w:w="2198"/>
        <w:gridCol w:w="1855"/>
        <w:gridCol w:w="1962"/>
        <w:gridCol w:w="1039"/>
        <w:gridCol w:w="1035"/>
        <w:gridCol w:w="1271"/>
      </w:tblGrid>
      <w:tr w:rsidRPr="00ED398B" w:rsidR="005C718E" w:rsidTr="00D850DE" w14:paraId="08495BBC" w14:textId="77777777">
        <w:trPr>
          <w:tblHeader/>
        </w:trPr>
        <w:tc>
          <w:tcPr>
            <w:tcW w:w="1174" w:type="pct"/>
            <w:tcBorders>
              <w:top w:val="single" w:color="auto" w:sz="4" w:space="0"/>
              <w:left w:val="single" w:color="auto" w:sz="4" w:space="0"/>
              <w:bottom w:val="single" w:color="auto" w:sz="4" w:space="0"/>
              <w:right w:val="nil"/>
            </w:tcBorders>
            <w:shd w:val="clear" w:color="auto" w:fill="auto"/>
            <w:noWrap/>
            <w:vAlign w:val="center"/>
            <w:hideMark/>
          </w:tcPr>
          <w:bookmarkEnd w:id="216"/>
          <w:p w:rsidRPr="00ED398B" w:rsidR="00D72B09" w:rsidP="00ED398B" w:rsidRDefault="00D72B09" w14:paraId="49AA37BE" w14:textId="0A6AAADE">
            <w:pPr>
              <w:pStyle w:val="Standard"/>
              <w:keepNext/>
              <w:spacing w:line="240" w:lineRule="auto"/>
              <w:ind w:firstLine="0"/>
              <w:jc w:val="center"/>
              <w:rPr>
                <w:b/>
                <w:bCs/>
              </w:rPr>
            </w:pPr>
            <w:r w:rsidRPr="00ED398B">
              <w:rPr>
                <w:b/>
                <w:bCs/>
              </w:rPr>
              <w:t>Customer Type</w:t>
            </w:r>
          </w:p>
        </w:tc>
        <w:tc>
          <w:tcPr>
            <w:tcW w:w="99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D398B" w:rsidR="00D72B09" w:rsidP="00ED398B" w:rsidRDefault="00D72B09" w14:paraId="22295DAD" w14:textId="77777777">
            <w:pPr>
              <w:pStyle w:val="Standard"/>
              <w:keepNext/>
              <w:spacing w:line="240" w:lineRule="auto"/>
              <w:ind w:firstLine="0"/>
              <w:jc w:val="center"/>
              <w:rPr>
                <w:b/>
                <w:bCs/>
              </w:rPr>
            </w:pPr>
            <w:r w:rsidRPr="00ED398B">
              <w:rPr>
                <w:b/>
                <w:bCs/>
              </w:rPr>
              <w:t>CARE Status</w:t>
            </w:r>
          </w:p>
        </w:tc>
        <w:tc>
          <w:tcPr>
            <w:tcW w:w="1048" w:type="pct"/>
            <w:tcBorders>
              <w:top w:val="single" w:color="auto" w:sz="4" w:space="0"/>
              <w:left w:val="nil"/>
              <w:bottom w:val="single" w:color="auto" w:sz="4" w:space="0"/>
              <w:right w:val="nil"/>
            </w:tcBorders>
            <w:shd w:val="clear" w:color="auto" w:fill="auto"/>
            <w:noWrap/>
            <w:vAlign w:val="center"/>
            <w:hideMark/>
          </w:tcPr>
          <w:p w:rsidRPr="00ED398B" w:rsidR="00D72B09" w:rsidP="00ED398B" w:rsidRDefault="00D72B09" w14:paraId="27FB6DAC" w14:textId="77777777">
            <w:pPr>
              <w:pStyle w:val="Standard"/>
              <w:keepNext/>
              <w:spacing w:line="240" w:lineRule="auto"/>
              <w:ind w:firstLine="0"/>
              <w:jc w:val="center"/>
              <w:rPr>
                <w:b/>
                <w:bCs/>
              </w:rPr>
            </w:pPr>
            <w:r w:rsidRPr="00ED398B">
              <w:rPr>
                <w:b/>
                <w:bCs/>
              </w:rPr>
              <w:t>System Type</w:t>
            </w:r>
          </w:p>
        </w:tc>
        <w:tc>
          <w:tcPr>
            <w:tcW w:w="55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D398B" w:rsidR="00D72B09" w:rsidP="00ED398B" w:rsidRDefault="00D72B09" w14:paraId="73AB1F52" w14:textId="77777777">
            <w:pPr>
              <w:pStyle w:val="Standard"/>
              <w:keepNext/>
              <w:spacing w:line="240" w:lineRule="auto"/>
              <w:ind w:firstLine="0"/>
              <w:jc w:val="center"/>
              <w:rPr>
                <w:b/>
                <w:bCs/>
              </w:rPr>
            </w:pPr>
            <w:r w:rsidRPr="00ED398B">
              <w:rPr>
                <w:b/>
                <w:bCs/>
              </w:rPr>
              <w:t>PG&amp;E</w:t>
            </w:r>
          </w:p>
        </w:tc>
        <w:tc>
          <w:tcPr>
            <w:tcW w:w="553" w:type="pct"/>
            <w:tcBorders>
              <w:top w:val="single" w:color="auto" w:sz="4" w:space="0"/>
              <w:left w:val="nil"/>
              <w:bottom w:val="single" w:color="auto" w:sz="4" w:space="0"/>
              <w:right w:val="nil"/>
            </w:tcBorders>
            <w:shd w:val="clear" w:color="auto" w:fill="auto"/>
            <w:noWrap/>
            <w:vAlign w:val="center"/>
            <w:hideMark/>
          </w:tcPr>
          <w:p w:rsidRPr="00ED398B" w:rsidR="00D72B09" w:rsidP="00ED398B" w:rsidRDefault="00D72B09" w14:paraId="06DD83B4" w14:textId="77777777">
            <w:pPr>
              <w:pStyle w:val="Standard"/>
              <w:keepNext/>
              <w:spacing w:line="240" w:lineRule="auto"/>
              <w:ind w:firstLine="0"/>
              <w:jc w:val="center"/>
              <w:rPr>
                <w:b/>
                <w:bCs/>
              </w:rPr>
            </w:pPr>
            <w:r w:rsidRPr="00ED398B">
              <w:rPr>
                <w:b/>
                <w:bCs/>
              </w:rPr>
              <w:t>SCE</w:t>
            </w:r>
          </w:p>
        </w:tc>
        <w:tc>
          <w:tcPr>
            <w:tcW w:w="67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D398B" w:rsidR="00D72B09" w:rsidP="00ED398B" w:rsidRDefault="00D72B09" w14:paraId="7B124E0E" w14:textId="77777777">
            <w:pPr>
              <w:pStyle w:val="Standard"/>
              <w:keepNext/>
              <w:spacing w:line="240" w:lineRule="auto"/>
              <w:ind w:firstLine="0"/>
              <w:jc w:val="center"/>
              <w:rPr>
                <w:b/>
                <w:bCs/>
              </w:rPr>
            </w:pPr>
            <w:r w:rsidRPr="00ED398B">
              <w:rPr>
                <w:b/>
                <w:bCs/>
              </w:rPr>
              <w:t>SDG&amp;E</w:t>
            </w:r>
          </w:p>
        </w:tc>
      </w:tr>
      <w:tr w:rsidRPr="005C718E" w:rsidR="005C718E" w:rsidTr="00D850DE" w14:paraId="59BE6EFA" w14:textId="77777777">
        <w:tc>
          <w:tcPr>
            <w:tcW w:w="1174" w:type="pct"/>
            <w:tcBorders>
              <w:top w:val="nil"/>
              <w:left w:val="single" w:color="auto" w:sz="4" w:space="0"/>
              <w:bottom w:val="nil"/>
              <w:right w:val="nil"/>
            </w:tcBorders>
            <w:shd w:val="clear" w:color="auto" w:fill="auto"/>
            <w:noWrap/>
            <w:vAlign w:val="center"/>
            <w:hideMark/>
          </w:tcPr>
          <w:p w:rsidRPr="002210EF" w:rsidR="00D72B09" w:rsidP="00ED398B" w:rsidRDefault="00D72B09" w14:paraId="0150FD76" w14:textId="77777777">
            <w:pPr>
              <w:pStyle w:val="Standard"/>
              <w:keepNext/>
              <w:spacing w:line="240" w:lineRule="auto"/>
              <w:ind w:firstLine="0"/>
              <w:jc w:val="center"/>
              <w:rPr>
                <w:bCs/>
              </w:rPr>
            </w:pPr>
            <w:r w:rsidRPr="002210EF">
              <w:t>Residential</w:t>
            </w:r>
          </w:p>
        </w:tc>
        <w:tc>
          <w:tcPr>
            <w:tcW w:w="991" w:type="pct"/>
            <w:tcBorders>
              <w:top w:val="nil"/>
              <w:left w:val="single" w:color="auto" w:sz="4" w:space="0"/>
              <w:bottom w:val="nil"/>
              <w:right w:val="single" w:color="auto" w:sz="4" w:space="0"/>
            </w:tcBorders>
            <w:shd w:val="clear" w:color="auto" w:fill="auto"/>
            <w:noWrap/>
            <w:vAlign w:val="center"/>
            <w:hideMark/>
          </w:tcPr>
          <w:p w:rsidRPr="002210EF" w:rsidR="00D72B09" w:rsidP="00ED398B" w:rsidRDefault="00D72B09" w14:paraId="1B185A42" w14:textId="07D3F39E">
            <w:pPr>
              <w:pStyle w:val="Standard"/>
              <w:keepNext/>
              <w:spacing w:line="240" w:lineRule="auto"/>
              <w:ind w:firstLine="0"/>
              <w:jc w:val="center"/>
              <w:rPr>
                <w:bCs/>
              </w:rPr>
            </w:pPr>
            <w:r w:rsidRPr="002210EF">
              <w:t>Non</w:t>
            </w:r>
            <w:r w:rsidR="00827602">
              <w:noBreakHyphen/>
            </w:r>
            <w:r w:rsidRPr="002210EF">
              <w:t>CARE</w:t>
            </w:r>
          </w:p>
        </w:tc>
        <w:tc>
          <w:tcPr>
            <w:tcW w:w="1048" w:type="pct"/>
            <w:tcBorders>
              <w:top w:val="nil"/>
              <w:left w:val="nil"/>
              <w:bottom w:val="nil"/>
              <w:right w:val="nil"/>
            </w:tcBorders>
            <w:shd w:val="clear" w:color="auto" w:fill="auto"/>
            <w:noWrap/>
            <w:vAlign w:val="center"/>
            <w:hideMark/>
          </w:tcPr>
          <w:p w:rsidRPr="002210EF" w:rsidR="00D72B09" w:rsidP="00ED398B" w:rsidRDefault="00D72B09" w14:paraId="104B46E9" w14:textId="77777777">
            <w:pPr>
              <w:pStyle w:val="Standard"/>
              <w:keepNext/>
              <w:spacing w:line="240" w:lineRule="auto"/>
              <w:ind w:firstLine="0"/>
              <w:jc w:val="center"/>
              <w:rPr>
                <w:bCs/>
              </w:rPr>
            </w:pPr>
            <w:r w:rsidRPr="002210EF">
              <w:t>Solar Only</w:t>
            </w:r>
          </w:p>
        </w:tc>
        <w:tc>
          <w:tcPr>
            <w:tcW w:w="555" w:type="pct"/>
            <w:tcBorders>
              <w:top w:val="nil"/>
              <w:left w:val="single" w:color="auto" w:sz="4" w:space="0"/>
              <w:bottom w:val="nil"/>
              <w:right w:val="single" w:color="auto" w:sz="4" w:space="0"/>
            </w:tcBorders>
            <w:shd w:val="clear" w:color="auto" w:fill="auto"/>
            <w:noWrap/>
            <w:vAlign w:val="bottom"/>
            <w:hideMark/>
          </w:tcPr>
          <w:p w:rsidRPr="002210EF" w:rsidR="00D72B09" w:rsidP="00ED398B" w:rsidRDefault="00D72B09" w14:paraId="32EC08B6" w14:textId="728C0A28">
            <w:pPr>
              <w:pStyle w:val="Standard"/>
              <w:keepNext/>
              <w:spacing w:line="240" w:lineRule="auto"/>
              <w:ind w:firstLine="0"/>
              <w:jc w:val="center"/>
              <w:rPr>
                <w:bCs/>
              </w:rPr>
            </w:pPr>
            <w:r w:rsidRPr="002210EF">
              <w:t>0.</w:t>
            </w:r>
            <w:r w:rsidR="00972333">
              <w:t>48</w:t>
            </w:r>
          </w:p>
        </w:tc>
        <w:tc>
          <w:tcPr>
            <w:tcW w:w="553" w:type="pct"/>
            <w:tcBorders>
              <w:top w:val="nil"/>
              <w:left w:val="nil"/>
              <w:bottom w:val="nil"/>
              <w:right w:val="nil"/>
            </w:tcBorders>
            <w:shd w:val="clear" w:color="auto" w:fill="auto"/>
            <w:noWrap/>
            <w:vAlign w:val="bottom"/>
            <w:hideMark/>
          </w:tcPr>
          <w:p w:rsidRPr="002210EF" w:rsidR="00D72B09" w:rsidP="00ED398B" w:rsidRDefault="00D72B09" w14:paraId="241708D2" w14:textId="77777777">
            <w:pPr>
              <w:pStyle w:val="Standard"/>
              <w:keepNext/>
              <w:spacing w:line="240" w:lineRule="auto"/>
              <w:ind w:firstLine="0"/>
              <w:jc w:val="center"/>
              <w:rPr>
                <w:bCs/>
              </w:rPr>
            </w:pPr>
            <w:r w:rsidRPr="002210EF">
              <w:t>0.60</w:t>
            </w:r>
          </w:p>
        </w:tc>
        <w:tc>
          <w:tcPr>
            <w:tcW w:w="679" w:type="pct"/>
            <w:tcBorders>
              <w:top w:val="nil"/>
              <w:left w:val="single" w:color="auto" w:sz="4" w:space="0"/>
              <w:bottom w:val="nil"/>
              <w:right w:val="single" w:color="auto" w:sz="4" w:space="0"/>
            </w:tcBorders>
            <w:shd w:val="clear" w:color="auto" w:fill="auto"/>
            <w:noWrap/>
            <w:vAlign w:val="bottom"/>
            <w:hideMark/>
          </w:tcPr>
          <w:p w:rsidRPr="002210EF" w:rsidR="00D72B09" w:rsidP="00ED398B" w:rsidRDefault="00D72B09" w14:paraId="22BA2231" w14:textId="77777777">
            <w:pPr>
              <w:pStyle w:val="Standard"/>
              <w:keepNext/>
              <w:spacing w:line="240" w:lineRule="auto"/>
              <w:ind w:firstLine="0"/>
              <w:jc w:val="center"/>
              <w:rPr>
                <w:bCs/>
              </w:rPr>
            </w:pPr>
            <w:r w:rsidRPr="002210EF">
              <w:t>0.57</w:t>
            </w:r>
          </w:p>
        </w:tc>
      </w:tr>
      <w:tr w:rsidRPr="005C718E" w:rsidR="005C718E" w:rsidTr="00D850DE" w14:paraId="1BCBEC0F" w14:textId="77777777">
        <w:tc>
          <w:tcPr>
            <w:tcW w:w="1174" w:type="pct"/>
            <w:tcBorders>
              <w:top w:val="nil"/>
              <w:left w:val="single" w:color="auto" w:sz="4" w:space="0"/>
              <w:bottom w:val="nil"/>
              <w:right w:val="nil"/>
            </w:tcBorders>
            <w:shd w:val="clear" w:color="auto" w:fill="auto"/>
            <w:noWrap/>
            <w:vAlign w:val="center"/>
          </w:tcPr>
          <w:p w:rsidRPr="002210EF" w:rsidR="00D72B09" w:rsidP="00ED398B" w:rsidRDefault="00D72B09" w14:paraId="79B465B7" w14:textId="5F7AF823">
            <w:pPr>
              <w:pStyle w:val="Standard"/>
              <w:spacing w:line="240" w:lineRule="auto"/>
              <w:ind w:firstLine="0"/>
              <w:jc w:val="center"/>
              <w:rPr>
                <w:bCs/>
              </w:rPr>
            </w:pPr>
          </w:p>
        </w:tc>
        <w:tc>
          <w:tcPr>
            <w:tcW w:w="991" w:type="pct"/>
            <w:tcBorders>
              <w:top w:val="nil"/>
              <w:left w:val="single" w:color="auto" w:sz="4" w:space="0"/>
              <w:bottom w:val="nil"/>
              <w:right w:val="single" w:color="auto" w:sz="4" w:space="0"/>
            </w:tcBorders>
            <w:shd w:val="clear" w:color="auto" w:fill="auto"/>
            <w:noWrap/>
            <w:vAlign w:val="center"/>
          </w:tcPr>
          <w:p w:rsidRPr="002210EF" w:rsidR="00D72B09" w:rsidP="00ED398B" w:rsidRDefault="00D72B09" w14:paraId="18AF0D6D" w14:textId="036BF3F7">
            <w:pPr>
              <w:pStyle w:val="Standard"/>
              <w:spacing w:line="240" w:lineRule="auto"/>
              <w:ind w:firstLine="0"/>
              <w:jc w:val="center"/>
              <w:rPr>
                <w:bCs/>
              </w:rPr>
            </w:pPr>
          </w:p>
        </w:tc>
        <w:tc>
          <w:tcPr>
            <w:tcW w:w="1048" w:type="pct"/>
            <w:tcBorders>
              <w:top w:val="nil"/>
              <w:left w:val="nil"/>
              <w:bottom w:val="nil"/>
              <w:right w:val="nil"/>
            </w:tcBorders>
            <w:shd w:val="clear" w:color="auto" w:fill="auto"/>
            <w:noWrap/>
            <w:vAlign w:val="center"/>
            <w:hideMark/>
          </w:tcPr>
          <w:p w:rsidRPr="002210EF" w:rsidR="00D72B09" w:rsidP="00ED398B" w:rsidRDefault="00D72B09" w14:paraId="0EA2D077" w14:textId="77777777">
            <w:pPr>
              <w:pStyle w:val="Standard"/>
              <w:spacing w:line="240" w:lineRule="auto"/>
              <w:ind w:firstLine="0"/>
              <w:jc w:val="center"/>
              <w:rPr>
                <w:bCs/>
              </w:rPr>
            </w:pPr>
            <w:proofErr w:type="spellStart"/>
            <w:r w:rsidRPr="002210EF">
              <w:t>Solar+Storage</w:t>
            </w:r>
            <w:proofErr w:type="spellEnd"/>
          </w:p>
        </w:tc>
        <w:tc>
          <w:tcPr>
            <w:tcW w:w="555" w:type="pct"/>
            <w:tcBorders>
              <w:top w:val="nil"/>
              <w:left w:val="single" w:color="auto" w:sz="4" w:space="0"/>
              <w:bottom w:val="nil"/>
              <w:right w:val="single" w:color="auto" w:sz="4" w:space="0"/>
            </w:tcBorders>
            <w:shd w:val="clear" w:color="auto" w:fill="auto"/>
            <w:noWrap/>
            <w:vAlign w:val="bottom"/>
            <w:hideMark/>
          </w:tcPr>
          <w:p w:rsidRPr="002210EF" w:rsidR="00D72B09" w:rsidP="00ED398B" w:rsidRDefault="00D72B09" w14:paraId="17240BBF" w14:textId="06AB463C">
            <w:pPr>
              <w:pStyle w:val="Standard"/>
              <w:spacing w:line="240" w:lineRule="auto"/>
              <w:ind w:firstLine="0"/>
              <w:jc w:val="center"/>
              <w:rPr>
                <w:bCs/>
              </w:rPr>
            </w:pPr>
            <w:r w:rsidRPr="002210EF">
              <w:t>0.8</w:t>
            </w:r>
            <w:r w:rsidR="00936B9E">
              <w:t>4</w:t>
            </w:r>
          </w:p>
        </w:tc>
        <w:tc>
          <w:tcPr>
            <w:tcW w:w="553" w:type="pct"/>
            <w:tcBorders>
              <w:top w:val="nil"/>
              <w:left w:val="nil"/>
              <w:bottom w:val="nil"/>
              <w:right w:val="nil"/>
            </w:tcBorders>
            <w:shd w:val="clear" w:color="auto" w:fill="auto"/>
            <w:noWrap/>
            <w:vAlign w:val="bottom"/>
            <w:hideMark/>
          </w:tcPr>
          <w:p w:rsidRPr="002210EF" w:rsidR="00D72B09" w:rsidP="00ED398B" w:rsidRDefault="00D72B09" w14:paraId="5CE35FCC" w14:textId="77777777">
            <w:pPr>
              <w:pStyle w:val="Standard"/>
              <w:spacing w:line="240" w:lineRule="auto"/>
              <w:ind w:firstLine="0"/>
              <w:jc w:val="center"/>
              <w:rPr>
                <w:bCs/>
              </w:rPr>
            </w:pPr>
            <w:r w:rsidRPr="002210EF">
              <w:t>0.86</w:t>
            </w:r>
          </w:p>
        </w:tc>
        <w:tc>
          <w:tcPr>
            <w:tcW w:w="679" w:type="pct"/>
            <w:tcBorders>
              <w:top w:val="nil"/>
              <w:left w:val="single" w:color="auto" w:sz="4" w:space="0"/>
              <w:bottom w:val="nil"/>
              <w:right w:val="single" w:color="auto" w:sz="4" w:space="0"/>
            </w:tcBorders>
            <w:shd w:val="clear" w:color="auto" w:fill="auto"/>
            <w:noWrap/>
            <w:vAlign w:val="bottom"/>
            <w:hideMark/>
          </w:tcPr>
          <w:p w:rsidRPr="002210EF" w:rsidR="00D72B09" w:rsidP="00ED398B" w:rsidRDefault="00D72B09" w14:paraId="19DF04E8" w14:textId="77777777">
            <w:pPr>
              <w:pStyle w:val="Standard"/>
              <w:spacing w:line="240" w:lineRule="auto"/>
              <w:ind w:firstLine="0"/>
              <w:jc w:val="center"/>
              <w:rPr>
                <w:bCs/>
              </w:rPr>
            </w:pPr>
            <w:r w:rsidRPr="002210EF">
              <w:t>1.03</w:t>
            </w:r>
          </w:p>
        </w:tc>
      </w:tr>
      <w:tr w:rsidRPr="005C718E" w:rsidR="005C718E" w:rsidTr="00D850DE" w14:paraId="354AF8D9" w14:textId="77777777">
        <w:tc>
          <w:tcPr>
            <w:tcW w:w="1174" w:type="pct"/>
            <w:tcBorders>
              <w:top w:val="single" w:color="auto" w:sz="4" w:space="0"/>
              <w:left w:val="single" w:color="auto" w:sz="4" w:space="0"/>
              <w:bottom w:val="nil"/>
              <w:right w:val="nil"/>
            </w:tcBorders>
            <w:shd w:val="clear" w:color="auto" w:fill="auto"/>
            <w:noWrap/>
            <w:vAlign w:val="center"/>
            <w:hideMark/>
          </w:tcPr>
          <w:p w:rsidRPr="002210EF" w:rsidR="00D72B09" w:rsidP="00ED398B" w:rsidRDefault="00D72B09" w14:paraId="792BC2A1" w14:textId="77777777">
            <w:pPr>
              <w:pStyle w:val="Standard"/>
              <w:keepNext/>
              <w:spacing w:line="240" w:lineRule="auto"/>
              <w:ind w:firstLine="0"/>
              <w:jc w:val="center"/>
              <w:rPr>
                <w:bCs/>
              </w:rPr>
            </w:pPr>
            <w:r w:rsidRPr="002210EF">
              <w:t>Residential</w:t>
            </w:r>
          </w:p>
        </w:tc>
        <w:tc>
          <w:tcPr>
            <w:tcW w:w="991" w:type="pct"/>
            <w:tcBorders>
              <w:top w:val="single" w:color="auto" w:sz="4" w:space="0"/>
              <w:left w:val="single" w:color="auto" w:sz="4" w:space="0"/>
              <w:bottom w:val="nil"/>
              <w:right w:val="single" w:color="auto" w:sz="4" w:space="0"/>
            </w:tcBorders>
            <w:shd w:val="clear" w:color="auto" w:fill="auto"/>
            <w:noWrap/>
            <w:vAlign w:val="center"/>
            <w:hideMark/>
          </w:tcPr>
          <w:p w:rsidRPr="002210EF" w:rsidR="00D72B09" w:rsidP="00ED398B" w:rsidRDefault="00D72B09" w14:paraId="1ED689C2" w14:textId="77777777">
            <w:pPr>
              <w:pStyle w:val="Standard"/>
              <w:keepNext/>
              <w:spacing w:line="240" w:lineRule="auto"/>
              <w:ind w:firstLine="0"/>
              <w:jc w:val="center"/>
              <w:rPr>
                <w:bCs/>
              </w:rPr>
            </w:pPr>
            <w:r w:rsidRPr="002210EF">
              <w:t>CARE</w:t>
            </w:r>
          </w:p>
        </w:tc>
        <w:tc>
          <w:tcPr>
            <w:tcW w:w="1048" w:type="pct"/>
            <w:tcBorders>
              <w:top w:val="single" w:color="auto" w:sz="4" w:space="0"/>
              <w:left w:val="nil"/>
              <w:bottom w:val="nil"/>
              <w:right w:val="nil"/>
            </w:tcBorders>
            <w:shd w:val="clear" w:color="auto" w:fill="auto"/>
            <w:noWrap/>
            <w:vAlign w:val="center"/>
            <w:hideMark/>
          </w:tcPr>
          <w:p w:rsidRPr="002210EF" w:rsidR="00D72B09" w:rsidP="00ED398B" w:rsidRDefault="00D72B09" w14:paraId="276FA747" w14:textId="77777777">
            <w:pPr>
              <w:pStyle w:val="Standard"/>
              <w:keepNext/>
              <w:spacing w:line="240" w:lineRule="auto"/>
              <w:ind w:firstLine="0"/>
              <w:jc w:val="center"/>
              <w:rPr>
                <w:bCs/>
              </w:rPr>
            </w:pPr>
            <w:r w:rsidRPr="002210EF">
              <w:t>Solar Only</w:t>
            </w:r>
          </w:p>
        </w:tc>
        <w:tc>
          <w:tcPr>
            <w:tcW w:w="555" w:type="pct"/>
            <w:tcBorders>
              <w:top w:val="single" w:color="auto" w:sz="4" w:space="0"/>
              <w:left w:val="single" w:color="auto" w:sz="4" w:space="0"/>
              <w:bottom w:val="nil"/>
              <w:right w:val="single" w:color="auto" w:sz="4" w:space="0"/>
            </w:tcBorders>
            <w:shd w:val="clear" w:color="auto" w:fill="auto"/>
            <w:noWrap/>
            <w:vAlign w:val="bottom"/>
            <w:hideMark/>
          </w:tcPr>
          <w:p w:rsidRPr="002210EF" w:rsidR="00D72B09" w:rsidP="00ED398B" w:rsidRDefault="00D72B09" w14:paraId="0171136E" w14:textId="7548617A">
            <w:pPr>
              <w:pStyle w:val="Standard"/>
              <w:keepNext/>
              <w:spacing w:line="240" w:lineRule="auto"/>
              <w:ind w:firstLine="0"/>
              <w:jc w:val="center"/>
              <w:rPr>
                <w:bCs/>
              </w:rPr>
            </w:pPr>
            <w:r w:rsidRPr="002210EF">
              <w:t>0.</w:t>
            </w:r>
            <w:r w:rsidR="00972333">
              <w:t>48</w:t>
            </w:r>
          </w:p>
        </w:tc>
        <w:tc>
          <w:tcPr>
            <w:tcW w:w="553" w:type="pct"/>
            <w:tcBorders>
              <w:top w:val="single" w:color="auto" w:sz="4" w:space="0"/>
              <w:left w:val="nil"/>
              <w:bottom w:val="nil"/>
              <w:right w:val="nil"/>
            </w:tcBorders>
            <w:shd w:val="clear" w:color="auto" w:fill="auto"/>
            <w:noWrap/>
            <w:vAlign w:val="bottom"/>
            <w:hideMark/>
          </w:tcPr>
          <w:p w:rsidRPr="002210EF" w:rsidR="00D72B09" w:rsidP="00ED398B" w:rsidRDefault="00D72B09" w14:paraId="6A03251F" w14:textId="77777777">
            <w:pPr>
              <w:pStyle w:val="Standard"/>
              <w:keepNext/>
              <w:spacing w:line="240" w:lineRule="auto"/>
              <w:ind w:firstLine="0"/>
              <w:jc w:val="center"/>
              <w:rPr>
                <w:bCs/>
              </w:rPr>
            </w:pPr>
            <w:r w:rsidRPr="002210EF">
              <w:t>0.60</w:t>
            </w:r>
          </w:p>
        </w:tc>
        <w:tc>
          <w:tcPr>
            <w:tcW w:w="679" w:type="pct"/>
            <w:tcBorders>
              <w:top w:val="single" w:color="auto" w:sz="4" w:space="0"/>
              <w:left w:val="single" w:color="auto" w:sz="4" w:space="0"/>
              <w:bottom w:val="nil"/>
              <w:right w:val="single" w:color="auto" w:sz="4" w:space="0"/>
            </w:tcBorders>
            <w:shd w:val="clear" w:color="auto" w:fill="auto"/>
            <w:noWrap/>
            <w:vAlign w:val="bottom"/>
            <w:hideMark/>
          </w:tcPr>
          <w:p w:rsidRPr="002210EF" w:rsidR="00D72B09" w:rsidP="00ED398B" w:rsidRDefault="00D72B09" w14:paraId="15B3FF04" w14:textId="77777777">
            <w:pPr>
              <w:pStyle w:val="Standard"/>
              <w:keepNext/>
              <w:spacing w:line="240" w:lineRule="auto"/>
              <w:ind w:firstLine="0"/>
              <w:jc w:val="center"/>
              <w:rPr>
                <w:bCs/>
              </w:rPr>
            </w:pPr>
            <w:r w:rsidRPr="002210EF">
              <w:t>0.57</w:t>
            </w:r>
          </w:p>
        </w:tc>
      </w:tr>
      <w:tr w:rsidRPr="005C718E" w:rsidR="005C718E" w:rsidTr="00D850DE" w14:paraId="55B5FFFB" w14:textId="77777777">
        <w:tc>
          <w:tcPr>
            <w:tcW w:w="1174" w:type="pct"/>
            <w:tcBorders>
              <w:top w:val="nil"/>
              <w:left w:val="single" w:color="auto" w:sz="4" w:space="0"/>
              <w:bottom w:val="single" w:color="auto" w:sz="4" w:space="0"/>
              <w:right w:val="nil"/>
            </w:tcBorders>
            <w:shd w:val="clear" w:color="auto" w:fill="auto"/>
            <w:noWrap/>
            <w:vAlign w:val="center"/>
          </w:tcPr>
          <w:p w:rsidRPr="002210EF" w:rsidR="00D72B09" w:rsidP="00ED398B" w:rsidRDefault="00D72B09" w14:paraId="18395FBF" w14:textId="6956C457">
            <w:pPr>
              <w:pStyle w:val="Standard"/>
              <w:spacing w:line="240" w:lineRule="auto"/>
              <w:ind w:firstLine="0"/>
              <w:jc w:val="center"/>
              <w:rPr>
                <w:bCs/>
              </w:rPr>
            </w:pPr>
          </w:p>
        </w:tc>
        <w:tc>
          <w:tcPr>
            <w:tcW w:w="991" w:type="pct"/>
            <w:tcBorders>
              <w:top w:val="nil"/>
              <w:left w:val="single" w:color="auto" w:sz="4" w:space="0"/>
              <w:bottom w:val="single" w:color="auto" w:sz="4" w:space="0"/>
              <w:right w:val="single" w:color="auto" w:sz="4" w:space="0"/>
            </w:tcBorders>
            <w:shd w:val="clear" w:color="auto" w:fill="auto"/>
            <w:noWrap/>
            <w:vAlign w:val="center"/>
          </w:tcPr>
          <w:p w:rsidRPr="002210EF" w:rsidR="00D72B09" w:rsidP="00ED398B" w:rsidRDefault="00D72B09" w14:paraId="6C1ADDBA" w14:textId="0B8E3368">
            <w:pPr>
              <w:pStyle w:val="Standard"/>
              <w:spacing w:line="240" w:lineRule="auto"/>
              <w:ind w:firstLine="0"/>
              <w:jc w:val="center"/>
              <w:rPr>
                <w:bCs/>
              </w:rPr>
            </w:pPr>
          </w:p>
        </w:tc>
        <w:tc>
          <w:tcPr>
            <w:tcW w:w="1048" w:type="pct"/>
            <w:tcBorders>
              <w:top w:val="nil"/>
              <w:left w:val="nil"/>
              <w:bottom w:val="single" w:color="auto" w:sz="4" w:space="0"/>
              <w:right w:val="nil"/>
            </w:tcBorders>
            <w:shd w:val="clear" w:color="auto" w:fill="auto"/>
            <w:noWrap/>
            <w:vAlign w:val="center"/>
            <w:hideMark/>
          </w:tcPr>
          <w:p w:rsidRPr="002210EF" w:rsidR="00D72B09" w:rsidP="00ED398B" w:rsidRDefault="00D72B09" w14:paraId="5DB92360" w14:textId="77777777">
            <w:pPr>
              <w:pStyle w:val="Standard"/>
              <w:spacing w:line="240" w:lineRule="auto"/>
              <w:ind w:firstLine="0"/>
              <w:jc w:val="center"/>
              <w:rPr>
                <w:bCs/>
              </w:rPr>
            </w:pPr>
            <w:proofErr w:type="spellStart"/>
            <w:r w:rsidRPr="002210EF">
              <w:t>Solar+Storage</w:t>
            </w:r>
            <w:proofErr w:type="spellEnd"/>
          </w:p>
        </w:tc>
        <w:tc>
          <w:tcPr>
            <w:tcW w:w="555" w:type="pct"/>
            <w:tcBorders>
              <w:top w:val="nil"/>
              <w:left w:val="single" w:color="auto" w:sz="4" w:space="0"/>
              <w:bottom w:val="single" w:color="auto" w:sz="4" w:space="0"/>
              <w:right w:val="single" w:color="auto" w:sz="4" w:space="0"/>
            </w:tcBorders>
            <w:shd w:val="clear" w:color="auto" w:fill="auto"/>
            <w:noWrap/>
            <w:vAlign w:val="bottom"/>
            <w:hideMark/>
          </w:tcPr>
          <w:p w:rsidRPr="002210EF" w:rsidR="00D72B09" w:rsidP="00ED398B" w:rsidRDefault="00D72B09" w14:paraId="228F0EFD" w14:textId="29CBAAA8">
            <w:pPr>
              <w:pStyle w:val="Standard"/>
              <w:spacing w:line="240" w:lineRule="auto"/>
              <w:ind w:firstLine="0"/>
              <w:jc w:val="center"/>
              <w:rPr>
                <w:bCs/>
              </w:rPr>
            </w:pPr>
            <w:r w:rsidRPr="002210EF">
              <w:t>0.8</w:t>
            </w:r>
            <w:r w:rsidR="00936B9E">
              <w:t>5</w:t>
            </w:r>
          </w:p>
        </w:tc>
        <w:tc>
          <w:tcPr>
            <w:tcW w:w="553" w:type="pct"/>
            <w:tcBorders>
              <w:top w:val="nil"/>
              <w:left w:val="nil"/>
              <w:bottom w:val="single" w:color="auto" w:sz="4" w:space="0"/>
              <w:right w:val="nil"/>
            </w:tcBorders>
            <w:shd w:val="clear" w:color="auto" w:fill="auto"/>
            <w:noWrap/>
            <w:vAlign w:val="bottom"/>
            <w:hideMark/>
          </w:tcPr>
          <w:p w:rsidRPr="002210EF" w:rsidR="00D72B09" w:rsidP="00ED398B" w:rsidRDefault="00D72B09" w14:paraId="653ED613" w14:textId="77777777">
            <w:pPr>
              <w:pStyle w:val="Standard"/>
              <w:spacing w:line="240" w:lineRule="auto"/>
              <w:ind w:firstLine="0"/>
              <w:jc w:val="center"/>
              <w:rPr>
                <w:bCs/>
              </w:rPr>
            </w:pPr>
            <w:r w:rsidRPr="002210EF">
              <w:t>0.86</w:t>
            </w:r>
          </w:p>
        </w:tc>
        <w:tc>
          <w:tcPr>
            <w:tcW w:w="679" w:type="pct"/>
            <w:tcBorders>
              <w:top w:val="nil"/>
              <w:left w:val="single" w:color="auto" w:sz="4" w:space="0"/>
              <w:bottom w:val="single" w:color="auto" w:sz="4" w:space="0"/>
              <w:right w:val="single" w:color="auto" w:sz="4" w:space="0"/>
            </w:tcBorders>
            <w:shd w:val="clear" w:color="auto" w:fill="auto"/>
            <w:noWrap/>
            <w:vAlign w:val="bottom"/>
            <w:hideMark/>
          </w:tcPr>
          <w:p w:rsidRPr="002210EF" w:rsidR="00D72B09" w:rsidP="00ED398B" w:rsidRDefault="00D72B09" w14:paraId="36A792C2" w14:textId="77777777">
            <w:pPr>
              <w:pStyle w:val="Standard"/>
              <w:spacing w:line="240" w:lineRule="auto"/>
              <w:ind w:firstLine="0"/>
              <w:jc w:val="center"/>
              <w:rPr>
                <w:bCs/>
              </w:rPr>
            </w:pPr>
            <w:r w:rsidRPr="002210EF">
              <w:t>1.03</w:t>
            </w:r>
          </w:p>
        </w:tc>
      </w:tr>
      <w:tr w:rsidRPr="005C718E" w:rsidR="005C718E" w:rsidTr="00D850DE" w14:paraId="7D468421" w14:textId="77777777">
        <w:tc>
          <w:tcPr>
            <w:tcW w:w="1174" w:type="pct"/>
            <w:tcBorders>
              <w:top w:val="nil"/>
              <w:left w:val="single" w:color="auto" w:sz="4" w:space="0"/>
              <w:bottom w:val="nil"/>
              <w:right w:val="nil"/>
            </w:tcBorders>
            <w:shd w:val="clear" w:color="auto" w:fill="auto"/>
            <w:noWrap/>
            <w:vAlign w:val="center"/>
            <w:hideMark/>
          </w:tcPr>
          <w:p w:rsidRPr="002210EF" w:rsidR="00D72B09" w:rsidP="00ED398B" w:rsidRDefault="00D72B09" w14:paraId="422A226A" w14:textId="77777777">
            <w:pPr>
              <w:pStyle w:val="Standard"/>
              <w:keepNext/>
              <w:spacing w:line="240" w:lineRule="auto"/>
              <w:ind w:firstLine="0"/>
              <w:jc w:val="center"/>
              <w:rPr>
                <w:bCs/>
              </w:rPr>
            </w:pPr>
            <w:r w:rsidRPr="002210EF">
              <w:t>Nonresidential</w:t>
            </w:r>
          </w:p>
        </w:tc>
        <w:tc>
          <w:tcPr>
            <w:tcW w:w="991" w:type="pct"/>
            <w:tcBorders>
              <w:top w:val="nil"/>
              <w:left w:val="single" w:color="auto" w:sz="4" w:space="0"/>
              <w:bottom w:val="nil"/>
              <w:right w:val="single" w:color="auto" w:sz="4" w:space="0"/>
            </w:tcBorders>
            <w:shd w:val="clear" w:color="auto" w:fill="auto"/>
            <w:noWrap/>
            <w:vAlign w:val="center"/>
            <w:hideMark/>
          </w:tcPr>
          <w:p w:rsidRPr="002210EF" w:rsidR="00D72B09" w:rsidP="00ED398B" w:rsidRDefault="00D72B09" w14:paraId="65771B5D" w14:textId="4C58F852">
            <w:pPr>
              <w:pStyle w:val="Standard"/>
              <w:keepNext/>
              <w:spacing w:line="240" w:lineRule="auto"/>
              <w:ind w:firstLine="0"/>
              <w:jc w:val="center"/>
              <w:rPr>
                <w:bCs/>
              </w:rPr>
            </w:pPr>
            <w:r w:rsidRPr="002210EF">
              <w:t>Non</w:t>
            </w:r>
            <w:r w:rsidR="00827602">
              <w:noBreakHyphen/>
            </w:r>
            <w:r w:rsidRPr="002210EF">
              <w:t>CARE</w:t>
            </w:r>
          </w:p>
        </w:tc>
        <w:tc>
          <w:tcPr>
            <w:tcW w:w="1048" w:type="pct"/>
            <w:tcBorders>
              <w:top w:val="nil"/>
              <w:left w:val="nil"/>
              <w:bottom w:val="nil"/>
              <w:right w:val="nil"/>
            </w:tcBorders>
            <w:shd w:val="clear" w:color="auto" w:fill="auto"/>
            <w:noWrap/>
            <w:vAlign w:val="center"/>
            <w:hideMark/>
          </w:tcPr>
          <w:p w:rsidRPr="002210EF" w:rsidR="00D72B09" w:rsidP="00ED398B" w:rsidRDefault="00D72B09" w14:paraId="2561BD57" w14:textId="77777777">
            <w:pPr>
              <w:pStyle w:val="Standard"/>
              <w:keepNext/>
              <w:spacing w:line="240" w:lineRule="auto"/>
              <w:ind w:firstLine="0"/>
              <w:jc w:val="center"/>
              <w:rPr>
                <w:bCs/>
              </w:rPr>
            </w:pPr>
            <w:r w:rsidRPr="002210EF">
              <w:t>Solar Only</w:t>
            </w:r>
          </w:p>
        </w:tc>
        <w:tc>
          <w:tcPr>
            <w:tcW w:w="555" w:type="pct"/>
            <w:tcBorders>
              <w:top w:val="nil"/>
              <w:left w:val="single" w:color="auto" w:sz="4" w:space="0"/>
              <w:bottom w:val="nil"/>
              <w:right w:val="single" w:color="auto" w:sz="4" w:space="0"/>
            </w:tcBorders>
            <w:shd w:val="clear" w:color="auto" w:fill="auto"/>
            <w:noWrap/>
            <w:vAlign w:val="bottom"/>
            <w:hideMark/>
          </w:tcPr>
          <w:p w:rsidRPr="002210EF" w:rsidR="00D72B09" w:rsidP="00ED398B" w:rsidRDefault="00D72B09" w14:paraId="31A9846E" w14:textId="12251C8A">
            <w:pPr>
              <w:pStyle w:val="Standard"/>
              <w:keepNext/>
              <w:spacing w:line="240" w:lineRule="auto"/>
              <w:ind w:firstLine="0"/>
              <w:jc w:val="center"/>
              <w:rPr>
                <w:bCs/>
              </w:rPr>
            </w:pPr>
            <w:r w:rsidRPr="002210EF">
              <w:t>0.</w:t>
            </w:r>
            <w:r w:rsidR="00936B9E">
              <w:t>51</w:t>
            </w:r>
          </w:p>
        </w:tc>
        <w:tc>
          <w:tcPr>
            <w:tcW w:w="553" w:type="pct"/>
            <w:tcBorders>
              <w:top w:val="nil"/>
              <w:left w:val="nil"/>
              <w:bottom w:val="nil"/>
              <w:right w:val="nil"/>
            </w:tcBorders>
            <w:shd w:val="clear" w:color="auto" w:fill="auto"/>
            <w:noWrap/>
            <w:vAlign w:val="bottom"/>
            <w:hideMark/>
          </w:tcPr>
          <w:p w:rsidRPr="002210EF" w:rsidR="00D72B09" w:rsidP="00ED398B" w:rsidRDefault="00D72B09" w14:paraId="4F4A30EC" w14:textId="77777777">
            <w:pPr>
              <w:pStyle w:val="Standard"/>
              <w:keepNext/>
              <w:spacing w:line="240" w:lineRule="auto"/>
              <w:ind w:firstLine="0"/>
              <w:jc w:val="center"/>
              <w:rPr>
                <w:bCs/>
              </w:rPr>
            </w:pPr>
            <w:r w:rsidRPr="002210EF">
              <w:t>0.64</w:t>
            </w:r>
          </w:p>
        </w:tc>
        <w:tc>
          <w:tcPr>
            <w:tcW w:w="679" w:type="pct"/>
            <w:tcBorders>
              <w:top w:val="nil"/>
              <w:left w:val="single" w:color="auto" w:sz="4" w:space="0"/>
              <w:bottom w:val="nil"/>
              <w:right w:val="single" w:color="auto" w:sz="4" w:space="0"/>
            </w:tcBorders>
            <w:shd w:val="clear" w:color="auto" w:fill="auto"/>
            <w:noWrap/>
            <w:vAlign w:val="bottom"/>
            <w:hideMark/>
          </w:tcPr>
          <w:p w:rsidRPr="002210EF" w:rsidR="00D72B09" w:rsidP="00ED398B" w:rsidRDefault="00D72B09" w14:paraId="6C43BA14" w14:textId="77777777">
            <w:pPr>
              <w:pStyle w:val="Standard"/>
              <w:keepNext/>
              <w:spacing w:line="240" w:lineRule="auto"/>
              <w:ind w:firstLine="0"/>
              <w:jc w:val="center"/>
              <w:rPr>
                <w:bCs/>
              </w:rPr>
            </w:pPr>
            <w:r w:rsidRPr="002210EF">
              <w:t>0.61</w:t>
            </w:r>
          </w:p>
        </w:tc>
      </w:tr>
      <w:tr w:rsidRPr="005C718E" w:rsidR="005C718E" w:rsidTr="00D850DE" w14:paraId="6E32EAFF" w14:textId="77777777">
        <w:tc>
          <w:tcPr>
            <w:tcW w:w="1174" w:type="pct"/>
            <w:tcBorders>
              <w:top w:val="nil"/>
              <w:left w:val="single" w:color="auto" w:sz="4" w:space="0"/>
              <w:bottom w:val="single" w:color="auto" w:sz="4" w:space="0"/>
              <w:right w:val="nil"/>
            </w:tcBorders>
            <w:shd w:val="clear" w:color="auto" w:fill="auto"/>
            <w:noWrap/>
            <w:vAlign w:val="center"/>
          </w:tcPr>
          <w:p w:rsidRPr="002210EF" w:rsidR="00D72B09" w:rsidP="00ED398B" w:rsidRDefault="00D72B09" w14:paraId="1547D15D" w14:textId="50410614">
            <w:pPr>
              <w:pStyle w:val="Standard"/>
              <w:spacing w:line="240" w:lineRule="auto"/>
              <w:ind w:firstLine="0"/>
              <w:jc w:val="center"/>
              <w:rPr>
                <w:bCs/>
              </w:rPr>
            </w:pPr>
          </w:p>
        </w:tc>
        <w:tc>
          <w:tcPr>
            <w:tcW w:w="991" w:type="pct"/>
            <w:tcBorders>
              <w:top w:val="nil"/>
              <w:left w:val="single" w:color="auto" w:sz="4" w:space="0"/>
              <w:bottom w:val="single" w:color="auto" w:sz="4" w:space="0"/>
              <w:right w:val="single" w:color="auto" w:sz="4" w:space="0"/>
            </w:tcBorders>
            <w:shd w:val="clear" w:color="auto" w:fill="auto"/>
            <w:noWrap/>
            <w:vAlign w:val="center"/>
          </w:tcPr>
          <w:p w:rsidRPr="002210EF" w:rsidR="00D72B09" w:rsidP="00ED398B" w:rsidRDefault="00D72B09" w14:paraId="7F379B7F" w14:textId="40B73A36">
            <w:pPr>
              <w:pStyle w:val="Standard"/>
              <w:spacing w:line="240" w:lineRule="auto"/>
              <w:ind w:firstLine="0"/>
              <w:jc w:val="center"/>
              <w:rPr>
                <w:bCs/>
              </w:rPr>
            </w:pPr>
          </w:p>
        </w:tc>
        <w:tc>
          <w:tcPr>
            <w:tcW w:w="1048" w:type="pct"/>
            <w:tcBorders>
              <w:top w:val="nil"/>
              <w:left w:val="nil"/>
              <w:bottom w:val="single" w:color="auto" w:sz="4" w:space="0"/>
              <w:right w:val="nil"/>
            </w:tcBorders>
            <w:shd w:val="clear" w:color="auto" w:fill="auto"/>
            <w:noWrap/>
            <w:vAlign w:val="center"/>
            <w:hideMark/>
          </w:tcPr>
          <w:p w:rsidRPr="002210EF" w:rsidR="00D72B09" w:rsidP="00ED398B" w:rsidRDefault="00D72B09" w14:paraId="1355589E" w14:textId="77777777">
            <w:pPr>
              <w:pStyle w:val="Standard"/>
              <w:spacing w:line="240" w:lineRule="auto"/>
              <w:ind w:firstLine="0"/>
              <w:jc w:val="center"/>
              <w:rPr>
                <w:bCs/>
              </w:rPr>
            </w:pPr>
            <w:proofErr w:type="spellStart"/>
            <w:r w:rsidRPr="002210EF">
              <w:t>Solar+Storage</w:t>
            </w:r>
            <w:proofErr w:type="spellEnd"/>
          </w:p>
        </w:tc>
        <w:tc>
          <w:tcPr>
            <w:tcW w:w="555" w:type="pct"/>
            <w:tcBorders>
              <w:top w:val="nil"/>
              <w:left w:val="single" w:color="auto" w:sz="4" w:space="0"/>
              <w:bottom w:val="single" w:color="auto" w:sz="4" w:space="0"/>
              <w:right w:val="single" w:color="auto" w:sz="4" w:space="0"/>
            </w:tcBorders>
            <w:shd w:val="clear" w:color="auto" w:fill="auto"/>
            <w:noWrap/>
            <w:vAlign w:val="bottom"/>
            <w:hideMark/>
          </w:tcPr>
          <w:p w:rsidRPr="002210EF" w:rsidR="00D72B09" w:rsidP="00ED398B" w:rsidRDefault="00D72B09" w14:paraId="4C355414" w14:textId="0147F9F2">
            <w:pPr>
              <w:pStyle w:val="Standard"/>
              <w:spacing w:line="240" w:lineRule="auto"/>
              <w:ind w:firstLine="0"/>
              <w:jc w:val="center"/>
              <w:rPr>
                <w:bCs/>
              </w:rPr>
            </w:pPr>
            <w:r w:rsidRPr="002210EF">
              <w:t>0.8</w:t>
            </w:r>
            <w:r w:rsidR="00936B9E">
              <w:t>1</w:t>
            </w:r>
          </w:p>
        </w:tc>
        <w:tc>
          <w:tcPr>
            <w:tcW w:w="553" w:type="pct"/>
            <w:tcBorders>
              <w:top w:val="nil"/>
              <w:left w:val="nil"/>
              <w:bottom w:val="single" w:color="auto" w:sz="4" w:space="0"/>
              <w:right w:val="nil"/>
            </w:tcBorders>
            <w:shd w:val="clear" w:color="auto" w:fill="auto"/>
            <w:noWrap/>
            <w:vAlign w:val="bottom"/>
            <w:hideMark/>
          </w:tcPr>
          <w:p w:rsidRPr="002210EF" w:rsidR="00D72B09" w:rsidP="00ED398B" w:rsidRDefault="00D72B09" w14:paraId="34E76353" w14:textId="77777777">
            <w:pPr>
              <w:pStyle w:val="Standard"/>
              <w:spacing w:line="240" w:lineRule="auto"/>
              <w:ind w:firstLine="0"/>
              <w:jc w:val="center"/>
              <w:rPr>
                <w:bCs/>
              </w:rPr>
            </w:pPr>
            <w:r w:rsidRPr="002210EF">
              <w:t>0.78</w:t>
            </w:r>
          </w:p>
        </w:tc>
        <w:tc>
          <w:tcPr>
            <w:tcW w:w="679" w:type="pct"/>
            <w:tcBorders>
              <w:top w:val="nil"/>
              <w:left w:val="single" w:color="auto" w:sz="4" w:space="0"/>
              <w:bottom w:val="single" w:color="auto" w:sz="4" w:space="0"/>
              <w:right w:val="single" w:color="auto" w:sz="4" w:space="0"/>
            </w:tcBorders>
            <w:shd w:val="clear" w:color="auto" w:fill="auto"/>
            <w:noWrap/>
            <w:vAlign w:val="bottom"/>
            <w:hideMark/>
          </w:tcPr>
          <w:p w:rsidRPr="002210EF" w:rsidR="00D72B09" w:rsidP="00ED398B" w:rsidRDefault="00D72B09" w14:paraId="2BDA3BBF" w14:textId="77777777">
            <w:pPr>
              <w:pStyle w:val="Standard"/>
              <w:spacing w:line="240" w:lineRule="auto"/>
              <w:ind w:firstLine="0"/>
              <w:jc w:val="center"/>
              <w:rPr>
                <w:bCs/>
              </w:rPr>
            </w:pPr>
            <w:r w:rsidRPr="002210EF">
              <w:t>1.03</w:t>
            </w:r>
          </w:p>
        </w:tc>
      </w:tr>
    </w:tbl>
    <w:p w:rsidR="00533B2F" w:rsidP="00910053" w:rsidRDefault="00A055D3" w14:paraId="7C1EA083" w14:textId="3070B352">
      <w:pPr>
        <w:pStyle w:val="Standard"/>
        <w:spacing w:before="120"/>
      </w:pPr>
      <w:r>
        <w:t>With respect to customers with solar paired with storage, t</w:t>
      </w:r>
      <w:r w:rsidR="00236748">
        <w:t xml:space="preserve">he results of the </w:t>
      </w:r>
      <w:proofErr w:type="spellStart"/>
      <w:r w:rsidR="00236748">
        <w:t>TRC</w:t>
      </w:r>
      <w:proofErr w:type="spellEnd"/>
      <w:r w:rsidR="00236748">
        <w:t xml:space="preserve"> test indicate ratios </w:t>
      </w:r>
      <w:r>
        <w:t xml:space="preserve">over 1.0 for all SDG&amp;E customers and </w:t>
      </w:r>
      <w:r w:rsidR="00936B9E">
        <w:t xml:space="preserve">approximately </w:t>
      </w:r>
      <w:r>
        <w:t>0</w:t>
      </w:r>
      <w:r w:rsidR="00236748">
        <w:t>.</w:t>
      </w:r>
      <w:r>
        <w:t>8</w:t>
      </w:r>
      <w:r w:rsidR="00236748">
        <w:t xml:space="preserve"> </w:t>
      </w:r>
      <w:r w:rsidR="00236748">
        <w:lastRenderedPageBreak/>
        <w:t xml:space="preserve">for </w:t>
      </w:r>
      <w:r w:rsidR="00324E98">
        <w:t xml:space="preserve">residential </w:t>
      </w:r>
      <w:r>
        <w:t xml:space="preserve">and small commercial </w:t>
      </w:r>
      <w:r w:rsidR="00324E98">
        <w:t>P</w:t>
      </w:r>
      <w:r w:rsidR="00997D48">
        <w:t xml:space="preserve">G&amp;E </w:t>
      </w:r>
      <w:r w:rsidR="00324E98">
        <w:t xml:space="preserve">and SCE </w:t>
      </w:r>
      <w:r w:rsidR="00850ACA">
        <w:t>customers, while stand</w:t>
      </w:r>
      <w:r w:rsidR="00827602">
        <w:noBreakHyphen/>
      </w:r>
      <w:r w:rsidR="00850ACA">
        <w:t xml:space="preserve">alone solar </w:t>
      </w:r>
      <w:r>
        <w:t xml:space="preserve">systems </w:t>
      </w:r>
      <w:r w:rsidR="00850ACA">
        <w:t>score</w:t>
      </w:r>
      <w:r>
        <w:t>d</w:t>
      </w:r>
      <w:r w:rsidR="00850ACA">
        <w:t xml:space="preserve"> low</w:t>
      </w:r>
      <w:r w:rsidR="00221877">
        <w:t>er</w:t>
      </w:r>
      <w:r w:rsidR="00850ACA">
        <w:t xml:space="preserve"> for customers</w:t>
      </w:r>
      <w:r w:rsidR="00324E98">
        <w:t xml:space="preserve"> across all three utilities</w:t>
      </w:r>
      <w:r w:rsidR="00850ACA">
        <w:t>.</w:t>
      </w:r>
    </w:p>
    <w:p w:rsidR="00850ACA" w:rsidP="005E7044" w:rsidRDefault="006229BE" w14:paraId="1B01FFE1" w14:textId="6FDC7CEB">
      <w:pPr>
        <w:pStyle w:val="Standard"/>
      </w:pPr>
      <w:r>
        <w:t>T</w:t>
      </w:r>
      <w:r w:rsidR="006303E1">
        <w:t>he cost</w:t>
      </w:r>
      <w:r w:rsidR="00827602">
        <w:noBreakHyphen/>
      </w:r>
      <w:r w:rsidR="006303E1">
        <w:t>effectiveness tests</w:t>
      </w:r>
      <w:r w:rsidR="00850ACA">
        <w:t xml:space="preserve"> results are </w:t>
      </w:r>
      <w:r w:rsidR="006303E1">
        <w:t>not compliant with the statute</w:t>
      </w:r>
      <w:r w:rsidR="004D5A59">
        <w:t>, in that the costs are not approximately equal to the benefits</w:t>
      </w:r>
      <w:r w:rsidR="00324E98">
        <w:t xml:space="preserve"> </w:t>
      </w:r>
      <w:r w:rsidR="00722CC8">
        <w:t>in the case of</w:t>
      </w:r>
      <w:r w:rsidR="00324E98">
        <w:t xml:space="preserve"> all customer</w:t>
      </w:r>
      <w:r w:rsidR="00722CC8">
        <w:t xml:space="preserve"> </w:t>
      </w:r>
      <w:r w:rsidRPr="00850B05" w:rsidR="00722CC8">
        <w:t>segments</w:t>
      </w:r>
      <w:r w:rsidRPr="00850B05" w:rsidR="00850ACA">
        <w:t xml:space="preserve">.  </w:t>
      </w:r>
      <w:r w:rsidRPr="00850B05" w:rsidR="000A54F1">
        <w:t xml:space="preserve">This is especially true with the results of the RIM, shown in </w:t>
      </w:r>
      <w:r w:rsidRPr="00850B05" w:rsidR="007F6676">
        <w:t>Table 1</w:t>
      </w:r>
      <w:r w:rsidRPr="00850B05" w:rsidR="000A54F1">
        <w:t>0 below.</w:t>
      </w:r>
      <w:r w:rsidRPr="00850B05" w:rsidR="00B82761">
        <w:t xml:space="preserve"> </w:t>
      </w:r>
      <w:r w:rsidRPr="00850B05" w:rsidR="00A70B77">
        <w:rPr>
          <w:b/>
          <w:bCs/>
        </w:rPr>
        <w:t xml:space="preserve"> </w:t>
      </w:r>
      <w:r w:rsidRPr="00850B05" w:rsidR="006303E1">
        <w:t>However</w:t>
      </w:r>
      <w:r w:rsidR="006303E1">
        <w:t>, a</w:t>
      </w:r>
      <w:r w:rsidR="00850ACA">
        <w:t xml:space="preserve">s stated throughout this decision, the Commission is faced with the </w:t>
      </w:r>
      <w:r w:rsidR="00396ACB">
        <w:t>challenging</w:t>
      </w:r>
      <w:r w:rsidR="00850ACA">
        <w:t xml:space="preserve"> task of balancing multiple competing requirements for the successor tariff.</w:t>
      </w:r>
      <w:r w:rsidR="00D650EE">
        <w:t xml:space="preserve">  The successor tariff makes great strides </w:t>
      </w:r>
      <w:r w:rsidR="005A0BF7">
        <w:t xml:space="preserve">in </w:t>
      </w:r>
      <w:r w:rsidR="001A150B">
        <w:t xml:space="preserve">tackling </w:t>
      </w:r>
      <w:r w:rsidR="00D650EE">
        <w:t xml:space="preserve">the cost shift, thus addressing one element of the equity issue.  </w:t>
      </w:r>
      <w:r w:rsidR="00221877">
        <w:t xml:space="preserve">As further discussed in </w:t>
      </w:r>
      <w:r w:rsidR="0034029C">
        <w:t>Section 8</w:t>
      </w:r>
      <w:r w:rsidR="00221877">
        <w:t>.6.1</w:t>
      </w:r>
      <w:r w:rsidR="00D650EE">
        <w:t xml:space="preserve">, the successor </w:t>
      </w:r>
      <w:r w:rsidR="00396ACB">
        <w:t>expand</w:t>
      </w:r>
      <w:r w:rsidR="00221877">
        <w:t xml:space="preserve">s </w:t>
      </w:r>
      <w:r w:rsidR="00396ACB">
        <w:t>access to low</w:t>
      </w:r>
      <w:r w:rsidR="00827602">
        <w:noBreakHyphen/>
      </w:r>
      <w:r w:rsidR="00396ACB">
        <w:t>income households and disadvantaged communities</w:t>
      </w:r>
      <w:r w:rsidR="00221877">
        <w:t xml:space="preserve"> through additional external funding</w:t>
      </w:r>
      <w:r w:rsidR="00396ACB">
        <w:t>.</w:t>
      </w:r>
      <w:r w:rsidR="004D5A59">
        <w:t xml:space="preserve">  Furthermore, the </w:t>
      </w:r>
      <w:r w:rsidR="00722CC8">
        <w:t xml:space="preserve">ACC Plus </w:t>
      </w:r>
      <w:r w:rsidR="00A055D3">
        <w:t xml:space="preserve">provides a </w:t>
      </w:r>
      <w:r w:rsidR="00722CC8">
        <w:t>glide path</w:t>
      </w:r>
      <w:r w:rsidR="004D5A59">
        <w:t xml:space="preserve"> </w:t>
      </w:r>
      <w:r w:rsidR="00A055D3">
        <w:t xml:space="preserve">to </w:t>
      </w:r>
      <w:r w:rsidR="004D5A59">
        <w:t xml:space="preserve">assist the Commission in addressing the </w:t>
      </w:r>
      <w:r w:rsidR="009B2D2D">
        <w:t>equity issue</w:t>
      </w:r>
      <w:r w:rsidR="004D5A59">
        <w:t xml:space="preserve"> while also addressing the statute’s requirement</w:t>
      </w:r>
      <w:r w:rsidR="00692FD8">
        <w:t>s</w:t>
      </w:r>
      <w:r w:rsidR="004D5A59">
        <w:t xml:space="preserve"> that the tariff ensures that customer</w:t>
      </w:r>
      <w:r w:rsidR="00827602">
        <w:noBreakHyphen/>
      </w:r>
      <w:r w:rsidRPr="00B729E3" w:rsidR="004D5A59">
        <w:t>sited renewable distributed</w:t>
      </w:r>
      <w:r w:rsidR="004D5A59">
        <w:t xml:space="preserve"> generation continues to grow sustainably.</w:t>
      </w:r>
    </w:p>
    <w:p w:rsidRPr="007E07D7" w:rsidR="007C6573" w:rsidP="007E07D7" w:rsidRDefault="007C6573" w14:paraId="45E1203F" w14:textId="3945CCCF">
      <w:pPr>
        <w:pStyle w:val="TableTitleBodyH085"/>
      </w:pPr>
      <w:bookmarkStart w:name="Table10" w:id="217"/>
      <w:r w:rsidRPr="00D72B09">
        <w:rPr>
          <w:b/>
        </w:rPr>
        <w:t>Table </w:t>
      </w:r>
      <w:r>
        <w:rPr>
          <w:b/>
        </w:rPr>
        <w:t>10</w:t>
      </w:r>
      <w:r w:rsidRPr="00D72B09">
        <w:rPr>
          <w:b/>
        </w:rPr>
        <w:t>.</w:t>
      </w:r>
      <w:r w:rsidRPr="00D72B09">
        <w:rPr>
          <w:b/>
        </w:rPr>
        <w:tab/>
      </w:r>
      <w:r w:rsidRPr="0028135C">
        <w:t>RIM Test Results</w:t>
      </w:r>
      <w:bookmarkEnd w:id="217"/>
    </w:p>
    <w:tbl>
      <w:tblPr>
        <w:tblW w:w="5000" w:type="pct"/>
        <w:tblLayout w:type="fixed"/>
        <w:tblCellMar>
          <w:top w:w="58" w:type="dxa"/>
          <w:bottom w:w="58" w:type="dxa"/>
        </w:tblCellMar>
        <w:tblLook w:val="04A0" w:firstRow="1" w:lastRow="0" w:firstColumn="1" w:lastColumn="0" w:noHBand="0" w:noVBand="1"/>
      </w:tblPr>
      <w:tblGrid>
        <w:gridCol w:w="2195"/>
        <w:gridCol w:w="1853"/>
        <w:gridCol w:w="1960"/>
        <w:gridCol w:w="1038"/>
        <w:gridCol w:w="1034"/>
        <w:gridCol w:w="1270"/>
      </w:tblGrid>
      <w:tr w:rsidRPr="00187472" w:rsidR="007C6573" w:rsidTr="00187472" w14:paraId="7B129CE4" w14:textId="77777777">
        <w:trPr>
          <w:tblHeader/>
        </w:trPr>
        <w:tc>
          <w:tcPr>
            <w:tcW w:w="1174" w:type="pct"/>
            <w:tcBorders>
              <w:top w:val="single" w:color="auto" w:sz="4" w:space="0"/>
              <w:left w:val="single" w:color="auto" w:sz="4" w:space="0"/>
              <w:bottom w:val="single" w:color="auto" w:sz="4" w:space="0"/>
              <w:right w:val="nil"/>
            </w:tcBorders>
            <w:shd w:val="clear" w:color="auto" w:fill="auto"/>
            <w:noWrap/>
            <w:vAlign w:val="center"/>
            <w:hideMark/>
          </w:tcPr>
          <w:p w:rsidRPr="00187472" w:rsidR="007C6573" w:rsidP="006D2BD2" w:rsidRDefault="007C6573" w14:paraId="689EE3AE" w14:textId="77777777">
            <w:pPr>
              <w:pStyle w:val="Standard"/>
              <w:keepNext/>
              <w:spacing w:line="240" w:lineRule="auto"/>
              <w:ind w:firstLine="0"/>
              <w:jc w:val="center"/>
              <w:rPr>
                <w:b/>
                <w:bCs/>
              </w:rPr>
            </w:pPr>
            <w:r w:rsidRPr="00187472">
              <w:rPr>
                <w:b/>
                <w:bCs/>
              </w:rPr>
              <w:t>Customer Type</w:t>
            </w:r>
          </w:p>
        </w:tc>
        <w:tc>
          <w:tcPr>
            <w:tcW w:w="99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87472" w:rsidR="007C6573" w:rsidP="006D2BD2" w:rsidRDefault="007C6573" w14:paraId="32917F66" w14:textId="77777777">
            <w:pPr>
              <w:pStyle w:val="Standard"/>
              <w:keepNext/>
              <w:spacing w:line="240" w:lineRule="auto"/>
              <w:ind w:firstLine="0"/>
              <w:jc w:val="center"/>
              <w:rPr>
                <w:b/>
                <w:bCs/>
              </w:rPr>
            </w:pPr>
            <w:r w:rsidRPr="00187472">
              <w:rPr>
                <w:b/>
                <w:bCs/>
              </w:rPr>
              <w:t>CARE Status</w:t>
            </w:r>
          </w:p>
        </w:tc>
        <w:tc>
          <w:tcPr>
            <w:tcW w:w="1048" w:type="pct"/>
            <w:tcBorders>
              <w:top w:val="single" w:color="auto" w:sz="4" w:space="0"/>
              <w:left w:val="nil"/>
              <w:bottom w:val="single" w:color="auto" w:sz="4" w:space="0"/>
              <w:right w:val="nil"/>
            </w:tcBorders>
            <w:shd w:val="clear" w:color="auto" w:fill="auto"/>
            <w:noWrap/>
            <w:vAlign w:val="center"/>
            <w:hideMark/>
          </w:tcPr>
          <w:p w:rsidRPr="00187472" w:rsidR="007C6573" w:rsidP="006D2BD2" w:rsidRDefault="007C6573" w14:paraId="12D14932" w14:textId="77777777">
            <w:pPr>
              <w:pStyle w:val="Standard"/>
              <w:keepNext/>
              <w:spacing w:line="240" w:lineRule="auto"/>
              <w:ind w:firstLine="0"/>
              <w:jc w:val="center"/>
              <w:rPr>
                <w:b/>
                <w:bCs/>
              </w:rPr>
            </w:pPr>
            <w:r w:rsidRPr="00187472">
              <w:rPr>
                <w:b/>
                <w:bCs/>
              </w:rPr>
              <w:t>System Type</w:t>
            </w:r>
          </w:p>
        </w:tc>
        <w:tc>
          <w:tcPr>
            <w:tcW w:w="55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87472" w:rsidR="007C6573" w:rsidP="006D2BD2" w:rsidRDefault="007C6573" w14:paraId="01F1AE2D" w14:textId="77777777">
            <w:pPr>
              <w:pStyle w:val="Standard"/>
              <w:keepNext/>
              <w:spacing w:line="240" w:lineRule="auto"/>
              <w:ind w:firstLine="0"/>
              <w:jc w:val="center"/>
              <w:rPr>
                <w:b/>
                <w:bCs/>
              </w:rPr>
            </w:pPr>
            <w:r w:rsidRPr="00187472">
              <w:rPr>
                <w:b/>
                <w:bCs/>
              </w:rPr>
              <w:t>PG&amp;E</w:t>
            </w:r>
          </w:p>
        </w:tc>
        <w:tc>
          <w:tcPr>
            <w:tcW w:w="553" w:type="pct"/>
            <w:tcBorders>
              <w:top w:val="single" w:color="auto" w:sz="4" w:space="0"/>
              <w:left w:val="nil"/>
              <w:bottom w:val="single" w:color="auto" w:sz="4" w:space="0"/>
              <w:right w:val="nil"/>
            </w:tcBorders>
            <w:shd w:val="clear" w:color="auto" w:fill="auto"/>
            <w:noWrap/>
            <w:vAlign w:val="center"/>
            <w:hideMark/>
          </w:tcPr>
          <w:p w:rsidRPr="00187472" w:rsidR="007C6573" w:rsidP="006D2BD2" w:rsidRDefault="007C6573" w14:paraId="2FB3B1DD" w14:textId="77777777">
            <w:pPr>
              <w:pStyle w:val="Standard"/>
              <w:keepNext/>
              <w:spacing w:line="240" w:lineRule="auto"/>
              <w:ind w:firstLine="0"/>
              <w:jc w:val="center"/>
              <w:rPr>
                <w:b/>
                <w:bCs/>
              </w:rPr>
            </w:pPr>
            <w:r w:rsidRPr="00187472">
              <w:rPr>
                <w:b/>
                <w:bCs/>
              </w:rPr>
              <w:t>SCE</w:t>
            </w:r>
          </w:p>
        </w:tc>
        <w:tc>
          <w:tcPr>
            <w:tcW w:w="67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87472" w:rsidR="007C6573" w:rsidP="006D2BD2" w:rsidRDefault="007C6573" w14:paraId="1BBB4A00" w14:textId="77777777">
            <w:pPr>
              <w:pStyle w:val="Standard"/>
              <w:keepNext/>
              <w:spacing w:line="240" w:lineRule="auto"/>
              <w:ind w:firstLine="0"/>
              <w:jc w:val="center"/>
              <w:rPr>
                <w:b/>
                <w:bCs/>
              </w:rPr>
            </w:pPr>
            <w:r w:rsidRPr="00187472">
              <w:rPr>
                <w:b/>
                <w:bCs/>
              </w:rPr>
              <w:t>SDG&amp;E</w:t>
            </w:r>
          </w:p>
        </w:tc>
      </w:tr>
      <w:tr w:rsidRPr="001B6C96" w:rsidR="007C6573" w:rsidTr="00586CE6" w14:paraId="33568278" w14:textId="77777777">
        <w:tc>
          <w:tcPr>
            <w:tcW w:w="1174" w:type="pct"/>
            <w:tcBorders>
              <w:top w:val="nil"/>
              <w:left w:val="single" w:color="auto" w:sz="4" w:space="0"/>
              <w:bottom w:val="nil"/>
              <w:right w:val="nil"/>
            </w:tcBorders>
            <w:shd w:val="clear" w:color="auto" w:fill="auto"/>
            <w:noWrap/>
            <w:vAlign w:val="center"/>
            <w:hideMark/>
          </w:tcPr>
          <w:p w:rsidRPr="002210EF" w:rsidR="007C6573" w:rsidP="006D2BD2" w:rsidRDefault="007C6573" w14:paraId="1419CE31" w14:textId="77777777">
            <w:pPr>
              <w:pStyle w:val="Standard"/>
              <w:keepNext/>
              <w:spacing w:line="240" w:lineRule="auto"/>
              <w:ind w:firstLine="0"/>
              <w:jc w:val="center"/>
              <w:rPr>
                <w:bCs/>
              </w:rPr>
            </w:pPr>
            <w:r w:rsidRPr="002210EF">
              <w:t>Residential</w:t>
            </w:r>
          </w:p>
        </w:tc>
        <w:tc>
          <w:tcPr>
            <w:tcW w:w="991" w:type="pct"/>
            <w:tcBorders>
              <w:top w:val="nil"/>
              <w:left w:val="single" w:color="auto" w:sz="4" w:space="0"/>
              <w:bottom w:val="nil"/>
              <w:right w:val="single" w:color="auto" w:sz="4" w:space="0"/>
            </w:tcBorders>
            <w:shd w:val="clear" w:color="auto" w:fill="auto"/>
            <w:noWrap/>
            <w:vAlign w:val="center"/>
            <w:hideMark/>
          </w:tcPr>
          <w:p w:rsidRPr="002210EF" w:rsidR="007C6573" w:rsidP="006D2BD2" w:rsidRDefault="007C6573" w14:paraId="3D07EEEA" w14:textId="405B141A">
            <w:pPr>
              <w:pStyle w:val="Standard"/>
              <w:keepNext/>
              <w:spacing w:line="240" w:lineRule="auto"/>
              <w:ind w:firstLine="0"/>
              <w:jc w:val="center"/>
              <w:rPr>
                <w:bCs/>
              </w:rPr>
            </w:pPr>
            <w:r w:rsidRPr="002210EF">
              <w:t>Non</w:t>
            </w:r>
            <w:r w:rsidR="00827602">
              <w:noBreakHyphen/>
            </w:r>
            <w:r w:rsidRPr="002210EF">
              <w:t>CARE</w:t>
            </w:r>
          </w:p>
        </w:tc>
        <w:tc>
          <w:tcPr>
            <w:tcW w:w="1048" w:type="pct"/>
            <w:tcBorders>
              <w:top w:val="nil"/>
              <w:left w:val="nil"/>
              <w:bottom w:val="nil"/>
              <w:right w:val="nil"/>
            </w:tcBorders>
            <w:shd w:val="clear" w:color="auto" w:fill="auto"/>
            <w:noWrap/>
            <w:vAlign w:val="center"/>
            <w:hideMark/>
          </w:tcPr>
          <w:p w:rsidRPr="002210EF" w:rsidR="007C6573" w:rsidP="006D2BD2" w:rsidRDefault="007C6573" w14:paraId="74655AED" w14:textId="77777777">
            <w:pPr>
              <w:pStyle w:val="Standard"/>
              <w:keepNext/>
              <w:spacing w:line="240" w:lineRule="auto"/>
              <w:ind w:firstLine="0"/>
              <w:jc w:val="center"/>
              <w:rPr>
                <w:bCs/>
              </w:rPr>
            </w:pPr>
            <w:r w:rsidRPr="002210EF">
              <w:t>Solar Only</w:t>
            </w:r>
          </w:p>
        </w:tc>
        <w:tc>
          <w:tcPr>
            <w:tcW w:w="555" w:type="pct"/>
            <w:tcBorders>
              <w:top w:val="nil"/>
              <w:left w:val="single" w:color="auto" w:sz="4" w:space="0"/>
              <w:bottom w:val="nil"/>
              <w:right w:val="single" w:color="auto" w:sz="4" w:space="0"/>
            </w:tcBorders>
            <w:shd w:val="clear" w:color="auto" w:fill="auto"/>
            <w:noWrap/>
            <w:vAlign w:val="bottom"/>
          </w:tcPr>
          <w:p w:rsidRPr="002210EF" w:rsidR="007C6573" w:rsidP="006D2BD2" w:rsidRDefault="00794757" w14:paraId="6F5E20B8" w14:textId="20A0191C">
            <w:pPr>
              <w:pStyle w:val="Standard"/>
              <w:keepNext/>
              <w:spacing w:line="240" w:lineRule="auto"/>
              <w:ind w:firstLine="0"/>
              <w:jc w:val="center"/>
              <w:rPr>
                <w:bCs/>
              </w:rPr>
            </w:pPr>
            <w:r>
              <w:t>0.3</w:t>
            </w:r>
            <w:r w:rsidR="00936B9E">
              <w:t>1</w:t>
            </w:r>
          </w:p>
        </w:tc>
        <w:tc>
          <w:tcPr>
            <w:tcW w:w="553" w:type="pct"/>
            <w:tcBorders>
              <w:top w:val="nil"/>
              <w:left w:val="nil"/>
              <w:bottom w:val="nil"/>
              <w:right w:val="nil"/>
            </w:tcBorders>
            <w:shd w:val="clear" w:color="auto" w:fill="auto"/>
            <w:noWrap/>
            <w:vAlign w:val="bottom"/>
          </w:tcPr>
          <w:p w:rsidRPr="002210EF" w:rsidR="007C6573" w:rsidP="006D2BD2" w:rsidRDefault="00794757" w14:paraId="091A1EF8" w14:textId="17410FEC">
            <w:pPr>
              <w:pStyle w:val="Standard"/>
              <w:keepNext/>
              <w:spacing w:line="240" w:lineRule="auto"/>
              <w:ind w:firstLine="0"/>
              <w:jc w:val="center"/>
              <w:rPr>
                <w:bCs/>
              </w:rPr>
            </w:pPr>
            <w:r>
              <w:t>0.38</w:t>
            </w:r>
          </w:p>
        </w:tc>
        <w:tc>
          <w:tcPr>
            <w:tcW w:w="679" w:type="pct"/>
            <w:tcBorders>
              <w:top w:val="nil"/>
              <w:left w:val="single" w:color="auto" w:sz="4" w:space="0"/>
              <w:bottom w:val="nil"/>
              <w:right w:val="single" w:color="auto" w:sz="4" w:space="0"/>
            </w:tcBorders>
            <w:shd w:val="clear" w:color="auto" w:fill="auto"/>
            <w:noWrap/>
            <w:vAlign w:val="bottom"/>
          </w:tcPr>
          <w:p w:rsidRPr="002210EF" w:rsidR="007C6573" w:rsidP="006D2BD2" w:rsidRDefault="00794757" w14:paraId="4A22C7C4" w14:textId="70DA71FC">
            <w:pPr>
              <w:pStyle w:val="Standard"/>
              <w:keepNext/>
              <w:spacing w:line="240" w:lineRule="auto"/>
              <w:ind w:firstLine="0"/>
              <w:jc w:val="center"/>
              <w:rPr>
                <w:bCs/>
              </w:rPr>
            </w:pPr>
            <w:r>
              <w:t>0.23</w:t>
            </w:r>
          </w:p>
        </w:tc>
      </w:tr>
      <w:tr w:rsidRPr="001B6C96" w:rsidR="007C6573" w:rsidTr="00586CE6" w14:paraId="6671B038" w14:textId="77777777">
        <w:tc>
          <w:tcPr>
            <w:tcW w:w="1174" w:type="pct"/>
            <w:tcBorders>
              <w:top w:val="nil"/>
              <w:left w:val="single" w:color="auto" w:sz="4" w:space="0"/>
              <w:bottom w:val="nil"/>
              <w:right w:val="nil"/>
            </w:tcBorders>
            <w:shd w:val="clear" w:color="auto" w:fill="auto"/>
            <w:noWrap/>
            <w:vAlign w:val="center"/>
          </w:tcPr>
          <w:p w:rsidRPr="002210EF" w:rsidR="007C6573" w:rsidP="00187472" w:rsidRDefault="007C6573" w14:paraId="18D80E63" w14:textId="72721016">
            <w:pPr>
              <w:pStyle w:val="Standard"/>
              <w:spacing w:line="240" w:lineRule="auto"/>
              <w:ind w:firstLine="0"/>
              <w:jc w:val="center"/>
              <w:rPr>
                <w:bCs/>
              </w:rPr>
            </w:pPr>
          </w:p>
        </w:tc>
        <w:tc>
          <w:tcPr>
            <w:tcW w:w="991" w:type="pct"/>
            <w:tcBorders>
              <w:top w:val="nil"/>
              <w:left w:val="single" w:color="auto" w:sz="4" w:space="0"/>
              <w:bottom w:val="nil"/>
              <w:right w:val="single" w:color="auto" w:sz="4" w:space="0"/>
            </w:tcBorders>
            <w:shd w:val="clear" w:color="auto" w:fill="auto"/>
            <w:noWrap/>
            <w:vAlign w:val="center"/>
          </w:tcPr>
          <w:p w:rsidRPr="002210EF" w:rsidR="007C6573" w:rsidP="00187472" w:rsidRDefault="007C6573" w14:paraId="33ACA8CF" w14:textId="4EB0DF44">
            <w:pPr>
              <w:pStyle w:val="Standard"/>
              <w:spacing w:line="240" w:lineRule="auto"/>
              <w:ind w:firstLine="0"/>
              <w:jc w:val="center"/>
              <w:rPr>
                <w:bCs/>
              </w:rPr>
            </w:pPr>
          </w:p>
        </w:tc>
        <w:tc>
          <w:tcPr>
            <w:tcW w:w="1048" w:type="pct"/>
            <w:tcBorders>
              <w:top w:val="nil"/>
              <w:left w:val="nil"/>
              <w:bottom w:val="nil"/>
              <w:right w:val="nil"/>
            </w:tcBorders>
            <w:shd w:val="clear" w:color="auto" w:fill="auto"/>
            <w:noWrap/>
            <w:vAlign w:val="center"/>
            <w:hideMark/>
          </w:tcPr>
          <w:p w:rsidRPr="002210EF" w:rsidR="007C6573" w:rsidP="00187472" w:rsidRDefault="007C6573" w14:paraId="01D4D390" w14:textId="77777777">
            <w:pPr>
              <w:pStyle w:val="Standard"/>
              <w:spacing w:line="240" w:lineRule="auto"/>
              <w:ind w:firstLine="0"/>
              <w:jc w:val="center"/>
              <w:rPr>
                <w:bCs/>
              </w:rPr>
            </w:pPr>
            <w:proofErr w:type="spellStart"/>
            <w:r w:rsidRPr="002210EF">
              <w:t>Solar+Storage</w:t>
            </w:r>
            <w:proofErr w:type="spellEnd"/>
          </w:p>
        </w:tc>
        <w:tc>
          <w:tcPr>
            <w:tcW w:w="555" w:type="pct"/>
            <w:tcBorders>
              <w:top w:val="nil"/>
              <w:left w:val="single" w:color="auto" w:sz="4" w:space="0"/>
              <w:bottom w:val="nil"/>
              <w:right w:val="single" w:color="auto" w:sz="4" w:space="0"/>
            </w:tcBorders>
            <w:shd w:val="clear" w:color="auto" w:fill="auto"/>
            <w:noWrap/>
            <w:vAlign w:val="bottom"/>
          </w:tcPr>
          <w:p w:rsidRPr="002210EF" w:rsidR="007C6573" w:rsidP="00187472" w:rsidRDefault="00586CE6" w14:paraId="5CC4DDEE" w14:textId="1A894422">
            <w:pPr>
              <w:pStyle w:val="Standard"/>
              <w:spacing w:line="240" w:lineRule="auto"/>
              <w:ind w:firstLine="0"/>
              <w:jc w:val="center"/>
              <w:rPr>
                <w:bCs/>
              </w:rPr>
            </w:pPr>
            <w:r>
              <w:t>0.4</w:t>
            </w:r>
            <w:r w:rsidR="00936B9E">
              <w:t>2</w:t>
            </w:r>
          </w:p>
        </w:tc>
        <w:tc>
          <w:tcPr>
            <w:tcW w:w="553" w:type="pct"/>
            <w:tcBorders>
              <w:top w:val="nil"/>
              <w:left w:val="nil"/>
              <w:bottom w:val="nil"/>
              <w:right w:val="nil"/>
            </w:tcBorders>
            <w:shd w:val="clear" w:color="auto" w:fill="auto"/>
            <w:noWrap/>
            <w:vAlign w:val="bottom"/>
          </w:tcPr>
          <w:p w:rsidRPr="002210EF" w:rsidR="007C6573" w:rsidP="00187472" w:rsidRDefault="00586CE6" w14:paraId="0782CA29" w14:textId="300C1B0F">
            <w:pPr>
              <w:pStyle w:val="Standard"/>
              <w:spacing w:line="240" w:lineRule="auto"/>
              <w:ind w:firstLine="0"/>
              <w:jc w:val="center"/>
              <w:rPr>
                <w:bCs/>
              </w:rPr>
            </w:pPr>
            <w:r>
              <w:t>0.42</w:t>
            </w:r>
          </w:p>
        </w:tc>
        <w:tc>
          <w:tcPr>
            <w:tcW w:w="679" w:type="pct"/>
            <w:tcBorders>
              <w:top w:val="nil"/>
              <w:left w:val="single" w:color="auto" w:sz="4" w:space="0"/>
              <w:bottom w:val="nil"/>
              <w:right w:val="single" w:color="auto" w:sz="4" w:space="0"/>
            </w:tcBorders>
            <w:shd w:val="clear" w:color="auto" w:fill="auto"/>
            <w:noWrap/>
            <w:vAlign w:val="bottom"/>
          </w:tcPr>
          <w:p w:rsidRPr="002210EF" w:rsidR="007C6573" w:rsidP="00187472" w:rsidRDefault="00586CE6" w14:paraId="3F923114" w14:textId="2DE56E72">
            <w:pPr>
              <w:pStyle w:val="Standard"/>
              <w:spacing w:line="240" w:lineRule="auto"/>
              <w:ind w:firstLine="0"/>
              <w:jc w:val="center"/>
              <w:rPr>
                <w:bCs/>
              </w:rPr>
            </w:pPr>
            <w:r>
              <w:t>0.35</w:t>
            </w:r>
          </w:p>
        </w:tc>
      </w:tr>
      <w:tr w:rsidRPr="001B6C96" w:rsidR="007C6573" w:rsidTr="00586CE6" w14:paraId="4949533D" w14:textId="77777777">
        <w:tc>
          <w:tcPr>
            <w:tcW w:w="1174" w:type="pct"/>
            <w:tcBorders>
              <w:top w:val="single" w:color="auto" w:sz="4" w:space="0"/>
              <w:left w:val="single" w:color="auto" w:sz="4" w:space="0"/>
              <w:bottom w:val="nil"/>
              <w:right w:val="nil"/>
            </w:tcBorders>
            <w:shd w:val="clear" w:color="auto" w:fill="auto"/>
            <w:noWrap/>
            <w:vAlign w:val="center"/>
            <w:hideMark/>
          </w:tcPr>
          <w:p w:rsidRPr="002210EF" w:rsidR="007C6573" w:rsidP="006D2BD2" w:rsidRDefault="007C6573" w14:paraId="32823A06" w14:textId="77777777">
            <w:pPr>
              <w:pStyle w:val="Standard"/>
              <w:keepNext/>
              <w:spacing w:line="240" w:lineRule="auto"/>
              <w:ind w:firstLine="0"/>
              <w:jc w:val="center"/>
              <w:rPr>
                <w:bCs/>
              </w:rPr>
            </w:pPr>
            <w:r w:rsidRPr="002210EF">
              <w:t>Residential</w:t>
            </w:r>
          </w:p>
        </w:tc>
        <w:tc>
          <w:tcPr>
            <w:tcW w:w="991" w:type="pct"/>
            <w:tcBorders>
              <w:top w:val="single" w:color="auto" w:sz="4" w:space="0"/>
              <w:left w:val="single" w:color="auto" w:sz="4" w:space="0"/>
              <w:bottom w:val="nil"/>
              <w:right w:val="single" w:color="auto" w:sz="4" w:space="0"/>
            </w:tcBorders>
            <w:shd w:val="clear" w:color="auto" w:fill="auto"/>
            <w:noWrap/>
            <w:vAlign w:val="center"/>
            <w:hideMark/>
          </w:tcPr>
          <w:p w:rsidRPr="002210EF" w:rsidR="007C6573" w:rsidP="006D2BD2" w:rsidRDefault="007C6573" w14:paraId="48F8BE50" w14:textId="77777777">
            <w:pPr>
              <w:pStyle w:val="Standard"/>
              <w:keepNext/>
              <w:spacing w:line="240" w:lineRule="auto"/>
              <w:ind w:firstLine="0"/>
              <w:jc w:val="center"/>
              <w:rPr>
                <w:bCs/>
              </w:rPr>
            </w:pPr>
            <w:r w:rsidRPr="002210EF">
              <w:t>CARE</w:t>
            </w:r>
          </w:p>
        </w:tc>
        <w:tc>
          <w:tcPr>
            <w:tcW w:w="1048" w:type="pct"/>
            <w:tcBorders>
              <w:top w:val="single" w:color="auto" w:sz="4" w:space="0"/>
              <w:left w:val="nil"/>
              <w:bottom w:val="nil"/>
              <w:right w:val="nil"/>
            </w:tcBorders>
            <w:shd w:val="clear" w:color="auto" w:fill="auto"/>
            <w:noWrap/>
            <w:vAlign w:val="center"/>
            <w:hideMark/>
          </w:tcPr>
          <w:p w:rsidRPr="002210EF" w:rsidR="007C6573" w:rsidP="006D2BD2" w:rsidRDefault="007C6573" w14:paraId="09A9DD81" w14:textId="77777777">
            <w:pPr>
              <w:pStyle w:val="Standard"/>
              <w:keepNext/>
              <w:spacing w:line="240" w:lineRule="auto"/>
              <w:ind w:firstLine="0"/>
              <w:jc w:val="center"/>
              <w:rPr>
                <w:bCs/>
              </w:rPr>
            </w:pPr>
            <w:r w:rsidRPr="002210EF">
              <w:t>Solar Only</w:t>
            </w:r>
          </w:p>
        </w:tc>
        <w:tc>
          <w:tcPr>
            <w:tcW w:w="555" w:type="pct"/>
            <w:tcBorders>
              <w:top w:val="single" w:color="auto" w:sz="4" w:space="0"/>
              <w:left w:val="single" w:color="auto" w:sz="4" w:space="0"/>
              <w:bottom w:val="nil"/>
              <w:right w:val="single" w:color="auto" w:sz="4" w:space="0"/>
            </w:tcBorders>
            <w:shd w:val="clear" w:color="auto" w:fill="auto"/>
            <w:noWrap/>
            <w:vAlign w:val="bottom"/>
          </w:tcPr>
          <w:p w:rsidRPr="002210EF" w:rsidR="007C6573" w:rsidP="006D2BD2" w:rsidRDefault="00794757" w14:paraId="54A35A8E" w14:textId="7B027456">
            <w:pPr>
              <w:pStyle w:val="Standard"/>
              <w:keepNext/>
              <w:spacing w:line="240" w:lineRule="auto"/>
              <w:ind w:firstLine="0"/>
              <w:jc w:val="center"/>
              <w:rPr>
                <w:bCs/>
              </w:rPr>
            </w:pPr>
            <w:r>
              <w:t>0.</w:t>
            </w:r>
            <w:r w:rsidR="00936B9E">
              <w:t>36</w:t>
            </w:r>
          </w:p>
        </w:tc>
        <w:tc>
          <w:tcPr>
            <w:tcW w:w="553" w:type="pct"/>
            <w:tcBorders>
              <w:top w:val="single" w:color="auto" w:sz="4" w:space="0"/>
              <w:left w:val="nil"/>
              <w:bottom w:val="nil"/>
              <w:right w:val="nil"/>
            </w:tcBorders>
            <w:shd w:val="clear" w:color="auto" w:fill="auto"/>
            <w:noWrap/>
            <w:vAlign w:val="bottom"/>
          </w:tcPr>
          <w:p w:rsidRPr="002210EF" w:rsidR="007C6573" w:rsidP="006D2BD2" w:rsidRDefault="00794757" w14:paraId="19D5D85F" w14:textId="205A67B0">
            <w:pPr>
              <w:pStyle w:val="Standard"/>
              <w:keepNext/>
              <w:spacing w:line="240" w:lineRule="auto"/>
              <w:ind w:firstLine="0"/>
              <w:jc w:val="center"/>
              <w:rPr>
                <w:bCs/>
              </w:rPr>
            </w:pPr>
            <w:r>
              <w:t>0.44</w:t>
            </w:r>
          </w:p>
        </w:tc>
        <w:tc>
          <w:tcPr>
            <w:tcW w:w="679" w:type="pct"/>
            <w:tcBorders>
              <w:top w:val="single" w:color="auto" w:sz="4" w:space="0"/>
              <w:left w:val="single" w:color="auto" w:sz="4" w:space="0"/>
              <w:bottom w:val="nil"/>
              <w:right w:val="single" w:color="auto" w:sz="4" w:space="0"/>
            </w:tcBorders>
            <w:shd w:val="clear" w:color="auto" w:fill="auto"/>
            <w:noWrap/>
            <w:vAlign w:val="bottom"/>
          </w:tcPr>
          <w:p w:rsidRPr="002210EF" w:rsidR="007C6573" w:rsidP="006D2BD2" w:rsidRDefault="00794757" w14:paraId="3BDA85BC" w14:textId="6A37B6F7">
            <w:pPr>
              <w:pStyle w:val="Standard"/>
              <w:keepNext/>
              <w:spacing w:line="240" w:lineRule="auto"/>
              <w:ind w:firstLine="0"/>
              <w:jc w:val="center"/>
              <w:rPr>
                <w:bCs/>
              </w:rPr>
            </w:pPr>
            <w:r>
              <w:t>0.33</w:t>
            </w:r>
          </w:p>
        </w:tc>
      </w:tr>
      <w:tr w:rsidRPr="001B6C96" w:rsidR="007C6573" w:rsidTr="00586CE6" w14:paraId="6C290059" w14:textId="77777777">
        <w:tc>
          <w:tcPr>
            <w:tcW w:w="1174" w:type="pct"/>
            <w:tcBorders>
              <w:top w:val="nil"/>
              <w:left w:val="single" w:color="auto" w:sz="4" w:space="0"/>
              <w:bottom w:val="single" w:color="auto" w:sz="4" w:space="0"/>
              <w:right w:val="nil"/>
            </w:tcBorders>
            <w:shd w:val="clear" w:color="auto" w:fill="auto"/>
            <w:noWrap/>
            <w:vAlign w:val="center"/>
          </w:tcPr>
          <w:p w:rsidRPr="002210EF" w:rsidR="007C6573" w:rsidP="00187472" w:rsidRDefault="007C6573" w14:paraId="1D0B321D" w14:textId="5C6FDE4B">
            <w:pPr>
              <w:pStyle w:val="Standard"/>
              <w:spacing w:line="240" w:lineRule="auto"/>
              <w:ind w:firstLine="0"/>
              <w:jc w:val="center"/>
              <w:rPr>
                <w:bCs/>
              </w:rPr>
            </w:pPr>
          </w:p>
        </w:tc>
        <w:tc>
          <w:tcPr>
            <w:tcW w:w="991" w:type="pct"/>
            <w:tcBorders>
              <w:top w:val="nil"/>
              <w:left w:val="single" w:color="auto" w:sz="4" w:space="0"/>
              <w:bottom w:val="single" w:color="auto" w:sz="4" w:space="0"/>
              <w:right w:val="single" w:color="auto" w:sz="4" w:space="0"/>
            </w:tcBorders>
            <w:shd w:val="clear" w:color="auto" w:fill="auto"/>
            <w:noWrap/>
            <w:vAlign w:val="center"/>
          </w:tcPr>
          <w:p w:rsidRPr="002210EF" w:rsidR="007C6573" w:rsidP="00187472" w:rsidRDefault="007C6573" w14:paraId="518E4C0A" w14:textId="1CE01AC6">
            <w:pPr>
              <w:pStyle w:val="Standard"/>
              <w:spacing w:line="240" w:lineRule="auto"/>
              <w:ind w:firstLine="0"/>
              <w:jc w:val="center"/>
              <w:rPr>
                <w:bCs/>
              </w:rPr>
            </w:pPr>
          </w:p>
        </w:tc>
        <w:tc>
          <w:tcPr>
            <w:tcW w:w="1048" w:type="pct"/>
            <w:tcBorders>
              <w:top w:val="nil"/>
              <w:left w:val="nil"/>
              <w:bottom w:val="single" w:color="auto" w:sz="4" w:space="0"/>
              <w:right w:val="nil"/>
            </w:tcBorders>
            <w:shd w:val="clear" w:color="auto" w:fill="auto"/>
            <w:noWrap/>
            <w:vAlign w:val="center"/>
            <w:hideMark/>
          </w:tcPr>
          <w:p w:rsidRPr="002210EF" w:rsidR="007C6573" w:rsidP="00187472" w:rsidRDefault="007C6573" w14:paraId="5B07FCBD" w14:textId="77777777">
            <w:pPr>
              <w:pStyle w:val="Standard"/>
              <w:spacing w:line="240" w:lineRule="auto"/>
              <w:ind w:firstLine="0"/>
              <w:jc w:val="center"/>
              <w:rPr>
                <w:bCs/>
              </w:rPr>
            </w:pPr>
            <w:proofErr w:type="spellStart"/>
            <w:r w:rsidRPr="002210EF">
              <w:t>Solar+Storage</w:t>
            </w:r>
            <w:proofErr w:type="spellEnd"/>
          </w:p>
        </w:tc>
        <w:tc>
          <w:tcPr>
            <w:tcW w:w="555" w:type="pct"/>
            <w:tcBorders>
              <w:top w:val="nil"/>
              <w:left w:val="single" w:color="auto" w:sz="4" w:space="0"/>
              <w:bottom w:val="single" w:color="auto" w:sz="4" w:space="0"/>
              <w:right w:val="single" w:color="auto" w:sz="4" w:space="0"/>
            </w:tcBorders>
            <w:shd w:val="clear" w:color="auto" w:fill="auto"/>
            <w:noWrap/>
            <w:vAlign w:val="bottom"/>
          </w:tcPr>
          <w:p w:rsidRPr="002210EF" w:rsidR="007C6573" w:rsidP="00187472" w:rsidRDefault="00586CE6" w14:paraId="5C77C815" w14:textId="68C0ECCC">
            <w:pPr>
              <w:pStyle w:val="Standard"/>
              <w:spacing w:line="240" w:lineRule="auto"/>
              <w:ind w:firstLine="0"/>
              <w:jc w:val="center"/>
              <w:rPr>
                <w:bCs/>
              </w:rPr>
            </w:pPr>
            <w:r>
              <w:t>0.5</w:t>
            </w:r>
            <w:r w:rsidR="00936B9E">
              <w:t>8</w:t>
            </w:r>
          </w:p>
        </w:tc>
        <w:tc>
          <w:tcPr>
            <w:tcW w:w="553" w:type="pct"/>
            <w:tcBorders>
              <w:top w:val="nil"/>
              <w:left w:val="nil"/>
              <w:bottom w:val="single" w:color="auto" w:sz="4" w:space="0"/>
              <w:right w:val="nil"/>
            </w:tcBorders>
            <w:shd w:val="clear" w:color="auto" w:fill="auto"/>
            <w:noWrap/>
            <w:vAlign w:val="bottom"/>
          </w:tcPr>
          <w:p w:rsidRPr="002210EF" w:rsidR="007C6573" w:rsidP="00187472" w:rsidRDefault="00586CE6" w14:paraId="7A43BD45" w14:textId="6F4A4D71">
            <w:pPr>
              <w:pStyle w:val="Standard"/>
              <w:spacing w:line="240" w:lineRule="auto"/>
              <w:ind w:firstLine="0"/>
              <w:jc w:val="center"/>
              <w:rPr>
                <w:bCs/>
              </w:rPr>
            </w:pPr>
            <w:r>
              <w:t>0.58</w:t>
            </w:r>
          </w:p>
        </w:tc>
        <w:tc>
          <w:tcPr>
            <w:tcW w:w="679" w:type="pct"/>
            <w:tcBorders>
              <w:top w:val="nil"/>
              <w:left w:val="single" w:color="auto" w:sz="4" w:space="0"/>
              <w:bottom w:val="single" w:color="auto" w:sz="4" w:space="0"/>
              <w:right w:val="single" w:color="auto" w:sz="4" w:space="0"/>
            </w:tcBorders>
            <w:shd w:val="clear" w:color="auto" w:fill="auto"/>
            <w:noWrap/>
            <w:vAlign w:val="bottom"/>
          </w:tcPr>
          <w:p w:rsidRPr="002210EF" w:rsidR="007C6573" w:rsidP="00187472" w:rsidRDefault="00586CE6" w14:paraId="13C0F2A3" w14:textId="6CB20D4A">
            <w:pPr>
              <w:pStyle w:val="Standard"/>
              <w:spacing w:line="240" w:lineRule="auto"/>
              <w:ind w:firstLine="0"/>
              <w:jc w:val="center"/>
              <w:rPr>
                <w:bCs/>
              </w:rPr>
            </w:pPr>
            <w:r>
              <w:t>0.50</w:t>
            </w:r>
          </w:p>
        </w:tc>
      </w:tr>
      <w:tr w:rsidRPr="001B6C96" w:rsidR="007C6573" w:rsidTr="00586CE6" w14:paraId="25484CE8" w14:textId="77777777">
        <w:tc>
          <w:tcPr>
            <w:tcW w:w="1174" w:type="pct"/>
            <w:tcBorders>
              <w:top w:val="nil"/>
              <w:left w:val="single" w:color="auto" w:sz="4" w:space="0"/>
              <w:bottom w:val="nil"/>
              <w:right w:val="nil"/>
            </w:tcBorders>
            <w:shd w:val="clear" w:color="auto" w:fill="auto"/>
            <w:noWrap/>
            <w:vAlign w:val="center"/>
            <w:hideMark/>
          </w:tcPr>
          <w:p w:rsidRPr="002210EF" w:rsidR="007C6573" w:rsidP="006D2BD2" w:rsidRDefault="007C6573" w14:paraId="7BFF4BD1" w14:textId="77777777">
            <w:pPr>
              <w:pStyle w:val="Standard"/>
              <w:keepNext/>
              <w:spacing w:line="240" w:lineRule="auto"/>
              <w:ind w:firstLine="0"/>
              <w:jc w:val="center"/>
              <w:rPr>
                <w:bCs/>
              </w:rPr>
            </w:pPr>
            <w:r w:rsidRPr="002210EF">
              <w:t>Nonresidential</w:t>
            </w:r>
          </w:p>
        </w:tc>
        <w:tc>
          <w:tcPr>
            <w:tcW w:w="991" w:type="pct"/>
            <w:tcBorders>
              <w:top w:val="nil"/>
              <w:left w:val="single" w:color="auto" w:sz="4" w:space="0"/>
              <w:bottom w:val="nil"/>
              <w:right w:val="single" w:color="auto" w:sz="4" w:space="0"/>
            </w:tcBorders>
            <w:shd w:val="clear" w:color="auto" w:fill="auto"/>
            <w:noWrap/>
            <w:vAlign w:val="center"/>
            <w:hideMark/>
          </w:tcPr>
          <w:p w:rsidRPr="002210EF" w:rsidR="007C6573" w:rsidP="006D2BD2" w:rsidRDefault="007C6573" w14:paraId="0C0C89F0" w14:textId="1E0196DE">
            <w:pPr>
              <w:pStyle w:val="Standard"/>
              <w:keepNext/>
              <w:spacing w:line="240" w:lineRule="auto"/>
              <w:ind w:firstLine="0"/>
              <w:jc w:val="center"/>
              <w:rPr>
                <w:bCs/>
              </w:rPr>
            </w:pPr>
            <w:r w:rsidRPr="002210EF">
              <w:t>Non</w:t>
            </w:r>
            <w:r w:rsidR="00827602">
              <w:noBreakHyphen/>
            </w:r>
            <w:r w:rsidRPr="002210EF">
              <w:t>CARE</w:t>
            </w:r>
          </w:p>
        </w:tc>
        <w:tc>
          <w:tcPr>
            <w:tcW w:w="1048" w:type="pct"/>
            <w:tcBorders>
              <w:top w:val="nil"/>
              <w:left w:val="nil"/>
              <w:bottom w:val="nil"/>
              <w:right w:val="nil"/>
            </w:tcBorders>
            <w:shd w:val="clear" w:color="auto" w:fill="auto"/>
            <w:noWrap/>
            <w:vAlign w:val="center"/>
            <w:hideMark/>
          </w:tcPr>
          <w:p w:rsidRPr="002210EF" w:rsidR="007C6573" w:rsidP="006D2BD2" w:rsidRDefault="007C6573" w14:paraId="58147D26" w14:textId="77777777">
            <w:pPr>
              <w:pStyle w:val="Standard"/>
              <w:keepNext/>
              <w:spacing w:line="240" w:lineRule="auto"/>
              <w:ind w:firstLine="0"/>
              <w:jc w:val="center"/>
              <w:rPr>
                <w:bCs/>
              </w:rPr>
            </w:pPr>
            <w:r w:rsidRPr="002210EF">
              <w:t>Solar Only</w:t>
            </w:r>
          </w:p>
        </w:tc>
        <w:tc>
          <w:tcPr>
            <w:tcW w:w="555" w:type="pct"/>
            <w:tcBorders>
              <w:top w:val="nil"/>
              <w:left w:val="single" w:color="auto" w:sz="4" w:space="0"/>
              <w:bottom w:val="nil"/>
              <w:right w:val="single" w:color="auto" w:sz="4" w:space="0"/>
            </w:tcBorders>
            <w:shd w:val="clear" w:color="auto" w:fill="auto"/>
            <w:noWrap/>
            <w:vAlign w:val="bottom"/>
          </w:tcPr>
          <w:p w:rsidRPr="002210EF" w:rsidR="007C6573" w:rsidP="006D2BD2" w:rsidRDefault="00794757" w14:paraId="25120727" w14:textId="0B900F07">
            <w:pPr>
              <w:pStyle w:val="Standard"/>
              <w:keepNext/>
              <w:spacing w:line="240" w:lineRule="auto"/>
              <w:ind w:firstLine="0"/>
              <w:jc w:val="center"/>
              <w:rPr>
                <w:bCs/>
              </w:rPr>
            </w:pPr>
            <w:r>
              <w:t>0.</w:t>
            </w:r>
            <w:r w:rsidR="00936B9E">
              <w:t>28</w:t>
            </w:r>
          </w:p>
        </w:tc>
        <w:tc>
          <w:tcPr>
            <w:tcW w:w="553" w:type="pct"/>
            <w:tcBorders>
              <w:top w:val="nil"/>
              <w:left w:val="nil"/>
              <w:bottom w:val="nil"/>
              <w:right w:val="nil"/>
            </w:tcBorders>
            <w:shd w:val="clear" w:color="auto" w:fill="auto"/>
            <w:noWrap/>
            <w:vAlign w:val="bottom"/>
          </w:tcPr>
          <w:p w:rsidRPr="002210EF" w:rsidR="007C6573" w:rsidP="006D2BD2" w:rsidRDefault="00794757" w14:paraId="3FA92FAC" w14:textId="43E71B55">
            <w:pPr>
              <w:pStyle w:val="Standard"/>
              <w:keepNext/>
              <w:spacing w:line="240" w:lineRule="auto"/>
              <w:ind w:firstLine="0"/>
              <w:jc w:val="center"/>
              <w:rPr>
                <w:bCs/>
              </w:rPr>
            </w:pPr>
            <w:r>
              <w:t>0.39</w:t>
            </w:r>
          </w:p>
        </w:tc>
        <w:tc>
          <w:tcPr>
            <w:tcW w:w="679" w:type="pct"/>
            <w:tcBorders>
              <w:top w:val="nil"/>
              <w:left w:val="single" w:color="auto" w:sz="4" w:space="0"/>
              <w:bottom w:val="nil"/>
              <w:right w:val="single" w:color="auto" w:sz="4" w:space="0"/>
            </w:tcBorders>
            <w:shd w:val="clear" w:color="auto" w:fill="auto"/>
            <w:noWrap/>
            <w:vAlign w:val="bottom"/>
          </w:tcPr>
          <w:p w:rsidRPr="002210EF" w:rsidR="007C6573" w:rsidP="006D2BD2" w:rsidRDefault="00586CE6" w14:paraId="58969E6B" w14:textId="2C3464E3">
            <w:pPr>
              <w:pStyle w:val="Standard"/>
              <w:keepNext/>
              <w:spacing w:line="240" w:lineRule="auto"/>
              <w:ind w:firstLine="0"/>
              <w:jc w:val="center"/>
              <w:rPr>
                <w:bCs/>
              </w:rPr>
            </w:pPr>
            <w:r>
              <w:t>0.31</w:t>
            </w:r>
          </w:p>
        </w:tc>
      </w:tr>
      <w:tr w:rsidRPr="001B6C96" w:rsidR="007C6573" w:rsidTr="00586CE6" w14:paraId="23BC221B" w14:textId="77777777">
        <w:tc>
          <w:tcPr>
            <w:tcW w:w="1174" w:type="pct"/>
            <w:tcBorders>
              <w:top w:val="nil"/>
              <w:left w:val="single" w:color="auto" w:sz="4" w:space="0"/>
              <w:bottom w:val="single" w:color="auto" w:sz="4" w:space="0"/>
              <w:right w:val="nil"/>
            </w:tcBorders>
            <w:shd w:val="clear" w:color="auto" w:fill="auto"/>
            <w:noWrap/>
            <w:vAlign w:val="center"/>
          </w:tcPr>
          <w:p w:rsidRPr="002210EF" w:rsidR="007C6573" w:rsidP="00187472" w:rsidRDefault="007C6573" w14:paraId="61BB388C" w14:textId="5320E4B9">
            <w:pPr>
              <w:pStyle w:val="Standard"/>
              <w:spacing w:line="240" w:lineRule="auto"/>
              <w:ind w:firstLine="0"/>
              <w:jc w:val="center"/>
              <w:rPr>
                <w:bCs/>
              </w:rPr>
            </w:pPr>
          </w:p>
        </w:tc>
        <w:tc>
          <w:tcPr>
            <w:tcW w:w="991" w:type="pct"/>
            <w:tcBorders>
              <w:top w:val="nil"/>
              <w:left w:val="single" w:color="auto" w:sz="4" w:space="0"/>
              <w:bottom w:val="single" w:color="auto" w:sz="4" w:space="0"/>
              <w:right w:val="single" w:color="auto" w:sz="4" w:space="0"/>
            </w:tcBorders>
            <w:shd w:val="clear" w:color="auto" w:fill="auto"/>
            <w:noWrap/>
            <w:vAlign w:val="center"/>
          </w:tcPr>
          <w:p w:rsidRPr="002210EF" w:rsidR="007C6573" w:rsidP="00187472" w:rsidRDefault="007C6573" w14:paraId="66752BA6" w14:textId="4AAFBE35">
            <w:pPr>
              <w:pStyle w:val="Standard"/>
              <w:spacing w:line="240" w:lineRule="auto"/>
              <w:ind w:firstLine="0"/>
              <w:jc w:val="center"/>
              <w:rPr>
                <w:bCs/>
              </w:rPr>
            </w:pPr>
          </w:p>
        </w:tc>
        <w:tc>
          <w:tcPr>
            <w:tcW w:w="1048" w:type="pct"/>
            <w:tcBorders>
              <w:top w:val="nil"/>
              <w:left w:val="nil"/>
              <w:bottom w:val="single" w:color="auto" w:sz="4" w:space="0"/>
              <w:right w:val="nil"/>
            </w:tcBorders>
            <w:shd w:val="clear" w:color="auto" w:fill="auto"/>
            <w:noWrap/>
            <w:vAlign w:val="center"/>
            <w:hideMark/>
          </w:tcPr>
          <w:p w:rsidRPr="002210EF" w:rsidR="007C6573" w:rsidP="00187472" w:rsidRDefault="007C6573" w14:paraId="38186283" w14:textId="77777777">
            <w:pPr>
              <w:pStyle w:val="Standard"/>
              <w:spacing w:line="240" w:lineRule="auto"/>
              <w:ind w:firstLine="0"/>
              <w:jc w:val="center"/>
              <w:rPr>
                <w:bCs/>
              </w:rPr>
            </w:pPr>
            <w:proofErr w:type="spellStart"/>
            <w:r w:rsidRPr="002210EF">
              <w:t>Solar+Storage</w:t>
            </w:r>
            <w:proofErr w:type="spellEnd"/>
          </w:p>
        </w:tc>
        <w:tc>
          <w:tcPr>
            <w:tcW w:w="555" w:type="pct"/>
            <w:tcBorders>
              <w:top w:val="nil"/>
              <w:left w:val="single" w:color="auto" w:sz="4" w:space="0"/>
              <w:bottom w:val="single" w:color="auto" w:sz="4" w:space="0"/>
              <w:right w:val="single" w:color="auto" w:sz="4" w:space="0"/>
            </w:tcBorders>
            <w:shd w:val="clear" w:color="auto" w:fill="auto"/>
            <w:noWrap/>
            <w:vAlign w:val="bottom"/>
          </w:tcPr>
          <w:p w:rsidRPr="002210EF" w:rsidR="007C6573" w:rsidP="00187472" w:rsidRDefault="00586CE6" w14:paraId="1A8801F3" w14:textId="2FF1410F">
            <w:pPr>
              <w:pStyle w:val="Standard"/>
              <w:spacing w:line="240" w:lineRule="auto"/>
              <w:ind w:firstLine="0"/>
              <w:jc w:val="center"/>
              <w:rPr>
                <w:bCs/>
              </w:rPr>
            </w:pPr>
            <w:r>
              <w:t>0.4</w:t>
            </w:r>
            <w:r w:rsidR="00936B9E">
              <w:t>2</w:t>
            </w:r>
          </w:p>
        </w:tc>
        <w:tc>
          <w:tcPr>
            <w:tcW w:w="553" w:type="pct"/>
            <w:tcBorders>
              <w:top w:val="nil"/>
              <w:left w:val="nil"/>
              <w:bottom w:val="single" w:color="auto" w:sz="4" w:space="0"/>
              <w:right w:val="nil"/>
            </w:tcBorders>
            <w:shd w:val="clear" w:color="auto" w:fill="auto"/>
            <w:noWrap/>
            <w:vAlign w:val="bottom"/>
          </w:tcPr>
          <w:p w:rsidRPr="002210EF" w:rsidR="007C6573" w:rsidP="00187472" w:rsidRDefault="00586CE6" w14:paraId="6EBF9041" w14:textId="40F3683F">
            <w:pPr>
              <w:pStyle w:val="Standard"/>
              <w:spacing w:line="240" w:lineRule="auto"/>
              <w:ind w:firstLine="0"/>
              <w:jc w:val="center"/>
              <w:rPr>
                <w:bCs/>
              </w:rPr>
            </w:pPr>
            <w:r>
              <w:t>0.42</w:t>
            </w:r>
          </w:p>
        </w:tc>
        <w:tc>
          <w:tcPr>
            <w:tcW w:w="679" w:type="pct"/>
            <w:tcBorders>
              <w:top w:val="nil"/>
              <w:left w:val="single" w:color="auto" w:sz="4" w:space="0"/>
              <w:bottom w:val="single" w:color="auto" w:sz="4" w:space="0"/>
              <w:right w:val="single" w:color="auto" w:sz="4" w:space="0"/>
            </w:tcBorders>
            <w:shd w:val="clear" w:color="auto" w:fill="auto"/>
            <w:noWrap/>
            <w:vAlign w:val="bottom"/>
          </w:tcPr>
          <w:p w:rsidRPr="002210EF" w:rsidR="007C6573" w:rsidP="00187472" w:rsidRDefault="00586CE6" w14:paraId="460E0AAB" w14:textId="377284E4">
            <w:pPr>
              <w:pStyle w:val="Standard"/>
              <w:spacing w:line="240" w:lineRule="auto"/>
              <w:ind w:firstLine="0"/>
              <w:jc w:val="center"/>
              <w:rPr>
                <w:bCs/>
              </w:rPr>
            </w:pPr>
            <w:r>
              <w:t>0.44</w:t>
            </w:r>
          </w:p>
        </w:tc>
      </w:tr>
    </w:tbl>
    <w:p w:rsidR="009B2D2D" w:rsidP="00910053" w:rsidRDefault="006229BE" w14:paraId="380B0BB1" w14:textId="5185DCFF">
      <w:pPr>
        <w:pStyle w:val="Standard"/>
        <w:spacing w:before="120"/>
      </w:pPr>
      <w:r>
        <w:t>T</w:t>
      </w:r>
      <w:r w:rsidRPr="000A54F1" w:rsidR="00692FD8">
        <w:t>he successor tariff balances the</w:t>
      </w:r>
      <w:r w:rsidR="000A54F1">
        <w:t xml:space="preserve"> multiple statutory requirements as well as the guiding principles.</w:t>
      </w:r>
    </w:p>
    <w:p w:rsidR="00E446B3" w:rsidP="005E7044" w:rsidRDefault="00123055" w14:paraId="570F00E7" w14:textId="1BC73C86">
      <w:pPr>
        <w:pStyle w:val="Standard"/>
      </w:pPr>
      <w:r>
        <w:lastRenderedPageBreak/>
        <w:t>Appendix B</w:t>
      </w:r>
      <w:r w:rsidR="00124D4D">
        <w:t xml:space="preserve"> contains the </w:t>
      </w:r>
      <w:r w:rsidR="0023338F">
        <w:t xml:space="preserve">complete set of </w:t>
      </w:r>
      <w:r w:rsidR="00124D4D">
        <w:t>inputs and outputs from th</w:t>
      </w:r>
      <w:r w:rsidR="0023338F">
        <w:t>e Commission’s</w:t>
      </w:r>
      <w:r w:rsidR="00124D4D">
        <w:t xml:space="preserve"> </w:t>
      </w:r>
      <w:r w:rsidR="00D30E14">
        <w:t xml:space="preserve">analysis </w:t>
      </w:r>
      <w:r w:rsidR="0023338F">
        <w:t>of the successor tariff</w:t>
      </w:r>
      <w:r w:rsidRPr="00FC286C" w:rsidR="00FC286C">
        <w:t>.</w:t>
      </w:r>
    </w:p>
    <w:p w:rsidR="000614BC" w:rsidP="005E7044" w:rsidRDefault="000614BC" w14:paraId="06BBBE60" w14:textId="4BBE5471">
      <w:pPr>
        <w:pStyle w:val="Heading2"/>
        <w:keepLines w:val="0"/>
      </w:pPr>
      <w:bookmarkStart w:name="_Toc117674103" w:id="218"/>
      <w:bookmarkStart w:name="_Toc118285094" w:id="219"/>
      <w:bookmarkStart w:name="_Toc121854421" w:id="220"/>
      <w:r>
        <w:t xml:space="preserve">Related </w:t>
      </w:r>
      <w:r w:rsidR="00444AB0">
        <w:t xml:space="preserve">Issues and </w:t>
      </w:r>
      <w:r w:rsidR="00985467">
        <w:t>T</w:t>
      </w:r>
      <w:r>
        <w:t>ariffs</w:t>
      </w:r>
      <w:bookmarkEnd w:id="218"/>
      <w:bookmarkEnd w:id="219"/>
      <w:bookmarkEnd w:id="220"/>
    </w:p>
    <w:p w:rsidR="000614BC" w:rsidP="00823631" w:rsidRDefault="00F0109A" w14:paraId="7A1EB2BC" w14:textId="47F31C25">
      <w:pPr>
        <w:pStyle w:val="Standard"/>
      </w:pPr>
      <w:r>
        <w:t xml:space="preserve">Parties offered recommendations for </w:t>
      </w:r>
      <w:r w:rsidR="00985467">
        <w:t xml:space="preserve">related </w:t>
      </w:r>
      <w:r w:rsidR="00444AB0">
        <w:t xml:space="preserve">issues and </w:t>
      </w:r>
      <w:r w:rsidR="00FC286C">
        <w:t>tariffs</w:t>
      </w:r>
      <w:r>
        <w:t xml:space="preserve"> of the current net energy metering tariff including </w:t>
      </w:r>
      <w:r w:rsidR="00444AB0">
        <w:t>alternatives for</w:t>
      </w:r>
      <w:r>
        <w:t xml:space="preserve"> low</w:t>
      </w:r>
      <w:r w:rsidR="00827602">
        <w:noBreakHyphen/>
      </w:r>
      <w:r>
        <w:t xml:space="preserve"> and medium</w:t>
      </w:r>
      <w:r w:rsidR="00827602">
        <w:noBreakHyphen/>
      </w:r>
      <w:r>
        <w:t xml:space="preserve">income customers; a community net energy metering tariff; virtual net energy metering; and </w:t>
      </w:r>
      <w:r w:rsidR="002A4774">
        <w:t xml:space="preserve">aggregated </w:t>
      </w:r>
      <w:r>
        <w:t>net energy metering</w:t>
      </w:r>
      <w:r w:rsidR="000614BC">
        <w:t>.</w:t>
      </w:r>
      <w:r>
        <w:t xml:space="preserve">  </w:t>
      </w:r>
      <w:r w:rsidR="006229BE">
        <w:t>T</w:t>
      </w:r>
      <w:r w:rsidR="004C1379">
        <w:t xml:space="preserve">he issue of whether and how to </w:t>
      </w:r>
      <w:r>
        <w:t xml:space="preserve">revise the current </w:t>
      </w:r>
      <w:r w:rsidR="00602BC5">
        <w:t>NEM 1.0</w:t>
      </w:r>
      <w:r>
        <w:t xml:space="preserve"> and </w:t>
      </w:r>
      <w:r w:rsidR="00602BC5">
        <w:t>NEM 2.0</w:t>
      </w:r>
      <w:r w:rsidR="00135D55">
        <w:t xml:space="preserve"> </w:t>
      </w:r>
      <w:r>
        <w:t>tariffs</w:t>
      </w:r>
      <w:r w:rsidR="006229BE">
        <w:t xml:space="preserve"> is also addressed</w:t>
      </w:r>
      <w:r>
        <w:t xml:space="preserve">.  </w:t>
      </w:r>
      <w:r w:rsidR="006229BE">
        <w:t xml:space="preserve">This decision </w:t>
      </w:r>
      <w:r>
        <w:t>discuss</w:t>
      </w:r>
      <w:r w:rsidR="006229BE">
        <w:t>es</w:t>
      </w:r>
      <w:r>
        <w:t xml:space="preserve"> </w:t>
      </w:r>
      <w:r w:rsidR="004C1379">
        <w:t xml:space="preserve">party </w:t>
      </w:r>
      <w:r>
        <w:t xml:space="preserve">proposals and </w:t>
      </w:r>
      <w:r w:rsidR="006229BE">
        <w:t xml:space="preserve">the Commission’s </w:t>
      </w:r>
      <w:r>
        <w:t>determinations in the subsections below.</w:t>
      </w:r>
    </w:p>
    <w:p w:rsidR="000614BC" w:rsidP="005E7044" w:rsidRDefault="000614BC" w14:paraId="4D4F6094" w14:textId="57E41D0C">
      <w:pPr>
        <w:pStyle w:val="Heading3"/>
        <w:keepLines w:val="0"/>
      </w:pPr>
      <w:bookmarkStart w:name="_Toc117674104" w:id="221"/>
      <w:bookmarkStart w:name="_Toc118285095" w:id="222"/>
      <w:bookmarkStart w:name="_Toc121854422" w:id="223"/>
      <w:r>
        <w:t>Low</w:t>
      </w:r>
      <w:r w:rsidR="00827602">
        <w:noBreakHyphen/>
      </w:r>
      <w:r>
        <w:t xml:space="preserve"> Income Custome</w:t>
      </w:r>
      <w:r w:rsidR="00851CA3">
        <w:t>rs</w:t>
      </w:r>
      <w:bookmarkEnd w:id="221"/>
      <w:bookmarkEnd w:id="222"/>
      <w:bookmarkEnd w:id="223"/>
    </w:p>
    <w:p w:rsidR="000614BC" w:rsidP="005E7044" w:rsidRDefault="00420E6C" w14:paraId="6C45D027" w14:textId="7C2AF3E4">
      <w:pPr>
        <w:pStyle w:val="Standard"/>
      </w:pPr>
      <w:r>
        <w:t xml:space="preserve">In </w:t>
      </w:r>
      <w:r w:rsidR="0034029C">
        <w:t>Section 8</w:t>
      </w:r>
      <w:r>
        <w:t>.3.2. above</w:t>
      </w:r>
      <w:r w:rsidR="00085B96">
        <w:t>,</w:t>
      </w:r>
      <w:r>
        <w:t xml:space="preserve"> </w:t>
      </w:r>
      <w:r w:rsidR="006229BE">
        <w:t xml:space="preserve">this decision </w:t>
      </w:r>
      <w:r>
        <w:t xml:space="preserve">determined that the successor tariff will address the equity issue by working to ensure increased participation by </w:t>
      </w:r>
      <w:r w:rsidR="009B2D2D">
        <w:t>low</w:t>
      </w:r>
      <w:r w:rsidR="00827602">
        <w:noBreakHyphen/>
      </w:r>
      <w:r w:rsidR="009B2D2D">
        <w:t xml:space="preserve">income and </w:t>
      </w:r>
      <w:r>
        <w:t xml:space="preserve">disadvantaged communities.  </w:t>
      </w:r>
      <w:r w:rsidR="0060269C">
        <w:t>A</w:t>
      </w:r>
      <w:r w:rsidR="00902626">
        <w:t xml:space="preserve">s discussed in </w:t>
      </w:r>
      <w:r w:rsidR="0034029C">
        <w:t>Section 8</w:t>
      </w:r>
      <w:r w:rsidR="00902626">
        <w:t>.8 below</w:t>
      </w:r>
      <w:r w:rsidR="006229BE">
        <w:t>,</w:t>
      </w:r>
      <w:r w:rsidR="007267B5">
        <w:t xml:space="preserve"> </w:t>
      </w:r>
      <w:r>
        <w:t xml:space="preserve">the Commission will conduct </w:t>
      </w:r>
      <w:r w:rsidRPr="00BB1A29">
        <w:t xml:space="preserve">an evaluation of the </w:t>
      </w:r>
      <w:r w:rsidR="00902626">
        <w:t xml:space="preserve">successor tariff, which will include </w:t>
      </w:r>
      <w:r w:rsidR="00FD7D2E">
        <w:t xml:space="preserve">an evaluation of </w:t>
      </w:r>
      <w:r w:rsidR="00FA3385">
        <w:t xml:space="preserve">the </w:t>
      </w:r>
      <w:r>
        <w:t>equity elements adopt</w:t>
      </w:r>
      <w:r w:rsidR="00FA3385">
        <w:t>ed</w:t>
      </w:r>
      <w:r>
        <w:t xml:space="preserve"> in this decision</w:t>
      </w:r>
      <w:r w:rsidRPr="00BB1A29">
        <w:t>.</w:t>
      </w:r>
      <w:r w:rsidR="007267B5">
        <w:t xml:space="preserve">  </w:t>
      </w:r>
      <w:r>
        <w:t xml:space="preserve">With this as </w:t>
      </w:r>
      <w:r w:rsidR="0060269C">
        <w:t xml:space="preserve">the </w:t>
      </w:r>
      <w:r>
        <w:t xml:space="preserve">base policy, multiple </w:t>
      </w:r>
      <w:r w:rsidR="007267B5">
        <w:t xml:space="preserve">proposals to increase participation by </w:t>
      </w:r>
      <w:r w:rsidR="00961924">
        <w:t>low</w:t>
      </w:r>
      <w:r w:rsidR="00827602">
        <w:noBreakHyphen/>
      </w:r>
      <w:r w:rsidR="00961924">
        <w:t xml:space="preserve">income and </w:t>
      </w:r>
      <w:r w:rsidR="007267B5">
        <w:t>disadvantaged communities</w:t>
      </w:r>
      <w:r w:rsidR="0060269C">
        <w:t xml:space="preserve"> are reviewed and considered</w:t>
      </w:r>
      <w:r w:rsidR="00515041">
        <w:t xml:space="preserve"> below</w:t>
      </w:r>
      <w:r w:rsidR="007267B5">
        <w:t>.</w:t>
      </w:r>
    </w:p>
    <w:p w:rsidR="007267B5" w:rsidP="005E7044" w:rsidRDefault="0060269C" w14:paraId="23BDEAAC" w14:textId="338FD2DB">
      <w:pPr>
        <w:pStyle w:val="Standard"/>
      </w:pPr>
      <w:r>
        <w:t xml:space="preserve">This decision </w:t>
      </w:r>
      <w:r w:rsidR="007267B5">
        <w:t>begin</w:t>
      </w:r>
      <w:r>
        <w:t>s</w:t>
      </w:r>
      <w:r w:rsidR="007267B5">
        <w:t xml:space="preserve"> with </w:t>
      </w:r>
      <w:r w:rsidR="00085B96">
        <w:t xml:space="preserve">the energy burden reduction policy from </w:t>
      </w:r>
      <w:r w:rsidR="00AA21E9">
        <w:t>GRID</w:t>
      </w:r>
      <w:r w:rsidR="00085B96">
        <w:t xml:space="preserve"> </w:t>
      </w:r>
      <w:r w:rsidR="001C71AF">
        <w:rPr>
          <w:i/>
          <w:iCs/>
        </w:rPr>
        <w:t>et al</w:t>
      </w:r>
      <w:r w:rsidR="00085B96">
        <w:t>. where eligible customers would remain on their retail rate for imports but be assigned a time</w:t>
      </w:r>
      <w:r w:rsidR="00827602">
        <w:noBreakHyphen/>
      </w:r>
      <w:r w:rsidR="00085B96">
        <w:t>varying rate for exports equal to the 2021 default resident time</w:t>
      </w:r>
      <w:r w:rsidR="00827602">
        <w:noBreakHyphen/>
      </w:r>
      <w:r w:rsidR="00085B96">
        <w:t>of</w:t>
      </w:r>
      <w:r w:rsidR="00827602">
        <w:noBreakHyphen/>
      </w:r>
      <w:r w:rsidR="00085B96">
        <w:t xml:space="preserve">use rate </w:t>
      </w:r>
      <w:r w:rsidR="009B2D2D">
        <w:t xml:space="preserve">that would </w:t>
      </w:r>
      <w:r w:rsidR="00085B96">
        <w:t>remain in place for 20 years, fixed to 2021 values.  G</w:t>
      </w:r>
      <w:r w:rsidR="00AA21E9">
        <w:t>RID</w:t>
      </w:r>
      <w:r w:rsidR="00085B96">
        <w:t xml:space="preserve"> </w:t>
      </w:r>
      <w:r w:rsidR="001C71AF">
        <w:rPr>
          <w:i/>
          <w:iCs/>
        </w:rPr>
        <w:t>et al</w:t>
      </w:r>
      <w:r w:rsidRPr="00A943E5" w:rsidR="00085B96">
        <w:rPr>
          <w:i/>
          <w:iCs/>
        </w:rPr>
        <w:t>.</w:t>
      </w:r>
      <w:r w:rsidR="00085B96">
        <w:t xml:space="preserve"> contend the aim of this policy is to correct </w:t>
      </w:r>
      <w:r w:rsidR="009B2D2D">
        <w:t>the</w:t>
      </w:r>
      <w:r w:rsidR="003A4C25">
        <w:t xml:space="preserve"> </w:t>
      </w:r>
      <w:r w:rsidR="00BA1EAE">
        <w:t>“</w:t>
      </w:r>
      <w:r w:rsidR="00085B96">
        <w:t>value impact</w:t>
      </w:r>
      <w:r w:rsidR="00BA1EAE">
        <w:t>”</w:t>
      </w:r>
      <w:r w:rsidR="00085B96">
        <w:t xml:space="preserve"> </w:t>
      </w:r>
      <w:r w:rsidR="009B2D2D">
        <w:t xml:space="preserve">in </w:t>
      </w:r>
      <w:r w:rsidR="00602BC5">
        <w:t>NEM 2.0</w:t>
      </w:r>
      <w:r w:rsidR="009B2D2D">
        <w:t xml:space="preserve">, </w:t>
      </w:r>
      <w:r w:rsidR="00085B96">
        <w:t xml:space="preserve">where these customers receive lower solar bill savings compared to </w:t>
      </w:r>
      <w:r w:rsidR="00085B96">
        <w:lastRenderedPageBreak/>
        <w:t xml:space="preserve">wealthier </w:t>
      </w:r>
      <w:r w:rsidR="003A4C25">
        <w:t>customers due to their discounted rates.</w:t>
      </w:r>
      <w:r w:rsidR="003A4C25">
        <w:rPr>
          <w:rStyle w:val="FootnoteReference"/>
        </w:rPr>
        <w:footnoteReference w:id="452"/>
      </w:r>
      <w:r w:rsidR="003A4C25">
        <w:t xml:space="preserve">  GRID </w:t>
      </w:r>
      <w:r w:rsidR="001C71AF">
        <w:rPr>
          <w:i/>
          <w:iCs/>
        </w:rPr>
        <w:t>et al</w:t>
      </w:r>
      <w:r w:rsidRPr="00A943E5" w:rsidR="003A4C25">
        <w:rPr>
          <w:i/>
          <w:iCs/>
        </w:rPr>
        <w:t>.</w:t>
      </w:r>
      <w:r w:rsidR="003A4C25">
        <w:t xml:space="preserve"> explains that</w:t>
      </w:r>
      <w:r w:rsidR="00A9134C">
        <w:t>,</w:t>
      </w:r>
      <w:r w:rsidR="003A4C25">
        <w:t xml:space="preserve"> because these customers’ exports are netted against their consumption, they functionally receive a discounted value for the energy that they provide to the grid.  GRID </w:t>
      </w:r>
      <w:r w:rsidR="001C71AF">
        <w:rPr>
          <w:i/>
          <w:iCs/>
        </w:rPr>
        <w:t>et al</w:t>
      </w:r>
      <w:r w:rsidR="003A4C25">
        <w:t>. asserts adoption of their proposal would ensure this group of customers would receive a fair return on exported energy.</w:t>
      </w:r>
      <w:r w:rsidR="003A4C25">
        <w:rPr>
          <w:rStyle w:val="FootnoteReference"/>
        </w:rPr>
        <w:footnoteReference w:id="453"/>
      </w:r>
      <w:r w:rsidR="002308CF">
        <w:t xml:space="preserve">  This proposal is supported by SEIA/Vote Solar</w:t>
      </w:r>
      <w:r w:rsidR="008F1E69">
        <w:t xml:space="preserve">, </w:t>
      </w:r>
      <w:r w:rsidR="002308CF">
        <w:t>who did not address low</w:t>
      </w:r>
      <w:r w:rsidR="00827602">
        <w:noBreakHyphen/>
      </w:r>
      <w:r w:rsidR="002308CF">
        <w:t xml:space="preserve">income customers in </w:t>
      </w:r>
      <w:r w:rsidR="00537983">
        <w:t>their</w:t>
      </w:r>
      <w:r w:rsidR="002308CF">
        <w:t xml:space="preserve"> proposal.</w:t>
      </w:r>
      <w:r w:rsidR="002308CF">
        <w:rPr>
          <w:rStyle w:val="FootnoteReference"/>
        </w:rPr>
        <w:footnoteReference w:id="454"/>
      </w:r>
    </w:p>
    <w:p w:rsidR="002308CF" w:rsidP="005E7044" w:rsidRDefault="002308CF" w14:paraId="67E7221C" w14:textId="156FE091">
      <w:pPr>
        <w:pStyle w:val="Standard"/>
      </w:pPr>
      <w:proofErr w:type="spellStart"/>
      <w:r>
        <w:t>CALSSA</w:t>
      </w:r>
      <w:proofErr w:type="spellEnd"/>
      <w:r>
        <w:t xml:space="preserve"> proposes a suite of proposals for low</w:t>
      </w:r>
      <w:r w:rsidR="00827602">
        <w:noBreakHyphen/>
      </w:r>
      <w:r>
        <w:t xml:space="preserve"> and moderate</w:t>
      </w:r>
      <w:r w:rsidR="00827602">
        <w:noBreakHyphen/>
      </w:r>
      <w:r>
        <w:t xml:space="preserve">income customers.  As </w:t>
      </w:r>
      <w:r w:rsidR="0060269C">
        <w:t>this decision has</w:t>
      </w:r>
      <w:r>
        <w:t xml:space="preserve"> already defined income eligibility, </w:t>
      </w:r>
      <w:r w:rsidR="0060269C">
        <w:t xml:space="preserve">this section will </w:t>
      </w:r>
      <w:r>
        <w:t xml:space="preserve">only address those proposals that will meet these criteria.  </w:t>
      </w:r>
      <w:proofErr w:type="spellStart"/>
      <w:r>
        <w:t>CALSSA</w:t>
      </w:r>
      <w:proofErr w:type="spellEnd"/>
      <w:r>
        <w:t xml:space="preserve"> asserts that the Commission should address equity and access by encouraging solar adoption among low</w:t>
      </w:r>
      <w:r w:rsidR="00827602">
        <w:noBreakHyphen/>
      </w:r>
      <w:r>
        <w:t xml:space="preserve">income customers and </w:t>
      </w:r>
      <w:r w:rsidR="00525F9E">
        <w:t xml:space="preserve">addressing obstacles that have hindered solar </w:t>
      </w:r>
      <w:r w:rsidR="008F1E69">
        <w:t>growth</w:t>
      </w:r>
      <w:r w:rsidR="00525F9E">
        <w:t xml:space="preserve"> for renters.</w:t>
      </w:r>
      <w:r w:rsidR="00525F9E">
        <w:rPr>
          <w:rStyle w:val="FootnoteReference"/>
        </w:rPr>
        <w:footnoteReference w:id="455"/>
      </w:r>
      <w:r w:rsidR="00525F9E">
        <w:t xml:space="preserve">  </w:t>
      </w:r>
      <w:proofErr w:type="spellStart"/>
      <w:r w:rsidR="00525F9E">
        <w:t>CALSSA</w:t>
      </w:r>
      <w:proofErr w:type="spellEnd"/>
      <w:r w:rsidR="00525F9E">
        <w:t xml:space="preserve"> </w:t>
      </w:r>
      <w:r>
        <w:t>proposes that all income qualified customers living in single</w:t>
      </w:r>
      <w:r w:rsidR="00827602">
        <w:noBreakHyphen/>
      </w:r>
      <w:r>
        <w:t xml:space="preserve">family homes be eligible for the </w:t>
      </w:r>
      <w:r w:rsidR="00602BC5">
        <w:t>NEM 2.0</w:t>
      </w:r>
      <w:r w:rsidR="00135D55">
        <w:t xml:space="preserve"> </w:t>
      </w:r>
      <w:r>
        <w:t>tariff minus any non</w:t>
      </w:r>
      <w:r w:rsidR="00827602">
        <w:noBreakHyphen/>
      </w:r>
      <w:proofErr w:type="spellStart"/>
      <w:r>
        <w:t>bypassable</w:t>
      </w:r>
      <w:proofErr w:type="spellEnd"/>
      <w:r>
        <w:t xml:space="preserve"> charges and credit exports from those customers at the undiscounted applica</w:t>
      </w:r>
      <w:r w:rsidR="008F1E69">
        <w:t>b</w:t>
      </w:r>
      <w:r>
        <w:t>le retail rate minus non</w:t>
      </w:r>
      <w:r w:rsidR="00827602">
        <w:noBreakHyphen/>
      </w:r>
      <w:proofErr w:type="spellStart"/>
      <w:r>
        <w:t>bypassable</w:t>
      </w:r>
      <w:proofErr w:type="spellEnd"/>
      <w:r>
        <w:t xml:space="preserve"> charges.</w:t>
      </w:r>
      <w:r>
        <w:rPr>
          <w:rStyle w:val="FootnoteReference"/>
        </w:rPr>
        <w:footnoteReference w:id="456"/>
      </w:r>
      <w:r w:rsidR="00525F9E">
        <w:t xml:space="preserve">  </w:t>
      </w:r>
      <w:proofErr w:type="spellStart"/>
      <w:r w:rsidR="00525F9E">
        <w:t>CALSSA</w:t>
      </w:r>
      <w:proofErr w:type="spellEnd"/>
      <w:r w:rsidR="00525F9E">
        <w:t xml:space="preserve"> also proposes the Commission extend </w:t>
      </w:r>
      <w:r w:rsidR="00602BC5">
        <w:t>NEM 2.0</w:t>
      </w:r>
      <w:r w:rsidR="00135D55">
        <w:t xml:space="preserve"> </w:t>
      </w:r>
      <w:r w:rsidR="00525F9E">
        <w:t xml:space="preserve">eligibility for virtual net energy metering to those apartment buildings eligible for </w:t>
      </w:r>
      <w:r w:rsidR="00743F3A">
        <w:t>Multifamily Affordable Solar Housing (</w:t>
      </w:r>
      <w:r w:rsidR="00525F9E">
        <w:t>MASH</w:t>
      </w:r>
      <w:r w:rsidR="00743F3A">
        <w:t>)</w:t>
      </w:r>
      <w:r w:rsidR="00525F9E">
        <w:t xml:space="preserve"> and SOMAH programs.</w:t>
      </w:r>
    </w:p>
    <w:p w:rsidR="003A4C25" w:rsidP="005E7044" w:rsidRDefault="0060269C" w14:paraId="74C232F4" w14:textId="2D2B4A8E">
      <w:pPr>
        <w:pStyle w:val="Standard"/>
      </w:pPr>
      <w:r>
        <w:t xml:space="preserve">This decision </w:t>
      </w:r>
      <w:r w:rsidR="00D752F8">
        <w:t>ha</w:t>
      </w:r>
      <w:r>
        <w:t>s</w:t>
      </w:r>
      <w:r w:rsidR="00D752F8">
        <w:t xml:space="preserve"> already </w:t>
      </w:r>
      <w:r w:rsidR="00681C46">
        <w:t>rejected</w:t>
      </w:r>
      <w:r w:rsidR="00D752F8">
        <w:t xml:space="preserve"> the Joint Utilities </w:t>
      </w:r>
      <w:r w:rsidR="003D03E2">
        <w:t>statement</w:t>
      </w:r>
      <w:r w:rsidR="00D752F8">
        <w:t xml:space="preserve"> that ending the cost</w:t>
      </w:r>
      <w:r w:rsidR="0029634B">
        <w:t xml:space="preserve"> </w:t>
      </w:r>
      <w:r w:rsidR="00D752F8">
        <w:t xml:space="preserve">shift does </w:t>
      </w:r>
      <w:r w:rsidR="00BA1EAE">
        <w:t>“</w:t>
      </w:r>
      <w:r w:rsidR="00D752F8">
        <w:t>the greatest good for lower</w:t>
      </w:r>
      <w:r w:rsidR="00827602">
        <w:noBreakHyphen/>
      </w:r>
      <w:r w:rsidR="00D752F8">
        <w:t>income customers.</w:t>
      </w:r>
      <w:r w:rsidR="00BA1EAE">
        <w:t>”</w:t>
      </w:r>
      <w:r w:rsidR="00D752F8">
        <w:t xml:space="preserve">  However, </w:t>
      </w:r>
      <w:r w:rsidR="00D752F8">
        <w:lastRenderedPageBreak/>
        <w:t>Joint Utilities also offer a transitional tariff discount for CARE</w:t>
      </w:r>
      <w:r w:rsidR="00827602">
        <w:noBreakHyphen/>
      </w:r>
      <w:r w:rsidR="00D752F8">
        <w:t xml:space="preserve"> and FERA</w:t>
      </w:r>
      <w:r w:rsidR="00827602">
        <w:noBreakHyphen/>
      </w:r>
      <w:r w:rsidR="00D752F8">
        <w:t>eligible customers, which provides a discount on the proposed grid benefits charge and guarantees these customers will pay only a nominal amount toward the costs underlying this charge.</w:t>
      </w:r>
      <w:r w:rsidR="00D752F8">
        <w:rPr>
          <w:rStyle w:val="FootnoteReference"/>
        </w:rPr>
        <w:footnoteReference w:id="457"/>
      </w:r>
      <w:r w:rsidR="00D752F8">
        <w:t xml:space="preserve">  This charge, which Joint Utilities contend would reduce the grid benefits charge to $1.50 per k</w:t>
      </w:r>
      <w:r w:rsidR="009327E5">
        <w:t>ilowatt hour Alternating Current</w:t>
      </w:r>
      <w:r w:rsidRPr="009327E5" w:rsidR="00D752F8">
        <w:t>,</w:t>
      </w:r>
      <w:r w:rsidRPr="009327E5" w:rsidR="00CB2F77">
        <w:t xml:space="preserve"> </w:t>
      </w:r>
      <w:r w:rsidR="00D752F8">
        <w:t>would only be available for the first three years of the successor tariff, with potential extensions depending upon Commission action.</w:t>
      </w:r>
      <w:r w:rsidR="00D752F8">
        <w:rPr>
          <w:rStyle w:val="FootnoteReference"/>
        </w:rPr>
        <w:footnoteReference w:id="458"/>
      </w:r>
      <w:r w:rsidR="00D752F8">
        <w:t xml:space="preserve">  Joint Utilities propose all ratepayers would fund this benefit.  Additionally, Joint Utilities propos</w:t>
      </w:r>
      <w:r w:rsidR="00BD0E25">
        <w:t>e</w:t>
      </w:r>
      <w:r w:rsidR="00D752F8">
        <w:t xml:space="preserve"> a behind</w:t>
      </w:r>
      <w:r w:rsidR="00827602">
        <w:noBreakHyphen/>
      </w:r>
      <w:r w:rsidR="00D752F8">
        <w:t>the</w:t>
      </w:r>
      <w:r w:rsidR="00827602">
        <w:noBreakHyphen/>
      </w:r>
      <w:r w:rsidR="00D752F8">
        <w:t>meter storage incentive for CARE and FERA customers</w:t>
      </w:r>
      <w:r w:rsidR="00B3736D">
        <w:t>, where these customers would receive a free battery, which Joint Utilities estimate would allow these customers to experience a payback period of seven to eight years for their solar system.</w:t>
      </w:r>
      <w:r w:rsidR="00B3736D">
        <w:rPr>
          <w:rStyle w:val="FootnoteReference"/>
        </w:rPr>
        <w:footnoteReference w:id="459"/>
      </w:r>
      <w:r w:rsidR="00900FA4">
        <w:t xml:space="preserve">  Joint Utilities propose that this incentive program, called STORE, would be funded with cost shift savings realized by its proposed reform of </w:t>
      </w:r>
      <w:r w:rsidR="00602BC5">
        <w:t>NEM 2.0</w:t>
      </w:r>
      <w:r w:rsidR="00900FA4">
        <w:t>.</w:t>
      </w:r>
      <w:r w:rsidR="00900FA4">
        <w:rPr>
          <w:rStyle w:val="FootnoteReference"/>
        </w:rPr>
        <w:footnoteReference w:id="460"/>
      </w:r>
    </w:p>
    <w:p w:rsidR="00900FA4" w:rsidP="005E7044" w:rsidRDefault="00900FA4" w14:paraId="6A0AF5D3" w14:textId="2163D1F6">
      <w:pPr>
        <w:pStyle w:val="Standard"/>
      </w:pPr>
      <w:r>
        <w:t xml:space="preserve">NRDC </w:t>
      </w:r>
      <w:r w:rsidR="00E419F3">
        <w:t xml:space="preserve">and </w:t>
      </w:r>
      <w:r w:rsidR="009355F1">
        <w:t>Cal Advoc</w:t>
      </w:r>
      <w:r w:rsidR="006806FE">
        <w:t>ates</w:t>
      </w:r>
      <w:r w:rsidR="00E419F3">
        <w:t xml:space="preserve"> </w:t>
      </w:r>
      <w:r>
        <w:t>propose</w:t>
      </w:r>
      <w:r w:rsidR="00E419F3">
        <w:t xml:space="preserve"> </w:t>
      </w:r>
      <w:r>
        <w:t xml:space="preserve">an </w:t>
      </w:r>
      <w:r w:rsidR="00221877">
        <w:t>e</w:t>
      </w:r>
      <w:r>
        <w:t xml:space="preserve">quity </w:t>
      </w:r>
      <w:r w:rsidR="00221877">
        <w:t>f</w:t>
      </w:r>
      <w:r>
        <w:t xml:space="preserve">und </w:t>
      </w:r>
      <w:r w:rsidR="000A40C9">
        <w:t xml:space="preserve">or </w:t>
      </w:r>
      <w:r w:rsidR="00221877">
        <w:t>e</w:t>
      </w:r>
      <w:r w:rsidR="000A40C9">
        <w:t xml:space="preserve">quity </w:t>
      </w:r>
      <w:r w:rsidR="00221877">
        <w:t>f</w:t>
      </w:r>
      <w:r w:rsidR="00560AA4">
        <w:t xml:space="preserve">ee </w:t>
      </w:r>
      <w:r>
        <w:t xml:space="preserve">to help bring clean energy benefits to </w:t>
      </w:r>
      <w:r w:rsidR="00E419F3">
        <w:t>low</w:t>
      </w:r>
      <w:r w:rsidR="00827602">
        <w:noBreakHyphen/>
      </w:r>
      <w:r w:rsidR="00E419F3">
        <w:t>income customers and disadvantaged communities.</w:t>
      </w:r>
      <w:r w:rsidR="00E419F3">
        <w:rPr>
          <w:rStyle w:val="FootnoteReference"/>
        </w:rPr>
        <w:footnoteReference w:id="461"/>
      </w:r>
      <w:r w:rsidR="00E419F3">
        <w:t xml:space="preserve"> </w:t>
      </w:r>
      <w:r w:rsidR="000A40C9">
        <w:t xml:space="preserve"> NRDC explains that the fund is intended to be a feature of any successor tariff.</w:t>
      </w:r>
      <w:r w:rsidR="000A40C9">
        <w:rPr>
          <w:rStyle w:val="FootnoteReference"/>
        </w:rPr>
        <w:footnoteReference w:id="462"/>
      </w:r>
      <w:r w:rsidR="000A40C9">
        <w:t xml:space="preserve">  </w:t>
      </w:r>
      <w:r w:rsidR="00266037">
        <w:t xml:space="preserve">In addition to exempting all CARE and FERA customers from the grid benefits charge, </w:t>
      </w:r>
      <w:r w:rsidR="009355F1">
        <w:t>Cal Advoc</w:t>
      </w:r>
      <w:r w:rsidR="000A40C9">
        <w:t>ates submit</w:t>
      </w:r>
      <w:r w:rsidR="00970263">
        <w:t>s</w:t>
      </w:r>
      <w:r w:rsidR="000A40C9">
        <w:t xml:space="preserve"> its </w:t>
      </w:r>
      <w:r w:rsidR="00221877">
        <w:t>proposed e</w:t>
      </w:r>
      <w:r w:rsidR="000A40C9">
        <w:t xml:space="preserve">quity </w:t>
      </w:r>
      <w:r w:rsidR="00221877">
        <w:t>c</w:t>
      </w:r>
      <w:r w:rsidR="000A40C9">
        <w:t>harge has two components</w:t>
      </w:r>
      <w:r w:rsidR="00555CC0">
        <w:t xml:space="preserve">:  </w:t>
      </w:r>
      <w:r w:rsidR="00860117">
        <w:t>(</w:t>
      </w:r>
      <w:r w:rsidR="000A40C9">
        <w:t>1)</w:t>
      </w:r>
      <w:r w:rsidR="006746E0">
        <w:t> </w:t>
      </w:r>
      <w:r w:rsidR="000A40C9">
        <w:t xml:space="preserve">a per month fee </w:t>
      </w:r>
      <w:r w:rsidR="00266037">
        <w:t>of $0.26</w:t>
      </w:r>
      <w:r w:rsidR="00827602">
        <w:noBreakHyphen/>
      </w:r>
      <w:r w:rsidR="00266037">
        <w:t xml:space="preserve">$0.66/kW </w:t>
      </w:r>
      <w:r w:rsidR="000A40C9">
        <w:t xml:space="preserve">on </w:t>
      </w:r>
      <w:r w:rsidR="00266037">
        <w:t>non</w:t>
      </w:r>
      <w:r w:rsidR="00827602">
        <w:noBreakHyphen/>
      </w:r>
      <w:r w:rsidR="00266037">
        <w:t xml:space="preserve">CARE/FERA </w:t>
      </w:r>
      <w:r w:rsidR="00602BC5">
        <w:lastRenderedPageBreak/>
        <w:t>NEM 1.0</w:t>
      </w:r>
      <w:r w:rsidR="000A40C9">
        <w:t xml:space="preserve"> and </w:t>
      </w:r>
      <w:r w:rsidR="00602BC5">
        <w:t>NEM 2.0</w:t>
      </w:r>
      <w:r w:rsidR="00135D55">
        <w:t xml:space="preserve"> </w:t>
      </w:r>
      <w:r w:rsidR="000A40C9">
        <w:t xml:space="preserve">customers </w:t>
      </w:r>
      <w:r w:rsidR="00BD0E25">
        <w:t xml:space="preserve">to cover the cost of the exemption of the grid benefits charge; </w:t>
      </w:r>
      <w:r w:rsidR="00266037">
        <w:t xml:space="preserve">and </w:t>
      </w:r>
      <w:r w:rsidR="00860117">
        <w:t>(</w:t>
      </w:r>
      <w:r w:rsidR="00266037">
        <w:t>2)</w:t>
      </w:r>
      <w:r w:rsidR="006746E0">
        <w:t> </w:t>
      </w:r>
      <w:r w:rsidR="00266037">
        <w:t>an additional monthly fee of $3.15/kW on non</w:t>
      </w:r>
      <w:r w:rsidR="00827602">
        <w:noBreakHyphen/>
      </w:r>
      <w:r w:rsidR="00266037">
        <w:t xml:space="preserve">CARE/FERA </w:t>
      </w:r>
      <w:r w:rsidR="00602BC5">
        <w:t>NEM 1.0</w:t>
      </w:r>
      <w:r w:rsidR="00266037">
        <w:t xml:space="preserve"> and </w:t>
      </w:r>
      <w:r w:rsidR="00602BC5">
        <w:t>NEM 2.0</w:t>
      </w:r>
      <w:r w:rsidR="00135D55">
        <w:t xml:space="preserve"> </w:t>
      </w:r>
      <w:r w:rsidR="00266037">
        <w:t>customers</w:t>
      </w:r>
      <w:r w:rsidR="00BD0E25">
        <w:t xml:space="preserve"> to provide an upfront subsidy to CARE/FERA customers</w:t>
      </w:r>
      <w:r w:rsidR="00266037">
        <w:t>.</w:t>
      </w:r>
      <w:r w:rsidR="00BD0E25">
        <w:rPr>
          <w:rStyle w:val="FootnoteReference"/>
        </w:rPr>
        <w:footnoteReference w:id="463"/>
      </w:r>
      <w:r w:rsidR="00266037">
        <w:t xml:space="preserve">  </w:t>
      </w:r>
      <w:r w:rsidR="009355F1">
        <w:t>Cal Advoc</w:t>
      </w:r>
      <w:r w:rsidR="00266037">
        <w:t>ates propose</w:t>
      </w:r>
      <w:r w:rsidR="00970263">
        <w:t>s</w:t>
      </w:r>
      <w:r w:rsidR="00266037">
        <w:t xml:space="preserve"> </w:t>
      </w:r>
      <w:r w:rsidR="006806FE">
        <w:t xml:space="preserve">that </w:t>
      </w:r>
      <w:r w:rsidR="00266037">
        <w:t>once these funds begin to be collected, the Commission should establish a</w:t>
      </w:r>
      <w:r w:rsidR="003D03E2">
        <w:t>n</w:t>
      </w:r>
      <w:r w:rsidR="00266037">
        <w:t xml:space="preserve"> inclusive process with disadvantaged communities, environmental justice groups, and consumer advocates to determine how the funds should </w:t>
      </w:r>
      <w:r w:rsidR="00D835B3">
        <w:t xml:space="preserve">be </w:t>
      </w:r>
      <w:r w:rsidR="00266037">
        <w:t>spent to address barriers to adoption in these communities.</w:t>
      </w:r>
      <w:r w:rsidR="00266037">
        <w:rPr>
          <w:rStyle w:val="FootnoteReference"/>
        </w:rPr>
        <w:footnoteReference w:id="464"/>
      </w:r>
      <w:r w:rsidR="00AA21E9">
        <w:t xml:space="preserve">  </w:t>
      </w:r>
      <w:r w:rsidR="009355F1">
        <w:t>Cal Advoc</w:t>
      </w:r>
      <w:r w:rsidR="00AA21E9">
        <w:t>ates explain</w:t>
      </w:r>
      <w:r w:rsidR="00970263">
        <w:t>s</w:t>
      </w:r>
      <w:r w:rsidR="00AA21E9">
        <w:t xml:space="preserve"> </w:t>
      </w:r>
      <w:r w:rsidR="006806FE">
        <w:t xml:space="preserve">that </w:t>
      </w:r>
      <w:r w:rsidR="00AA21E9">
        <w:t xml:space="preserve">the </w:t>
      </w:r>
      <w:r w:rsidR="00221877">
        <w:t>proposed e</w:t>
      </w:r>
      <w:r w:rsidR="00AA21E9">
        <w:t xml:space="preserve">quity </w:t>
      </w:r>
      <w:r w:rsidR="00221877">
        <w:t>f</w:t>
      </w:r>
      <w:r w:rsidR="00AA21E9">
        <w:t>und could</w:t>
      </w:r>
      <w:r w:rsidR="006549C5">
        <w:t xml:space="preserve"> b</w:t>
      </w:r>
      <w:r w:rsidR="0007023C">
        <w:t>e</w:t>
      </w:r>
      <w:r w:rsidR="006549C5">
        <w:t xml:space="preserve"> applied to existing programs such as SOMAH, which may increase the adoption of distributed renewables in disadvantaged communities.</w:t>
      </w:r>
      <w:r w:rsidR="006549C5">
        <w:rPr>
          <w:rStyle w:val="FootnoteReference"/>
        </w:rPr>
        <w:footnoteReference w:id="465"/>
      </w:r>
    </w:p>
    <w:p w:rsidR="003D03E2" w:rsidP="005E7044" w:rsidRDefault="00CB7003" w14:paraId="56FBD382" w14:textId="26E6118C">
      <w:pPr>
        <w:pStyle w:val="Standard"/>
      </w:pPr>
      <w:r>
        <w:t>PCF proposes a carve</w:t>
      </w:r>
      <w:r w:rsidR="00827602">
        <w:noBreakHyphen/>
      </w:r>
      <w:r>
        <w:t>out for low</w:t>
      </w:r>
      <w:r w:rsidR="00827602">
        <w:noBreakHyphen/>
      </w:r>
      <w:r>
        <w:t xml:space="preserve">income customers to retain access to the </w:t>
      </w:r>
      <w:r w:rsidR="00602BC5">
        <w:t>NEM 2.0</w:t>
      </w:r>
      <w:r w:rsidR="00135D55">
        <w:t xml:space="preserve"> </w:t>
      </w:r>
      <w:r>
        <w:t>tariff until low</w:t>
      </w:r>
      <w:r w:rsidR="00827602">
        <w:noBreakHyphen/>
      </w:r>
      <w:r>
        <w:t>income customers reach 10,000</w:t>
      </w:r>
      <w:r w:rsidR="00C224D0">
        <w:t> </w:t>
      </w:r>
      <w:r w:rsidR="00D846D4">
        <w:t>megawatts</w:t>
      </w:r>
      <w:r w:rsidR="00C224D0">
        <w:t xml:space="preserve"> </w:t>
      </w:r>
      <w:r>
        <w:t>of installed behind</w:t>
      </w:r>
      <w:r w:rsidR="00827602">
        <w:noBreakHyphen/>
      </w:r>
      <w:r>
        <w:t>the</w:t>
      </w:r>
      <w:r w:rsidR="00827602">
        <w:noBreakHyphen/>
      </w:r>
      <w:r>
        <w:t>meter capacity.</w:t>
      </w:r>
      <w:r>
        <w:rPr>
          <w:rStyle w:val="FootnoteReference"/>
        </w:rPr>
        <w:footnoteReference w:id="466"/>
      </w:r>
      <w:r>
        <w:t xml:space="preserve">  PCF contends this would contribute to ensuring the customer</w:t>
      </w:r>
      <w:r w:rsidR="00827602">
        <w:noBreakHyphen/>
      </w:r>
      <w:r>
        <w:t>sited distributed generation continues to grow sustainably and advance equity between customer classes.</w:t>
      </w:r>
      <w:r>
        <w:rPr>
          <w:rStyle w:val="FootnoteReference"/>
        </w:rPr>
        <w:footnoteReference w:id="467"/>
      </w:r>
    </w:p>
    <w:p w:rsidR="00533B2F" w:rsidP="005E7044" w:rsidRDefault="00A27098" w14:paraId="3FBDE78F" w14:textId="0C27A1F5">
      <w:pPr>
        <w:pStyle w:val="Standard"/>
      </w:pPr>
      <w:bookmarkStart w:name="_Hlk121745385" w:id="224"/>
      <w:bookmarkStart w:name="_Hlk121818765" w:id="225"/>
      <w:r>
        <w:t xml:space="preserve">First, </w:t>
      </w:r>
      <w:r w:rsidR="0060269C">
        <w:t xml:space="preserve">this decision </w:t>
      </w:r>
      <w:r>
        <w:t>decline</w:t>
      </w:r>
      <w:r w:rsidR="0060269C">
        <w:t>s</w:t>
      </w:r>
      <w:r>
        <w:t xml:space="preserve"> any proposal to maintain the status quo</w:t>
      </w:r>
      <w:r w:rsidR="00F850E8">
        <w:t xml:space="preserve">, </w:t>
      </w:r>
      <w:r w:rsidRPr="006746E0" w:rsidR="00F850E8">
        <w:rPr>
          <w:i/>
          <w:iCs/>
        </w:rPr>
        <w:t>i.e</w:t>
      </w:r>
      <w:r w:rsidR="00F850E8">
        <w:t xml:space="preserve">., </w:t>
      </w:r>
      <w:r w:rsidR="00602BC5">
        <w:t>NEM 2.0</w:t>
      </w:r>
      <w:r>
        <w:t xml:space="preserve">.  While </w:t>
      </w:r>
      <w:r w:rsidR="0060269C">
        <w:t xml:space="preserve">the Commission </w:t>
      </w:r>
      <w:r>
        <w:t>recognize</w:t>
      </w:r>
      <w:r w:rsidR="0060269C">
        <w:t>s</w:t>
      </w:r>
      <w:r>
        <w:t xml:space="preserve"> the barriers to adoption </w:t>
      </w:r>
      <w:r w:rsidR="00B820A3">
        <w:t>of behind</w:t>
      </w:r>
      <w:r w:rsidR="00827602">
        <w:noBreakHyphen/>
      </w:r>
      <w:r w:rsidR="00B820A3">
        <w:t>the</w:t>
      </w:r>
      <w:r w:rsidR="00827602">
        <w:noBreakHyphen/>
      </w:r>
      <w:r w:rsidR="00B820A3">
        <w:t>meter resources by low</w:t>
      </w:r>
      <w:r w:rsidR="00827602">
        <w:noBreakHyphen/>
      </w:r>
      <w:r w:rsidR="00B820A3">
        <w:t xml:space="preserve">income households </w:t>
      </w:r>
      <w:r>
        <w:t>as well as the financial challenges for low</w:t>
      </w:r>
      <w:r w:rsidR="00827602">
        <w:noBreakHyphen/>
      </w:r>
      <w:r>
        <w:t xml:space="preserve">income customers, other objectives for this tariff </w:t>
      </w:r>
      <w:r w:rsidR="0060269C">
        <w:t xml:space="preserve">must be met, </w:t>
      </w:r>
      <w:r>
        <w:lastRenderedPageBreak/>
        <w:t xml:space="preserve">including ensuring the tariff is based on the costs and benefits.  </w:t>
      </w:r>
      <w:r w:rsidR="0060269C">
        <w:t xml:space="preserve">This decision </w:t>
      </w:r>
      <w:r>
        <w:t xml:space="preserve">found that </w:t>
      </w:r>
      <w:r w:rsidR="00602BC5">
        <w:t>NEM 2.0</w:t>
      </w:r>
      <w:r w:rsidR="00135D55">
        <w:t xml:space="preserve"> </w:t>
      </w:r>
      <w:r>
        <w:t>does not meet this standard.</w:t>
      </w:r>
    </w:p>
    <w:p w:rsidR="00985188" w:rsidP="007C56B0" w:rsidRDefault="00985188" w14:paraId="677CD9D7" w14:textId="1CB1F9EA">
      <w:pPr>
        <w:pStyle w:val="Standard"/>
      </w:pPr>
      <w:r>
        <w:t>The Lookback Study explains that low</w:t>
      </w:r>
      <w:r>
        <w:noBreakHyphen/>
        <w:t>income customers who participate in NEM 2.0 receive lower bill savings benefits and experience longer payback periods.</w:t>
      </w:r>
      <w:r>
        <w:rPr>
          <w:rStyle w:val="FootnoteReference"/>
        </w:rPr>
        <w:footnoteReference w:id="468"/>
      </w:r>
      <w:r>
        <w:t xml:space="preserve">  As a result, installation of distributed generation is less frequent in low</w:t>
      </w:r>
      <w:r>
        <w:noBreakHyphen/>
        <w:t>income and disadvantaged communities.</w:t>
      </w:r>
      <w:r>
        <w:rPr>
          <w:rStyle w:val="FootnoteReference"/>
        </w:rPr>
        <w:footnoteReference w:id="469"/>
      </w:r>
      <w:r>
        <w:t xml:space="preserve">  While this is primarily due to the cost of systems, the Commission considers the inability to:  (1) achieve higher bill savings; and (2) receive payback in a reasonable number of years have been and continue to be barriers to increased participation by low</w:t>
      </w:r>
      <w:r>
        <w:noBreakHyphen/>
        <w:t xml:space="preserve">income customers.  </w:t>
      </w:r>
    </w:p>
    <w:p w:rsidR="001F270B" w:rsidP="005E7044" w:rsidRDefault="00FD7D2E" w14:paraId="7AC77CE9" w14:textId="7CE51D45">
      <w:pPr>
        <w:pStyle w:val="Standard"/>
      </w:pPr>
      <w:r>
        <w:t xml:space="preserve">With respect to the </w:t>
      </w:r>
      <w:r w:rsidR="00D23320">
        <w:t xml:space="preserve">successor </w:t>
      </w:r>
      <w:r>
        <w:t>tariff</w:t>
      </w:r>
      <w:r w:rsidR="00D23320">
        <w:t xml:space="preserve"> structure</w:t>
      </w:r>
      <w:r>
        <w:t xml:space="preserve">, this decision </w:t>
      </w:r>
      <w:r w:rsidR="003F4502">
        <w:t>approve</w:t>
      </w:r>
      <w:r w:rsidR="0060269C">
        <w:t>s</w:t>
      </w:r>
      <w:r w:rsidR="003F4502">
        <w:t xml:space="preserve"> the same structure </w:t>
      </w:r>
      <w:r w:rsidR="00ED6D2B">
        <w:t xml:space="preserve">adopted above </w:t>
      </w:r>
      <w:r w:rsidR="003F4502">
        <w:t>for low</w:t>
      </w:r>
      <w:r w:rsidR="00827602">
        <w:noBreakHyphen/>
      </w:r>
      <w:r w:rsidR="003F4502">
        <w:t xml:space="preserve">income customers, including the same </w:t>
      </w:r>
      <w:r w:rsidR="00F64859">
        <w:t xml:space="preserve">retail </w:t>
      </w:r>
      <w:r w:rsidR="003F4502">
        <w:t xml:space="preserve">export compensation rates as other customers.  </w:t>
      </w:r>
      <w:r w:rsidR="00383863">
        <w:t xml:space="preserve">Joint Utilities and </w:t>
      </w:r>
      <w:proofErr w:type="spellStart"/>
      <w:r w:rsidR="00383863">
        <w:t>CALSSA</w:t>
      </w:r>
      <w:proofErr w:type="spellEnd"/>
      <w:r w:rsidR="00383863">
        <w:t xml:space="preserve"> recommend providing discounts on certain elements of the tariff structure for eligible households.  </w:t>
      </w:r>
      <w:r w:rsidR="005A7617">
        <w:t xml:space="preserve">The Commission agrees that the successor tariff should be designed to </w:t>
      </w:r>
      <w:r w:rsidR="00383863">
        <w:t xml:space="preserve"> meet the objectives of improved equity and increasing participation.  </w:t>
      </w:r>
      <w:r w:rsidR="005A7617">
        <w:t xml:space="preserve">However, in lieu of a discount, the ACC Plus provides </w:t>
      </w:r>
      <w:r w:rsidR="00514ADF">
        <w:t xml:space="preserve">a </w:t>
      </w:r>
      <w:r w:rsidR="005A7617">
        <w:t xml:space="preserve">greater financial incentive in addition to the retail </w:t>
      </w:r>
      <w:r w:rsidR="00514ADF">
        <w:t xml:space="preserve">export compensation rate. </w:t>
      </w:r>
      <w:r w:rsidR="005A7617">
        <w:t xml:space="preserve"> </w:t>
      </w:r>
      <w:r w:rsidR="00514ADF">
        <w:t>T</w:t>
      </w:r>
      <w:r w:rsidR="00383863">
        <w:t>he structure of the ACC Plus is based on the</w:t>
      </w:r>
      <w:r w:rsidR="005F3D95">
        <w:t xml:space="preserve"> </w:t>
      </w:r>
      <w:r w:rsidR="00383863">
        <w:t>simple payback period and adders are calculated to return a</w:t>
      </w:r>
      <w:r w:rsidR="001F270B">
        <w:t xml:space="preserve">n </w:t>
      </w:r>
      <w:r w:rsidR="00383863">
        <w:t>average payback period of nine years</w:t>
      </w:r>
      <w:r w:rsidR="001F270B">
        <w:t xml:space="preserve"> or less</w:t>
      </w:r>
      <w:r w:rsidR="00383863">
        <w:t xml:space="preserve">.  Accordingly, eligible households will receive a greater adder for the ACC Plus to ensure simple payback periods of </w:t>
      </w:r>
      <w:r w:rsidR="00F806AC">
        <w:t xml:space="preserve">a </w:t>
      </w:r>
      <w:r w:rsidR="00383863">
        <w:t>nine years</w:t>
      </w:r>
      <w:r w:rsidR="001F270B">
        <w:t xml:space="preserve"> or less on average and to improve access to the </w:t>
      </w:r>
      <w:r w:rsidR="00CE2C8B">
        <w:t>n</w:t>
      </w:r>
      <w:r w:rsidR="001F270B">
        <w:t xml:space="preserve">et </w:t>
      </w:r>
      <w:r w:rsidR="00CE2C8B">
        <w:t>b</w:t>
      </w:r>
      <w:r w:rsidR="001F270B">
        <w:t>illing tariff</w:t>
      </w:r>
      <w:r w:rsidR="00383863">
        <w:t xml:space="preserve">. </w:t>
      </w:r>
    </w:p>
    <w:p w:rsidR="00BE7153" w:rsidP="005E7044" w:rsidRDefault="00383863" w14:paraId="70F4B247" w14:textId="1D93ACCA">
      <w:pPr>
        <w:pStyle w:val="Standard"/>
      </w:pPr>
      <w:r>
        <w:lastRenderedPageBreak/>
        <w:t xml:space="preserve">For the purposes of the successor tariff, </w:t>
      </w:r>
      <w:r w:rsidR="00F806AC">
        <w:t xml:space="preserve">this decision determines that there are three groups of </w:t>
      </w:r>
      <w:r>
        <w:t>households</w:t>
      </w:r>
      <w:r w:rsidRPr="00BB1A29">
        <w:t xml:space="preserve"> </w:t>
      </w:r>
      <w:r w:rsidR="00F806AC">
        <w:t xml:space="preserve">eligible to receive </w:t>
      </w:r>
      <w:r w:rsidR="001F270B">
        <w:t>the</w:t>
      </w:r>
      <w:r w:rsidR="00F806AC">
        <w:t xml:space="preserve"> greater adder.  </w:t>
      </w:r>
      <w:r w:rsidR="00BE7153">
        <w:t>The first group of households</w:t>
      </w:r>
      <w:r w:rsidR="00F806AC">
        <w:t xml:space="preserve"> are </w:t>
      </w:r>
      <w:r w:rsidRPr="00BB1A29">
        <w:t xml:space="preserve">residential customers </w:t>
      </w:r>
      <w:r>
        <w:t>enrolled in</w:t>
      </w:r>
      <w:r w:rsidRPr="00BB1A29">
        <w:t xml:space="preserve"> CARE or FERA</w:t>
      </w:r>
      <w:r>
        <w:t xml:space="preserve">.  </w:t>
      </w:r>
      <w:r w:rsidR="00DD3B32">
        <w:t>These households have a lower monthly bill and require the higher adder to get to a nine</w:t>
      </w:r>
      <w:r w:rsidR="008E22AB">
        <w:noBreakHyphen/>
      </w:r>
      <w:r w:rsidR="00DD3B32">
        <w:t>year payback period.</w:t>
      </w:r>
      <w:r w:rsidR="00F806AC">
        <w:t xml:space="preserve">  </w:t>
      </w:r>
      <w:r w:rsidR="00BE7153">
        <w:t>The s</w:t>
      </w:r>
      <w:r w:rsidR="00F806AC">
        <w:t xml:space="preserve">econd </w:t>
      </w:r>
      <w:r w:rsidR="00BE7153">
        <w:t xml:space="preserve">group of households </w:t>
      </w:r>
      <w:r w:rsidR="00E25E6C">
        <w:t xml:space="preserve">eligible for the higher adder </w:t>
      </w:r>
      <w:r w:rsidR="00F806AC">
        <w:t>are resident</w:t>
      </w:r>
      <w:r w:rsidR="008E22AB">
        <w:noBreakHyphen/>
      </w:r>
      <w:r w:rsidR="00F806AC">
        <w:t>owners of single</w:t>
      </w:r>
      <w:r w:rsidR="008E22AB">
        <w:noBreakHyphen/>
      </w:r>
      <w:r w:rsidR="00F806AC">
        <w:t xml:space="preserve">family homes living in disadvantaged communities (as defined </w:t>
      </w:r>
      <w:r w:rsidRPr="00733795" w:rsidR="00F806AC">
        <w:t xml:space="preserve">in </w:t>
      </w:r>
      <w:r w:rsidRPr="00A943E5" w:rsidR="00F806AC">
        <w:t>D.18</w:t>
      </w:r>
      <w:r w:rsidR="008E22AB">
        <w:noBreakHyphen/>
      </w:r>
      <w:r w:rsidRPr="00A943E5" w:rsidR="00F806AC">
        <w:t>06</w:t>
      </w:r>
      <w:r w:rsidR="008E22AB">
        <w:noBreakHyphen/>
      </w:r>
      <w:r w:rsidRPr="00A943E5" w:rsidR="00F806AC">
        <w:t>027</w:t>
      </w:r>
      <w:r w:rsidRPr="00733795" w:rsidR="00F806AC">
        <w:t>)</w:t>
      </w:r>
      <w:r w:rsidR="00F806AC">
        <w:t xml:space="preserve">.  </w:t>
      </w:r>
      <w:r w:rsidR="00BE7153">
        <w:t>AB</w:t>
      </w:r>
      <w:r w:rsidR="002F5AA3">
        <w:t> </w:t>
      </w:r>
      <w:r w:rsidR="00BE7153">
        <w:t>327 specifically identified that</w:t>
      </w:r>
      <w:r w:rsidRPr="00B729E3" w:rsidR="00BE7153">
        <w:t xml:space="preserve"> alternatives </w:t>
      </w:r>
      <w:r w:rsidR="00BE7153">
        <w:t xml:space="preserve">be </w:t>
      </w:r>
      <w:r w:rsidRPr="00B729E3" w:rsidR="00BE7153">
        <w:t xml:space="preserve">designed </w:t>
      </w:r>
      <w:r w:rsidR="00BE7153">
        <w:t>to improve</w:t>
      </w:r>
      <w:r w:rsidRPr="00B729E3" w:rsidR="00BE7153">
        <w:t xml:space="preserve"> growth among residential customers in disadvantaged communities</w:t>
      </w:r>
      <w:r w:rsidR="00BE7153">
        <w:t>.</w:t>
      </w:r>
      <w:r w:rsidR="00F806AC">
        <w:t xml:space="preserve">  </w:t>
      </w:r>
      <w:r w:rsidR="00BE7153">
        <w:t>For the same reas</w:t>
      </w:r>
      <w:r w:rsidR="005F3D95">
        <w:t>on</w:t>
      </w:r>
      <w:r w:rsidR="00BE7153">
        <w:t xml:space="preserve">, this decision </w:t>
      </w:r>
      <w:r w:rsidR="00E25E6C">
        <w:t xml:space="preserve">also </w:t>
      </w:r>
      <w:r w:rsidR="00BE7153">
        <w:t>identifies a t</w:t>
      </w:r>
      <w:r w:rsidR="00F806AC">
        <w:t xml:space="preserve">hird </w:t>
      </w:r>
      <w:r w:rsidR="00BE7153">
        <w:t>group of households</w:t>
      </w:r>
      <w:r w:rsidR="00E25E6C">
        <w:t xml:space="preserve"> eligible for the higher adder as </w:t>
      </w:r>
      <w:r w:rsidR="00F806AC">
        <w:t xml:space="preserve">residential customers </w:t>
      </w:r>
      <w:r w:rsidRPr="00BB1A29" w:rsidR="00F806AC">
        <w:t xml:space="preserve">who live </w:t>
      </w:r>
      <w:r w:rsidR="00F806AC">
        <w:t>in</w:t>
      </w:r>
      <w:r w:rsidRPr="00BB1A29" w:rsidR="00F806AC">
        <w:t xml:space="preserve"> California Indian Country</w:t>
      </w:r>
      <w:r w:rsidR="00F806AC">
        <w:t xml:space="preserve"> (as defined in D.20</w:t>
      </w:r>
      <w:r w:rsidR="008E22AB">
        <w:noBreakHyphen/>
      </w:r>
      <w:r w:rsidR="00F806AC">
        <w:t>12</w:t>
      </w:r>
      <w:r w:rsidR="008E22AB">
        <w:noBreakHyphen/>
      </w:r>
      <w:r w:rsidR="00F806AC">
        <w:t>003).</w:t>
      </w:r>
      <w:r w:rsidR="001F270B">
        <w:t xml:space="preserve">  By providing these three groups of households the greater adder, the Commission is promoting the growth of distributed generation in these underrepresented communities.</w:t>
      </w:r>
    </w:p>
    <w:bookmarkEnd w:id="224"/>
    <w:p w:rsidR="00330262" w:rsidP="00330262" w:rsidRDefault="00383863" w14:paraId="171D0C0F" w14:textId="7A57602B">
      <w:pPr>
        <w:pStyle w:val="Standard"/>
      </w:pPr>
      <w:r>
        <w:t>T</w:t>
      </w:r>
      <w:r w:rsidR="003F4502">
        <w:t xml:space="preserve">he CARE and FERA discount will not be applied to the </w:t>
      </w:r>
      <w:r w:rsidR="00F64859">
        <w:t xml:space="preserve">retail </w:t>
      </w:r>
      <w:r w:rsidR="003F4502">
        <w:t xml:space="preserve">export compensation rate, as is </w:t>
      </w:r>
      <w:r w:rsidR="005A1BEA">
        <w:t xml:space="preserve">currently </w:t>
      </w:r>
      <w:r w:rsidR="003F4502">
        <w:t xml:space="preserve">done in </w:t>
      </w:r>
      <w:r w:rsidR="00602BC5">
        <w:t>NEM 2.0</w:t>
      </w:r>
      <w:r w:rsidR="003F4502">
        <w:t>.</w:t>
      </w:r>
      <w:r w:rsidR="004E4E1A">
        <w:t xml:space="preserve">  As noted in the Lookback Study, applying the CARE and FERA discount led to customers receiving lower compensation for exporting electricity back to the grid, which resulted in lower monthly savings and longer payback periods.</w:t>
      </w:r>
      <w:r w:rsidR="004E4E1A">
        <w:rPr>
          <w:rStyle w:val="FootnoteReference"/>
        </w:rPr>
        <w:footnoteReference w:id="470"/>
      </w:r>
    </w:p>
    <w:p w:rsidR="003C0603" w:rsidP="005E7044" w:rsidRDefault="0053388C" w14:paraId="023A06B8" w14:textId="5C69B193">
      <w:pPr>
        <w:pStyle w:val="Standard"/>
      </w:pPr>
      <w:r>
        <w:t>T</w:t>
      </w:r>
      <w:r w:rsidR="000844FE">
        <w:t xml:space="preserve">his decision </w:t>
      </w:r>
      <w:r w:rsidR="00ED6D2B">
        <w:t>recognize</w:t>
      </w:r>
      <w:r w:rsidR="000844FE">
        <w:t>s</w:t>
      </w:r>
      <w:r w:rsidR="00ED6D2B">
        <w:t xml:space="preserve"> the challenges of </w:t>
      </w:r>
      <w:r w:rsidR="00383863">
        <w:t>low</w:t>
      </w:r>
      <w:r w:rsidR="008E22AB">
        <w:noBreakHyphen/>
      </w:r>
      <w:r w:rsidR="00383863">
        <w:t xml:space="preserve">income </w:t>
      </w:r>
      <w:r w:rsidR="00ED6D2B">
        <w:t>customers with respect to time</w:t>
      </w:r>
      <w:r w:rsidR="00827602">
        <w:noBreakHyphen/>
      </w:r>
      <w:r w:rsidR="00ED6D2B">
        <w:t>of</w:t>
      </w:r>
      <w:r w:rsidR="00827602">
        <w:noBreakHyphen/>
      </w:r>
      <w:r w:rsidR="00ED6D2B">
        <w:t>use rates and the additional financial burden of electrification</w:t>
      </w:r>
      <w:r w:rsidR="00DA6D9A">
        <w:t>.</w:t>
      </w:r>
      <w:r w:rsidR="00DE1350">
        <w:t xml:space="preserve">  As GRID </w:t>
      </w:r>
      <w:r w:rsidRPr="008307F3" w:rsidR="00DE1350">
        <w:rPr>
          <w:i/>
          <w:iCs/>
        </w:rPr>
        <w:t>et al</w:t>
      </w:r>
      <w:r w:rsidR="00DE1350">
        <w:t>. pointed out, low-income customers have difficulty shifting load and cannot easily afford smart appliances to help them in this endeavor.</w:t>
      </w:r>
      <w:r w:rsidR="00EE3DB8">
        <w:rPr>
          <w:rStyle w:val="FootnoteReference"/>
        </w:rPr>
        <w:footnoteReference w:id="471"/>
      </w:r>
      <w:r w:rsidR="00DA6D9A">
        <w:t xml:space="preserve">  </w:t>
      </w:r>
      <w:r>
        <w:lastRenderedPageBreak/>
        <w:t>However</w:t>
      </w:r>
      <w:r w:rsidR="00DA6D9A">
        <w:t xml:space="preserve">, </w:t>
      </w:r>
      <w:r>
        <w:t>analysis of the successor tariff indicates greater bill savings with adoption of</w:t>
      </w:r>
      <w:r w:rsidR="006549C5">
        <w:t xml:space="preserve"> the </w:t>
      </w:r>
      <w:r>
        <w:t xml:space="preserve">electrification </w:t>
      </w:r>
      <w:r w:rsidR="006549C5">
        <w:t xml:space="preserve">rates </w:t>
      </w:r>
      <w:r>
        <w:t xml:space="preserve">shown </w:t>
      </w:r>
      <w:r w:rsidR="006549C5">
        <w:t xml:space="preserve">in </w:t>
      </w:r>
      <w:r w:rsidR="007F6676">
        <w:t>Table 7</w:t>
      </w:r>
      <w:r w:rsidR="00EE335A">
        <w:t xml:space="preserve"> </w:t>
      </w:r>
      <w:r>
        <w:t xml:space="preserve">above, </w:t>
      </w:r>
      <w:r w:rsidR="006549C5">
        <w:t xml:space="preserve">and any future rate that may become eligible for customers enrolled in the </w:t>
      </w:r>
      <w:r w:rsidR="005D0F26">
        <w:t>successor tariff</w:t>
      </w:r>
      <w:r w:rsidR="00DA6D9A">
        <w:t>.</w:t>
      </w:r>
      <w:r>
        <w:t xml:space="preserve">  </w:t>
      </w:r>
      <w:r w:rsidR="004B3366">
        <w:t xml:space="preserve">Accordingly, </w:t>
      </w:r>
      <w:r w:rsidR="00BE7153">
        <w:t>low</w:t>
      </w:r>
      <w:r w:rsidR="008E22AB">
        <w:noBreakHyphen/>
      </w:r>
      <w:r w:rsidR="00BE7153">
        <w:t>income</w:t>
      </w:r>
      <w:r w:rsidR="004B3366">
        <w:t xml:space="preserve"> households </w:t>
      </w:r>
      <w:r w:rsidR="00BE7153">
        <w:t xml:space="preserve">as defined in this decision who </w:t>
      </w:r>
      <w:r w:rsidR="004B3366">
        <w:t>enroll</w:t>
      </w:r>
      <w:r w:rsidR="00BE7153">
        <w:t xml:space="preserve"> </w:t>
      </w:r>
      <w:r w:rsidR="004B3366">
        <w:t xml:space="preserve">in the </w:t>
      </w:r>
      <w:r w:rsidR="00CE2C8B">
        <w:t>n</w:t>
      </w:r>
      <w:r w:rsidR="004B3366">
        <w:t xml:space="preserve">et </w:t>
      </w:r>
      <w:r w:rsidR="00CE2C8B">
        <w:t>b</w:t>
      </w:r>
      <w:r w:rsidR="004B3366">
        <w:t xml:space="preserve">illing tariff will be required to take service on applicable electrification rates.  </w:t>
      </w:r>
      <w:r w:rsidRPr="00002E75">
        <w:t xml:space="preserve">As shown in </w:t>
      </w:r>
      <w:r w:rsidRPr="00910053">
        <w:t>Table</w:t>
      </w:r>
      <w:r w:rsidRPr="00002E75" w:rsidR="0011423F">
        <w:t> </w:t>
      </w:r>
      <w:r w:rsidRPr="00910053" w:rsidR="00850B05">
        <w:t>11</w:t>
      </w:r>
      <w:r w:rsidRPr="00002E75">
        <w:t xml:space="preserve"> below</w:t>
      </w:r>
      <w:r>
        <w:t xml:space="preserve">, </w:t>
      </w:r>
      <w:r w:rsidR="003C0603">
        <w:t xml:space="preserve">with the increased ACC Plus adders, </w:t>
      </w:r>
      <w:r>
        <w:t>CARE</w:t>
      </w:r>
      <w:r w:rsidR="00827602">
        <w:noBreakHyphen/>
      </w:r>
      <w:r w:rsidR="00BC36C7">
        <w:t xml:space="preserve"> and </w:t>
      </w:r>
      <w:r>
        <w:t>FERA</w:t>
      </w:r>
      <w:r w:rsidR="00827602">
        <w:noBreakHyphen/>
      </w:r>
      <w:r>
        <w:t xml:space="preserve">enrolled customers can expect to achieve payback periods </w:t>
      </w:r>
      <w:r w:rsidR="003C0603">
        <w:t>ranging from 6.98 years for SDG&amp;E customers installing solar paired with storage systems to nine years for PG&amp;E and SCE customers installing stand</w:t>
      </w:r>
      <w:r w:rsidR="00827602">
        <w:noBreakHyphen/>
      </w:r>
      <w:r w:rsidR="003C0603">
        <w:t>alone solar systems.</w:t>
      </w:r>
    </w:p>
    <w:p w:rsidR="00256DB9" w:rsidP="00CA30A8" w:rsidRDefault="00256DB9" w14:paraId="65FBB275" w14:textId="678B6C83">
      <w:pPr>
        <w:pStyle w:val="TableTitleBodyH085"/>
        <w:ind w:left="1728" w:right="1440" w:firstLine="0"/>
      </w:pPr>
      <w:bookmarkStart w:name="Table11" w:id="226"/>
      <w:bookmarkEnd w:id="225"/>
      <w:r w:rsidRPr="00256DB9">
        <w:rPr>
          <w:b/>
          <w:bCs w:val="0"/>
        </w:rPr>
        <w:t>Table</w:t>
      </w:r>
      <w:r w:rsidR="00A66CA6">
        <w:rPr>
          <w:b/>
          <w:bCs w:val="0"/>
        </w:rPr>
        <w:t> </w:t>
      </w:r>
      <w:r w:rsidR="00850B05">
        <w:rPr>
          <w:b/>
          <w:bCs w:val="0"/>
        </w:rPr>
        <w:t>11</w:t>
      </w:r>
      <w:r w:rsidRPr="00256DB9">
        <w:rPr>
          <w:b/>
          <w:bCs w:val="0"/>
        </w:rPr>
        <w:t>.</w:t>
      </w:r>
      <w:r>
        <w:tab/>
      </w:r>
      <w:r w:rsidRPr="00910053" w:rsidR="00850B05">
        <w:t xml:space="preserve">ACC Plus Adders </w:t>
      </w:r>
      <w:r w:rsidR="00850B05">
        <w:t xml:space="preserve">and Payback Periods </w:t>
      </w:r>
      <w:r w:rsidRPr="00910053" w:rsidR="00850B05">
        <w:t xml:space="preserve">for </w:t>
      </w:r>
      <w:r w:rsidR="001F270B">
        <w:t>Low</w:t>
      </w:r>
      <w:r w:rsidR="008E22AB">
        <w:noBreakHyphen/>
      </w:r>
      <w:r w:rsidR="001F270B">
        <w:t>Income</w:t>
      </w:r>
      <w:r w:rsidRPr="00910053" w:rsidR="00850B05">
        <w:t xml:space="preserve"> </w:t>
      </w:r>
      <w:r w:rsidR="005A7617">
        <w:t>Households</w:t>
      </w:r>
      <w:bookmarkEnd w:id="226"/>
    </w:p>
    <w:tbl>
      <w:tblPr>
        <w:tblW w:w="9360" w:type="dxa"/>
        <w:jc w:val="center"/>
        <w:tblLayout w:type="fixed"/>
        <w:tblCellMar>
          <w:top w:w="58" w:type="dxa"/>
          <w:bottom w:w="58" w:type="dxa"/>
        </w:tblCellMar>
        <w:tblLook w:val="04A0" w:firstRow="1" w:lastRow="0" w:firstColumn="1" w:lastColumn="0" w:noHBand="0" w:noVBand="1"/>
      </w:tblPr>
      <w:tblGrid>
        <w:gridCol w:w="5665"/>
        <w:gridCol w:w="1170"/>
        <w:gridCol w:w="1170"/>
        <w:gridCol w:w="1355"/>
      </w:tblGrid>
      <w:tr w:rsidRPr="00CA73BF" w:rsidR="00002E75" w:rsidTr="00586CE6" w14:paraId="5CD3A89B" w14:textId="77777777">
        <w:trPr>
          <w:tblHeader/>
          <w:jc w:val="center"/>
        </w:trPr>
        <w:tc>
          <w:tcPr>
            <w:tcW w:w="3026" w:type="pct"/>
            <w:tcBorders>
              <w:top w:val="single" w:color="auto" w:sz="4" w:space="0"/>
              <w:left w:val="single" w:color="auto" w:sz="4" w:space="0"/>
              <w:bottom w:val="single" w:color="auto" w:sz="4" w:space="0"/>
              <w:right w:val="nil"/>
            </w:tcBorders>
            <w:shd w:val="clear" w:color="auto" w:fill="auto"/>
            <w:noWrap/>
            <w:vAlign w:val="center"/>
            <w:hideMark/>
          </w:tcPr>
          <w:p w:rsidRPr="00CA73BF" w:rsidR="00850B05" w:rsidP="00CA73BF" w:rsidRDefault="00850B05" w14:paraId="759F555F" w14:textId="7CFEBD24">
            <w:pPr>
              <w:pStyle w:val="Standard"/>
              <w:keepNext/>
              <w:spacing w:line="240" w:lineRule="auto"/>
              <w:ind w:firstLine="0"/>
              <w:jc w:val="center"/>
              <w:rPr>
                <w:b/>
                <w:bCs/>
              </w:rPr>
            </w:pP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A73BF" w:rsidR="00850B05" w:rsidP="00CA73BF" w:rsidRDefault="00850B05" w14:paraId="7C9B1A44" w14:textId="77777777">
            <w:pPr>
              <w:pStyle w:val="Standard"/>
              <w:keepNext/>
              <w:spacing w:line="240" w:lineRule="auto"/>
              <w:ind w:firstLine="0"/>
              <w:jc w:val="center"/>
              <w:rPr>
                <w:b/>
                <w:bCs/>
              </w:rPr>
            </w:pPr>
            <w:r w:rsidRPr="00CA73BF">
              <w:rPr>
                <w:b/>
                <w:bCs/>
              </w:rPr>
              <w:t>PG&amp;E</w:t>
            </w:r>
          </w:p>
        </w:tc>
        <w:tc>
          <w:tcPr>
            <w:tcW w:w="625" w:type="pct"/>
            <w:tcBorders>
              <w:top w:val="single" w:color="auto" w:sz="4" w:space="0"/>
              <w:left w:val="nil"/>
              <w:bottom w:val="single" w:color="auto" w:sz="4" w:space="0"/>
              <w:right w:val="nil"/>
            </w:tcBorders>
            <w:shd w:val="clear" w:color="auto" w:fill="auto"/>
            <w:noWrap/>
            <w:vAlign w:val="center"/>
            <w:hideMark/>
          </w:tcPr>
          <w:p w:rsidRPr="00CA73BF" w:rsidR="00850B05" w:rsidP="00CA73BF" w:rsidRDefault="00850B05" w14:paraId="654B8D2D" w14:textId="77777777">
            <w:pPr>
              <w:pStyle w:val="Standard"/>
              <w:keepNext/>
              <w:spacing w:line="240" w:lineRule="auto"/>
              <w:ind w:firstLine="0"/>
              <w:jc w:val="center"/>
              <w:rPr>
                <w:b/>
                <w:bCs/>
              </w:rPr>
            </w:pPr>
            <w:r w:rsidRPr="00CA73BF">
              <w:rPr>
                <w:b/>
                <w:bCs/>
              </w:rPr>
              <w:t>SCE</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A73BF" w:rsidR="00850B05" w:rsidP="00CA73BF" w:rsidRDefault="00850B05" w14:paraId="1E73D589" w14:textId="77777777">
            <w:pPr>
              <w:pStyle w:val="Standard"/>
              <w:keepNext/>
              <w:spacing w:line="240" w:lineRule="auto"/>
              <w:ind w:firstLine="0"/>
              <w:jc w:val="center"/>
              <w:rPr>
                <w:b/>
                <w:bCs/>
              </w:rPr>
            </w:pPr>
            <w:r w:rsidRPr="00CA73BF">
              <w:rPr>
                <w:b/>
                <w:bCs/>
              </w:rPr>
              <w:t>SDG&amp;E</w:t>
            </w:r>
          </w:p>
        </w:tc>
      </w:tr>
      <w:tr w:rsidRPr="001B6C96" w:rsidR="00002E75" w:rsidTr="00586CE6" w14:paraId="5C1DE3E2" w14:textId="77777777">
        <w:trPr>
          <w:jc w:val="center"/>
        </w:trPr>
        <w:tc>
          <w:tcPr>
            <w:tcW w:w="3026" w:type="pct"/>
            <w:tcBorders>
              <w:top w:val="single" w:color="auto" w:sz="4" w:space="0"/>
              <w:left w:val="single" w:color="auto" w:sz="4" w:space="0"/>
              <w:bottom w:val="single" w:color="auto" w:sz="4" w:space="0"/>
              <w:right w:val="nil"/>
            </w:tcBorders>
            <w:shd w:val="clear" w:color="auto" w:fill="auto"/>
            <w:noWrap/>
            <w:vAlign w:val="center"/>
            <w:hideMark/>
          </w:tcPr>
          <w:p w:rsidRPr="002210EF" w:rsidR="00850B05" w:rsidP="00873676" w:rsidRDefault="00002E75" w14:paraId="547D3249" w14:textId="6177AE88">
            <w:pPr>
              <w:pStyle w:val="Standard"/>
              <w:keepNext/>
              <w:spacing w:line="240" w:lineRule="auto"/>
              <w:ind w:firstLine="0"/>
              <w:rPr>
                <w:bCs/>
              </w:rPr>
            </w:pPr>
            <w:r w:rsidRPr="002210EF">
              <w:t>ACC Plus Adder ($/kWh)</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10EF" w:rsidR="00850B05" w:rsidP="00CA73BF" w:rsidRDefault="00850B05" w14:paraId="61FF0704" w14:textId="5D1F0470">
            <w:pPr>
              <w:pStyle w:val="Standard"/>
              <w:keepNext/>
              <w:spacing w:line="240" w:lineRule="auto"/>
              <w:ind w:firstLine="0"/>
              <w:jc w:val="center"/>
              <w:rPr>
                <w:bCs/>
              </w:rPr>
            </w:pPr>
            <w:r w:rsidRPr="002210EF">
              <w:t>0.</w:t>
            </w:r>
            <w:r w:rsidRPr="002210EF" w:rsidR="00002E75">
              <w:t>087</w:t>
            </w:r>
          </w:p>
        </w:tc>
        <w:tc>
          <w:tcPr>
            <w:tcW w:w="625" w:type="pct"/>
            <w:tcBorders>
              <w:top w:val="single" w:color="auto" w:sz="4" w:space="0"/>
              <w:left w:val="nil"/>
              <w:bottom w:val="single" w:color="auto" w:sz="4" w:space="0"/>
              <w:right w:val="nil"/>
            </w:tcBorders>
            <w:shd w:val="clear" w:color="auto" w:fill="auto"/>
            <w:noWrap/>
            <w:vAlign w:val="bottom"/>
            <w:hideMark/>
          </w:tcPr>
          <w:p w:rsidRPr="002210EF" w:rsidR="00850B05" w:rsidP="00CA73BF" w:rsidRDefault="00002E75" w14:paraId="0FBCFEE5" w14:textId="70498489">
            <w:pPr>
              <w:pStyle w:val="Standard"/>
              <w:keepNext/>
              <w:spacing w:line="240" w:lineRule="auto"/>
              <w:ind w:firstLine="0"/>
              <w:jc w:val="center"/>
              <w:rPr>
                <w:bCs/>
              </w:rPr>
            </w:pPr>
            <w:r w:rsidRPr="002210EF">
              <w:t>0.093</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10EF" w:rsidR="00850B05" w:rsidP="00CA73BF" w:rsidRDefault="00827602" w14:paraId="608B53E2" w14:textId="6A96375B">
            <w:pPr>
              <w:pStyle w:val="Standard"/>
              <w:keepNext/>
              <w:spacing w:line="240" w:lineRule="auto"/>
              <w:ind w:firstLine="0"/>
              <w:jc w:val="center"/>
              <w:rPr>
                <w:bCs/>
              </w:rPr>
            </w:pPr>
            <w:r>
              <w:noBreakHyphen/>
            </w:r>
          </w:p>
        </w:tc>
      </w:tr>
      <w:tr w:rsidRPr="001B6C96" w:rsidR="00586CE6" w:rsidTr="00586CE6" w14:paraId="7FB88A47" w14:textId="77777777">
        <w:trPr>
          <w:jc w:val="center"/>
        </w:trPr>
        <w:tc>
          <w:tcPr>
            <w:tcW w:w="3026" w:type="pct"/>
            <w:tcBorders>
              <w:top w:val="single" w:color="auto" w:sz="4" w:space="0"/>
              <w:left w:val="single" w:color="auto" w:sz="4" w:space="0"/>
              <w:bottom w:val="single" w:color="auto" w:sz="4" w:space="0"/>
              <w:right w:val="nil"/>
            </w:tcBorders>
            <w:shd w:val="clear" w:color="auto" w:fill="auto"/>
            <w:noWrap/>
            <w:vAlign w:val="center"/>
          </w:tcPr>
          <w:p w:rsidRPr="002210EF" w:rsidR="00586CE6" w:rsidP="003072DF" w:rsidRDefault="00586CE6" w14:paraId="3758FADF" w14:textId="1588DB9B">
            <w:pPr>
              <w:pStyle w:val="Standard"/>
              <w:keepNext/>
              <w:spacing w:line="240" w:lineRule="auto"/>
              <w:ind w:firstLine="0"/>
            </w:pPr>
            <w:r w:rsidRPr="002210EF">
              <w:t>Simple Payback Period (years)</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10EF" w:rsidR="00586CE6" w:rsidP="003072DF" w:rsidRDefault="00586CE6" w14:paraId="6B9D1593" w14:textId="39EF20E4">
            <w:pPr>
              <w:pStyle w:val="Standard"/>
              <w:keepNext/>
              <w:spacing w:line="240" w:lineRule="auto"/>
              <w:ind w:firstLine="0"/>
              <w:jc w:val="center"/>
            </w:pPr>
          </w:p>
        </w:tc>
        <w:tc>
          <w:tcPr>
            <w:tcW w:w="625" w:type="pct"/>
            <w:tcBorders>
              <w:top w:val="single" w:color="auto" w:sz="4" w:space="0"/>
              <w:left w:val="nil"/>
              <w:bottom w:val="single" w:color="auto" w:sz="4" w:space="0"/>
              <w:right w:val="nil"/>
            </w:tcBorders>
            <w:shd w:val="clear" w:color="auto" w:fill="auto"/>
            <w:noWrap/>
            <w:vAlign w:val="bottom"/>
          </w:tcPr>
          <w:p w:rsidRPr="002210EF" w:rsidR="00586CE6" w:rsidP="003072DF" w:rsidRDefault="00586CE6" w14:paraId="04519D12" w14:textId="5B9AFA61">
            <w:pPr>
              <w:pStyle w:val="Standard"/>
              <w:keepNext/>
              <w:spacing w:line="240" w:lineRule="auto"/>
              <w:ind w:firstLine="0"/>
              <w:jc w:val="center"/>
            </w:pP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10EF" w:rsidR="00586CE6" w:rsidP="003072DF" w:rsidRDefault="00586CE6" w14:paraId="4A0367F9" w14:textId="68B59A4A">
            <w:pPr>
              <w:pStyle w:val="Standard"/>
              <w:keepNext/>
              <w:spacing w:line="240" w:lineRule="auto"/>
              <w:ind w:firstLine="0"/>
              <w:jc w:val="center"/>
            </w:pPr>
          </w:p>
        </w:tc>
      </w:tr>
      <w:tr w:rsidRPr="001B6C96" w:rsidR="00002E75" w:rsidTr="00586CE6" w14:paraId="0041794D" w14:textId="77777777">
        <w:trPr>
          <w:jc w:val="center"/>
        </w:trPr>
        <w:tc>
          <w:tcPr>
            <w:tcW w:w="3026" w:type="pct"/>
            <w:tcBorders>
              <w:top w:val="single" w:color="auto" w:sz="4" w:space="0"/>
              <w:left w:val="single" w:color="auto" w:sz="4" w:space="0"/>
              <w:bottom w:val="single" w:color="auto" w:sz="4" w:space="0"/>
              <w:right w:val="nil"/>
            </w:tcBorders>
            <w:shd w:val="clear" w:color="auto" w:fill="auto"/>
            <w:noWrap/>
            <w:vAlign w:val="center"/>
            <w:hideMark/>
          </w:tcPr>
          <w:p w:rsidRPr="002210EF" w:rsidR="00850B05" w:rsidP="003072DF" w:rsidRDefault="00586CE6" w14:paraId="5F3E8BB1" w14:textId="04AB02BC">
            <w:pPr>
              <w:pStyle w:val="Standard"/>
              <w:keepNext/>
              <w:spacing w:line="240" w:lineRule="auto"/>
              <w:ind w:firstLine="0"/>
              <w:jc w:val="right"/>
              <w:rPr>
                <w:bCs/>
              </w:rPr>
            </w:pPr>
            <w:r>
              <w:t>Stand</w:t>
            </w:r>
            <w:r w:rsidR="00827602">
              <w:noBreakHyphen/>
            </w:r>
            <w:r>
              <w:t>alone Solar Systems</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10EF" w:rsidR="00850B05" w:rsidP="003072DF" w:rsidRDefault="00586CE6" w14:paraId="7D81E5CE" w14:textId="67414746">
            <w:pPr>
              <w:pStyle w:val="Standard"/>
              <w:keepNext/>
              <w:spacing w:line="240" w:lineRule="auto"/>
              <w:ind w:firstLine="0"/>
              <w:jc w:val="center"/>
              <w:rPr>
                <w:bCs/>
              </w:rPr>
            </w:pPr>
            <w:r>
              <w:t>9.00</w:t>
            </w:r>
          </w:p>
        </w:tc>
        <w:tc>
          <w:tcPr>
            <w:tcW w:w="625" w:type="pct"/>
            <w:tcBorders>
              <w:top w:val="single" w:color="auto" w:sz="4" w:space="0"/>
              <w:left w:val="nil"/>
              <w:bottom w:val="single" w:color="auto" w:sz="4" w:space="0"/>
              <w:right w:val="nil"/>
            </w:tcBorders>
            <w:shd w:val="clear" w:color="auto" w:fill="auto"/>
            <w:noWrap/>
            <w:vAlign w:val="bottom"/>
            <w:hideMark/>
          </w:tcPr>
          <w:p w:rsidRPr="002210EF" w:rsidR="00850B05" w:rsidP="003072DF" w:rsidRDefault="00586CE6" w14:paraId="7B5A0E3D" w14:textId="4E583DEB">
            <w:pPr>
              <w:pStyle w:val="Standard"/>
              <w:keepNext/>
              <w:spacing w:line="240" w:lineRule="auto"/>
              <w:ind w:firstLine="0"/>
              <w:jc w:val="center"/>
              <w:rPr>
                <w:bCs/>
              </w:rPr>
            </w:pPr>
            <w:r>
              <w:t>9.00</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210EF" w:rsidR="00850B05" w:rsidP="003072DF" w:rsidRDefault="00586CE6" w14:paraId="48E1247C" w14:textId="2A4C3305">
            <w:pPr>
              <w:pStyle w:val="Standard"/>
              <w:keepNext/>
              <w:spacing w:line="240" w:lineRule="auto"/>
              <w:ind w:firstLine="0"/>
              <w:jc w:val="center"/>
              <w:rPr>
                <w:bCs/>
              </w:rPr>
            </w:pPr>
            <w:r>
              <w:t>8.43</w:t>
            </w:r>
          </w:p>
        </w:tc>
      </w:tr>
      <w:tr w:rsidRPr="001B6C96" w:rsidR="00586CE6" w:rsidTr="00586CE6" w14:paraId="06252303" w14:textId="77777777">
        <w:trPr>
          <w:jc w:val="center"/>
        </w:trPr>
        <w:tc>
          <w:tcPr>
            <w:tcW w:w="3026" w:type="pct"/>
            <w:tcBorders>
              <w:top w:val="single" w:color="auto" w:sz="4" w:space="0"/>
              <w:left w:val="single" w:color="auto" w:sz="4" w:space="0"/>
              <w:bottom w:val="single" w:color="auto" w:sz="4" w:space="0"/>
              <w:right w:val="nil"/>
            </w:tcBorders>
            <w:shd w:val="clear" w:color="auto" w:fill="auto"/>
            <w:noWrap/>
            <w:vAlign w:val="center"/>
          </w:tcPr>
          <w:p w:rsidRPr="002210EF" w:rsidR="00586CE6" w:rsidP="00586CE6" w:rsidRDefault="00586CE6" w14:paraId="37332FE4" w14:textId="113A2002">
            <w:pPr>
              <w:pStyle w:val="Standard"/>
              <w:spacing w:line="240" w:lineRule="auto"/>
              <w:ind w:firstLine="0"/>
              <w:jc w:val="right"/>
            </w:pPr>
            <w:r>
              <w:t>Solar Paired with Storage Systems</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10EF" w:rsidR="00586CE6" w:rsidP="00CA73BF" w:rsidRDefault="00586CE6" w14:paraId="41C10948" w14:textId="7CFD9471">
            <w:pPr>
              <w:pStyle w:val="Standard"/>
              <w:spacing w:line="240" w:lineRule="auto"/>
              <w:ind w:firstLine="0"/>
              <w:jc w:val="center"/>
            </w:pPr>
            <w:r w:rsidRPr="002210EF">
              <w:t>8.69</w:t>
            </w:r>
          </w:p>
        </w:tc>
        <w:tc>
          <w:tcPr>
            <w:tcW w:w="625" w:type="pct"/>
            <w:tcBorders>
              <w:top w:val="single" w:color="auto" w:sz="4" w:space="0"/>
              <w:left w:val="nil"/>
              <w:bottom w:val="single" w:color="auto" w:sz="4" w:space="0"/>
              <w:right w:val="nil"/>
            </w:tcBorders>
            <w:shd w:val="clear" w:color="auto" w:fill="auto"/>
            <w:noWrap/>
            <w:vAlign w:val="bottom"/>
          </w:tcPr>
          <w:p w:rsidRPr="002210EF" w:rsidR="00586CE6" w:rsidP="00CA73BF" w:rsidRDefault="00586CE6" w14:paraId="258DE5A0" w14:textId="099EC8F3">
            <w:pPr>
              <w:pStyle w:val="Standard"/>
              <w:spacing w:line="240" w:lineRule="auto"/>
              <w:ind w:firstLine="0"/>
              <w:jc w:val="center"/>
            </w:pPr>
            <w:r w:rsidRPr="002210EF">
              <w:t>8.88</w:t>
            </w:r>
          </w:p>
        </w:tc>
        <w:tc>
          <w:tcPr>
            <w:tcW w:w="724"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2210EF" w:rsidR="00586CE6" w:rsidP="00CA73BF" w:rsidRDefault="00586CE6" w14:paraId="4FAEF621" w14:textId="2AC42150">
            <w:pPr>
              <w:pStyle w:val="Standard"/>
              <w:spacing w:line="240" w:lineRule="auto"/>
              <w:ind w:firstLine="0"/>
              <w:jc w:val="center"/>
            </w:pPr>
            <w:r w:rsidRPr="002210EF">
              <w:t>6.98</w:t>
            </w:r>
          </w:p>
        </w:tc>
      </w:tr>
    </w:tbl>
    <w:p w:rsidR="00514ADF" w:rsidP="00910053" w:rsidRDefault="00DA6D9A" w14:paraId="42788719" w14:textId="77777777">
      <w:pPr>
        <w:pStyle w:val="Standard"/>
        <w:spacing w:before="120"/>
      </w:pPr>
      <w:r>
        <w:t>The</w:t>
      </w:r>
      <w:r w:rsidR="00560AA4">
        <w:t>se</w:t>
      </w:r>
      <w:r w:rsidR="009759AB">
        <w:t xml:space="preserve"> </w:t>
      </w:r>
      <w:r>
        <w:t xml:space="preserve">elements of the successor tariff will be available to qualified customers for </w:t>
      </w:r>
      <w:r w:rsidR="003C0603">
        <w:t xml:space="preserve">nine </w:t>
      </w:r>
      <w:r>
        <w:t>years from the date of interconnection.</w:t>
      </w:r>
      <w:r w:rsidR="009759AB">
        <w:t xml:space="preserve">  </w:t>
      </w:r>
      <w:r>
        <w:t xml:space="preserve">As </w:t>
      </w:r>
      <w:r w:rsidR="00720FDB">
        <w:t xml:space="preserve">discussed </w:t>
      </w:r>
      <w:r w:rsidR="002513D9">
        <w:t xml:space="preserve">in </w:t>
      </w:r>
      <w:r w:rsidR="0034029C">
        <w:t>Section 8</w:t>
      </w:r>
      <w:r w:rsidR="002513D9">
        <w:t>.</w:t>
      </w:r>
      <w:r w:rsidR="00720FDB">
        <w:t>8</w:t>
      </w:r>
      <w:r w:rsidR="002513D9">
        <w:t xml:space="preserve"> </w:t>
      </w:r>
      <w:r w:rsidR="00720FDB">
        <w:t>below</w:t>
      </w:r>
      <w:r w:rsidR="002513D9">
        <w:t xml:space="preserve">, the Commission will conduct an evaluation of the </w:t>
      </w:r>
      <w:r w:rsidR="00FD7D2E">
        <w:t xml:space="preserve">successor tariff, including </w:t>
      </w:r>
      <w:r w:rsidR="00046D36">
        <w:t>certain elements adopt</w:t>
      </w:r>
      <w:r w:rsidR="000844FE">
        <w:t>ed</w:t>
      </w:r>
      <w:r w:rsidR="00046D36">
        <w:t xml:space="preserve"> here.  Hence, these elements are only guaranteed to prospective tariff customers until </w:t>
      </w:r>
      <w:r w:rsidR="00217566">
        <w:t>Commission action on</w:t>
      </w:r>
      <w:r w:rsidR="00046D36">
        <w:t xml:space="preserve"> the evaluation.  Following the evaluation, the elements could remain the same, </w:t>
      </w:r>
      <w:r w:rsidR="006A4E9F">
        <w:t xml:space="preserve">be </w:t>
      </w:r>
      <w:r w:rsidR="00046D36">
        <w:t xml:space="preserve">expanded, or </w:t>
      </w:r>
      <w:r w:rsidR="006A4E9F">
        <w:t xml:space="preserve">be </w:t>
      </w:r>
      <w:r w:rsidR="006549C5">
        <w:t>reduced</w:t>
      </w:r>
      <w:r w:rsidR="00046D36">
        <w:t>.</w:t>
      </w:r>
    </w:p>
    <w:p w:rsidR="00DA6D9A" w:rsidP="00910053" w:rsidRDefault="00BC36C7" w14:paraId="2983E72D" w14:textId="4EFF88C5">
      <w:pPr>
        <w:pStyle w:val="Standard"/>
        <w:spacing w:before="120"/>
      </w:pPr>
      <w:r>
        <w:t>To document any cross</w:t>
      </w:r>
      <w:r w:rsidR="00827602">
        <w:noBreakHyphen/>
      </w:r>
      <w:r>
        <w:t xml:space="preserve">program enrollment impacts between the CARE and FERA programs and enrollment on the </w:t>
      </w:r>
      <w:r w:rsidR="00CE2C8B">
        <w:t>n</w:t>
      </w:r>
      <w:r>
        <w:t xml:space="preserve">et </w:t>
      </w:r>
      <w:r w:rsidR="00CE2C8B">
        <w:t>b</w:t>
      </w:r>
      <w:r>
        <w:t xml:space="preserve">illing tariff, Joint Utilities </w:t>
      </w:r>
      <w:r w:rsidRPr="0050116A">
        <w:t xml:space="preserve">must </w:t>
      </w:r>
      <w:r w:rsidRPr="0050116A">
        <w:lastRenderedPageBreak/>
        <w:t xml:space="preserve">report on </w:t>
      </w:r>
      <w:r>
        <w:t>the number of new CARE</w:t>
      </w:r>
      <w:r w:rsidR="00827602">
        <w:noBreakHyphen/>
      </w:r>
      <w:r>
        <w:t xml:space="preserve"> and FERA</w:t>
      </w:r>
      <w:r w:rsidR="00827602">
        <w:noBreakHyphen/>
      </w:r>
      <w:r>
        <w:t xml:space="preserve">associated </w:t>
      </w:r>
      <w:r w:rsidR="00CE2C8B">
        <w:t>n</w:t>
      </w:r>
      <w:r>
        <w:t xml:space="preserve">et </w:t>
      </w:r>
      <w:r w:rsidR="00CE2C8B">
        <w:t>b</w:t>
      </w:r>
      <w:r>
        <w:t>illing tariff enrollments and the tenancy of those interconnected customers in the CARE and FERA programs. This documentation shall occur</w:t>
      </w:r>
      <w:r w:rsidRPr="0050116A">
        <w:t xml:space="preserve"> in </w:t>
      </w:r>
      <w:r>
        <w:t>the Joint Utilities’</w:t>
      </w:r>
      <w:r w:rsidRPr="0050116A">
        <w:t xml:space="preserve"> annual interconnection cost advice letter</w:t>
      </w:r>
      <w:r>
        <w:t>s</w:t>
      </w:r>
      <w:r w:rsidRPr="0050116A">
        <w:t>, which</w:t>
      </w:r>
      <w:r>
        <w:t xml:space="preserve"> are</w:t>
      </w:r>
      <w:r w:rsidRPr="0050116A">
        <w:t xml:space="preserve"> currently filed in accordance with the directions in D.14</w:t>
      </w:r>
      <w:r w:rsidR="00827602">
        <w:noBreakHyphen/>
      </w:r>
      <w:r w:rsidRPr="0050116A">
        <w:t>05</w:t>
      </w:r>
      <w:r w:rsidR="00827602">
        <w:noBreakHyphen/>
      </w:r>
      <w:r w:rsidRPr="0050116A">
        <w:t>033 and Resolution</w:t>
      </w:r>
      <w:r w:rsidR="002F1116">
        <w:t> </w:t>
      </w:r>
      <w:r w:rsidRPr="0050116A">
        <w:t>E</w:t>
      </w:r>
      <w:r w:rsidR="00827602">
        <w:noBreakHyphen/>
      </w:r>
      <w:r w:rsidRPr="0050116A">
        <w:t>4610.</w:t>
      </w:r>
      <w:r>
        <w:t xml:space="preserve"> This advice letter will now be known as the </w:t>
      </w:r>
      <w:r w:rsidR="00BA1EAE">
        <w:t>“</w:t>
      </w:r>
      <w:r>
        <w:t>Net Energy Metering and Net Billing Tariff Annual Reporting Advice Letter.</w:t>
      </w:r>
      <w:r w:rsidR="00BA1EAE">
        <w:t>”</w:t>
      </w:r>
      <w:r w:rsidR="00514ADF">
        <w:t xml:space="preserve">  </w:t>
      </w:r>
      <w:bookmarkStart w:name="_Hlk121776477" w:id="227"/>
      <w:r w:rsidR="00514ADF">
        <w:t>The Commission anticipates Commission staff will monitor this data for deviation from historical enrollment trends, which could indicate improper practices.</w:t>
      </w:r>
      <w:r w:rsidR="002A48A7">
        <w:t xml:space="preserve">  The Commission will consider enhanced consumer protections in 2023 to guard against</w:t>
      </w:r>
      <w:bookmarkEnd w:id="227"/>
      <w:r w:rsidR="002A48A7">
        <w:t xml:space="preserve"> such improper practices.</w:t>
      </w:r>
    </w:p>
    <w:p w:rsidR="005A12E7" w:rsidP="005E7044" w:rsidRDefault="00DB221A" w14:paraId="73A67F2A" w14:textId="3EE0AAE2">
      <w:pPr>
        <w:pStyle w:val="Standard"/>
      </w:pPr>
      <w:r>
        <w:t>S</w:t>
      </w:r>
      <w:r w:rsidR="007150C9">
        <w:t xml:space="preserve">everal parties recommend the creation of </w:t>
      </w:r>
      <w:r w:rsidR="00F850E8">
        <w:t>low</w:t>
      </w:r>
      <w:r w:rsidR="00827602">
        <w:noBreakHyphen/>
      </w:r>
      <w:r w:rsidR="00F850E8">
        <w:t xml:space="preserve">income or equity </w:t>
      </w:r>
      <w:r w:rsidR="007150C9">
        <w:t>funding mechanisms.  Joint Utilities recommend a fund solely focused on providing battery</w:t>
      </w:r>
      <w:r w:rsidR="00CC75B8">
        <w:t xml:space="preserve"> storage to CARE and FERA customers</w:t>
      </w:r>
      <w:r w:rsidR="007150C9">
        <w:t xml:space="preserve">.  </w:t>
      </w:r>
      <w:r w:rsidR="00D517C8">
        <w:t xml:space="preserve">NRDC and </w:t>
      </w:r>
      <w:r w:rsidR="009355F1">
        <w:t>Cal Advoc</w:t>
      </w:r>
      <w:r w:rsidR="00D517C8">
        <w:t>ates recommend the creation of a</w:t>
      </w:r>
      <w:r w:rsidR="0004307E">
        <w:t xml:space="preserve"> two</w:t>
      </w:r>
      <w:r w:rsidR="00827602">
        <w:noBreakHyphen/>
      </w:r>
      <w:r w:rsidR="0004307E">
        <w:t xml:space="preserve">part </w:t>
      </w:r>
      <w:r w:rsidR="00BA2475">
        <w:t>e</w:t>
      </w:r>
      <w:r w:rsidR="00D517C8">
        <w:t>quity fund,</w:t>
      </w:r>
      <w:r w:rsidR="00BD0E25">
        <w:t xml:space="preserve"> as described above.  </w:t>
      </w:r>
      <w:r w:rsidR="000844FE">
        <w:t>I</w:t>
      </w:r>
      <w:r w:rsidR="00D517C8">
        <w:t xml:space="preserve">n addition to the </w:t>
      </w:r>
      <w:r w:rsidR="001A150B">
        <w:t>ACC Plus</w:t>
      </w:r>
      <w:r w:rsidR="00BD0E25">
        <w:t>, an equity fund</w:t>
      </w:r>
      <w:r w:rsidR="005A12E7">
        <w:t xml:space="preserve"> focused on promoting storage for low</w:t>
      </w:r>
      <w:r w:rsidR="00827602">
        <w:noBreakHyphen/>
      </w:r>
      <w:r w:rsidR="005A12E7">
        <w:t>income customers</w:t>
      </w:r>
      <w:r w:rsidR="00BD0E25">
        <w:t xml:space="preserve"> </w:t>
      </w:r>
      <w:r w:rsidR="00F850E8">
        <w:t>could</w:t>
      </w:r>
      <w:r w:rsidR="00D517C8">
        <w:t xml:space="preserve"> assist the Commission in meeting the requirement of Public Utilities Code </w:t>
      </w:r>
      <w:r w:rsidR="0034029C">
        <w:t>Section 2</w:t>
      </w:r>
      <w:r w:rsidR="00D517C8">
        <w:t xml:space="preserve">827.1(b)(1) to ensure the tariff </w:t>
      </w:r>
      <w:r w:rsidR="007150C9">
        <w:t>includes specific alternatives designed for growth among residential customers</w:t>
      </w:r>
      <w:r w:rsidR="00340F35">
        <w:t xml:space="preserve"> in disadvantaged communities</w:t>
      </w:r>
      <w:r w:rsidR="00EE3DB8">
        <w:t>.</w:t>
      </w:r>
    </w:p>
    <w:p w:rsidR="00B5044D" w:rsidP="005E7044" w:rsidRDefault="00B5044D" w14:paraId="0453B233" w14:textId="186C9D5D">
      <w:pPr>
        <w:pStyle w:val="Standard"/>
      </w:pPr>
      <w:r>
        <w:t xml:space="preserve">Parties offer multiple options on collecting for the </w:t>
      </w:r>
      <w:r w:rsidR="00BC36C7">
        <w:t>e</w:t>
      </w:r>
      <w:r>
        <w:t xml:space="preserve">quity </w:t>
      </w:r>
      <w:r w:rsidR="00BC36C7">
        <w:t>f</w:t>
      </w:r>
      <w:r>
        <w:t xml:space="preserve">und.  </w:t>
      </w:r>
      <w:r w:rsidR="009355F1">
        <w:t>Cal Advoc</w:t>
      </w:r>
      <w:r>
        <w:t>ates recommend</w:t>
      </w:r>
      <w:r w:rsidR="00970263">
        <w:t>s</w:t>
      </w:r>
      <w:r>
        <w:t xml:space="preserve"> a charge of approximately $3.81/kilowatt</w:t>
      </w:r>
      <w:r w:rsidR="00827602">
        <w:noBreakHyphen/>
      </w:r>
      <w:r>
        <w:t xml:space="preserve">hour per month to </w:t>
      </w:r>
      <w:r w:rsidR="00602BC5">
        <w:t>NEM 1.0</w:t>
      </w:r>
      <w:r>
        <w:t xml:space="preserve"> and </w:t>
      </w:r>
      <w:r w:rsidR="00602BC5">
        <w:t>NEM 2.0</w:t>
      </w:r>
      <w:r w:rsidR="00135D55">
        <w:t xml:space="preserve"> </w:t>
      </w:r>
      <w:r>
        <w:t>non</w:t>
      </w:r>
      <w:r w:rsidR="00827602">
        <w:noBreakHyphen/>
      </w:r>
      <w:r>
        <w:t>CARE customers.</w:t>
      </w:r>
      <w:r>
        <w:rPr>
          <w:rStyle w:val="FootnoteReference"/>
        </w:rPr>
        <w:footnoteReference w:id="472"/>
      </w:r>
      <w:r>
        <w:t xml:space="preserve">  </w:t>
      </w:r>
      <w:r w:rsidR="00970263">
        <w:t>F</w:t>
      </w:r>
      <w:r>
        <w:t xml:space="preserve">or customers interconnecting on the successor tariff, this charge would be assessed beginning </w:t>
      </w:r>
      <w:r>
        <w:lastRenderedPageBreak/>
        <w:t>10 years from the date of interconnection.</w:t>
      </w:r>
      <w:r>
        <w:rPr>
          <w:rStyle w:val="FootnoteReference"/>
        </w:rPr>
        <w:footnoteReference w:id="473"/>
      </w:r>
      <w:r>
        <w:t xml:space="preserve">  </w:t>
      </w:r>
      <w:r w:rsidR="009355F1">
        <w:t>Cal Advoc</w:t>
      </w:r>
      <w:r>
        <w:t xml:space="preserve">ates </w:t>
      </w:r>
      <w:r w:rsidR="00D7070E">
        <w:t>assert</w:t>
      </w:r>
      <w:r w:rsidR="00970263">
        <w:t>s</w:t>
      </w:r>
      <w:r>
        <w:t xml:space="preserve"> this would help ensure equity in payback periods between CARE and non</w:t>
      </w:r>
      <w:r w:rsidR="00827602">
        <w:noBreakHyphen/>
      </w:r>
      <w:r>
        <w:t xml:space="preserve">CARE customers.  Joint Utilities contend that there will be a cost shift savings with adoption of its full proposal, such that for the first three years after implementation, the Commission should allocate </w:t>
      </w:r>
      <w:r w:rsidR="00C04724">
        <w:t>10 percent</w:t>
      </w:r>
      <w:r>
        <w:t xml:space="preserve"> of the savings to its low</w:t>
      </w:r>
      <w:r w:rsidR="00827602">
        <w:noBreakHyphen/>
      </w:r>
      <w:r>
        <w:t>income battery proposal.</w:t>
      </w:r>
      <w:r>
        <w:rPr>
          <w:rStyle w:val="FootnoteReference"/>
        </w:rPr>
        <w:footnoteReference w:id="474"/>
      </w:r>
    </w:p>
    <w:p w:rsidRPr="003217C7" w:rsidR="00897890" w:rsidP="005E7044" w:rsidRDefault="00897890" w14:paraId="5DC608B7" w14:textId="6F0F1591">
      <w:pPr>
        <w:pStyle w:val="Standard"/>
      </w:pPr>
      <w:bookmarkStart w:name="_Hlk118287372" w:id="228"/>
      <w:r>
        <w:t>Subsequent to the filing of briefs, on September</w:t>
      </w:r>
      <w:r w:rsidR="002F1116">
        <w:t> </w:t>
      </w:r>
      <w:r>
        <w:t>6,</w:t>
      </w:r>
      <w:r w:rsidR="002F1116">
        <w:t> </w:t>
      </w:r>
      <w:r>
        <w:t xml:space="preserve">2022 California Governor Gavin Newsom signed </w:t>
      </w:r>
      <w:r w:rsidR="00F138A9">
        <w:t>AB </w:t>
      </w:r>
      <w:r>
        <w:t>209, which</w:t>
      </w:r>
      <w:r w:rsidR="009525C0">
        <w:t>, among other statutory modifications and additions, amended the Self</w:t>
      </w:r>
      <w:r w:rsidR="00827602">
        <w:noBreakHyphen/>
      </w:r>
      <w:r w:rsidR="00970263">
        <w:t>G</w:t>
      </w:r>
      <w:r w:rsidR="009525C0">
        <w:t>eneration Incentive Program</w:t>
      </w:r>
      <w:r w:rsidR="00970263">
        <w:t xml:space="preserve"> (</w:t>
      </w:r>
      <w:proofErr w:type="spellStart"/>
      <w:r w:rsidR="00970263">
        <w:t>SGIP</w:t>
      </w:r>
      <w:proofErr w:type="spellEnd"/>
      <w:r w:rsidR="00970263">
        <w:t>)</w:t>
      </w:r>
      <w:r w:rsidR="009525C0">
        <w:t xml:space="preserve"> governing statute to authorize incentives, subject to a future legislative appropriation, for residential customers who install new behind</w:t>
      </w:r>
      <w:r w:rsidR="00827602">
        <w:noBreakHyphen/>
      </w:r>
      <w:r w:rsidR="009525C0">
        <w:t>the</w:t>
      </w:r>
      <w:r w:rsidR="00827602">
        <w:noBreakHyphen/>
      </w:r>
      <w:r w:rsidR="009525C0">
        <w:t>meter solar paired with storage or new storage systems.  Of the funding appropriated by the Legislature for this purpose, 70</w:t>
      </w:r>
      <w:r w:rsidR="002F5949">
        <w:t> </w:t>
      </w:r>
      <w:r w:rsidR="009525C0">
        <w:t>percent</w:t>
      </w:r>
      <w:r>
        <w:t xml:space="preserve"> </w:t>
      </w:r>
      <w:r w:rsidR="009525C0">
        <w:t>would be dedicated to low</w:t>
      </w:r>
      <w:r w:rsidR="00827602">
        <w:noBreakHyphen/>
      </w:r>
      <w:r w:rsidR="009525C0">
        <w:t>income customers and 30</w:t>
      </w:r>
      <w:r w:rsidR="002F5949">
        <w:t> </w:t>
      </w:r>
      <w:r w:rsidR="009525C0">
        <w:t xml:space="preserve">percent would be dedicated to </w:t>
      </w:r>
      <w:r w:rsidR="00D23320">
        <w:t>non</w:t>
      </w:r>
      <w:r w:rsidR="00827602">
        <w:noBreakHyphen/>
      </w:r>
      <w:r w:rsidR="00D23320">
        <w:t>low</w:t>
      </w:r>
      <w:r w:rsidR="00827602">
        <w:noBreakHyphen/>
      </w:r>
      <w:r w:rsidR="00D23320">
        <w:t>income customers</w:t>
      </w:r>
      <w:r>
        <w:t>.</w:t>
      </w:r>
      <w:r w:rsidR="009525C0">
        <w:rPr>
          <w:rStyle w:val="FootnoteReference"/>
        </w:rPr>
        <w:footnoteReference w:id="475"/>
      </w:r>
      <w:r>
        <w:t xml:space="preserve">  </w:t>
      </w:r>
      <w:r w:rsidR="00F138A9">
        <w:t>AB </w:t>
      </w:r>
      <w:r>
        <w:t>209 add</w:t>
      </w:r>
      <w:r w:rsidR="00BC36C7">
        <w:t>ed</w:t>
      </w:r>
      <w:r>
        <w:t xml:space="preserve"> </w:t>
      </w:r>
      <w:r w:rsidR="0034029C">
        <w:t>Section 3</w:t>
      </w:r>
      <w:r w:rsidR="00BC36C7">
        <w:t xml:space="preserve">79.10 </w:t>
      </w:r>
      <w:r>
        <w:t>to the Public Utilities Code</w:t>
      </w:r>
      <w:r w:rsidR="0068202D">
        <w:t xml:space="preserve">, which </w:t>
      </w:r>
      <w:r w:rsidR="00BC36C7">
        <w:t>provides</w:t>
      </w:r>
      <w:r>
        <w:t>:</w:t>
      </w:r>
    </w:p>
    <w:p w:rsidRPr="003217C7" w:rsidR="00897890" w:rsidP="005D1402" w:rsidRDefault="00897890" w14:paraId="114930B8" w14:textId="24FC2400">
      <w:pPr>
        <w:pStyle w:val="BlockQuoteH033"/>
      </w:pPr>
      <w:r w:rsidRPr="003217C7">
        <w:t>(a)</w:t>
      </w:r>
      <w:r w:rsidR="005D1402">
        <w:tab/>
      </w:r>
      <w:r w:rsidRPr="003217C7">
        <w:t>In administering the self</w:t>
      </w:r>
      <w:r w:rsidR="00827602">
        <w:noBreakHyphen/>
      </w:r>
      <w:r w:rsidRPr="003217C7">
        <w:t xml:space="preserve">generation incentive program pursuant to </w:t>
      </w:r>
      <w:r w:rsidR="0034029C">
        <w:t>Section 3</w:t>
      </w:r>
      <w:r w:rsidRPr="003217C7">
        <w:t xml:space="preserve">79.6, the commission shall use funds appropriated by the Legislature for the purpose of providing incentives to eligible residential customers, including those receiving service from a local publicly owned electric utility, as defined pursuant to </w:t>
      </w:r>
      <w:r w:rsidR="0034029C">
        <w:t>Section 2</w:t>
      </w:r>
      <w:r w:rsidRPr="003217C7">
        <w:t>24.3, who install behind</w:t>
      </w:r>
      <w:r w:rsidR="00827602">
        <w:noBreakHyphen/>
      </w:r>
      <w:r w:rsidRPr="003217C7">
        <w:t>the</w:t>
      </w:r>
      <w:r w:rsidR="00827602">
        <w:noBreakHyphen/>
      </w:r>
      <w:r w:rsidRPr="003217C7">
        <w:t xml:space="preserve">meter energy storage systems or solar photovoltaic systems paired with energy storage systems, as an integrated approach to increase individual customer resiliency, to reduce the electrical grid’s net peak demand, to reduce electric ratepayer costs, and to reduce emissions of greenhouse gases and </w:t>
      </w:r>
      <w:r w:rsidRPr="003217C7">
        <w:lastRenderedPageBreak/>
        <w:t>localized air pollution. The commission shall allocate funding pursuant to this section as follows:</w:t>
      </w:r>
    </w:p>
    <w:p w:rsidRPr="003217C7" w:rsidR="00897890" w:rsidP="005D1402" w:rsidRDefault="00897890" w14:paraId="3FDECD53" w14:textId="1E8CD097">
      <w:pPr>
        <w:pStyle w:val="BlockQuoteH033subH033"/>
      </w:pPr>
      <w:r w:rsidRPr="003217C7">
        <w:t>(1)</w:t>
      </w:r>
      <w:r w:rsidR="005D1402">
        <w:tab/>
      </w:r>
      <w:r w:rsidRPr="003217C7">
        <w:t>Seventy</w:t>
      </w:r>
      <w:r w:rsidR="00BD4AC8">
        <w:t> percent</w:t>
      </w:r>
      <w:r w:rsidRPr="003217C7">
        <w:t xml:space="preserve"> for incentives to eligible low</w:t>
      </w:r>
      <w:r w:rsidR="00827602">
        <w:noBreakHyphen/>
      </w:r>
      <w:r w:rsidRPr="003217C7">
        <w:t>income residential customers who install either new behind</w:t>
      </w:r>
      <w:r w:rsidR="00827602">
        <w:noBreakHyphen/>
      </w:r>
      <w:r w:rsidRPr="003217C7">
        <w:t>the</w:t>
      </w:r>
      <w:r w:rsidR="00827602">
        <w:noBreakHyphen/>
      </w:r>
      <w:r w:rsidRPr="003217C7">
        <w:t>meter solar photovoltaic systems paired with energy storage systems or new energy storage systems.</w:t>
      </w:r>
    </w:p>
    <w:p w:rsidR="00897890" w:rsidP="005D1402" w:rsidRDefault="00897890" w14:paraId="6177B1C2" w14:textId="4D68D3B2">
      <w:pPr>
        <w:pStyle w:val="BlockQuoteH033subH033"/>
      </w:pPr>
      <w:r w:rsidRPr="003217C7">
        <w:t>(2)</w:t>
      </w:r>
      <w:r w:rsidR="005D1402">
        <w:tab/>
      </w:r>
      <w:r w:rsidRPr="003217C7">
        <w:t>Thirty</w:t>
      </w:r>
      <w:r w:rsidR="00BD4AC8">
        <w:t> percent</w:t>
      </w:r>
      <w:r w:rsidRPr="003217C7">
        <w:t xml:space="preserve"> for incentives to residential customers who install new behind</w:t>
      </w:r>
      <w:r w:rsidR="00827602">
        <w:noBreakHyphen/>
      </w:r>
      <w:r w:rsidRPr="003217C7">
        <w:t>the</w:t>
      </w:r>
      <w:r w:rsidR="00827602">
        <w:noBreakHyphen/>
      </w:r>
      <w:r w:rsidRPr="003217C7">
        <w:t>meter energy storage systems.</w:t>
      </w:r>
    </w:p>
    <w:p w:rsidR="00897890" w:rsidP="005D1402" w:rsidRDefault="00897890" w14:paraId="429F3D9F" w14:textId="5E0A75EA">
      <w:pPr>
        <w:pStyle w:val="BlockQuoteH033"/>
      </w:pPr>
      <w:r w:rsidRPr="003217C7">
        <w:t>(b)</w:t>
      </w:r>
      <w:r w:rsidR="005D1402">
        <w:tab/>
      </w:r>
      <w:r w:rsidRPr="003217C7">
        <w:t xml:space="preserve">The commission shall consider requiring customers installing solar photovoltaic systems paired with energy storage systems or new energy storage systems under this section and served on a standard contract or tariff pursuant </w:t>
      </w:r>
      <w:r w:rsidR="0034029C">
        <w:t>Section 2</w:t>
      </w:r>
      <w:r w:rsidRPr="003217C7">
        <w:t>827.1 to participate in a demand response or peak load reduction program offered through the customer’s load</w:t>
      </w:r>
      <w:r w:rsidR="00827602">
        <w:noBreakHyphen/>
      </w:r>
      <w:r w:rsidRPr="003217C7">
        <w:t>serving entity, including market</w:t>
      </w:r>
      <w:r w:rsidR="00827602">
        <w:noBreakHyphen/>
      </w:r>
      <w:r w:rsidRPr="003217C7">
        <w:t>integrated supply</w:t>
      </w:r>
      <w:r w:rsidR="00827602">
        <w:noBreakHyphen/>
      </w:r>
      <w:r w:rsidRPr="003217C7">
        <w:t>side demand response programs, to reduce net peak demand.</w:t>
      </w:r>
    </w:p>
    <w:p w:rsidR="009525C0" w:rsidP="005E7044" w:rsidRDefault="009525C0" w14:paraId="70E1205D" w14:textId="2299D80E">
      <w:pPr>
        <w:pStyle w:val="Standard"/>
        <w:spacing w:before="120"/>
      </w:pPr>
      <w:r>
        <w:t>Shortly after AB</w:t>
      </w:r>
      <w:r w:rsidR="002F5949">
        <w:t> </w:t>
      </w:r>
      <w:r>
        <w:t>209 was signed, the California Department of Finance released an Addendum to the 2022</w:t>
      </w:r>
      <w:r w:rsidR="00827602">
        <w:noBreakHyphen/>
      </w:r>
      <w:r>
        <w:t>23 California State Budget outlining multi</w:t>
      </w:r>
      <w:r w:rsidR="00827602">
        <w:noBreakHyphen/>
      </w:r>
      <w:r>
        <w:t>year funding set</w:t>
      </w:r>
      <w:r w:rsidR="00827602">
        <w:noBreakHyphen/>
      </w:r>
      <w:r>
        <w:t>asides and future appropriations, including $900</w:t>
      </w:r>
      <w:r w:rsidR="002F5949">
        <w:t> </w:t>
      </w:r>
      <w:r>
        <w:t xml:space="preserve">million for </w:t>
      </w:r>
      <w:proofErr w:type="spellStart"/>
      <w:r w:rsidR="000C2715">
        <w:t>SGIP</w:t>
      </w:r>
      <w:proofErr w:type="spellEnd"/>
      <w:r>
        <w:t xml:space="preserve"> for the purposes specified in Public Utilities Code Section 379.10.</w:t>
      </w:r>
      <w:r>
        <w:rPr>
          <w:rStyle w:val="FootnoteReference"/>
        </w:rPr>
        <w:footnoteReference w:id="476"/>
      </w:r>
      <w:r>
        <w:t xml:space="preserve">  This funding </w:t>
      </w:r>
      <w:r w:rsidR="004F5D97">
        <w:t>is</w:t>
      </w:r>
      <w:r>
        <w:t xml:space="preserve"> available </w:t>
      </w:r>
      <w:r w:rsidR="004F5D97">
        <w:t xml:space="preserve">beginning on </w:t>
      </w:r>
      <w:r>
        <w:t xml:space="preserve"> July</w:t>
      </w:r>
      <w:r w:rsidR="002F5949">
        <w:t> </w:t>
      </w:r>
      <w:r>
        <w:t>1,</w:t>
      </w:r>
      <w:r w:rsidR="002F5949">
        <w:t> </w:t>
      </w:r>
      <w:r>
        <w:t>2023.</w:t>
      </w:r>
      <w:r w:rsidR="004F5D97">
        <w:t xml:space="preserve">  In comments to the proposed decision, Center for Biological Diversity asserts the funding from AB</w:t>
      </w:r>
      <w:r w:rsidR="00764A12">
        <w:t> </w:t>
      </w:r>
      <w:r w:rsidR="004F5D97">
        <w:t>209 is still subject to legislative appropriation and is complicated by an anticipated budget shortfall.</w:t>
      </w:r>
      <w:r w:rsidR="004F5D97">
        <w:rPr>
          <w:rStyle w:val="FootnoteReference"/>
        </w:rPr>
        <w:footnoteReference w:id="477"/>
      </w:r>
      <w:r w:rsidR="00B91972">
        <w:t xml:space="preserve">  While it is true that appropriation remains necessary, given the climate crisis and the important climate policies this budget </w:t>
      </w:r>
      <w:r w:rsidR="00B91972">
        <w:lastRenderedPageBreak/>
        <w:t xml:space="preserve">item addresses, the Commission </w:t>
      </w:r>
      <w:r w:rsidR="00985467">
        <w:t xml:space="preserve">does not share </w:t>
      </w:r>
      <w:r w:rsidR="00B91972">
        <w:t>the concerns of Center for Biological Diversity.</w:t>
      </w:r>
    </w:p>
    <w:p w:rsidR="0062445D" w:rsidP="0062445D" w:rsidRDefault="009525C0" w14:paraId="2D0FF05D" w14:textId="657A39D1">
      <w:pPr>
        <w:pStyle w:val="Standard"/>
      </w:pPr>
      <w:r>
        <w:t xml:space="preserve"> </w:t>
      </w:r>
      <w:r w:rsidR="009A1910">
        <w:t>Hence</w:t>
      </w:r>
      <w:r w:rsidR="005A12E7">
        <w:t xml:space="preserve">, an </w:t>
      </w:r>
      <w:r w:rsidR="00D23320">
        <w:t>e</w:t>
      </w:r>
      <w:r w:rsidR="005A12E7">
        <w:t xml:space="preserve">quity </w:t>
      </w:r>
      <w:r w:rsidR="00D23320">
        <w:t>f</w:t>
      </w:r>
      <w:r w:rsidR="005A12E7">
        <w:t xml:space="preserve">und </w:t>
      </w:r>
      <w:r w:rsidR="009A1910">
        <w:t xml:space="preserve">has been </w:t>
      </w:r>
      <w:r w:rsidR="005A12E7">
        <w:t>create</w:t>
      </w:r>
      <w:r w:rsidR="009A1910">
        <w:t xml:space="preserve">d by the legislature </w:t>
      </w:r>
      <w:r w:rsidR="00970263">
        <w:t>which includes</w:t>
      </w:r>
      <w:r w:rsidR="0068202D">
        <w:t xml:space="preserve"> the objective of </w:t>
      </w:r>
      <w:r w:rsidR="005A12E7">
        <w:t>improv</w:t>
      </w:r>
      <w:r w:rsidR="0068202D">
        <w:t>ing</w:t>
      </w:r>
      <w:r w:rsidR="005A12E7">
        <w:t xml:space="preserve"> access to distributed energy resource technology for low</w:t>
      </w:r>
      <w:r w:rsidR="00827602">
        <w:noBreakHyphen/>
      </w:r>
      <w:r w:rsidR="005A12E7">
        <w:t>income customers</w:t>
      </w:r>
      <w:r w:rsidR="004664B2">
        <w:t xml:space="preserve"> and disadvantaged communities</w:t>
      </w:r>
      <w:r w:rsidR="005A12E7">
        <w:t xml:space="preserve">.  </w:t>
      </w:r>
      <w:r w:rsidR="00AB554D">
        <w:t xml:space="preserve">These funds will be administered through the </w:t>
      </w:r>
      <w:proofErr w:type="spellStart"/>
      <w:r w:rsidR="0062445D">
        <w:t>SGIP</w:t>
      </w:r>
      <w:proofErr w:type="spellEnd"/>
      <w:r w:rsidR="0062445D">
        <w:t xml:space="preserve"> </w:t>
      </w:r>
      <w:r w:rsidR="00AB554D">
        <w:t>proceeding (R.</w:t>
      </w:r>
      <w:r w:rsidR="00897890">
        <w:t>20</w:t>
      </w:r>
      <w:r w:rsidR="00827602">
        <w:noBreakHyphen/>
      </w:r>
      <w:r w:rsidR="00897890">
        <w:t>05</w:t>
      </w:r>
      <w:r w:rsidR="00827602">
        <w:noBreakHyphen/>
      </w:r>
      <w:r w:rsidR="00897890">
        <w:t>012).  A</w:t>
      </w:r>
      <w:r w:rsidR="0062445D">
        <w:t>n October</w:t>
      </w:r>
      <w:r w:rsidR="002F5949">
        <w:t> </w:t>
      </w:r>
      <w:r w:rsidR="0062445D">
        <w:t>26,</w:t>
      </w:r>
      <w:r w:rsidR="002F5949">
        <w:t> </w:t>
      </w:r>
      <w:r w:rsidR="0062445D">
        <w:t>2022</w:t>
      </w:r>
      <w:r w:rsidR="00897890">
        <w:t xml:space="preserve"> Ruling in that proceeding</w:t>
      </w:r>
      <w:r w:rsidR="0062445D">
        <w:t xml:space="preserve"> describes these funds as follows</w:t>
      </w:r>
      <w:r w:rsidR="00602BC5">
        <w:t xml:space="preserve">:  </w:t>
      </w:r>
    </w:p>
    <w:p w:rsidR="0062445D" w:rsidP="00FA5EE7" w:rsidRDefault="0062445D" w14:paraId="67DF920D" w14:textId="0F0DACFB">
      <w:pPr>
        <w:pStyle w:val="BlockQuote0"/>
      </w:pPr>
      <w:r>
        <w:t>Specific to the $900</w:t>
      </w:r>
      <w:r w:rsidR="002F5949">
        <w:t> </w:t>
      </w:r>
      <w:r>
        <w:t>million, AB</w:t>
      </w:r>
      <w:r w:rsidR="002F5949">
        <w:t> </w:t>
      </w:r>
      <w:r>
        <w:t>209 states that 70</w:t>
      </w:r>
      <w:r w:rsidR="002F5949">
        <w:t> </w:t>
      </w:r>
      <w:r>
        <w:t>[percent] ($630</w:t>
      </w:r>
      <w:r w:rsidR="002F5949">
        <w:t> </w:t>
      </w:r>
      <w:r>
        <w:t>million) of the funding must be directed towards funding incentives for eligible low</w:t>
      </w:r>
      <w:r w:rsidR="00827602">
        <w:noBreakHyphen/>
      </w:r>
      <w:r>
        <w:t>income residential customers who install either new [behind</w:t>
      </w:r>
      <w:r w:rsidR="00827602">
        <w:noBreakHyphen/>
      </w:r>
      <w:r>
        <w:t>the</w:t>
      </w:r>
      <w:r w:rsidR="00827602">
        <w:noBreakHyphen/>
      </w:r>
      <w:r>
        <w:t>meter] solar photovoltaic systems paired with energy storage systems or new energy storage systems. This funding will be referred to as AB</w:t>
      </w:r>
      <w:r w:rsidR="002F5949">
        <w:t> </w:t>
      </w:r>
      <w:r>
        <w:t>209 Low</w:t>
      </w:r>
      <w:r w:rsidR="00827602">
        <w:noBreakHyphen/>
      </w:r>
      <w:r>
        <w:t>Income Incentives throughout this document. Statutory modifications made by AB 209 further specifies that 30</w:t>
      </w:r>
      <w:r w:rsidR="002F5949">
        <w:t> </w:t>
      </w:r>
      <w:r>
        <w:t>[percent] ($270</w:t>
      </w:r>
      <w:r w:rsidR="002F5949">
        <w:t> </w:t>
      </w:r>
      <w:r>
        <w:t>million) of the funding must be directed towards incentives for residential customers who install new behind</w:t>
      </w:r>
      <w:r w:rsidR="00827602">
        <w:noBreakHyphen/>
      </w:r>
      <w:r>
        <w:t>the</w:t>
      </w:r>
      <w:r w:rsidR="00827602">
        <w:noBreakHyphen/>
      </w:r>
      <w:r>
        <w:t>meter energy storage systems. These general market storage projects are not income restricted. This funding will be referred to as AB</w:t>
      </w:r>
      <w:r w:rsidR="002F5949">
        <w:t> </w:t>
      </w:r>
      <w:r>
        <w:t>209 General Market Incentives.</w:t>
      </w:r>
    </w:p>
    <w:p w:rsidR="003217C7" w:rsidP="0062445D" w:rsidRDefault="0062445D" w14:paraId="0FA51472" w14:textId="11CB5A42">
      <w:pPr>
        <w:pStyle w:val="Standard"/>
      </w:pPr>
      <w:r>
        <w:t>The October</w:t>
      </w:r>
      <w:r w:rsidR="002F5949">
        <w:t> </w:t>
      </w:r>
      <w:r>
        <w:t>26,</w:t>
      </w:r>
      <w:r w:rsidR="002F5949">
        <w:t> </w:t>
      </w:r>
      <w:r>
        <w:t>2022 Ruling directs parties to respond to questions focused on implementing the funds and understanding obstacles to low</w:t>
      </w:r>
      <w:r w:rsidR="00827602">
        <w:noBreakHyphen/>
      </w:r>
      <w:r>
        <w:t xml:space="preserve">income household participation as well as potential programmatic changes with the objective of improved project completion for </w:t>
      </w:r>
      <w:proofErr w:type="spellStart"/>
      <w:r>
        <w:t>SGIP</w:t>
      </w:r>
      <w:proofErr w:type="spellEnd"/>
      <w:r>
        <w:t xml:space="preserve"> low</w:t>
      </w:r>
      <w:r w:rsidR="00827602">
        <w:noBreakHyphen/>
      </w:r>
      <w:r>
        <w:t xml:space="preserve">income customers.  </w:t>
      </w:r>
      <w:r w:rsidR="00897890">
        <w:t xml:space="preserve">Hence, this decision will make no determinations on </w:t>
      </w:r>
      <w:r w:rsidR="00B5044D">
        <w:t xml:space="preserve">eligibility or </w:t>
      </w:r>
      <w:r w:rsidR="005F38E5">
        <w:t xml:space="preserve">other </w:t>
      </w:r>
      <w:r w:rsidR="00B5044D">
        <w:t>implementation</w:t>
      </w:r>
      <w:r w:rsidR="005F38E5">
        <w:t xml:space="preserve"> details</w:t>
      </w:r>
      <w:r w:rsidR="00B5044D">
        <w:t>.</w:t>
      </w:r>
    </w:p>
    <w:p w:rsidR="000614BC" w:rsidP="005E7044" w:rsidRDefault="000614BC" w14:paraId="2EBEC595" w14:textId="69F042BE">
      <w:pPr>
        <w:pStyle w:val="Heading3"/>
        <w:keepLines w:val="0"/>
      </w:pPr>
      <w:bookmarkStart w:name="_Toc117674105" w:id="229"/>
      <w:bookmarkStart w:name="_Toc118285096" w:id="230"/>
      <w:bookmarkStart w:name="_Toc121854423" w:id="231"/>
      <w:bookmarkEnd w:id="228"/>
      <w:r>
        <w:t>V</w:t>
      </w:r>
      <w:r w:rsidR="00374F0E">
        <w:t>irtual Net Energy Metering</w:t>
      </w:r>
      <w:r w:rsidR="00E60D10">
        <w:t xml:space="preserve"> and</w:t>
      </w:r>
      <w:r w:rsidR="0065481A">
        <w:br/>
      </w:r>
      <w:r w:rsidR="00E60D10">
        <w:t>Net Energy Metering Aggregat</w:t>
      </w:r>
      <w:r w:rsidR="00B44E58">
        <w:t>ion</w:t>
      </w:r>
      <w:bookmarkEnd w:id="229"/>
      <w:bookmarkEnd w:id="230"/>
      <w:bookmarkEnd w:id="231"/>
    </w:p>
    <w:p w:rsidR="00B92D9E" w:rsidP="00786FEF" w:rsidRDefault="00984F7F" w14:paraId="720E3EC5" w14:textId="346E900B">
      <w:pPr>
        <w:pStyle w:val="Standard"/>
      </w:pPr>
      <w:r>
        <w:t>A</w:t>
      </w:r>
      <w:r w:rsidR="00B92D9E">
        <w:t xml:space="preserve"> guiding principle in this proceeding is to ensure equity </w:t>
      </w:r>
      <w:r>
        <w:t>in the tariff.</w:t>
      </w:r>
      <w:r w:rsidR="000D71DC">
        <w:t xml:space="preserve">  Further, in the Order Instituting Rulemaking </w:t>
      </w:r>
      <w:r w:rsidR="000844FE">
        <w:t>the Commission stated it</w:t>
      </w:r>
      <w:r w:rsidR="000D71DC">
        <w:t xml:space="preserve"> would </w:t>
      </w:r>
      <w:r w:rsidR="000D71DC">
        <w:lastRenderedPageBreak/>
        <w:t>coordinate with other relevant proceedings.</w:t>
      </w:r>
      <w:r w:rsidR="00263629">
        <w:rPr>
          <w:rStyle w:val="FootnoteReference"/>
        </w:rPr>
        <w:footnoteReference w:id="478"/>
      </w:r>
      <w:r w:rsidR="000D71DC">
        <w:t xml:space="preserve">  </w:t>
      </w:r>
      <w:r w:rsidR="008D63FF">
        <w:t>R.18</w:t>
      </w:r>
      <w:r w:rsidR="00827602">
        <w:noBreakHyphen/>
      </w:r>
      <w:r w:rsidR="008D63FF">
        <w:t>07</w:t>
      </w:r>
      <w:r w:rsidR="00827602">
        <w:noBreakHyphen/>
      </w:r>
      <w:r w:rsidR="008D63FF">
        <w:t xml:space="preserve">006 considered </w:t>
      </w:r>
      <w:r w:rsidR="00263629">
        <w:t xml:space="preserve">the </w:t>
      </w:r>
      <w:r w:rsidR="000D71DC">
        <w:t xml:space="preserve">affordability </w:t>
      </w:r>
      <w:r w:rsidR="00263629">
        <w:t xml:space="preserve">of utility services; </w:t>
      </w:r>
      <w:r w:rsidR="000D71DC">
        <w:t xml:space="preserve">information gathered </w:t>
      </w:r>
      <w:r w:rsidR="00263629">
        <w:t>in the affordability proceeding</w:t>
      </w:r>
      <w:r w:rsidR="000D71DC">
        <w:t xml:space="preserve"> </w:t>
      </w:r>
      <w:r w:rsidR="00340F35">
        <w:t xml:space="preserve">and not in the record of this proceeding </w:t>
      </w:r>
      <w:r w:rsidR="000D71DC">
        <w:t xml:space="preserve">could be helpful </w:t>
      </w:r>
      <w:r w:rsidR="007E0841">
        <w:t>in</w:t>
      </w:r>
      <w:r w:rsidR="000D71DC">
        <w:t xml:space="preserve"> providing a </w:t>
      </w:r>
      <w:r w:rsidR="007E0841">
        <w:t>more complete</w:t>
      </w:r>
      <w:r w:rsidR="000D71DC">
        <w:t xml:space="preserve"> record </w:t>
      </w:r>
      <w:r w:rsidR="007E0841">
        <w:t xml:space="preserve">with respect to the </w:t>
      </w:r>
      <w:r w:rsidR="00340F35">
        <w:t>low</w:t>
      </w:r>
      <w:r w:rsidR="00827602">
        <w:noBreakHyphen/>
      </w:r>
      <w:r w:rsidR="00340F35">
        <w:t xml:space="preserve">income </w:t>
      </w:r>
      <w:proofErr w:type="spellStart"/>
      <w:r w:rsidR="007E0841">
        <w:t>VNEM</w:t>
      </w:r>
      <w:proofErr w:type="spellEnd"/>
      <w:r w:rsidR="007E0841">
        <w:t xml:space="preserve"> </w:t>
      </w:r>
      <w:proofErr w:type="spellStart"/>
      <w:r w:rsidR="00246B22">
        <w:t>sub</w:t>
      </w:r>
      <w:r w:rsidR="007E0841">
        <w:t>tariff</w:t>
      </w:r>
      <w:proofErr w:type="spellEnd"/>
      <w:r w:rsidR="000D71DC">
        <w:t xml:space="preserve">.  </w:t>
      </w:r>
      <w:r w:rsidR="00AA06F4">
        <w:t>Additionally</w:t>
      </w:r>
      <w:r w:rsidR="000D71DC">
        <w:t>, t</w:t>
      </w:r>
      <w:r w:rsidR="00B92D9E">
        <w:t xml:space="preserve">here </w:t>
      </w:r>
      <w:r w:rsidR="00246B22">
        <w:t>are ongoing triennial</w:t>
      </w:r>
      <w:r w:rsidR="00B92D9E">
        <w:t xml:space="preserve"> evaluation</w:t>
      </w:r>
      <w:r w:rsidR="00246B22">
        <w:t>s</w:t>
      </w:r>
      <w:r w:rsidR="00B92D9E">
        <w:t xml:space="preserve"> of the SOMAH program</w:t>
      </w:r>
      <w:r w:rsidR="000D71DC">
        <w:t xml:space="preserve"> being conducted</w:t>
      </w:r>
      <w:r w:rsidR="007E0841">
        <w:t>, pursuant to D.17</w:t>
      </w:r>
      <w:r w:rsidR="00827602">
        <w:noBreakHyphen/>
      </w:r>
      <w:r w:rsidR="007E0841">
        <w:t>12</w:t>
      </w:r>
      <w:r w:rsidR="00827602">
        <w:noBreakHyphen/>
      </w:r>
      <w:r w:rsidR="007E0841">
        <w:t>022</w:t>
      </w:r>
      <w:r w:rsidR="000D71DC">
        <w:t>.</w:t>
      </w:r>
      <w:r w:rsidR="007E0841">
        <w:rPr>
          <w:rStyle w:val="FootnoteReference"/>
        </w:rPr>
        <w:footnoteReference w:id="479"/>
      </w:r>
      <w:r w:rsidR="000D71DC">
        <w:t xml:space="preserve">  </w:t>
      </w:r>
      <w:r w:rsidR="007D0DE8">
        <w:t>The first</w:t>
      </w:r>
      <w:r w:rsidR="000D71DC">
        <w:t xml:space="preserve"> report</w:t>
      </w:r>
      <w:r w:rsidR="002A48A7">
        <w:t>s</w:t>
      </w:r>
      <w:r w:rsidR="000D71DC">
        <w:t xml:space="preserve"> ha</w:t>
      </w:r>
      <w:r w:rsidR="002A48A7">
        <w:t>ve</w:t>
      </w:r>
      <w:r w:rsidR="000D71DC">
        <w:t xml:space="preserve"> been </w:t>
      </w:r>
      <w:r w:rsidR="002D1598">
        <w:t>made public</w:t>
      </w:r>
      <w:r w:rsidR="000D71DC">
        <w:t xml:space="preserve"> </w:t>
      </w:r>
      <w:r w:rsidR="00B92D9E">
        <w:t>and information from th</w:t>
      </w:r>
      <w:r w:rsidR="002A48A7">
        <w:t>ose</w:t>
      </w:r>
      <w:r w:rsidR="00B92D9E">
        <w:t xml:space="preserve"> evaluation </w:t>
      </w:r>
      <w:r w:rsidR="002D1598">
        <w:t>could</w:t>
      </w:r>
      <w:r w:rsidR="00B92D9E">
        <w:t xml:space="preserve"> be useful in determining future changes to the </w:t>
      </w:r>
      <w:proofErr w:type="spellStart"/>
      <w:r w:rsidR="00246B22">
        <w:t>sub</w:t>
      </w:r>
      <w:r w:rsidR="00B92D9E">
        <w:t>tariff</w:t>
      </w:r>
      <w:proofErr w:type="spellEnd"/>
      <w:r w:rsidR="00B92D9E">
        <w:t>.</w:t>
      </w:r>
      <w:r w:rsidR="007E0841">
        <w:rPr>
          <w:rStyle w:val="FootnoteReference"/>
        </w:rPr>
        <w:footnoteReference w:id="480"/>
      </w:r>
      <w:r w:rsidR="000D71DC">
        <w:t xml:space="preserve">  </w:t>
      </w:r>
      <w:r w:rsidR="002D1598">
        <w:t xml:space="preserve">However, at this time the report is not in the record of this proceeding.  </w:t>
      </w:r>
      <w:r w:rsidR="000844FE">
        <w:t>I</w:t>
      </w:r>
      <w:r w:rsidR="000D71DC">
        <w:t xml:space="preserve">t </w:t>
      </w:r>
      <w:r w:rsidR="000844FE">
        <w:t xml:space="preserve">is </w:t>
      </w:r>
      <w:r w:rsidR="007E0841">
        <w:t xml:space="preserve">prudent </w:t>
      </w:r>
      <w:r w:rsidR="000D71DC">
        <w:t>to delay any changes to these program</w:t>
      </w:r>
      <w:r w:rsidR="007E0841">
        <w:t>s</w:t>
      </w:r>
      <w:r w:rsidR="000D71DC">
        <w:t xml:space="preserve"> until </w:t>
      </w:r>
      <w:r w:rsidR="007E0841">
        <w:t>review in this proceeding of findings</w:t>
      </w:r>
      <w:r w:rsidR="00263629">
        <w:t xml:space="preserve"> from the affordability proceeding and the SOMAH evaluation</w:t>
      </w:r>
      <w:r w:rsidR="007E0841">
        <w:t>.  Accordingly, the current structure</w:t>
      </w:r>
      <w:r w:rsidR="00AE1EF1">
        <w:t>s</w:t>
      </w:r>
      <w:r w:rsidR="007E0841">
        <w:t xml:space="preserve"> of the low</w:t>
      </w:r>
      <w:r w:rsidR="00827602">
        <w:noBreakHyphen/>
      </w:r>
      <w:r w:rsidR="007E0841">
        <w:t xml:space="preserve">income </w:t>
      </w:r>
      <w:proofErr w:type="spellStart"/>
      <w:r w:rsidR="007E0841">
        <w:t>VNEM</w:t>
      </w:r>
      <w:proofErr w:type="spellEnd"/>
      <w:r w:rsidR="007E0841">
        <w:t xml:space="preserve"> </w:t>
      </w:r>
      <w:proofErr w:type="spellStart"/>
      <w:r w:rsidR="00246B22">
        <w:t>sub</w:t>
      </w:r>
      <w:r w:rsidR="007E0841">
        <w:t>tariff</w:t>
      </w:r>
      <w:r w:rsidR="00AE1EF1">
        <w:t>s</w:t>
      </w:r>
      <w:proofErr w:type="spellEnd"/>
      <w:r w:rsidR="007E0841">
        <w:t xml:space="preserve"> </w:t>
      </w:r>
      <w:r w:rsidR="00AE1EF1">
        <w:t xml:space="preserve">are </w:t>
      </w:r>
      <w:r w:rsidR="000844FE">
        <w:t xml:space="preserve">maintained </w:t>
      </w:r>
      <w:r w:rsidR="007E0841">
        <w:t>until such review is conducted.</w:t>
      </w:r>
    </w:p>
    <w:p w:rsidR="00652158" w:rsidP="005E7044" w:rsidRDefault="007E0841" w14:paraId="314E8CBD" w14:textId="664E3293">
      <w:pPr>
        <w:pStyle w:val="Standard"/>
      </w:pPr>
      <w:r>
        <w:t xml:space="preserve">With respect to the general </w:t>
      </w:r>
      <w:proofErr w:type="spellStart"/>
      <w:r>
        <w:t>VNEM</w:t>
      </w:r>
      <w:proofErr w:type="spellEnd"/>
      <w:r>
        <w:t xml:space="preserve"> </w:t>
      </w:r>
      <w:proofErr w:type="spellStart"/>
      <w:r w:rsidR="00246B22">
        <w:t>sub</w:t>
      </w:r>
      <w:r>
        <w:t>tariff</w:t>
      </w:r>
      <w:proofErr w:type="spellEnd"/>
      <w:r>
        <w:t>, p</w:t>
      </w:r>
      <w:r w:rsidR="00D24156">
        <w:t xml:space="preserve">arties offer multiple proposals.  </w:t>
      </w:r>
      <w:proofErr w:type="spellStart"/>
      <w:r w:rsidR="00D24156">
        <w:t>CALSSA</w:t>
      </w:r>
      <w:proofErr w:type="spellEnd"/>
      <w:r w:rsidR="00D24156">
        <w:t xml:space="preserve"> </w:t>
      </w:r>
      <w:r w:rsidR="00652158">
        <w:t xml:space="preserve">recommends maintaining the same overall structure but </w:t>
      </w:r>
      <w:r w:rsidR="00D24156">
        <w:t xml:space="preserve">suggests improvements for the Commission to adopt.  First, </w:t>
      </w:r>
      <w:proofErr w:type="spellStart"/>
      <w:r w:rsidR="00B92D9E">
        <w:t>CALSSA</w:t>
      </w:r>
      <w:proofErr w:type="spellEnd"/>
      <w:r w:rsidR="00B92D9E">
        <w:t xml:space="preserve"> proposes </w:t>
      </w:r>
      <w:r w:rsidR="00D24156">
        <w:t xml:space="preserve">the Commission </w:t>
      </w:r>
      <w:r w:rsidR="00652158">
        <w:t>allow new tenants to automatically receive the same benefit as the previous tenant in the same unit.</w:t>
      </w:r>
      <w:r w:rsidR="00652158">
        <w:rPr>
          <w:rStyle w:val="FootnoteReference"/>
        </w:rPr>
        <w:footnoteReference w:id="481"/>
      </w:r>
      <w:r w:rsidR="00652158">
        <w:t xml:space="preserve">  </w:t>
      </w:r>
      <w:proofErr w:type="spellStart"/>
      <w:r w:rsidR="00652158">
        <w:t>CALSSA</w:t>
      </w:r>
      <w:proofErr w:type="spellEnd"/>
      <w:r w:rsidR="00652158">
        <w:t xml:space="preserve"> explains the current process is that</w:t>
      </w:r>
      <w:r w:rsidR="00970263">
        <w:t>,</w:t>
      </w:r>
      <w:r w:rsidR="00652158">
        <w:t xml:space="preserve"> after a current tenant leaves, the account shifts to a backup account, which provides benefits to the property owner, and updating the account requires </w:t>
      </w:r>
      <w:r w:rsidR="00652158">
        <w:lastRenderedPageBreak/>
        <w:t xml:space="preserve">waiting or paying a fee to update immediately.  Second, </w:t>
      </w:r>
      <w:proofErr w:type="spellStart"/>
      <w:r w:rsidR="00652158">
        <w:t>CALSSA</w:t>
      </w:r>
      <w:proofErr w:type="spellEnd"/>
      <w:r w:rsidR="00652158">
        <w:t xml:space="preserve"> requests the Commission allow multiple arrays on one property to be treated as one generator.  </w:t>
      </w:r>
      <w:proofErr w:type="spellStart"/>
      <w:r w:rsidR="00652158">
        <w:t>CALSSA</w:t>
      </w:r>
      <w:proofErr w:type="spellEnd"/>
      <w:r w:rsidR="00652158">
        <w:t xml:space="preserve"> explains it is inefficient to treat each array separately when many apartment complexes require use of separate roof surfaces and points of interconnection.</w:t>
      </w:r>
      <w:r w:rsidR="00652158">
        <w:rPr>
          <w:rStyle w:val="FootnoteReference"/>
        </w:rPr>
        <w:footnoteReference w:id="482"/>
      </w:r>
    </w:p>
    <w:p w:rsidR="00240EC6" w:rsidP="005E7044" w:rsidRDefault="00240EC6" w14:paraId="6A084973" w14:textId="33A9113C">
      <w:pPr>
        <w:pStyle w:val="Standard"/>
      </w:pPr>
      <w:r>
        <w:t xml:space="preserve">Like </w:t>
      </w:r>
      <w:proofErr w:type="spellStart"/>
      <w:r>
        <w:t>CALSSA</w:t>
      </w:r>
      <w:proofErr w:type="spellEnd"/>
      <w:r>
        <w:t xml:space="preserve">, </w:t>
      </w:r>
      <w:r w:rsidR="007670A4">
        <w:t>Ivy E</w:t>
      </w:r>
      <w:r>
        <w:t>nergy proposes, among its recommendations, a carve</w:t>
      </w:r>
      <w:r w:rsidR="00827602">
        <w:noBreakHyphen/>
      </w:r>
      <w:r>
        <w:t xml:space="preserve">out for net energy metering to continue the </w:t>
      </w:r>
      <w:r w:rsidR="00602BC5">
        <w:t>NEM 2.0</w:t>
      </w:r>
      <w:r w:rsidR="00135D55">
        <w:t xml:space="preserve"> </w:t>
      </w:r>
      <w:r>
        <w:t xml:space="preserve">structure for </w:t>
      </w:r>
      <w:proofErr w:type="spellStart"/>
      <w:r>
        <w:t>VNEM</w:t>
      </w:r>
      <w:proofErr w:type="spellEnd"/>
      <w:r>
        <w:t xml:space="preserve"> u</w:t>
      </w:r>
      <w:r w:rsidR="004D7E3C">
        <w:t>n</w:t>
      </w:r>
      <w:r>
        <w:t>til 10,00</w:t>
      </w:r>
      <w:r w:rsidR="00B94F01">
        <w:t>0 megawatt</w:t>
      </w:r>
      <w:r>
        <w:t xml:space="preserve">s of capacity has been reached by multifamily buildings, at </w:t>
      </w:r>
      <w:r w:rsidR="00B44E58">
        <w:t xml:space="preserve">which </w:t>
      </w:r>
      <w:r>
        <w:t xml:space="preserve">time </w:t>
      </w:r>
      <w:proofErr w:type="spellStart"/>
      <w:r>
        <w:t>VNEM</w:t>
      </w:r>
      <w:proofErr w:type="spellEnd"/>
      <w:r>
        <w:t xml:space="preserve"> should transition to the successor tariff.</w:t>
      </w:r>
      <w:r>
        <w:rPr>
          <w:rStyle w:val="FootnoteReference"/>
        </w:rPr>
        <w:footnoteReference w:id="483"/>
      </w:r>
      <w:r>
        <w:t xml:space="preserve">  </w:t>
      </w:r>
      <w:r w:rsidR="007670A4">
        <w:t>Ivy E</w:t>
      </w:r>
      <w:r>
        <w:t xml:space="preserve">nergy </w:t>
      </w:r>
      <w:r w:rsidR="00B92D9E">
        <w:t xml:space="preserve">also </w:t>
      </w:r>
      <w:r>
        <w:t xml:space="preserve">supports ensuring </w:t>
      </w:r>
      <w:r w:rsidR="004D7E3C">
        <w:t xml:space="preserve">that </w:t>
      </w:r>
      <w:r>
        <w:t>customers in a multifamily building, who are eligible for CARE</w:t>
      </w:r>
      <w:r w:rsidR="008D63FF">
        <w:t xml:space="preserve"> or </w:t>
      </w:r>
      <w:r>
        <w:t>FERA, are able to retain that discount when the building installs a shared distributed energy resources asset.</w:t>
      </w:r>
      <w:r>
        <w:rPr>
          <w:rStyle w:val="FootnoteReference"/>
        </w:rPr>
        <w:footnoteReference w:id="484"/>
      </w:r>
    </w:p>
    <w:p w:rsidR="00652158" w:rsidP="005E7044" w:rsidRDefault="00652158" w14:paraId="3A7A4CA4" w14:textId="655C33FF">
      <w:pPr>
        <w:pStyle w:val="Standard"/>
      </w:pPr>
      <w:r>
        <w:t xml:space="preserve">Joint Utilities </w:t>
      </w:r>
      <w:r w:rsidR="00854AE4">
        <w:t xml:space="preserve">recommend that </w:t>
      </w:r>
      <w:proofErr w:type="spellStart"/>
      <w:r w:rsidR="006E54D5">
        <w:t>VNEM</w:t>
      </w:r>
      <w:proofErr w:type="spellEnd"/>
      <w:r w:rsidR="006E54D5">
        <w:t xml:space="preserve"> and NEMA be aligned with the successor tariff, such that exports are compensated at avoided costs, and to allocate the revenues from exported energy to benefiting accounts as a dollar credit.</w:t>
      </w:r>
      <w:r w:rsidR="006E54D5">
        <w:rPr>
          <w:rStyle w:val="FootnoteReference"/>
        </w:rPr>
        <w:footnoteReference w:id="485"/>
      </w:r>
      <w:r w:rsidR="006E54D5">
        <w:t xml:space="preserve">  Joint Utilities explain that because a customer is allocated a dollar credit for exports, there is no need for grid benefits or usage charge</w:t>
      </w:r>
      <w:r w:rsidR="00970263">
        <w:t>s</w:t>
      </w:r>
      <w:r w:rsidR="006E54D5">
        <w:t>.</w:t>
      </w:r>
      <w:r w:rsidR="00B95CB5">
        <w:t xml:space="preserve">  Joint Utilities also recommend combining </w:t>
      </w:r>
      <w:proofErr w:type="spellStart"/>
      <w:r w:rsidR="00B95CB5">
        <w:t>VNEM</w:t>
      </w:r>
      <w:proofErr w:type="spellEnd"/>
      <w:r w:rsidR="00B95CB5">
        <w:t xml:space="preserve"> and NEMA into one </w:t>
      </w:r>
      <w:proofErr w:type="spellStart"/>
      <w:r w:rsidR="00246B22">
        <w:t>sub</w:t>
      </w:r>
      <w:r w:rsidR="00B95CB5">
        <w:t>tariff</w:t>
      </w:r>
      <w:proofErr w:type="spellEnd"/>
      <w:r w:rsidR="00B95CB5">
        <w:t>.</w:t>
      </w:r>
    </w:p>
    <w:p w:rsidR="007A7CC1" w:rsidP="001B1BB2" w:rsidRDefault="007A7CC1" w14:paraId="6DDD59CE" w14:textId="47432FDA">
      <w:pPr>
        <w:pStyle w:val="Standard"/>
      </w:pPr>
      <w:r>
        <w:t xml:space="preserve">The Commission finds that the record in this proceeding does not contain a sufficient analysis of the </w:t>
      </w:r>
      <w:proofErr w:type="spellStart"/>
      <w:r>
        <w:t>VNEM</w:t>
      </w:r>
      <w:proofErr w:type="spellEnd"/>
      <w:r>
        <w:t xml:space="preserve"> and NEMA tariffs.</w:t>
      </w:r>
      <w:r w:rsidR="001B1BB2">
        <w:t xml:space="preserve">  </w:t>
      </w:r>
      <w:r w:rsidR="00985467">
        <w:t>In comments to the proposed decision</w:t>
      </w:r>
      <w:r w:rsidR="001B1BB2">
        <w:t xml:space="preserve">, </w:t>
      </w:r>
      <w:r>
        <w:t xml:space="preserve">Ivy Energy correctly asserts that the Lookback Study omits </w:t>
      </w:r>
      <w:r>
        <w:lastRenderedPageBreak/>
        <w:t xml:space="preserve">any analysis of </w:t>
      </w:r>
      <w:proofErr w:type="spellStart"/>
      <w:r>
        <w:t>VNEM</w:t>
      </w:r>
      <w:proofErr w:type="spellEnd"/>
      <w:r>
        <w:t xml:space="preserve"> or the multifamily sector as a distinct customer class.</w:t>
      </w:r>
      <w:r>
        <w:rPr>
          <w:rStyle w:val="FootnoteReference"/>
        </w:rPr>
        <w:footnoteReference w:id="486"/>
      </w:r>
      <w:r>
        <w:t xml:space="preserve"> Additionally, Joint Utilities and Ivy Energy question assumptions made about system costs and payback periods in the analysis of </w:t>
      </w:r>
      <w:proofErr w:type="spellStart"/>
      <w:r>
        <w:t>VNEM</w:t>
      </w:r>
      <w:proofErr w:type="spellEnd"/>
      <w:r>
        <w:t xml:space="preserve"> and contends they have no basis in the record.</w:t>
      </w:r>
      <w:r>
        <w:rPr>
          <w:rStyle w:val="FootnoteReference"/>
        </w:rPr>
        <w:footnoteReference w:id="487"/>
      </w:r>
    </w:p>
    <w:p w:rsidR="005C06A0" w:rsidP="001B1BB2" w:rsidRDefault="00BE4193" w14:paraId="3F750F9C" w14:textId="2A3A2576">
      <w:pPr>
        <w:pStyle w:val="Standard"/>
      </w:pPr>
      <w:r>
        <w:t xml:space="preserve">With respect to NEMA, Agricultural Energy Consumers Association </w:t>
      </w:r>
      <w:r w:rsidR="00334649">
        <w:t xml:space="preserve">(Association) </w:t>
      </w:r>
      <w:r>
        <w:t xml:space="preserve">contends the proposed decision commits legal error by disregarding Public Utilities Code Section 2827(h) </w:t>
      </w:r>
      <w:r w:rsidR="00334649">
        <w:t>which makes an aggregation option available to customers with multiple meters, subject to the Commission finding that aggregation would not result in a cost shift to nonparticipating ratepayers.</w:t>
      </w:r>
      <w:r w:rsidR="00334649">
        <w:rPr>
          <w:rStyle w:val="FootnoteReference"/>
        </w:rPr>
        <w:footnoteReference w:id="488"/>
      </w:r>
      <w:r w:rsidR="00334649">
        <w:t xml:space="preserve">  The Association asserts this cost</w:t>
      </w:r>
      <w:r w:rsidR="008E22AB">
        <w:noBreakHyphen/>
      </w:r>
      <w:r w:rsidR="00334649">
        <w:t>effectiveness was confirmed in Resolution</w:t>
      </w:r>
      <w:r w:rsidR="002F5AA3">
        <w:t> </w:t>
      </w:r>
      <w:r w:rsidR="00334649">
        <w:t>E</w:t>
      </w:r>
      <w:r w:rsidR="008E22AB">
        <w:noBreakHyphen/>
      </w:r>
      <w:r w:rsidR="00334649">
        <w:t>4610.</w:t>
      </w:r>
      <w:r w:rsidR="00334649">
        <w:rPr>
          <w:rStyle w:val="FootnoteReference"/>
        </w:rPr>
        <w:footnoteReference w:id="489"/>
      </w:r>
      <w:r w:rsidR="00334649">
        <w:t xml:space="preserve">  Further, the Association asserts that the Legislature did not bring NEMA under the NEM</w:t>
      </w:r>
      <w:r w:rsidR="002F5AA3">
        <w:t> </w:t>
      </w:r>
      <w:r w:rsidR="00334649">
        <w:t>2.0 framework when it subsequently enacted AB</w:t>
      </w:r>
      <w:r w:rsidR="002F5AA3">
        <w:t> </w:t>
      </w:r>
      <w:r w:rsidR="00334649">
        <w:t>327 and contends the Commission should maintain the status quo tariffs.</w:t>
      </w:r>
      <w:r w:rsidR="00334649">
        <w:rPr>
          <w:rStyle w:val="FootnoteReference"/>
        </w:rPr>
        <w:footnoteReference w:id="490"/>
      </w:r>
      <w:r w:rsidR="00334649">
        <w:t xml:space="preserve">  Additionally, the Association points to alleged inconsistencies in the proposed decision.</w:t>
      </w:r>
      <w:r w:rsidR="00334649">
        <w:rPr>
          <w:rStyle w:val="FootnoteReference"/>
        </w:rPr>
        <w:footnoteReference w:id="491"/>
      </w:r>
    </w:p>
    <w:p w:rsidR="00BE4193" w:rsidP="001B1BB2" w:rsidRDefault="00CB0FCB" w14:paraId="3EDF86DF" w14:textId="721F4345">
      <w:pPr>
        <w:pStyle w:val="Standard"/>
      </w:pPr>
      <w:r>
        <w:lastRenderedPageBreak/>
        <w:t xml:space="preserve">Farm Bureau </w:t>
      </w:r>
      <w:r w:rsidR="005C06A0">
        <w:t>states the Lookback Study explicitly states it did not analyze NEMA customers.</w:t>
      </w:r>
      <w:r w:rsidR="005C06A0">
        <w:rPr>
          <w:rStyle w:val="FootnoteReference"/>
        </w:rPr>
        <w:footnoteReference w:id="492"/>
      </w:r>
      <w:r w:rsidR="005C06A0">
        <w:t xml:space="preserve">  The Farm Bureau contends that the NEMA </w:t>
      </w:r>
      <w:proofErr w:type="spellStart"/>
      <w:r w:rsidR="005C06A0">
        <w:t>subtariff</w:t>
      </w:r>
      <w:proofErr w:type="spellEnd"/>
      <w:r w:rsidR="005C06A0">
        <w:t xml:space="preserve"> requires a nuanced approach and concurs with the Association that the proposed decision does not adequately address the needed differences between NEMA and </w:t>
      </w:r>
      <w:r w:rsidR="00CE2C8B">
        <w:t>n</w:t>
      </w:r>
      <w:r w:rsidR="005C06A0">
        <w:t xml:space="preserve">et </w:t>
      </w:r>
      <w:r w:rsidR="00CE2C8B">
        <w:t>b</w:t>
      </w:r>
      <w:r w:rsidR="005C06A0">
        <w:t>illing.</w:t>
      </w:r>
      <w:r w:rsidR="00027537">
        <w:rPr>
          <w:rStyle w:val="FootnoteReference"/>
        </w:rPr>
        <w:footnoteReference w:id="493"/>
      </w:r>
    </w:p>
    <w:p w:rsidR="00985467" w:rsidP="007A7CC1" w:rsidRDefault="007A7CC1" w14:paraId="54FF7035" w14:textId="693D220C">
      <w:pPr>
        <w:pStyle w:val="Standard"/>
      </w:pPr>
      <w:r>
        <w:t xml:space="preserve">The Commission </w:t>
      </w:r>
      <w:r w:rsidR="00334649">
        <w:t xml:space="preserve">finds that the record for the </w:t>
      </w:r>
      <w:proofErr w:type="spellStart"/>
      <w:r w:rsidR="00334649">
        <w:t>VNEM</w:t>
      </w:r>
      <w:proofErr w:type="spellEnd"/>
      <w:r w:rsidR="00334649">
        <w:t xml:space="preserve"> and NEMA tariffs is insufficient and requires a deeper review.  Further, the Commission </w:t>
      </w:r>
      <w:r>
        <w:t xml:space="preserve">agrees with Ivy Energy’s recommendation to conduct a more thorough analysis of multifamily </w:t>
      </w:r>
      <w:r w:rsidR="009A399B">
        <w:t>complexes</w:t>
      </w:r>
      <w:r>
        <w:t xml:space="preserve"> and rental populations as a separate customer class.</w:t>
      </w:r>
      <w:r w:rsidR="005B373B">
        <w:rPr>
          <w:rStyle w:val="FootnoteReference"/>
        </w:rPr>
        <w:footnoteReference w:id="494"/>
      </w:r>
      <w:r w:rsidR="001B1BB2">
        <w:t xml:space="preserve">  As such a workshop will be conducted</w:t>
      </w:r>
      <w:r w:rsidR="009A399B">
        <w:t xml:space="preserve"> </w:t>
      </w:r>
      <w:r w:rsidR="001B1BB2">
        <w:t xml:space="preserve">in early 2023 to </w:t>
      </w:r>
      <w:r w:rsidR="005C06A0">
        <w:t>begin to develop</w:t>
      </w:r>
      <w:r w:rsidR="001B1BB2">
        <w:t xml:space="preserve"> a </w:t>
      </w:r>
      <w:r w:rsidR="00BE50B8">
        <w:t>more comprehensive record and understanding</w:t>
      </w:r>
      <w:r w:rsidR="001B1BB2">
        <w:t xml:space="preserve"> </w:t>
      </w:r>
      <w:r w:rsidR="00BE50B8">
        <w:t xml:space="preserve">on both </w:t>
      </w:r>
      <w:proofErr w:type="spellStart"/>
      <w:r w:rsidR="00BE50B8">
        <w:t>VNEM</w:t>
      </w:r>
      <w:proofErr w:type="spellEnd"/>
      <w:r w:rsidR="00BE50B8">
        <w:t xml:space="preserve"> and NEMA.</w:t>
      </w:r>
      <w:r w:rsidR="00985467">
        <w:t xml:space="preserve">  For the time being, </w:t>
      </w:r>
      <w:proofErr w:type="spellStart"/>
      <w:r w:rsidR="00985467">
        <w:t>VNEM</w:t>
      </w:r>
      <w:proofErr w:type="spellEnd"/>
      <w:r w:rsidR="00985467">
        <w:t xml:space="preserve"> and NEMA tariffs are retained with the caveats below.</w:t>
      </w:r>
    </w:p>
    <w:p w:rsidR="007A4C22" w:rsidP="005E7044" w:rsidRDefault="00BE4193" w14:paraId="206B0CA8" w14:textId="07A6D393">
      <w:pPr>
        <w:pStyle w:val="Standard"/>
      </w:pPr>
      <w:r>
        <w:t>T</w:t>
      </w:r>
      <w:r w:rsidR="00985467">
        <w:t>h</w:t>
      </w:r>
      <w:r>
        <w:t xml:space="preserve">e Commission </w:t>
      </w:r>
      <w:r w:rsidR="00985467">
        <w:t>has determined that basing the retail export compensation rate on retail import rates does not m</w:t>
      </w:r>
      <w:r>
        <w:t>e</w:t>
      </w:r>
      <w:r w:rsidR="00985467">
        <w:t xml:space="preserve">et the statutory requirement </w:t>
      </w:r>
      <w:r>
        <w:t>that</w:t>
      </w:r>
      <w:r w:rsidR="00985467">
        <w:t xml:space="preserve"> the tariff successor aligns with the costs and benefits of customer</w:t>
      </w:r>
      <w:r w:rsidR="008E22AB">
        <w:noBreakHyphen/>
      </w:r>
      <w:r w:rsidR="00985467">
        <w:t>site renewable distributed generation</w:t>
      </w:r>
      <w:r>
        <w:t>.  Hence, t</w:t>
      </w:r>
      <w:r w:rsidR="00985467">
        <w:t xml:space="preserve">his decision adopts the following safeguards to limit future cost shifts.  </w:t>
      </w:r>
      <w:r>
        <w:t xml:space="preserve">First, </w:t>
      </w:r>
      <w:r w:rsidR="00080346">
        <w:t xml:space="preserve">for customers applying to interconnect to </w:t>
      </w:r>
      <w:proofErr w:type="spellStart"/>
      <w:r w:rsidR="00080346">
        <w:t>VNEM</w:t>
      </w:r>
      <w:proofErr w:type="spellEnd"/>
      <w:r w:rsidR="00080346">
        <w:t xml:space="preserve"> and NEMA after the NEM 2.0 sunset date adopted in Section 8.5.4 above, this decision reduces the legacy period to nine years to align with customers of the </w:t>
      </w:r>
      <w:r w:rsidR="00CE2C8B">
        <w:t>n</w:t>
      </w:r>
      <w:r w:rsidR="00080346">
        <w:t xml:space="preserve">et </w:t>
      </w:r>
      <w:r w:rsidR="00CE2C8B">
        <w:t>b</w:t>
      </w:r>
      <w:r w:rsidR="00080346">
        <w:t xml:space="preserve">illing tariff.  Second, for customers applying to NEMA after the NEM 2.0 sunset date, NEMA eligibility is restricted to customers who already had two or more meters as of the date this decision is adopted. </w:t>
      </w:r>
      <w:r w:rsidR="007A4C22">
        <w:t xml:space="preserve">There are </w:t>
      </w:r>
      <w:r w:rsidR="006910E8">
        <w:t>three</w:t>
      </w:r>
      <w:r w:rsidR="002A5E75">
        <w:t xml:space="preserve"> </w:t>
      </w:r>
      <w:r w:rsidR="007A4C22">
        <w:t xml:space="preserve">policy considerations </w:t>
      </w:r>
      <w:r w:rsidR="00020E74">
        <w:t xml:space="preserve">that </w:t>
      </w:r>
      <w:r w:rsidR="007A4C22">
        <w:t xml:space="preserve">have </w:t>
      </w:r>
      <w:r w:rsidR="00E75A70">
        <w:t>been considered</w:t>
      </w:r>
      <w:r w:rsidR="007A4C22">
        <w:t xml:space="preserve">.  First, </w:t>
      </w:r>
      <w:r w:rsidR="007670A4">
        <w:t>Ivy E</w:t>
      </w:r>
      <w:r w:rsidR="007A4C22">
        <w:t xml:space="preserve">nergy </w:t>
      </w:r>
      <w:r w:rsidR="007A4C22">
        <w:lastRenderedPageBreak/>
        <w:t xml:space="preserve">contends that </w:t>
      </w:r>
      <w:r w:rsidR="00612C53">
        <w:t xml:space="preserve">the </w:t>
      </w:r>
      <w:r w:rsidR="007A4C22">
        <w:t xml:space="preserve">Joint Utilities’ </w:t>
      </w:r>
      <w:r w:rsidRPr="007A4C22" w:rsidR="007A4C22">
        <w:t xml:space="preserve">claim that </w:t>
      </w:r>
      <w:r w:rsidR="00BA1EAE">
        <w:t>“</w:t>
      </w:r>
      <w:r w:rsidRPr="007A4C22" w:rsidR="007A4C22">
        <w:t>virtual NEM systems do not displace onsite load, and therefore does not provide the same distribution benefits as standard NEM</w:t>
      </w:r>
      <w:r w:rsidR="00BA1EAE">
        <w:t>”</w:t>
      </w:r>
      <w:r w:rsidR="007A4C22">
        <w:t xml:space="preserve"> is false.</w:t>
      </w:r>
      <w:r w:rsidR="007A4C22">
        <w:rPr>
          <w:rStyle w:val="FootnoteReference"/>
        </w:rPr>
        <w:footnoteReference w:id="495"/>
      </w:r>
      <w:r w:rsidR="007A4C22">
        <w:t xml:space="preserve">  </w:t>
      </w:r>
      <w:r w:rsidR="00D32F2E">
        <w:t xml:space="preserve">Noting </w:t>
      </w:r>
      <w:r w:rsidR="002A5E75">
        <w:t xml:space="preserve">that most </w:t>
      </w:r>
      <w:proofErr w:type="spellStart"/>
      <w:r w:rsidR="002A5E75">
        <w:t>VNEM</w:t>
      </w:r>
      <w:proofErr w:type="spellEnd"/>
      <w:r w:rsidR="002A5E75">
        <w:t xml:space="preserve"> generation is used onsite instead of being exported and </w:t>
      </w:r>
      <w:r w:rsidR="00D32F2E">
        <w:t>9</w:t>
      </w:r>
      <w:r w:rsidR="00C04724">
        <w:t>4 percent</w:t>
      </w:r>
      <w:r w:rsidR="00D32F2E">
        <w:t xml:space="preserve"> of </w:t>
      </w:r>
      <w:proofErr w:type="spellStart"/>
      <w:r w:rsidR="00D32F2E">
        <w:t>VNEM</w:t>
      </w:r>
      <w:proofErr w:type="spellEnd"/>
      <w:r w:rsidR="00D32F2E">
        <w:t xml:space="preserve"> systems are located on the same feeder</w:t>
      </w:r>
      <w:r w:rsidR="002A5E75">
        <w:t>,</w:t>
      </w:r>
      <w:r w:rsidR="002A5E75">
        <w:rPr>
          <w:rStyle w:val="FootnoteReference"/>
        </w:rPr>
        <w:footnoteReference w:id="496"/>
      </w:r>
      <w:r w:rsidR="00D32F2E">
        <w:t xml:space="preserve"> </w:t>
      </w:r>
      <w:r w:rsidR="007A4C22">
        <w:t>I</w:t>
      </w:r>
      <w:r w:rsidRPr="007A4C22" w:rsidR="007A4C22">
        <w:t xml:space="preserve">vy </w:t>
      </w:r>
      <w:r w:rsidR="00BD2D4E">
        <w:t xml:space="preserve">Energy </w:t>
      </w:r>
      <w:r w:rsidR="007A4C22">
        <w:t xml:space="preserve">contends it has </w:t>
      </w:r>
      <w:r w:rsidRPr="007A4C22" w:rsidR="007A4C22">
        <w:t>demonstratively prove</w:t>
      </w:r>
      <w:r w:rsidR="00020E74">
        <w:t>n</w:t>
      </w:r>
      <w:r w:rsidRPr="007A4C22" w:rsidR="007A4C22">
        <w:t xml:space="preserve"> there </w:t>
      </w:r>
      <w:r w:rsidR="007D0DE8">
        <w:t xml:space="preserve">can be </w:t>
      </w:r>
      <w:r w:rsidRPr="007A4C22" w:rsidR="007A4C22">
        <w:t xml:space="preserve">onsite consumption of energy that is generated at multifamily </w:t>
      </w:r>
      <w:r w:rsidR="00080346">
        <w:t>properties</w:t>
      </w:r>
      <w:r w:rsidRPr="007A4C22" w:rsidR="00080346">
        <w:t xml:space="preserve"> </w:t>
      </w:r>
      <w:r w:rsidRPr="007A4C22" w:rsidR="007A4C22">
        <w:t xml:space="preserve">interconnected under </w:t>
      </w:r>
      <w:proofErr w:type="spellStart"/>
      <w:r w:rsidRPr="007A4C22" w:rsidR="007A4C22">
        <w:t>VNEM</w:t>
      </w:r>
      <w:proofErr w:type="spellEnd"/>
      <w:r w:rsidRPr="007A4C22" w:rsidR="007A4C22">
        <w:t>.</w:t>
      </w:r>
      <w:r w:rsidR="007A4C22">
        <w:rPr>
          <w:rStyle w:val="FootnoteReference"/>
        </w:rPr>
        <w:footnoteReference w:id="497"/>
      </w:r>
      <w:r w:rsidR="00D32F2E">
        <w:t xml:space="preserve">  Joint Utilities did not dispute this claim in reply briefs.  </w:t>
      </w:r>
      <w:r w:rsidR="00080346">
        <w:t xml:space="preserve">However, in comments to the Proposed Decision, Joint Utilities clarified that </w:t>
      </w:r>
      <w:r w:rsidRPr="00B066D8" w:rsidR="00080346">
        <w:t>31</w:t>
      </w:r>
      <w:r w:rsidR="008E22AB">
        <w:t> </w:t>
      </w:r>
      <w:r w:rsidRPr="00B066D8" w:rsidR="00080346">
        <w:t xml:space="preserve">percent of </w:t>
      </w:r>
      <w:proofErr w:type="spellStart"/>
      <w:r w:rsidRPr="00B066D8" w:rsidR="00080346">
        <w:t>VNEM</w:t>
      </w:r>
      <w:proofErr w:type="spellEnd"/>
      <w:r w:rsidRPr="00B066D8" w:rsidR="00080346">
        <w:t xml:space="preserve"> and 69</w:t>
      </w:r>
      <w:r w:rsidR="008E22AB">
        <w:t> </w:t>
      </w:r>
      <w:r w:rsidRPr="00B066D8" w:rsidR="00080346">
        <w:t>percent of NEMA benefiting meters are located behind a different distribution transformer than the generating meter.</w:t>
      </w:r>
      <w:r w:rsidR="00080346">
        <w:rPr>
          <w:rStyle w:val="FootnoteReference"/>
        </w:rPr>
        <w:footnoteReference w:id="498"/>
      </w:r>
      <w:r w:rsidR="00080346">
        <w:t xml:space="preserve">  </w:t>
      </w:r>
      <w:r w:rsidR="0055104D">
        <w:t xml:space="preserve">Hence, </w:t>
      </w:r>
      <w:r w:rsidR="00E75A70">
        <w:t xml:space="preserve">this decision </w:t>
      </w:r>
      <w:r w:rsidR="0055104D">
        <w:t>affirm</w:t>
      </w:r>
      <w:r w:rsidR="00E75A70">
        <w:t>s</w:t>
      </w:r>
      <w:r w:rsidR="0055104D">
        <w:t xml:space="preserve"> that </w:t>
      </w:r>
      <w:proofErr w:type="spellStart"/>
      <w:r w:rsidR="0055104D">
        <w:t>VNEM</w:t>
      </w:r>
      <w:proofErr w:type="spellEnd"/>
      <w:r w:rsidR="0055104D">
        <w:t xml:space="preserve"> </w:t>
      </w:r>
      <w:r w:rsidR="00080346">
        <w:t xml:space="preserve">can </w:t>
      </w:r>
      <w:r w:rsidR="0055104D">
        <w:t xml:space="preserve">provide </w:t>
      </w:r>
      <w:r w:rsidR="002A5E75">
        <w:t>benefits to the grid</w:t>
      </w:r>
      <w:r w:rsidR="00013E60">
        <w:t xml:space="preserve"> similar to that of </w:t>
      </w:r>
      <w:r w:rsidR="00080346">
        <w:t xml:space="preserve">net energy metering, but also that significant </w:t>
      </w:r>
      <w:proofErr w:type="spellStart"/>
      <w:r w:rsidR="00080346">
        <w:t>VNEM</w:t>
      </w:r>
      <w:proofErr w:type="spellEnd"/>
      <w:r w:rsidR="00080346">
        <w:t xml:space="preserve"> and NEMA exports can enter the distribution grid, depending on the </w:t>
      </w:r>
      <w:proofErr w:type="spellStart"/>
      <w:r w:rsidR="00080346">
        <w:t>VNEM</w:t>
      </w:r>
      <w:proofErr w:type="spellEnd"/>
      <w:r w:rsidR="00080346">
        <w:t xml:space="preserve"> or NEMA arrangement’s construction</w:t>
      </w:r>
      <w:r w:rsidR="002A5E75">
        <w:t>.</w:t>
      </w:r>
      <w:r w:rsidR="00F20D88">
        <w:t xml:space="preserve">  </w:t>
      </w:r>
    </w:p>
    <w:p w:rsidR="0055104D" w:rsidP="005E7044" w:rsidRDefault="0055104D" w14:paraId="1EA694DF" w14:textId="0DA1E440">
      <w:pPr>
        <w:pStyle w:val="Standard"/>
      </w:pPr>
      <w:r>
        <w:t xml:space="preserve">Secondly, </w:t>
      </w:r>
      <w:r w:rsidR="007670A4">
        <w:t>Ivy E</w:t>
      </w:r>
      <w:r>
        <w:t xml:space="preserve">nergy </w:t>
      </w:r>
      <w:r w:rsidR="00013E60">
        <w:t xml:space="preserve">and Agricultural Parties </w:t>
      </w:r>
      <w:r>
        <w:t>disagree</w:t>
      </w:r>
      <w:r w:rsidR="00013E60">
        <w:t xml:space="preserve"> </w:t>
      </w:r>
      <w:r>
        <w:t xml:space="preserve">with the Joint Utilities proposal to combine </w:t>
      </w:r>
      <w:r w:rsidR="007941EA">
        <w:t xml:space="preserve">the </w:t>
      </w:r>
      <w:proofErr w:type="spellStart"/>
      <w:r>
        <w:t>VNEM</w:t>
      </w:r>
      <w:proofErr w:type="spellEnd"/>
      <w:r>
        <w:t xml:space="preserve"> and </w:t>
      </w:r>
      <w:r w:rsidR="007941EA">
        <w:t>NEM</w:t>
      </w:r>
      <w:r>
        <w:t>A</w:t>
      </w:r>
      <w:r w:rsidR="007941EA">
        <w:t xml:space="preserve"> </w:t>
      </w:r>
      <w:proofErr w:type="spellStart"/>
      <w:r w:rsidR="007941EA">
        <w:t>subtariffs</w:t>
      </w:r>
      <w:proofErr w:type="spellEnd"/>
      <w:r>
        <w:t xml:space="preserve">, contending that </w:t>
      </w:r>
      <w:proofErr w:type="spellStart"/>
      <w:r>
        <w:t>VNEM</w:t>
      </w:r>
      <w:proofErr w:type="spellEnd"/>
      <w:r>
        <w:t xml:space="preserve"> and </w:t>
      </w:r>
      <w:r w:rsidR="007941EA">
        <w:t xml:space="preserve">NEMA </w:t>
      </w:r>
      <w:proofErr w:type="spellStart"/>
      <w:r w:rsidR="007941EA">
        <w:t>sub</w:t>
      </w:r>
      <w:r>
        <w:t>tariffs</w:t>
      </w:r>
      <w:proofErr w:type="spellEnd"/>
      <w:r>
        <w:t xml:space="preserve"> serve different purposes and should remain</w:t>
      </w:r>
      <w:r w:rsidR="007941EA">
        <w:t xml:space="preserve"> </w:t>
      </w:r>
      <w:r>
        <w:t xml:space="preserve">separate.  </w:t>
      </w:r>
      <w:r w:rsidR="007670A4">
        <w:t>Ivy E</w:t>
      </w:r>
      <w:r>
        <w:t xml:space="preserve">nergy states that </w:t>
      </w:r>
      <w:proofErr w:type="spellStart"/>
      <w:r>
        <w:t>VNEM</w:t>
      </w:r>
      <w:proofErr w:type="spellEnd"/>
      <w:r>
        <w:t xml:space="preserve"> is for multifamily </w:t>
      </w:r>
      <w:r w:rsidR="00080346">
        <w:t xml:space="preserve">properties </w:t>
      </w:r>
      <w:r w:rsidR="0013614F">
        <w:t xml:space="preserve">and is </w:t>
      </w:r>
      <w:r>
        <w:t xml:space="preserve"> designed to facilitate virtual metering billing arrange</w:t>
      </w:r>
      <w:r w:rsidR="004D7E3C">
        <w:t>ments</w:t>
      </w:r>
      <w:r>
        <w:t xml:space="preserve">.  In comparison, </w:t>
      </w:r>
      <w:r w:rsidR="007941EA">
        <w:t>NEMA</w:t>
      </w:r>
      <w:r w:rsidR="00F55701">
        <w:t xml:space="preserve"> — </w:t>
      </w:r>
      <w:r>
        <w:t xml:space="preserve">Ivy </w:t>
      </w:r>
      <w:r w:rsidR="00BD2D4E">
        <w:t xml:space="preserve">Energy </w:t>
      </w:r>
      <w:r>
        <w:t>contends</w:t>
      </w:r>
      <w:r w:rsidR="00F55701">
        <w:t xml:space="preserve"> — </w:t>
      </w:r>
      <w:r>
        <w:t xml:space="preserve">is available to a single customer </w:t>
      </w:r>
      <w:r w:rsidR="00E706E2">
        <w:t xml:space="preserve">who </w:t>
      </w:r>
      <w:r>
        <w:t xml:space="preserve">has generating facilities on adjacent or continuous properties and allows for </w:t>
      </w:r>
      <w:r>
        <w:lastRenderedPageBreak/>
        <w:t>aggregation as if on one site.</w:t>
      </w:r>
      <w:r>
        <w:rPr>
          <w:rStyle w:val="FootnoteReference"/>
        </w:rPr>
        <w:footnoteReference w:id="499"/>
      </w:r>
      <w:r>
        <w:t xml:space="preserve">  </w:t>
      </w:r>
      <w:r w:rsidR="00E75A70">
        <w:t xml:space="preserve">The Commission </w:t>
      </w:r>
      <w:r>
        <w:t>agree</w:t>
      </w:r>
      <w:r w:rsidR="00E75A70">
        <w:t>s</w:t>
      </w:r>
      <w:r>
        <w:t xml:space="preserve"> with </w:t>
      </w:r>
      <w:r w:rsidR="007670A4">
        <w:t>Ivy E</w:t>
      </w:r>
      <w:r>
        <w:t xml:space="preserve">nergy that the two </w:t>
      </w:r>
      <w:proofErr w:type="spellStart"/>
      <w:r w:rsidR="007941EA">
        <w:t>sub</w:t>
      </w:r>
      <w:r>
        <w:t>tariffs</w:t>
      </w:r>
      <w:proofErr w:type="spellEnd"/>
      <w:r>
        <w:t xml:space="preserve"> serve separate purposes</w:t>
      </w:r>
      <w:r w:rsidR="006910E8">
        <w:t xml:space="preserve"> and</w:t>
      </w:r>
      <w:r w:rsidR="00013E60">
        <w:t xml:space="preserve">, generally, </w:t>
      </w:r>
      <w:r w:rsidR="006910E8">
        <w:t>have separate customer bases</w:t>
      </w:r>
      <w:r w:rsidR="00555CC0">
        <w:t xml:space="preserve">:  </w:t>
      </w:r>
      <w:proofErr w:type="spellStart"/>
      <w:r>
        <w:t>VNEM</w:t>
      </w:r>
      <w:proofErr w:type="spellEnd"/>
      <w:r>
        <w:t xml:space="preserve"> primarily for </w:t>
      </w:r>
      <w:r w:rsidR="0013614F">
        <w:t>multi</w:t>
      </w:r>
      <w:r w:rsidR="00827602">
        <w:noBreakHyphen/>
      </w:r>
      <w:r w:rsidR="0013614F">
        <w:t>tenant</w:t>
      </w:r>
      <w:r w:rsidR="006910E8">
        <w:t xml:space="preserve"> </w:t>
      </w:r>
      <w:r w:rsidR="00FF6547">
        <w:t>properties</w:t>
      </w:r>
      <w:r w:rsidR="006910E8">
        <w:t xml:space="preserve"> and NEMA primarily for agricultural customers</w:t>
      </w:r>
      <w:r w:rsidR="00013E60">
        <w:t>.</w:t>
      </w:r>
      <w:r w:rsidR="006910E8">
        <w:rPr>
          <w:rStyle w:val="FootnoteReference"/>
        </w:rPr>
        <w:footnoteReference w:id="500"/>
      </w:r>
      <w:r w:rsidR="00CA7A1D">
        <w:t xml:space="preserve">  </w:t>
      </w:r>
      <w:r w:rsidR="006910E8">
        <w:t xml:space="preserve">Accordingly, </w:t>
      </w:r>
      <w:r w:rsidR="00E75A70">
        <w:t xml:space="preserve">this decision </w:t>
      </w:r>
      <w:r w:rsidR="006910E8">
        <w:t>maintain</w:t>
      </w:r>
      <w:r w:rsidR="00E75A70">
        <w:t>s</w:t>
      </w:r>
      <w:r w:rsidR="006910E8">
        <w:t xml:space="preserve"> separate </w:t>
      </w:r>
      <w:proofErr w:type="spellStart"/>
      <w:r w:rsidR="006910E8">
        <w:t>subtariffs</w:t>
      </w:r>
      <w:proofErr w:type="spellEnd"/>
      <w:r w:rsidR="006910E8">
        <w:t xml:space="preserve"> for the two.</w:t>
      </w:r>
    </w:p>
    <w:p w:rsidR="006910E8" w:rsidP="005E7044" w:rsidRDefault="006910E8" w14:paraId="1EB09035" w14:textId="279C400C">
      <w:pPr>
        <w:pStyle w:val="Standard"/>
      </w:pPr>
      <w:r>
        <w:t xml:space="preserve">Third, </w:t>
      </w:r>
      <w:proofErr w:type="spellStart"/>
      <w:r>
        <w:t>CALSSA</w:t>
      </w:r>
      <w:proofErr w:type="spellEnd"/>
      <w:r>
        <w:t xml:space="preserve"> proposes the Commission allow multiple solar arrays on one property to be treated as one generator </w:t>
      </w:r>
      <w:r w:rsidR="007D0DE8">
        <w:t xml:space="preserve">for billing purposes </w:t>
      </w:r>
      <w:r>
        <w:t xml:space="preserve">in the </w:t>
      </w:r>
      <w:proofErr w:type="spellStart"/>
      <w:r>
        <w:t>VNEM</w:t>
      </w:r>
      <w:proofErr w:type="spellEnd"/>
      <w:r>
        <w:t xml:space="preserve"> </w:t>
      </w:r>
      <w:proofErr w:type="spellStart"/>
      <w:r w:rsidR="007D0DE8">
        <w:t>sub</w:t>
      </w:r>
      <w:r>
        <w:t>tariff</w:t>
      </w:r>
      <w:proofErr w:type="spellEnd"/>
      <w:r>
        <w:t xml:space="preserve">, with credits allocated across the property.  </w:t>
      </w:r>
      <w:proofErr w:type="spellStart"/>
      <w:r>
        <w:t>CALSSA</w:t>
      </w:r>
      <w:proofErr w:type="spellEnd"/>
      <w:r>
        <w:t xml:space="preserve"> notes that the current </w:t>
      </w:r>
      <w:proofErr w:type="spellStart"/>
      <w:r w:rsidR="007D0DE8">
        <w:t>sub</w:t>
      </w:r>
      <w:r>
        <w:t>tariff</w:t>
      </w:r>
      <w:proofErr w:type="spellEnd"/>
      <w:r>
        <w:t xml:space="preserve"> allows multiple arrays but requires each array to serve a subset of customers on the property.</w:t>
      </w:r>
      <w:r>
        <w:rPr>
          <w:rStyle w:val="FootnoteReference"/>
        </w:rPr>
        <w:footnoteReference w:id="501"/>
      </w:r>
      <w:r w:rsidR="00AF2F9F">
        <w:t xml:space="preserve">  Joint Utilities point to no engineering or policy reason to deny this change.</w:t>
      </w:r>
      <w:r w:rsidR="00E4110A">
        <w:t xml:space="preserve">  </w:t>
      </w:r>
      <w:r w:rsidR="00E75A70">
        <w:t>T</w:t>
      </w:r>
      <w:r w:rsidR="00E4110A">
        <w:t xml:space="preserve">his recommendation </w:t>
      </w:r>
      <w:r w:rsidR="00E75A70">
        <w:t xml:space="preserve">is </w:t>
      </w:r>
      <w:r w:rsidR="00E4110A">
        <w:t xml:space="preserve">reasonable and efficient; as </w:t>
      </w:r>
      <w:proofErr w:type="spellStart"/>
      <w:r w:rsidR="00E4110A">
        <w:t>CALSSA</w:t>
      </w:r>
      <w:proofErr w:type="spellEnd"/>
      <w:r w:rsidR="00E4110A">
        <w:t xml:space="preserve"> points out many apartment complexes contain more than one building and often require the use of separate roof surfaces and points of interconnection.</w:t>
      </w:r>
      <w:r w:rsidR="00E4110A">
        <w:rPr>
          <w:rStyle w:val="FootnoteReference"/>
        </w:rPr>
        <w:footnoteReference w:id="502"/>
      </w:r>
      <w:r w:rsidR="007D0DE8">
        <w:t xml:space="preserve">  Furthermore, adoption of this proposal brings the general </w:t>
      </w:r>
      <w:proofErr w:type="spellStart"/>
      <w:r w:rsidR="007D0DE8">
        <w:t>VNEM</w:t>
      </w:r>
      <w:proofErr w:type="spellEnd"/>
      <w:r w:rsidR="007D0DE8">
        <w:t xml:space="preserve"> </w:t>
      </w:r>
      <w:proofErr w:type="spellStart"/>
      <w:r w:rsidR="007D0DE8">
        <w:t>subtariff</w:t>
      </w:r>
      <w:proofErr w:type="spellEnd"/>
      <w:r w:rsidR="007D0DE8">
        <w:t xml:space="preserve"> into alignment with existing MASH and SOMAH </w:t>
      </w:r>
      <w:proofErr w:type="spellStart"/>
      <w:r w:rsidR="007D0DE8">
        <w:t>VNEM</w:t>
      </w:r>
      <w:proofErr w:type="spellEnd"/>
      <w:r w:rsidR="007D0DE8">
        <w:t xml:space="preserve"> </w:t>
      </w:r>
      <w:proofErr w:type="spellStart"/>
      <w:r w:rsidR="007D0DE8">
        <w:t>subtariffs</w:t>
      </w:r>
      <w:proofErr w:type="spellEnd"/>
      <w:r w:rsidR="007D0DE8">
        <w:t>.</w:t>
      </w:r>
    </w:p>
    <w:p w:rsidR="00374F0E" w:rsidP="005E7044" w:rsidRDefault="00374F0E" w14:paraId="513D239D" w14:textId="2E148E69">
      <w:pPr>
        <w:pStyle w:val="Heading3"/>
        <w:keepLines w:val="0"/>
      </w:pPr>
      <w:bookmarkStart w:name="_Toc117674106" w:id="232"/>
      <w:bookmarkStart w:name="_Toc118285097" w:id="233"/>
      <w:bookmarkStart w:name="_Toc121854424" w:id="234"/>
      <w:r>
        <w:t>Community Project Tariffs</w:t>
      </w:r>
      <w:bookmarkEnd w:id="232"/>
      <w:bookmarkEnd w:id="233"/>
      <w:bookmarkEnd w:id="234"/>
    </w:p>
    <w:p w:rsidR="00533B2F" w:rsidP="005E7044" w:rsidRDefault="004921FC" w14:paraId="1E4E52C9" w14:textId="77777777">
      <w:pPr>
        <w:pStyle w:val="Standard"/>
      </w:pPr>
      <w:r>
        <w:t xml:space="preserve">As previously described in </w:t>
      </w:r>
      <w:r w:rsidR="0034029C">
        <w:t>Section 6</w:t>
      </w:r>
      <w:r>
        <w:t xml:space="preserve"> above, </w:t>
      </w:r>
      <w:r w:rsidR="00A85C8D">
        <w:t>CCSA, CESA, and PCF put forward proposals for community distributed energy resources</w:t>
      </w:r>
      <w:r>
        <w:t xml:space="preserve">.  </w:t>
      </w:r>
      <w:r w:rsidR="00EE61E9">
        <w:t xml:space="preserve">CCSA proposes that renewable energy projects up to five megawatts interconnected to the distribution system receive monetary credits that are then applied to the utility bills of customers in the same utility service area who subscribe to the project.  </w:t>
      </w:r>
      <w:r w:rsidR="00EE61E9">
        <w:lastRenderedPageBreak/>
        <w:t>CESA recommends virtual pairing of separate solar and offsite energy storage resources.  PCF proposes growing community storage through a net energy metering customer fee</w:t>
      </w:r>
      <w:r>
        <w:t>.</w:t>
      </w:r>
    </w:p>
    <w:p w:rsidR="00692D88" w:rsidP="005E7044" w:rsidRDefault="00E706E2" w14:paraId="0EB5A219" w14:textId="25441F17">
      <w:pPr>
        <w:pStyle w:val="Standard"/>
      </w:pPr>
      <w:r>
        <w:t>The Commission</w:t>
      </w:r>
      <w:r w:rsidR="00E75A70">
        <w:t xml:space="preserve"> </w:t>
      </w:r>
      <w:r w:rsidR="00A85C8D">
        <w:t>decline</w:t>
      </w:r>
      <w:r w:rsidR="00E75A70">
        <w:t>s</w:t>
      </w:r>
      <w:r w:rsidR="00A85C8D">
        <w:t xml:space="preserve"> to adopt a succ</w:t>
      </w:r>
      <w:r w:rsidR="00EE61E9">
        <w:t>e</w:t>
      </w:r>
      <w:r w:rsidR="00A85C8D">
        <w:t xml:space="preserve">ssor tariff specifically for </w:t>
      </w:r>
      <w:r w:rsidR="00B95CB5">
        <w:t xml:space="preserve">community </w:t>
      </w:r>
      <w:r w:rsidR="00A85C8D">
        <w:t>distributed energy resources</w:t>
      </w:r>
      <w:r>
        <w:t xml:space="preserve"> in this decision</w:t>
      </w:r>
      <w:r w:rsidR="00A85C8D">
        <w:t xml:space="preserve">, as </w:t>
      </w:r>
      <w:r w:rsidR="00E75A70">
        <w:t xml:space="preserve">the Commission </w:t>
      </w:r>
      <w:r w:rsidR="00A85C8D">
        <w:t>deem</w:t>
      </w:r>
      <w:r w:rsidR="00E75A70">
        <w:t>s</w:t>
      </w:r>
      <w:r w:rsidR="00A85C8D">
        <w:t xml:space="preserve"> it premature</w:t>
      </w:r>
      <w:r w:rsidR="00B95CB5">
        <w:t xml:space="preserve">.  </w:t>
      </w:r>
      <w:r w:rsidR="00692D88">
        <w:t xml:space="preserve">As stated in the Scoping Memo, </w:t>
      </w:r>
      <w:r w:rsidR="00B95CB5">
        <w:t xml:space="preserve">this proceeding will coordinate with other related proceedings.  </w:t>
      </w:r>
      <w:r w:rsidR="006F202D">
        <w:t xml:space="preserve">There are currently aspects of community solar that are being discussed or considered in other proceedings.  </w:t>
      </w:r>
      <w:r w:rsidR="00A85C8D">
        <w:t xml:space="preserve">For example, in </w:t>
      </w:r>
      <w:r w:rsidR="00693C57">
        <w:t>May</w:t>
      </w:r>
      <w:r w:rsidR="004B6E43">
        <w:t> </w:t>
      </w:r>
      <w:r w:rsidR="00A85C8D">
        <w:t>2022, PG&amp;E, SDG&amp;E, and SCE</w:t>
      </w:r>
      <w:r w:rsidR="00970263">
        <w:t xml:space="preserve"> each</w:t>
      </w:r>
      <w:r w:rsidR="00A85C8D">
        <w:t xml:space="preserve"> file</w:t>
      </w:r>
      <w:r w:rsidR="00EB1388">
        <w:t>d</w:t>
      </w:r>
      <w:r w:rsidR="00A85C8D">
        <w:t xml:space="preserve"> applications for their </w:t>
      </w:r>
      <w:r w:rsidR="0062162B">
        <w:t xml:space="preserve">Green Tariff Shared Renewables program, </w:t>
      </w:r>
      <w:r w:rsidR="00A85C8D">
        <w:t>Disadvantaged Communities Green Tariff program</w:t>
      </w:r>
      <w:r w:rsidR="0062162B">
        <w:t>,</w:t>
      </w:r>
      <w:r w:rsidR="00A85C8D">
        <w:t xml:space="preserve"> and Community Solar Green Tariff program</w:t>
      </w:r>
      <w:r w:rsidR="00EB1388">
        <w:t xml:space="preserve">, resulting in the opening of the </w:t>
      </w:r>
      <w:r w:rsidR="00970263">
        <w:t>consolid</w:t>
      </w:r>
      <w:r w:rsidR="00CD15E6">
        <w:t xml:space="preserve">ated </w:t>
      </w:r>
      <w:r w:rsidR="00EB1388">
        <w:t>proceeding, Application (A.)</w:t>
      </w:r>
      <w:r w:rsidR="004B6E43">
        <w:t> </w:t>
      </w:r>
      <w:r w:rsidR="00EB1388">
        <w:t>22</w:t>
      </w:r>
      <w:r w:rsidR="00827602">
        <w:noBreakHyphen/>
      </w:r>
      <w:r w:rsidR="00EB1388">
        <w:t>05</w:t>
      </w:r>
      <w:r w:rsidR="00827602">
        <w:noBreakHyphen/>
      </w:r>
      <w:r w:rsidR="00EB1388">
        <w:t>022</w:t>
      </w:r>
      <w:r w:rsidR="00CD15E6">
        <w:t>, A.22</w:t>
      </w:r>
      <w:r w:rsidR="00827602">
        <w:noBreakHyphen/>
      </w:r>
      <w:r w:rsidR="00CD15E6">
        <w:t>05</w:t>
      </w:r>
      <w:r w:rsidR="00827602">
        <w:noBreakHyphen/>
      </w:r>
      <w:r w:rsidR="00CD15E6">
        <w:t>023, and A.22</w:t>
      </w:r>
      <w:r w:rsidR="00827602">
        <w:noBreakHyphen/>
      </w:r>
      <w:r w:rsidR="00CD15E6">
        <w:t>05</w:t>
      </w:r>
      <w:r w:rsidR="00827602">
        <w:noBreakHyphen/>
      </w:r>
      <w:r w:rsidR="00CD15E6">
        <w:t>024</w:t>
      </w:r>
      <w:r w:rsidR="00A85C8D">
        <w:t xml:space="preserve">. </w:t>
      </w:r>
      <w:r w:rsidR="00692D88">
        <w:t xml:space="preserve"> Additionally, </w:t>
      </w:r>
      <w:r w:rsidR="00F138A9">
        <w:t>AB </w:t>
      </w:r>
      <w:r w:rsidR="00692D88">
        <w:t xml:space="preserve">2316 requires the Commission to evaluate </w:t>
      </w:r>
      <w:r>
        <w:t>customer renewable energy programs to determine whether they achieve specified goals, including whether the program efficiently serves distinct groups; minimizes duplicative offerings; and promotes robust participation by low</w:t>
      </w:r>
      <w:r w:rsidR="00827602">
        <w:noBreakHyphen/>
      </w:r>
      <w:r>
        <w:t xml:space="preserve">income customers.  </w:t>
      </w:r>
      <w:r w:rsidR="00F138A9">
        <w:t>AB </w:t>
      </w:r>
      <w:r>
        <w:t>2316 further requires the Commission to provide a report to the Legislature by March</w:t>
      </w:r>
      <w:r w:rsidR="00E71430">
        <w:t> </w:t>
      </w:r>
      <w:r>
        <w:t>31,</w:t>
      </w:r>
      <w:r w:rsidR="00E71430">
        <w:t> </w:t>
      </w:r>
      <w:r>
        <w:t xml:space="preserve">2024 that justifies any actions taken as a result of the evaluation of each program and </w:t>
      </w:r>
      <w:r w:rsidR="00DE3B9C">
        <w:t>explain whether it would be beneficial to ratepayers to establish a new community renewable energy program</w:t>
      </w:r>
      <w:r w:rsidR="00692D88">
        <w:t>.  As such, a recent ruling in A</w:t>
      </w:r>
      <w:r w:rsidR="00CF023B">
        <w:t>.</w:t>
      </w:r>
      <w:r w:rsidR="00692D88">
        <w:t>22</w:t>
      </w:r>
      <w:r w:rsidR="00827602">
        <w:noBreakHyphen/>
      </w:r>
      <w:r w:rsidR="00692D88">
        <w:t>05</w:t>
      </w:r>
      <w:r w:rsidR="00827602">
        <w:noBreakHyphen/>
      </w:r>
      <w:r w:rsidR="00692D88">
        <w:t xml:space="preserve">022 </w:t>
      </w:r>
      <w:r w:rsidRPr="008307F3" w:rsidR="00CD15E6">
        <w:rPr>
          <w:i/>
          <w:iCs/>
        </w:rPr>
        <w:t>et</w:t>
      </w:r>
      <w:r w:rsidR="008307F3">
        <w:rPr>
          <w:i/>
          <w:iCs/>
        </w:rPr>
        <w:t> </w:t>
      </w:r>
      <w:r w:rsidRPr="008307F3" w:rsidR="00CD15E6">
        <w:rPr>
          <w:i/>
          <w:iCs/>
        </w:rPr>
        <w:t>al</w:t>
      </w:r>
      <w:r w:rsidR="00CD15E6">
        <w:t xml:space="preserve">. </w:t>
      </w:r>
      <w:r w:rsidR="00692D88">
        <w:t xml:space="preserve">directed parties to consider matters such as </w:t>
      </w:r>
      <w:r w:rsidR="00F138A9">
        <w:t>AB </w:t>
      </w:r>
      <w:r w:rsidR="00692D88">
        <w:t>2316 when determining the schedule for the proceeding.</w:t>
      </w:r>
    </w:p>
    <w:p w:rsidR="00374F0E" w:rsidP="005E7044" w:rsidRDefault="00EB1388" w14:paraId="175C7690" w14:textId="050CB7DD">
      <w:pPr>
        <w:pStyle w:val="Standard"/>
      </w:pPr>
      <w:r>
        <w:t xml:space="preserve">The Commission recognizes that a community </w:t>
      </w:r>
      <w:r w:rsidR="0001375B">
        <w:t>renewable energy program</w:t>
      </w:r>
      <w:r>
        <w:t xml:space="preserve"> tariff has </w:t>
      </w:r>
      <w:r w:rsidR="00AE239C">
        <w:t xml:space="preserve">the </w:t>
      </w:r>
      <w:r>
        <w:t xml:space="preserve">potential to benefit the grid and ratepayers.  </w:t>
      </w:r>
      <w:r w:rsidR="00692D88">
        <w:t>Hence</w:t>
      </w:r>
      <w:r>
        <w:t xml:space="preserve">, a full examination in a narrower context </w:t>
      </w:r>
      <w:r w:rsidR="00DE3B9C">
        <w:t>is warranted through A.22</w:t>
      </w:r>
      <w:r w:rsidR="00827602">
        <w:noBreakHyphen/>
      </w:r>
      <w:r w:rsidR="00DE3B9C">
        <w:t>05</w:t>
      </w:r>
      <w:r w:rsidR="00827602">
        <w:noBreakHyphen/>
      </w:r>
      <w:r w:rsidR="00DE3B9C">
        <w:t>022</w:t>
      </w:r>
      <w:r w:rsidR="00CD15E6">
        <w:t xml:space="preserve"> </w:t>
      </w:r>
      <w:r w:rsidRPr="008307F3" w:rsidR="00CD15E6">
        <w:rPr>
          <w:i/>
          <w:iCs/>
        </w:rPr>
        <w:t>et</w:t>
      </w:r>
      <w:r w:rsidR="008307F3">
        <w:rPr>
          <w:i/>
          <w:iCs/>
        </w:rPr>
        <w:t> </w:t>
      </w:r>
      <w:r w:rsidRPr="008307F3" w:rsidR="00CD15E6">
        <w:rPr>
          <w:i/>
          <w:iCs/>
        </w:rPr>
        <w:t>al.</w:t>
      </w:r>
      <w:r w:rsidR="00DE3B9C">
        <w:t xml:space="preserve">, which </w:t>
      </w:r>
      <w:r>
        <w:lastRenderedPageBreak/>
        <w:t xml:space="preserve">allows the Commission to </w:t>
      </w:r>
      <w:r w:rsidR="00DE3B9C">
        <w:t>compare the</w:t>
      </w:r>
      <w:r>
        <w:t xml:space="preserve"> costs and benefits </w:t>
      </w:r>
      <w:r w:rsidR="00DE3B9C">
        <w:t xml:space="preserve">of </w:t>
      </w:r>
      <w:r w:rsidR="0062162B">
        <w:t xml:space="preserve">proposals for new </w:t>
      </w:r>
      <w:r w:rsidR="00DE3B9C">
        <w:t xml:space="preserve">community </w:t>
      </w:r>
      <w:r w:rsidR="0001375B">
        <w:t>renewable energy programs</w:t>
      </w:r>
      <w:r w:rsidR="00DE3B9C">
        <w:t xml:space="preserve"> </w:t>
      </w:r>
      <w:r>
        <w:t xml:space="preserve">directly </w:t>
      </w:r>
      <w:r w:rsidR="00DE3B9C">
        <w:t xml:space="preserve">with </w:t>
      </w:r>
      <w:r w:rsidR="0062162B">
        <w:t xml:space="preserve">existing </w:t>
      </w:r>
      <w:r>
        <w:t>community solar programs</w:t>
      </w:r>
      <w:r w:rsidR="0062162B">
        <w:t>.</w:t>
      </w:r>
    </w:p>
    <w:p w:rsidR="007156B9" w:rsidP="005E7044" w:rsidRDefault="007D0284" w14:paraId="011E04D4" w14:textId="1984F485">
      <w:pPr>
        <w:pStyle w:val="Heading3"/>
        <w:keepLines w:val="0"/>
      </w:pPr>
      <w:bookmarkStart w:name="_Toc117674107" w:id="235"/>
      <w:bookmarkStart w:name="_Toc118285098" w:id="236"/>
      <w:bookmarkStart w:name="_Toc121854425" w:id="237"/>
      <w:r>
        <w:t xml:space="preserve">Revisions to </w:t>
      </w:r>
      <w:r w:rsidR="00602BC5">
        <w:t>NEM 1.0</w:t>
      </w:r>
      <w:r w:rsidR="00450596">
        <w:br/>
      </w:r>
      <w:r>
        <w:t>and</w:t>
      </w:r>
      <w:r w:rsidR="00450596">
        <w:t xml:space="preserve"> </w:t>
      </w:r>
      <w:r w:rsidR="00602BC5">
        <w:t>NEM 2.0</w:t>
      </w:r>
      <w:r w:rsidR="00135D55">
        <w:t xml:space="preserve"> </w:t>
      </w:r>
      <w:r w:rsidR="006F202D">
        <w:t>Tariffs</w:t>
      </w:r>
      <w:bookmarkEnd w:id="235"/>
      <w:bookmarkEnd w:id="236"/>
      <w:bookmarkEnd w:id="237"/>
    </w:p>
    <w:p w:rsidR="001C0867" w:rsidP="005E7044" w:rsidRDefault="007E46D8" w14:paraId="444FF8E7" w14:textId="68B3481C">
      <w:pPr>
        <w:pStyle w:val="Standard"/>
      </w:pPr>
      <w:r>
        <w:t>In D.16</w:t>
      </w:r>
      <w:r w:rsidR="00827602">
        <w:noBreakHyphen/>
      </w:r>
      <w:r>
        <w:t>01</w:t>
      </w:r>
      <w:r w:rsidR="00827602">
        <w:noBreakHyphen/>
      </w:r>
      <w:r>
        <w:t xml:space="preserve">044, </w:t>
      </w:r>
      <w:r w:rsidR="00E04C2F">
        <w:t xml:space="preserve">determinations regarding </w:t>
      </w:r>
      <w:r w:rsidR="00602BC5">
        <w:t>NEM 2.0</w:t>
      </w:r>
      <w:r w:rsidR="00E04C2F">
        <w:t xml:space="preserve"> w</w:t>
      </w:r>
      <w:r w:rsidR="00E4110A">
        <w:t xml:space="preserve">ere </w:t>
      </w:r>
      <w:r w:rsidR="00E04C2F">
        <w:t xml:space="preserve">made at a transitional moment without the advantage of a </w:t>
      </w:r>
      <w:r w:rsidR="00BA1EAE">
        <w:t>“</w:t>
      </w:r>
      <w:r w:rsidR="00E04C2F">
        <w:t>quantitively informed basis.</w:t>
      </w:r>
      <w:r w:rsidR="00BA1EAE">
        <w:t>”</w:t>
      </w:r>
      <w:r w:rsidR="00CA7A1D">
        <w:rPr>
          <w:rStyle w:val="FootnoteReference"/>
        </w:rPr>
        <w:footnoteReference w:id="503"/>
      </w:r>
      <w:r w:rsidR="00E04C2F">
        <w:t xml:space="preserve">  Over six years later, </w:t>
      </w:r>
      <w:r w:rsidR="00FE6718">
        <w:t xml:space="preserve">the Commission </w:t>
      </w:r>
      <w:r w:rsidR="00E04C2F">
        <w:t>ha</w:t>
      </w:r>
      <w:r w:rsidR="00FE6718">
        <w:t>s</w:t>
      </w:r>
      <w:r w:rsidR="00E04C2F">
        <w:t xml:space="preserve"> the </w:t>
      </w:r>
      <w:r w:rsidR="00E25695">
        <w:t>data need</w:t>
      </w:r>
      <w:r w:rsidR="00FE6718">
        <w:t>ed</w:t>
      </w:r>
      <w:r w:rsidR="00E25695">
        <w:t xml:space="preserve"> to make an informed decision.  As indicated previously, the Lookback Study</w:t>
      </w:r>
      <w:r w:rsidR="00E4110A">
        <w:t xml:space="preserve"> found that </w:t>
      </w:r>
      <w:r w:rsidR="00602BC5">
        <w:t>NEM 2.0</w:t>
      </w:r>
      <w:r w:rsidR="00135D55">
        <w:t xml:space="preserve"> </w:t>
      </w:r>
      <w:r w:rsidR="00E4110A">
        <w:t>is not cost</w:t>
      </w:r>
      <w:r w:rsidR="00827602">
        <w:noBreakHyphen/>
      </w:r>
      <w:r w:rsidR="00E4110A">
        <w:t>effective; has negatively impacted non</w:t>
      </w:r>
      <w:r w:rsidR="00827602">
        <w:noBreakHyphen/>
      </w:r>
      <w:r w:rsidR="00E4110A">
        <w:t xml:space="preserve">participant ratepayers; </w:t>
      </w:r>
      <w:r w:rsidR="001C0867">
        <w:t>and has disproportionately harmed low</w:t>
      </w:r>
      <w:r w:rsidR="00827602">
        <w:noBreakHyphen/>
      </w:r>
      <w:r w:rsidR="001C0867">
        <w:t>income customers</w:t>
      </w:r>
      <w:r w:rsidR="006476D6">
        <w:t>; certain p</w:t>
      </w:r>
      <w:r w:rsidR="005B3EE6">
        <w:t>arties contend</w:t>
      </w:r>
      <w:r w:rsidR="001C0867">
        <w:t xml:space="preserve"> the cost shift ranges between </w:t>
      </w:r>
      <w:r w:rsidR="005B3EE6">
        <w:t>$1 and $3.4</w:t>
      </w:r>
      <w:r w:rsidR="002268EB">
        <w:t> billion</w:t>
      </w:r>
      <w:r w:rsidR="005B3EE6">
        <w:t xml:space="preserve"> a year.</w:t>
      </w:r>
      <w:r w:rsidR="00E54E69">
        <w:t xml:space="preserve">  The changes made </w:t>
      </w:r>
      <w:r w:rsidR="004921FC">
        <w:t xml:space="preserve">thus far </w:t>
      </w:r>
      <w:r w:rsidR="00E54E69">
        <w:t xml:space="preserve">in this decision do nothing to tackle this </w:t>
      </w:r>
      <w:r w:rsidR="009829AF">
        <w:t xml:space="preserve">existing </w:t>
      </w:r>
      <w:r w:rsidR="00E54E69">
        <w:t>cost shift.  The changes only attempt to prevent or at least limit additional cost shift from new customers</w:t>
      </w:r>
      <w:r w:rsidR="00620507">
        <w:t xml:space="preserve"> in the successor tariff</w:t>
      </w:r>
      <w:r w:rsidR="00E54E69">
        <w:t xml:space="preserve">.  </w:t>
      </w:r>
      <w:r w:rsidR="006476D6">
        <w:t>Below</w:t>
      </w:r>
      <w:r w:rsidR="00CD15E6">
        <w:t>,</w:t>
      </w:r>
      <w:r w:rsidR="006476D6">
        <w:t xml:space="preserve"> </w:t>
      </w:r>
      <w:r w:rsidR="00FE6718">
        <w:t>this decision</w:t>
      </w:r>
      <w:r w:rsidR="006476D6">
        <w:t xml:space="preserve"> discuss</w:t>
      </w:r>
      <w:r w:rsidR="00FE6718">
        <w:t>es</w:t>
      </w:r>
      <w:r w:rsidR="006476D6">
        <w:t xml:space="preserve"> whether the Commission can and should make revisions to the </w:t>
      </w:r>
      <w:r w:rsidR="00602BC5">
        <w:t>NEM 1.0</w:t>
      </w:r>
      <w:r w:rsidR="006476D6">
        <w:t xml:space="preserve"> and </w:t>
      </w:r>
      <w:r w:rsidR="00602BC5">
        <w:t>NEM 2.0</w:t>
      </w:r>
      <w:r w:rsidR="00135D55">
        <w:t xml:space="preserve"> </w:t>
      </w:r>
      <w:r w:rsidR="006476D6">
        <w:t>tariff</w:t>
      </w:r>
      <w:r w:rsidR="007941EA">
        <w:t>s</w:t>
      </w:r>
      <w:r w:rsidR="006476D6">
        <w:t>.</w:t>
      </w:r>
    </w:p>
    <w:p w:rsidR="00D70B78" w:rsidP="005E7044" w:rsidRDefault="006476D6" w14:paraId="2E6C44EC" w14:textId="0D8EFD70">
      <w:pPr>
        <w:pStyle w:val="Standard"/>
      </w:pPr>
      <w:bookmarkStart w:name="_Hlk86575657" w:id="238"/>
      <w:r>
        <w:t xml:space="preserve">Several parties argue the Commission cannot and should not make any revisions to </w:t>
      </w:r>
      <w:r w:rsidR="00602BC5">
        <w:t>NEM 1.0</w:t>
      </w:r>
      <w:r>
        <w:t xml:space="preserve"> and </w:t>
      </w:r>
      <w:r w:rsidR="00602BC5">
        <w:t>NEM 2.0</w:t>
      </w:r>
      <w:r w:rsidR="00135D55">
        <w:t xml:space="preserve"> </w:t>
      </w:r>
      <w:r>
        <w:t xml:space="preserve">based on legal and fairness contentions.  </w:t>
      </w:r>
      <w:r w:rsidR="00FE6718">
        <w:t xml:space="preserve">This decision </w:t>
      </w:r>
      <w:r>
        <w:t>begin</w:t>
      </w:r>
      <w:r w:rsidR="00FE6718">
        <w:t>s</w:t>
      </w:r>
      <w:r>
        <w:t xml:space="preserve"> with </w:t>
      </w:r>
      <w:proofErr w:type="spellStart"/>
      <w:r>
        <w:t>CALSSA’s</w:t>
      </w:r>
      <w:proofErr w:type="spellEnd"/>
      <w:r>
        <w:t xml:space="preserve"> claim of a due process violation.  </w:t>
      </w:r>
      <w:proofErr w:type="spellStart"/>
      <w:r w:rsidR="00E54E69">
        <w:t>CALSSA</w:t>
      </w:r>
      <w:proofErr w:type="spellEnd"/>
      <w:r w:rsidR="00E54E69">
        <w:t xml:space="preserve"> argues that changes to </w:t>
      </w:r>
      <w:r w:rsidR="00602BC5">
        <w:t>NEM 1.0</w:t>
      </w:r>
      <w:r w:rsidR="00E54E69">
        <w:t xml:space="preserve"> and </w:t>
      </w:r>
      <w:r w:rsidR="00602BC5">
        <w:t>NEM 2.0</w:t>
      </w:r>
      <w:r w:rsidR="00135D55">
        <w:t xml:space="preserve"> </w:t>
      </w:r>
      <w:r w:rsidR="00E54E69">
        <w:t>are not in the scope of this proceeding</w:t>
      </w:r>
      <w:r w:rsidR="00E465AB">
        <w:t xml:space="preserve"> and that </w:t>
      </w:r>
      <w:r>
        <w:t xml:space="preserve">making changes to these tariffs </w:t>
      </w:r>
      <w:r w:rsidR="00E465AB">
        <w:t>would be a violation of customers</w:t>
      </w:r>
      <w:r w:rsidR="00F17D75">
        <w:t>’</w:t>
      </w:r>
      <w:r w:rsidR="00E465AB">
        <w:t xml:space="preserve"> due process</w:t>
      </w:r>
      <w:r>
        <w:t xml:space="preserve"> rights</w:t>
      </w:r>
      <w:r w:rsidR="00E54E69">
        <w:t xml:space="preserve">.  </w:t>
      </w:r>
      <w:proofErr w:type="spellStart"/>
      <w:r w:rsidR="00E54E69">
        <w:t>CALSSA</w:t>
      </w:r>
      <w:proofErr w:type="spellEnd"/>
      <w:r w:rsidR="00E54E69">
        <w:t xml:space="preserve"> correctly notes that </w:t>
      </w:r>
      <w:r w:rsidR="003A64D8">
        <w:t>Issue </w:t>
      </w:r>
      <w:r w:rsidR="00E54E69">
        <w:t xml:space="preserve">2, </w:t>
      </w:r>
      <w:r w:rsidR="00981C91">
        <w:t>Issue </w:t>
      </w:r>
      <w:r w:rsidR="00E54E69">
        <w:t xml:space="preserve">4, and </w:t>
      </w:r>
      <w:r w:rsidR="00981C91">
        <w:t>Issue </w:t>
      </w:r>
      <w:r w:rsidR="00E54E69">
        <w:t xml:space="preserve">5 speak solely to the matter of the successor tariff.  </w:t>
      </w:r>
      <w:r w:rsidR="00E465AB">
        <w:t xml:space="preserve">Turning to </w:t>
      </w:r>
      <w:r w:rsidR="004C6558">
        <w:t>Issue 6</w:t>
      </w:r>
      <w:r w:rsidR="00E465AB">
        <w:t xml:space="preserve">, </w:t>
      </w:r>
      <w:proofErr w:type="spellStart"/>
      <w:r w:rsidR="00E465AB">
        <w:t>CALSSA</w:t>
      </w:r>
      <w:proofErr w:type="spellEnd"/>
      <w:r w:rsidR="00E465AB">
        <w:t xml:space="preserve"> underscores the phrase, </w:t>
      </w:r>
      <w:r w:rsidR="00BA1EAE">
        <w:t>“</w:t>
      </w:r>
      <w:r w:rsidR="00E465AB">
        <w:t>other issues that may arise.</w:t>
      </w:r>
      <w:r w:rsidR="00BA1EAE">
        <w:t>”</w:t>
      </w:r>
      <w:r>
        <w:t xml:space="preserve">  Explaining </w:t>
      </w:r>
      <w:r w:rsidR="005A0A50">
        <w:t xml:space="preserve">that the scoping memo is issued following the review of the comments to the Order </w:t>
      </w:r>
      <w:r w:rsidR="005A0A50">
        <w:lastRenderedPageBreak/>
        <w:t>Instituting Rulemaking, replies to the comments, and discussion at the prehearing conferencing</w:t>
      </w:r>
      <w:r>
        <w:t>,</w:t>
      </w:r>
      <w:r w:rsidR="00E465AB">
        <w:t xml:space="preserve"> </w:t>
      </w:r>
      <w:proofErr w:type="spellStart"/>
      <w:r w:rsidR="005A0A50">
        <w:t>CALSSA</w:t>
      </w:r>
      <w:proofErr w:type="spellEnd"/>
      <w:r w:rsidR="005A0A50">
        <w:t xml:space="preserve"> argues that the matter of changes to </w:t>
      </w:r>
      <w:r w:rsidR="00602BC5">
        <w:t>NEM 1.0</w:t>
      </w:r>
      <w:r w:rsidR="005A0A50">
        <w:t xml:space="preserve"> and </w:t>
      </w:r>
      <w:r w:rsidR="00602BC5">
        <w:t>NEM 2.0</w:t>
      </w:r>
      <w:r w:rsidR="00135D55">
        <w:t xml:space="preserve"> </w:t>
      </w:r>
      <w:r w:rsidR="005A0A50">
        <w:t xml:space="preserve">was raised in those pleadings and </w:t>
      </w:r>
      <w:r w:rsidR="00E465AB">
        <w:t xml:space="preserve">therefore </w:t>
      </w:r>
      <w:r w:rsidR="005A0A50">
        <w:t xml:space="preserve">cannot be considered </w:t>
      </w:r>
      <w:r w:rsidR="00E465AB">
        <w:t xml:space="preserve">as </w:t>
      </w:r>
      <w:r w:rsidR="00BA1EAE">
        <w:t>“</w:t>
      </w:r>
      <w:r w:rsidR="005A0A50">
        <w:t>issues that may arise.</w:t>
      </w:r>
      <w:r w:rsidR="00BA1EAE">
        <w:t>”</w:t>
      </w:r>
      <w:r w:rsidR="005A0A50">
        <w:t xml:space="preserve"> </w:t>
      </w:r>
      <w:r w:rsidR="00C96245">
        <w:t xml:space="preserve"> </w:t>
      </w:r>
      <w:proofErr w:type="spellStart"/>
      <w:r w:rsidR="005A0A50">
        <w:t>CALSSA</w:t>
      </w:r>
      <w:proofErr w:type="spellEnd"/>
      <w:r w:rsidR="005A0A50">
        <w:t xml:space="preserve"> asserts that, with respect to </w:t>
      </w:r>
      <w:r w:rsidR="004C6558">
        <w:t>Issue 6</w:t>
      </w:r>
      <w:r w:rsidR="005A0A50">
        <w:t>, a</w:t>
      </w:r>
      <w:r w:rsidR="00220221">
        <w:t> </w:t>
      </w:r>
      <w:r w:rsidR="005A0A50">
        <w:t xml:space="preserve">reasonable affected customer would interpret the phrase </w:t>
      </w:r>
      <w:r w:rsidR="00BA1EAE">
        <w:t>“</w:t>
      </w:r>
      <w:r w:rsidR="005A0A50">
        <w:t>other issues that may arise</w:t>
      </w:r>
      <w:r w:rsidR="00BA1EAE">
        <w:t>”</w:t>
      </w:r>
      <w:r w:rsidR="005A0A50">
        <w:t xml:space="preserve"> as not including </w:t>
      </w:r>
      <w:r w:rsidR="00602BC5">
        <w:t>NEM 1.0</w:t>
      </w:r>
      <w:r w:rsidR="005A0A50">
        <w:t xml:space="preserve"> and </w:t>
      </w:r>
      <w:r w:rsidR="00602BC5">
        <w:t>NEM 2.0</w:t>
      </w:r>
      <w:r w:rsidR="00135D55">
        <w:t xml:space="preserve"> </w:t>
      </w:r>
      <w:r w:rsidR="005A0A50">
        <w:t>tariffs.</w:t>
      </w:r>
    </w:p>
    <w:p w:rsidR="00D70B78" w:rsidP="005E7044" w:rsidRDefault="00AF33DF" w14:paraId="3FD865A7" w14:textId="4E10D000">
      <w:pPr>
        <w:pStyle w:val="Standard"/>
      </w:pPr>
      <w:r>
        <w:t xml:space="preserve">TURN </w:t>
      </w:r>
      <w:r w:rsidR="006476D6">
        <w:t xml:space="preserve">considers </w:t>
      </w:r>
      <w:r>
        <w:t xml:space="preserve">this to be a </w:t>
      </w:r>
      <w:r w:rsidR="00BA1EAE">
        <w:t>“</w:t>
      </w:r>
      <w:r>
        <w:t>tortured</w:t>
      </w:r>
      <w:r w:rsidR="00BA1EAE">
        <w:t>”</w:t>
      </w:r>
      <w:r>
        <w:t xml:space="preserve"> reading of </w:t>
      </w:r>
      <w:r w:rsidR="004C6558">
        <w:t>Issue 6</w:t>
      </w:r>
      <w:r>
        <w:t xml:space="preserve">, especially given that at no time did </w:t>
      </w:r>
      <w:proofErr w:type="spellStart"/>
      <w:r>
        <w:t>CALSSA</w:t>
      </w:r>
      <w:proofErr w:type="spellEnd"/>
      <w:r>
        <w:t xml:space="preserve"> file a motion to strike any proposals with respect to revisions to </w:t>
      </w:r>
      <w:r w:rsidR="00602BC5">
        <w:t>NEM 1.0</w:t>
      </w:r>
      <w:r>
        <w:t xml:space="preserve"> and </w:t>
      </w:r>
      <w:r w:rsidR="00602BC5">
        <w:t>NEM 2.0</w:t>
      </w:r>
      <w:r w:rsidR="00135D55">
        <w:t xml:space="preserve"> </w:t>
      </w:r>
      <w:r w:rsidR="006476D6">
        <w:t>tariffs</w:t>
      </w:r>
      <w:r>
        <w:t xml:space="preserve">.  TURN highlights that </w:t>
      </w:r>
      <w:proofErr w:type="spellStart"/>
      <w:r>
        <w:t>CALSSA</w:t>
      </w:r>
      <w:proofErr w:type="spellEnd"/>
      <w:r>
        <w:t xml:space="preserve"> chose to conduct discovery on the proposals at issue and briefed the merits of the proposals.</w:t>
      </w:r>
      <w:r>
        <w:rPr>
          <w:rStyle w:val="FootnoteReference"/>
        </w:rPr>
        <w:footnoteReference w:id="504"/>
      </w:r>
      <w:r>
        <w:t xml:space="preserve">  TURN asserts that </w:t>
      </w:r>
      <w:r w:rsidR="004C6558">
        <w:t>Issue 6</w:t>
      </w:r>
      <w:r>
        <w:t xml:space="preserve"> clearly identifies the potential change to any existing net energy metering tariff as within scope of this proceeding, thus providing </w:t>
      </w:r>
      <w:proofErr w:type="spellStart"/>
      <w:r>
        <w:t>CALSSA</w:t>
      </w:r>
      <w:proofErr w:type="spellEnd"/>
      <w:r>
        <w:t xml:space="preserve"> with adequate notice that these issues would be considered.</w:t>
      </w:r>
      <w:r>
        <w:rPr>
          <w:rStyle w:val="FootnoteReference"/>
        </w:rPr>
        <w:footnoteReference w:id="505"/>
      </w:r>
      <w:r>
        <w:t xml:space="preserve">  TURN contends failure to submit a motion to strike earlier in the proceeding is fatal to </w:t>
      </w:r>
      <w:proofErr w:type="spellStart"/>
      <w:r>
        <w:t>CALSSA’s</w:t>
      </w:r>
      <w:proofErr w:type="spellEnd"/>
      <w:r>
        <w:t xml:space="preserve"> </w:t>
      </w:r>
      <w:r w:rsidR="00BA1EAE">
        <w:t>“</w:t>
      </w:r>
      <w:r w:rsidR="006476D6">
        <w:t>last minute claims.</w:t>
      </w:r>
      <w:r w:rsidR="00BA1EAE">
        <w:t>”</w:t>
      </w:r>
      <w:r w:rsidR="006476D6">
        <w:rPr>
          <w:rStyle w:val="FootnoteReference"/>
        </w:rPr>
        <w:footnoteReference w:id="506"/>
      </w:r>
    </w:p>
    <w:p w:rsidR="00E22E54" w:rsidP="005E7044" w:rsidRDefault="00112BBB" w14:paraId="29A2304E" w14:textId="449B3E9A">
      <w:pPr>
        <w:pStyle w:val="Standard"/>
      </w:pPr>
      <w:r>
        <w:t xml:space="preserve">The wording of </w:t>
      </w:r>
      <w:r w:rsidR="004C6558">
        <w:t>Issue 6</w:t>
      </w:r>
      <w:r>
        <w:t xml:space="preserve"> </w:t>
      </w:r>
      <w:r w:rsidR="00E22E54">
        <w:t>may be imprecise; h</w:t>
      </w:r>
      <w:r>
        <w:t xml:space="preserve">owever, </w:t>
      </w:r>
      <w:proofErr w:type="spellStart"/>
      <w:r>
        <w:t>CALSSA’s</w:t>
      </w:r>
      <w:proofErr w:type="spellEnd"/>
      <w:r>
        <w:t xml:space="preserve"> </w:t>
      </w:r>
      <w:r w:rsidR="00F705A1">
        <w:t xml:space="preserve">contention that </w:t>
      </w:r>
      <w:r w:rsidR="00E22E54">
        <w:t>it</w:t>
      </w:r>
      <w:r w:rsidR="00F705A1">
        <w:t xml:space="preserve"> does not include </w:t>
      </w:r>
      <w:r w:rsidR="00602BC5">
        <w:t>NEM 1.0</w:t>
      </w:r>
      <w:r w:rsidR="00F705A1">
        <w:t xml:space="preserve"> and </w:t>
      </w:r>
      <w:r w:rsidR="00602BC5">
        <w:t>NEM 2.0</w:t>
      </w:r>
      <w:r w:rsidR="00135D55">
        <w:t xml:space="preserve"> </w:t>
      </w:r>
      <w:r w:rsidR="00F705A1">
        <w:t xml:space="preserve">tariffs </w:t>
      </w:r>
      <w:r w:rsidR="00FE6718">
        <w:t>is</w:t>
      </w:r>
      <w:r w:rsidR="00F705A1">
        <w:t xml:space="preserve"> disingenuous</w:t>
      </w:r>
      <w:r w:rsidR="003C2C19">
        <w:t xml:space="preserve"> and not supported by the record of this proceeding</w:t>
      </w:r>
      <w:r w:rsidR="00F705A1">
        <w:t xml:space="preserve">.  </w:t>
      </w:r>
      <w:proofErr w:type="spellStart"/>
      <w:r w:rsidR="00F705A1">
        <w:t>CALSSA</w:t>
      </w:r>
      <w:proofErr w:type="spellEnd"/>
      <w:r w:rsidR="00F705A1">
        <w:t xml:space="preserve"> argues </w:t>
      </w:r>
      <w:r w:rsidR="00CD15E6">
        <w:t>it</w:t>
      </w:r>
      <w:r w:rsidR="00F705A1">
        <w:t xml:space="preserve"> interpret</w:t>
      </w:r>
      <w:r w:rsidR="00CD15E6">
        <w:t>s</w:t>
      </w:r>
      <w:r w:rsidR="00E22E54">
        <w:t xml:space="preserve"> </w:t>
      </w:r>
      <w:r w:rsidR="004C6558">
        <w:t>Issue 6</w:t>
      </w:r>
      <w:r w:rsidR="00E22E54">
        <w:t xml:space="preserve"> </w:t>
      </w:r>
      <w:r w:rsidR="00F705A1">
        <w:t xml:space="preserve">to </w:t>
      </w:r>
      <w:r>
        <w:t>exclud</w:t>
      </w:r>
      <w:r w:rsidR="00F705A1">
        <w:t xml:space="preserve">e </w:t>
      </w:r>
      <w:r w:rsidR="00602BC5">
        <w:t>NEM 1.0</w:t>
      </w:r>
      <w:r>
        <w:t xml:space="preserve"> and </w:t>
      </w:r>
      <w:r w:rsidR="00602BC5">
        <w:t>NEM 2.0</w:t>
      </w:r>
      <w:r w:rsidR="00135D55">
        <w:t xml:space="preserve"> </w:t>
      </w:r>
      <w:r>
        <w:t xml:space="preserve">tariffs </w:t>
      </w:r>
      <w:r w:rsidR="00F705A1">
        <w:t>because</w:t>
      </w:r>
      <w:r w:rsidR="00E22E54">
        <w:t xml:space="preserve">, </w:t>
      </w:r>
      <w:r w:rsidR="00F705A1">
        <w:t>despite</w:t>
      </w:r>
      <w:r w:rsidR="00E22E54">
        <w:t xml:space="preserve"> </w:t>
      </w:r>
      <w:r w:rsidR="00F705A1">
        <w:t xml:space="preserve">being </w:t>
      </w:r>
      <w:r>
        <w:t xml:space="preserve">discussed in </w:t>
      </w:r>
      <w:r w:rsidR="00F705A1">
        <w:t xml:space="preserve">comments prior to the scoping memo, </w:t>
      </w:r>
      <w:r w:rsidR="00E22E54">
        <w:t>the tariffs</w:t>
      </w:r>
      <w:r w:rsidR="00F705A1">
        <w:t xml:space="preserve"> were not explicitly listed</w:t>
      </w:r>
      <w:r w:rsidR="00E22E54">
        <w:t xml:space="preserve"> in the scope</w:t>
      </w:r>
      <w:r w:rsidR="00F705A1">
        <w:t xml:space="preserve">.  However, as </w:t>
      </w:r>
      <w:r w:rsidR="00E22E54">
        <w:t>discussed</w:t>
      </w:r>
      <w:r w:rsidR="00F705A1">
        <w:t xml:space="preserve"> by TURN</w:t>
      </w:r>
      <w:r w:rsidR="00E22E54">
        <w:t xml:space="preserve">, </w:t>
      </w:r>
      <w:proofErr w:type="spellStart"/>
      <w:r w:rsidR="00E22E54">
        <w:t>CALSSA’s</w:t>
      </w:r>
      <w:proofErr w:type="spellEnd"/>
      <w:r w:rsidR="00E22E54">
        <w:t xml:space="preserve"> testimony, discovery, and hearing cross</w:t>
      </w:r>
      <w:r w:rsidR="00827602">
        <w:noBreakHyphen/>
      </w:r>
      <w:r w:rsidR="00E22E54">
        <w:t xml:space="preserve">examination all included discussion of </w:t>
      </w:r>
      <w:r w:rsidR="00602BC5">
        <w:t>NEM 1.0</w:t>
      </w:r>
      <w:r w:rsidR="00E22E54">
        <w:t xml:space="preserve"> and </w:t>
      </w:r>
      <w:r w:rsidR="00602BC5">
        <w:t>NEM 2.0</w:t>
      </w:r>
      <w:r w:rsidR="00E22E54">
        <w:t xml:space="preserve">.  </w:t>
      </w:r>
      <w:proofErr w:type="spellStart"/>
      <w:r w:rsidR="00E22E54">
        <w:lastRenderedPageBreak/>
        <w:t>CALSSA</w:t>
      </w:r>
      <w:proofErr w:type="spellEnd"/>
      <w:r w:rsidR="00E22E54">
        <w:t xml:space="preserve"> </w:t>
      </w:r>
      <w:r w:rsidR="00620507">
        <w:t xml:space="preserve">never </w:t>
      </w:r>
      <w:r w:rsidR="00E22E54">
        <w:t>argue</w:t>
      </w:r>
      <w:r w:rsidR="00620507">
        <w:t>d</w:t>
      </w:r>
      <w:r w:rsidR="00E22E54">
        <w:t xml:space="preserve"> a due process violation until briefs.  </w:t>
      </w:r>
      <w:r w:rsidR="00602BC5">
        <w:t>NEM 1.0</w:t>
      </w:r>
      <w:r w:rsidR="00E22E54">
        <w:t xml:space="preserve"> and </w:t>
      </w:r>
      <w:r w:rsidR="00602BC5">
        <w:t>NEM 2.0</w:t>
      </w:r>
      <w:r w:rsidR="00135D55">
        <w:t xml:space="preserve"> </w:t>
      </w:r>
      <w:r w:rsidR="00E22E54">
        <w:t xml:space="preserve">tariffs are </w:t>
      </w:r>
      <w:r w:rsidR="00CD15E6">
        <w:t>with</w:t>
      </w:r>
      <w:r w:rsidR="00E22E54">
        <w:t xml:space="preserve">in the scope of </w:t>
      </w:r>
      <w:r w:rsidR="004C6558">
        <w:t>Issue 6</w:t>
      </w:r>
      <w:r w:rsidR="00E22E54">
        <w:t>.</w:t>
      </w:r>
    </w:p>
    <w:bookmarkEnd w:id="238"/>
    <w:p w:rsidR="00533B2F" w:rsidP="005E7044" w:rsidRDefault="0008087B" w14:paraId="208689F3" w14:textId="3B2C0F00">
      <w:pPr>
        <w:pStyle w:val="Standard"/>
      </w:pPr>
      <w:r>
        <w:t xml:space="preserve">Turning to arguments regarding the legality of revising the legacy tariffs, </w:t>
      </w:r>
      <w:r w:rsidR="00FE6718">
        <w:t xml:space="preserve">this decision </w:t>
      </w:r>
      <w:r>
        <w:t>address</w:t>
      </w:r>
      <w:r w:rsidR="00FE6718">
        <w:t>es</w:t>
      </w:r>
      <w:r>
        <w:t xml:space="preserve"> contentions from SEIA/Vote Solar.  </w:t>
      </w:r>
      <w:r w:rsidR="00892790">
        <w:t xml:space="preserve">SEIA/Vote Solar </w:t>
      </w:r>
      <w:r w:rsidR="00E54E69">
        <w:t>argue that</w:t>
      </w:r>
      <w:r w:rsidR="00CD15E6">
        <w:t>,</w:t>
      </w:r>
      <w:r w:rsidR="00E54E69">
        <w:t xml:space="preserve"> because of the adoption of the legacy period, the Commission cannot make any changes to the </w:t>
      </w:r>
      <w:r w:rsidR="00602BC5">
        <w:t>NEM 1.0</w:t>
      </w:r>
      <w:r w:rsidR="00E54E69">
        <w:t xml:space="preserve"> and </w:t>
      </w:r>
      <w:r w:rsidR="00602BC5">
        <w:t>NEM 2.0</w:t>
      </w:r>
      <w:r w:rsidR="00135D55">
        <w:t xml:space="preserve"> </w:t>
      </w:r>
      <w:r w:rsidR="00E54E69">
        <w:t>tariffs for current customers.</w:t>
      </w:r>
      <w:r>
        <w:t xml:space="preserve">  </w:t>
      </w:r>
      <w:r w:rsidR="00E54E69">
        <w:t>In D.16</w:t>
      </w:r>
      <w:r w:rsidR="00827602">
        <w:noBreakHyphen/>
      </w:r>
      <w:r w:rsidR="00E54E69">
        <w:t>01</w:t>
      </w:r>
      <w:r w:rsidR="00827602">
        <w:noBreakHyphen/>
      </w:r>
      <w:r w:rsidR="00E54E69">
        <w:t>044, t</w:t>
      </w:r>
      <w:r w:rsidR="007E46D8">
        <w:t>he Commission established a legacy period of 20 years from the customer’s interconnection as a reasonable period over which t</w:t>
      </w:r>
      <w:r w:rsidR="005945CE">
        <w:t xml:space="preserve">he </w:t>
      </w:r>
      <w:r w:rsidR="007E46D8">
        <w:t xml:space="preserve">customer should be eligible to continue taking service under </w:t>
      </w:r>
      <w:r w:rsidR="005945CE">
        <w:t xml:space="preserve">the </w:t>
      </w:r>
      <w:r w:rsidR="00602BC5">
        <w:t>NEM 2.0</w:t>
      </w:r>
      <w:r w:rsidR="00135D55">
        <w:t xml:space="preserve"> </w:t>
      </w:r>
      <w:r w:rsidR="005945CE">
        <w:t>tariff</w:t>
      </w:r>
      <w:r w:rsidR="007E46D8">
        <w:t>.</w:t>
      </w:r>
      <w:r w:rsidR="005945CE">
        <w:t xml:space="preserve">  D.16</w:t>
      </w:r>
      <w:r w:rsidR="00827602">
        <w:noBreakHyphen/>
      </w:r>
      <w:r w:rsidR="005945CE">
        <w:t>01</w:t>
      </w:r>
      <w:r w:rsidR="00827602">
        <w:noBreakHyphen/>
      </w:r>
      <w:r w:rsidR="005945CE">
        <w:t xml:space="preserve">044 states this would </w:t>
      </w:r>
      <w:r w:rsidR="00BA1EAE">
        <w:t>“</w:t>
      </w:r>
      <w:r w:rsidR="005945CE">
        <w:t>allow customers to have a uniform and reliable expectation of stability of the net energy metering structure under which they decided to invest.</w:t>
      </w:r>
      <w:r w:rsidR="00BA1EAE">
        <w:t>”</w:t>
      </w:r>
      <w:r w:rsidR="005945CE">
        <w:rPr>
          <w:rStyle w:val="FootnoteReference"/>
        </w:rPr>
        <w:footnoteReference w:id="507"/>
      </w:r>
    </w:p>
    <w:p w:rsidR="0008087B" w:rsidP="005E7044" w:rsidRDefault="00F17D75" w14:paraId="4DA841DF" w14:textId="7E4404D2">
      <w:pPr>
        <w:pStyle w:val="Standard"/>
      </w:pPr>
      <w:r>
        <w:t xml:space="preserve">Sierra Club proposes the Commission transition existing net energy metering tariff customers to electrification rates at five years from interconnection and provide a storage rebate to </w:t>
      </w:r>
      <w:r w:rsidR="00602BC5">
        <w:t>NEM 2.0</w:t>
      </w:r>
      <w:r w:rsidR="00135D55">
        <w:t xml:space="preserve"> </w:t>
      </w:r>
      <w:r>
        <w:t>customers in exchange for switching to the successor tariff.</w:t>
      </w:r>
      <w:r>
        <w:rPr>
          <w:rStyle w:val="FootnoteReference"/>
        </w:rPr>
        <w:footnoteReference w:id="508"/>
      </w:r>
      <w:r>
        <w:t xml:space="preserve">  </w:t>
      </w:r>
      <w:r w:rsidR="00135415">
        <w:t xml:space="preserve">CUE, </w:t>
      </w:r>
      <w:proofErr w:type="spellStart"/>
      <w:r w:rsidR="00135415">
        <w:t>IEPA</w:t>
      </w:r>
      <w:proofErr w:type="spellEnd"/>
      <w:r w:rsidR="00135415">
        <w:t xml:space="preserve">, NRDC, </w:t>
      </w:r>
      <w:r w:rsidR="009355F1">
        <w:t>Cal Advoc</w:t>
      </w:r>
      <w:r w:rsidR="00135415">
        <w:t xml:space="preserve">ates, and TURN </w:t>
      </w:r>
      <w:r w:rsidR="005212B4">
        <w:t xml:space="preserve">support the transitioning of existing </w:t>
      </w:r>
      <w:r w:rsidR="00F51D4F">
        <w:t>non</w:t>
      </w:r>
      <w:r w:rsidR="00827602">
        <w:noBreakHyphen/>
      </w:r>
      <w:r w:rsidR="00F51D4F">
        <w:t xml:space="preserve">CARE </w:t>
      </w:r>
      <w:r w:rsidR="00602BC5">
        <w:t>NEM 1.0</w:t>
      </w:r>
      <w:r w:rsidR="005212B4">
        <w:t xml:space="preserve"> and </w:t>
      </w:r>
      <w:r w:rsidR="00602BC5">
        <w:t>NEM 2.0</w:t>
      </w:r>
      <w:r w:rsidR="00135D55">
        <w:t xml:space="preserve"> </w:t>
      </w:r>
      <w:r w:rsidR="005212B4">
        <w:t xml:space="preserve">tariff customers to the successor tariff. </w:t>
      </w:r>
      <w:r w:rsidR="00FC1E28">
        <w:t xml:space="preserve"> </w:t>
      </w:r>
      <w:r w:rsidR="00F51D4F">
        <w:t xml:space="preserve">These parties </w:t>
      </w:r>
      <w:r w:rsidR="00F716F0">
        <w:t xml:space="preserve">propose the Commission provide storage rebates to </w:t>
      </w:r>
      <w:r w:rsidR="00602BC5">
        <w:t>NEM 2.0</w:t>
      </w:r>
      <w:r w:rsidR="00135D55">
        <w:t xml:space="preserve"> </w:t>
      </w:r>
      <w:r w:rsidR="00F716F0">
        <w:t xml:space="preserve">customers in exchange for voluntarily switching to the successor tariff, but then require </w:t>
      </w:r>
      <w:r w:rsidR="00602BC5">
        <w:t>NEM 2.0</w:t>
      </w:r>
      <w:r w:rsidR="00135D55">
        <w:t xml:space="preserve"> </w:t>
      </w:r>
      <w:r w:rsidR="00F716F0">
        <w:t xml:space="preserve">and </w:t>
      </w:r>
      <w:r w:rsidR="00602BC5">
        <w:t>NEM 1.0</w:t>
      </w:r>
      <w:r w:rsidR="00F716F0">
        <w:t xml:space="preserve"> customers to transition to the successor tariff at eight years from the customer’s interconnection date.</w:t>
      </w:r>
      <w:r w:rsidRPr="00F716F0" w:rsidR="00F716F0">
        <w:rPr>
          <w:rStyle w:val="FootnoteReference"/>
        </w:rPr>
        <w:t xml:space="preserve"> </w:t>
      </w:r>
      <w:r w:rsidR="00F716F0">
        <w:rPr>
          <w:rStyle w:val="FootnoteReference"/>
        </w:rPr>
        <w:footnoteReference w:id="509"/>
      </w:r>
      <w:r w:rsidR="00F716F0">
        <w:t xml:space="preserve">  These parties </w:t>
      </w:r>
      <w:r w:rsidR="00F51D4F">
        <w:t xml:space="preserve">assert </w:t>
      </w:r>
      <w:r w:rsidR="00D537D7">
        <w:t>the revised</w:t>
      </w:r>
      <w:r w:rsidR="00F51D4F">
        <w:t xml:space="preserve"> timeline would </w:t>
      </w:r>
      <w:r w:rsidR="00D537D7">
        <w:t xml:space="preserve">still </w:t>
      </w:r>
      <w:r w:rsidR="00BA1EAE">
        <w:t>“</w:t>
      </w:r>
      <w:r w:rsidR="00F51D4F">
        <w:t xml:space="preserve">allow these customers to realize full paybacks before transitioning to the </w:t>
      </w:r>
      <w:r w:rsidR="00F51D4F">
        <w:lastRenderedPageBreak/>
        <w:t>end</w:t>
      </w:r>
      <w:r w:rsidR="00827602">
        <w:noBreakHyphen/>
      </w:r>
      <w:r w:rsidR="00F51D4F">
        <w:t>state tariff and receive ongoing bill saving and investment returns for the remainder of their system life.</w:t>
      </w:r>
      <w:r w:rsidR="00BA1EAE">
        <w:t>”</w:t>
      </w:r>
      <w:r w:rsidR="00F51D4F">
        <w:rPr>
          <w:rStyle w:val="FootnoteReference"/>
        </w:rPr>
        <w:footnoteReference w:id="510"/>
      </w:r>
      <w:r w:rsidR="00F51D4F">
        <w:t xml:space="preserve">  </w:t>
      </w:r>
      <w:r w:rsidR="00D537D7">
        <w:t xml:space="preserve">Contending the Commission has the authority to revise its prior determinations, </w:t>
      </w:r>
      <w:r w:rsidR="009355F1">
        <w:t>Cal Advoc</w:t>
      </w:r>
      <w:r w:rsidR="005212B4">
        <w:t>ates argue</w:t>
      </w:r>
      <w:r w:rsidR="00CD15E6">
        <w:t>s</w:t>
      </w:r>
      <w:r w:rsidR="00135415">
        <w:t xml:space="preserve"> that allowing current </w:t>
      </w:r>
      <w:r w:rsidR="00602BC5">
        <w:t>NEM 1.0</w:t>
      </w:r>
      <w:r w:rsidR="00135415">
        <w:t xml:space="preserve"> and </w:t>
      </w:r>
      <w:r w:rsidR="00602BC5">
        <w:t>NEM 2.0</w:t>
      </w:r>
      <w:r w:rsidR="00135D55">
        <w:t xml:space="preserve"> </w:t>
      </w:r>
      <w:r w:rsidR="00135415">
        <w:t>customers to remain on the tariffs through the legacy period</w:t>
      </w:r>
      <w:r w:rsidR="005212B4">
        <w:t xml:space="preserve"> will result in continued cost burden, as shown in the Lookback Study, </w:t>
      </w:r>
      <w:r w:rsidR="00D537D7">
        <w:t xml:space="preserve">and </w:t>
      </w:r>
      <w:r w:rsidR="005212B4">
        <w:t>continue increases in average electric rates for all ratepayers and discourage electrification.</w:t>
      </w:r>
      <w:r w:rsidR="005212B4">
        <w:rPr>
          <w:rStyle w:val="FootnoteReference"/>
        </w:rPr>
        <w:footnoteReference w:id="511"/>
      </w:r>
      <w:r w:rsidR="003A36C5">
        <w:t xml:space="preserve">  Further, </w:t>
      </w:r>
      <w:r w:rsidR="009355F1">
        <w:t>Cal Advoc</w:t>
      </w:r>
      <w:r w:rsidR="003A36C5">
        <w:t>ates contend</w:t>
      </w:r>
      <w:r w:rsidR="00CD15E6">
        <w:t>s</w:t>
      </w:r>
      <w:r w:rsidR="003A36C5">
        <w:t xml:space="preserve"> </w:t>
      </w:r>
      <w:r w:rsidR="00D537D7">
        <w:t>continuation of</w:t>
      </w:r>
      <w:r w:rsidR="003A36C5">
        <w:t xml:space="preserve"> this cost shift may necessitate discounts to electric vehicle rates, creating </w:t>
      </w:r>
      <w:r w:rsidR="00CD15E6">
        <w:t xml:space="preserve">an </w:t>
      </w:r>
      <w:r w:rsidR="003A36C5">
        <w:t>additional cost burden.</w:t>
      </w:r>
      <w:r w:rsidR="003A36C5">
        <w:rPr>
          <w:rStyle w:val="FootnoteReference"/>
        </w:rPr>
        <w:footnoteReference w:id="512"/>
      </w:r>
      <w:r w:rsidR="00F51D4F">
        <w:t xml:space="preserve">  </w:t>
      </w:r>
      <w:r w:rsidR="00D537D7">
        <w:t xml:space="preserve">In support of the </w:t>
      </w:r>
      <w:r w:rsidR="00F51D4F">
        <w:t xml:space="preserve">accelerated timeline for transitioning </w:t>
      </w:r>
      <w:r w:rsidR="00602BC5">
        <w:t>NEM 1.0</w:t>
      </w:r>
      <w:r w:rsidR="00F51D4F">
        <w:t xml:space="preserve"> and </w:t>
      </w:r>
      <w:r w:rsidR="00602BC5">
        <w:t>NEM 2.0</w:t>
      </w:r>
      <w:r w:rsidR="00135D55">
        <w:t xml:space="preserve"> </w:t>
      </w:r>
      <w:r w:rsidR="00F51D4F">
        <w:t>customers</w:t>
      </w:r>
      <w:r w:rsidR="00D537D7">
        <w:t>, TURN maintains it</w:t>
      </w:r>
      <w:r w:rsidR="00F51D4F">
        <w:t xml:space="preserve"> </w:t>
      </w:r>
      <w:r w:rsidR="00BA1EAE">
        <w:t>“</w:t>
      </w:r>
      <w:r w:rsidR="00F51D4F">
        <w:t>is justified by the need to balance the interests of participants and non</w:t>
      </w:r>
      <w:r w:rsidR="00827602">
        <w:noBreakHyphen/>
      </w:r>
      <w:r w:rsidR="00F51D4F">
        <w:t>participants.</w:t>
      </w:r>
      <w:r w:rsidR="00BA1EAE">
        <w:t>”</w:t>
      </w:r>
      <w:r w:rsidR="00F51D4F">
        <w:rPr>
          <w:rStyle w:val="FootnoteReference"/>
        </w:rPr>
        <w:footnoteReference w:id="513"/>
      </w:r>
    </w:p>
    <w:p w:rsidR="0008087B" w:rsidP="005E7044" w:rsidRDefault="00D537D7" w14:paraId="07494F99" w14:textId="3C355FC3">
      <w:pPr>
        <w:pStyle w:val="Standard"/>
      </w:pPr>
      <w:r>
        <w:t xml:space="preserve">Recognizing the Commission has the authority to modify prior decisions, </w:t>
      </w:r>
      <w:r w:rsidR="0029181A">
        <w:t xml:space="preserve">SEIA/Vote Solar caution that transitioning </w:t>
      </w:r>
      <w:r w:rsidR="00602BC5">
        <w:t>NEM 1.0</w:t>
      </w:r>
      <w:r w:rsidR="0029181A">
        <w:t xml:space="preserve"> and </w:t>
      </w:r>
      <w:r w:rsidR="00602BC5">
        <w:t>NEM 2.0</w:t>
      </w:r>
      <w:r w:rsidR="00135D55">
        <w:t xml:space="preserve"> </w:t>
      </w:r>
      <w:r w:rsidR="0029181A">
        <w:t>tariff customers would have significant consumer protection and market impacts.</w:t>
      </w:r>
      <w:r w:rsidR="0029181A">
        <w:rPr>
          <w:rStyle w:val="FootnoteReference"/>
        </w:rPr>
        <w:footnoteReference w:id="514"/>
      </w:r>
      <w:r w:rsidR="0029181A">
        <w:t xml:space="preserve">  Underscoring that over one</w:t>
      </w:r>
      <w:r w:rsidR="00BD4AC8">
        <w:t> million</w:t>
      </w:r>
      <w:r w:rsidR="0029181A">
        <w:t xml:space="preserve"> </w:t>
      </w:r>
      <w:r w:rsidR="007941EA">
        <w:t>u</w:t>
      </w:r>
      <w:r w:rsidR="0029181A">
        <w:t xml:space="preserve">tility customers have invested tens of billions of dollars in distributed solar under these tariffs, SEIA/Vote Solar assert that </w:t>
      </w:r>
      <w:r w:rsidR="00BA1EAE">
        <w:t>“</w:t>
      </w:r>
      <w:r w:rsidR="0029181A">
        <w:t>undermining the economic underpinnings of those investments…</w:t>
      </w:r>
      <w:r w:rsidR="00BA4231">
        <w:t xml:space="preserve"> </w:t>
      </w:r>
      <w:r w:rsidR="0029181A">
        <w:t>would be profoundly destabilizing and would impact adversely the market</w:t>
      </w:r>
      <w:r w:rsidR="00BA1EAE">
        <w:t>”</w:t>
      </w:r>
      <w:r w:rsidR="0029181A">
        <w:t xml:space="preserve"> for solar and other distributed energy resources.</w:t>
      </w:r>
      <w:r w:rsidR="0029181A">
        <w:rPr>
          <w:rStyle w:val="FootnoteReference"/>
        </w:rPr>
        <w:footnoteReference w:id="515"/>
      </w:r>
      <w:r w:rsidR="0029181A">
        <w:t xml:space="preserve">  SEIA/Vote Solar further warn that revising these tariffs undermines the project economics and efforts to ensure that </w:t>
      </w:r>
      <w:r w:rsidR="0029181A">
        <w:lastRenderedPageBreak/>
        <w:t>consumers have the information necessary to make an informed decision</w:t>
      </w:r>
      <w:r w:rsidR="00304625">
        <w:t xml:space="preserve"> and could lead to consumer backlash</w:t>
      </w:r>
      <w:r w:rsidR="0029181A">
        <w:t>.</w:t>
      </w:r>
      <w:r w:rsidR="0029181A">
        <w:rPr>
          <w:rStyle w:val="FootnoteReference"/>
        </w:rPr>
        <w:footnoteReference w:id="516"/>
      </w:r>
      <w:r w:rsidR="00304625">
        <w:t xml:space="preserve">  </w:t>
      </w:r>
      <w:r w:rsidR="0001316D">
        <w:t xml:space="preserve">Pointing to the state of Nevada, </w:t>
      </w:r>
      <w:r w:rsidR="00304625">
        <w:t xml:space="preserve">SEIA/Vote Solar </w:t>
      </w:r>
      <w:r w:rsidR="000C669A">
        <w:t>underscores</w:t>
      </w:r>
      <w:r w:rsidR="003C1332">
        <w:t xml:space="preserve"> that</w:t>
      </w:r>
      <w:r w:rsidR="00304625">
        <w:t xml:space="preserve"> similar changes were adopted but ultimately reversed.</w:t>
      </w:r>
      <w:r w:rsidR="00304625">
        <w:rPr>
          <w:rStyle w:val="FootnoteReference"/>
        </w:rPr>
        <w:footnoteReference w:id="517"/>
      </w:r>
    </w:p>
    <w:p w:rsidR="00277F9E" w:rsidP="005E7044" w:rsidRDefault="00620507" w14:paraId="15AC6AD8" w14:textId="5412E77B">
      <w:pPr>
        <w:pStyle w:val="Standard"/>
      </w:pPr>
      <w:r>
        <w:t xml:space="preserve">While </w:t>
      </w:r>
      <w:r w:rsidR="00FE6718">
        <w:t xml:space="preserve">this decision </w:t>
      </w:r>
      <w:r>
        <w:t>conclude</w:t>
      </w:r>
      <w:r w:rsidR="00FE6718">
        <w:t>s</w:t>
      </w:r>
      <w:r>
        <w:t xml:space="preserve"> </w:t>
      </w:r>
      <w:r w:rsidR="00FE6718">
        <w:t>the Commission</w:t>
      </w:r>
      <w:r>
        <w:t xml:space="preserve"> ha</w:t>
      </w:r>
      <w:r w:rsidR="00FE6718">
        <w:t>s</w:t>
      </w:r>
      <w:r>
        <w:t xml:space="preserve"> the authority to revise the legacy </w:t>
      </w:r>
      <w:r w:rsidR="00602BC5">
        <w:t>NEM 1.0</w:t>
      </w:r>
      <w:r>
        <w:t xml:space="preserve"> and </w:t>
      </w:r>
      <w:r w:rsidR="00602BC5">
        <w:t>NEM 2.0</w:t>
      </w:r>
      <w:r w:rsidR="00135D55">
        <w:t xml:space="preserve"> </w:t>
      </w:r>
      <w:r>
        <w:t xml:space="preserve">tariffs, </w:t>
      </w:r>
      <w:r w:rsidR="00FE6718">
        <w:t xml:space="preserve">the outcome </w:t>
      </w:r>
      <w:r>
        <w:t>could result in an inequity to one of two groups</w:t>
      </w:r>
      <w:r w:rsidR="00555CC0">
        <w:t xml:space="preserve">:  </w:t>
      </w:r>
      <w:r>
        <w:t xml:space="preserve">nonparticipant ratepayers or </w:t>
      </w:r>
      <w:r w:rsidR="00602BC5">
        <w:t>NEM 1.0</w:t>
      </w:r>
      <w:r w:rsidR="004F3A98">
        <w:t xml:space="preserve"> and </w:t>
      </w:r>
      <w:r w:rsidR="00602BC5">
        <w:t>NEM 2.0</w:t>
      </w:r>
      <w:r w:rsidR="00135D55">
        <w:t xml:space="preserve"> </w:t>
      </w:r>
      <w:r w:rsidR="004F3A98">
        <w:t>participant</w:t>
      </w:r>
      <w:r>
        <w:t xml:space="preserve"> ratepayers.  </w:t>
      </w:r>
      <w:r w:rsidR="00D537D7">
        <w:t xml:space="preserve">Public Utilities Code </w:t>
      </w:r>
      <w:r w:rsidR="0034029C">
        <w:t>Section 2</w:t>
      </w:r>
      <w:r w:rsidR="00D537D7">
        <w:t xml:space="preserve">827.1 and </w:t>
      </w:r>
      <w:r w:rsidR="00FE6718">
        <w:t xml:space="preserve">the </w:t>
      </w:r>
      <w:r w:rsidR="00D537D7">
        <w:t xml:space="preserve">guiding principles do not </w:t>
      </w:r>
      <w:r w:rsidR="00B944AD">
        <w:t>rank the requirements</w:t>
      </w:r>
      <w:r>
        <w:t xml:space="preserve">, </w:t>
      </w:r>
      <w:r w:rsidR="00DC041C">
        <w:t>defining</w:t>
      </w:r>
      <w:r w:rsidR="00FE6718">
        <w:t xml:space="preserve"> </w:t>
      </w:r>
      <w:r w:rsidR="00C13D1D">
        <w:t>whose needs should come first</w:t>
      </w:r>
      <w:r w:rsidR="00555CC0">
        <w:t xml:space="preserve">:  </w:t>
      </w:r>
      <w:r w:rsidR="00B944AD">
        <w:t xml:space="preserve">the needs of a particular group of people, the </w:t>
      </w:r>
      <w:r w:rsidR="00D374EE">
        <w:t>environment,</w:t>
      </w:r>
      <w:r w:rsidR="00B944AD">
        <w:t xml:space="preserve"> or the grid.  Hence, </w:t>
      </w:r>
      <w:r w:rsidR="00FE6718">
        <w:t>the Commission is</w:t>
      </w:r>
      <w:r w:rsidR="00B944AD">
        <w:t xml:space="preserve"> left with a policy decision of what requirements and needs should be prioritized.  </w:t>
      </w:r>
      <w:r w:rsidR="00FE6718">
        <w:t xml:space="preserve">This decision has </w:t>
      </w:r>
      <w:r w:rsidR="00B944AD">
        <w:t xml:space="preserve">noted </w:t>
      </w:r>
      <w:r w:rsidR="00FE6718">
        <w:t xml:space="preserve">that </w:t>
      </w:r>
      <w:r w:rsidR="00B944AD">
        <w:t xml:space="preserve">the adopted successor tariff is a balance of various and competing requirements, impacting participants and nonparticipants, the </w:t>
      </w:r>
      <w:r w:rsidR="00D374EE">
        <w:t>grid,</w:t>
      </w:r>
      <w:r w:rsidR="00B944AD">
        <w:t xml:space="preserve"> and the environment.</w:t>
      </w:r>
      <w:r w:rsidR="00C13D1D">
        <w:t xml:space="preserve">  This is equally true of </w:t>
      </w:r>
      <w:r w:rsidR="00FE6718">
        <w:t xml:space="preserve">the </w:t>
      </w:r>
      <w:r w:rsidR="00C13D1D">
        <w:t xml:space="preserve">determination for the </w:t>
      </w:r>
      <w:r w:rsidR="00602BC5">
        <w:t>NEM 1.0</w:t>
      </w:r>
      <w:r w:rsidR="00FF6547">
        <w:t xml:space="preserve"> and </w:t>
      </w:r>
      <w:r w:rsidR="00602BC5">
        <w:t>NEM 2.0</w:t>
      </w:r>
      <w:r w:rsidR="00135D55">
        <w:t xml:space="preserve"> </w:t>
      </w:r>
      <w:r w:rsidR="00C13D1D">
        <w:t>customers</w:t>
      </w:r>
      <w:r w:rsidR="00FF6547">
        <w:t xml:space="preserve"> and customers who take service under </w:t>
      </w:r>
      <w:r w:rsidR="00602BC5">
        <w:t>NEM 2.0</w:t>
      </w:r>
      <w:r w:rsidR="00135D55">
        <w:t xml:space="preserve"> </w:t>
      </w:r>
      <w:r w:rsidR="00FF6547">
        <w:t>after the adoption of this decision</w:t>
      </w:r>
      <w:r w:rsidR="00C13D1D">
        <w:t>.</w:t>
      </w:r>
    </w:p>
    <w:p w:rsidR="003A5B48" w:rsidP="003A5B48" w:rsidRDefault="00277F9E" w14:paraId="5D657023" w14:textId="727E577D">
      <w:pPr>
        <w:pStyle w:val="Standard"/>
      </w:pPr>
      <w:r>
        <w:t>T</w:t>
      </w:r>
      <w:r w:rsidR="00802228">
        <w:t xml:space="preserve">he Commission </w:t>
      </w:r>
      <w:r>
        <w:t>finds</w:t>
      </w:r>
      <w:r w:rsidR="00802228">
        <w:t xml:space="preserve"> that the </w:t>
      </w:r>
      <w:r w:rsidR="00602BC5">
        <w:t>NEM 1.0</w:t>
      </w:r>
      <w:r w:rsidR="00802228">
        <w:t xml:space="preserve"> and </w:t>
      </w:r>
      <w:r w:rsidR="00602BC5">
        <w:t>NEM 2.0</w:t>
      </w:r>
      <w:r w:rsidR="00135D55">
        <w:t xml:space="preserve"> </w:t>
      </w:r>
      <w:r w:rsidR="00802228">
        <w:t>tariff should remain intact.</w:t>
      </w:r>
      <w:r w:rsidR="00DE3B9C">
        <w:t xml:space="preserve"> </w:t>
      </w:r>
    </w:p>
    <w:p w:rsidR="00847CB6" w:rsidP="003A5B48" w:rsidRDefault="003A5B48" w14:paraId="4EDE0E4C" w14:textId="4190907E">
      <w:pPr>
        <w:pStyle w:val="Standard"/>
      </w:pPr>
      <w:r>
        <w:t>Additionally,</w:t>
      </w:r>
      <w:r w:rsidRPr="0023423C" w:rsidR="00DE3B9C">
        <w:t xml:space="preserve"> in the Rulemaking to Advance Demand Flexibility Through Electric Rates (R.22</w:t>
      </w:r>
      <w:r w:rsidR="00827602">
        <w:noBreakHyphen/>
      </w:r>
      <w:r w:rsidRPr="0023423C" w:rsidR="00DE3B9C">
        <w:t>07</w:t>
      </w:r>
      <w:r w:rsidR="00827602">
        <w:noBreakHyphen/>
      </w:r>
      <w:r w:rsidRPr="0023423C" w:rsidR="00DE3B9C">
        <w:t xml:space="preserve">005), the Commission will consider </w:t>
      </w:r>
      <w:r w:rsidR="003C74FA">
        <w:t xml:space="preserve">the question of how to reform fixed charges for recovery of certain authorized utility costs.  </w:t>
      </w:r>
      <w:r w:rsidR="00767644">
        <w:t>As stated in D.16</w:t>
      </w:r>
      <w:r w:rsidR="008E22AB">
        <w:noBreakHyphen/>
      </w:r>
      <w:r w:rsidR="00767644">
        <w:t>10</w:t>
      </w:r>
      <w:r w:rsidR="008E22AB">
        <w:noBreakHyphen/>
      </w:r>
      <w:r w:rsidR="00767644">
        <w:t>044, the 20</w:t>
      </w:r>
      <w:r w:rsidR="008E22AB">
        <w:noBreakHyphen/>
      </w:r>
      <w:r w:rsidR="00767644">
        <w:t xml:space="preserve">year legacy period applies only to service under the net energy metering successor tariff, not to any other aspect of the customer’s bill, for example a minimum bill.  </w:t>
      </w:r>
      <w:r w:rsidR="006F514E">
        <w:t xml:space="preserve">As previously stated, the Commission considers this </w:t>
      </w:r>
      <w:r w:rsidR="006F514E">
        <w:lastRenderedPageBreak/>
        <w:t>new rulemaking to be a more appropriate venue to consider the issue of an income</w:t>
      </w:r>
      <w:r w:rsidR="008E22AB">
        <w:noBreakHyphen/>
      </w:r>
      <w:r w:rsidR="006F514E">
        <w:t>graduated fixed charge applicable to all customers, which will include NEM</w:t>
      </w:r>
      <w:r w:rsidR="008E22AB">
        <w:t> </w:t>
      </w:r>
      <w:r w:rsidR="006F514E">
        <w:t>1.0 and NEM</w:t>
      </w:r>
      <w:r w:rsidR="008E22AB">
        <w:t> </w:t>
      </w:r>
      <w:r w:rsidR="006F514E">
        <w:t xml:space="preserve">2.0 customers.  </w:t>
      </w:r>
      <w:r w:rsidR="00767644">
        <w:t>Further, “customers do not have any entitlement to the continuation of any particular underlying rate design, or particular rates.”</w:t>
      </w:r>
      <w:r w:rsidR="00767644">
        <w:rPr>
          <w:rStyle w:val="FootnoteReference"/>
        </w:rPr>
        <w:footnoteReference w:id="518"/>
      </w:r>
    </w:p>
    <w:p w:rsidR="00CF7896" w:rsidP="005E7044" w:rsidRDefault="00CF7896" w14:paraId="4E879F18" w14:textId="79E6FBB8">
      <w:pPr>
        <w:pStyle w:val="Heading2"/>
        <w:keepLines w:val="0"/>
      </w:pPr>
      <w:bookmarkStart w:name="_Toc117674108" w:id="239"/>
      <w:bookmarkStart w:name="_Toc118285099" w:id="240"/>
      <w:bookmarkStart w:name="_Toc121854426" w:id="241"/>
      <w:r>
        <w:t>Implementation of the Successor Tariffs</w:t>
      </w:r>
      <w:bookmarkEnd w:id="239"/>
      <w:bookmarkEnd w:id="240"/>
      <w:bookmarkEnd w:id="241"/>
    </w:p>
    <w:p w:rsidR="00D65E86" w:rsidP="005E7044" w:rsidRDefault="00320371" w14:paraId="4AF39AF4" w14:textId="202DE002">
      <w:pPr>
        <w:pStyle w:val="Standard"/>
      </w:pPr>
      <w:r>
        <w:t xml:space="preserve">This decision has affirmed that </w:t>
      </w:r>
      <w:r w:rsidR="00602BC5">
        <w:t>NEM 2.0</w:t>
      </w:r>
      <w:r w:rsidR="00135D55">
        <w:t xml:space="preserve"> </w:t>
      </w:r>
      <w:r>
        <w:t>creates a cost shift between participating customers and nonparticipant ratepayers.  Hence</w:t>
      </w:r>
      <w:r w:rsidR="0001375B">
        <w:t>,</w:t>
      </w:r>
      <w:r>
        <w:t xml:space="preserve"> there is a sense of urgency to transition to the </w:t>
      </w:r>
      <w:r w:rsidR="0090031C">
        <w:t>successor tariff</w:t>
      </w:r>
      <w:r>
        <w:t xml:space="preserve">.  </w:t>
      </w:r>
      <w:r w:rsidR="001A0619">
        <w:t>However, t</w:t>
      </w:r>
      <w:r>
        <w:t xml:space="preserve">he record of this proceeding indicates </w:t>
      </w:r>
      <w:r w:rsidR="00FB6997">
        <w:t xml:space="preserve">changes to each utility’s billing systems and supporting platforms to bill customers on the </w:t>
      </w:r>
      <w:r w:rsidR="0090031C">
        <w:t>successor tariff</w:t>
      </w:r>
      <w:r w:rsidR="00FB6997">
        <w:t xml:space="preserve"> will take 12 to 24 months following the</w:t>
      </w:r>
      <w:r w:rsidR="00CD15E6">
        <w:t xml:space="preserve"> effective date</w:t>
      </w:r>
      <w:r w:rsidR="00DC041C">
        <w:t xml:space="preserve"> </w:t>
      </w:r>
      <w:r w:rsidR="00FB6997">
        <w:t>of a final decision</w:t>
      </w:r>
      <w:r w:rsidR="00B8755F">
        <w:t xml:space="preserve">, </w:t>
      </w:r>
      <w:r w:rsidRPr="00E70D1A" w:rsidR="00DC041C">
        <w:rPr>
          <w:i/>
          <w:iCs/>
        </w:rPr>
        <w:t>i.e.</w:t>
      </w:r>
      <w:r w:rsidR="00DC041C">
        <w:t>, the date the Commission votes on the decision</w:t>
      </w:r>
      <w:r w:rsidR="00FB6997">
        <w:t>.</w:t>
      </w:r>
      <w:r w:rsidR="00FB6997">
        <w:rPr>
          <w:rStyle w:val="FootnoteReference"/>
        </w:rPr>
        <w:footnoteReference w:id="519"/>
      </w:r>
      <w:r w:rsidR="00FB6997">
        <w:t xml:space="preserve">  With these implementation challenges in mind, </w:t>
      </w:r>
      <w:r w:rsidR="00FE38EA">
        <w:t xml:space="preserve">this decision </w:t>
      </w:r>
      <w:r w:rsidR="00FB6997">
        <w:t>adopt</w:t>
      </w:r>
      <w:r w:rsidR="00FE38EA">
        <w:t>s</w:t>
      </w:r>
      <w:r w:rsidR="00FB6997">
        <w:t xml:space="preserve"> the implementation schedule below.</w:t>
      </w:r>
    </w:p>
    <w:p w:rsidR="008F531A" w:rsidP="005E7044" w:rsidRDefault="00080E90" w14:paraId="3BB57F7B" w14:textId="6BE95DD5">
      <w:pPr>
        <w:pStyle w:val="Standard"/>
      </w:pPr>
      <w:r>
        <w:t>Step 0</w:t>
      </w:r>
      <w:r w:rsidR="00555CC0">
        <w:t xml:space="preserve">:  </w:t>
      </w:r>
      <w:r w:rsidR="008F531A">
        <w:t xml:space="preserve">Adoption of this decision and the beginning of the </w:t>
      </w:r>
      <w:r w:rsidR="00602BC5">
        <w:t>NEM 2.0</w:t>
      </w:r>
      <w:r w:rsidR="00135D55">
        <w:t xml:space="preserve"> </w:t>
      </w:r>
      <w:r w:rsidR="00BB11BE">
        <w:t>S</w:t>
      </w:r>
      <w:r w:rsidR="008F531A">
        <w:t xml:space="preserve">unset </w:t>
      </w:r>
      <w:r w:rsidR="00BB11BE">
        <w:t>P</w:t>
      </w:r>
      <w:r w:rsidR="008F531A">
        <w:t>eriod.</w:t>
      </w:r>
      <w:r w:rsidR="004C1129">
        <w:t xml:space="preserve">  Customers submitting </w:t>
      </w:r>
      <w:r w:rsidR="0001719D">
        <w:t>a</w:t>
      </w:r>
      <w:r w:rsidR="00594A9A">
        <w:t xml:space="preserve"> complete</w:t>
      </w:r>
      <w:r w:rsidR="0001719D">
        <w:t>d</w:t>
      </w:r>
      <w:r w:rsidR="00594A9A">
        <w:t xml:space="preserve"> interconnection application</w:t>
      </w:r>
      <w:r w:rsidR="004C1129">
        <w:t xml:space="preserve"> prior to the end of the Sunset Period will be considered applicable </w:t>
      </w:r>
      <w:r w:rsidR="00594A9A">
        <w:t>for</w:t>
      </w:r>
      <w:r w:rsidR="004C1129">
        <w:t xml:space="preserve"> the </w:t>
      </w:r>
      <w:r w:rsidR="00602BC5">
        <w:t>NEM 2.0</w:t>
      </w:r>
      <w:r w:rsidR="00135D55">
        <w:t xml:space="preserve"> </w:t>
      </w:r>
      <w:r w:rsidR="004C1129">
        <w:t>tariff.</w:t>
      </w:r>
    </w:p>
    <w:p w:rsidR="00FB6997" w:rsidP="005E7044" w:rsidRDefault="00080E90" w14:paraId="3A37F59D" w14:textId="10D475C7">
      <w:pPr>
        <w:pStyle w:val="Standard"/>
      </w:pPr>
      <w:r>
        <w:t>Step 1</w:t>
      </w:r>
      <w:r w:rsidR="00555CC0">
        <w:t xml:space="preserve">:  </w:t>
      </w:r>
      <w:r w:rsidR="00020541">
        <w:t xml:space="preserve">Within 30 days of the adoption of this decision, </w:t>
      </w:r>
      <w:r w:rsidR="0007768F">
        <w:t xml:space="preserve">Joint Utilities shall </w:t>
      </w:r>
      <w:r w:rsidR="00020541">
        <w:t xml:space="preserve">each </w:t>
      </w:r>
      <w:r w:rsidR="00CB30C4">
        <w:t xml:space="preserve">submit </w:t>
      </w:r>
      <w:r w:rsidR="0007768F">
        <w:t xml:space="preserve">a </w:t>
      </w:r>
      <w:r w:rsidR="00B346C0">
        <w:t>Tier 1</w:t>
      </w:r>
      <w:r w:rsidR="0007768F">
        <w:t xml:space="preserve"> advice letter requesting to establish a memorandum account to record costs for implementation </w:t>
      </w:r>
      <w:r w:rsidR="00AF1DB0">
        <w:t xml:space="preserve">of </w:t>
      </w:r>
      <w:r w:rsidR="0007768F">
        <w:t>and marketing, education, and outreach</w:t>
      </w:r>
      <w:r w:rsidR="00AF1DB0">
        <w:t xml:space="preserve"> for the successor tariff.</w:t>
      </w:r>
      <w:r w:rsidR="00B10653">
        <w:t xml:space="preserve">  </w:t>
      </w:r>
      <w:r w:rsidR="00020541">
        <w:t xml:space="preserve">Joint Utilities may each begin to record costs as of the date of the adoption of this decision.  </w:t>
      </w:r>
      <w:r w:rsidR="00B10653">
        <w:t xml:space="preserve">The memorandum account should record utility costs for marketing, education, and outreach efforts and for the data collection, </w:t>
      </w:r>
      <w:r w:rsidR="00B10653">
        <w:lastRenderedPageBreak/>
        <w:t>administrative support, and execution of the third</w:t>
      </w:r>
      <w:r w:rsidR="00827602">
        <w:noBreakHyphen/>
      </w:r>
      <w:r w:rsidR="00B10653">
        <w:t xml:space="preserve">party evaluation outlined in </w:t>
      </w:r>
      <w:r w:rsidR="0034029C">
        <w:t>Section 8</w:t>
      </w:r>
      <w:r w:rsidR="00B10653">
        <w:t>.8.</w:t>
      </w:r>
      <w:r w:rsidR="0001375B">
        <w:t xml:space="preserve">  A reasonableness review of the costs shall be conducted </w:t>
      </w:r>
      <w:r w:rsidR="00020541">
        <w:t xml:space="preserve">and costs recovered </w:t>
      </w:r>
      <w:r w:rsidR="0001375B">
        <w:t>in a subsequent general rate case.</w:t>
      </w:r>
    </w:p>
    <w:p w:rsidR="00160490" w:rsidP="005E7044" w:rsidRDefault="00080E90" w14:paraId="000D9695" w14:textId="76F2666B">
      <w:pPr>
        <w:pStyle w:val="Standard"/>
      </w:pPr>
      <w:r>
        <w:t>Step 2</w:t>
      </w:r>
      <w:r w:rsidR="00555CC0">
        <w:t xml:space="preserve">:  </w:t>
      </w:r>
      <w:r w:rsidR="00E67984">
        <w:t xml:space="preserve">Within </w:t>
      </w:r>
      <w:r w:rsidR="00020541">
        <w:t xml:space="preserve">45 </w:t>
      </w:r>
      <w:r w:rsidR="00E67984">
        <w:t xml:space="preserve">days of the adoption of this decision, </w:t>
      </w:r>
      <w:r w:rsidR="00E513DE">
        <w:t xml:space="preserve">Joint Utilities shall each submit a </w:t>
      </w:r>
      <w:bookmarkStart w:name="_Hlk121569056" w:id="242"/>
      <w:r w:rsidR="00020541">
        <w:t xml:space="preserve">Tier 1 advice letter to provide the details of the successor tariff and all </w:t>
      </w:r>
      <w:proofErr w:type="spellStart"/>
      <w:r w:rsidR="00020541">
        <w:t>subtariffs</w:t>
      </w:r>
      <w:proofErr w:type="spellEnd"/>
      <w:r w:rsidR="00020541">
        <w:t xml:space="preserve">, as adopted in this decision.  </w:t>
      </w:r>
      <w:r w:rsidR="00DE0E59">
        <w:t>(In comments to the proposed decision, Joint Utilities requested that the two advice letters in the proposed decision be combined and required to be submitted at 45</w:t>
      </w:r>
      <w:r w:rsidR="008E22AB">
        <w:t> </w:t>
      </w:r>
      <w:r w:rsidR="00DE0E59">
        <w:t>days instead of 30</w:t>
      </w:r>
      <w:r w:rsidR="008E22AB">
        <w:t> days</w:t>
      </w:r>
      <w:r w:rsidR="00DE0E59">
        <w:t>.  This is efficient and adopted.)</w:t>
      </w:r>
      <w:r w:rsidR="00DE0E59">
        <w:rPr>
          <w:rStyle w:val="FootnoteReference"/>
        </w:rPr>
        <w:footnoteReference w:id="520"/>
      </w:r>
      <w:r w:rsidR="00DE0E59">
        <w:t xml:space="preserve">  </w:t>
      </w:r>
      <w:r w:rsidR="00020541">
        <w:t xml:space="preserve">Joint Utilities shall coordinate before submitting the advice letters to ensure language uniformity to the extent possible.  The individual advice letters shall summarize Joint Utilities’ interpretation of how the successor tariff will be structured and include indicative levels of price components and </w:t>
      </w:r>
      <w:bookmarkEnd w:id="242"/>
      <w:r w:rsidR="00E513DE">
        <w:t xml:space="preserve">rate factors based on the applicable revenue requirements and associated tariff sheets.  These advice letters provide the industry with the details necessary to inform customers about the </w:t>
      </w:r>
      <w:r w:rsidR="005D0F26">
        <w:t>successor tariff</w:t>
      </w:r>
      <w:r w:rsidR="00507C4B">
        <w:t>, including consumer protection elements such as updated or new disclosure documents</w:t>
      </w:r>
      <w:r w:rsidR="00E513DE">
        <w:t xml:space="preserve">. </w:t>
      </w:r>
      <w:r w:rsidR="002B3E78">
        <w:t xml:space="preserve"> </w:t>
      </w:r>
      <w:r w:rsidR="00E513DE">
        <w:t xml:space="preserve">Joint Utilities shall ensure the tariff language </w:t>
      </w:r>
      <w:r w:rsidR="00160490">
        <w:t>is standardized across all three utilities.</w:t>
      </w:r>
    </w:p>
    <w:p w:rsidR="00E67984" w:rsidP="005E7044" w:rsidRDefault="00160490" w14:paraId="043C74BA" w14:textId="059AC886">
      <w:pPr>
        <w:pStyle w:val="Standard"/>
      </w:pPr>
      <w:r>
        <w:t xml:space="preserve">Joint Utilities recommend </w:t>
      </w:r>
      <w:r w:rsidR="00507C4B">
        <w:t>short</w:t>
      </w:r>
      <w:r>
        <w:t xml:space="preserve"> timelines for these first two steps.</w:t>
      </w:r>
      <w:r>
        <w:rPr>
          <w:rStyle w:val="FootnoteReference"/>
        </w:rPr>
        <w:footnoteReference w:id="521"/>
      </w:r>
      <w:r>
        <w:t xml:space="preserve">  </w:t>
      </w:r>
      <w:r w:rsidR="009355F1">
        <w:t>Cal Advoc</w:t>
      </w:r>
      <w:r>
        <w:t>ates recommend a 90</w:t>
      </w:r>
      <w:r w:rsidR="00827602">
        <w:noBreakHyphen/>
      </w:r>
      <w:r>
        <w:t>day turnaround</w:t>
      </w:r>
      <w:r w:rsidR="00523663">
        <w:t>.</w:t>
      </w:r>
      <w:r w:rsidR="00523663">
        <w:rPr>
          <w:rStyle w:val="FootnoteReference"/>
        </w:rPr>
        <w:footnoteReference w:id="522"/>
      </w:r>
      <w:r w:rsidR="00523663">
        <w:t xml:space="preserve">  </w:t>
      </w:r>
      <w:r w:rsidR="00FE38EA">
        <w:t>A</w:t>
      </w:r>
      <w:r w:rsidR="00523663">
        <w:t>ny unnecessary delay in providing this information to the behind</w:t>
      </w:r>
      <w:r w:rsidR="00827602">
        <w:noBreakHyphen/>
      </w:r>
      <w:r w:rsidR="00523663">
        <w:t>the</w:t>
      </w:r>
      <w:r w:rsidR="00827602">
        <w:noBreakHyphen/>
      </w:r>
      <w:r w:rsidR="00523663">
        <w:t>meter industry could lead to potential harm to the industry</w:t>
      </w:r>
      <w:r w:rsidR="00847972">
        <w:t>’s ability</w:t>
      </w:r>
      <w:r w:rsidR="00523663">
        <w:t xml:space="preserve"> to grow sustainably.</w:t>
      </w:r>
    </w:p>
    <w:p w:rsidRPr="00E15D06" w:rsidR="00E15D06" w:rsidP="00E15D06" w:rsidRDefault="00080E90" w14:paraId="305F00A9" w14:textId="3C2F0D49">
      <w:pPr>
        <w:pStyle w:val="Standard"/>
        <w:rPr>
          <w:b/>
          <w:bCs/>
        </w:rPr>
      </w:pPr>
      <w:r>
        <w:t>Step 3</w:t>
      </w:r>
      <w:r w:rsidR="00555CC0">
        <w:t xml:space="preserve">:  </w:t>
      </w:r>
      <w:r w:rsidR="003E37D1">
        <w:t xml:space="preserve">Energy Division </w:t>
      </w:r>
      <w:r w:rsidR="00B10653">
        <w:t xml:space="preserve">is authorized to </w:t>
      </w:r>
      <w:r w:rsidR="003E37D1">
        <w:t xml:space="preserve">dispose of the advice letters from </w:t>
      </w:r>
      <w:r>
        <w:t>Step 1</w:t>
      </w:r>
      <w:r w:rsidR="003E37D1">
        <w:t xml:space="preserve"> and </w:t>
      </w:r>
      <w:r>
        <w:t>Step 2</w:t>
      </w:r>
      <w:r w:rsidR="003E37D1">
        <w:t>.</w:t>
      </w:r>
    </w:p>
    <w:p w:rsidR="00F93C8D" w:rsidP="00F93C8D" w:rsidRDefault="00080E90" w14:paraId="53141CEE" w14:textId="34A0F6B3">
      <w:pPr>
        <w:pStyle w:val="Standard"/>
      </w:pPr>
      <w:bookmarkStart w:name="_Hlk117428221" w:id="243"/>
      <w:r>
        <w:lastRenderedPageBreak/>
        <w:t>Step 4</w:t>
      </w:r>
      <w:r w:rsidR="00555CC0">
        <w:t xml:space="preserve">:  </w:t>
      </w:r>
      <w:r w:rsidR="00054964">
        <w:t>One-hundred</w:t>
      </w:r>
      <w:r w:rsidR="00020541">
        <w:t xml:space="preserve"> </w:t>
      </w:r>
      <w:r w:rsidR="006F514E">
        <w:t>twenty</w:t>
      </w:r>
      <w:r w:rsidR="00CB30C4">
        <w:t xml:space="preserve"> </w:t>
      </w:r>
      <w:r w:rsidR="00523663">
        <w:t xml:space="preserve">days after the adoption of this decision, </w:t>
      </w:r>
      <w:r w:rsidR="003E37D1">
        <w:t xml:space="preserve">the Commission will implement </w:t>
      </w:r>
      <w:r w:rsidR="008F531A">
        <w:t xml:space="preserve">the </w:t>
      </w:r>
      <w:r w:rsidR="00602BC5">
        <w:t>NEM 2.0</w:t>
      </w:r>
      <w:r w:rsidR="00135D55">
        <w:t xml:space="preserve"> </w:t>
      </w:r>
      <w:r w:rsidR="006913D8">
        <w:t xml:space="preserve">tariff </w:t>
      </w:r>
      <w:r w:rsidR="003E37D1">
        <w:t xml:space="preserve">sunset </w:t>
      </w:r>
      <w:r w:rsidR="003F7202">
        <w:t>marking</w:t>
      </w:r>
      <w:r w:rsidR="008F531A">
        <w:t xml:space="preserve"> the end of the </w:t>
      </w:r>
      <w:r w:rsidR="00BB11BE">
        <w:t>S</w:t>
      </w:r>
      <w:r w:rsidR="008F531A">
        <w:t xml:space="preserve">unset </w:t>
      </w:r>
      <w:r w:rsidR="00BB11BE">
        <w:t>P</w:t>
      </w:r>
      <w:r w:rsidR="008F531A">
        <w:t>eriod</w:t>
      </w:r>
      <w:r w:rsidR="003E37D1">
        <w:t xml:space="preserve">, </w:t>
      </w:r>
      <w:r w:rsidR="00F93C8D">
        <w:t xml:space="preserve">after </w:t>
      </w:r>
      <w:r w:rsidR="003E37D1">
        <w:t xml:space="preserve">which time </w:t>
      </w:r>
      <w:r w:rsidR="00EE5961">
        <w:t xml:space="preserve">no additional customers will be permitted to take service under </w:t>
      </w:r>
      <w:r w:rsidR="00572AF3">
        <w:t xml:space="preserve">the </w:t>
      </w:r>
      <w:r w:rsidR="00602BC5">
        <w:t>NEM 2.0</w:t>
      </w:r>
      <w:r w:rsidR="00135D55">
        <w:t xml:space="preserve"> </w:t>
      </w:r>
      <w:r w:rsidR="00572AF3">
        <w:t>tariff</w:t>
      </w:r>
      <w:r w:rsidR="00EE5961">
        <w:t>.</w:t>
      </w:r>
      <w:r w:rsidR="00572AF3">
        <w:t xml:space="preserve">  </w:t>
      </w:r>
      <w:r w:rsidR="00A56B3D">
        <w:t>In comments to the proposed decision, TURN requested the implementation timeline be reduced to 30</w:t>
      </w:r>
      <w:r w:rsidR="008E22AB">
        <w:t> </w:t>
      </w:r>
      <w:r w:rsidR="00A56B3D">
        <w:t>days.</w:t>
      </w:r>
      <w:r w:rsidR="00A56B3D">
        <w:rPr>
          <w:rStyle w:val="FootnoteReference"/>
        </w:rPr>
        <w:footnoteReference w:id="523"/>
      </w:r>
      <w:r w:rsidR="00A56B3D">
        <w:t xml:space="preserve">  The Commission does not find this reasonable.  </w:t>
      </w:r>
    </w:p>
    <w:p w:rsidR="00F93C8D" w:rsidP="00F93C8D" w:rsidRDefault="00847972" w14:paraId="401E0F58" w14:textId="77777777">
      <w:pPr>
        <w:pStyle w:val="Standard"/>
      </w:pPr>
      <w:r>
        <w:t xml:space="preserve">Joint Utilities recommend establishing the </w:t>
      </w:r>
      <w:r w:rsidR="00B10653">
        <w:t>eligibility for inclusion in the Sunset P</w:t>
      </w:r>
      <w:r>
        <w:t>eriod based on the interconnection application date.</w:t>
      </w:r>
      <w:r>
        <w:rPr>
          <w:rStyle w:val="FootnoteReference"/>
        </w:rPr>
        <w:footnoteReference w:id="524"/>
      </w:r>
      <w:r>
        <w:t xml:space="preserve"> </w:t>
      </w:r>
      <w:r w:rsidR="003D7B62">
        <w:t xml:space="preserve"> </w:t>
      </w:r>
      <w:r w:rsidR="003B3919">
        <w:t xml:space="preserve">The Commission adopts this policy. </w:t>
      </w:r>
      <w:proofErr w:type="spellStart"/>
      <w:r w:rsidR="003B3919">
        <w:t>CALSSA</w:t>
      </w:r>
      <w:proofErr w:type="spellEnd"/>
      <w:r w:rsidR="003B3919">
        <w:t xml:space="preserve"> recommends defining </w:t>
      </w:r>
      <w:r w:rsidR="00BA1EAE">
        <w:t>“</w:t>
      </w:r>
      <w:r w:rsidR="003B3919">
        <w:t>interconnection application date</w:t>
      </w:r>
      <w:r w:rsidR="00BA1EAE">
        <w:t>”</w:t>
      </w:r>
      <w:r w:rsidR="003B3919">
        <w:t xml:space="preserve"> as an application that is free of deficiencies but may not yet have the post</w:t>
      </w:r>
      <w:r w:rsidR="00827602">
        <w:noBreakHyphen/>
      </w:r>
      <w:r w:rsidR="003B3919">
        <w:t>inspection notification from the local building department.</w:t>
      </w:r>
      <w:r w:rsidR="003B3919">
        <w:rPr>
          <w:rStyle w:val="FootnoteReference"/>
        </w:rPr>
        <w:footnoteReference w:id="525"/>
      </w:r>
      <w:r w:rsidR="003B3919">
        <w:t xml:space="preserve"> </w:t>
      </w:r>
      <w:r w:rsidR="004F4018">
        <w:t xml:space="preserve"> </w:t>
      </w:r>
      <w:r w:rsidR="003B3919">
        <w:t xml:space="preserve">SEIA/Vote Solar agree with </w:t>
      </w:r>
      <w:proofErr w:type="spellStart"/>
      <w:r w:rsidR="003B3919">
        <w:t>CALSSA’s</w:t>
      </w:r>
      <w:proofErr w:type="spellEnd"/>
      <w:r w:rsidR="003B3919">
        <w:t xml:space="preserve"> recommendation because </w:t>
      </w:r>
      <w:r w:rsidR="00BA1EAE">
        <w:t>“</w:t>
      </w:r>
      <w:r w:rsidR="003B3919">
        <w:t>system completion can be delayed for a host of reasons not in the customer’s control.</w:t>
      </w:r>
      <w:r w:rsidR="00773A75">
        <w:t>”</w:t>
      </w:r>
      <w:r w:rsidR="003B3919">
        <w:rPr>
          <w:rStyle w:val="FootnoteReference"/>
        </w:rPr>
        <w:footnoteReference w:id="526"/>
      </w:r>
      <w:r w:rsidR="003B3919">
        <w:t xml:space="preserve"> </w:t>
      </w:r>
      <w:r w:rsidR="004F4018">
        <w:t xml:space="preserve"> </w:t>
      </w:r>
      <w:r w:rsidR="003B3919">
        <w:t>These assertions are reasonable.</w:t>
      </w:r>
    </w:p>
    <w:p w:rsidR="00B10653" w:rsidP="00F93C8D" w:rsidRDefault="003B3919" w14:paraId="301448D0" w14:textId="2667E48F">
      <w:pPr>
        <w:pStyle w:val="Standard"/>
      </w:pPr>
      <w:r>
        <w:t xml:space="preserve">Accordingly, the interconnection application date </w:t>
      </w:r>
      <w:r w:rsidR="00DE0E59">
        <w:t xml:space="preserve">for residential customers </w:t>
      </w:r>
      <w:r>
        <w:t>is defined as the submission date of an application that is free of major deficiencies and includes a complete application, a single</w:t>
      </w:r>
      <w:r w:rsidR="00827602">
        <w:noBreakHyphen/>
      </w:r>
      <w:r>
        <w:t xml:space="preserve">line diagram, </w:t>
      </w:r>
      <w:r w:rsidR="00CB30C4">
        <w:t xml:space="preserve">and, as applicable, a properly executed contract, </w:t>
      </w:r>
      <w:r>
        <w:t xml:space="preserve">a </w:t>
      </w:r>
      <w:r w:rsidR="005C718E">
        <w:t xml:space="preserve">California Contractors License Board </w:t>
      </w:r>
      <w:r>
        <w:t>Solar Energy System Disclosure Document</w:t>
      </w:r>
      <w:r w:rsidR="00CB30C4">
        <w:t>,</w:t>
      </w:r>
      <w:r w:rsidR="00C151C8">
        <w:t xml:space="preserve"> </w:t>
      </w:r>
      <w:r>
        <w:t>a signed California Solar Consumer Protection Guide</w:t>
      </w:r>
      <w:r w:rsidR="005913E2">
        <w:t xml:space="preserve">, </w:t>
      </w:r>
      <w:r w:rsidR="00CB30C4">
        <w:t>e</w:t>
      </w:r>
      <w:r w:rsidR="008E22AB">
        <w:noBreakHyphen/>
      </w:r>
      <w:r w:rsidR="00CB30C4">
        <w:t xml:space="preserve">signature verification document/audit trail </w:t>
      </w:r>
      <w:r w:rsidR="005913E2">
        <w:t>and oversizing attestation (if applicable)</w:t>
      </w:r>
      <w:r>
        <w:t>.</w:t>
      </w:r>
      <w:r w:rsidR="00F93C8D">
        <w:t xml:space="preserve">  </w:t>
      </w:r>
      <w:bookmarkStart w:name="_Hlk121569156" w:id="244"/>
      <w:r w:rsidR="00DE0E59">
        <w:t xml:space="preserve">The interconnection application date for nonresidential customers is defined as the submission date of an application that </w:t>
      </w:r>
      <w:r w:rsidR="00DE0E59">
        <w:lastRenderedPageBreak/>
        <w:t>is free of major deficiencies and includes a complete application, a signed Authorization to Act on a Customer’s Behalf, a single</w:t>
      </w:r>
      <w:r w:rsidR="008E22AB">
        <w:noBreakHyphen/>
      </w:r>
      <w:r w:rsidR="00DE0E59">
        <w:t>line diagram, and an oversizing attestation (if applicable.)</w:t>
      </w:r>
      <w:bookmarkEnd w:id="244"/>
      <w:r w:rsidR="00DE0E59">
        <w:rPr>
          <w:rStyle w:val="FootnoteReference"/>
        </w:rPr>
        <w:footnoteReference w:id="527"/>
      </w:r>
      <w:r w:rsidR="00F93C8D">
        <w:t xml:space="preserve">  Lastly, in comments to the proposed decision, </w:t>
      </w:r>
      <w:bookmarkStart w:name="_Hlk121569206" w:id="245"/>
      <w:r w:rsidR="00F93C8D">
        <w:t xml:space="preserve">Joint Utilities request the discretion to give </w:t>
      </w:r>
      <w:r w:rsidR="00FB113F">
        <w:t>NEM </w:t>
      </w:r>
      <w:r w:rsidR="00F93C8D">
        <w:t>2.0 eligibility to customers if a delay in meeting the Sunset Date is caused by the utility.</w:t>
      </w:r>
      <w:r w:rsidR="00F93C8D">
        <w:rPr>
          <w:rStyle w:val="FootnoteReference"/>
        </w:rPr>
        <w:footnoteReference w:id="528"/>
      </w:r>
      <w:r w:rsidR="00F93C8D">
        <w:t xml:space="preserve">  </w:t>
      </w:r>
      <w:proofErr w:type="spellStart"/>
      <w:r w:rsidR="00F93C8D">
        <w:t>CALSSA</w:t>
      </w:r>
      <w:proofErr w:type="spellEnd"/>
      <w:r w:rsidR="00F93C8D">
        <w:t xml:space="preserve"> also requests the Commission require utilities to work collaboratively </w:t>
      </w:r>
      <w:r w:rsidR="00C2370D">
        <w:t xml:space="preserve">with representatives of solar and storage contractors </w:t>
      </w:r>
      <w:r w:rsidR="00F93C8D">
        <w:t>to address challenging situations in deeming applications complete.</w:t>
      </w:r>
      <w:bookmarkEnd w:id="245"/>
      <w:r w:rsidR="00F93C8D">
        <w:t xml:space="preserve">  These requests are reasonable and are granted.  </w:t>
      </w:r>
    </w:p>
    <w:p w:rsidR="00523663" w:rsidP="005E7044" w:rsidRDefault="00FE38EA" w14:paraId="65406F7F" w14:textId="681EB844">
      <w:pPr>
        <w:pStyle w:val="Standard"/>
      </w:pPr>
      <w:r>
        <w:t>T</w:t>
      </w:r>
      <w:r w:rsidR="00847972">
        <w:t>h</w:t>
      </w:r>
      <w:r w:rsidR="00E51D7C">
        <w:t>e</w:t>
      </w:r>
      <w:r w:rsidR="00847972">
        <w:t xml:space="preserve"> </w:t>
      </w:r>
      <w:r w:rsidR="00B10653">
        <w:t>Sunset Period</w:t>
      </w:r>
      <w:r w:rsidR="00847972">
        <w:t xml:space="preserve"> will protect customers who are in the process of contracting for </w:t>
      </w:r>
      <w:r w:rsidR="00602BC5">
        <w:t>NEM 2.0</w:t>
      </w:r>
      <w:r w:rsidR="00135D55">
        <w:t xml:space="preserve"> </w:t>
      </w:r>
      <w:r w:rsidR="00847972">
        <w:t xml:space="preserve">tariff service. </w:t>
      </w:r>
      <w:r w:rsidR="00CD15E6">
        <w:t xml:space="preserve"> </w:t>
      </w:r>
      <w:r w:rsidR="004A2D72">
        <w:t xml:space="preserve">As previously stated, </w:t>
      </w:r>
      <w:r w:rsidR="00855C77">
        <w:t xml:space="preserve">customers </w:t>
      </w:r>
      <w:r w:rsidR="00E51D7C">
        <w:t xml:space="preserve">submitting </w:t>
      </w:r>
      <w:r w:rsidR="004A2D72">
        <w:t>complete</w:t>
      </w:r>
      <w:r w:rsidR="00E51D7C">
        <w:t>d</w:t>
      </w:r>
      <w:r w:rsidR="004A2D72">
        <w:t xml:space="preserve"> applications prior to </w:t>
      </w:r>
      <w:r w:rsidR="00E51D7C">
        <w:t xml:space="preserve">or on </w:t>
      </w:r>
      <w:r w:rsidR="004A2D72">
        <w:t xml:space="preserve">this date will be considered </w:t>
      </w:r>
      <w:r w:rsidR="00602BC5">
        <w:t>NEM 2.0</w:t>
      </w:r>
      <w:r w:rsidR="00135D55">
        <w:t xml:space="preserve"> </w:t>
      </w:r>
      <w:r w:rsidR="004A2D72">
        <w:t xml:space="preserve">customers.  </w:t>
      </w:r>
      <w:r w:rsidR="00847972">
        <w:t xml:space="preserve">Customers submitting </w:t>
      </w:r>
      <w:r w:rsidR="00E51D7C">
        <w:t xml:space="preserve">complete </w:t>
      </w:r>
      <w:r w:rsidR="00847972">
        <w:t xml:space="preserve">applications after this sunset date will be billed on the </w:t>
      </w:r>
      <w:r w:rsidR="00602BC5">
        <w:t>NEM 2.0</w:t>
      </w:r>
      <w:r w:rsidR="00135D55">
        <w:t xml:space="preserve"> </w:t>
      </w:r>
      <w:r w:rsidR="00847972">
        <w:t xml:space="preserve">tariff and then be </w:t>
      </w:r>
      <w:r w:rsidR="00925E6F">
        <w:t>transitioned</w:t>
      </w:r>
      <w:r w:rsidR="00847972">
        <w:t xml:space="preserve"> to the successor tariff once it is operationalized.  </w:t>
      </w:r>
      <w:r w:rsidR="00F852C4">
        <w:t xml:space="preserve">Additionally, </w:t>
      </w:r>
      <w:r w:rsidR="00597074">
        <w:t xml:space="preserve">the first step of the </w:t>
      </w:r>
      <w:r w:rsidR="008F531A">
        <w:t xml:space="preserve">successor tariff </w:t>
      </w:r>
      <w:r w:rsidR="00597074">
        <w:t>glide path goes into effect</w:t>
      </w:r>
      <w:r w:rsidR="00F852C4">
        <w:t xml:space="preserve"> at this time as well</w:t>
      </w:r>
      <w:r w:rsidR="00597074">
        <w:t>.</w:t>
      </w:r>
      <w:r w:rsidR="00BB11BE">
        <w:t xml:space="preserve">  </w:t>
      </w:r>
      <w:r w:rsidRPr="002210EF" w:rsidR="004126FA">
        <w:t xml:space="preserve">Joint Utilities propose </w:t>
      </w:r>
      <w:r w:rsidRPr="002210EF" w:rsidR="00FA53C5">
        <w:t xml:space="preserve">that customers taking interim service on the </w:t>
      </w:r>
      <w:r w:rsidR="00602BC5">
        <w:t>NEM 2.0</w:t>
      </w:r>
      <w:r w:rsidRPr="002210EF" w:rsidR="00135D55">
        <w:t xml:space="preserve"> </w:t>
      </w:r>
      <w:r w:rsidRPr="002210EF" w:rsidR="00FA53C5">
        <w:t xml:space="preserve">tariff have a </w:t>
      </w:r>
      <w:r w:rsidRPr="002210EF" w:rsidR="004126FA">
        <w:t>reduction of these benefits during the interim period.</w:t>
      </w:r>
      <w:r w:rsidRPr="002210EF" w:rsidR="004126FA">
        <w:rPr>
          <w:rStyle w:val="FootnoteReference"/>
        </w:rPr>
        <w:footnoteReference w:id="529"/>
      </w:r>
      <w:r w:rsidRPr="002210EF" w:rsidR="004126FA">
        <w:t xml:space="preserve">  This would add an unnecessary layer of c</w:t>
      </w:r>
      <w:r w:rsidRPr="002210EF" w:rsidR="001953B3">
        <w:t xml:space="preserve">omplexity.  Instead, customers taking </w:t>
      </w:r>
      <w:r w:rsidR="00602BC5">
        <w:t>NEM 2.0</w:t>
      </w:r>
      <w:r w:rsidRPr="002210EF" w:rsidR="00135D55">
        <w:t xml:space="preserve"> </w:t>
      </w:r>
      <w:r w:rsidRPr="002210EF" w:rsidR="001953B3">
        <w:t>service on an interim basis will receive the</w:t>
      </w:r>
      <w:r w:rsidRPr="00E51D7C" w:rsidR="001953B3">
        <w:t xml:space="preserve"> full benefits of </w:t>
      </w:r>
      <w:r w:rsidR="00602BC5">
        <w:t>NEM 2.0</w:t>
      </w:r>
      <w:r w:rsidR="00135D55">
        <w:t xml:space="preserve"> </w:t>
      </w:r>
      <w:r w:rsidRPr="00E51D7C" w:rsidR="001953B3">
        <w:t>until</w:t>
      </w:r>
      <w:r w:rsidR="001953B3">
        <w:t xml:space="preserve"> the transition to </w:t>
      </w:r>
      <w:r w:rsidR="001953B3">
        <w:lastRenderedPageBreak/>
        <w:t xml:space="preserve">the </w:t>
      </w:r>
      <w:r w:rsidR="005A6693">
        <w:t>successor tariff</w:t>
      </w:r>
      <w:r w:rsidR="004069C9">
        <w:t>.</w:t>
      </w:r>
      <w:r w:rsidR="00555CC0">
        <w:t xml:space="preserve">  </w:t>
      </w:r>
      <w:bookmarkStart w:name="_Hlk121569418" w:id="246"/>
      <w:r w:rsidR="006A14FA">
        <w:t>T</w:t>
      </w:r>
      <w:r w:rsidR="00BB11BE">
        <w:t xml:space="preserve">hese customers shall take service on </w:t>
      </w:r>
      <w:r w:rsidR="00FA53C5">
        <w:t xml:space="preserve">the </w:t>
      </w:r>
      <w:r w:rsidR="006A14FA">
        <w:t xml:space="preserve">retail import </w:t>
      </w:r>
      <w:r w:rsidR="00FA53C5">
        <w:t xml:space="preserve">rates </w:t>
      </w:r>
      <w:r w:rsidR="006A14FA">
        <w:t>available to NEM</w:t>
      </w:r>
      <w:r w:rsidR="00CD3DC0">
        <w:t> </w:t>
      </w:r>
      <w:r w:rsidR="006A14FA">
        <w:t xml:space="preserve">2.0 customers during this interim period and then moved to retail import electrification rates </w:t>
      </w:r>
      <w:r w:rsidR="00FA53C5">
        <w:t>adopted in this decision</w:t>
      </w:r>
      <w:r w:rsidR="006A14FA">
        <w:t xml:space="preserve"> when fully transitioned to the </w:t>
      </w:r>
      <w:r w:rsidR="00CE2C8B">
        <w:t>n</w:t>
      </w:r>
      <w:r w:rsidR="006A14FA">
        <w:t xml:space="preserve">et </w:t>
      </w:r>
      <w:r w:rsidR="00CE2C8B">
        <w:t>b</w:t>
      </w:r>
      <w:r w:rsidR="006A14FA">
        <w:t>illing tariff</w:t>
      </w:r>
      <w:bookmarkEnd w:id="246"/>
      <w:r w:rsidR="00FA53C5">
        <w:t>.</w:t>
      </w:r>
      <w:r w:rsidR="006A14FA">
        <w:rPr>
          <w:rStyle w:val="FootnoteReference"/>
        </w:rPr>
        <w:footnoteReference w:id="530"/>
      </w:r>
      <w:r w:rsidR="00FA53C5">
        <w:t xml:space="preserve"> </w:t>
      </w:r>
      <w:r w:rsidR="00BB11BE">
        <w:t xml:space="preserve"> </w:t>
      </w:r>
      <w:r w:rsidR="00054964">
        <w:t>This decision clarifies that interim placement on NEM</w:t>
      </w:r>
      <w:r w:rsidR="00FA17EF">
        <w:t> </w:t>
      </w:r>
      <w:r w:rsidR="00054964">
        <w:t>2.0 does not grant a customer the benefit of a legacy period for NEM</w:t>
      </w:r>
      <w:r w:rsidR="00FA17EF">
        <w:t> </w:t>
      </w:r>
      <w:r w:rsidR="00054964">
        <w:t xml:space="preserve">2.0.  </w:t>
      </w:r>
      <w:r w:rsidR="00F77052">
        <w:t xml:space="preserve">  </w:t>
      </w:r>
      <w:r w:rsidR="005717DA">
        <w:t>Once transitioned</w:t>
      </w:r>
      <w:r w:rsidR="00E315C9">
        <w:t xml:space="preserve"> to the </w:t>
      </w:r>
      <w:r w:rsidR="00CE2C8B">
        <w:t>n</w:t>
      </w:r>
      <w:r w:rsidR="00E315C9">
        <w:t xml:space="preserve">et </w:t>
      </w:r>
      <w:r w:rsidR="00CE2C8B">
        <w:t>b</w:t>
      </w:r>
      <w:r w:rsidR="00E315C9">
        <w:t>illing tariff</w:t>
      </w:r>
      <w:r w:rsidR="005717DA">
        <w:t xml:space="preserve">, these customers’ </w:t>
      </w:r>
      <w:r w:rsidR="00F64859">
        <w:t xml:space="preserve">retail </w:t>
      </w:r>
      <w:r w:rsidR="005717DA">
        <w:t xml:space="preserve">export </w:t>
      </w:r>
      <w:r w:rsidR="00116E9B">
        <w:t xml:space="preserve">compensation </w:t>
      </w:r>
      <w:r w:rsidR="005717DA">
        <w:t xml:space="preserve">rates will be based on </w:t>
      </w:r>
      <w:r w:rsidR="00E51D7C">
        <w:t>the locked</w:t>
      </w:r>
      <w:r w:rsidR="00827602">
        <w:noBreakHyphen/>
      </w:r>
      <w:r w:rsidR="00E51D7C">
        <w:t xml:space="preserve">in </w:t>
      </w:r>
      <w:r w:rsidR="005717DA">
        <w:t xml:space="preserve">schedule of </w:t>
      </w:r>
      <w:r w:rsidR="001C7B36">
        <w:t xml:space="preserve">Avoided Cost Calculator </w:t>
      </w:r>
      <w:r w:rsidR="00E51D7C">
        <w:t xml:space="preserve">values </w:t>
      </w:r>
      <w:r w:rsidR="001C7B36">
        <w:t>described above</w:t>
      </w:r>
      <w:r w:rsidR="00E51D7C">
        <w:t>, commencing with a customers’ respective date of system interconnection</w:t>
      </w:r>
      <w:r w:rsidR="001C7B36">
        <w:t>.</w:t>
      </w:r>
      <w:r w:rsidR="005717DA">
        <w:t xml:space="preserve">  </w:t>
      </w:r>
      <w:r w:rsidR="001C7B36">
        <w:t xml:space="preserve">The Avoided Cost Calculator </w:t>
      </w:r>
      <w:r w:rsidR="00942C88">
        <w:t xml:space="preserve">version </w:t>
      </w:r>
      <w:r w:rsidR="001C7B36">
        <w:t>used will be the adopted calculator, as of January</w:t>
      </w:r>
      <w:r w:rsidR="003D7B62">
        <w:t> </w:t>
      </w:r>
      <w:r w:rsidR="001C7B36">
        <w:t xml:space="preserve">1 of the calendar year of the successor tariff customer’s interconnection date.  </w:t>
      </w:r>
      <w:r w:rsidR="005717DA">
        <w:t xml:space="preserve">Customers will retain this </w:t>
      </w:r>
      <w:r w:rsidR="00773A75">
        <w:t xml:space="preserve">retail </w:t>
      </w:r>
      <w:r w:rsidR="005717DA">
        <w:t xml:space="preserve">export </w:t>
      </w:r>
      <w:r w:rsidR="00116E9B">
        <w:t xml:space="preserve">compensation </w:t>
      </w:r>
      <w:r w:rsidR="005717DA">
        <w:t xml:space="preserve">rate </w:t>
      </w:r>
      <w:r w:rsidR="00773A75">
        <w:t xml:space="preserve">schedule </w:t>
      </w:r>
      <w:r w:rsidR="005717DA">
        <w:t>for the lock</w:t>
      </w:r>
      <w:r w:rsidR="00827602">
        <w:noBreakHyphen/>
      </w:r>
      <w:r w:rsidR="005717DA">
        <w:t>in period</w:t>
      </w:r>
      <w:r w:rsidR="00E51D7C">
        <w:t>, other than customers who choose to exit their lock</w:t>
      </w:r>
      <w:r w:rsidR="00827602">
        <w:noBreakHyphen/>
      </w:r>
      <w:r w:rsidR="00E51D7C">
        <w:t>in periods early</w:t>
      </w:r>
      <w:r w:rsidR="005717DA">
        <w:t>.</w:t>
      </w:r>
    </w:p>
    <w:p w:rsidR="00E51D7C" w:rsidP="005E7044" w:rsidRDefault="00E51D7C" w14:paraId="0C3339DC" w14:textId="77610451">
      <w:pPr>
        <w:pStyle w:val="Standard"/>
      </w:pPr>
      <w:r>
        <w:t xml:space="preserve">Between the </w:t>
      </w:r>
      <w:r w:rsidR="00602BC5">
        <w:t>NEM 2.0</w:t>
      </w:r>
      <w:r w:rsidR="00135D55">
        <w:t xml:space="preserve"> </w:t>
      </w:r>
      <w:r>
        <w:t xml:space="preserve">tariff sunset date and </w:t>
      </w:r>
      <w:r w:rsidR="00080E90">
        <w:t>Step 5</w:t>
      </w:r>
      <w:r>
        <w:t xml:space="preserve">, Joint Utilities shall pause transitions that would normally occur of </w:t>
      </w:r>
      <w:r w:rsidR="00602BC5">
        <w:t>NEM 1.0</w:t>
      </w:r>
      <w:r>
        <w:t xml:space="preserve"> tariff customers to the </w:t>
      </w:r>
      <w:r w:rsidR="00602BC5">
        <w:t>NEM 2.0</w:t>
      </w:r>
      <w:r w:rsidR="00135D55">
        <w:t xml:space="preserve"> </w:t>
      </w:r>
      <w:r>
        <w:t>tariff.  This will eliminate the need for customers to understand a tariff on which they would only take service for a short period of time.</w:t>
      </w:r>
    </w:p>
    <w:p w:rsidR="001953B3" w:rsidP="005E7044" w:rsidRDefault="00080E90" w14:paraId="461686E8" w14:textId="48CFB944">
      <w:pPr>
        <w:pStyle w:val="Standard"/>
      </w:pPr>
      <w:r>
        <w:t>Step 5</w:t>
      </w:r>
      <w:r w:rsidR="00555CC0">
        <w:t xml:space="preserve">:  </w:t>
      </w:r>
      <w:r w:rsidR="004E2A76">
        <w:t>Twelve</w:t>
      </w:r>
      <w:r w:rsidR="001953B3">
        <w:t xml:space="preserve"> months following adoption of this decision, </w:t>
      </w:r>
      <w:r w:rsidR="006A14FA">
        <w:t>SCE and SDG&amp;E</w:t>
      </w:r>
      <w:r w:rsidR="00A95D2F">
        <w:t xml:space="preserve"> will complete alignment of related necessary billing systems and </w:t>
      </w:r>
      <w:r w:rsidR="001953B3">
        <w:t xml:space="preserve">transition to full implementation of the </w:t>
      </w:r>
      <w:r w:rsidR="005A6693">
        <w:t>successor tariff</w:t>
      </w:r>
      <w:r w:rsidR="001953B3">
        <w:t>.</w:t>
      </w:r>
      <w:r w:rsidR="005717DA">
        <w:t xml:space="preserve">  Joint Utilities </w:t>
      </w:r>
      <w:r w:rsidR="00B62FCF">
        <w:t xml:space="preserve">state that </w:t>
      </w:r>
      <w:r w:rsidR="005717DA">
        <w:t xml:space="preserve">billing system </w:t>
      </w:r>
      <w:r w:rsidR="00B62FCF">
        <w:t xml:space="preserve">upgrades for each of the utilities are currently in progress and contend this will result in </w:t>
      </w:r>
      <w:r w:rsidR="005717DA">
        <w:t>delays</w:t>
      </w:r>
      <w:r w:rsidR="00B62FCF">
        <w:t xml:space="preserve"> to implementation</w:t>
      </w:r>
      <w:r w:rsidR="005717DA">
        <w:t>.  However, the</w:t>
      </w:r>
      <w:r w:rsidR="00FE38EA">
        <w:t>se</w:t>
      </w:r>
      <w:r w:rsidR="005717DA">
        <w:t xml:space="preserve"> delays </w:t>
      </w:r>
      <w:r w:rsidR="00FE38EA">
        <w:t xml:space="preserve">are </w:t>
      </w:r>
      <w:r w:rsidR="005717DA">
        <w:t>unreasonable and</w:t>
      </w:r>
      <w:r w:rsidR="00FE38EA">
        <w:t xml:space="preserve">, thus, this decision </w:t>
      </w:r>
      <w:r w:rsidR="005717DA">
        <w:t>require</w:t>
      </w:r>
      <w:r w:rsidR="00FE38EA">
        <w:t>s</w:t>
      </w:r>
      <w:r w:rsidR="005717DA">
        <w:t xml:space="preserve"> full implementation of the </w:t>
      </w:r>
      <w:r w:rsidR="005A6693">
        <w:lastRenderedPageBreak/>
        <w:t xml:space="preserve">successor tariff </w:t>
      </w:r>
      <w:r w:rsidR="005717DA">
        <w:t xml:space="preserve">no later than one year from </w:t>
      </w:r>
      <w:r w:rsidR="00F711E3">
        <w:t xml:space="preserve">adoption </w:t>
      </w:r>
      <w:r w:rsidR="005717DA">
        <w:t>of this decision</w:t>
      </w:r>
      <w:r w:rsidR="0065041B">
        <w:t>, with one exception  PG&amp;E will be permitted to implement in two phases.  Phase</w:t>
      </w:r>
      <w:r w:rsidR="008E22AB">
        <w:t> </w:t>
      </w:r>
      <w:r w:rsidR="0065041B">
        <w:t>I shall be implemented within 12</w:t>
      </w:r>
      <w:r w:rsidR="008E22AB">
        <w:t> </w:t>
      </w:r>
      <w:r w:rsidR="0065041B">
        <w:t xml:space="preserve">months from the adoption of this decision and requires PG&amp;E to implement </w:t>
      </w:r>
      <w:r w:rsidR="00CE2C8B">
        <w:t>n</w:t>
      </w:r>
      <w:r w:rsidR="0065041B">
        <w:t xml:space="preserve">et </w:t>
      </w:r>
      <w:r w:rsidR="00CE2C8B">
        <w:t>b</w:t>
      </w:r>
      <w:r w:rsidR="0065041B">
        <w:t>illing for residential customers.  Phase</w:t>
      </w:r>
      <w:r w:rsidR="008E22AB">
        <w:t> </w:t>
      </w:r>
      <w:r w:rsidR="0065041B">
        <w:t>II shall be implemented within 18</w:t>
      </w:r>
      <w:r w:rsidR="008E22AB">
        <w:t> </w:t>
      </w:r>
      <w:r w:rsidR="0065041B">
        <w:t xml:space="preserve">months from the adoption of this decision and requires PG&amp;E to implement </w:t>
      </w:r>
      <w:r w:rsidR="00CE2C8B">
        <w:t>n</w:t>
      </w:r>
      <w:r w:rsidR="0065041B">
        <w:t xml:space="preserve">et </w:t>
      </w:r>
      <w:r w:rsidR="00CE2C8B">
        <w:t>b</w:t>
      </w:r>
      <w:r w:rsidR="0065041B">
        <w:t>illing for nonresidential customers.</w:t>
      </w:r>
    </w:p>
    <w:p w:rsidR="001953B3" w:rsidP="005E7044" w:rsidRDefault="009355F1" w14:paraId="281BF9BA" w14:textId="327C1B6E">
      <w:pPr>
        <w:pStyle w:val="Standard"/>
      </w:pPr>
      <w:r>
        <w:t>Cal Advoc</w:t>
      </w:r>
      <w:r w:rsidR="00F65BB0">
        <w:t>ates recommend</w:t>
      </w:r>
      <w:r w:rsidR="00CD15E6">
        <w:t>s</w:t>
      </w:r>
      <w:r w:rsidR="00F65BB0">
        <w:t xml:space="preserve"> enrollment of customers on the successor tariff by early 202</w:t>
      </w:r>
      <w:r w:rsidR="00BB11BE">
        <w:t>3</w:t>
      </w:r>
      <w:r w:rsidR="00F65BB0">
        <w:t>,</w:t>
      </w:r>
      <w:r w:rsidR="0022240C">
        <w:rPr>
          <w:rStyle w:val="FootnoteReference"/>
        </w:rPr>
        <w:footnoteReference w:id="531"/>
      </w:r>
      <w:r w:rsidR="00F65BB0">
        <w:t xml:space="preserve"> which would not allow behind</w:t>
      </w:r>
      <w:r w:rsidR="00827602">
        <w:noBreakHyphen/>
      </w:r>
      <w:r w:rsidR="00F65BB0">
        <w:t>the</w:t>
      </w:r>
      <w:r w:rsidR="00827602">
        <w:noBreakHyphen/>
      </w:r>
      <w:r w:rsidR="00F65BB0">
        <w:t xml:space="preserve">meter industry providers to sufficiently train their </w:t>
      </w:r>
      <w:r w:rsidR="0022240C">
        <w:t>sales force and customer service representatives, and revise marketing material and contract</w:t>
      </w:r>
      <w:r w:rsidR="006D1A33">
        <w:t>s</w:t>
      </w:r>
      <w:r w:rsidR="0022240C">
        <w:t xml:space="preserve">.  </w:t>
      </w:r>
      <w:r w:rsidR="001953B3">
        <w:t xml:space="preserve">The overall transition from </w:t>
      </w:r>
      <w:r w:rsidR="00602BC5">
        <w:t>NEM 2.0</w:t>
      </w:r>
      <w:r w:rsidR="00135D55">
        <w:t xml:space="preserve"> </w:t>
      </w:r>
      <w:r w:rsidR="001953B3">
        <w:t xml:space="preserve">to </w:t>
      </w:r>
      <w:r w:rsidR="005A6693">
        <w:t>the successor tariff</w:t>
      </w:r>
      <w:r w:rsidR="001953B3">
        <w:t xml:space="preserve"> is as expeditious as reasonably possible to prevent additional contribution to the co</w:t>
      </w:r>
      <w:r w:rsidR="00F65BB0">
        <w:t xml:space="preserve">st shift, ensure </w:t>
      </w:r>
      <w:r w:rsidR="0022240C">
        <w:t xml:space="preserve">the </w:t>
      </w:r>
      <w:r w:rsidR="00F65BB0">
        <w:t>compensation for these service</w:t>
      </w:r>
      <w:r w:rsidR="006D1A33">
        <w:t>s</w:t>
      </w:r>
      <w:r w:rsidR="00F65BB0">
        <w:t xml:space="preserve"> is cost</w:t>
      </w:r>
      <w:r w:rsidR="00827602">
        <w:noBreakHyphen/>
      </w:r>
      <w:r w:rsidR="00F65BB0">
        <w:t xml:space="preserve">effective, and initiate the storage and electrification benefits of the </w:t>
      </w:r>
      <w:r w:rsidR="005A6693">
        <w:t>successor tariff</w:t>
      </w:r>
      <w:r w:rsidR="0022240C">
        <w:t>.</w:t>
      </w:r>
    </w:p>
    <w:p w:rsidR="00D05D36" w:rsidP="005E7044" w:rsidRDefault="00D05D36" w14:paraId="5E350926" w14:textId="5E2E613A">
      <w:pPr>
        <w:pStyle w:val="Standard"/>
      </w:pPr>
      <w:r>
        <w:t>Joint Utilities request a completion timeline for applications to submit final building permit sign off and electrical clearing by the authority having jurisdiction in order to ensure all NEM</w:t>
      </w:r>
      <w:r w:rsidR="008E22AB">
        <w:t> </w:t>
      </w:r>
      <w:r>
        <w:t>2.0 applications are valid and do not “linger in the interconnection system.”</w:t>
      </w:r>
      <w:r>
        <w:rPr>
          <w:rStyle w:val="FootnoteReference"/>
        </w:rPr>
        <w:footnoteReference w:id="532"/>
      </w:r>
      <w:r>
        <w:t xml:space="preserve">  Joint Utilities recommend a deadline of one year </w:t>
      </w:r>
      <w:r w:rsidR="00C2370D">
        <w:t>after</w:t>
      </w:r>
      <w:r>
        <w:t xml:space="preserve"> application submission for projects sized less than 30</w:t>
      </w:r>
      <w:r w:rsidR="008E22AB">
        <w:t> </w:t>
      </w:r>
      <w:r>
        <w:t>kW and two</w:t>
      </w:r>
      <w:r w:rsidR="008E22AB">
        <w:t> </w:t>
      </w:r>
      <w:r>
        <w:t>years for projects sized greater than 30</w:t>
      </w:r>
      <w:r w:rsidR="008E22AB">
        <w:t> </w:t>
      </w:r>
      <w:r>
        <w:t>kW.</w:t>
      </w:r>
      <w:r>
        <w:rPr>
          <w:rStyle w:val="FootnoteReference"/>
        </w:rPr>
        <w:footnoteReference w:id="533"/>
      </w:r>
      <w:r>
        <w:t xml:space="preserve">  Joint Utilities also request the “discretion to give NEM</w:t>
      </w:r>
      <w:r w:rsidR="008E22AB">
        <w:t> </w:t>
      </w:r>
      <w:r>
        <w:t>2.0 eligibility” to customers who fail to submit a complete application due to utility</w:t>
      </w:r>
      <w:r w:rsidR="008E22AB">
        <w:noBreakHyphen/>
      </w:r>
      <w:r>
        <w:t>caused delays.</w:t>
      </w:r>
      <w:r>
        <w:rPr>
          <w:rStyle w:val="FootnoteReference"/>
        </w:rPr>
        <w:footnoteReference w:id="534"/>
      </w:r>
      <w:r>
        <w:t xml:space="preserve">  In response, SEIA/Vote </w:t>
      </w:r>
      <w:r>
        <w:lastRenderedPageBreak/>
        <w:t>Solar cautions against arbitrary deadlines but requests that if a deadline is needed, it should be no less than three years after application submission.</w:t>
      </w:r>
      <w:r>
        <w:rPr>
          <w:rStyle w:val="FootnoteReference"/>
        </w:rPr>
        <w:footnoteReference w:id="535"/>
      </w:r>
      <w:r>
        <w:t xml:space="preserve">  The Commission finds a three</w:t>
      </w:r>
      <w:r w:rsidR="008E22AB">
        <w:noBreakHyphen/>
      </w:r>
      <w:r>
        <w:t xml:space="preserve">year deadline to submit </w:t>
      </w:r>
      <w:r w:rsidR="00C2370D">
        <w:t>final building permit sign off and electrical clearance</w:t>
      </w:r>
      <w:r>
        <w:t xml:space="preserve"> is reasonable.  Further, Joint Utilities are granted discretion to grant NEM</w:t>
      </w:r>
      <w:r w:rsidR="008E22AB">
        <w:t> </w:t>
      </w:r>
      <w:r>
        <w:t>2.0 eligibility to a customer with a late final application caused by utility delay.</w:t>
      </w:r>
    </w:p>
    <w:bookmarkEnd w:id="243"/>
    <w:p w:rsidR="00A72ECD" w:rsidP="005E7044" w:rsidRDefault="00417808" w14:paraId="204113B4" w14:textId="3F99892B">
      <w:pPr>
        <w:pStyle w:val="Standard"/>
      </w:pPr>
      <w:r>
        <w:t xml:space="preserve">Lastly, many parties expressed concern regarding the impact of the successor tariff on the California Energy Commission’s </w:t>
      </w:r>
      <w:r w:rsidR="007B0493">
        <w:t>Title </w:t>
      </w:r>
      <w:r>
        <w:t xml:space="preserve">24 regulation.  The Commission intends to collaborate with the California Energy Commission on </w:t>
      </w:r>
      <w:r w:rsidR="001C7B36">
        <w:t xml:space="preserve">the </w:t>
      </w:r>
      <w:r w:rsidR="007B0493">
        <w:t>Title </w:t>
      </w:r>
      <w:r>
        <w:t>24 regulation and its interactions with the successor tariff.</w:t>
      </w:r>
    </w:p>
    <w:p w:rsidR="00A72ECD" w:rsidP="005E7044" w:rsidRDefault="00A72ECD" w14:paraId="4397D5E7" w14:textId="4D5F0AC5">
      <w:pPr>
        <w:pStyle w:val="Heading2"/>
        <w:keepLines w:val="0"/>
      </w:pPr>
      <w:bookmarkStart w:name="_Toc117674109" w:id="247"/>
      <w:bookmarkStart w:name="_Toc118285100" w:id="248"/>
      <w:bookmarkStart w:name="_Toc121854427" w:id="249"/>
      <w:r>
        <w:t>Evaluation of the</w:t>
      </w:r>
      <w:r>
        <w:br/>
        <w:t>Successor Tariff</w:t>
      </w:r>
      <w:bookmarkEnd w:id="247"/>
      <w:bookmarkEnd w:id="248"/>
      <w:bookmarkEnd w:id="249"/>
    </w:p>
    <w:p w:rsidR="00A72ECD" w:rsidP="005E7044" w:rsidRDefault="00A72ECD" w14:paraId="24BA3A29" w14:textId="664A191E">
      <w:pPr>
        <w:pStyle w:val="Standard"/>
      </w:pPr>
      <w:r>
        <w:t>Previously, this decision stated that the successor tariff will be evaluated</w:t>
      </w:r>
      <w:r w:rsidR="000D307A">
        <w:t>, with an emphasis on evaluating equity</w:t>
      </w:r>
      <w:r w:rsidR="00E315C9">
        <w:t>,</w:t>
      </w:r>
      <w:r w:rsidR="000D307A">
        <w:t xml:space="preserve"> affordability</w:t>
      </w:r>
      <w:r w:rsidR="00E315C9">
        <w:t>, and grid benefits</w:t>
      </w:r>
      <w:r>
        <w:t>.  Below, this decision describes the intentions of the evaluation.</w:t>
      </w:r>
    </w:p>
    <w:p w:rsidR="002F7058" w:rsidP="005E7044" w:rsidRDefault="00417808" w14:paraId="10C8AEB2" w14:textId="4E052377">
      <w:pPr>
        <w:pStyle w:val="Standard"/>
      </w:pPr>
      <w:r>
        <w:t xml:space="preserve"> </w:t>
      </w:r>
      <w:r w:rsidRPr="00F036C6" w:rsidR="00A72ECD">
        <w:t xml:space="preserve">The evaluation will collect three years of data </w:t>
      </w:r>
      <w:r w:rsidR="00942C88">
        <w:t xml:space="preserve">after full implementation of </w:t>
      </w:r>
      <w:r w:rsidRPr="00F036C6" w:rsidR="00A72ECD">
        <w:t xml:space="preserve">the successor tariff </w:t>
      </w:r>
      <w:r w:rsidR="000D307A">
        <w:t>and will follow a similar process as conducted in the Lookback Study</w:t>
      </w:r>
      <w:r w:rsidR="007E1813">
        <w:t>, reviewing the entire successor tariff</w:t>
      </w:r>
      <w:r w:rsidR="000D307A">
        <w:t xml:space="preserve"> but with a </w:t>
      </w:r>
      <w:r w:rsidRPr="00F036C6" w:rsidR="00A72ECD">
        <w:t>focus on affordability</w:t>
      </w:r>
      <w:r w:rsidR="00E315C9">
        <w:t xml:space="preserve">, </w:t>
      </w:r>
      <w:r w:rsidRPr="00F036C6" w:rsidR="00A72ECD">
        <w:t>equity</w:t>
      </w:r>
      <w:r w:rsidR="00E315C9">
        <w:t>, and grid benefits</w:t>
      </w:r>
      <w:r w:rsidRPr="00F036C6" w:rsidR="00A72ECD">
        <w:t xml:space="preserve">.  </w:t>
      </w:r>
      <w:r w:rsidR="002F7058">
        <w:t>Given the Commission’s desire to promote solar paired with storage, this decision adds to the evaluation an analysis of battery dispatch trends.</w:t>
      </w:r>
    </w:p>
    <w:p w:rsidRPr="00F036C6" w:rsidR="00A72ECD" w:rsidP="005E7044" w:rsidRDefault="007A4D02" w14:paraId="7D78F0D1" w14:textId="2511FC2E">
      <w:pPr>
        <w:pStyle w:val="Standard"/>
      </w:pPr>
      <w:r>
        <w:t xml:space="preserve">To be clear, it is the intention of the Commission to collect data from the successor tariff for three years and then analyze the data and provide a draft evaluation within </w:t>
      </w:r>
      <w:r w:rsidR="0062162B">
        <w:t>five</w:t>
      </w:r>
      <w:r>
        <w:t xml:space="preserve"> years of implementation of the successor tariff.  </w:t>
      </w:r>
      <w:r w:rsidRPr="00F036C6" w:rsidR="00A72ECD">
        <w:t xml:space="preserve">Following the issuance of the </w:t>
      </w:r>
      <w:r w:rsidR="00942C88">
        <w:t xml:space="preserve">draft </w:t>
      </w:r>
      <w:r w:rsidRPr="00F036C6" w:rsidR="00A72ECD">
        <w:t xml:space="preserve">evaluation, parties will have an opportunity to provide </w:t>
      </w:r>
      <w:r w:rsidRPr="00F036C6" w:rsidR="00A72ECD">
        <w:lastRenderedPageBreak/>
        <w:t xml:space="preserve">comment </w:t>
      </w:r>
      <w:r>
        <w:t>prior to the issuance of a final evaluation.  T</w:t>
      </w:r>
      <w:r w:rsidRPr="00F036C6" w:rsidR="00A72ECD">
        <w:t xml:space="preserve">he Commission will consider the contents of the evaluation and associated party comments in a future </w:t>
      </w:r>
      <w:r>
        <w:t xml:space="preserve">proceeding to determine whether changes to the successor tariff or any of its </w:t>
      </w:r>
      <w:r w:rsidRPr="0062162B">
        <w:t>elements are necessary</w:t>
      </w:r>
      <w:r w:rsidRPr="00F036C6" w:rsidR="00A72ECD">
        <w:t>.</w:t>
      </w:r>
    </w:p>
    <w:p w:rsidR="00417808" w:rsidP="005E7044" w:rsidRDefault="00A72ECD" w14:paraId="508F8561" w14:textId="4676DA3D">
      <w:pPr>
        <w:pStyle w:val="Standard"/>
      </w:pPr>
      <w:r w:rsidRPr="00F036C6">
        <w:t>The record of this decision does not contain the specifics of the evaluation.  As such, a ruling will be issued following the adoption of this decision to assist the Commission in better defining the parameters</w:t>
      </w:r>
      <w:r w:rsidRPr="0062162B" w:rsidR="002F7058">
        <w:t xml:space="preserve">, determining the amount of funding, authorizing funding, </w:t>
      </w:r>
      <w:r w:rsidRPr="00F036C6">
        <w:t xml:space="preserve">and </w:t>
      </w:r>
      <w:r w:rsidRPr="0062162B" w:rsidR="002F7058">
        <w:t xml:space="preserve">creating an </w:t>
      </w:r>
      <w:r w:rsidRPr="00F036C6">
        <w:t xml:space="preserve">implementation </w:t>
      </w:r>
      <w:r w:rsidRPr="0062162B" w:rsidR="002F7058">
        <w:t xml:space="preserve">plan for </w:t>
      </w:r>
      <w:r w:rsidRPr="00F036C6">
        <w:t xml:space="preserve">the evaluation.  A future decision </w:t>
      </w:r>
      <w:r w:rsidRPr="0062162B" w:rsidR="007A4D02">
        <w:t xml:space="preserve">in this proceeding </w:t>
      </w:r>
      <w:r w:rsidRPr="00F036C6">
        <w:t>will consider these details.</w:t>
      </w:r>
    </w:p>
    <w:p w:rsidR="005511A3" w:rsidP="005E7044" w:rsidRDefault="005511A3" w14:paraId="589F2429" w14:textId="68FA3D46">
      <w:pPr>
        <w:pStyle w:val="Standard"/>
      </w:pPr>
      <w:r>
        <w:t>In comments to the proposed decision, Joint Utilities assert it is appropriate and essential for the Commission to track and publicly report the annual cost shift as part of its evaluation of the successor tariff.</w:t>
      </w:r>
      <w:r>
        <w:rPr>
          <w:rStyle w:val="FootnoteReference"/>
        </w:rPr>
        <w:footnoteReference w:id="536"/>
      </w:r>
      <w:r>
        <w:t xml:space="preserve">  Cal</w:t>
      </w:r>
      <w:r w:rsidR="006B769C">
        <w:t> </w:t>
      </w:r>
      <w:r>
        <w:t xml:space="preserve">Advocates </w:t>
      </w:r>
      <w:r w:rsidR="00B83E9A">
        <w:t xml:space="preserve">makes two related recommendations: </w:t>
      </w:r>
      <w:r w:rsidR="006B769C">
        <w:t xml:space="preserve"> (</w:t>
      </w:r>
      <w:r w:rsidR="00B83E9A">
        <w:t>1)</w:t>
      </w:r>
      <w:r w:rsidR="006B769C">
        <w:t> </w:t>
      </w:r>
      <w:r w:rsidR="00B83E9A">
        <w:t>direct the utilities to include a line item on residential customer bills indicating the portion of the bill attributable to the subside for rooftop solar</w:t>
      </w:r>
      <w:r w:rsidR="006B769C">
        <w:t>;</w:t>
      </w:r>
      <w:r w:rsidR="00B83E9A">
        <w:t xml:space="preserve"> and </w:t>
      </w:r>
      <w:r w:rsidR="006B769C">
        <w:t>(</w:t>
      </w:r>
      <w:r w:rsidR="00B83E9A">
        <w:t>2)</w:t>
      </w:r>
      <w:r w:rsidR="006B769C">
        <w:t> </w:t>
      </w:r>
      <w:r w:rsidR="00B83E9A">
        <w:t xml:space="preserve">direct </w:t>
      </w:r>
      <w:r>
        <w:t xml:space="preserve">the Energy Division </w:t>
      </w:r>
      <w:r w:rsidR="00B83E9A">
        <w:t xml:space="preserve">to </w:t>
      </w:r>
      <w:r>
        <w:t>track and report cost shifting on an actual basis to enable parties to assess how rate increases and other rate design changes impact the cost shift.</w:t>
      </w:r>
      <w:r>
        <w:rPr>
          <w:rStyle w:val="FootnoteReference"/>
        </w:rPr>
        <w:footnoteReference w:id="537"/>
      </w:r>
      <w:r w:rsidR="00B83E9A">
        <w:t xml:space="preserve">  </w:t>
      </w:r>
      <w:proofErr w:type="spellStart"/>
      <w:r w:rsidR="00B83E9A">
        <w:t>CALSSA</w:t>
      </w:r>
      <w:proofErr w:type="spellEnd"/>
      <w:r w:rsidR="00B83E9A">
        <w:t xml:space="preserve"> opposes the requirement to include the cost shift as a line item on a customer’s bill, asserting such an analysis would be highly contested.  </w:t>
      </w:r>
      <w:proofErr w:type="spellStart"/>
      <w:r w:rsidR="00B83E9A">
        <w:t>CALSSA</w:t>
      </w:r>
      <w:proofErr w:type="spellEnd"/>
      <w:r w:rsidR="00B83E9A">
        <w:t xml:space="preserve"> proposes to instead produce annual whitepapers regarding rate affordability.</w:t>
      </w:r>
      <w:r w:rsidR="00B83E9A">
        <w:rPr>
          <w:rStyle w:val="FootnoteReference"/>
        </w:rPr>
        <w:footnoteReference w:id="538"/>
      </w:r>
    </w:p>
    <w:p w:rsidR="00F070F7" w:rsidP="005E7044" w:rsidRDefault="00F070F7" w14:paraId="219E2369" w14:textId="1B94FB63">
      <w:pPr>
        <w:pStyle w:val="Standard"/>
      </w:pPr>
      <w:r>
        <w:t xml:space="preserve">The Commission agrees that the </w:t>
      </w:r>
      <w:r w:rsidR="006F514E">
        <w:t>data related to costs allocated across customers</w:t>
      </w:r>
      <w:r>
        <w:t xml:space="preserve"> should be tracked </w:t>
      </w:r>
      <w:r w:rsidR="009B27E4">
        <w:t xml:space="preserve">annually </w:t>
      </w:r>
      <w:r>
        <w:t xml:space="preserve">as part of the evaluation.  As previously stated, the details of the evaluation will be addressed in a subsequent ruling and </w:t>
      </w:r>
      <w:r>
        <w:lastRenderedPageBreak/>
        <w:t xml:space="preserve">decision.  The Commission declines to require a customer bill line item indicating the cost shift. </w:t>
      </w:r>
    </w:p>
    <w:p w:rsidR="004630DB" w:rsidP="004630DB" w:rsidRDefault="004630DB" w14:paraId="745C3762" w14:textId="1F6D57FC">
      <w:pPr>
        <w:pStyle w:val="Heading2"/>
        <w:keepLines w:val="0"/>
      </w:pPr>
      <w:bookmarkStart w:name="_Toc121854428" w:id="250"/>
      <w:bookmarkStart w:name="_Hlk121749916" w:id="251"/>
      <w:r>
        <w:t xml:space="preserve">Next Steps of </w:t>
      </w:r>
      <w:r w:rsidR="00E26A04">
        <w:t xml:space="preserve">This </w:t>
      </w:r>
      <w:r>
        <w:t>Proceeding</w:t>
      </w:r>
      <w:bookmarkEnd w:id="250"/>
    </w:p>
    <w:p w:rsidR="004630DB" w:rsidP="004630DB" w:rsidRDefault="004630DB" w14:paraId="5937AA68" w14:textId="097E8B0C">
      <w:pPr>
        <w:pStyle w:val="Standard"/>
      </w:pPr>
      <w:r>
        <w:t>R.20</w:t>
      </w:r>
      <w:r w:rsidR="008D2724">
        <w:noBreakHyphen/>
      </w:r>
      <w:r>
        <w:t>08</w:t>
      </w:r>
      <w:r w:rsidR="008D2724">
        <w:noBreakHyphen/>
      </w:r>
      <w:r>
        <w:t xml:space="preserve">020 remains open to address continuing issues from this decision as well as </w:t>
      </w:r>
      <w:r w:rsidR="00E26A04">
        <w:t xml:space="preserve">remaining </w:t>
      </w:r>
      <w:r>
        <w:t xml:space="preserve">two issues from the scoping memo.  </w:t>
      </w:r>
    </w:p>
    <w:p w:rsidR="004630DB" w:rsidP="004630DB" w:rsidRDefault="004630DB" w14:paraId="5ED1EA55" w14:textId="2C46C733">
      <w:pPr>
        <w:pStyle w:val="Standard"/>
      </w:pPr>
      <w:r>
        <w:t xml:space="preserve">Parties to this proceeding can anticipate a ruling in early 2023 that sets forth a schedule of </w:t>
      </w:r>
      <w:r w:rsidR="00E26A04">
        <w:t>activities</w:t>
      </w:r>
      <w:r>
        <w:t xml:space="preserve"> </w:t>
      </w:r>
      <w:r w:rsidR="00E26A04">
        <w:t xml:space="preserve">(workshop(s) and comments) </w:t>
      </w:r>
      <w:r>
        <w:t xml:space="preserve">to </w:t>
      </w:r>
      <w:r w:rsidR="00E26A04">
        <w:t xml:space="preserve">discuss </w:t>
      </w:r>
      <w:r>
        <w:t xml:space="preserve">the adopted required evaluation of the </w:t>
      </w:r>
      <w:r w:rsidR="00CE2C8B">
        <w:t>n</w:t>
      </w:r>
      <w:r>
        <w:t xml:space="preserve">et </w:t>
      </w:r>
      <w:r w:rsidR="00CE2C8B">
        <w:t>b</w:t>
      </w:r>
      <w:r>
        <w:t xml:space="preserve">illing Tariff and further review the </w:t>
      </w:r>
      <w:proofErr w:type="spellStart"/>
      <w:r>
        <w:t>VNEM</w:t>
      </w:r>
      <w:proofErr w:type="spellEnd"/>
      <w:r>
        <w:t xml:space="preserve"> and NEMA tariffs.</w:t>
      </w:r>
      <w:r w:rsidR="00E26A04">
        <w:t xml:space="preserve">  As previously noted, the record of this decision does not contain sufficient information regarding the data needed to be collected to ensure a thorough evaluation of the </w:t>
      </w:r>
      <w:r w:rsidR="00CE2C8B">
        <w:t>n</w:t>
      </w:r>
      <w:r w:rsidR="00E26A04">
        <w:t xml:space="preserve">et </w:t>
      </w:r>
      <w:r w:rsidR="00CE2C8B">
        <w:t>b</w:t>
      </w:r>
      <w:r w:rsidR="00E26A04">
        <w:t>illing Tariff.</w:t>
      </w:r>
      <w:r w:rsidR="009662C9">
        <w:t xml:space="preserve">  Accordingly, parties will be asked to file evaluation data proposals for Commission consideration.  With respect to the </w:t>
      </w:r>
      <w:proofErr w:type="spellStart"/>
      <w:r w:rsidR="009662C9">
        <w:t>VNEM</w:t>
      </w:r>
      <w:proofErr w:type="spellEnd"/>
      <w:r w:rsidR="009662C9">
        <w:t xml:space="preserve"> and NEMA tariffs, the future ruling will notice a workshop with the objective of providing the Commission a better understanding of these two tariffs.</w:t>
      </w:r>
      <w:r w:rsidR="00E26A04">
        <w:t xml:space="preserve">  </w:t>
      </w:r>
    </w:p>
    <w:p w:rsidR="00383987" w:rsidP="00383987" w:rsidRDefault="00E26A04" w14:paraId="34AC8C52" w14:textId="524918F3">
      <w:pPr>
        <w:pStyle w:val="Standard"/>
      </w:pPr>
      <w:r>
        <w:t>In addition to the continuing issues</w:t>
      </w:r>
      <w:r w:rsidR="009662C9">
        <w:t xml:space="preserve"> from this decision</w:t>
      </w:r>
      <w:r>
        <w:t>, Issue</w:t>
      </w:r>
      <w:r w:rsidR="006B769C">
        <w:t> </w:t>
      </w:r>
      <w:r>
        <w:t>9 of the Scoping Memo for this proceeding asks what additional or enhanced consumer protections for customers taking service under the successor to the current net energy metering tariff should be adopted by the Commission.  Parties to this proceeding will be asked to comment on proposed enhanced consumer protections.</w:t>
      </w:r>
      <w:r w:rsidR="009662C9">
        <w:t xml:space="preserve">  Parties should consider the adopted changes in this decision and </w:t>
      </w:r>
      <w:r w:rsidR="00383987">
        <w:t>how these changes could</w:t>
      </w:r>
      <w:r w:rsidR="009662C9">
        <w:t xml:space="preserve"> impact customer</w:t>
      </w:r>
      <w:r w:rsidR="00383987">
        <w:t xml:space="preserve"> protections, including low</w:t>
      </w:r>
      <w:r w:rsidR="008D2724">
        <w:noBreakHyphen/>
      </w:r>
      <w:r w:rsidR="00383987">
        <w:t>income customers</w:t>
      </w:r>
      <w:r w:rsidR="009662C9">
        <w:t>.</w:t>
      </w:r>
    </w:p>
    <w:p w:rsidRPr="000E270A" w:rsidR="00E26A04" w:rsidP="00383987" w:rsidRDefault="00383987" w14:paraId="2E7B4C3E" w14:textId="2527C44A">
      <w:pPr>
        <w:pStyle w:val="Standard"/>
      </w:pPr>
      <w:r>
        <w:t>The Commission will also make a determination regarding comments filed earlier in this proceeding on fuel cell resources.</w:t>
      </w:r>
      <w:r w:rsidR="009662C9">
        <w:t xml:space="preserve">    </w:t>
      </w:r>
      <w:r w:rsidR="00E26A04">
        <w:t xml:space="preserve">  </w:t>
      </w:r>
    </w:p>
    <w:p w:rsidR="005939A5" w:rsidP="005E7044" w:rsidRDefault="005939A5" w14:paraId="4D4801D9" w14:textId="77777777">
      <w:pPr>
        <w:pStyle w:val="Heading1"/>
        <w:keepLines w:val="0"/>
      </w:pPr>
      <w:bookmarkStart w:name="_Toc8123723" w:id="252"/>
      <w:bookmarkStart w:name="_Toc117674110" w:id="253"/>
      <w:bookmarkStart w:name="_Toc118285101" w:id="254"/>
      <w:bookmarkStart w:name="_Toc121854429" w:id="255"/>
      <w:bookmarkEnd w:id="251"/>
      <w:r>
        <w:lastRenderedPageBreak/>
        <w:t>Comments on Proposed Decision</w:t>
      </w:r>
      <w:bookmarkEnd w:id="252"/>
      <w:bookmarkEnd w:id="253"/>
      <w:bookmarkEnd w:id="254"/>
      <w:bookmarkEnd w:id="255"/>
    </w:p>
    <w:p w:rsidR="00CD7721" w:rsidP="00CD7721" w:rsidRDefault="005C58FA" w14:paraId="0F172145" w14:textId="54BD4FF8">
      <w:pPr>
        <w:pStyle w:val="Standard"/>
      </w:pPr>
      <w:r w:rsidRPr="000614BC">
        <w:t xml:space="preserve">The proposed decision of </w:t>
      </w:r>
      <w:r w:rsidRPr="000614BC" w:rsidR="000614BC">
        <w:t>Administrative</w:t>
      </w:r>
      <w:r w:rsidR="000614BC">
        <w:t xml:space="preserve"> Law Judge Kelly</w:t>
      </w:r>
      <w:r w:rsidR="007B0493">
        <w:t> </w:t>
      </w:r>
      <w:r w:rsidR="000614BC">
        <w:t>A. Hymes</w:t>
      </w:r>
      <w:r>
        <w:t xml:space="preserve"> in this matter was mailed to the parties in accordance with </w:t>
      </w:r>
      <w:r w:rsidR="0034029C">
        <w:t>Section 3</w:t>
      </w:r>
      <w:r>
        <w:t xml:space="preserve">11 of the Public Utilities Code and comments were allowed under </w:t>
      </w:r>
      <w:r w:rsidR="00337F73">
        <w:t>Rule 1</w:t>
      </w:r>
      <w:r>
        <w:t xml:space="preserve">4.3 of the Commission’s Rules of Practice and Procedure.  Comments were filed on </w:t>
      </w:r>
      <w:r w:rsidR="00A41CB1">
        <w:rPr>
          <w:szCs w:val="26"/>
        </w:rPr>
        <w:t>November</w:t>
      </w:r>
      <w:r w:rsidR="006B769C">
        <w:rPr>
          <w:szCs w:val="26"/>
        </w:rPr>
        <w:t> </w:t>
      </w:r>
      <w:r w:rsidR="00A41CB1">
        <w:rPr>
          <w:szCs w:val="26"/>
        </w:rPr>
        <w:t>30,</w:t>
      </w:r>
      <w:r w:rsidR="006B769C">
        <w:rPr>
          <w:szCs w:val="26"/>
        </w:rPr>
        <w:t> </w:t>
      </w:r>
      <w:r w:rsidR="00A41CB1">
        <w:rPr>
          <w:szCs w:val="26"/>
        </w:rPr>
        <w:t>2022 by 350</w:t>
      </w:r>
      <w:r w:rsidR="006B769C">
        <w:rPr>
          <w:szCs w:val="26"/>
        </w:rPr>
        <w:t> </w:t>
      </w:r>
      <w:r w:rsidR="00A41CB1">
        <w:rPr>
          <w:szCs w:val="26"/>
        </w:rPr>
        <w:t xml:space="preserve">Bay Area, Agricultural Energy Consumers Association; Albion; Aurora; CESA; </w:t>
      </w:r>
      <w:r w:rsidR="00391A3B">
        <w:rPr>
          <w:szCs w:val="26"/>
        </w:rPr>
        <w:t xml:space="preserve">Farm Bureau; </w:t>
      </w:r>
      <w:proofErr w:type="spellStart"/>
      <w:r w:rsidR="00A41CB1">
        <w:t>CALSSA</w:t>
      </w:r>
      <w:proofErr w:type="spellEnd"/>
      <w:r w:rsidR="00A41CB1">
        <w:t xml:space="preserve">; </w:t>
      </w:r>
      <w:r w:rsidR="00A41CB1">
        <w:rPr>
          <w:szCs w:val="26"/>
        </w:rPr>
        <w:t xml:space="preserve">Californians for Renewable Energy, Inc; </w:t>
      </w:r>
      <w:r w:rsidR="00391A3B">
        <w:rPr>
          <w:szCs w:val="26"/>
        </w:rPr>
        <w:t xml:space="preserve">Center for Biological Diversity; Center for Sustainable Energy; </w:t>
      </w:r>
      <w:r w:rsidR="00A41CB1">
        <w:t xml:space="preserve">Clean Coalition; </w:t>
      </w:r>
      <w:r w:rsidR="00391A3B">
        <w:t>CCSA</w:t>
      </w:r>
      <w:r w:rsidR="003B6968">
        <w:t>;</w:t>
      </w:r>
      <w:r w:rsidR="00391A3B">
        <w:t xml:space="preserve"> County of Los</w:t>
      </w:r>
      <w:r w:rsidR="006B769C">
        <w:t> </w:t>
      </w:r>
      <w:r w:rsidR="00391A3B">
        <w:t>Angeles; CUE; Enphase</w:t>
      </w:r>
      <w:r w:rsidR="00A41CB1">
        <w:t>; Foundation</w:t>
      </w:r>
      <w:r w:rsidR="00A27BA9">
        <w:t xml:space="preserve"> </w:t>
      </w:r>
      <w:proofErr w:type="spellStart"/>
      <w:r w:rsidR="00A27BA9">
        <w:t>Windpower</w:t>
      </w:r>
      <w:proofErr w:type="spellEnd"/>
      <w:r w:rsidR="00A41CB1">
        <w:t xml:space="preserve">; GRID </w:t>
      </w:r>
      <w:r w:rsidR="00A41CB1">
        <w:rPr>
          <w:i/>
          <w:iCs/>
        </w:rPr>
        <w:t>et al</w:t>
      </w:r>
      <w:r w:rsidR="00A41CB1">
        <w:t xml:space="preserve">.; </w:t>
      </w:r>
      <w:proofErr w:type="spellStart"/>
      <w:r w:rsidR="00A41CB1">
        <w:t>IEPA</w:t>
      </w:r>
      <w:proofErr w:type="spellEnd"/>
      <w:r w:rsidR="00A41CB1">
        <w:t xml:space="preserve">; Ivy Energy, </w:t>
      </w:r>
      <w:r w:rsidR="00BD2D4E">
        <w:t xml:space="preserve">Joint </w:t>
      </w:r>
      <w:proofErr w:type="spellStart"/>
      <w:r w:rsidR="00BD2D4E">
        <w:t>CCAs</w:t>
      </w:r>
      <w:proofErr w:type="spellEnd"/>
      <w:r w:rsidR="00BD2D4E">
        <w:rPr>
          <w:rStyle w:val="FootnoteReference"/>
        </w:rPr>
        <w:footnoteReference w:id="539"/>
      </w:r>
      <w:r w:rsidR="00BD2D4E">
        <w:t xml:space="preserve">; </w:t>
      </w:r>
      <w:r w:rsidR="00A41CB1">
        <w:t xml:space="preserve">Joint Utilities; PCF; Cal Advocates; </w:t>
      </w:r>
      <w:r w:rsidR="00227C1B">
        <w:t xml:space="preserve">Sierra Club; </w:t>
      </w:r>
      <w:proofErr w:type="spellStart"/>
      <w:r w:rsidR="00227C1B">
        <w:t>SBUA</w:t>
      </w:r>
      <w:proofErr w:type="spellEnd"/>
      <w:r w:rsidR="00227C1B">
        <w:t xml:space="preserve">; </w:t>
      </w:r>
      <w:r w:rsidR="00A41CB1">
        <w:t xml:space="preserve">SEIA/Vote Solar; </w:t>
      </w:r>
      <w:r w:rsidR="00227C1B">
        <w:t xml:space="preserve">and </w:t>
      </w:r>
      <w:r w:rsidR="00A41CB1">
        <w:t>TURN</w:t>
      </w:r>
      <w:r w:rsidR="00227C1B">
        <w:t>.</w:t>
      </w:r>
      <w:r w:rsidR="00A41CB1">
        <w:t xml:space="preserve"> </w:t>
      </w:r>
      <w:r w:rsidR="00227C1B">
        <w:t>R</w:t>
      </w:r>
      <w:r>
        <w:t xml:space="preserve">eply comments were filed on </w:t>
      </w:r>
      <w:r w:rsidR="00D30FAF">
        <w:rPr>
          <w:szCs w:val="26"/>
        </w:rPr>
        <w:t>December</w:t>
      </w:r>
      <w:r w:rsidR="006B769C">
        <w:rPr>
          <w:szCs w:val="26"/>
        </w:rPr>
        <w:t> </w:t>
      </w:r>
      <w:r w:rsidR="00D30FAF">
        <w:rPr>
          <w:szCs w:val="26"/>
        </w:rPr>
        <w:t>5,</w:t>
      </w:r>
      <w:r w:rsidR="006B769C">
        <w:rPr>
          <w:szCs w:val="26"/>
        </w:rPr>
        <w:t> </w:t>
      </w:r>
      <w:r w:rsidR="00D30FAF">
        <w:rPr>
          <w:szCs w:val="26"/>
        </w:rPr>
        <w:t>2022</w:t>
      </w:r>
      <w:r w:rsidR="00562885">
        <w:rPr>
          <w:szCs w:val="26"/>
        </w:rPr>
        <w:t>,</w:t>
      </w:r>
      <w:r w:rsidR="00D30FAF">
        <w:rPr>
          <w:szCs w:val="26"/>
        </w:rPr>
        <w:t xml:space="preserve"> </w:t>
      </w:r>
      <w:r>
        <w:t>by</w:t>
      </w:r>
      <w:r w:rsidR="00D30FAF">
        <w:rPr>
          <w:szCs w:val="26"/>
        </w:rPr>
        <w:t xml:space="preserve"> 350</w:t>
      </w:r>
      <w:r w:rsidR="006B769C">
        <w:rPr>
          <w:szCs w:val="26"/>
        </w:rPr>
        <w:t> </w:t>
      </w:r>
      <w:r w:rsidR="00D30FAF">
        <w:rPr>
          <w:szCs w:val="26"/>
        </w:rPr>
        <w:t xml:space="preserve">Bay Area, Agricultural Energy Consumers Association; Aurora; </w:t>
      </w:r>
      <w:proofErr w:type="spellStart"/>
      <w:r w:rsidR="00D30FAF">
        <w:t>CALSSA</w:t>
      </w:r>
      <w:proofErr w:type="spellEnd"/>
      <w:r w:rsidR="00D30FAF">
        <w:t xml:space="preserve">; </w:t>
      </w:r>
      <w:r w:rsidR="00D30FAF">
        <w:rPr>
          <w:szCs w:val="26"/>
        </w:rPr>
        <w:t xml:space="preserve">Center for Biological Diversity; Center for Sustainable Energy; </w:t>
      </w:r>
      <w:r w:rsidR="00D30FAF">
        <w:t xml:space="preserve">Clean Coalition; CUE; GRID </w:t>
      </w:r>
      <w:r w:rsidR="00D30FAF">
        <w:rPr>
          <w:i/>
          <w:iCs/>
        </w:rPr>
        <w:t>et al</w:t>
      </w:r>
      <w:r w:rsidR="00D30FAF">
        <w:t xml:space="preserve">.; Ivy Energy, Joint </w:t>
      </w:r>
      <w:proofErr w:type="spellStart"/>
      <w:r w:rsidR="00D30FAF">
        <w:t>CCAs</w:t>
      </w:r>
      <w:proofErr w:type="spellEnd"/>
      <w:r w:rsidR="00D30FAF">
        <w:t xml:space="preserve">; Joint Utilities; PCF; Cal Advocates; Sierra Club; </w:t>
      </w:r>
      <w:proofErr w:type="spellStart"/>
      <w:r w:rsidR="00D30FAF">
        <w:t>SBUA</w:t>
      </w:r>
      <w:proofErr w:type="spellEnd"/>
      <w:r w:rsidR="00D30FAF">
        <w:t>; SEIA/Vote Solar; and TURN</w:t>
      </w:r>
      <w:r>
        <w:t>.</w:t>
      </w:r>
      <w:r w:rsidR="00D30FAF">
        <w:t xml:space="preserve">  Revisions and corrections have been made to the decision in response to comments.  Comments that reiterate arguments made in </w:t>
      </w:r>
      <w:r w:rsidR="00CD7721">
        <w:t xml:space="preserve">party </w:t>
      </w:r>
      <w:r w:rsidR="00D30FAF">
        <w:t xml:space="preserve">briefs </w:t>
      </w:r>
      <w:r w:rsidR="00835F59">
        <w:t xml:space="preserve">(including arguments regarding the </w:t>
      </w:r>
      <w:r w:rsidR="00835F59">
        <w:lastRenderedPageBreak/>
        <w:t>cost of solar,</w:t>
      </w:r>
      <w:r w:rsidR="00835F59">
        <w:rPr>
          <w:rStyle w:val="FootnoteReference"/>
        </w:rPr>
        <w:footnoteReference w:id="540"/>
      </w:r>
      <w:r w:rsidR="00835F59">
        <w:t xml:space="preserve"> the length of the glide path,</w:t>
      </w:r>
      <w:r w:rsidR="00835F59">
        <w:rPr>
          <w:rStyle w:val="FootnoteReference"/>
        </w:rPr>
        <w:footnoteReference w:id="541"/>
      </w:r>
      <w:r w:rsidR="00835F59">
        <w:t xml:space="preserve"> the size of the </w:t>
      </w:r>
      <w:r w:rsidR="00182813">
        <w:t xml:space="preserve">ACC Plus </w:t>
      </w:r>
      <w:r w:rsidR="00835F59">
        <w:t>adders,</w:t>
      </w:r>
      <w:r w:rsidR="00182813">
        <w:rPr>
          <w:rStyle w:val="FootnoteReference"/>
        </w:rPr>
        <w:footnoteReference w:id="542"/>
      </w:r>
      <w:r w:rsidR="00835F59">
        <w:t xml:space="preserve"> </w:t>
      </w:r>
      <w:r w:rsidR="00847CB6">
        <w:t>changes to NEM</w:t>
      </w:r>
      <w:r w:rsidR="00B6016C">
        <w:t> </w:t>
      </w:r>
      <w:r w:rsidR="00847CB6">
        <w:t>1.0 and NEM</w:t>
      </w:r>
      <w:r w:rsidR="00B6016C">
        <w:t> </w:t>
      </w:r>
      <w:r w:rsidR="00847CB6">
        <w:t>2.0 tariffs,</w:t>
      </w:r>
      <w:r w:rsidR="00847CB6">
        <w:rPr>
          <w:rStyle w:val="FootnoteReference"/>
        </w:rPr>
        <w:footnoteReference w:id="543"/>
      </w:r>
      <w:r w:rsidR="00847CB6">
        <w:t xml:space="preserve"> </w:t>
      </w:r>
      <w:r w:rsidR="00CD7721">
        <w:t xml:space="preserve">and the </w:t>
      </w:r>
      <w:r w:rsidR="00AA06F4">
        <w:t xml:space="preserve">inputs and methodology for the </w:t>
      </w:r>
      <w:r w:rsidR="00CD7721">
        <w:t>Avoided Cost Calculator</w:t>
      </w:r>
      <w:r w:rsidR="00CD7721">
        <w:rPr>
          <w:rStyle w:val="FootnoteReference"/>
        </w:rPr>
        <w:footnoteReference w:id="544"/>
      </w:r>
      <w:r w:rsidR="00835F59">
        <w:t>)</w:t>
      </w:r>
      <w:r w:rsidR="00CD7721">
        <w:t xml:space="preserve"> </w:t>
      </w:r>
      <w:r w:rsidR="00D30FAF">
        <w:t xml:space="preserve">are not repeated here.  </w:t>
      </w:r>
      <w:r w:rsidR="00CD7721">
        <w:t>However, t</w:t>
      </w:r>
      <w:r w:rsidR="00D30FAF">
        <w:t>his decision addresses certain other comments below.</w:t>
      </w:r>
    </w:p>
    <w:p w:rsidR="00CD7721" w:rsidP="00CD7721" w:rsidRDefault="00CD7721" w14:paraId="4593C821" w14:textId="12B372A5">
      <w:pPr>
        <w:pStyle w:val="Standard"/>
      </w:pPr>
      <w:r>
        <w:t xml:space="preserve">This decision takes this opportunity to </w:t>
      </w:r>
      <w:r w:rsidR="006F514E">
        <w:t>refute</w:t>
      </w:r>
      <w:r>
        <w:t xml:space="preserve"> once and for all a misconception that continues to be argued by some parties regarding transmission avoided costs in the Avoided Cost Calculator.  Center for Biological Diversity contends that the Avoided Cost Calculator does not accurately account for the avoided costs of transmission and relies upon a 2017</w:t>
      </w:r>
      <w:r w:rsidR="008D2724">
        <w:noBreakHyphen/>
      </w:r>
      <w:r>
        <w:t>2018 CAISO Transmission Plan from March</w:t>
      </w:r>
      <w:r w:rsidR="00B63D3E">
        <w:t> </w:t>
      </w:r>
      <w:r>
        <w:t>22,</w:t>
      </w:r>
      <w:r w:rsidR="00B63D3E">
        <w:t> </w:t>
      </w:r>
      <w:r>
        <w:t>2018.</w:t>
      </w:r>
      <w:r>
        <w:rPr>
          <w:rStyle w:val="FootnoteReference"/>
        </w:rPr>
        <w:footnoteReference w:id="545"/>
      </w:r>
      <w:r>
        <w:t xml:space="preserve">  The Center asserts that this report confirms that increased solar (and energy efficiency) led to a $2.6</w:t>
      </w:r>
      <w:r w:rsidR="001E5933">
        <w:t> </w:t>
      </w:r>
      <w:r>
        <w:t xml:space="preserve">billion savings to ratepayers.  This misconception has been refuted by the Commission in previous decisions.  </w:t>
      </w:r>
      <w:r w:rsidR="00067B15">
        <w:t>In D.20</w:t>
      </w:r>
      <w:r w:rsidR="008D2724">
        <w:noBreakHyphen/>
      </w:r>
      <w:r w:rsidR="00067B15">
        <w:t>04</w:t>
      </w:r>
      <w:r w:rsidR="008D2724">
        <w:noBreakHyphen/>
      </w:r>
      <w:r w:rsidR="00067B15">
        <w:t xml:space="preserve">010, the Commission confirmed that the </w:t>
      </w:r>
      <w:r w:rsidR="00067B15">
        <w:lastRenderedPageBreak/>
        <w:t>statement regarding distributed energy resources saving $2</w:t>
      </w:r>
      <w:r w:rsidR="006C6359">
        <w:t> </w:t>
      </w:r>
      <w:r w:rsidR="00067B15">
        <w:t xml:space="preserve">billion in avoided transmission costs had been refuted </w:t>
      </w:r>
      <w:r w:rsidR="00AA06F4">
        <w:t xml:space="preserve">by CAISO </w:t>
      </w:r>
      <w:r w:rsidR="00067B15">
        <w:t>in the record of R.14</w:t>
      </w:r>
      <w:r w:rsidR="008D2724">
        <w:noBreakHyphen/>
      </w:r>
      <w:r w:rsidR="00067B15">
        <w:t>10</w:t>
      </w:r>
      <w:r w:rsidR="008D2724">
        <w:noBreakHyphen/>
      </w:r>
      <w:r w:rsidR="00067B15">
        <w:t>003.  The Commission further declared that this is a “false statement and a factual misinterpretation.”</w:t>
      </w:r>
      <w:r w:rsidR="00067B15">
        <w:rPr>
          <w:rStyle w:val="FootnoteReference"/>
        </w:rPr>
        <w:footnoteReference w:id="546"/>
      </w:r>
    </w:p>
    <w:p w:rsidR="00333F8E" w:rsidP="00847CB6" w:rsidRDefault="008105F4" w14:paraId="2DC9F2C7" w14:textId="181C92A7">
      <w:pPr>
        <w:pStyle w:val="Standard"/>
      </w:pPr>
      <w:proofErr w:type="spellStart"/>
      <w:r>
        <w:t>SBUA</w:t>
      </w:r>
      <w:proofErr w:type="spellEnd"/>
      <w:r>
        <w:t xml:space="preserve"> contends the description of its positions provided in Section</w:t>
      </w:r>
      <w:r w:rsidR="002220BD">
        <w:t> </w:t>
      </w:r>
      <w:r>
        <w:t>6.16 is materially deficient, misstates a position</w:t>
      </w:r>
      <w:r w:rsidR="008F0920">
        <w:t>,</w:t>
      </w:r>
      <w:r>
        <w:t xml:space="preserve"> and neglects to mention others.</w:t>
      </w:r>
      <w:r w:rsidR="00333F8E">
        <w:rPr>
          <w:rStyle w:val="FootnoteReference"/>
        </w:rPr>
        <w:footnoteReference w:id="547"/>
      </w:r>
      <w:r>
        <w:t xml:space="preserve">  </w:t>
      </w:r>
      <w:proofErr w:type="spellStart"/>
      <w:r>
        <w:t>SBUA</w:t>
      </w:r>
      <w:proofErr w:type="spellEnd"/>
      <w:r>
        <w:t xml:space="preserve"> misunderstands the content of Section</w:t>
      </w:r>
      <w:r w:rsidR="002220BD">
        <w:t> </w:t>
      </w:r>
      <w:r>
        <w:t>6.  Section</w:t>
      </w:r>
      <w:r w:rsidR="002220BD">
        <w:t> </w:t>
      </w:r>
      <w:r>
        <w:t>6 presents a description of each party’s March</w:t>
      </w:r>
      <w:r w:rsidR="002220BD">
        <w:t> </w:t>
      </w:r>
      <w:r>
        <w:t>15,</w:t>
      </w:r>
      <w:r w:rsidR="002220BD">
        <w:t> </w:t>
      </w:r>
      <w:r>
        <w:t>2022 filed proposal.  Section</w:t>
      </w:r>
      <w:r w:rsidR="002220BD">
        <w:t> </w:t>
      </w:r>
      <w:r>
        <w:t>6 is not an overview of party positions.  Relevant party positions are presented throughout the discussion of the decision.</w:t>
      </w:r>
      <w:r w:rsidR="000F13D4">
        <w:t xml:space="preserve">  </w:t>
      </w:r>
      <w:r w:rsidR="00442250">
        <w:t xml:space="preserve">CESA requests the Commission to consider adding a discussion of </w:t>
      </w:r>
      <w:r w:rsidR="00CE2C8B">
        <w:t>n</w:t>
      </w:r>
      <w:r w:rsidR="00442250">
        <w:t xml:space="preserve">et </w:t>
      </w:r>
      <w:r w:rsidR="00CE2C8B">
        <w:t>b</w:t>
      </w:r>
      <w:r w:rsidR="00442250">
        <w:t xml:space="preserve">illing Integrity in the “next phase” of this proceeding.  First, this decision confirms that there is no “next phase” of this proceeding.  </w:t>
      </w:r>
      <w:r w:rsidR="002D2919">
        <w:t>There are remaining issues that need to be addressed by the Commission in this proceeding:</w:t>
      </w:r>
      <w:r w:rsidR="00FD7B99">
        <w:t xml:space="preserve"> </w:t>
      </w:r>
      <w:r w:rsidR="002D2919">
        <w:t xml:space="preserve"> </w:t>
      </w:r>
      <w:r w:rsidR="00FD7B99">
        <w:t>(</w:t>
      </w:r>
      <w:r w:rsidR="002D2919">
        <w:t>1)</w:t>
      </w:r>
      <w:r w:rsidR="00FD7B99">
        <w:t> </w:t>
      </w:r>
      <w:proofErr w:type="spellStart"/>
      <w:r w:rsidR="002D2919">
        <w:t>VNEM</w:t>
      </w:r>
      <w:proofErr w:type="spellEnd"/>
      <w:r w:rsidR="002D2919">
        <w:t xml:space="preserve"> and NEMA; </w:t>
      </w:r>
      <w:r w:rsidR="00FD7B99">
        <w:t>(</w:t>
      </w:r>
      <w:r w:rsidR="002D2919">
        <w:t>2)</w:t>
      </w:r>
      <w:r w:rsidR="00FD7B99">
        <w:t> </w:t>
      </w:r>
      <w:r w:rsidR="002D2919">
        <w:t>Evaluation Criteria</w:t>
      </w:r>
      <w:r w:rsidR="00FD7B99">
        <w:t>;</w:t>
      </w:r>
      <w:r w:rsidR="002D2919">
        <w:t xml:space="preserve"> </w:t>
      </w:r>
      <w:r w:rsidR="00FD7B99">
        <w:t>(</w:t>
      </w:r>
      <w:r w:rsidR="002D2919">
        <w:t>3)</w:t>
      </w:r>
      <w:r w:rsidR="00FD7B99">
        <w:t> </w:t>
      </w:r>
      <w:r w:rsidR="002D2919">
        <w:t>Fuel Cell Resources</w:t>
      </w:r>
      <w:r w:rsidR="00FD7B99">
        <w:t>;</w:t>
      </w:r>
      <w:r w:rsidR="002D2919">
        <w:t xml:space="preserve"> and </w:t>
      </w:r>
      <w:r w:rsidR="00FD7B99">
        <w:t>(</w:t>
      </w:r>
      <w:r w:rsidR="002D2919">
        <w:t>4)</w:t>
      </w:r>
      <w:r w:rsidR="00FD7B99">
        <w:t> </w:t>
      </w:r>
      <w:r w:rsidR="002D2919">
        <w:t xml:space="preserve">Enhanced Consumer Protection.  CESA’s request to discuss </w:t>
      </w:r>
      <w:r w:rsidR="00CE2C8B">
        <w:t>n</w:t>
      </w:r>
      <w:r w:rsidR="002D2919">
        <w:t xml:space="preserve">et </w:t>
      </w:r>
      <w:r w:rsidR="00CE2C8B">
        <w:t>b</w:t>
      </w:r>
      <w:r w:rsidR="002D2919">
        <w:t>illing Integrity “as an additional scoping item for this proceeding.  CESA’s request is denied.  CESA’s request to “consider any modification to the [</w:t>
      </w:r>
      <w:r w:rsidR="00CE2C8B">
        <w:t>n</w:t>
      </w:r>
      <w:r w:rsidR="002D2919">
        <w:t xml:space="preserve">et </w:t>
      </w:r>
      <w:r w:rsidR="00CE2C8B">
        <w:t>b</w:t>
      </w:r>
      <w:r w:rsidR="002D2919">
        <w:t>illing tariff} and resulting implications of enabling [behind</w:t>
      </w:r>
      <w:r w:rsidR="008D2724">
        <w:noBreakHyphen/>
      </w:r>
      <w:r w:rsidR="002D2919">
        <w:t>the</w:t>
      </w:r>
      <w:r w:rsidR="008D2724">
        <w:noBreakHyphen/>
      </w:r>
      <w:r w:rsidR="002D2919">
        <w:t xml:space="preserve">meter] hybrid systems is also denied.  As previously stated, the Commission will collect data and evaluate the </w:t>
      </w:r>
      <w:r w:rsidR="00CE2C8B">
        <w:t>n</w:t>
      </w:r>
      <w:r w:rsidR="002D2919">
        <w:t xml:space="preserve">et </w:t>
      </w:r>
      <w:r w:rsidR="00CE2C8B">
        <w:t>b</w:t>
      </w:r>
      <w:r w:rsidR="002D2919">
        <w:t>illing tariff to ensure it is working as intended.  Now is not the time to request to introduce additional modifications.</w:t>
      </w:r>
    </w:p>
    <w:p w:rsidR="00835F59" w:rsidP="005E7044" w:rsidRDefault="00835F59" w14:paraId="7FC317F7" w14:textId="5B6A13F6">
      <w:pPr>
        <w:pStyle w:val="Standard"/>
      </w:pPr>
      <w:proofErr w:type="spellStart"/>
      <w:r>
        <w:t>CALSSA</w:t>
      </w:r>
      <w:proofErr w:type="spellEnd"/>
      <w:r>
        <w:t xml:space="preserve"> contends there are </w:t>
      </w:r>
      <w:r w:rsidR="00FE6875">
        <w:t xml:space="preserve">several </w:t>
      </w:r>
      <w:r>
        <w:t>inaccuracies in the model.</w:t>
      </w:r>
      <w:r w:rsidR="00FE6875">
        <w:t xml:space="preserve">  </w:t>
      </w:r>
      <w:proofErr w:type="spellStart"/>
      <w:r w:rsidR="00FE6875">
        <w:t>CALSSA</w:t>
      </w:r>
      <w:proofErr w:type="spellEnd"/>
      <w:r w:rsidR="00FE6875">
        <w:t xml:space="preserve"> correctly asserts that certain Avoided Cost Calculator values for PG&amp;E are values </w:t>
      </w:r>
      <w:r w:rsidR="00FE6875">
        <w:lastRenderedPageBreak/>
        <w:t>for SCE.</w:t>
      </w:r>
      <w:r w:rsidR="00FE6875">
        <w:rPr>
          <w:rStyle w:val="FootnoteReference"/>
        </w:rPr>
        <w:footnoteReference w:id="548"/>
      </w:r>
      <w:r w:rsidR="00FE6875">
        <w:t xml:space="preserve">  The model has been corrected and Appendix</w:t>
      </w:r>
      <w:r w:rsidR="00F37522">
        <w:t> </w:t>
      </w:r>
      <w:r w:rsidR="00FE6875">
        <w:t xml:space="preserve">B </w:t>
      </w:r>
      <w:r w:rsidR="00C2370D">
        <w:t xml:space="preserve">and the resulting tables in this decision </w:t>
      </w:r>
      <w:r w:rsidR="00FE6875">
        <w:t>ha</w:t>
      </w:r>
      <w:r w:rsidR="00C2370D">
        <w:t>ve</w:t>
      </w:r>
      <w:r w:rsidR="00FE6875">
        <w:t xml:space="preserve"> been updated.  Regarding </w:t>
      </w:r>
      <w:proofErr w:type="spellStart"/>
      <w:r w:rsidR="00FE6875">
        <w:t>CALSSA’s</w:t>
      </w:r>
      <w:proofErr w:type="spellEnd"/>
      <w:r w:rsidR="00FE6875">
        <w:t xml:space="preserve"> contention of other incorrect values: </w:t>
      </w:r>
      <w:r w:rsidR="00141D22">
        <w:t xml:space="preserve"> </w:t>
      </w:r>
      <w:r w:rsidR="00FE6875">
        <w:t xml:space="preserve">battery management assumptions and inflated solar production, these </w:t>
      </w:r>
      <w:r w:rsidR="00F50305">
        <w:t xml:space="preserve">values </w:t>
      </w:r>
      <w:r w:rsidR="00FE6875">
        <w:t>are not incorrect.</w:t>
      </w:r>
      <w:r w:rsidR="00502F84">
        <w:rPr>
          <w:rStyle w:val="FootnoteReference"/>
        </w:rPr>
        <w:footnoteReference w:id="549"/>
      </w:r>
      <w:r w:rsidR="00FE6875">
        <w:t xml:space="preserve">  </w:t>
      </w:r>
      <w:r w:rsidR="00F50305">
        <w:t>First</w:t>
      </w:r>
      <w:r w:rsidR="00FE6875">
        <w:t>,</w:t>
      </w:r>
      <w:r w:rsidR="00502F84">
        <w:t xml:space="preserve"> there is a misunderstanding</w:t>
      </w:r>
      <w:r w:rsidR="00F50305">
        <w:t xml:space="preserve"> with regards to battery management assumptions</w:t>
      </w:r>
      <w:r w:rsidR="00502F84">
        <w:t>.  To improve understanding, the following explanation has been included in Appendix</w:t>
      </w:r>
      <w:r w:rsidR="00FF1AD4">
        <w:t> </w:t>
      </w:r>
      <w:r w:rsidR="00502F84">
        <w:t xml:space="preserve">B: </w:t>
      </w:r>
      <w:r w:rsidR="00F37522">
        <w:t xml:space="preserve"> </w:t>
      </w:r>
      <w:r w:rsidR="00502F84">
        <w:t>g</w:t>
      </w:r>
      <w:r w:rsidR="00502F84">
        <w:rPr>
          <w:rFonts w:eastAsia="Times New Roman"/>
        </w:rPr>
        <w:t>rid exports only occur once solar generation plus battery discharge exceed customer load in a given hour</w:t>
      </w:r>
      <w:r w:rsidR="00FE6875">
        <w:t>.</w:t>
      </w:r>
      <w:r w:rsidR="00F50305">
        <w:t xml:space="preserve">  Second, </w:t>
      </w:r>
      <w:proofErr w:type="spellStart"/>
      <w:r w:rsidR="00F50305">
        <w:t>CALSSA</w:t>
      </w:r>
      <w:proofErr w:type="spellEnd"/>
      <w:r w:rsidR="00F50305">
        <w:t xml:space="preserve"> maintains the analysis of the </w:t>
      </w:r>
      <w:r w:rsidR="00CE2C8B">
        <w:t>n</w:t>
      </w:r>
      <w:r w:rsidR="00F50305">
        <w:t xml:space="preserve">et </w:t>
      </w:r>
      <w:r w:rsidR="00CE2C8B">
        <w:t>b</w:t>
      </w:r>
      <w:r w:rsidR="00F50305">
        <w:t xml:space="preserve">illing tariff should use standard PV Watts generation profiles for the calculation of glide path values.  </w:t>
      </w:r>
      <w:proofErr w:type="spellStart"/>
      <w:r w:rsidR="00F50305">
        <w:t>CALSSA</w:t>
      </w:r>
      <w:proofErr w:type="spellEnd"/>
      <w:r w:rsidR="00F50305">
        <w:t xml:space="preserve"> asserts that in other contexts, the Commission has ordered the use of these profiles.  The profiles used in the analysis of the </w:t>
      </w:r>
      <w:r w:rsidR="00CE2C8B">
        <w:t>n</w:t>
      </w:r>
      <w:r w:rsidR="00F50305">
        <w:t xml:space="preserve">et </w:t>
      </w:r>
      <w:r w:rsidR="00CE2C8B">
        <w:t>b</w:t>
      </w:r>
      <w:r w:rsidR="00F50305">
        <w:t>illing tariff are the same generation profiles used in the Lookback Study and in previous versions of the analysis (</w:t>
      </w:r>
      <w:r w:rsidRPr="009450A4" w:rsidR="00F50305">
        <w:rPr>
          <w:i/>
          <w:iCs/>
        </w:rPr>
        <w:t>e.g.</w:t>
      </w:r>
      <w:r w:rsidR="00F50305">
        <w:t>, December</w:t>
      </w:r>
      <w:r w:rsidR="009450A4">
        <w:t> </w:t>
      </w:r>
      <w:r w:rsidR="00F50305">
        <w:t>13,</w:t>
      </w:r>
      <w:r w:rsidR="009450A4">
        <w:t> </w:t>
      </w:r>
      <w:r w:rsidR="00F50305">
        <w:t xml:space="preserve">2021 Proposed Decision.)  The solar profiles in PV Watts are based on the weather in a typical meteorological year while the solar profiles used in the analysis in the Lookback Study and all versions of the analysis used in this proceeding are based on the same weather assumptions used in the Avoided Cost Calculator.  The Commission finds this </w:t>
      </w:r>
      <w:r w:rsidR="00B8651E">
        <w:t xml:space="preserve">to be an appropriate </w:t>
      </w:r>
      <w:r w:rsidR="00F50305">
        <w:t>alignmen</w:t>
      </w:r>
      <w:r w:rsidR="00B8651E">
        <w:t>t</w:t>
      </w:r>
      <w:r w:rsidR="00F50305">
        <w:t>.</w:t>
      </w:r>
      <w:r w:rsidR="00B8651E">
        <w:t xml:space="preserve">  Appendix</w:t>
      </w:r>
      <w:r w:rsidR="008C5BD1">
        <w:t> </w:t>
      </w:r>
      <w:r w:rsidR="00B8651E">
        <w:t xml:space="preserve">B has </w:t>
      </w:r>
      <w:r w:rsidR="004069C9">
        <w:t>been updated to include a description of the solar profiles.</w:t>
      </w:r>
    </w:p>
    <w:p w:rsidR="00835F59" w:rsidP="005E7044" w:rsidRDefault="006F514E" w14:paraId="46F85D2A" w14:textId="68D7C9C6">
      <w:pPr>
        <w:pStyle w:val="Standard"/>
      </w:pPr>
      <w:r>
        <w:t>In addition to the parties of the proceeding, n</w:t>
      </w:r>
      <w:r w:rsidR="00835F59">
        <w:t>early 10,000 members of the public submitted comments over the course of this proceeding</w:t>
      </w:r>
      <w:r w:rsidR="00AE5423">
        <w:t>, including comments on both the withdrawn December</w:t>
      </w:r>
      <w:r w:rsidR="001526CC">
        <w:t> </w:t>
      </w:r>
      <w:r w:rsidR="00AE5423">
        <w:t>13,</w:t>
      </w:r>
      <w:r w:rsidR="001526CC">
        <w:t> </w:t>
      </w:r>
      <w:r w:rsidR="00AE5423">
        <w:t>2021 proposed decision and the November</w:t>
      </w:r>
      <w:r w:rsidR="001526CC">
        <w:t> </w:t>
      </w:r>
      <w:r w:rsidR="00AE5423">
        <w:t>10,</w:t>
      </w:r>
      <w:r w:rsidR="001526CC">
        <w:t> </w:t>
      </w:r>
      <w:r w:rsidR="00AE5423">
        <w:t>2022 proposed decision</w:t>
      </w:r>
      <w:r w:rsidR="00835F59">
        <w:t xml:space="preserve">.  Comments were received from residents </w:t>
      </w:r>
      <w:r w:rsidR="00835F59">
        <w:lastRenderedPageBreak/>
        <w:t>across the state</w:t>
      </w:r>
      <w:r w:rsidR="00284045">
        <w:t>,</w:t>
      </w:r>
      <w:r w:rsidR="00835F59">
        <w:t xml:space="preserve"> with the most comments coming from </w:t>
      </w:r>
      <w:r w:rsidR="00284045">
        <w:t>San</w:t>
      </w:r>
      <w:r w:rsidR="00715648">
        <w:t> </w:t>
      </w:r>
      <w:r w:rsidR="00284045">
        <w:t>Diego</w:t>
      </w:r>
      <w:r w:rsidR="00835F59">
        <w:t xml:space="preserve"> (</w:t>
      </w:r>
      <w:r w:rsidR="00284045">
        <w:t>497</w:t>
      </w:r>
      <w:r w:rsidR="00835F59">
        <w:t xml:space="preserve">), </w:t>
      </w:r>
      <w:r w:rsidR="00284045">
        <w:t>San</w:t>
      </w:r>
      <w:r w:rsidR="00715648">
        <w:t> </w:t>
      </w:r>
      <w:r w:rsidR="00284045">
        <w:t>Jose</w:t>
      </w:r>
      <w:r w:rsidR="00AE5423">
        <w:t xml:space="preserve"> (</w:t>
      </w:r>
      <w:r w:rsidR="00284045">
        <w:t>425</w:t>
      </w:r>
      <w:r w:rsidR="00AE5423">
        <w:t xml:space="preserve">), </w:t>
      </w:r>
      <w:r w:rsidR="00284045">
        <w:t>Oakland</w:t>
      </w:r>
      <w:r w:rsidR="00AE5423">
        <w:t xml:space="preserve"> (</w:t>
      </w:r>
      <w:r w:rsidR="00284045">
        <w:t>251</w:t>
      </w:r>
      <w:r w:rsidR="00AE5423">
        <w:t xml:space="preserve">), </w:t>
      </w:r>
      <w:r w:rsidR="00284045">
        <w:t>Los</w:t>
      </w:r>
      <w:r w:rsidR="00715648">
        <w:t> </w:t>
      </w:r>
      <w:r w:rsidR="00284045">
        <w:t>Angeles</w:t>
      </w:r>
      <w:r w:rsidR="00AE5423">
        <w:t xml:space="preserve"> (</w:t>
      </w:r>
      <w:r w:rsidR="00284045">
        <w:t>229</w:t>
      </w:r>
      <w:r w:rsidR="00AE5423">
        <w:t xml:space="preserve">), </w:t>
      </w:r>
      <w:r w:rsidR="00284045">
        <w:t>San</w:t>
      </w:r>
      <w:r w:rsidR="00715648">
        <w:t> </w:t>
      </w:r>
      <w:r w:rsidR="00284045">
        <w:t>Francisco</w:t>
      </w:r>
      <w:r w:rsidR="00AE5423">
        <w:t xml:space="preserve"> (1</w:t>
      </w:r>
      <w:r w:rsidR="00284045">
        <w:t>82</w:t>
      </w:r>
      <w:r w:rsidR="00AE5423">
        <w:t>), Berkeley (1</w:t>
      </w:r>
      <w:r w:rsidR="00284045">
        <w:t>76</w:t>
      </w:r>
      <w:r w:rsidR="00AE5423">
        <w:t>)</w:t>
      </w:r>
      <w:r w:rsidR="00715648">
        <w:t>,</w:t>
      </w:r>
      <w:r w:rsidR="00284045">
        <w:t xml:space="preserve"> and Santa</w:t>
      </w:r>
      <w:r w:rsidR="00715648">
        <w:t> </w:t>
      </w:r>
      <w:r w:rsidR="00284045">
        <w:t>Rosa (124)</w:t>
      </w:r>
      <w:r w:rsidR="00AE5423">
        <w:t>. Commenters expressed concern that revising the net energy metering tariff could reduce disaster preparedness (3.1</w:t>
      </w:r>
      <w:r w:rsidR="007F1A7C">
        <w:t> </w:t>
      </w:r>
      <w:r w:rsidR="00AE5423">
        <w:t xml:space="preserve">percent), have negative impacts on climate change </w:t>
      </w:r>
      <w:r w:rsidR="00C2370D">
        <w:t xml:space="preserve">mitigation </w:t>
      </w:r>
      <w:r w:rsidR="00AE5423">
        <w:t>(17</w:t>
      </w:r>
      <w:r w:rsidR="007F1A7C">
        <w:t> </w:t>
      </w:r>
      <w:r w:rsidR="00AE5423">
        <w:t xml:space="preserve">percent), </w:t>
      </w:r>
      <w:r w:rsidR="00CB30C4">
        <w:t>impact</w:t>
      </w:r>
      <w:r w:rsidR="00AE5423">
        <w:t xml:space="preserve"> the affordability of solar if a grid participation charge is adopted (2.2</w:t>
      </w:r>
      <w:r w:rsidR="007F1A7C">
        <w:t> </w:t>
      </w:r>
      <w:r w:rsidR="00AE5423">
        <w:t>percent)</w:t>
      </w:r>
      <w:r w:rsidR="00284045">
        <w:t>,</w:t>
      </w:r>
      <w:r w:rsidR="00AE5423">
        <w:t xml:space="preserve"> impact affordability </w:t>
      </w:r>
      <w:r w:rsidR="00CB30C4">
        <w:t xml:space="preserve">of net energy metering </w:t>
      </w:r>
      <w:r w:rsidR="00AE5423">
        <w:t>for the lower middle</w:t>
      </w:r>
      <w:r w:rsidR="008D2724">
        <w:noBreakHyphen/>
      </w:r>
      <w:r w:rsidR="00AE5423">
        <w:t xml:space="preserve">income </w:t>
      </w:r>
      <w:r w:rsidR="00C2370D">
        <w:t xml:space="preserve">customer </w:t>
      </w:r>
      <w:r w:rsidR="00AE5423">
        <w:t>sector (4.7</w:t>
      </w:r>
      <w:r w:rsidR="007F1A7C">
        <w:t> </w:t>
      </w:r>
      <w:r w:rsidR="00AE5423">
        <w:t>percent</w:t>
      </w:r>
      <w:r w:rsidR="00284045">
        <w:t>)</w:t>
      </w:r>
      <w:r w:rsidR="00AE5423">
        <w:t>, increase utility profits (11.1</w:t>
      </w:r>
      <w:r w:rsidR="007F1A7C">
        <w:t> </w:t>
      </w:r>
      <w:r w:rsidR="00AE5423">
        <w:t>percent)</w:t>
      </w:r>
      <w:r w:rsidR="00284045">
        <w:t xml:space="preserve"> and </w:t>
      </w:r>
      <w:r w:rsidR="00AE5423">
        <w:t>lead to disincentivizing solar adoption if a grid participation charge is adopted (41.2</w:t>
      </w:r>
      <w:r w:rsidR="00292111">
        <w:t> </w:t>
      </w:r>
      <w:r w:rsidR="00AE5423">
        <w:t>percent).</w:t>
      </w:r>
    </w:p>
    <w:p w:rsidR="005939A5" w:rsidP="005E7044" w:rsidRDefault="005939A5" w14:paraId="62D39AB6" w14:textId="77777777">
      <w:pPr>
        <w:pStyle w:val="Heading1"/>
        <w:keepLines w:val="0"/>
      </w:pPr>
      <w:bookmarkStart w:name="_Toc8123724" w:id="256"/>
      <w:bookmarkStart w:name="_Toc117674111" w:id="257"/>
      <w:bookmarkStart w:name="_Toc118285102" w:id="258"/>
      <w:bookmarkStart w:name="_Toc121854430" w:id="259"/>
      <w:r>
        <w:t>Assignment of Proceeding</w:t>
      </w:r>
      <w:bookmarkEnd w:id="256"/>
      <w:bookmarkEnd w:id="257"/>
      <w:bookmarkEnd w:id="258"/>
      <w:bookmarkEnd w:id="259"/>
    </w:p>
    <w:p w:rsidR="005939A5" w:rsidP="005E7044" w:rsidRDefault="00CF7896" w14:paraId="6AE31A45" w14:textId="3F154AD3">
      <w:pPr>
        <w:pStyle w:val="Standard"/>
        <w:ind w:right="-90"/>
      </w:pPr>
      <w:r>
        <w:t>Alice Reynolds</w:t>
      </w:r>
      <w:r w:rsidR="00DB6EC1">
        <w:t xml:space="preserve"> </w:t>
      </w:r>
      <w:r w:rsidR="005939A5">
        <w:t xml:space="preserve">is the assigned Commissioner and </w:t>
      </w:r>
      <w:r w:rsidR="00DB6EC1">
        <w:t>Kelly A. Hymes</w:t>
      </w:r>
      <w:r w:rsidR="005939A5">
        <w:t xml:space="preserve"> is the assigned Administrative Law Judge in this proceeding.</w:t>
      </w:r>
    </w:p>
    <w:p w:rsidR="005939A5" w:rsidP="005E7044" w:rsidRDefault="005939A5" w14:paraId="2573C753" w14:textId="77777777">
      <w:pPr>
        <w:pStyle w:val="Dummy"/>
        <w:keepLines w:val="0"/>
      </w:pPr>
      <w:bookmarkStart w:name="_Toc8123725" w:id="260"/>
      <w:bookmarkStart w:name="_Toc117674112" w:id="261"/>
      <w:bookmarkStart w:name="_Toc118285103" w:id="262"/>
      <w:bookmarkStart w:name="_Toc121854431" w:id="263"/>
      <w:r>
        <w:t>Findings of Fact</w:t>
      </w:r>
      <w:bookmarkEnd w:id="260"/>
      <w:bookmarkEnd w:id="261"/>
      <w:bookmarkEnd w:id="262"/>
      <w:bookmarkEnd w:id="263"/>
    </w:p>
    <w:p w:rsidR="00F62B7A" w:rsidP="005E7044" w:rsidRDefault="00014923" w14:paraId="65B2712C" w14:textId="6E7B2926">
      <w:pPr>
        <w:pStyle w:val="FoF"/>
      </w:pPr>
      <w:r>
        <w:t xml:space="preserve">The evaluation of </w:t>
      </w:r>
      <w:r w:rsidR="00602BC5">
        <w:t>NEM 2.0</w:t>
      </w:r>
      <w:r w:rsidR="00135D55">
        <w:t xml:space="preserve"> </w:t>
      </w:r>
      <w:r>
        <w:t xml:space="preserve">tells </w:t>
      </w:r>
      <w:r w:rsidR="00DE2B90">
        <w:t xml:space="preserve">the Commission </w:t>
      </w:r>
      <w:r>
        <w:t xml:space="preserve">whether the tariff is or is not performing as </w:t>
      </w:r>
      <w:r w:rsidR="00DA7FC0">
        <w:t>required</w:t>
      </w:r>
      <w:r>
        <w:t>.</w:t>
      </w:r>
    </w:p>
    <w:p w:rsidR="00014923" w:rsidP="005E7044" w:rsidRDefault="00014923" w14:paraId="47BD9822" w14:textId="75C6CCE3">
      <w:pPr>
        <w:pStyle w:val="FoF"/>
      </w:pPr>
      <w:r>
        <w:t xml:space="preserve">The evaluation of </w:t>
      </w:r>
      <w:r w:rsidR="00602BC5">
        <w:t>NEM 2.0</w:t>
      </w:r>
      <w:r w:rsidR="00135D55">
        <w:t xml:space="preserve"> </w:t>
      </w:r>
      <w:r>
        <w:t>establishes a foundation for creating a successor tariff.</w:t>
      </w:r>
    </w:p>
    <w:p w:rsidR="00674E9B" w:rsidP="00674E9B" w:rsidRDefault="00014923" w14:paraId="072D8576" w14:textId="77777777">
      <w:pPr>
        <w:pStyle w:val="FoF"/>
      </w:pPr>
      <w:r>
        <w:t>The Lookback Study does not tell a complete story but inform</w:t>
      </w:r>
      <w:r w:rsidR="003E71D8">
        <w:t>s</w:t>
      </w:r>
      <w:r>
        <w:t xml:space="preserve"> the Commission </w:t>
      </w:r>
      <w:r w:rsidR="003E71D8">
        <w:t>on how the</w:t>
      </w:r>
      <w:r>
        <w:t xml:space="preserve"> successor tariff</w:t>
      </w:r>
      <w:r w:rsidR="003E71D8">
        <w:t xml:space="preserve"> should be revised</w:t>
      </w:r>
      <w:r>
        <w:t>.</w:t>
      </w:r>
    </w:p>
    <w:p w:rsidR="00674E9B" w:rsidP="00674E9B" w:rsidRDefault="00674E9B" w14:paraId="0AB6ADF9" w14:textId="19110D0A">
      <w:pPr>
        <w:pStyle w:val="FoF"/>
      </w:pPr>
      <w:r>
        <w:t>The NEM 2.0 tariff negatively impacts non</w:t>
      </w:r>
      <w:r w:rsidR="00827602">
        <w:noBreakHyphen/>
      </w:r>
      <w:r>
        <w:t>participant ratepayers.</w:t>
      </w:r>
    </w:p>
    <w:p w:rsidR="00674E9B" w:rsidP="00674E9B" w:rsidRDefault="00674E9B" w14:paraId="62D13C0B" w14:textId="026BDAFD">
      <w:pPr>
        <w:pStyle w:val="FoF"/>
      </w:pPr>
      <w:r>
        <w:t>The NEM 2.0 tariff is not cost</w:t>
      </w:r>
      <w:r w:rsidR="00827602">
        <w:noBreakHyphen/>
      </w:r>
      <w:r>
        <w:t>effective for the commercial, industrial, and agricultural customer segments.</w:t>
      </w:r>
    </w:p>
    <w:p w:rsidR="00674E9B" w:rsidP="00674E9B" w:rsidRDefault="00674E9B" w14:paraId="165F1072" w14:textId="2D83AE19">
      <w:pPr>
        <w:pStyle w:val="FoF"/>
      </w:pPr>
      <w:r>
        <w:t>The NEM 2.0 tariff is not cost</w:t>
      </w:r>
      <w:r w:rsidR="00827602">
        <w:noBreakHyphen/>
      </w:r>
      <w:r>
        <w:t>effective for the residential customer segment.</w:t>
      </w:r>
    </w:p>
    <w:p w:rsidRPr="001E2A62" w:rsidR="00674E9B" w:rsidP="00674E9B" w:rsidRDefault="00674E9B" w14:paraId="60890342" w14:textId="27D87C80">
      <w:pPr>
        <w:pStyle w:val="FoF"/>
      </w:pPr>
      <w:r>
        <w:t>The NEM 2.0 tariff disproportionately harms low</w:t>
      </w:r>
      <w:r w:rsidR="00827602">
        <w:noBreakHyphen/>
      </w:r>
      <w:r>
        <w:t>income customers.</w:t>
      </w:r>
    </w:p>
    <w:p w:rsidR="00F62B7A" w:rsidP="005E7044" w:rsidRDefault="00014923" w14:paraId="09ACA3C4" w14:textId="4E13FE17">
      <w:pPr>
        <w:pStyle w:val="FoF"/>
      </w:pPr>
      <w:r>
        <w:lastRenderedPageBreak/>
        <w:t>A disagreement on an assumption in the Lookback Study does not equate to a flaw in that assumption.</w:t>
      </w:r>
    </w:p>
    <w:p w:rsidR="00014923" w:rsidP="005E7044" w:rsidRDefault="00014923" w14:paraId="70078800" w14:textId="56022FD4">
      <w:pPr>
        <w:pStyle w:val="FoF"/>
      </w:pPr>
      <w:r>
        <w:t>The cost</w:t>
      </w:r>
      <w:r w:rsidR="00827602">
        <w:noBreakHyphen/>
      </w:r>
      <w:r>
        <w:t>effectiveness analys</w:t>
      </w:r>
      <w:r w:rsidR="00F036C6">
        <w:t>i</w:t>
      </w:r>
      <w:r>
        <w:t xml:space="preserve">s in the Lookback Study </w:t>
      </w:r>
      <w:r w:rsidR="00E121F2">
        <w:t>was</w:t>
      </w:r>
      <w:r>
        <w:t xml:space="preserve"> conducted in accordance with prior Commission decisions.</w:t>
      </w:r>
    </w:p>
    <w:p w:rsidR="003B393D" w:rsidP="005E7044" w:rsidRDefault="002A6B21" w14:paraId="66760F8D" w14:textId="2C38118B">
      <w:pPr>
        <w:pStyle w:val="FoF"/>
      </w:pPr>
      <w:bookmarkStart w:name="_Hlk121822041" w:id="264"/>
      <w:r>
        <w:t xml:space="preserve">The Lookback Study is a sound analysis of the </w:t>
      </w:r>
      <w:r w:rsidR="00602BC5">
        <w:t>NEM 2.0</w:t>
      </w:r>
      <w:r w:rsidR="00135D55">
        <w:t xml:space="preserve"> </w:t>
      </w:r>
      <w:r>
        <w:t>tariff</w:t>
      </w:r>
      <w:r w:rsidR="005C7E12">
        <w:t xml:space="preserve"> </w:t>
      </w:r>
      <w:r w:rsidR="00740FC8">
        <w:t xml:space="preserve">and should be used in the development of a successor tariff for customers that own the property where </w:t>
      </w:r>
      <w:r w:rsidR="0026582D">
        <w:t>their</w:t>
      </w:r>
      <w:r w:rsidR="00740FC8">
        <w:t xml:space="preserve"> customer</w:t>
      </w:r>
      <w:r w:rsidR="008D2724">
        <w:noBreakHyphen/>
      </w:r>
      <w:r w:rsidR="00740FC8">
        <w:t>sited generation is located</w:t>
      </w:r>
      <w:r w:rsidR="0057799E">
        <w:t>.</w:t>
      </w:r>
    </w:p>
    <w:bookmarkEnd w:id="264"/>
    <w:p w:rsidR="00533B2F" w:rsidP="005E7044" w:rsidRDefault="00FB03EC" w14:paraId="0C4BA7AC" w14:textId="77777777">
      <w:pPr>
        <w:pStyle w:val="FoF"/>
      </w:pPr>
      <w:r>
        <w:t>The Affordability Report indicates high electricity rates are driven by a combination of transmission and distribution costs, wildfire mitigation, and the shifted costs from solar customers to customers without solar.</w:t>
      </w:r>
    </w:p>
    <w:p w:rsidR="00FB03EC" w:rsidP="005E7044" w:rsidRDefault="00FB03EC" w14:paraId="603930D1" w14:textId="0A6EA5DB">
      <w:pPr>
        <w:pStyle w:val="FoF"/>
      </w:pPr>
      <w:r>
        <w:t>The cost shift discussion in this proceeding does not ignore the other drivers of high electricity rates but, rather, focuses on the one driver that is relevant to this proceeding</w:t>
      </w:r>
      <w:r w:rsidR="00555CC0">
        <w:t xml:space="preserve">:  </w:t>
      </w:r>
      <w:r>
        <w:t>the significant cost shift from solar customers to customers without solar.</w:t>
      </w:r>
    </w:p>
    <w:p w:rsidR="0057799E" w:rsidP="005E7044" w:rsidRDefault="00602BC5" w14:paraId="6FAD16E3" w14:textId="734FFA84">
      <w:pPr>
        <w:pStyle w:val="FoF"/>
      </w:pPr>
      <w:r>
        <w:t>NEM 2.0</w:t>
      </w:r>
      <w:r w:rsidR="00135D55">
        <w:t xml:space="preserve"> </w:t>
      </w:r>
      <w:r w:rsidR="0057799E">
        <w:t>tariff customers bypass infrastructure and other service costs embedded in volumetric rates by decreasing grid imports.</w:t>
      </w:r>
    </w:p>
    <w:p w:rsidR="0057799E" w:rsidP="005E7044" w:rsidRDefault="003B393D" w14:paraId="4B1F2302" w14:textId="44083986">
      <w:pPr>
        <w:pStyle w:val="FoF"/>
      </w:pPr>
      <w:r>
        <w:t>The b</w:t>
      </w:r>
      <w:r w:rsidR="0057799E">
        <w:t>ypassed i</w:t>
      </w:r>
      <w:r w:rsidR="002A6B21">
        <w:t xml:space="preserve">nfrastructure and other service costs embedded in volumetric rates by </w:t>
      </w:r>
      <w:r w:rsidR="00602BC5">
        <w:t>NEM 2.0</w:t>
      </w:r>
      <w:r w:rsidR="00135D55">
        <w:t xml:space="preserve"> </w:t>
      </w:r>
      <w:r w:rsidR="002A6B21">
        <w:t>participants over the course of the 20</w:t>
      </w:r>
      <w:r w:rsidR="00827602">
        <w:noBreakHyphen/>
      </w:r>
      <w:r w:rsidR="002A6B21">
        <w:t xml:space="preserve">year </w:t>
      </w:r>
      <w:r>
        <w:t xml:space="preserve">legacy period </w:t>
      </w:r>
      <w:r w:rsidR="0057799E">
        <w:t>are shifted to non</w:t>
      </w:r>
      <w:r w:rsidR="00827602">
        <w:noBreakHyphen/>
      </w:r>
      <w:r w:rsidR="0057799E">
        <w:t>participant ratepayers.</w:t>
      </w:r>
    </w:p>
    <w:p w:rsidR="002A6B21" w:rsidP="005E7044" w:rsidRDefault="00C9203E" w14:paraId="402636B7" w14:textId="5C933B62">
      <w:pPr>
        <w:pStyle w:val="FoF"/>
      </w:pPr>
      <w:r>
        <w:t xml:space="preserve">The Lookback Study indicates </w:t>
      </w:r>
      <w:r w:rsidR="00602BC5">
        <w:t>NEM 2.0</w:t>
      </w:r>
      <w:r w:rsidR="00135D55">
        <w:t xml:space="preserve"> </w:t>
      </w:r>
      <w:r w:rsidR="002A6B21">
        <w:t>negatively</w:t>
      </w:r>
      <w:r w:rsidR="0057799E">
        <w:t xml:space="preserve"> </w:t>
      </w:r>
      <w:r w:rsidR="002A6B21">
        <w:t>impacts non</w:t>
      </w:r>
      <w:r w:rsidR="00827602">
        <w:noBreakHyphen/>
      </w:r>
      <w:r w:rsidR="002A6B21">
        <w:t>participant ratepayers.</w:t>
      </w:r>
    </w:p>
    <w:p w:rsidR="003B393D" w:rsidP="005E7044" w:rsidRDefault="003B393D" w14:paraId="5F283E1C" w14:textId="310AA313">
      <w:pPr>
        <w:pStyle w:val="FoF"/>
      </w:pPr>
      <w:r>
        <w:t xml:space="preserve">The precise financial impact </w:t>
      </w:r>
      <w:r w:rsidR="00462E71">
        <w:t xml:space="preserve">of </w:t>
      </w:r>
      <w:r w:rsidR="00602BC5">
        <w:t>NEM 2.0</w:t>
      </w:r>
      <w:r w:rsidR="00135D55">
        <w:t xml:space="preserve"> </w:t>
      </w:r>
      <w:r w:rsidR="00462E71">
        <w:t xml:space="preserve">on nonparticipant ratepayers </w:t>
      </w:r>
      <w:r>
        <w:t>depends on the Avoided Cost Calculator values used.</w:t>
      </w:r>
    </w:p>
    <w:p w:rsidR="003B393D" w:rsidP="005E7044" w:rsidRDefault="003B393D" w14:paraId="7532B7EA" w14:textId="3BDD5C80">
      <w:pPr>
        <w:pStyle w:val="FoF"/>
      </w:pPr>
      <w:r>
        <w:t xml:space="preserve">PCF’s analysis and estimate of the financial impact of </w:t>
      </w:r>
      <w:r w:rsidR="00602BC5">
        <w:t>NEM 2.0</w:t>
      </w:r>
      <w:r w:rsidR="00135D55">
        <w:t xml:space="preserve"> </w:t>
      </w:r>
      <w:r w:rsidR="00A120E8">
        <w:t>are</w:t>
      </w:r>
      <w:r>
        <w:t xml:space="preserve"> incorrect.</w:t>
      </w:r>
    </w:p>
    <w:p w:rsidR="002A6B21" w:rsidP="005E7044" w:rsidRDefault="003B393D" w14:paraId="2206F2FA" w14:textId="467B46A0">
      <w:pPr>
        <w:pStyle w:val="FoF"/>
      </w:pPr>
      <w:r>
        <w:lastRenderedPageBreak/>
        <w:t xml:space="preserve">The financial impact of </w:t>
      </w:r>
      <w:r w:rsidR="00602BC5">
        <w:t>NEM 2.0</w:t>
      </w:r>
      <w:r w:rsidR="00135D55">
        <w:t xml:space="preserve"> </w:t>
      </w:r>
      <w:r>
        <w:t xml:space="preserve">is caused by </w:t>
      </w:r>
      <w:r w:rsidR="0057799E">
        <w:t>m</w:t>
      </w:r>
      <w:r>
        <w:t>ore than the simple bill savings from net energy metering customer energy consumption.</w:t>
      </w:r>
    </w:p>
    <w:p w:rsidR="003B393D" w:rsidP="005E7044" w:rsidRDefault="0057799E" w14:paraId="54B2773E" w14:textId="754BAE4D">
      <w:pPr>
        <w:pStyle w:val="FoF"/>
      </w:pPr>
      <w:r>
        <w:t xml:space="preserve">Without changes to the current tariff structure, the financial burden on the shrinking pool of nonparticipants is unsustainable and </w:t>
      </w:r>
      <w:r w:rsidR="00A120E8">
        <w:t>w</w:t>
      </w:r>
      <w:r>
        <w:t>ould fall dispr</w:t>
      </w:r>
      <w:r w:rsidR="008B196A">
        <w:t>oportionately on lower</w:t>
      </w:r>
      <w:r w:rsidR="00827602">
        <w:noBreakHyphen/>
      </w:r>
      <w:r w:rsidR="008B196A">
        <w:t>income customers.</w:t>
      </w:r>
    </w:p>
    <w:p w:rsidR="002863FB" w:rsidP="005E7044" w:rsidRDefault="002863FB" w14:paraId="3E2E1D8B" w14:textId="00096D2D">
      <w:pPr>
        <w:pStyle w:val="FoF"/>
      </w:pPr>
      <w:r>
        <w:t>The Lookback Study find</w:t>
      </w:r>
      <w:r w:rsidR="00DA7FC0">
        <w:t>s</w:t>
      </w:r>
      <w:r>
        <w:t xml:space="preserve"> that the commercial, industrial, and agricultural customer segments of the </w:t>
      </w:r>
      <w:r w:rsidR="00602BC5">
        <w:t>NEM 2.0</w:t>
      </w:r>
      <w:r w:rsidR="00135D55">
        <w:t xml:space="preserve"> </w:t>
      </w:r>
      <w:r>
        <w:t xml:space="preserve">tariff generally pass the </w:t>
      </w:r>
      <w:proofErr w:type="spellStart"/>
      <w:r>
        <w:t>TRC</w:t>
      </w:r>
      <w:proofErr w:type="spellEnd"/>
      <w:r>
        <w:t xml:space="preserve"> test and pay rates that fully cover their cost</w:t>
      </w:r>
      <w:r w:rsidR="00DA7FC0">
        <w:t>s</w:t>
      </w:r>
      <w:r>
        <w:t xml:space="preserve"> of services.</w:t>
      </w:r>
    </w:p>
    <w:p w:rsidR="002863FB" w:rsidP="005E7044" w:rsidRDefault="002863FB" w14:paraId="19542997" w14:textId="5FF12063">
      <w:pPr>
        <w:pStyle w:val="FoF"/>
      </w:pPr>
      <w:r>
        <w:t xml:space="preserve">No party </w:t>
      </w:r>
      <w:r w:rsidR="004C27B6">
        <w:t xml:space="preserve">other than PCF </w:t>
      </w:r>
      <w:r>
        <w:t>disputes the cost</w:t>
      </w:r>
      <w:r w:rsidR="00827602">
        <w:noBreakHyphen/>
      </w:r>
      <w:r>
        <w:t xml:space="preserve">effectiveness results of the commercial, industrial, and agricultural segments of the </w:t>
      </w:r>
      <w:r w:rsidR="00602BC5">
        <w:t>NEM 2.0</w:t>
      </w:r>
      <w:r w:rsidR="00135D55">
        <w:t xml:space="preserve"> </w:t>
      </w:r>
      <w:r>
        <w:t>tariff.</w:t>
      </w:r>
    </w:p>
    <w:p w:rsidR="005E2795" w:rsidP="005E7044" w:rsidRDefault="00BA536D" w14:paraId="74AC003A" w14:textId="4D36F4B1">
      <w:pPr>
        <w:pStyle w:val="FoF"/>
      </w:pPr>
      <w:r>
        <w:t xml:space="preserve">The Lookback Study followed the directives of prior Commission decisions regarding </w:t>
      </w:r>
      <w:r w:rsidR="00C940EA">
        <w:t>the methods for cost</w:t>
      </w:r>
      <w:r w:rsidR="00827602">
        <w:noBreakHyphen/>
      </w:r>
      <w:r w:rsidR="00C940EA">
        <w:t>effectiveness analysis.</w:t>
      </w:r>
    </w:p>
    <w:p w:rsidR="00A11EA4" w:rsidP="005E7044" w:rsidRDefault="00A11EA4" w14:paraId="44686AA4" w14:textId="0F7F2407">
      <w:pPr>
        <w:pStyle w:val="FoF"/>
      </w:pPr>
      <w:r>
        <w:t xml:space="preserve">While the Lookback Study found commercial, agricultural, and industrial sectors of the </w:t>
      </w:r>
      <w:r w:rsidR="00602BC5">
        <w:t>NEM 2.0</w:t>
      </w:r>
      <w:r w:rsidR="00135D55">
        <w:t xml:space="preserve"> </w:t>
      </w:r>
      <w:r>
        <w:t xml:space="preserve">tariff had </w:t>
      </w:r>
      <w:proofErr w:type="spellStart"/>
      <w:r>
        <w:t>TRC</w:t>
      </w:r>
      <w:proofErr w:type="spellEnd"/>
      <w:r>
        <w:t xml:space="preserve"> </w:t>
      </w:r>
      <w:r w:rsidR="00A120E8">
        <w:t xml:space="preserve">test </w:t>
      </w:r>
      <w:r>
        <w:t xml:space="preserve">and PCT results of 1.0 or better, the results of the RIM test </w:t>
      </w:r>
      <w:r w:rsidR="003E71D8">
        <w:t>showed a benefit</w:t>
      </w:r>
      <w:r w:rsidR="00827602">
        <w:noBreakHyphen/>
      </w:r>
      <w:r w:rsidR="00A120E8">
        <w:t>cost</w:t>
      </w:r>
      <w:r w:rsidR="003E71D8">
        <w:t xml:space="preserve"> ratio of less than 1.0.</w:t>
      </w:r>
    </w:p>
    <w:p w:rsidRPr="001E2A62" w:rsidR="00A11EA4" w:rsidP="005E7044" w:rsidRDefault="00A11EA4" w14:paraId="659E1DA2" w14:textId="6043BAD8">
      <w:pPr>
        <w:pStyle w:val="FoF"/>
      </w:pPr>
      <w:r>
        <w:t xml:space="preserve">The </w:t>
      </w:r>
      <w:r w:rsidR="00D52645">
        <w:t xml:space="preserve">Lookback Study indicates the </w:t>
      </w:r>
      <w:r>
        <w:t xml:space="preserve">nonresidential sectors of the </w:t>
      </w:r>
      <w:r w:rsidR="00602BC5">
        <w:t>NEM 2.0</w:t>
      </w:r>
      <w:r w:rsidR="00135D55">
        <w:t xml:space="preserve"> </w:t>
      </w:r>
      <w:r>
        <w:t>tariff are not cost</w:t>
      </w:r>
      <w:r w:rsidR="00827602">
        <w:noBreakHyphen/>
      </w:r>
      <w:r>
        <w:t>effective.</w:t>
      </w:r>
    </w:p>
    <w:p w:rsidR="008E6AE6" w:rsidP="005E7044" w:rsidRDefault="00C940EA" w14:paraId="3F135691" w14:textId="1145D179">
      <w:pPr>
        <w:pStyle w:val="FoF"/>
      </w:pPr>
      <w:r>
        <w:t xml:space="preserve">The Lookback Study finds the </w:t>
      </w:r>
      <w:r w:rsidR="00602BC5">
        <w:t>NEM 2.0</w:t>
      </w:r>
      <w:r w:rsidR="00135D55">
        <w:t xml:space="preserve"> </w:t>
      </w:r>
      <w:r>
        <w:t>tariff is not cost</w:t>
      </w:r>
      <w:r w:rsidR="00827602">
        <w:noBreakHyphen/>
      </w:r>
      <w:r>
        <w:t>effective for the residential customer segment.</w:t>
      </w:r>
    </w:p>
    <w:p w:rsidR="00133D92" w:rsidP="005E7044" w:rsidRDefault="00133D92" w14:paraId="34A35CC1" w14:textId="1174C05D">
      <w:pPr>
        <w:pStyle w:val="FoF"/>
      </w:pPr>
      <w:r>
        <w:t>Lower</w:t>
      </w:r>
      <w:r w:rsidR="00827602">
        <w:noBreakHyphen/>
      </w:r>
      <w:r>
        <w:t>income customers are burdened with the additional expense of a portion of the 82 to 9</w:t>
      </w:r>
      <w:r w:rsidR="00C04724">
        <w:t>1 percent</w:t>
      </w:r>
      <w:r>
        <w:t xml:space="preserve"> of the cost</w:t>
      </w:r>
      <w:r w:rsidR="00DA7FC0">
        <w:t xml:space="preserve"> </w:t>
      </w:r>
      <w:r>
        <w:t>of</w:t>
      </w:r>
      <w:r w:rsidR="00DA7FC0">
        <w:t xml:space="preserve"> </w:t>
      </w:r>
      <w:r>
        <w:t xml:space="preserve">service bypassed by </w:t>
      </w:r>
      <w:r w:rsidR="00602BC5">
        <w:t>NEM 2.0</w:t>
      </w:r>
      <w:r w:rsidR="00135D55">
        <w:t xml:space="preserve"> </w:t>
      </w:r>
      <w:r w:rsidR="00A120E8">
        <w:t xml:space="preserve">residential </w:t>
      </w:r>
      <w:r w:rsidR="00674D8A">
        <w:t>customers whose bill payments only cover nine to 1</w:t>
      </w:r>
      <w:r w:rsidR="00C04724">
        <w:t>8 percent</w:t>
      </w:r>
      <w:r w:rsidR="00674D8A">
        <w:t xml:space="preserve"> of their cost of service.</w:t>
      </w:r>
    </w:p>
    <w:p w:rsidR="008F4750" w:rsidP="005E7044" w:rsidRDefault="00674D8A" w14:paraId="0B0E5FEE" w14:textId="0FC542FB">
      <w:pPr>
        <w:pStyle w:val="FoF"/>
      </w:pPr>
      <w:r>
        <w:t xml:space="preserve">The Lookback Study indicates that the </w:t>
      </w:r>
      <w:r w:rsidR="00602BC5">
        <w:t>NEM 2.0</w:t>
      </w:r>
      <w:r w:rsidR="00135D55">
        <w:t xml:space="preserve"> </w:t>
      </w:r>
      <w:r>
        <w:t xml:space="preserve">tariff </w:t>
      </w:r>
      <w:r w:rsidR="008F4750">
        <w:t>disproportionately harms low</w:t>
      </w:r>
      <w:r w:rsidR="00827602">
        <w:noBreakHyphen/>
      </w:r>
      <w:r w:rsidR="008F4750">
        <w:t>income customers</w:t>
      </w:r>
      <w:r w:rsidR="00462E71">
        <w:t xml:space="preserve"> </w:t>
      </w:r>
      <w:r w:rsidR="008F4750">
        <w:t>not participating in the tariff.</w:t>
      </w:r>
    </w:p>
    <w:p w:rsidR="00674D8A" w:rsidP="005E7044" w:rsidRDefault="008F4750" w14:paraId="282F9EE4" w14:textId="33FF5D0E">
      <w:pPr>
        <w:pStyle w:val="FoF"/>
      </w:pPr>
      <w:r>
        <w:lastRenderedPageBreak/>
        <w:t xml:space="preserve">The Lookback Study indicates that the </w:t>
      </w:r>
      <w:r w:rsidR="00602BC5">
        <w:t>NEM 2.0</w:t>
      </w:r>
      <w:r w:rsidR="00135D55">
        <w:t xml:space="preserve"> </w:t>
      </w:r>
      <w:r>
        <w:t xml:space="preserve">tariff disproportionately </w:t>
      </w:r>
      <w:r w:rsidR="001C0A0B">
        <w:t xml:space="preserve">benefits </w:t>
      </w:r>
      <w:r>
        <w:t>non</w:t>
      </w:r>
      <w:r w:rsidR="00827602">
        <w:noBreakHyphen/>
      </w:r>
      <w:r>
        <w:t xml:space="preserve">CARE residential </w:t>
      </w:r>
      <w:r w:rsidR="00602BC5">
        <w:t>NEM 2.0</w:t>
      </w:r>
      <w:r w:rsidR="00135D55">
        <w:t xml:space="preserve"> </w:t>
      </w:r>
      <w:r>
        <w:t xml:space="preserve">tariff customers while all </w:t>
      </w:r>
      <w:r w:rsidR="00A846B2">
        <w:t xml:space="preserve">other </w:t>
      </w:r>
      <w:r>
        <w:t xml:space="preserve">customers, including those with lower incomes, bear the addition </w:t>
      </w:r>
      <w:r w:rsidR="004C3EE8">
        <w:t>of 82 to 9</w:t>
      </w:r>
      <w:r w:rsidR="00C04724">
        <w:t>1 percent</w:t>
      </w:r>
      <w:r w:rsidR="004C3EE8">
        <w:t xml:space="preserve"> of the cost</w:t>
      </w:r>
      <w:r w:rsidR="00DA7FC0">
        <w:t xml:space="preserve"> </w:t>
      </w:r>
      <w:r w:rsidR="004C3EE8">
        <w:t>of</w:t>
      </w:r>
      <w:r w:rsidR="00DA7FC0">
        <w:t xml:space="preserve"> </w:t>
      </w:r>
      <w:r w:rsidR="004C3EE8">
        <w:t xml:space="preserve">service bypassed by </w:t>
      </w:r>
      <w:r w:rsidR="00A846B2">
        <w:t>these tariff customers.</w:t>
      </w:r>
    </w:p>
    <w:p w:rsidR="00FB4C03" w:rsidP="005E7044" w:rsidRDefault="00FB4C03" w14:paraId="09E4584F" w14:textId="1C4E8B52">
      <w:pPr>
        <w:pStyle w:val="FoF"/>
      </w:pPr>
      <w:r>
        <w:t xml:space="preserve">Parties have varying interpretations of the phrase </w:t>
      </w:r>
      <w:r w:rsidR="00BA1EAE">
        <w:t>“</w:t>
      </w:r>
      <w:r>
        <w:t>grow sustainably</w:t>
      </w:r>
      <w:r w:rsidR="00BA1EAE">
        <w:t>”</w:t>
      </w:r>
      <w:r>
        <w:t xml:space="preserve"> and what that means for the successor tariff.</w:t>
      </w:r>
    </w:p>
    <w:p w:rsidR="00286F25" w:rsidP="005E7044" w:rsidRDefault="00286F25" w14:paraId="7DA0DDD3" w14:textId="4005C15E">
      <w:pPr>
        <w:pStyle w:val="FoF"/>
      </w:pPr>
      <w:r>
        <w:t>In D.16</w:t>
      </w:r>
      <w:r w:rsidR="00827602">
        <w:noBreakHyphen/>
      </w:r>
      <w:r>
        <w:t>09</w:t>
      </w:r>
      <w:r w:rsidR="00827602">
        <w:noBreakHyphen/>
      </w:r>
      <w:r>
        <w:t>036, the Commission stated it was not placing a greater emphasis on achieving sustainable growth over other statutory obligations</w:t>
      </w:r>
      <w:r w:rsidR="00FB4C03">
        <w:t xml:space="preserve">, and </w:t>
      </w:r>
      <w:r>
        <w:t>nothing in the record of this proceeding lead</w:t>
      </w:r>
      <w:r w:rsidR="00FB4C03">
        <w:t>s</w:t>
      </w:r>
      <w:r>
        <w:t xml:space="preserve"> the Commission to stray from this position.</w:t>
      </w:r>
    </w:p>
    <w:p w:rsidR="00286F25" w:rsidP="005E7044" w:rsidRDefault="00286F25" w14:paraId="1EE2B264" w14:textId="5D2C7251">
      <w:pPr>
        <w:pStyle w:val="FoF"/>
      </w:pPr>
      <w:r>
        <w:t>Any proposed change to the net energy metering tariff should consider the impact on the growth of the net energy metering market</w:t>
      </w:r>
      <w:r w:rsidR="00E121F2">
        <w:t xml:space="preserve"> and, therefore, the solar industry</w:t>
      </w:r>
      <w:r>
        <w:t>.</w:t>
      </w:r>
    </w:p>
    <w:p w:rsidR="00E121F2" w:rsidP="005E7044" w:rsidRDefault="00E121F2" w14:paraId="0D2A6EFC" w14:textId="75CA9F57">
      <w:pPr>
        <w:pStyle w:val="FoF"/>
      </w:pPr>
      <w:r>
        <w:t xml:space="preserve">Allowing the net energy metering </w:t>
      </w:r>
      <w:r w:rsidR="00A120E8">
        <w:t xml:space="preserve">tariff </w:t>
      </w:r>
      <w:r>
        <w:t>to result in growing costs shifted to non</w:t>
      </w:r>
      <w:r w:rsidR="00827602">
        <w:noBreakHyphen/>
      </w:r>
      <w:r>
        <w:t xml:space="preserve">participants is not sustainable to the overall health of </w:t>
      </w:r>
      <w:r w:rsidR="00F61188">
        <w:t>net energy metering</w:t>
      </w:r>
      <w:r>
        <w:t>.</w:t>
      </w:r>
    </w:p>
    <w:p w:rsidR="008E2F6B" w:rsidP="005E7044" w:rsidRDefault="00286F25" w14:paraId="6F4B539D" w14:textId="6B8F3D84">
      <w:pPr>
        <w:pStyle w:val="FoF"/>
      </w:pPr>
      <w:r>
        <w:t>The net energy metering tariff has and should continue to assist California in meeting its energy and climate goals.</w:t>
      </w:r>
    </w:p>
    <w:p w:rsidR="00286F25" w:rsidP="005E7044" w:rsidRDefault="007A170E" w14:paraId="560D92FB" w14:textId="4131629B">
      <w:pPr>
        <w:pStyle w:val="FoF"/>
      </w:pPr>
      <w:r>
        <w:t xml:space="preserve">The Commission considered </w:t>
      </w:r>
      <w:r w:rsidR="008E2F6B">
        <w:t xml:space="preserve">and adopted estimates of </w:t>
      </w:r>
      <w:r>
        <w:t xml:space="preserve">transmission and distribution costs, greenhouse gas reductions, and system resiliency </w:t>
      </w:r>
      <w:r w:rsidR="008E2F6B">
        <w:t>and reliability in D.20</w:t>
      </w:r>
      <w:r w:rsidR="00827602">
        <w:noBreakHyphen/>
      </w:r>
      <w:r w:rsidR="008E2F6B">
        <w:t>04</w:t>
      </w:r>
      <w:r w:rsidR="00827602">
        <w:noBreakHyphen/>
      </w:r>
      <w:r w:rsidR="008E2F6B">
        <w:t>010.</w:t>
      </w:r>
    </w:p>
    <w:p w:rsidR="00286F25" w:rsidP="005E7044" w:rsidRDefault="008F7CD8" w14:paraId="74A1C2E7" w14:textId="13E14984">
      <w:pPr>
        <w:pStyle w:val="FoF"/>
      </w:pPr>
      <w:r>
        <w:t>The Standard Practice Manual states that the cost</w:t>
      </w:r>
      <w:r w:rsidR="00827602">
        <w:noBreakHyphen/>
      </w:r>
      <w:r>
        <w:t>effectiveness tests should not be used individually, but instead consider the tradeoffs between the tests</w:t>
      </w:r>
      <w:r w:rsidR="008E2F6B">
        <w:t>.</w:t>
      </w:r>
    </w:p>
    <w:p w:rsidR="008F7CD8" w:rsidP="005E7044" w:rsidRDefault="008F7CD8" w14:paraId="30612DE7" w14:textId="2A4CADCA">
      <w:pPr>
        <w:pStyle w:val="FoF"/>
      </w:pPr>
      <w:r>
        <w:t>D.19</w:t>
      </w:r>
      <w:r w:rsidR="00827602">
        <w:noBreakHyphen/>
      </w:r>
      <w:r>
        <w:t>05</w:t>
      </w:r>
      <w:r w:rsidR="00827602">
        <w:noBreakHyphen/>
      </w:r>
      <w:r>
        <w:t xml:space="preserve">019 directs the use of the </w:t>
      </w:r>
      <w:proofErr w:type="spellStart"/>
      <w:r>
        <w:t>TRC</w:t>
      </w:r>
      <w:proofErr w:type="spellEnd"/>
      <w:r>
        <w:t xml:space="preserve"> and recognize</w:t>
      </w:r>
      <w:r w:rsidR="00E16081">
        <w:t>s</w:t>
      </w:r>
      <w:r>
        <w:t xml:space="preserve"> the importance of the PAC and RIM tests.</w:t>
      </w:r>
    </w:p>
    <w:p w:rsidR="008F7CD8" w:rsidP="005E7044" w:rsidRDefault="008F7CD8" w14:paraId="2FF5E116" w14:textId="404A2DCD">
      <w:pPr>
        <w:pStyle w:val="FoF"/>
      </w:pPr>
      <w:r>
        <w:t>Each cost</w:t>
      </w:r>
      <w:r w:rsidR="00827602">
        <w:noBreakHyphen/>
      </w:r>
      <w:r>
        <w:t>effectiveness test has value and together the tests tell a complete story.</w:t>
      </w:r>
    </w:p>
    <w:p w:rsidR="008F7CD8" w:rsidP="005E7044" w:rsidRDefault="008F7CD8" w14:paraId="4E29C00A" w14:textId="403D82AF">
      <w:pPr>
        <w:pStyle w:val="FoF"/>
      </w:pPr>
      <w:r>
        <w:lastRenderedPageBreak/>
        <w:t>Consideration of all the cost</w:t>
      </w:r>
      <w:r w:rsidR="00827602">
        <w:noBreakHyphen/>
      </w:r>
      <w:r>
        <w:t xml:space="preserve">effectiveness tests allows </w:t>
      </w:r>
      <w:r w:rsidR="00DE2B90">
        <w:t xml:space="preserve">the Commission </w:t>
      </w:r>
      <w:r>
        <w:t xml:space="preserve">to consider the values </w:t>
      </w:r>
      <w:r w:rsidR="00A120E8">
        <w:t xml:space="preserve">of </w:t>
      </w:r>
      <w:r>
        <w:t>and tradeoffs between the tests.</w:t>
      </w:r>
    </w:p>
    <w:p w:rsidR="00924B73" w:rsidP="005E7044" w:rsidRDefault="00924B73" w14:paraId="41CA0126" w14:textId="1C07DD76">
      <w:pPr>
        <w:pStyle w:val="FoF"/>
      </w:pPr>
      <w:r>
        <w:t>Application of the Societal Cost Test is premature because the evaluation to determine the final details of the test has not been completed.</w:t>
      </w:r>
    </w:p>
    <w:p w:rsidR="007155C8" w:rsidP="005E7044" w:rsidRDefault="007155C8" w14:paraId="74C7C03F" w14:textId="285CBD6D">
      <w:pPr>
        <w:pStyle w:val="FoF"/>
      </w:pPr>
      <w:r>
        <w:t>D.20</w:t>
      </w:r>
      <w:r w:rsidR="00827602">
        <w:noBreakHyphen/>
      </w:r>
      <w:r>
        <w:t>04</w:t>
      </w:r>
      <w:r w:rsidR="00827602">
        <w:noBreakHyphen/>
      </w:r>
      <w:r>
        <w:t>0</w:t>
      </w:r>
      <w:r w:rsidR="00E121F2">
        <w:t>1</w:t>
      </w:r>
      <w:r>
        <w:t xml:space="preserve">0 </w:t>
      </w:r>
      <w:r w:rsidR="00462E71">
        <w:t>concluded</w:t>
      </w:r>
      <w:r>
        <w:t xml:space="preserve"> that consideration of the benefits of grid services provided by specific distributed energy resources should be addressed in resource</w:t>
      </w:r>
      <w:r w:rsidR="00827602">
        <w:noBreakHyphen/>
      </w:r>
      <w:r>
        <w:t>specific proceedings.</w:t>
      </w:r>
    </w:p>
    <w:p w:rsidR="007155C8" w:rsidP="005E7044" w:rsidRDefault="007155C8" w14:paraId="7BFE7F3A" w14:textId="23D93304">
      <w:pPr>
        <w:pStyle w:val="FoF"/>
      </w:pPr>
      <w:r>
        <w:t>D.20</w:t>
      </w:r>
      <w:r w:rsidR="00827602">
        <w:noBreakHyphen/>
      </w:r>
      <w:r>
        <w:t>04</w:t>
      </w:r>
      <w:r w:rsidR="00827602">
        <w:noBreakHyphen/>
      </w:r>
      <w:r>
        <w:t>0</w:t>
      </w:r>
      <w:r w:rsidR="00E121F2">
        <w:t>1</w:t>
      </w:r>
      <w:r>
        <w:t xml:space="preserve">0 considered SEIA/Vote Solar’s proposals for avoided reliability and resiliency costs and found the benefits described could only be attributable to </w:t>
      </w:r>
      <w:r w:rsidR="00A120E8">
        <w:t>stand</w:t>
      </w:r>
      <w:r w:rsidR="00827602">
        <w:noBreakHyphen/>
      </w:r>
      <w:r w:rsidR="00A120E8">
        <w:t>alone solar and solar paired with storage</w:t>
      </w:r>
      <w:r>
        <w:t>.</w:t>
      </w:r>
    </w:p>
    <w:p w:rsidR="007155C8" w:rsidP="005E7044" w:rsidRDefault="007155C8" w14:paraId="796E4239" w14:textId="718B7F4E">
      <w:pPr>
        <w:pStyle w:val="FoF"/>
      </w:pPr>
      <w:r>
        <w:t>D.20</w:t>
      </w:r>
      <w:r w:rsidR="00827602">
        <w:noBreakHyphen/>
      </w:r>
      <w:r>
        <w:t>04</w:t>
      </w:r>
      <w:r w:rsidR="00827602">
        <w:noBreakHyphen/>
      </w:r>
      <w:r>
        <w:t>0</w:t>
      </w:r>
      <w:r w:rsidR="00E121F2">
        <w:t>1</w:t>
      </w:r>
      <w:r>
        <w:t>0 found the SEIA/Vote Solar proposal for avoided reliability and resiliency costs did not show any deferred or avoided costs to utility ratepayers but indicated ratepayers using these technologies receive additional participant benefits.</w:t>
      </w:r>
    </w:p>
    <w:p w:rsidR="007155C8" w:rsidP="005E7044" w:rsidRDefault="00403A71" w14:paraId="2352E1F2" w14:textId="5339163E">
      <w:pPr>
        <w:pStyle w:val="FoF"/>
      </w:pPr>
      <w:r>
        <w:t>Neither SEIA/Vote Solar nor PCF provide convincing evidence that the examples of resiliency benefits offered are more than individual benefits.</w:t>
      </w:r>
    </w:p>
    <w:p w:rsidR="00403A71" w:rsidP="005E7044" w:rsidRDefault="00403A71" w14:paraId="50173671" w14:textId="1483C5A5">
      <w:pPr>
        <w:pStyle w:val="FoF"/>
      </w:pPr>
      <w:r>
        <w:t>Examples given by SEIA/Vote Solar and PCF are either private or highly speculative and limited to unique circumstances.</w:t>
      </w:r>
    </w:p>
    <w:p w:rsidR="00403A71" w:rsidP="005E7044" w:rsidRDefault="00403A71" w14:paraId="0B6337A2" w14:textId="4549483A">
      <w:pPr>
        <w:pStyle w:val="FoF"/>
      </w:pPr>
      <w:r>
        <w:t xml:space="preserve">The proposed societal benefits of an updated social cost of carbon metric, a reduced methane leakage multiplier, and </w:t>
      </w:r>
      <w:r w:rsidR="00E121F2">
        <w:t xml:space="preserve">future </w:t>
      </w:r>
      <w:r>
        <w:t>transmission costs are not solely applicable to net energy metering.</w:t>
      </w:r>
    </w:p>
    <w:p w:rsidR="00116F1F" w:rsidP="005E7044" w:rsidRDefault="00E121F2" w14:paraId="5CF4AD31" w14:textId="7F136304">
      <w:pPr>
        <w:pStyle w:val="FoF"/>
      </w:pPr>
      <w:r>
        <w:t>In</w:t>
      </w:r>
      <w:r w:rsidR="00827602">
        <w:noBreakHyphen/>
      </w:r>
      <w:r>
        <w:t>state m</w:t>
      </w:r>
      <w:r w:rsidR="00116F1F">
        <w:t xml:space="preserve">ethane leakage </w:t>
      </w:r>
      <w:r>
        <w:t>is accounted for in the Avoided Cost Calculator</w:t>
      </w:r>
      <w:r w:rsidR="00116F1F">
        <w:t>.</w:t>
      </w:r>
    </w:p>
    <w:p w:rsidR="00116F1F" w:rsidP="005E7044" w:rsidRDefault="00116F1F" w14:paraId="759BB2C0" w14:textId="652B0539">
      <w:pPr>
        <w:pStyle w:val="FoF"/>
      </w:pPr>
      <w:r>
        <w:t xml:space="preserve">Allowing for an additional value for societal benefits associated with </w:t>
      </w:r>
      <w:r w:rsidR="00E121F2">
        <w:t>in</w:t>
      </w:r>
      <w:r w:rsidR="00827602">
        <w:noBreakHyphen/>
      </w:r>
      <w:r w:rsidR="00E121F2">
        <w:t>state</w:t>
      </w:r>
      <w:r>
        <w:t xml:space="preserve"> methane leakage would result in the double counting of </w:t>
      </w:r>
      <w:r w:rsidR="00E74F32">
        <w:t xml:space="preserve">this </w:t>
      </w:r>
      <w:r>
        <w:t>benefit.</w:t>
      </w:r>
    </w:p>
    <w:p w:rsidR="00E74F32" w:rsidP="005E7044" w:rsidRDefault="00E74F32" w14:paraId="29B50080" w14:textId="7A53540E">
      <w:pPr>
        <w:pStyle w:val="FoF"/>
      </w:pPr>
      <w:r>
        <w:t>In D.22</w:t>
      </w:r>
      <w:r w:rsidR="00827602">
        <w:noBreakHyphen/>
      </w:r>
      <w:r>
        <w:t>05</w:t>
      </w:r>
      <w:r w:rsidR="00827602">
        <w:noBreakHyphen/>
      </w:r>
      <w:r>
        <w:t>002, the Commission declined to adopt a proposal to include out</w:t>
      </w:r>
      <w:r w:rsidR="00827602">
        <w:noBreakHyphen/>
      </w:r>
      <w:r>
        <w:t>of</w:t>
      </w:r>
      <w:r w:rsidR="00827602">
        <w:noBreakHyphen/>
      </w:r>
      <w:r>
        <w:t>state methane leakage values in the Avoided Cost Calculator.</w:t>
      </w:r>
    </w:p>
    <w:p w:rsidR="00E74F32" w:rsidP="005E7044" w:rsidRDefault="00E74F32" w14:paraId="0272DF3A" w14:textId="0782F25E">
      <w:pPr>
        <w:pStyle w:val="FoF"/>
      </w:pPr>
      <w:r>
        <w:lastRenderedPageBreak/>
        <w:t xml:space="preserve">Neither </w:t>
      </w:r>
      <w:proofErr w:type="spellStart"/>
      <w:r>
        <w:t>CALSSA</w:t>
      </w:r>
      <w:proofErr w:type="spellEnd"/>
      <w:r>
        <w:t xml:space="preserve"> nor SEIA/Vote Solar offer any evidence that increased net energy metering installations will directly result in decreased utility</w:t>
      </w:r>
      <w:r w:rsidR="00827602">
        <w:noBreakHyphen/>
      </w:r>
      <w:r>
        <w:t>scale projects.</w:t>
      </w:r>
    </w:p>
    <w:p w:rsidR="009464DA" w:rsidP="005E7044" w:rsidRDefault="009464DA" w14:paraId="47DA3CC8" w14:textId="596CC1FE">
      <w:pPr>
        <w:pStyle w:val="FoF"/>
      </w:pPr>
      <w:r>
        <w:t>Parties agree to differing degrees that the Commission should consider the length of time for a customer’s payback period when determining the reasonableness of</w:t>
      </w:r>
      <w:r w:rsidR="00E50190">
        <w:t xml:space="preserve"> the successor tariff.</w:t>
      </w:r>
    </w:p>
    <w:p w:rsidR="003A3B91" w:rsidP="005E7044" w:rsidRDefault="003A3B91" w14:paraId="3C5B1B58" w14:textId="66D0C086">
      <w:pPr>
        <w:pStyle w:val="FoF"/>
      </w:pPr>
      <w:r>
        <w:t>Analysis of the successor tariff requires balancing multiple legislative requirements and guiding principles, and the needs of participants and nonparticipants.</w:t>
      </w:r>
    </w:p>
    <w:p w:rsidR="00F61188" w:rsidP="00F61188" w:rsidRDefault="00F61188" w14:paraId="7176D328" w14:textId="1B4C5A03">
      <w:pPr>
        <w:pStyle w:val="FoF"/>
      </w:pPr>
      <w:r>
        <w:t>Payback periods are not the predominant factor for customers when considering solar adoption.</w:t>
      </w:r>
    </w:p>
    <w:p w:rsidR="003A3B91" w:rsidP="005E7044" w:rsidRDefault="003A3B91" w14:paraId="78A0A666" w14:textId="2D0E743E">
      <w:pPr>
        <w:pStyle w:val="FoF"/>
      </w:pPr>
      <w:r>
        <w:t xml:space="preserve">The 2013 and 2017 </w:t>
      </w:r>
      <w:proofErr w:type="spellStart"/>
      <w:r>
        <w:t>NREL</w:t>
      </w:r>
      <w:proofErr w:type="spellEnd"/>
      <w:r>
        <w:t xml:space="preserve"> studies show that consumers look at monthly bill savings when making an economic decision on adopting solar.</w:t>
      </w:r>
    </w:p>
    <w:p w:rsidR="00B43E7E" w:rsidP="005E7044" w:rsidRDefault="00BB2412" w14:paraId="1985028A" w14:textId="6D984C5B">
      <w:pPr>
        <w:pStyle w:val="FoF"/>
      </w:pPr>
      <w:r>
        <w:t>It is</w:t>
      </w:r>
      <w:r w:rsidR="00B43E7E">
        <w:t xml:space="preserve"> reasonable to consider the length of time </w:t>
      </w:r>
      <w:r w:rsidR="00DA7FC0">
        <w:t xml:space="preserve">for a </w:t>
      </w:r>
      <w:r w:rsidR="00B43E7E">
        <w:t>customer’s payback period when determining the reasonableness of the successor tariff.</w:t>
      </w:r>
    </w:p>
    <w:p w:rsidR="005A143A" w:rsidP="00BB771D" w:rsidRDefault="005A143A" w14:paraId="06B642DC" w14:textId="055EEF58">
      <w:pPr>
        <w:pStyle w:val="FoF"/>
      </w:pPr>
      <w:r>
        <w:t>A simple payback metric is the most transparent and consumer</w:t>
      </w:r>
      <w:r w:rsidR="00827602">
        <w:noBreakHyphen/>
      </w:r>
      <w:r>
        <w:t>friendly metric to determine the number of years to payback.</w:t>
      </w:r>
    </w:p>
    <w:p w:rsidR="00F34B10" w:rsidP="005E7044" w:rsidRDefault="00E74F32" w14:paraId="46EC8736" w14:textId="3780C685">
      <w:pPr>
        <w:pStyle w:val="FoF"/>
      </w:pPr>
      <w:r>
        <w:t xml:space="preserve">A target of </w:t>
      </w:r>
      <w:r w:rsidR="00286A66">
        <w:t xml:space="preserve">a </w:t>
      </w:r>
      <w:r>
        <w:t>nine</w:t>
      </w:r>
      <w:r w:rsidR="00827602">
        <w:noBreakHyphen/>
      </w:r>
      <w:r w:rsidR="00F34B10">
        <w:t xml:space="preserve">year </w:t>
      </w:r>
      <w:r w:rsidR="00286A66">
        <w:t xml:space="preserve">simple </w:t>
      </w:r>
      <w:r w:rsidR="00F34B10">
        <w:t xml:space="preserve">payback </w:t>
      </w:r>
      <w:r w:rsidR="00286A66">
        <w:t>period for a stand</w:t>
      </w:r>
      <w:r w:rsidR="00827602">
        <w:noBreakHyphen/>
      </w:r>
      <w:r w:rsidR="00286A66">
        <w:t xml:space="preserve">alone solar system </w:t>
      </w:r>
      <w:r w:rsidR="00F34B10">
        <w:t xml:space="preserve">presents a balanced approach to promoting the adoption of </w:t>
      </w:r>
      <w:r w:rsidR="00286A66">
        <w:t xml:space="preserve">solar </w:t>
      </w:r>
      <w:r w:rsidR="00BB771D">
        <w:t xml:space="preserve">systems </w:t>
      </w:r>
      <w:r w:rsidR="00673FF4">
        <w:t xml:space="preserve">paired </w:t>
      </w:r>
      <w:r w:rsidR="00286A66">
        <w:t>with storage</w:t>
      </w:r>
      <w:r w:rsidR="00F34B10">
        <w:t>.</w:t>
      </w:r>
    </w:p>
    <w:p w:rsidR="00F34B10" w:rsidP="005E7044" w:rsidRDefault="00F34B10" w14:paraId="03F4AB6C" w14:textId="78141DEF">
      <w:pPr>
        <w:pStyle w:val="FoF"/>
      </w:pPr>
      <w:r>
        <w:t xml:space="preserve">The </w:t>
      </w:r>
      <w:r w:rsidR="003C1332">
        <w:t>increased</w:t>
      </w:r>
      <w:r>
        <w:t xml:space="preserve"> number of years to payback will alleviate cost shift in the successor tariff.</w:t>
      </w:r>
    </w:p>
    <w:p w:rsidR="00F34B10" w:rsidP="005E7044" w:rsidRDefault="00F34B10" w14:paraId="274F7150" w14:textId="314E8CBA">
      <w:pPr>
        <w:pStyle w:val="FoF"/>
      </w:pPr>
      <w:r>
        <w:t xml:space="preserve">The number of years to payback should reflect all costs of </w:t>
      </w:r>
      <w:r w:rsidR="005A143A">
        <w:t>stand</w:t>
      </w:r>
      <w:r w:rsidR="00827602">
        <w:noBreakHyphen/>
      </w:r>
      <w:r w:rsidR="005A143A">
        <w:t xml:space="preserve">alone </w:t>
      </w:r>
      <w:r>
        <w:t xml:space="preserve">solar </w:t>
      </w:r>
      <w:r w:rsidR="003C1332">
        <w:t xml:space="preserve">and </w:t>
      </w:r>
      <w:r w:rsidR="005A143A">
        <w:t xml:space="preserve">solar </w:t>
      </w:r>
      <w:r w:rsidR="003C1332">
        <w:t xml:space="preserve">paired </w:t>
      </w:r>
      <w:r w:rsidR="005A143A">
        <w:t xml:space="preserve">with </w:t>
      </w:r>
      <w:r w:rsidR="003C1332">
        <w:t xml:space="preserve">storage </w:t>
      </w:r>
      <w:r>
        <w:t>adoption.</w:t>
      </w:r>
    </w:p>
    <w:p w:rsidR="00E74F32" w:rsidP="005E7044" w:rsidRDefault="00E74F32" w14:paraId="5C1F2AD7" w14:textId="0535FE6E">
      <w:pPr>
        <w:pStyle w:val="FoF"/>
      </w:pPr>
      <w:r>
        <w:t xml:space="preserve">The $2.34 per watt value for the cost of solar does not include costs for financing, </w:t>
      </w:r>
      <w:r w:rsidR="005A143A">
        <w:t xml:space="preserve">electrical </w:t>
      </w:r>
      <w:r>
        <w:t>panel upgrades, or installation delays.</w:t>
      </w:r>
    </w:p>
    <w:p w:rsidR="00E74F32" w:rsidP="005E7044" w:rsidRDefault="00E74F32" w14:paraId="31014B17" w14:textId="299CF2E3">
      <w:pPr>
        <w:pStyle w:val="FoF"/>
      </w:pPr>
      <w:r>
        <w:lastRenderedPageBreak/>
        <w:t xml:space="preserve">SEIA/Vote Solar and </w:t>
      </w:r>
      <w:proofErr w:type="spellStart"/>
      <w:r>
        <w:t>CALSSA</w:t>
      </w:r>
      <w:proofErr w:type="spellEnd"/>
      <w:r>
        <w:t xml:space="preserve"> concede that $3.80 per watt is high for the cost of solar.</w:t>
      </w:r>
    </w:p>
    <w:p w:rsidR="00E74F32" w:rsidP="005E7044" w:rsidRDefault="00E74F32" w14:paraId="051EB5BA" w14:textId="00A72572">
      <w:pPr>
        <w:pStyle w:val="FoF"/>
      </w:pPr>
      <w:r>
        <w:t xml:space="preserve">The value of $3.30 per watt for the cost of solar reasonably accounts for </w:t>
      </w:r>
      <w:r w:rsidR="005A143A">
        <w:t xml:space="preserve">electrical </w:t>
      </w:r>
      <w:r>
        <w:t>panel upgrades, delays, and the current inflationary costs.</w:t>
      </w:r>
    </w:p>
    <w:p w:rsidR="004D5864" w:rsidP="005E7044" w:rsidRDefault="004D5864" w14:paraId="370683D7" w14:textId="59487449">
      <w:pPr>
        <w:pStyle w:val="FoF"/>
      </w:pPr>
      <w:r>
        <w:t xml:space="preserve">The cost of solar referenced by GRID </w:t>
      </w:r>
      <w:r w:rsidRPr="00C441E0">
        <w:rPr>
          <w:i/>
          <w:iCs/>
        </w:rPr>
        <w:t>et</w:t>
      </w:r>
      <w:r w:rsidR="00C441E0">
        <w:rPr>
          <w:i/>
          <w:iCs/>
        </w:rPr>
        <w:t> </w:t>
      </w:r>
      <w:r w:rsidRPr="00C441E0">
        <w:rPr>
          <w:i/>
          <w:iCs/>
        </w:rPr>
        <w:t>al.</w:t>
      </w:r>
      <w:r>
        <w:t xml:space="preserve"> and Cal</w:t>
      </w:r>
      <w:r w:rsidR="004257FE">
        <w:t> </w:t>
      </w:r>
      <w:r>
        <w:t xml:space="preserve">Advocates is </w:t>
      </w:r>
      <w:proofErr w:type="spellStart"/>
      <w:r>
        <w:t>GRID’s</w:t>
      </w:r>
      <w:proofErr w:type="spellEnd"/>
      <w:r>
        <w:t xml:space="preserve"> average cost to install DAC</w:t>
      </w:r>
      <w:r w:rsidR="008D2724">
        <w:noBreakHyphen/>
      </w:r>
      <w:r>
        <w:t xml:space="preserve">SASH systems through 2020.  </w:t>
      </w:r>
    </w:p>
    <w:p w:rsidR="004D5864" w:rsidP="005E7044" w:rsidRDefault="004D5864" w14:paraId="406B73A1" w14:textId="126DEB86">
      <w:pPr>
        <w:pStyle w:val="FoF"/>
      </w:pPr>
      <w:r>
        <w:t>DAC</w:t>
      </w:r>
      <w:r w:rsidR="008D2724">
        <w:noBreakHyphen/>
      </w:r>
      <w:r>
        <w:t xml:space="preserve">SASH is not analogous to the </w:t>
      </w:r>
      <w:r w:rsidR="00CE2C8B">
        <w:t>n</w:t>
      </w:r>
      <w:r>
        <w:t xml:space="preserve">et </w:t>
      </w:r>
      <w:r w:rsidR="00CE2C8B">
        <w:t>b</w:t>
      </w:r>
      <w:r>
        <w:t>illing Tariff.</w:t>
      </w:r>
    </w:p>
    <w:p w:rsidR="004D5864" w:rsidP="005E7044" w:rsidRDefault="00E20FF7" w14:paraId="42D3ABCE" w14:textId="442F5FF5">
      <w:pPr>
        <w:pStyle w:val="FoF"/>
      </w:pPr>
      <w:r>
        <w:t>A proceeding in which the DAC</w:t>
      </w:r>
      <w:r w:rsidR="00824B51">
        <w:noBreakHyphen/>
      </w:r>
      <w:r>
        <w:t xml:space="preserve">SASH program is being evaluated would be the more appropriate venue </w:t>
      </w:r>
      <w:r w:rsidR="004D5864">
        <w:t>to consider use of the $4.28 low</w:t>
      </w:r>
      <w:r w:rsidR="008D2724">
        <w:noBreakHyphen/>
      </w:r>
      <w:r w:rsidR="004D5864">
        <w:t>income cost of solar.</w:t>
      </w:r>
    </w:p>
    <w:p w:rsidR="00FC7C78" w:rsidP="005E7044" w:rsidRDefault="004D5864" w14:paraId="3B7140D2" w14:textId="77777777">
      <w:pPr>
        <w:pStyle w:val="FoF"/>
      </w:pPr>
      <w:r>
        <w:t>The $3.30 adopted cost of solar addresses financing.</w:t>
      </w:r>
      <w:r w:rsidR="00265F1B">
        <w:t xml:space="preserve">  </w:t>
      </w:r>
    </w:p>
    <w:p w:rsidR="004D5864" w:rsidP="005E7044" w:rsidRDefault="004D5864" w14:paraId="1CEE4F76" w14:textId="120A97E1">
      <w:pPr>
        <w:pStyle w:val="FoF"/>
      </w:pPr>
      <w:r>
        <w:t>It is not reasonable to adopt the distinct and higher cost of solar of $4.28 for low</w:t>
      </w:r>
      <w:r w:rsidR="008D2724">
        <w:noBreakHyphen/>
      </w:r>
      <w:r>
        <w:t xml:space="preserve">income households.  </w:t>
      </w:r>
    </w:p>
    <w:p w:rsidR="00005025" w:rsidP="005E7044" w:rsidRDefault="00D946BE" w14:paraId="67A665F5" w14:textId="2D0125D4">
      <w:pPr>
        <w:pStyle w:val="FoF"/>
      </w:pPr>
      <w:r>
        <w:t>The White Paper proposed that p</w:t>
      </w:r>
      <w:r w:rsidR="00005025">
        <w:t xml:space="preserve">reservation of a viable market is likely to require a glide path </w:t>
      </w:r>
      <w:r>
        <w:t>including both a gradual rate reform and an external transitional support mechanism designed specifically to enable a reasonable payback period for customers investing in onsite</w:t>
      </w:r>
      <w:r w:rsidR="00DA7FC0">
        <w:t xml:space="preserve"> generation</w:t>
      </w:r>
      <w:r>
        <w:t>.</w:t>
      </w:r>
    </w:p>
    <w:p w:rsidR="00D946BE" w:rsidP="005E7044" w:rsidRDefault="00D946BE" w14:paraId="7A7B44F8" w14:textId="06933A50">
      <w:pPr>
        <w:pStyle w:val="FoF"/>
      </w:pPr>
      <w:r>
        <w:t>Inclusion of a glide path is essential to balance the multiple requirements the tariff should meet.</w:t>
      </w:r>
    </w:p>
    <w:p w:rsidR="007279E5" w:rsidP="005E7044" w:rsidRDefault="007279E5" w14:paraId="5930C1F0" w14:textId="2245F830">
      <w:pPr>
        <w:pStyle w:val="FoF"/>
      </w:pPr>
      <w:r>
        <w:t xml:space="preserve">The magnitude and severity of </w:t>
      </w:r>
      <w:r w:rsidR="00E16081">
        <w:t xml:space="preserve">the NEM 2.0 </w:t>
      </w:r>
      <w:r>
        <w:t>cost shift requires immediate action by the Commission.</w:t>
      </w:r>
    </w:p>
    <w:p w:rsidR="007279E5" w:rsidP="005E7044" w:rsidRDefault="007279E5" w14:paraId="1D22117C" w14:textId="1D5F4E10">
      <w:pPr>
        <w:pStyle w:val="FoF"/>
      </w:pPr>
      <w:r>
        <w:t xml:space="preserve">The glide paths proposed by </w:t>
      </w:r>
      <w:proofErr w:type="spellStart"/>
      <w:r>
        <w:t>CALSSA</w:t>
      </w:r>
      <w:proofErr w:type="spellEnd"/>
      <w:r>
        <w:t xml:space="preserve"> and SEIA/Vote Solar are inadequate</w:t>
      </w:r>
      <w:r w:rsidR="00E74F32">
        <w:t>, with respect to the length of time involved</w:t>
      </w:r>
      <w:r w:rsidR="005A143A">
        <w:t>, for addressing the magnitude and severity of the cost shift</w:t>
      </w:r>
      <w:r>
        <w:t>.</w:t>
      </w:r>
    </w:p>
    <w:p w:rsidR="00E74F32" w:rsidP="005E7044" w:rsidRDefault="00E74F32" w14:paraId="2D862528" w14:textId="289A1A88">
      <w:pPr>
        <w:pStyle w:val="FoF"/>
      </w:pPr>
      <w:r>
        <w:lastRenderedPageBreak/>
        <w:t>A five</w:t>
      </w:r>
      <w:r w:rsidR="00827602">
        <w:noBreakHyphen/>
      </w:r>
      <w:r>
        <w:t>year glide path provide</w:t>
      </w:r>
      <w:r w:rsidR="00640C0B">
        <w:t>s</w:t>
      </w:r>
      <w:r>
        <w:t xml:space="preserve"> a balanced approach that allows for sustainable market growth that does not occur at the undue and burdensome financial expense of nonparticipant ratepayers.</w:t>
      </w:r>
    </w:p>
    <w:p w:rsidR="00E74F32" w:rsidP="005E7044" w:rsidRDefault="00E74F32" w14:paraId="3BC4D4F6" w14:textId="6D104A1D">
      <w:pPr>
        <w:pStyle w:val="FoF"/>
      </w:pPr>
      <w:r>
        <w:t>A five</w:t>
      </w:r>
      <w:r w:rsidR="00827602">
        <w:noBreakHyphen/>
      </w:r>
      <w:r>
        <w:t>year glide path minimize</w:t>
      </w:r>
      <w:r w:rsidR="00197B85">
        <w:t>s</w:t>
      </w:r>
      <w:r>
        <w:t xml:space="preserve"> any cost shift to ensure equity among all customers and allow the industry to transition to one that promotes the adoption of solar system</w:t>
      </w:r>
      <w:r w:rsidR="005A143A">
        <w:t>s</w:t>
      </w:r>
      <w:r>
        <w:t xml:space="preserve"> paired with storage.</w:t>
      </w:r>
    </w:p>
    <w:p w:rsidR="007279E5" w:rsidP="005E7044" w:rsidRDefault="00767087" w14:paraId="1D8CB904" w14:textId="564F3139">
      <w:pPr>
        <w:pStyle w:val="FoF"/>
      </w:pPr>
      <w:r>
        <w:t>The equity issue in this proceeding cannot be addressed solely by reducing the cost shift.</w:t>
      </w:r>
    </w:p>
    <w:p w:rsidR="00767087" w:rsidP="005E7044" w:rsidRDefault="00197B85" w14:paraId="37204D6C" w14:textId="4AB6E692">
      <w:pPr>
        <w:pStyle w:val="FoF"/>
      </w:pPr>
      <w:r>
        <w:t>State policy requires that d</w:t>
      </w:r>
      <w:r w:rsidR="00767087">
        <w:t>isadvantaged communities not continue to be left behind with respect to clean energy options, including electrification and storage.</w:t>
      </w:r>
    </w:p>
    <w:p w:rsidR="00767087" w:rsidP="005E7044" w:rsidRDefault="00673FF4" w14:paraId="5E0B70A4" w14:textId="11585081">
      <w:pPr>
        <w:pStyle w:val="FoF"/>
      </w:pPr>
      <w:r>
        <w:t xml:space="preserve">Continuation of the </w:t>
      </w:r>
      <w:r w:rsidR="00197B85">
        <w:t xml:space="preserve">existing </w:t>
      </w:r>
      <w:r>
        <w:t>cost shift feeds into higher electricity rates, which discourages the adoption of electrification measures</w:t>
      </w:r>
      <w:r w:rsidR="008E2596">
        <w:t>.</w:t>
      </w:r>
    </w:p>
    <w:p w:rsidR="00607727" w:rsidP="005E7044" w:rsidRDefault="00607727" w14:paraId="15B47C7E" w14:textId="0E388BDF">
      <w:pPr>
        <w:pStyle w:val="FoF"/>
      </w:pPr>
      <w:r>
        <w:t xml:space="preserve">The objectives of the Lookback Study were to examine the impacts of the </w:t>
      </w:r>
      <w:r w:rsidR="00602BC5">
        <w:t>NEM 2.0</w:t>
      </w:r>
      <w:r w:rsidR="00135D55">
        <w:t xml:space="preserve"> </w:t>
      </w:r>
      <w:r>
        <w:t xml:space="preserve">tariffs and to compare how different metrics have changed following the transition from </w:t>
      </w:r>
      <w:r w:rsidR="007642E8">
        <w:t xml:space="preserve">the </w:t>
      </w:r>
      <w:r w:rsidR="00602BC5">
        <w:t>NEM 1.0</w:t>
      </w:r>
      <w:r>
        <w:t xml:space="preserve"> </w:t>
      </w:r>
      <w:r w:rsidR="007642E8">
        <w:t xml:space="preserve">tariff </w:t>
      </w:r>
      <w:r>
        <w:t xml:space="preserve">to </w:t>
      </w:r>
      <w:r w:rsidR="007642E8">
        <w:t xml:space="preserve">the </w:t>
      </w:r>
      <w:r w:rsidR="00602BC5">
        <w:t>NEM 2.0</w:t>
      </w:r>
      <w:r w:rsidR="00135D55">
        <w:t xml:space="preserve"> </w:t>
      </w:r>
      <w:r w:rsidR="007642E8">
        <w:t>tariff</w:t>
      </w:r>
      <w:r>
        <w:t>.</w:t>
      </w:r>
    </w:p>
    <w:p w:rsidR="00533B2F" w:rsidP="005E7044" w:rsidRDefault="00607727" w14:paraId="5C887B97" w14:textId="77777777">
      <w:pPr>
        <w:pStyle w:val="FoF"/>
      </w:pPr>
      <w:r>
        <w:t>Electricity consumption patterns are not discussed in the key takeaways of the Lookback Study.</w:t>
      </w:r>
    </w:p>
    <w:p w:rsidR="00607727" w:rsidP="005E7044" w:rsidRDefault="00607727" w14:paraId="487B3BF5" w14:textId="33081E95">
      <w:pPr>
        <w:pStyle w:val="FoF"/>
      </w:pPr>
      <w:r>
        <w:t xml:space="preserve">Energy consumption patterns included in the </w:t>
      </w:r>
      <w:r w:rsidR="005A143A">
        <w:t>Lookback S</w:t>
      </w:r>
      <w:r>
        <w:t>tudy contain insufficient data to make the assertion that the current structure of net energy metering promotes electrification.</w:t>
      </w:r>
    </w:p>
    <w:p w:rsidR="00607727" w:rsidP="005E7044" w:rsidRDefault="00607727" w14:paraId="36FEC706" w14:textId="65B84B6C">
      <w:pPr>
        <w:pStyle w:val="FoF"/>
      </w:pPr>
      <w:r>
        <w:t xml:space="preserve">The Lookback Study contains incomplete data regarding change in </w:t>
      </w:r>
      <w:r w:rsidR="00321AE9">
        <w:t xml:space="preserve">energy </w:t>
      </w:r>
      <w:r>
        <w:t>consumption for SCE</w:t>
      </w:r>
      <w:r w:rsidR="00E16081">
        <w:t>’s</w:t>
      </w:r>
      <w:r>
        <w:t xml:space="preserve"> customers.</w:t>
      </w:r>
    </w:p>
    <w:p w:rsidR="00607727" w:rsidP="005E7044" w:rsidRDefault="00607727" w14:paraId="07414DC0" w14:textId="5FFE0CE8">
      <w:pPr>
        <w:pStyle w:val="FoF"/>
      </w:pPr>
      <w:r>
        <w:t>Without complete data and more in</w:t>
      </w:r>
      <w:r w:rsidR="00827602">
        <w:noBreakHyphen/>
      </w:r>
      <w:r>
        <w:t>depth analysis on electricity consumption patterns, assertions regarding the promotion of electrification cannot be made or relied upon in this decision.</w:t>
      </w:r>
    </w:p>
    <w:p w:rsidR="00BE6D28" w:rsidP="005E7044" w:rsidRDefault="00BE6D28" w14:paraId="3DEA91CC" w14:textId="07A66D4A">
      <w:pPr>
        <w:pStyle w:val="FoF"/>
      </w:pPr>
      <w:r>
        <w:lastRenderedPageBreak/>
        <w:t>The Lookback Study does not indicate that the current structure of net energy metering promotes electrification goals.</w:t>
      </w:r>
    </w:p>
    <w:p w:rsidR="00BE6D28" w:rsidP="005E7044" w:rsidRDefault="00BE6D28" w14:paraId="16BB5619" w14:textId="3A454FA2">
      <w:pPr>
        <w:pStyle w:val="FoF"/>
      </w:pPr>
      <w:r>
        <w:t xml:space="preserve">The Commission has consistently conveyed the message that net energy metering systems should be sized to </w:t>
      </w:r>
      <w:r w:rsidR="00321AE9">
        <w:t xml:space="preserve">a customer’s onsite </w:t>
      </w:r>
      <w:r>
        <w:t>load.</w:t>
      </w:r>
    </w:p>
    <w:p w:rsidR="00BE6D28" w:rsidP="005E7044" w:rsidRDefault="00BE6D28" w14:paraId="08E983C8" w14:textId="15588226">
      <w:pPr>
        <w:pStyle w:val="FoF"/>
      </w:pPr>
      <w:r>
        <w:t>Policy messages regarding sizing net energy metering systems to load were conveyed prior to the contemplation of the electrification policy.</w:t>
      </w:r>
    </w:p>
    <w:p w:rsidR="00BE6D28" w:rsidP="005E7044" w:rsidRDefault="00BE6D28" w14:paraId="7F85AFC3" w14:textId="4723D144">
      <w:pPr>
        <w:pStyle w:val="FoF"/>
      </w:pPr>
      <w:r>
        <w:t>D.06</w:t>
      </w:r>
      <w:r w:rsidR="00827602">
        <w:noBreakHyphen/>
      </w:r>
      <w:r>
        <w:t>01</w:t>
      </w:r>
      <w:r w:rsidR="00827602">
        <w:noBreakHyphen/>
      </w:r>
      <w:r>
        <w:t>024, D.06</w:t>
      </w:r>
      <w:r w:rsidR="00827602">
        <w:noBreakHyphen/>
      </w:r>
      <w:r>
        <w:t>07</w:t>
      </w:r>
      <w:r w:rsidR="00827602">
        <w:noBreakHyphen/>
      </w:r>
      <w:r>
        <w:t>028, D.11</w:t>
      </w:r>
      <w:r w:rsidR="00827602">
        <w:noBreakHyphen/>
      </w:r>
      <w:r>
        <w:t>06</w:t>
      </w:r>
      <w:r w:rsidR="00827602">
        <w:noBreakHyphen/>
      </w:r>
      <w:r>
        <w:t xml:space="preserve">016 and </w:t>
      </w:r>
      <w:r w:rsidR="009A5F1D">
        <w:t>D.14</w:t>
      </w:r>
      <w:r w:rsidR="00827602">
        <w:noBreakHyphen/>
      </w:r>
      <w:r w:rsidR="009A5F1D">
        <w:t>11</w:t>
      </w:r>
      <w:r w:rsidR="00827602">
        <w:noBreakHyphen/>
      </w:r>
      <w:r w:rsidR="009A5F1D">
        <w:t>001 do not address the policy of electrification.</w:t>
      </w:r>
    </w:p>
    <w:p w:rsidR="009A5F1D" w:rsidP="005E7044" w:rsidRDefault="009A5F1D" w14:paraId="0D170840" w14:textId="598A0030">
      <w:pPr>
        <w:pStyle w:val="FoF"/>
      </w:pPr>
      <w:r>
        <w:t xml:space="preserve">SEIA/Vote Solar’s proposal to allow customers to oversize their </w:t>
      </w:r>
      <w:r w:rsidR="00321AE9">
        <w:t xml:space="preserve">systems </w:t>
      </w:r>
      <w:r>
        <w:t>by 5</w:t>
      </w:r>
      <w:r w:rsidR="00C04724">
        <w:t>0 percent</w:t>
      </w:r>
      <w:r>
        <w:t xml:space="preserve">, </w:t>
      </w:r>
      <w:r w:rsidR="003C1332">
        <w:t>with the modification to compensate</w:t>
      </w:r>
      <w:r>
        <w:t xml:space="preserve"> the net surplus generation </w:t>
      </w:r>
      <w:r w:rsidR="00EB28CA">
        <w:t>at the current net surplus compensation rate,</w:t>
      </w:r>
      <w:r>
        <w:t xml:space="preserve"> will promote electrification.</w:t>
      </w:r>
    </w:p>
    <w:p w:rsidR="00EB28CA" w:rsidP="005E7044" w:rsidRDefault="00E74F32" w14:paraId="572D8A81" w14:textId="31E92548">
      <w:pPr>
        <w:pStyle w:val="FoF"/>
      </w:pPr>
      <w:r>
        <w:t>The Commission is not</w:t>
      </w:r>
      <w:r w:rsidR="00EB28CA">
        <w:t xml:space="preserve"> revis</w:t>
      </w:r>
      <w:r>
        <w:t>ing</w:t>
      </w:r>
      <w:r w:rsidR="00EB28CA">
        <w:t xml:space="preserve"> the net surplus compensation rate currently set at the Default Load Aggregation Point price.</w:t>
      </w:r>
    </w:p>
    <w:p w:rsidR="00E74F32" w:rsidP="005E7044" w:rsidRDefault="00E74F32" w14:paraId="4C944F1A" w14:textId="185D0D33">
      <w:pPr>
        <w:pStyle w:val="FoF"/>
      </w:pPr>
      <w:r>
        <w:t>The addition of storage provides greater benefits to both the customer and the grid</w:t>
      </w:r>
      <w:r w:rsidR="00321AE9">
        <w:t xml:space="preserve"> as compared to the benefits of a stand</w:t>
      </w:r>
      <w:r w:rsidR="00827602">
        <w:noBreakHyphen/>
      </w:r>
      <w:r w:rsidR="00321AE9">
        <w:t>alone solar system</w:t>
      </w:r>
      <w:r>
        <w:t>.</w:t>
      </w:r>
    </w:p>
    <w:p w:rsidR="00E221CA" w:rsidP="005E7044" w:rsidRDefault="00E221CA" w14:paraId="5B87272E" w14:textId="7D098674">
      <w:pPr>
        <w:pStyle w:val="FoF"/>
      </w:pPr>
      <w:r>
        <w:t xml:space="preserve">The Lookback Study found that the </w:t>
      </w:r>
      <w:proofErr w:type="spellStart"/>
      <w:r>
        <w:t>TRC</w:t>
      </w:r>
      <w:proofErr w:type="spellEnd"/>
      <w:r>
        <w:t xml:space="preserve"> benefit</w:t>
      </w:r>
      <w:r w:rsidR="00827602">
        <w:noBreakHyphen/>
      </w:r>
      <w:r>
        <w:t>cost ratio is consistently higher for solar photovoltaic systems when compared to solar</w:t>
      </w:r>
      <w:r w:rsidR="00E74F32">
        <w:t xml:space="preserve"> paired </w:t>
      </w:r>
      <w:r w:rsidR="00BB2412">
        <w:t>with storage</w:t>
      </w:r>
      <w:r>
        <w:t xml:space="preserve"> systems.</w:t>
      </w:r>
    </w:p>
    <w:p w:rsidR="00E221CA" w:rsidP="005E7044" w:rsidRDefault="00E221CA" w14:paraId="0021263C" w14:textId="2711E68A">
      <w:pPr>
        <w:pStyle w:val="FoF"/>
      </w:pPr>
      <w:r>
        <w:t>The current cost of storage not only creates cost</w:t>
      </w:r>
      <w:r w:rsidR="00827602">
        <w:noBreakHyphen/>
      </w:r>
      <w:r>
        <w:t>effectiveness concerns, but also presents a barrier to widespread adoption.</w:t>
      </w:r>
    </w:p>
    <w:p w:rsidR="00E221CA" w:rsidP="005E7044" w:rsidRDefault="00E221CA" w14:paraId="42BC974A" w14:textId="2F99C1D7">
      <w:pPr>
        <w:pStyle w:val="FoF"/>
      </w:pPr>
      <w:r>
        <w:t>It is the policy of the Commission to encourage paired storage with the benefits and costs in mind.</w:t>
      </w:r>
    </w:p>
    <w:p w:rsidR="007068D9" w:rsidP="005E7044" w:rsidRDefault="007068D9" w14:paraId="38AE17DE" w14:textId="7DF37944">
      <w:pPr>
        <w:pStyle w:val="FoF"/>
      </w:pPr>
      <w:r>
        <w:t xml:space="preserve">Continuing to base </w:t>
      </w:r>
      <w:r w:rsidR="00F64859">
        <w:t xml:space="preserve">retail </w:t>
      </w:r>
      <w:r>
        <w:t xml:space="preserve">export compensation </w:t>
      </w:r>
      <w:r w:rsidR="00F64859">
        <w:t xml:space="preserve">rates </w:t>
      </w:r>
      <w:r>
        <w:t xml:space="preserve">on retail </w:t>
      </w:r>
      <w:r w:rsidR="00F64859">
        <w:t xml:space="preserve">import </w:t>
      </w:r>
      <w:r>
        <w:t>rates conflicts with the guiding principles.</w:t>
      </w:r>
    </w:p>
    <w:p w:rsidR="007068D9" w:rsidP="005E7044" w:rsidRDefault="007068D9" w14:paraId="6AF02417" w14:textId="19671F76">
      <w:pPr>
        <w:pStyle w:val="FoF"/>
      </w:pPr>
      <w:r>
        <w:t xml:space="preserve">Retail rates </w:t>
      </w:r>
      <w:r w:rsidR="00673FF4">
        <w:t>do not reflect</w:t>
      </w:r>
      <w:r>
        <w:t xml:space="preserve"> the actual costs of the exports or the benefits the exports provide to </w:t>
      </w:r>
      <w:r w:rsidR="009067F1">
        <w:t>all customers</w:t>
      </w:r>
      <w:r>
        <w:t xml:space="preserve"> and the </w:t>
      </w:r>
      <w:r w:rsidR="00755563">
        <w:t>electrical system</w:t>
      </w:r>
      <w:r>
        <w:t>.</w:t>
      </w:r>
    </w:p>
    <w:p w:rsidR="007068D9" w:rsidP="005E7044" w:rsidRDefault="007068D9" w14:paraId="2209BBF5" w14:textId="7E87FC14">
      <w:pPr>
        <w:pStyle w:val="FoF"/>
      </w:pPr>
      <w:r>
        <w:lastRenderedPageBreak/>
        <w:t xml:space="preserve">The Commission needs to know export </w:t>
      </w:r>
      <w:r w:rsidR="00673FF4">
        <w:t xml:space="preserve">actual </w:t>
      </w:r>
      <w:r>
        <w:t xml:space="preserve">costs and benefits in order to ensure they are approximately equal pursuant to </w:t>
      </w:r>
      <w:r w:rsidR="0034029C">
        <w:t>Section 2</w:t>
      </w:r>
      <w:r>
        <w:t>827.1</w:t>
      </w:r>
      <w:r w:rsidR="00BD693E">
        <w:t>.</w:t>
      </w:r>
    </w:p>
    <w:p w:rsidR="00BD693E" w:rsidP="005E7044" w:rsidRDefault="00BD693E" w14:paraId="0EC6C3AD" w14:textId="42B08F20">
      <w:pPr>
        <w:pStyle w:val="FoF"/>
      </w:pPr>
      <w:r>
        <w:t xml:space="preserve">Basing </w:t>
      </w:r>
      <w:r w:rsidR="00F64859">
        <w:t xml:space="preserve">retail </w:t>
      </w:r>
      <w:r>
        <w:t xml:space="preserve">export </w:t>
      </w:r>
      <w:r w:rsidR="00116E9B">
        <w:t xml:space="preserve">compensation </w:t>
      </w:r>
      <w:r>
        <w:t xml:space="preserve">rates on retail </w:t>
      </w:r>
      <w:r w:rsidR="00F64859">
        <w:t xml:space="preserve">import </w:t>
      </w:r>
      <w:r>
        <w:t>rates has resulted in compensation levels 3.8 to 5.4 times higher than the benefits they provide to the electrical systems in the form of avoided costs.</w:t>
      </w:r>
    </w:p>
    <w:p w:rsidR="00AB1AA3" w:rsidP="005E7044" w:rsidRDefault="00AB1AA3" w14:paraId="35835AD7" w14:textId="02208E41">
      <w:pPr>
        <w:pStyle w:val="FoF"/>
      </w:pPr>
      <w:r>
        <w:t>Using avoided cost values instead of the retail rate bring</w:t>
      </w:r>
      <w:r w:rsidR="00E16081">
        <w:t>s</w:t>
      </w:r>
      <w:r>
        <w:t xml:space="preserve"> the cost of the successor tariff closer to its value, which will ensure equity among customers and maximize the value of the resource to all customers and to the </w:t>
      </w:r>
      <w:r w:rsidR="00755563">
        <w:t>electrical system</w:t>
      </w:r>
      <w:r>
        <w:t>.</w:t>
      </w:r>
    </w:p>
    <w:p w:rsidR="00673FF4" w:rsidP="005E7044" w:rsidRDefault="00E16081" w14:paraId="4A0A5C21" w14:textId="3577DBF6">
      <w:pPr>
        <w:pStyle w:val="FoF"/>
      </w:pPr>
      <w:r>
        <w:t>Basing r</w:t>
      </w:r>
      <w:r w:rsidR="00F64859">
        <w:t>etail e</w:t>
      </w:r>
      <w:r w:rsidR="00673FF4">
        <w:t xml:space="preserve">xport compensation </w:t>
      </w:r>
      <w:r w:rsidR="009067F1">
        <w:t>rates</w:t>
      </w:r>
      <w:r w:rsidR="00673FF4">
        <w:t xml:space="preserve"> on Avoided Cost Calculator values send</w:t>
      </w:r>
      <w:r w:rsidR="004B3505">
        <w:t>s</w:t>
      </w:r>
      <w:r w:rsidR="00673FF4">
        <w:t xml:space="preserve"> more accurate price signals and promotes paired storage.</w:t>
      </w:r>
    </w:p>
    <w:p w:rsidR="00AB1AA3" w:rsidP="005E7044" w:rsidRDefault="00AB1AA3" w14:paraId="6E7993F9" w14:textId="6E51429C">
      <w:pPr>
        <w:pStyle w:val="FoF"/>
      </w:pPr>
      <w:r>
        <w:t>Ensuring the growth of customer</w:t>
      </w:r>
      <w:r w:rsidR="00827602">
        <w:noBreakHyphen/>
      </w:r>
      <w:r w:rsidR="009067F1">
        <w:t>sited</w:t>
      </w:r>
      <w:r>
        <w:t xml:space="preserve"> </w:t>
      </w:r>
      <w:r w:rsidR="00755563">
        <w:t xml:space="preserve">renewable </w:t>
      </w:r>
      <w:r>
        <w:t xml:space="preserve">generation is not the Commission’s </w:t>
      </w:r>
      <w:r w:rsidR="004E6D86">
        <w:t xml:space="preserve">only </w:t>
      </w:r>
      <w:r>
        <w:t>concern.</w:t>
      </w:r>
    </w:p>
    <w:p w:rsidR="004E6D86" w:rsidP="005E7044" w:rsidRDefault="004E6D86" w14:paraId="63D81222" w14:textId="6FBE2D74">
      <w:pPr>
        <w:pStyle w:val="FoF"/>
      </w:pPr>
      <w:r>
        <w:t>Using the Avoided Cost Calculator approach will ensure the costs and benefits are approximately equal, as instructed by the Legislature.</w:t>
      </w:r>
    </w:p>
    <w:p w:rsidR="004E6D86" w:rsidP="005E7044" w:rsidRDefault="004E6D86" w14:paraId="6DE2B905" w14:textId="50C56FD0">
      <w:pPr>
        <w:pStyle w:val="FoF"/>
      </w:pPr>
      <w:r>
        <w:t>Using the Avoided Cost Calculator approach lead</w:t>
      </w:r>
      <w:r w:rsidR="004633B9">
        <w:t>s</w:t>
      </w:r>
      <w:r>
        <w:t xml:space="preserve"> to positive outcomes for customers and nonparticipating ratepayers.</w:t>
      </w:r>
    </w:p>
    <w:p w:rsidR="004E6D86" w:rsidP="005E7044" w:rsidRDefault="004E6D86" w14:paraId="4C84DAE2" w14:textId="2867709A">
      <w:pPr>
        <w:pStyle w:val="FoF"/>
      </w:pPr>
      <w:r>
        <w:t xml:space="preserve">With the exception of the 2020 version of the Avoided Cost Calculator, the calculator </w:t>
      </w:r>
      <w:r w:rsidR="00901372">
        <w:t xml:space="preserve">has </w:t>
      </w:r>
      <w:r>
        <w:t>consistent</w:t>
      </w:r>
      <w:r w:rsidR="005478F3">
        <w:t>ly reflect</w:t>
      </w:r>
      <w:r w:rsidR="00901372">
        <w:t xml:space="preserve">ed </w:t>
      </w:r>
      <w:r w:rsidR="005478F3">
        <w:t xml:space="preserve">the value of exported energy </w:t>
      </w:r>
      <w:r>
        <w:t>from year to year.</w:t>
      </w:r>
    </w:p>
    <w:p w:rsidR="004E6D86" w:rsidP="005E7044" w:rsidRDefault="005478F3" w14:paraId="2FB9466C" w14:textId="182598C5">
      <w:pPr>
        <w:pStyle w:val="FoF"/>
      </w:pPr>
      <w:r>
        <w:t xml:space="preserve">Using </w:t>
      </w:r>
      <w:r w:rsidR="004E6D86">
        <w:t xml:space="preserve">Avoided Cost Calculator values </w:t>
      </w:r>
      <w:r>
        <w:t xml:space="preserve">to set </w:t>
      </w:r>
      <w:r w:rsidR="00F64859">
        <w:t xml:space="preserve">retail </w:t>
      </w:r>
      <w:r>
        <w:t xml:space="preserve">export </w:t>
      </w:r>
      <w:r w:rsidR="00116E9B">
        <w:t xml:space="preserve">compensation </w:t>
      </w:r>
      <w:r>
        <w:t xml:space="preserve">rates </w:t>
      </w:r>
      <w:r w:rsidR="004E6D86">
        <w:t xml:space="preserve">will ensure </w:t>
      </w:r>
      <w:r w:rsidR="009067F1">
        <w:t xml:space="preserve">the </w:t>
      </w:r>
      <w:r w:rsidR="00F64859">
        <w:t xml:space="preserve">retail </w:t>
      </w:r>
      <w:r w:rsidR="004E6D86">
        <w:t xml:space="preserve">export compensation </w:t>
      </w:r>
      <w:r w:rsidR="009067F1">
        <w:t xml:space="preserve">rate </w:t>
      </w:r>
      <w:r w:rsidR="004E6D86">
        <w:t>is based on the benefits provide</w:t>
      </w:r>
      <w:r w:rsidR="009067F1">
        <w:t>d</w:t>
      </w:r>
      <w:r w:rsidR="004E6D86">
        <w:t xml:space="preserve"> to the </w:t>
      </w:r>
      <w:r w:rsidR="009067F1">
        <w:t xml:space="preserve">electric grid </w:t>
      </w:r>
      <w:r w:rsidR="004E6D86">
        <w:t>and will reduce the cost shift.</w:t>
      </w:r>
    </w:p>
    <w:p w:rsidR="00C67C11" w:rsidP="005E7044" w:rsidRDefault="00C67C11" w14:paraId="7DDD7172" w14:textId="33967F1D">
      <w:pPr>
        <w:pStyle w:val="FoF"/>
      </w:pPr>
      <w:r>
        <w:t xml:space="preserve">The Commission can use other elements and tools </w:t>
      </w:r>
      <w:r w:rsidR="00755563">
        <w:t>besides the stepped</w:t>
      </w:r>
      <w:r w:rsidR="00827602">
        <w:noBreakHyphen/>
      </w:r>
      <w:r w:rsidR="00755563">
        <w:t xml:space="preserve">down retail rate </w:t>
      </w:r>
      <w:r>
        <w:t>to transition to the successor tariff in a measured fashion.</w:t>
      </w:r>
    </w:p>
    <w:p w:rsidR="00C67C11" w:rsidP="005E7044" w:rsidRDefault="00C67C11" w14:paraId="2B96768E" w14:textId="7BBD5A2E">
      <w:pPr>
        <w:pStyle w:val="FoF"/>
      </w:pPr>
      <w:r>
        <w:lastRenderedPageBreak/>
        <w:t xml:space="preserve">There are multiple </w:t>
      </w:r>
      <w:r w:rsidR="009067F1">
        <w:t xml:space="preserve">elements </w:t>
      </w:r>
      <w:r>
        <w:t xml:space="preserve">to the </w:t>
      </w:r>
      <w:r w:rsidR="00F64859">
        <w:t xml:space="preserve">retail </w:t>
      </w:r>
      <w:r>
        <w:t>export compensation rate, which can lead to confusion for customers.</w:t>
      </w:r>
    </w:p>
    <w:p w:rsidR="0073217E" w:rsidP="0073217E" w:rsidRDefault="0073217E" w14:paraId="009136C6" w14:textId="77777777">
      <w:pPr>
        <w:pStyle w:val="FoF"/>
      </w:pPr>
      <w:r>
        <w:rPr>
          <w:rFonts w:eastAsia="Times New Roman"/>
          <w:color w:val="000000"/>
          <w:szCs w:val="26"/>
        </w:rPr>
        <w:t>The use of r</w:t>
      </w:r>
      <w:r>
        <w:t>etail rates as a foundation for compensating customers for exporting electricity to the grid has no connection to the actual costs of the exports or the benefits the exported electricity provide to customers and the grid.</w:t>
      </w:r>
    </w:p>
    <w:p w:rsidRPr="0073217E" w:rsidR="0073217E" w:rsidP="00265F1B" w:rsidRDefault="0073217E" w14:paraId="256B39A9" w14:textId="4F51E69E">
      <w:pPr>
        <w:pStyle w:val="FoF"/>
      </w:pPr>
      <w:r w:rsidRPr="00265F1B">
        <w:rPr>
          <w:rFonts w:eastAsia="Times New Roman"/>
          <w:color w:val="000000"/>
          <w:szCs w:val="26"/>
        </w:rPr>
        <w:t xml:space="preserve">Avoided Cost Calculator values provide the true value of the electricity exported to the grid.  </w:t>
      </w:r>
    </w:p>
    <w:p w:rsidRPr="00265F1B" w:rsidR="001C7D02" w:rsidP="0073217E" w:rsidRDefault="001C7D02" w14:paraId="656557FF" w14:textId="30D85882">
      <w:pPr>
        <w:pStyle w:val="FoF"/>
      </w:pPr>
      <w:r>
        <w:rPr>
          <w:rFonts w:eastAsia="Times New Roman"/>
          <w:color w:val="000000"/>
          <w:szCs w:val="26"/>
        </w:rPr>
        <w:t>T</w:t>
      </w:r>
      <w:r w:rsidR="0073217E">
        <w:rPr>
          <w:rFonts w:eastAsia="Times New Roman"/>
          <w:color w:val="000000"/>
          <w:szCs w:val="26"/>
        </w:rPr>
        <w:t xml:space="preserve">he Commission </w:t>
      </w:r>
      <w:r w:rsidR="004D5864">
        <w:rPr>
          <w:rFonts w:eastAsia="Times New Roman"/>
          <w:color w:val="000000"/>
          <w:szCs w:val="26"/>
        </w:rPr>
        <w:t>should not</w:t>
      </w:r>
      <w:r w:rsidR="0073217E">
        <w:rPr>
          <w:rFonts w:eastAsia="Times New Roman"/>
          <w:color w:val="000000"/>
          <w:szCs w:val="26"/>
        </w:rPr>
        <w:t xml:space="preserve"> treat one technology differently from another</w:t>
      </w:r>
      <w:r w:rsidR="004D5864">
        <w:rPr>
          <w:rFonts w:eastAsia="Times New Roman"/>
          <w:color w:val="000000"/>
          <w:szCs w:val="26"/>
        </w:rPr>
        <w:t xml:space="preserve"> without clear identified benefits</w:t>
      </w:r>
      <w:r>
        <w:rPr>
          <w:rFonts w:eastAsia="Times New Roman"/>
          <w:color w:val="000000"/>
          <w:szCs w:val="26"/>
        </w:rPr>
        <w:t>.</w:t>
      </w:r>
    </w:p>
    <w:p w:rsidRPr="00265F1B" w:rsidR="001C7D02" w:rsidP="0073217E" w:rsidRDefault="0073217E" w14:paraId="4D8EAA71" w14:textId="77777777">
      <w:pPr>
        <w:pStyle w:val="FoF"/>
      </w:pPr>
      <w:r>
        <w:rPr>
          <w:rFonts w:eastAsia="Times New Roman"/>
          <w:color w:val="000000"/>
          <w:szCs w:val="26"/>
        </w:rPr>
        <w:t xml:space="preserve">It the Commission’s responsibility to balance the multiple and, sometimes, conflicting requirements of the statute.  </w:t>
      </w:r>
    </w:p>
    <w:p w:rsidRPr="00265F1B" w:rsidR="001C7D02" w:rsidP="0073217E" w:rsidRDefault="001C7D02" w14:paraId="334E1043" w14:textId="77777777">
      <w:pPr>
        <w:pStyle w:val="FoF"/>
      </w:pPr>
      <w:r>
        <w:rPr>
          <w:rFonts w:eastAsia="Times New Roman"/>
          <w:color w:val="000000"/>
          <w:szCs w:val="26"/>
        </w:rPr>
        <w:t>B</w:t>
      </w:r>
      <w:r w:rsidR="0073217E">
        <w:rPr>
          <w:rFonts w:eastAsia="Times New Roman"/>
          <w:color w:val="000000"/>
          <w:szCs w:val="26"/>
        </w:rPr>
        <w:t xml:space="preserve">asing compensation for electricity exported to the grid on retail rates has no connection to the true value the exports provide to the grid.  </w:t>
      </w:r>
    </w:p>
    <w:p w:rsidR="0073217E" w:rsidP="0073217E" w:rsidRDefault="001C7D02" w14:paraId="44BA6C6D" w14:textId="54FDC833">
      <w:pPr>
        <w:pStyle w:val="FoF"/>
      </w:pPr>
      <w:r>
        <w:rPr>
          <w:rFonts w:eastAsia="Times New Roman"/>
          <w:color w:val="000000"/>
          <w:szCs w:val="26"/>
        </w:rPr>
        <w:t>C</w:t>
      </w:r>
      <w:r w:rsidR="0073217E">
        <w:rPr>
          <w:rFonts w:eastAsia="Times New Roman"/>
          <w:color w:val="000000"/>
          <w:szCs w:val="26"/>
        </w:rPr>
        <w:t>ustomers relying on wind power to provide exports should not be allowed to continue using the inaccurate method of basing export compensation on the retail rate.</w:t>
      </w:r>
    </w:p>
    <w:p w:rsidR="0058770B" w:rsidP="005E7044" w:rsidRDefault="005478F3" w14:paraId="423F92E1" w14:textId="6BBD086D">
      <w:pPr>
        <w:pStyle w:val="FoF"/>
      </w:pPr>
      <w:r>
        <w:t xml:space="preserve">Requiring successor tariff customers to take service on </w:t>
      </w:r>
      <w:r w:rsidR="004044C5">
        <w:t>retail import rates with high differentials between winter off</w:t>
      </w:r>
      <w:r w:rsidR="00827602">
        <w:noBreakHyphen/>
      </w:r>
      <w:r w:rsidR="004044C5">
        <w:t>peak and summer on</w:t>
      </w:r>
      <w:r w:rsidR="00827602">
        <w:noBreakHyphen/>
      </w:r>
      <w:r w:rsidR="004044C5">
        <w:t xml:space="preserve">peak </w:t>
      </w:r>
      <w:r w:rsidR="0058770B">
        <w:t>rates will improve the pric</w:t>
      </w:r>
      <w:r w:rsidR="00A063C2">
        <w:t>e</w:t>
      </w:r>
      <w:r w:rsidR="0058770B">
        <w:t xml:space="preserve"> signal to </w:t>
      </w:r>
      <w:r>
        <w:t xml:space="preserve">these </w:t>
      </w:r>
      <w:r w:rsidR="0058770B">
        <w:t>customers.</w:t>
      </w:r>
    </w:p>
    <w:p w:rsidR="0058770B" w:rsidP="005E7044" w:rsidRDefault="005478F3" w14:paraId="2BD66221" w14:textId="02BA8974">
      <w:pPr>
        <w:pStyle w:val="FoF"/>
      </w:pPr>
      <w:r>
        <w:t>Requiring successor tariff customers to take service on h</w:t>
      </w:r>
      <w:r w:rsidR="0058770B">
        <w:t>igh</w:t>
      </w:r>
      <w:r w:rsidR="00353C90">
        <w:t xml:space="preserve">ly </w:t>
      </w:r>
      <w:r w:rsidR="0058770B">
        <w:t>differentiated time</w:t>
      </w:r>
      <w:r w:rsidR="00827602">
        <w:noBreakHyphen/>
      </w:r>
      <w:r w:rsidR="0058770B">
        <w:t>of</w:t>
      </w:r>
      <w:r w:rsidR="00827602">
        <w:noBreakHyphen/>
      </w:r>
      <w:r w:rsidR="0058770B">
        <w:t>use rates will incentivize customers to divert energy usage to lower</w:t>
      </w:r>
      <w:r w:rsidR="00827602">
        <w:noBreakHyphen/>
      </w:r>
      <w:r w:rsidR="0058770B">
        <w:t xml:space="preserve">priced hours when the solar system is producing </w:t>
      </w:r>
      <w:r w:rsidR="004044C5">
        <w:t xml:space="preserve">energy </w:t>
      </w:r>
      <w:r w:rsidR="0058770B">
        <w:t xml:space="preserve">or </w:t>
      </w:r>
      <w:r w:rsidR="004044C5">
        <w:t xml:space="preserve">to </w:t>
      </w:r>
      <w:r w:rsidR="0058770B">
        <w:t>deploy storage</w:t>
      </w:r>
      <w:r w:rsidR="00EF70B6">
        <w:t>.</w:t>
      </w:r>
    </w:p>
    <w:p w:rsidR="0058770B" w:rsidP="005E7044" w:rsidRDefault="00EF70B6" w14:paraId="0028F700" w14:textId="0ED872A5">
      <w:pPr>
        <w:pStyle w:val="FoF"/>
      </w:pPr>
      <w:r>
        <w:t>High</w:t>
      </w:r>
      <w:r w:rsidR="00353C90">
        <w:t xml:space="preserve">ly </w:t>
      </w:r>
      <w:r>
        <w:t>differentiated time</w:t>
      </w:r>
      <w:r w:rsidR="00827602">
        <w:noBreakHyphen/>
      </w:r>
      <w:r>
        <w:t>of</w:t>
      </w:r>
      <w:r w:rsidR="00827602">
        <w:noBreakHyphen/>
      </w:r>
      <w:r>
        <w:t>use rates are closer to the energy prices required to run the grid.</w:t>
      </w:r>
    </w:p>
    <w:p w:rsidR="00EF70B6" w:rsidP="005E7044" w:rsidRDefault="005478F3" w14:paraId="029D443A" w14:textId="73351340">
      <w:pPr>
        <w:pStyle w:val="FoF"/>
      </w:pPr>
      <w:r>
        <w:lastRenderedPageBreak/>
        <w:t>Requiring successor tariff customers to take service on h</w:t>
      </w:r>
      <w:r w:rsidR="00EF70B6">
        <w:t>igh</w:t>
      </w:r>
      <w:r w:rsidR="00353C90">
        <w:t xml:space="preserve">ly </w:t>
      </w:r>
      <w:r w:rsidR="00EF70B6">
        <w:t>differentiated time</w:t>
      </w:r>
      <w:r w:rsidR="00827602">
        <w:noBreakHyphen/>
      </w:r>
      <w:r w:rsidR="00EF70B6">
        <w:t>of</w:t>
      </w:r>
      <w:r w:rsidR="00827602">
        <w:noBreakHyphen/>
      </w:r>
      <w:r w:rsidR="00EF70B6">
        <w:t>use rates maximizes the value of the generation to all customers and to the electrical system and ensures equity among all customers.</w:t>
      </w:r>
    </w:p>
    <w:p w:rsidR="00EF70B6" w:rsidP="005E7044" w:rsidRDefault="00EF70B6" w14:paraId="42315345" w14:textId="57282EE4">
      <w:pPr>
        <w:pStyle w:val="FoF"/>
      </w:pPr>
      <w:r>
        <w:t>High</w:t>
      </w:r>
      <w:r w:rsidR="00353C90">
        <w:t xml:space="preserve">ly </w:t>
      </w:r>
      <w:r>
        <w:t>differentiated time</w:t>
      </w:r>
      <w:r w:rsidR="00827602">
        <w:noBreakHyphen/>
      </w:r>
      <w:r>
        <w:t>of</w:t>
      </w:r>
      <w:r w:rsidR="00827602">
        <w:noBreakHyphen/>
      </w:r>
      <w:r>
        <w:t>use rates encourage electrification and help California reach its greenhouse gas emissions reduction goals.</w:t>
      </w:r>
    </w:p>
    <w:p w:rsidR="0058770B" w:rsidP="005E7044" w:rsidRDefault="0058770B" w14:paraId="48F5DB4E" w14:textId="37CB13B0">
      <w:pPr>
        <w:pStyle w:val="FoF"/>
      </w:pPr>
      <w:r>
        <w:t>Requiring successor tariff customers to take service on high</w:t>
      </w:r>
      <w:r w:rsidR="00A063C2">
        <w:t xml:space="preserve">ly </w:t>
      </w:r>
      <w:r>
        <w:t>differentiated time</w:t>
      </w:r>
      <w:r w:rsidR="00827602">
        <w:noBreakHyphen/>
      </w:r>
      <w:r>
        <w:t>of</w:t>
      </w:r>
      <w:r w:rsidR="00827602">
        <w:noBreakHyphen/>
      </w:r>
      <w:r>
        <w:t>use rates will meet several guiding principles in this proceeding.</w:t>
      </w:r>
    </w:p>
    <w:p w:rsidR="00353C90" w:rsidP="005E7044" w:rsidRDefault="00CA4DE1" w14:paraId="512F3A53" w14:textId="0F100F5C">
      <w:pPr>
        <w:pStyle w:val="FoF"/>
      </w:pPr>
      <w:r>
        <w:t>No evidence has been provided indicating that c</w:t>
      </w:r>
      <w:r w:rsidR="0073418D">
        <w:t>reating a high</w:t>
      </w:r>
      <w:r w:rsidR="00353C90">
        <w:t xml:space="preserve">ly </w:t>
      </w:r>
      <w:r w:rsidR="0073418D">
        <w:t>differentiated time</w:t>
      </w:r>
      <w:r w:rsidR="00827602">
        <w:noBreakHyphen/>
      </w:r>
      <w:r w:rsidR="0073418D">
        <w:t>of</w:t>
      </w:r>
      <w:r w:rsidR="00827602">
        <w:noBreakHyphen/>
      </w:r>
      <w:r w:rsidR="0073418D">
        <w:t>use rate that is specific to net energy metering customers could discourage the adoption of multiple distributed energy resources.</w:t>
      </w:r>
    </w:p>
    <w:p w:rsidR="00EF70B6" w:rsidP="005E7044" w:rsidRDefault="0073418D" w14:paraId="5015541D" w14:textId="6B91AB11">
      <w:pPr>
        <w:pStyle w:val="FoF"/>
      </w:pPr>
      <w:r>
        <w:t xml:space="preserve">The current design of retail rates no longer provides the ability to accurately calculate a customer’s </w:t>
      </w:r>
      <w:r w:rsidR="00353C90">
        <w:t>energy and grid usage, with respect to net energy metering customers.</w:t>
      </w:r>
    </w:p>
    <w:p w:rsidR="00611763" w:rsidP="005E7044" w:rsidRDefault="00611763" w14:paraId="1B83C878" w14:textId="6042D8E5">
      <w:pPr>
        <w:pStyle w:val="FoF"/>
      </w:pPr>
      <w:r>
        <w:t>Net energy metering customers intermittently reduce usage depending upon the performance of the solar system.</w:t>
      </w:r>
    </w:p>
    <w:p w:rsidR="00611763" w:rsidP="005E7044" w:rsidRDefault="00611763" w14:paraId="7F87BB14" w14:textId="73D12462">
      <w:pPr>
        <w:pStyle w:val="FoF"/>
      </w:pPr>
      <w:r>
        <w:t>The grid must always be prepared for the intermittent decrease and increase of a customer’s usage.</w:t>
      </w:r>
    </w:p>
    <w:p w:rsidR="00611763" w:rsidP="005E7044" w:rsidRDefault="00611763" w14:paraId="396DAF93" w14:textId="63EC4732">
      <w:pPr>
        <w:pStyle w:val="FoF"/>
      </w:pPr>
      <w:r>
        <w:t>Net energy metering customers cause costs even when not directly importing energy from the grid.</w:t>
      </w:r>
    </w:p>
    <w:p w:rsidR="00A063C2" w:rsidP="005E7044" w:rsidRDefault="00A063C2" w14:paraId="4E5CA41C" w14:textId="4518575E">
      <w:pPr>
        <w:pStyle w:val="FoF"/>
      </w:pPr>
      <w:r>
        <w:t>Retail rates were created before the emergenc</w:t>
      </w:r>
      <w:r w:rsidR="005478F3">
        <w:t>e</w:t>
      </w:r>
      <w:r>
        <w:t xml:space="preserve"> of the two</w:t>
      </w:r>
      <w:r w:rsidR="00827602">
        <w:noBreakHyphen/>
      </w:r>
      <w:r>
        <w:t>way street of imports and exports.</w:t>
      </w:r>
    </w:p>
    <w:p w:rsidR="009067F1" w:rsidP="005E7044" w:rsidRDefault="009067F1" w14:paraId="38912679" w14:textId="1FD4C17A">
      <w:pPr>
        <w:pStyle w:val="FoF"/>
      </w:pPr>
      <w:r>
        <w:t xml:space="preserve">The Commission initiated </w:t>
      </w:r>
      <w:r w:rsidR="00A27A49">
        <w:t>Rulemaking 2</w:t>
      </w:r>
      <w:r>
        <w:t>2</w:t>
      </w:r>
      <w:r w:rsidR="00827602">
        <w:noBreakHyphen/>
      </w:r>
      <w:r>
        <w:t>07</w:t>
      </w:r>
      <w:r w:rsidR="00827602">
        <w:noBreakHyphen/>
      </w:r>
      <w:r>
        <w:t xml:space="preserve">005 to establish policies and modify electric rates to, among other </w:t>
      </w:r>
      <w:r w:rsidR="004044C5">
        <w:t>objectives</w:t>
      </w:r>
      <w:r>
        <w:t>, enhance reliability and improve affordability and equity of bills.</w:t>
      </w:r>
    </w:p>
    <w:p w:rsidR="009067F1" w:rsidP="005E7044" w:rsidRDefault="009067F1" w14:paraId="758BC837" w14:textId="6F2D5865">
      <w:pPr>
        <w:pStyle w:val="FoF"/>
      </w:pPr>
      <w:r>
        <w:lastRenderedPageBreak/>
        <w:t>In R.22</w:t>
      </w:r>
      <w:r w:rsidR="00827602">
        <w:noBreakHyphen/>
      </w:r>
      <w:r>
        <w:t>07</w:t>
      </w:r>
      <w:r w:rsidR="00827602">
        <w:noBreakHyphen/>
      </w:r>
      <w:r>
        <w:t>005, the Commission will consider the reformation of fixed charges.</w:t>
      </w:r>
    </w:p>
    <w:p w:rsidR="009067F1" w:rsidP="005E7044" w:rsidRDefault="009067F1" w14:paraId="6294D3C6" w14:textId="705947B8">
      <w:pPr>
        <w:pStyle w:val="FoF"/>
      </w:pPr>
      <w:r>
        <w:t>R.22</w:t>
      </w:r>
      <w:r w:rsidR="00827602">
        <w:noBreakHyphen/>
      </w:r>
      <w:r>
        <w:t>07</w:t>
      </w:r>
      <w:r w:rsidR="00827602">
        <w:noBreakHyphen/>
      </w:r>
      <w:r>
        <w:t>005 is the appropriate regulatory venue to consider the issue of accurately calculating a customer’s energy and grid usage and ensuring the grid is prepared for intermittent decrease and increase of usage.</w:t>
      </w:r>
    </w:p>
    <w:p w:rsidR="00673FF4" w:rsidP="005E7044" w:rsidRDefault="00673FF4" w14:paraId="3F797DDF" w14:textId="76A84F29">
      <w:pPr>
        <w:pStyle w:val="FoF"/>
      </w:pPr>
      <w:r>
        <w:t>D.16</w:t>
      </w:r>
      <w:r w:rsidR="00827602">
        <w:noBreakHyphen/>
      </w:r>
      <w:r>
        <w:t>01</w:t>
      </w:r>
      <w:r w:rsidR="00827602">
        <w:noBreakHyphen/>
      </w:r>
      <w:r>
        <w:t>044 determined the</w:t>
      </w:r>
      <w:r w:rsidR="009067F1">
        <w:t>re are four</w:t>
      </w:r>
      <w:r>
        <w:t xml:space="preserve"> non</w:t>
      </w:r>
      <w:r w:rsidR="00827602">
        <w:noBreakHyphen/>
      </w:r>
      <w:proofErr w:type="spellStart"/>
      <w:r>
        <w:t>bypassable</w:t>
      </w:r>
      <w:proofErr w:type="spellEnd"/>
      <w:r>
        <w:t xml:space="preserve"> charges </w:t>
      </w:r>
      <w:r w:rsidR="009067F1">
        <w:t>that</w:t>
      </w:r>
      <w:r>
        <w:t xml:space="preserve"> </w:t>
      </w:r>
      <w:r w:rsidR="00602BC5">
        <w:t>NEM 2.0</w:t>
      </w:r>
      <w:r w:rsidR="00135D55">
        <w:t xml:space="preserve"> </w:t>
      </w:r>
      <w:r>
        <w:t xml:space="preserve">customers </w:t>
      </w:r>
      <w:r w:rsidR="009067F1">
        <w:t xml:space="preserve">could not bypass by applying bill credits from exports; these charges </w:t>
      </w:r>
      <w:r>
        <w:t>are the public purpose program charge, nuclear decommissioning</w:t>
      </w:r>
      <w:r w:rsidR="004044C5">
        <w:t xml:space="preserve"> charge</w:t>
      </w:r>
      <w:r>
        <w:t xml:space="preserve">, </w:t>
      </w:r>
      <w:r w:rsidR="001A3951">
        <w:t xml:space="preserve">competition transition charge, and the </w:t>
      </w:r>
      <w:r w:rsidR="009067F1">
        <w:t xml:space="preserve">Wildfire </w:t>
      </w:r>
      <w:r w:rsidR="004044C5">
        <w:t xml:space="preserve">Fund </w:t>
      </w:r>
      <w:r w:rsidR="00130485">
        <w:t>Non</w:t>
      </w:r>
      <w:r w:rsidR="00827602">
        <w:noBreakHyphen/>
      </w:r>
      <w:proofErr w:type="spellStart"/>
      <w:r w:rsidR="00130485">
        <w:t>Bypassable</w:t>
      </w:r>
      <w:proofErr w:type="spellEnd"/>
      <w:r w:rsidR="00130485">
        <w:t xml:space="preserve"> C</w:t>
      </w:r>
      <w:r w:rsidR="009067F1">
        <w:t>harge</w:t>
      </w:r>
      <w:r w:rsidR="001A3951">
        <w:t>.</w:t>
      </w:r>
    </w:p>
    <w:p w:rsidR="001A3951" w:rsidP="005E7044" w:rsidRDefault="001A3951" w14:paraId="2B9E479B" w14:textId="43590405">
      <w:pPr>
        <w:pStyle w:val="FoF"/>
      </w:pPr>
      <w:r>
        <w:t>Parties provided no evidence regarding why the list of non</w:t>
      </w:r>
      <w:r w:rsidR="00827602">
        <w:noBreakHyphen/>
      </w:r>
      <w:proofErr w:type="spellStart"/>
      <w:r>
        <w:t>bypassable</w:t>
      </w:r>
      <w:proofErr w:type="spellEnd"/>
      <w:r>
        <w:t xml:space="preserve"> charges adopted in D.16</w:t>
      </w:r>
      <w:r w:rsidR="00827602">
        <w:noBreakHyphen/>
      </w:r>
      <w:r>
        <w:t>01</w:t>
      </w:r>
      <w:r w:rsidR="00827602">
        <w:noBreakHyphen/>
      </w:r>
      <w:r>
        <w:t>044 should be expanded.</w:t>
      </w:r>
    </w:p>
    <w:p w:rsidR="00533B2F" w:rsidP="005E7044" w:rsidRDefault="005B0ABA" w14:paraId="4BA72273" w14:textId="77777777">
      <w:pPr>
        <w:pStyle w:val="FoF"/>
      </w:pPr>
      <w:r>
        <w:t>The ACC Plus is directly linked to the adopted retail export compensation value.</w:t>
      </w:r>
    </w:p>
    <w:p w:rsidR="00533B2F" w:rsidP="005E7044" w:rsidRDefault="005B0ABA" w14:paraId="140B1781" w14:textId="071529AF">
      <w:pPr>
        <w:pStyle w:val="FoF"/>
      </w:pPr>
      <w:r>
        <w:t xml:space="preserve">The Market Transition Credit has no direct linkage to either the current export compensation structure of </w:t>
      </w:r>
      <w:r w:rsidR="00602BC5">
        <w:t>NEM 2.0</w:t>
      </w:r>
      <w:r w:rsidR="00135D55">
        <w:t xml:space="preserve"> </w:t>
      </w:r>
      <w:r>
        <w:t>or the future structure of Avoided Cost Calculator</w:t>
      </w:r>
      <w:r w:rsidR="00827602">
        <w:noBreakHyphen/>
      </w:r>
      <w:r>
        <w:t>based values.</w:t>
      </w:r>
    </w:p>
    <w:p w:rsidR="005B0ABA" w:rsidP="005E7044" w:rsidRDefault="005B0ABA" w14:paraId="7A1C1771" w14:textId="04CD33B3">
      <w:pPr>
        <w:pStyle w:val="FoF"/>
      </w:pPr>
      <w:r>
        <w:t>While the retail rate step</w:t>
      </w:r>
      <w:r w:rsidR="00827602">
        <w:noBreakHyphen/>
      </w:r>
      <w:r>
        <w:t xml:space="preserve">down approach is linked to the current compensation structure, the adopted glide path will be provided to successor tariff customers who have never received </w:t>
      </w:r>
      <w:r w:rsidR="00F64859">
        <w:t xml:space="preserve">retail </w:t>
      </w:r>
      <w:r>
        <w:t xml:space="preserve">export compensation </w:t>
      </w:r>
      <w:r w:rsidR="00F810B6">
        <w:t xml:space="preserve">rates </w:t>
      </w:r>
      <w:r>
        <w:t xml:space="preserve">based on the retail </w:t>
      </w:r>
      <w:r w:rsidR="00F64859">
        <w:t xml:space="preserve">import </w:t>
      </w:r>
      <w:r>
        <w:t>rate.</w:t>
      </w:r>
    </w:p>
    <w:p w:rsidR="005B0ABA" w:rsidP="005E7044" w:rsidRDefault="005B0ABA" w14:paraId="344F1F02" w14:textId="19513FE1">
      <w:pPr>
        <w:pStyle w:val="FoF"/>
      </w:pPr>
      <w:r>
        <w:t>Basing the glide path on the Avoided Cost Calculator values ensures that values are current, as these values are updated every two years and changes to retail rates and time</w:t>
      </w:r>
      <w:r w:rsidR="00827602">
        <w:noBreakHyphen/>
      </w:r>
      <w:r>
        <w:t>of</w:t>
      </w:r>
      <w:r w:rsidR="00827602">
        <w:noBreakHyphen/>
      </w:r>
      <w:r>
        <w:t>use periods can be slow.</w:t>
      </w:r>
    </w:p>
    <w:p w:rsidR="00533B2F" w:rsidP="005E7044" w:rsidRDefault="005B0ABA" w14:paraId="4F7CB12B" w14:textId="3D2CB9A0">
      <w:pPr>
        <w:pStyle w:val="FoF"/>
      </w:pPr>
      <w:r>
        <w:lastRenderedPageBreak/>
        <w:t>The ACC Plus approach enables successor tariff customers to become familiar with the Avoided Cost Calculator values immediately compared to the retail rate step</w:t>
      </w:r>
      <w:r w:rsidR="00827602">
        <w:noBreakHyphen/>
      </w:r>
      <w:r>
        <w:t>down approach.</w:t>
      </w:r>
    </w:p>
    <w:p w:rsidR="005B0ABA" w:rsidP="005E7044" w:rsidRDefault="005B0ABA" w14:paraId="150C945E" w14:textId="08917686">
      <w:pPr>
        <w:pStyle w:val="FoF"/>
      </w:pPr>
      <w:r>
        <w:t xml:space="preserve">The ACC Plus </w:t>
      </w:r>
      <w:r w:rsidR="00BB2412">
        <w:t xml:space="preserve">approach </w:t>
      </w:r>
      <w:r>
        <w:t>sends the right price signals to support the grid.</w:t>
      </w:r>
    </w:p>
    <w:p w:rsidR="005B0ABA" w:rsidP="005E7044" w:rsidRDefault="005B0ABA" w14:paraId="39832F15" w14:textId="0293DD89">
      <w:pPr>
        <w:pStyle w:val="FoF"/>
      </w:pPr>
      <w:r>
        <w:t xml:space="preserve">It is reasonable during the transition period that </w:t>
      </w:r>
      <w:r w:rsidR="00BB771D">
        <w:t>stand</w:t>
      </w:r>
      <w:r w:rsidR="00827602">
        <w:noBreakHyphen/>
      </w:r>
      <w:r w:rsidR="00BB771D">
        <w:t xml:space="preserve">alone </w:t>
      </w:r>
      <w:r>
        <w:t xml:space="preserve">solar systems benefit more from the ACC Plus approach than solar paired with storage systems during the </w:t>
      </w:r>
      <w:r w:rsidR="001D29B8">
        <w:t xml:space="preserve">transition </w:t>
      </w:r>
      <w:r>
        <w:t>period.</w:t>
      </w:r>
    </w:p>
    <w:p w:rsidR="00533B2F" w:rsidP="005E7044" w:rsidRDefault="005B0ABA" w14:paraId="57A55835" w14:textId="77777777">
      <w:pPr>
        <w:pStyle w:val="FoF"/>
      </w:pPr>
      <w:r>
        <w:t>The ACC Plus approach will allow the industry to grow sustainably during the transition to a market that predominantly sells and leases solar paired with storage systems.</w:t>
      </w:r>
    </w:p>
    <w:p w:rsidR="00A357CC" w:rsidP="005E7044" w:rsidRDefault="00A357CC" w14:paraId="0B30724D" w14:textId="6584A124">
      <w:pPr>
        <w:pStyle w:val="FoF"/>
      </w:pPr>
      <w:r>
        <w:t>In D.15</w:t>
      </w:r>
      <w:r w:rsidR="00827602">
        <w:noBreakHyphen/>
      </w:r>
      <w:r>
        <w:t>07</w:t>
      </w:r>
      <w:r w:rsidR="00827602">
        <w:noBreakHyphen/>
      </w:r>
      <w:r>
        <w:t>001, the Commission adopted a minimum bill standard for residential customers on the non</w:t>
      </w:r>
      <w:r w:rsidR="00827602">
        <w:noBreakHyphen/>
      </w:r>
      <w:r>
        <w:t>generation portion of their monthly electric bill.</w:t>
      </w:r>
    </w:p>
    <w:p w:rsidR="00A357CC" w:rsidP="005E7044" w:rsidRDefault="00A357CC" w14:paraId="6AEBBDAF" w14:textId="002577DB">
      <w:pPr>
        <w:pStyle w:val="FoF"/>
      </w:pPr>
      <w:r>
        <w:t>In D.15</w:t>
      </w:r>
      <w:r w:rsidR="00827602">
        <w:noBreakHyphen/>
      </w:r>
      <w:r>
        <w:t>07</w:t>
      </w:r>
      <w:r w:rsidR="00827602">
        <w:noBreakHyphen/>
      </w:r>
      <w:r>
        <w:t>001, the Commission established a minimum bill of $5 for CARE customers and $10 for non</w:t>
      </w:r>
      <w:r w:rsidR="00827602">
        <w:noBreakHyphen/>
      </w:r>
      <w:r>
        <w:t>CARE customers.</w:t>
      </w:r>
    </w:p>
    <w:p w:rsidR="004044C5" w:rsidP="005E7044" w:rsidRDefault="00A13C61" w14:paraId="6E572D3A" w14:textId="0CA5D9F9">
      <w:pPr>
        <w:pStyle w:val="FoF"/>
      </w:pPr>
      <w:r>
        <w:t>R.22</w:t>
      </w:r>
      <w:r w:rsidR="00827602">
        <w:noBreakHyphen/>
      </w:r>
      <w:r>
        <w:t>07</w:t>
      </w:r>
      <w:r w:rsidR="00827602">
        <w:noBreakHyphen/>
      </w:r>
      <w:r>
        <w:t>005 will consider the reformation of fixed charges, which could include the continuance or elimination of a minimum bill requirement.</w:t>
      </w:r>
    </w:p>
    <w:p w:rsidR="0041182C" w:rsidP="005E7044" w:rsidRDefault="0041182C" w14:paraId="298F10FB" w14:textId="33BE3C1A">
      <w:pPr>
        <w:pStyle w:val="FoF"/>
      </w:pPr>
      <w:r>
        <w:t xml:space="preserve">Hourly netting </w:t>
      </w:r>
      <w:r w:rsidR="00AC1C93">
        <w:t xml:space="preserve">in the successor tariff </w:t>
      </w:r>
      <w:r>
        <w:t>could lead to additional strain on the grid.</w:t>
      </w:r>
    </w:p>
    <w:p w:rsidR="00430903" w:rsidP="005E7044" w:rsidRDefault="0041182C" w14:paraId="251A3F97" w14:textId="342B917D">
      <w:pPr>
        <w:pStyle w:val="FoF"/>
      </w:pPr>
      <w:r>
        <w:t xml:space="preserve">Eliminating </w:t>
      </w:r>
      <w:r w:rsidR="00430903">
        <w:t>the netting interval exposes more of the customers’ imports and exports to net billing.</w:t>
      </w:r>
    </w:p>
    <w:p w:rsidR="00430903" w:rsidP="005E7044" w:rsidRDefault="0041182C" w14:paraId="237F5600" w14:textId="25BE3080">
      <w:pPr>
        <w:pStyle w:val="FoF"/>
      </w:pPr>
      <w:r>
        <w:t xml:space="preserve">No </w:t>
      </w:r>
      <w:r w:rsidR="00430903">
        <w:t>netting is more consistent with cost</w:t>
      </w:r>
      <w:r w:rsidR="00827602">
        <w:noBreakHyphen/>
      </w:r>
      <w:r w:rsidR="00430903">
        <w:t>based compensation and will maximize the value of customer</w:t>
      </w:r>
      <w:r w:rsidR="00827602">
        <w:noBreakHyphen/>
      </w:r>
      <w:r w:rsidR="00430903">
        <w:t xml:space="preserve">sited renewable generation to all customers and to the </w:t>
      </w:r>
      <w:r w:rsidR="00AC1C93">
        <w:t>electrical system</w:t>
      </w:r>
      <w:r w:rsidR="00430903">
        <w:t>.</w:t>
      </w:r>
    </w:p>
    <w:p w:rsidR="001C7D02" w:rsidP="001C7D02" w:rsidRDefault="001C7D02" w14:paraId="09542360" w14:textId="00130CC2">
      <w:pPr>
        <w:pStyle w:val="FoF"/>
      </w:pPr>
      <w:r w:rsidRPr="009615F0">
        <w:t>Allowing residential customers to access their 15</w:t>
      </w:r>
      <w:r w:rsidR="008D2724">
        <w:noBreakHyphen/>
      </w:r>
      <w:r w:rsidRPr="009615F0">
        <w:t>minute interval consumption data will allow for a much more accurate bill savings estimate.</w:t>
      </w:r>
    </w:p>
    <w:p w:rsidR="001C7D02" w:rsidP="001C7D02" w:rsidRDefault="001C7D02" w14:paraId="16335E01" w14:textId="77777777">
      <w:pPr>
        <w:pStyle w:val="FoF"/>
      </w:pPr>
      <w:r>
        <w:lastRenderedPageBreak/>
        <w:t>T</w:t>
      </w:r>
      <w:r w:rsidRPr="009615F0">
        <w:t>he more granular (</w:t>
      </w:r>
      <w:r w:rsidRPr="0002139F">
        <w:rPr>
          <w:i/>
          <w:iCs/>
        </w:rPr>
        <w:t>i.e.</w:t>
      </w:r>
      <w:r>
        <w:t xml:space="preserve">, </w:t>
      </w:r>
      <w:r w:rsidRPr="009615F0">
        <w:t xml:space="preserve">shorter) the intervals are, </w:t>
      </w:r>
      <w:r>
        <w:t xml:space="preserve">the </w:t>
      </w:r>
      <w:r w:rsidRPr="009615F0">
        <w:t xml:space="preserve">less imports and exports </w:t>
      </w:r>
      <w:r>
        <w:t>will be</w:t>
      </w:r>
      <w:r w:rsidRPr="009615F0">
        <w:t xml:space="preserve"> “hidden” within th</w:t>
      </w:r>
      <w:r>
        <w:t>at</w:t>
      </w:r>
      <w:r w:rsidRPr="009615F0">
        <w:t xml:space="preserve"> data.</w:t>
      </w:r>
    </w:p>
    <w:p w:rsidRPr="009615F0" w:rsidR="001C7D02" w:rsidP="001C7D02" w:rsidRDefault="001C7D02" w14:paraId="2176C1EA" w14:textId="1891388E">
      <w:pPr>
        <w:pStyle w:val="FoF"/>
      </w:pPr>
      <w:r>
        <w:t xml:space="preserve">Providing this data will </w:t>
      </w:r>
      <w:r w:rsidRPr="009615F0">
        <w:t>benefit the accuracy of future netting adjustment factors by making the standard deviation less important.</w:t>
      </w:r>
    </w:p>
    <w:p w:rsidR="001C7D02" w:rsidP="00265F1B" w:rsidRDefault="001C7D02" w14:paraId="0C576DE3" w14:textId="4610C2E3">
      <w:pPr>
        <w:pStyle w:val="FoF"/>
      </w:pPr>
      <w:r>
        <w:t xml:space="preserve">It is efficient to rely upon AMI data given </w:t>
      </w:r>
      <w:r w:rsidRPr="009615F0">
        <w:t xml:space="preserve">the </w:t>
      </w:r>
      <w:r>
        <w:t>considerable</w:t>
      </w:r>
      <w:r w:rsidRPr="009615F0">
        <w:t xml:space="preserve"> ratepayer investment that</w:t>
      </w:r>
      <w:r>
        <w:t xml:space="preserve"> ha</w:t>
      </w:r>
      <w:r w:rsidRPr="009615F0">
        <w:t xml:space="preserve">s been made in the </w:t>
      </w:r>
      <w:r>
        <w:t>implementation</w:t>
      </w:r>
      <w:r w:rsidRPr="009615F0">
        <w:t xml:space="preserve"> of AMI.</w:t>
      </w:r>
    </w:p>
    <w:p w:rsidR="0041182C" w:rsidP="005E7044" w:rsidRDefault="0041182C" w14:paraId="1F0FB779" w14:textId="7FF06EE2">
      <w:pPr>
        <w:pStyle w:val="FoF"/>
      </w:pPr>
      <w:r>
        <w:t>An adjustment factor is useful as a proxy for no netting in developing estimates of monthly bill savings</w:t>
      </w:r>
      <w:r w:rsidR="00AC1C93">
        <w:t xml:space="preserve"> for prospective solar customers</w:t>
      </w:r>
      <w:r>
        <w:t>.</w:t>
      </w:r>
    </w:p>
    <w:p w:rsidR="00C4504F" w:rsidP="005E7044" w:rsidRDefault="00EB28CA" w14:paraId="2F4AA1BF" w14:textId="435099F3">
      <w:pPr>
        <w:pStyle w:val="FoF"/>
      </w:pPr>
      <w:r>
        <w:t xml:space="preserve">Annual </w:t>
      </w:r>
      <w:r w:rsidR="00F036C6">
        <w:t>true</w:t>
      </w:r>
      <w:r w:rsidR="00827602">
        <w:noBreakHyphen/>
      </w:r>
      <w:r w:rsidR="00F036C6">
        <w:t>up</w:t>
      </w:r>
      <w:r w:rsidR="001D29B8">
        <w:t xml:space="preserve"> period</w:t>
      </w:r>
      <w:r w:rsidR="00F036C6">
        <w:t>s</w:t>
      </w:r>
      <w:r>
        <w:t xml:space="preserve"> allow generation to be credited for exactly what </w:t>
      </w:r>
      <w:r w:rsidR="00203CC2">
        <w:t>it is</w:t>
      </w:r>
      <w:r>
        <w:t xml:space="preserve"> valued based upon the </w:t>
      </w:r>
      <w:r w:rsidR="00AC1C93">
        <w:t xml:space="preserve">retail export compensation </w:t>
      </w:r>
      <w:r>
        <w:t>rate that hour</w:t>
      </w:r>
      <w:r w:rsidR="00C4504F">
        <w:t>.</w:t>
      </w:r>
    </w:p>
    <w:p w:rsidR="00C4504F" w:rsidP="005E7044" w:rsidRDefault="00EB28CA" w14:paraId="679905EE" w14:textId="500C9165">
      <w:pPr>
        <w:pStyle w:val="FoF"/>
      </w:pPr>
      <w:r>
        <w:t xml:space="preserve">Annual </w:t>
      </w:r>
      <w:r w:rsidR="00F036C6">
        <w:t>true</w:t>
      </w:r>
      <w:r w:rsidR="00827602">
        <w:noBreakHyphen/>
      </w:r>
      <w:r w:rsidR="00F036C6">
        <w:t>up</w:t>
      </w:r>
      <w:r w:rsidR="001D29B8">
        <w:t xml:space="preserve"> period</w:t>
      </w:r>
      <w:r w:rsidR="00F036C6">
        <w:t>s</w:t>
      </w:r>
      <w:r>
        <w:t xml:space="preserve"> do not undermine greenhouse gas emissions objectives</w:t>
      </w:r>
      <w:r w:rsidR="00C74830">
        <w:t>.</w:t>
      </w:r>
    </w:p>
    <w:p w:rsidR="00C74830" w:rsidP="005E7044" w:rsidRDefault="00116E9B" w14:paraId="58D93F8F" w14:textId="6653B5B9">
      <w:pPr>
        <w:pStyle w:val="FoF"/>
      </w:pPr>
      <w:r>
        <w:t>Using h</w:t>
      </w:r>
      <w:r w:rsidR="00C74830">
        <w:t xml:space="preserve">ourly </w:t>
      </w:r>
      <w:r w:rsidR="005478F3">
        <w:t xml:space="preserve">Avoided Cost Calculator </w:t>
      </w:r>
      <w:r w:rsidR="00C74830">
        <w:t xml:space="preserve">values for </w:t>
      </w:r>
      <w:r w:rsidR="00F64859">
        <w:t xml:space="preserve">retail </w:t>
      </w:r>
      <w:r w:rsidR="00C74830">
        <w:t xml:space="preserve">export compensation </w:t>
      </w:r>
      <w:r>
        <w:t xml:space="preserve">rates </w:t>
      </w:r>
      <w:r w:rsidR="00C74830">
        <w:t>complicate</w:t>
      </w:r>
      <w:r w:rsidR="00E16081">
        <w:t>s</w:t>
      </w:r>
      <w:r w:rsidR="00C74830">
        <w:t xml:space="preserve"> the bill structure</w:t>
      </w:r>
      <w:r w:rsidR="00D34D5A">
        <w:t>.</w:t>
      </w:r>
    </w:p>
    <w:p w:rsidR="00D34D5A" w:rsidP="005E7044" w:rsidRDefault="00D34D5A" w14:paraId="5F460495" w14:textId="28FBBCB5">
      <w:pPr>
        <w:pStyle w:val="FoF"/>
      </w:pPr>
      <w:bookmarkStart w:name="_Hlk118882672" w:id="265"/>
      <w:r>
        <w:t xml:space="preserve">Averaging the </w:t>
      </w:r>
      <w:r w:rsidR="005478F3">
        <w:t xml:space="preserve">Avoided Cost Calculator </w:t>
      </w:r>
      <w:r>
        <w:t>values across days in a month acknowledges the general trends in differences between hours and months and results in accurate values.</w:t>
      </w:r>
    </w:p>
    <w:p w:rsidR="001A3951" w:rsidP="005E7044" w:rsidRDefault="001A3951" w14:paraId="5C8345BE" w14:textId="1ADD5436">
      <w:pPr>
        <w:pStyle w:val="FoF"/>
      </w:pPr>
      <w:r>
        <w:t>Averaging the Avoided Cost Calculator values yield</w:t>
      </w:r>
      <w:r w:rsidR="00745AFE">
        <w:t>s</w:t>
      </w:r>
      <w:r>
        <w:t xml:space="preserve"> more accurate signals </w:t>
      </w:r>
      <w:r w:rsidR="006A2362">
        <w:t xml:space="preserve">for customer generators to reduce imports from the grid and </w:t>
      </w:r>
      <w:r>
        <w:t>for battery storage to dispatch during hours most valuable to the grid.</w:t>
      </w:r>
    </w:p>
    <w:p w:rsidR="00D34D5A" w:rsidP="005E7044" w:rsidRDefault="00D34D5A" w14:paraId="24D055A2" w14:textId="59BDA825">
      <w:pPr>
        <w:pStyle w:val="FoF"/>
      </w:pPr>
      <w:r>
        <w:t xml:space="preserve">Averaging the </w:t>
      </w:r>
      <w:r w:rsidR="005478F3">
        <w:t xml:space="preserve">Avoided Cost Calculator </w:t>
      </w:r>
      <w:r>
        <w:t>values across days in a month does not add the false precision of potentially inaccurate forecasts of a specific hour’s weather and other conditions.</w:t>
      </w:r>
    </w:p>
    <w:p w:rsidR="00D34D5A" w:rsidP="005E7044" w:rsidRDefault="00D34D5A" w14:paraId="3E268656" w14:textId="7C89640A">
      <w:pPr>
        <w:pStyle w:val="FoF"/>
      </w:pPr>
      <w:r>
        <w:t xml:space="preserve">Using averaged monthly </w:t>
      </w:r>
      <w:r w:rsidR="005478F3">
        <w:t xml:space="preserve">Avoided Cost Calculator </w:t>
      </w:r>
      <w:r>
        <w:t xml:space="preserve">values for </w:t>
      </w:r>
      <w:r w:rsidR="00F64859">
        <w:t xml:space="preserve">retail </w:t>
      </w:r>
      <w:r>
        <w:t xml:space="preserve">export compensation </w:t>
      </w:r>
      <w:r w:rsidR="00F64859">
        <w:t xml:space="preserve">rates </w:t>
      </w:r>
      <w:r>
        <w:t xml:space="preserve">ensures the tariff is based on the </w:t>
      </w:r>
      <w:r w:rsidR="006A2362">
        <w:t xml:space="preserve">generator’s </w:t>
      </w:r>
      <w:r>
        <w:t xml:space="preserve">true costs and </w:t>
      </w:r>
      <w:r>
        <w:lastRenderedPageBreak/>
        <w:t xml:space="preserve">benefits </w:t>
      </w:r>
      <w:r w:rsidR="006A2362">
        <w:t xml:space="preserve">to </w:t>
      </w:r>
      <w:r>
        <w:t>the g</w:t>
      </w:r>
      <w:r w:rsidR="006A2362">
        <w:t>rid</w:t>
      </w:r>
      <w:r>
        <w:t xml:space="preserve"> and leads to equity among all ratepayers while maximizing the value of the generation to all ratepayers and to the </w:t>
      </w:r>
      <w:r w:rsidR="00AC1C93">
        <w:t>electrical system</w:t>
      </w:r>
      <w:r>
        <w:t>.</w:t>
      </w:r>
    </w:p>
    <w:bookmarkEnd w:id="265"/>
    <w:p w:rsidR="006E7F96" w:rsidP="005E7044" w:rsidRDefault="006E7F96" w14:paraId="6ED5105B" w14:textId="5D018644">
      <w:pPr>
        <w:pStyle w:val="FoF"/>
      </w:pPr>
      <w:r>
        <w:t>Dividing the export credit between the customer’s load serving entity and distribution utility (where the load serving entity is responsible for energy, cap and trade, and generation capacity while the distribution utility is responsible for transmission, distribution, greenhouse gas adder, and methane leakage) is consistent with current tariff approaches and considers competitive neutrality amongst load serving entities.</w:t>
      </w:r>
    </w:p>
    <w:p w:rsidR="00D34CBF" w:rsidP="005E7044" w:rsidRDefault="004C3045" w14:paraId="712F4554" w14:textId="5ED61E47">
      <w:pPr>
        <w:pStyle w:val="FoF"/>
      </w:pPr>
      <w:r>
        <w:t xml:space="preserve">Like all forecasts, the Avoided Cost Calculator forecast values </w:t>
      </w:r>
      <w:r w:rsidR="002D63C9">
        <w:t xml:space="preserve">are </w:t>
      </w:r>
      <w:r>
        <w:t>increasingly uncertain further away from the present.</w:t>
      </w:r>
    </w:p>
    <w:p w:rsidR="00AA4DFE" w:rsidP="005E7044" w:rsidRDefault="00AA4DFE" w14:paraId="57547996" w14:textId="59676928">
      <w:pPr>
        <w:pStyle w:val="FoF"/>
      </w:pPr>
      <w:r>
        <w:t>A nine</w:t>
      </w:r>
      <w:r w:rsidR="008D2724">
        <w:noBreakHyphen/>
      </w:r>
      <w:r>
        <w:t>year lock</w:t>
      </w:r>
      <w:r w:rsidR="008D2724">
        <w:noBreakHyphen/>
      </w:r>
      <w:r>
        <w:t>in period for nonresidential customers aligns with predicted payback periods ranging from 5.8 to 9.4</w:t>
      </w:r>
      <w:r w:rsidR="00434915">
        <w:t> </w:t>
      </w:r>
      <w:r>
        <w:t>years.</w:t>
      </w:r>
    </w:p>
    <w:p w:rsidRPr="004D5864" w:rsidR="00A6157B" w:rsidP="005E7044" w:rsidRDefault="00A6157B" w14:paraId="1A62FD0F" w14:textId="17334C88">
      <w:pPr>
        <w:pStyle w:val="FoF"/>
      </w:pPr>
      <w:r w:rsidRPr="004D5864">
        <w:t>Basing the Avoided Cost Calculator values on a schedule of values will enable solar providers to predict customer savings.</w:t>
      </w:r>
    </w:p>
    <w:p w:rsidR="004C3045" w:rsidP="005E7044" w:rsidRDefault="004C3045" w14:paraId="3DD737E1" w14:textId="4CE1C342">
      <w:pPr>
        <w:pStyle w:val="FoF"/>
      </w:pPr>
      <w:r>
        <w:t>The certainty of a lock</w:t>
      </w:r>
      <w:r w:rsidR="00AC1C93">
        <w:t>ed</w:t>
      </w:r>
      <w:r w:rsidR="00827602">
        <w:noBreakHyphen/>
      </w:r>
      <w:r>
        <w:t xml:space="preserve">in rate </w:t>
      </w:r>
      <w:r w:rsidR="00AC1C93">
        <w:t xml:space="preserve">schedule </w:t>
      </w:r>
      <w:r>
        <w:t>helps to ensure that customer</w:t>
      </w:r>
      <w:r w:rsidR="00827602">
        <w:noBreakHyphen/>
      </w:r>
      <w:r>
        <w:t>sited renewable distributed generation continues to grow sustainably</w:t>
      </w:r>
      <w:r w:rsidR="00F711E3">
        <w:t xml:space="preserve"> during the transition period</w:t>
      </w:r>
      <w:r>
        <w:t>.</w:t>
      </w:r>
    </w:p>
    <w:p w:rsidR="004C3045" w:rsidP="005E7044" w:rsidRDefault="00A6157B" w14:paraId="30CDB2EF" w14:textId="00667949">
      <w:pPr>
        <w:pStyle w:val="FoF"/>
      </w:pPr>
      <w:bookmarkStart w:name="_Hlk118882708" w:id="266"/>
      <w:r>
        <w:t xml:space="preserve">Using </w:t>
      </w:r>
      <w:r w:rsidR="00C57695">
        <w:t xml:space="preserve">a </w:t>
      </w:r>
      <w:r>
        <w:t xml:space="preserve">single year </w:t>
      </w:r>
      <w:r w:rsidR="00C57695">
        <w:t xml:space="preserve">of Avoided Cost Calculator </w:t>
      </w:r>
      <w:r>
        <w:t>values</w:t>
      </w:r>
      <w:r w:rsidR="00E17128">
        <w:t xml:space="preserve">, </w:t>
      </w:r>
      <w:r>
        <w:t xml:space="preserve">instead of </w:t>
      </w:r>
      <w:r w:rsidR="00C57695">
        <w:t xml:space="preserve">values </w:t>
      </w:r>
      <w:r>
        <w:t xml:space="preserve">averaged </w:t>
      </w:r>
      <w:r w:rsidR="00C57695">
        <w:t>across several years of the Avoided Cost Calculator</w:t>
      </w:r>
      <w:r>
        <w:t>, brings the cost of the tariff closer to its value.</w:t>
      </w:r>
    </w:p>
    <w:p w:rsidR="00A6157B" w:rsidP="005E7044" w:rsidRDefault="00A6157B" w14:paraId="72E84AC2" w14:textId="7647A787">
      <w:pPr>
        <w:pStyle w:val="FoF"/>
      </w:pPr>
      <w:r>
        <w:t xml:space="preserve">Using </w:t>
      </w:r>
      <w:r w:rsidR="00C57695">
        <w:t xml:space="preserve">a </w:t>
      </w:r>
      <w:r>
        <w:t xml:space="preserve">single year </w:t>
      </w:r>
      <w:r w:rsidR="00C57695">
        <w:t>of Avoided Cost Calculator</w:t>
      </w:r>
      <w:r>
        <w:t xml:space="preserve"> values aligns with requirement</w:t>
      </w:r>
      <w:r w:rsidR="00A93695">
        <w:t>s</w:t>
      </w:r>
      <w:r>
        <w:t xml:space="preserve"> to ensure the tariff is based on the costs and benefits of the customer generator and ensures the benefits are approximately equal to the total costs.</w:t>
      </w:r>
    </w:p>
    <w:bookmarkEnd w:id="266"/>
    <w:p w:rsidR="007E0833" w:rsidP="005E7044" w:rsidRDefault="00E16081" w14:paraId="21BDE1E7" w14:textId="151335A4">
      <w:pPr>
        <w:pStyle w:val="FoF"/>
      </w:pPr>
      <w:r>
        <w:t>Using r</w:t>
      </w:r>
      <w:r w:rsidR="00F64859">
        <w:t>etail e</w:t>
      </w:r>
      <w:r w:rsidR="007E0833">
        <w:t>xport compensation rates specific to climate zones do</w:t>
      </w:r>
      <w:r w:rsidR="00D64149">
        <w:t>es</w:t>
      </w:r>
      <w:r w:rsidR="007E0833">
        <w:t xml:space="preserve"> not re</w:t>
      </w:r>
      <w:r w:rsidR="00D64149">
        <w:t>sult in</w:t>
      </w:r>
      <w:r w:rsidR="007E0833">
        <w:t xml:space="preserve"> </w:t>
      </w:r>
      <w:r w:rsidR="00D64149">
        <w:t xml:space="preserve">significantly more accurate </w:t>
      </w:r>
      <w:r w:rsidR="007E0833">
        <w:t>Avoided Cost Calculator values.</w:t>
      </w:r>
    </w:p>
    <w:p w:rsidR="008E7A0D" w:rsidP="005E7044" w:rsidRDefault="004F286F" w14:paraId="2BCBB9DD" w14:textId="599C08C3">
      <w:pPr>
        <w:pStyle w:val="FoF"/>
      </w:pPr>
      <w:r>
        <w:lastRenderedPageBreak/>
        <w:t xml:space="preserve">An objective of the glide path is to ensure reasonable payback </w:t>
      </w:r>
      <w:r w:rsidR="00F711E3">
        <w:t xml:space="preserve">periods </w:t>
      </w:r>
      <w:r>
        <w:t>for customers, especially low</w:t>
      </w:r>
      <w:r w:rsidR="00827602">
        <w:noBreakHyphen/>
      </w:r>
      <w:r>
        <w:t>income customers</w:t>
      </w:r>
      <w:r w:rsidR="008E7A0D">
        <w:t>.</w:t>
      </w:r>
    </w:p>
    <w:p w:rsidR="008E7A0D" w:rsidP="005E7044" w:rsidRDefault="008E7A0D" w14:paraId="24824524" w14:textId="3D4399DC">
      <w:pPr>
        <w:pStyle w:val="FoF"/>
      </w:pPr>
      <w:r>
        <w:t xml:space="preserve">Limiting the </w:t>
      </w:r>
      <w:r w:rsidR="004F286F">
        <w:t>glide path</w:t>
      </w:r>
      <w:r>
        <w:t xml:space="preserve"> to a small subset of customers would not ensure </w:t>
      </w:r>
      <w:r w:rsidR="00691928">
        <w:t>customer</w:t>
      </w:r>
      <w:r w:rsidR="00827602">
        <w:noBreakHyphen/>
      </w:r>
      <w:r w:rsidR="00691928">
        <w:t xml:space="preserve">sited renewable distribution </w:t>
      </w:r>
      <w:r>
        <w:t>generation continues to grow sustainably.</w:t>
      </w:r>
    </w:p>
    <w:p w:rsidR="008E7A0D" w:rsidP="005E7044" w:rsidRDefault="008E7A0D" w14:paraId="59F20113" w14:textId="6DC0DC55">
      <w:pPr>
        <w:pStyle w:val="FoF"/>
      </w:pPr>
      <w:r>
        <w:t xml:space="preserve">The Commission does not intend the </w:t>
      </w:r>
      <w:r w:rsidR="004F286F">
        <w:t xml:space="preserve">sustainable </w:t>
      </w:r>
      <w:r>
        <w:t>growth of the market to be focused solely on low</w:t>
      </w:r>
      <w:r w:rsidR="00827602">
        <w:noBreakHyphen/>
      </w:r>
      <w:r>
        <w:t>income customers.</w:t>
      </w:r>
    </w:p>
    <w:p w:rsidR="009132A6" w:rsidP="005E7044" w:rsidRDefault="00335FAC" w14:paraId="0A94EB51" w14:textId="7954CC74">
      <w:pPr>
        <w:pStyle w:val="FoF"/>
      </w:pPr>
      <w:r>
        <w:t xml:space="preserve">The </w:t>
      </w:r>
      <w:r w:rsidR="004F286F">
        <w:t>glide path</w:t>
      </w:r>
      <w:r>
        <w:t xml:space="preserve"> is meant to ensure </w:t>
      </w:r>
      <w:r w:rsidR="004F286F">
        <w:t>successor tariff customers, including CARE</w:t>
      </w:r>
      <w:r w:rsidR="00827602">
        <w:noBreakHyphen/>
      </w:r>
      <w:r w:rsidR="004F286F">
        <w:t xml:space="preserve"> and FERA</w:t>
      </w:r>
      <w:r w:rsidR="00827602">
        <w:noBreakHyphen/>
      </w:r>
      <w:r w:rsidR="004F286F">
        <w:t>enrolled customers, have a nine</w:t>
      </w:r>
      <w:r w:rsidR="00827602">
        <w:noBreakHyphen/>
      </w:r>
      <w:r w:rsidR="004F286F">
        <w:t>year simple payback period for stand</w:t>
      </w:r>
      <w:r w:rsidR="00827602">
        <w:noBreakHyphen/>
      </w:r>
      <w:r w:rsidR="004F286F">
        <w:t>alone solar systems</w:t>
      </w:r>
      <w:r>
        <w:t>.</w:t>
      </w:r>
    </w:p>
    <w:p w:rsidR="009B27E4" w:rsidP="005E7044" w:rsidRDefault="009B27E4" w14:paraId="7C4E88C1" w14:textId="77777777">
      <w:pPr>
        <w:pStyle w:val="FoF"/>
      </w:pPr>
      <w:r>
        <w:t>The ACC Plus should not be applicable to new construction as new construction is already required to install solar systems.</w:t>
      </w:r>
    </w:p>
    <w:p w:rsidR="009B27E4" w:rsidP="005E7044" w:rsidRDefault="00AA4DFE" w14:paraId="45347294" w14:textId="620773B2">
      <w:pPr>
        <w:pStyle w:val="FoF"/>
      </w:pPr>
      <w:r>
        <w:t>The ACC Plus should not fund solar systems required by other laws or regulations</w:t>
      </w:r>
      <w:r w:rsidR="009B27E4">
        <w:t>.</w:t>
      </w:r>
    </w:p>
    <w:p w:rsidR="00C559BB" w:rsidP="00C559BB" w:rsidRDefault="00C559BB" w14:paraId="6561A7F5" w14:textId="04739D2F">
      <w:pPr>
        <w:pStyle w:val="FoF"/>
      </w:pPr>
      <w:r>
        <w:t>The objective of the ACC Plus is to incent new systems for sustainable growth of the industry.</w:t>
      </w:r>
    </w:p>
    <w:p w:rsidR="00AA4DFE" w:rsidP="005E7044" w:rsidRDefault="00AA4DFE" w14:paraId="52EE65DB" w14:textId="25F9ED33">
      <w:pPr>
        <w:pStyle w:val="FoF"/>
      </w:pPr>
      <w:r>
        <w:t xml:space="preserve">The nine-year payback period target is geared toward the </w:t>
      </w:r>
      <w:r w:rsidR="00CE2C8B">
        <w:t>n</w:t>
      </w:r>
      <w:r>
        <w:t xml:space="preserve">et </w:t>
      </w:r>
      <w:r w:rsidR="00CE2C8B">
        <w:t>b</w:t>
      </w:r>
      <w:r>
        <w:t>illing tariff customer making the initial purchase</w:t>
      </w:r>
    </w:p>
    <w:p w:rsidR="0079073E" w:rsidP="005E7044" w:rsidRDefault="0079073E" w14:paraId="25C054A0" w14:textId="0F7128BD">
      <w:pPr>
        <w:pStyle w:val="FoF"/>
      </w:pPr>
      <w:r>
        <w:t xml:space="preserve">A fixed ACC Plus </w:t>
      </w:r>
      <w:r w:rsidR="007B0D0D">
        <w:t xml:space="preserve">adder </w:t>
      </w:r>
      <w:r>
        <w:t>meets many objectives of this proceeding as compared to the multiplier.</w:t>
      </w:r>
    </w:p>
    <w:p w:rsidR="0079073E" w:rsidP="005E7044" w:rsidRDefault="0079073E" w14:paraId="0AC442F1" w14:textId="033492C9">
      <w:pPr>
        <w:pStyle w:val="FoF"/>
      </w:pPr>
      <w:r>
        <w:t>A multiplier ACC Plus adder might have perverse outcomes on battery discharge behavior and compensation.</w:t>
      </w:r>
    </w:p>
    <w:p w:rsidR="0079073E" w:rsidP="005E7044" w:rsidRDefault="0079073E" w14:paraId="02ECC9CB" w14:textId="12EFDE5F">
      <w:pPr>
        <w:pStyle w:val="FoF"/>
      </w:pPr>
      <w:r>
        <w:t>A fixed adder in the ACC Plus will provide more certainty to a customer by providing a predictable value.</w:t>
      </w:r>
    </w:p>
    <w:p w:rsidR="00AA4DFE" w:rsidP="005E7044" w:rsidRDefault="00AA4DFE" w14:paraId="4AD2CBE0" w14:textId="403D10D7">
      <w:pPr>
        <w:pStyle w:val="FoF"/>
      </w:pPr>
      <w:r>
        <w:t>Ratepayer funding of the ACC Plus is reasonable because meeting California’s climate and clean energy objectives benefits all ratepayers.</w:t>
      </w:r>
    </w:p>
    <w:p w:rsidR="00453BBE" w:rsidP="005E7044" w:rsidRDefault="00453BBE" w14:paraId="05A9DE3B" w14:textId="517C1BA2">
      <w:pPr>
        <w:pStyle w:val="FoF"/>
      </w:pPr>
      <w:r>
        <w:lastRenderedPageBreak/>
        <w:t>The purpose of the ACC Plus is to subsidize the cost of a new successor customer</w:t>
      </w:r>
      <w:r w:rsidR="004D5864">
        <w:t>’</w:t>
      </w:r>
      <w:r>
        <w:t>s system during the transition period, in order to ensure the industry continues to grow sustainably.</w:t>
      </w:r>
    </w:p>
    <w:p w:rsidR="00453BBE" w:rsidP="005E7044" w:rsidRDefault="00453BBE" w14:paraId="370E72F1" w14:textId="102CB489">
      <w:pPr>
        <w:pStyle w:val="FoF"/>
      </w:pPr>
      <w:r>
        <w:t xml:space="preserve">The ACC Plus is unrelated to </w:t>
      </w:r>
      <w:proofErr w:type="spellStart"/>
      <w:r>
        <w:t>PURPA</w:t>
      </w:r>
      <w:proofErr w:type="spellEnd"/>
      <w:r>
        <w:t xml:space="preserve"> mandates for the compensation of net exports over a state</w:t>
      </w:r>
      <w:r w:rsidR="008D2724">
        <w:noBreakHyphen/>
      </w:r>
      <w:r>
        <w:t>defined period.</w:t>
      </w:r>
    </w:p>
    <w:p w:rsidR="00453BBE" w:rsidP="005E7044" w:rsidRDefault="00453BBE" w14:paraId="2B1616FE" w14:textId="3493915E">
      <w:pPr>
        <w:pStyle w:val="FoF"/>
      </w:pPr>
      <w:r>
        <w:t>Joint Utilities recommendation to debit customers for ACC Plus at true</w:t>
      </w:r>
      <w:r w:rsidR="008D2724">
        <w:noBreakHyphen/>
      </w:r>
      <w:r>
        <w:t>up should be denied.</w:t>
      </w:r>
    </w:p>
    <w:p w:rsidR="0079073E" w:rsidP="005E7044" w:rsidRDefault="0079073E" w14:paraId="5D266159" w14:textId="0C93DDDD">
      <w:pPr>
        <w:pStyle w:val="FoF"/>
      </w:pPr>
      <w:r>
        <w:t xml:space="preserve">The proposed import retail rates will improve the pricing signal to successor tariff customers, increase the value of the generation to all customers and the electrical </w:t>
      </w:r>
      <w:r w:rsidR="00AC1C93">
        <w:t>system</w:t>
      </w:r>
      <w:r>
        <w:t>, and encourage electrification.</w:t>
      </w:r>
    </w:p>
    <w:p w:rsidR="00B526DA" w:rsidP="005E7044" w:rsidRDefault="00B526DA" w14:paraId="2FE7BBD4" w14:textId="64FADB70">
      <w:pPr>
        <w:pStyle w:val="FoF"/>
      </w:pPr>
      <w:r>
        <w:t>The transition to the successor tariff will require customers to make substantial investments in storage, as well as solar, with longer payback periods</w:t>
      </w:r>
      <w:r w:rsidR="00AC1C93">
        <w:t xml:space="preserve"> in comparison with the </w:t>
      </w:r>
      <w:r w:rsidR="00602BC5">
        <w:t>NEM</w:t>
      </w:r>
      <w:r w:rsidR="002F5949">
        <w:t> </w:t>
      </w:r>
      <w:r w:rsidR="00602BC5">
        <w:t>2.0</w:t>
      </w:r>
      <w:r w:rsidR="00AC1C93">
        <w:t xml:space="preserve"> tariff</w:t>
      </w:r>
      <w:r>
        <w:t>.</w:t>
      </w:r>
    </w:p>
    <w:p w:rsidR="00B526DA" w:rsidP="005E7044" w:rsidRDefault="006A2362" w14:paraId="60084781" w14:textId="281FB219">
      <w:pPr>
        <w:pStyle w:val="FoF"/>
      </w:pPr>
      <w:r>
        <w:t xml:space="preserve">Net energy metering </w:t>
      </w:r>
      <w:r w:rsidR="00B526DA">
        <w:t>customers are more likely than other customers to choose critical peak pricing rates, which will help the grid during critical peak days.</w:t>
      </w:r>
    </w:p>
    <w:p w:rsidR="0079073E" w:rsidP="005E7044" w:rsidRDefault="0079073E" w14:paraId="63003369" w14:textId="4C856650">
      <w:pPr>
        <w:pStyle w:val="FoF"/>
      </w:pPr>
      <w:r>
        <w:t>The availability of critical peak pricing and peak day pricing rates will enhance the value of stand</w:t>
      </w:r>
      <w:r w:rsidR="00827602">
        <w:noBreakHyphen/>
      </w:r>
      <w:r>
        <w:t>alone solar and solar paired with storage systems.</w:t>
      </w:r>
    </w:p>
    <w:p w:rsidR="00453BBE" w:rsidP="005E7044" w:rsidRDefault="00453BBE" w14:paraId="1FC724A4" w14:textId="0953DF31">
      <w:pPr>
        <w:pStyle w:val="FoF"/>
      </w:pPr>
      <w:r>
        <w:t>The nine</w:t>
      </w:r>
      <w:r w:rsidR="008D2724">
        <w:noBreakHyphen/>
      </w:r>
      <w:r>
        <w:t>year legacy period provides certainty while ensuring the true value of the exported electricity</w:t>
      </w:r>
      <w:r w:rsidR="00C559BB">
        <w:t xml:space="preserve"> after the legacy period ends</w:t>
      </w:r>
      <w:r>
        <w:t>.</w:t>
      </w:r>
    </w:p>
    <w:p w:rsidR="00453BBE" w:rsidP="005E7044" w:rsidRDefault="00453BBE" w14:paraId="24F0E3F3" w14:textId="77777777">
      <w:pPr>
        <w:pStyle w:val="FoF"/>
      </w:pPr>
      <w:r>
        <w:t>The Avoided Cost Calculator is a forecast and the older the Avoided Cost Calculator values are, the less accurate they become.</w:t>
      </w:r>
    </w:p>
    <w:p w:rsidR="00453BBE" w:rsidP="005E7044" w:rsidRDefault="00453BBE" w14:paraId="34B2F550" w14:textId="61D7950D">
      <w:pPr>
        <w:pStyle w:val="FoF"/>
      </w:pPr>
      <w:r>
        <w:t>The nine</w:t>
      </w:r>
      <w:r w:rsidR="008D2724">
        <w:noBreakHyphen/>
      </w:r>
      <w:r>
        <w:t xml:space="preserve">year legacy period balances the Commission's need for accuracy in the valuation of exported electricity with the desire to provide certainty to the </w:t>
      </w:r>
      <w:r w:rsidR="00CE2C8B">
        <w:t>n</w:t>
      </w:r>
      <w:r>
        <w:t xml:space="preserve">et </w:t>
      </w:r>
      <w:r w:rsidR="00CE2C8B">
        <w:t>b</w:t>
      </w:r>
      <w:r>
        <w:t>illing tariff customer.</w:t>
      </w:r>
    </w:p>
    <w:p w:rsidR="009E1670" w:rsidP="005E7044" w:rsidRDefault="009E1670" w14:paraId="2AC92C98" w14:textId="78C07BB4">
      <w:pPr>
        <w:pStyle w:val="FoF"/>
      </w:pPr>
      <w:r>
        <w:lastRenderedPageBreak/>
        <w:t>The purpose of the legacy period is to provide the customer certainty and incentivize them to install a customer</w:t>
      </w:r>
      <w:r w:rsidR="008D2724">
        <w:noBreakHyphen/>
      </w:r>
      <w:r>
        <w:t>sited generation system.</w:t>
      </w:r>
    </w:p>
    <w:p w:rsidR="002E4AA0" w:rsidP="005E7044" w:rsidRDefault="002E4AA0" w14:paraId="3B51DC3F" w14:textId="3447823B">
      <w:pPr>
        <w:pStyle w:val="FoF"/>
      </w:pPr>
      <w:r>
        <w:t>The Joint Utilities’ proposal to require bill credits be applied to charges in the same time</w:t>
      </w:r>
      <w:r w:rsidR="00827602">
        <w:noBreakHyphen/>
      </w:r>
      <w:r>
        <w:t>of</w:t>
      </w:r>
      <w:r w:rsidR="00827602">
        <w:noBreakHyphen/>
      </w:r>
      <w:r>
        <w:t>use period is overly prescriptive.</w:t>
      </w:r>
    </w:p>
    <w:p w:rsidR="00533B2F" w:rsidP="005E7044" w:rsidRDefault="0079073E" w14:paraId="6D65BD92" w14:textId="5D28EAE1">
      <w:pPr>
        <w:pStyle w:val="FoF"/>
      </w:pPr>
      <w:r>
        <w:t>D.16</w:t>
      </w:r>
      <w:r w:rsidR="00827602">
        <w:noBreakHyphen/>
      </w:r>
      <w:r>
        <w:t>01</w:t>
      </w:r>
      <w:r w:rsidR="00827602">
        <w:noBreakHyphen/>
      </w:r>
      <w:r>
        <w:t>044 required</w:t>
      </w:r>
      <w:r w:rsidRPr="000F0173">
        <w:t xml:space="preserve"> verification</w:t>
      </w:r>
      <w:r>
        <w:t xml:space="preserve"> </w:t>
      </w:r>
      <w:r w:rsidRPr="000F0173">
        <w:t>that solar system components are on</w:t>
      </w:r>
      <w:r>
        <w:t xml:space="preserve"> the verified </w:t>
      </w:r>
      <w:r w:rsidRPr="000F0173">
        <w:t>equipment</w:t>
      </w:r>
      <w:r>
        <w:t xml:space="preserve"> list maintained by </w:t>
      </w:r>
      <w:r w:rsidRPr="000F0173">
        <w:t xml:space="preserve">the </w:t>
      </w:r>
      <w:r>
        <w:t xml:space="preserve">CEC, which </w:t>
      </w:r>
      <w:r>
        <w:rPr>
          <w:szCs w:val="26"/>
        </w:rPr>
        <w:t>was required</w:t>
      </w:r>
      <w:r w:rsidRPr="00F73209">
        <w:rPr>
          <w:szCs w:val="26"/>
        </w:rPr>
        <w:t xml:space="preserve"> </w:t>
      </w:r>
      <w:r>
        <w:rPr>
          <w:szCs w:val="26"/>
        </w:rPr>
        <w:t>by</w:t>
      </w:r>
      <w:r w:rsidRPr="00F73209">
        <w:rPr>
          <w:szCs w:val="26"/>
        </w:rPr>
        <w:t xml:space="preserve"> </w:t>
      </w:r>
      <w:r w:rsidRPr="00535222">
        <w:rPr>
          <w:color w:val="333333"/>
          <w:szCs w:val="26"/>
          <w:shd w:val="clear" w:color="auto" w:fill="FFFFFF"/>
        </w:rPr>
        <w:t>the California Solar Initiative</w:t>
      </w:r>
      <w:r>
        <w:rPr>
          <w:color w:val="333333"/>
          <w:szCs w:val="26"/>
          <w:shd w:val="clear" w:color="auto" w:fill="FFFFFF"/>
        </w:rPr>
        <w:t xml:space="preserve">, and </w:t>
      </w:r>
      <w:r>
        <w:t>was duplicative of interconnection rules.</w:t>
      </w:r>
    </w:p>
    <w:p w:rsidR="00533B2F" w:rsidP="005E7044" w:rsidRDefault="0079073E" w14:paraId="134DB899" w14:textId="35278A80">
      <w:pPr>
        <w:pStyle w:val="FoF"/>
      </w:pPr>
      <w:r>
        <w:t xml:space="preserve">The </w:t>
      </w:r>
      <w:r w:rsidR="00CE2C8B">
        <w:t>n</w:t>
      </w:r>
      <w:r>
        <w:t xml:space="preserve">et </w:t>
      </w:r>
      <w:r w:rsidR="00CE2C8B">
        <w:t>b</w:t>
      </w:r>
      <w:r>
        <w:t>illing tariff adopted here is not part of the California Solar Initiative.</w:t>
      </w:r>
    </w:p>
    <w:p w:rsidR="0079073E" w:rsidP="005E7044" w:rsidRDefault="0079073E" w14:paraId="45440229" w14:textId="7D35C82F">
      <w:pPr>
        <w:pStyle w:val="FoF"/>
      </w:pPr>
      <w:r>
        <w:t>Equipment failures or other issues may cause a customer’s solar system to go offline without the customer’s knowledge, which may cause unanticipated increases to the customer’s electric bill.</w:t>
      </w:r>
    </w:p>
    <w:p w:rsidR="00533B2F" w:rsidP="005E7044" w:rsidRDefault="0079073E" w14:paraId="266A571A" w14:textId="57B14131">
      <w:pPr>
        <w:pStyle w:val="FoF"/>
      </w:pPr>
      <w:r>
        <w:t>Non</w:t>
      </w:r>
      <w:r w:rsidR="00827602">
        <w:noBreakHyphen/>
      </w:r>
      <w:r>
        <w:t>operating solar systems may result in underutilization of California’s installed renewable energy resources and impact the State’s ability to meet its environmental and climate goals.</w:t>
      </w:r>
    </w:p>
    <w:p w:rsidR="008C0743" w:rsidP="005E7044" w:rsidRDefault="008C0743" w14:paraId="7027A187" w14:textId="73267BDA">
      <w:pPr>
        <w:pStyle w:val="FoF"/>
      </w:pPr>
      <w:r>
        <w:t xml:space="preserve">The successor tariff makes great strides </w:t>
      </w:r>
      <w:r w:rsidR="002A013A">
        <w:t xml:space="preserve">in </w:t>
      </w:r>
      <w:r w:rsidR="00051685">
        <w:t xml:space="preserve">tackling </w:t>
      </w:r>
      <w:r>
        <w:t>the cost shift, thus addressing one element of the equity issue.</w:t>
      </w:r>
    </w:p>
    <w:p w:rsidR="008C0743" w:rsidP="005E7044" w:rsidRDefault="008C0743" w14:paraId="565DED1A" w14:textId="2734F7E4">
      <w:pPr>
        <w:pStyle w:val="FoF"/>
      </w:pPr>
      <w:r>
        <w:t xml:space="preserve">The </w:t>
      </w:r>
      <w:r w:rsidR="00051685">
        <w:t>ACC Plus glide path</w:t>
      </w:r>
      <w:r>
        <w:t xml:space="preserve"> assists the Commission in addressing the equity issue</w:t>
      </w:r>
      <w:r w:rsidR="00520AD7">
        <w:t>s</w:t>
      </w:r>
      <w:r>
        <w:t xml:space="preserve"> while also addressing the statutory requirement that customer</w:t>
      </w:r>
      <w:r w:rsidR="00827602">
        <w:noBreakHyphen/>
      </w:r>
      <w:r>
        <w:t>sited renewable distributed generation continues to grow sustainably.</w:t>
      </w:r>
    </w:p>
    <w:p w:rsidR="008C0743" w:rsidP="005E7044" w:rsidRDefault="008C0743" w14:paraId="3B4D59B6" w14:textId="392DDAD6">
      <w:pPr>
        <w:pStyle w:val="FoF"/>
      </w:pPr>
      <w:r>
        <w:t xml:space="preserve">The successor tariff balances the requirements of the statute and the </w:t>
      </w:r>
      <w:r w:rsidR="006A2362">
        <w:t>g</w:t>
      </w:r>
      <w:r>
        <w:t xml:space="preserve">uiding </w:t>
      </w:r>
      <w:r w:rsidR="006A2362">
        <w:t>p</w:t>
      </w:r>
      <w:r>
        <w:t>rinciples previously</w:t>
      </w:r>
      <w:r w:rsidRPr="00481749" w:rsidR="00481749">
        <w:t xml:space="preserve"> </w:t>
      </w:r>
      <w:r w:rsidR="00481749">
        <w:t>adopted</w:t>
      </w:r>
      <w:r>
        <w:t xml:space="preserve"> in this proceeding.</w:t>
      </w:r>
    </w:p>
    <w:p w:rsidRPr="00097455" w:rsidR="00AD3419" w:rsidP="005E7044" w:rsidRDefault="00AD3419" w14:paraId="30DAB8B0" w14:textId="51D34CDC">
      <w:pPr>
        <w:pStyle w:val="FoF"/>
      </w:pPr>
      <w:r w:rsidRPr="00097455">
        <w:t>Low</w:t>
      </w:r>
      <w:r w:rsidRPr="00097455" w:rsidR="00827602">
        <w:noBreakHyphen/>
      </w:r>
      <w:r w:rsidRPr="00097455">
        <w:t>income households have financial challenges and barriers to adoption of behind</w:t>
      </w:r>
      <w:r w:rsidRPr="00097455" w:rsidR="00827602">
        <w:noBreakHyphen/>
      </w:r>
      <w:r w:rsidRPr="00097455">
        <w:t>the</w:t>
      </w:r>
      <w:r w:rsidRPr="00097455" w:rsidR="00827602">
        <w:noBreakHyphen/>
      </w:r>
      <w:r w:rsidRPr="00097455">
        <w:t>meter resources.</w:t>
      </w:r>
    </w:p>
    <w:p w:rsidRPr="00265F1B" w:rsidR="00AD3419" w:rsidP="005E7044" w:rsidRDefault="00AD3419" w14:paraId="3DDCBD32" w14:textId="76FA9998">
      <w:pPr>
        <w:pStyle w:val="FoF"/>
      </w:pPr>
      <w:r w:rsidRPr="00097455">
        <w:t>The successor tariff is required to meet many objectives</w:t>
      </w:r>
      <w:r w:rsidRPr="00097455" w:rsidR="0016243D">
        <w:t xml:space="preserve"> </w:t>
      </w:r>
      <w:r w:rsidRPr="00097455" w:rsidR="00051685">
        <w:t xml:space="preserve">in addition </w:t>
      </w:r>
      <w:r w:rsidRPr="00097455" w:rsidR="0016243D">
        <w:t>t</w:t>
      </w:r>
      <w:r w:rsidRPr="00097455" w:rsidR="00051685">
        <w:t>o</w:t>
      </w:r>
      <w:r w:rsidRPr="00097455" w:rsidR="0016243D">
        <w:t xml:space="preserve"> expanding access to low</w:t>
      </w:r>
      <w:r w:rsidRPr="00097455" w:rsidR="00827602">
        <w:noBreakHyphen/>
      </w:r>
      <w:r w:rsidRPr="00097455" w:rsidR="0016243D">
        <w:t>income households</w:t>
      </w:r>
      <w:r w:rsidRPr="00097455">
        <w:t>.</w:t>
      </w:r>
    </w:p>
    <w:p w:rsidR="00EA1C6E" w:rsidP="005E7044" w:rsidRDefault="00EA1C6E" w14:paraId="7C6ADF20" w14:textId="4085F269">
      <w:pPr>
        <w:pStyle w:val="FoF"/>
      </w:pPr>
      <w:r>
        <w:lastRenderedPageBreak/>
        <w:t>The NEM</w:t>
      </w:r>
      <w:r w:rsidR="00F21588">
        <w:t> </w:t>
      </w:r>
      <w:r>
        <w:t>2.0 tariff does not the statutory requirements for the successor tariff.</w:t>
      </w:r>
    </w:p>
    <w:p w:rsidR="0016243D" w:rsidP="005E7044" w:rsidRDefault="0016243D" w14:paraId="6803D8C5" w14:textId="6AB1A503">
      <w:pPr>
        <w:pStyle w:val="FoF"/>
      </w:pPr>
      <w:r>
        <w:t>The Lookback Study found that low</w:t>
      </w:r>
      <w:r w:rsidR="00827602">
        <w:noBreakHyphen/>
      </w:r>
      <w:r>
        <w:t xml:space="preserve">income </w:t>
      </w:r>
      <w:r w:rsidR="00EA1C6E">
        <w:t>customers who participate in NEM</w:t>
      </w:r>
      <w:r w:rsidR="00F21588">
        <w:t> </w:t>
      </w:r>
      <w:r w:rsidR="00EA1C6E">
        <w:t>2.0 receive lower bill savings benefits and experience longer payback periods.</w:t>
      </w:r>
    </w:p>
    <w:p w:rsidR="0016243D" w:rsidP="005E7044" w:rsidRDefault="0016243D" w14:paraId="4A48EF56" w14:textId="7FF9B297">
      <w:pPr>
        <w:pStyle w:val="FoF"/>
      </w:pPr>
      <w:r>
        <w:t>Installation of distributed generation is less frequent in low</w:t>
      </w:r>
      <w:r w:rsidR="00827602">
        <w:noBreakHyphen/>
      </w:r>
      <w:r>
        <w:t xml:space="preserve">income </w:t>
      </w:r>
      <w:r w:rsidR="00A918BC">
        <w:t>households</w:t>
      </w:r>
      <w:r>
        <w:t xml:space="preserve"> </w:t>
      </w:r>
      <w:r w:rsidR="00A918BC">
        <w:t>and disadvantaged communities</w:t>
      </w:r>
      <w:r>
        <w:t>.</w:t>
      </w:r>
    </w:p>
    <w:p w:rsidR="00533B2F" w:rsidP="005E7044" w:rsidRDefault="00A918BC" w14:paraId="001581A5" w14:textId="623DB18B">
      <w:pPr>
        <w:pStyle w:val="FoF"/>
      </w:pPr>
      <w:r>
        <w:t xml:space="preserve">The inability to achieve higher bill savings and reasonable payback periods </w:t>
      </w:r>
      <w:r w:rsidR="00014A35">
        <w:t>are</w:t>
      </w:r>
      <w:r>
        <w:t xml:space="preserve"> barrier</w:t>
      </w:r>
      <w:r w:rsidR="00014A35">
        <w:t>s</w:t>
      </w:r>
      <w:r>
        <w:t xml:space="preserve"> to increased participation by low</w:t>
      </w:r>
      <w:r w:rsidR="00827602">
        <w:noBreakHyphen/>
      </w:r>
      <w:r>
        <w:t xml:space="preserve">income </w:t>
      </w:r>
      <w:r w:rsidR="00D94658">
        <w:t>customers.</w:t>
      </w:r>
    </w:p>
    <w:p w:rsidR="00D94658" w:rsidP="005E7044" w:rsidRDefault="00097455" w14:paraId="166ACA35" w14:textId="1D3D33D0">
      <w:pPr>
        <w:pStyle w:val="FoF"/>
      </w:pPr>
      <w:r>
        <w:t xml:space="preserve">The successor should be designed to meet </w:t>
      </w:r>
      <w:r w:rsidR="00D94658">
        <w:t>the objectives of improved equity and increased participation in low</w:t>
      </w:r>
      <w:r w:rsidR="00827602">
        <w:noBreakHyphen/>
      </w:r>
      <w:r w:rsidR="00D94658">
        <w:t>income households and disadvantaged communities.</w:t>
      </w:r>
    </w:p>
    <w:p w:rsidR="00097455" w:rsidP="005E7044" w:rsidRDefault="00097455" w14:paraId="7E269011" w14:textId="43C35F99">
      <w:pPr>
        <w:pStyle w:val="FoF"/>
      </w:pPr>
      <w:r>
        <w:t>Households enrolled in</w:t>
      </w:r>
      <w:r w:rsidRPr="00BB1A29">
        <w:t xml:space="preserve"> CARE or FERA</w:t>
      </w:r>
      <w:r>
        <w:t xml:space="preserve"> have a lower monthly bill and require the higher adder to get to the targeted nine-year payback period.</w:t>
      </w:r>
    </w:p>
    <w:p w:rsidR="00097455" w:rsidP="005E7044" w:rsidRDefault="00097455" w14:paraId="39373CEF" w14:textId="74D08434">
      <w:pPr>
        <w:pStyle w:val="FoF"/>
      </w:pPr>
      <w:r>
        <w:t>AB</w:t>
      </w:r>
      <w:r w:rsidR="00764A12">
        <w:t> </w:t>
      </w:r>
      <w:r>
        <w:t>327 specifically identified that</w:t>
      </w:r>
      <w:r w:rsidRPr="00B729E3">
        <w:t xml:space="preserve"> alternatives </w:t>
      </w:r>
      <w:r>
        <w:t xml:space="preserve">be </w:t>
      </w:r>
      <w:r w:rsidRPr="00B729E3">
        <w:t xml:space="preserve">designed </w:t>
      </w:r>
      <w:r>
        <w:t>to improve</w:t>
      </w:r>
      <w:r w:rsidRPr="00B729E3">
        <w:t xml:space="preserve"> growth among residential customers in disadvantaged communities</w:t>
      </w:r>
      <w:r>
        <w:t>.</w:t>
      </w:r>
    </w:p>
    <w:p w:rsidR="00097455" w:rsidP="005E7044" w:rsidRDefault="00097455" w14:paraId="21BEB5AE" w14:textId="24ED1AF6">
      <w:pPr>
        <w:pStyle w:val="FoF"/>
      </w:pPr>
      <w:r>
        <w:t>By providing greater ACC Plus adders to CARE- and FERA-enrolled households, households in disadvantaged communities, and households in California Indian Country, the Commission is promoting the growth of distributed generation in these underrepresented communities.</w:t>
      </w:r>
    </w:p>
    <w:p w:rsidR="00097455" w:rsidP="005E7044" w:rsidRDefault="00097455" w14:paraId="373017D3" w14:textId="38C2C08D">
      <w:pPr>
        <w:pStyle w:val="FoF"/>
      </w:pPr>
      <w:r>
        <w:t>Applying the CARE and FERA discount led to low-income NEM</w:t>
      </w:r>
      <w:r w:rsidR="00764A12">
        <w:t> </w:t>
      </w:r>
      <w:r>
        <w:t>2.0 tariff customers receiving lower compensation for exporting electricity back to the grid, which resulted in lower monthly savings and longer payback periods</w:t>
      </w:r>
    </w:p>
    <w:p w:rsidR="00C75F3E" w:rsidP="005E7044" w:rsidRDefault="00C75F3E" w14:paraId="4B7FCC38" w14:textId="7CABF533">
      <w:pPr>
        <w:pStyle w:val="FoF"/>
      </w:pPr>
      <w:r>
        <w:t>Low</w:t>
      </w:r>
      <w:r w:rsidR="00827602">
        <w:noBreakHyphen/>
      </w:r>
      <w:r>
        <w:t>income households have challenges with certain time</w:t>
      </w:r>
      <w:r w:rsidR="00827602">
        <w:noBreakHyphen/>
      </w:r>
      <w:r>
        <w:t>of</w:t>
      </w:r>
      <w:r w:rsidR="00827602">
        <w:noBreakHyphen/>
      </w:r>
      <w:r>
        <w:t>use rates and electrification costs</w:t>
      </w:r>
      <w:r w:rsidR="00DE1350">
        <w:t xml:space="preserve"> due to the difficulty with load-shifting and affordability of smart appliances</w:t>
      </w:r>
      <w:r>
        <w:t>.</w:t>
      </w:r>
    </w:p>
    <w:p w:rsidR="00B45FFD" w:rsidP="005E7044" w:rsidRDefault="00B45FFD" w14:paraId="21AF312C" w14:textId="7DF4EBAB">
      <w:pPr>
        <w:pStyle w:val="FoF"/>
      </w:pPr>
      <w:r>
        <w:lastRenderedPageBreak/>
        <w:t>Analysis of the successor tariff indicates greater bill savings with adoption of electrification rates</w:t>
      </w:r>
      <w:r w:rsidR="00F711E3">
        <w:t xml:space="preserve"> by customers with solar systems paired with storage</w:t>
      </w:r>
      <w:r>
        <w:t>.</w:t>
      </w:r>
    </w:p>
    <w:p w:rsidR="00195513" w:rsidP="005E7044" w:rsidRDefault="00195513" w14:paraId="7CF7321F" w14:textId="253CE675">
      <w:pPr>
        <w:pStyle w:val="FoF"/>
      </w:pPr>
      <w:r>
        <w:t xml:space="preserve">The combination of </w:t>
      </w:r>
      <w:r w:rsidR="007B0D0D">
        <w:t>the</w:t>
      </w:r>
      <w:r w:rsidR="00B45FFD">
        <w:t xml:space="preserve"> ACC Plus </w:t>
      </w:r>
      <w:r>
        <w:t xml:space="preserve">and an equity fund could assist the Commission in meeting the requirement to ensure specific alternatives designed for growth among </w:t>
      </w:r>
      <w:r w:rsidR="00A64B4E">
        <w:t xml:space="preserve">residential </w:t>
      </w:r>
      <w:r>
        <w:t>customers</w:t>
      </w:r>
      <w:r w:rsidR="00A64B4E">
        <w:t xml:space="preserve"> in disadvantaged communities</w:t>
      </w:r>
      <w:r>
        <w:t>.</w:t>
      </w:r>
    </w:p>
    <w:p w:rsidR="00195513" w:rsidP="005E7044" w:rsidRDefault="00B45FFD" w14:paraId="72311A38" w14:textId="3E5847F4">
      <w:pPr>
        <w:pStyle w:val="FoF"/>
      </w:pPr>
      <w:r>
        <w:t>An equity fund has been created by the legislature with the objective of improving access to distributed energy resources technology for low</w:t>
      </w:r>
      <w:r w:rsidR="00827602">
        <w:noBreakHyphen/>
      </w:r>
      <w:r>
        <w:t>income households and disadvantaged communities.</w:t>
      </w:r>
    </w:p>
    <w:p w:rsidR="00B45FFD" w:rsidP="005E7044" w:rsidRDefault="00B45FFD" w14:paraId="13AA20B6" w14:textId="0D79DBB9">
      <w:pPr>
        <w:pStyle w:val="FoF"/>
      </w:pPr>
      <w:r>
        <w:t>A ruling has been issued in R.20</w:t>
      </w:r>
      <w:r w:rsidR="00827602">
        <w:noBreakHyphen/>
      </w:r>
      <w:r>
        <w:t>05</w:t>
      </w:r>
      <w:r w:rsidR="00827602">
        <w:noBreakHyphen/>
      </w:r>
      <w:r>
        <w:t xml:space="preserve">012 asking for comment on implementation of funds pursuant to </w:t>
      </w:r>
      <w:r w:rsidR="00F138A9">
        <w:t>AB </w:t>
      </w:r>
      <w:r>
        <w:t>205, as well as eligibility and deployment requirements.</w:t>
      </w:r>
    </w:p>
    <w:p w:rsidR="00DC453B" w:rsidP="005E7044" w:rsidRDefault="00DC453B" w14:paraId="1949326E" w14:textId="4D139531">
      <w:pPr>
        <w:pStyle w:val="FoF"/>
      </w:pPr>
      <w:r>
        <w:t>A guiding principle in this proceeding is to ensure equity in the successor tariff.</w:t>
      </w:r>
    </w:p>
    <w:p w:rsidR="00DC453B" w:rsidP="005E7044" w:rsidRDefault="00FA3385" w14:paraId="034F4D79" w14:textId="627214C8">
      <w:pPr>
        <w:pStyle w:val="FoF"/>
      </w:pPr>
      <w:r>
        <w:t>The</w:t>
      </w:r>
      <w:r w:rsidR="00DC453B">
        <w:t xml:space="preserve"> Order Instituting Rulemaking </w:t>
      </w:r>
      <w:r>
        <w:t xml:space="preserve">for this proceeding stated </w:t>
      </w:r>
      <w:r w:rsidR="00DC453B">
        <w:t>that this proceeding would coordinate with other relevant proceedings.</w:t>
      </w:r>
    </w:p>
    <w:p w:rsidR="00DC453B" w:rsidP="005E7044" w:rsidRDefault="00340F35" w14:paraId="2F0ADD48" w14:textId="337CFFE8">
      <w:pPr>
        <w:pStyle w:val="FoF"/>
      </w:pPr>
      <w:r>
        <w:t>I</w:t>
      </w:r>
      <w:r w:rsidR="00DC453B">
        <w:t xml:space="preserve">nformation gathered in the affordability proceeding </w:t>
      </w:r>
      <w:r>
        <w:t>(R.18</w:t>
      </w:r>
      <w:r w:rsidR="00827602">
        <w:noBreakHyphen/>
      </w:r>
      <w:r>
        <w:t>07</w:t>
      </w:r>
      <w:r w:rsidR="00827602">
        <w:noBreakHyphen/>
      </w:r>
      <w:r>
        <w:t xml:space="preserve">006) and not in the record of this proceeding </w:t>
      </w:r>
      <w:r w:rsidR="00DC453B">
        <w:t xml:space="preserve">could be helpful in providing a more complete record with respect to the </w:t>
      </w:r>
      <w:r>
        <w:t>low</w:t>
      </w:r>
      <w:r w:rsidR="00827602">
        <w:noBreakHyphen/>
      </w:r>
      <w:r>
        <w:t xml:space="preserve">income </w:t>
      </w:r>
      <w:proofErr w:type="spellStart"/>
      <w:r w:rsidR="00DC453B">
        <w:t>VNEM</w:t>
      </w:r>
      <w:proofErr w:type="spellEnd"/>
      <w:r w:rsidR="00DC453B">
        <w:t xml:space="preserve"> </w:t>
      </w:r>
      <w:proofErr w:type="spellStart"/>
      <w:r w:rsidR="00DE2B90">
        <w:t>sub</w:t>
      </w:r>
      <w:r w:rsidR="00DC453B">
        <w:t>tariff</w:t>
      </w:r>
      <w:proofErr w:type="spellEnd"/>
      <w:r w:rsidR="00DC453B">
        <w:t>.</w:t>
      </w:r>
    </w:p>
    <w:p w:rsidR="00024F8B" w:rsidP="005E7044" w:rsidRDefault="00B45FFD" w14:paraId="0CC75518" w14:textId="2B24C2F1">
      <w:pPr>
        <w:pStyle w:val="FoF"/>
      </w:pPr>
      <w:r>
        <w:t xml:space="preserve">Ongoing triennial </w:t>
      </w:r>
      <w:r w:rsidR="00024F8B">
        <w:t>evaluation</w:t>
      </w:r>
      <w:r>
        <w:t>s</w:t>
      </w:r>
      <w:r w:rsidR="00024F8B">
        <w:t xml:space="preserve"> of the SOMAH program </w:t>
      </w:r>
      <w:r>
        <w:t xml:space="preserve">are being </w:t>
      </w:r>
      <w:r w:rsidR="00024F8B">
        <w:t>conducted, pursuant to D.17</w:t>
      </w:r>
      <w:r w:rsidR="00827602">
        <w:noBreakHyphen/>
      </w:r>
      <w:r w:rsidR="00024F8B">
        <w:t>12</w:t>
      </w:r>
      <w:r w:rsidR="00827602">
        <w:noBreakHyphen/>
      </w:r>
      <w:r w:rsidR="00024F8B">
        <w:t>022.</w:t>
      </w:r>
    </w:p>
    <w:p w:rsidR="00024F8B" w:rsidP="005E7044" w:rsidRDefault="00024F8B" w14:paraId="4A17AD91" w14:textId="7F7A0A43">
      <w:pPr>
        <w:pStyle w:val="FoF"/>
      </w:pPr>
      <w:r>
        <w:t>A report of the SOMAH evaluation has been made public and the information in the evaluation could be useful in determining future changes to the tariff.</w:t>
      </w:r>
    </w:p>
    <w:p w:rsidR="00024F8B" w:rsidP="005E7044" w:rsidRDefault="00024F8B" w14:paraId="2FEC459A" w14:textId="07E8B816">
      <w:pPr>
        <w:pStyle w:val="FoF"/>
      </w:pPr>
      <w:r>
        <w:t>The SOMAH evaluation is not in the record of this proceeding.</w:t>
      </w:r>
    </w:p>
    <w:p w:rsidR="00024F8B" w:rsidP="005E7044" w:rsidRDefault="00024F8B" w14:paraId="7DF373AD" w14:textId="15ED7A99">
      <w:pPr>
        <w:pStyle w:val="FoF"/>
      </w:pPr>
      <w:r>
        <w:lastRenderedPageBreak/>
        <w:t>It is prudent to delay any changes to low</w:t>
      </w:r>
      <w:r w:rsidR="00827602">
        <w:noBreakHyphen/>
      </w:r>
      <w:r>
        <w:t xml:space="preserve">income </w:t>
      </w:r>
      <w:proofErr w:type="spellStart"/>
      <w:r>
        <w:t>subtariffs</w:t>
      </w:r>
      <w:proofErr w:type="spellEnd"/>
      <w:r>
        <w:t xml:space="preserve"> of </w:t>
      </w:r>
      <w:proofErr w:type="spellStart"/>
      <w:r>
        <w:t>VNEM</w:t>
      </w:r>
      <w:proofErr w:type="spellEnd"/>
      <w:r>
        <w:t xml:space="preserve"> until review in this proceeding of findings from the affordability proceeding and the SOMAH evaluation.</w:t>
      </w:r>
    </w:p>
    <w:p w:rsidR="009E1670" w:rsidP="009E1670" w:rsidRDefault="009E1670" w14:paraId="2B6E5B89" w14:textId="77777777">
      <w:pPr>
        <w:pStyle w:val="FoF"/>
      </w:pPr>
      <w:r>
        <w:t xml:space="preserve">The record in this proceeding does not contain a sufficient analysis of the </w:t>
      </w:r>
      <w:proofErr w:type="spellStart"/>
      <w:r>
        <w:t>VNEM</w:t>
      </w:r>
      <w:proofErr w:type="spellEnd"/>
      <w:r>
        <w:t xml:space="preserve"> and NEMA tariffs.  </w:t>
      </w:r>
    </w:p>
    <w:p w:rsidR="009E1670" w:rsidP="00265F1B" w:rsidRDefault="009E1670" w14:paraId="528508DC" w14:textId="6DCF8EC3">
      <w:pPr>
        <w:pStyle w:val="FoF"/>
      </w:pPr>
      <w:r>
        <w:t xml:space="preserve">There is a need to conduct a more thorough analysis of multifamily </w:t>
      </w:r>
      <w:r w:rsidR="00C559BB">
        <w:t>properties</w:t>
      </w:r>
      <w:r>
        <w:t xml:space="preserve"> and rental populations as a separate customer class.</w:t>
      </w:r>
    </w:p>
    <w:p w:rsidR="003B5D3B" w:rsidP="005E7044" w:rsidRDefault="007670A4" w14:paraId="1F94A0F0" w14:textId="7E873880">
      <w:pPr>
        <w:pStyle w:val="FoF"/>
      </w:pPr>
      <w:r>
        <w:t>Ivy E</w:t>
      </w:r>
      <w:r w:rsidR="003B5D3B">
        <w:t xml:space="preserve">nergy demonstrated there is onsite consumption of energy that is generated at multifamily </w:t>
      </w:r>
      <w:r w:rsidR="00C559BB">
        <w:t xml:space="preserve">properties </w:t>
      </w:r>
      <w:r w:rsidR="003B5D3B">
        <w:t xml:space="preserve">interconnected under </w:t>
      </w:r>
      <w:proofErr w:type="spellStart"/>
      <w:r w:rsidR="003B5D3B">
        <w:t>VNEM</w:t>
      </w:r>
      <w:proofErr w:type="spellEnd"/>
      <w:r w:rsidR="003B5D3B">
        <w:t>; Joint Utilities do not dispute this claim in briefs.</w:t>
      </w:r>
    </w:p>
    <w:p w:rsidR="003B5D3B" w:rsidP="005E7044" w:rsidRDefault="003B5D3B" w14:paraId="571D9D60" w14:textId="1E6C7401">
      <w:pPr>
        <w:pStyle w:val="FoF"/>
      </w:pPr>
      <w:r>
        <w:t xml:space="preserve">It is reasonable to affirm that </w:t>
      </w:r>
      <w:proofErr w:type="spellStart"/>
      <w:r>
        <w:t>VNEM</w:t>
      </w:r>
      <w:proofErr w:type="spellEnd"/>
      <w:r>
        <w:t xml:space="preserve"> provides benefits to the grid similar to that of the </w:t>
      </w:r>
      <w:r w:rsidR="00602BC5">
        <w:t>NEM 2.0</w:t>
      </w:r>
      <w:r w:rsidR="00135D55">
        <w:t xml:space="preserve"> </w:t>
      </w:r>
      <w:r>
        <w:t>tariff.</w:t>
      </w:r>
    </w:p>
    <w:p w:rsidR="00C9491C" w:rsidP="005E7044" w:rsidRDefault="00C9491C" w14:paraId="57888D4A" w14:textId="41848665">
      <w:pPr>
        <w:pStyle w:val="FoF"/>
      </w:pPr>
      <w:proofErr w:type="spellStart"/>
      <w:r>
        <w:t>VNEM</w:t>
      </w:r>
      <w:proofErr w:type="spellEnd"/>
      <w:r>
        <w:t xml:space="preserve"> is for multi</w:t>
      </w:r>
      <w:r w:rsidR="00827602">
        <w:noBreakHyphen/>
      </w:r>
      <w:r w:rsidR="00782F23">
        <w:t>tenant</w:t>
      </w:r>
      <w:r>
        <w:t xml:space="preserve"> buildings </w:t>
      </w:r>
      <w:r w:rsidR="00782F23">
        <w:t xml:space="preserve">and is </w:t>
      </w:r>
      <w:r>
        <w:t>designed to facilitate a virtual metering billing arrangement.</w:t>
      </w:r>
    </w:p>
    <w:p w:rsidR="00C9491C" w:rsidP="005E7044" w:rsidRDefault="00C9491C" w14:paraId="618C2A8B" w14:textId="5A037D03">
      <w:pPr>
        <w:pStyle w:val="FoF"/>
      </w:pPr>
      <w:r>
        <w:t xml:space="preserve">NEMA is available to a single customer that has </w:t>
      </w:r>
      <w:r w:rsidR="00567304">
        <w:t xml:space="preserve">a </w:t>
      </w:r>
      <w:r>
        <w:t xml:space="preserve">generating </w:t>
      </w:r>
      <w:r w:rsidR="00567304">
        <w:t xml:space="preserve">facility or </w:t>
      </w:r>
      <w:r>
        <w:t>facilities on adjacent or contiguous properties and allows for aggregation as if on one site.</w:t>
      </w:r>
    </w:p>
    <w:p w:rsidR="00C9491C" w:rsidP="005E7044" w:rsidRDefault="00C9491C" w14:paraId="7658116A" w14:textId="5F9A7EF6">
      <w:pPr>
        <w:pStyle w:val="FoF"/>
      </w:pPr>
      <w:proofErr w:type="spellStart"/>
      <w:r>
        <w:t>VNEM</w:t>
      </w:r>
      <w:proofErr w:type="spellEnd"/>
      <w:r>
        <w:t xml:space="preserve"> and NEMA serve separate purposes and generally have separate customer bases</w:t>
      </w:r>
      <w:r w:rsidR="00555CC0">
        <w:t xml:space="preserve">:  </w:t>
      </w:r>
      <w:proofErr w:type="spellStart"/>
      <w:r>
        <w:t>VNEM</w:t>
      </w:r>
      <w:proofErr w:type="spellEnd"/>
      <w:r>
        <w:t xml:space="preserve"> for </w:t>
      </w:r>
      <w:r w:rsidR="00E17128">
        <w:t>multi</w:t>
      </w:r>
      <w:r w:rsidR="00827602">
        <w:noBreakHyphen/>
      </w:r>
      <w:r w:rsidR="00782F23">
        <w:t>tenant</w:t>
      </w:r>
      <w:r w:rsidR="00CA4DE1">
        <w:t xml:space="preserve"> </w:t>
      </w:r>
      <w:r>
        <w:t>customers and NEMA for agricultural customers.</w:t>
      </w:r>
    </w:p>
    <w:p w:rsidR="00C9491C" w:rsidP="005E7044" w:rsidRDefault="00C9491C" w14:paraId="00926152" w14:textId="0E5981FC">
      <w:pPr>
        <w:pStyle w:val="FoF"/>
      </w:pPr>
      <w:r>
        <w:t xml:space="preserve">The current </w:t>
      </w:r>
      <w:proofErr w:type="spellStart"/>
      <w:r>
        <w:t>VNEM</w:t>
      </w:r>
      <w:proofErr w:type="spellEnd"/>
      <w:r>
        <w:t xml:space="preserve"> </w:t>
      </w:r>
      <w:proofErr w:type="spellStart"/>
      <w:r w:rsidR="00DE2B90">
        <w:t>sub</w:t>
      </w:r>
      <w:r>
        <w:t>tariff</w:t>
      </w:r>
      <w:proofErr w:type="spellEnd"/>
      <w:r>
        <w:t xml:space="preserve"> allows multiple arrays but requires each array to serve a subset of customers on the </w:t>
      </w:r>
      <w:r w:rsidR="00EB10DF">
        <w:t>property.</w:t>
      </w:r>
    </w:p>
    <w:p w:rsidR="00EB10DF" w:rsidP="005E7044" w:rsidRDefault="00EB10DF" w14:paraId="4500EB86" w14:textId="61C60477">
      <w:pPr>
        <w:pStyle w:val="FoF"/>
      </w:pPr>
      <w:r>
        <w:t xml:space="preserve">Joint Utilities point to no engineering or policy reason why multiple solar arrays on one property should not be treated as one generator </w:t>
      </w:r>
      <w:r w:rsidR="00691928">
        <w:t>o</w:t>
      </w:r>
      <w:r>
        <w:t xml:space="preserve">n the </w:t>
      </w:r>
      <w:proofErr w:type="spellStart"/>
      <w:r>
        <w:t>VNEM</w:t>
      </w:r>
      <w:proofErr w:type="spellEnd"/>
      <w:r>
        <w:t xml:space="preserve"> </w:t>
      </w:r>
      <w:proofErr w:type="spellStart"/>
      <w:r w:rsidR="00DE2B90">
        <w:t>sub</w:t>
      </w:r>
      <w:r>
        <w:t>tariff</w:t>
      </w:r>
      <w:proofErr w:type="spellEnd"/>
      <w:r>
        <w:t>, with credits allocated across the property.</w:t>
      </w:r>
    </w:p>
    <w:p w:rsidR="00EB10DF" w:rsidP="005E7044" w:rsidRDefault="00EB10DF" w14:paraId="44A611FA" w14:textId="7213608E">
      <w:pPr>
        <w:pStyle w:val="FoF"/>
      </w:pPr>
      <w:r>
        <w:lastRenderedPageBreak/>
        <w:t xml:space="preserve">Many apartment complexes contain more than one building and often require the use of separate roof surfaces and points of interconnection for </w:t>
      </w:r>
      <w:proofErr w:type="spellStart"/>
      <w:r>
        <w:t>VNEM</w:t>
      </w:r>
      <w:proofErr w:type="spellEnd"/>
      <w:r>
        <w:t>.</w:t>
      </w:r>
    </w:p>
    <w:p w:rsidR="00691928" w:rsidP="005E7044" w:rsidRDefault="00691928" w14:paraId="7925ECAC" w14:textId="328C5538">
      <w:pPr>
        <w:pStyle w:val="FoF"/>
      </w:pPr>
      <w:r>
        <w:t>Treating multiple solar arrays on one property as one generator is reasonable</w:t>
      </w:r>
      <w:r w:rsidR="00D36F39">
        <w:t>,</w:t>
      </w:r>
      <w:r>
        <w:t xml:space="preserve"> efficient</w:t>
      </w:r>
      <w:r w:rsidR="00D36F39">
        <w:t>,</w:t>
      </w:r>
      <w:r w:rsidR="00B828F5">
        <w:t xml:space="preserve"> and aligns with existing MASH and SOMAH </w:t>
      </w:r>
      <w:proofErr w:type="spellStart"/>
      <w:r w:rsidR="00B828F5">
        <w:t>VNEM</w:t>
      </w:r>
      <w:proofErr w:type="spellEnd"/>
      <w:r w:rsidR="00B828F5">
        <w:t xml:space="preserve"> </w:t>
      </w:r>
      <w:proofErr w:type="spellStart"/>
      <w:r w:rsidR="00B828F5">
        <w:t>subtariffs</w:t>
      </w:r>
      <w:proofErr w:type="spellEnd"/>
      <w:r>
        <w:t>.</w:t>
      </w:r>
    </w:p>
    <w:p w:rsidR="00691928" w:rsidP="005E7044" w:rsidRDefault="00691928" w14:paraId="3EF57068" w14:textId="77777777">
      <w:pPr>
        <w:pStyle w:val="FoF"/>
      </w:pPr>
      <w:r>
        <w:t>There are aspects of community solar that are being discussed or considered in other proceedings.</w:t>
      </w:r>
    </w:p>
    <w:p w:rsidR="00EB10DF" w:rsidP="005E7044" w:rsidRDefault="008449E7" w14:paraId="6C6C253D" w14:textId="38C0DC0E">
      <w:pPr>
        <w:pStyle w:val="FoF"/>
      </w:pPr>
      <w:r>
        <w:t>In</w:t>
      </w:r>
      <w:r w:rsidR="009B661D">
        <w:t xml:space="preserve"> consolidated Applications </w:t>
      </w:r>
      <w:r>
        <w:t>A.22</w:t>
      </w:r>
      <w:r w:rsidR="00827602">
        <w:noBreakHyphen/>
      </w:r>
      <w:r>
        <w:t>05</w:t>
      </w:r>
      <w:r w:rsidR="00827602">
        <w:noBreakHyphen/>
      </w:r>
      <w:r>
        <w:t xml:space="preserve">022, </w:t>
      </w:r>
      <w:r w:rsidR="009B661D">
        <w:t>A.22</w:t>
      </w:r>
      <w:r w:rsidR="00827602">
        <w:noBreakHyphen/>
      </w:r>
      <w:r w:rsidR="009B661D">
        <w:t>05</w:t>
      </w:r>
      <w:r w:rsidR="00827602">
        <w:noBreakHyphen/>
      </w:r>
      <w:r w:rsidR="009B661D">
        <w:t>023, and A.22</w:t>
      </w:r>
      <w:r w:rsidR="00827602">
        <w:noBreakHyphen/>
      </w:r>
      <w:r w:rsidR="009B661D">
        <w:t>05</w:t>
      </w:r>
      <w:r w:rsidR="00827602">
        <w:noBreakHyphen/>
      </w:r>
      <w:r w:rsidR="009B661D">
        <w:t xml:space="preserve">024 </w:t>
      </w:r>
      <w:r>
        <w:t>the Commission is reviewing utility applications for the Green Tariff Shared Renewables program, Disadvantaged Communities Green Tariff program, and Community Solar Green Tariff program</w:t>
      </w:r>
      <w:r w:rsidR="00691928">
        <w:t>.</w:t>
      </w:r>
    </w:p>
    <w:p w:rsidR="00E17128" w:rsidP="005E7044" w:rsidRDefault="00E17128" w14:paraId="1E1A1589" w14:textId="11AF5E28">
      <w:pPr>
        <w:pStyle w:val="FoF"/>
      </w:pPr>
      <w:r>
        <w:t xml:space="preserve">It is premature to adopt a Community Solar tariff or </w:t>
      </w:r>
      <w:proofErr w:type="spellStart"/>
      <w:r>
        <w:t>subtariff</w:t>
      </w:r>
      <w:proofErr w:type="spellEnd"/>
      <w:r>
        <w:t xml:space="preserve"> </w:t>
      </w:r>
      <w:r w:rsidR="008449E7">
        <w:t>in this decision</w:t>
      </w:r>
      <w:r>
        <w:t>.</w:t>
      </w:r>
    </w:p>
    <w:p w:rsidR="00691928" w:rsidP="005E7044" w:rsidRDefault="00691928" w14:paraId="08A92DEE" w14:textId="366455A8">
      <w:pPr>
        <w:pStyle w:val="FoF"/>
      </w:pPr>
      <w:r>
        <w:t>In D.16</w:t>
      </w:r>
      <w:r w:rsidR="00827602">
        <w:noBreakHyphen/>
      </w:r>
      <w:r>
        <w:t>01</w:t>
      </w:r>
      <w:r w:rsidR="00827602">
        <w:noBreakHyphen/>
      </w:r>
      <w:r>
        <w:t xml:space="preserve">044, determinations regarding </w:t>
      </w:r>
      <w:r w:rsidR="005C7B6E">
        <w:t xml:space="preserve">the </w:t>
      </w:r>
      <w:r w:rsidR="00602BC5">
        <w:t>NEM 2.0</w:t>
      </w:r>
      <w:r w:rsidR="00135D55">
        <w:t xml:space="preserve"> </w:t>
      </w:r>
      <w:r w:rsidR="005C7B6E">
        <w:t xml:space="preserve">tariff </w:t>
      </w:r>
      <w:r>
        <w:t>were made at a transitional moment without the advantage of a quantitively informed basis.</w:t>
      </w:r>
    </w:p>
    <w:p w:rsidR="00691928" w:rsidP="005E7044" w:rsidRDefault="00691928" w14:paraId="5D53C399" w14:textId="77777777">
      <w:pPr>
        <w:pStyle w:val="FoF"/>
      </w:pPr>
      <w:r>
        <w:t>The Commission now has the data to make an informed decision on a successor tariff.</w:t>
      </w:r>
    </w:p>
    <w:p w:rsidR="00691928" w:rsidP="005E7044" w:rsidRDefault="00691928" w14:paraId="7183B100" w14:textId="0EF90DC3">
      <w:pPr>
        <w:pStyle w:val="FoF"/>
      </w:pPr>
      <w:r>
        <w:t xml:space="preserve">The Lookback Study found that </w:t>
      </w:r>
      <w:r w:rsidR="00602BC5">
        <w:t>NEM 2.0</w:t>
      </w:r>
      <w:r w:rsidR="00135D55">
        <w:t xml:space="preserve"> </w:t>
      </w:r>
      <w:r>
        <w:t>is not cost</w:t>
      </w:r>
      <w:r w:rsidR="00827602">
        <w:noBreakHyphen/>
      </w:r>
      <w:r>
        <w:t>effective, has negatively impacted non</w:t>
      </w:r>
      <w:r w:rsidR="00827602">
        <w:noBreakHyphen/>
      </w:r>
      <w:r>
        <w:t>participant ratepayers, and has disproportionately harmed low</w:t>
      </w:r>
      <w:r w:rsidR="00827602">
        <w:noBreakHyphen/>
      </w:r>
      <w:r>
        <w:t>income customers.</w:t>
      </w:r>
    </w:p>
    <w:p w:rsidR="00691928" w:rsidP="005E7044" w:rsidRDefault="00691928" w14:paraId="642A46D5" w14:textId="7266AACC">
      <w:pPr>
        <w:pStyle w:val="FoF"/>
      </w:pPr>
      <w:bookmarkStart w:name="_Hlk118731361" w:id="267"/>
      <w:r>
        <w:t xml:space="preserve">The </w:t>
      </w:r>
      <w:r w:rsidR="00034C91">
        <w:t xml:space="preserve">estimated </w:t>
      </w:r>
      <w:r>
        <w:t xml:space="preserve">cost shift from </w:t>
      </w:r>
      <w:r w:rsidR="005C7B6E">
        <w:t xml:space="preserve">the </w:t>
      </w:r>
      <w:r w:rsidR="00602BC5">
        <w:t>NEM 2.0</w:t>
      </w:r>
      <w:r w:rsidR="00135D55">
        <w:t xml:space="preserve"> </w:t>
      </w:r>
      <w:r w:rsidR="005C7B6E">
        <w:t xml:space="preserve">tariff </w:t>
      </w:r>
      <w:r>
        <w:t>ranges between $1</w:t>
      </w:r>
      <w:r w:rsidR="002268EB">
        <w:t> billion</w:t>
      </w:r>
      <w:r>
        <w:t xml:space="preserve"> and $3.4</w:t>
      </w:r>
      <w:r w:rsidR="002268EB">
        <w:t> billion</w:t>
      </w:r>
      <w:r w:rsidR="00794757">
        <w:t xml:space="preserve"> annually</w:t>
      </w:r>
      <w:r>
        <w:t>.</w:t>
      </w:r>
    </w:p>
    <w:bookmarkEnd w:id="267"/>
    <w:p w:rsidR="00691928" w:rsidP="005E7044" w:rsidRDefault="00691928" w14:paraId="44EC40B4" w14:textId="418375D1">
      <w:pPr>
        <w:pStyle w:val="FoF"/>
      </w:pPr>
      <w:r>
        <w:t xml:space="preserve">The changes made to the net energy metering tariff in </w:t>
      </w:r>
      <w:r w:rsidR="0034029C">
        <w:t>Section 8</w:t>
      </w:r>
      <w:r>
        <w:t xml:space="preserve">.5 above do nothing to tackle </w:t>
      </w:r>
      <w:r w:rsidR="005C7B6E">
        <w:t>the</w:t>
      </w:r>
      <w:r>
        <w:t xml:space="preserve"> cost shift</w:t>
      </w:r>
      <w:r w:rsidR="00782F23">
        <w:t xml:space="preserve"> created by </w:t>
      </w:r>
      <w:r w:rsidR="00602BC5">
        <w:t>NEM</w:t>
      </w:r>
      <w:r w:rsidR="002F5949">
        <w:t> </w:t>
      </w:r>
      <w:r w:rsidR="00602BC5">
        <w:t>1.0</w:t>
      </w:r>
      <w:r w:rsidR="00782F23">
        <w:t xml:space="preserve"> and </w:t>
      </w:r>
      <w:r w:rsidR="00602BC5">
        <w:t>NEM</w:t>
      </w:r>
      <w:r w:rsidR="002F5949">
        <w:t> </w:t>
      </w:r>
      <w:r w:rsidR="00602BC5">
        <w:t>2.0</w:t>
      </w:r>
      <w:r w:rsidR="00782F23">
        <w:t xml:space="preserve"> customers</w:t>
      </w:r>
      <w:r>
        <w:t xml:space="preserve">; the changes only attempt to prevent or limit additional cost shift from new customers </w:t>
      </w:r>
      <w:r w:rsidR="005C7B6E">
        <w:t>enrolling in</w:t>
      </w:r>
      <w:r>
        <w:t xml:space="preserve"> the successor tariff.</w:t>
      </w:r>
    </w:p>
    <w:p w:rsidR="00691928" w:rsidP="005E7044" w:rsidRDefault="00602BC5" w14:paraId="1730A485" w14:textId="3FF8AC0C">
      <w:pPr>
        <w:pStyle w:val="FoF"/>
      </w:pPr>
      <w:r>
        <w:lastRenderedPageBreak/>
        <w:t>NEM 1.0</w:t>
      </w:r>
      <w:r w:rsidR="00691928">
        <w:t xml:space="preserve"> and </w:t>
      </w:r>
      <w:r>
        <w:t>NEM 2.0</w:t>
      </w:r>
      <w:r w:rsidR="00135D55">
        <w:t xml:space="preserve"> </w:t>
      </w:r>
      <w:r w:rsidR="00691928">
        <w:t xml:space="preserve">are </w:t>
      </w:r>
      <w:r w:rsidR="009B661D">
        <w:t>with</w:t>
      </w:r>
      <w:r w:rsidR="00691928">
        <w:t xml:space="preserve">in the scope of </w:t>
      </w:r>
      <w:r w:rsidR="004C6558">
        <w:t>Issue 6</w:t>
      </w:r>
      <w:r w:rsidR="00691928">
        <w:t>.</w:t>
      </w:r>
    </w:p>
    <w:p w:rsidR="00691928" w:rsidP="005E7044" w:rsidRDefault="00691928" w14:paraId="40243F29" w14:textId="23C1CBFE">
      <w:pPr>
        <w:pStyle w:val="FoF"/>
      </w:pPr>
      <w:r>
        <w:t>In D.16</w:t>
      </w:r>
      <w:r w:rsidR="00827602">
        <w:noBreakHyphen/>
      </w:r>
      <w:r>
        <w:t>01</w:t>
      </w:r>
      <w:r w:rsidR="00827602">
        <w:noBreakHyphen/>
      </w:r>
      <w:r>
        <w:t xml:space="preserve">044, the Commission established a legacy period of 20 years from a customers’ interconnection date as a reasonable period over which the customer should be eligible to continue taking service under the </w:t>
      </w:r>
      <w:r w:rsidR="00602BC5">
        <w:t>NEM 2.0</w:t>
      </w:r>
      <w:r w:rsidR="00135D55">
        <w:t xml:space="preserve"> </w:t>
      </w:r>
      <w:r>
        <w:t>tariff.</w:t>
      </w:r>
    </w:p>
    <w:p w:rsidR="00691928" w:rsidP="005E7044" w:rsidRDefault="00DB4129" w14:paraId="4997CE40" w14:textId="1D06881F">
      <w:pPr>
        <w:pStyle w:val="FoF"/>
      </w:pPr>
      <w:r>
        <w:t xml:space="preserve">The </w:t>
      </w:r>
      <w:r w:rsidR="00691928">
        <w:t xml:space="preserve">choice regarding changes to </w:t>
      </w:r>
      <w:r w:rsidR="00602BC5">
        <w:t>NEM 1.0</w:t>
      </w:r>
      <w:r w:rsidR="00691928">
        <w:t xml:space="preserve"> and </w:t>
      </w:r>
      <w:r w:rsidR="00602BC5">
        <w:t>NEM 2.0</w:t>
      </w:r>
      <w:r w:rsidR="00135D55">
        <w:t xml:space="preserve"> </w:t>
      </w:r>
      <w:r w:rsidR="00691928">
        <w:t>result in an inequity to one of two groups</w:t>
      </w:r>
      <w:r w:rsidR="00555CC0">
        <w:t xml:space="preserve">:  </w:t>
      </w:r>
      <w:r w:rsidR="00691928">
        <w:t>nonparticipant ratepayers or legacy customer ratepayers.</w:t>
      </w:r>
    </w:p>
    <w:p w:rsidR="00691928" w:rsidP="005E7044" w:rsidRDefault="00691928" w14:paraId="5FD05C98" w14:textId="7EF7CCC0">
      <w:pPr>
        <w:pStyle w:val="FoF"/>
      </w:pPr>
      <w:r>
        <w:t xml:space="preserve">Public Utilities Code </w:t>
      </w:r>
      <w:r w:rsidR="0034029C">
        <w:t>Section 2</w:t>
      </w:r>
      <w:r>
        <w:t xml:space="preserve">827.1 and </w:t>
      </w:r>
      <w:r w:rsidR="00DB4129">
        <w:t xml:space="preserve">the </w:t>
      </w:r>
      <w:r>
        <w:t xml:space="preserve">guiding principles do not rank the requirements for the successor tariff </w:t>
      </w:r>
      <w:r w:rsidR="009B661D">
        <w:t>or</w:t>
      </w:r>
      <w:r>
        <w:t xml:space="preserve"> tell </w:t>
      </w:r>
      <w:r w:rsidR="00DE2B90">
        <w:t xml:space="preserve">the Commission </w:t>
      </w:r>
      <w:r>
        <w:t>whose needs should come first</w:t>
      </w:r>
      <w:r w:rsidR="00555CC0">
        <w:t xml:space="preserve">:  </w:t>
      </w:r>
      <w:r>
        <w:t>the needs of a particular group of customers, the environment, or the grid.</w:t>
      </w:r>
    </w:p>
    <w:p w:rsidR="00691928" w:rsidP="005E7044" w:rsidRDefault="00691928" w14:paraId="577D09E9" w14:textId="59F74820">
      <w:pPr>
        <w:pStyle w:val="FoF"/>
      </w:pPr>
      <w:r>
        <w:t xml:space="preserve">Determining whether to revise </w:t>
      </w:r>
      <w:r w:rsidR="009B661D">
        <w:t xml:space="preserve">the </w:t>
      </w:r>
      <w:r w:rsidR="00602BC5">
        <w:t>NEM 1.0</w:t>
      </w:r>
      <w:r>
        <w:t xml:space="preserve"> and </w:t>
      </w:r>
      <w:r w:rsidR="00602BC5">
        <w:t>NEM 2.0</w:t>
      </w:r>
      <w:r w:rsidR="00135D55">
        <w:t xml:space="preserve"> </w:t>
      </w:r>
      <w:r>
        <w:t>tariffs requires balancing various and competing requirements, and impacts participants, nonparticipants, the grid, and the environment.</w:t>
      </w:r>
    </w:p>
    <w:p w:rsidR="008449E7" w:rsidP="005E7044" w:rsidRDefault="008449E7" w14:paraId="75AD9DED" w14:textId="526707BF">
      <w:pPr>
        <w:pStyle w:val="FoF"/>
      </w:pPr>
      <w:r>
        <w:t>In R.22</w:t>
      </w:r>
      <w:r w:rsidR="00827602">
        <w:noBreakHyphen/>
      </w:r>
      <w:r>
        <w:t>07</w:t>
      </w:r>
      <w:r w:rsidR="00827602">
        <w:noBreakHyphen/>
      </w:r>
      <w:r>
        <w:t>005, the Commission will consider the establishment of a fixed charge for all residential customers who use the grid.</w:t>
      </w:r>
    </w:p>
    <w:p w:rsidR="00691928" w:rsidP="005E7044" w:rsidRDefault="008449E7" w14:paraId="6E697FB6" w14:textId="47506CE6">
      <w:pPr>
        <w:pStyle w:val="FoF"/>
      </w:pPr>
      <w:r>
        <w:t>The fixed charge proposed in R.22</w:t>
      </w:r>
      <w:r w:rsidR="00827602">
        <w:noBreakHyphen/>
      </w:r>
      <w:r>
        <w:t>07</w:t>
      </w:r>
      <w:r w:rsidR="00827602">
        <w:noBreakHyphen/>
      </w:r>
      <w:r>
        <w:t>005 is intended to recover certain authorized utility costs that are currently collected through volumetric components of electricity bills</w:t>
      </w:r>
      <w:r w:rsidR="00691928">
        <w:t>.</w:t>
      </w:r>
    </w:p>
    <w:p w:rsidR="008449E7" w:rsidP="005E7044" w:rsidRDefault="008449E7" w14:paraId="1513C81D" w14:textId="42005741">
      <w:pPr>
        <w:pStyle w:val="FoF"/>
      </w:pPr>
      <w:r>
        <w:t>The record of this proceeding indicates</w:t>
      </w:r>
      <w:r w:rsidR="009B661D">
        <w:t xml:space="preserve"> that</w:t>
      </w:r>
      <w:r>
        <w:t xml:space="preserve"> changes to each utility’s billing systems and supporting platforms to bill customers on the successor tariff will take 12 to 24 months </w:t>
      </w:r>
      <w:r w:rsidR="009B661D">
        <w:t xml:space="preserve">to upgrade </w:t>
      </w:r>
      <w:r>
        <w:t>following the adoption of a final decision.</w:t>
      </w:r>
    </w:p>
    <w:p w:rsidR="008449E7" w:rsidP="005E7044" w:rsidRDefault="008449E7" w14:paraId="0448A427" w14:textId="1EB930E7">
      <w:pPr>
        <w:pStyle w:val="FoF"/>
      </w:pPr>
      <w:r>
        <w:t>System completion following an interconnection application can be delayed for a host of reasons not in the customer’s control.</w:t>
      </w:r>
    </w:p>
    <w:p w:rsidR="008449E7" w:rsidP="005E7044" w:rsidRDefault="008449E7" w14:paraId="4195D925" w14:textId="73EB2515">
      <w:pPr>
        <w:pStyle w:val="FoF"/>
      </w:pPr>
      <w:r>
        <w:t xml:space="preserve">It is reasonable to define the interconnection application date as the submission date of an application that is free of major deficiencies and includes a </w:t>
      </w:r>
      <w:r>
        <w:lastRenderedPageBreak/>
        <w:t>complete application, a signed contract, a single</w:t>
      </w:r>
      <w:r w:rsidR="00827602">
        <w:noBreakHyphen/>
      </w:r>
      <w:r>
        <w:t xml:space="preserve">line diagram, a complete </w:t>
      </w:r>
      <w:proofErr w:type="spellStart"/>
      <w:r>
        <w:t>CSLB</w:t>
      </w:r>
      <w:proofErr w:type="spellEnd"/>
      <w:r>
        <w:t xml:space="preserve"> Solar Energy System Disclosure Document, a signed California Solar Consumer Protection Guide</w:t>
      </w:r>
      <w:r w:rsidR="00782F23">
        <w:t>, and an oversizing attestation (if applicable)</w:t>
      </w:r>
      <w:r>
        <w:t>.</w:t>
      </w:r>
    </w:p>
    <w:p w:rsidR="001425A4" w:rsidP="005E7044" w:rsidRDefault="001425A4" w14:paraId="0E9C9639" w14:textId="0A235396">
      <w:pPr>
        <w:pStyle w:val="FoF"/>
      </w:pPr>
      <w:r>
        <w:t xml:space="preserve">A Sunset Period will protect customers who are in the process of contracting for </w:t>
      </w:r>
      <w:r w:rsidR="00602BC5">
        <w:t>NEM 2.0</w:t>
      </w:r>
      <w:r w:rsidR="00135D55">
        <w:t xml:space="preserve"> </w:t>
      </w:r>
      <w:r>
        <w:t>tariff service when this decision is adopted.</w:t>
      </w:r>
    </w:p>
    <w:p w:rsidR="00691928" w:rsidP="005E7044" w:rsidRDefault="001425A4" w14:paraId="4AEF7430" w14:textId="26BBBEFE">
      <w:pPr>
        <w:pStyle w:val="FoF"/>
      </w:pPr>
      <w:r w:rsidRPr="00F036C6">
        <w:t xml:space="preserve">Reducing benefits to customers taking interim service on the </w:t>
      </w:r>
      <w:r w:rsidR="00602BC5">
        <w:t>NEM 2.0</w:t>
      </w:r>
      <w:r w:rsidR="00135D55">
        <w:t xml:space="preserve"> </w:t>
      </w:r>
      <w:r w:rsidRPr="00F036C6">
        <w:t>tariff following the Sunset Period would add an unnecessary layer of complexity</w:t>
      </w:r>
      <w:r w:rsidR="00691928">
        <w:t>.</w:t>
      </w:r>
    </w:p>
    <w:p w:rsidR="00925E6F" w:rsidP="005E7044" w:rsidRDefault="00925E6F" w14:paraId="4DA9E331" w14:textId="7B10A478">
      <w:pPr>
        <w:pStyle w:val="FoF"/>
      </w:pPr>
      <w:r>
        <w:t>Billing system upgrades for each of the utilities are currently in progress.</w:t>
      </w:r>
    </w:p>
    <w:p w:rsidR="00925E6F" w:rsidP="005E7044" w:rsidRDefault="00386D6A" w14:paraId="48827D83" w14:textId="694C294A">
      <w:pPr>
        <w:pStyle w:val="FoF"/>
      </w:pPr>
      <w:r>
        <w:t xml:space="preserve">The utilities’ request </w:t>
      </w:r>
      <w:r w:rsidR="003E03AE">
        <w:t xml:space="preserve">for additional time to </w:t>
      </w:r>
      <w:r w:rsidR="00925E6F">
        <w:t>implement the</w:t>
      </w:r>
      <w:r w:rsidR="003E03AE">
        <w:t>ir</w:t>
      </w:r>
      <w:r w:rsidR="00925E6F">
        <w:t xml:space="preserve"> billing system upgrades is unreasonable.</w:t>
      </w:r>
    </w:p>
    <w:p w:rsidR="00925E6F" w:rsidP="005E7044" w:rsidRDefault="00925E6F" w14:paraId="50EE6A93" w14:textId="10ECE893">
      <w:pPr>
        <w:pStyle w:val="FoF"/>
      </w:pPr>
      <w:r>
        <w:t xml:space="preserve">Between the </w:t>
      </w:r>
      <w:r w:rsidR="00602BC5">
        <w:t>NEM 2.0</w:t>
      </w:r>
      <w:r w:rsidR="00135D55">
        <w:t xml:space="preserve"> </w:t>
      </w:r>
      <w:r>
        <w:t xml:space="preserve">tariff sunset date and </w:t>
      </w:r>
      <w:r w:rsidR="00080E90">
        <w:t>Step 5</w:t>
      </w:r>
      <w:r>
        <w:t xml:space="preserve">, pausing any transitions of </w:t>
      </w:r>
      <w:r w:rsidR="00602BC5">
        <w:t>NEM 1.0</w:t>
      </w:r>
      <w:r>
        <w:t xml:space="preserve"> tariff customers to the </w:t>
      </w:r>
      <w:r w:rsidR="00602BC5">
        <w:t>NEM 2.0</w:t>
      </w:r>
      <w:r w:rsidR="00135D55">
        <w:t xml:space="preserve"> </w:t>
      </w:r>
      <w:r>
        <w:t>tariff that would normally occur will eliminate</w:t>
      </w:r>
      <w:r w:rsidR="00386D6A">
        <w:t>s</w:t>
      </w:r>
      <w:r>
        <w:t xml:space="preserve"> the need for customers to understand a tariff on which they would only take service for a short period of time.</w:t>
      </w:r>
    </w:p>
    <w:p w:rsidR="00925E6F" w:rsidP="005E7044" w:rsidRDefault="00925E6F" w14:paraId="3308313F" w14:textId="534B8F6B">
      <w:pPr>
        <w:pStyle w:val="FoF"/>
      </w:pPr>
      <w:r>
        <w:t>A one</w:t>
      </w:r>
      <w:r w:rsidR="00827602">
        <w:noBreakHyphen/>
      </w:r>
      <w:r>
        <w:t xml:space="preserve">year implementation </w:t>
      </w:r>
      <w:r w:rsidR="00386D6A">
        <w:t>period for</w:t>
      </w:r>
      <w:r>
        <w:t xml:space="preserve"> the successor tariff will allow behind</w:t>
      </w:r>
      <w:r w:rsidR="00827602">
        <w:noBreakHyphen/>
      </w:r>
      <w:r>
        <w:t>the</w:t>
      </w:r>
      <w:r w:rsidR="00827602">
        <w:noBreakHyphen/>
      </w:r>
      <w:r>
        <w:t>meter industry providers to sufficiently train their sales force and customer service representatives, and revise marketing material and contracts</w:t>
      </w:r>
      <w:r w:rsidR="005913E2">
        <w:t>;</w:t>
      </w:r>
      <w:r>
        <w:t xml:space="preserve"> and prevent additional contribution to the cost shift, ensure the compensation for these services is cost</w:t>
      </w:r>
      <w:r w:rsidR="00827602">
        <w:noBreakHyphen/>
      </w:r>
      <w:r>
        <w:t xml:space="preserve">effective, and initiate the storage and electrification benefits of the successor </w:t>
      </w:r>
      <w:r w:rsidRPr="001425A4">
        <w:t>tariff.</w:t>
      </w:r>
    </w:p>
    <w:p w:rsidR="00322A4A" w:rsidP="005E7044" w:rsidRDefault="00322A4A" w14:paraId="7809533A" w14:textId="5E9DEB05">
      <w:pPr>
        <w:pStyle w:val="FoF"/>
      </w:pPr>
      <w:r>
        <w:t>The Commission intends to collect data from the successor tariff for three years</w:t>
      </w:r>
      <w:r w:rsidR="00386D6A">
        <w:t>,</w:t>
      </w:r>
      <w:r>
        <w:t xml:space="preserve"> and then analyze the data and provide a draft evaluation within five years of implementation of the successor tariff.</w:t>
      </w:r>
    </w:p>
    <w:p w:rsidR="005939A5" w:rsidP="005E7044" w:rsidRDefault="005939A5" w14:paraId="63ECD3A3" w14:textId="77777777">
      <w:pPr>
        <w:pStyle w:val="Dummy"/>
        <w:keepLines w:val="0"/>
      </w:pPr>
      <w:bookmarkStart w:name="_Toc8123726" w:id="268"/>
      <w:bookmarkStart w:name="_Toc117674113" w:id="269"/>
      <w:bookmarkStart w:name="_Toc118285104" w:id="270"/>
      <w:bookmarkStart w:name="_Toc121854432" w:id="271"/>
      <w:r>
        <w:lastRenderedPageBreak/>
        <w:t>Conclusions of Law</w:t>
      </w:r>
      <w:bookmarkEnd w:id="268"/>
      <w:bookmarkEnd w:id="269"/>
      <w:bookmarkEnd w:id="270"/>
      <w:bookmarkEnd w:id="271"/>
    </w:p>
    <w:p w:rsidR="00C9203E" w:rsidP="005E7044" w:rsidRDefault="002A6B21" w14:paraId="15F393AC" w14:textId="77777777">
      <w:pPr>
        <w:pStyle w:val="CoL"/>
      </w:pPr>
      <w:r>
        <w:t>The Commission should use the Lookback Study as a foundation to create a successor tariff that continues the elements that resulted in positive outcomes but corrects or replaces elements that resulted in negative outcomes.</w:t>
      </w:r>
    </w:p>
    <w:p w:rsidR="00286F25" w:rsidP="005E7044" w:rsidRDefault="00286F25" w14:paraId="0AEFF039" w14:textId="3586D34D">
      <w:pPr>
        <w:pStyle w:val="CoL"/>
      </w:pPr>
      <w:r>
        <w:t>The Commission should ensure the growth of the net energy metering market does not come at the undue and burdensome financial expense of nonparticipant ratepayers.</w:t>
      </w:r>
    </w:p>
    <w:p w:rsidR="008E2F6B" w:rsidP="005E7044" w:rsidRDefault="008E2F6B" w14:paraId="10650558" w14:textId="0F4F46C6">
      <w:pPr>
        <w:pStyle w:val="CoL"/>
      </w:pPr>
      <w:r>
        <w:t>The Commission should not grant the request to replace the Avoided Cost Calculator with the Lookback Study cost</w:t>
      </w:r>
      <w:r w:rsidR="005C7B6E">
        <w:t xml:space="preserve"> </w:t>
      </w:r>
      <w:r>
        <w:t>of</w:t>
      </w:r>
      <w:r w:rsidR="005C7B6E">
        <w:t xml:space="preserve"> </w:t>
      </w:r>
      <w:r>
        <w:t>service analysis.</w:t>
      </w:r>
    </w:p>
    <w:p w:rsidR="00924B73" w:rsidP="005E7044" w:rsidRDefault="00924B73" w14:paraId="1BC77A5D" w14:textId="1FD04501">
      <w:pPr>
        <w:pStyle w:val="CoL"/>
      </w:pPr>
      <w:r>
        <w:t xml:space="preserve">The Commission should align its analysis in this proceeding with prior guidance from the Standard Practice Manual and consider the value of the </w:t>
      </w:r>
      <w:proofErr w:type="spellStart"/>
      <w:r>
        <w:t>TRC</w:t>
      </w:r>
      <w:proofErr w:type="spellEnd"/>
      <w:r>
        <w:t>, PCT, and RIM cost</w:t>
      </w:r>
      <w:r w:rsidR="00827602">
        <w:noBreakHyphen/>
      </w:r>
      <w:r>
        <w:t>effectiveness tests, as well as the tradeoffs between the tests.</w:t>
      </w:r>
    </w:p>
    <w:p w:rsidR="007155C8" w:rsidP="005E7044" w:rsidRDefault="00924B73" w14:paraId="4E8F5D11" w14:textId="63D050DA">
      <w:pPr>
        <w:pStyle w:val="CoL"/>
      </w:pPr>
      <w:r>
        <w:t>The Commission should not use the Societal Cost Test in its analysis of the successor tariff.</w:t>
      </w:r>
    </w:p>
    <w:p w:rsidR="00403A71" w:rsidP="005E7044" w:rsidRDefault="00403A71" w14:paraId="49BAA332" w14:textId="24FE3EEB">
      <w:pPr>
        <w:pStyle w:val="CoL"/>
      </w:pPr>
      <w:r>
        <w:t>The Commission should not ascribe a resiliency adder for net energy metering customers.</w:t>
      </w:r>
    </w:p>
    <w:p w:rsidR="00116F1F" w:rsidP="005E7044" w:rsidRDefault="00116F1F" w14:paraId="48C08946" w14:textId="60D11F19">
      <w:pPr>
        <w:pStyle w:val="CoL"/>
      </w:pPr>
      <w:r>
        <w:t>The Commission should not adopt proposed societal benefits of an updated social cost of carbon metric, land conservation, a reduced methane leakage multiplier, or avoided transmission costs.</w:t>
      </w:r>
    </w:p>
    <w:p w:rsidR="003A3B91" w:rsidP="005E7044" w:rsidRDefault="003A3B91" w14:paraId="3B74F493" w14:textId="694E26A2">
      <w:pPr>
        <w:pStyle w:val="CoL"/>
      </w:pPr>
      <w:r>
        <w:t>The Commission should not rely on one single method of analysis to be the determinant of the final successor tariff.</w:t>
      </w:r>
    </w:p>
    <w:p w:rsidR="00F34B10" w:rsidP="005E7044" w:rsidRDefault="00F34B10" w14:paraId="762CF73B" w14:textId="12B2872E">
      <w:pPr>
        <w:pStyle w:val="CoL"/>
      </w:pPr>
      <w:r>
        <w:t xml:space="preserve">The Commission should consider monthly bill savings and </w:t>
      </w:r>
      <w:r w:rsidR="00405FA5">
        <w:t xml:space="preserve">a </w:t>
      </w:r>
      <w:r w:rsidR="005913E2">
        <w:t xml:space="preserve">simple payback period </w:t>
      </w:r>
      <w:r w:rsidR="00405FA5">
        <w:t xml:space="preserve">target of nine </w:t>
      </w:r>
      <w:r>
        <w:t xml:space="preserve">years </w:t>
      </w:r>
      <w:r w:rsidR="00C3624F">
        <w:t xml:space="preserve">for </w:t>
      </w:r>
      <w:r w:rsidR="005913E2">
        <w:t xml:space="preserve">a </w:t>
      </w:r>
      <w:r w:rsidR="00405FA5">
        <w:t>stand</w:t>
      </w:r>
      <w:r w:rsidR="00827602">
        <w:noBreakHyphen/>
      </w:r>
      <w:r w:rsidR="00405FA5">
        <w:t xml:space="preserve">alone solar system </w:t>
      </w:r>
      <w:r>
        <w:t>as part of the successor tariff.</w:t>
      </w:r>
    </w:p>
    <w:p w:rsidR="00005025" w:rsidP="005E7044" w:rsidRDefault="00005025" w14:paraId="4CFE8803" w14:textId="2DDB120B">
      <w:pPr>
        <w:pStyle w:val="CoL"/>
      </w:pPr>
      <w:r>
        <w:t xml:space="preserve">The Commission should </w:t>
      </w:r>
      <w:r w:rsidR="00405FA5">
        <w:t>adopt the value of $3.30</w:t>
      </w:r>
      <w:r>
        <w:t xml:space="preserve"> </w:t>
      </w:r>
      <w:r w:rsidR="005C7B6E">
        <w:t xml:space="preserve">per watt </w:t>
      </w:r>
      <w:r>
        <w:t>as the cost of solar.</w:t>
      </w:r>
    </w:p>
    <w:p w:rsidR="0073674C" w:rsidP="005E7044" w:rsidRDefault="0073674C" w14:paraId="484FF36E" w14:textId="53D9DC42">
      <w:pPr>
        <w:pStyle w:val="CoL"/>
      </w:pPr>
      <w:r>
        <w:lastRenderedPageBreak/>
        <w:t>The Commission should not adopt a distinct and higher cost of solar for low</w:t>
      </w:r>
      <w:r w:rsidR="008D2724">
        <w:noBreakHyphen/>
      </w:r>
      <w:r>
        <w:t xml:space="preserve">income </w:t>
      </w:r>
      <w:r w:rsidR="00C559BB">
        <w:t>single</w:t>
      </w:r>
      <w:r w:rsidR="008D2724">
        <w:noBreakHyphen/>
      </w:r>
      <w:r w:rsidR="00C559BB">
        <w:t xml:space="preserve">family </w:t>
      </w:r>
      <w:r>
        <w:t>households.</w:t>
      </w:r>
    </w:p>
    <w:p w:rsidR="007279E5" w:rsidP="005E7044" w:rsidRDefault="007279E5" w14:paraId="2681423C" w14:textId="11FA732F">
      <w:pPr>
        <w:pStyle w:val="CoL"/>
      </w:pPr>
      <w:r>
        <w:t xml:space="preserve">The Commission should adopt a </w:t>
      </w:r>
      <w:r w:rsidR="00405FA5">
        <w:t>five</w:t>
      </w:r>
      <w:r w:rsidR="00827602">
        <w:noBreakHyphen/>
      </w:r>
      <w:r w:rsidR="00405FA5">
        <w:t xml:space="preserve">year </w:t>
      </w:r>
      <w:r>
        <w:t xml:space="preserve">glide path as part of the successor tariff to minimize the cost shift, to ensure equity among all customers, </w:t>
      </w:r>
      <w:r w:rsidR="00593835">
        <w:t xml:space="preserve">and </w:t>
      </w:r>
      <w:r>
        <w:t xml:space="preserve">also </w:t>
      </w:r>
      <w:r w:rsidR="00593835">
        <w:t xml:space="preserve">to </w:t>
      </w:r>
      <w:r>
        <w:t xml:space="preserve">encourage the </w:t>
      </w:r>
      <w:r w:rsidR="00405FA5">
        <w:t xml:space="preserve">sustainable </w:t>
      </w:r>
      <w:r>
        <w:t>growth of the market, but not at the undue and burdensome financial expense of nonparticipant ratepayers.</w:t>
      </w:r>
    </w:p>
    <w:p w:rsidR="00767087" w:rsidP="005E7044" w:rsidRDefault="00767087" w14:paraId="7A2DD949" w14:textId="34D03892">
      <w:pPr>
        <w:pStyle w:val="CoL"/>
      </w:pPr>
      <w:r>
        <w:t xml:space="preserve">The Commission should address equity in the successor tariff through increased participation </w:t>
      </w:r>
      <w:r w:rsidR="00405FA5">
        <w:t>in low</w:t>
      </w:r>
      <w:r w:rsidR="00827602">
        <w:noBreakHyphen/>
      </w:r>
      <w:r w:rsidR="00405FA5">
        <w:t xml:space="preserve">income households and </w:t>
      </w:r>
      <w:r>
        <w:t>disadvantaged communities and combatting the cost shift.</w:t>
      </w:r>
    </w:p>
    <w:p w:rsidR="00C3624F" w:rsidP="005E7044" w:rsidRDefault="00C3624F" w14:paraId="20C17EDD" w14:textId="2D5727C2">
      <w:pPr>
        <w:pStyle w:val="CoL"/>
      </w:pPr>
      <w:r>
        <w:t xml:space="preserve">The Commission should adopt a successor tariff that addresses the cost shift to ensure equity but also </w:t>
      </w:r>
      <w:r w:rsidR="005913E2">
        <w:t xml:space="preserve">to </w:t>
      </w:r>
      <w:r>
        <w:t>encourage adoption of electrification measures.</w:t>
      </w:r>
    </w:p>
    <w:p w:rsidRPr="001E2A62" w:rsidR="009A5F1D" w:rsidP="005E7044" w:rsidRDefault="009A5F1D" w14:paraId="027A05F6" w14:textId="039D1273">
      <w:pPr>
        <w:pStyle w:val="CoL"/>
      </w:pPr>
      <w:r>
        <w:t xml:space="preserve">The Commission should adopt SEIA/Vote Solar’s proposal to allow customers to oversize their </w:t>
      </w:r>
      <w:r w:rsidR="005913E2">
        <w:t xml:space="preserve">systems </w:t>
      </w:r>
      <w:r>
        <w:t>by 5</w:t>
      </w:r>
      <w:r w:rsidR="00C04724">
        <w:t>0 percent</w:t>
      </w:r>
      <w:r>
        <w:t xml:space="preserve">, </w:t>
      </w:r>
      <w:r w:rsidR="00AF14DE">
        <w:t>while maintaining</w:t>
      </w:r>
      <w:r>
        <w:t xml:space="preserve"> the </w:t>
      </w:r>
      <w:r w:rsidR="00AF14DE">
        <w:t xml:space="preserve">current </w:t>
      </w:r>
      <w:r>
        <w:t xml:space="preserve">net surplus generation compensation </w:t>
      </w:r>
      <w:r w:rsidR="00AF14DE">
        <w:t xml:space="preserve">rate, </w:t>
      </w:r>
      <w:r w:rsidR="00470BC3">
        <w:t>to</w:t>
      </w:r>
      <w:r>
        <w:t xml:space="preserve"> promote electrification.</w:t>
      </w:r>
    </w:p>
    <w:p w:rsidR="009A5F1D" w:rsidP="005E7044" w:rsidRDefault="007068D9" w14:paraId="2015E189" w14:textId="3BD97881">
      <w:pPr>
        <w:pStyle w:val="CoL"/>
      </w:pPr>
      <w:r>
        <w:t xml:space="preserve">The Commission should </w:t>
      </w:r>
      <w:r w:rsidR="00C3624F">
        <w:t xml:space="preserve">continue to </w:t>
      </w:r>
      <w:r>
        <w:t xml:space="preserve">encourage </w:t>
      </w:r>
      <w:r w:rsidR="005913E2">
        <w:t xml:space="preserve">solar </w:t>
      </w:r>
      <w:r>
        <w:t xml:space="preserve">paired </w:t>
      </w:r>
      <w:r w:rsidR="005913E2">
        <w:t xml:space="preserve">with </w:t>
      </w:r>
      <w:r>
        <w:t>s</w:t>
      </w:r>
      <w:r w:rsidR="005913E2">
        <w:t>torage</w:t>
      </w:r>
      <w:r>
        <w:t xml:space="preserve"> in the successor tariff with both the benefits and costs in mind.</w:t>
      </w:r>
    </w:p>
    <w:p w:rsidR="00901372" w:rsidP="005E7044" w:rsidRDefault="00901372" w14:paraId="2178D399" w14:textId="3876B5B4">
      <w:pPr>
        <w:pStyle w:val="CoL"/>
      </w:pPr>
      <w:r>
        <w:t xml:space="preserve">Continuing to base </w:t>
      </w:r>
      <w:r w:rsidR="00F64859">
        <w:t xml:space="preserve">retail </w:t>
      </w:r>
      <w:r>
        <w:t xml:space="preserve">export compensation </w:t>
      </w:r>
      <w:r w:rsidR="00F64859">
        <w:t xml:space="preserve">rates </w:t>
      </w:r>
      <w:r>
        <w:t xml:space="preserve">on retail </w:t>
      </w:r>
      <w:r w:rsidR="00F64859">
        <w:t xml:space="preserve">import </w:t>
      </w:r>
      <w:r>
        <w:t xml:space="preserve">rates does not comply with Public Utilities Code </w:t>
      </w:r>
      <w:r w:rsidR="0034029C">
        <w:t>Section 2</w:t>
      </w:r>
      <w:r>
        <w:t>827.1.</w:t>
      </w:r>
    </w:p>
    <w:p w:rsidR="00BD693E" w:rsidP="005E7044" w:rsidRDefault="00BD693E" w14:paraId="61B40713" w14:textId="4FD89B00">
      <w:pPr>
        <w:pStyle w:val="CoL"/>
      </w:pPr>
      <w:r>
        <w:t xml:space="preserve">The Commission should base </w:t>
      </w:r>
      <w:r w:rsidR="00F64859">
        <w:t xml:space="preserve">retail </w:t>
      </w:r>
      <w:r>
        <w:t xml:space="preserve">export compensation </w:t>
      </w:r>
      <w:r w:rsidR="001228E5">
        <w:t xml:space="preserve">rates </w:t>
      </w:r>
      <w:r>
        <w:t>on values derived from the Avoided Cost Calculator.</w:t>
      </w:r>
    </w:p>
    <w:p w:rsidRPr="001E2A62" w:rsidR="00405FA5" w:rsidP="005E7044" w:rsidRDefault="00405FA5" w14:paraId="6F6A2A98" w14:textId="173EF349">
      <w:pPr>
        <w:pStyle w:val="CoL"/>
      </w:pPr>
      <w:r>
        <w:t>The Commission should not adopt the stepped</w:t>
      </w:r>
      <w:r w:rsidR="00827602">
        <w:noBreakHyphen/>
      </w:r>
      <w:r>
        <w:t xml:space="preserve">down retail rate glide path approach as it continues to use </w:t>
      </w:r>
      <w:r w:rsidR="00F64859">
        <w:t xml:space="preserve">retail </w:t>
      </w:r>
      <w:r>
        <w:t xml:space="preserve">export compensation </w:t>
      </w:r>
      <w:r w:rsidR="00F64859">
        <w:t xml:space="preserve">rates </w:t>
      </w:r>
      <w:r>
        <w:t xml:space="preserve">based on the retail </w:t>
      </w:r>
      <w:r w:rsidR="00F64859">
        <w:t xml:space="preserve">import </w:t>
      </w:r>
      <w:r>
        <w:t>rate.</w:t>
      </w:r>
    </w:p>
    <w:p w:rsidR="00BD693E" w:rsidP="005E7044" w:rsidRDefault="00C67C11" w14:paraId="687212E2" w14:textId="2017B59A">
      <w:pPr>
        <w:pStyle w:val="CoL"/>
      </w:pPr>
      <w:r>
        <w:t xml:space="preserve">The Commission should ensure customers can understand the </w:t>
      </w:r>
      <w:r w:rsidR="00F810B6">
        <w:t xml:space="preserve">retail </w:t>
      </w:r>
      <w:r>
        <w:t>export compensation rate structure to be able to make an informed decision on whether to purchase a solar system.</w:t>
      </w:r>
    </w:p>
    <w:p w:rsidR="00A357CC" w:rsidP="005E7044" w:rsidRDefault="0073217E" w14:paraId="3634F0AF" w14:textId="04F74C22">
      <w:pPr>
        <w:pStyle w:val="CoL"/>
      </w:pPr>
      <w:r>
        <w:rPr>
          <w:rFonts w:eastAsia="Times New Roman"/>
          <w:color w:val="000000"/>
          <w:szCs w:val="26"/>
        </w:rPr>
        <w:lastRenderedPageBreak/>
        <w:t>T</w:t>
      </w:r>
      <w:r w:rsidRPr="00694B5D">
        <w:rPr>
          <w:rFonts w:eastAsia="Times New Roman"/>
          <w:color w:val="000000"/>
          <w:szCs w:val="26"/>
        </w:rPr>
        <w:t xml:space="preserve">he Commission should apply the Avoided Cost Calculator values to determine the retail export compensation rate for nonresidential customers of </w:t>
      </w:r>
      <w:r>
        <w:rPr>
          <w:rFonts w:eastAsia="Times New Roman"/>
          <w:color w:val="000000"/>
          <w:szCs w:val="26"/>
        </w:rPr>
        <w:t>the successor</w:t>
      </w:r>
      <w:r w:rsidRPr="00694B5D">
        <w:rPr>
          <w:rFonts w:eastAsia="Times New Roman"/>
          <w:color w:val="000000"/>
          <w:szCs w:val="26"/>
        </w:rPr>
        <w:t xml:space="preserve"> tariff.</w:t>
      </w:r>
    </w:p>
    <w:p w:rsidR="001C7D02" w:rsidP="005E7044" w:rsidRDefault="001C7D02" w14:paraId="7F0D0C42" w14:textId="6DDFBC37">
      <w:pPr>
        <w:pStyle w:val="CoL"/>
      </w:pPr>
      <w:r>
        <w:rPr>
          <w:rFonts w:eastAsia="Times New Roman"/>
          <w:color w:val="000000"/>
          <w:szCs w:val="26"/>
        </w:rPr>
        <w:t>The Commission should not create a carve</w:t>
      </w:r>
      <w:r w:rsidR="008D2724">
        <w:rPr>
          <w:rFonts w:eastAsia="Times New Roman"/>
          <w:color w:val="000000"/>
          <w:szCs w:val="26"/>
        </w:rPr>
        <w:noBreakHyphen/>
      </w:r>
      <w:r>
        <w:rPr>
          <w:rFonts w:eastAsia="Times New Roman"/>
          <w:color w:val="000000"/>
          <w:szCs w:val="26"/>
        </w:rPr>
        <w:t>out for wind energy.</w:t>
      </w:r>
    </w:p>
    <w:p w:rsidR="0073418D" w:rsidP="005E7044" w:rsidRDefault="0073418D" w14:paraId="4D6E9DB3" w14:textId="59E9EE36">
      <w:pPr>
        <w:pStyle w:val="CoL"/>
      </w:pPr>
      <w:r>
        <w:t xml:space="preserve">The Commission should adopt a successor tariff that requires </w:t>
      </w:r>
      <w:r w:rsidR="00EA50B3">
        <w:t xml:space="preserve">residential </w:t>
      </w:r>
      <w:r>
        <w:t>customers to take service on an existing high</w:t>
      </w:r>
      <w:r w:rsidR="005C7B6E">
        <w:t xml:space="preserve">ly </w:t>
      </w:r>
      <w:r>
        <w:t>differentiated time</w:t>
      </w:r>
      <w:r w:rsidR="00827602">
        <w:noBreakHyphen/>
      </w:r>
      <w:r>
        <w:t>of</w:t>
      </w:r>
      <w:r w:rsidR="00827602">
        <w:noBreakHyphen/>
      </w:r>
      <w:r>
        <w:t>use rate available to all customers.</w:t>
      </w:r>
    </w:p>
    <w:p w:rsidR="0073418D" w:rsidP="005E7044" w:rsidRDefault="00F138A9" w14:paraId="2BAB923A" w14:textId="6E37D5C9">
      <w:pPr>
        <w:pStyle w:val="CoL"/>
      </w:pPr>
      <w:r>
        <w:t>AB </w:t>
      </w:r>
      <w:r w:rsidR="00405FA5">
        <w:t>205 directs the Commission to authorize a</w:t>
      </w:r>
      <w:r w:rsidR="00EA50B3">
        <w:t>n income</w:t>
      </w:r>
      <w:r w:rsidR="00827602">
        <w:noBreakHyphen/>
      </w:r>
      <w:r w:rsidR="00EA50B3">
        <w:t>graduated</w:t>
      </w:r>
      <w:r w:rsidR="00405FA5">
        <w:t xml:space="preserve"> fixed charge for default residential customers by July</w:t>
      </w:r>
      <w:r w:rsidR="00265066">
        <w:t> </w:t>
      </w:r>
      <w:r w:rsidR="00405FA5">
        <w:t>1,</w:t>
      </w:r>
      <w:r w:rsidR="00265066">
        <w:t> </w:t>
      </w:r>
      <w:r w:rsidR="00405FA5">
        <w:t>2024.</w:t>
      </w:r>
    </w:p>
    <w:p w:rsidR="00405FA5" w:rsidP="005E7044" w:rsidRDefault="00405FA5" w14:paraId="28C3A741" w14:textId="707D9A67">
      <w:pPr>
        <w:pStyle w:val="CoL"/>
      </w:pPr>
      <w:r>
        <w:t>The Commission should not adopt a grid benefits charge as part of the successor tariff.</w:t>
      </w:r>
    </w:p>
    <w:p w:rsidR="00405FA5" w:rsidP="005E7044" w:rsidRDefault="00405FA5" w14:paraId="1D9946CC" w14:textId="53100D5D">
      <w:pPr>
        <w:pStyle w:val="CoL"/>
      </w:pPr>
      <w:r>
        <w:t>The Commission should maintain the four charges adopted in D.16</w:t>
      </w:r>
      <w:r w:rsidR="00827602">
        <w:noBreakHyphen/>
      </w:r>
      <w:r>
        <w:t>01</w:t>
      </w:r>
      <w:r w:rsidR="00827602">
        <w:noBreakHyphen/>
      </w:r>
      <w:r>
        <w:t>044 as non</w:t>
      </w:r>
      <w:r w:rsidR="00827602">
        <w:noBreakHyphen/>
      </w:r>
      <w:proofErr w:type="spellStart"/>
      <w:r>
        <w:t>bypassable</w:t>
      </w:r>
      <w:proofErr w:type="spellEnd"/>
      <w:r w:rsidR="00555CC0">
        <w:t xml:space="preserve">:  </w:t>
      </w:r>
      <w:r>
        <w:t xml:space="preserve">public purpose program charge, nuclear decommissioning charge, the competition transition charge, and the Wildfire </w:t>
      </w:r>
      <w:r w:rsidR="001228E5">
        <w:t xml:space="preserve">Fund </w:t>
      </w:r>
      <w:r w:rsidR="00130485">
        <w:t>Non</w:t>
      </w:r>
      <w:r w:rsidR="00827602">
        <w:noBreakHyphen/>
      </w:r>
      <w:proofErr w:type="spellStart"/>
      <w:r w:rsidR="00130485">
        <w:t>Bypassable</w:t>
      </w:r>
      <w:proofErr w:type="spellEnd"/>
      <w:r w:rsidR="00130485">
        <w:t xml:space="preserve"> </w:t>
      </w:r>
      <w:r w:rsidR="00ED14F2">
        <w:t>C</w:t>
      </w:r>
      <w:r w:rsidR="001228E5">
        <w:t>harge.</w:t>
      </w:r>
    </w:p>
    <w:p w:rsidR="00A357CC" w:rsidP="005E7044" w:rsidRDefault="00A357CC" w14:paraId="77D022F9" w14:textId="328A2E0D">
      <w:pPr>
        <w:pStyle w:val="CoL"/>
      </w:pPr>
      <w:r>
        <w:t xml:space="preserve">The Commission should adopt a successor tariff that includes </w:t>
      </w:r>
      <w:r w:rsidR="00405FA5">
        <w:t xml:space="preserve">the ACC Plus </w:t>
      </w:r>
      <w:r>
        <w:t>as a glide path.</w:t>
      </w:r>
    </w:p>
    <w:p w:rsidR="00430903" w:rsidP="005E7044" w:rsidRDefault="00430903" w14:paraId="126FFC88" w14:textId="4442A718">
      <w:pPr>
        <w:pStyle w:val="CoL"/>
      </w:pPr>
      <w:r>
        <w:t xml:space="preserve">The Commission should adopt </w:t>
      </w:r>
      <w:r w:rsidR="00405FA5">
        <w:t xml:space="preserve">no </w:t>
      </w:r>
      <w:r>
        <w:t>netting in the successor tarif</w:t>
      </w:r>
      <w:r w:rsidR="00C74830">
        <w:t>f</w:t>
      </w:r>
      <w:r>
        <w:t>.</w:t>
      </w:r>
    </w:p>
    <w:p w:rsidR="001C7D02" w:rsidP="005E7044" w:rsidRDefault="001C7D02" w14:paraId="4C112EDE" w14:textId="1F9363CD">
      <w:pPr>
        <w:pStyle w:val="CoL"/>
      </w:pPr>
      <w:r>
        <w:t>The Commission should require Pacific Gas and Electric Company, San</w:t>
      </w:r>
      <w:r w:rsidR="00F21588">
        <w:t> </w:t>
      </w:r>
      <w:r>
        <w:t>Diego Gas</w:t>
      </w:r>
      <w:r w:rsidR="00F21588">
        <w:t> </w:t>
      </w:r>
      <w:r>
        <w:t xml:space="preserve">&amp; Electric </w:t>
      </w:r>
      <w:r w:rsidR="00E01822">
        <w:t>Company,</w:t>
      </w:r>
      <w:r>
        <w:t xml:space="preserve"> and Southern California Edison Company to provide 15</w:t>
      </w:r>
      <w:r w:rsidR="008D2724">
        <w:noBreakHyphen/>
      </w:r>
      <w:r>
        <w:t xml:space="preserve">minute data to </w:t>
      </w:r>
      <w:r w:rsidR="00CE2C8B">
        <w:t>n</w:t>
      </w:r>
      <w:r>
        <w:t xml:space="preserve">et </w:t>
      </w:r>
      <w:r w:rsidR="00CE2C8B">
        <w:t>b</w:t>
      </w:r>
      <w:r>
        <w:t>illing customers.</w:t>
      </w:r>
    </w:p>
    <w:p w:rsidR="00C74830" w:rsidP="005E7044" w:rsidRDefault="00C74830" w14:paraId="201464BE" w14:textId="30D51237">
      <w:pPr>
        <w:pStyle w:val="CoL"/>
      </w:pPr>
      <w:r>
        <w:t xml:space="preserve">The Commission should </w:t>
      </w:r>
      <w:r w:rsidR="00405FA5">
        <w:t xml:space="preserve">maintain </w:t>
      </w:r>
      <w:r>
        <w:t xml:space="preserve">monthly </w:t>
      </w:r>
      <w:r w:rsidR="00C3624F">
        <w:t xml:space="preserve">billing and annual </w:t>
      </w:r>
      <w:r w:rsidR="00F036C6">
        <w:t>true</w:t>
      </w:r>
      <w:r w:rsidR="00827602">
        <w:noBreakHyphen/>
      </w:r>
      <w:r w:rsidR="00F036C6">
        <w:t>up</w:t>
      </w:r>
      <w:r w:rsidR="001D29B8">
        <w:t xml:space="preserve"> period</w:t>
      </w:r>
      <w:r w:rsidR="00F036C6">
        <w:t>s</w:t>
      </w:r>
      <w:r>
        <w:t xml:space="preserve"> for customers in the successor tariff.</w:t>
      </w:r>
    </w:p>
    <w:p w:rsidR="00D34D5A" w:rsidP="005E7044" w:rsidRDefault="00D34D5A" w14:paraId="385CA04F" w14:textId="1FAC1684">
      <w:pPr>
        <w:pStyle w:val="CoL"/>
      </w:pPr>
      <w:r>
        <w:t xml:space="preserve">The Commission should set </w:t>
      </w:r>
      <w:r w:rsidR="00F64859">
        <w:t xml:space="preserve">retail </w:t>
      </w:r>
      <w:r>
        <w:t>export compensation rates at monthly values for each hour, differentiated between weekday and weekend</w:t>
      </w:r>
      <w:r w:rsidR="005913E2">
        <w:t>/holiday</w:t>
      </w:r>
      <w:r>
        <w:t>.</w:t>
      </w:r>
    </w:p>
    <w:p w:rsidR="00A6157B" w:rsidP="005E7044" w:rsidRDefault="00A6157B" w14:paraId="6B700028" w14:textId="22CFB543">
      <w:pPr>
        <w:pStyle w:val="CoL"/>
      </w:pPr>
      <w:r>
        <w:lastRenderedPageBreak/>
        <w:t>The Commission should adopt Avoided Cost Calculator values based on a five</w:t>
      </w:r>
      <w:r w:rsidR="00827602">
        <w:noBreakHyphen/>
      </w:r>
      <w:r>
        <w:t>year schedule of values for each hour from the most recent</w:t>
      </w:r>
      <w:r w:rsidR="00034C91">
        <w:t xml:space="preserve"> </w:t>
      </w:r>
      <w:r>
        <w:t>Avoided Cost Calculator</w:t>
      </w:r>
      <w:r w:rsidR="00AF14DE">
        <w:t>, adopted as of January</w:t>
      </w:r>
      <w:r w:rsidR="001A6FC6">
        <w:t> </w:t>
      </w:r>
      <w:r w:rsidR="00AF14DE">
        <w:t xml:space="preserve">1 of the calendar year of the </w:t>
      </w:r>
      <w:r w:rsidR="00567304">
        <w:t xml:space="preserve">new successor tariff </w:t>
      </w:r>
      <w:r w:rsidR="00AF14DE">
        <w:t>customer’s interconnection date</w:t>
      </w:r>
      <w:r>
        <w:t>.</w:t>
      </w:r>
    </w:p>
    <w:p w:rsidR="00405FA5" w:rsidP="005E7044" w:rsidRDefault="00405FA5" w14:paraId="4B8F056A" w14:textId="772E220F">
      <w:pPr>
        <w:pStyle w:val="CoL"/>
      </w:pPr>
      <w:r>
        <w:t>The Commission should require the utilities to average Avoided Cost Calculator values across climate zones within each of the utilities’ service territory.</w:t>
      </w:r>
    </w:p>
    <w:p w:rsidR="008E7A0D" w:rsidP="005E7044" w:rsidRDefault="008E7A0D" w14:paraId="755DA248" w14:textId="6E8A6BE9">
      <w:pPr>
        <w:pStyle w:val="CoL"/>
      </w:pPr>
      <w:r>
        <w:t xml:space="preserve">The Commission should adopt a </w:t>
      </w:r>
      <w:r w:rsidR="00751FD1">
        <w:t>ratepayer</w:t>
      </w:r>
      <w:r w:rsidR="00827602">
        <w:noBreakHyphen/>
      </w:r>
      <w:r w:rsidR="00751FD1">
        <w:t>funded, stepped</w:t>
      </w:r>
      <w:r w:rsidR="00827602">
        <w:noBreakHyphen/>
      </w:r>
      <w:r w:rsidR="00751FD1">
        <w:t xml:space="preserve">down </w:t>
      </w:r>
      <w:r w:rsidR="00405FA5">
        <w:t>ACC Plus glide path</w:t>
      </w:r>
      <w:r>
        <w:t xml:space="preserve"> that is available to all successor tariff customers who enroll in the tariff over the next five years.</w:t>
      </w:r>
    </w:p>
    <w:p w:rsidR="007661FA" w:rsidP="005E7044" w:rsidRDefault="00B526DA" w14:paraId="2FD75104" w14:textId="53767FE8">
      <w:pPr>
        <w:pStyle w:val="CoL"/>
      </w:pPr>
      <w:r>
        <w:t>The Commission should permit customers to adopt critical peak pricing or peak day pricing as part of their highly differentiated time</w:t>
      </w:r>
      <w:r w:rsidR="00827602">
        <w:noBreakHyphen/>
      </w:r>
      <w:r>
        <w:t>of</w:t>
      </w:r>
      <w:r w:rsidR="00827602">
        <w:noBreakHyphen/>
      </w:r>
      <w:r>
        <w:t>use rates.</w:t>
      </w:r>
    </w:p>
    <w:p w:rsidR="002E4AA0" w:rsidP="005E7044" w:rsidRDefault="002E4AA0" w14:paraId="328077F2" w14:textId="77F2C70C">
      <w:pPr>
        <w:pStyle w:val="CoL"/>
      </w:pPr>
      <w:r>
        <w:t xml:space="preserve">The Commission should not adopt </w:t>
      </w:r>
      <w:r w:rsidR="00A918BC">
        <w:t>a</w:t>
      </w:r>
      <w:r>
        <w:t xml:space="preserve"> requirement to apply credits only to charges </w:t>
      </w:r>
      <w:r w:rsidR="00C75F3E">
        <w:t>during</w:t>
      </w:r>
      <w:r>
        <w:t xml:space="preserve"> the same time</w:t>
      </w:r>
      <w:r w:rsidR="00827602">
        <w:noBreakHyphen/>
      </w:r>
      <w:r>
        <w:t>of</w:t>
      </w:r>
      <w:r w:rsidR="00827602">
        <w:noBreakHyphen/>
      </w:r>
      <w:r>
        <w:t>use period.</w:t>
      </w:r>
    </w:p>
    <w:p w:rsidR="001D6551" w:rsidP="005E7044" w:rsidRDefault="001D6551" w14:paraId="205AB319" w14:textId="6CBE705A">
      <w:pPr>
        <w:pStyle w:val="CoL"/>
      </w:pPr>
      <w:r>
        <w:t xml:space="preserve">The Commission should adopt the </w:t>
      </w:r>
      <w:r w:rsidR="00CE2C8B">
        <w:t>n</w:t>
      </w:r>
      <w:r w:rsidR="00C40AAB">
        <w:t xml:space="preserve">et </w:t>
      </w:r>
      <w:r w:rsidR="00CE2C8B">
        <w:t>b</w:t>
      </w:r>
      <w:r w:rsidR="00C40AAB">
        <w:t xml:space="preserve">illing </w:t>
      </w:r>
      <w:r>
        <w:t>tariff.</w:t>
      </w:r>
    </w:p>
    <w:p w:rsidR="00A918BC" w:rsidP="005E7044" w:rsidRDefault="00A918BC" w14:paraId="735C3874" w14:textId="033A392C">
      <w:pPr>
        <w:pStyle w:val="CoL"/>
      </w:pPr>
      <w:r>
        <w:t xml:space="preserve">The Commission should not maintain the </w:t>
      </w:r>
      <w:r w:rsidR="00602BC5">
        <w:t>NEM 2.0</w:t>
      </w:r>
      <w:r w:rsidR="00135D55">
        <w:t xml:space="preserve"> </w:t>
      </w:r>
      <w:r>
        <w:t>tariff for low</w:t>
      </w:r>
      <w:r w:rsidR="00827602">
        <w:noBreakHyphen/>
      </w:r>
      <w:r>
        <w:t>income households.</w:t>
      </w:r>
    </w:p>
    <w:p w:rsidR="00D94658" w:rsidP="005E7044" w:rsidRDefault="00D94658" w14:paraId="6CF46A51" w14:textId="2316E454">
      <w:pPr>
        <w:pStyle w:val="CoL"/>
      </w:pPr>
      <w:r>
        <w:t xml:space="preserve">The Commission should adopt the same </w:t>
      </w:r>
      <w:r w:rsidR="005913E2">
        <w:t xml:space="preserve">base </w:t>
      </w:r>
      <w:r>
        <w:t>successor tariff for all income levels.</w:t>
      </w:r>
    </w:p>
    <w:p w:rsidR="001228E5" w:rsidP="005E7044" w:rsidRDefault="001228E5" w14:paraId="2033C414" w14:textId="11EF69DA">
      <w:pPr>
        <w:pStyle w:val="CoL"/>
      </w:pPr>
      <w:r>
        <w:t>The Commission should not broaden the definition of low</w:t>
      </w:r>
      <w:r w:rsidR="00827602">
        <w:noBreakHyphen/>
      </w:r>
      <w:r>
        <w:t>income beyond CARE</w:t>
      </w:r>
      <w:r w:rsidR="00827602">
        <w:noBreakHyphen/>
      </w:r>
      <w:r>
        <w:t xml:space="preserve"> and FERA</w:t>
      </w:r>
      <w:r w:rsidR="00827602">
        <w:noBreakHyphen/>
      </w:r>
      <w:r>
        <w:t>enrolled customers.</w:t>
      </w:r>
    </w:p>
    <w:p w:rsidR="00D94658" w:rsidP="005E7044" w:rsidRDefault="00D94658" w14:paraId="633CA0A5" w14:textId="628A355D">
      <w:pPr>
        <w:pStyle w:val="CoL"/>
      </w:pPr>
      <w:r>
        <w:t xml:space="preserve">The Commission should not </w:t>
      </w:r>
      <w:r w:rsidR="00C75F3E">
        <w:t>decrease</w:t>
      </w:r>
      <w:r>
        <w:t xml:space="preserve"> </w:t>
      </w:r>
      <w:r w:rsidR="00F64859">
        <w:t xml:space="preserve">retail </w:t>
      </w:r>
      <w:r>
        <w:t xml:space="preserve">export compensation </w:t>
      </w:r>
      <w:r w:rsidR="00F64859">
        <w:t xml:space="preserve">rate </w:t>
      </w:r>
      <w:r w:rsidR="00C75F3E">
        <w:t>credits by applying the CARE and FERA discounts</w:t>
      </w:r>
      <w:r>
        <w:t xml:space="preserve"> </w:t>
      </w:r>
      <w:r w:rsidR="00C75F3E">
        <w:t xml:space="preserve">received by </w:t>
      </w:r>
      <w:r>
        <w:t>low</w:t>
      </w:r>
      <w:r w:rsidR="00827602">
        <w:noBreakHyphen/>
      </w:r>
      <w:r>
        <w:t>income households.</w:t>
      </w:r>
    </w:p>
    <w:p w:rsidR="006607D8" w:rsidP="00BD5738" w:rsidRDefault="00024F8B" w14:paraId="39C8B204" w14:textId="77777777">
      <w:pPr>
        <w:pStyle w:val="CoL"/>
      </w:pPr>
      <w:r>
        <w:lastRenderedPageBreak/>
        <w:t>The Commission should maintain the current structure of the low</w:t>
      </w:r>
      <w:r w:rsidR="00827602">
        <w:noBreakHyphen/>
      </w:r>
      <w:r>
        <w:t xml:space="preserve">income </w:t>
      </w:r>
      <w:proofErr w:type="spellStart"/>
      <w:r>
        <w:t>VNEM</w:t>
      </w:r>
      <w:proofErr w:type="spellEnd"/>
      <w:r>
        <w:t xml:space="preserve"> </w:t>
      </w:r>
      <w:proofErr w:type="spellStart"/>
      <w:r w:rsidR="00DE2B90">
        <w:t>sub</w:t>
      </w:r>
      <w:r>
        <w:t>tariff</w:t>
      </w:r>
      <w:r w:rsidR="005913E2">
        <w:t>s</w:t>
      </w:r>
      <w:proofErr w:type="spellEnd"/>
      <w:r>
        <w:t xml:space="preserve"> until review of findings </w:t>
      </w:r>
      <w:r w:rsidR="005913E2">
        <w:t xml:space="preserve">from </w:t>
      </w:r>
      <w:r>
        <w:t>the affordability proceeding and the SOMAH evaluation is conducted</w:t>
      </w:r>
      <w:r w:rsidR="00C3624F">
        <w:t xml:space="preserve"> in this proceeding</w:t>
      </w:r>
      <w:r>
        <w:t>.</w:t>
      </w:r>
      <w:r w:rsidR="00B654C7">
        <w:t xml:space="preserve">  </w:t>
      </w:r>
    </w:p>
    <w:p w:rsidR="00BD5738" w:rsidP="00BD5738" w:rsidRDefault="00BD5738" w14:paraId="6B0711C6" w14:textId="10737E80">
      <w:pPr>
        <w:pStyle w:val="CoL"/>
      </w:pPr>
      <w:r>
        <w:t xml:space="preserve">The Commission should conduct a more thorough analysis of multifamily </w:t>
      </w:r>
      <w:r w:rsidR="00C559BB">
        <w:t>properties</w:t>
      </w:r>
      <w:r>
        <w:t xml:space="preserve"> and rental populations as a separate customer class.  </w:t>
      </w:r>
    </w:p>
    <w:p w:rsidR="00BD5738" w:rsidP="00BD5738" w:rsidRDefault="00BD5738" w14:paraId="2B47BB4D" w14:textId="7EFA3A32">
      <w:pPr>
        <w:pStyle w:val="CoL"/>
      </w:pPr>
      <w:r>
        <w:t xml:space="preserve">The Commission should retain the </w:t>
      </w:r>
      <w:r w:rsidR="00C559BB">
        <w:t xml:space="preserve">current </w:t>
      </w:r>
      <w:proofErr w:type="spellStart"/>
      <w:r>
        <w:t>VNEM</w:t>
      </w:r>
      <w:proofErr w:type="spellEnd"/>
      <w:r>
        <w:t xml:space="preserve"> and NEMA tariffs at this time with caveats to limit future cost shifts.</w:t>
      </w:r>
    </w:p>
    <w:p w:rsidR="003B5D3B" w:rsidP="005E7044" w:rsidRDefault="003B5D3B" w14:paraId="48660C8B" w14:textId="6957193D">
      <w:pPr>
        <w:pStyle w:val="CoL"/>
      </w:pPr>
      <w:r>
        <w:t xml:space="preserve">The Commission should affirm that </w:t>
      </w:r>
      <w:proofErr w:type="spellStart"/>
      <w:r>
        <w:t>VNEM</w:t>
      </w:r>
      <w:proofErr w:type="spellEnd"/>
      <w:r>
        <w:t xml:space="preserve"> provides benefits to the grid similar to that of </w:t>
      </w:r>
      <w:r w:rsidR="00602BC5">
        <w:t>NEM 2.0</w:t>
      </w:r>
      <w:r>
        <w:t>.</w:t>
      </w:r>
    </w:p>
    <w:p w:rsidR="00C9491C" w:rsidP="005E7044" w:rsidRDefault="00C9491C" w14:paraId="78E9F9D2" w14:textId="4937871F">
      <w:pPr>
        <w:pStyle w:val="CoL"/>
      </w:pPr>
      <w:r>
        <w:t xml:space="preserve">The Commission should maintain separate </w:t>
      </w:r>
      <w:proofErr w:type="spellStart"/>
      <w:r>
        <w:t>VNEM</w:t>
      </w:r>
      <w:proofErr w:type="spellEnd"/>
      <w:r>
        <w:t xml:space="preserve"> and NEMA </w:t>
      </w:r>
      <w:proofErr w:type="spellStart"/>
      <w:r w:rsidR="005A3AB4">
        <w:t>sub</w:t>
      </w:r>
      <w:r>
        <w:t>tariffs</w:t>
      </w:r>
      <w:proofErr w:type="spellEnd"/>
      <w:r>
        <w:t>.</w:t>
      </w:r>
    </w:p>
    <w:p w:rsidR="00784E8C" w:rsidP="005E7044" w:rsidRDefault="00EB10DF" w14:paraId="0D7D3333" w14:textId="1835DB79">
      <w:pPr>
        <w:pStyle w:val="CoL"/>
      </w:pPr>
      <w:r>
        <w:t xml:space="preserve">The Commission should allow multiple solar arrays on one property to be treated as one generator in the </w:t>
      </w:r>
      <w:r w:rsidR="005913E2">
        <w:t xml:space="preserve">general </w:t>
      </w:r>
      <w:proofErr w:type="spellStart"/>
      <w:r>
        <w:t>VNEM</w:t>
      </w:r>
      <w:proofErr w:type="spellEnd"/>
      <w:r>
        <w:t xml:space="preserve"> </w:t>
      </w:r>
      <w:proofErr w:type="spellStart"/>
      <w:r w:rsidR="005A3AB4">
        <w:t>sub</w:t>
      </w:r>
      <w:r>
        <w:t>tariff</w:t>
      </w:r>
      <w:proofErr w:type="spellEnd"/>
      <w:r>
        <w:t>.</w:t>
      </w:r>
    </w:p>
    <w:p w:rsidR="00322A4A" w:rsidP="005E7044" w:rsidRDefault="00F138A9" w14:paraId="04474B54" w14:textId="13ABB447">
      <w:pPr>
        <w:pStyle w:val="CoL"/>
      </w:pPr>
      <w:r>
        <w:t>AB </w:t>
      </w:r>
      <w:r w:rsidR="00322A4A">
        <w:t xml:space="preserve">2316 requires the Commission to evaluate </w:t>
      </w:r>
      <w:r w:rsidR="00EA50B3">
        <w:t xml:space="preserve">community </w:t>
      </w:r>
      <w:r w:rsidR="00322A4A">
        <w:t>renewable energy programs.</w:t>
      </w:r>
    </w:p>
    <w:p w:rsidR="00BA744F" w:rsidP="005E7044" w:rsidRDefault="00BA744F" w14:paraId="4CE60FB3" w14:textId="5BCAA222">
      <w:pPr>
        <w:pStyle w:val="CoL"/>
      </w:pPr>
      <w:r>
        <w:t xml:space="preserve">The Commission should not adopt a community solar tariff or </w:t>
      </w:r>
      <w:proofErr w:type="spellStart"/>
      <w:r>
        <w:t>subtariff</w:t>
      </w:r>
      <w:proofErr w:type="spellEnd"/>
      <w:r>
        <w:t xml:space="preserve"> </w:t>
      </w:r>
      <w:r w:rsidR="001228E5">
        <w:t>in this decision</w:t>
      </w:r>
      <w:r>
        <w:t>.</w:t>
      </w:r>
    </w:p>
    <w:p w:rsidR="00784E8C" w:rsidP="005E7044" w:rsidRDefault="00784E8C" w14:paraId="1721EE4B" w14:textId="76651B87">
      <w:pPr>
        <w:pStyle w:val="CoL"/>
      </w:pPr>
      <w:r>
        <w:t xml:space="preserve">The Commission has the authority to </w:t>
      </w:r>
      <w:r w:rsidR="00470BC3">
        <w:t>amend</w:t>
      </w:r>
      <w:r>
        <w:t xml:space="preserve"> previous decisions</w:t>
      </w:r>
      <w:r w:rsidR="00470BC3">
        <w:t xml:space="preserve"> pursuant to Public Utilities Code </w:t>
      </w:r>
      <w:r w:rsidR="0034029C">
        <w:t>Section 1</w:t>
      </w:r>
      <w:r w:rsidR="00470BC3">
        <w:t>708</w:t>
      </w:r>
      <w:r>
        <w:t>.</w:t>
      </w:r>
    </w:p>
    <w:p w:rsidR="001228E5" w:rsidP="005E7044" w:rsidRDefault="001228E5" w14:paraId="0F089877" w14:textId="634A4DFE">
      <w:pPr>
        <w:pStyle w:val="CoL"/>
      </w:pPr>
      <w:r>
        <w:t xml:space="preserve">The Commission has the authority to revise </w:t>
      </w:r>
      <w:r w:rsidR="00602BC5">
        <w:t>NEM 1.0</w:t>
      </w:r>
      <w:r>
        <w:t xml:space="preserve"> and </w:t>
      </w:r>
      <w:r w:rsidR="00602BC5">
        <w:t>NEM 2.0</w:t>
      </w:r>
      <w:r w:rsidR="00135D55">
        <w:t xml:space="preserve"> </w:t>
      </w:r>
      <w:r>
        <w:t>tariffs.</w:t>
      </w:r>
    </w:p>
    <w:p w:rsidR="001228E5" w:rsidP="005E7044" w:rsidRDefault="001228E5" w14:paraId="0E26EE0E" w14:textId="5194FD83">
      <w:pPr>
        <w:pStyle w:val="CoL"/>
      </w:pPr>
      <w:r>
        <w:t xml:space="preserve">The Commission should not revise the </w:t>
      </w:r>
      <w:r w:rsidR="00602BC5">
        <w:t>NEM 1.0</w:t>
      </w:r>
      <w:r>
        <w:t xml:space="preserve"> or </w:t>
      </w:r>
      <w:r w:rsidR="00602BC5">
        <w:t>NEM 2.0</w:t>
      </w:r>
      <w:r w:rsidR="00135D55">
        <w:t xml:space="preserve"> </w:t>
      </w:r>
      <w:r>
        <w:t>tariffs.</w:t>
      </w:r>
    </w:p>
    <w:p w:rsidR="00533B2F" w:rsidP="005E7044" w:rsidRDefault="001228E5" w14:paraId="36EE71F1" w14:textId="390AEF95">
      <w:pPr>
        <w:pStyle w:val="CoL"/>
      </w:pPr>
      <w:r>
        <w:t xml:space="preserve">The Commission should define the interconnection application date </w:t>
      </w:r>
      <w:r w:rsidR="00BD5738">
        <w:t xml:space="preserve">for residential </w:t>
      </w:r>
      <w:r w:rsidR="00CE2C8B">
        <w:t>n</w:t>
      </w:r>
      <w:r w:rsidR="00BD5738">
        <w:t xml:space="preserve">et </w:t>
      </w:r>
      <w:r w:rsidR="00CE2C8B">
        <w:t>b</w:t>
      </w:r>
      <w:r w:rsidR="00BD5738">
        <w:t xml:space="preserve">illing tariff customers </w:t>
      </w:r>
      <w:r>
        <w:t>as the submission date of an application that is free of major deficiencies and includes a complete application, a signed contract, a single</w:t>
      </w:r>
      <w:r w:rsidR="00827602">
        <w:noBreakHyphen/>
      </w:r>
      <w:r>
        <w:t xml:space="preserve">line diagram, a complete </w:t>
      </w:r>
      <w:proofErr w:type="spellStart"/>
      <w:r>
        <w:t>CSLB</w:t>
      </w:r>
      <w:proofErr w:type="spellEnd"/>
      <w:r>
        <w:t xml:space="preserve"> Solar Energy System Disclosure Document, a signed California Solar Consumer Protection Guide</w:t>
      </w:r>
      <w:r w:rsidR="00402C97">
        <w:t>, and an oversizing attestation (if applicable)</w:t>
      </w:r>
      <w:r>
        <w:t>.</w:t>
      </w:r>
    </w:p>
    <w:p w:rsidR="00BD5738" w:rsidP="005E7044" w:rsidRDefault="00BD5738" w14:paraId="4594B2F4" w14:textId="48B0241B">
      <w:pPr>
        <w:pStyle w:val="CoL"/>
      </w:pPr>
      <w:r>
        <w:lastRenderedPageBreak/>
        <w:t xml:space="preserve">The Commission should define the interconnection application date for nonresidential </w:t>
      </w:r>
      <w:r w:rsidR="00CE2C8B">
        <w:t>n</w:t>
      </w:r>
      <w:r>
        <w:t xml:space="preserve">et </w:t>
      </w:r>
      <w:r w:rsidR="00CE2C8B">
        <w:t>b</w:t>
      </w:r>
      <w:r>
        <w:t>ill</w:t>
      </w:r>
      <w:r w:rsidR="00996761">
        <w:t xml:space="preserve">ing tariff </w:t>
      </w:r>
      <w:r>
        <w:t>customers as the submission date of an application that is free of major deficiencies and includes a complete application, a signed Authorization to Act on a Customer’s Behalf, the selection of a single</w:t>
      </w:r>
      <w:r w:rsidR="008D2724">
        <w:noBreakHyphen/>
      </w:r>
      <w:r>
        <w:t>line diagram, and an oversizing attestation (if applicable.)</w:t>
      </w:r>
    </w:p>
    <w:p w:rsidR="001228E5" w:rsidP="005E7044" w:rsidRDefault="001228E5" w14:paraId="0DAB2917" w14:textId="19600272">
      <w:pPr>
        <w:pStyle w:val="CoL"/>
      </w:pPr>
      <w:r>
        <w:t xml:space="preserve">The Commission should adopt a sunset </w:t>
      </w:r>
      <w:r w:rsidR="00402C97">
        <w:t xml:space="preserve">date </w:t>
      </w:r>
      <w:r>
        <w:t>as 120 days from the adoption date of this decision.</w:t>
      </w:r>
    </w:p>
    <w:p w:rsidR="00322A4A" w:rsidP="005E7044" w:rsidRDefault="001228E5" w14:paraId="1445685C" w14:textId="5A9AF7C0">
      <w:pPr>
        <w:pStyle w:val="CoL"/>
      </w:pPr>
      <w:r>
        <w:t xml:space="preserve">The Commission should adopt the implementation of the successor tariff as described in </w:t>
      </w:r>
      <w:r w:rsidR="0034029C">
        <w:t>Section 8</w:t>
      </w:r>
      <w:r>
        <w:t>.7 of this decision</w:t>
      </w:r>
      <w:r w:rsidR="00322A4A">
        <w:t>.</w:t>
      </w:r>
    </w:p>
    <w:p w:rsidRPr="001E2A62" w:rsidR="00BA744F" w:rsidP="005E7044" w:rsidRDefault="00322A4A" w14:paraId="0E06E001" w14:textId="4D5D71BD">
      <w:pPr>
        <w:pStyle w:val="CoL"/>
      </w:pPr>
      <w:r>
        <w:t>The Commission should conduct an evaluation of the successor tariff</w:t>
      </w:r>
      <w:r w:rsidR="001A6220">
        <w:t>.</w:t>
      </w:r>
    </w:p>
    <w:p w:rsidRPr="008E6AD9" w:rsidR="00BB0243" w:rsidP="005E7044" w:rsidRDefault="005939A5" w14:paraId="534BE6FF" w14:textId="33E26408">
      <w:pPr>
        <w:pStyle w:val="Mainex"/>
      </w:pPr>
      <w:bookmarkStart w:name="_Toc117674114" w:id="272"/>
      <w:bookmarkStart w:name="_Toc118285105" w:id="273"/>
      <w:bookmarkStart w:name="_Toc121854433" w:id="274"/>
      <w:r>
        <w:t>O</w:t>
      </w:r>
      <w:r w:rsidR="00722850">
        <w:t>RDER</w:t>
      </w:r>
      <w:bookmarkEnd w:id="272"/>
      <w:bookmarkEnd w:id="273"/>
      <w:bookmarkEnd w:id="274"/>
    </w:p>
    <w:p w:rsidR="001A4E5C" w:rsidP="00823631" w:rsidRDefault="00BB0243" w14:paraId="47691AC0" w14:textId="77777777">
      <w:pPr>
        <w:pStyle w:val="Standard"/>
        <w:keepNext/>
      </w:pPr>
      <w:r w:rsidRPr="00823631">
        <w:rPr>
          <w:b/>
          <w:bCs/>
        </w:rPr>
        <w:t>IT IS ORDERED</w:t>
      </w:r>
      <w:r>
        <w:t xml:space="preserve"> that:</w:t>
      </w:r>
    </w:p>
    <w:p w:rsidR="001A4E5C" w:rsidP="005E7044" w:rsidRDefault="005A6693" w14:paraId="3C14D02F" w14:textId="1BBCE647">
      <w:pPr>
        <w:pStyle w:val="OP"/>
        <w:ind w:left="0" w:firstLine="547"/>
      </w:pPr>
      <w:r>
        <w:t xml:space="preserve">A net billing tariff </w:t>
      </w:r>
      <w:r w:rsidR="001A4E5C">
        <w:t>is adopted.  Import</w:t>
      </w:r>
      <w:r w:rsidR="005A3AB4">
        <w:t>s</w:t>
      </w:r>
      <w:r w:rsidR="001A4E5C">
        <w:t xml:space="preserve"> and export</w:t>
      </w:r>
      <w:r w:rsidR="005A3AB4">
        <w:t>s</w:t>
      </w:r>
      <w:r w:rsidR="001A4E5C">
        <w:t xml:space="preserve"> will be calculated based on </w:t>
      </w:r>
      <w:r w:rsidR="00322A4A">
        <w:t xml:space="preserve">no </w:t>
      </w:r>
      <w:r w:rsidR="001A4E5C">
        <w:t>netting of consumption and production and will be trued</w:t>
      </w:r>
      <w:r w:rsidR="00827602">
        <w:noBreakHyphen/>
      </w:r>
      <w:r w:rsidR="001A4E5C">
        <w:t>up on a</w:t>
      </w:r>
      <w:r w:rsidR="00912587">
        <w:t>n annual basis</w:t>
      </w:r>
      <w:r w:rsidR="001A4E5C">
        <w:t xml:space="preserve">.  Bill credits will be applicable toward import charges from any </w:t>
      </w:r>
      <w:r w:rsidR="00680B59">
        <w:t xml:space="preserve">time of use </w:t>
      </w:r>
      <w:r w:rsidR="001A4E5C">
        <w:t xml:space="preserve">time period.  </w:t>
      </w:r>
      <w:r w:rsidR="002964B7">
        <w:t>Net billing tariff customers shall comply with Electric Rule No.</w:t>
      </w:r>
      <w:r w:rsidR="002F5949">
        <w:t> </w:t>
      </w:r>
      <w:r w:rsidR="002964B7">
        <w:t>21 Sections</w:t>
      </w:r>
      <w:r w:rsidR="002F5949">
        <w:t> </w:t>
      </w:r>
      <w:r w:rsidR="002964B7">
        <w:t>L.2</w:t>
      </w:r>
      <w:r w:rsidR="00827602">
        <w:noBreakHyphen/>
      </w:r>
      <w:r w:rsidR="002964B7">
        <w:t xml:space="preserve">L.4 and </w:t>
      </w:r>
      <w:r w:rsidR="005F76D6">
        <w:t>Section </w:t>
      </w:r>
      <w:r w:rsidR="002964B7">
        <w:t xml:space="preserve">L.7. for interconnecting to the electrical grid.  </w:t>
      </w:r>
      <w:r w:rsidR="008473D4">
        <w:t xml:space="preserve">Interconnection fees apply and remain as identified in Electric </w:t>
      </w:r>
      <w:r w:rsidR="00337F73">
        <w:t>Rule 2</w:t>
      </w:r>
      <w:r w:rsidR="008473D4">
        <w:t xml:space="preserve">1.  </w:t>
      </w:r>
      <w:r w:rsidR="00C93264">
        <w:t xml:space="preserve">Net billing tariff customers must pay all incurred charges monthly.  </w:t>
      </w:r>
      <w:r>
        <w:t>The net billing tariff</w:t>
      </w:r>
      <w:r w:rsidR="001A4E5C">
        <w:t xml:space="preserve"> </w:t>
      </w:r>
      <w:r w:rsidR="00B07468">
        <w:t xml:space="preserve">shall </w:t>
      </w:r>
      <w:r w:rsidR="001A4E5C">
        <w:t>contain the following adopted elements:</w:t>
      </w:r>
    </w:p>
    <w:p w:rsidR="001A4E5C" w:rsidP="005E7044" w:rsidRDefault="00F64859" w14:paraId="0583796A" w14:textId="211F4D28">
      <w:pPr>
        <w:pStyle w:val="OP"/>
        <w:numPr>
          <w:ilvl w:val="1"/>
          <w:numId w:val="4"/>
        </w:numPr>
        <w:spacing w:after="120" w:line="240" w:lineRule="auto"/>
        <w:ind w:left="1267" w:right="1440" w:hanging="187"/>
      </w:pPr>
      <w:r>
        <w:t xml:space="preserve">Retail </w:t>
      </w:r>
      <w:r w:rsidR="001A4E5C">
        <w:t xml:space="preserve">Export Compensation Rates based on </w:t>
      </w:r>
      <w:r w:rsidR="00567304">
        <w:t xml:space="preserve">hourly </w:t>
      </w:r>
      <w:r w:rsidR="001A4E5C">
        <w:t>Avoided Cost Calculator values averaged across days in a month</w:t>
      </w:r>
      <w:r w:rsidR="000E3124">
        <w:t>, differentiated by weekdays and weekends</w:t>
      </w:r>
      <w:r w:rsidR="00402C97">
        <w:t>/holidays</w:t>
      </w:r>
      <w:r w:rsidR="000E3124">
        <w:t>.  F</w:t>
      </w:r>
      <w:r w:rsidR="001A4E5C">
        <w:t>or the first five years</w:t>
      </w:r>
      <w:r w:rsidR="000E3124">
        <w:t xml:space="preserve"> </w:t>
      </w:r>
      <w:r w:rsidR="008136FF">
        <w:t xml:space="preserve">of the successor tariff, </w:t>
      </w:r>
      <w:r w:rsidRPr="00D90D8D" w:rsidR="008136FF">
        <w:rPr>
          <w:i/>
          <w:iCs/>
        </w:rPr>
        <w:t>i.e.</w:t>
      </w:r>
      <w:r w:rsidR="008136FF">
        <w:t>, the glide path transition time</w:t>
      </w:r>
      <w:r w:rsidR="001A4E5C">
        <w:t xml:space="preserve">, </w:t>
      </w:r>
      <w:r w:rsidR="00EA50B3">
        <w:t xml:space="preserve">retail </w:t>
      </w:r>
      <w:r w:rsidR="000E3124">
        <w:t xml:space="preserve">export compensation rates </w:t>
      </w:r>
      <w:r w:rsidR="008136FF">
        <w:t xml:space="preserve">for residential </w:t>
      </w:r>
      <w:r w:rsidR="00C93264">
        <w:t xml:space="preserve">and nonresidential </w:t>
      </w:r>
      <w:r w:rsidR="008136FF">
        <w:t xml:space="preserve">net billing tariff customers </w:t>
      </w:r>
      <w:r w:rsidR="000E3124">
        <w:t xml:space="preserve">will be </w:t>
      </w:r>
      <w:r w:rsidR="001A4E5C">
        <w:t xml:space="preserve">based on a </w:t>
      </w:r>
      <w:r w:rsidR="00322A4A">
        <w:t>nine</w:t>
      </w:r>
      <w:r w:rsidR="00827602">
        <w:noBreakHyphen/>
      </w:r>
      <w:r w:rsidR="001A4E5C">
        <w:t>year schedule of values for each hour from the most recent Avoided Cost Calculator</w:t>
      </w:r>
      <w:r w:rsidR="005253D4">
        <w:t xml:space="preserve">, adopted as of </w:t>
      </w:r>
      <w:r w:rsidR="005253D4">
        <w:lastRenderedPageBreak/>
        <w:t>January</w:t>
      </w:r>
      <w:r w:rsidR="003D7B62">
        <w:t> </w:t>
      </w:r>
      <w:r w:rsidR="005253D4">
        <w:t>1 of the calendar year of the customer’s interconnection date</w:t>
      </w:r>
      <w:r w:rsidR="001A4E5C">
        <w:t>.  Following the lock</w:t>
      </w:r>
      <w:r w:rsidR="00402C97">
        <w:t>ed</w:t>
      </w:r>
      <w:r w:rsidR="001A4E5C">
        <w:t xml:space="preserve"> in </w:t>
      </w:r>
      <w:r w:rsidR="008136FF">
        <w:t>period</w:t>
      </w:r>
      <w:r w:rsidR="001A4E5C">
        <w:t xml:space="preserve">, </w:t>
      </w:r>
      <w:r>
        <w:t xml:space="preserve">retail </w:t>
      </w:r>
      <w:r w:rsidR="001A4E5C">
        <w:t xml:space="preserve">export compensation rates will be based on averaged </w:t>
      </w:r>
      <w:r w:rsidR="000E3124">
        <w:t xml:space="preserve">hourly </w:t>
      </w:r>
      <w:r w:rsidR="001A4E5C">
        <w:t>avoided cost values from the most recent Avoided Cost Calculator</w:t>
      </w:r>
      <w:r w:rsidR="000E3124">
        <w:t>, adopted as of January</w:t>
      </w:r>
      <w:r w:rsidR="003D7B62">
        <w:t> </w:t>
      </w:r>
      <w:r w:rsidR="000E3124">
        <w:t>1</w:t>
      </w:r>
      <w:r w:rsidR="001A4E5C">
        <w:t>.</w:t>
      </w:r>
      <w:r w:rsidR="008136FF">
        <w:t xml:space="preserve">  Tariff customers enrolling after the five</w:t>
      </w:r>
      <w:r w:rsidR="00827602">
        <w:noBreakHyphen/>
      </w:r>
      <w:r w:rsidR="008136FF">
        <w:t>year glide path will not receive a lock</w:t>
      </w:r>
      <w:r w:rsidR="00827602">
        <w:noBreakHyphen/>
      </w:r>
      <w:r w:rsidR="008136FF">
        <w:t>in period for Avoided Cost Calculator values.</w:t>
      </w:r>
    </w:p>
    <w:p w:rsidR="001A4E5C" w:rsidP="005E7044" w:rsidRDefault="00322A4A" w14:paraId="1FD57EEC" w14:textId="734F0E9A">
      <w:pPr>
        <w:pStyle w:val="OP"/>
        <w:numPr>
          <w:ilvl w:val="1"/>
          <w:numId w:val="4"/>
        </w:numPr>
        <w:spacing w:after="120" w:line="240" w:lineRule="auto"/>
        <w:ind w:left="1267" w:right="1440" w:hanging="187"/>
      </w:pPr>
      <w:r>
        <w:t>An Avoided Cost Calculator Plus (ACC Plus) adder</w:t>
      </w:r>
      <w:r w:rsidR="001A4E5C">
        <w:t xml:space="preserve">, based on a </w:t>
      </w:r>
      <w:r>
        <w:t>cents per kilowatt</w:t>
      </w:r>
      <w:r w:rsidR="00827602">
        <w:noBreakHyphen/>
      </w:r>
      <w:r>
        <w:t xml:space="preserve">hour </w:t>
      </w:r>
      <w:r w:rsidR="008136FF">
        <w:t xml:space="preserve">exported.  The </w:t>
      </w:r>
      <w:r w:rsidR="007B0D0D">
        <w:t xml:space="preserve">ACC Plus </w:t>
      </w:r>
      <w:r>
        <w:t xml:space="preserve">will be </w:t>
      </w:r>
      <w:r w:rsidR="008136FF">
        <w:t>available</w:t>
      </w:r>
      <w:r>
        <w:t xml:space="preserve"> to net billing </w:t>
      </w:r>
      <w:r w:rsidR="008136FF">
        <w:t xml:space="preserve">tariff </w:t>
      </w:r>
      <w:r>
        <w:t xml:space="preserve">customers </w:t>
      </w:r>
      <w:r w:rsidR="008136FF">
        <w:t>during</w:t>
      </w:r>
      <w:r>
        <w:t xml:space="preserve"> the first five years of the successor tariff, as a glide path</w:t>
      </w:r>
      <w:r w:rsidR="001A4E5C">
        <w:t>.</w:t>
      </w:r>
      <w:r w:rsidR="001A6220">
        <w:t xml:space="preserve">  The </w:t>
      </w:r>
      <w:r w:rsidR="005253D4">
        <w:t xml:space="preserve">adopted </w:t>
      </w:r>
      <w:r>
        <w:t>ACC Plus adder</w:t>
      </w:r>
      <w:r w:rsidR="007B0D0D">
        <w:t>s</w:t>
      </w:r>
      <w:r w:rsidR="005253D4">
        <w:t>, as indicated in the table below,</w:t>
      </w:r>
      <w:r w:rsidR="001A6220">
        <w:t xml:space="preserve"> </w:t>
      </w:r>
      <w:r w:rsidR="005253D4">
        <w:t xml:space="preserve">will remain constant for a customer for </w:t>
      </w:r>
      <w:r>
        <w:t xml:space="preserve">nine </w:t>
      </w:r>
      <w:r w:rsidR="005253D4">
        <w:t>years from the customer’s interconnection date.</w:t>
      </w:r>
      <w:r w:rsidR="00C93264">
        <w:t xml:space="preserve">  For purposes of the net billing tariff, low</w:t>
      </w:r>
      <w:r w:rsidR="008D2724">
        <w:noBreakHyphen/>
      </w:r>
      <w:r w:rsidR="00C93264">
        <w:t>income customers are defined as one or more of the following:</w:t>
      </w:r>
      <w:r w:rsidR="000E502B">
        <w:t xml:space="preserve"> </w:t>
      </w:r>
      <w:r w:rsidR="00C93264">
        <w:t xml:space="preserve"> (</w:t>
      </w:r>
      <w:proofErr w:type="spellStart"/>
      <w:r w:rsidR="00C93264">
        <w:t>i</w:t>
      </w:r>
      <w:proofErr w:type="spellEnd"/>
      <w:r w:rsidR="00C93264">
        <w:t>)</w:t>
      </w:r>
      <w:r w:rsidR="000E502B">
        <w:t> </w:t>
      </w:r>
      <w:r w:rsidR="00C93264">
        <w:t>residential customers enrolled in California Alternate Rates for Energy and the Family Electric Rates Assistance programs</w:t>
      </w:r>
      <w:r w:rsidR="000E502B">
        <w:t>;</w:t>
      </w:r>
      <w:r w:rsidR="00C93264">
        <w:t xml:space="preserve"> (ii)</w:t>
      </w:r>
      <w:r w:rsidR="000E502B">
        <w:t> </w:t>
      </w:r>
      <w:r w:rsidR="00C93264">
        <w:t>resident</w:t>
      </w:r>
      <w:r w:rsidR="008D2724">
        <w:noBreakHyphen/>
      </w:r>
      <w:r w:rsidR="00C93264">
        <w:t>owners of single</w:t>
      </w:r>
      <w:r w:rsidR="008D2724">
        <w:noBreakHyphen/>
      </w:r>
      <w:r w:rsidR="00C93264">
        <w:t xml:space="preserve">family homes living in disadvantaged communities (as defined </w:t>
      </w:r>
      <w:r w:rsidRPr="00733795" w:rsidR="00C93264">
        <w:t xml:space="preserve">in </w:t>
      </w:r>
      <w:r w:rsidRPr="00A943E5" w:rsidR="00C93264">
        <w:t>D</w:t>
      </w:r>
      <w:r w:rsidR="00C93264">
        <w:t>ecision (D.)</w:t>
      </w:r>
      <w:r w:rsidR="000E502B">
        <w:t> </w:t>
      </w:r>
      <w:r w:rsidRPr="00A943E5" w:rsidR="00C93264">
        <w:t>18</w:t>
      </w:r>
      <w:r w:rsidR="008D2724">
        <w:noBreakHyphen/>
      </w:r>
      <w:r w:rsidRPr="00A943E5" w:rsidR="00C93264">
        <w:t>06</w:t>
      </w:r>
      <w:r w:rsidR="008D2724">
        <w:noBreakHyphen/>
      </w:r>
      <w:r w:rsidRPr="00A943E5" w:rsidR="00C93264">
        <w:t>027</w:t>
      </w:r>
      <w:r w:rsidRPr="00733795" w:rsidR="00C93264">
        <w:t>)</w:t>
      </w:r>
      <w:r w:rsidR="000E502B">
        <w:t>;</w:t>
      </w:r>
      <w:r w:rsidR="00C93264">
        <w:t xml:space="preserve"> and (iii)</w:t>
      </w:r>
      <w:r w:rsidR="000E502B">
        <w:t> </w:t>
      </w:r>
      <w:r w:rsidR="00C93264">
        <w:t xml:space="preserve">residential customers </w:t>
      </w:r>
      <w:r w:rsidRPr="00BB1A29" w:rsidR="00C93264">
        <w:t xml:space="preserve">who live </w:t>
      </w:r>
      <w:r w:rsidR="00C93264">
        <w:t>in</w:t>
      </w:r>
      <w:r w:rsidRPr="00BB1A29" w:rsidR="00C93264">
        <w:t xml:space="preserve"> California Indian Country</w:t>
      </w:r>
      <w:r w:rsidR="00C93264">
        <w:t xml:space="preserve"> (as defined in D.20</w:t>
      </w:r>
      <w:r w:rsidR="008D2724">
        <w:noBreakHyphen/>
      </w:r>
      <w:r w:rsidR="00C93264">
        <w:t>12</w:t>
      </w:r>
      <w:r w:rsidR="008D2724">
        <w:noBreakHyphen/>
      </w:r>
      <w:r w:rsidR="00C93264">
        <w:t>003).</w:t>
      </w:r>
    </w:p>
    <w:tbl>
      <w:tblPr>
        <w:tblStyle w:val="TableGrid"/>
        <w:tblW w:w="9360" w:type="dxa"/>
        <w:tblLayout w:type="fixed"/>
        <w:tblCellMar>
          <w:top w:w="58" w:type="dxa"/>
          <w:bottom w:w="58" w:type="dxa"/>
        </w:tblCellMar>
        <w:tblLook w:val="04A0" w:firstRow="1" w:lastRow="0" w:firstColumn="1" w:lastColumn="0" w:noHBand="0" w:noVBand="1"/>
      </w:tblPr>
      <w:tblGrid>
        <w:gridCol w:w="3239"/>
        <w:gridCol w:w="2040"/>
        <w:gridCol w:w="2040"/>
        <w:gridCol w:w="2041"/>
      </w:tblGrid>
      <w:tr w:rsidR="001A4E5C" w:rsidTr="00431BAB" w14:paraId="3FD62056" w14:textId="77777777">
        <w:trPr>
          <w:cantSplit/>
          <w:tblHeader/>
        </w:trPr>
        <w:tc>
          <w:tcPr>
            <w:tcW w:w="9350" w:type="dxa"/>
            <w:gridSpan w:val="4"/>
          </w:tcPr>
          <w:p w:rsidR="001A4E5C" w:rsidP="00431BAB" w:rsidRDefault="005253D4" w14:paraId="5C72EC0A" w14:textId="2F9A0919">
            <w:pPr>
              <w:pStyle w:val="Standard"/>
              <w:keepNext/>
              <w:spacing w:line="240" w:lineRule="auto"/>
              <w:ind w:firstLine="0"/>
              <w:jc w:val="center"/>
            </w:pPr>
            <w:r>
              <w:rPr>
                <w:b/>
                <w:bCs/>
              </w:rPr>
              <w:t xml:space="preserve">Adopted </w:t>
            </w:r>
            <w:r w:rsidR="008136FF">
              <w:rPr>
                <w:b/>
                <w:bCs/>
              </w:rPr>
              <w:t>Avoided Cost Calculator Plus Adder</w:t>
            </w:r>
            <w:r w:rsidR="00C93264">
              <w:rPr>
                <w:b/>
                <w:bCs/>
              </w:rPr>
              <w:t>s</w:t>
            </w:r>
          </w:p>
        </w:tc>
      </w:tr>
      <w:tr w:rsidR="001A4E5C" w:rsidTr="00431BAB" w14:paraId="017C9776" w14:textId="77777777">
        <w:trPr>
          <w:cantSplit/>
        </w:trPr>
        <w:tc>
          <w:tcPr>
            <w:tcW w:w="3235" w:type="dxa"/>
            <w:vAlign w:val="center"/>
          </w:tcPr>
          <w:p w:rsidRPr="003A4C48" w:rsidR="001A4E5C" w:rsidP="00431BAB" w:rsidRDefault="001A4E5C" w14:paraId="14A361E1" w14:textId="77777777">
            <w:pPr>
              <w:pStyle w:val="Standard"/>
              <w:keepNext/>
              <w:spacing w:line="240" w:lineRule="auto"/>
              <w:ind w:firstLine="0"/>
              <w:rPr>
                <w:b/>
                <w:bCs/>
              </w:rPr>
            </w:pPr>
            <w:r w:rsidRPr="003A4C48">
              <w:rPr>
                <w:b/>
                <w:bCs/>
              </w:rPr>
              <w:t>Customer Segment</w:t>
            </w:r>
          </w:p>
        </w:tc>
        <w:tc>
          <w:tcPr>
            <w:tcW w:w="2038" w:type="dxa"/>
            <w:vAlign w:val="center"/>
          </w:tcPr>
          <w:p w:rsidRPr="003A4C48" w:rsidR="001A4E5C" w:rsidP="00431BAB" w:rsidRDefault="001A4E5C" w14:paraId="5AEEB806" w14:textId="77777777">
            <w:pPr>
              <w:pStyle w:val="Standard"/>
              <w:keepNext/>
              <w:spacing w:line="240" w:lineRule="auto"/>
              <w:ind w:firstLine="0"/>
              <w:jc w:val="center"/>
              <w:rPr>
                <w:b/>
                <w:bCs/>
              </w:rPr>
            </w:pPr>
            <w:r w:rsidRPr="003A4C48">
              <w:rPr>
                <w:b/>
                <w:bCs/>
              </w:rPr>
              <w:t>PG&amp;E</w:t>
            </w:r>
          </w:p>
        </w:tc>
        <w:tc>
          <w:tcPr>
            <w:tcW w:w="2038" w:type="dxa"/>
            <w:vAlign w:val="center"/>
          </w:tcPr>
          <w:p w:rsidRPr="003A4C48" w:rsidR="001A4E5C" w:rsidP="00431BAB" w:rsidRDefault="001A4E5C" w14:paraId="13169C5E" w14:textId="77777777">
            <w:pPr>
              <w:pStyle w:val="Standard"/>
              <w:keepNext/>
              <w:spacing w:line="240" w:lineRule="auto"/>
              <w:ind w:firstLine="0"/>
              <w:jc w:val="center"/>
              <w:rPr>
                <w:b/>
                <w:bCs/>
              </w:rPr>
            </w:pPr>
            <w:r w:rsidRPr="003A4C48">
              <w:rPr>
                <w:b/>
                <w:bCs/>
              </w:rPr>
              <w:t>SDG&amp;E</w:t>
            </w:r>
          </w:p>
        </w:tc>
        <w:tc>
          <w:tcPr>
            <w:tcW w:w="2039" w:type="dxa"/>
            <w:vAlign w:val="center"/>
          </w:tcPr>
          <w:p w:rsidRPr="003A4C48" w:rsidR="001A4E5C" w:rsidP="00431BAB" w:rsidRDefault="001A4E5C" w14:paraId="657981FC" w14:textId="77777777">
            <w:pPr>
              <w:pStyle w:val="Standard"/>
              <w:keepNext/>
              <w:spacing w:line="240" w:lineRule="auto"/>
              <w:ind w:firstLine="0"/>
              <w:jc w:val="center"/>
              <w:rPr>
                <w:b/>
                <w:bCs/>
              </w:rPr>
            </w:pPr>
            <w:r w:rsidRPr="003A4C48">
              <w:rPr>
                <w:b/>
                <w:bCs/>
              </w:rPr>
              <w:t>SCE</w:t>
            </w:r>
          </w:p>
        </w:tc>
      </w:tr>
      <w:tr w:rsidR="00912587" w:rsidTr="00910053" w14:paraId="53F86CA3" w14:textId="77777777">
        <w:trPr>
          <w:cantSplit/>
        </w:trPr>
        <w:tc>
          <w:tcPr>
            <w:tcW w:w="3235" w:type="dxa"/>
            <w:vAlign w:val="center"/>
          </w:tcPr>
          <w:p w:rsidRPr="00B52399" w:rsidR="00912587" w:rsidP="00431BAB" w:rsidRDefault="00912587" w14:paraId="23CB4776" w14:textId="3BDE384E">
            <w:pPr>
              <w:pStyle w:val="Standard"/>
              <w:keepNext/>
              <w:spacing w:line="240" w:lineRule="auto"/>
              <w:ind w:firstLine="0"/>
              <w:rPr>
                <w:b/>
                <w:bCs/>
              </w:rPr>
            </w:pPr>
            <w:r w:rsidRPr="00B52399">
              <w:t>Residential</w:t>
            </w:r>
          </w:p>
        </w:tc>
        <w:tc>
          <w:tcPr>
            <w:tcW w:w="2038" w:type="dxa"/>
            <w:shd w:val="clear" w:color="auto" w:fill="auto"/>
            <w:vAlign w:val="center"/>
          </w:tcPr>
          <w:p w:rsidRPr="00910053" w:rsidR="00912587" w:rsidP="00431BAB" w:rsidRDefault="00912587" w14:paraId="4881392F" w14:textId="150B1D1E">
            <w:pPr>
              <w:pStyle w:val="Standard"/>
              <w:keepNext/>
              <w:spacing w:line="240" w:lineRule="auto"/>
              <w:ind w:firstLine="0"/>
              <w:jc w:val="center"/>
            </w:pPr>
            <w:r w:rsidRPr="00910053">
              <w:t>$</w:t>
            </w:r>
            <w:r w:rsidRPr="00910053" w:rsidR="000C178C">
              <w:t>0.0</w:t>
            </w:r>
            <w:r w:rsidR="00B933AF">
              <w:t>22</w:t>
            </w:r>
            <w:r w:rsidRPr="00910053">
              <w:t>/kW</w:t>
            </w:r>
            <w:r w:rsidRPr="00910053" w:rsidR="000C178C">
              <w:t>h</w:t>
            </w:r>
            <w:r w:rsidRPr="00910053">
              <w:t> </w:t>
            </w:r>
          </w:p>
        </w:tc>
        <w:tc>
          <w:tcPr>
            <w:tcW w:w="2038" w:type="dxa"/>
            <w:shd w:val="clear" w:color="auto" w:fill="auto"/>
            <w:vAlign w:val="center"/>
          </w:tcPr>
          <w:p w:rsidRPr="00910053" w:rsidR="00912587" w:rsidP="00431BAB" w:rsidRDefault="00912587" w14:paraId="207B91B6" w14:textId="5A025D97">
            <w:pPr>
              <w:pStyle w:val="Standard"/>
              <w:keepNext/>
              <w:spacing w:line="240" w:lineRule="auto"/>
              <w:ind w:firstLine="0"/>
              <w:jc w:val="center"/>
            </w:pPr>
            <w:r w:rsidRPr="00910053">
              <w:t>$</w:t>
            </w:r>
            <w:r w:rsidRPr="00910053" w:rsidR="005253D4">
              <w:t>0</w:t>
            </w:r>
            <w:r w:rsidRPr="00910053">
              <w:t>/kW</w:t>
            </w:r>
            <w:r w:rsidRPr="00910053" w:rsidR="000C178C">
              <w:t>h</w:t>
            </w:r>
            <w:r w:rsidRPr="00910053">
              <w:t> </w:t>
            </w:r>
          </w:p>
        </w:tc>
        <w:tc>
          <w:tcPr>
            <w:tcW w:w="2039" w:type="dxa"/>
            <w:shd w:val="clear" w:color="auto" w:fill="auto"/>
            <w:vAlign w:val="center"/>
          </w:tcPr>
          <w:p w:rsidRPr="00910053" w:rsidR="00912587" w:rsidP="00431BAB" w:rsidRDefault="00912587" w14:paraId="3F91B5CE" w14:textId="74AC5D89">
            <w:pPr>
              <w:pStyle w:val="Standard"/>
              <w:keepNext/>
              <w:spacing w:line="240" w:lineRule="auto"/>
              <w:ind w:firstLine="0"/>
              <w:jc w:val="center"/>
            </w:pPr>
            <w:r w:rsidRPr="00910053">
              <w:t>$</w:t>
            </w:r>
            <w:r w:rsidRPr="00910053" w:rsidR="000C178C">
              <w:t>0.040</w:t>
            </w:r>
            <w:r w:rsidRPr="00910053">
              <w:t>/kW</w:t>
            </w:r>
            <w:r w:rsidRPr="00910053" w:rsidR="000C178C">
              <w:t>h</w:t>
            </w:r>
            <w:r w:rsidRPr="00910053">
              <w:t> </w:t>
            </w:r>
          </w:p>
        </w:tc>
      </w:tr>
      <w:tr w:rsidR="00912587" w:rsidTr="00910053" w14:paraId="6D1D7634" w14:textId="77777777">
        <w:trPr>
          <w:cantSplit/>
        </w:trPr>
        <w:tc>
          <w:tcPr>
            <w:tcW w:w="3235" w:type="dxa"/>
            <w:vAlign w:val="center"/>
          </w:tcPr>
          <w:p w:rsidRPr="00B52399" w:rsidR="00912587" w:rsidP="00431BAB" w:rsidRDefault="0043017D" w14:paraId="7C6C8A05" w14:textId="5E800443">
            <w:pPr>
              <w:pStyle w:val="Standard"/>
              <w:keepNext/>
              <w:spacing w:line="240" w:lineRule="auto"/>
              <w:ind w:firstLine="0"/>
              <w:rPr>
                <w:b/>
                <w:bCs/>
              </w:rPr>
            </w:pPr>
            <w:r w:rsidRPr="00B52399">
              <w:t>Low</w:t>
            </w:r>
            <w:r w:rsidR="00827602">
              <w:noBreakHyphen/>
            </w:r>
            <w:r w:rsidRPr="00B52399">
              <w:t>Income</w:t>
            </w:r>
          </w:p>
        </w:tc>
        <w:tc>
          <w:tcPr>
            <w:tcW w:w="2038" w:type="dxa"/>
            <w:shd w:val="clear" w:color="auto" w:fill="auto"/>
            <w:vAlign w:val="center"/>
          </w:tcPr>
          <w:p w:rsidRPr="00910053" w:rsidR="00912587" w:rsidP="00431BAB" w:rsidRDefault="00912587" w14:paraId="6AF7D5BA" w14:textId="382020C0">
            <w:pPr>
              <w:pStyle w:val="Standard"/>
              <w:keepNext/>
              <w:spacing w:line="240" w:lineRule="auto"/>
              <w:ind w:firstLine="0"/>
              <w:jc w:val="center"/>
            </w:pPr>
            <w:r w:rsidRPr="00910053">
              <w:t>$</w:t>
            </w:r>
            <w:r w:rsidRPr="00910053" w:rsidR="000C178C">
              <w:t>0.0</w:t>
            </w:r>
            <w:r w:rsidR="00B933AF">
              <w:t>90</w:t>
            </w:r>
            <w:r w:rsidRPr="00910053">
              <w:t>/kW</w:t>
            </w:r>
            <w:r w:rsidRPr="00910053" w:rsidR="000C178C">
              <w:t>h</w:t>
            </w:r>
            <w:r w:rsidRPr="00910053">
              <w:t> </w:t>
            </w:r>
          </w:p>
        </w:tc>
        <w:tc>
          <w:tcPr>
            <w:tcW w:w="2038" w:type="dxa"/>
            <w:shd w:val="clear" w:color="auto" w:fill="auto"/>
            <w:vAlign w:val="center"/>
          </w:tcPr>
          <w:p w:rsidRPr="00910053" w:rsidR="00912587" w:rsidP="00431BAB" w:rsidRDefault="00912587" w14:paraId="40CF40C6" w14:textId="0AE3D7A6">
            <w:pPr>
              <w:pStyle w:val="Standard"/>
              <w:keepNext/>
              <w:spacing w:line="240" w:lineRule="auto"/>
              <w:ind w:firstLine="0"/>
              <w:jc w:val="center"/>
            </w:pPr>
            <w:r w:rsidRPr="00910053">
              <w:t>$</w:t>
            </w:r>
            <w:r w:rsidRPr="00910053" w:rsidR="00316F82">
              <w:t>0</w:t>
            </w:r>
            <w:r w:rsidRPr="00910053">
              <w:t>/kW</w:t>
            </w:r>
            <w:r w:rsidRPr="00910053" w:rsidR="000C178C">
              <w:t>h</w:t>
            </w:r>
            <w:r w:rsidRPr="00910053">
              <w:t> </w:t>
            </w:r>
          </w:p>
        </w:tc>
        <w:tc>
          <w:tcPr>
            <w:tcW w:w="2039" w:type="dxa"/>
            <w:shd w:val="clear" w:color="auto" w:fill="auto"/>
            <w:vAlign w:val="center"/>
          </w:tcPr>
          <w:p w:rsidRPr="00910053" w:rsidR="00912587" w:rsidP="00431BAB" w:rsidRDefault="00912587" w14:paraId="69F4BDAD" w14:textId="03A4D889">
            <w:pPr>
              <w:pStyle w:val="Standard"/>
              <w:keepNext/>
              <w:spacing w:line="240" w:lineRule="auto"/>
              <w:ind w:firstLine="0"/>
              <w:jc w:val="center"/>
            </w:pPr>
            <w:r w:rsidRPr="00910053">
              <w:t>$</w:t>
            </w:r>
            <w:r w:rsidRPr="00910053" w:rsidR="000C178C">
              <w:t>0.093</w:t>
            </w:r>
            <w:r w:rsidRPr="00910053">
              <w:t>/kW</w:t>
            </w:r>
            <w:r w:rsidRPr="00910053" w:rsidR="000C178C">
              <w:t>h</w:t>
            </w:r>
            <w:r w:rsidRPr="00910053">
              <w:t> </w:t>
            </w:r>
          </w:p>
        </w:tc>
      </w:tr>
      <w:tr w:rsidR="001A4E5C" w:rsidTr="00910053" w14:paraId="374EA802" w14:textId="77777777">
        <w:trPr>
          <w:cantSplit/>
        </w:trPr>
        <w:tc>
          <w:tcPr>
            <w:tcW w:w="3235" w:type="dxa"/>
            <w:vAlign w:val="center"/>
          </w:tcPr>
          <w:p w:rsidRPr="00B52399" w:rsidR="001A4E5C" w:rsidP="00431BAB" w:rsidRDefault="001A4E5C" w14:paraId="1E4C995C" w14:textId="5B595EAF">
            <w:pPr>
              <w:pStyle w:val="Standard"/>
              <w:spacing w:line="240" w:lineRule="auto"/>
              <w:ind w:firstLine="0"/>
              <w:rPr>
                <w:b/>
                <w:bCs/>
              </w:rPr>
            </w:pPr>
            <w:r w:rsidRPr="00B52399">
              <w:t>Non</w:t>
            </w:r>
            <w:r w:rsidRPr="00B52399" w:rsidR="00431BAB">
              <w:t>r</w:t>
            </w:r>
            <w:r w:rsidRPr="00B52399">
              <w:t>esidential</w:t>
            </w:r>
          </w:p>
        </w:tc>
        <w:tc>
          <w:tcPr>
            <w:tcW w:w="2038" w:type="dxa"/>
            <w:shd w:val="clear" w:color="auto" w:fill="auto"/>
            <w:vAlign w:val="center"/>
          </w:tcPr>
          <w:p w:rsidRPr="00910053" w:rsidR="001A4E5C" w:rsidP="00431BAB" w:rsidRDefault="001A4E5C" w14:paraId="7BA42A9F" w14:textId="6613A05D">
            <w:pPr>
              <w:pStyle w:val="Standard"/>
              <w:spacing w:line="240" w:lineRule="auto"/>
              <w:ind w:firstLine="0"/>
              <w:jc w:val="center"/>
            </w:pPr>
            <w:r w:rsidRPr="00910053">
              <w:t>$0/kW</w:t>
            </w:r>
            <w:r w:rsidRPr="00910053" w:rsidR="000C178C">
              <w:t>h</w:t>
            </w:r>
          </w:p>
        </w:tc>
        <w:tc>
          <w:tcPr>
            <w:tcW w:w="2038" w:type="dxa"/>
            <w:shd w:val="clear" w:color="auto" w:fill="auto"/>
            <w:vAlign w:val="center"/>
          </w:tcPr>
          <w:p w:rsidRPr="00910053" w:rsidR="001A4E5C" w:rsidP="00431BAB" w:rsidRDefault="001A4E5C" w14:paraId="64040B8C" w14:textId="19FBEA27">
            <w:pPr>
              <w:pStyle w:val="Standard"/>
              <w:spacing w:line="240" w:lineRule="auto"/>
              <w:ind w:firstLine="0"/>
              <w:jc w:val="center"/>
            </w:pPr>
            <w:r w:rsidRPr="00910053">
              <w:t>$0/kW</w:t>
            </w:r>
            <w:r w:rsidRPr="00910053" w:rsidR="000C178C">
              <w:t>h</w:t>
            </w:r>
          </w:p>
        </w:tc>
        <w:tc>
          <w:tcPr>
            <w:tcW w:w="2039" w:type="dxa"/>
            <w:shd w:val="clear" w:color="auto" w:fill="auto"/>
            <w:vAlign w:val="center"/>
          </w:tcPr>
          <w:p w:rsidRPr="00910053" w:rsidR="001A4E5C" w:rsidP="00431BAB" w:rsidRDefault="001A4E5C" w14:paraId="0A3BE862" w14:textId="70528FE4">
            <w:pPr>
              <w:pStyle w:val="Standard"/>
              <w:spacing w:line="240" w:lineRule="auto"/>
              <w:ind w:firstLine="0"/>
              <w:jc w:val="center"/>
            </w:pPr>
            <w:r w:rsidRPr="00910053">
              <w:t>$0/kW</w:t>
            </w:r>
            <w:r w:rsidRPr="00910053" w:rsidR="000C178C">
              <w:t>h</w:t>
            </w:r>
          </w:p>
        </w:tc>
      </w:tr>
    </w:tbl>
    <w:p w:rsidR="001A4E5C" w:rsidP="005E7044" w:rsidRDefault="001A4E5C" w14:paraId="5F90153D" w14:textId="03828709">
      <w:pPr>
        <w:pStyle w:val="OP"/>
        <w:numPr>
          <w:ilvl w:val="0"/>
          <w:numId w:val="0"/>
        </w:numPr>
        <w:spacing w:before="120" w:after="120" w:line="240" w:lineRule="auto"/>
        <w:ind w:left="1267" w:right="1440"/>
      </w:pPr>
      <w:r>
        <w:t xml:space="preserve">The </w:t>
      </w:r>
      <w:r w:rsidR="008136FF">
        <w:t xml:space="preserve">adder </w:t>
      </w:r>
      <w:r>
        <w:t xml:space="preserve">will decrease by </w:t>
      </w:r>
      <w:r w:rsidR="00912587">
        <w:t>2</w:t>
      </w:r>
      <w:r w:rsidR="000C178C">
        <w:t>0</w:t>
      </w:r>
      <w:r w:rsidR="00C04724">
        <w:t> percent</w:t>
      </w:r>
      <w:r>
        <w:t xml:space="preserve"> annually, </w:t>
      </w:r>
      <w:r w:rsidR="00C93264">
        <w:t xml:space="preserve">for newly enrolled tariff customers, </w:t>
      </w:r>
      <w:r>
        <w:t>as measured by the first</w:t>
      </w:r>
      <w:r w:rsidR="00827602">
        <w:noBreakHyphen/>
      </w:r>
      <w:r>
        <w:t xml:space="preserve">year </w:t>
      </w:r>
      <w:r w:rsidR="008136FF">
        <w:t xml:space="preserve">adder </w:t>
      </w:r>
      <w:r>
        <w:t xml:space="preserve">rate until the </w:t>
      </w:r>
      <w:r w:rsidR="008136FF">
        <w:t xml:space="preserve">adder </w:t>
      </w:r>
      <w:r>
        <w:t xml:space="preserve">reaches zero.  The </w:t>
      </w:r>
      <w:r w:rsidR="008136FF">
        <w:t>adder</w:t>
      </w:r>
      <w:r>
        <w:t xml:space="preserve"> will be a discrete line on the customer</w:t>
      </w:r>
      <w:r w:rsidR="00F64859">
        <w:t>’</w:t>
      </w:r>
      <w:r>
        <w:t xml:space="preserve">s utility bill, will apply to all charges, and will apply to future bills until the credit is used.  Funding for the </w:t>
      </w:r>
      <w:r w:rsidRPr="00402C97" w:rsidR="008136FF">
        <w:t xml:space="preserve">adder </w:t>
      </w:r>
      <w:r w:rsidRPr="00402C97">
        <w:t xml:space="preserve">will be </w:t>
      </w:r>
      <w:r w:rsidRPr="00402C97">
        <w:lastRenderedPageBreak/>
        <w:t xml:space="preserve">provided by all ratepayers </w:t>
      </w:r>
      <w:r w:rsidRPr="00910053">
        <w:t>through the Public Purpose Program charge</w:t>
      </w:r>
      <w:r w:rsidRPr="00402C97">
        <w:t>.</w:t>
      </w:r>
    </w:p>
    <w:p w:rsidR="00C93264" w:rsidP="005E7044" w:rsidRDefault="00C93264" w14:paraId="41832635" w14:textId="74936FDE">
      <w:pPr>
        <w:pStyle w:val="OP"/>
        <w:numPr>
          <w:ilvl w:val="0"/>
          <w:numId w:val="0"/>
        </w:numPr>
        <w:spacing w:before="120" w:after="120" w:line="240" w:lineRule="auto"/>
        <w:ind w:left="1267" w:right="1440"/>
      </w:pPr>
      <w:r>
        <w:t>The ACC Plus is not available to</w:t>
      </w:r>
      <w:r w:rsidR="00201C2F">
        <w:t xml:space="preserve">: </w:t>
      </w:r>
      <w:r>
        <w:t xml:space="preserve"> (</w:t>
      </w:r>
      <w:proofErr w:type="spellStart"/>
      <w:r>
        <w:t>i</w:t>
      </w:r>
      <w:proofErr w:type="spellEnd"/>
      <w:r>
        <w:t>)</w:t>
      </w:r>
      <w:r w:rsidR="00201C2F">
        <w:t> </w:t>
      </w:r>
      <w:r>
        <w:t>customers transitioning from the NEM</w:t>
      </w:r>
      <w:r w:rsidR="00201C2F">
        <w:t> </w:t>
      </w:r>
      <w:r>
        <w:t>1.0 tariff or the NEM</w:t>
      </w:r>
      <w:r w:rsidR="00201C2F">
        <w:t> </w:t>
      </w:r>
      <w:r>
        <w:t>2.0 tariff at the end of their legacy period</w:t>
      </w:r>
      <w:r w:rsidR="00201C2F">
        <w:t>;</w:t>
      </w:r>
      <w:r>
        <w:t xml:space="preserve"> and (ii)</w:t>
      </w:r>
      <w:r w:rsidR="00201C2F">
        <w:t> </w:t>
      </w:r>
      <w:r>
        <w:t>customers who have purchased a building with an existing system.</w:t>
      </w:r>
    </w:p>
    <w:p w:rsidR="001A4E5C" w:rsidP="005E7044" w:rsidRDefault="001A4E5C" w14:paraId="358BAE10" w14:textId="0B97E694">
      <w:pPr>
        <w:pStyle w:val="OP"/>
        <w:keepNext/>
        <w:numPr>
          <w:ilvl w:val="1"/>
          <w:numId w:val="4"/>
        </w:numPr>
        <w:spacing w:after="120" w:line="240" w:lineRule="auto"/>
        <w:ind w:left="1267" w:right="1440" w:hanging="187"/>
      </w:pPr>
      <w:r>
        <w:t>Highly differentiated time</w:t>
      </w:r>
      <w:r w:rsidR="00827602">
        <w:noBreakHyphen/>
      </w:r>
      <w:r>
        <w:t>of</w:t>
      </w:r>
      <w:r w:rsidR="00827602">
        <w:noBreakHyphen/>
      </w:r>
      <w:r>
        <w:t>use rates as provided in the following table.</w:t>
      </w:r>
      <w:r w:rsidR="00912587">
        <w:t xml:space="preserve">  Additional eligible rates may be added </w:t>
      </w:r>
      <w:r w:rsidR="006716D2">
        <w:t xml:space="preserve">by utility request </w:t>
      </w:r>
      <w:r w:rsidR="00912587">
        <w:t xml:space="preserve">through submittal of a </w:t>
      </w:r>
      <w:r w:rsidR="00BB092B">
        <w:t>Tier 3</w:t>
      </w:r>
      <w:r w:rsidR="00912587">
        <w:t xml:space="preserve"> </w:t>
      </w:r>
      <w:r w:rsidR="00116E9B">
        <w:t>a</w:t>
      </w:r>
      <w:r w:rsidR="00912587">
        <w:t xml:space="preserve">dvice </w:t>
      </w:r>
      <w:r w:rsidRPr="00402C97" w:rsidR="00116E9B">
        <w:t>l</w:t>
      </w:r>
      <w:r w:rsidRPr="00402C97" w:rsidR="00912587">
        <w:t>etter</w:t>
      </w:r>
      <w:r w:rsidRPr="00402C97" w:rsidR="006A41F1">
        <w:t xml:space="preserve"> or </w:t>
      </w:r>
      <w:r w:rsidR="00402C97">
        <w:t>through its general rate case Phase 2 or rate design window</w:t>
      </w:r>
      <w:r w:rsidRPr="00402C97" w:rsidR="00912587">
        <w:t>.</w:t>
      </w:r>
      <w:r w:rsidR="005253D4">
        <w:t xml:space="preserve">  </w:t>
      </w:r>
      <w:r w:rsidR="00C93264">
        <w:t xml:space="preserve">All net </w:t>
      </w:r>
      <w:r w:rsidR="008473D4">
        <w:t xml:space="preserve">billing tariff </w:t>
      </w:r>
      <w:r w:rsidR="001C5E14">
        <w:t xml:space="preserve">residential </w:t>
      </w:r>
      <w:r w:rsidR="008473D4">
        <w:t xml:space="preserve">customers </w:t>
      </w:r>
      <w:r w:rsidR="00C93264">
        <w:t xml:space="preserve">are required to enroll in these eligible </w:t>
      </w:r>
      <w:r w:rsidR="001C5E14">
        <w:t>rates,</w:t>
      </w:r>
      <w:r w:rsidR="00C93264">
        <w:t xml:space="preserve"> or they </w:t>
      </w:r>
      <w:r w:rsidR="008473D4">
        <w:t>may choose to enroll in critical peak pricing or peak day pricing rates.</w:t>
      </w:r>
    </w:p>
    <w:tbl>
      <w:tblPr>
        <w:tblStyle w:val="TableGrid"/>
        <w:tblW w:w="9360" w:type="dxa"/>
        <w:tblLayout w:type="fixed"/>
        <w:tblCellMar>
          <w:top w:w="58" w:type="dxa"/>
          <w:bottom w:w="58" w:type="dxa"/>
        </w:tblCellMar>
        <w:tblLook w:val="04A0" w:firstRow="1" w:lastRow="0" w:firstColumn="1" w:lastColumn="0" w:noHBand="0" w:noVBand="1"/>
      </w:tblPr>
      <w:tblGrid>
        <w:gridCol w:w="2339"/>
        <w:gridCol w:w="2339"/>
        <w:gridCol w:w="2341"/>
        <w:gridCol w:w="2341"/>
      </w:tblGrid>
      <w:tr w:rsidR="001A4E5C" w:rsidTr="00BB092B" w14:paraId="2B2087E6" w14:textId="77777777">
        <w:trPr>
          <w:cantSplit/>
          <w:tblHeader/>
        </w:trPr>
        <w:tc>
          <w:tcPr>
            <w:tcW w:w="9350" w:type="dxa"/>
            <w:gridSpan w:val="4"/>
          </w:tcPr>
          <w:p w:rsidR="001A4E5C" w:rsidP="00BB092B" w:rsidRDefault="001A4E5C" w14:paraId="4AA15AAD" w14:textId="77777777">
            <w:pPr>
              <w:pStyle w:val="Standard"/>
              <w:keepNext/>
              <w:spacing w:line="240" w:lineRule="auto"/>
              <w:ind w:firstLine="0"/>
              <w:jc w:val="center"/>
            </w:pPr>
            <w:r w:rsidRPr="003A4C48">
              <w:rPr>
                <w:b/>
                <w:bCs/>
              </w:rPr>
              <w:t>Eligible Time Of Use Rates by Utility</w:t>
            </w:r>
          </w:p>
        </w:tc>
      </w:tr>
      <w:tr w:rsidR="001A4E5C" w:rsidTr="00BB092B" w14:paraId="43C3FDF3" w14:textId="77777777">
        <w:trPr>
          <w:cantSplit/>
        </w:trPr>
        <w:tc>
          <w:tcPr>
            <w:tcW w:w="2337" w:type="dxa"/>
          </w:tcPr>
          <w:p w:rsidRPr="003A4C48" w:rsidR="001A4E5C" w:rsidP="00BB092B" w:rsidRDefault="001A4E5C" w14:paraId="1A0A4F5C" w14:textId="77777777">
            <w:pPr>
              <w:pStyle w:val="Standard"/>
              <w:keepNext/>
              <w:spacing w:line="240" w:lineRule="auto"/>
              <w:ind w:firstLine="0"/>
              <w:rPr>
                <w:b/>
                <w:bCs/>
              </w:rPr>
            </w:pPr>
          </w:p>
        </w:tc>
        <w:tc>
          <w:tcPr>
            <w:tcW w:w="2337" w:type="dxa"/>
          </w:tcPr>
          <w:p w:rsidRPr="003A4C48" w:rsidR="001A4E5C" w:rsidP="00BB092B" w:rsidRDefault="001A4E5C" w14:paraId="189336DE" w14:textId="77777777">
            <w:pPr>
              <w:pStyle w:val="Standard"/>
              <w:keepNext/>
              <w:spacing w:line="240" w:lineRule="auto"/>
              <w:ind w:firstLine="0"/>
              <w:jc w:val="center"/>
              <w:rPr>
                <w:b/>
                <w:bCs/>
              </w:rPr>
            </w:pPr>
            <w:r w:rsidRPr="003A4C48">
              <w:rPr>
                <w:b/>
                <w:bCs/>
              </w:rPr>
              <w:t>PG&amp;E</w:t>
            </w:r>
          </w:p>
        </w:tc>
        <w:tc>
          <w:tcPr>
            <w:tcW w:w="2338" w:type="dxa"/>
          </w:tcPr>
          <w:p w:rsidRPr="003A4C48" w:rsidR="001A4E5C" w:rsidP="00BB092B" w:rsidRDefault="001A4E5C" w14:paraId="62ACB033" w14:textId="77777777">
            <w:pPr>
              <w:pStyle w:val="Standard"/>
              <w:keepNext/>
              <w:spacing w:line="240" w:lineRule="auto"/>
              <w:ind w:firstLine="0"/>
              <w:jc w:val="center"/>
              <w:rPr>
                <w:b/>
                <w:bCs/>
              </w:rPr>
            </w:pPr>
            <w:r w:rsidRPr="003A4C48">
              <w:rPr>
                <w:b/>
                <w:bCs/>
              </w:rPr>
              <w:t>SDG&amp;E</w:t>
            </w:r>
          </w:p>
        </w:tc>
        <w:tc>
          <w:tcPr>
            <w:tcW w:w="2338" w:type="dxa"/>
          </w:tcPr>
          <w:p w:rsidRPr="003A4C48" w:rsidR="001A4E5C" w:rsidP="00BB092B" w:rsidRDefault="001A4E5C" w14:paraId="15F06E4B" w14:textId="77777777">
            <w:pPr>
              <w:pStyle w:val="Standard"/>
              <w:keepNext/>
              <w:spacing w:line="240" w:lineRule="auto"/>
              <w:ind w:firstLine="0"/>
              <w:jc w:val="center"/>
              <w:rPr>
                <w:b/>
                <w:bCs/>
              </w:rPr>
            </w:pPr>
            <w:r w:rsidRPr="003A4C48">
              <w:rPr>
                <w:b/>
                <w:bCs/>
              </w:rPr>
              <w:t>SCE</w:t>
            </w:r>
          </w:p>
        </w:tc>
      </w:tr>
      <w:tr w:rsidR="001A4E5C" w:rsidTr="00BB092B" w14:paraId="6DC12F02" w14:textId="77777777">
        <w:trPr>
          <w:cantSplit/>
        </w:trPr>
        <w:tc>
          <w:tcPr>
            <w:tcW w:w="2337" w:type="dxa"/>
          </w:tcPr>
          <w:p w:rsidRPr="003A4C48" w:rsidR="001A4E5C" w:rsidP="00BB092B" w:rsidRDefault="001A4E5C" w14:paraId="50F230CA" w14:textId="77777777">
            <w:pPr>
              <w:pStyle w:val="Standard"/>
              <w:spacing w:line="240" w:lineRule="auto"/>
              <w:ind w:firstLine="0"/>
              <w:rPr>
                <w:b/>
                <w:bCs/>
              </w:rPr>
            </w:pPr>
            <w:r w:rsidRPr="003A4C48">
              <w:rPr>
                <w:b/>
                <w:bCs/>
              </w:rPr>
              <w:t>Eligible Rate</w:t>
            </w:r>
          </w:p>
        </w:tc>
        <w:tc>
          <w:tcPr>
            <w:tcW w:w="2337" w:type="dxa"/>
          </w:tcPr>
          <w:p w:rsidR="001A4E5C" w:rsidP="00BB092B" w:rsidRDefault="008473D4" w14:paraId="7646833B" w14:textId="76EA85EB">
            <w:pPr>
              <w:pStyle w:val="Standard"/>
              <w:keepNext/>
              <w:spacing w:line="240" w:lineRule="auto"/>
              <w:ind w:firstLine="0"/>
              <w:jc w:val="center"/>
            </w:pPr>
            <w:r>
              <w:t>E</w:t>
            </w:r>
            <w:r w:rsidR="00827602">
              <w:noBreakHyphen/>
            </w:r>
            <w:r>
              <w:t>ELEC</w:t>
            </w:r>
          </w:p>
        </w:tc>
        <w:tc>
          <w:tcPr>
            <w:tcW w:w="2338" w:type="dxa"/>
          </w:tcPr>
          <w:p w:rsidR="001A4E5C" w:rsidP="00BB092B" w:rsidRDefault="001A4E5C" w14:paraId="0A256413" w14:textId="3B1D6107">
            <w:pPr>
              <w:pStyle w:val="Standard"/>
              <w:spacing w:line="240" w:lineRule="auto"/>
              <w:ind w:firstLine="0"/>
              <w:jc w:val="center"/>
            </w:pPr>
            <w:r>
              <w:t>EV</w:t>
            </w:r>
            <w:r w:rsidR="00827602">
              <w:noBreakHyphen/>
            </w:r>
            <w:r>
              <w:t>TOU</w:t>
            </w:r>
            <w:r w:rsidR="00827602">
              <w:noBreakHyphen/>
            </w:r>
            <w:r>
              <w:t>5</w:t>
            </w:r>
          </w:p>
        </w:tc>
        <w:tc>
          <w:tcPr>
            <w:tcW w:w="2338" w:type="dxa"/>
          </w:tcPr>
          <w:p w:rsidR="001A4E5C" w:rsidP="00BB092B" w:rsidRDefault="001A4E5C" w14:paraId="577CE745" w14:textId="4A77537B">
            <w:pPr>
              <w:pStyle w:val="Standard"/>
              <w:spacing w:line="240" w:lineRule="auto"/>
              <w:ind w:firstLine="0"/>
              <w:jc w:val="center"/>
            </w:pPr>
            <w:r>
              <w:t>TOU</w:t>
            </w:r>
            <w:r w:rsidR="00827602">
              <w:noBreakHyphen/>
            </w:r>
            <w:r>
              <w:t>D</w:t>
            </w:r>
            <w:r w:rsidR="00827602">
              <w:noBreakHyphen/>
            </w:r>
            <w:r>
              <w:t>PRIME</w:t>
            </w:r>
          </w:p>
        </w:tc>
      </w:tr>
    </w:tbl>
    <w:p w:rsidR="00533B2F" w:rsidP="005E7044" w:rsidRDefault="00C93264" w14:paraId="15B7D89A" w14:textId="0CD37246">
      <w:pPr>
        <w:pStyle w:val="OP"/>
        <w:numPr>
          <w:ilvl w:val="1"/>
          <w:numId w:val="4"/>
        </w:numPr>
        <w:spacing w:before="120" w:after="120" w:line="240" w:lineRule="auto"/>
        <w:ind w:left="1267" w:right="1440" w:hanging="187"/>
      </w:pPr>
      <w:r>
        <w:t>For Customers enrolled in</w:t>
      </w:r>
      <w:r w:rsidR="001A4E5C">
        <w:t xml:space="preserve"> the </w:t>
      </w:r>
      <w:r w:rsidR="00B07468">
        <w:t>California Alternate Rates for Energy</w:t>
      </w:r>
      <w:r>
        <w:t xml:space="preserve"> (CARE)</w:t>
      </w:r>
      <w:r w:rsidR="00B07468">
        <w:t xml:space="preserve"> </w:t>
      </w:r>
      <w:r w:rsidR="001A4E5C">
        <w:t xml:space="preserve">and </w:t>
      </w:r>
      <w:r w:rsidR="00B07468">
        <w:t xml:space="preserve">Family Electric Rates Assistance </w:t>
      </w:r>
      <w:r>
        <w:t xml:space="preserve">(FERA), the CARE and FERA </w:t>
      </w:r>
      <w:r w:rsidR="001A4E5C">
        <w:t xml:space="preserve">discount </w:t>
      </w:r>
      <w:r>
        <w:t xml:space="preserve">shall </w:t>
      </w:r>
      <w:r w:rsidR="001A4E5C">
        <w:t xml:space="preserve">not be applied to the </w:t>
      </w:r>
      <w:r w:rsidR="00F64859">
        <w:t xml:space="preserve">retail </w:t>
      </w:r>
      <w:r w:rsidR="001A4E5C">
        <w:t>export compensation rate.</w:t>
      </w:r>
    </w:p>
    <w:p w:rsidR="00402C97" w:rsidP="005E7044" w:rsidRDefault="00C93264" w14:paraId="1CEB3C79" w14:textId="1CEE074F">
      <w:pPr>
        <w:pStyle w:val="OP"/>
        <w:numPr>
          <w:ilvl w:val="1"/>
          <w:numId w:val="4"/>
        </w:numPr>
        <w:spacing w:before="120" w:after="120" w:line="240" w:lineRule="auto"/>
        <w:ind w:left="1267" w:right="1440" w:hanging="187"/>
      </w:pPr>
      <w:r>
        <w:t xml:space="preserve">System </w:t>
      </w:r>
      <w:r w:rsidR="00402C97">
        <w:t>sizing</w:t>
      </w:r>
      <w:r w:rsidR="00B933AF">
        <w:t xml:space="preserve"> </w:t>
      </w:r>
      <w:r w:rsidR="00402C97">
        <w:t xml:space="preserve">requirements. Customers of </w:t>
      </w:r>
      <w:r w:rsidRPr="00073A1E" w:rsidR="00402C97">
        <w:t xml:space="preserve">Pacific Gas and Electric Company, </w:t>
      </w:r>
      <w:r w:rsidR="00827602">
        <w:t>San </w:t>
      </w:r>
      <w:r w:rsidR="00602BC5">
        <w:t>Diego Gas</w:t>
      </w:r>
      <w:r w:rsidR="00827602">
        <w:t xml:space="preserve"> &amp; </w:t>
      </w:r>
      <w:r w:rsidR="00602BC5">
        <w:t>Elec</w:t>
      </w:r>
      <w:r w:rsidRPr="00073A1E" w:rsidR="00402C97">
        <w:t xml:space="preserve">tric Company, and Southern California Edison Company </w:t>
      </w:r>
      <w:r>
        <w:t>enrolling in the net billing tariff are permitted to oversize their generation systems by no more than 50</w:t>
      </w:r>
      <w:r w:rsidR="004034AC">
        <w:t> </w:t>
      </w:r>
      <w:r>
        <w:t>percent with two requirements.  First, the measurement of oversizing will be in comparison to the past 12</w:t>
      </w:r>
      <w:r w:rsidR="004034AC">
        <w:t> </w:t>
      </w:r>
      <w:r>
        <w:t>months of usage unless the customer does not yet have 12</w:t>
      </w:r>
      <w:r w:rsidR="004034AC">
        <w:t> </w:t>
      </w:r>
      <w:r>
        <w:t>months of usage or attests to having more recently increased their usage, and that customer must attest to expecting to increase their usage to correspond with the system size within 12</w:t>
      </w:r>
      <w:r w:rsidR="000F5628">
        <w:t> </w:t>
      </w:r>
      <w:r>
        <w:t>months of interconnection.  Second, net surplus generation will be compensated at the current net surplus compensation rates.</w:t>
      </w:r>
      <w:r w:rsidR="00402C97">
        <w:t>.</w:t>
      </w:r>
    </w:p>
    <w:p w:rsidR="00402C97" w:rsidP="00402C97" w:rsidRDefault="00C93264" w14:paraId="2305875E" w14:textId="7E0A6F2A">
      <w:pPr>
        <w:pStyle w:val="OP"/>
        <w:numPr>
          <w:ilvl w:val="1"/>
          <w:numId w:val="4"/>
        </w:numPr>
        <w:spacing w:before="120" w:after="120" w:line="240" w:lineRule="auto"/>
        <w:ind w:right="1440"/>
      </w:pPr>
      <w:r>
        <w:lastRenderedPageBreak/>
        <w:t>N</w:t>
      </w:r>
      <w:r w:rsidR="00402C97">
        <w:t>on</w:t>
      </w:r>
      <w:r w:rsidR="00827602">
        <w:noBreakHyphen/>
      </w:r>
      <w:proofErr w:type="spellStart"/>
      <w:r w:rsidR="00402C97">
        <w:t>bypassable</w:t>
      </w:r>
      <w:proofErr w:type="spellEnd"/>
      <w:r w:rsidR="00402C97">
        <w:t xml:space="preserve"> charges. The four charges </w:t>
      </w:r>
      <w:r w:rsidR="002118BC">
        <w:t>are</w:t>
      </w:r>
      <w:r w:rsidR="00402C97">
        <w:t xml:space="preserve"> the public purpose program charge, nuclear decommissioning charge, competition transition charge, and the Wildfire Fund </w:t>
      </w:r>
      <w:r w:rsidR="00130485">
        <w:t>Non</w:t>
      </w:r>
      <w:r w:rsidR="00827602">
        <w:noBreakHyphen/>
      </w:r>
      <w:proofErr w:type="spellStart"/>
      <w:r w:rsidR="00130485">
        <w:t>Bypassable</w:t>
      </w:r>
      <w:proofErr w:type="spellEnd"/>
      <w:r w:rsidR="00130485">
        <w:t xml:space="preserve"> </w:t>
      </w:r>
      <w:r w:rsidR="00402C97">
        <w:t>Charge.</w:t>
      </w:r>
    </w:p>
    <w:p w:rsidR="00402C97" w:rsidP="00402C97" w:rsidRDefault="002118BC" w14:paraId="2626DC32" w14:textId="094D0F69">
      <w:pPr>
        <w:pStyle w:val="OP"/>
        <w:numPr>
          <w:ilvl w:val="1"/>
          <w:numId w:val="4"/>
        </w:numPr>
        <w:spacing w:before="120" w:after="120" w:line="240" w:lineRule="auto"/>
        <w:ind w:right="1440"/>
      </w:pPr>
      <w:r>
        <w:t xml:space="preserve">Minimum bill or fixed charges.  </w:t>
      </w:r>
      <w:r w:rsidR="00402C97">
        <w:t xml:space="preserve">Net </w:t>
      </w:r>
      <w:r w:rsidR="00CE2C8B">
        <w:t>b</w:t>
      </w:r>
      <w:r w:rsidR="00402C97">
        <w:t xml:space="preserve">illing tariff customers </w:t>
      </w:r>
      <w:r>
        <w:t>are</w:t>
      </w:r>
      <w:r w:rsidR="00402C97">
        <w:t xml:space="preserve"> subject to any minimum bill or fixed charge that is contained in a customer’s applicable rate. </w:t>
      </w:r>
    </w:p>
    <w:p w:rsidR="00402C97" w:rsidP="00402C97" w:rsidRDefault="002118BC" w14:paraId="3BDA22BC" w14:textId="07502930">
      <w:pPr>
        <w:pStyle w:val="OP"/>
        <w:numPr>
          <w:ilvl w:val="1"/>
          <w:numId w:val="4"/>
        </w:numPr>
        <w:spacing w:before="120" w:after="120" w:line="240" w:lineRule="auto"/>
        <w:ind w:right="1440"/>
      </w:pPr>
      <w:r>
        <w:t>True</w:t>
      </w:r>
      <w:r w:rsidR="00827602">
        <w:noBreakHyphen/>
      </w:r>
      <w:r>
        <w:t xml:space="preserve">up Dates.  </w:t>
      </w:r>
      <w:r w:rsidR="00402C97">
        <w:t>Customers taking service under the net billing tariff may make a one</w:t>
      </w:r>
      <w:r w:rsidR="00827602">
        <w:noBreakHyphen/>
      </w:r>
      <w:r w:rsidR="00402C97">
        <w:t xml:space="preserve">time request that their </w:t>
      </w:r>
      <w:r w:rsidR="00B52399">
        <w:t xml:space="preserve">annual </w:t>
      </w:r>
      <w:r w:rsidR="00402C97">
        <w:t>true</w:t>
      </w:r>
      <w:r w:rsidR="00827602">
        <w:noBreakHyphen/>
      </w:r>
      <w:r w:rsidR="00402C97">
        <w:t>up date be changed going forward.</w:t>
      </w:r>
    </w:p>
    <w:p w:rsidR="00C93264" w:rsidP="00C93264" w:rsidRDefault="00C93264" w14:paraId="7DBCAC45" w14:textId="44432DC5">
      <w:pPr>
        <w:pStyle w:val="OP"/>
        <w:numPr>
          <w:ilvl w:val="1"/>
          <w:numId w:val="4"/>
        </w:numPr>
        <w:spacing w:before="120" w:after="120" w:line="240" w:lineRule="auto"/>
        <w:ind w:right="1440"/>
      </w:pPr>
      <w:r>
        <w:t xml:space="preserve">Legacy Period.  The terms of the </w:t>
      </w:r>
      <w:r w:rsidR="00BE6101">
        <w:t>n</w:t>
      </w:r>
      <w:r>
        <w:t xml:space="preserve">et </w:t>
      </w:r>
      <w:r w:rsidR="00BE6101">
        <w:t>b</w:t>
      </w:r>
      <w:r>
        <w:t xml:space="preserve">illing tariff will be available to </w:t>
      </w:r>
      <w:r w:rsidR="00BE6101">
        <w:t>n</w:t>
      </w:r>
      <w:r>
        <w:t xml:space="preserve">et </w:t>
      </w:r>
      <w:r w:rsidR="00BE6101">
        <w:t>b</w:t>
      </w:r>
      <w:r>
        <w:t>illing tariff customers for a period of nine years.  The legacy period is linked to the customer who originally causes the system to be installed, not to the system.  If the original customer moves away within nine years from the system’s interconnection date and another utility customer takes control of (</w:t>
      </w:r>
      <w:r>
        <w:rPr>
          <w:i/>
          <w:iCs/>
        </w:rPr>
        <w:t>e.g.</w:t>
      </w:r>
      <w:r>
        <w:t>, buys, leases, or pays a power purchase agreement for) the system, the subsequent utility customer does not have a legacy period.  The exception is when the subsequent customer is or was the legal partner (</w:t>
      </w:r>
      <w:r>
        <w:rPr>
          <w:i/>
          <w:iCs/>
        </w:rPr>
        <w:t>e.g.</w:t>
      </w:r>
      <w:r>
        <w:t xml:space="preserve">, spouse or domestic partner in the case of residential customers or, in the case of </w:t>
      </w:r>
      <w:r w:rsidR="00BE6101">
        <w:t>nonresidential customers</w:t>
      </w:r>
      <w:r>
        <w:t>, the account-holding entity continues to be majority controlled by the same underlying individuals or entities from the time the legacy system was installed) of the original customer.  For this latter group, the legacy period maintains its original interconnection date and length of nine years.</w:t>
      </w:r>
    </w:p>
    <w:p w:rsidR="002118BC" w:rsidP="005E7044" w:rsidRDefault="002118BC" w14:paraId="313624F7" w14:textId="5B544320">
      <w:pPr>
        <w:pStyle w:val="OP"/>
        <w:ind w:left="0" w:firstLine="547"/>
      </w:pPr>
      <w:r>
        <w:t xml:space="preserve">Pacific Gas and Electric Company, </w:t>
      </w:r>
      <w:r w:rsidR="00827602">
        <w:t>San </w:t>
      </w:r>
      <w:r w:rsidR="00602BC5">
        <w:t>Diego Gas</w:t>
      </w:r>
      <w:r w:rsidR="00827602">
        <w:t xml:space="preserve"> &amp; </w:t>
      </w:r>
      <w:r w:rsidR="00602BC5">
        <w:t>Elec</w:t>
      </w:r>
      <w:r>
        <w:t>tric Company</w:t>
      </w:r>
      <w:r w:rsidR="00B07468">
        <w:t>,</w:t>
      </w:r>
      <w:r>
        <w:t xml:space="preserve"> and Southern California Edison Company (Joint Utilities) shall work together to develop a standard oversizing attestation form for net billing tariff customers planning to oversize their </w:t>
      </w:r>
      <w:r w:rsidR="00D56E24">
        <w:t xml:space="preserve">systems for net billing.  Joint Utilities shall make this available to net billing customers no later than </w:t>
      </w:r>
      <w:r w:rsidR="002964B7">
        <w:t>120 days from the adoption of this decision.</w:t>
      </w:r>
    </w:p>
    <w:p w:rsidR="00B52399" w:rsidP="005E7044" w:rsidRDefault="00827602" w14:paraId="314C17DE" w14:textId="2F8645EE">
      <w:pPr>
        <w:pStyle w:val="OP"/>
        <w:ind w:left="0" w:firstLine="547"/>
      </w:pPr>
      <w:r>
        <w:lastRenderedPageBreak/>
        <w:t>San </w:t>
      </w:r>
      <w:r w:rsidR="00602BC5">
        <w:t>Diego Gas</w:t>
      </w:r>
      <w:r>
        <w:t xml:space="preserve"> &amp; </w:t>
      </w:r>
      <w:r w:rsidR="00602BC5">
        <w:t>Elec</w:t>
      </w:r>
      <w:r w:rsidR="00B52399">
        <w:t>tric Company</w:t>
      </w:r>
      <w:r w:rsidR="00BE6101">
        <w:t xml:space="preserve"> (SDG&amp;E)</w:t>
      </w:r>
      <w:r w:rsidR="00B52399">
        <w:t xml:space="preserve"> shall develop a standard process by which net billing tariff customers may request that their true</w:t>
      </w:r>
      <w:r>
        <w:noBreakHyphen/>
      </w:r>
      <w:r w:rsidR="00B52399">
        <w:t xml:space="preserve">up date be changed.  </w:t>
      </w:r>
      <w:r w:rsidR="00BE6101">
        <w:t>SDG&amp;E</w:t>
      </w:r>
      <w:r w:rsidR="00B52399">
        <w:t xml:space="preserve"> shall make this available to net billing customers no later than 120 days from the adoption of this decision.</w:t>
      </w:r>
    </w:p>
    <w:p w:rsidR="00B52399" w:rsidP="00040A6E" w:rsidRDefault="00B52399" w14:paraId="36CD2023" w14:textId="629237A1">
      <w:pPr>
        <w:pStyle w:val="OP"/>
        <w:ind w:left="0" w:firstLine="547"/>
      </w:pPr>
      <w:r>
        <w:t xml:space="preserve">Within 90 days of the adoption of this decision, Pacific Gas and Electric Company, </w:t>
      </w:r>
      <w:r w:rsidR="00827602">
        <w:t>San </w:t>
      </w:r>
      <w:r w:rsidR="00602BC5">
        <w:t>Diego Gas</w:t>
      </w:r>
      <w:r w:rsidR="00827602">
        <w:t xml:space="preserve"> &amp; </w:t>
      </w:r>
      <w:r w:rsidR="00602BC5">
        <w:t>Elec</w:t>
      </w:r>
      <w:r>
        <w:t>tric Company</w:t>
      </w:r>
      <w:r w:rsidR="00B07468">
        <w:t>,</w:t>
      </w:r>
      <w:r>
        <w:t xml:space="preserve"> and Southern California Edison Company (Joint Utilities) shall </w:t>
      </w:r>
      <w:r>
        <w:rPr>
          <w:rFonts w:eastAsiaTheme="majorEastAsia" w:cstheme="majorBidi"/>
        </w:rPr>
        <w:t>submit</w:t>
      </w:r>
      <w:r w:rsidRPr="6A495D35">
        <w:rPr>
          <w:rFonts w:eastAsiaTheme="majorEastAsia" w:cstheme="majorBidi"/>
        </w:rPr>
        <w:t xml:space="preserve"> a Tier 3 </w:t>
      </w:r>
      <w:r>
        <w:rPr>
          <w:rFonts w:eastAsiaTheme="majorEastAsia" w:cstheme="majorBidi"/>
        </w:rPr>
        <w:t>a</w:t>
      </w:r>
      <w:r w:rsidRPr="6A495D35">
        <w:rPr>
          <w:rFonts w:eastAsiaTheme="majorEastAsia" w:cstheme="majorBidi"/>
        </w:rPr>
        <w:t xml:space="preserve">dvice </w:t>
      </w:r>
      <w:r>
        <w:rPr>
          <w:rFonts w:eastAsiaTheme="majorEastAsia" w:cstheme="majorBidi"/>
        </w:rPr>
        <w:t>l</w:t>
      </w:r>
      <w:r w:rsidRPr="6A495D35">
        <w:rPr>
          <w:rFonts w:eastAsiaTheme="majorEastAsia" w:cstheme="majorBidi"/>
        </w:rPr>
        <w:t xml:space="preserve">etter that </w:t>
      </w:r>
      <w:r>
        <w:t xml:space="preserve">proposes adjustment factors </w:t>
      </w:r>
      <w:r w:rsidRPr="00C71FFB">
        <w:t xml:space="preserve">calculated using the difference in each utility’s </w:t>
      </w:r>
      <w:r w:rsidRPr="00CD5506">
        <w:t xml:space="preserve">residential </w:t>
      </w:r>
      <w:r>
        <w:t>stand</w:t>
      </w:r>
      <w:r w:rsidR="00827602">
        <w:noBreakHyphen/>
      </w:r>
      <w:r>
        <w:t xml:space="preserve">alone </w:t>
      </w:r>
      <w:r w:rsidRPr="00C71FFB">
        <w:t xml:space="preserve">solar customers’ net exports under no netting versus interval netting </w:t>
      </w:r>
      <w:r>
        <w:t>in</w:t>
      </w:r>
      <w:r w:rsidRPr="00C71FFB">
        <w:t xml:space="preserve"> the last year</w:t>
      </w:r>
      <w:r>
        <w:t>. Joint Utilities shall update adjustment factors in a Tier 1 advice letter due annually thereafter.</w:t>
      </w:r>
    </w:p>
    <w:p w:rsidR="00BE6101" w:rsidP="00040A6E" w:rsidRDefault="00BE6101" w14:paraId="1E6D001F" w14:textId="532A66F1">
      <w:pPr>
        <w:pStyle w:val="OP"/>
        <w:ind w:left="0" w:firstLine="547"/>
      </w:pPr>
      <w:r>
        <w:t>Within 120 days from the adoption of this decision, Pacific Gas and Electric Company, San Diego Gas &amp; Electric Company, and Southern California Edison Company shall work together to create a uniform attestation for legal partners to use when taking control of an original customer’s system for purposes of continuing the nine</w:t>
      </w:r>
      <w:r w:rsidR="008D2724">
        <w:noBreakHyphen/>
      </w:r>
      <w:r>
        <w:t xml:space="preserve">year legacy period for the </w:t>
      </w:r>
      <w:r w:rsidR="00CE2C8B">
        <w:t>n</w:t>
      </w:r>
      <w:r>
        <w:t xml:space="preserve">et </w:t>
      </w:r>
      <w:r w:rsidR="00CE2C8B">
        <w:t>b</w:t>
      </w:r>
      <w:r>
        <w:t>illing tariff.</w:t>
      </w:r>
    </w:p>
    <w:p w:rsidR="002E1A01" w:rsidP="00040A6E" w:rsidRDefault="002E1A01" w14:paraId="6B10D8AD" w14:textId="5F9D8D73">
      <w:pPr>
        <w:pStyle w:val="OP"/>
        <w:ind w:left="0" w:firstLine="547"/>
      </w:pPr>
      <w:r>
        <w:t xml:space="preserve">Pacific Gas and Electric Company, </w:t>
      </w:r>
      <w:r w:rsidR="00827602">
        <w:t>San </w:t>
      </w:r>
      <w:r w:rsidR="00602BC5">
        <w:t>Diego Gas</w:t>
      </w:r>
      <w:r w:rsidR="00827602">
        <w:t xml:space="preserve"> &amp; </w:t>
      </w:r>
      <w:r w:rsidR="00602BC5">
        <w:t>Elec</w:t>
      </w:r>
      <w:r>
        <w:t>tric Company</w:t>
      </w:r>
      <w:r w:rsidR="00B07468">
        <w:t>,</w:t>
      </w:r>
      <w:r>
        <w:t xml:space="preserve"> and Southern California Edison Company shall </w:t>
      </w:r>
      <w:r w:rsidRPr="0050116A">
        <w:t xml:space="preserve">report on </w:t>
      </w:r>
      <w:r>
        <w:t>the number of new net billing tariff enrollments by customers enrolled in California Alternate Rates for Energy (CARE) and the Family Electric Rates Assistance (FERA) and the tenancy of those interconnected customers in the CARE and FERA programs. This documentation shall occur</w:t>
      </w:r>
      <w:r w:rsidRPr="0050116A">
        <w:t xml:space="preserve"> in </w:t>
      </w:r>
      <w:r>
        <w:t>the Joint Utilities’</w:t>
      </w:r>
      <w:r w:rsidRPr="0050116A">
        <w:t xml:space="preserve"> annual interconnection cost advice letter</w:t>
      </w:r>
      <w:r>
        <w:t>s</w:t>
      </w:r>
      <w:r w:rsidRPr="0050116A">
        <w:t>, which</w:t>
      </w:r>
      <w:r>
        <w:t xml:space="preserve"> are</w:t>
      </w:r>
      <w:r w:rsidRPr="0050116A">
        <w:t xml:space="preserve"> currently filed in accordance with the directions in D</w:t>
      </w:r>
      <w:r>
        <w:t xml:space="preserve">ecision </w:t>
      </w:r>
      <w:r w:rsidRPr="0050116A">
        <w:t>14</w:t>
      </w:r>
      <w:r w:rsidR="00827602">
        <w:noBreakHyphen/>
      </w:r>
      <w:r w:rsidRPr="0050116A">
        <w:t>05</w:t>
      </w:r>
      <w:r w:rsidR="00827602">
        <w:noBreakHyphen/>
      </w:r>
      <w:r w:rsidRPr="0050116A">
        <w:t>033 and Resolution</w:t>
      </w:r>
      <w:r>
        <w:t> </w:t>
      </w:r>
      <w:r w:rsidRPr="0050116A">
        <w:t>E</w:t>
      </w:r>
      <w:r w:rsidR="00827602">
        <w:noBreakHyphen/>
      </w:r>
      <w:r w:rsidRPr="0050116A">
        <w:t>4610.</w:t>
      </w:r>
      <w:r>
        <w:t xml:space="preserve"> This advice letter shall now be known as the “Net Energy Metering and Net Billing Tariff Annual Reporting Advice Letter.”</w:t>
      </w:r>
    </w:p>
    <w:p w:rsidR="00BB3C2F" w:rsidP="005E7044" w:rsidRDefault="00BB3C2F" w14:paraId="7ACFFA01" w14:textId="667B14DE">
      <w:pPr>
        <w:pStyle w:val="OP"/>
        <w:ind w:left="0" w:firstLine="547"/>
      </w:pPr>
      <w:r>
        <w:lastRenderedPageBreak/>
        <w:t>Energy Division is authorized to conduct a</w:t>
      </w:r>
      <w:r w:rsidR="008473D4">
        <w:t xml:space="preserve">n </w:t>
      </w:r>
      <w:r>
        <w:t xml:space="preserve">evaluation of the net billing tariff adopted in </w:t>
      </w:r>
      <w:r w:rsidR="000B3DA8">
        <w:t>Ordering Paragraph </w:t>
      </w:r>
      <w:r w:rsidR="00BE6101">
        <w:t>1</w:t>
      </w:r>
      <w:r>
        <w:t xml:space="preserve"> above.</w:t>
      </w:r>
    </w:p>
    <w:p w:rsidR="00533B2F" w:rsidP="005E7044" w:rsidRDefault="001A4E5C" w14:paraId="378720C8" w14:textId="4E897164">
      <w:pPr>
        <w:pStyle w:val="OP"/>
        <w:ind w:left="0" w:firstLine="547"/>
      </w:pPr>
      <w:r>
        <w:t xml:space="preserve">The Virtual Net Energy Metering </w:t>
      </w:r>
      <w:proofErr w:type="spellStart"/>
      <w:r w:rsidR="00FA3385">
        <w:t>sub</w:t>
      </w:r>
      <w:r>
        <w:t>tariff</w:t>
      </w:r>
      <w:proofErr w:type="spellEnd"/>
      <w:r>
        <w:t xml:space="preserve"> for low</w:t>
      </w:r>
      <w:r w:rsidR="00827602">
        <w:noBreakHyphen/>
      </w:r>
      <w:r>
        <w:t>income eligible</w:t>
      </w:r>
      <w:r w:rsidR="00837708">
        <w:t xml:space="preserve"> </w:t>
      </w:r>
      <w:r>
        <w:t xml:space="preserve">households shall remain unchanged until review </w:t>
      </w:r>
      <w:r w:rsidR="002E1A01">
        <w:t xml:space="preserve">in this proceeding </w:t>
      </w:r>
      <w:r>
        <w:t xml:space="preserve">of additional findings </w:t>
      </w:r>
      <w:r w:rsidR="002E1A01">
        <w:t>from</w:t>
      </w:r>
      <w:r>
        <w:t xml:space="preserve"> Rulemaking</w:t>
      </w:r>
      <w:r w:rsidR="00FF3F00">
        <w:t> </w:t>
      </w:r>
      <w:r>
        <w:t>18</w:t>
      </w:r>
      <w:r w:rsidR="00827602">
        <w:noBreakHyphen/>
      </w:r>
      <w:r>
        <w:t>07</w:t>
      </w:r>
      <w:r w:rsidR="00827602">
        <w:noBreakHyphen/>
      </w:r>
      <w:r>
        <w:t xml:space="preserve">006 and the evaluation of the </w:t>
      </w:r>
      <w:r w:rsidR="004A6293">
        <w:t>Solar on</w:t>
      </w:r>
      <w:r>
        <w:t xml:space="preserve"> Multifamily Affordable </w:t>
      </w:r>
      <w:r w:rsidR="007A3127">
        <w:t xml:space="preserve">Housing </w:t>
      </w:r>
      <w:r>
        <w:t>program.</w:t>
      </w:r>
    </w:p>
    <w:p w:rsidR="001A4E5C" w:rsidP="005E7044" w:rsidRDefault="001A4E5C" w14:paraId="60A50195" w14:textId="6D708970">
      <w:pPr>
        <w:pStyle w:val="OP"/>
        <w:ind w:left="0" w:firstLine="547"/>
      </w:pPr>
      <w:r>
        <w:t>The Virtual Net Energy Metering (</w:t>
      </w:r>
      <w:proofErr w:type="spellStart"/>
      <w:r>
        <w:t>VNEM</w:t>
      </w:r>
      <w:proofErr w:type="spellEnd"/>
      <w:r>
        <w:t xml:space="preserve">) general </w:t>
      </w:r>
      <w:proofErr w:type="spellStart"/>
      <w:r w:rsidR="008473D4">
        <w:t>sub</w:t>
      </w:r>
      <w:r>
        <w:t>tariff</w:t>
      </w:r>
      <w:proofErr w:type="spellEnd"/>
      <w:r>
        <w:t xml:space="preserve"> shall </w:t>
      </w:r>
      <w:r w:rsidR="00BE6101">
        <w:t>remain pending further review in this proceeding with the following modifications:</w:t>
      </w:r>
      <w:r w:rsidR="000F5628">
        <w:t xml:space="preserve"> </w:t>
      </w:r>
      <w:r w:rsidR="00BE6101">
        <w:t xml:space="preserve"> (a)</w:t>
      </w:r>
      <w:r w:rsidR="000F5628">
        <w:t> </w:t>
      </w:r>
      <w:r>
        <w:t xml:space="preserve">the </w:t>
      </w:r>
      <w:proofErr w:type="spellStart"/>
      <w:r>
        <w:t>VNEM</w:t>
      </w:r>
      <w:proofErr w:type="spellEnd"/>
      <w:r>
        <w:t xml:space="preserve"> </w:t>
      </w:r>
      <w:proofErr w:type="spellStart"/>
      <w:r w:rsidR="00FA3385">
        <w:t>sub</w:t>
      </w:r>
      <w:r>
        <w:t>tariff</w:t>
      </w:r>
      <w:proofErr w:type="spellEnd"/>
      <w:r>
        <w:t xml:space="preserve"> is revised to allow multiple solar array</w:t>
      </w:r>
      <w:r w:rsidR="00856209">
        <w:t>s</w:t>
      </w:r>
      <w:r>
        <w:t xml:space="preserve"> on one property to be treated as one generator, with credits allocated across the property</w:t>
      </w:r>
      <w:r w:rsidR="00BE6101">
        <w:t>; and (b)</w:t>
      </w:r>
      <w:r w:rsidR="000F5628">
        <w:t> </w:t>
      </w:r>
      <w:r w:rsidR="00BE6101">
        <w:t xml:space="preserve">for customers applying to interconnect to </w:t>
      </w:r>
      <w:proofErr w:type="spellStart"/>
      <w:r w:rsidR="00BE6101">
        <w:t>VNEM</w:t>
      </w:r>
      <w:proofErr w:type="spellEnd"/>
      <w:r w:rsidR="00BE6101">
        <w:t xml:space="preserve"> after the NEM</w:t>
      </w:r>
      <w:r w:rsidR="000F5628">
        <w:t> </w:t>
      </w:r>
      <w:r w:rsidR="00BE6101">
        <w:t>2.0 tariff Sunset Date, this decision reduces the legacy period to nine</w:t>
      </w:r>
      <w:r w:rsidR="001A370D">
        <w:t> </w:t>
      </w:r>
      <w:r w:rsidR="00BE6101">
        <w:t>years to align with customers of the net billing tariff</w:t>
      </w:r>
      <w:r>
        <w:t>.</w:t>
      </w:r>
    </w:p>
    <w:p w:rsidR="002964B7" w:rsidP="005E7044" w:rsidRDefault="002964B7" w14:paraId="7DB6AC7B" w14:textId="07B6FEA1">
      <w:pPr>
        <w:pStyle w:val="OP"/>
        <w:ind w:left="0" w:firstLine="547"/>
      </w:pPr>
      <w:r>
        <w:t xml:space="preserve">Within 90 days from the adoption of this decision, Pacific Gas and Electric Company, </w:t>
      </w:r>
      <w:r w:rsidR="00827602">
        <w:t>San </w:t>
      </w:r>
      <w:r w:rsidR="00602BC5">
        <w:t>Diego Gas</w:t>
      </w:r>
      <w:r w:rsidR="00827602">
        <w:t xml:space="preserve"> &amp; </w:t>
      </w:r>
      <w:r w:rsidR="00602BC5">
        <w:t>Elec</w:t>
      </w:r>
      <w:r>
        <w:t>tric Company</w:t>
      </w:r>
      <w:r w:rsidR="00B07468">
        <w:t>,</w:t>
      </w:r>
      <w:r>
        <w:t xml:space="preserve"> and Southern California Edison Company shall </w:t>
      </w:r>
      <w:r w:rsidR="00344219">
        <w:t xml:space="preserve">each </w:t>
      </w:r>
      <w:r>
        <w:t>submit a Tier 2 advice letter that updates each of their general market Virtual Net Metering tariffs to allow multiple solar arrays on one property to be treated as one generator for billing purposes, with credits allocated across the property.</w:t>
      </w:r>
    </w:p>
    <w:p w:rsidR="00533B2F" w:rsidP="005E7044" w:rsidRDefault="001A4E5C" w14:paraId="37799845" w14:textId="6C6966C6">
      <w:pPr>
        <w:pStyle w:val="OP"/>
        <w:ind w:left="0" w:firstLine="547"/>
      </w:pPr>
      <w:r>
        <w:t xml:space="preserve">The Net Energy Metering Aggregation </w:t>
      </w:r>
      <w:r w:rsidR="00BE6101">
        <w:t xml:space="preserve">(NEMA) </w:t>
      </w:r>
      <w:proofErr w:type="spellStart"/>
      <w:r w:rsidR="00FA3385">
        <w:t>sub</w:t>
      </w:r>
      <w:r>
        <w:t>tariff</w:t>
      </w:r>
      <w:proofErr w:type="spellEnd"/>
      <w:r>
        <w:t xml:space="preserve"> </w:t>
      </w:r>
      <w:r w:rsidR="00BE6101">
        <w:t xml:space="preserve">shall remain unchanged pending further review in this proceeding with the following modifications: </w:t>
      </w:r>
      <w:bookmarkStart w:name="_Hlk121568030" w:id="275"/>
      <w:r w:rsidR="00772BEC">
        <w:t xml:space="preserve"> </w:t>
      </w:r>
      <w:r w:rsidR="00BE6101">
        <w:t>(</w:t>
      </w:r>
      <w:proofErr w:type="spellStart"/>
      <w:r w:rsidR="00BE6101">
        <w:t>i</w:t>
      </w:r>
      <w:proofErr w:type="spellEnd"/>
      <w:r w:rsidR="00BE6101">
        <w:t>)</w:t>
      </w:r>
      <w:r w:rsidR="00772BEC">
        <w:t> </w:t>
      </w:r>
      <w:r w:rsidR="00BE6101">
        <w:t>for customers applying to interconnect to NEMA after the NEM</w:t>
      </w:r>
      <w:r w:rsidR="00772BEC">
        <w:t> </w:t>
      </w:r>
      <w:r w:rsidR="00BE6101">
        <w:t>2.0 Sunset Date, this decision reduces the legacy period to nine years to align with customers of the net billing tariff</w:t>
      </w:r>
      <w:bookmarkEnd w:id="275"/>
      <w:r w:rsidR="00BE6101">
        <w:t>; and (ii)</w:t>
      </w:r>
      <w:r w:rsidR="00772BEC">
        <w:t> </w:t>
      </w:r>
      <w:r w:rsidR="00BE6101">
        <w:t>for customers applying to NEMA after the NEM</w:t>
      </w:r>
      <w:r w:rsidR="00772BEC">
        <w:t> </w:t>
      </w:r>
      <w:r w:rsidR="00BE6101">
        <w:t>2.0 sunset date, NEMA eligibility is restricted to customers who already had two or more meters</w:t>
      </w:r>
      <w:r w:rsidR="000C4EB8">
        <w:t>.</w:t>
      </w:r>
    </w:p>
    <w:p w:rsidR="001A4E5C" w:rsidP="005E7044" w:rsidRDefault="001A4E5C" w14:paraId="2222FB92" w14:textId="48FD462A">
      <w:pPr>
        <w:pStyle w:val="OP"/>
        <w:ind w:left="0" w:firstLine="547"/>
      </w:pPr>
      <w:r>
        <w:lastRenderedPageBreak/>
        <w:t>Implementation of the changes adopted in the previous ordering paragraphs of this decision shall occur in the following steps:</w:t>
      </w:r>
    </w:p>
    <w:p w:rsidR="00997E27" w:rsidP="005E7044" w:rsidRDefault="00080E90" w14:paraId="2CFE95FB" w14:textId="444947F0">
      <w:pPr>
        <w:pStyle w:val="OP"/>
        <w:numPr>
          <w:ilvl w:val="1"/>
          <w:numId w:val="4"/>
        </w:numPr>
        <w:spacing w:after="120" w:line="240" w:lineRule="auto"/>
        <w:ind w:left="1267" w:right="1440" w:hanging="187"/>
      </w:pPr>
      <w:r>
        <w:t>Step 0</w:t>
      </w:r>
      <w:r w:rsidR="00555CC0">
        <w:t xml:space="preserve">:  </w:t>
      </w:r>
      <w:r w:rsidR="00602BC5">
        <w:t>NEM 2.0</w:t>
      </w:r>
      <w:r w:rsidR="00135D55">
        <w:t xml:space="preserve"> </w:t>
      </w:r>
      <w:r w:rsidR="00997E27">
        <w:t xml:space="preserve">Sunset Period begins with adoption of this decision.  Customers submitting a completed interconnection application prior to the end of the Sunset Period will be considered applicable for the current </w:t>
      </w:r>
      <w:r w:rsidR="00602BC5">
        <w:t>NEM 2.0</w:t>
      </w:r>
      <w:r w:rsidR="00135D55">
        <w:t xml:space="preserve"> </w:t>
      </w:r>
      <w:r w:rsidR="00997E27">
        <w:t>tariff.</w:t>
      </w:r>
    </w:p>
    <w:p w:rsidR="001A4E5C" w:rsidP="00BE6101" w:rsidRDefault="00080E90" w14:paraId="3319C9BC" w14:textId="6445433C">
      <w:pPr>
        <w:pStyle w:val="OP"/>
        <w:numPr>
          <w:ilvl w:val="0"/>
          <w:numId w:val="0"/>
        </w:numPr>
        <w:spacing w:after="120" w:line="240" w:lineRule="auto"/>
        <w:ind w:left="1267" w:right="1440"/>
      </w:pPr>
      <w:r>
        <w:t>Step 1</w:t>
      </w:r>
      <w:r w:rsidR="00555CC0">
        <w:t xml:space="preserve">:  </w:t>
      </w:r>
      <w:r w:rsidR="001A4E5C">
        <w:t>Within 30 days of the adoption of this decision Pacific Gas and Electric Company,</w:t>
      </w:r>
      <w:r w:rsidR="007061A7">
        <w:t xml:space="preserve"> </w:t>
      </w:r>
      <w:r w:rsidR="00827602">
        <w:t>San </w:t>
      </w:r>
      <w:r w:rsidR="00602BC5">
        <w:t>Diego Gas</w:t>
      </w:r>
      <w:r w:rsidR="00827602">
        <w:t xml:space="preserve"> &amp; </w:t>
      </w:r>
      <w:r w:rsidR="00602BC5">
        <w:t>Elec</w:t>
      </w:r>
      <w:r w:rsidR="001A4E5C">
        <w:t xml:space="preserve">tric </w:t>
      </w:r>
      <w:r w:rsidR="00F036C6">
        <w:t>Company,</w:t>
      </w:r>
      <w:r w:rsidR="001A4E5C">
        <w:t xml:space="preserve"> and Southern California Edison Company (Joint Utilities) shall each submit </w:t>
      </w:r>
      <w:r w:rsidR="000636AF">
        <w:t xml:space="preserve">a </w:t>
      </w:r>
      <w:r w:rsidR="00B346C0">
        <w:t>Tier 1</w:t>
      </w:r>
      <w:r w:rsidR="000636AF">
        <w:t xml:space="preserve"> advice letter within 30 days of the adoption of this decision requesting to establish a memorandum account to record costs for implementation of and marketing, education, and outreach for the successor tariff.  The memorandum account should record utility costs for marketing, education, and outreach efforts described in </w:t>
      </w:r>
      <w:r w:rsidR="0034029C">
        <w:t>Section 8</w:t>
      </w:r>
      <w:r w:rsidR="000636AF">
        <w:t>.6.4 and for the data collection, administrative support, and execution of the third</w:t>
      </w:r>
      <w:r w:rsidR="00827602">
        <w:noBreakHyphen/>
      </w:r>
      <w:r w:rsidR="000636AF">
        <w:t xml:space="preserve">party evaluation outlined in </w:t>
      </w:r>
      <w:r w:rsidR="0034029C">
        <w:t>Section 8</w:t>
      </w:r>
      <w:r w:rsidR="000636AF">
        <w:t>.8.</w:t>
      </w:r>
    </w:p>
    <w:p w:rsidR="00533B2F" w:rsidP="005E7044" w:rsidRDefault="00080E90" w14:paraId="65BE8191" w14:textId="7D15DEBD">
      <w:pPr>
        <w:pStyle w:val="OP"/>
        <w:numPr>
          <w:ilvl w:val="1"/>
          <w:numId w:val="4"/>
        </w:numPr>
        <w:spacing w:before="120" w:after="120" w:line="240" w:lineRule="auto"/>
        <w:ind w:left="1267" w:right="1440" w:hanging="187"/>
      </w:pPr>
      <w:r>
        <w:t>Step 2</w:t>
      </w:r>
      <w:r w:rsidR="00555CC0">
        <w:t xml:space="preserve">:  </w:t>
      </w:r>
      <w:r w:rsidR="001A4E5C">
        <w:t xml:space="preserve">Within </w:t>
      </w:r>
      <w:r w:rsidR="00BE6101">
        <w:t xml:space="preserve">45 </w:t>
      </w:r>
      <w:r w:rsidR="001A4E5C">
        <w:t xml:space="preserve">days of the </w:t>
      </w:r>
      <w:r w:rsidR="00E21578">
        <w:t xml:space="preserve">effective date </w:t>
      </w:r>
      <w:r w:rsidR="001A4E5C">
        <w:t xml:space="preserve">of this decision, Joint Utilities shall each submit </w:t>
      </w:r>
      <w:r w:rsidR="00BE6101">
        <w:t>Tier </w:t>
      </w:r>
      <w:r w:rsidR="005A3C78">
        <w:t>2</w:t>
      </w:r>
      <w:r w:rsidR="00BE6101">
        <w:t xml:space="preserve"> advice letter to provide the details of the successor tariff and all </w:t>
      </w:r>
      <w:proofErr w:type="spellStart"/>
      <w:r w:rsidR="00BE6101">
        <w:t>subtariffs</w:t>
      </w:r>
      <w:proofErr w:type="spellEnd"/>
      <w:r w:rsidR="00BE6101">
        <w:t>, as adopted in this decision.  Joint Utilities shall coordinate before submitting the advice letters to ensure language uniformity to the extent possible.  The individual advice letters shall summarize Joint Utilities’ interpretation of how the successor tariff will be structured and include indicative levels of price components and</w:t>
      </w:r>
      <w:r w:rsidR="001A4E5C">
        <w:t xml:space="preserve"> containing rate factors based on the applicable revenue and associated tariff sheets.  Joint Utilities shall ensure language</w:t>
      </w:r>
      <w:r w:rsidR="007E1A6F">
        <w:t xml:space="preserve"> </w:t>
      </w:r>
      <w:r w:rsidR="000636AF">
        <w:t>uniformity</w:t>
      </w:r>
      <w:r w:rsidR="001A4E5C">
        <w:t>.</w:t>
      </w:r>
    </w:p>
    <w:p w:rsidR="001A4E5C" w:rsidP="005E7044" w:rsidRDefault="00080E90" w14:paraId="2EB7D871" w14:textId="77C95666">
      <w:pPr>
        <w:pStyle w:val="OP"/>
        <w:numPr>
          <w:ilvl w:val="1"/>
          <w:numId w:val="4"/>
        </w:numPr>
        <w:spacing w:before="120" w:after="120" w:line="240" w:lineRule="auto"/>
        <w:ind w:left="1267" w:right="1440" w:hanging="187"/>
      </w:pPr>
      <w:r>
        <w:t>Step 3</w:t>
      </w:r>
      <w:r w:rsidR="00555CC0">
        <w:t xml:space="preserve">:  </w:t>
      </w:r>
      <w:r w:rsidR="001A4E5C">
        <w:t>Commission’s Energy Division</w:t>
      </w:r>
      <w:r w:rsidR="000636AF">
        <w:t xml:space="preserve"> </w:t>
      </w:r>
      <w:r w:rsidR="001A4E5C">
        <w:t>dispose</w:t>
      </w:r>
      <w:r w:rsidR="002E72DA">
        <w:t>s</w:t>
      </w:r>
      <w:r w:rsidR="001A4E5C">
        <w:t xml:space="preserve"> of the advice letters from </w:t>
      </w:r>
      <w:r>
        <w:t>Step 1</w:t>
      </w:r>
      <w:r w:rsidR="001A4E5C">
        <w:t xml:space="preserve"> and </w:t>
      </w:r>
      <w:r>
        <w:t>Step 2</w:t>
      </w:r>
      <w:r w:rsidR="001A4E5C">
        <w:t>.</w:t>
      </w:r>
    </w:p>
    <w:p w:rsidR="00533B2F" w:rsidP="005E7044" w:rsidRDefault="00080E90" w14:paraId="0E02E14C" w14:textId="6EB0B225">
      <w:pPr>
        <w:pStyle w:val="OP"/>
        <w:numPr>
          <w:ilvl w:val="1"/>
          <w:numId w:val="4"/>
        </w:numPr>
        <w:spacing w:before="120" w:after="120" w:line="240" w:lineRule="auto"/>
        <w:ind w:left="1267" w:right="1440" w:hanging="187"/>
      </w:pPr>
      <w:r>
        <w:t>Step 4</w:t>
      </w:r>
      <w:r w:rsidR="001A4E5C">
        <w:t xml:space="preserve">. </w:t>
      </w:r>
      <w:r w:rsidR="00FF3F00">
        <w:t xml:space="preserve"> </w:t>
      </w:r>
      <w:r w:rsidR="001A4E5C">
        <w:t xml:space="preserve">No later than 120 days after the </w:t>
      </w:r>
      <w:r w:rsidR="002E72DA">
        <w:t>effective date</w:t>
      </w:r>
      <w:r w:rsidR="001A4E5C">
        <w:t xml:space="preserve"> of this decision, </w:t>
      </w:r>
      <w:r w:rsidR="002E72DA">
        <w:t xml:space="preserve">Pacific Gas and Electric Company, </w:t>
      </w:r>
      <w:r w:rsidR="00827602">
        <w:lastRenderedPageBreak/>
        <w:t>San </w:t>
      </w:r>
      <w:r w:rsidR="002E72DA">
        <w:t>Diego Gas</w:t>
      </w:r>
      <w:r w:rsidR="00827602">
        <w:t xml:space="preserve"> &amp; </w:t>
      </w:r>
      <w:r w:rsidR="002E72DA">
        <w:t>Electric Company, and Southern California Edison Company</w:t>
      </w:r>
      <w:r w:rsidR="001A4E5C">
        <w:t xml:space="preserve"> will implement a tariff sunset on the prior net energy metering tariff, known as </w:t>
      </w:r>
      <w:r w:rsidR="00602BC5">
        <w:t>NEM 2.0</w:t>
      </w:r>
      <w:r w:rsidR="001A4E5C">
        <w:t xml:space="preserve">, after which time, no additional customers will be permitted to take service under the </w:t>
      </w:r>
      <w:r w:rsidR="00602BC5">
        <w:t>NEM 2.0</w:t>
      </w:r>
      <w:r w:rsidR="00135D55">
        <w:t xml:space="preserve"> </w:t>
      </w:r>
      <w:r w:rsidR="001A4E5C">
        <w:t xml:space="preserve">tariff.  Customers </w:t>
      </w:r>
      <w:r w:rsidR="00FA3385">
        <w:t>with an interconnection application date</w:t>
      </w:r>
      <w:r w:rsidR="001A4E5C">
        <w:t xml:space="preserve"> after this </w:t>
      </w:r>
      <w:r w:rsidR="003138CB">
        <w:t>S</w:t>
      </w:r>
      <w:r w:rsidR="001A4E5C">
        <w:t xml:space="preserve">unset </w:t>
      </w:r>
      <w:r w:rsidR="003138CB">
        <w:t>D</w:t>
      </w:r>
      <w:r w:rsidR="001A4E5C">
        <w:t xml:space="preserve">ate will take service and be billed on the </w:t>
      </w:r>
      <w:r w:rsidR="00602BC5">
        <w:t>NEM 2.0</w:t>
      </w:r>
      <w:r w:rsidR="00135D55">
        <w:t xml:space="preserve"> </w:t>
      </w:r>
      <w:r w:rsidR="001A4E5C">
        <w:t xml:space="preserve">tariff </w:t>
      </w:r>
      <w:r w:rsidR="003138CB">
        <w:t xml:space="preserve">on an interim basis </w:t>
      </w:r>
      <w:r w:rsidR="001A4E5C">
        <w:t xml:space="preserve">and transition to the </w:t>
      </w:r>
      <w:r w:rsidR="005A6693">
        <w:t>net billing tariff</w:t>
      </w:r>
      <w:r w:rsidR="001A4E5C">
        <w:t>, once it is operational.</w:t>
      </w:r>
      <w:r w:rsidR="00FA3385">
        <w:t xml:space="preserve"> </w:t>
      </w:r>
      <w:r w:rsidR="003138CB">
        <w:t>These customers shall take service on the retail import rates available to NEM</w:t>
      </w:r>
      <w:r w:rsidR="00142CCD">
        <w:t> </w:t>
      </w:r>
      <w:r w:rsidR="003138CB">
        <w:t>2.0 tariff customers during this interim period and then be moved to retail import electrification rates adopted in this decision when fully transitioned to the net billing tariff.  The NEM</w:t>
      </w:r>
      <w:r w:rsidR="00142CCD">
        <w:t> </w:t>
      </w:r>
      <w:r w:rsidR="003138CB">
        <w:t xml:space="preserve">2.0 tariff legacy period is not applicable in this case.  </w:t>
      </w:r>
      <w:r w:rsidR="00FA3385">
        <w:t xml:space="preserve">The interconnection application date </w:t>
      </w:r>
      <w:r w:rsidR="003138CB">
        <w:t xml:space="preserve">for residential customers </w:t>
      </w:r>
      <w:r w:rsidR="00FA3385">
        <w:t xml:space="preserve">is defined as the submission date of an application that is free of major deficiencies and includes a complete </w:t>
      </w:r>
      <w:r w:rsidRPr="0046319A" w:rsidR="00FA3385">
        <w:t>application, a signed contract, a single</w:t>
      </w:r>
      <w:r w:rsidR="00827602">
        <w:noBreakHyphen/>
      </w:r>
      <w:r w:rsidRPr="0046319A" w:rsidR="00FA3385">
        <w:t>line diagram</w:t>
      </w:r>
      <w:r w:rsidRPr="002210EF" w:rsidR="00FA3385">
        <w:t xml:space="preserve">, a complete </w:t>
      </w:r>
      <w:bookmarkStart w:name="_Hlk118271391" w:id="276"/>
      <w:r w:rsidRPr="002210EF" w:rsidR="0046319A">
        <w:t xml:space="preserve">California Contractors State License Board </w:t>
      </w:r>
      <w:r w:rsidRPr="002210EF" w:rsidR="00FA3385">
        <w:t>Solar</w:t>
      </w:r>
      <w:r w:rsidRPr="0046319A" w:rsidR="00FA3385">
        <w:t xml:space="preserve"> Energy</w:t>
      </w:r>
      <w:r w:rsidR="00FA3385">
        <w:t xml:space="preserve"> System Disclosure Document</w:t>
      </w:r>
      <w:bookmarkEnd w:id="276"/>
      <w:r w:rsidR="00FA3385">
        <w:t>, a</w:t>
      </w:r>
      <w:r w:rsidR="002210EF">
        <w:t xml:space="preserve"> </w:t>
      </w:r>
      <w:r w:rsidR="00FA3385">
        <w:t>signed California Solar Consumer Protection Guide</w:t>
      </w:r>
      <w:r w:rsidR="004F3248">
        <w:t>, and an oversizing attestation (if applicable)</w:t>
      </w:r>
      <w:r w:rsidR="00FA3385">
        <w:t>.</w:t>
      </w:r>
    </w:p>
    <w:p w:rsidR="003138CB" w:rsidP="00A0614A" w:rsidRDefault="003138CB" w14:paraId="7013617A" w14:textId="3511CD6A">
      <w:pPr>
        <w:pStyle w:val="OP"/>
        <w:numPr>
          <w:ilvl w:val="0"/>
          <w:numId w:val="0"/>
        </w:numPr>
        <w:spacing w:before="120" w:after="120" w:line="240" w:lineRule="auto"/>
        <w:ind w:left="1260" w:right="1440"/>
      </w:pPr>
      <w:r>
        <w:t>The interconnection application date for nonresidential customers is defined as the submission date of an application that is free of major deficiencies and includes a complete application, a signed Authorization to Act on a Customer’s Behalf, the selection of a single</w:t>
      </w:r>
      <w:r w:rsidR="008D2724">
        <w:noBreakHyphen/>
      </w:r>
      <w:r>
        <w:t>line diagram, and an oversizing attestation (if applicable.)</w:t>
      </w:r>
    </w:p>
    <w:p w:rsidR="003138CB" w:rsidP="00A0614A" w:rsidRDefault="003138CB" w14:paraId="0AE29B86" w14:textId="4B8A04DE">
      <w:pPr>
        <w:pStyle w:val="OP"/>
        <w:numPr>
          <w:ilvl w:val="0"/>
          <w:numId w:val="0"/>
        </w:numPr>
        <w:spacing w:before="120" w:after="120" w:line="240" w:lineRule="auto"/>
        <w:ind w:left="1267" w:right="1440"/>
      </w:pPr>
      <w:r>
        <w:t>Joint Utilities are granted the discretion to give NEM</w:t>
      </w:r>
      <w:r w:rsidR="00C92C48">
        <w:t> </w:t>
      </w:r>
      <w:r>
        <w:t>2.0 tariff eligibility to a customer if a delay in meeting the Sunset Date is caused by the utility.  Joint Utilities shall work collaboratively to address challenging situations in deeming applications complete.</w:t>
      </w:r>
    </w:p>
    <w:p w:rsidR="001A4E5C" w:rsidP="00837708" w:rsidRDefault="00FA3385" w14:paraId="5DF72E02" w14:textId="58A7B807">
      <w:pPr>
        <w:pStyle w:val="OP"/>
        <w:numPr>
          <w:ilvl w:val="0"/>
          <w:numId w:val="0"/>
        </w:numPr>
        <w:spacing w:before="120" w:after="120" w:line="240" w:lineRule="auto"/>
        <w:ind w:left="1267" w:right="1440"/>
      </w:pPr>
      <w:r>
        <w:t xml:space="preserve">Joint Utilities are directed to pause transition of </w:t>
      </w:r>
      <w:r w:rsidR="00602BC5">
        <w:t>NEM 1.0</w:t>
      </w:r>
      <w:r>
        <w:t xml:space="preserve"> </w:t>
      </w:r>
      <w:r w:rsidR="004F3248">
        <w:t xml:space="preserve">customers to </w:t>
      </w:r>
      <w:r w:rsidR="00602BC5">
        <w:t>NEM 2.0</w:t>
      </w:r>
      <w:r w:rsidR="00135D55">
        <w:t xml:space="preserve"> </w:t>
      </w:r>
      <w:r>
        <w:t xml:space="preserve">until </w:t>
      </w:r>
      <w:r w:rsidR="004F3248">
        <w:t xml:space="preserve">the commencement of </w:t>
      </w:r>
      <w:r w:rsidR="00080E90">
        <w:t>Step 5</w:t>
      </w:r>
      <w:r>
        <w:t>.</w:t>
      </w:r>
    </w:p>
    <w:p w:rsidR="003138CB" w:rsidP="003138CB" w:rsidRDefault="00080E90" w14:paraId="6FEE2660" w14:textId="0BCFF9D3">
      <w:pPr>
        <w:pStyle w:val="OP"/>
        <w:numPr>
          <w:ilvl w:val="1"/>
          <w:numId w:val="4"/>
        </w:numPr>
        <w:spacing w:before="120" w:after="120" w:line="240" w:lineRule="auto"/>
        <w:ind w:left="1267" w:right="1440" w:hanging="187"/>
      </w:pPr>
      <w:r>
        <w:lastRenderedPageBreak/>
        <w:t>Step 5</w:t>
      </w:r>
      <w:r w:rsidR="00555CC0">
        <w:t xml:space="preserve">:  </w:t>
      </w:r>
      <w:r w:rsidR="003138CB">
        <w:t xml:space="preserve">Twelve </w:t>
      </w:r>
      <w:r w:rsidR="001A4E5C">
        <w:t xml:space="preserve">months following adoption of this decision, </w:t>
      </w:r>
      <w:r w:rsidR="00827602">
        <w:t>San </w:t>
      </w:r>
      <w:r w:rsidR="00602BC5">
        <w:t>Diego Gas</w:t>
      </w:r>
      <w:r w:rsidR="00827602">
        <w:t xml:space="preserve"> &amp; </w:t>
      </w:r>
      <w:r w:rsidR="00602BC5">
        <w:t>Elec</w:t>
      </w:r>
      <w:r w:rsidR="001A4E5C">
        <w:t>tric Company and Southern</w:t>
      </w:r>
      <w:r w:rsidR="00D62D95">
        <w:t> </w:t>
      </w:r>
      <w:r w:rsidR="001A4E5C">
        <w:t xml:space="preserve">California Edison Company </w:t>
      </w:r>
      <w:r w:rsidR="004F3248">
        <w:t xml:space="preserve">shall </w:t>
      </w:r>
      <w:r w:rsidR="001A4E5C">
        <w:t xml:space="preserve">complete alignment of related necessary billing systems and transition to full implementation of the </w:t>
      </w:r>
      <w:r w:rsidR="005A6693">
        <w:t>net billing tariff</w:t>
      </w:r>
      <w:r w:rsidR="001A4E5C">
        <w:t>.</w:t>
      </w:r>
    </w:p>
    <w:p w:rsidR="003138CB" w:rsidP="003138CB" w:rsidRDefault="003138CB" w14:paraId="53F263F6" w14:textId="77777777">
      <w:pPr>
        <w:pStyle w:val="OP"/>
        <w:numPr>
          <w:ilvl w:val="0"/>
          <w:numId w:val="0"/>
        </w:numPr>
        <w:spacing w:before="120" w:after="120" w:line="240" w:lineRule="auto"/>
        <w:ind w:left="1267" w:right="1440"/>
      </w:pPr>
      <w:r>
        <w:t>Twelve months following the adoption of this decision, Pacific Gas and Electric Company shall complete alignment of related necessary billing systems and transition to full implementation of the net billing tariff for residential customers.</w:t>
      </w:r>
    </w:p>
    <w:p w:rsidR="003138CB" w:rsidP="003138CB" w:rsidRDefault="003138CB" w14:paraId="24062825" w14:textId="77777777">
      <w:pPr>
        <w:pStyle w:val="OP"/>
        <w:numPr>
          <w:ilvl w:val="0"/>
          <w:numId w:val="0"/>
        </w:numPr>
        <w:spacing w:before="120" w:after="120" w:line="240" w:lineRule="auto"/>
        <w:ind w:left="1267" w:right="1440"/>
      </w:pPr>
      <w:r>
        <w:t>Eighteen months following the adoption of this decision, Pacific Gas and Electric Company shall complete alignment of related necessary billing systems and transition to full implementation of the net billing tariff for nonresidential customers.</w:t>
      </w:r>
    </w:p>
    <w:p w:rsidR="003138CB" w:rsidP="00A0614A" w:rsidRDefault="003138CB" w14:paraId="0DC39BBB" w14:textId="12C63DA6">
      <w:pPr>
        <w:pStyle w:val="OP"/>
        <w:numPr>
          <w:ilvl w:val="1"/>
          <w:numId w:val="4"/>
        </w:numPr>
        <w:spacing w:before="120" w:after="120" w:line="240" w:lineRule="auto"/>
        <w:ind w:right="1440"/>
      </w:pPr>
      <w:r>
        <w:t>Step </w:t>
      </w:r>
      <w:r w:rsidR="005A3C78">
        <w:t>6</w:t>
      </w:r>
      <w:r>
        <w:t>:  Three years from the application submission, all customers seeking to interconnect to the NEM</w:t>
      </w:r>
      <w:r w:rsidR="003B3D44">
        <w:t> </w:t>
      </w:r>
      <w:r>
        <w:t>2.0 tariff shall submit final building permit sign off and electrical clearing by the authority having jurisdiction.  Pacific Gas and Electric Company, San</w:t>
      </w:r>
      <w:r w:rsidR="003B3D44">
        <w:t> </w:t>
      </w:r>
      <w:r>
        <w:t>Diego Gas</w:t>
      </w:r>
      <w:r w:rsidR="003B3D44">
        <w:t> </w:t>
      </w:r>
      <w:r>
        <w:t>&amp; Electric Company and Southern California Edison Company have the discretion to apply NEM</w:t>
      </w:r>
      <w:r w:rsidR="003B3D44">
        <w:t> </w:t>
      </w:r>
      <w:r>
        <w:t>2.0 eligibility to customers who fail to meet this deadline due to utility</w:t>
      </w:r>
      <w:r w:rsidR="008D2724">
        <w:noBreakHyphen/>
      </w:r>
      <w:r>
        <w:t>caused delays.</w:t>
      </w:r>
    </w:p>
    <w:p w:rsidR="001A4E5C" w:rsidP="005E7044" w:rsidRDefault="00A27A49" w14:paraId="6D4B31AE" w14:textId="2AF1A853">
      <w:pPr>
        <w:pStyle w:val="OP"/>
        <w:keepNext/>
        <w:ind w:left="0" w:firstLine="547"/>
      </w:pPr>
      <w:r>
        <w:t>Rulemaking 2</w:t>
      </w:r>
      <w:r w:rsidR="001A4E5C">
        <w:t>0</w:t>
      </w:r>
      <w:r w:rsidR="00827602">
        <w:noBreakHyphen/>
      </w:r>
      <w:r w:rsidR="001A4E5C">
        <w:t>08</w:t>
      </w:r>
      <w:r w:rsidR="00827602">
        <w:noBreakHyphen/>
      </w:r>
      <w:r w:rsidR="001A4E5C">
        <w:t xml:space="preserve">020 remains open to address </w:t>
      </w:r>
      <w:r w:rsidR="003138CB">
        <w:t xml:space="preserve">outstanding </w:t>
      </w:r>
      <w:r w:rsidR="001A4E5C">
        <w:t>issue</w:t>
      </w:r>
      <w:r w:rsidR="003138CB">
        <w:t xml:space="preserve">s </w:t>
      </w:r>
      <w:r w:rsidR="00B747E5">
        <w:t>in the Scoping Memo</w:t>
      </w:r>
      <w:r w:rsidR="001A4E5C">
        <w:t xml:space="preserve"> and continuing matters related to this decision</w:t>
      </w:r>
      <w:r w:rsidRPr="001E2A62" w:rsidR="001A4E5C">
        <w:t>.</w:t>
      </w:r>
    </w:p>
    <w:p w:rsidR="001A4E5C" w:rsidP="005E7044" w:rsidRDefault="001A4E5C" w14:paraId="78BDCB0E" w14:textId="77777777">
      <w:pPr>
        <w:keepNext/>
      </w:pPr>
      <w:r>
        <w:t>This order is effective today.</w:t>
      </w:r>
    </w:p>
    <w:p w:rsidR="00126ECC" w:rsidP="005E7044" w:rsidRDefault="008F0116" w14:paraId="024C7A6A" w14:textId="76F07784">
      <w:pPr>
        <w:keepNext/>
      </w:pPr>
      <w:r>
        <w:t xml:space="preserve">Dated </w:t>
      </w:r>
      <w:r w:rsidR="009104D9">
        <w:t>_____________________</w:t>
      </w:r>
      <w:r>
        <w:t>, at</w:t>
      </w:r>
      <w:r w:rsidR="007061A7">
        <w:t xml:space="preserve"> </w:t>
      </w:r>
      <w:r w:rsidR="00827602">
        <w:t>San </w:t>
      </w:r>
      <w:r>
        <w:t>Francisco, California</w:t>
      </w:r>
      <w:r w:rsidR="00D1454A">
        <w:t>.</w:t>
      </w:r>
    </w:p>
    <w:p w:rsidR="00D1454A" w:rsidP="005E7044" w:rsidRDefault="00D1454A" w14:paraId="06F3D0D6" w14:textId="3621C064">
      <w:pPr>
        <w:keepNext/>
      </w:pPr>
    </w:p>
    <w:p w:rsidR="00594169" w:rsidP="005E7044" w:rsidRDefault="00594169" w14:paraId="3A1437CE" w14:textId="77777777">
      <w:pPr>
        <w:keepNext/>
      </w:pPr>
    </w:p>
    <w:p w:rsidR="00D1454A" w:rsidP="005E7044" w:rsidRDefault="00D1454A" w14:paraId="47D9BCE4" w14:textId="63CA7317">
      <w:pPr>
        <w:keepNext/>
      </w:pPr>
    </w:p>
    <w:p w:rsidR="00594169" w:rsidP="005E7044" w:rsidRDefault="00594169" w14:paraId="3785A135" w14:textId="77777777">
      <w:pPr>
        <w:keepNext/>
        <w:sectPr w:rsidR="00594169" w:rsidSect="00261C61">
          <w:footerReference w:type="default" r:id="rId29"/>
          <w:pgSz w:w="12240" w:h="15840"/>
          <w:pgMar w:top="1728" w:right="1440" w:bottom="1440" w:left="1440" w:header="720" w:footer="720" w:gutter="0"/>
          <w:pgNumType w:start="2"/>
          <w:cols w:space="720"/>
          <w:docGrid w:linePitch="360"/>
        </w:sectPr>
      </w:pPr>
    </w:p>
    <w:p w:rsidR="008A4DFF" w:rsidP="008A4DFF" w:rsidRDefault="008A4DFF" w14:paraId="586FE8A5" w14:textId="77777777">
      <w:pPr>
        <w:ind w:firstLine="0"/>
      </w:pPr>
    </w:p>
    <w:p w:rsidR="008A4DFF" w:rsidP="008A4DFF" w:rsidRDefault="008A4DFF" w14:paraId="583CE871" w14:textId="77777777">
      <w:pPr>
        <w:ind w:firstLine="0"/>
      </w:pPr>
    </w:p>
    <w:p w:rsidR="008A4DFF" w:rsidP="008A4DFF" w:rsidRDefault="008A4DFF" w14:paraId="33AE2379" w14:textId="77777777">
      <w:pPr>
        <w:ind w:firstLine="0"/>
      </w:pPr>
    </w:p>
    <w:p w:rsidR="008A4DFF" w:rsidP="008A4DFF" w:rsidRDefault="008A4DFF" w14:paraId="3A93AC6E" w14:textId="77777777">
      <w:pPr>
        <w:ind w:firstLine="0"/>
      </w:pPr>
    </w:p>
    <w:p w:rsidR="008A4DFF" w:rsidP="008A4DFF" w:rsidRDefault="008A4DFF" w14:paraId="4E4AB8C6" w14:textId="77777777">
      <w:pPr>
        <w:ind w:firstLine="0"/>
      </w:pPr>
    </w:p>
    <w:p w:rsidR="008A4DFF" w:rsidP="008A4DFF" w:rsidRDefault="008A4DFF" w14:paraId="239F6257" w14:textId="77777777">
      <w:pPr>
        <w:ind w:firstLine="0"/>
      </w:pPr>
    </w:p>
    <w:p w:rsidR="008A4DFF" w:rsidP="008A4DFF" w:rsidRDefault="008A4DFF" w14:paraId="348C785A" w14:textId="77777777">
      <w:pPr>
        <w:ind w:firstLine="0"/>
      </w:pPr>
    </w:p>
    <w:p w:rsidRPr="00D01C63" w:rsidR="00C07F3D" w:rsidP="005E7044" w:rsidRDefault="00123055" w14:paraId="42CA23E0" w14:textId="1C8B7190">
      <w:pPr>
        <w:keepNext/>
        <w:ind w:firstLine="0"/>
        <w:jc w:val="center"/>
        <w:rPr>
          <w:b/>
          <w:bCs/>
          <w:sz w:val="56"/>
          <w:szCs w:val="56"/>
        </w:rPr>
      </w:pPr>
      <w:r>
        <w:rPr>
          <w:b/>
          <w:bCs/>
          <w:sz w:val="56"/>
          <w:szCs w:val="56"/>
        </w:rPr>
        <w:t>Appendix A</w:t>
      </w:r>
    </w:p>
    <w:p w:rsidR="008A4DFF" w:rsidP="008A4DFF" w:rsidRDefault="0038249A" w14:paraId="5FEC47E7" w14:textId="77777777">
      <w:pPr>
        <w:keepNext/>
        <w:spacing w:line="240" w:lineRule="auto"/>
        <w:ind w:firstLine="0"/>
        <w:jc w:val="center"/>
        <w:rPr>
          <w:b/>
          <w:bCs/>
          <w:sz w:val="48"/>
          <w:szCs w:val="48"/>
        </w:rPr>
      </w:pPr>
      <w:bookmarkStart w:name="_Hlk88202277" w:id="277"/>
      <w:r w:rsidRPr="00434F7E">
        <w:rPr>
          <w:b/>
          <w:bCs/>
          <w:sz w:val="48"/>
          <w:szCs w:val="48"/>
        </w:rPr>
        <w:t>Customer Explanation</w:t>
      </w:r>
    </w:p>
    <w:p w:rsidR="008C2342" w:rsidP="008A4DFF" w:rsidRDefault="0038249A" w14:paraId="07F23897" w14:textId="76FE0199">
      <w:pPr>
        <w:keepNext/>
        <w:spacing w:line="240" w:lineRule="auto"/>
        <w:ind w:firstLine="0"/>
        <w:jc w:val="center"/>
        <w:rPr>
          <w:b/>
          <w:bCs/>
          <w:sz w:val="48"/>
          <w:szCs w:val="48"/>
        </w:rPr>
      </w:pPr>
      <w:r w:rsidRPr="00434F7E">
        <w:rPr>
          <w:b/>
          <w:bCs/>
          <w:sz w:val="48"/>
          <w:szCs w:val="48"/>
        </w:rPr>
        <w:t>of</w:t>
      </w:r>
      <w:r w:rsidR="008A4DFF">
        <w:rPr>
          <w:b/>
          <w:bCs/>
          <w:sz w:val="48"/>
          <w:szCs w:val="48"/>
        </w:rPr>
        <w:t xml:space="preserve"> </w:t>
      </w:r>
      <w:r w:rsidRPr="00434F7E">
        <w:rPr>
          <w:b/>
          <w:bCs/>
          <w:sz w:val="48"/>
          <w:szCs w:val="48"/>
        </w:rPr>
        <w:t>Net Billing Tariff</w:t>
      </w:r>
    </w:p>
    <w:p w:rsidR="00594169" w:rsidP="005E7044" w:rsidRDefault="00594169" w14:paraId="68B9B0F5" w14:textId="77777777">
      <w:pPr>
        <w:keepNext/>
        <w:spacing w:line="276" w:lineRule="auto"/>
        <w:ind w:firstLine="0"/>
        <w:jc w:val="center"/>
        <w:rPr>
          <w:b/>
          <w:bCs/>
          <w:sz w:val="48"/>
          <w:szCs w:val="48"/>
        </w:rPr>
      </w:pPr>
    </w:p>
    <w:p w:rsidR="008C2342" w:rsidP="005E7044" w:rsidRDefault="008C2342" w14:paraId="02F64853" w14:textId="77777777">
      <w:pPr>
        <w:keepNext/>
        <w:spacing w:line="276" w:lineRule="auto"/>
        <w:ind w:firstLine="0"/>
        <w:jc w:val="center"/>
        <w:rPr>
          <w:b/>
          <w:bCs/>
          <w:sz w:val="48"/>
          <w:szCs w:val="48"/>
        </w:rPr>
      </w:pPr>
    </w:p>
    <w:p w:rsidR="008C2342" w:rsidP="005E7044" w:rsidRDefault="008C2342" w14:paraId="0C69B7E4" w14:textId="77777777">
      <w:pPr>
        <w:keepNext/>
        <w:spacing w:line="276" w:lineRule="auto"/>
        <w:ind w:firstLine="0"/>
        <w:jc w:val="center"/>
        <w:rPr>
          <w:b/>
          <w:bCs/>
          <w:sz w:val="48"/>
          <w:szCs w:val="48"/>
        </w:rPr>
      </w:pPr>
    </w:p>
    <w:p w:rsidRPr="00434F7E" w:rsidR="008C2342" w:rsidP="005E7044" w:rsidRDefault="008C2342" w14:paraId="2BD1CCCD" w14:textId="3D4147BB">
      <w:pPr>
        <w:keepNext/>
        <w:spacing w:line="276" w:lineRule="auto"/>
        <w:ind w:firstLine="0"/>
        <w:jc w:val="center"/>
        <w:rPr>
          <w:b/>
          <w:bCs/>
          <w:sz w:val="48"/>
          <w:szCs w:val="48"/>
        </w:rPr>
        <w:sectPr w:rsidRPr="00434F7E" w:rsidR="008C2342" w:rsidSect="00261C61">
          <w:footerReference w:type="default" r:id="rId30"/>
          <w:headerReference w:type="first" r:id="rId31"/>
          <w:footerReference w:type="first" r:id="rId32"/>
          <w:pgSz w:w="12240" w:h="15840"/>
          <w:pgMar w:top="1728" w:right="1440" w:bottom="1440" w:left="1440" w:header="720" w:footer="720" w:gutter="0"/>
          <w:pgNumType w:start="1"/>
          <w:cols w:space="720"/>
          <w:docGrid w:linePitch="360"/>
        </w:sectPr>
      </w:pPr>
    </w:p>
    <w:bookmarkEnd w:id="277"/>
    <w:p w:rsidRPr="00910053" w:rsidR="0071326B" w:rsidP="00910053" w:rsidRDefault="0071326B" w14:paraId="0EFA8140" w14:textId="77777777">
      <w:pPr>
        <w:pStyle w:val="Standard"/>
        <w:ind w:firstLine="0"/>
        <w:rPr>
          <w:sz w:val="28"/>
          <w:szCs w:val="28"/>
        </w:rPr>
      </w:pPr>
      <w:r w:rsidRPr="00910053">
        <w:rPr>
          <w:sz w:val="28"/>
          <w:szCs w:val="28"/>
        </w:rPr>
        <w:lastRenderedPageBreak/>
        <w:t>How Electricity Bill Savings Work</w:t>
      </w:r>
    </w:p>
    <w:p w:rsidRPr="00A661E2" w:rsidR="00447811" w:rsidP="005E7044" w:rsidRDefault="00447811" w14:paraId="03CCEBE2" w14:textId="237F3974">
      <w:pPr>
        <w:ind w:firstLine="0"/>
        <w:rPr>
          <w:rFonts w:ascii="Calibri" w:hAnsi="Calibri" w:eastAsia="Calibri" w:cs="Calibri"/>
          <w:sz w:val="22"/>
        </w:rPr>
      </w:pPr>
      <w:r>
        <w:rPr>
          <w:rStyle w:val="normaltextrun"/>
          <w:rFonts w:ascii="Garamond" w:hAnsi="Garamond"/>
          <w:color w:val="000000"/>
          <w:sz w:val="23"/>
          <w:szCs w:val="23"/>
          <w:shd w:val="clear" w:color="auto" w:fill="FFFFFF"/>
        </w:rPr>
        <w:t>If you install solar at your home, the majority of your electric bill savings will come from reducing the amount of electricity that you buy, or import, from your electricity provider. A minor additional amount of bill savings will come from your provider’s Net Billing program. Net Billing provides financial credits on your bill when your solar system sends, or exports, excess electricity to the electric grid after first meeting the electricity needs in your home. If you are the original PG&amp;E, SCE, or SDG&amp;E customer who installed solar on your roof, you will have Net Billing for at least 9 years from the time your solar system starts operating.</w:t>
      </w:r>
    </w:p>
    <w:p w:rsidRPr="00910053" w:rsidR="0071326B" w:rsidP="005E7044" w:rsidRDefault="0071326B" w14:paraId="3480185D" w14:textId="77777777">
      <w:pPr>
        <w:pStyle w:val="Standard"/>
        <w:ind w:firstLine="0"/>
        <w:rPr>
          <w:sz w:val="28"/>
          <w:szCs w:val="28"/>
        </w:rPr>
      </w:pPr>
      <w:r w:rsidRPr="00910053">
        <w:rPr>
          <w:sz w:val="28"/>
          <w:szCs w:val="28"/>
        </w:rPr>
        <w:t xml:space="preserve">Net Billing and Your Electricity Bill </w:t>
      </w:r>
    </w:p>
    <w:p w:rsidRPr="00A661E2" w:rsidR="0071326B" w:rsidP="005E7044" w:rsidRDefault="0071326B" w14:paraId="313378A2" w14:textId="77777777">
      <w:pPr>
        <w:pStyle w:val="Standard"/>
        <w:ind w:firstLine="0"/>
      </w:pPr>
      <w:r w:rsidRPr="00A661E2">
        <w:t xml:space="preserve">Importing and Exporting Electricity </w:t>
      </w:r>
    </w:p>
    <w:p w:rsidRPr="00A661E2" w:rsidR="0071326B" w:rsidP="005E7044" w:rsidRDefault="00447811" w14:paraId="1EA7B851" w14:textId="57E5C417">
      <w:pPr>
        <w:ind w:firstLine="0"/>
        <w:rPr>
          <w:rFonts w:ascii="Calibri" w:hAnsi="Calibri" w:eastAsia="Calibri" w:cs="Calibri"/>
          <w:sz w:val="22"/>
        </w:rPr>
      </w:pPr>
      <w:r>
        <w:rPr>
          <w:rStyle w:val="normaltextrun"/>
          <w:rFonts w:ascii="Garamond" w:hAnsi="Garamond"/>
          <w:color w:val="000000"/>
          <w:sz w:val="23"/>
          <w:szCs w:val="23"/>
          <w:shd w:val="clear" w:color="auto" w:fill="FFFFFF"/>
        </w:rPr>
        <w:t>Since the sun isn’t always shining, most solar customers also rely on electricity from the electric grid. Pairing a battery with your solar system allows you to store your excess solar energy from sunlit hours and then use the stored energy at home, instead of importing electricity from the electric grid, during part of the evening. Your monthly electric bill will summarize how much electricity your home imported from and exported to the electric grid, and the resulting overall charge or credit due to your account</w:t>
      </w:r>
      <w:r w:rsidRPr="00A661E2" w:rsidR="0071326B">
        <w:rPr>
          <w:rFonts w:ascii="Calibri" w:hAnsi="Calibri" w:eastAsia="Calibri" w:cs="Calibri"/>
          <w:sz w:val="22"/>
        </w:rPr>
        <w:t xml:space="preserve">. </w:t>
      </w:r>
    </w:p>
    <w:p w:rsidRPr="00A661E2" w:rsidR="0071326B" w:rsidP="005E7044" w:rsidRDefault="0071326B" w14:paraId="2356D09F" w14:textId="77777777">
      <w:pPr>
        <w:pStyle w:val="Standard"/>
        <w:ind w:firstLine="0"/>
      </w:pPr>
      <w:r w:rsidRPr="00A661E2">
        <w:t xml:space="preserve">Bill Charges </w:t>
      </w:r>
    </w:p>
    <w:p w:rsidRPr="00910053" w:rsidR="00447811" w:rsidP="00910053" w:rsidRDefault="00447811" w14:paraId="2ACAEB4C" w14:textId="49F2091D">
      <w:pPr>
        <w:pStyle w:val="Standard"/>
        <w:ind w:firstLine="0"/>
        <w:rPr>
          <w:rFonts w:ascii="Garamond" w:hAnsi="Garamond" w:eastAsia="Calibri" w:cs="Calibri"/>
          <w:sz w:val="23"/>
          <w:szCs w:val="23"/>
        </w:rPr>
      </w:pPr>
      <w:r w:rsidRPr="00910053">
        <w:rPr>
          <w:rFonts w:ascii="Garamond" w:hAnsi="Garamond" w:eastAsia="Calibri" w:cs="Calibri"/>
          <w:sz w:val="23"/>
          <w:szCs w:val="23"/>
        </w:rPr>
        <w:t>PG&amp;E, SCE, and SDG&amp;E solar customers are required to go on a</w:t>
      </w:r>
      <w:r w:rsidR="00334E25">
        <w:rPr>
          <w:rFonts w:ascii="Garamond" w:hAnsi="Garamond" w:eastAsia="Calibri" w:cs="Calibri"/>
          <w:sz w:val="23"/>
          <w:szCs w:val="23"/>
        </w:rPr>
        <w:t>n electrification</w:t>
      </w:r>
      <w:r w:rsidRPr="00910053">
        <w:rPr>
          <w:rFonts w:ascii="Garamond" w:hAnsi="Garamond" w:eastAsia="Calibri" w:cs="Calibri"/>
          <w:sz w:val="23"/>
          <w:szCs w:val="23"/>
        </w:rPr>
        <w:t xml:space="preserve"> time</w:t>
      </w:r>
      <w:r w:rsidR="00827602">
        <w:rPr>
          <w:rFonts w:ascii="Garamond" w:hAnsi="Garamond" w:eastAsia="Calibri" w:cs="Calibri"/>
          <w:sz w:val="23"/>
          <w:szCs w:val="23"/>
        </w:rPr>
        <w:noBreakHyphen/>
      </w:r>
      <w:r w:rsidRPr="00910053">
        <w:rPr>
          <w:rFonts w:ascii="Garamond" w:hAnsi="Garamond" w:eastAsia="Calibri" w:cs="Calibri"/>
          <w:sz w:val="23"/>
          <w:szCs w:val="23"/>
        </w:rPr>
        <w:t>of</w:t>
      </w:r>
      <w:r w:rsidR="00827602">
        <w:rPr>
          <w:rFonts w:ascii="Garamond" w:hAnsi="Garamond" w:eastAsia="Calibri" w:cs="Calibri"/>
          <w:sz w:val="23"/>
          <w:szCs w:val="23"/>
        </w:rPr>
        <w:noBreakHyphen/>
      </w:r>
      <w:r w:rsidRPr="00910053">
        <w:rPr>
          <w:rFonts w:ascii="Garamond" w:hAnsi="Garamond" w:eastAsia="Calibri" w:cs="Calibri"/>
          <w:sz w:val="23"/>
          <w:szCs w:val="23"/>
        </w:rPr>
        <w:t xml:space="preserve">use (TOU) rate plan. On a TOU rate plan, you will pay different prices for electricity at different times of the day (also called “TOU periods”). Prices for the energy you import from the electric grid are highest during the “peak” period between 4 p.m. and 9 p.m. The electricity rates in each plan, and which plans are allowed for use with Net Billing, are subject to change; go to </w:t>
      </w:r>
      <w:hyperlink w:tgtFrame="_blank" w:history="1" r:id="rId33">
        <w:r w:rsidRPr="00910053">
          <w:rPr>
            <w:rStyle w:val="Hyperlink"/>
            <w:rFonts w:ascii="Garamond" w:hAnsi="Garamond" w:eastAsia="Calibri" w:cs="Calibri"/>
            <w:sz w:val="23"/>
            <w:szCs w:val="23"/>
          </w:rPr>
          <w:t>cpuc.ca.gov/</w:t>
        </w:r>
        <w:proofErr w:type="spellStart"/>
        <w:r w:rsidRPr="00910053">
          <w:rPr>
            <w:rStyle w:val="Hyperlink"/>
            <w:rFonts w:ascii="Garamond" w:hAnsi="Garamond" w:eastAsia="Calibri" w:cs="Calibri"/>
            <w:sz w:val="23"/>
            <w:szCs w:val="23"/>
          </w:rPr>
          <w:t>electricrates</w:t>
        </w:r>
        <w:proofErr w:type="spellEnd"/>
      </w:hyperlink>
      <w:r w:rsidRPr="00910053">
        <w:rPr>
          <w:rFonts w:ascii="Garamond" w:hAnsi="Garamond" w:eastAsia="Calibri" w:cs="Calibri"/>
          <w:sz w:val="23"/>
          <w:szCs w:val="23"/>
        </w:rPr>
        <w:t xml:space="preserve"> for details. </w:t>
      </w:r>
    </w:p>
    <w:p w:rsidRPr="00910053" w:rsidR="00447811" w:rsidP="00910053" w:rsidRDefault="00447811" w14:paraId="45B17EC7" w14:textId="18786C5C">
      <w:pPr>
        <w:pStyle w:val="Standard"/>
        <w:spacing w:before="120"/>
        <w:ind w:firstLine="0"/>
        <w:rPr>
          <w:rFonts w:ascii="Garamond" w:hAnsi="Garamond" w:eastAsia="Calibri" w:cs="Calibri"/>
          <w:sz w:val="23"/>
          <w:szCs w:val="23"/>
        </w:rPr>
      </w:pPr>
      <w:r w:rsidRPr="00910053">
        <w:rPr>
          <w:rFonts w:ascii="Garamond" w:hAnsi="Garamond" w:eastAsia="Calibri" w:cs="Calibri"/>
          <w:sz w:val="23"/>
          <w:szCs w:val="23"/>
        </w:rPr>
        <w:t>In addition to charges for energy you import, you may see non</w:t>
      </w:r>
      <w:r w:rsidR="00827602">
        <w:rPr>
          <w:rFonts w:ascii="Garamond" w:hAnsi="Garamond" w:eastAsia="Calibri" w:cs="Calibri"/>
          <w:sz w:val="23"/>
          <w:szCs w:val="23"/>
        </w:rPr>
        <w:noBreakHyphen/>
      </w:r>
      <w:proofErr w:type="spellStart"/>
      <w:r w:rsidRPr="00910053">
        <w:rPr>
          <w:rFonts w:ascii="Garamond" w:hAnsi="Garamond" w:eastAsia="Calibri" w:cs="Calibri"/>
          <w:sz w:val="23"/>
          <w:szCs w:val="23"/>
        </w:rPr>
        <w:t>bypassable</w:t>
      </w:r>
      <w:proofErr w:type="spellEnd"/>
      <w:r w:rsidRPr="00910053">
        <w:rPr>
          <w:rFonts w:ascii="Garamond" w:hAnsi="Garamond" w:eastAsia="Calibri" w:cs="Calibri"/>
          <w:sz w:val="23"/>
          <w:szCs w:val="23"/>
        </w:rPr>
        <w:t xml:space="preserve"> charges</w:t>
      </w:r>
      <w:r w:rsidR="00334E25">
        <w:rPr>
          <w:rFonts w:ascii="Garamond" w:hAnsi="Garamond" w:eastAsia="Calibri" w:cs="Calibri"/>
          <w:sz w:val="23"/>
          <w:szCs w:val="23"/>
        </w:rPr>
        <w:t xml:space="preserve"> and </w:t>
      </w:r>
      <w:r w:rsidRPr="00910053">
        <w:rPr>
          <w:rFonts w:ascii="Garamond" w:hAnsi="Garamond" w:eastAsia="Calibri" w:cs="Calibri"/>
          <w:sz w:val="23"/>
          <w:szCs w:val="23"/>
        </w:rPr>
        <w:t>a fixed charge listed on your electric bill.</w:t>
      </w:r>
      <w:r w:rsidR="002F5949">
        <w:rPr>
          <w:rFonts w:ascii="Garamond" w:hAnsi="Garamond" w:eastAsia="Calibri" w:cs="Calibri"/>
          <w:sz w:val="23"/>
          <w:szCs w:val="23"/>
        </w:rPr>
        <w:t> </w:t>
      </w:r>
      <w:r w:rsidRPr="00910053">
        <w:rPr>
          <w:rFonts w:ascii="Garamond" w:hAnsi="Garamond" w:eastAsia="Calibri" w:cs="Calibri"/>
          <w:sz w:val="23"/>
          <w:szCs w:val="23"/>
        </w:rPr>
        <w:t> </w:t>
      </w:r>
    </w:p>
    <w:p w:rsidRPr="00910053" w:rsidR="00447811" w:rsidP="00447811" w:rsidRDefault="00447811" w14:paraId="4559782A" w14:textId="17812944">
      <w:pPr>
        <w:pStyle w:val="Standard"/>
        <w:numPr>
          <w:ilvl w:val="0"/>
          <w:numId w:val="19"/>
        </w:numPr>
        <w:rPr>
          <w:rFonts w:ascii="Garamond" w:hAnsi="Garamond" w:eastAsia="Calibri" w:cs="Calibri"/>
          <w:sz w:val="23"/>
          <w:szCs w:val="23"/>
        </w:rPr>
      </w:pPr>
      <w:r w:rsidRPr="00910053">
        <w:rPr>
          <w:rFonts w:ascii="Garamond" w:hAnsi="Garamond" w:eastAsia="Calibri" w:cs="Calibri"/>
          <w:sz w:val="23"/>
          <w:szCs w:val="23"/>
        </w:rPr>
        <w:t>All customers pay small charges to help maintain the electric grid and help low</w:t>
      </w:r>
      <w:r w:rsidR="00827602">
        <w:rPr>
          <w:rFonts w:ascii="Garamond" w:hAnsi="Garamond" w:eastAsia="Calibri" w:cs="Calibri"/>
          <w:sz w:val="23"/>
          <w:szCs w:val="23"/>
        </w:rPr>
        <w:noBreakHyphen/>
      </w:r>
      <w:r w:rsidRPr="00910053">
        <w:rPr>
          <w:rFonts w:ascii="Garamond" w:hAnsi="Garamond" w:eastAsia="Calibri" w:cs="Calibri"/>
          <w:sz w:val="23"/>
          <w:szCs w:val="23"/>
        </w:rPr>
        <w:t>income and disadvantaged Californians afford energy and access clean energy programs. These are called non</w:t>
      </w:r>
      <w:r w:rsidR="00827602">
        <w:rPr>
          <w:rFonts w:ascii="Garamond" w:hAnsi="Garamond" w:eastAsia="Calibri" w:cs="Calibri"/>
          <w:sz w:val="23"/>
          <w:szCs w:val="23"/>
        </w:rPr>
        <w:noBreakHyphen/>
      </w:r>
      <w:proofErr w:type="spellStart"/>
      <w:r w:rsidRPr="00910053">
        <w:rPr>
          <w:rFonts w:ascii="Garamond" w:hAnsi="Garamond" w:eastAsia="Calibri" w:cs="Calibri"/>
          <w:sz w:val="23"/>
          <w:szCs w:val="23"/>
        </w:rPr>
        <w:t>bypassable</w:t>
      </w:r>
      <w:proofErr w:type="spellEnd"/>
      <w:r w:rsidRPr="00910053">
        <w:rPr>
          <w:rFonts w:ascii="Garamond" w:hAnsi="Garamond" w:eastAsia="Calibri" w:cs="Calibri"/>
          <w:sz w:val="23"/>
          <w:szCs w:val="23"/>
        </w:rPr>
        <w:t xml:space="preserve"> charges since you cannot bypass them using solar bill credits. However, if you receive the ACC Plus adder described below, you may apply it to non</w:t>
      </w:r>
      <w:r w:rsidR="00827602">
        <w:rPr>
          <w:rFonts w:ascii="Garamond" w:hAnsi="Garamond" w:eastAsia="Calibri" w:cs="Calibri"/>
          <w:sz w:val="23"/>
          <w:szCs w:val="23"/>
        </w:rPr>
        <w:noBreakHyphen/>
      </w:r>
      <w:proofErr w:type="spellStart"/>
      <w:r w:rsidRPr="00910053">
        <w:rPr>
          <w:rFonts w:ascii="Garamond" w:hAnsi="Garamond" w:eastAsia="Calibri" w:cs="Calibri"/>
          <w:sz w:val="23"/>
          <w:szCs w:val="23"/>
        </w:rPr>
        <w:t>bypassable</w:t>
      </w:r>
      <w:proofErr w:type="spellEnd"/>
      <w:r w:rsidRPr="00910053">
        <w:rPr>
          <w:rFonts w:ascii="Garamond" w:hAnsi="Garamond" w:eastAsia="Calibri" w:cs="Calibri"/>
          <w:sz w:val="23"/>
          <w:szCs w:val="23"/>
        </w:rPr>
        <w:t xml:space="preserve"> charges. </w:t>
      </w:r>
    </w:p>
    <w:p w:rsidRPr="00910053" w:rsidR="00447811" w:rsidP="00447811" w:rsidRDefault="00447811" w14:paraId="1463B994" w14:textId="2E45325B">
      <w:pPr>
        <w:pStyle w:val="Standard"/>
        <w:numPr>
          <w:ilvl w:val="0"/>
          <w:numId w:val="19"/>
        </w:numPr>
        <w:rPr>
          <w:rFonts w:ascii="Garamond" w:hAnsi="Garamond" w:eastAsia="Calibri" w:cs="Calibri"/>
          <w:sz w:val="23"/>
          <w:szCs w:val="23"/>
        </w:rPr>
      </w:pPr>
      <w:r w:rsidRPr="00910053">
        <w:rPr>
          <w:rFonts w:ascii="Garamond" w:hAnsi="Garamond" w:eastAsia="Calibri" w:cs="Calibri"/>
          <w:sz w:val="23"/>
          <w:szCs w:val="23"/>
        </w:rPr>
        <w:t>Each TOU rate plan eligible for use with the Net Billing program includes a monthly charge of around $15, sometimes called a fixed, basic, or service charge or fee.</w:t>
      </w:r>
      <w:r w:rsidR="002F5949">
        <w:rPr>
          <w:rFonts w:ascii="Garamond" w:hAnsi="Garamond" w:eastAsia="Calibri" w:cs="Calibri"/>
          <w:sz w:val="23"/>
          <w:szCs w:val="23"/>
        </w:rPr>
        <w:t> </w:t>
      </w:r>
    </w:p>
    <w:p w:rsidRPr="007A7C8B" w:rsidR="0071326B" w:rsidP="005E7044" w:rsidRDefault="0071326B" w14:paraId="79929E7B" w14:textId="77777777">
      <w:pPr>
        <w:pStyle w:val="Standard"/>
        <w:ind w:firstLine="0"/>
      </w:pPr>
      <w:r w:rsidRPr="007A7C8B">
        <w:t>Bill Credits</w:t>
      </w:r>
    </w:p>
    <w:p w:rsidRPr="00910053" w:rsidR="0071326B" w:rsidP="005E7044" w:rsidRDefault="0071326B" w14:paraId="08D6E081" w14:textId="77777777">
      <w:pPr>
        <w:pStyle w:val="Standard"/>
        <w:ind w:firstLine="0"/>
        <w:rPr>
          <w:sz w:val="24"/>
          <w:szCs w:val="24"/>
        </w:rPr>
      </w:pPr>
      <w:r w:rsidRPr="00910053">
        <w:rPr>
          <w:sz w:val="24"/>
          <w:szCs w:val="24"/>
        </w:rPr>
        <w:t>Bill Credits for Exports</w:t>
      </w:r>
    </w:p>
    <w:p w:rsidRPr="007A7C8B" w:rsidR="0071326B" w:rsidP="005E7044" w:rsidRDefault="002732A5" w14:paraId="366F663E" w14:textId="4CB94142">
      <w:pPr>
        <w:ind w:firstLine="0"/>
        <w:rPr>
          <w:rFonts w:ascii="Calibri" w:hAnsi="Calibri" w:eastAsia="Calibri" w:cs="Calibri"/>
          <w:sz w:val="22"/>
        </w:rPr>
      </w:pPr>
      <w:r>
        <w:rPr>
          <w:rStyle w:val="normaltextrun"/>
          <w:rFonts w:ascii="Garamond" w:hAnsi="Garamond"/>
          <w:color w:val="000000"/>
          <w:sz w:val="23"/>
          <w:szCs w:val="23"/>
          <w:shd w:val="clear" w:color="auto" w:fill="FFFFFF"/>
        </w:rPr>
        <w:lastRenderedPageBreak/>
        <w:t>You will receive bill credits at a set price per unit (kilowatt</w:t>
      </w:r>
      <w:r w:rsidR="00827602">
        <w:rPr>
          <w:rStyle w:val="normaltextrun"/>
          <w:rFonts w:ascii="Garamond" w:hAnsi="Garamond"/>
          <w:color w:val="000000"/>
          <w:sz w:val="23"/>
          <w:szCs w:val="23"/>
          <w:shd w:val="clear" w:color="auto" w:fill="FFFFFF"/>
        </w:rPr>
        <w:noBreakHyphen/>
      </w:r>
      <w:r>
        <w:rPr>
          <w:rStyle w:val="normaltextrun"/>
          <w:rFonts w:ascii="Garamond" w:hAnsi="Garamond"/>
          <w:color w:val="000000"/>
          <w:sz w:val="23"/>
          <w:szCs w:val="23"/>
          <w:shd w:val="clear" w:color="auto" w:fill="FFFFFF"/>
        </w:rPr>
        <w:t>hour) of electricity exported, based on the electricity’s value to the electric grid in each hour of the day. The price will usually be lower than what you pay for a kilowatt</w:t>
      </w:r>
      <w:r w:rsidR="00827602">
        <w:rPr>
          <w:rStyle w:val="normaltextrun"/>
          <w:rFonts w:ascii="Garamond" w:hAnsi="Garamond"/>
          <w:color w:val="000000"/>
          <w:sz w:val="23"/>
          <w:szCs w:val="23"/>
          <w:shd w:val="clear" w:color="auto" w:fill="FFFFFF"/>
        </w:rPr>
        <w:noBreakHyphen/>
      </w:r>
      <w:r>
        <w:rPr>
          <w:rStyle w:val="normaltextrun"/>
          <w:rFonts w:ascii="Garamond" w:hAnsi="Garamond"/>
          <w:color w:val="000000"/>
          <w:sz w:val="23"/>
          <w:szCs w:val="23"/>
          <w:shd w:val="clear" w:color="auto" w:fill="FFFFFF"/>
        </w:rPr>
        <w:t>hour of electricity. The value generally follows TOU periods, meaning you will receive low prices for energy exported during the less expensive TOU periods, and so on. If you want to maximize your bill credits, you can pay closer attention and use less energy (in order to export more) during the specific hours in your “peak” TOU period when prices are highest. If you have a battery, you may be able to program it to automatically store up energy produced by your solar panels during sunny hours, and then export energy during the most lucrative evening hours</w:t>
      </w:r>
      <w:r w:rsidRPr="007A7C8B" w:rsidR="0071326B">
        <w:rPr>
          <w:rFonts w:ascii="Calibri" w:hAnsi="Calibri" w:eastAsia="Calibri" w:cs="Calibri"/>
          <w:sz w:val="22"/>
        </w:rPr>
        <w:t>.</w:t>
      </w:r>
    </w:p>
    <w:p w:rsidR="0071326B" w:rsidP="00E665E8" w:rsidRDefault="002732A5" w14:paraId="6AB226E5" w14:textId="57CF5FD3">
      <w:pPr>
        <w:ind w:firstLine="0"/>
        <w:jc w:val="center"/>
      </w:pPr>
      <w:r>
        <w:rPr>
          <w:noProof/>
        </w:rPr>
        <w:drawing>
          <wp:inline distT="0" distB="0" distL="0" distR="0" wp14:anchorId="06C16798" wp14:editId="43196586">
            <wp:extent cx="4572000" cy="2743200"/>
            <wp:effectExtent l="0" t="0" r="0" b="0"/>
            <wp:docPr id="23" name="Picture 2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Pr="007A7C8B" w:rsidR="002732A5" w:rsidP="005E7044" w:rsidRDefault="002732A5" w14:paraId="3A7015AB" w14:textId="0C49F21A">
      <w:pPr>
        <w:ind w:firstLine="0"/>
        <w:rPr>
          <w:rFonts w:asciiTheme="minorHAnsi" w:hAnsiTheme="minorHAnsi" w:cstheme="minorHAnsi"/>
          <w:sz w:val="22"/>
        </w:rPr>
      </w:pPr>
      <w:r>
        <w:rPr>
          <w:rStyle w:val="normaltextrun"/>
          <w:rFonts w:ascii="Garamond" w:hAnsi="Garamond"/>
          <w:color w:val="000000"/>
          <w:sz w:val="23"/>
          <w:szCs w:val="23"/>
          <w:shd w:val="clear" w:color="auto" w:fill="FFFFFF"/>
        </w:rPr>
        <w:t>If you apply to connect your solar system to the electric grid before the end of 2027, then for the first nine years after your solar system is interconnected to the electric grid, these prices will be based on what was predicted before you installed solar, to provide a measure of certainty for the purpose of predicting bill savings. However, you may opt out of this arrangement if you wish. After nine years, or if you either opt out or apply to connect your system after 2027, the prices you receive will be set every two years. They can rise or fall but are not expected to change drastically each year.</w:t>
      </w:r>
      <w:r>
        <w:rPr>
          <w:rStyle w:val="eop"/>
          <w:rFonts w:ascii="Garamond" w:hAnsi="Garamond"/>
          <w:color w:val="000000"/>
          <w:sz w:val="23"/>
          <w:szCs w:val="23"/>
          <w:shd w:val="clear" w:color="auto" w:fill="FFFFFF"/>
        </w:rPr>
        <w:t> </w:t>
      </w:r>
    </w:p>
    <w:p w:rsidR="0071326B" w:rsidP="005E7044" w:rsidRDefault="002732A5" w14:paraId="273A77A0" w14:textId="27A5FCDE">
      <w:pPr>
        <w:pStyle w:val="Standard"/>
        <w:ind w:firstLine="0"/>
      </w:pPr>
      <w:r>
        <w:t xml:space="preserve">ACC Plus </w:t>
      </w:r>
    </w:p>
    <w:p w:rsidR="002732A5" w:rsidP="00910053" w:rsidRDefault="002732A5" w14:paraId="7246A544" w14:textId="3DE781E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aramond" w:hAnsi="Garamond" w:cs="Segoe UI"/>
          <w:sz w:val="23"/>
          <w:szCs w:val="23"/>
        </w:rPr>
        <w:t>California has an ACC Plus adder to help residential PG&amp;E and SCE customers access solar energy. (SDG&amp;E customers are excluded because their solar systems generate more bill savings due to SDG&amp;E’s higher electric rates.) If you apply to connect your system to the PG&amp;E or SCE electric grid before the end of 2027, you will receive the adder in the form of slightly higher</w:t>
      </w:r>
      <w:r w:rsidR="00827602">
        <w:rPr>
          <w:rStyle w:val="normaltextrun"/>
          <w:rFonts w:ascii="Garamond" w:hAnsi="Garamond" w:cs="Segoe UI"/>
          <w:sz w:val="23"/>
          <w:szCs w:val="23"/>
        </w:rPr>
        <w:noBreakHyphen/>
      </w:r>
      <w:r>
        <w:rPr>
          <w:rStyle w:val="normaltextrun"/>
          <w:rFonts w:ascii="Garamond" w:hAnsi="Garamond" w:cs="Segoe UI"/>
          <w:sz w:val="23"/>
          <w:szCs w:val="23"/>
        </w:rPr>
        <w:t>than</w:t>
      </w:r>
      <w:r w:rsidR="00827602">
        <w:rPr>
          <w:rStyle w:val="normaltextrun"/>
          <w:rFonts w:ascii="Garamond" w:hAnsi="Garamond" w:cs="Segoe UI"/>
          <w:sz w:val="23"/>
          <w:szCs w:val="23"/>
        </w:rPr>
        <w:noBreakHyphen/>
      </w:r>
      <w:r>
        <w:rPr>
          <w:rStyle w:val="normaltextrun"/>
          <w:rFonts w:ascii="Garamond" w:hAnsi="Garamond" w:cs="Segoe UI"/>
          <w:sz w:val="23"/>
          <w:szCs w:val="23"/>
        </w:rPr>
        <w:t xml:space="preserve">normal bill credits for your energy exports for nine years. After that, you will receive bill credits based on your exports’ value to the electric grid, as described above. If you have a low bill </w:t>
      </w:r>
      <w:r>
        <w:rPr>
          <w:rStyle w:val="advancedproofingissue"/>
          <w:rFonts w:ascii="Garamond" w:hAnsi="Garamond" w:cs="Segoe UI" w:eastAsiaTheme="majorEastAsia"/>
          <w:sz w:val="23"/>
          <w:szCs w:val="23"/>
        </w:rPr>
        <w:t>in a given</w:t>
      </w:r>
      <w:r>
        <w:rPr>
          <w:rStyle w:val="normaltextrun"/>
          <w:rFonts w:ascii="Garamond" w:hAnsi="Garamond" w:cs="Segoe UI"/>
          <w:sz w:val="23"/>
          <w:szCs w:val="23"/>
        </w:rPr>
        <w:t xml:space="preserve"> month and part of the </w:t>
      </w:r>
      <w:r>
        <w:rPr>
          <w:rStyle w:val="normaltextrun"/>
          <w:rFonts w:ascii="Garamond" w:hAnsi="Garamond" w:cs="Segoe UI"/>
          <w:sz w:val="23"/>
          <w:szCs w:val="23"/>
        </w:rPr>
        <w:lastRenderedPageBreak/>
        <w:t>adder is left over after reducing your bill to the minimum amount, that part of the adder will roll over to future months as needed and will not expire.</w:t>
      </w:r>
      <w:r>
        <w:rPr>
          <w:rStyle w:val="eop"/>
          <w:rFonts w:ascii="Garamond" w:hAnsi="Garamond" w:cs="Segoe UI"/>
          <w:sz w:val="23"/>
          <w:szCs w:val="23"/>
        </w:rPr>
        <w:t> </w:t>
      </w:r>
    </w:p>
    <w:p w:rsidRPr="00910053" w:rsidR="0071326B" w:rsidP="00910053" w:rsidRDefault="002732A5" w14:paraId="090BF066" w14:textId="3D54E1FF">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Garamond" w:hAnsi="Garamond" w:cs="Segoe UI"/>
          <w:sz w:val="23"/>
          <w:szCs w:val="23"/>
        </w:rPr>
        <w:t>Customers who are required to add solar (</w:t>
      </w:r>
      <w:r>
        <w:rPr>
          <w:rStyle w:val="contextualspellingandgrammarerror"/>
          <w:rFonts w:ascii="Garamond" w:hAnsi="Garamond" w:cs="Segoe UI"/>
          <w:sz w:val="23"/>
          <w:szCs w:val="23"/>
        </w:rPr>
        <w:t>e.g.</w:t>
      </w:r>
      <w:r w:rsidR="00C619F5">
        <w:rPr>
          <w:rStyle w:val="contextualspellingandgrammarerror"/>
          <w:rFonts w:ascii="Garamond" w:hAnsi="Garamond" w:cs="Segoe UI"/>
          <w:sz w:val="23"/>
          <w:szCs w:val="23"/>
        </w:rPr>
        <w:t>,</w:t>
      </w:r>
      <w:r>
        <w:rPr>
          <w:rStyle w:val="normaltextrun"/>
          <w:rFonts w:ascii="Garamond" w:hAnsi="Garamond" w:cs="Segoe UI"/>
          <w:sz w:val="23"/>
          <w:szCs w:val="23"/>
        </w:rPr>
        <w:t xml:space="preserve"> by California’s building code) do not receive the adder</w:t>
      </w:r>
      <w:r w:rsidRPr="007A7C8B" w:rsidR="0071326B">
        <w:rPr>
          <w:rFonts w:ascii="Calibri" w:hAnsi="Calibri" w:eastAsia="Calibri" w:cs="Calibri"/>
          <w:sz w:val="22"/>
        </w:rPr>
        <w:t>.</w:t>
      </w:r>
    </w:p>
    <w:p w:rsidRPr="007A7C8B" w:rsidR="0071326B" w:rsidP="00910053" w:rsidRDefault="0071326B" w14:paraId="2A12202B" w14:textId="77777777">
      <w:pPr>
        <w:pStyle w:val="Standard"/>
        <w:spacing w:before="120"/>
        <w:ind w:firstLine="0"/>
      </w:pPr>
      <w:r>
        <w:t>Monthly Payments and Net Surplus Compensation</w:t>
      </w:r>
    </w:p>
    <w:p w:rsidR="0071326B" w:rsidP="00E1083A" w:rsidRDefault="002732A5" w14:paraId="0B6529DA" w14:textId="10DB04AA">
      <w:pPr>
        <w:ind w:firstLine="0"/>
        <w:rPr>
          <w:rFonts w:eastAsia="Calibri" w:asciiTheme="minorHAnsi" w:hAnsiTheme="minorHAnsi" w:cstheme="minorHAnsi"/>
          <w:sz w:val="22"/>
        </w:rPr>
      </w:pPr>
      <w:r>
        <w:rPr>
          <w:rStyle w:val="normaltextrun"/>
          <w:rFonts w:ascii="Garamond" w:hAnsi="Garamond"/>
          <w:color w:val="000000"/>
          <w:sz w:val="23"/>
          <w:szCs w:val="23"/>
          <w:shd w:val="clear" w:color="auto" w:fill="FFFFFF"/>
        </w:rPr>
        <w:t>Even though installing solar can reduce your electricity costs, most Net Billing customers will still pay electric bills in most months of the year. In months when there are excess solar bill credits, the credits will roll over to following months, until they are used up or it is time for your annual “true</w:t>
      </w:r>
      <w:r w:rsidR="00827602">
        <w:rPr>
          <w:rStyle w:val="normaltextrun"/>
          <w:rFonts w:ascii="Garamond" w:hAnsi="Garamond"/>
          <w:color w:val="000000"/>
          <w:sz w:val="23"/>
          <w:szCs w:val="23"/>
          <w:shd w:val="clear" w:color="auto" w:fill="FFFFFF"/>
        </w:rPr>
        <w:noBreakHyphen/>
      </w:r>
      <w:r>
        <w:rPr>
          <w:rStyle w:val="normaltextrun"/>
          <w:rFonts w:ascii="Garamond" w:hAnsi="Garamond"/>
          <w:color w:val="000000"/>
          <w:sz w:val="23"/>
          <w:szCs w:val="23"/>
          <w:shd w:val="clear" w:color="auto" w:fill="FFFFFF"/>
        </w:rPr>
        <w:t>up.” Though it's rare, if you export more electricity than you import in a 12</w:t>
      </w:r>
      <w:r w:rsidR="00827602">
        <w:rPr>
          <w:rStyle w:val="normaltextrun"/>
          <w:rFonts w:ascii="Garamond" w:hAnsi="Garamond"/>
          <w:color w:val="000000"/>
          <w:sz w:val="23"/>
          <w:szCs w:val="23"/>
          <w:shd w:val="clear" w:color="auto" w:fill="FFFFFF"/>
        </w:rPr>
        <w:noBreakHyphen/>
      </w:r>
      <w:r>
        <w:rPr>
          <w:rStyle w:val="normaltextrun"/>
          <w:rFonts w:ascii="Garamond" w:hAnsi="Garamond"/>
          <w:color w:val="000000"/>
          <w:sz w:val="23"/>
          <w:szCs w:val="23"/>
          <w:shd w:val="clear" w:color="auto" w:fill="FFFFFF"/>
        </w:rPr>
        <w:t>month period, you will be paid “net surplus compensation” of a few cents per excess kilowatt</w:t>
      </w:r>
      <w:r w:rsidR="00827602">
        <w:rPr>
          <w:rStyle w:val="normaltextrun"/>
          <w:rFonts w:ascii="Garamond" w:hAnsi="Garamond"/>
          <w:color w:val="000000"/>
          <w:sz w:val="23"/>
          <w:szCs w:val="23"/>
          <w:shd w:val="clear" w:color="auto" w:fill="FFFFFF"/>
        </w:rPr>
        <w:noBreakHyphen/>
      </w:r>
      <w:r>
        <w:rPr>
          <w:rStyle w:val="normaltextrun"/>
          <w:rFonts w:ascii="Garamond" w:hAnsi="Garamond"/>
          <w:color w:val="000000"/>
          <w:sz w:val="23"/>
          <w:szCs w:val="23"/>
          <w:shd w:val="clear" w:color="auto" w:fill="FFFFFF"/>
        </w:rPr>
        <w:t>hour. Because this rate is so low, it is generally not in your financial interest to install a solar system that produces much more energy than you use</w:t>
      </w:r>
      <w:bookmarkStart w:name="_Hlk89786021" w:id="278"/>
      <w:r w:rsidRPr="007A7C8B" w:rsidR="0071326B">
        <w:rPr>
          <w:rFonts w:eastAsia="Calibri" w:asciiTheme="minorHAnsi" w:hAnsiTheme="minorHAnsi" w:cstheme="minorHAnsi"/>
          <w:sz w:val="22"/>
        </w:rPr>
        <w:t>.</w:t>
      </w:r>
    </w:p>
    <w:bookmarkEnd w:id="278"/>
    <w:p w:rsidRPr="005E7044" w:rsidR="00C977A8" w:rsidP="00E1083A" w:rsidRDefault="00C977A8" w14:paraId="19004876" w14:textId="0ED90294">
      <w:pPr>
        <w:ind w:firstLine="0"/>
        <w:jc w:val="center"/>
        <w:rPr>
          <w:rFonts w:eastAsia="Calibri" w:cstheme="minorHAnsi"/>
          <w:b/>
          <w:bCs/>
          <w:szCs w:val="26"/>
        </w:rPr>
      </w:pPr>
    </w:p>
    <w:p w:rsidRPr="005E7044" w:rsidR="005E7044" w:rsidP="00E1083A" w:rsidRDefault="005E7044" w14:paraId="3644B039" w14:textId="042946FD">
      <w:pPr>
        <w:ind w:firstLine="0"/>
        <w:jc w:val="center"/>
        <w:rPr>
          <w:rFonts w:eastAsia="Calibri" w:cstheme="minorHAnsi"/>
          <w:b/>
          <w:bCs/>
          <w:szCs w:val="26"/>
        </w:rPr>
      </w:pPr>
    </w:p>
    <w:p w:rsidRPr="005E7044" w:rsidR="005E7044" w:rsidP="00E1083A" w:rsidRDefault="005E7044" w14:paraId="3E9507F1" w14:textId="77777777">
      <w:pPr>
        <w:ind w:firstLine="0"/>
        <w:jc w:val="center"/>
        <w:rPr>
          <w:rFonts w:eastAsia="Calibri" w:cstheme="minorHAnsi"/>
          <w:b/>
          <w:bCs/>
          <w:szCs w:val="26"/>
        </w:rPr>
      </w:pPr>
    </w:p>
    <w:p w:rsidRPr="00C977A8" w:rsidR="00C977A8" w:rsidP="00E1083A" w:rsidRDefault="00C977A8" w14:paraId="1C3D20AA" w14:textId="2720F744">
      <w:pPr>
        <w:ind w:firstLine="0"/>
        <w:jc w:val="center"/>
        <w:rPr>
          <w:rFonts w:eastAsia="Calibri" w:cstheme="minorHAnsi"/>
          <w:b/>
          <w:bCs/>
          <w:szCs w:val="26"/>
        </w:rPr>
      </w:pPr>
      <w:r>
        <w:rPr>
          <w:rFonts w:eastAsia="Calibri" w:cstheme="minorHAnsi"/>
          <w:b/>
          <w:bCs/>
          <w:szCs w:val="26"/>
        </w:rPr>
        <w:t>(END OF APPENDIX A)</w:t>
      </w:r>
    </w:p>
    <w:p w:rsidR="00C977A8" w:rsidP="005E7044" w:rsidRDefault="00C977A8" w14:paraId="6AF64B0D" w14:textId="77777777">
      <w:pPr>
        <w:spacing w:after="160" w:line="259" w:lineRule="auto"/>
        <w:ind w:firstLine="0"/>
        <w:rPr>
          <w:rFonts w:eastAsia="Calibri" w:asciiTheme="minorHAnsi" w:hAnsiTheme="minorHAnsi" w:cstheme="minorHAnsi"/>
          <w:sz w:val="22"/>
        </w:rPr>
        <w:sectPr w:rsidR="00C977A8" w:rsidSect="00261C61">
          <w:footerReference w:type="default" r:id="rId35"/>
          <w:footerReference w:type="first" r:id="rId36"/>
          <w:pgSz w:w="12240" w:h="15840"/>
          <w:pgMar w:top="1728" w:right="1440" w:bottom="1440" w:left="1440" w:header="720" w:footer="720" w:gutter="0"/>
          <w:pgNumType w:start="1"/>
          <w:cols w:space="720"/>
          <w:docGrid w:linePitch="360"/>
        </w:sectPr>
      </w:pPr>
    </w:p>
    <w:p w:rsidR="00CA5FED" w:rsidP="00CA5FED" w:rsidRDefault="00CA5FED" w14:paraId="18BBED95" w14:textId="77777777">
      <w:pPr>
        <w:ind w:firstLine="0"/>
      </w:pPr>
    </w:p>
    <w:p w:rsidR="00CA5FED" w:rsidP="00CA5FED" w:rsidRDefault="00CA5FED" w14:paraId="7C96198F" w14:textId="77777777">
      <w:pPr>
        <w:ind w:firstLine="0"/>
      </w:pPr>
    </w:p>
    <w:p w:rsidR="00CA5FED" w:rsidP="00CA5FED" w:rsidRDefault="00CA5FED" w14:paraId="255F7824" w14:textId="77777777">
      <w:pPr>
        <w:ind w:firstLine="0"/>
      </w:pPr>
    </w:p>
    <w:p w:rsidR="00CA5FED" w:rsidP="00CA5FED" w:rsidRDefault="00CA5FED" w14:paraId="5A90B3D9" w14:textId="77777777">
      <w:pPr>
        <w:ind w:firstLine="0"/>
      </w:pPr>
    </w:p>
    <w:p w:rsidR="00CA5FED" w:rsidP="00CA5FED" w:rsidRDefault="00CA5FED" w14:paraId="7C508390" w14:textId="77777777">
      <w:pPr>
        <w:ind w:firstLine="0"/>
      </w:pPr>
    </w:p>
    <w:p w:rsidR="00CA5FED" w:rsidP="00CA5FED" w:rsidRDefault="00CA5FED" w14:paraId="37D4358E" w14:textId="77777777">
      <w:pPr>
        <w:ind w:firstLine="0"/>
      </w:pPr>
    </w:p>
    <w:p w:rsidR="00CA5FED" w:rsidP="00CA5FED" w:rsidRDefault="00CA5FED" w14:paraId="6317675E" w14:textId="77777777">
      <w:pPr>
        <w:ind w:firstLine="0"/>
      </w:pPr>
    </w:p>
    <w:p w:rsidRPr="00434F7E" w:rsidR="0071326B" w:rsidP="005E7044" w:rsidRDefault="00123055" w14:paraId="3E612B58" w14:textId="4C1FACE0">
      <w:pPr>
        <w:keepNext/>
        <w:ind w:firstLine="0"/>
        <w:jc w:val="center"/>
        <w:rPr>
          <w:b/>
          <w:bCs/>
          <w:sz w:val="56"/>
          <w:szCs w:val="56"/>
        </w:rPr>
      </w:pPr>
      <w:r>
        <w:rPr>
          <w:b/>
          <w:bCs/>
          <w:sz w:val="56"/>
          <w:szCs w:val="56"/>
        </w:rPr>
        <w:t>Appendix B</w:t>
      </w:r>
    </w:p>
    <w:p w:rsidR="00625EA2" w:rsidP="005E7044" w:rsidRDefault="0071326B" w14:paraId="1EF1A141" w14:textId="77777777">
      <w:pPr>
        <w:keepNext/>
        <w:ind w:firstLine="0"/>
        <w:jc w:val="center"/>
        <w:rPr>
          <w:b/>
          <w:bCs/>
          <w:sz w:val="48"/>
          <w:szCs w:val="48"/>
        </w:rPr>
      </w:pPr>
      <w:bookmarkStart w:name="_Hlk88202286" w:id="279"/>
      <w:r w:rsidRPr="00D01C63">
        <w:rPr>
          <w:b/>
          <w:bCs/>
          <w:sz w:val="48"/>
          <w:szCs w:val="48"/>
        </w:rPr>
        <w:t xml:space="preserve">Modeling Inputs and </w:t>
      </w:r>
      <w:r w:rsidR="003E294B">
        <w:rPr>
          <w:b/>
          <w:bCs/>
          <w:sz w:val="48"/>
          <w:szCs w:val="48"/>
        </w:rPr>
        <w:t>Results</w:t>
      </w:r>
    </w:p>
    <w:p w:rsidR="008F0CB9" w:rsidP="005E7044" w:rsidRDefault="008F0CB9" w14:paraId="0D24E8AA" w14:textId="77777777">
      <w:pPr>
        <w:keepNext/>
        <w:ind w:firstLine="0"/>
        <w:rPr>
          <w:b/>
          <w:bCs/>
          <w:sz w:val="48"/>
          <w:szCs w:val="48"/>
        </w:rPr>
      </w:pPr>
    </w:p>
    <w:p w:rsidRPr="00D01C63" w:rsidR="005E7044" w:rsidP="005E7044" w:rsidRDefault="005E7044" w14:paraId="5389AA28" w14:textId="0164A545">
      <w:pPr>
        <w:keepNext/>
        <w:ind w:firstLine="0"/>
        <w:jc w:val="center"/>
        <w:rPr>
          <w:b/>
          <w:bCs/>
          <w:sz w:val="48"/>
          <w:szCs w:val="48"/>
        </w:rPr>
        <w:sectPr w:rsidRPr="00D01C63" w:rsidR="005E7044" w:rsidSect="00261C61">
          <w:footerReference w:type="default" r:id="rId37"/>
          <w:headerReference w:type="first" r:id="rId38"/>
          <w:footerReference w:type="first" r:id="rId39"/>
          <w:pgSz w:w="12240" w:h="15840"/>
          <w:pgMar w:top="1728" w:right="1440" w:bottom="1440" w:left="1440" w:header="720" w:footer="720" w:gutter="0"/>
          <w:pgNumType w:start="1"/>
          <w:cols w:space="720"/>
          <w:docGrid w:linePitch="360"/>
        </w:sectPr>
      </w:pPr>
    </w:p>
    <w:bookmarkEnd w:id="279"/>
    <w:p w:rsidRPr="00910053" w:rsidR="008F0CB9" w:rsidP="00A0614A" w:rsidRDefault="0077060E" w14:paraId="4D365C2C" w14:textId="679CE495">
      <w:pPr>
        <w:spacing w:after="160" w:line="259" w:lineRule="auto"/>
        <w:ind w:firstLine="0"/>
        <w:jc w:val="center"/>
        <w:rPr>
          <w:rFonts w:eastAsia="Calibri" w:cs="Arial"/>
          <w:b/>
          <w:bCs/>
          <w:szCs w:val="26"/>
        </w:rPr>
      </w:pPr>
      <w:r w:rsidRPr="00A0614A">
        <w:rPr>
          <w:rFonts w:ascii="Arial" w:hAnsi="Arial" w:eastAsia="Calibri" w:cs="Arial"/>
          <w:b/>
          <w:bCs/>
          <w:szCs w:val="26"/>
        </w:rPr>
        <w:lastRenderedPageBreak/>
        <w:t xml:space="preserve">Updated </w:t>
      </w:r>
      <w:r w:rsidRPr="00A0614A" w:rsidR="008F0CB9">
        <w:rPr>
          <w:rFonts w:ascii="Arial" w:hAnsi="Arial" w:eastAsia="Calibri" w:cs="Arial"/>
          <w:b/>
          <w:bCs/>
          <w:szCs w:val="26"/>
        </w:rPr>
        <w:t xml:space="preserve">Net Billing Tariff </w:t>
      </w:r>
      <w:r w:rsidRPr="00A0614A">
        <w:rPr>
          <w:rFonts w:ascii="Arial" w:hAnsi="Arial" w:eastAsia="Calibri" w:cs="Arial"/>
          <w:b/>
          <w:bCs/>
          <w:szCs w:val="26"/>
        </w:rPr>
        <w:t>Modeling Assumptions</w:t>
      </w:r>
    </w:p>
    <w:p w:rsidRPr="008021FF" w:rsidR="00C448FB" w:rsidP="008021FF" w:rsidRDefault="00C448FB" w14:paraId="19148CD8" w14:textId="77777777">
      <w:pPr>
        <w:keepNext/>
        <w:spacing w:after="160" w:line="240" w:lineRule="auto"/>
        <w:ind w:firstLine="0"/>
        <w:rPr>
          <w:rFonts w:ascii="Arial" w:hAnsi="Arial"/>
          <w:b/>
          <w:bCs/>
        </w:rPr>
      </w:pPr>
      <w:bookmarkStart w:name="_Toc118285106" w:id="280"/>
      <w:r w:rsidRPr="008021FF">
        <w:rPr>
          <w:rFonts w:ascii="Arial" w:hAnsi="Arial"/>
          <w:b/>
          <w:bCs/>
        </w:rPr>
        <w:t>Customers</w:t>
      </w:r>
      <w:bookmarkEnd w:id="280"/>
    </w:p>
    <w:p w:rsidRPr="00910053" w:rsidR="00C448FB" w:rsidP="00595C50" w:rsidRDefault="00C448FB" w14:paraId="446BF2E4" w14:textId="116B4BE9">
      <w:pPr>
        <w:pStyle w:val="ListParagraph"/>
        <w:numPr>
          <w:ilvl w:val="0"/>
          <w:numId w:val="18"/>
        </w:numPr>
        <w:spacing w:after="160" w:line="240" w:lineRule="auto"/>
        <w:ind w:left="835" w:hanging="475"/>
        <w:contextualSpacing w:val="0"/>
        <w:textAlignment w:val="baseline"/>
        <w:rPr>
          <w:rFonts w:eastAsia="Times New Roman" w:cs="Calibri"/>
          <w:szCs w:val="26"/>
        </w:rPr>
      </w:pPr>
      <w:r w:rsidRPr="00910053">
        <w:rPr>
          <w:rFonts w:eastAsia="Times New Roman" w:cs="Calibri"/>
          <w:szCs w:val="26"/>
        </w:rPr>
        <w:t>Illustrative single</w:t>
      </w:r>
      <w:r w:rsidR="00827602">
        <w:rPr>
          <w:rFonts w:eastAsia="Times New Roman" w:cs="Calibri"/>
          <w:szCs w:val="26"/>
        </w:rPr>
        <w:noBreakHyphen/>
      </w:r>
      <w:r w:rsidRPr="00910053">
        <w:rPr>
          <w:rFonts w:eastAsia="Times New Roman" w:cs="Calibri"/>
          <w:szCs w:val="26"/>
        </w:rPr>
        <w:t>family residential inland customers with 7,500</w:t>
      </w:r>
      <w:r w:rsidR="000373A3">
        <w:rPr>
          <w:rFonts w:eastAsia="Times New Roman" w:cs="Calibri"/>
          <w:szCs w:val="26"/>
        </w:rPr>
        <w:t> </w:t>
      </w:r>
      <w:r w:rsidRPr="00910053">
        <w:rPr>
          <w:rFonts w:eastAsia="Times New Roman" w:cs="Calibri"/>
          <w:szCs w:val="26"/>
        </w:rPr>
        <w:t xml:space="preserve">kWh/year </w:t>
      </w:r>
      <w:r w:rsidRPr="00E27956">
        <w:rPr>
          <w:rFonts w:eastAsia="Times New Roman" w:cs="Calibri"/>
        </w:rPr>
        <w:t>electric</w:t>
      </w:r>
      <w:r w:rsidRPr="00910053">
        <w:rPr>
          <w:rFonts w:eastAsia="Times New Roman" w:cs="Calibri"/>
          <w:szCs w:val="26"/>
        </w:rPr>
        <w:t xml:space="preserve"> usage were modeled for </w:t>
      </w:r>
      <w:r>
        <w:rPr>
          <w:rFonts w:eastAsia="Times New Roman" w:cs="Calibri"/>
          <w:szCs w:val="26"/>
        </w:rPr>
        <w:t>PG&amp;E, SDG&amp;E</w:t>
      </w:r>
      <w:r w:rsidR="0077060E">
        <w:rPr>
          <w:rFonts w:eastAsia="Times New Roman" w:cs="Calibri"/>
          <w:szCs w:val="26"/>
        </w:rPr>
        <w:t>,</w:t>
      </w:r>
      <w:r>
        <w:rPr>
          <w:rFonts w:eastAsia="Times New Roman" w:cs="Calibri"/>
          <w:szCs w:val="26"/>
        </w:rPr>
        <w:t xml:space="preserve"> and SCE</w:t>
      </w:r>
      <w:r w:rsidRPr="00910053">
        <w:rPr>
          <w:rFonts w:eastAsia="Times New Roman" w:cs="Calibri"/>
          <w:szCs w:val="26"/>
        </w:rPr>
        <w:t>.</w:t>
      </w:r>
    </w:p>
    <w:p w:rsidRPr="00910053" w:rsidR="00C448FB" w:rsidP="00595C50" w:rsidRDefault="00C448FB" w14:paraId="31303799" w14:textId="12D8F900">
      <w:pPr>
        <w:pStyle w:val="ListParagraph"/>
        <w:numPr>
          <w:ilvl w:val="0"/>
          <w:numId w:val="18"/>
        </w:numPr>
        <w:spacing w:after="160" w:line="240" w:lineRule="auto"/>
        <w:ind w:left="835" w:hanging="475"/>
        <w:contextualSpacing w:val="0"/>
        <w:textAlignment w:val="baseline"/>
        <w:rPr>
          <w:rFonts w:eastAsia="Times New Roman" w:cs="Calibri"/>
          <w:szCs w:val="26"/>
        </w:rPr>
      </w:pPr>
      <w:r w:rsidRPr="00910053">
        <w:rPr>
          <w:rFonts w:eastAsia="Times New Roman" w:cs="Calibri"/>
          <w:szCs w:val="26"/>
        </w:rPr>
        <w:t>Illustrative small commercial inland customers with 17,000</w:t>
      </w:r>
      <w:r w:rsidR="00D625D4">
        <w:rPr>
          <w:rFonts w:eastAsia="Times New Roman" w:cs="Calibri"/>
          <w:szCs w:val="26"/>
        </w:rPr>
        <w:t> </w:t>
      </w:r>
      <w:r>
        <w:rPr>
          <w:rFonts w:eastAsia="Times New Roman" w:cs="Calibri"/>
          <w:szCs w:val="26"/>
        </w:rPr>
        <w:t>k</w:t>
      </w:r>
      <w:r w:rsidRPr="00910053">
        <w:rPr>
          <w:rFonts w:eastAsia="Times New Roman" w:cs="Calibri"/>
          <w:szCs w:val="26"/>
        </w:rPr>
        <w:t>Wh/year electric usage</w:t>
      </w:r>
      <w:r>
        <w:rPr>
          <w:rFonts w:eastAsia="Times New Roman" w:cs="Calibri"/>
          <w:szCs w:val="26"/>
        </w:rPr>
        <w:t xml:space="preserve"> </w:t>
      </w:r>
      <w:r w:rsidRPr="00910053">
        <w:rPr>
          <w:rFonts w:eastAsia="Times New Roman" w:cs="Calibri"/>
          <w:szCs w:val="26"/>
        </w:rPr>
        <w:t>were modeled for PG&amp;E, SCE, and SDG&amp;E.</w:t>
      </w:r>
    </w:p>
    <w:p w:rsidRPr="008021FF" w:rsidR="00C448FB" w:rsidP="008021FF" w:rsidRDefault="00C448FB" w14:paraId="6CF356AA" w14:textId="60C6441F">
      <w:pPr>
        <w:keepNext/>
        <w:spacing w:after="160" w:line="240" w:lineRule="auto"/>
        <w:ind w:firstLine="0"/>
        <w:rPr>
          <w:rFonts w:ascii="Arial" w:hAnsi="Arial"/>
          <w:b/>
          <w:bCs/>
        </w:rPr>
      </w:pPr>
      <w:bookmarkStart w:name="_Toc118285107" w:id="281"/>
      <w:r w:rsidRPr="008021FF">
        <w:rPr>
          <w:rFonts w:ascii="Arial" w:hAnsi="Arial"/>
          <w:b/>
          <w:bCs/>
        </w:rPr>
        <w:t>Rates</w:t>
      </w:r>
      <w:bookmarkEnd w:id="281"/>
    </w:p>
    <w:p w:rsidRPr="00910053" w:rsidR="00C448FB" w:rsidP="00595C50" w:rsidRDefault="00C448FB" w14:paraId="4E509EC9" w14:textId="499BFEF0">
      <w:pPr>
        <w:pStyle w:val="ListParagraph"/>
        <w:numPr>
          <w:ilvl w:val="0"/>
          <w:numId w:val="18"/>
        </w:numPr>
        <w:spacing w:after="160" w:line="240" w:lineRule="auto"/>
        <w:ind w:left="835" w:hanging="475"/>
        <w:contextualSpacing w:val="0"/>
        <w:textAlignment w:val="baseline"/>
        <w:rPr>
          <w:rFonts w:eastAsia="Times New Roman" w:cs="Calibri"/>
          <w:szCs w:val="26"/>
        </w:rPr>
      </w:pPr>
      <w:r w:rsidRPr="00910053">
        <w:rPr>
          <w:rFonts w:eastAsia="Times New Roman" w:cs="Calibri"/>
          <w:szCs w:val="26"/>
        </w:rPr>
        <w:t xml:space="preserve">The </w:t>
      </w:r>
      <w:r w:rsidRPr="00E27956">
        <w:rPr>
          <w:rFonts w:eastAsia="Times New Roman" w:cs="Calibri"/>
          <w:szCs w:val="26"/>
        </w:rPr>
        <w:t>following</w:t>
      </w:r>
      <w:r w:rsidRPr="00910053">
        <w:rPr>
          <w:rFonts w:eastAsia="Times New Roman" w:cs="Calibri"/>
          <w:szCs w:val="26"/>
        </w:rPr>
        <w:t xml:space="preserve"> electric retail rates as of July</w:t>
      </w:r>
      <w:r w:rsidR="002F5949">
        <w:rPr>
          <w:rFonts w:eastAsia="Times New Roman" w:cs="Calibri"/>
          <w:szCs w:val="26"/>
        </w:rPr>
        <w:t> </w:t>
      </w:r>
      <w:r w:rsidRPr="00910053">
        <w:rPr>
          <w:rFonts w:eastAsia="Times New Roman" w:cs="Calibri"/>
          <w:szCs w:val="26"/>
        </w:rPr>
        <w:t>1,</w:t>
      </w:r>
      <w:r w:rsidR="002F5949">
        <w:rPr>
          <w:rFonts w:eastAsia="Times New Roman" w:cs="Calibri"/>
          <w:szCs w:val="26"/>
        </w:rPr>
        <w:t> </w:t>
      </w:r>
      <w:r w:rsidRPr="00910053">
        <w:rPr>
          <w:rFonts w:eastAsia="Times New Roman" w:cs="Calibri"/>
          <w:szCs w:val="26"/>
        </w:rPr>
        <w:t>2022 were used in the modeling</w:t>
      </w:r>
      <w:r w:rsidR="00602BC5">
        <w:rPr>
          <w:rFonts w:eastAsia="Times New Roman" w:cs="Calibri"/>
          <w:szCs w:val="26"/>
        </w:rPr>
        <w:t xml:space="preserve">:  </w:t>
      </w:r>
    </w:p>
    <w:tbl>
      <w:tblPr>
        <w:tblStyle w:val="GridTable1Light"/>
        <w:tblW w:w="0" w:type="auto"/>
        <w:tblInd w:w="878" w:type="dxa"/>
        <w:tblLook w:val="04A0" w:firstRow="1" w:lastRow="0" w:firstColumn="1" w:lastColumn="0" w:noHBand="0" w:noVBand="1"/>
      </w:tblPr>
      <w:tblGrid>
        <w:gridCol w:w="2998"/>
        <w:gridCol w:w="1204"/>
        <w:gridCol w:w="1530"/>
        <w:gridCol w:w="1260"/>
      </w:tblGrid>
      <w:tr w:rsidRPr="003F45F3" w:rsidR="00C448FB" w:rsidTr="00595C50" w14:paraId="24CBF28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hideMark/>
          </w:tcPr>
          <w:p w:rsidRPr="006E7E5C" w:rsidR="00C448FB" w:rsidP="001B6C96" w:rsidRDefault="00C448FB" w14:paraId="05E85592" w14:textId="77777777">
            <w:pPr>
              <w:pStyle w:val="Table"/>
              <w:rPr>
                <w:rFonts w:ascii="Times New Roman" w:hAnsi="Times New Roman" w:cs="Times New Roman"/>
                <w:sz w:val="24"/>
                <w:szCs w:val="24"/>
              </w:rPr>
            </w:pPr>
            <w:r w:rsidRPr="00AF4300">
              <w:t>Customer</w:t>
            </w:r>
          </w:p>
        </w:tc>
        <w:tc>
          <w:tcPr>
            <w:tcW w:w="1204" w:type="dxa"/>
            <w:shd w:val="clear" w:color="auto" w:fill="4472C4" w:themeFill="accent1"/>
            <w:hideMark/>
          </w:tcPr>
          <w:p w:rsidRPr="006E7E5C" w:rsidR="00C448FB" w:rsidP="001B6C96" w:rsidRDefault="00C448FB" w14:paraId="3D277FA1" w14:textId="77777777">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PG&amp;E </w:t>
            </w:r>
          </w:p>
        </w:tc>
        <w:tc>
          <w:tcPr>
            <w:tcW w:w="1530" w:type="dxa"/>
            <w:shd w:val="clear" w:color="auto" w:fill="4472C4" w:themeFill="accent1"/>
            <w:hideMark/>
          </w:tcPr>
          <w:p w:rsidRPr="006E7E5C" w:rsidR="00C448FB" w:rsidP="001B6C96" w:rsidRDefault="00C448FB" w14:paraId="2F58292B" w14:textId="77777777">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SCE </w:t>
            </w:r>
          </w:p>
        </w:tc>
        <w:tc>
          <w:tcPr>
            <w:tcW w:w="1260" w:type="dxa"/>
            <w:shd w:val="clear" w:color="auto" w:fill="4472C4" w:themeFill="accent1"/>
            <w:hideMark/>
          </w:tcPr>
          <w:p w:rsidRPr="006E7E5C" w:rsidR="00C448FB" w:rsidP="001B6C96" w:rsidRDefault="00C448FB" w14:paraId="64301CC1" w14:textId="77777777">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SDG&amp;E </w:t>
            </w:r>
          </w:p>
        </w:tc>
      </w:tr>
      <w:tr w:rsidRPr="003F45F3" w:rsidR="00C448FB" w:rsidTr="00595C50" w14:paraId="5EE43B25"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6E7E5C" w:rsidR="00C448FB" w:rsidP="001B6C96" w:rsidRDefault="00C448FB" w14:paraId="3F24EE47" w14:textId="2B6AE039">
            <w:pPr>
              <w:pStyle w:val="Table"/>
              <w:rPr>
                <w:rFonts w:ascii="Times New Roman" w:hAnsi="Times New Roman" w:cs="Times New Roman"/>
                <w:sz w:val="24"/>
                <w:szCs w:val="24"/>
              </w:rPr>
            </w:pPr>
            <w:r w:rsidRPr="006E7E5C">
              <w:t>Residential pre</w:t>
            </w:r>
            <w:r w:rsidR="00827602">
              <w:noBreakHyphen/>
            </w:r>
            <w:r w:rsidRPr="006E7E5C">
              <w:t>solar </w:t>
            </w:r>
          </w:p>
        </w:tc>
        <w:tc>
          <w:tcPr>
            <w:tcW w:w="1204" w:type="dxa"/>
            <w:hideMark/>
          </w:tcPr>
          <w:p w:rsidRPr="006E7E5C" w:rsidR="00C448FB" w:rsidP="001B6C96" w:rsidRDefault="00C448FB" w14:paraId="06D5F895" w14:textId="7394CB5D">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E</w:t>
            </w:r>
            <w:r w:rsidR="00827602">
              <w:noBreakHyphen/>
            </w:r>
            <w:r w:rsidRPr="006E7E5C">
              <w:t>TOU</w:t>
            </w:r>
            <w:r w:rsidR="00827602">
              <w:noBreakHyphen/>
            </w:r>
            <w:r w:rsidRPr="006E7E5C">
              <w:t>C </w:t>
            </w:r>
          </w:p>
        </w:tc>
        <w:tc>
          <w:tcPr>
            <w:tcW w:w="1530" w:type="dxa"/>
            <w:hideMark/>
          </w:tcPr>
          <w:p w:rsidRPr="006E7E5C" w:rsidR="00C448FB" w:rsidP="001B6C96" w:rsidRDefault="00C448FB" w14:paraId="59AE16FD" w14:textId="00C9417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TOU</w:t>
            </w:r>
            <w:r w:rsidR="00827602">
              <w:noBreakHyphen/>
            </w:r>
            <w:r w:rsidRPr="006E7E5C">
              <w:t>D </w:t>
            </w:r>
          </w:p>
        </w:tc>
        <w:tc>
          <w:tcPr>
            <w:tcW w:w="1260" w:type="dxa"/>
            <w:hideMark/>
          </w:tcPr>
          <w:p w:rsidRPr="006E7E5C" w:rsidR="00C448FB" w:rsidP="001B6C96" w:rsidRDefault="00C448FB" w14:paraId="06B4BDDB" w14:textId="08C77FB3">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TOU</w:t>
            </w:r>
            <w:r w:rsidR="00827602">
              <w:noBreakHyphen/>
            </w:r>
            <w:r w:rsidRPr="006E7E5C">
              <w:t>DR1 </w:t>
            </w:r>
          </w:p>
        </w:tc>
      </w:tr>
      <w:tr w:rsidRPr="003F45F3" w:rsidR="00C448FB" w:rsidTr="00595C50" w14:paraId="596EEBF6"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6E7E5C" w:rsidR="00C448FB" w:rsidP="001B6C96" w:rsidRDefault="00C448FB" w14:paraId="74BDEA4E" w14:textId="45948239">
            <w:pPr>
              <w:pStyle w:val="Table"/>
              <w:rPr>
                <w:rFonts w:ascii="Times New Roman" w:hAnsi="Times New Roman" w:cs="Times New Roman"/>
                <w:sz w:val="24"/>
                <w:szCs w:val="24"/>
              </w:rPr>
            </w:pPr>
            <w:r w:rsidRPr="006E7E5C">
              <w:t>Residential post</w:t>
            </w:r>
            <w:r w:rsidR="00827602">
              <w:noBreakHyphen/>
            </w:r>
            <w:r w:rsidRPr="006E7E5C">
              <w:t>solar </w:t>
            </w:r>
          </w:p>
        </w:tc>
        <w:tc>
          <w:tcPr>
            <w:tcW w:w="1204" w:type="dxa"/>
            <w:hideMark/>
          </w:tcPr>
          <w:p w:rsidRPr="006E7E5C" w:rsidR="00C448FB" w:rsidP="001B6C96" w:rsidRDefault="00C448FB" w14:paraId="34D2B9CF" w14:textId="63C8E1B8">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E</w:t>
            </w:r>
            <w:r w:rsidR="00827602">
              <w:noBreakHyphen/>
            </w:r>
            <w:r w:rsidRPr="006E7E5C">
              <w:t>ELEC </w:t>
            </w:r>
          </w:p>
        </w:tc>
        <w:tc>
          <w:tcPr>
            <w:tcW w:w="1530" w:type="dxa"/>
            <w:hideMark/>
          </w:tcPr>
          <w:p w:rsidRPr="006E7E5C" w:rsidR="00C448FB" w:rsidP="001B6C96" w:rsidRDefault="00C448FB" w14:paraId="132EFD43" w14:textId="7ED66EB1">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TOU</w:t>
            </w:r>
            <w:r w:rsidR="00827602">
              <w:noBreakHyphen/>
            </w:r>
            <w:r w:rsidRPr="006E7E5C">
              <w:t>D PRIME </w:t>
            </w:r>
          </w:p>
        </w:tc>
        <w:tc>
          <w:tcPr>
            <w:tcW w:w="1260" w:type="dxa"/>
            <w:hideMark/>
          </w:tcPr>
          <w:p w:rsidRPr="006E7E5C" w:rsidR="00C448FB" w:rsidP="001B6C96" w:rsidRDefault="00C448FB" w14:paraId="0CB6BCA0" w14:textId="2D0A9CC9">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EV</w:t>
            </w:r>
            <w:r w:rsidR="00827602">
              <w:noBreakHyphen/>
            </w:r>
            <w:r w:rsidRPr="006E7E5C">
              <w:t>TOU</w:t>
            </w:r>
            <w:r w:rsidR="00827602">
              <w:noBreakHyphen/>
            </w:r>
            <w:r w:rsidRPr="006E7E5C">
              <w:t>5 </w:t>
            </w:r>
          </w:p>
        </w:tc>
      </w:tr>
      <w:tr w:rsidRPr="003F45F3" w:rsidR="00C448FB" w:rsidTr="00595C50" w14:paraId="705E8F9A"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6E7E5C" w:rsidR="00C448FB" w:rsidP="00CC1B57" w:rsidRDefault="00C448FB" w14:paraId="0F5F3228" w14:textId="7381ECFB">
            <w:pPr>
              <w:pStyle w:val="Table"/>
              <w:keepNext w:val="0"/>
              <w:rPr>
                <w:rFonts w:ascii="Times New Roman" w:hAnsi="Times New Roman" w:cs="Times New Roman"/>
                <w:sz w:val="24"/>
                <w:szCs w:val="24"/>
              </w:rPr>
            </w:pPr>
            <w:r w:rsidRPr="006E7E5C">
              <w:t>Commercial (pre</w:t>
            </w:r>
            <w:r w:rsidR="00827602">
              <w:noBreakHyphen/>
            </w:r>
            <w:r w:rsidRPr="006E7E5C">
              <w:t xml:space="preserve"> and post</w:t>
            </w:r>
            <w:r w:rsidR="00827602">
              <w:noBreakHyphen/>
            </w:r>
            <w:r w:rsidRPr="006E7E5C">
              <w:t>solar) </w:t>
            </w:r>
          </w:p>
        </w:tc>
        <w:tc>
          <w:tcPr>
            <w:tcW w:w="1204" w:type="dxa"/>
            <w:hideMark/>
          </w:tcPr>
          <w:p w:rsidRPr="006E7E5C" w:rsidR="00C448FB" w:rsidP="00CC1B57" w:rsidRDefault="00C448FB" w14:paraId="5213F0B0" w14:textId="30167C32">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B</w:t>
            </w:r>
            <w:r w:rsidR="00827602">
              <w:noBreakHyphen/>
            </w:r>
            <w:r w:rsidRPr="006E7E5C">
              <w:t>1 </w:t>
            </w:r>
          </w:p>
        </w:tc>
        <w:tc>
          <w:tcPr>
            <w:tcW w:w="1530" w:type="dxa"/>
            <w:hideMark/>
          </w:tcPr>
          <w:p w:rsidRPr="006E7E5C" w:rsidR="00C448FB" w:rsidP="00CC1B57" w:rsidRDefault="00C448FB" w14:paraId="620566B4" w14:textId="6EC04CA6">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TOU</w:t>
            </w:r>
            <w:r w:rsidR="00827602">
              <w:noBreakHyphen/>
            </w:r>
            <w:r w:rsidRPr="006E7E5C">
              <w:t>GS</w:t>
            </w:r>
            <w:r w:rsidR="00827602">
              <w:noBreakHyphen/>
            </w:r>
            <w:r w:rsidRPr="006E7E5C">
              <w:t>1 E </w:t>
            </w:r>
          </w:p>
        </w:tc>
        <w:tc>
          <w:tcPr>
            <w:tcW w:w="1260" w:type="dxa"/>
            <w:hideMark/>
          </w:tcPr>
          <w:p w:rsidRPr="006E7E5C" w:rsidR="00C448FB" w:rsidP="00CC1B57" w:rsidRDefault="00C448FB" w14:paraId="0441EE45" w14:textId="37518386">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TOU</w:t>
            </w:r>
            <w:r w:rsidR="00827602">
              <w:noBreakHyphen/>
            </w:r>
            <w:r w:rsidRPr="006E7E5C">
              <w:t>A </w:t>
            </w:r>
          </w:p>
        </w:tc>
      </w:tr>
    </w:tbl>
    <w:p w:rsidRPr="00910053" w:rsidR="00C448FB" w:rsidP="00595C50" w:rsidRDefault="00C448FB" w14:paraId="76B7EC2C" w14:textId="52B211DD">
      <w:pPr>
        <w:pStyle w:val="ListParagraph"/>
        <w:numPr>
          <w:ilvl w:val="0"/>
          <w:numId w:val="18"/>
        </w:numPr>
        <w:spacing w:before="160" w:after="160" w:line="240" w:lineRule="auto"/>
        <w:ind w:left="835" w:hanging="475"/>
        <w:contextualSpacing w:val="0"/>
        <w:textAlignment w:val="baseline"/>
        <w:rPr>
          <w:rFonts w:eastAsia="Times New Roman" w:cs="Calibri"/>
        </w:rPr>
      </w:pPr>
      <w:r>
        <w:rPr>
          <w:rFonts w:eastAsia="Times New Roman" w:cs="Calibri"/>
        </w:rPr>
        <w:t>CARE</w:t>
      </w:r>
      <w:r w:rsidRPr="00910053">
        <w:rPr>
          <w:rFonts w:eastAsia="Times New Roman" w:cs="Calibri"/>
        </w:rPr>
        <w:t xml:space="preserve"> discounts were applied as </w:t>
      </w:r>
      <w:r w:rsidRPr="00E27956">
        <w:rPr>
          <w:rFonts w:eastAsia="Times New Roman" w:cs="Calibri"/>
          <w:szCs w:val="26"/>
        </w:rPr>
        <w:t>follows</w:t>
      </w:r>
      <w:r w:rsidR="00602BC5">
        <w:rPr>
          <w:rFonts w:eastAsia="Times New Roman" w:cs="Calibri"/>
        </w:rPr>
        <w:t xml:space="preserve">:  </w:t>
      </w:r>
    </w:p>
    <w:tbl>
      <w:tblPr>
        <w:tblStyle w:val="GridTable1Light"/>
        <w:tblW w:w="0" w:type="auto"/>
        <w:tblInd w:w="878" w:type="dxa"/>
        <w:tblLook w:val="04A0" w:firstRow="1" w:lastRow="0" w:firstColumn="1" w:lastColumn="0" w:noHBand="0" w:noVBand="1"/>
      </w:tblPr>
      <w:tblGrid>
        <w:gridCol w:w="1839"/>
        <w:gridCol w:w="689"/>
        <w:gridCol w:w="714"/>
        <w:gridCol w:w="803"/>
      </w:tblGrid>
      <w:tr w:rsidRPr="003F45F3" w:rsidR="00C448FB" w:rsidTr="00595C50" w14:paraId="26ED8C7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hideMark/>
          </w:tcPr>
          <w:p w:rsidRPr="006E7E5C" w:rsidR="00C448FB" w:rsidP="001B6C96" w:rsidRDefault="00C448FB" w14:paraId="08EC3D1D" w14:textId="77777777">
            <w:pPr>
              <w:pStyle w:val="Table"/>
              <w:rPr>
                <w:rFonts w:ascii="Times New Roman" w:hAnsi="Times New Roman" w:cs="Times New Roman"/>
                <w:sz w:val="24"/>
                <w:szCs w:val="24"/>
              </w:rPr>
            </w:pPr>
            <w:r w:rsidRPr="00ED770D">
              <w:t>Bill Component</w:t>
            </w:r>
          </w:p>
        </w:tc>
        <w:tc>
          <w:tcPr>
            <w:tcW w:w="0" w:type="auto"/>
            <w:shd w:val="clear" w:color="auto" w:fill="4472C4" w:themeFill="accent1"/>
            <w:hideMark/>
          </w:tcPr>
          <w:p w:rsidRPr="006E7E5C" w:rsidR="00C448FB" w:rsidP="001B6C96" w:rsidRDefault="00C448FB" w14:paraId="69F12F04" w14:textId="77777777">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PG&amp;E</w:t>
            </w:r>
          </w:p>
        </w:tc>
        <w:tc>
          <w:tcPr>
            <w:tcW w:w="0" w:type="auto"/>
            <w:shd w:val="clear" w:color="auto" w:fill="4472C4" w:themeFill="accent1"/>
            <w:hideMark/>
          </w:tcPr>
          <w:p w:rsidRPr="006E7E5C" w:rsidR="00C448FB" w:rsidP="001B6C96" w:rsidRDefault="00C448FB" w14:paraId="64A5901B" w14:textId="77777777">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SCE</w:t>
            </w:r>
          </w:p>
        </w:tc>
        <w:tc>
          <w:tcPr>
            <w:tcW w:w="0" w:type="auto"/>
            <w:shd w:val="clear" w:color="auto" w:fill="4472C4" w:themeFill="accent1"/>
            <w:hideMark/>
          </w:tcPr>
          <w:p w:rsidRPr="006E7E5C" w:rsidR="00C448FB" w:rsidP="001B6C96" w:rsidRDefault="00C448FB" w14:paraId="3E964BFA" w14:textId="77777777">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SDG&amp;E</w:t>
            </w:r>
          </w:p>
        </w:tc>
      </w:tr>
      <w:tr w:rsidRPr="003F45F3" w:rsidR="00C448FB" w:rsidTr="00595C50" w14:paraId="44ED4BDB"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6E7E5C" w:rsidR="00C448FB" w:rsidP="001B6C96" w:rsidRDefault="00C448FB" w14:paraId="02317DA2" w14:textId="77777777">
            <w:pPr>
              <w:pStyle w:val="Table"/>
              <w:rPr>
                <w:rFonts w:ascii="Times New Roman" w:hAnsi="Times New Roman" w:cs="Times New Roman"/>
                <w:sz w:val="24"/>
                <w:szCs w:val="24"/>
              </w:rPr>
            </w:pPr>
            <w:r w:rsidRPr="006E7E5C">
              <w:t>Volumetric Charges</w:t>
            </w:r>
          </w:p>
        </w:tc>
        <w:tc>
          <w:tcPr>
            <w:tcW w:w="0" w:type="auto"/>
            <w:hideMark/>
          </w:tcPr>
          <w:p w:rsidRPr="006E7E5C" w:rsidR="00C448FB" w:rsidP="001B6C96" w:rsidRDefault="00C448FB" w14:paraId="3FAD5444" w14:textId="77777777">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35%</w:t>
            </w:r>
          </w:p>
        </w:tc>
        <w:tc>
          <w:tcPr>
            <w:tcW w:w="0" w:type="auto"/>
            <w:hideMark/>
          </w:tcPr>
          <w:p w:rsidRPr="006E7E5C" w:rsidR="00C448FB" w:rsidP="001B6C96" w:rsidRDefault="00C448FB" w14:paraId="7786992E" w14:textId="77777777">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32.5%</w:t>
            </w:r>
          </w:p>
        </w:tc>
        <w:tc>
          <w:tcPr>
            <w:tcW w:w="0" w:type="auto"/>
            <w:hideMark/>
          </w:tcPr>
          <w:p w:rsidRPr="006E7E5C" w:rsidR="00C448FB" w:rsidP="001B6C96" w:rsidRDefault="00C448FB" w14:paraId="01AF80D0" w14:textId="77777777">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35%</w:t>
            </w:r>
          </w:p>
        </w:tc>
      </w:tr>
      <w:tr w:rsidRPr="003F45F3" w:rsidR="00C448FB" w:rsidTr="00595C50" w14:paraId="2FF58F77"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6E7E5C" w:rsidR="00C448FB" w:rsidP="00CC1B57" w:rsidRDefault="00C448FB" w14:paraId="5E83F56A" w14:textId="77777777">
            <w:pPr>
              <w:pStyle w:val="Table"/>
              <w:keepNext w:val="0"/>
              <w:rPr>
                <w:rFonts w:ascii="Times New Roman" w:hAnsi="Times New Roman" w:cs="Times New Roman"/>
                <w:sz w:val="24"/>
                <w:szCs w:val="24"/>
              </w:rPr>
            </w:pPr>
            <w:r>
              <w:t>Fixed</w:t>
            </w:r>
            <w:r w:rsidRPr="006E7E5C">
              <w:t xml:space="preserve"> Charges</w:t>
            </w:r>
          </w:p>
        </w:tc>
        <w:tc>
          <w:tcPr>
            <w:tcW w:w="0" w:type="auto"/>
            <w:hideMark/>
          </w:tcPr>
          <w:p w:rsidRPr="006E7E5C" w:rsidR="00C448FB" w:rsidP="00CC1B57" w:rsidRDefault="00C448FB" w14:paraId="076AC0B9" w14:textId="77777777">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35%</w:t>
            </w:r>
          </w:p>
        </w:tc>
        <w:tc>
          <w:tcPr>
            <w:tcW w:w="0" w:type="auto"/>
            <w:hideMark/>
          </w:tcPr>
          <w:p w:rsidRPr="006E7E5C" w:rsidR="00C448FB" w:rsidP="00CC1B57" w:rsidRDefault="00C448FB" w14:paraId="25702B30" w14:textId="77777777">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32.5%</w:t>
            </w:r>
          </w:p>
        </w:tc>
        <w:tc>
          <w:tcPr>
            <w:tcW w:w="0" w:type="auto"/>
            <w:hideMark/>
          </w:tcPr>
          <w:p w:rsidRPr="006E7E5C" w:rsidR="00C448FB" w:rsidP="00CC1B57" w:rsidRDefault="00C448FB" w14:paraId="5B3589D5" w14:textId="77777777">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7E5C">
              <w:t>50%</w:t>
            </w:r>
          </w:p>
        </w:tc>
      </w:tr>
    </w:tbl>
    <w:p w:rsidRPr="00910053" w:rsidR="00C448FB" w:rsidP="00595C50" w:rsidRDefault="00C448FB" w14:paraId="7A8D8EF6" w14:textId="4BF43DE9">
      <w:pPr>
        <w:pStyle w:val="ListParagraph"/>
        <w:numPr>
          <w:ilvl w:val="0"/>
          <w:numId w:val="18"/>
        </w:numPr>
        <w:spacing w:before="160" w:after="160" w:line="240" w:lineRule="auto"/>
        <w:ind w:left="835" w:hanging="475"/>
        <w:contextualSpacing w:val="0"/>
        <w:textAlignment w:val="baseline"/>
        <w:rPr>
          <w:rFonts w:eastAsia="Times New Roman" w:cs="Calibri"/>
        </w:rPr>
      </w:pPr>
      <w:r w:rsidRPr="00910053">
        <w:rPr>
          <w:rFonts w:eastAsia="Times New Roman" w:cs="Calibri"/>
        </w:rPr>
        <w:t>Export rates were based on the 2022</w:t>
      </w:r>
      <w:r w:rsidR="0097756B">
        <w:rPr>
          <w:rFonts w:eastAsia="Times New Roman" w:cs="Calibri"/>
        </w:rPr>
        <w:t> </w:t>
      </w:r>
      <w:r w:rsidRPr="00910053">
        <w:rPr>
          <w:rFonts w:eastAsia="Times New Roman" w:cs="Calibri"/>
        </w:rPr>
        <w:t xml:space="preserve">ACC and reflect </w:t>
      </w:r>
      <w:r w:rsidRPr="00E27956">
        <w:rPr>
          <w:rFonts w:eastAsia="Times New Roman" w:cs="Calibri"/>
          <w:szCs w:val="26"/>
        </w:rPr>
        <w:t>single</w:t>
      </w:r>
      <w:r w:rsidR="00827602">
        <w:rPr>
          <w:rFonts w:eastAsia="Times New Roman" w:cs="Calibri"/>
        </w:rPr>
        <w:noBreakHyphen/>
      </w:r>
      <w:r w:rsidRPr="00910053">
        <w:rPr>
          <w:rFonts w:eastAsia="Times New Roman" w:cs="Calibri"/>
        </w:rPr>
        <w:t>year ACC values averaged over all climate zones for each utility. Each year’s hourly values were averaged over the attributes of month, hour of day, and weekday/weekend, with holidays classified as weekends.</w:t>
      </w:r>
    </w:p>
    <w:p w:rsidRPr="00910053" w:rsidR="00C448FB" w:rsidP="00595C50" w:rsidRDefault="00C448FB" w14:paraId="23B25F31" w14:textId="778FAA85">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 xml:space="preserve">To account for </w:t>
      </w:r>
      <w:r w:rsidR="00B7595E">
        <w:rPr>
          <w:rFonts w:eastAsia="Times New Roman" w:cs="Calibri"/>
        </w:rPr>
        <w:t>“</w:t>
      </w:r>
      <w:r w:rsidRPr="00910053">
        <w:rPr>
          <w:rFonts w:eastAsia="Times New Roman" w:cs="Calibri"/>
        </w:rPr>
        <w:t>no netting</w:t>
      </w:r>
      <w:r w:rsidR="00B7595E">
        <w:rPr>
          <w:rFonts w:eastAsia="Times New Roman" w:cs="Calibri"/>
        </w:rPr>
        <w:t>”</w:t>
      </w:r>
      <w:r w:rsidRPr="00910053">
        <w:rPr>
          <w:rFonts w:eastAsia="Times New Roman" w:cs="Calibri"/>
        </w:rPr>
        <w:t xml:space="preserve"> given the use of hourly solar and load profiles, hourly </w:t>
      </w:r>
      <w:r w:rsidRPr="00E27956">
        <w:rPr>
          <w:rFonts w:eastAsia="Times New Roman" w:cs="Calibri"/>
          <w:szCs w:val="26"/>
        </w:rPr>
        <w:t>exports</w:t>
      </w:r>
      <w:r w:rsidRPr="00910053">
        <w:rPr>
          <w:rFonts w:eastAsia="Times New Roman" w:cs="Calibri"/>
        </w:rPr>
        <w:t xml:space="preserve"> were increased by 6.6</w:t>
      </w:r>
      <w:r w:rsidR="002F5949">
        <w:rPr>
          <w:rFonts w:eastAsia="Times New Roman" w:cs="Calibri"/>
        </w:rPr>
        <w:t> </w:t>
      </w:r>
      <w:r>
        <w:rPr>
          <w:rFonts w:eastAsia="Times New Roman" w:cs="Calibri"/>
        </w:rPr>
        <w:t>percent</w:t>
      </w:r>
      <w:r w:rsidRPr="00910053">
        <w:rPr>
          <w:rFonts w:eastAsia="Times New Roman" w:cs="Calibri"/>
        </w:rPr>
        <w:t xml:space="preserve"> and imports were increased by the same amount of </w:t>
      </w:r>
      <w:r w:rsidRPr="00595C50">
        <w:rPr>
          <w:rFonts w:eastAsia="Times New Roman" w:cs="Calibri"/>
          <w:szCs w:val="26"/>
        </w:rPr>
        <w:t>kWh</w:t>
      </w:r>
      <w:r w:rsidRPr="00910053">
        <w:rPr>
          <w:rFonts w:eastAsia="Times New Roman" w:cs="Calibri"/>
        </w:rPr>
        <w:t xml:space="preserve"> in each hour.</w:t>
      </w:r>
    </w:p>
    <w:p w:rsidRPr="00910053" w:rsidR="00C448FB" w:rsidP="00595C50" w:rsidRDefault="00C448FB" w14:paraId="0CFA9CF7" w14:textId="60974B9B">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 xml:space="preserve">Electric rates were </w:t>
      </w:r>
      <w:r w:rsidRPr="00595C50">
        <w:rPr>
          <w:rFonts w:eastAsia="Times New Roman" w:cs="Calibri"/>
          <w:szCs w:val="26"/>
        </w:rPr>
        <w:t>escalated</w:t>
      </w:r>
      <w:r w:rsidRPr="00910053">
        <w:rPr>
          <w:rFonts w:eastAsia="Times New Roman" w:cs="Calibri"/>
        </w:rPr>
        <w:t xml:space="preserve"> at 4</w:t>
      </w:r>
      <w:r w:rsidR="002F5949">
        <w:rPr>
          <w:rFonts w:eastAsia="Times New Roman" w:cs="Calibri"/>
        </w:rPr>
        <w:t> </w:t>
      </w:r>
      <w:r>
        <w:rPr>
          <w:rFonts w:eastAsia="Times New Roman" w:cs="Calibri"/>
        </w:rPr>
        <w:t>percent</w:t>
      </w:r>
      <w:r w:rsidRPr="00910053">
        <w:rPr>
          <w:rFonts w:eastAsia="Times New Roman" w:cs="Calibri"/>
        </w:rPr>
        <w:t xml:space="preserve"> per year (nominal), reflecting the </w:t>
      </w:r>
      <w:r w:rsidRPr="00E27956">
        <w:rPr>
          <w:rFonts w:eastAsia="Times New Roman" w:cs="Calibri"/>
          <w:szCs w:val="26"/>
        </w:rPr>
        <w:t>Commission’s</w:t>
      </w:r>
      <w:r w:rsidRPr="00910053">
        <w:rPr>
          <w:rFonts w:eastAsia="Times New Roman" w:cs="Calibri"/>
        </w:rPr>
        <w:t xml:space="preserve"> August</w:t>
      </w:r>
      <w:r w:rsidR="002F5949">
        <w:rPr>
          <w:rFonts w:eastAsia="Times New Roman" w:cs="Calibri"/>
        </w:rPr>
        <w:t> </w:t>
      </w:r>
      <w:r w:rsidRPr="00910053">
        <w:rPr>
          <w:rFonts w:eastAsia="Times New Roman" w:cs="Calibri"/>
        </w:rPr>
        <w:t xml:space="preserve">2020 </w:t>
      </w:r>
      <w:r w:rsidRPr="00C448FB">
        <w:rPr>
          <w:rFonts w:eastAsia="Times New Roman"/>
        </w:rPr>
        <w:t>Decision</w:t>
      </w:r>
      <w:r w:rsidR="002F5949">
        <w:rPr>
          <w:rFonts w:eastAsia="Times New Roman"/>
        </w:rPr>
        <w:t> </w:t>
      </w:r>
      <w:r w:rsidRPr="00C448FB">
        <w:rPr>
          <w:rFonts w:eastAsia="Times New Roman"/>
        </w:rPr>
        <w:t>20</w:t>
      </w:r>
      <w:r w:rsidR="00827602">
        <w:rPr>
          <w:rFonts w:eastAsia="Times New Roman"/>
        </w:rPr>
        <w:noBreakHyphen/>
      </w:r>
      <w:r w:rsidRPr="00C448FB">
        <w:rPr>
          <w:rFonts w:eastAsia="Times New Roman"/>
        </w:rPr>
        <w:t>08</w:t>
      </w:r>
      <w:r w:rsidR="00827602">
        <w:rPr>
          <w:rFonts w:eastAsia="Times New Roman"/>
        </w:rPr>
        <w:noBreakHyphen/>
      </w:r>
      <w:r w:rsidRPr="00C448FB">
        <w:rPr>
          <w:rFonts w:eastAsia="Times New Roman"/>
        </w:rPr>
        <w:t xml:space="preserve">001, “Decision </w:t>
      </w:r>
      <w:r w:rsidRPr="00910053">
        <w:rPr>
          <w:rFonts w:eastAsia="Times New Roman" w:cs="Calibri"/>
        </w:rPr>
        <w:t>Adopting Standardized Inputs and Assumptions for Calculation Estimated Electric Utility Bill Savings from Residential Photovoltaic Solar Energy Systems.”</w:t>
      </w:r>
    </w:p>
    <w:p w:rsidRPr="00910053" w:rsidR="00C448FB" w:rsidP="00595C50" w:rsidRDefault="00C448FB" w14:paraId="0564721F" w14:textId="334852C3">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ACC Plus adders were calculated for solar</w:t>
      </w:r>
      <w:r w:rsidR="00827602">
        <w:rPr>
          <w:rFonts w:eastAsia="Times New Roman" w:cs="Calibri"/>
        </w:rPr>
        <w:noBreakHyphen/>
      </w:r>
      <w:r w:rsidRPr="00910053">
        <w:rPr>
          <w:rFonts w:eastAsia="Times New Roman" w:cs="Calibri"/>
        </w:rPr>
        <w:t>only customers of each utility to achieve a 9</w:t>
      </w:r>
      <w:r w:rsidR="00827602">
        <w:rPr>
          <w:rFonts w:eastAsia="Times New Roman" w:cs="Calibri"/>
        </w:rPr>
        <w:noBreakHyphen/>
      </w:r>
      <w:r w:rsidRPr="00910053">
        <w:rPr>
          <w:rFonts w:eastAsia="Times New Roman" w:cs="Calibri"/>
        </w:rPr>
        <w:t>year simple payback period. Separate ACC Plus adders were modeled for CARE and Non</w:t>
      </w:r>
      <w:r w:rsidR="00827602">
        <w:rPr>
          <w:rFonts w:eastAsia="Times New Roman" w:cs="Calibri"/>
        </w:rPr>
        <w:noBreakHyphen/>
      </w:r>
      <w:r w:rsidRPr="00910053">
        <w:rPr>
          <w:rFonts w:eastAsia="Times New Roman" w:cs="Calibri"/>
        </w:rPr>
        <w:t xml:space="preserve">CARE customers. These ACC Plus adders were </w:t>
      </w:r>
      <w:r w:rsidRPr="00595C50">
        <w:rPr>
          <w:rFonts w:eastAsia="Times New Roman" w:cs="Calibri"/>
          <w:szCs w:val="26"/>
        </w:rPr>
        <w:t>applied</w:t>
      </w:r>
      <w:r w:rsidRPr="00910053">
        <w:rPr>
          <w:rFonts w:eastAsia="Times New Roman" w:cs="Calibri"/>
        </w:rPr>
        <w:t xml:space="preserve"> to both solar</w:t>
      </w:r>
      <w:r w:rsidR="00827602">
        <w:rPr>
          <w:rFonts w:eastAsia="Times New Roman" w:cs="Calibri"/>
        </w:rPr>
        <w:noBreakHyphen/>
      </w:r>
      <w:r w:rsidRPr="00910053">
        <w:rPr>
          <w:rFonts w:eastAsia="Times New Roman" w:cs="Calibri"/>
        </w:rPr>
        <w:t xml:space="preserve">only and </w:t>
      </w:r>
      <w:proofErr w:type="spellStart"/>
      <w:r w:rsidRPr="00910053">
        <w:rPr>
          <w:rFonts w:eastAsia="Times New Roman" w:cs="Calibri"/>
        </w:rPr>
        <w:t>solar+storage</w:t>
      </w:r>
      <w:proofErr w:type="spellEnd"/>
      <w:r w:rsidRPr="00910053">
        <w:rPr>
          <w:rFonts w:eastAsia="Times New Roman" w:cs="Calibri"/>
        </w:rPr>
        <w:t xml:space="preserve"> customers for each utility. The ACC Plus adders were applied for nine years. </w:t>
      </w:r>
    </w:p>
    <w:p w:rsidRPr="00910053" w:rsidR="00C448FB" w:rsidP="00595C50" w:rsidRDefault="00C448FB" w14:paraId="797AC030" w14:textId="0CBBC46A">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lastRenderedPageBreak/>
        <w:t>ACC Plus adders were modeled as a credit that can offset any charges on the bill including energy charges, fixed charges, and/or non</w:t>
      </w:r>
      <w:r w:rsidR="00827602">
        <w:rPr>
          <w:rFonts w:eastAsia="Times New Roman" w:cs="Calibri"/>
        </w:rPr>
        <w:noBreakHyphen/>
      </w:r>
      <w:proofErr w:type="spellStart"/>
      <w:r w:rsidRPr="00910053">
        <w:rPr>
          <w:rFonts w:eastAsia="Times New Roman" w:cs="Calibri"/>
        </w:rPr>
        <w:t>bypassable</w:t>
      </w:r>
      <w:proofErr w:type="spellEnd"/>
      <w:r w:rsidRPr="00910053">
        <w:rPr>
          <w:rFonts w:eastAsia="Times New Roman" w:cs="Calibri"/>
        </w:rPr>
        <w:t> </w:t>
      </w:r>
      <w:r w:rsidRPr="00595C50">
        <w:rPr>
          <w:rFonts w:eastAsia="Times New Roman" w:cs="Calibri"/>
          <w:szCs w:val="26"/>
        </w:rPr>
        <w:t>charges</w:t>
      </w:r>
      <w:r w:rsidRPr="00910053">
        <w:rPr>
          <w:rFonts w:eastAsia="Times New Roman" w:cs="Calibri"/>
        </w:rPr>
        <w:t>.</w:t>
      </w:r>
    </w:p>
    <w:p w:rsidRPr="008021FF" w:rsidR="00C448FB" w:rsidP="008021FF" w:rsidRDefault="00C448FB" w14:paraId="752BE2BA" w14:textId="77777777">
      <w:pPr>
        <w:keepNext/>
        <w:spacing w:after="160" w:line="240" w:lineRule="auto"/>
        <w:ind w:firstLine="0"/>
        <w:rPr>
          <w:rFonts w:ascii="Arial" w:hAnsi="Arial"/>
          <w:b/>
          <w:bCs/>
        </w:rPr>
      </w:pPr>
      <w:bookmarkStart w:name="_Toc118285108" w:id="282"/>
      <w:r w:rsidRPr="008021FF">
        <w:rPr>
          <w:rFonts w:ascii="Arial" w:hAnsi="Arial"/>
          <w:b/>
          <w:bCs/>
        </w:rPr>
        <w:t>Solar and Battery Systems</w:t>
      </w:r>
      <w:bookmarkEnd w:id="282"/>
      <w:r w:rsidRPr="008021FF">
        <w:rPr>
          <w:rFonts w:ascii="Arial" w:hAnsi="Arial"/>
          <w:b/>
          <w:bCs/>
        </w:rPr>
        <w:t> </w:t>
      </w:r>
    </w:p>
    <w:p w:rsidRPr="00910053" w:rsidR="00C448FB" w:rsidP="00595C50" w:rsidRDefault="00C448FB" w14:paraId="2FA5EBFD" w14:textId="76F5E36B">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The purchase of a solar or solar</w:t>
      </w:r>
      <w:r w:rsidR="00827602">
        <w:rPr>
          <w:rFonts w:eastAsia="Times New Roman" w:cs="Calibri"/>
        </w:rPr>
        <w:noBreakHyphen/>
      </w:r>
      <w:r w:rsidRPr="00910053">
        <w:rPr>
          <w:rFonts w:eastAsia="Times New Roman" w:cs="Calibri"/>
        </w:rPr>
        <w:t>plus</w:t>
      </w:r>
      <w:r w:rsidR="00827602">
        <w:rPr>
          <w:rFonts w:eastAsia="Times New Roman" w:cs="Calibri"/>
        </w:rPr>
        <w:noBreakHyphen/>
      </w:r>
      <w:r w:rsidRPr="00910053">
        <w:rPr>
          <w:rFonts w:eastAsia="Times New Roman" w:cs="Calibri"/>
        </w:rPr>
        <w:t xml:space="preserve">storage system was assumed to occur in </w:t>
      </w:r>
      <w:r w:rsidRPr="00595C50">
        <w:rPr>
          <w:rFonts w:eastAsia="Times New Roman" w:cs="Calibri"/>
          <w:szCs w:val="26"/>
        </w:rPr>
        <w:t>2023</w:t>
      </w:r>
      <w:r w:rsidRPr="00910053">
        <w:rPr>
          <w:rFonts w:eastAsia="Times New Roman" w:cs="Calibri"/>
        </w:rPr>
        <w:t>.</w:t>
      </w:r>
    </w:p>
    <w:p w:rsidRPr="00910053" w:rsidR="00C448FB" w:rsidP="00595C50" w:rsidRDefault="00C448FB" w14:paraId="0B5B0A7A" w14:textId="77777777">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 xml:space="preserve">Solar systems were sized to generate energy corresponding to 100 percent of annual </w:t>
      </w:r>
      <w:r w:rsidRPr="00595C50">
        <w:rPr>
          <w:rFonts w:eastAsia="Times New Roman" w:cs="Calibri"/>
          <w:szCs w:val="26"/>
        </w:rPr>
        <w:t>customer</w:t>
      </w:r>
      <w:r w:rsidRPr="00910053">
        <w:rPr>
          <w:rFonts w:eastAsia="Times New Roman" w:cs="Calibri"/>
        </w:rPr>
        <w:t xml:space="preserve"> load.</w:t>
      </w:r>
    </w:p>
    <w:p w:rsidRPr="00910053" w:rsidR="00C448FB" w:rsidP="00595C50" w:rsidRDefault="00C448FB" w14:paraId="3EAD9B53" w14:textId="5233251F">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 xml:space="preserve">Battery </w:t>
      </w:r>
      <w:r>
        <w:rPr>
          <w:rFonts w:eastAsia="Times New Roman" w:cs="Calibri"/>
        </w:rPr>
        <w:t>AC</w:t>
      </w:r>
      <w:r w:rsidRPr="00910053">
        <w:rPr>
          <w:rFonts w:eastAsia="Times New Roman" w:cs="Calibri"/>
        </w:rPr>
        <w:t xml:space="preserve"> power capacity was sized to match solar AC </w:t>
      </w:r>
      <w:r w:rsidRPr="00595C50">
        <w:rPr>
          <w:rFonts w:eastAsia="Times New Roman" w:cs="Calibri"/>
          <w:szCs w:val="26"/>
        </w:rPr>
        <w:t>capacity</w:t>
      </w:r>
      <w:r w:rsidRPr="00910053">
        <w:rPr>
          <w:rFonts w:eastAsia="Times New Roman" w:cs="Calibri"/>
        </w:rPr>
        <w:t xml:space="preserve">. Batteries were modeled to have two hours of discharge duration. </w:t>
      </w:r>
    </w:p>
    <w:p w:rsidRPr="00910053" w:rsidR="00C448FB" w:rsidP="00595C50" w:rsidRDefault="00C448FB" w14:paraId="252C910D" w14:textId="02D95A95">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 xml:space="preserve">The cost of residential solar in 2023 was determined as described in </w:t>
      </w:r>
      <w:r w:rsidR="00C776C4">
        <w:rPr>
          <w:rFonts w:eastAsia="Times New Roman" w:cs="Calibri"/>
        </w:rPr>
        <w:t>S</w:t>
      </w:r>
      <w:r w:rsidRPr="00910053">
        <w:rPr>
          <w:rFonts w:eastAsia="Times New Roman" w:cs="Calibri"/>
        </w:rPr>
        <w:t>ection</w:t>
      </w:r>
      <w:r w:rsidR="00C776C4">
        <w:rPr>
          <w:rFonts w:eastAsia="Times New Roman" w:cs="Calibri"/>
        </w:rPr>
        <w:t> </w:t>
      </w:r>
      <w:r w:rsidRPr="00910053">
        <w:rPr>
          <w:rFonts w:eastAsia="Times New Roman" w:cs="Calibri"/>
        </w:rPr>
        <w:t xml:space="preserve">8.2.4. Small commercial solar costs were calculated by taking </w:t>
      </w:r>
      <w:r w:rsidRPr="00C448FB">
        <w:t xml:space="preserve">the cost ratio between </w:t>
      </w:r>
      <w:r w:rsidRPr="00C448FB">
        <w:rPr>
          <w:rFonts w:cstheme="minorHAnsi"/>
        </w:rPr>
        <w:t>≤</w:t>
      </w:r>
      <w:r w:rsidRPr="00C448FB">
        <w:t>10</w:t>
      </w:r>
      <w:r w:rsidR="002F5949">
        <w:t> </w:t>
      </w:r>
      <w:r w:rsidRPr="00C448FB">
        <w:t>kW</w:t>
      </w:r>
      <w:r w:rsidR="00827602">
        <w:noBreakHyphen/>
      </w:r>
      <w:r w:rsidRPr="00C448FB">
        <w:t>DC non</w:t>
      </w:r>
      <w:r w:rsidR="00827602">
        <w:noBreakHyphen/>
      </w:r>
      <w:r w:rsidRPr="00C448FB">
        <w:t>residential systems and 4</w:t>
      </w:r>
      <w:r w:rsidR="00827602">
        <w:noBreakHyphen/>
      </w:r>
      <w:r w:rsidRPr="00C448FB">
        <w:t>5</w:t>
      </w:r>
      <w:r w:rsidR="002F5949">
        <w:t> </w:t>
      </w:r>
      <w:r w:rsidRPr="00C448FB">
        <w:t>kW</w:t>
      </w:r>
      <w:r w:rsidR="00827602">
        <w:noBreakHyphen/>
      </w:r>
      <w:r w:rsidRPr="00C448FB">
        <w:t>DC residential systems reported in “Lawrence Berkeley National Lab</w:t>
      </w:r>
      <w:r w:rsidR="00602BC5">
        <w:t xml:space="preserve">:  </w:t>
      </w:r>
      <w:r w:rsidRPr="00C448FB">
        <w:t>Tracking the Sun</w:t>
      </w:r>
      <w:r w:rsidR="002F5949">
        <w:t> </w:t>
      </w:r>
      <w:r w:rsidRPr="00C448FB">
        <w:t xml:space="preserve">– </w:t>
      </w:r>
      <w:r w:rsidRPr="00C776C4">
        <w:rPr>
          <w:rFonts w:eastAsia="Times New Roman" w:cs="Calibri"/>
        </w:rPr>
        <w:t>Distributed</w:t>
      </w:r>
      <w:r w:rsidRPr="00C448FB">
        <w:t xml:space="preserve"> Solar 2020 Data Update” and applying this ratio to the cost of residential solar systems. 2020 battery storage costs were based on costs of residential battery energy capacity and power capacity from “Lazard Levelized cost of Storage</w:t>
      </w:r>
      <w:r w:rsidR="002F5949">
        <w:t> </w:t>
      </w:r>
      <w:r w:rsidRPr="00C448FB">
        <w:t>6.0.” Solar and battery cost declines over time were forecast using “</w:t>
      </w:r>
      <w:proofErr w:type="spellStart"/>
      <w:r w:rsidRPr="00C448FB">
        <w:t>NREL</w:t>
      </w:r>
      <w:proofErr w:type="spellEnd"/>
      <w:r w:rsidR="002F5949">
        <w:t> </w:t>
      </w:r>
      <w:r w:rsidRPr="00C448FB">
        <w:t xml:space="preserve">2020 ATB.” </w:t>
      </w:r>
    </w:p>
    <w:p w:rsidRPr="00910053" w:rsidR="00C448FB" w:rsidP="00595C50" w:rsidRDefault="00C448FB" w14:paraId="39C567A8" w14:textId="716EC543">
      <w:pPr>
        <w:pStyle w:val="ListParagraph"/>
        <w:keepNext/>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2023 s</w:t>
      </w:r>
      <w:r w:rsidRPr="00C448FB">
        <w:t xml:space="preserve">olar and battery storage </w:t>
      </w:r>
      <w:r w:rsidRPr="00910053">
        <w:rPr>
          <w:rFonts w:eastAsia="Times New Roman" w:cs="Calibri"/>
        </w:rPr>
        <w:t>system costs, before tax credits, were modeled as follows:</w:t>
      </w:r>
    </w:p>
    <w:tbl>
      <w:tblPr>
        <w:tblStyle w:val="GridTable1Light"/>
        <w:tblW w:w="0" w:type="auto"/>
        <w:tblInd w:w="878" w:type="dxa"/>
        <w:tblLook w:val="04A0" w:firstRow="1" w:lastRow="0" w:firstColumn="1" w:lastColumn="0" w:noHBand="0" w:noVBand="1"/>
      </w:tblPr>
      <w:tblGrid>
        <w:gridCol w:w="2116"/>
        <w:gridCol w:w="955"/>
        <w:gridCol w:w="1140"/>
        <w:gridCol w:w="1879"/>
      </w:tblGrid>
      <w:tr w:rsidRPr="003F45F3" w:rsidR="00026AC1" w:rsidTr="009A3010" w14:paraId="360D35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rsidRPr="00940012" w:rsidR="00026AC1" w:rsidP="001B6C96" w:rsidRDefault="00026AC1" w14:paraId="594F4A5E" w14:textId="77777777">
            <w:pPr>
              <w:pStyle w:val="Table"/>
            </w:pPr>
            <w:r w:rsidRPr="00940012">
              <w:t>System</w:t>
            </w:r>
          </w:p>
        </w:tc>
        <w:tc>
          <w:tcPr>
            <w:tcW w:w="0" w:type="auto"/>
            <w:shd w:val="clear" w:color="auto" w:fill="4472C4" w:themeFill="accent1"/>
            <w:vAlign w:val="center"/>
          </w:tcPr>
          <w:p w:rsidRPr="00940012" w:rsidR="00026AC1" w:rsidP="001B6C96" w:rsidRDefault="00026AC1" w14:paraId="51E4EC96" w14:textId="77777777">
            <w:pPr>
              <w:pStyle w:val="Table"/>
              <w:cnfStyle w:val="100000000000" w:firstRow="1" w:lastRow="0" w:firstColumn="0" w:lastColumn="0" w:oddVBand="0" w:evenVBand="0" w:oddHBand="0" w:evenHBand="0" w:firstRowFirstColumn="0" w:firstRowLastColumn="0" w:lastRowFirstColumn="0" w:lastRowLastColumn="0"/>
            </w:pPr>
            <w:r w:rsidRPr="00940012">
              <w:t>Units</w:t>
            </w:r>
          </w:p>
        </w:tc>
        <w:tc>
          <w:tcPr>
            <w:tcW w:w="0" w:type="auto"/>
            <w:shd w:val="clear" w:color="auto" w:fill="4472C4" w:themeFill="accent1"/>
            <w:vAlign w:val="center"/>
          </w:tcPr>
          <w:p w:rsidRPr="00940012" w:rsidR="00026AC1" w:rsidP="001B6C96" w:rsidRDefault="00026AC1" w14:paraId="56551AAC" w14:textId="77777777">
            <w:pPr>
              <w:pStyle w:val="Table"/>
              <w:cnfStyle w:val="100000000000" w:firstRow="1" w:lastRow="0" w:firstColumn="0" w:lastColumn="0" w:oddVBand="0" w:evenVBand="0" w:oddHBand="0" w:evenHBand="0" w:firstRowFirstColumn="0" w:firstRowLastColumn="0" w:lastRowFirstColumn="0" w:lastRowLastColumn="0"/>
            </w:pPr>
            <w:r w:rsidRPr="00940012">
              <w:t>Residential</w:t>
            </w:r>
          </w:p>
        </w:tc>
        <w:tc>
          <w:tcPr>
            <w:tcW w:w="1879" w:type="dxa"/>
            <w:shd w:val="clear" w:color="auto" w:fill="4472C4" w:themeFill="accent1"/>
            <w:vAlign w:val="center"/>
          </w:tcPr>
          <w:p w:rsidRPr="00940012" w:rsidR="00026AC1" w:rsidP="001B6C96" w:rsidRDefault="00026AC1" w14:paraId="19ED0CB5" w14:textId="77777777">
            <w:pPr>
              <w:pStyle w:val="Table"/>
              <w:cnfStyle w:val="100000000000" w:firstRow="1" w:lastRow="0" w:firstColumn="0" w:lastColumn="0" w:oddVBand="0" w:evenVBand="0" w:oddHBand="0" w:evenHBand="0" w:firstRowFirstColumn="0" w:firstRowLastColumn="0" w:lastRowFirstColumn="0" w:lastRowLastColumn="0"/>
            </w:pPr>
            <w:r>
              <w:t xml:space="preserve">Small </w:t>
            </w:r>
            <w:r w:rsidRPr="00940012">
              <w:t>Commercial</w:t>
            </w:r>
          </w:p>
        </w:tc>
      </w:tr>
      <w:tr w:rsidRPr="003F45F3" w:rsidR="00C448FB" w:rsidTr="009A3010" w14:paraId="0C2E5ED7" w14:textId="77777777">
        <w:tc>
          <w:tcPr>
            <w:cnfStyle w:val="001000000000" w:firstRow="0" w:lastRow="0" w:firstColumn="1" w:lastColumn="0" w:oddVBand="0" w:evenVBand="0" w:oddHBand="0" w:evenHBand="0" w:firstRowFirstColumn="0" w:firstRowLastColumn="0" w:lastRowFirstColumn="0" w:lastRowLastColumn="0"/>
            <w:tcW w:w="0" w:type="auto"/>
            <w:vAlign w:val="center"/>
            <w:hideMark/>
          </w:tcPr>
          <w:p w:rsidRPr="00940012" w:rsidR="00C448FB" w:rsidP="001B6C96" w:rsidRDefault="00C448FB" w14:paraId="42518265" w14:textId="33CB313E">
            <w:pPr>
              <w:pStyle w:val="Table"/>
              <w:rPr>
                <w:rFonts w:ascii="Times New Roman" w:hAnsi="Times New Roman" w:cs="Times New Roman"/>
                <w:sz w:val="24"/>
                <w:szCs w:val="24"/>
              </w:rPr>
            </w:pPr>
            <w:r w:rsidRPr="00940012">
              <w:t>Solar</w:t>
            </w:r>
          </w:p>
        </w:tc>
        <w:tc>
          <w:tcPr>
            <w:tcW w:w="0" w:type="auto"/>
            <w:vAlign w:val="center"/>
            <w:hideMark/>
          </w:tcPr>
          <w:p w:rsidRPr="00940012" w:rsidR="00C448FB" w:rsidP="001B6C96" w:rsidRDefault="00C448FB" w14:paraId="4C0425BF" w14:textId="7BCFE729">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012">
              <w:t>$/kW</w:t>
            </w:r>
            <w:r w:rsidR="00827602">
              <w:noBreakHyphen/>
            </w:r>
            <w:r w:rsidRPr="00940012">
              <w:t>DC</w:t>
            </w:r>
          </w:p>
        </w:tc>
        <w:tc>
          <w:tcPr>
            <w:tcW w:w="0" w:type="auto"/>
            <w:vAlign w:val="center"/>
            <w:hideMark/>
          </w:tcPr>
          <w:p w:rsidRPr="00940012" w:rsidR="00C448FB" w:rsidP="001B6C96" w:rsidRDefault="00C448FB" w14:paraId="5628EE0C" w14:textId="152CF004">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012">
              <w:t>$3300</w:t>
            </w:r>
          </w:p>
        </w:tc>
        <w:tc>
          <w:tcPr>
            <w:tcW w:w="1879" w:type="dxa"/>
            <w:vAlign w:val="center"/>
          </w:tcPr>
          <w:p w:rsidRPr="00940012" w:rsidR="00C448FB" w:rsidP="001B6C96" w:rsidRDefault="00C448FB" w14:paraId="7B411E25" w14:textId="77777777">
            <w:pPr>
              <w:pStyle w:val="Table"/>
              <w:cnfStyle w:val="000000000000" w:firstRow="0" w:lastRow="0" w:firstColumn="0" w:lastColumn="0" w:oddVBand="0" w:evenVBand="0" w:oddHBand="0" w:evenHBand="0" w:firstRowFirstColumn="0" w:firstRowLastColumn="0" w:lastRowFirstColumn="0" w:lastRowLastColumn="0"/>
            </w:pPr>
            <w:r w:rsidRPr="00940012">
              <w:t>$3138</w:t>
            </w:r>
          </w:p>
        </w:tc>
      </w:tr>
      <w:tr w:rsidRPr="003F45F3" w:rsidR="00C448FB" w:rsidTr="009A3010" w14:paraId="66B2BD3D" w14:textId="77777777">
        <w:tc>
          <w:tcPr>
            <w:cnfStyle w:val="001000000000" w:firstRow="0" w:lastRow="0" w:firstColumn="1" w:lastColumn="0" w:oddVBand="0" w:evenVBand="0" w:oddHBand="0" w:evenHBand="0" w:firstRowFirstColumn="0" w:firstRowLastColumn="0" w:lastRowFirstColumn="0" w:lastRowLastColumn="0"/>
            <w:tcW w:w="0" w:type="auto"/>
            <w:vAlign w:val="center"/>
            <w:hideMark/>
          </w:tcPr>
          <w:p w:rsidRPr="00940012" w:rsidR="00C448FB" w:rsidP="00026AC1" w:rsidRDefault="00C448FB" w14:paraId="69F91912" w14:textId="530B7AB1">
            <w:pPr>
              <w:pStyle w:val="Table"/>
              <w:keepNext w:val="0"/>
              <w:rPr>
                <w:rFonts w:ascii="Times New Roman" w:hAnsi="Times New Roman" w:cs="Times New Roman"/>
                <w:sz w:val="24"/>
                <w:szCs w:val="24"/>
              </w:rPr>
            </w:pPr>
            <w:r>
              <w:t>2</w:t>
            </w:r>
            <w:r w:rsidR="00827602">
              <w:noBreakHyphen/>
            </w:r>
            <w:r>
              <w:t xml:space="preserve">hour Battery </w:t>
            </w:r>
            <w:r w:rsidRPr="00940012">
              <w:t>Storage</w:t>
            </w:r>
          </w:p>
        </w:tc>
        <w:tc>
          <w:tcPr>
            <w:tcW w:w="0" w:type="auto"/>
            <w:vAlign w:val="center"/>
            <w:hideMark/>
          </w:tcPr>
          <w:p w:rsidRPr="00940012" w:rsidR="00C448FB" w:rsidP="00026AC1" w:rsidRDefault="00C448FB" w14:paraId="1443C5DF" w14:textId="077AB54D">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012">
              <w:t>$/kW</w:t>
            </w:r>
            <w:r w:rsidR="00827602">
              <w:noBreakHyphen/>
            </w:r>
            <w:r w:rsidRPr="00940012">
              <w:t>AC</w:t>
            </w:r>
          </w:p>
        </w:tc>
        <w:tc>
          <w:tcPr>
            <w:tcW w:w="0" w:type="auto"/>
            <w:vAlign w:val="center"/>
            <w:hideMark/>
          </w:tcPr>
          <w:p w:rsidRPr="00940012" w:rsidR="00C448FB" w:rsidP="00026AC1" w:rsidRDefault="00C448FB" w14:paraId="070AB8EF" w14:textId="48BF45DC">
            <w:pPr>
              <w:pStyle w:val="Table"/>
              <w:keepNext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012">
              <w:t>$</w:t>
            </w:r>
            <w:r>
              <w:t>1764</w:t>
            </w:r>
          </w:p>
        </w:tc>
        <w:tc>
          <w:tcPr>
            <w:tcW w:w="1879" w:type="dxa"/>
            <w:vAlign w:val="center"/>
          </w:tcPr>
          <w:p w:rsidRPr="00940012" w:rsidR="00C448FB" w:rsidP="00026AC1" w:rsidRDefault="00C448FB" w14:paraId="41654FCA" w14:textId="77777777">
            <w:pPr>
              <w:pStyle w:val="Table"/>
              <w:keepNext w:val="0"/>
              <w:cnfStyle w:val="000000000000" w:firstRow="0" w:lastRow="0" w:firstColumn="0" w:lastColumn="0" w:oddVBand="0" w:evenVBand="0" w:oddHBand="0" w:evenHBand="0" w:firstRowFirstColumn="0" w:firstRowLastColumn="0" w:lastRowFirstColumn="0" w:lastRowLastColumn="0"/>
            </w:pPr>
            <w:r w:rsidRPr="00940012">
              <w:t>$</w:t>
            </w:r>
            <w:r>
              <w:t>1764</w:t>
            </w:r>
          </w:p>
        </w:tc>
      </w:tr>
    </w:tbl>
    <w:p w:rsidRPr="00910053" w:rsidR="00C448FB" w:rsidP="00A0614A" w:rsidRDefault="00C448FB" w14:paraId="7212CA96" w14:textId="28A4241F">
      <w:pPr>
        <w:pStyle w:val="ListParagraph"/>
        <w:numPr>
          <w:ilvl w:val="0"/>
          <w:numId w:val="18"/>
        </w:numPr>
        <w:spacing w:before="160" w:after="160" w:line="240" w:lineRule="auto"/>
        <w:ind w:left="835" w:hanging="475"/>
        <w:contextualSpacing w:val="0"/>
        <w:textAlignment w:val="baseline"/>
        <w:rPr>
          <w:rFonts w:eastAsia="Times New Roman" w:cs="Calibri"/>
        </w:rPr>
      </w:pPr>
      <w:r w:rsidRPr="00910053">
        <w:rPr>
          <w:rFonts w:eastAsia="Times New Roman" w:cs="Calibri"/>
        </w:rPr>
        <w:t>30</w:t>
      </w:r>
      <w:r w:rsidR="002F5949">
        <w:rPr>
          <w:rFonts w:eastAsia="Times New Roman" w:cs="Calibri"/>
        </w:rPr>
        <w:t> </w:t>
      </w:r>
      <w:r w:rsidR="003602D0">
        <w:rPr>
          <w:rFonts w:eastAsia="Times New Roman" w:cs="Calibri"/>
        </w:rPr>
        <w:t>percent</w:t>
      </w:r>
      <w:r w:rsidRPr="00910053">
        <w:rPr>
          <w:rFonts w:eastAsia="Times New Roman" w:cs="Calibri"/>
        </w:rPr>
        <w:t xml:space="preserve"> federal ITC was modeled for all </w:t>
      </w:r>
      <w:r w:rsidRPr="007F5446">
        <w:rPr>
          <w:rFonts w:eastAsia="Times New Roman" w:cs="Calibri"/>
          <w:szCs w:val="26"/>
        </w:rPr>
        <w:t>systems</w:t>
      </w:r>
      <w:r w:rsidRPr="00910053">
        <w:rPr>
          <w:rFonts w:eastAsia="Times New Roman" w:cs="Calibri"/>
        </w:rPr>
        <w:t xml:space="preserve"> based on the Inflation Reduction Act.</w:t>
      </w:r>
    </w:p>
    <w:p w:rsidRPr="00910053" w:rsidR="00C448FB" w:rsidP="007F5446" w:rsidRDefault="00C448FB" w14:paraId="55F2DF3E" w14:textId="4FA1D29D">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Customer battery systems were modeled to have 85</w:t>
      </w:r>
      <w:r w:rsidR="003236BD">
        <w:rPr>
          <w:rFonts w:eastAsia="Times New Roman" w:cs="Calibri"/>
        </w:rPr>
        <w:t> percent</w:t>
      </w:r>
      <w:r w:rsidRPr="00910053" w:rsidR="003236BD">
        <w:rPr>
          <w:rFonts w:eastAsia="Times New Roman" w:cs="Calibri"/>
        </w:rPr>
        <w:t xml:space="preserve"> </w:t>
      </w:r>
      <w:r w:rsidRPr="00910053">
        <w:rPr>
          <w:rFonts w:eastAsia="Times New Roman" w:cs="Calibri"/>
        </w:rPr>
        <w:t>round</w:t>
      </w:r>
      <w:r w:rsidR="00827602">
        <w:rPr>
          <w:rFonts w:eastAsia="Times New Roman" w:cs="Calibri"/>
        </w:rPr>
        <w:noBreakHyphen/>
      </w:r>
      <w:r w:rsidRPr="00910053">
        <w:rPr>
          <w:rFonts w:eastAsia="Times New Roman" w:cs="Calibri"/>
        </w:rPr>
        <w:t xml:space="preserve">trip </w:t>
      </w:r>
      <w:r w:rsidRPr="007F5446">
        <w:rPr>
          <w:rFonts w:eastAsia="Times New Roman" w:cs="Calibri"/>
          <w:szCs w:val="26"/>
        </w:rPr>
        <w:t>efficiency</w:t>
      </w:r>
      <w:r w:rsidRPr="00910053">
        <w:rPr>
          <w:rFonts w:eastAsia="Times New Roman" w:cs="Calibri"/>
        </w:rPr>
        <w:t>.</w:t>
      </w:r>
    </w:p>
    <w:p w:rsidRPr="00910053" w:rsidR="00C448FB" w:rsidP="007F5446" w:rsidRDefault="00C448FB" w14:paraId="616B2603" w14:textId="45F1C14D">
      <w:pPr>
        <w:pStyle w:val="ListParagraph"/>
        <w:numPr>
          <w:ilvl w:val="0"/>
          <w:numId w:val="18"/>
        </w:numPr>
        <w:spacing w:after="160" w:line="240" w:lineRule="auto"/>
        <w:ind w:left="835" w:hanging="475"/>
        <w:contextualSpacing w:val="0"/>
        <w:textAlignment w:val="baseline"/>
        <w:rPr>
          <w:rFonts w:eastAsia="Times New Roman" w:cs="Calibri"/>
        </w:rPr>
      </w:pPr>
      <w:r w:rsidRPr="00910053">
        <w:rPr>
          <w:rFonts w:eastAsia="Times New Roman" w:cs="Calibri"/>
        </w:rPr>
        <w:t>Battery dispatch was modeled using an Excel</w:t>
      </w:r>
      <w:r w:rsidR="00827602">
        <w:rPr>
          <w:rFonts w:eastAsia="Times New Roman" w:cs="Calibri"/>
        </w:rPr>
        <w:noBreakHyphen/>
      </w:r>
      <w:r w:rsidRPr="00910053">
        <w:rPr>
          <w:rFonts w:eastAsia="Times New Roman" w:cs="Calibri"/>
        </w:rPr>
        <w:t xml:space="preserve">based algorithm that </w:t>
      </w:r>
      <w:r w:rsidRPr="007F5446">
        <w:rPr>
          <w:rFonts w:eastAsia="Times New Roman" w:cs="Calibri"/>
          <w:szCs w:val="26"/>
        </w:rPr>
        <w:t>approximates</w:t>
      </w:r>
      <w:r w:rsidRPr="00910053">
        <w:rPr>
          <w:rFonts w:eastAsia="Times New Roman" w:cs="Calibri"/>
        </w:rPr>
        <w:t xml:space="preserve"> optimal customer bill savings for 2023:</w:t>
      </w:r>
    </w:p>
    <w:p w:rsidRPr="00910053" w:rsidR="00C448FB" w:rsidP="007F5446" w:rsidRDefault="00C448FB" w14:paraId="669E2EC8" w14:textId="77777777">
      <w:pPr>
        <w:pStyle w:val="ListParagraph"/>
        <w:numPr>
          <w:ilvl w:val="1"/>
          <w:numId w:val="18"/>
        </w:numPr>
        <w:spacing w:after="160" w:line="240" w:lineRule="auto"/>
        <w:ind w:left="1195"/>
        <w:contextualSpacing w:val="0"/>
        <w:textAlignment w:val="baseline"/>
        <w:rPr>
          <w:rFonts w:eastAsia="Times New Roman" w:cs="Calibri"/>
        </w:rPr>
      </w:pPr>
      <w:r w:rsidRPr="00910053">
        <w:rPr>
          <w:rFonts w:eastAsia="Times New Roman" w:cs="Calibri"/>
        </w:rPr>
        <w:t>The battery is assumed to perform a full charge/discharge cycle every day, given adequate solar generation.</w:t>
      </w:r>
    </w:p>
    <w:p w:rsidRPr="00910053" w:rsidR="00C448FB" w:rsidP="007F5446" w:rsidRDefault="00C448FB" w14:paraId="5D75ABDC" w14:textId="4B65BBFF">
      <w:pPr>
        <w:pStyle w:val="ListParagraph"/>
        <w:numPr>
          <w:ilvl w:val="1"/>
          <w:numId w:val="18"/>
        </w:numPr>
        <w:spacing w:after="160" w:line="240" w:lineRule="auto"/>
        <w:ind w:left="1195"/>
        <w:contextualSpacing w:val="0"/>
        <w:textAlignment w:val="baseline"/>
        <w:rPr>
          <w:rFonts w:eastAsia="Times New Roman" w:cs="Calibri"/>
        </w:rPr>
      </w:pPr>
      <w:r w:rsidRPr="00910053">
        <w:rPr>
          <w:rFonts w:eastAsia="Times New Roman" w:cs="Calibri"/>
        </w:rPr>
        <w:lastRenderedPageBreak/>
        <w:t>The battery is charged using customer solar generation and at times that benefit the customer the most. The algorithm favors charging when solar energy would have otherwise been exported, though it may also charge from solar generation that could have been used on site if necessary to fully charge the battery. The highest benefits are achieved when charging during off</w:t>
      </w:r>
      <w:r w:rsidR="00827602">
        <w:rPr>
          <w:rFonts w:eastAsia="Times New Roman" w:cs="Calibri"/>
        </w:rPr>
        <w:noBreakHyphen/>
      </w:r>
      <w:r w:rsidRPr="00910053">
        <w:rPr>
          <w:rFonts w:eastAsia="Times New Roman" w:cs="Calibri"/>
        </w:rPr>
        <w:t>peak hours, though the battery is also charged during mid</w:t>
      </w:r>
      <w:r w:rsidR="00827602">
        <w:rPr>
          <w:rFonts w:eastAsia="Times New Roman" w:cs="Calibri"/>
        </w:rPr>
        <w:noBreakHyphen/>
      </w:r>
      <w:r w:rsidRPr="00910053">
        <w:rPr>
          <w:rFonts w:eastAsia="Times New Roman" w:cs="Calibri"/>
        </w:rPr>
        <w:t>peak and on</w:t>
      </w:r>
      <w:r w:rsidR="00827602">
        <w:rPr>
          <w:rFonts w:eastAsia="Times New Roman" w:cs="Calibri"/>
        </w:rPr>
        <w:noBreakHyphen/>
      </w:r>
      <w:r w:rsidRPr="00910053">
        <w:rPr>
          <w:rFonts w:eastAsia="Times New Roman" w:cs="Calibri"/>
        </w:rPr>
        <w:t>peak hours if necessary to fully charge the battery.</w:t>
      </w:r>
    </w:p>
    <w:p w:rsidRPr="00910053" w:rsidR="00C448FB" w:rsidP="007F5446" w:rsidRDefault="00C448FB" w14:paraId="064F04C5" w14:textId="3A409D47">
      <w:pPr>
        <w:pStyle w:val="ListParagraph"/>
        <w:numPr>
          <w:ilvl w:val="1"/>
          <w:numId w:val="18"/>
        </w:numPr>
        <w:spacing w:after="160" w:line="240" w:lineRule="auto"/>
        <w:ind w:left="1195"/>
        <w:contextualSpacing w:val="0"/>
        <w:textAlignment w:val="baseline"/>
        <w:rPr>
          <w:rFonts w:eastAsia="Times New Roman" w:cs="Calibri"/>
        </w:rPr>
      </w:pPr>
      <w:r w:rsidRPr="00910053">
        <w:rPr>
          <w:rFonts w:eastAsia="Times New Roman" w:cs="Calibri"/>
        </w:rPr>
        <w:t>For battery discharging, the battery is similarly discharged to benefit the customer the most. The algorithm favors discharging the battery to reduce customer imports from the grid, though it may also discharge the battery to export if necessary to fully discharge the battery. The highest benefits are achieved when discharging during peak hours, though the battery is also discharged during mid</w:t>
      </w:r>
      <w:r w:rsidR="00827602">
        <w:rPr>
          <w:rFonts w:eastAsia="Times New Roman" w:cs="Calibri"/>
        </w:rPr>
        <w:noBreakHyphen/>
      </w:r>
      <w:r w:rsidRPr="00910053">
        <w:rPr>
          <w:rFonts w:eastAsia="Times New Roman" w:cs="Calibri"/>
        </w:rPr>
        <w:t>peak and off</w:t>
      </w:r>
      <w:r w:rsidR="00827602">
        <w:rPr>
          <w:rFonts w:eastAsia="Times New Roman" w:cs="Calibri"/>
        </w:rPr>
        <w:noBreakHyphen/>
      </w:r>
      <w:r w:rsidRPr="00910053">
        <w:rPr>
          <w:rFonts w:eastAsia="Times New Roman" w:cs="Calibri"/>
        </w:rPr>
        <w:t xml:space="preserve">peak hours if necessary to fully discharge the battery. </w:t>
      </w:r>
    </w:p>
    <w:p w:rsidRPr="00910053" w:rsidR="00C448FB" w:rsidP="007F5446" w:rsidRDefault="00C448FB" w14:paraId="2076B7FC" w14:textId="342E1EA7">
      <w:pPr>
        <w:pStyle w:val="ListParagraph"/>
        <w:numPr>
          <w:ilvl w:val="1"/>
          <w:numId w:val="18"/>
        </w:numPr>
        <w:spacing w:after="160" w:line="240" w:lineRule="auto"/>
        <w:ind w:left="1195"/>
        <w:contextualSpacing w:val="0"/>
        <w:textAlignment w:val="baseline"/>
        <w:rPr>
          <w:rFonts w:eastAsia="Times New Roman" w:cs="Calibri"/>
        </w:rPr>
      </w:pPr>
      <w:r w:rsidRPr="00910053">
        <w:rPr>
          <w:rFonts w:eastAsia="Times New Roman" w:cs="Calibri"/>
        </w:rPr>
        <w:t>On days when the maximum hourly export rate is greater than the peak period import rate, the battery is instead discharged exclusively based on hourly export rates, without consideration for reducing customer imports.</w:t>
      </w:r>
      <w:r w:rsidR="000373A3">
        <w:rPr>
          <w:rFonts w:eastAsia="Times New Roman" w:cs="Calibri"/>
        </w:rPr>
        <w:t xml:space="preserve"> </w:t>
      </w:r>
      <w:r w:rsidRPr="000373A3" w:rsidR="000373A3">
        <w:rPr>
          <w:rFonts w:eastAsia="Times New Roman" w:cs="Calibri"/>
        </w:rPr>
        <w:t>Note that grid exports are only modeled to occur once solar generation plus battery discharge exceeds customer load in a given hour.</w:t>
      </w:r>
    </w:p>
    <w:p w:rsidR="000373A3" w:rsidP="008021FF" w:rsidRDefault="000373A3" w14:paraId="750B682A" w14:textId="3A295BC9">
      <w:pPr>
        <w:keepNext/>
        <w:spacing w:after="160" w:line="240" w:lineRule="auto"/>
        <w:ind w:firstLine="0"/>
        <w:rPr>
          <w:rFonts w:ascii="Arial" w:hAnsi="Arial"/>
          <w:b/>
          <w:bCs/>
        </w:rPr>
      </w:pPr>
      <w:bookmarkStart w:name="_Toc118285109" w:id="283"/>
      <w:r w:rsidRPr="000373A3">
        <w:rPr>
          <w:rFonts w:ascii="Arial" w:hAnsi="Arial"/>
          <w:b/>
          <w:bCs/>
        </w:rPr>
        <w:t>Load Profiles and Solar Generation Profiles</w:t>
      </w:r>
    </w:p>
    <w:p w:rsidR="000373A3" w:rsidP="000373A3" w:rsidRDefault="000373A3" w14:paraId="5FB2FD84" w14:textId="712FEB66">
      <w:pPr>
        <w:pStyle w:val="ListParagraph"/>
        <w:numPr>
          <w:ilvl w:val="0"/>
          <w:numId w:val="18"/>
        </w:numPr>
        <w:spacing w:after="160" w:line="240" w:lineRule="auto"/>
        <w:ind w:left="835" w:hanging="475"/>
        <w:contextualSpacing w:val="0"/>
        <w:textAlignment w:val="baseline"/>
        <w:rPr>
          <w:rFonts w:eastAsia="Times New Roman" w:cs="Calibri"/>
        </w:rPr>
      </w:pPr>
      <w:r w:rsidRPr="000373A3">
        <w:rPr>
          <w:rFonts w:eastAsia="Times New Roman" w:cs="Calibri"/>
        </w:rPr>
        <w:t>In the CPUC ACC, avoided costs are aligned with a consistent set of weather data developed by the California Energy Commission and called CTZ22 (California Thermal Zone 2022). The 2022 ACC documentation describes how each component of the avoided costs is aligned with CTZ22. (</w:t>
      </w:r>
      <w:r w:rsidRPr="00A0614A">
        <w:rPr>
          <w:rFonts w:eastAsia="Times New Roman" w:cs="Calibri"/>
          <w:i/>
          <w:iCs/>
        </w:rPr>
        <w:t>See</w:t>
      </w:r>
      <w:r w:rsidRPr="000373A3">
        <w:rPr>
          <w:rFonts w:eastAsia="Times New Roman" w:cs="Calibri"/>
        </w:rPr>
        <w:t xml:space="preserve"> </w:t>
      </w:r>
      <w:r>
        <w:rPr>
          <w:rFonts w:eastAsia="Times New Roman" w:cs="Calibri"/>
        </w:rPr>
        <w:t>S</w:t>
      </w:r>
      <w:r w:rsidRPr="000373A3">
        <w:rPr>
          <w:rFonts w:eastAsia="Times New Roman" w:cs="Calibri"/>
        </w:rPr>
        <w:t>ection</w:t>
      </w:r>
      <w:r>
        <w:rPr>
          <w:rFonts w:eastAsia="Times New Roman" w:cs="Calibri"/>
        </w:rPr>
        <w:t> </w:t>
      </w:r>
      <w:r w:rsidRPr="000373A3">
        <w:rPr>
          <w:rFonts w:eastAsia="Times New Roman" w:cs="Calibri"/>
        </w:rPr>
        <w:t xml:space="preserve">2.3, </w:t>
      </w:r>
      <w:r>
        <w:rPr>
          <w:rFonts w:eastAsia="Times New Roman" w:cs="Calibri"/>
        </w:rPr>
        <w:t>S</w:t>
      </w:r>
      <w:r w:rsidRPr="000373A3">
        <w:rPr>
          <w:rFonts w:eastAsia="Times New Roman" w:cs="Calibri"/>
        </w:rPr>
        <w:t>ection</w:t>
      </w:r>
      <w:r>
        <w:rPr>
          <w:rFonts w:eastAsia="Times New Roman" w:cs="Calibri"/>
        </w:rPr>
        <w:t> </w:t>
      </w:r>
      <w:r w:rsidRPr="000373A3">
        <w:rPr>
          <w:rFonts w:eastAsia="Times New Roman" w:cs="Calibri"/>
        </w:rPr>
        <w:t xml:space="preserve">8.2, </w:t>
      </w:r>
      <w:r>
        <w:rPr>
          <w:rFonts w:eastAsia="Times New Roman" w:cs="Calibri"/>
        </w:rPr>
        <w:t>S</w:t>
      </w:r>
      <w:r w:rsidRPr="000373A3">
        <w:rPr>
          <w:rFonts w:eastAsia="Times New Roman" w:cs="Calibri"/>
        </w:rPr>
        <w:t>ection</w:t>
      </w:r>
      <w:r>
        <w:rPr>
          <w:rFonts w:eastAsia="Times New Roman" w:cs="Calibri"/>
        </w:rPr>
        <w:t> </w:t>
      </w:r>
      <w:r w:rsidRPr="000373A3">
        <w:rPr>
          <w:rFonts w:eastAsia="Times New Roman" w:cs="Calibri"/>
        </w:rPr>
        <w:t xml:space="preserve">9.3, and </w:t>
      </w:r>
      <w:r>
        <w:rPr>
          <w:rFonts w:eastAsia="Times New Roman" w:cs="Calibri"/>
        </w:rPr>
        <w:t>S</w:t>
      </w:r>
      <w:r w:rsidRPr="000373A3">
        <w:rPr>
          <w:rFonts w:eastAsia="Times New Roman" w:cs="Calibri"/>
        </w:rPr>
        <w:t>ection</w:t>
      </w:r>
      <w:r>
        <w:rPr>
          <w:rFonts w:eastAsia="Times New Roman" w:cs="Calibri"/>
        </w:rPr>
        <w:t> </w:t>
      </w:r>
      <w:r w:rsidRPr="000373A3">
        <w:rPr>
          <w:rFonts w:eastAsia="Times New Roman" w:cs="Calibri"/>
        </w:rPr>
        <w:t>10.5).</w:t>
      </w:r>
    </w:p>
    <w:p w:rsidR="000373A3" w:rsidP="000373A3" w:rsidRDefault="000373A3" w14:paraId="6A661A15" w14:textId="30423840">
      <w:pPr>
        <w:pStyle w:val="ListParagraph"/>
        <w:numPr>
          <w:ilvl w:val="0"/>
          <w:numId w:val="18"/>
        </w:numPr>
        <w:spacing w:after="160" w:line="240" w:lineRule="auto"/>
        <w:ind w:left="835" w:hanging="475"/>
        <w:contextualSpacing w:val="0"/>
        <w:textAlignment w:val="baseline"/>
        <w:rPr>
          <w:rFonts w:eastAsia="Times New Roman" w:cs="Calibri"/>
        </w:rPr>
      </w:pPr>
      <w:r w:rsidRPr="000373A3">
        <w:rPr>
          <w:rFonts w:eastAsia="Times New Roman" w:cs="Calibri"/>
        </w:rPr>
        <w:t>To evaluate cost-effectiveness using the ACC, it is important to use load and solar profiles that are also aligned with CTZ22 weather data. A load profile describes how a customer’s electricity usage changes hour-by-hour over the course of the year as electric devices at the customer premises are turned on and off. Similarly, a solar generation profile describes the hourly variation in solar generation over the course of the year due to changes in weather and the position of the sun.</w:t>
      </w:r>
    </w:p>
    <w:p w:rsidRPr="00A0614A" w:rsidR="000373A3" w:rsidP="00A0614A" w:rsidRDefault="000373A3" w14:paraId="7774CC4F" w14:textId="01A54C31">
      <w:pPr>
        <w:pStyle w:val="ListParagraph"/>
        <w:numPr>
          <w:ilvl w:val="0"/>
          <w:numId w:val="18"/>
        </w:numPr>
        <w:spacing w:after="160" w:line="240" w:lineRule="auto"/>
        <w:ind w:left="835" w:hanging="475"/>
        <w:contextualSpacing w:val="0"/>
        <w:textAlignment w:val="baseline"/>
        <w:rPr>
          <w:rFonts w:eastAsia="Times New Roman" w:cs="Calibri"/>
        </w:rPr>
      </w:pPr>
      <w:r w:rsidRPr="000373A3">
        <w:rPr>
          <w:rFonts w:eastAsia="Times New Roman" w:cs="Calibri"/>
        </w:rPr>
        <w:t>The load profiles and solar generation profiles used in this model are from the NEM</w:t>
      </w:r>
      <w:r>
        <w:rPr>
          <w:rFonts w:eastAsia="Times New Roman" w:cs="Calibri"/>
        </w:rPr>
        <w:t> </w:t>
      </w:r>
      <w:r w:rsidRPr="000373A3">
        <w:rPr>
          <w:rFonts w:eastAsia="Times New Roman" w:cs="Calibri"/>
        </w:rPr>
        <w:t xml:space="preserve">2.0 Lookback Study. Customer load profiles are based on </w:t>
      </w:r>
      <w:r w:rsidRPr="000373A3">
        <w:rPr>
          <w:rFonts w:eastAsia="Times New Roman" w:cs="Calibri"/>
        </w:rPr>
        <w:lastRenderedPageBreak/>
        <w:t>metered load profiles and were normalized against CTZ22 temperature data. Solar generation profiles were developed using the PV Lib Python package and the PV Watts solar model and are based on irradiance and temperature data from CTZ22.</w:t>
      </w:r>
    </w:p>
    <w:p w:rsidRPr="008021FF" w:rsidR="00C448FB" w:rsidP="008021FF" w:rsidRDefault="00C448FB" w14:paraId="057CFDCA" w14:textId="64F3B8F4">
      <w:pPr>
        <w:keepNext/>
        <w:spacing w:after="160" w:line="240" w:lineRule="auto"/>
        <w:ind w:firstLine="0"/>
        <w:rPr>
          <w:rFonts w:ascii="Arial" w:hAnsi="Arial"/>
          <w:b/>
          <w:bCs/>
        </w:rPr>
      </w:pPr>
      <w:r w:rsidRPr="008021FF">
        <w:rPr>
          <w:rFonts w:ascii="Arial" w:hAnsi="Arial"/>
          <w:b/>
          <w:bCs/>
        </w:rPr>
        <w:t>Standard Practice Manual Cost Tests</w:t>
      </w:r>
      <w:bookmarkEnd w:id="283"/>
      <w:r w:rsidRPr="008021FF">
        <w:rPr>
          <w:rFonts w:ascii="Arial" w:hAnsi="Arial"/>
          <w:b/>
          <w:bCs/>
        </w:rPr>
        <w:t> </w:t>
      </w:r>
    </w:p>
    <w:p w:rsidRPr="00C448FB" w:rsidR="00C448FB" w:rsidP="007F5446" w:rsidRDefault="00C448FB" w14:paraId="2720ED8D" w14:textId="0407D935">
      <w:pPr>
        <w:pStyle w:val="ListParagraph"/>
        <w:numPr>
          <w:ilvl w:val="0"/>
          <w:numId w:val="18"/>
        </w:numPr>
        <w:spacing w:after="160" w:line="240" w:lineRule="auto"/>
        <w:ind w:left="835" w:hanging="475"/>
        <w:contextualSpacing w:val="0"/>
        <w:textAlignment w:val="baseline"/>
      </w:pPr>
      <w:r w:rsidRPr="00910053">
        <w:rPr>
          <w:rFonts w:eastAsia="Times New Roman" w:cs="Calibri"/>
        </w:rPr>
        <w:t>A 20</w:t>
      </w:r>
      <w:r w:rsidR="00827602">
        <w:rPr>
          <w:rFonts w:eastAsia="Times New Roman" w:cs="Calibri"/>
        </w:rPr>
        <w:noBreakHyphen/>
      </w:r>
      <w:r w:rsidRPr="007F5446">
        <w:rPr>
          <w:rFonts w:eastAsia="Times New Roman" w:cs="Calibri"/>
          <w:szCs w:val="26"/>
        </w:rPr>
        <w:t>year</w:t>
      </w:r>
      <w:r w:rsidRPr="00910053">
        <w:rPr>
          <w:rFonts w:eastAsia="Times New Roman" w:cs="Calibri"/>
        </w:rPr>
        <w:t xml:space="preserve"> system lifetime was assumed.</w:t>
      </w:r>
    </w:p>
    <w:p w:rsidRPr="00C448FB" w:rsidR="00C448FB" w:rsidP="007F5446" w:rsidRDefault="00C448FB" w14:paraId="3545F26B" w14:textId="77777777">
      <w:pPr>
        <w:pStyle w:val="ListParagraph"/>
        <w:numPr>
          <w:ilvl w:val="0"/>
          <w:numId w:val="18"/>
        </w:numPr>
        <w:spacing w:after="160" w:line="240" w:lineRule="auto"/>
        <w:ind w:left="835" w:hanging="475"/>
        <w:contextualSpacing w:val="0"/>
        <w:textAlignment w:val="baseline"/>
      </w:pPr>
      <w:r w:rsidRPr="00910053">
        <w:rPr>
          <w:rFonts w:eastAsia="Times New Roman" w:cs="Calibri"/>
        </w:rPr>
        <w:t xml:space="preserve">A discount rate of 7.52 percent (nominal) was used, reflecting the average </w:t>
      </w:r>
      <w:proofErr w:type="spellStart"/>
      <w:r w:rsidRPr="00910053">
        <w:rPr>
          <w:rFonts w:eastAsia="Times New Roman" w:cs="Calibri"/>
        </w:rPr>
        <w:t>WACC</w:t>
      </w:r>
      <w:proofErr w:type="spellEnd"/>
      <w:r w:rsidRPr="00910053">
        <w:rPr>
          <w:rFonts w:eastAsia="Times New Roman" w:cs="Calibri"/>
        </w:rPr>
        <w:t xml:space="preserve"> (</w:t>
      </w:r>
      <w:r w:rsidRPr="007F5446">
        <w:rPr>
          <w:rFonts w:eastAsia="Times New Roman" w:cs="Calibri"/>
          <w:szCs w:val="26"/>
        </w:rPr>
        <w:t>weighted</w:t>
      </w:r>
      <w:r w:rsidRPr="00910053">
        <w:rPr>
          <w:rFonts w:eastAsia="Times New Roman" w:cs="Calibri"/>
        </w:rPr>
        <w:t xml:space="preserve"> average cost of capital) across utilities based on authorized rates of return, as reflected in the 2022 ACC. </w:t>
      </w:r>
    </w:p>
    <w:p w:rsidRPr="008021FF" w:rsidR="00C448FB" w:rsidP="008021FF" w:rsidRDefault="00C448FB" w14:paraId="5D7CEED3" w14:textId="77777777">
      <w:pPr>
        <w:keepNext/>
        <w:spacing w:after="160" w:line="240" w:lineRule="auto"/>
        <w:ind w:firstLine="0"/>
        <w:rPr>
          <w:rFonts w:ascii="Arial" w:hAnsi="Arial"/>
          <w:b/>
          <w:bCs/>
        </w:rPr>
      </w:pPr>
      <w:bookmarkStart w:name="_Toc118285111" w:id="284"/>
      <w:r w:rsidRPr="008021FF">
        <w:rPr>
          <w:rFonts w:ascii="Arial" w:hAnsi="Arial"/>
          <w:b/>
          <w:bCs/>
        </w:rPr>
        <w:t>Other Changes from 12/23/21 Public Model</w:t>
      </w:r>
      <w:bookmarkEnd w:id="284"/>
      <w:r w:rsidRPr="008021FF">
        <w:rPr>
          <w:rFonts w:ascii="Arial" w:hAnsi="Arial"/>
          <w:b/>
          <w:bCs/>
        </w:rPr>
        <w:t> </w:t>
      </w:r>
    </w:p>
    <w:p w:rsidRPr="00C1662A" w:rsidR="00C448FB" w:rsidP="004B4E57" w:rsidRDefault="00C448FB" w14:paraId="1CE2F876" w14:textId="1C7E54A2">
      <w:pPr>
        <w:pStyle w:val="ListParagraph"/>
        <w:numPr>
          <w:ilvl w:val="0"/>
          <w:numId w:val="18"/>
        </w:numPr>
        <w:spacing w:after="160" w:line="240" w:lineRule="auto"/>
        <w:ind w:left="835" w:hanging="475"/>
        <w:contextualSpacing w:val="0"/>
        <w:textAlignment w:val="baseline"/>
      </w:pPr>
      <w:r w:rsidRPr="004B4E57">
        <w:t>The Grid Participation Charge was removed.</w:t>
      </w:r>
    </w:p>
    <w:p w:rsidRPr="00C1662A" w:rsidR="00C448FB" w:rsidP="004B4E57" w:rsidRDefault="00C448FB" w14:paraId="4A62783F" w14:textId="47EE7F1D">
      <w:pPr>
        <w:pStyle w:val="ListParagraph"/>
        <w:numPr>
          <w:ilvl w:val="0"/>
          <w:numId w:val="18"/>
        </w:numPr>
        <w:spacing w:after="160" w:line="240" w:lineRule="auto"/>
        <w:ind w:left="835" w:hanging="475"/>
        <w:contextualSpacing w:val="0"/>
        <w:textAlignment w:val="baseline"/>
      </w:pPr>
      <w:r w:rsidRPr="004B4E57">
        <w:t>The Market Transition Credit was removed.</w:t>
      </w:r>
    </w:p>
    <w:p w:rsidRPr="00C1662A" w:rsidR="00C448FB" w:rsidP="004B4E57" w:rsidRDefault="00C448FB" w14:paraId="3EABD743" w14:textId="238F5108">
      <w:pPr>
        <w:pStyle w:val="ListParagraph"/>
        <w:numPr>
          <w:ilvl w:val="0"/>
          <w:numId w:val="18"/>
        </w:numPr>
        <w:spacing w:after="160" w:line="240" w:lineRule="auto"/>
        <w:ind w:left="835" w:hanging="475"/>
        <w:contextualSpacing w:val="0"/>
        <w:textAlignment w:val="baseline"/>
      </w:pPr>
      <w:r w:rsidRPr="004B4E57">
        <w:t>For PG&amp;E rates, October is identified as a “summer” month. Previously it was erroneously identified as “winter.”</w:t>
      </w:r>
    </w:p>
    <w:p w:rsidRPr="004B4E57" w:rsidR="005D385E" w:rsidP="004B4E57" w:rsidRDefault="00C448FB" w14:paraId="616DFF07" w14:textId="4C245D0C">
      <w:pPr>
        <w:pStyle w:val="ListParagraph"/>
        <w:numPr>
          <w:ilvl w:val="0"/>
          <w:numId w:val="18"/>
        </w:numPr>
        <w:spacing w:after="160" w:line="240" w:lineRule="auto"/>
        <w:ind w:left="835" w:hanging="475"/>
        <w:contextualSpacing w:val="0"/>
        <w:textAlignment w:val="baseline"/>
      </w:pPr>
      <w:r w:rsidRPr="004B4E57">
        <w:t>The storage dispatch algorithm has been updated, as described above.</w:t>
      </w:r>
    </w:p>
    <w:p w:rsidR="005D385E" w:rsidRDefault="005D385E" w14:paraId="30AD3EA8" w14:textId="618E6FA7">
      <w:pPr>
        <w:spacing w:after="160" w:line="259" w:lineRule="auto"/>
        <w:ind w:firstLine="0"/>
        <w:rPr>
          <w:rFonts w:ascii="Calibri" w:hAnsi="Calibri" w:eastAsia="Times New Roman" w:cs="Calibri"/>
        </w:rPr>
      </w:pPr>
    </w:p>
    <w:p w:rsidRPr="00C1662A" w:rsidR="00C448FB" w:rsidP="00602BC5" w:rsidRDefault="00C448FB" w14:paraId="2E595374" w14:textId="424D007D">
      <w:pPr>
        <w:spacing w:before="160" w:after="160" w:line="264" w:lineRule="auto"/>
        <w:ind w:firstLine="0"/>
      </w:pPr>
    </w:p>
    <w:p w:rsidR="008C2342" w:rsidP="00602BC5" w:rsidRDefault="008C2342" w14:paraId="3CA55AF5" w14:textId="3447CBD4">
      <w:pPr>
        <w:ind w:firstLine="0"/>
        <w:rPr>
          <w:b/>
          <w:bCs/>
        </w:rPr>
      </w:pPr>
    </w:p>
    <w:p w:rsidR="00080D30" w:rsidRDefault="00080D30" w14:paraId="5C9868E3" w14:textId="54AD1DBF">
      <w:pPr>
        <w:spacing w:after="160" w:line="259" w:lineRule="auto"/>
        <w:ind w:firstLine="0"/>
        <w:rPr>
          <w:b/>
          <w:bCs/>
        </w:rPr>
      </w:pPr>
      <w:r>
        <w:rPr>
          <w:b/>
          <w:bCs/>
        </w:rPr>
        <w:br w:type="page"/>
      </w:r>
    </w:p>
    <w:tbl>
      <w:tblPr>
        <w:tblW w:w="8863" w:type="dxa"/>
        <w:tblLook w:val="04A0" w:firstRow="1" w:lastRow="0" w:firstColumn="1" w:lastColumn="0" w:noHBand="0" w:noVBand="1"/>
      </w:tblPr>
      <w:tblGrid>
        <w:gridCol w:w="1500"/>
        <w:gridCol w:w="1920"/>
        <w:gridCol w:w="1420"/>
        <w:gridCol w:w="1341"/>
        <w:gridCol w:w="1341"/>
        <w:gridCol w:w="1341"/>
      </w:tblGrid>
      <w:tr w:rsidRPr="00394710" w:rsidR="00394710" w:rsidTr="00394710" w14:paraId="4FD13825" w14:textId="77777777">
        <w:tc>
          <w:tcPr>
            <w:tcW w:w="1500" w:type="dxa"/>
            <w:tcBorders>
              <w:top w:val="nil"/>
              <w:left w:val="nil"/>
              <w:bottom w:val="nil"/>
              <w:right w:val="nil"/>
            </w:tcBorders>
            <w:shd w:val="clear" w:color="000000" w:fill="034E6E"/>
            <w:noWrap/>
            <w:vAlign w:val="bottom"/>
            <w:hideMark/>
          </w:tcPr>
          <w:p w:rsidRPr="00394710" w:rsidR="00394710" w:rsidP="00394710" w:rsidRDefault="00394710" w14:paraId="386647CF" w14:textId="77777777">
            <w:pPr>
              <w:keepNext/>
              <w:spacing w:line="240" w:lineRule="auto"/>
              <w:ind w:firstLine="0"/>
              <w:rPr>
                <w:rFonts w:ascii="Calibri" w:hAnsi="Calibri" w:eastAsia="Times New Roman" w:cs="Calibri"/>
                <w:b/>
                <w:bCs/>
                <w:color w:val="FFFFFF"/>
                <w:sz w:val="22"/>
                <w:szCs w:val="28"/>
              </w:rPr>
            </w:pPr>
            <w:proofErr w:type="spellStart"/>
            <w:r w:rsidRPr="00394710">
              <w:rPr>
                <w:rFonts w:ascii="Calibri" w:hAnsi="Calibri" w:eastAsia="Times New Roman" w:cs="Calibri"/>
                <w:b/>
                <w:bCs/>
                <w:color w:val="FFFFFF"/>
                <w:sz w:val="22"/>
                <w:szCs w:val="28"/>
              </w:rPr>
              <w:lastRenderedPageBreak/>
              <w:t>NBT</w:t>
            </w:r>
            <w:proofErr w:type="spellEnd"/>
            <w:r w:rsidRPr="00394710">
              <w:rPr>
                <w:rFonts w:ascii="Calibri" w:hAnsi="Calibri" w:eastAsia="Times New Roman" w:cs="Calibri"/>
                <w:b/>
                <w:bCs/>
                <w:color w:val="FFFFFF"/>
                <w:sz w:val="22"/>
                <w:szCs w:val="28"/>
              </w:rPr>
              <w:t xml:space="preserve"> - Solar</w:t>
            </w:r>
          </w:p>
        </w:tc>
        <w:tc>
          <w:tcPr>
            <w:tcW w:w="1920" w:type="dxa"/>
            <w:tcBorders>
              <w:top w:val="single" w:color="6EA1B6" w:sz="4" w:space="0"/>
              <w:left w:val="nil"/>
              <w:bottom w:val="single" w:color="6EA1B6" w:sz="4" w:space="0"/>
              <w:right w:val="single" w:color="6EA1B6" w:sz="4" w:space="0"/>
            </w:tcBorders>
            <w:shd w:val="clear" w:color="000000" w:fill="034E6E"/>
            <w:noWrap/>
            <w:vAlign w:val="center"/>
            <w:hideMark/>
          </w:tcPr>
          <w:p w:rsidRPr="00394710" w:rsidR="00394710" w:rsidP="00394710" w:rsidRDefault="00394710" w14:paraId="46DDAD56"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420" w:type="dxa"/>
            <w:tcBorders>
              <w:top w:val="single" w:color="034E6E" w:sz="4" w:space="0"/>
              <w:left w:val="single" w:color="034E6E" w:sz="4" w:space="0"/>
              <w:bottom w:val="single" w:color="034E6E" w:sz="4" w:space="0"/>
              <w:right w:val="single" w:color="034E6E" w:sz="4" w:space="0"/>
            </w:tcBorders>
            <w:shd w:val="clear" w:color="000000" w:fill="034E6E"/>
            <w:noWrap/>
            <w:vAlign w:val="center"/>
            <w:hideMark/>
          </w:tcPr>
          <w:p w:rsidRPr="00394710" w:rsidR="00394710" w:rsidP="00394710" w:rsidRDefault="00394710" w14:paraId="414F8D9D"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341" w:type="dxa"/>
            <w:tcBorders>
              <w:top w:val="single" w:color="034E6E" w:sz="4" w:space="0"/>
              <w:left w:val="nil"/>
              <w:bottom w:val="single" w:color="034E6E" w:sz="4" w:space="0"/>
              <w:right w:val="single" w:color="034E6E" w:sz="4" w:space="0"/>
            </w:tcBorders>
            <w:shd w:val="clear" w:color="000000" w:fill="034E6E"/>
            <w:noWrap/>
            <w:vAlign w:val="center"/>
            <w:hideMark/>
          </w:tcPr>
          <w:p w:rsidRPr="00394710" w:rsidR="00394710" w:rsidP="00A0614A" w:rsidRDefault="00394710" w14:paraId="23F8A3EB"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341" w:type="dxa"/>
            <w:tcBorders>
              <w:top w:val="single" w:color="034E6E" w:sz="4" w:space="0"/>
              <w:left w:val="nil"/>
              <w:bottom w:val="single" w:color="034E6E" w:sz="4" w:space="0"/>
              <w:right w:val="single" w:color="034E6E" w:sz="4" w:space="0"/>
            </w:tcBorders>
            <w:shd w:val="clear" w:color="000000" w:fill="034E6E"/>
            <w:noWrap/>
            <w:vAlign w:val="center"/>
            <w:hideMark/>
          </w:tcPr>
          <w:p w:rsidRPr="00394710" w:rsidR="00394710" w:rsidP="00A0614A" w:rsidRDefault="00394710" w14:paraId="14B526B8"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341" w:type="dxa"/>
            <w:tcBorders>
              <w:top w:val="single" w:color="034E6E" w:sz="4" w:space="0"/>
              <w:left w:val="nil"/>
              <w:bottom w:val="single" w:color="034E6E" w:sz="4" w:space="0"/>
              <w:right w:val="single" w:color="034E6E" w:sz="4" w:space="0"/>
            </w:tcBorders>
            <w:shd w:val="clear" w:color="000000" w:fill="034E6E"/>
            <w:noWrap/>
            <w:vAlign w:val="center"/>
            <w:hideMark/>
          </w:tcPr>
          <w:p w:rsidRPr="00394710" w:rsidR="00394710" w:rsidP="00394710" w:rsidRDefault="00394710" w14:paraId="049B2B1A" w14:textId="77777777">
            <w:pPr>
              <w:keepNext/>
              <w:spacing w:line="240" w:lineRule="auto"/>
              <w:ind w:firstLine="0"/>
              <w:rPr>
                <w:rFonts w:ascii="Calibri" w:hAnsi="Calibri" w:eastAsia="Times New Roman" w:cs="Calibri"/>
                <w:b/>
                <w:bCs/>
                <w:color w:val="FFFFFF"/>
                <w:sz w:val="22"/>
              </w:rPr>
            </w:pPr>
            <w:r w:rsidRPr="00394710">
              <w:rPr>
                <w:rFonts w:ascii="Calibri" w:hAnsi="Calibri" w:eastAsia="Times New Roman" w:cs="Calibri"/>
                <w:b/>
                <w:bCs/>
                <w:color w:val="FFFFFF"/>
                <w:sz w:val="22"/>
              </w:rPr>
              <w:t> </w:t>
            </w:r>
          </w:p>
        </w:tc>
      </w:tr>
      <w:tr w:rsidRPr="00394710" w:rsidR="00394710" w:rsidTr="00A0614A" w14:paraId="198A9E8A"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2863CA05" w14:textId="77777777">
            <w:pPr>
              <w:keepNext/>
              <w:spacing w:line="240" w:lineRule="auto"/>
              <w:ind w:firstLine="0"/>
              <w:rPr>
                <w:rFonts w:ascii="Calibri" w:hAnsi="Calibri"/>
                <w:b/>
                <w:color w:val="FFFFFF"/>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1749EED8" w14:textId="77777777">
            <w:pPr>
              <w:keepNext/>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A0614A" w:rsidRDefault="00394710" w14:paraId="0A5CA3D2" w14:textId="77777777">
            <w:pPr>
              <w:keepNext/>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F05707B" w14:textId="77777777">
            <w:pPr>
              <w:keepNext/>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2EB8D336" w14:textId="77777777">
            <w:pPr>
              <w:keepNext/>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038B7EC3" w14:textId="77777777">
            <w:pPr>
              <w:keepNext/>
              <w:spacing w:line="240" w:lineRule="auto"/>
              <w:ind w:firstLine="0"/>
              <w:rPr>
                <w:rFonts w:ascii="Calibri" w:hAnsi="Calibri" w:eastAsia="Times New Roman" w:cs="Times New Roman"/>
                <w:sz w:val="22"/>
              </w:rPr>
            </w:pPr>
          </w:p>
        </w:tc>
      </w:tr>
      <w:tr w:rsidRPr="00394710" w:rsidR="00394710" w:rsidTr="00A0614A" w14:paraId="6695F095" w14:textId="77777777">
        <w:tc>
          <w:tcPr>
            <w:tcW w:w="4840" w:type="dxa"/>
            <w:gridSpan w:val="3"/>
            <w:tcBorders>
              <w:top w:val="nil"/>
              <w:left w:val="nil"/>
              <w:bottom w:val="nil"/>
              <w:right w:val="nil"/>
            </w:tcBorders>
            <w:shd w:val="clear" w:color="auto" w:fill="auto"/>
            <w:noWrap/>
            <w:vAlign w:val="bottom"/>
            <w:hideMark/>
          </w:tcPr>
          <w:p w:rsidRPr="00394710" w:rsidR="00394710" w:rsidP="00394710" w:rsidRDefault="00394710" w14:paraId="75F0C13D" w14:textId="77777777">
            <w:pPr>
              <w:keepNext/>
              <w:spacing w:line="240" w:lineRule="auto"/>
              <w:ind w:firstLine="0"/>
              <w:rPr>
                <w:rFonts w:ascii="Calibri" w:hAnsi="Calibri"/>
                <w:b/>
                <w:i/>
                <w:color w:val="000000"/>
                <w:sz w:val="22"/>
              </w:rPr>
            </w:pPr>
            <w:r w:rsidRPr="00394710">
              <w:rPr>
                <w:rFonts w:ascii="Calibri" w:hAnsi="Calibri"/>
                <w:b/>
                <w:i/>
                <w:color w:val="000000"/>
                <w:sz w:val="22"/>
              </w:rPr>
              <w:t>All metrics reflect the ACC Plus adder</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0322856" w14:textId="77777777">
            <w:pPr>
              <w:keepNext/>
              <w:spacing w:line="240" w:lineRule="auto"/>
              <w:ind w:firstLine="0"/>
              <w:rPr>
                <w:rFonts w:ascii="Calibri" w:hAnsi="Calibri"/>
                <w:b/>
                <w:i/>
                <w:color w:val="000000"/>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0F4249BB" w14:textId="77777777">
            <w:pPr>
              <w:keepNext/>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7D134047" w14:textId="77777777">
            <w:pPr>
              <w:keepNext/>
              <w:spacing w:line="240" w:lineRule="auto"/>
              <w:ind w:firstLine="0"/>
              <w:rPr>
                <w:rFonts w:ascii="Calibri" w:hAnsi="Calibri" w:eastAsia="Times New Roman" w:cs="Times New Roman"/>
                <w:sz w:val="22"/>
              </w:rPr>
            </w:pPr>
          </w:p>
        </w:tc>
      </w:tr>
      <w:tr w:rsidRPr="00394710" w:rsidR="00394710" w:rsidTr="00A0614A" w14:paraId="1CC21DC4"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213B69A9" w14:textId="77777777">
            <w:pPr>
              <w:keepNext/>
              <w:spacing w:line="240" w:lineRule="auto"/>
              <w:ind w:firstLine="0"/>
              <w:rPr>
                <w:rFonts w:ascii="Calibri" w:hAnsi="Calibri" w:eastAsia="Times New Roman" w:cs="Times New Roman"/>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7F513096" w14:textId="77777777">
            <w:pPr>
              <w:keepNext/>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A0614A" w:rsidRDefault="00394710" w14:paraId="68C1F389" w14:textId="77777777">
            <w:pPr>
              <w:keepNext/>
              <w:spacing w:line="240" w:lineRule="auto"/>
              <w:ind w:firstLine="0"/>
              <w:jc w:val="center"/>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73A8B126" w14:textId="77777777">
            <w:pPr>
              <w:keepNext/>
              <w:spacing w:line="240" w:lineRule="auto"/>
              <w:ind w:firstLine="0"/>
              <w:jc w:val="center"/>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29A0EB9A" w14:textId="77777777">
            <w:pPr>
              <w:keepNext/>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D7B42E5" w14:textId="77777777">
            <w:pPr>
              <w:keepNext/>
              <w:spacing w:line="240" w:lineRule="auto"/>
              <w:ind w:firstLine="0"/>
              <w:rPr>
                <w:rFonts w:ascii="Calibri" w:hAnsi="Calibri" w:eastAsia="Times New Roman" w:cs="Times New Roman"/>
                <w:sz w:val="22"/>
              </w:rPr>
            </w:pPr>
          </w:p>
        </w:tc>
      </w:tr>
      <w:tr w:rsidRPr="00394710" w:rsidR="00394710" w:rsidTr="00394710" w14:paraId="332A570C"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5DFCA21F" w14:textId="77777777">
            <w:pPr>
              <w:keepNext/>
              <w:spacing w:line="240" w:lineRule="auto"/>
              <w:ind w:firstLine="0"/>
              <w:rPr>
                <w:rFonts w:ascii="Calibri" w:hAnsi="Calibri" w:eastAsia="Times New Roman" w:cs="Times New Roman"/>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3FE468C3" w14:textId="77777777">
            <w:pPr>
              <w:keepNext/>
              <w:spacing w:line="240" w:lineRule="auto"/>
              <w:ind w:firstLine="0"/>
              <w:rPr>
                <w:rFonts w:ascii="Calibri" w:hAnsi="Calibri"/>
                <w:b/>
                <w:color w:val="000000"/>
                <w:sz w:val="22"/>
              </w:rPr>
            </w:pPr>
            <w:r w:rsidRPr="00394710">
              <w:rPr>
                <w:rFonts w:ascii="Calibri" w:hAnsi="Calibri"/>
                <w:b/>
                <w:color w:val="000000"/>
                <w:sz w:val="22"/>
              </w:rPr>
              <w:t>ACC Plus Adder ($/kWh)</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3893D117"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19C92770"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54FAC37C"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1A0CA45C"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A5A2985"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6FF7BC10"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DF6AF9F"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A0614A" w:rsidRDefault="00394710" w14:paraId="4BBC1957"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A0614A" w:rsidRDefault="00394710" w14:paraId="0A24E96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A0614A" w:rsidRDefault="00394710" w14:paraId="451A3915"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5FC65777"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20A2D11"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B6FE89B"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5F3B267F"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7B40CC12" w14:textId="237C952E">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022</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7FE1CAFE" w14:textId="77777777">
            <w:pPr>
              <w:keepNext/>
              <w:spacing w:line="240" w:lineRule="auto"/>
              <w:ind w:firstLine="0"/>
              <w:jc w:val="right"/>
              <w:rPr>
                <w:rFonts w:ascii="Calibri" w:hAnsi="Calibri"/>
                <w:color w:val="000000"/>
                <w:sz w:val="22"/>
              </w:rPr>
            </w:pPr>
            <w:r w:rsidRPr="00394710">
              <w:rPr>
                <w:rFonts w:ascii="Calibri" w:hAnsi="Calibri"/>
                <w:color w:val="000000"/>
                <w:sz w:val="22"/>
              </w:rPr>
              <w:t>0.040</w:t>
            </w:r>
          </w:p>
        </w:tc>
        <w:tc>
          <w:tcPr>
            <w:tcW w:w="1341" w:type="dxa"/>
            <w:tcBorders>
              <w:top w:val="nil"/>
              <w:left w:val="nil"/>
              <w:bottom w:val="nil"/>
              <w:right w:val="single" w:color="auto" w:sz="4" w:space="0"/>
            </w:tcBorders>
            <w:shd w:val="clear" w:color="auto" w:fill="auto"/>
            <w:noWrap/>
            <w:vAlign w:val="bottom"/>
            <w:hideMark/>
          </w:tcPr>
          <w:p w:rsidRPr="00394710" w:rsidR="00394710" w:rsidP="00A0614A" w:rsidRDefault="00394710" w14:paraId="1435673D" w14:textId="77777777">
            <w:pPr>
              <w:keepNext/>
              <w:spacing w:line="240" w:lineRule="auto"/>
              <w:ind w:firstLine="0"/>
              <w:jc w:val="right"/>
              <w:rPr>
                <w:rFonts w:ascii="Calibri" w:hAnsi="Calibri"/>
                <w:color w:val="000000"/>
                <w:sz w:val="22"/>
              </w:rPr>
            </w:pPr>
            <w:r w:rsidRPr="00394710">
              <w:rPr>
                <w:rFonts w:ascii="Calibri" w:hAnsi="Calibri"/>
                <w:color w:val="000000"/>
                <w:sz w:val="22"/>
              </w:rPr>
              <w:t>-</w:t>
            </w:r>
          </w:p>
        </w:tc>
      </w:tr>
      <w:tr w:rsidRPr="00394710" w:rsidR="00394710" w:rsidTr="00394710" w14:paraId="5349BA79"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571654EF"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EC53376"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3E53F927"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368A2B5B" w14:textId="1E4265D0">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090</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6DAE01E5" w14:textId="77777777">
            <w:pPr>
              <w:keepNext/>
              <w:spacing w:line="240" w:lineRule="auto"/>
              <w:ind w:firstLine="0"/>
              <w:jc w:val="right"/>
              <w:rPr>
                <w:rFonts w:ascii="Calibri" w:hAnsi="Calibri"/>
                <w:color w:val="000000"/>
                <w:sz w:val="22"/>
              </w:rPr>
            </w:pPr>
            <w:r w:rsidRPr="00394710">
              <w:rPr>
                <w:rFonts w:ascii="Calibri" w:hAnsi="Calibri"/>
                <w:color w:val="000000"/>
                <w:sz w:val="22"/>
              </w:rPr>
              <w:t>0.093</w:t>
            </w:r>
          </w:p>
        </w:tc>
        <w:tc>
          <w:tcPr>
            <w:tcW w:w="1341" w:type="dxa"/>
            <w:tcBorders>
              <w:top w:val="nil"/>
              <w:left w:val="nil"/>
              <w:bottom w:val="nil"/>
              <w:right w:val="single" w:color="auto" w:sz="4" w:space="0"/>
            </w:tcBorders>
            <w:shd w:val="clear" w:color="auto" w:fill="auto"/>
            <w:noWrap/>
            <w:vAlign w:val="bottom"/>
            <w:hideMark/>
          </w:tcPr>
          <w:p w:rsidRPr="00394710" w:rsidR="00394710" w:rsidP="00A0614A" w:rsidRDefault="00394710" w14:paraId="478BA51A" w14:textId="77777777">
            <w:pPr>
              <w:keepNext/>
              <w:spacing w:line="240" w:lineRule="auto"/>
              <w:ind w:firstLine="0"/>
              <w:jc w:val="right"/>
              <w:rPr>
                <w:rFonts w:ascii="Calibri" w:hAnsi="Calibri"/>
                <w:color w:val="000000"/>
                <w:sz w:val="22"/>
              </w:rPr>
            </w:pPr>
            <w:r w:rsidRPr="00394710">
              <w:rPr>
                <w:rFonts w:ascii="Calibri" w:hAnsi="Calibri"/>
                <w:color w:val="000000"/>
                <w:sz w:val="22"/>
              </w:rPr>
              <w:t>-</w:t>
            </w:r>
          </w:p>
        </w:tc>
      </w:tr>
      <w:tr w:rsidRPr="00394710" w:rsidR="00394710" w:rsidTr="00394710" w14:paraId="23EDD427"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4E83A09A"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2AB51C52"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10C509B"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507D037A" w14:textId="77777777">
            <w:pPr>
              <w:spacing w:line="240" w:lineRule="auto"/>
              <w:ind w:firstLine="0"/>
              <w:jc w:val="right"/>
              <w:rPr>
                <w:rFonts w:ascii="Calibri" w:hAnsi="Calibri"/>
                <w:color w:val="000000"/>
                <w:sz w:val="22"/>
              </w:rPr>
            </w:pPr>
            <w:r w:rsidRPr="00394710">
              <w:rPr>
                <w:rFonts w:ascii="Calibri" w:hAnsi="Calibri"/>
                <w:color w:val="000000"/>
                <w:sz w:val="22"/>
              </w:rPr>
              <w:t>-</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66FB4FDD" w14:textId="77777777">
            <w:pPr>
              <w:spacing w:line="240" w:lineRule="auto"/>
              <w:ind w:firstLine="0"/>
              <w:jc w:val="right"/>
              <w:rPr>
                <w:rFonts w:ascii="Calibri" w:hAnsi="Calibri"/>
                <w:color w:val="000000"/>
                <w:sz w:val="22"/>
              </w:rPr>
            </w:pPr>
            <w:r w:rsidRPr="00394710">
              <w:rPr>
                <w:rFonts w:ascii="Calibri" w:hAnsi="Calibri"/>
                <w:color w:val="000000"/>
                <w:sz w:val="22"/>
              </w:rPr>
              <w:t>-</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5233AFD8" w14:textId="77777777">
            <w:pPr>
              <w:spacing w:line="240" w:lineRule="auto"/>
              <w:ind w:firstLine="0"/>
              <w:jc w:val="right"/>
              <w:rPr>
                <w:rFonts w:ascii="Calibri" w:hAnsi="Calibri"/>
                <w:color w:val="000000"/>
                <w:sz w:val="22"/>
              </w:rPr>
            </w:pPr>
            <w:r w:rsidRPr="00394710">
              <w:rPr>
                <w:rFonts w:ascii="Calibri" w:hAnsi="Calibri"/>
                <w:color w:val="000000"/>
                <w:sz w:val="22"/>
              </w:rPr>
              <w:t>-</w:t>
            </w:r>
          </w:p>
        </w:tc>
      </w:tr>
      <w:tr w:rsidRPr="00394710" w:rsidR="00394710" w:rsidTr="00F3775C" w14:paraId="1C89C82F"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75F0981C"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2A085000"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1BF1E426"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29CA389C"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4DEA71FE"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623F564" w14:textId="77777777">
            <w:pPr>
              <w:spacing w:line="240" w:lineRule="auto"/>
              <w:ind w:firstLine="0"/>
              <w:rPr>
                <w:rFonts w:ascii="Calibri" w:hAnsi="Calibri" w:eastAsia="Times New Roman" w:cs="Times New Roman"/>
                <w:sz w:val="22"/>
              </w:rPr>
            </w:pPr>
          </w:p>
        </w:tc>
      </w:tr>
      <w:tr w:rsidRPr="00394710" w:rsidR="00394710" w:rsidTr="00394710" w14:paraId="5C892CC1"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6CD17828" w14:textId="77777777">
            <w:pPr>
              <w:keepNext/>
              <w:spacing w:line="240" w:lineRule="auto"/>
              <w:ind w:firstLine="0"/>
              <w:rPr>
                <w:rFonts w:ascii="Calibri" w:hAnsi="Calibri" w:eastAsia="Times New Roman" w:cs="Times New Roman"/>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3AFB8281" w14:textId="77777777">
            <w:pPr>
              <w:keepNext/>
              <w:spacing w:line="240" w:lineRule="auto"/>
              <w:ind w:firstLine="0"/>
              <w:rPr>
                <w:rFonts w:ascii="Calibri" w:hAnsi="Calibri"/>
                <w:b/>
                <w:color w:val="000000"/>
                <w:sz w:val="22"/>
              </w:rPr>
            </w:pPr>
            <w:r w:rsidRPr="00394710">
              <w:rPr>
                <w:rFonts w:ascii="Calibri" w:hAnsi="Calibri"/>
                <w:b/>
                <w:color w:val="000000"/>
                <w:sz w:val="22"/>
              </w:rPr>
              <w:t>Simple Payback Period (years)</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5DCA5EF6"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37A9E3E0"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0B97E06B"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68243611"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1586D7AF"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710D19CE"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EA3EDBF"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A0614A" w:rsidRDefault="00394710" w14:paraId="11E4803F"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A0614A" w:rsidRDefault="00394710" w14:paraId="0618ABC9"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A0614A" w:rsidRDefault="00394710" w14:paraId="7B82E8A7"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327CE127"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503B1D7D"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6E73328"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6EA24AD6"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631DF49E" w14:textId="77777777">
            <w:pPr>
              <w:keepNext/>
              <w:spacing w:line="240" w:lineRule="auto"/>
              <w:ind w:firstLine="0"/>
              <w:jc w:val="right"/>
              <w:rPr>
                <w:rFonts w:ascii="Calibri" w:hAnsi="Calibri"/>
                <w:color w:val="000000"/>
                <w:sz w:val="22"/>
              </w:rPr>
            </w:pPr>
            <w:r w:rsidRPr="00394710">
              <w:rPr>
                <w:rFonts w:ascii="Calibri" w:hAnsi="Calibri"/>
                <w:color w:val="000000"/>
                <w:sz w:val="22"/>
              </w:rPr>
              <w:t>9.00</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0F3E3B6D" w14:textId="77777777">
            <w:pPr>
              <w:keepNext/>
              <w:spacing w:line="240" w:lineRule="auto"/>
              <w:ind w:firstLine="0"/>
              <w:jc w:val="right"/>
              <w:rPr>
                <w:rFonts w:ascii="Calibri" w:hAnsi="Calibri"/>
                <w:color w:val="000000"/>
                <w:sz w:val="22"/>
              </w:rPr>
            </w:pPr>
            <w:r w:rsidRPr="00394710">
              <w:rPr>
                <w:rFonts w:ascii="Calibri" w:hAnsi="Calibri"/>
                <w:color w:val="000000"/>
                <w:sz w:val="22"/>
              </w:rPr>
              <w:t>9.00</w:t>
            </w:r>
          </w:p>
        </w:tc>
        <w:tc>
          <w:tcPr>
            <w:tcW w:w="1341" w:type="dxa"/>
            <w:tcBorders>
              <w:top w:val="nil"/>
              <w:left w:val="nil"/>
              <w:bottom w:val="nil"/>
              <w:right w:val="single" w:color="auto" w:sz="4" w:space="0"/>
            </w:tcBorders>
            <w:shd w:val="clear" w:color="auto" w:fill="auto"/>
            <w:noWrap/>
            <w:vAlign w:val="bottom"/>
            <w:hideMark/>
          </w:tcPr>
          <w:p w:rsidRPr="00394710" w:rsidR="00394710" w:rsidP="00A0614A" w:rsidRDefault="00394710" w14:paraId="617A78E5" w14:textId="77777777">
            <w:pPr>
              <w:keepNext/>
              <w:spacing w:line="240" w:lineRule="auto"/>
              <w:ind w:firstLine="0"/>
              <w:jc w:val="right"/>
              <w:rPr>
                <w:rFonts w:ascii="Calibri" w:hAnsi="Calibri"/>
                <w:color w:val="000000"/>
                <w:sz w:val="22"/>
              </w:rPr>
            </w:pPr>
            <w:r w:rsidRPr="00394710">
              <w:rPr>
                <w:rFonts w:ascii="Calibri" w:hAnsi="Calibri"/>
                <w:color w:val="000000"/>
                <w:sz w:val="22"/>
              </w:rPr>
              <w:t>5.95</w:t>
            </w:r>
          </w:p>
        </w:tc>
      </w:tr>
      <w:tr w:rsidRPr="00394710" w:rsidR="00394710" w:rsidTr="00394710" w14:paraId="32E657CC"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BD66796"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6B50DE33"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18693C59"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83CD284" w14:textId="77777777">
            <w:pPr>
              <w:keepNext/>
              <w:spacing w:line="240" w:lineRule="auto"/>
              <w:ind w:firstLine="0"/>
              <w:jc w:val="right"/>
              <w:rPr>
                <w:rFonts w:ascii="Calibri" w:hAnsi="Calibri"/>
                <w:color w:val="000000"/>
                <w:sz w:val="22"/>
              </w:rPr>
            </w:pPr>
            <w:r w:rsidRPr="00394710">
              <w:rPr>
                <w:rFonts w:ascii="Calibri" w:hAnsi="Calibri"/>
                <w:color w:val="000000"/>
                <w:sz w:val="22"/>
              </w:rPr>
              <w:t>9.00</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7064BD8F" w14:textId="77777777">
            <w:pPr>
              <w:keepNext/>
              <w:spacing w:line="240" w:lineRule="auto"/>
              <w:ind w:firstLine="0"/>
              <w:jc w:val="right"/>
              <w:rPr>
                <w:rFonts w:ascii="Calibri" w:hAnsi="Calibri"/>
                <w:color w:val="000000"/>
                <w:sz w:val="22"/>
              </w:rPr>
            </w:pPr>
            <w:r w:rsidRPr="00394710">
              <w:rPr>
                <w:rFonts w:ascii="Calibri" w:hAnsi="Calibri"/>
                <w:color w:val="000000"/>
                <w:sz w:val="22"/>
              </w:rPr>
              <w:t>9.00</w:t>
            </w:r>
          </w:p>
        </w:tc>
        <w:tc>
          <w:tcPr>
            <w:tcW w:w="1341" w:type="dxa"/>
            <w:tcBorders>
              <w:top w:val="nil"/>
              <w:left w:val="nil"/>
              <w:bottom w:val="nil"/>
              <w:right w:val="single" w:color="auto" w:sz="4" w:space="0"/>
            </w:tcBorders>
            <w:shd w:val="clear" w:color="auto" w:fill="auto"/>
            <w:noWrap/>
            <w:vAlign w:val="bottom"/>
            <w:hideMark/>
          </w:tcPr>
          <w:p w:rsidRPr="00394710" w:rsidR="00394710" w:rsidP="00A0614A" w:rsidRDefault="00394710" w14:paraId="63C90C36" w14:textId="77777777">
            <w:pPr>
              <w:keepNext/>
              <w:spacing w:line="240" w:lineRule="auto"/>
              <w:ind w:firstLine="0"/>
              <w:jc w:val="right"/>
              <w:rPr>
                <w:rFonts w:ascii="Calibri" w:hAnsi="Calibri"/>
                <w:color w:val="000000"/>
                <w:sz w:val="22"/>
              </w:rPr>
            </w:pPr>
            <w:r w:rsidRPr="00394710">
              <w:rPr>
                <w:rFonts w:ascii="Calibri" w:hAnsi="Calibri"/>
                <w:color w:val="000000"/>
                <w:sz w:val="22"/>
              </w:rPr>
              <w:t>8.43</w:t>
            </w:r>
          </w:p>
        </w:tc>
      </w:tr>
      <w:tr w:rsidRPr="00394710" w:rsidR="00394710" w:rsidTr="00394710" w14:paraId="06AEDA78"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49C30154"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5916D3A6"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5BC262DE"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4B57B723" w14:textId="577B6C8E">
            <w:pPr>
              <w:spacing w:line="240" w:lineRule="auto"/>
              <w:ind w:firstLine="0"/>
              <w:jc w:val="right"/>
              <w:rPr>
                <w:rFonts w:ascii="Calibri" w:hAnsi="Calibri"/>
                <w:color w:val="000000"/>
                <w:sz w:val="22"/>
              </w:rPr>
            </w:pPr>
            <w:r w:rsidRPr="00394710">
              <w:rPr>
                <w:rFonts w:ascii="Calibri" w:hAnsi="Calibri"/>
                <w:color w:val="000000"/>
                <w:sz w:val="22"/>
              </w:rPr>
              <w:t>8.</w:t>
            </w:r>
            <w:r w:rsidRPr="00394710">
              <w:rPr>
                <w:rFonts w:ascii="Calibri" w:hAnsi="Calibri" w:eastAsia="Times New Roman" w:cs="Calibri"/>
                <w:color w:val="000000"/>
                <w:sz w:val="22"/>
              </w:rPr>
              <w:t>17</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7F19A768" w14:textId="77777777">
            <w:pPr>
              <w:spacing w:line="240" w:lineRule="auto"/>
              <w:ind w:firstLine="0"/>
              <w:jc w:val="right"/>
              <w:rPr>
                <w:rFonts w:ascii="Calibri" w:hAnsi="Calibri"/>
                <w:color w:val="000000"/>
                <w:sz w:val="22"/>
              </w:rPr>
            </w:pPr>
            <w:r w:rsidRPr="00394710">
              <w:rPr>
                <w:rFonts w:ascii="Calibri" w:hAnsi="Calibri"/>
                <w:color w:val="000000"/>
                <w:sz w:val="22"/>
              </w:rPr>
              <w:t>9.38</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16383DFD" w14:textId="77777777">
            <w:pPr>
              <w:spacing w:line="240" w:lineRule="auto"/>
              <w:ind w:firstLine="0"/>
              <w:jc w:val="right"/>
              <w:rPr>
                <w:rFonts w:ascii="Calibri" w:hAnsi="Calibri"/>
                <w:color w:val="000000"/>
                <w:sz w:val="22"/>
              </w:rPr>
            </w:pPr>
            <w:r w:rsidRPr="00394710">
              <w:rPr>
                <w:rFonts w:ascii="Calibri" w:hAnsi="Calibri"/>
                <w:color w:val="000000"/>
                <w:sz w:val="22"/>
              </w:rPr>
              <w:t>7.50</w:t>
            </w:r>
          </w:p>
        </w:tc>
      </w:tr>
      <w:tr w:rsidRPr="00394710" w:rsidR="00394710" w:rsidTr="00F3775C" w14:paraId="3B79DBB9"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7CFFF2F9"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0219424E"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1E1169F4"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D1A714A"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A78DE7B"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29FBC9CF" w14:textId="77777777">
            <w:pPr>
              <w:spacing w:line="240" w:lineRule="auto"/>
              <w:ind w:firstLine="0"/>
              <w:rPr>
                <w:rFonts w:ascii="Calibri" w:hAnsi="Calibri" w:eastAsia="Times New Roman" w:cs="Times New Roman"/>
                <w:sz w:val="22"/>
              </w:rPr>
            </w:pPr>
          </w:p>
        </w:tc>
      </w:tr>
      <w:tr w:rsidRPr="00394710" w:rsidR="00394710" w:rsidTr="00394710" w14:paraId="17351C15"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4CEF13A9" w14:textId="77777777">
            <w:pPr>
              <w:keepNext/>
              <w:spacing w:line="240" w:lineRule="auto"/>
              <w:ind w:firstLine="0"/>
              <w:rPr>
                <w:rFonts w:ascii="Calibri" w:hAnsi="Calibri" w:eastAsia="Times New Roman" w:cs="Times New Roman"/>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0AD210DE" w14:textId="77777777">
            <w:pPr>
              <w:keepNext/>
              <w:spacing w:line="240" w:lineRule="auto"/>
              <w:ind w:firstLine="0"/>
              <w:rPr>
                <w:rFonts w:ascii="Calibri" w:hAnsi="Calibri"/>
                <w:b/>
                <w:color w:val="000000"/>
                <w:sz w:val="22"/>
              </w:rPr>
            </w:pPr>
            <w:r w:rsidRPr="00394710">
              <w:rPr>
                <w:rFonts w:ascii="Calibri" w:hAnsi="Calibri"/>
                <w:b/>
                <w:color w:val="000000"/>
                <w:sz w:val="22"/>
              </w:rPr>
              <w:t>First-Year Bill Savings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37DDB94A"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501A1EE7"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152067A7"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2CD9FFC0"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6B82FDC2"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1B4DFB28"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9A8F4CA"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A0614A" w:rsidRDefault="00394710" w14:paraId="01C3B94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A0614A" w:rsidRDefault="00394710" w14:paraId="4CA6E494"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A0614A" w:rsidRDefault="00394710" w14:paraId="399BE62C"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373499CB"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42353374"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E03C6A8"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41E8C285"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97B3798" w14:textId="77777777">
            <w:pPr>
              <w:keepNext/>
              <w:spacing w:line="240" w:lineRule="auto"/>
              <w:ind w:firstLine="0"/>
              <w:jc w:val="right"/>
              <w:rPr>
                <w:rFonts w:ascii="Calibri" w:hAnsi="Calibri"/>
                <w:color w:val="000000"/>
                <w:sz w:val="22"/>
              </w:rPr>
            </w:pPr>
            <w:r w:rsidRPr="00394710">
              <w:rPr>
                <w:rFonts w:ascii="Calibri" w:hAnsi="Calibri"/>
                <w:color w:val="000000"/>
                <w:sz w:val="22"/>
              </w:rPr>
              <w:t>1,230</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27107C71" w14:textId="77777777">
            <w:pPr>
              <w:keepNext/>
              <w:spacing w:line="240" w:lineRule="auto"/>
              <w:ind w:firstLine="0"/>
              <w:jc w:val="right"/>
              <w:rPr>
                <w:rFonts w:ascii="Calibri" w:hAnsi="Calibri"/>
                <w:color w:val="000000"/>
                <w:sz w:val="22"/>
              </w:rPr>
            </w:pPr>
            <w:r w:rsidRPr="00394710">
              <w:rPr>
                <w:rFonts w:ascii="Calibri" w:hAnsi="Calibri"/>
                <w:color w:val="000000"/>
                <w:sz w:val="22"/>
              </w:rPr>
              <w:t>1,133</w:t>
            </w:r>
          </w:p>
        </w:tc>
        <w:tc>
          <w:tcPr>
            <w:tcW w:w="1341" w:type="dxa"/>
            <w:tcBorders>
              <w:top w:val="nil"/>
              <w:left w:val="nil"/>
              <w:bottom w:val="nil"/>
              <w:right w:val="single" w:color="auto" w:sz="4" w:space="0"/>
            </w:tcBorders>
            <w:shd w:val="clear" w:color="auto" w:fill="auto"/>
            <w:noWrap/>
            <w:vAlign w:val="bottom"/>
            <w:hideMark/>
          </w:tcPr>
          <w:p w:rsidRPr="00394710" w:rsidR="00394710" w:rsidP="00A0614A" w:rsidRDefault="00394710" w14:paraId="3E82B3B2" w14:textId="77777777">
            <w:pPr>
              <w:keepNext/>
              <w:spacing w:line="240" w:lineRule="auto"/>
              <w:ind w:firstLine="0"/>
              <w:jc w:val="right"/>
              <w:rPr>
                <w:rFonts w:ascii="Calibri" w:hAnsi="Calibri"/>
                <w:color w:val="000000"/>
                <w:sz w:val="22"/>
              </w:rPr>
            </w:pPr>
            <w:r w:rsidRPr="00394710">
              <w:rPr>
                <w:rFonts w:ascii="Calibri" w:hAnsi="Calibri"/>
                <w:color w:val="000000"/>
                <w:sz w:val="22"/>
              </w:rPr>
              <w:t>1,724</w:t>
            </w:r>
          </w:p>
        </w:tc>
      </w:tr>
      <w:tr w:rsidRPr="00394710" w:rsidR="00394710" w:rsidTr="00394710" w14:paraId="1F1636C0"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7FCCA53"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7EABA3B"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42F72873"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ED79467" w14:textId="77777777">
            <w:pPr>
              <w:keepNext/>
              <w:spacing w:line="240" w:lineRule="auto"/>
              <w:ind w:firstLine="0"/>
              <w:jc w:val="right"/>
              <w:rPr>
                <w:rFonts w:ascii="Calibri" w:hAnsi="Calibri"/>
                <w:color w:val="000000"/>
                <w:sz w:val="22"/>
              </w:rPr>
            </w:pPr>
            <w:r w:rsidRPr="00394710">
              <w:rPr>
                <w:rFonts w:ascii="Calibri" w:hAnsi="Calibri"/>
                <w:color w:val="000000"/>
                <w:sz w:val="22"/>
              </w:rPr>
              <w:t>1,230</w:t>
            </w: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4F64F7FA" w14:textId="77777777">
            <w:pPr>
              <w:keepNext/>
              <w:spacing w:line="240" w:lineRule="auto"/>
              <w:ind w:firstLine="0"/>
              <w:jc w:val="right"/>
              <w:rPr>
                <w:rFonts w:ascii="Calibri" w:hAnsi="Calibri"/>
                <w:color w:val="000000"/>
                <w:sz w:val="22"/>
              </w:rPr>
            </w:pPr>
            <w:r w:rsidRPr="00394710">
              <w:rPr>
                <w:rFonts w:ascii="Calibri" w:hAnsi="Calibri"/>
                <w:color w:val="000000"/>
                <w:sz w:val="22"/>
              </w:rPr>
              <w:t>1,133</w:t>
            </w:r>
          </w:p>
        </w:tc>
        <w:tc>
          <w:tcPr>
            <w:tcW w:w="1341" w:type="dxa"/>
            <w:tcBorders>
              <w:top w:val="nil"/>
              <w:left w:val="nil"/>
              <w:bottom w:val="nil"/>
              <w:right w:val="single" w:color="auto" w:sz="4" w:space="0"/>
            </w:tcBorders>
            <w:shd w:val="clear" w:color="auto" w:fill="auto"/>
            <w:noWrap/>
            <w:vAlign w:val="bottom"/>
            <w:hideMark/>
          </w:tcPr>
          <w:p w:rsidRPr="00394710" w:rsidR="00394710" w:rsidP="00A0614A" w:rsidRDefault="00394710" w14:paraId="6F8A1360" w14:textId="77777777">
            <w:pPr>
              <w:keepNext/>
              <w:spacing w:line="240" w:lineRule="auto"/>
              <w:ind w:firstLine="0"/>
              <w:jc w:val="right"/>
              <w:rPr>
                <w:rFonts w:ascii="Calibri" w:hAnsi="Calibri"/>
                <w:color w:val="000000"/>
                <w:sz w:val="22"/>
              </w:rPr>
            </w:pPr>
            <w:r w:rsidRPr="00394710">
              <w:rPr>
                <w:rFonts w:ascii="Calibri" w:hAnsi="Calibri"/>
                <w:color w:val="000000"/>
                <w:sz w:val="22"/>
              </w:rPr>
              <w:t>1,217</w:t>
            </w:r>
          </w:p>
        </w:tc>
      </w:tr>
      <w:tr w:rsidRPr="00394710" w:rsidR="00394710" w:rsidTr="00394710" w14:paraId="37789AB2"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323F1461"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38FDA2A8"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7555E391"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7B081806" w14:textId="6499C704">
            <w:pPr>
              <w:spacing w:line="240" w:lineRule="auto"/>
              <w:ind w:firstLine="0"/>
              <w:jc w:val="right"/>
              <w:rPr>
                <w:rFonts w:ascii="Calibri" w:hAnsi="Calibri"/>
                <w:color w:val="000000"/>
                <w:sz w:val="22"/>
              </w:rPr>
            </w:pPr>
            <w:r w:rsidRPr="00394710">
              <w:rPr>
                <w:rFonts w:ascii="Calibri" w:hAnsi="Calibri"/>
                <w:color w:val="000000"/>
                <w:sz w:val="22"/>
              </w:rPr>
              <w:t>2,</w:t>
            </w:r>
            <w:r w:rsidRPr="00394710">
              <w:rPr>
                <w:rFonts w:ascii="Calibri" w:hAnsi="Calibri" w:eastAsia="Times New Roman" w:cs="Calibri"/>
                <w:color w:val="000000"/>
                <w:sz w:val="22"/>
              </w:rPr>
              <w:t>898</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008EA32E" w14:textId="77777777">
            <w:pPr>
              <w:spacing w:line="240" w:lineRule="auto"/>
              <w:ind w:firstLine="0"/>
              <w:jc w:val="right"/>
              <w:rPr>
                <w:rFonts w:ascii="Calibri" w:hAnsi="Calibri"/>
                <w:color w:val="000000"/>
                <w:sz w:val="22"/>
              </w:rPr>
            </w:pPr>
            <w:r w:rsidRPr="00394710">
              <w:rPr>
                <w:rFonts w:ascii="Calibri" w:hAnsi="Calibri"/>
                <w:color w:val="000000"/>
                <w:sz w:val="22"/>
              </w:rPr>
              <w:t>2,335</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7B16DF11" w14:textId="77777777">
            <w:pPr>
              <w:spacing w:line="240" w:lineRule="auto"/>
              <w:ind w:firstLine="0"/>
              <w:jc w:val="right"/>
              <w:rPr>
                <w:rFonts w:ascii="Calibri" w:hAnsi="Calibri"/>
                <w:color w:val="000000"/>
                <w:sz w:val="22"/>
              </w:rPr>
            </w:pPr>
            <w:r w:rsidRPr="00394710">
              <w:rPr>
                <w:rFonts w:ascii="Calibri" w:hAnsi="Calibri"/>
                <w:color w:val="000000"/>
                <w:sz w:val="22"/>
              </w:rPr>
              <w:t>2,928</w:t>
            </w:r>
          </w:p>
        </w:tc>
      </w:tr>
      <w:tr w:rsidRPr="00394710" w:rsidR="00394710" w:rsidTr="00F3775C" w14:paraId="254D768A"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28D365EC"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50F9DE9B"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1CDDD247"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04D8ABD6"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0744F382"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7B3E6FA1" w14:textId="77777777">
            <w:pPr>
              <w:spacing w:line="240" w:lineRule="auto"/>
              <w:ind w:firstLine="0"/>
              <w:rPr>
                <w:rFonts w:ascii="Calibri" w:hAnsi="Calibri" w:eastAsia="Times New Roman" w:cs="Times New Roman"/>
                <w:sz w:val="22"/>
              </w:rPr>
            </w:pPr>
          </w:p>
        </w:tc>
      </w:tr>
      <w:tr w:rsidRPr="00394710" w:rsidR="00394710" w:rsidTr="00394710" w14:paraId="61195732"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27C95A23" w14:textId="77777777">
            <w:pPr>
              <w:keepNext/>
              <w:spacing w:line="240" w:lineRule="auto"/>
              <w:ind w:firstLine="0"/>
              <w:rPr>
                <w:rFonts w:ascii="Calibri" w:hAnsi="Calibri" w:eastAsia="Times New Roman" w:cs="Times New Roman"/>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7293A78F" w14:textId="77777777">
            <w:pPr>
              <w:keepNext/>
              <w:spacing w:line="240" w:lineRule="auto"/>
              <w:ind w:firstLine="0"/>
              <w:rPr>
                <w:rFonts w:ascii="Calibri" w:hAnsi="Calibri"/>
                <w:b/>
                <w:color w:val="000000"/>
                <w:sz w:val="22"/>
              </w:rPr>
            </w:pPr>
            <w:r w:rsidRPr="00394710">
              <w:rPr>
                <w:rFonts w:ascii="Calibri" w:hAnsi="Calibri"/>
                <w:b/>
                <w:color w:val="000000"/>
                <w:sz w:val="22"/>
              </w:rPr>
              <w:t>First-Year Cost Shift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259017A8"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23E84181"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2025B18E"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709E7942"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2433055D"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54617F59"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3B5F6CDF"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6E0844C"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7E4036EA"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087B10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5444FD0C"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0A9EC986"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8A5D1F4"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5C7440ED"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72EBA248" w14:textId="73D0E09B">
            <w:pPr>
              <w:keepNext/>
              <w:spacing w:line="240" w:lineRule="auto"/>
              <w:ind w:firstLine="0"/>
              <w:jc w:val="right"/>
              <w:rPr>
                <w:rFonts w:ascii="Calibri" w:hAnsi="Calibri"/>
                <w:color w:val="000000"/>
                <w:sz w:val="22"/>
              </w:rPr>
            </w:pPr>
            <w:r w:rsidRPr="00394710">
              <w:rPr>
                <w:rFonts w:ascii="Calibri" w:hAnsi="Calibri" w:eastAsia="Times New Roman" w:cs="Calibri"/>
                <w:color w:val="000000"/>
                <w:sz w:val="22"/>
              </w:rPr>
              <w:t>844</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54BD8A5C" w14:textId="77777777">
            <w:pPr>
              <w:keepNext/>
              <w:spacing w:line="240" w:lineRule="auto"/>
              <w:ind w:firstLine="0"/>
              <w:jc w:val="right"/>
              <w:rPr>
                <w:rFonts w:ascii="Calibri" w:hAnsi="Calibri"/>
                <w:color w:val="000000"/>
                <w:sz w:val="22"/>
              </w:rPr>
            </w:pPr>
            <w:r w:rsidRPr="00394710">
              <w:rPr>
                <w:rFonts w:ascii="Calibri" w:hAnsi="Calibri"/>
                <w:color w:val="000000"/>
                <w:sz w:val="22"/>
              </w:rPr>
              <w:t>792</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0671BBF9" w14:textId="77777777">
            <w:pPr>
              <w:keepNext/>
              <w:spacing w:line="240" w:lineRule="auto"/>
              <w:ind w:firstLine="0"/>
              <w:jc w:val="right"/>
              <w:rPr>
                <w:rFonts w:ascii="Calibri" w:hAnsi="Calibri"/>
                <w:color w:val="000000"/>
                <w:sz w:val="22"/>
              </w:rPr>
            </w:pPr>
            <w:r w:rsidRPr="00394710">
              <w:rPr>
                <w:rFonts w:ascii="Calibri" w:hAnsi="Calibri"/>
                <w:color w:val="000000"/>
                <w:sz w:val="22"/>
              </w:rPr>
              <w:t>1,298</w:t>
            </w:r>
          </w:p>
        </w:tc>
      </w:tr>
      <w:tr w:rsidRPr="00394710" w:rsidR="00394710" w:rsidTr="00394710" w14:paraId="61A05CE8"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5AC9B09"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79C494C3"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058BFDA5"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668E5FB5" w14:textId="121EAE8D">
            <w:pPr>
              <w:keepNext/>
              <w:spacing w:line="240" w:lineRule="auto"/>
              <w:ind w:firstLine="0"/>
              <w:jc w:val="right"/>
              <w:rPr>
                <w:rFonts w:ascii="Calibri" w:hAnsi="Calibri"/>
                <w:color w:val="000000"/>
                <w:sz w:val="22"/>
              </w:rPr>
            </w:pPr>
            <w:r w:rsidRPr="00394710">
              <w:rPr>
                <w:rFonts w:ascii="Calibri" w:hAnsi="Calibri" w:eastAsia="Times New Roman" w:cs="Calibri"/>
                <w:color w:val="000000"/>
                <w:sz w:val="22"/>
              </w:rPr>
              <w:t>844</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7EFA8881" w14:textId="77777777">
            <w:pPr>
              <w:keepNext/>
              <w:spacing w:line="240" w:lineRule="auto"/>
              <w:ind w:firstLine="0"/>
              <w:jc w:val="right"/>
              <w:rPr>
                <w:rFonts w:ascii="Calibri" w:hAnsi="Calibri"/>
                <w:color w:val="000000"/>
                <w:sz w:val="22"/>
              </w:rPr>
            </w:pPr>
            <w:r w:rsidRPr="00394710">
              <w:rPr>
                <w:rFonts w:ascii="Calibri" w:hAnsi="Calibri"/>
                <w:color w:val="000000"/>
                <w:sz w:val="22"/>
              </w:rPr>
              <w:t>792</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6C53B053" w14:textId="77777777">
            <w:pPr>
              <w:keepNext/>
              <w:spacing w:line="240" w:lineRule="auto"/>
              <w:ind w:firstLine="0"/>
              <w:jc w:val="right"/>
              <w:rPr>
                <w:rFonts w:ascii="Calibri" w:hAnsi="Calibri"/>
                <w:color w:val="000000"/>
                <w:sz w:val="22"/>
              </w:rPr>
            </w:pPr>
            <w:r w:rsidRPr="00394710">
              <w:rPr>
                <w:rFonts w:ascii="Calibri" w:hAnsi="Calibri"/>
                <w:color w:val="000000"/>
                <w:sz w:val="22"/>
              </w:rPr>
              <w:t>791</w:t>
            </w:r>
          </w:p>
        </w:tc>
      </w:tr>
      <w:tr w:rsidRPr="00394710" w:rsidR="00394710" w:rsidTr="00394710" w14:paraId="189AB770"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60191AC1"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3E243C39"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F2735F2"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6E4D3338" w14:textId="3E1B059B">
            <w:pPr>
              <w:spacing w:line="240" w:lineRule="auto"/>
              <w:ind w:firstLine="0"/>
              <w:jc w:val="right"/>
              <w:rPr>
                <w:rFonts w:ascii="Calibri" w:hAnsi="Calibri"/>
                <w:color w:val="000000"/>
                <w:sz w:val="22"/>
              </w:rPr>
            </w:pPr>
            <w:r w:rsidRPr="00394710">
              <w:rPr>
                <w:rFonts w:ascii="Calibri" w:hAnsi="Calibri"/>
                <w:color w:val="000000"/>
                <w:sz w:val="22"/>
              </w:rPr>
              <w:t>2,</w:t>
            </w:r>
            <w:r w:rsidRPr="00394710">
              <w:rPr>
                <w:rFonts w:ascii="Calibri" w:hAnsi="Calibri" w:eastAsia="Times New Roman" w:cs="Calibri"/>
                <w:color w:val="000000"/>
                <w:sz w:val="22"/>
              </w:rPr>
              <w:t>024</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22B2CEED" w14:textId="77777777">
            <w:pPr>
              <w:spacing w:line="240" w:lineRule="auto"/>
              <w:ind w:firstLine="0"/>
              <w:jc w:val="right"/>
              <w:rPr>
                <w:rFonts w:ascii="Calibri" w:hAnsi="Calibri"/>
                <w:color w:val="000000"/>
                <w:sz w:val="22"/>
              </w:rPr>
            </w:pPr>
            <w:r w:rsidRPr="00394710">
              <w:rPr>
                <w:rFonts w:ascii="Calibri" w:hAnsi="Calibri"/>
                <w:color w:val="000000"/>
                <w:sz w:val="22"/>
              </w:rPr>
              <w:t>1,563</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40B91D02" w14:textId="77777777">
            <w:pPr>
              <w:spacing w:line="240" w:lineRule="auto"/>
              <w:ind w:firstLine="0"/>
              <w:jc w:val="right"/>
              <w:rPr>
                <w:rFonts w:ascii="Calibri" w:hAnsi="Calibri"/>
                <w:color w:val="000000"/>
                <w:sz w:val="22"/>
              </w:rPr>
            </w:pPr>
            <w:r w:rsidRPr="00394710">
              <w:rPr>
                <w:rFonts w:ascii="Calibri" w:hAnsi="Calibri"/>
                <w:color w:val="000000"/>
                <w:sz w:val="22"/>
              </w:rPr>
              <w:t>1,962</w:t>
            </w:r>
          </w:p>
        </w:tc>
      </w:tr>
      <w:tr w:rsidRPr="00394710" w:rsidR="00394710" w:rsidTr="00A0614A" w14:paraId="5A462E37"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027BF1C6"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67F6E13D"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052BD6BB"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7DD967D2"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870E3B8"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DDCCA35" w14:textId="77777777">
            <w:pPr>
              <w:spacing w:line="240" w:lineRule="auto"/>
              <w:ind w:firstLine="0"/>
              <w:rPr>
                <w:rFonts w:ascii="Calibri" w:hAnsi="Calibri" w:eastAsia="Times New Roman" w:cs="Times New Roman"/>
                <w:sz w:val="22"/>
              </w:rPr>
            </w:pPr>
          </w:p>
        </w:tc>
      </w:tr>
      <w:tr w:rsidRPr="00394710" w:rsidR="00394710" w:rsidTr="00394710" w14:paraId="450031E8"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5167E173" w14:textId="77777777">
            <w:pPr>
              <w:keepNext/>
              <w:spacing w:line="240" w:lineRule="auto"/>
              <w:ind w:firstLine="0"/>
              <w:rPr>
                <w:rFonts w:ascii="Calibri" w:hAnsi="Calibri" w:eastAsia="Times New Roman" w:cs="Times New Roman"/>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1940E115" w14:textId="75B926F7">
            <w:pPr>
              <w:keepNext/>
              <w:spacing w:line="240" w:lineRule="auto"/>
              <w:ind w:firstLine="0"/>
              <w:rPr>
                <w:rFonts w:ascii="Calibri" w:hAnsi="Calibri"/>
                <w:b/>
                <w:color w:val="000000"/>
                <w:sz w:val="22"/>
              </w:rPr>
            </w:pPr>
            <w:r w:rsidRPr="00394710">
              <w:rPr>
                <w:rFonts w:ascii="Calibri" w:hAnsi="Calibri" w:eastAsia="Times New Roman" w:cs="Calibri"/>
                <w:b/>
                <w:bCs/>
                <w:color w:val="000000"/>
                <w:sz w:val="22"/>
              </w:rPr>
              <w:t>PCT (Benefit/</w:t>
            </w:r>
            <w:r w:rsidRPr="00394710">
              <w:rPr>
                <w:rFonts w:ascii="Calibri" w:hAnsi="Calibri"/>
                <w:b/>
                <w:color w:val="000000"/>
                <w:sz w:val="22"/>
              </w:rPr>
              <w:t xml:space="preserve">Cost </w:t>
            </w:r>
            <w:r w:rsidRPr="00394710">
              <w:rPr>
                <w:rFonts w:ascii="Calibri" w:hAnsi="Calibri" w:eastAsia="Times New Roman" w:cs="Calibri"/>
                <w:b/>
                <w:bCs/>
                <w:color w:val="000000"/>
                <w:sz w:val="22"/>
              </w:rPr>
              <w:t>Ratio</w:t>
            </w:r>
            <w:r w:rsidRPr="00394710">
              <w:rPr>
                <w:rFonts w:ascii="Calibri" w:hAnsi="Calibri"/>
                <w:b/>
                <w:color w:val="000000"/>
                <w:sz w:val="22"/>
              </w:rPr>
              <w:t>)</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6907901C"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623065D3"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394710" w:rsidRDefault="00394710" w14:paraId="75BF3FD1"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r>
      <w:tr w:rsidRPr="00394710" w:rsidR="00394710" w:rsidTr="00394710" w14:paraId="5483FC9F"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33876A39"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6D02D77C"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21119487"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3A7BC8D9"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39D5037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3BF22BB8"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77915E37"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667F443D"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B69C841"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64343543"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41EC2867" w14:textId="737864C2">
            <w:pPr>
              <w:keepNext/>
              <w:spacing w:line="240" w:lineRule="auto"/>
              <w:ind w:firstLine="0"/>
              <w:jc w:val="right"/>
              <w:rPr>
                <w:rFonts w:ascii="Calibri" w:hAnsi="Calibri"/>
                <w:color w:val="000000"/>
                <w:sz w:val="22"/>
              </w:rPr>
            </w:pPr>
            <w:r w:rsidRPr="00394710">
              <w:rPr>
                <w:rFonts w:ascii="Calibri" w:hAnsi="Calibri"/>
                <w:color w:val="000000"/>
                <w:sz w:val="22"/>
              </w:rPr>
              <w:t>1.</w:t>
            </w:r>
            <w:r w:rsidRPr="00394710">
              <w:rPr>
                <w:rFonts w:ascii="Calibri" w:hAnsi="Calibri" w:eastAsia="Times New Roman" w:cs="Calibri"/>
                <w:color w:val="000000"/>
                <w:sz w:val="22"/>
              </w:rPr>
              <w:t>57</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BD6C1D3" w14:textId="77777777">
            <w:pPr>
              <w:keepNext/>
              <w:spacing w:line="240" w:lineRule="auto"/>
              <w:ind w:firstLine="0"/>
              <w:jc w:val="right"/>
              <w:rPr>
                <w:rFonts w:ascii="Calibri" w:hAnsi="Calibri"/>
                <w:color w:val="000000"/>
                <w:sz w:val="22"/>
              </w:rPr>
            </w:pPr>
            <w:r w:rsidRPr="00394710">
              <w:rPr>
                <w:rFonts w:ascii="Calibri" w:hAnsi="Calibri"/>
                <w:color w:val="000000"/>
                <w:sz w:val="22"/>
              </w:rPr>
              <w:t>1.57</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18D67D4B" w14:textId="77777777">
            <w:pPr>
              <w:keepNext/>
              <w:spacing w:line="240" w:lineRule="auto"/>
              <w:ind w:firstLine="0"/>
              <w:jc w:val="right"/>
              <w:rPr>
                <w:rFonts w:ascii="Calibri" w:hAnsi="Calibri"/>
                <w:color w:val="000000"/>
                <w:sz w:val="22"/>
              </w:rPr>
            </w:pPr>
            <w:r w:rsidRPr="00394710">
              <w:rPr>
                <w:rFonts w:ascii="Calibri" w:hAnsi="Calibri"/>
                <w:color w:val="000000"/>
                <w:sz w:val="22"/>
              </w:rPr>
              <w:t>2.49</w:t>
            </w:r>
          </w:p>
        </w:tc>
      </w:tr>
      <w:tr w:rsidRPr="00394710" w:rsidR="00394710" w:rsidTr="00394710" w14:paraId="301E4E30"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1ED8581F"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6CB965B7"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1F801020"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0EF74BCF" w14:textId="6CBE596A">
            <w:pPr>
              <w:keepNext/>
              <w:spacing w:line="240" w:lineRule="auto"/>
              <w:ind w:firstLine="0"/>
              <w:jc w:val="right"/>
              <w:rPr>
                <w:rFonts w:ascii="Calibri" w:hAnsi="Calibri"/>
                <w:color w:val="000000"/>
                <w:sz w:val="22"/>
              </w:rPr>
            </w:pPr>
            <w:r w:rsidRPr="00394710">
              <w:rPr>
                <w:rFonts w:ascii="Calibri" w:hAnsi="Calibri"/>
                <w:color w:val="000000"/>
                <w:sz w:val="22"/>
              </w:rPr>
              <w:t>1.</w:t>
            </w:r>
            <w:r w:rsidRPr="00394710">
              <w:rPr>
                <w:rFonts w:ascii="Calibri" w:hAnsi="Calibri" w:eastAsia="Times New Roman" w:cs="Calibri"/>
                <w:color w:val="000000"/>
                <w:sz w:val="22"/>
              </w:rPr>
              <w:t>33</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4023EFCF" w14:textId="77777777">
            <w:pPr>
              <w:keepNext/>
              <w:spacing w:line="240" w:lineRule="auto"/>
              <w:ind w:firstLine="0"/>
              <w:jc w:val="right"/>
              <w:rPr>
                <w:rFonts w:ascii="Calibri" w:hAnsi="Calibri"/>
                <w:color w:val="000000"/>
                <w:sz w:val="22"/>
              </w:rPr>
            </w:pPr>
            <w:r w:rsidRPr="00394710">
              <w:rPr>
                <w:rFonts w:ascii="Calibri" w:hAnsi="Calibri"/>
                <w:color w:val="000000"/>
                <w:sz w:val="22"/>
              </w:rPr>
              <w:t>1.37</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3DB3A719" w14:textId="77777777">
            <w:pPr>
              <w:keepNext/>
              <w:spacing w:line="240" w:lineRule="auto"/>
              <w:ind w:firstLine="0"/>
              <w:jc w:val="right"/>
              <w:rPr>
                <w:rFonts w:ascii="Calibri" w:hAnsi="Calibri"/>
                <w:color w:val="000000"/>
                <w:sz w:val="22"/>
              </w:rPr>
            </w:pPr>
            <w:r w:rsidRPr="00394710">
              <w:rPr>
                <w:rFonts w:ascii="Calibri" w:hAnsi="Calibri"/>
                <w:color w:val="000000"/>
                <w:sz w:val="22"/>
              </w:rPr>
              <w:t>1.75</w:t>
            </w:r>
          </w:p>
        </w:tc>
      </w:tr>
      <w:tr w:rsidRPr="00394710" w:rsidR="00394710" w:rsidTr="00394710" w14:paraId="10C51E62"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15AA54B1"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427FC831"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3B2FDAFD"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35F0F7EC" w14:textId="5D7929EC">
            <w:pPr>
              <w:spacing w:line="240" w:lineRule="auto"/>
              <w:ind w:firstLine="0"/>
              <w:jc w:val="right"/>
              <w:rPr>
                <w:rFonts w:ascii="Calibri" w:hAnsi="Calibri"/>
                <w:color w:val="000000"/>
                <w:sz w:val="22"/>
              </w:rPr>
            </w:pPr>
            <w:r w:rsidRPr="00394710">
              <w:rPr>
                <w:rFonts w:ascii="Calibri" w:hAnsi="Calibri"/>
                <w:color w:val="000000"/>
                <w:sz w:val="22"/>
              </w:rPr>
              <w:t>1.</w:t>
            </w:r>
            <w:r w:rsidRPr="00394710">
              <w:rPr>
                <w:rFonts w:ascii="Calibri" w:hAnsi="Calibri" w:eastAsia="Times New Roman" w:cs="Calibri"/>
                <w:color w:val="000000"/>
                <w:sz w:val="22"/>
              </w:rPr>
              <w:t>81</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7863F4AB" w14:textId="77777777">
            <w:pPr>
              <w:spacing w:line="240" w:lineRule="auto"/>
              <w:ind w:firstLine="0"/>
              <w:jc w:val="right"/>
              <w:rPr>
                <w:rFonts w:ascii="Calibri" w:hAnsi="Calibri"/>
                <w:color w:val="000000"/>
                <w:sz w:val="22"/>
              </w:rPr>
            </w:pPr>
            <w:r w:rsidRPr="00394710">
              <w:rPr>
                <w:rFonts w:ascii="Calibri" w:hAnsi="Calibri"/>
                <w:color w:val="000000"/>
                <w:sz w:val="22"/>
              </w:rPr>
              <w:t>1.64</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2DAE3F74" w14:textId="77777777">
            <w:pPr>
              <w:spacing w:line="240" w:lineRule="auto"/>
              <w:ind w:firstLine="0"/>
              <w:jc w:val="right"/>
              <w:rPr>
                <w:rFonts w:ascii="Calibri" w:hAnsi="Calibri"/>
                <w:color w:val="000000"/>
                <w:sz w:val="22"/>
              </w:rPr>
            </w:pPr>
            <w:r w:rsidRPr="00394710">
              <w:rPr>
                <w:rFonts w:ascii="Calibri" w:hAnsi="Calibri"/>
                <w:color w:val="000000"/>
                <w:sz w:val="22"/>
              </w:rPr>
              <w:t>1.97</w:t>
            </w:r>
          </w:p>
        </w:tc>
      </w:tr>
      <w:tr w:rsidRPr="00394710" w:rsidR="00394710" w:rsidTr="00A0614A" w14:paraId="6D4E9CFA"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752B55E3"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1A8ADFD3"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5CB96CF4"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5095BB89"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1B484A04"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F4C4DBA" w14:textId="77777777">
            <w:pPr>
              <w:spacing w:line="240" w:lineRule="auto"/>
              <w:ind w:firstLine="0"/>
              <w:rPr>
                <w:rFonts w:ascii="Calibri" w:hAnsi="Calibri" w:eastAsia="Times New Roman" w:cs="Times New Roman"/>
                <w:sz w:val="22"/>
              </w:rPr>
            </w:pPr>
          </w:p>
        </w:tc>
      </w:tr>
      <w:tr w:rsidRPr="00394710" w:rsidR="00394710" w:rsidTr="00394710" w14:paraId="2822689B" w14:textId="77777777">
        <w:tc>
          <w:tcPr>
            <w:tcW w:w="1500" w:type="dxa"/>
            <w:tcBorders>
              <w:top w:val="nil"/>
              <w:left w:val="nil"/>
              <w:bottom w:val="nil"/>
              <w:right w:val="nil"/>
            </w:tcBorders>
            <w:shd w:val="clear" w:color="auto" w:fill="auto"/>
            <w:noWrap/>
            <w:vAlign w:val="bottom"/>
            <w:hideMark/>
          </w:tcPr>
          <w:p w:rsidRPr="00A0614A" w:rsidR="00394710" w:rsidP="00394710" w:rsidRDefault="00394710" w14:paraId="7BE91CCD" w14:textId="77777777">
            <w:pPr>
              <w:keepNext/>
              <w:spacing w:line="240" w:lineRule="auto"/>
              <w:ind w:firstLine="0"/>
              <w:rPr>
                <w:rFonts w:ascii="Calibri" w:hAnsi="Calibri"/>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A0614A" w:rsidRDefault="00394710" w14:paraId="3902D996" w14:textId="5897453D">
            <w:pPr>
              <w:keepNext/>
              <w:spacing w:line="240" w:lineRule="auto"/>
              <w:ind w:firstLine="0"/>
              <w:rPr>
                <w:rFonts w:ascii="Calibri" w:hAnsi="Calibri"/>
                <w:b/>
                <w:color w:val="000000"/>
                <w:sz w:val="22"/>
              </w:rPr>
            </w:pPr>
            <w:r w:rsidRPr="00394710">
              <w:rPr>
                <w:rFonts w:ascii="Calibri" w:hAnsi="Calibri" w:eastAsia="Times New Roman" w:cs="Calibri"/>
                <w:b/>
                <w:bCs/>
                <w:color w:val="000000"/>
                <w:sz w:val="22"/>
              </w:rPr>
              <w:t>RIM (Benefit/Cost Ratio)</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3D6225BC"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394710" w:rsidRDefault="00394710" w14:paraId="794E79C1"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394710" w:rsidRDefault="00394710" w14:paraId="52A1E6DC"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r>
      <w:tr w:rsidRPr="00394710" w:rsidR="00394710" w:rsidTr="00394710" w14:paraId="7608EA53"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4B13BE40"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4F768314"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08F6A57"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68EF3770"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3C2EA77E"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64DC648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210DE5BB"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4F127234"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11B41F11"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4618916A"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78F58DD" w14:textId="3D5F5E7C">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31</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150E975" w14:textId="77777777">
            <w:pPr>
              <w:keepNext/>
              <w:spacing w:line="240" w:lineRule="auto"/>
              <w:ind w:firstLine="0"/>
              <w:jc w:val="right"/>
              <w:rPr>
                <w:rFonts w:ascii="Calibri" w:hAnsi="Calibri"/>
                <w:color w:val="000000"/>
                <w:sz w:val="22"/>
              </w:rPr>
            </w:pPr>
            <w:r w:rsidRPr="00394710">
              <w:rPr>
                <w:rFonts w:ascii="Calibri" w:hAnsi="Calibri"/>
                <w:color w:val="000000"/>
                <w:sz w:val="22"/>
              </w:rPr>
              <w:t>0.38</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6818F8CE" w14:textId="77777777">
            <w:pPr>
              <w:keepNext/>
              <w:spacing w:line="240" w:lineRule="auto"/>
              <w:ind w:firstLine="0"/>
              <w:jc w:val="right"/>
              <w:rPr>
                <w:rFonts w:ascii="Calibri" w:hAnsi="Calibri"/>
                <w:color w:val="000000"/>
                <w:sz w:val="22"/>
              </w:rPr>
            </w:pPr>
            <w:r w:rsidRPr="00394710">
              <w:rPr>
                <w:rFonts w:ascii="Calibri" w:hAnsi="Calibri"/>
                <w:color w:val="000000"/>
                <w:sz w:val="22"/>
              </w:rPr>
              <w:t>0.23</w:t>
            </w:r>
          </w:p>
        </w:tc>
      </w:tr>
      <w:tr w:rsidRPr="00394710" w:rsidR="00394710" w:rsidTr="00394710" w14:paraId="432C7DFD"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2D330A2E"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1A1A58FC"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7FD47FF4"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63DADA0" w14:textId="0EB8A200">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36</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573AA1E0" w14:textId="77777777">
            <w:pPr>
              <w:keepNext/>
              <w:spacing w:line="240" w:lineRule="auto"/>
              <w:ind w:firstLine="0"/>
              <w:jc w:val="right"/>
              <w:rPr>
                <w:rFonts w:ascii="Calibri" w:hAnsi="Calibri"/>
                <w:color w:val="000000"/>
                <w:sz w:val="22"/>
              </w:rPr>
            </w:pPr>
            <w:r w:rsidRPr="00394710">
              <w:rPr>
                <w:rFonts w:ascii="Calibri" w:hAnsi="Calibri"/>
                <w:color w:val="000000"/>
                <w:sz w:val="22"/>
              </w:rPr>
              <w:t>0.44</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7F60E48A" w14:textId="77777777">
            <w:pPr>
              <w:keepNext/>
              <w:spacing w:line="240" w:lineRule="auto"/>
              <w:ind w:firstLine="0"/>
              <w:jc w:val="right"/>
              <w:rPr>
                <w:rFonts w:ascii="Calibri" w:hAnsi="Calibri"/>
                <w:color w:val="000000"/>
                <w:sz w:val="22"/>
              </w:rPr>
            </w:pPr>
            <w:r w:rsidRPr="00394710">
              <w:rPr>
                <w:rFonts w:ascii="Calibri" w:hAnsi="Calibri"/>
                <w:color w:val="000000"/>
                <w:sz w:val="22"/>
              </w:rPr>
              <w:t>0.33</w:t>
            </w:r>
          </w:p>
        </w:tc>
      </w:tr>
      <w:tr w:rsidRPr="00394710" w:rsidR="00394710" w:rsidTr="00394710" w14:paraId="0356FB14"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1CEA367E"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6039429C"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FBD356A"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68B6D5B5" w14:textId="5C2BA381">
            <w:pPr>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28</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4931756B" w14:textId="77777777">
            <w:pPr>
              <w:spacing w:line="240" w:lineRule="auto"/>
              <w:ind w:firstLine="0"/>
              <w:jc w:val="right"/>
              <w:rPr>
                <w:rFonts w:ascii="Calibri" w:hAnsi="Calibri"/>
                <w:color w:val="000000"/>
                <w:sz w:val="22"/>
              </w:rPr>
            </w:pPr>
            <w:r w:rsidRPr="00394710">
              <w:rPr>
                <w:rFonts w:ascii="Calibri" w:hAnsi="Calibri"/>
                <w:color w:val="000000"/>
                <w:sz w:val="22"/>
              </w:rPr>
              <w:t>0.39</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9725C98" w14:textId="77777777">
            <w:pPr>
              <w:spacing w:line="240" w:lineRule="auto"/>
              <w:ind w:firstLine="0"/>
              <w:jc w:val="right"/>
              <w:rPr>
                <w:rFonts w:ascii="Calibri" w:hAnsi="Calibri"/>
                <w:color w:val="000000"/>
                <w:sz w:val="22"/>
              </w:rPr>
            </w:pPr>
            <w:r w:rsidRPr="00394710">
              <w:rPr>
                <w:rFonts w:ascii="Calibri" w:hAnsi="Calibri"/>
                <w:color w:val="000000"/>
                <w:sz w:val="22"/>
              </w:rPr>
              <w:t>0.31</w:t>
            </w:r>
          </w:p>
        </w:tc>
      </w:tr>
      <w:tr w:rsidRPr="00394710" w:rsidR="00394710" w:rsidTr="00A0614A" w14:paraId="0CE9C318"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3AEAE929"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60FF9AE4"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48E6043B"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3B3D1863"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31DD5659"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34659A5" w14:textId="77777777">
            <w:pPr>
              <w:spacing w:line="240" w:lineRule="auto"/>
              <w:ind w:firstLine="0"/>
              <w:rPr>
                <w:rFonts w:ascii="Calibri" w:hAnsi="Calibri" w:eastAsia="Times New Roman" w:cs="Times New Roman"/>
                <w:sz w:val="22"/>
              </w:rPr>
            </w:pPr>
          </w:p>
        </w:tc>
      </w:tr>
      <w:tr w:rsidRPr="00394710" w:rsidR="00394710" w:rsidTr="00394710" w14:paraId="7C885690"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EEE3360" w14:textId="77777777">
            <w:pPr>
              <w:keepNext/>
              <w:spacing w:line="240" w:lineRule="auto"/>
              <w:ind w:firstLine="0"/>
              <w:rPr>
                <w:rFonts w:ascii="Calibri" w:hAnsi="Calibri" w:eastAsia="Times New Roman" w:cs="Times New Roman"/>
                <w:sz w:val="22"/>
              </w:rPr>
            </w:pPr>
          </w:p>
        </w:tc>
        <w:tc>
          <w:tcPr>
            <w:tcW w:w="334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1335EAE8" w14:textId="705D4F84">
            <w:pPr>
              <w:keepNext/>
              <w:spacing w:line="240" w:lineRule="auto"/>
              <w:ind w:firstLine="0"/>
              <w:rPr>
                <w:rFonts w:ascii="Calibri" w:hAnsi="Calibri"/>
                <w:b/>
                <w:color w:val="000000"/>
                <w:sz w:val="22"/>
              </w:rPr>
            </w:pPr>
            <w:proofErr w:type="spellStart"/>
            <w:r w:rsidRPr="00394710">
              <w:rPr>
                <w:rFonts w:ascii="Calibri" w:hAnsi="Calibri" w:eastAsia="Times New Roman" w:cs="Calibri"/>
                <w:b/>
                <w:bCs/>
                <w:color w:val="000000"/>
                <w:sz w:val="22"/>
              </w:rPr>
              <w:t>TRC</w:t>
            </w:r>
            <w:proofErr w:type="spellEnd"/>
            <w:r w:rsidRPr="00394710">
              <w:rPr>
                <w:rFonts w:ascii="Calibri" w:hAnsi="Calibri" w:eastAsia="Times New Roman" w:cs="Calibri"/>
                <w:b/>
                <w:bCs/>
                <w:color w:val="000000"/>
                <w:sz w:val="22"/>
              </w:rPr>
              <w:t xml:space="preserve"> (Benefit/</w:t>
            </w:r>
            <w:r w:rsidRPr="00394710">
              <w:rPr>
                <w:rFonts w:ascii="Calibri" w:hAnsi="Calibri"/>
                <w:b/>
                <w:color w:val="000000"/>
                <w:sz w:val="22"/>
              </w:rPr>
              <w:t xml:space="preserve">Cost </w:t>
            </w:r>
            <w:r w:rsidRPr="00394710">
              <w:rPr>
                <w:rFonts w:ascii="Calibri" w:hAnsi="Calibri" w:eastAsia="Times New Roman" w:cs="Calibri"/>
                <w:b/>
                <w:bCs/>
                <w:color w:val="000000"/>
                <w:sz w:val="22"/>
              </w:rPr>
              <w:t>Ratio</w:t>
            </w:r>
            <w:r w:rsidRPr="00394710">
              <w:rPr>
                <w:rFonts w:ascii="Calibri" w:hAnsi="Calibri"/>
                <w:b/>
                <w:color w:val="000000"/>
                <w:sz w:val="22"/>
              </w:rPr>
              <w:t>)</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168171AB"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7EF2671D"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394710" w:rsidRDefault="00394710" w14:paraId="346AB401"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r>
      <w:tr w:rsidRPr="00394710" w:rsidR="00394710" w:rsidTr="00394710" w14:paraId="3C5CD9D6"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156DC81A"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2FA2559A"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1BACBB7"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7625EBFE"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27DB582D"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24D28C4B"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413D9554"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511DB03F"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7AFF41FE"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2D9396B3"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2091A63" w14:textId="46C06A99">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48</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0245F4C7" w14:textId="77777777">
            <w:pPr>
              <w:keepNext/>
              <w:spacing w:line="240" w:lineRule="auto"/>
              <w:ind w:firstLine="0"/>
              <w:jc w:val="right"/>
              <w:rPr>
                <w:rFonts w:ascii="Calibri" w:hAnsi="Calibri"/>
                <w:color w:val="000000"/>
                <w:sz w:val="22"/>
              </w:rPr>
            </w:pPr>
            <w:r w:rsidRPr="00394710">
              <w:rPr>
                <w:rFonts w:ascii="Calibri" w:hAnsi="Calibri"/>
                <w:color w:val="000000"/>
                <w:sz w:val="22"/>
              </w:rPr>
              <w:t>0.60</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50CC1B3B" w14:textId="77777777">
            <w:pPr>
              <w:keepNext/>
              <w:spacing w:line="240" w:lineRule="auto"/>
              <w:ind w:firstLine="0"/>
              <w:jc w:val="right"/>
              <w:rPr>
                <w:rFonts w:ascii="Calibri" w:hAnsi="Calibri"/>
                <w:color w:val="000000"/>
                <w:sz w:val="22"/>
              </w:rPr>
            </w:pPr>
            <w:r w:rsidRPr="00394710">
              <w:rPr>
                <w:rFonts w:ascii="Calibri" w:hAnsi="Calibri"/>
                <w:color w:val="000000"/>
                <w:sz w:val="22"/>
              </w:rPr>
              <w:t>0.57</w:t>
            </w:r>
          </w:p>
        </w:tc>
      </w:tr>
      <w:tr w:rsidRPr="00394710" w:rsidR="00394710" w:rsidTr="00394710" w14:paraId="0C496355"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296A1C3"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17C8A569"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077E7275"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8F9A6A8" w14:textId="5EC63BEF">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48</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C7B3EB1" w14:textId="77777777">
            <w:pPr>
              <w:keepNext/>
              <w:spacing w:line="240" w:lineRule="auto"/>
              <w:ind w:firstLine="0"/>
              <w:jc w:val="right"/>
              <w:rPr>
                <w:rFonts w:ascii="Calibri" w:hAnsi="Calibri"/>
                <w:color w:val="000000"/>
                <w:sz w:val="22"/>
              </w:rPr>
            </w:pPr>
            <w:r w:rsidRPr="00394710">
              <w:rPr>
                <w:rFonts w:ascii="Calibri" w:hAnsi="Calibri"/>
                <w:color w:val="000000"/>
                <w:sz w:val="22"/>
              </w:rPr>
              <w:t>0.60</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5F20E6F6" w14:textId="77777777">
            <w:pPr>
              <w:keepNext/>
              <w:spacing w:line="240" w:lineRule="auto"/>
              <w:ind w:firstLine="0"/>
              <w:jc w:val="right"/>
              <w:rPr>
                <w:rFonts w:ascii="Calibri" w:hAnsi="Calibri"/>
                <w:color w:val="000000"/>
                <w:sz w:val="22"/>
              </w:rPr>
            </w:pPr>
            <w:r w:rsidRPr="00394710">
              <w:rPr>
                <w:rFonts w:ascii="Calibri" w:hAnsi="Calibri"/>
                <w:color w:val="000000"/>
                <w:sz w:val="22"/>
              </w:rPr>
              <w:t>0.57</w:t>
            </w:r>
          </w:p>
        </w:tc>
      </w:tr>
      <w:tr w:rsidRPr="00394710" w:rsidR="00394710" w:rsidTr="00394710" w14:paraId="750C9835"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6745FEF"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69914C88"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631EF3A"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44B3342D" w14:textId="75F61D2F">
            <w:pPr>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51</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29E56D5A" w14:textId="77777777">
            <w:pPr>
              <w:spacing w:line="240" w:lineRule="auto"/>
              <w:ind w:firstLine="0"/>
              <w:jc w:val="right"/>
              <w:rPr>
                <w:rFonts w:ascii="Calibri" w:hAnsi="Calibri"/>
                <w:color w:val="000000"/>
                <w:sz w:val="22"/>
              </w:rPr>
            </w:pPr>
            <w:r w:rsidRPr="00394710">
              <w:rPr>
                <w:rFonts w:ascii="Calibri" w:hAnsi="Calibri"/>
                <w:color w:val="000000"/>
                <w:sz w:val="22"/>
              </w:rPr>
              <w:t>0.64</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61A0E8B7" w14:textId="77777777">
            <w:pPr>
              <w:spacing w:line="240" w:lineRule="auto"/>
              <w:ind w:firstLine="0"/>
              <w:jc w:val="right"/>
              <w:rPr>
                <w:rFonts w:ascii="Calibri" w:hAnsi="Calibri"/>
                <w:color w:val="000000"/>
                <w:sz w:val="22"/>
              </w:rPr>
            </w:pPr>
            <w:r w:rsidRPr="00394710">
              <w:rPr>
                <w:rFonts w:ascii="Calibri" w:hAnsi="Calibri"/>
                <w:color w:val="000000"/>
                <w:sz w:val="22"/>
              </w:rPr>
              <w:t>0.61</w:t>
            </w:r>
          </w:p>
        </w:tc>
      </w:tr>
      <w:tr w:rsidRPr="00394710" w:rsidR="00394710" w:rsidTr="00F3775C" w14:paraId="6A65AF29" w14:textId="77777777">
        <w:tc>
          <w:tcPr>
            <w:tcW w:w="1500" w:type="dxa"/>
            <w:tcBorders>
              <w:top w:val="nil"/>
              <w:left w:val="nil"/>
              <w:bottom w:val="nil"/>
              <w:right w:val="nil"/>
            </w:tcBorders>
            <w:shd w:val="clear" w:color="auto" w:fill="auto"/>
            <w:noWrap/>
            <w:vAlign w:val="bottom"/>
            <w:hideMark/>
          </w:tcPr>
          <w:p w:rsidRPr="00394710" w:rsidR="00394710" w:rsidP="00A0614A" w:rsidRDefault="00394710" w14:paraId="7F382063" w14:textId="77777777">
            <w:pPr>
              <w:spacing w:line="240" w:lineRule="auto"/>
              <w:ind w:firstLine="0"/>
              <w:rPr>
                <w:rFonts w:ascii="Calibri" w:hAnsi="Calibri"/>
                <w:color w:val="000000"/>
                <w:sz w:val="22"/>
              </w:rPr>
            </w:pPr>
          </w:p>
        </w:tc>
        <w:tc>
          <w:tcPr>
            <w:tcW w:w="1920" w:type="dxa"/>
            <w:tcBorders>
              <w:top w:val="nil"/>
              <w:left w:val="nil"/>
              <w:bottom w:val="nil"/>
              <w:right w:val="nil"/>
            </w:tcBorders>
            <w:shd w:val="clear" w:color="auto" w:fill="auto"/>
            <w:noWrap/>
            <w:vAlign w:val="bottom"/>
            <w:hideMark/>
          </w:tcPr>
          <w:p w:rsidRPr="00394710" w:rsidR="00394710" w:rsidP="00394710" w:rsidRDefault="00394710" w14:paraId="273F6EFA" w14:textId="77777777">
            <w:pPr>
              <w:spacing w:line="240" w:lineRule="auto"/>
              <w:ind w:firstLine="0"/>
              <w:rPr>
                <w:rFonts w:ascii="Calibri" w:hAnsi="Calibri" w:eastAsia="Times New Roman" w:cs="Times New Roman"/>
                <w:sz w:val="22"/>
              </w:rPr>
            </w:pPr>
          </w:p>
        </w:tc>
        <w:tc>
          <w:tcPr>
            <w:tcW w:w="1420" w:type="dxa"/>
            <w:tcBorders>
              <w:top w:val="nil"/>
              <w:left w:val="nil"/>
              <w:bottom w:val="nil"/>
              <w:right w:val="nil"/>
            </w:tcBorders>
            <w:shd w:val="clear" w:color="auto" w:fill="auto"/>
            <w:noWrap/>
            <w:vAlign w:val="bottom"/>
            <w:hideMark/>
          </w:tcPr>
          <w:p w:rsidRPr="00394710" w:rsidR="00394710" w:rsidP="00394710" w:rsidRDefault="00394710" w14:paraId="47912DC8"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27963E01"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A0614A" w:rsidRDefault="00394710" w14:paraId="49D578DD" w14:textId="77777777">
            <w:pPr>
              <w:spacing w:line="240" w:lineRule="auto"/>
              <w:ind w:firstLine="0"/>
              <w:rPr>
                <w:rFonts w:ascii="Calibri" w:hAnsi="Calibri" w:eastAsia="Times New Roman" w:cs="Times New Roman"/>
                <w:sz w:val="22"/>
              </w:rPr>
            </w:pP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1D8AA196" w14:textId="77777777">
            <w:pPr>
              <w:spacing w:line="240" w:lineRule="auto"/>
              <w:ind w:firstLine="0"/>
              <w:rPr>
                <w:rFonts w:ascii="Calibri" w:hAnsi="Calibri" w:eastAsia="Times New Roman" w:cs="Times New Roman"/>
                <w:sz w:val="22"/>
              </w:rPr>
            </w:pPr>
          </w:p>
        </w:tc>
      </w:tr>
      <w:tr w:rsidRPr="00394710" w:rsidR="00394710" w:rsidTr="00394710" w14:paraId="09F7FF5D"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59FDB686" w14:textId="77777777">
            <w:pPr>
              <w:keepNext/>
              <w:spacing w:line="240" w:lineRule="auto"/>
              <w:ind w:firstLine="0"/>
              <w:rPr>
                <w:rFonts w:ascii="Calibri" w:hAnsi="Calibri" w:eastAsia="Times New Roman" w:cs="Times New Roman"/>
                <w:sz w:val="22"/>
              </w:rPr>
            </w:pPr>
          </w:p>
        </w:tc>
        <w:tc>
          <w:tcPr>
            <w:tcW w:w="4681" w:type="dxa"/>
            <w:gridSpan w:val="3"/>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A0614A" w:rsidRDefault="00394710" w14:paraId="75500B77" w14:textId="77777777">
            <w:pPr>
              <w:keepNext/>
              <w:spacing w:line="240" w:lineRule="auto"/>
              <w:ind w:firstLine="0"/>
              <w:rPr>
                <w:rFonts w:ascii="Calibri" w:hAnsi="Calibri"/>
                <w:b/>
                <w:color w:val="000000"/>
                <w:sz w:val="22"/>
              </w:rPr>
            </w:pPr>
            <w:r w:rsidRPr="00394710">
              <w:rPr>
                <w:rFonts w:ascii="Calibri" w:hAnsi="Calibri"/>
                <w:b/>
                <w:color w:val="000000"/>
                <w:sz w:val="22"/>
              </w:rPr>
              <w:t>Modeled Solar System Size (kW-AC) </w:t>
            </w:r>
          </w:p>
        </w:tc>
        <w:tc>
          <w:tcPr>
            <w:tcW w:w="1341"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1AD4DDCD"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341"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734DC7D4"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49AD4EC3"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0A0C4344" w14:textId="77777777">
            <w:pPr>
              <w:keepNext/>
              <w:spacing w:line="240" w:lineRule="auto"/>
              <w:ind w:firstLine="0"/>
              <w:rPr>
                <w:rFonts w:ascii="Calibri" w:hAnsi="Calibri" w:eastAsia="Times New Roman" w:cs="Calibri"/>
                <w:b/>
                <w:bCs/>
                <w:color w:val="000000"/>
                <w:sz w:val="22"/>
              </w:rPr>
            </w:pPr>
          </w:p>
        </w:tc>
        <w:tc>
          <w:tcPr>
            <w:tcW w:w="1920"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137D4F30"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420"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4953A2DA"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289B6ACD"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341"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6D5CF9A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341"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22E1C0C7"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6ACE2A3A"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18B358B9" w14:textId="77777777">
            <w:pPr>
              <w:keepNext/>
              <w:spacing w:line="240" w:lineRule="auto"/>
              <w:ind w:firstLine="0"/>
              <w:rPr>
                <w:rFonts w:ascii="Calibri" w:hAnsi="Calibri" w:eastAsia="Times New Roman" w:cs="Calibri"/>
                <w:b/>
                <w:bCs/>
                <w:color w:val="FFFFFF"/>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35F686E"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6E3618C7"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2C617BD0" w14:textId="77777777">
            <w:pPr>
              <w:keepNext/>
              <w:spacing w:line="240" w:lineRule="auto"/>
              <w:ind w:firstLine="0"/>
              <w:jc w:val="right"/>
              <w:rPr>
                <w:rFonts w:ascii="Calibri" w:hAnsi="Calibri"/>
                <w:color w:val="000000"/>
                <w:sz w:val="22"/>
              </w:rPr>
            </w:pPr>
            <w:r w:rsidRPr="00394710">
              <w:rPr>
                <w:rFonts w:ascii="Calibri" w:hAnsi="Calibri"/>
                <w:color w:val="000000"/>
                <w:sz w:val="22"/>
              </w:rPr>
              <w:t>3.78</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2D7953C"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1384DAE4"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r>
      <w:tr w:rsidRPr="00394710" w:rsidR="00394710" w:rsidTr="00394710" w14:paraId="40937B73"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0236E544" w14:textId="77777777">
            <w:pPr>
              <w:keepNext/>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F060E4A"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420" w:type="dxa"/>
            <w:tcBorders>
              <w:top w:val="nil"/>
              <w:left w:val="nil"/>
              <w:bottom w:val="nil"/>
              <w:right w:val="single" w:color="auto" w:sz="4" w:space="0"/>
            </w:tcBorders>
            <w:shd w:val="clear" w:color="auto" w:fill="auto"/>
            <w:noWrap/>
            <w:vAlign w:val="bottom"/>
            <w:hideMark/>
          </w:tcPr>
          <w:p w:rsidRPr="00394710" w:rsidR="00394710" w:rsidP="00394710" w:rsidRDefault="00394710" w14:paraId="765EE348"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31422D0E" w14:textId="77777777">
            <w:pPr>
              <w:keepNext/>
              <w:spacing w:line="240" w:lineRule="auto"/>
              <w:ind w:firstLine="0"/>
              <w:jc w:val="right"/>
              <w:rPr>
                <w:rFonts w:ascii="Calibri" w:hAnsi="Calibri"/>
                <w:color w:val="000000"/>
                <w:sz w:val="22"/>
              </w:rPr>
            </w:pPr>
            <w:r w:rsidRPr="00394710">
              <w:rPr>
                <w:rFonts w:ascii="Calibri" w:hAnsi="Calibri"/>
                <w:color w:val="000000"/>
                <w:sz w:val="22"/>
              </w:rPr>
              <w:t>3.78</w:t>
            </w:r>
          </w:p>
        </w:tc>
        <w:tc>
          <w:tcPr>
            <w:tcW w:w="1341" w:type="dxa"/>
            <w:tcBorders>
              <w:top w:val="nil"/>
              <w:left w:val="nil"/>
              <w:bottom w:val="nil"/>
              <w:right w:val="nil"/>
            </w:tcBorders>
            <w:shd w:val="clear" w:color="auto" w:fill="auto"/>
            <w:noWrap/>
            <w:vAlign w:val="bottom"/>
            <w:hideMark/>
          </w:tcPr>
          <w:p w:rsidRPr="00394710" w:rsidR="00394710" w:rsidP="00394710" w:rsidRDefault="00394710" w14:paraId="52C73B24"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c>
          <w:tcPr>
            <w:tcW w:w="1341" w:type="dxa"/>
            <w:tcBorders>
              <w:top w:val="nil"/>
              <w:left w:val="nil"/>
              <w:bottom w:val="nil"/>
              <w:right w:val="single" w:color="auto" w:sz="4" w:space="0"/>
            </w:tcBorders>
            <w:shd w:val="clear" w:color="auto" w:fill="auto"/>
            <w:noWrap/>
            <w:vAlign w:val="bottom"/>
            <w:hideMark/>
          </w:tcPr>
          <w:p w:rsidRPr="00394710" w:rsidR="00394710" w:rsidP="00394710" w:rsidRDefault="00394710" w14:paraId="4034B1BD"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r>
      <w:tr w:rsidRPr="00394710" w:rsidR="00394710" w:rsidTr="00394710" w14:paraId="0EC00C47" w14:textId="77777777">
        <w:tc>
          <w:tcPr>
            <w:tcW w:w="1500" w:type="dxa"/>
            <w:tcBorders>
              <w:top w:val="nil"/>
              <w:left w:val="nil"/>
              <w:bottom w:val="nil"/>
              <w:right w:val="nil"/>
            </w:tcBorders>
            <w:shd w:val="clear" w:color="auto" w:fill="auto"/>
            <w:noWrap/>
            <w:vAlign w:val="bottom"/>
            <w:hideMark/>
          </w:tcPr>
          <w:p w:rsidRPr="00394710" w:rsidR="00394710" w:rsidP="00394710" w:rsidRDefault="00394710" w14:paraId="74F3B1CE" w14:textId="77777777">
            <w:pPr>
              <w:spacing w:line="240" w:lineRule="auto"/>
              <w:ind w:firstLine="0"/>
              <w:rPr>
                <w:rFonts w:ascii="Calibri" w:hAnsi="Calibri" w:eastAsia="Times New Roman" w:cs="Calibri"/>
                <w:color w:val="000000"/>
                <w:sz w:val="22"/>
              </w:rPr>
            </w:pPr>
          </w:p>
        </w:tc>
        <w:tc>
          <w:tcPr>
            <w:tcW w:w="1920"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43F93388"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420"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4A3AC072"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4AF5BFA9" w14:textId="77777777">
            <w:pPr>
              <w:spacing w:line="240" w:lineRule="auto"/>
              <w:ind w:firstLine="0"/>
              <w:jc w:val="right"/>
              <w:rPr>
                <w:rFonts w:ascii="Calibri" w:hAnsi="Calibri"/>
                <w:color w:val="000000"/>
                <w:sz w:val="22"/>
              </w:rPr>
            </w:pPr>
            <w:r w:rsidRPr="00394710">
              <w:rPr>
                <w:rFonts w:ascii="Calibri" w:hAnsi="Calibri"/>
                <w:color w:val="000000"/>
                <w:sz w:val="22"/>
              </w:rPr>
              <w:t>8.57</w:t>
            </w:r>
          </w:p>
        </w:tc>
        <w:tc>
          <w:tcPr>
            <w:tcW w:w="1341" w:type="dxa"/>
            <w:tcBorders>
              <w:top w:val="nil"/>
              <w:left w:val="nil"/>
              <w:bottom w:val="single" w:color="auto" w:sz="4" w:space="0"/>
              <w:right w:val="nil"/>
            </w:tcBorders>
            <w:shd w:val="clear" w:color="auto" w:fill="auto"/>
            <w:noWrap/>
            <w:vAlign w:val="bottom"/>
            <w:hideMark/>
          </w:tcPr>
          <w:p w:rsidRPr="00394710" w:rsidR="00394710" w:rsidP="00394710" w:rsidRDefault="00394710" w14:paraId="50C6A5F6" w14:textId="77777777">
            <w:pPr>
              <w:spacing w:line="240" w:lineRule="auto"/>
              <w:ind w:firstLine="0"/>
              <w:jc w:val="right"/>
              <w:rPr>
                <w:rFonts w:ascii="Calibri" w:hAnsi="Calibri"/>
                <w:color w:val="000000"/>
                <w:sz w:val="22"/>
              </w:rPr>
            </w:pPr>
            <w:r w:rsidRPr="00394710">
              <w:rPr>
                <w:rFonts w:ascii="Calibri" w:hAnsi="Calibri"/>
                <w:color w:val="000000"/>
                <w:sz w:val="22"/>
              </w:rPr>
              <w:t>7.95</w:t>
            </w:r>
          </w:p>
        </w:tc>
        <w:tc>
          <w:tcPr>
            <w:tcW w:w="1341"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6FD9B9F6" w14:textId="77777777">
            <w:pPr>
              <w:spacing w:line="240" w:lineRule="auto"/>
              <w:ind w:firstLine="0"/>
              <w:jc w:val="right"/>
              <w:rPr>
                <w:rFonts w:ascii="Calibri" w:hAnsi="Calibri"/>
                <w:color w:val="000000"/>
                <w:sz w:val="22"/>
              </w:rPr>
            </w:pPr>
            <w:r w:rsidRPr="00394710">
              <w:rPr>
                <w:rFonts w:ascii="Calibri" w:hAnsi="Calibri"/>
                <w:color w:val="000000"/>
                <w:sz w:val="22"/>
              </w:rPr>
              <w:t>7.95</w:t>
            </w:r>
          </w:p>
        </w:tc>
      </w:tr>
    </w:tbl>
    <w:p w:rsidRPr="00A0614A" w:rsidR="00394710" w:rsidP="00A0614A" w:rsidRDefault="00394710" w14:paraId="78A3C7A5" w14:textId="77777777">
      <w:pPr>
        <w:spacing w:line="264" w:lineRule="auto"/>
        <w:ind w:firstLine="0"/>
        <w:rPr>
          <w:rFonts w:ascii="Calibri" w:hAnsi="Calibri"/>
          <w:sz w:val="22"/>
        </w:rPr>
      </w:pPr>
    </w:p>
    <w:p w:rsidRPr="00A0614A" w:rsidR="00394710" w:rsidP="00394710" w:rsidRDefault="00394710" w14:paraId="3E2F0C90" w14:textId="77777777">
      <w:pPr>
        <w:spacing w:line="259" w:lineRule="auto"/>
        <w:ind w:firstLine="0"/>
        <w:rPr>
          <w:rFonts w:ascii="Calibri" w:hAnsi="Calibri"/>
          <w:sz w:val="22"/>
        </w:rPr>
      </w:pPr>
      <w:r w:rsidRPr="00A0614A">
        <w:rPr>
          <w:rFonts w:ascii="Calibri" w:hAnsi="Calibri"/>
          <w:sz w:val="22"/>
        </w:rPr>
        <w:br w:type="page"/>
      </w:r>
    </w:p>
    <w:tbl>
      <w:tblPr>
        <w:tblW w:w="9355" w:type="dxa"/>
        <w:tblLook w:val="04A0" w:firstRow="1" w:lastRow="0" w:firstColumn="1" w:lastColumn="0" w:noHBand="0" w:noVBand="1"/>
      </w:tblPr>
      <w:tblGrid>
        <w:gridCol w:w="2084"/>
        <w:gridCol w:w="1825"/>
        <w:gridCol w:w="1655"/>
        <w:gridCol w:w="1276"/>
        <w:gridCol w:w="1218"/>
        <w:gridCol w:w="1297"/>
      </w:tblGrid>
      <w:tr w:rsidRPr="00394710" w:rsidR="00394710" w:rsidTr="00394710" w14:paraId="44A46DF7" w14:textId="77777777">
        <w:tc>
          <w:tcPr>
            <w:tcW w:w="3909" w:type="dxa"/>
            <w:gridSpan w:val="2"/>
            <w:tcBorders>
              <w:top w:val="nil"/>
              <w:left w:val="nil"/>
              <w:bottom w:val="nil"/>
              <w:right w:val="single" w:color="6EA1B6" w:sz="4" w:space="0"/>
            </w:tcBorders>
            <w:shd w:val="clear" w:color="000000" w:fill="034E6E"/>
            <w:noWrap/>
            <w:vAlign w:val="bottom"/>
            <w:hideMark/>
          </w:tcPr>
          <w:p w:rsidRPr="00394710" w:rsidR="00394710" w:rsidP="00394710" w:rsidRDefault="00394710" w14:paraId="2E01C176" w14:textId="77777777">
            <w:pPr>
              <w:keepNext/>
              <w:spacing w:line="240" w:lineRule="auto"/>
              <w:ind w:firstLine="0"/>
              <w:rPr>
                <w:rFonts w:ascii="Calibri" w:hAnsi="Calibri"/>
                <w:b/>
                <w:color w:val="FFFFFF"/>
                <w:sz w:val="22"/>
              </w:rPr>
            </w:pPr>
            <w:proofErr w:type="spellStart"/>
            <w:r w:rsidRPr="00394710">
              <w:rPr>
                <w:rFonts w:ascii="Calibri" w:hAnsi="Calibri" w:eastAsia="Times New Roman" w:cs="Calibri"/>
                <w:b/>
                <w:bCs/>
                <w:color w:val="FFFFFF"/>
                <w:sz w:val="22"/>
                <w:szCs w:val="28"/>
              </w:rPr>
              <w:lastRenderedPageBreak/>
              <w:t>NBT</w:t>
            </w:r>
            <w:proofErr w:type="spellEnd"/>
            <w:r w:rsidRPr="00394710">
              <w:rPr>
                <w:rFonts w:ascii="Calibri" w:hAnsi="Calibri" w:eastAsia="Times New Roman" w:cs="Calibri"/>
                <w:b/>
                <w:bCs/>
                <w:color w:val="FFFFFF"/>
                <w:sz w:val="22"/>
                <w:szCs w:val="28"/>
              </w:rPr>
              <w:t xml:space="preserve"> - </w:t>
            </w:r>
            <w:proofErr w:type="spellStart"/>
            <w:r w:rsidRPr="00394710">
              <w:rPr>
                <w:rFonts w:ascii="Calibri" w:hAnsi="Calibri" w:eastAsia="Times New Roman" w:cs="Calibri"/>
                <w:b/>
                <w:bCs/>
                <w:color w:val="FFFFFF"/>
                <w:sz w:val="22"/>
                <w:szCs w:val="28"/>
              </w:rPr>
              <w:t>Solar+Storage</w:t>
            </w:r>
            <w:proofErr w:type="spellEnd"/>
            <w:r w:rsidRPr="00394710">
              <w:rPr>
                <w:rFonts w:ascii="Calibri" w:hAnsi="Calibri"/>
                <w:b/>
                <w:color w:val="FFFFFF"/>
                <w:sz w:val="22"/>
              </w:rPr>
              <w:t> </w:t>
            </w:r>
          </w:p>
        </w:tc>
        <w:tc>
          <w:tcPr>
            <w:tcW w:w="1655" w:type="dxa"/>
            <w:tcBorders>
              <w:top w:val="single" w:color="034E6E" w:sz="4" w:space="0"/>
              <w:left w:val="single" w:color="034E6E" w:sz="4" w:space="0"/>
              <w:bottom w:val="single" w:color="034E6E" w:sz="4" w:space="0"/>
              <w:right w:val="single" w:color="034E6E" w:sz="4" w:space="0"/>
            </w:tcBorders>
            <w:shd w:val="clear" w:color="000000" w:fill="034E6E"/>
            <w:noWrap/>
            <w:vAlign w:val="center"/>
            <w:hideMark/>
          </w:tcPr>
          <w:p w:rsidRPr="00394710" w:rsidR="00394710" w:rsidP="00394710" w:rsidRDefault="00394710" w14:paraId="14679AD8"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276" w:type="dxa"/>
            <w:tcBorders>
              <w:top w:val="single" w:color="034E6E" w:sz="4" w:space="0"/>
              <w:left w:val="nil"/>
              <w:bottom w:val="single" w:color="034E6E" w:sz="4" w:space="0"/>
              <w:right w:val="single" w:color="034E6E" w:sz="4" w:space="0"/>
            </w:tcBorders>
            <w:shd w:val="clear" w:color="000000" w:fill="034E6E"/>
            <w:noWrap/>
            <w:vAlign w:val="center"/>
            <w:hideMark/>
          </w:tcPr>
          <w:p w:rsidRPr="00394710" w:rsidR="00394710" w:rsidP="00394710" w:rsidRDefault="00394710" w14:paraId="65AC152D"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218" w:type="dxa"/>
            <w:tcBorders>
              <w:top w:val="single" w:color="034E6E" w:sz="4" w:space="0"/>
              <w:left w:val="nil"/>
              <w:bottom w:val="single" w:color="034E6E" w:sz="4" w:space="0"/>
              <w:right w:val="single" w:color="034E6E" w:sz="4" w:space="0"/>
            </w:tcBorders>
            <w:shd w:val="clear" w:color="000000" w:fill="034E6E"/>
            <w:noWrap/>
            <w:vAlign w:val="center"/>
            <w:hideMark/>
          </w:tcPr>
          <w:p w:rsidRPr="00394710" w:rsidR="00394710" w:rsidP="00394710" w:rsidRDefault="00394710" w14:paraId="15B54ED8" w14:textId="77777777">
            <w:pPr>
              <w:keepNext/>
              <w:spacing w:line="240" w:lineRule="auto"/>
              <w:ind w:firstLine="0"/>
              <w:rPr>
                <w:rFonts w:ascii="Calibri" w:hAnsi="Calibri"/>
                <w:b/>
                <w:color w:val="FFFFFF"/>
                <w:sz w:val="22"/>
              </w:rPr>
            </w:pPr>
            <w:r w:rsidRPr="00394710">
              <w:rPr>
                <w:rFonts w:ascii="Calibri" w:hAnsi="Calibri"/>
                <w:b/>
                <w:color w:val="FFFFFF"/>
                <w:sz w:val="22"/>
              </w:rPr>
              <w:t> </w:t>
            </w:r>
          </w:p>
        </w:tc>
        <w:tc>
          <w:tcPr>
            <w:tcW w:w="1297" w:type="dxa"/>
            <w:tcBorders>
              <w:top w:val="single" w:color="034E6E" w:sz="4" w:space="0"/>
              <w:left w:val="nil"/>
              <w:bottom w:val="single" w:color="034E6E" w:sz="4" w:space="0"/>
              <w:right w:val="single" w:color="034E6E" w:sz="4" w:space="0"/>
            </w:tcBorders>
            <w:shd w:val="clear" w:color="000000" w:fill="034E6E"/>
            <w:noWrap/>
            <w:vAlign w:val="center"/>
            <w:hideMark/>
          </w:tcPr>
          <w:p w:rsidRPr="00394710" w:rsidR="00394710" w:rsidP="00394710" w:rsidRDefault="00394710" w14:paraId="679E72BB" w14:textId="77777777">
            <w:pPr>
              <w:keepNext/>
              <w:spacing w:line="240" w:lineRule="auto"/>
              <w:ind w:firstLine="0"/>
              <w:rPr>
                <w:rFonts w:ascii="Calibri" w:hAnsi="Calibri" w:eastAsia="Times New Roman" w:cs="Calibri"/>
                <w:b/>
                <w:bCs/>
                <w:color w:val="FFFFFF"/>
                <w:sz w:val="22"/>
              </w:rPr>
            </w:pPr>
            <w:r w:rsidRPr="00394710">
              <w:rPr>
                <w:rFonts w:ascii="Calibri" w:hAnsi="Calibri" w:eastAsia="Times New Roman" w:cs="Calibri"/>
                <w:b/>
                <w:bCs/>
                <w:color w:val="FFFFFF"/>
                <w:sz w:val="22"/>
              </w:rPr>
              <w:t> </w:t>
            </w:r>
          </w:p>
        </w:tc>
      </w:tr>
      <w:tr w:rsidRPr="00394710" w:rsidR="00394710" w:rsidTr="00394710" w14:paraId="6913A673"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731B6422" w14:textId="77777777">
            <w:pPr>
              <w:keepNext/>
              <w:spacing w:line="240" w:lineRule="auto"/>
              <w:ind w:firstLine="0"/>
              <w:rPr>
                <w:rFonts w:ascii="Calibri" w:hAnsi="Calibri"/>
                <w:b/>
                <w:color w:val="FFFFFF"/>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7CDD7086" w14:textId="77777777">
            <w:pPr>
              <w:keepNext/>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5632AE67" w14:textId="77777777">
            <w:pPr>
              <w:keepNext/>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71598AA5" w14:textId="77777777">
            <w:pPr>
              <w:keepNext/>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1328C4FE" w14:textId="77777777">
            <w:pPr>
              <w:keepNext/>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1E1A113A" w14:textId="77777777">
            <w:pPr>
              <w:keepNext/>
              <w:spacing w:line="240" w:lineRule="auto"/>
              <w:ind w:firstLine="0"/>
              <w:rPr>
                <w:rFonts w:ascii="Calibri" w:hAnsi="Calibri" w:eastAsia="Times New Roman" w:cs="Times New Roman"/>
                <w:sz w:val="22"/>
              </w:rPr>
            </w:pPr>
          </w:p>
        </w:tc>
      </w:tr>
      <w:tr w:rsidRPr="00394710" w:rsidR="00394710" w:rsidTr="00A0614A" w14:paraId="63F76E82" w14:textId="77777777">
        <w:tc>
          <w:tcPr>
            <w:tcW w:w="5564" w:type="dxa"/>
            <w:gridSpan w:val="3"/>
            <w:tcBorders>
              <w:top w:val="nil"/>
              <w:left w:val="nil"/>
              <w:bottom w:val="nil"/>
              <w:right w:val="nil"/>
            </w:tcBorders>
            <w:shd w:val="clear" w:color="auto" w:fill="auto"/>
            <w:noWrap/>
            <w:vAlign w:val="bottom"/>
            <w:hideMark/>
          </w:tcPr>
          <w:p w:rsidRPr="00394710" w:rsidR="00394710" w:rsidP="00394710" w:rsidRDefault="00394710" w14:paraId="31E57573" w14:textId="77777777">
            <w:pPr>
              <w:keepNext/>
              <w:spacing w:line="240" w:lineRule="auto"/>
              <w:ind w:firstLine="0"/>
              <w:rPr>
                <w:rFonts w:ascii="Calibri" w:hAnsi="Calibri"/>
                <w:b/>
                <w:i/>
                <w:color w:val="000000"/>
                <w:sz w:val="22"/>
              </w:rPr>
            </w:pPr>
            <w:r w:rsidRPr="00394710">
              <w:rPr>
                <w:rFonts w:ascii="Calibri" w:hAnsi="Calibri"/>
                <w:b/>
                <w:i/>
                <w:color w:val="000000"/>
                <w:sz w:val="22"/>
              </w:rPr>
              <w:t>All metrics reflect the ACC Plus adder</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4AD7974A" w14:textId="77777777">
            <w:pPr>
              <w:keepNext/>
              <w:spacing w:line="240" w:lineRule="auto"/>
              <w:ind w:firstLine="0"/>
              <w:rPr>
                <w:rFonts w:ascii="Calibri" w:hAnsi="Calibri"/>
                <w:b/>
                <w:i/>
                <w:color w:val="000000"/>
                <w:sz w:val="22"/>
              </w:rPr>
            </w:pP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4BD3DBE8" w14:textId="77777777">
            <w:pPr>
              <w:keepNext/>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19A82DF2" w14:textId="77777777">
            <w:pPr>
              <w:keepNext/>
              <w:spacing w:line="240" w:lineRule="auto"/>
              <w:ind w:firstLine="0"/>
              <w:rPr>
                <w:rFonts w:ascii="Calibri" w:hAnsi="Calibri" w:eastAsia="Times New Roman" w:cs="Times New Roman"/>
                <w:sz w:val="22"/>
              </w:rPr>
            </w:pPr>
          </w:p>
        </w:tc>
      </w:tr>
      <w:tr w:rsidRPr="00394710" w:rsidR="00394710" w:rsidTr="00394710" w14:paraId="32172922"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6576A03" w14:textId="77777777">
            <w:pPr>
              <w:keepNext/>
              <w:spacing w:line="240" w:lineRule="auto"/>
              <w:ind w:firstLine="0"/>
              <w:rPr>
                <w:rFonts w:ascii="Calibri" w:hAnsi="Calibri" w:eastAsia="Times New Roman" w:cs="Times New Roman"/>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028AC771" w14:textId="77777777">
            <w:pPr>
              <w:keepNext/>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2111DF11" w14:textId="77777777">
            <w:pPr>
              <w:keepNext/>
              <w:spacing w:line="240" w:lineRule="auto"/>
              <w:ind w:firstLine="0"/>
              <w:jc w:val="center"/>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45A75EAD" w14:textId="77777777">
            <w:pPr>
              <w:keepNext/>
              <w:spacing w:line="240" w:lineRule="auto"/>
              <w:ind w:firstLine="0"/>
              <w:jc w:val="center"/>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40E7F8FA" w14:textId="77777777">
            <w:pPr>
              <w:keepNext/>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1E475867" w14:textId="77777777">
            <w:pPr>
              <w:keepNext/>
              <w:spacing w:line="240" w:lineRule="auto"/>
              <w:ind w:firstLine="0"/>
              <w:rPr>
                <w:rFonts w:ascii="Calibri" w:hAnsi="Calibri" w:eastAsia="Times New Roman" w:cs="Times New Roman"/>
                <w:sz w:val="22"/>
              </w:rPr>
            </w:pPr>
          </w:p>
        </w:tc>
      </w:tr>
      <w:tr w:rsidRPr="00394710" w:rsidR="00394710" w:rsidTr="00394710" w14:paraId="244E55F5"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3D91BC4B"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1AF152E7" w14:textId="77777777">
            <w:pPr>
              <w:keepNext/>
              <w:spacing w:line="240" w:lineRule="auto"/>
              <w:ind w:firstLine="0"/>
              <w:rPr>
                <w:rFonts w:ascii="Calibri" w:hAnsi="Calibri"/>
                <w:b/>
                <w:color w:val="000000"/>
                <w:sz w:val="22"/>
              </w:rPr>
            </w:pPr>
            <w:r w:rsidRPr="00394710">
              <w:rPr>
                <w:rFonts w:ascii="Calibri" w:hAnsi="Calibri"/>
                <w:b/>
                <w:color w:val="000000"/>
                <w:sz w:val="22"/>
              </w:rPr>
              <w:t>ACC Plus Adder ($/kWh)</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37063099"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03833EC5"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5D0BAF3B"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0D81A25F"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C446494"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16D37409"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491730E5"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19BBA0CD"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4E14A99F"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9BC07BD"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0DF03E98"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413EDFA4"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24167B35"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0D8177EC"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3AE26024" w14:textId="7DCA7A59">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022</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198F22E4" w14:textId="77777777">
            <w:pPr>
              <w:keepNext/>
              <w:spacing w:line="240" w:lineRule="auto"/>
              <w:ind w:firstLine="0"/>
              <w:jc w:val="right"/>
              <w:rPr>
                <w:rFonts w:ascii="Calibri" w:hAnsi="Calibri"/>
                <w:color w:val="000000"/>
                <w:sz w:val="22"/>
              </w:rPr>
            </w:pPr>
            <w:r w:rsidRPr="00394710">
              <w:rPr>
                <w:rFonts w:ascii="Calibri" w:hAnsi="Calibri"/>
                <w:color w:val="000000"/>
                <w:sz w:val="22"/>
              </w:rPr>
              <w:t>0.040</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233A4831" w14:textId="77777777">
            <w:pPr>
              <w:keepNext/>
              <w:spacing w:line="240" w:lineRule="auto"/>
              <w:ind w:firstLine="0"/>
              <w:jc w:val="right"/>
              <w:rPr>
                <w:rFonts w:ascii="Calibri" w:hAnsi="Calibri"/>
                <w:color w:val="000000"/>
                <w:sz w:val="22"/>
              </w:rPr>
            </w:pPr>
            <w:r w:rsidRPr="00394710">
              <w:rPr>
                <w:rFonts w:ascii="Calibri" w:hAnsi="Calibri"/>
                <w:color w:val="000000"/>
                <w:sz w:val="22"/>
              </w:rPr>
              <w:t>-</w:t>
            </w:r>
          </w:p>
        </w:tc>
      </w:tr>
      <w:tr w:rsidRPr="00394710" w:rsidR="00394710" w:rsidTr="00394710" w14:paraId="67364A9E"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549E08F0"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4DC9B01C"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4D76029B"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434EC562" w14:textId="5BC4A649">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090</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3FF7089C" w14:textId="77777777">
            <w:pPr>
              <w:keepNext/>
              <w:spacing w:line="240" w:lineRule="auto"/>
              <w:ind w:firstLine="0"/>
              <w:jc w:val="right"/>
              <w:rPr>
                <w:rFonts w:ascii="Calibri" w:hAnsi="Calibri"/>
                <w:color w:val="000000"/>
                <w:sz w:val="22"/>
              </w:rPr>
            </w:pPr>
            <w:r w:rsidRPr="00394710">
              <w:rPr>
                <w:rFonts w:ascii="Calibri" w:hAnsi="Calibri"/>
                <w:color w:val="000000"/>
                <w:sz w:val="22"/>
              </w:rPr>
              <w:t>0.093</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03121182" w14:textId="77777777">
            <w:pPr>
              <w:keepNext/>
              <w:spacing w:line="240" w:lineRule="auto"/>
              <w:ind w:firstLine="0"/>
              <w:jc w:val="right"/>
              <w:rPr>
                <w:rFonts w:ascii="Calibri" w:hAnsi="Calibri"/>
                <w:color w:val="000000"/>
                <w:sz w:val="22"/>
              </w:rPr>
            </w:pPr>
            <w:r w:rsidRPr="00394710">
              <w:rPr>
                <w:rFonts w:ascii="Calibri" w:hAnsi="Calibri"/>
                <w:color w:val="000000"/>
                <w:sz w:val="22"/>
              </w:rPr>
              <w:t>-</w:t>
            </w:r>
          </w:p>
        </w:tc>
      </w:tr>
      <w:tr w:rsidRPr="00394710" w:rsidR="00394710" w:rsidTr="00394710" w14:paraId="3E5E78FB"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8D9778E"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39CC3922"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6AB8B02E"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4A4BC4F4" w14:textId="77777777">
            <w:pPr>
              <w:spacing w:line="240" w:lineRule="auto"/>
              <w:ind w:firstLine="0"/>
              <w:jc w:val="right"/>
              <w:rPr>
                <w:rFonts w:ascii="Calibri" w:hAnsi="Calibri"/>
                <w:color w:val="000000"/>
                <w:sz w:val="22"/>
              </w:rPr>
            </w:pPr>
            <w:r w:rsidRPr="00394710">
              <w:rPr>
                <w:rFonts w:ascii="Calibri" w:hAnsi="Calibri"/>
                <w:color w:val="000000"/>
                <w:sz w:val="22"/>
              </w:rPr>
              <w:t>-</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57CFA23A" w14:textId="77777777">
            <w:pPr>
              <w:spacing w:line="240" w:lineRule="auto"/>
              <w:ind w:firstLine="0"/>
              <w:jc w:val="right"/>
              <w:rPr>
                <w:rFonts w:ascii="Calibri" w:hAnsi="Calibri"/>
                <w:color w:val="000000"/>
                <w:sz w:val="22"/>
              </w:rPr>
            </w:pPr>
            <w:r w:rsidRPr="00394710">
              <w:rPr>
                <w:rFonts w:ascii="Calibri" w:hAnsi="Calibri"/>
                <w:color w:val="000000"/>
                <w:sz w:val="22"/>
              </w:rPr>
              <w:t>-</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538F5FE3" w14:textId="77777777">
            <w:pPr>
              <w:spacing w:line="240" w:lineRule="auto"/>
              <w:ind w:firstLine="0"/>
              <w:jc w:val="right"/>
              <w:rPr>
                <w:rFonts w:ascii="Calibri" w:hAnsi="Calibri"/>
                <w:color w:val="000000"/>
                <w:sz w:val="22"/>
              </w:rPr>
            </w:pPr>
            <w:r w:rsidRPr="00394710">
              <w:rPr>
                <w:rFonts w:ascii="Calibri" w:hAnsi="Calibri"/>
                <w:color w:val="000000"/>
                <w:sz w:val="22"/>
              </w:rPr>
              <w:t>-</w:t>
            </w:r>
          </w:p>
        </w:tc>
      </w:tr>
      <w:tr w:rsidRPr="00394710" w:rsidR="00394710" w:rsidTr="00394710" w14:paraId="640EAE81"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49541624"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39E23E91"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37871233"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53D1F9FB"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396FE8A7"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153D19AD" w14:textId="77777777">
            <w:pPr>
              <w:spacing w:line="240" w:lineRule="auto"/>
              <w:ind w:firstLine="0"/>
              <w:rPr>
                <w:rFonts w:ascii="Calibri" w:hAnsi="Calibri" w:eastAsia="Times New Roman" w:cs="Times New Roman"/>
                <w:sz w:val="22"/>
              </w:rPr>
            </w:pPr>
          </w:p>
        </w:tc>
      </w:tr>
      <w:tr w:rsidRPr="00394710" w:rsidR="00394710" w:rsidTr="00394710" w14:paraId="6A9E2921"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2496E98"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76248DFD" w14:textId="77777777">
            <w:pPr>
              <w:keepNext/>
              <w:spacing w:line="240" w:lineRule="auto"/>
              <w:ind w:firstLine="0"/>
              <w:rPr>
                <w:rFonts w:ascii="Calibri" w:hAnsi="Calibri"/>
                <w:b/>
                <w:color w:val="000000"/>
                <w:sz w:val="22"/>
              </w:rPr>
            </w:pPr>
            <w:r w:rsidRPr="00394710">
              <w:rPr>
                <w:rFonts w:ascii="Calibri" w:hAnsi="Calibri"/>
                <w:b/>
                <w:color w:val="000000"/>
                <w:sz w:val="22"/>
              </w:rPr>
              <w:t>Simple Payback Period (years)</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73681BC4"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7BFE2DF4"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6135DE4D"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25868554"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509CCC2D"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2A51B77C"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BF8E16C"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35ECA9C0"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3390975"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4E2CBE1F"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093B2550"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34B5A7BB"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7F07DF6"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201D15B8"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16D6F509" w14:textId="222C2566">
            <w:pPr>
              <w:keepNext/>
              <w:spacing w:line="240" w:lineRule="auto"/>
              <w:ind w:firstLine="0"/>
              <w:jc w:val="right"/>
              <w:rPr>
                <w:rFonts w:ascii="Calibri" w:hAnsi="Calibri"/>
                <w:color w:val="000000"/>
                <w:sz w:val="22"/>
              </w:rPr>
            </w:pPr>
            <w:r w:rsidRPr="00394710">
              <w:rPr>
                <w:rFonts w:ascii="Calibri" w:hAnsi="Calibri"/>
                <w:color w:val="000000"/>
                <w:sz w:val="22"/>
              </w:rPr>
              <w:t>6.</w:t>
            </w:r>
            <w:r w:rsidRPr="00394710">
              <w:rPr>
                <w:rFonts w:ascii="Calibri" w:hAnsi="Calibri" w:eastAsia="Times New Roman" w:cs="Calibri"/>
                <w:color w:val="000000"/>
                <w:sz w:val="22"/>
              </w:rPr>
              <w:t>58</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4F830ECB" w14:textId="77777777">
            <w:pPr>
              <w:keepNext/>
              <w:spacing w:line="240" w:lineRule="auto"/>
              <w:ind w:firstLine="0"/>
              <w:jc w:val="right"/>
              <w:rPr>
                <w:rFonts w:ascii="Calibri" w:hAnsi="Calibri"/>
                <w:color w:val="000000"/>
                <w:sz w:val="22"/>
              </w:rPr>
            </w:pPr>
            <w:r w:rsidRPr="00394710">
              <w:rPr>
                <w:rFonts w:ascii="Calibri" w:hAnsi="Calibri"/>
                <w:color w:val="000000"/>
                <w:sz w:val="22"/>
              </w:rPr>
              <w:t>6.58</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71DB683F" w14:textId="77777777">
            <w:pPr>
              <w:keepNext/>
              <w:spacing w:line="240" w:lineRule="auto"/>
              <w:ind w:firstLine="0"/>
              <w:jc w:val="right"/>
              <w:rPr>
                <w:rFonts w:ascii="Calibri" w:hAnsi="Calibri"/>
                <w:color w:val="000000"/>
                <w:sz w:val="22"/>
              </w:rPr>
            </w:pPr>
            <w:r w:rsidRPr="00394710">
              <w:rPr>
                <w:rFonts w:ascii="Calibri" w:hAnsi="Calibri"/>
                <w:color w:val="000000"/>
                <w:sz w:val="22"/>
              </w:rPr>
              <w:t>4.70</w:t>
            </w:r>
          </w:p>
        </w:tc>
      </w:tr>
      <w:tr w:rsidRPr="00394710" w:rsidR="00394710" w:rsidTr="00394710" w14:paraId="2FD46D37"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3D131B3F"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210907AC"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72780568"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01746244" w14:textId="77777777">
            <w:pPr>
              <w:keepNext/>
              <w:spacing w:line="240" w:lineRule="auto"/>
              <w:ind w:firstLine="0"/>
              <w:jc w:val="right"/>
              <w:rPr>
                <w:rFonts w:ascii="Calibri" w:hAnsi="Calibri"/>
                <w:color w:val="000000"/>
                <w:sz w:val="22"/>
              </w:rPr>
            </w:pPr>
            <w:r w:rsidRPr="00394710">
              <w:rPr>
                <w:rFonts w:ascii="Calibri" w:hAnsi="Calibri"/>
                <w:color w:val="000000"/>
                <w:sz w:val="22"/>
              </w:rPr>
              <w:t>8.69</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68EA8B5D" w14:textId="77777777">
            <w:pPr>
              <w:keepNext/>
              <w:spacing w:line="240" w:lineRule="auto"/>
              <w:ind w:firstLine="0"/>
              <w:jc w:val="right"/>
              <w:rPr>
                <w:rFonts w:ascii="Calibri" w:hAnsi="Calibri"/>
                <w:color w:val="000000"/>
                <w:sz w:val="22"/>
              </w:rPr>
            </w:pPr>
            <w:r w:rsidRPr="00394710">
              <w:rPr>
                <w:rFonts w:ascii="Calibri" w:hAnsi="Calibri"/>
                <w:color w:val="000000"/>
                <w:sz w:val="22"/>
              </w:rPr>
              <w:t>8.88</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08F165A0" w14:textId="77777777">
            <w:pPr>
              <w:keepNext/>
              <w:spacing w:line="240" w:lineRule="auto"/>
              <w:ind w:firstLine="0"/>
              <w:jc w:val="right"/>
              <w:rPr>
                <w:rFonts w:ascii="Calibri" w:hAnsi="Calibri"/>
                <w:color w:val="000000"/>
                <w:sz w:val="22"/>
              </w:rPr>
            </w:pPr>
            <w:r w:rsidRPr="00394710">
              <w:rPr>
                <w:rFonts w:ascii="Calibri" w:hAnsi="Calibri"/>
                <w:color w:val="000000"/>
                <w:sz w:val="22"/>
              </w:rPr>
              <w:t>6.98</w:t>
            </w:r>
          </w:p>
        </w:tc>
      </w:tr>
      <w:tr w:rsidRPr="00394710" w:rsidR="00394710" w:rsidTr="00394710" w14:paraId="737E2E0A"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036E9267"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43F32E78"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634A7C25"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3B898D61" w14:textId="12A37C98">
            <w:pPr>
              <w:spacing w:line="240" w:lineRule="auto"/>
              <w:ind w:firstLine="0"/>
              <w:jc w:val="right"/>
              <w:rPr>
                <w:rFonts w:ascii="Calibri" w:hAnsi="Calibri"/>
                <w:color w:val="000000"/>
                <w:sz w:val="22"/>
              </w:rPr>
            </w:pPr>
            <w:r w:rsidRPr="00394710">
              <w:rPr>
                <w:rFonts w:ascii="Calibri" w:hAnsi="Calibri"/>
                <w:color w:val="000000"/>
                <w:sz w:val="22"/>
              </w:rPr>
              <w:t>6.</w:t>
            </w:r>
            <w:r w:rsidRPr="00394710">
              <w:rPr>
                <w:rFonts w:ascii="Calibri" w:hAnsi="Calibri" w:eastAsia="Times New Roman" w:cs="Calibri"/>
                <w:color w:val="000000"/>
                <w:sz w:val="22"/>
              </w:rPr>
              <w:t>75</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27019855" w14:textId="77777777">
            <w:pPr>
              <w:spacing w:line="240" w:lineRule="auto"/>
              <w:ind w:firstLine="0"/>
              <w:jc w:val="right"/>
              <w:rPr>
                <w:rFonts w:ascii="Calibri" w:hAnsi="Calibri"/>
                <w:color w:val="000000"/>
                <w:sz w:val="22"/>
              </w:rPr>
            </w:pPr>
            <w:r w:rsidRPr="00394710">
              <w:rPr>
                <w:rFonts w:ascii="Calibri" w:hAnsi="Calibri"/>
                <w:color w:val="000000"/>
                <w:sz w:val="22"/>
              </w:rPr>
              <w:t>7.49</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33DC368" w14:textId="77777777">
            <w:pPr>
              <w:spacing w:line="240" w:lineRule="auto"/>
              <w:ind w:firstLine="0"/>
              <w:jc w:val="right"/>
              <w:rPr>
                <w:rFonts w:ascii="Calibri" w:hAnsi="Calibri"/>
                <w:color w:val="000000"/>
                <w:sz w:val="22"/>
              </w:rPr>
            </w:pPr>
            <w:r w:rsidRPr="00394710">
              <w:rPr>
                <w:rFonts w:ascii="Calibri" w:hAnsi="Calibri"/>
                <w:color w:val="000000"/>
                <w:sz w:val="22"/>
              </w:rPr>
              <w:t>5.82</w:t>
            </w:r>
          </w:p>
        </w:tc>
      </w:tr>
      <w:tr w:rsidRPr="00394710" w:rsidR="00394710" w:rsidTr="00394710" w14:paraId="008FB99A"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4AB93DDB"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3F86CDA8"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318C6A5E"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72D964CC"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18FCDF59"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381108EA" w14:textId="77777777">
            <w:pPr>
              <w:spacing w:line="240" w:lineRule="auto"/>
              <w:ind w:firstLine="0"/>
              <w:rPr>
                <w:rFonts w:ascii="Calibri" w:hAnsi="Calibri" w:eastAsia="Times New Roman" w:cs="Times New Roman"/>
                <w:sz w:val="22"/>
              </w:rPr>
            </w:pPr>
          </w:p>
        </w:tc>
      </w:tr>
      <w:tr w:rsidRPr="00394710" w:rsidR="00394710" w:rsidTr="00394710" w14:paraId="77004774"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4CFEC17"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57A0E919" w14:textId="77777777">
            <w:pPr>
              <w:keepNext/>
              <w:spacing w:line="240" w:lineRule="auto"/>
              <w:ind w:firstLine="0"/>
              <w:rPr>
                <w:rFonts w:ascii="Calibri" w:hAnsi="Calibri"/>
                <w:b/>
                <w:color w:val="000000"/>
                <w:sz w:val="22"/>
              </w:rPr>
            </w:pPr>
            <w:r w:rsidRPr="00394710">
              <w:rPr>
                <w:rFonts w:ascii="Calibri" w:hAnsi="Calibri"/>
                <w:b/>
                <w:color w:val="000000"/>
                <w:sz w:val="22"/>
              </w:rPr>
              <w:t>First-Year Bill Savings ($)</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531B5902"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5B3279B1"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3A735E95"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3C0D0D80"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0C2185D"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112D7EEE"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96B2D75"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3FBB8F6F"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197A7C6E"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B04390B"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1C30CC48"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5BCBAB4F"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2F77DE4D"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2497F954"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7544DEAF" w14:textId="24EF9216">
            <w:pPr>
              <w:keepNext/>
              <w:spacing w:line="240" w:lineRule="auto"/>
              <w:ind w:firstLine="0"/>
              <w:jc w:val="right"/>
              <w:rPr>
                <w:rFonts w:ascii="Calibri" w:hAnsi="Calibri"/>
                <w:color w:val="000000"/>
                <w:sz w:val="22"/>
              </w:rPr>
            </w:pPr>
            <w:r w:rsidRPr="00394710">
              <w:rPr>
                <w:rFonts w:ascii="Calibri" w:hAnsi="Calibri"/>
                <w:color w:val="000000"/>
                <w:sz w:val="22"/>
              </w:rPr>
              <w:t>2,</w:t>
            </w:r>
            <w:r w:rsidRPr="00394710">
              <w:rPr>
                <w:rFonts w:ascii="Calibri" w:hAnsi="Calibri" w:eastAsia="Times New Roman" w:cs="Calibri"/>
                <w:color w:val="000000"/>
                <w:sz w:val="22"/>
              </w:rPr>
              <w:t>393</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6E1FD13D" w14:textId="77777777">
            <w:pPr>
              <w:keepNext/>
              <w:spacing w:line="240" w:lineRule="auto"/>
              <w:ind w:firstLine="0"/>
              <w:jc w:val="right"/>
              <w:rPr>
                <w:rFonts w:ascii="Calibri" w:hAnsi="Calibri"/>
                <w:color w:val="000000"/>
                <w:sz w:val="22"/>
              </w:rPr>
            </w:pPr>
            <w:r w:rsidRPr="00394710">
              <w:rPr>
                <w:rFonts w:ascii="Calibri" w:hAnsi="Calibri"/>
                <w:color w:val="000000"/>
                <w:sz w:val="22"/>
              </w:rPr>
              <w:t>2,208</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55AB0021" w14:textId="77777777">
            <w:pPr>
              <w:keepNext/>
              <w:spacing w:line="240" w:lineRule="auto"/>
              <w:ind w:firstLine="0"/>
              <w:jc w:val="right"/>
              <w:rPr>
                <w:rFonts w:ascii="Calibri" w:hAnsi="Calibri"/>
                <w:color w:val="000000"/>
                <w:sz w:val="22"/>
              </w:rPr>
            </w:pPr>
            <w:r w:rsidRPr="00394710">
              <w:rPr>
                <w:rFonts w:ascii="Calibri" w:hAnsi="Calibri"/>
                <w:color w:val="000000"/>
                <w:sz w:val="22"/>
              </w:rPr>
              <w:t>3,106</w:t>
            </w:r>
          </w:p>
        </w:tc>
      </w:tr>
      <w:tr w:rsidRPr="00394710" w:rsidR="00394710" w:rsidTr="00394710" w14:paraId="59355F55"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171994EA"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4B7295AC"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05E4B7F6"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32720EFE" w14:textId="77777777">
            <w:pPr>
              <w:keepNext/>
              <w:spacing w:line="240" w:lineRule="auto"/>
              <w:ind w:firstLine="0"/>
              <w:jc w:val="right"/>
              <w:rPr>
                <w:rFonts w:ascii="Calibri" w:hAnsi="Calibri"/>
                <w:color w:val="000000"/>
                <w:sz w:val="22"/>
              </w:rPr>
            </w:pPr>
            <w:r w:rsidRPr="00394710">
              <w:rPr>
                <w:rFonts w:ascii="Calibri" w:hAnsi="Calibri"/>
                <w:color w:val="000000"/>
                <w:sz w:val="22"/>
              </w:rPr>
              <w:t>1,810</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5CB5E9B5" w14:textId="77777777">
            <w:pPr>
              <w:keepNext/>
              <w:spacing w:line="240" w:lineRule="auto"/>
              <w:ind w:firstLine="0"/>
              <w:jc w:val="right"/>
              <w:rPr>
                <w:rFonts w:ascii="Calibri" w:hAnsi="Calibri"/>
                <w:color w:val="000000"/>
                <w:sz w:val="22"/>
              </w:rPr>
            </w:pPr>
            <w:r w:rsidRPr="00394710">
              <w:rPr>
                <w:rFonts w:ascii="Calibri" w:hAnsi="Calibri"/>
                <w:color w:val="000000"/>
                <w:sz w:val="22"/>
              </w:rPr>
              <w:t>1,636</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49D3B0E0" w14:textId="77777777">
            <w:pPr>
              <w:keepNext/>
              <w:spacing w:line="240" w:lineRule="auto"/>
              <w:ind w:firstLine="0"/>
              <w:jc w:val="right"/>
              <w:rPr>
                <w:rFonts w:ascii="Calibri" w:hAnsi="Calibri"/>
                <w:color w:val="000000"/>
                <w:sz w:val="22"/>
              </w:rPr>
            </w:pPr>
            <w:r w:rsidRPr="00394710">
              <w:rPr>
                <w:rFonts w:ascii="Calibri" w:hAnsi="Calibri"/>
                <w:color w:val="000000"/>
                <w:sz w:val="22"/>
              </w:rPr>
              <w:t>2,090</w:t>
            </w:r>
          </w:p>
        </w:tc>
      </w:tr>
      <w:tr w:rsidRPr="00394710" w:rsidR="00394710" w:rsidTr="00394710" w14:paraId="2D54C8B1"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F973789"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hideMark/>
          </w:tcPr>
          <w:p w:rsidRPr="00394710" w:rsidR="00394710" w:rsidP="00394710" w:rsidRDefault="00394710" w14:paraId="173A860C"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hideMark/>
          </w:tcPr>
          <w:p w:rsidRPr="00394710" w:rsidR="00394710" w:rsidP="00394710" w:rsidRDefault="00394710" w14:paraId="3B3536D4"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03852CE6" w14:textId="15C418AE">
            <w:pPr>
              <w:spacing w:line="240" w:lineRule="auto"/>
              <w:ind w:firstLine="0"/>
              <w:jc w:val="right"/>
              <w:rPr>
                <w:rFonts w:ascii="Calibri" w:hAnsi="Calibri"/>
                <w:color w:val="000000"/>
                <w:sz w:val="22"/>
              </w:rPr>
            </w:pPr>
            <w:r w:rsidRPr="00394710">
              <w:rPr>
                <w:rFonts w:ascii="Calibri" w:hAnsi="Calibri" w:eastAsia="Times New Roman" w:cs="Calibri"/>
                <w:color w:val="000000"/>
                <w:sz w:val="22"/>
              </w:rPr>
              <w:t>5,074</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27182AC7" w14:textId="77777777">
            <w:pPr>
              <w:spacing w:line="240" w:lineRule="auto"/>
              <w:ind w:firstLine="0"/>
              <w:jc w:val="right"/>
              <w:rPr>
                <w:rFonts w:ascii="Calibri" w:hAnsi="Calibri"/>
                <w:color w:val="000000"/>
                <w:sz w:val="22"/>
              </w:rPr>
            </w:pPr>
            <w:r w:rsidRPr="00394710">
              <w:rPr>
                <w:rFonts w:ascii="Calibri" w:hAnsi="Calibri"/>
                <w:color w:val="000000"/>
                <w:sz w:val="22"/>
              </w:rPr>
              <w:t>4,231</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652DE91C" w14:textId="77777777">
            <w:pPr>
              <w:spacing w:line="240" w:lineRule="auto"/>
              <w:ind w:firstLine="0"/>
              <w:jc w:val="right"/>
              <w:rPr>
                <w:rFonts w:ascii="Calibri" w:hAnsi="Calibri"/>
                <w:color w:val="000000"/>
                <w:sz w:val="22"/>
              </w:rPr>
            </w:pPr>
            <w:r w:rsidRPr="00394710">
              <w:rPr>
                <w:rFonts w:ascii="Calibri" w:hAnsi="Calibri"/>
                <w:color w:val="000000"/>
                <w:sz w:val="22"/>
              </w:rPr>
              <w:t>5,458</w:t>
            </w:r>
          </w:p>
        </w:tc>
      </w:tr>
      <w:tr w:rsidRPr="00394710" w:rsidR="00394710" w:rsidTr="00394710" w14:paraId="46A27D65"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28A3E8E5"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332A74AE"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7ECB08BB"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4E1ADFC0"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78069F4A"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3119D238" w14:textId="77777777">
            <w:pPr>
              <w:spacing w:line="240" w:lineRule="auto"/>
              <w:ind w:firstLine="0"/>
              <w:rPr>
                <w:rFonts w:ascii="Calibri" w:hAnsi="Calibri" w:eastAsia="Times New Roman" w:cs="Times New Roman"/>
                <w:sz w:val="22"/>
              </w:rPr>
            </w:pPr>
          </w:p>
        </w:tc>
      </w:tr>
      <w:tr w:rsidRPr="00394710" w:rsidR="00394710" w:rsidTr="00394710" w14:paraId="19176EBF"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2B1575E"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48719C85" w14:textId="77777777">
            <w:pPr>
              <w:keepNext/>
              <w:spacing w:line="240" w:lineRule="auto"/>
              <w:ind w:firstLine="0"/>
              <w:rPr>
                <w:rFonts w:ascii="Calibri" w:hAnsi="Calibri"/>
                <w:b/>
                <w:color w:val="000000"/>
                <w:sz w:val="22"/>
              </w:rPr>
            </w:pPr>
            <w:r w:rsidRPr="00394710">
              <w:rPr>
                <w:rFonts w:ascii="Calibri" w:hAnsi="Calibri"/>
                <w:b/>
                <w:color w:val="000000"/>
                <w:sz w:val="22"/>
              </w:rPr>
              <w:t>First-Year Cost Shift ($)</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498E7F52"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7AB740EE"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6342E9FD"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255B78E6"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33005514"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2ECCA2E1"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7B915791"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11D960F8"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B69D758"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6772F3A"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1D6F5883"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4139C534"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604F37D3"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5A1D94FC"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3BE960A3" w14:textId="1EF39804">
            <w:pPr>
              <w:keepNext/>
              <w:spacing w:line="240" w:lineRule="auto"/>
              <w:ind w:firstLine="0"/>
              <w:jc w:val="right"/>
              <w:rPr>
                <w:rFonts w:ascii="Calibri" w:hAnsi="Calibri"/>
                <w:color w:val="000000"/>
                <w:sz w:val="22"/>
              </w:rPr>
            </w:pPr>
            <w:r w:rsidRPr="00394710">
              <w:rPr>
                <w:rFonts w:ascii="Calibri" w:hAnsi="Calibri"/>
                <w:color w:val="000000"/>
                <w:sz w:val="22"/>
              </w:rPr>
              <w:t>1,</w:t>
            </w:r>
            <w:r w:rsidRPr="00394710">
              <w:rPr>
                <w:rFonts w:ascii="Calibri" w:hAnsi="Calibri" w:eastAsia="Times New Roman" w:cs="Calibri"/>
                <w:color w:val="000000"/>
                <w:sz w:val="22"/>
              </w:rPr>
              <w:t>169</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032D25EF" w14:textId="77777777">
            <w:pPr>
              <w:keepNext/>
              <w:spacing w:line="240" w:lineRule="auto"/>
              <w:ind w:firstLine="0"/>
              <w:jc w:val="right"/>
              <w:rPr>
                <w:rFonts w:ascii="Calibri" w:hAnsi="Calibri"/>
                <w:color w:val="000000"/>
                <w:sz w:val="22"/>
              </w:rPr>
            </w:pPr>
            <w:r w:rsidRPr="00394710">
              <w:rPr>
                <w:rFonts w:ascii="Calibri" w:hAnsi="Calibri"/>
                <w:color w:val="000000"/>
                <w:sz w:val="22"/>
              </w:rPr>
              <w:t>1,179</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7614F7B2" w14:textId="77777777">
            <w:pPr>
              <w:keepNext/>
              <w:spacing w:line="240" w:lineRule="auto"/>
              <w:ind w:firstLine="0"/>
              <w:jc w:val="right"/>
              <w:rPr>
                <w:rFonts w:ascii="Calibri" w:hAnsi="Calibri"/>
                <w:color w:val="000000"/>
                <w:sz w:val="22"/>
              </w:rPr>
            </w:pPr>
            <w:r w:rsidRPr="00394710">
              <w:rPr>
                <w:rFonts w:ascii="Calibri" w:hAnsi="Calibri"/>
                <w:color w:val="000000"/>
                <w:sz w:val="22"/>
              </w:rPr>
              <w:t>1,795</w:t>
            </w:r>
          </w:p>
        </w:tc>
      </w:tr>
      <w:tr w:rsidRPr="00394710" w:rsidR="00394710" w:rsidTr="00394710" w14:paraId="7817BEBB"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53A352E9"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BB08CC3"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7F14DFB1"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5ED674BF" w14:textId="021B8BE7">
            <w:pPr>
              <w:keepNext/>
              <w:spacing w:line="240" w:lineRule="auto"/>
              <w:ind w:firstLine="0"/>
              <w:jc w:val="right"/>
              <w:rPr>
                <w:rFonts w:ascii="Calibri" w:hAnsi="Calibri"/>
                <w:color w:val="000000"/>
                <w:sz w:val="22"/>
              </w:rPr>
            </w:pPr>
            <w:r w:rsidRPr="00394710">
              <w:rPr>
                <w:rFonts w:ascii="Calibri" w:hAnsi="Calibri" w:eastAsia="Times New Roman" w:cs="Calibri"/>
                <w:color w:val="000000"/>
                <w:sz w:val="22"/>
              </w:rPr>
              <w:t>582</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6449AF82" w14:textId="77777777">
            <w:pPr>
              <w:keepNext/>
              <w:spacing w:line="240" w:lineRule="auto"/>
              <w:ind w:firstLine="0"/>
              <w:jc w:val="right"/>
              <w:rPr>
                <w:rFonts w:ascii="Calibri" w:hAnsi="Calibri"/>
                <w:color w:val="000000"/>
                <w:sz w:val="22"/>
              </w:rPr>
            </w:pPr>
            <w:r w:rsidRPr="00394710">
              <w:rPr>
                <w:rFonts w:ascii="Calibri" w:hAnsi="Calibri"/>
                <w:color w:val="000000"/>
                <w:sz w:val="22"/>
              </w:rPr>
              <w:t>607</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79DEEC2F" w14:textId="77777777">
            <w:pPr>
              <w:keepNext/>
              <w:spacing w:line="240" w:lineRule="auto"/>
              <w:ind w:firstLine="0"/>
              <w:jc w:val="right"/>
              <w:rPr>
                <w:rFonts w:ascii="Calibri" w:hAnsi="Calibri"/>
                <w:color w:val="000000"/>
                <w:sz w:val="22"/>
              </w:rPr>
            </w:pPr>
            <w:r w:rsidRPr="00394710">
              <w:rPr>
                <w:rFonts w:ascii="Calibri" w:hAnsi="Calibri"/>
                <w:color w:val="000000"/>
                <w:sz w:val="22"/>
              </w:rPr>
              <w:t>779</w:t>
            </w:r>
          </w:p>
        </w:tc>
      </w:tr>
      <w:tr w:rsidRPr="00394710" w:rsidR="00394710" w:rsidTr="00394710" w14:paraId="636830CC"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41FD0F48"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24402708"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4C262AA2"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6F3E62B0" w14:textId="75D2C41A">
            <w:pPr>
              <w:spacing w:line="240" w:lineRule="auto"/>
              <w:ind w:firstLine="0"/>
              <w:jc w:val="right"/>
              <w:rPr>
                <w:rFonts w:ascii="Calibri" w:hAnsi="Calibri"/>
                <w:color w:val="000000"/>
                <w:sz w:val="22"/>
              </w:rPr>
            </w:pPr>
            <w:r w:rsidRPr="00394710">
              <w:rPr>
                <w:rFonts w:ascii="Calibri" w:hAnsi="Calibri"/>
                <w:color w:val="000000"/>
                <w:sz w:val="22"/>
              </w:rPr>
              <w:t>2,</w:t>
            </w:r>
            <w:r w:rsidRPr="00394710">
              <w:rPr>
                <w:rFonts w:ascii="Calibri" w:hAnsi="Calibri" w:eastAsia="Times New Roman" w:cs="Calibri"/>
                <w:color w:val="000000"/>
                <w:sz w:val="22"/>
              </w:rPr>
              <w:t>438</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475CF1F9" w14:textId="77777777">
            <w:pPr>
              <w:spacing w:line="240" w:lineRule="auto"/>
              <w:ind w:firstLine="0"/>
              <w:jc w:val="right"/>
              <w:rPr>
                <w:rFonts w:ascii="Calibri" w:hAnsi="Calibri"/>
                <w:color w:val="000000"/>
                <w:sz w:val="22"/>
              </w:rPr>
            </w:pPr>
            <w:r w:rsidRPr="00394710">
              <w:rPr>
                <w:rFonts w:ascii="Calibri" w:hAnsi="Calibri"/>
                <w:color w:val="000000"/>
                <w:sz w:val="22"/>
              </w:rPr>
              <w:t>2,017</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53BBB6FF" w14:textId="77777777">
            <w:pPr>
              <w:spacing w:line="240" w:lineRule="auto"/>
              <w:ind w:firstLine="0"/>
              <w:jc w:val="right"/>
              <w:rPr>
                <w:rFonts w:ascii="Calibri" w:hAnsi="Calibri"/>
                <w:color w:val="000000"/>
                <w:sz w:val="22"/>
              </w:rPr>
            </w:pPr>
            <w:r w:rsidRPr="00394710">
              <w:rPr>
                <w:rFonts w:ascii="Calibri" w:hAnsi="Calibri"/>
                <w:color w:val="000000"/>
                <w:sz w:val="22"/>
              </w:rPr>
              <w:t>2,561</w:t>
            </w:r>
          </w:p>
        </w:tc>
      </w:tr>
      <w:tr w:rsidRPr="00394710" w:rsidR="00394710" w:rsidTr="00394710" w14:paraId="05BC73E8"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2F24EBFC"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367DEF46"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18512A45"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7CCF6ABC"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3C3EAE0D"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4BA7F706" w14:textId="77777777">
            <w:pPr>
              <w:spacing w:line="240" w:lineRule="auto"/>
              <w:ind w:firstLine="0"/>
              <w:rPr>
                <w:rFonts w:ascii="Calibri" w:hAnsi="Calibri" w:eastAsia="Times New Roman" w:cs="Times New Roman"/>
                <w:sz w:val="22"/>
              </w:rPr>
            </w:pPr>
          </w:p>
        </w:tc>
      </w:tr>
      <w:tr w:rsidRPr="00394710" w:rsidR="00394710" w:rsidTr="00394710" w14:paraId="065B36F4"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9B72CC7"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733D892F" w14:textId="4B73FE2F">
            <w:pPr>
              <w:keepNext/>
              <w:spacing w:line="240" w:lineRule="auto"/>
              <w:ind w:firstLine="0"/>
              <w:rPr>
                <w:rFonts w:ascii="Calibri" w:hAnsi="Calibri"/>
                <w:b/>
                <w:color w:val="000000"/>
                <w:sz w:val="22"/>
              </w:rPr>
            </w:pPr>
            <w:r w:rsidRPr="00394710">
              <w:rPr>
                <w:rFonts w:ascii="Calibri" w:hAnsi="Calibri" w:eastAsia="Times New Roman" w:cs="Calibri"/>
                <w:b/>
                <w:bCs/>
                <w:color w:val="000000"/>
                <w:sz w:val="22"/>
              </w:rPr>
              <w:t>PCT (Benefit/</w:t>
            </w:r>
            <w:r w:rsidRPr="00394710">
              <w:rPr>
                <w:rFonts w:ascii="Calibri" w:hAnsi="Calibri"/>
                <w:b/>
                <w:color w:val="000000"/>
                <w:sz w:val="22"/>
              </w:rPr>
              <w:t xml:space="preserve">Cost </w:t>
            </w:r>
            <w:r w:rsidRPr="00394710">
              <w:rPr>
                <w:rFonts w:ascii="Calibri" w:hAnsi="Calibri" w:eastAsia="Times New Roman" w:cs="Calibri"/>
                <w:b/>
                <w:bCs/>
                <w:color w:val="000000"/>
                <w:sz w:val="22"/>
              </w:rPr>
              <w:t>Ratio</w:t>
            </w:r>
            <w:r w:rsidRPr="00394710">
              <w:rPr>
                <w:rFonts w:ascii="Calibri" w:hAnsi="Calibri"/>
                <w:b/>
                <w:color w:val="000000"/>
                <w:sz w:val="22"/>
              </w:rPr>
              <w:t>)</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1AC4C770"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0A23D4CE"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394710" w:rsidRDefault="00394710" w14:paraId="1BA79065"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r>
      <w:tr w:rsidRPr="00394710" w:rsidR="00394710" w:rsidTr="00394710" w14:paraId="30560A48"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7457F452"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6D44EB24"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07FDBFF0"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2CB91768"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3C3B39E"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5CE8F24"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44124A25"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FD53A74"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62306D39"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76DB11EC"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4D4B925B" w14:textId="77777777">
            <w:pPr>
              <w:keepNext/>
              <w:spacing w:line="240" w:lineRule="auto"/>
              <w:ind w:firstLine="0"/>
              <w:jc w:val="right"/>
              <w:rPr>
                <w:rFonts w:ascii="Calibri" w:hAnsi="Calibri"/>
                <w:color w:val="000000"/>
                <w:sz w:val="22"/>
              </w:rPr>
            </w:pPr>
            <w:r w:rsidRPr="00394710">
              <w:rPr>
                <w:rFonts w:ascii="Calibri" w:hAnsi="Calibri"/>
                <w:color w:val="000000"/>
                <w:sz w:val="22"/>
              </w:rPr>
              <w:t>1.99</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673A7E34" w14:textId="77777777">
            <w:pPr>
              <w:keepNext/>
              <w:spacing w:line="240" w:lineRule="auto"/>
              <w:ind w:firstLine="0"/>
              <w:jc w:val="right"/>
              <w:rPr>
                <w:rFonts w:ascii="Calibri" w:hAnsi="Calibri"/>
                <w:color w:val="000000"/>
                <w:sz w:val="22"/>
              </w:rPr>
            </w:pPr>
            <w:r w:rsidRPr="00394710">
              <w:rPr>
                <w:rFonts w:ascii="Calibri" w:hAnsi="Calibri"/>
                <w:color w:val="000000"/>
                <w:sz w:val="22"/>
              </w:rPr>
              <w:t>2.03</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4A08863A" w14:textId="77777777">
            <w:pPr>
              <w:keepNext/>
              <w:spacing w:line="240" w:lineRule="auto"/>
              <w:ind w:firstLine="0"/>
              <w:jc w:val="right"/>
              <w:rPr>
                <w:rFonts w:ascii="Calibri" w:hAnsi="Calibri"/>
                <w:color w:val="000000"/>
                <w:sz w:val="22"/>
              </w:rPr>
            </w:pPr>
            <w:r w:rsidRPr="00394710">
              <w:rPr>
                <w:rFonts w:ascii="Calibri" w:hAnsi="Calibri"/>
                <w:color w:val="000000"/>
                <w:sz w:val="22"/>
              </w:rPr>
              <w:t>2.97</w:t>
            </w:r>
          </w:p>
        </w:tc>
      </w:tr>
      <w:tr w:rsidRPr="00394710" w:rsidR="00394710" w:rsidTr="00394710" w14:paraId="44941BD5"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0CB33693"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524163AB"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31996ECA"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663C02CA" w14:textId="3BEB2C7D">
            <w:pPr>
              <w:keepNext/>
              <w:spacing w:line="240" w:lineRule="auto"/>
              <w:ind w:firstLine="0"/>
              <w:jc w:val="right"/>
              <w:rPr>
                <w:rFonts w:ascii="Calibri" w:hAnsi="Calibri"/>
                <w:color w:val="000000"/>
                <w:sz w:val="22"/>
              </w:rPr>
            </w:pPr>
            <w:r w:rsidRPr="00394710">
              <w:rPr>
                <w:rFonts w:ascii="Calibri" w:hAnsi="Calibri"/>
                <w:color w:val="000000"/>
                <w:sz w:val="22"/>
              </w:rPr>
              <w:t>1.</w:t>
            </w:r>
            <w:r w:rsidRPr="00394710">
              <w:rPr>
                <w:rFonts w:ascii="Calibri" w:hAnsi="Calibri" w:eastAsia="Times New Roman" w:cs="Calibri"/>
                <w:color w:val="000000"/>
                <w:sz w:val="22"/>
              </w:rPr>
              <w:t>45</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2743DD32" w14:textId="77777777">
            <w:pPr>
              <w:keepNext/>
              <w:spacing w:line="240" w:lineRule="auto"/>
              <w:ind w:firstLine="0"/>
              <w:jc w:val="right"/>
              <w:rPr>
                <w:rFonts w:ascii="Calibri" w:hAnsi="Calibri"/>
                <w:color w:val="000000"/>
                <w:sz w:val="22"/>
              </w:rPr>
            </w:pPr>
            <w:r w:rsidRPr="00394710">
              <w:rPr>
                <w:rFonts w:ascii="Calibri" w:hAnsi="Calibri"/>
                <w:color w:val="000000"/>
                <w:sz w:val="22"/>
              </w:rPr>
              <w:t>1.49</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71898A86" w14:textId="77777777">
            <w:pPr>
              <w:keepNext/>
              <w:spacing w:line="240" w:lineRule="auto"/>
              <w:ind w:firstLine="0"/>
              <w:jc w:val="right"/>
              <w:rPr>
                <w:rFonts w:ascii="Calibri" w:hAnsi="Calibri"/>
                <w:color w:val="000000"/>
                <w:sz w:val="22"/>
              </w:rPr>
            </w:pPr>
            <w:r w:rsidRPr="00394710">
              <w:rPr>
                <w:rFonts w:ascii="Calibri" w:hAnsi="Calibri"/>
                <w:color w:val="000000"/>
                <w:sz w:val="22"/>
              </w:rPr>
              <w:t>2.04</w:t>
            </w:r>
          </w:p>
        </w:tc>
      </w:tr>
      <w:tr w:rsidRPr="00394710" w:rsidR="00394710" w:rsidTr="00394710" w14:paraId="79BE1ABC"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00FC9C9D"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7610EB87"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228989A"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6A730304" w14:textId="481681F7">
            <w:pPr>
              <w:spacing w:line="240" w:lineRule="auto"/>
              <w:ind w:firstLine="0"/>
              <w:jc w:val="right"/>
              <w:rPr>
                <w:rFonts w:ascii="Calibri" w:hAnsi="Calibri"/>
                <w:color w:val="000000"/>
                <w:sz w:val="22"/>
              </w:rPr>
            </w:pPr>
            <w:r w:rsidRPr="00394710">
              <w:rPr>
                <w:rFonts w:ascii="Calibri" w:hAnsi="Calibri"/>
                <w:color w:val="000000"/>
                <w:sz w:val="22"/>
              </w:rPr>
              <w:t>1.</w:t>
            </w:r>
            <w:r w:rsidRPr="00394710">
              <w:rPr>
                <w:rFonts w:ascii="Calibri" w:hAnsi="Calibri" w:eastAsia="Times New Roman" w:cs="Calibri"/>
                <w:color w:val="000000"/>
                <w:sz w:val="22"/>
              </w:rPr>
              <w:t>93</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59479DB3" w14:textId="77777777">
            <w:pPr>
              <w:spacing w:line="240" w:lineRule="auto"/>
              <w:ind w:firstLine="0"/>
              <w:jc w:val="right"/>
              <w:rPr>
                <w:rFonts w:ascii="Calibri" w:hAnsi="Calibri"/>
                <w:color w:val="000000"/>
                <w:sz w:val="22"/>
              </w:rPr>
            </w:pPr>
            <w:r w:rsidRPr="00394710">
              <w:rPr>
                <w:rFonts w:ascii="Calibri" w:hAnsi="Calibri"/>
                <w:color w:val="000000"/>
                <w:sz w:val="22"/>
              </w:rPr>
              <w:t>1.83</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2B79C66D" w14:textId="77777777">
            <w:pPr>
              <w:spacing w:line="240" w:lineRule="auto"/>
              <w:ind w:firstLine="0"/>
              <w:jc w:val="right"/>
              <w:rPr>
                <w:rFonts w:ascii="Calibri" w:hAnsi="Calibri"/>
                <w:color w:val="000000"/>
                <w:sz w:val="22"/>
              </w:rPr>
            </w:pPr>
            <w:r w:rsidRPr="00394710">
              <w:rPr>
                <w:rFonts w:ascii="Calibri" w:hAnsi="Calibri"/>
                <w:color w:val="000000"/>
                <w:sz w:val="22"/>
              </w:rPr>
              <w:t>2.36</w:t>
            </w:r>
          </w:p>
        </w:tc>
      </w:tr>
      <w:tr w:rsidRPr="00394710" w:rsidR="00394710" w:rsidTr="00394710" w14:paraId="32CEFCA8"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0D14A805"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6C7E75E5"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4A7DC73B"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5650F1C8"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7A586D34"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2D626525" w14:textId="77777777">
            <w:pPr>
              <w:spacing w:line="240" w:lineRule="auto"/>
              <w:ind w:firstLine="0"/>
              <w:rPr>
                <w:rFonts w:ascii="Calibri" w:hAnsi="Calibri" w:eastAsia="Times New Roman" w:cs="Times New Roman"/>
                <w:sz w:val="22"/>
              </w:rPr>
            </w:pPr>
          </w:p>
        </w:tc>
      </w:tr>
      <w:tr w:rsidRPr="00394710" w:rsidR="00394710" w:rsidTr="00394710" w14:paraId="69D8E052" w14:textId="77777777">
        <w:tc>
          <w:tcPr>
            <w:tcW w:w="2084" w:type="dxa"/>
            <w:tcBorders>
              <w:top w:val="nil"/>
              <w:left w:val="nil"/>
              <w:bottom w:val="nil"/>
              <w:right w:val="nil"/>
            </w:tcBorders>
            <w:shd w:val="clear" w:color="auto" w:fill="auto"/>
            <w:noWrap/>
            <w:vAlign w:val="bottom"/>
            <w:hideMark/>
          </w:tcPr>
          <w:p w:rsidRPr="00A0614A" w:rsidR="00394710" w:rsidP="00394710" w:rsidRDefault="00394710" w14:paraId="49BF860F" w14:textId="77777777">
            <w:pPr>
              <w:keepNext/>
              <w:spacing w:line="240" w:lineRule="auto"/>
              <w:ind w:firstLine="0"/>
              <w:rPr>
                <w:rFonts w:ascii="Calibri" w:hAnsi="Calibri"/>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A0614A" w:rsidRDefault="00394710" w14:paraId="5386BCCC" w14:textId="2284B04E">
            <w:pPr>
              <w:keepNext/>
              <w:spacing w:line="240" w:lineRule="auto"/>
              <w:ind w:firstLine="0"/>
              <w:rPr>
                <w:rFonts w:ascii="Calibri" w:hAnsi="Calibri"/>
                <w:b/>
                <w:color w:val="000000"/>
                <w:sz w:val="22"/>
              </w:rPr>
            </w:pPr>
            <w:r w:rsidRPr="00394710">
              <w:rPr>
                <w:rFonts w:ascii="Calibri" w:hAnsi="Calibri" w:eastAsia="Times New Roman" w:cs="Calibri"/>
                <w:b/>
                <w:bCs/>
                <w:color w:val="000000"/>
                <w:sz w:val="22"/>
              </w:rPr>
              <w:t>RIM (Benefit/Cost Ratio)</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7305C5A8"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394710" w:rsidRDefault="00394710" w14:paraId="3F7CBF48"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394710" w:rsidRDefault="00394710" w14:paraId="2FC313BC"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r>
      <w:tr w:rsidRPr="00394710" w:rsidR="00394710" w:rsidTr="00394710" w14:paraId="02F0EC6E"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40229F80"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0B4DD90E"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448CA29C"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6247212C"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DD08167"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23014641"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4AD315E3"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FAAF001"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BC6517A"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52306A25"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2664E975" w14:textId="576C766D">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42</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085CE315" w14:textId="77777777">
            <w:pPr>
              <w:keepNext/>
              <w:spacing w:line="240" w:lineRule="auto"/>
              <w:ind w:firstLine="0"/>
              <w:jc w:val="right"/>
              <w:rPr>
                <w:rFonts w:ascii="Calibri" w:hAnsi="Calibri"/>
                <w:color w:val="000000"/>
                <w:sz w:val="22"/>
              </w:rPr>
            </w:pPr>
            <w:r w:rsidRPr="00394710">
              <w:rPr>
                <w:rFonts w:ascii="Calibri" w:hAnsi="Calibri"/>
                <w:color w:val="000000"/>
                <w:sz w:val="22"/>
              </w:rPr>
              <w:t>0.42</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6E804B3B" w14:textId="77777777">
            <w:pPr>
              <w:keepNext/>
              <w:spacing w:line="240" w:lineRule="auto"/>
              <w:ind w:firstLine="0"/>
              <w:jc w:val="right"/>
              <w:rPr>
                <w:rFonts w:ascii="Calibri" w:hAnsi="Calibri"/>
                <w:color w:val="000000"/>
                <w:sz w:val="22"/>
              </w:rPr>
            </w:pPr>
            <w:r w:rsidRPr="00394710">
              <w:rPr>
                <w:rFonts w:ascii="Calibri" w:hAnsi="Calibri"/>
                <w:color w:val="000000"/>
                <w:sz w:val="22"/>
              </w:rPr>
              <w:t>0.35</w:t>
            </w:r>
          </w:p>
        </w:tc>
      </w:tr>
      <w:tr w:rsidRPr="00394710" w:rsidR="00394710" w:rsidTr="00394710" w14:paraId="1A3554B4"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1EFB7E42"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12766D2"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4FA04CA5"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53A94549" w14:textId="3E3FE6FB">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58</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1FD3D837" w14:textId="77777777">
            <w:pPr>
              <w:keepNext/>
              <w:spacing w:line="240" w:lineRule="auto"/>
              <w:ind w:firstLine="0"/>
              <w:jc w:val="right"/>
              <w:rPr>
                <w:rFonts w:ascii="Calibri" w:hAnsi="Calibri"/>
                <w:color w:val="000000"/>
                <w:sz w:val="22"/>
              </w:rPr>
            </w:pPr>
            <w:r w:rsidRPr="00394710">
              <w:rPr>
                <w:rFonts w:ascii="Calibri" w:hAnsi="Calibri"/>
                <w:color w:val="000000"/>
                <w:sz w:val="22"/>
              </w:rPr>
              <w:t>0.58</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1D1A6F87" w14:textId="77777777">
            <w:pPr>
              <w:keepNext/>
              <w:spacing w:line="240" w:lineRule="auto"/>
              <w:ind w:firstLine="0"/>
              <w:jc w:val="right"/>
              <w:rPr>
                <w:rFonts w:ascii="Calibri" w:hAnsi="Calibri"/>
                <w:color w:val="000000"/>
                <w:sz w:val="22"/>
              </w:rPr>
            </w:pPr>
            <w:r w:rsidRPr="00394710">
              <w:rPr>
                <w:rFonts w:ascii="Calibri" w:hAnsi="Calibri"/>
                <w:color w:val="000000"/>
                <w:sz w:val="22"/>
              </w:rPr>
              <w:t>0.50</w:t>
            </w:r>
          </w:p>
        </w:tc>
      </w:tr>
      <w:tr w:rsidRPr="00394710" w:rsidR="00394710" w:rsidTr="00394710" w14:paraId="7CFCCE77"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0AFF3BE2"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7CA9134E"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7D569F1A"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7F22ADBD" w14:textId="62CA67B3">
            <w:pPr>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42</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70703141" w14:textId="77777777">
            <w:pPr>
              <w:spacing w:line="240" w:lineRule="auto"/>
              <w:ind w:firstLine="0"/>
              <w:jc w:val="right"/>
              <w:rPr>
                <w:rFonts w:ascii="Calibri" w:hAnsi="Calibri"/>
                <w:color w:val="000000"/>
                <w:sz w:val="22"/>
              </w:rPr>
            </w:pPr>
            <w:r w:rsidRPr="00394710">
              <w:rPr>
                <w:rFonts w:ascii="Calibri" w:hAnsi="Calibri"/>
                <w:color w:val="000000"/>
                <w:sz w:val="22"/>
              </w:rPr>
              <w:t>0.42</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1B1E85B9" w14:textId="77777777">
            <w:pPr>
              <w:spacing w:line="240" w:lineRule="auto"/>
              <w:ind w:firstLine="0"/>
              <w:jc w:val="right"/>
              <w:rPr>
                <w:rFonts w:ascii="Calibri" w:hAnsi="Calibri"/>
                <w:color w:val="000000"/>
                <w:sz w:val="22"/>
              </w:rPr>
            </w:pPr>
            <w:r w:rsidRPr="00394710">
              <w:rPr>
                <w:rFonts w:ascii="Calibri" w:hAnsi="Calibri"/>
                <w:color w:val="000000"/>
                <w:sz w:val="22"/>
              </w:rPr>
              <w:t>0.44</w:t>
            </w:r>
          </w:p>
        </w:tc>
      </w:tr>
      <w:tr w:rsidRPr="00394710" w:rsidR="00394710" w:rsidTr="00394710" w14:paraId="3CD6F27F"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09899748"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7E7D55EE"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2956952E"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79A5DA27"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6AAEFF34"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5681639A" w14:textId="77777777">
            <w:pPr>
              <w:spacing w:line="240" w:lineRule="auto"/>
              <w:ind w:firstLine="0"/>
              <w:rPr>
                <w:rFonts w:ascii="Calibri" w:hAnsi="Calibri" w:eastAsia="Times New Roman" w:cs="Times New Roman"/>
                <w:sz w:val="22"/>
              </w:rPr>
            </w:pPr>
          </w:p>
        </w:tc>
      </w:tr>
      <w:tr w:rsidRPr="00394710" w:rsidR="00394710" w:rsidTr="00394710" w14:paraId="3AF50C24"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1D21CD07"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34C345AF" w14:textId="662FD97B">
            <w:pPr>
              <w:keepNext/>
              <w:spacing w:line="240" w:lineRule="auto"/>
              <w:ind w:firstLine="0"/>
              <w:rPr>
                <w:rFonts w:ascii="Calibri" w:hAnsi="Calibri"/>
                <w:b/>
                <w:color w:val="000000"/>
                <w:sz w:val="22"/>
              </w:rPr>
            </w:pPr>
            <w:proofErr w:type="spellStart"/>
            <w:r w:rsidRPr="00394710">
              <w:rPr>
                <w:rFonts w:ascii="Calibri" w:hAnsi="Calibri" w:eastAsia="Times New Roman" w:cs="Calibri"/>
                <w:b/>
                <w:bCs/>
                <w:color w:val="000000"/>
                <w:sz w:val="22"/>
              </w:rPr>
              <w:t>TRC</w:t>
            </w:r>
            <w:proofErr w:type="spellEnd"/>
            <w:r w:rsidRPr="00394710">
              <w:rPr>
                <w:rFonts w:ascii="Calibri" w:hAnsi="Calibri" w:eastAsia="Times New Roman" w:cs="Calibri"/>
                <w:b/>
                <w:bCs/>
                <w:color w:val="000000"/>
                <w:sz w:val="22"/>
              </w:rPr>
              <w:t xml:space="preserve"> (Benefit/</w:t>
            </w:r>
            <w:r w:rsidRPr="00394710">
              <w:rPr>
                <w:rFonts w:ascii="Calibri" w:hAnsi="Calibri"/>
                <w:b/>
                <w:color w:val="000000"/>
                <w:sz w:val="22"/>
              </w:rPr>
              <w:t xml:space="preserve">Cost </w:t>
            </w:r>
            <w:r w:rsidRPr="00394710">
              <w:rPr>
                <w:rFonts w:ascii="Calibri" w:hAnsi="Calibri" w:eastAsia="Times New Roman" w:cs="Calibri"/>
                <w:b/>
                <w:bCs/>
                <w:color w:val="000000"/>
                <w:sz w:val="22"/>
              </w:rPr>
              <w:t>Ratio</w:t>
            </w:r>
            <w:r w:rsidRPr="00394710">
              <w:rPr>
                <w:rFonts w:ascii="Calibri" w:hAnsi="Calibri"/>
                <w:b/>
                <w:color w:val="000000"/>
                <w:sz w:val="22"/>
              </w:rPr>
              <w:t>)</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425510A2"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546BEA52"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394710" w:rsidRDefault="00394710" w14:paraId="4B0932F7" w14:textId="77777777">
            <w:pPr>
              <w:keepNext/>
              <w:spacing w:line="240" w:lineRule="auto"/>
              <w:ind w:firstLine="0"/>
              <w:rPr>
                <w:rFonts w:ascii="Calibri" w:hAnsi="Calibri" w:eastAsia="Times New Roman" w:cs="Calibri"/>
                <w:b/>
                <w:bCs/>
                <w:color w:val="000000"/>
                <w:sz w:val="22"/>
              </w:rPr>
            </w:pPr>
            <w:r w:rsidRPr="00394710">
              <w:rPr>
                <w:rFonts w:ascii="Calibri" w:hAnsi="Calibri" w:eastAsia="Times New Roman" w:cs="Calibri"/>
                <w:b/>
                <w:bCs/>
                <w:color w:val="000000"/>
                <w:sz w:val="22"/>
              </w:rPr>
              <w:t> </w:t>
            </w:r>
          </w:p>
        </w:tc>
      </w:tr>
      <w:tr w:rsidRPr="00394710" w:rsidR="00394710" w:rsidTr="00394710" w14:paraId="5B1C0EB1"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5DF95D2"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4D8383D6"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49658DD2"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7FE8C67"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B5D2076"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1EB32EED"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1D8F73C8"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5E6C78E9"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02676FF8"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553F3118"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744B41CE" w14:textId="676034FC">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84</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062875C0" w14:textId="77777777">
            <w:pPr>
              <w:keepNext/>
              <w:spacing w:line="240" w:lineRule="auto"/>
              <w:ind w:firstLine="0"/>
              <w:jc w:val="right"/>
              <w:rPr>
                <w:rFonts w:ascii="Calibri" w:hAnsi="Calibri"/>
                <w:color w:val="000000"/>
                <w:sz w:val="22"/>
              </w:rPr>
            </w:pPr>
            <w:r w:rsidRPr="00394710">
              <w:rPr>
                <w:rFonts w:ascii="Calibri" w:hAnsi="Calibri"/>
                <w:color w:val="000000"/>
                <w:sz w:val="22"/>
              </w:rPr>
              <w:t>0.86</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5939E83E" w14:textId="77777777">
            <w:pPr>
              <w:keepNext/>
              <w:spacing w:line="240" w:lineRule="auto"/>
              <w:ind w:firstLine="0"/>
              <w:jc w:val="right"/>
              <w:rPr>
                <w:rFonts w:ascii="Calibri" w:hAnsi="Calibri"/>
                <w:color w:val="000000"/>
                <w:sz w:val="22"/>
              </w:rPr>
            </w:pPr>
            <w:r w:rsidRPr="00394710">
              <w:rPr>
                <w:rFonts w:ascii="Calibri" w:hAnsi="Calibri"/>
                <w:color w:val="000000"/>
                <w:sz w:val="22"/>
              </w:rPr>
              <w:t>1.03</w:t>
            </w:r>
          </w:p>
        </w:tc>
      </w:tr>
      <w:tr w:rsidRPr="00394710" w:rsidR="00394710" w:rsidTr="00394710" w14:paraId="23B7834B"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35990A8"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3E0F3E12"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69CD057D"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79587B27" w14:textId="6374658F">
            <w:pPr>
              <w:keepNext/>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85</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527972D7" w14:textId="77777777">
            <w:pPr>
              <w:keepNext/>
              <w:spacing w:line="240" w:lineRule="auto"/>
              <w:ind w:firstLine="0"/>
              <w:jc w:val="right"/>
              <w:rPr>
                <w:rFonts w:ascii="Calibri" w:hAnsi="Calibri"/>
                <w:color w:val="000000"/>
                <w:sz w:val="22"/>
              </w:rPr>
            </w:pPr>
            <w:r w:rsidRPr="00394710">
              <w:rPr>
                <w:rFonts w:ascii="Calibri" w:hAnsi="Calibri"/>
                <w:color w:val="000000"/>
                <w:sz w:val="22"/>
              </w:rPr>
              <w:t>0.86</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18377CB2" w14:textId="77777777">
            <w:pPr>
              <w:keepNext/>
              <w:spacing w:line="240" w:lineRule="auto"/>
              <w:ind w:firstLine="0"/>
              <w:jc w:val="right"/>
              <w:rPr>
                <w:rFonts w:ascii="Calibri" w:hAnsi="Calibri"/>
                <w:color w:val="000000"/>
                <w:sz w:val="22"/>
              </w:rPr>
            </w:pPr>
            <w:r w:rsidRPr="00394710">
              <w:rPr>
                <w:rFonts w:ascii="Calibri" w:hAnsi="Calibri"/>
                <w:color w:val="000000"/>
                <w:sz w:val="22"/>
              </w:rPr>
              <w:t>1.03</w:t>
            </w:r>
          </w:p>
        </w:tc>
      </w:tr>
      <w:tr w:rsidRPr="00394710" w:rsidR="00394710" w:rsidTr="00394710" w14:paraId="5246E199"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5234AACA"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4988D95B"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220746F6"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0C3A091D" w14:textId="5D0033FC">
            <w:pPr>
              <w:spacing w:line="240" w:lineRule="auto"/>
              <w:ind w:firstLine="0"/>
              <w:jc w:val="right"/>
              <w:rPr>
                <w:rFonts w:ascii="Calibri" w:hAnsi="Calibri"/>
                <w:color w:val="000000"/>
                <w:sz w:val="22"/>
              </w:rPr>
            </w:pPr>
            <w:r w:rsidRPr="00394710">
              <w:rPr>
                <w:rFonts w:ascii="Calibri" w:hAnsi="Calibri"/>
                <w:color w:val="000000"/>
                <w:sz w:val="22"/>
              </w:rPr>
              <w:t>0.</w:t>
            </w:r>
            <w:r w:rsidRPr="00394710">
              <w:rPr>
                <w:rFonts w:ascii="Calibri" w:hAnsi="Calibri" w:eastAsia="Times New Roman" w:cs="Calibri"/>
                <w:color w:val="000000"/>
                <w:sz w:val="22"/>
              </w:rPr>
              <w:t>81</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297C446D" w14:textId="77777777">
            <w:pPr>
              <w:spacing w:line="240" w:lineRule="auto"/>
              <w:ind w:firstLine="0"/>
              <w:jc w:val="right"/>
              <w:rPr>
                <w:rFonts w:ascii="Calibri" w:hAnsi="Calibri"/>
                <w:color w:val="000000"/>
                <w:sz w:val="22"/>
              </w:rPr>
            </w:pPr>
            <w:r w:rsidRPr="00394710">
              <w:rPr>
                <w:rFonts w:ascii="Calibri" w:hAnsi="Calibri"/>
                <w:color w:val="000000"/>
                <w:sz w:val="22"/>
              </w:rPr>
              <w:t>0.78</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1F59C77E" w14:textId="77777777">
            <w:pPr>
              <w:spacing w:line="240" w:lineRule="auto"/>
              <w:ind w:firstLine="0"/>
              <w:jc w:val="right"/>
              <w:rPr>
                <w:rFonts w:ascii="Calibri" w:hAnsi="Calibri"/>
                <w:color w:val="000000"/>
                <w:sz w:val="22"/>
              </w:rPr>
            </w:pPr>
            <w:r w:rsidRPr="00394710">
              <w:rPr>
                <w:rFonts w:ascii="Calibri" w:hAnsi="Calibri"/>
                <w:color w:val="000000"/>
                <w:sz w:val="22"/>
              </w:rPr>
              <w:t>1.03</w:t>
            </w:r>
          </w:p>
        </w:tc>
      </w:tr>
      <w:tr w:rsidRPr="00394710" w:rsidR="00394710" w:rsidTr="00394710" w14:paraId="200E7B46" w14:textId="77777777">
        <w:tc>
          <w:tcPr>
            <w:tcW w:w="2084" w:type="dxa"/>
            <w:tcBorders>
              <w:top w:val="nil"/>
              <w:left w:val="nil"/>
              <w:bottom w:val="nil"/>
              <w:right w:val="nil"/>
            </w:tcBorders>
            <w:shd w:val="clear" w:color="auto" w:fill="auto"/>
            <w:noWrap/>
            <w:vAlign w:val="bottom"/>
            <w:hideMark/>
          </w:tcPr>
          <w:p w:rsidRPr="00394710" w:rsidR="00394710" w:rsidP="00A0614A" w:rsidRDefault="00394710" w14:paraId="04498699" w14:textId="77777777">
            <w:pPr>
              <w:spacing w:line="240" w:lineRule="auto"/>
              <w:ind w:firstLine="0"/>
              <w:rPr>
                <w:rFonts w:ascii="Calibri" w:hAnsi="Calibri"/>
                <w:color w:val="000000"/>
                <w:sz w:val="22"/>
              </w:rPr>
            </w:pPr>
          </w:p>
        </w:tc>
        <w:tc>
          <w:tcPr>
            <w:tcW w:w="1825" w:type="dxa"/>
            <w:tcBorders>
              <w:top w:val="nil"/>
              <w:left w:val="nil"/>
              <w:bottom w:val="nil"/>
              <w:right w:val="nil"/>
            </w:tcBorders>
            <w:shd w:val="clear" w:color="auto" w:fill="auto"/>
            <w:noWrap/>
            <w:vAlign w:val="bottom"/>
            <w:hideMark/>
          </w:tcPr>
          <w:p w:rsidRPr="00394710" w:rsidR="00394710" w:rsidP="00394710" w:rsidRDefault="00394710" w14:paraId="13BD5129" w14:textId="77777777">
            <w:pPr>
              <w:spacing w:line="240" w:lineRule="auto"/>
              <w:ind w:firstLine="0"/>
              <w:rPr>
                <w:rFonts w:ascii="Calibri" w:hAnsi="Calibri" w:eastAsia="Times New Roman" w:cs="Times New Roman"/>
                <w:sz w:val="22"/>
              </w:rPr>
            </w:pPr>
          </w:p>
        </w:tc>
        <w:tc>
          <w:tcPr>
            <w:tcW w:w="1655" w:type="dxa"/>
            <w:tcBorders>
              <w:top w:val="nil"/>
              <w:left w:val="nil"/>
              <w:bottom w:val="nil"/>
              <w:right w:val="nil"/>
            </w:tcBorders>
            <w:shd w:val="clear" w:color="auto" w:fill="auto"/>
            <w:noWrap/>
            <w:vAlign w:val="bottom"/>
            <w:hideMark/>
          </w:tcPr>
          <w:p w:rsidRPr="00394710" w:rsidR="00394710" w:rsidP="00394710" w:rsidRDefault="00394710" w14:paraId="60DF4080" w14:textId="77777777">
            <w:pPr>
              <w:spacing w:line="240" w:lineRule="auto"/>
              <w:ind w:firstLine="0"/>
              <w:rPr>
                <w:rFonts w:ascii="Calibri" w:hAnsi="Calibri" w:eastAsia="Times New Roman" w:cs="Times New Roman"/>
                <w:sz w:val="22"/>
              </w:rPr>
            </w:pPr>
          </w:p>
        </w:tc>
        <w:tc>
          <w:tcPr>
            <w:tcW w:w="1276" w:type="dxa"/>
            <w:tcBorders>
              <w:top w:val="nil"/>
              <w:left w:val="nil"/>
              <w:bottom w:val="nil"/>
              <w:right w:val="nil"/>
            </w:tcBorders>
            <w:shd w:val="clear" w:color="auto" w:fill="auto"/>
            <w:noWrap/>
            <w:vAlign w:val="bottom"/>
            <w:hideMark/>
          </w:tcPr>
          <w:p w:rsidRPr="00394710" w:rsidR="00394710" w:rsidP="00A0614A" w:rsidRDefault="00394710" w14:paraId="6FBA4796" w14:textId="77777777">
            <w:pPr>
              <w:spacing w:line="240" w:lineRule="auto"/>
              <w:ind w:firstLine="0"/>
              <w:rPr>
                <w:rFonts w:ascii="Calibri" w:hAnsi="Calibri" w:eastAsia="Times New Roman" w:cs="Times New Roman"/>
                <w:sz w:val="22"/>
              </w:rPr>
            </w:pPr>
          </w:p>
        </w:tc>
        <w:tc>
          <w:tcPr>
            <w:tcW w:w="1218" w:type="dxa"/>
            <w:tcBorders>
              <w:top w:val="nil"/>
              <w:left w:val="nil"/>
              <w:bottom w:val="nil"/>
              <w:right w:val="nil"/>
            </w:tcBorders>
            <w:shd w:val="clear" w:color="auto" w:fill="auto"/>
            <w:noWrap/>
            <w:vAlign w:val="bottom"/>
            <w:hideMark/>
          </w:tcPr>
          <w:p w:rsidRPr="00394710" w:rsidR="00394710" w:rsidP="00A0614A" w:rsidRDefault="00394710" w14:paraId="58594492" w14:textId="77777777">
            <w:pPr>
              <w:spacing w:line="240" w:lineRule="auto"/>
              <w:ind w:firstLine="0"/>
              <w:rPr>
                <w:rFonts w:ascii="Calibri" w:hAnsi="Calibri" w:eastAsia="Times New Roman" w:cs="Times New Roman"/>
                <w:sz w:val="22"/>
              </w:rPr>
            </w:pPr>
          </w:p>
        </w:tc>
        <w:tc>
          <w:tcPr>
            <w:tcW w:w="1297" w:type="dxa"/>
            <w:tcBorders>
              <w:top w:val="nil"/>
              <w:left w:val="nil"/>
              <w:bottom w:val="nil"/>
              <w:right w:val="nil"/>
            </w:tcBorders>
            <w:shd w:val="clear" w:color="auto" w:fill="auto"/>
            <w:noWrap/>
            <w:vAlign w:val="bottom"/>
            <w:hideMark/>
          </w:tcPr>
          <w:p w:rsidRPr="00394710" w:rsidR="00394710" w:rsidP="00394710" w:rsidRDefault="00394710" w14:paraId="73A87146" w14:textId="77777777">
            <w:pPr>
              <w:spacing w:line="240" w:lineRule="auto"/>
              <w:ind w:firstLine="0"/>
              <w:rPr>
                <w:rFonts w:ascii="Calibri" w:hAnsi="Calibri" w:eastAsia="Times New Roman" w:cs="Times New Roman"/>
                <w:sz w:val="22"/>
              </w:rPr>
            </w:pPr>
          </w:p>
        </w:tc>
      </w:tr>
      <w:tr w:rsidRPr="00394710" w:rsidR="00394710" w:rsidTr="00394710" w14:paraId="3D3AD837"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669BF52F" w14:textId="77777777">
            <w:pPr>
              <w:keepNext/>
              <w:spacing w:line="240" w:lineRule="auto"/>
              <w:ind w:firstLine="0"/>
              <w:rPr>
                <w:rFonts w:ascii="Calibri" w:hAnsi="Calibri" w:eastAsia="Times New Roman" w:cs="Times New Roman"/>
                <w:sz w:val="22"/>
              </w:rPr>
            </w:pPr>
          </w:p>
        </w:tc>
        <w:tc>
          <w:tcPr>
            <w:tcW w:w="3480" w:type="dxa"/>
            <w:gridSpan w:val="2"/>
            <w:tcBorders>
              <w:top w:val="single" w:color="auto" w:sz="4" w:space="0"/>
              <w:left w:val="single" w:color="auto" w:sz="4" w:space="0"/>
              <w:bottom w:val="single" w:color="auto" w:sz="4" w:space="0"/>
              <w:right w:val="nil"/>
            </w:tcBorders>
            <w:shd w:val="clear" w:color="000000" w:fill="FFE7CC"/>
            <w:noWrap/>
            <w:vAlign w:val="bottom"/>
            <w:hideMark/>
          </w:tcPr>
          <w:p w:rsidRPr="00394710" w:rsidR="00394710" w:rsidP="00394710" w:rsidRDefault="00394710" w14:paraId="0819F43A" w14:textId="77777777">
            <w:pPr>
              <w:keepNext/>
              <w:spacing w:line="240" w:lineRule="auto"/>
              <w:ind w:firstLine="0"/>
              <w:rPr>
                <w:rFonts w:ascii="Calibri" w:hAnsi="Calibri"/>
                <w:b/>
                <w:color w:val="000000"/>
                <w:sz w:val="22"/>
              </w:rPr>
            </w:pPr>
            <w:r w:rsidRPr="00394710">
              <w:rPr>
                <w:rFonts w:ascii="Calibri" w:hAnsi="Calibri"/>
                <w:b/>
                <w:color w:val="000000"/>
                <w:sz w:val="22"/>
              </w:rPr>
              <w:t>Modeled Solar System Size (kW-AC)</w:t>
            </w:r>
          </w:p>
        </w:tc>
        <w:tc>
          <w:tcPr>
            <w:tcW w:w="1276"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66BB1AFA"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18" w:type="dxa"/>
            <w:tcBorders>
              <w:top w:val="single" w:color="auto" w:sz="4" w:space="0"/>
              <w:left w:val="nil"/>
              <w:bottom w:val="single" w:color="auto" w:sz="4" w:space="0"/>
              <w:right w:val="nil"/>
            </w:tcBorders>
            <w:shd w:val="clear" w:color="000000" w:fill="FFE7CC"/>
            <w:noWrap/>
            <w:vAlign w:val="bottom"/>
            <w:hideMark/>
          </w:tcPr>
          <w:p w:rsidRPr="00394710" w:rsidR="00394710" w:rsidP="00A0614A" w:rsidRDefault="00394710" w14:paraId="3306D4B8"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c>
          <w:tcPr>
            <w:tcW w:w="1297" w:type="dxa"/>
            <w:tcBorders>
              <w:top w:val="single" w:color="auto" w:sz="4" w:space="0"/>
              <w:left w:val="nil"/>
              <w:bottom w:val="single" w:color="auto" w:sz="4" w:space="0"/>
              <w:right w:val="single" w:color="auto" w:sz="4" w:space="0"/>
            </w:tcBorders>
            <w:shd w:val="clear" w:color="000000" w:fill="FFE7CC"/>
            <w:noWrap/>
            <w:vAlign w:val="bottom"/>
            <w:hideMark/>
          </w:tcPr>
          <w:p w:rsidRPr="00394710" w:rsidR="00394710" w:rsidP="00A0614A" w:rsidRDefault="00394710" w14:paraId="281B5FE7" w14:textId="77777777">
            <w:pPr>
              <w:keepNext/>
              <w:spacing w:line="240" w:lineRule="auto"/>
              <w:ind w:firstLine="0"/>
              <w:rPr>
                <w:rFonts w:ascii="Calibri" w:hAnsi="Calibri"/>
                <w:b/>
                <w:color w:val="000000"/>
                <w:sz w:val="22"/>
              </w:rPr>
            </w:pPr>
            <w:r w:rsidRPr="00394710">
              <w:rPr>
                <w:rFonts w:ascii="Calibri" w:hAnsi="Calibri"/>
                <w:b/>
                <w:color w:val="000000"/>
                <w:sz w:val="22"/>
              </w:rPr>
              <w:t> </w:t>
            </w:r>
          </w:p>
        </w:tc>
      </w:tr>
      <w:tr w:rsidRPr="00394710" w:rsidR="00394710" w:rsidTr="00394710" w14:paraId="377B0B8D"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158591C5" w14:textId="77777777">
            <w:pPr>
              <w:keepNext/>
              <w:spacing w:line="240" w:lineRule="auto"/>
              <w:ind w:firstLine="0"/>
              <w:rPr>
                <w:rFonts w:ascii="Calibri" w:hAnsi="Calibri" w:eastAsia="Times New Roman" w:cs="Calibri"/>
                <w:b/>
                <w:bCs/>
                <w:color w:val="000000"/>
                <w:sz w:val="22"/>
              </w:rPr>
            </w:pPr>
          </w:p>
        </w:tc>
        <w:tc>
          <w:tcPr>
            <w:tcW w:w="1825" w:type="dxa"/>
            <w:tcBorders>
              <w:top w:val="nil"/>
              <w:left w:val="single" w:color="auto" w:sz="4" w:space="0"/>
              <w:bottom w:val="single" w:color="auto" w:sz="4" w:space="0"/>
              <w:right w:val="single" w:color="auto" w:sz="4" w:space="0"/>
            </w:tcBorders>
            <w:shd w:val="clear" w:color="000000" w:fill="034E6E"/>
            <w:noWrap/>
            <w:vAlign w:val="bottom"/>
            <w:hideMark/>
          </w:tcPr>
          <w:p w:rsidRPr="00394710" w:rsidR="00394710" w:rsidP="00394710" w:rsidRDefault="00394710" w14:paraId="4035F999" w14:textId="77777777">
            <w:pPr>
              <w:keepNext/>
              <w:spacing w:line="240" w:lineRule="auto"/>
              <w:ind w:firstLine="0"/>
              <w:rPr>
                <w:rFonts w:ascii="Calibri" w:hAnsi="Calibri"/>
                <w:b/>
                <w:color w:val="FFFFFF"/>
                <w:sz w:val="22"/>
              </w:rPr>
            </w:pPr>
            <w:r w:rsidRPr="00394710">
              <w:rPr>
                <w:rFonts w:ascii="Calibri" w:hAnsi="Calibri"/>
                <w:b/>
                <w:color w:val="FFFFFF"/>
                <w:sz w:val="22"/>
              </w:rPr>
              <w:t>Customer</w:t>
            </w:r>
          </w:p>
        </w:tc>
        <w:tc>
          <w:tcPr>
            <w:tcW w:w="1655"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71B543E9" w14:textId="77777777">
            <w:pPr>
              <w:keepNext/>
              <w:spacing w:line="240" w:lineRule="auto"/>
              <w:ind w:firstLine="0"/>
              <w:rPr>
                <w:rFonts w:ascii="Calibri" w:hAnsi="Calibri"/>
                <w:b/>
                <w:color w:val="FFFFFF"/>
                <w:sz w:val="22"/>
              </w:rPr>
            </w:pPr>
            <w:r w:rsidRPr="00394710">
              <w:rPr>
                <w:rFonts w:ascii="Calibri" w:hAnsi="Calibri"/>
                <w:b/>
                <w:color w:val="FFFFFF"/>
                <w:sz w:val="22"/>
              </w:rPr>
              <w:t>CARE Status</w:t>
            </w:r>
          </w:p>
        </w:tc>
        <w:tc>
          <w:tcPr>
            <w:tcW w:w="1276"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51FB3FF9"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PG&amp;E</w:t>
            </w:r>
          </w:p>
        </w:tc>
        <w:tc>
          <w:tcPr>
            <w:tcW w:w="1218" w:type="dxa"/>
            <w:tcBorders>
              <w:top w:val="nil"/>
              <w:left w:val="nil"/>
              <w:bottom w:val="single" w:color="auto" w:sz="4" w:space="0"/>
              <w:right w:val="nil"/>
            </w:tcBorders>
            <w:shd w:val="clear" w:color="000000" w:fill="034E6E"/>
            <w:noWrap/>
            <w:vAlign w:val="bottom"/>
            <w:hideMark/>
          </w:tcPr>
          <w:p w:rsidRPr="00394710" w:rsidR="00394710" w:rsidP="00394710" w:rsidRDefault="00394710" w14:paraId="2ED216E3"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SCE</w:t>
            </w:r>
          </w:p>
        </w:tc>
        <w:tc>
          <w:tcPr>
            <w:tcW w:w="1297" w:type="dxa"/>
            <w:tcBorders>
              <w:top w:val="nil"/>
              <w:left w:val="nil"/>
              <w:bottom w:val="single" w:color="auto" w:sz="4" w:space="0"/>
              <w:right w:val="single" w:color="auto" w:sz="4" w:space="0"/>
            </w:tcBorders>
            <w:shd w:val="clear" w:color="000000" w:fill="034E6E"/>
            <w:noWrap/>
            <w:vAlign w:val="bottom"/>
            <w:hideMark/>
          </w:tcPr>
          <w:p w:rsidRPr="00394710" w:rsidR="00394710" w:rsidP="00394710" w:rsidRDefault="00394710" w14:paraId="4CC4DDBA" w14:textId="77777777">
            <w:pPr>
              <w:keepNext/>
              <w:spacing w:line="240" w:lineRule="auto"/>
              <w:ind w:firstLine="0"/>
              <w:jc w:val="right"/>
              <w:rPr>
                <w:rFonts w:ascii="Calibri" w:hAnsi="Calibri"/>
                <w:b/>
                <w:color w:val="FFFFFF"/>
                <w:sz w:val="22"/>
              </w:rPr>
            </w:pPr>
            <w:r w:rsidRPr="00394710">
              <w:rPr>
                <w:rFonts w:ascii="Calibri" w:hAnsi="Calibri"/>
                <w:b/>
                <w:color w:val="FFFFFF"/>
                <w:sz w:val="22"/>
              </w:rPr>
              <w:t>SDG&amp;E</w:t>
            </w:r>
          </w:p>
        </w:tc>
      </w:tr>
      <w:tr w:rsidRPr="00394710" w:rsidR="00394710" w:rsidTr="00394710" w14:paraId="29E616CF"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0676F80B" w14:textId="77777777">
            <w:pPr>
              <w:keepNext/>
              <w:spacing w:line="240" w:lineRule="auto"/>
              <w:ind w:firstLine="0"/>
              <w:rPr>
                <w:rFonts w:ascii="Calibri" w:hAnsi="Calibri" w:eastAsia="Times New Roman" w:cs="Calibri"/>
                <w:b/>
                <w:bCs/>
                <w:color w:val="FFFFFF"/>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1D166CFB"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005F8865" w14:textId="77777777">
            <w:pPr>
              <w:keepNext/>
              <w:spacing w:line="240" w:lineRule="auto"/>
              <w:ind w:firstLine="0"/>
              <w:rPr>
                <w:rFonts w:ascii="Calibri" w:hAnsi="Calibri"/>
                <w:color w:val="000000"/>
                <w:sz w:val="22"/>
              </w:rPr>
            </w:pPr>
            <w:r w:rsidRPr="00394710">
              <w:rPr>
                <w:rFonts w:ascii="Calibri" w:hAnsi="Calibri"/>
                <w:color w:val="000000"/>
                <w:sz w:val="22"/>
              </w:rPr>
              <w:t>Non-CARE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6C002870" w14:textId="77777777">
            <w:pPr>
              <w:keepNext/>
              <w:spacing w:line="240" w:lineRule="auto"/>
              <w:ind w:firstLine="0"/>
              <w:jc w:val="right"/>
              <w:rPr>
                <w:rFonts w:ascii="Calibri" w:hAnsi="Calibri"/>
                <w:color w:val="000000"/>
                <w:sz w:val="22"/>
              </w:rPr>
            </w:pPr>
            <w:r w:rsidRPr="00394710">
              <w:rPr>
                <w:rFonts w:ascii="Calibri" w:hAnsi="Calibri"/>
                <w:color w:val="000000"/>
                <w:sz w:val="22"/>
              </w:rPr>
              <w:t>3.78</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5D1C2ECC"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1D3C35BB"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r>
      <w:tr w:rsidRPr="00394710" w:rsidR="00394710" w:rsidTr="00394710" w14:paraId="67C920E0"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7B05CECC" w14:textId="77777777">
            <w:pPr>
              <w:keepNext/>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nil"/>
              <w:right w:val="single" w:color="auto" w:sz="4" w:space="0"/>
            </w:tcBorders>
            <w:shd w:val="clear" w:color="auto" w:fill="auto"/>
            <w:noWrap/>
            <w:vAlign w:val="bottom"/>
            <w:hideMark/>
          </w:tcPr>
          <w:p w:rsidRPr="00394710" w:rsidR="00394710" w:rsidP="00394710" w:rsidRDefault="00394710" w14:paraId="28DB72E1" w14:textId="77777777">
            <w:pPr>
              <w:keepNext/>
              <w:spacing w:line="240" w:lineRule="auto"/>
              <w:ind w:firstLine="0"/>
              <w:rPr>
                <w:rFonts w:ascii="Calibri" w:hAnsi="Calibri"/>
                <w:color w:val="000000"/>
                <w:sz w:val="22"/>
              </w:rPr>
            </w:pPr>
            <w:r w:rsidRPr="00394710">
              <w:rPr>
                <w:rFonts w:ascii="Calibri" w:hAnsi="Calibri"/>
                <w:color w:val="000000"/>
                <w:sz w:val="22"/>
              </w:rPr>
              <w:t>Residential</w:t>
            </w:r>
          </w:p>
        </w:tc>
        <w:tc>
          <w:tcPr>
            <w:tcW w:w="1655" w:type="dxa"/>
            <w:tcBorders>
              <w:top w:val="nil"/>
              <w:left w:val="nil"/>
              <w:bottom w:val="nil"/>
              <w:right w:val="single" w:color="auto" w:sz="4" w:space="0"/>
            </w:tcBorders>
            <w:shd w:val="clear" w:color="auto" w:fill="auto"/>
            <w:noWrap/>
            <w:vAlign w:val="bottom"/>
            <w:hideMark/>
          </w:tcPr>
          <w:p w:rsidRPr="00394710" w:rsidR="00394710" w:rsidP="00394710" w:rsidRDefault="00394710" w14:paraId="05D2E481" w14:textId="77777777">
            <w:pPr>
              <w:keepNext/>
              <w:spacing w:line="240" w:lineRule="auto"/>
              <w:ind w:firstLine="0"/>
              <w:rPr>
                <w:rFonts w:ascii="Calibri" w:hAnsi="Calibri"/>
                <w:color w:val="000000"/>
                <w:sz w:val="22"/>
              </w:rPr>
            </w:pPr>
            <w:r w:rsidRPr="00394710">
              <w:rPr>
                <w:rFonts w:ascii="Calibri" w:hAnsi="Calibri"/>
                <w:color w:val="000000"/>
                <w:sz w:val="22"/>
              </w:rPr>
              <w:t>CARE</w:t>
            </w:r>
          </w:p>
        </w:tc>
        <w:tc>
          <w:tcPr>
            <w:tcW w:w="1276" w:type="dxa"/>
            <w:tcBorders>
              <w:top w:val="nil"/>
              <w:left w:val="nil"/>
              <w:bottom w:val="nil"/>
              <w:right w:val="nil"/>
            </w:tcBorders>
            <w:shd w:val="clear" w:color="auto" w:fill="auto"/>
            <w:noWrap/>
            <w:vAlign w:val="bottom"/>
            <w:hideMark/>
          </w:tcPr>
          <w:p w:rsidRPr="00394710" w:rsidR="00394710" w:rsidP="00394710" w:rsidRDefault="00394710" w14:paraId="0694D646" w14:textId="77777777">
            <w:pPr>
              <w:keepNext/>
              <w:spacing w:line="240" w:lineRule="auto"/>
              <w:ind w:firstLine="0"/>
              <w:jc w:val="right"/>
              <w:rPr>
                <w:rFonts w:ascii="Calibri" w:hAnsi="Calibri"/>
                <w:color w:val="000000"/>
                <w:sz w:val="22"/>
              </w:rPr>
            </w:pPr>
            <w:r w:rsidRPr="00394710">
              <w:rPr>
                <w:rFonts w:ascii="Calibri" w:hAnsi="Calibri"/>
                <w:color w:val="000000"/>
                <w:sz w:val="22"/>
              </w:rPr>
              <w:t>3.78</w:t>
            </w:r>
          </w:p>
        </w:tc>
        <w:tc>
          <w:tcPr>
            <w:tcW w:w="1218" w:type="dxa"/>
            <w:tcBorders>
              <w:top w:val="nil"/>
              <w:left w:val="nil"/>
              <w:bottom w:val="nil"/>
              <w:right w:val="nil"/>
            </w:tcBorders>
            <w:shd w:val="clear" w:color="auto" w:fill="auto"/>
            <w:noWrap/>
            <w:vAlign w:val="bottom"/>
            <w:hideMark/>
          </w:tcPr>
          <w:p w:rsidRPr="00394710" w:rsidR="00394710" w:rsidP="00394710" w:rsidRDefault="00394710" w14:paraId="16ECF1C1"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c>
          <w:tcPr>
            <w:tcW w:w="1297" w:type="dxa"/>
            <w:tcBorders>
              <w:top w:val="nil"/>
              <w:left w:val="nil"/>
              <w:bottom w:val="nil"/>
              <w:right w:val="single" w:color="auto" w:sz="4" w:space="0"/>
            </w:tcBorders>
            <w:shd w:val="clear" w:color="auto" w:fill="auto"/>
            <w:noWrap/>
            <w:vAlign w:val="bottom"/>
            <w:hideMark/>
          </w:tcPr>
          <w:p w:rsidRPr="00394710" w:rsidR="00394710" w:rsidP="00394710" w:rsidRDefault="00394710" w14:paraId="1B03470B" w14:textId="77777777">
            <w:pPr>
              <w:keepNext/>
              <w:spacing w:line="240" w:lineRule="auto"/>
              <w:ind w:firstLine="0"/>
              <w:jc w:val="right"/>
              <w:rPr>
                <w:rFonts w:ascii="Calibri" w:hAnsi="Calibri"/>
                <w:color w:val="000000"/>
                <w:sz w:val="22"/>
              </w:rPr>
            </w:pPr>
            <w:r w:rsidRPr="00394710">
              <w:rPr>
                <w:rFonts w:ascii="Calibri" w:hAnsi="Calibri"/>
                <w:color w:val="000000"/>
                <w:sz w:val="22"/>
              </w:rPr>
              <w:t>3.51</w:t>
            </w:r>
          </w:p>
        </w:tc>
      </w:tr>
      <w:tr w:rsidRPr="00394710" w:rsidR="00394710" w:rsidTr="00394710" w14:paraId="7A411605" w14:textId="77777777">
        <w:tc>
          <w:tcPr>
            <w:tcW w:w="2084" w:type="dxa"/>
            <w:tcBorders>
              <w:top w:val="nil"/>
              <w:left w:val="nil"/>
              <w:bottom w:val="nil"/>
              <w:right w:val="nil"/>
            </w:tcBorders>
            <w:shd w:val="clear" w:color="auto" w:fill="auto"/>
            <w:noWrap/>
            <w:vAlign w:val="bottom"/>
            <w:hideMark/>
          </w:tcPr>
          <w:p w:rsidRPr="00394710" w:rsidR="00394710" w:rsidP="00394710" w:rsidRDefault="00394710" w14:paraId="29FF0DD7" w14:textId="77777777">
            <w:pPr>
              <w:spacing w:line="240" w:lineRule="auto"/>
              <w:ind w:firstLine="0"/>
              <w:rPr>
                <w:rFonts w:ascii="Calibri" w:hAnsi="Calibri" w:eastAsia="Times New Roman" w:cs="Calibri"/>
                <w:color w:val="000000"/>
                <w:sz w:val="22"/>
              </w:rPr>
            </w:pPr>
          </w:p>
        </w:tc>
        <w:tc>
          <w:tcPr>
            <w:tcW w:w="1825" w:type="dxa"/>
            <w:tcBorders>
              <w:top w:val="nil"/>
              <w:left w:val="single" w:color="auto" w:sz="4" w:space="0"/>
              <w:bottom w:val="single" w:color="auto" w:sz="4" w:space="0"/>
              <w:right w:val="single" w:color="auto" w:sz="4" w:space="0"/>
            </w:tcBorders>
            <w:shd w:val="clear" w:color="auto" w:fill="auto"/>
            <w:noWrap/>
            <w:vAlign w:val="bottom"/>
            <w:hideMark/>
          </w:tcPr>
          <w:p w:rsidRPr="00394710" w:rsidR="00394710" w:rsidP="00394710" w:rsidRDefault="00394710" w14:paraId="38C2AA20" w14:textId="77777777">
            <w:pPr>
              <w:spacing w:line="240" w:lineRule="auto"/>
              <w:ind w:firstLine="0"/>
              <w:rPr>
                <w:rFonts w:ascii="Calibri" w:hAnsi="Calibri"/>
                <w:color w:val="000000"/>
                <w:sz w:val="22"/>
              </w:rPr>
            </w:pPr>
            <w:r w:rsidRPr="00394710">
              <w:rPr>
                <w:rFonts w:ascii="Calibri" w:hAnsi="Calibri"/>
                <w:color w:val="000000"/>
                <w:sz w:val="22"/>
              </w:rPr>
              <w:t>Small Commercial</w:t>
            </w:r>
          </w:p>
        </w:tc>
        <w:tc>
          <w:tcPr>
            <w:tcW w:w="1655"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1F05703C" w14:textId="77777777">
            <w:pPr>
              <w:spacing w:line="240" w:lineRule="auto"/>
              <w:ind w:firstLine="0"/>
              <w:rPr>
                <w:rFonts w:ascii="Calibri" w:hAnsi="Calibri"/>
                <w:color w:val="000000"/>
                <w:sz w:val="22"/>
              </w:rPr>
            </w:pPr>
            <w:r w:rsidRPr="00394710">
              <w:rPr>
                <w:rFonts w:ascii="Calibri" w:hAnsi="Calibri"/>
                <w:color w:val="000000"/>
                <w:sz w:val="22"/>
              </w:rPr>
              <w:t>N/A</w:t>
            </w:r>
          </w:p>
        </w:tc>
        <w:tc>
          <w:tcPr>
            <w:tcW w:w="1276" w:type="dxa"/>
            <w:tcBorders>
              <w:top w:val="nil"/>
              <w:left w:val="nil"/>
              <w:bottom w:val="single" w:color="auto" w:sz="4" w:space="0"/>
              <w:right w:val="nil"/>
            </w:tcBorders>
            <w:shd w:val="clear" w:color="auto" w:fill="auto"/>
            <w:noWrap/>
            <w:vAlign w:val="bottom"/>
            <w:hideMark/>
          </w:tcPr>
          <w:p w:rsidRPr="00394710" w:rsidR="00394710" w:rsidP="00394710" w:rsidRDefault="00394710" w14:paraId="2EAF62C6" w14:textId="77777777">
            <w:pPr>
              <w:spacing w:line="240" w:lineRule="auto"/>
              <w:ind w:firstLine="0"/>
              <w:jc w:val="right"/>
              <w:rPr>
                <w:rFonts w:ascii="Calibri" w:hAnsi="Calibri"/>
                <w:color w:val="000000"/>
                <w:sz w:val="22"/>
              </w:rPr>
            </w:pPr>
            <w:r w:rsidRPr="00394710">
              <w:rPr>
                <w:rFonts w:ascii="Calibri" w:hAnsi="Calibri"/>
                <w:color w:val="000000"/>
                <w:sz w:val="22"/>
              </w:rPr>
              <w:t>8.57</w:t>
            </w:r>
          </w:p>
        </w:tc>
        <w:tc>
          <w:tcPr>
            <w:tcW w:w="1218" w:type="dxa"/>
            <w:tcBorders>
              <w:top w:val="nil"/>
              <w:left w:val="nil"/>
              <w:bottom w:val="single" w:color="auto" w:sz="4" w:space="0"/>
              <w:right w:val="nil"/>
            </w:tcBorders>
            <w:shd w:val="clear" w:color="auto" w:fill="auto"/>
            <w:noWrap/>
            <w:vAlign w:val="bottom"/>
            <w:hideMark/>
          </w:tcPr>
          <w:p w:rsidRPr="00394710" w:rsidR="00394710" w:rsidP="00394710" w:rsidRDefault="00394710" w14:paraId="196D0985" w14:textId="77777777">
            <w:pPr>
              <w:spacing w:line="240" w:lineRule="auto"/>
              <w:ind w:firstLine="0"/>
              <w:jc w:val="right"/>
              <w:rPr>
                <w:rFonts w:ascii="Calibri" w:hAnsi="Calibri"/>
                <w:color w:val="000000"/>
                <w:sz w:val="22"/>
              </w:rPr>
            </w:pPr>
            <w:r w:rsidRPr="00394710">
              <w:rPr>
                <w:rFonts w:ascii="Calibri" w:hAnsi="Calibri"/>
                <w:color w:val="000000"/>
                <w:sz w:val="22"/>
              </w:rPr>
              <w:t>7.95</w:t>
            </w:r>
          </w:p>
        </w:tc>
        <w:tc>
          <w:tcPr>
            <w:tcW w:w="1297" w:type="dxa"/>
            <w:tcBorders>
              <w:top w:val="nil"/>
              <w:left w:val="nil"/>
              <w:bottom w:val="single" w:color="auto" w:sz="4" w:space="0"/>
              <w:right w:val="single" w:color="auto" w:sz="4" w:space="0"/>
            </w:tcBorders>
            <w:shd w:val="clear" w:color="auto" w:fill="auto"/>
            <w:noWrap/>
            <w:vAlign w:val="bottom"/>
            <w:hideMark/>
          </w:tcPr>
          <w:p w:rsidRPr="00394710" w:rsidR="00394710" w:rsidP="00394710" w:rsidRDefault="00394710" w14:paraId="0712E0A7" w14:textId="77777777">
            <w:pPr>
              <w:spacing w:line="240" w:lineRule="auto"/>
              <w:ind w:firstLine="0"/>
              <w:jc w:val="right"/>
              <w:rPr>
                <w:rFonts w:ascii="Calibri" w:hAnsi="Calibri"/>
                <w:color w:val="000000"/>
                <w:sz w:val="22"/>
              </w:rPr>
            </w:pPr>
            <w:r w:rsidRPr="00394710">
              <w:rPr>
                <w:rFonts w:ascii="Calibri" w:hAnsi="Calibri"/>
                <w:color w:val="000000"/>
                <w:sz w:val="22"/>
              </w:rPr>
              <w:t>7.95</w:t>
            </w:r>
          </w:p>
        </w:tc>
      </w:tr>
    </w:tbl>
    <w:p w:rsidR="005E7044" w:rsidP="00394710" w:rsidRDefault="005E7044" w14:paraId="62883F0B" w14:textId="2957B14B">
      <w:pPr>
        <w:keepNext/>
        <w:ind w:firstLine="0"/>
        <w:jc w:val="center"/>
        <w:rPr>
          <w:b/>
          <w:bCs/>
        </w:rPr>
      </w:pPr>
    </w:p>
    <w:p w:rsidR="00B17BD3" w:rsidP="00394710" w:rsidRDefault="00B17BD3" w14:paraId="24395A7F" w14:textId="47518238">
      <w:pPr>
        <w:keepNext/>
        <w:ind w:firstLine="0"/>
        <w:jc w:val="center"/>
        <w:rPr>
          <w:b/>
          <w:bCs/>
        </w:rPr>
      </w:pPr>
    </w:p>
    <w:p w:rsidR="00B17BD3" w:rsidP="00394710" w:rsidRDefault="00B17BD3" w14:paraId="1CFD6E25" w14:textId="77777777">
      <w:pPr>
        <w:keepNext/>
        <w:ind w:firstLine="0"/>
        <w:jc w:val="center"/>
        <w:rPr>
          <w:b/>
          <w:bCs/>
        </w:rPr>
      </w:pPr>
    </w:p>
    <w:p w:rsidR="00C977A8" w:rsidP="00394710" w:rsidRDefault="00C977A8" w14:paraId="6AFD0919" w14:textId="2CBBD349">
      <w:pPr>
        <w:ind w:firstLine="0"/>
        <w:jc w:val="center"/>
        <w:rPr>
          <w:b/>
          <w:bCs/>
        </w:rPr>
      </w:pPr>
      <w:r>
        <w:rPr>
          <w:b/>
          <w:bCs/>
        </w:rPr>
        <w:t>(END OF APPENDIX B)</w:t>
      </w:r>
    </w:p>
    <w:sectPr w:rsidR="00C977A8" w:rsidSect="00512404">
      <w:footerReference w:type="default" r:id="rId40"/>
      <w:pgSz w:w="12240" w:h="15840"/>
      <w:pgMar w:top="1728" w:right="1440" w:bottom="1440" w:left="1440" w:header="720" w:footer="720" w:gutter="0"/>
      <w:pgNumType w:start="1"/>
      <w:cols w:space="720"/>
      <w:docGrid w:linePitch="360"/>
    </w:sectPr>
    <w:p>
      <w:r>
        <w:t xml:space="preserve"/>
      </w:r>
    </w:p>
    <w:p>
      <w:r>
        <w:t xml:space="preserve">Attachment 1: </w:t>
      </w:r>
    </w:p>
    <w:p>
      <w:hyperlink w:history="true" r:id="Rb6d1744a63b341b1">
        <w:r w:rsidRPr="00CB1292">
          <w:rPr>
            <w:rStyle w:val="Hyperlink"/>
            <w:color w:val="2E74B5" w:themeColor="accent1" w:themeShade="BF"/>
            <w:u w:val="single"/>
          </w:rPr>
          <w:t>R2008020 Hymes PD (Redline Version).pdf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FB0D" w14:textId="77777777" w:rsidR="00D760F5" w:rsidRDefault="00D760F5" w:rsidP="0098138E">
      <w:pPr>
        <w:spacing w:line="240" w:lineRule="auto"/>
      </w:pPr>
      <w:r>
        <w:separator/>
      </w:r>
    </w:p>
  </w:endnote>
  <w:endnote w:type="continuationSeparator" w:id="0">
    <w:p w14:paraId="64E7291A" w14:textId="77777777" w:rsidR="00D760F5" w:rsidRDefault="00D760F5" w:rsidP="0098138E">
      <w:pPr>
        <w:spacing w:line="240" w:lineRule="auto"/>
      </w:pPr>
      <w:r>
        <w:continuationSeparator/>
      </w:r>
    </w:p>
  </w:endnote>
  <w:endnote w:type="continuationNotice" w:id="1">
    <w:p w14:paraId="67E663B2" w14:textId="77777777" w:rsidR="00D760F5" w:rsidRDefault="00D760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E6CE" w14:textId="65909E5A" w:rsidR="00F92385" w:rsidRDefault="00D60899" w:rsidP="00D60899">
    <w:pPr>
      <w:tabs>
        <w:tab w:val="center" w:pos="4680"/>
      </w:tabs>
      <w:spacing w:line="240" w:lineRule="auto"/>
      <w:ind w:firstLine="0"/>
    </w:pPr>
    <w:r w:rsidRPr="00D60899">
      <w:rPr>
        <w:rFonts w:eastAsia="Calibri" w:cs="Calibri"/>
        <w:sz w:val="16"/>
        <w:szCs w:val="16"/>
      </w:rPr>
      <w:t>497977236</w:t>
    </w:r>
    <w:r w:rsidR="00AB66C7">
      <w:tab/>
    </w:r>
    <w:r w:rsidR="00827602">
      <w:noBreakHyphen/>
    </w:r>
    <w:sdt>
      <w:sdtPr>
        <w:id w:val="-1472208903"/>
        <w:docPartObj>
          <w:docPartGallery w:val="Page Numbers (Bottom of Page)"/>
          <w:docPartUnique/>
        </w:docPartObj>
      </w:sdtPr>
      <w:sdtEndPr>
        <w:rPr>
          <w:noProof/>
        </w:rPr>
      </w:sdtEndPr>
      <w:sdtContent>
        <w:r w:rsidR="00F92385">
          <w:fldChar w:fldCharType="begin"/>
        </w:r>
        <w:r w:rsidR="00F92385">
          <w:instrText xml:space="preserve"> PAGE   \* MERGEFORMAT </w:instrText>
        </w:r>
        <w:r w:rsidR="00F92385">
          <w:fldChar w:fldCharType="separate"/>
        </w:r>
        <w:r w:rsidR="00F92385">
          <w:rPr>
            <w:noProof/>
          </w:rPr>
          <w:t>2</w:t>
        </w:r>
        <w:r w:rsidR="00F92385">
          <w:rPr>
            <w:noProof/>
          </w:rPr>
          <w:fldChar w:fldCharType="end"/>
        </w:r>
        <w:r w:rsidR="00827602">
          <w:rPr>
            <w:noProof/>
          </w:rPr>
          <w:noBreakHyphen/>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BAA0" w14:textId="1F6DFA46" w:rsidR="00C977A8" w:rsidRPr="00594169" w:rsidRDefault="00C977A8" w:rsidP="00594169">
    <w:pPr>
      <w:pStyle w:val="Footer"/>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2E0" w14:textId="5566FD9D" w:rsidR="00625EA2" w:rsidRPr="00625EA2" w:rsidRDefault="00827602" w:rsidP="00D60899">
    <w:pPr>
      <w:pStyle w:val="Footer"/>
      <w:ind w:firstLine="0"/>
      <w:jc w:val="center"/>
    </w:pPr>
    <w:r>
      <w:noBreakHyphen/>
    </w:r>
    <w:r w:rsidR="00625EA2">
      <w:t xml:space="preserve"> B</w:t>
    </w:r>
    <w:r w:rsidR="00625EA2">
      <w:fldChar w:fldCharType="begin"/>
    </w:r>
    <w:r w:rsidR="00625EA2">
      <w:instrText xml:space="preserve"> PAGE   \* MERGEFORMAT </w:instrText>
    </w:r>
    <w:r w:rsidR="00625EA2">
      <w:fldChar w:fldCharType="separate"/>
    </w:r>
    <w:r w:rsidR="00625EA2">
      <w:rPr>
        <w:noProof/>
      </w:rPr>
      <w:t>1</w:t>
    </w:r>
    <w:r w:rsidR="00625EA2">
      <w:rPr>
        <w:noProof/>
      </w:rPr>
      <w:fldChar w:fldCharType="end"/>
    </w:r>
    <w:r w:rsidR="00625EA2">
      <w:rPr>
        <w:noProof/>
      </w:rPr>
      <w:t xml:space="preserve"> </w:t>
    </w:r>
    <w:r>
      <w:rPr>
        <w:noProof/>
      </w:rPr>
      <w:noBreak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F8D3" w14:textId="694F7A2D" w:rsidR="00632207" w:rsidRDefault="001B2582" w:rsidP="008367B5">
    <w:pPr>
      <w:tabs>
        <w:tab w:val="center" w:pos="4680"/>
      </w:tabs>
      <w:spacing w:line="240" w:lineRule="auto"/>
      <w:ind w:firstLine="0"/>
      <w:rPr>
        <w:noProof/>
      </w:rPr>
    </w:pPr>
    <w:r w:rsidRPr="001B2582">
      <w:rPr>
        <w:rFonts w:ascii="Arial" w:hAnsi="Arial"/>
        <w:sz w:val="16"/>
      </w:rPr>
      <w:t>499921246</w:t>
    </w:r>
    <w:r w:rsidR="008367B5">
      <w:tab/>
    </w:r>
    <w:sdt>
      <w:sdtPr>
        <w:id w:val="-1352874971"/>
        <w:docPartObj>
          <w:docPartGallery w:val="Page Numbers (Bottom of Page)"/>
          <w:docPartUnique/>
        </w:docPartObj>
      </w:sdtPr>
      <w:sdtEndPr>
        <w:rPr>
          <w:noProof/>
        </w:rPr>
      </w:sdtEndPr>
      <w:sdtContent>
        <w:r w:rsidR="00827602">
          <w:noBreakHyphen/>
        </w:r>
        <w:r w:rsidR="00EE4315">
          <w:t xml:space="preserve"> </w:t>
        </w:r>
        <w:r w:rsidR="00F92385">
          <w:fldChar w:fldCharType="begin"/>
        </w:r>
        <w:r w:rsidR="00F92385">
          <w:instrText xml:space="preserve"> PAGE   \* MERGEFORMAT </w:instrText>
        </w:r>
        <w:r w:rsidR="00F92385">
          <w:fldChar w:fldCharType="separate"/>
        </w:r>
        <w:r w:rsidR="00F92385">
          <w:rPr>
            <w:noProof/>
          </w:rPr>
          <w:t>2</w:t>
        </w:r>
        <w:r w:rsidR="00F92385">
          <w:rPr>
            <w:noProof/>
          </w:rPr>
          <w:fldChar w:fldCharType="end"/>
        </w:r>
      </w:sdtContent>
    </w:sdt>
    <w:r w:rsidR="00EE4315">
      <w:rPr>
        <w:noProof/>
      </w:rPr>
      <w:t xml:space="preserve"> </w:t>
    </w:r>
    <w:r w:rsidR="00827602">
      <w:rPr>
        <w:noProof/>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BA1E" w14:textId="58A653FB" w:rsidR="008367B5" w:rsidRDefault="00827602" w:rsidP="008367B5">
    <w:pPr>
      <w:tabs>
        <w:tab w:val="center" w:pos="4680"/>
      </w:tabs>
      <w:spacing w:line="240" w:lineRule="auto"/>
      <w:ind w:firstLine="0"/>
      <w:jc w:val="center"/>
    </w:pPr>
    <w:r>
      <w:noBreakHyphen/>
    </w:r>
    <w:sdt>
      <w:sdtPr>
        <w:id w:val="-502127124"/>
        <w:docPartObj>
          <w:docPartGallery w:val="Page Numbers (Bottom of Page)"/>
          <w:docPartUnique/>
        </w:docPartObj>
      </w:sdtPr>
      <w:sdtEndPr>
        <w:rPr>
          <w:noProof/>
        </w:rPr>
      </w:sdtEndPr>
      <w:sdtContent>
        <w:r w:rsidR="008367B5">
          <w:fldChar w:fldCharType="begin"/>
        </w:r>
        <w:r w:rsidR="008367B5">
          <w:instrText xml:space="preserve"> PAGE   \* MERGEFORMAT </w:instrText>
        </w:r>
        <w:r w:rsidR="008367B5">
          <w:fldChar w:fldCharType="separate"/>
        </w:r>
        <w:r w:rsidR="008367B5">
          <w:rPr>
            <w:noProof/>
          </w:rPr>
          <w:t>2</w:t>
        </w:r>
        <w:r w:rsidR="008367B5">
          <w:rPr>
            <w:noProof/>
          </w:rPr>
          <w:fldChar w:fldCharType="end"/>
        </w:r>
        <w:r>
          <w:rPr>
            <w:noProof/>
          </w:rPr>
          <w:noBreakHyphen/>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7122" w14:textId="1483EB43" w:rsidR="008367B5" w:rsidRDefault="00827602" w:rsidP="008367B5">
    <w:pPr>
      <w:tabs>
        <w:tab w:val="center" w:pos="4680"/>
      </w:tabs>
      <w:spacing w:line="240" w:lineRule="auto"/>
      <w:ind w:firstLine="0"/>
      <w:jc w:val="center"/>
    </w:pPr>
    <w:r>
      <w:noBreakHyphen/>
    </w:r>
    <w:sdt>
      <w:sdtPr>
        <w:id w:val="1483283910"/>
        <w:docPartObj>
          <w:docPartGallery w:val="Page Numbers (Bottom of Page)"/>
          <w:docPartUnique/>
        </w:docPartObj>
      </w:sdtPr>
      <w:sdtEndPr>
        <w:rPr>
          <w:noProof/>
        </w:rPr>
      </w:sdtEndPr>
      <w:sdtContent>
        <w:r w:rsidR="008367B5">
          <w:fldChar w:fldCharType="begin"/>
        </w:r>
        <w:r w:rsidR="008367B5">
          <w:instrText xml:space="preserve"> PAGE   \* MERGEFORMAT </w:instrText>
        </w:r>
        <w:r w:rsidR="008367B5">
          <w:fldChar w:fldCharType="separate"/>
        </w:r>
        <w:r w:rsidR="008367B5">
          <w:rPr>
            <w:noProof/>
          </w:rPr>
          <w:t>2</w:t>
        </w:r>
        <w:r w:rsidR="008367B5">
          <w:rPr>
            <w:noProof/>
          </w:rPr>
          <w:fldChar w:fldCharType="end"/>
        </w:r>
        <w:r>
          <w:rPr>
            <w:noProof/>
          </w:rPr>
          <w:noBreakHyphen/>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375B" w14:textId="732E8BDB" w:rsidR="00987ABA" w:rsidRDefault="00000000" w:rsidP="00D60899">
    <w:pPr>
      <w:spacing w:line="240" w:lineRule="auto"/>
      <w:ind w:firstLine="0"/>
      <w:jc w:val="center"/>
    </w:pPr>
    <w:sdt>
      <w:sdtPr>
        <w:id w:val="-1757506818"/>
        <w:docPartObj>
          <w:docPartGallery w:val="Page Numbers (Bottom of Page)"/>
          <w:docPartUnique/>
        </w:docPartObj>
      </w:sdtPr>
      <w:sdtEndPr>
        <w:rPr>
          <w:noProof/>
        </w:rPr>
      </w:sdtEndP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777B" w14:textId="4E6C802D" w:rsidR="00594169" w:rsidRPr="00594169" w:rsidRDefault="00594169" w:rsidP="00594169">
    <w:pPr>
      <w:pStyle w:val="Footer"/>
    </w:pPr>
    <w:r>
      <w:tab/>
    </w:r>
    <w:r w:rsidR="00987ABA">
      <w:fldChar w:fldCharType="begin"/>
    </w:r>
    <w:r w:rsidR="00987ABA">
      <w:instrText xml:space="preserve"> PAGE   \* MERGEFORMAT </w:instrText>
    </w:r>
    <w:r w:rsidR="00987ABA">
      <w:fldChar w:fldCharType="separate"/>
    </w:r>
    <w:r w:rsidR="00987ABA">
      <w:rPr>
        <w:noProof/>
      </w:rPr>
      <w:t>1</w:t>
    </w:r>
    <w:r w:rsidR="00987ABA">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B4E" w14:textId="236984A2" w:rsidR="00987ABA" w:rsidRDefault="00827602" w:rsidP="00D60899">
    <w:pPr>
      <w:spacing w:line="240" w:lineRule="auto"/>
      <w:ind w:firstLine="0"/>
      <w:jc w:val="center"/>
    </w:pPr>
    <w:r>
      <w:noBreakHyphen/>
    </w:r>
    <w:r w:rsidR="00987ABA">
      <w:t xml:space="preserve"> A</w:t>
    </w:r>
    <w:r w:rsidR="00987ABA">
      <w:fldChar w:fldCharType="begin"/>
    </w:r>
    <w:r w:rsidR="00987ABA">
      <w:instrText xml:space="preserve"> PAGE   \* MERGEFORMAT </w:instrText>
    </w:r>
    <w:r w:rsidR="00987ABA">
      <w:fldChar w:fldCharType="separate"/>
    </w:r>
    <w:r w:rsidR="00987ABA">
      <w:rPr>
        <w:noProof/>
      </w:rPr>
      <w:t>1</w:t>
    </w:r>
    <w:r w:rsidR="00987ABA">
      <w:rPr>
        <w:noProof/>
      </w:rPr>
      <w:fldChar w:fldCharType="end"/>
    </w:r>
    <w:r>
      <w:rPr>
        <w:noProof/>
      </w:rPr>
      <w:noBreakHyphen/>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99F5" w14:textId="1FA7CDDC" w:rsidR="00C977A8" w:rsidRPr="00594169" w:rsidRDefault="00C977A8" w:rsidP="00594169">
    <w:pPr>
      <w:pStyle w:val="Footer"/>
    </w:pPr>
    <w:r>
      <w:tab/>
    </w:r>
    <w:r w:rsidR="00827602">
      <w:noBreakHyphen/>
    </w:r>
    <w:r>
      <w:t xml:space="preserve"> </w:t>
    </w:r>
    <w:r w:rsidR="006A629E">
      <w:t>A</w:t>
    </w:r>
    <w:r>
      <w:rPr>
        <w:noProof/>
      </w:rPr>
      <w:t xml:space="preserve"> </w:t>
    </w:r>
    <w:r w:rsidR="00827602">
      <w:rPr>
        <w:noProof/>
      </w:rPr>
      <w:noBreakHyphen/>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1C9F" w14:textId="2D3F36E8" w:rsidR="00625EA2" w:rsidRPr="00625EA2" w:rsidRDefault="00625EA2" w:rsidP="00D60899">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AF35" w14:textId="77777777" w:rsidR="00D760F5" w:rsidRDefault="00D760F5" w:rsidP="00DF58E7">
      <w:pPr>
        <w:spacing w:line="240" w:lineRule="auto"/>
        <w:ind w:firstLine="0"/>
      </w:pPr>
      <w:r>
        <w:separator/>
      </w:r>
    </w:p>
  </w:footnote>
  <w:footnote w:type="continuationSeparator" w:id="0">
    <w:p w14:paraId="412DECC6" w14:textId="77777777" w:rsidR="00D760F5" w:rsidRDefault="00D760F5" w:rsidP="00DF58E7">
      <w:pPr>
        <w:spacing w:line="240" w:lineRule="auto"/>
        <w:ind w:firstLine="0"/>
      </w:pPr>
      <w:r>
        <w:continuationSeparator/>
      </w:r>
    </w:p>
  </w:footnote>
  <w:footnote w:type="continuationNotice" w:id="1">
    <w:p w14:paraId="6EE793CB" w14:textId="77777777" w:rsidR="00D760F5" w:rsidRPr="00DF58E7" w:rsidRDefault="00D760F5" w:rsidP="00DF58E7">
      <w:pPr>
        <w:spacing w:line="240" w:lineRule="auto"/>
        <w:ind w:firstLine="0"/>
        <w:jc w:val="right"/>
        <w:rPr>
          <w:i/>
          <w:sz w:val="22"/>
        </w:rPr>
      </w:pPr>
      <w:r w:rsidRPr="00DF58E7">
        <w:rPr>
          <w:i/>
          <w:sz w:val="22"/>
        </w:rPr>
        <w:t>Footnote continued on next page.</w:t>
      </w:r>
    </w:p>
  </w:footnote>
  <w:footnote w:id="2">
    <w:p w14:paraId="40C27724" w14:textId="2372ADB0" w:rsidR="00675CB0" w:rsidRDefault="00675CB0">
      <w:pPr>
        <w:pStyle w:val="FootnoteText"/>
      </w:pPr>
      <w:r>
        <w:rPr>
          <w:rStyle w:val="FootnoteReference"/>
        </w:rPr>
        <w:footnoteRef/>
      </w:r>
      <w:r>
        <w:t xml:space="preserve"> </w:t>
      </w:r>
      <w:r w:rsidR="00EB4545">
        <w:t xml:space="preserve"> </w:t>
      </w:r>
      <w:r>
        <w:t xml:space="preserve">Energy Policy Act of 2005, </w:t>
      </w:r>
      <w:r w:rsidR="0034029C">
        <w:t>Section 1</w:t>
      </w:r>
      <w:r>
        <w:t>251 (16</w:t>
      </w:r>
      <w:r w:rsidR="00396E11">
        <w:t> U.S.</w:t>
      </w:r>
      <w:r w:rsidR="00CD329D">
        <w:t>C.</w:t>
      </w:r>
      <w:r>
        <w:t xml:space="preserve"> </w:t>
      </w:r>
      <w:r w:rsidR="00CD329D">
        <w:t>§ </w:t>
      </w:r>
      <w:r>
        <w:t>2621(d)(11)).</w:t>
      </w:r>
    </w:p>
  </w:footnote>
  <w:footnote w:id="3">
    <w:p w14:paraId="168C2DB2" w14:textId="3D1D0494" w:rsidR="00675CB0" w:rsidRDefault="00675CB0">
      <w:pPr>
        <w:pStyle w:val="FootnoteText"/>
      </w:pPr>
      <w:r>
        <w:rPr>
          <w:rStyle w:val="FootnoteReference"/>
        </w:rPr>
        <w:footnoteRef/>
      </w:r>
      <w:r>
        <w:t xml:space="preserve"> </w:t>
      </w:r>
      <w:r w:rsidR="00EB4545">
        <w:t xml:space="preserve"> </w:t>
      </w:r>
      <w:r w:rsidR="00A655AF" w:rsidRPr="000A6509">
        <w:rPr>
          <w:i/>
          <w:iCs/>
        </w:rPr>
        <w:t>See</w:t>
      </w:r>
      <w:r w:rsidR="00932453">
        <w:t> FERC</w:t>
      </w:r>
      <w:r w:rsidR="000A6509">
        <w:rPr>
          <w:i/>
          <w:iCs/>
        </w:rPr>
        <w:t xml:space="preserve"> v. </w:t>
      </w:r>
      <w:r w:rsidR="00A655AF">
        <w:rPr>
          <w:i/>
          <w:iCs/>
        </w:rPr>
        <w:t>Electric Power Supply Association</w:t>
      </w:r>
      <w:r w:rsidR="00A655AF">
        <w:t>, 577</w:t>
      </w:r>
      <w:r w:rsidR="00396E11">
        <w:t> U.S.</w:t>
      </w:r>
      <w:r w:rsidR="00A655AF">
        <w:t xml:space="preserve"> 260, 279</w:t>
      </w:r>
      <w:r w:rsidR="00827602">
        <w:noBreakHyphen/>
      </w:r>
      <w:r w:rsidR="00A655AF">
        <w:t xml:space="preserve">281 (2016); </w:t>
      </w:r>
      <w:r w:rsidR="00396E11">
        <w:rPr>
          <w:i/>
          <w:iCs/>
        </w:rPr>
        <w:t>S. Cal.</w:t>
      </w:r>
      <w:r w:rsidR="00A655AF">
        <w:rPr>
          <w:i/>
          <w:iCs/>
        </w:rPr>
        <w:t xml:space="preserve"> Edison Co.</w:t>
      </w:r>
      <w:r w:rsidR="000A6509">
        <w:rPr>
          <w:i/>
          <w:iCs/>
        </w:rPr>
        <w:t> v.</w:t>
      </w:r>
      <w:r w:rsidR="00932453">
        <w:rPr>
          <w:i/>
          <w:iCs/>
        </w:rPr>
        <w:t> FERC</w:t>
      </w:r>
      <w:r w:rsidR="00A655AF" w:rsidRPr="00396E11">
        <w:t>,</w:t>
      </w:r>
      <w:r w:rsidR="00A655AF">
        <w:t xml:space="preserve"> 604</w:t>
      </w:r>
      <w:r w:rsidR="00396E11">
        <w:t> F.3d</w:t>
      </w:r>
      <w:r w:rsidR="00A655AF">
        <w:t xml:space="preserve"> 996, 1002 (D.C. Cir. 2010) (explaining that the federal government acting through the Federal Energy Regulatory Commission only has jurisdiction over sales at wholesale and federal law reserves regulatory authority over retail sales to the states.)</w:t>
      </w:r>
    </w:p>
  </w:footnote>
  <w:footnote w:id="4">
    <w:p w14:paraId="6BFBB85E" w14:textId="0A9FC0E0" w:rsidR="00A655AF" w:rsidRDefault="00A655AF">
      <w:pPr>
        <w:pStyle w:val="FootnoteText"/>
      </w:pPr>
      <w:r>
        <w:rPr>
          <w:rStyle w:val="FootnoteReference"/>
        </w:rPr>
        <w:footnoteRef/>
      </w:r>
      <w:r>
        <w:t xml:space="preserve"> </w:t>
      </w:r>
      <w:r w:rsidR="00EB4545">
        <w:t xml:space="preserve"> </w:t>
      </w:r>
      <w:r w:rsidRPr="008C515C">
        <w:rPr>
          <w:i/>
          <w:iCs/>
        </w:rPr>
        <w:t>Electric Storage Participation in Markets Operated by Regional Transmission Organizations and Independent System Operators</w:t>
      </w:r>
      <w:r w:rsidRPr="008C515C">
        <w:t xml:space="preserve">, Opinion </w:t>
      </w:r>
      <w:r w:rsidR="00932453" w:rsidRPr="008C515C">
        <w:t>No. </w:t>
      </w:r>
      <w:r w:rsidRPr="008C515C">
        <w:t xml:space="preserve">841, </w:t>
      </w:r>
      <w:r w:rsidRPr="008C515C">
        <w:rPr>
          <w:rFonts w:cs="Times New Roman"/>
          <w:szCs w:val="24"/>
        </w:rPr>
        <w:t>162</w:t>
      </w:r>
      <w:r w:rsidR="00932453" w:rsidRPr="008C515C">
        <w:rPr>
          <w:rFonts w:cs="Times New Roman"/>
          <w:szCs w:val="24"/>
        </w:rPr>
        <w:t> FERC</w:t>
      </w:r>
      <w:r w:rsidRPr="008C515C">
        <w:rPr>
          <w:rFonts w:cs="Times New Roman"/>
          <w:szCs w:val="24"/>
        </w:rPr>
        <w:t xml:space="preserve"> </w:t>
      </w:r>
      <w:r w:rsidR="00932453" w:rsidRPr="008C515C">
        <w:rPr>
          <w:rFonts w:cs="Times New Roman"/>
          <w:szCs w:val="24"/>
        </w:rPr>
        <w:t>¶ </w:t>
      </w:r>
      <w:r w:rsidRPr="008C515C">
        <w:rPr>
          <w:rFonts w:cs="Times New Roman"/>
          <w:szCs w:val="24"/>
        </w:rPr>
        <w:t xml:space="preserve">61,127 at n.49 (2018) citing </w:t>
      </w:r>
      <w:r w:rsidRPr="008C515C">
        <w:rPr>
          <w:i/>
          <w:iCs/>
        </w:rPr>
        <w:t>MidAmerican Energy Co.</w:t>
      </w:r>
      <w:r w:rsidRPr="008C515C">
        <w:t>, 94</w:t>
      </w:r>
      <w:r w:rsidR="00932453" w:rsidRPr="008C515C">
        <w:t> FERC</w:t>
      </w:r>
      <w:r w:rsidRPr="008C515C">
        <w:t xml:space="preserve"> </w:t>
      </w:r>
      <w:r w:rsidR="00932453" w:rsidRPr="008C515C">
        <w:rPr>
          <w:rFonts w:cs="Times New Roman"/>
          <w:szCs w:val="24"/>
        </w:rPr>
        <w:t>¶ </w:t>
      </w:r>
      <w:r w:rsidRPr="008C515C">
        <w:rPr>
          <w:rFonts w:cs="Times New Roman"/>
          <w:szCs w:val="24"/>
        </w:rPr>
        <w:t>61,340, 62,263 (2001) (</w:t>
      </w:r>
      <w:r w:rsidR="00BA1EAE">
        <w:rPr>
          <w:rFonts w:cs="Times New Roman"/>
          <w:szCs w:val="24"/>
        </w:rPr>
        <w:t>“</w:t>
      </w:r>
      <w:r w:rsidRPr="008C515C">
        <w:rPr>
          <w:rFonts w:cs="Times New Roman"/>
          <w:szCs w:val="24"/>
        </w:rPr>
        <w:t>no sale occurs when an individual homeowner or farmer (or similar entity such as a business) installs generation and accounts for its dealings with the utility through the practice of netting.</w:t>
      </w:r>
      <w:r w:rsidR="00BA1EAE">
        <w:rPr>
          <w:rFonts w:cs="Times New Roman"/>
          <w:szCs w:val="24"/>
        </w:rPr>
        <w:t>”</w:t>
      </w:r>
      <w:r w:rsidRPr="008C515C">
        <w:rPr>
          <w:rFonts w:cs="Times New Roman"/>
          <w:szCs w:val="24"/>
        </w:rPr>
        <w:t xml:space="preserve">).  </w:t>
      </w:r>
      <w:r w:rsidR="00932453" w:rsidRPr="008C515C">
        <w:rPr>
          <w:rFonts w:cs="Times New Roman"/>
          <w:szCs w:val="24"/>
        </w:rPr>
        <w:t>(</w:t>
      </w:r>
      <w:r w:rsidRPr="008C515C">
        <w:rPr>
          <w:rFonts w:cs="Times New Roman"/>
          <w:i/>
          <w:iCs/>
          <w:szCs w:val="24"/>
        </w:rPr>
        <w:t>See also</w:t>
      </w:r>
      <w:r w:rsidRPr="008C515C">
        <w:rPr>
          <w:rFonts w:cs="Times New Roman"/>
          <w:szCs w:val="24"/>
        </w:rPr>
        <w:t xml:space="preserve"> </w:t>
      </w:r>
      <w:r w:rsidRPr="008C515C">
        <w:rPr>
          <w:rFonts w:cs="Times New Roman"/>
          <w:i/>
          <w:iCs/>
          <w:szCs w:val="24"/>
        </w:rPr>
        <w:t>Sun Edison LLC</w:t>
      </w:r>
      <w:r w:rsidRPr="008C515C">
        <w:rPr>
          <w:rFonts w:cs="Times New Roman"/>
          <w:szCs w:val="24"/>
        </w:rPr>
        <w:t>, 129</w:t>
      </w:r>
      <w:r w:rsidR="00932453" w:rsidRPr="008C515C">
        <w:rPr>
          <w:rFonts w:cs="Times New Roman"/>
          <w:szCs w:val="24"/>
        </w:rPr>
        <w:t> FERC</w:t>
      </w:r>
      <w:r w:rsidRPr="008C515C">
        <w:rPr>
          <w:rFonts w:cs="Times New Roman"/>
          <w:szCs w:val="24"/>
        </w:rPr>
        <w:t xml:space="preserve"> </w:t>
      </w:r>
      <w:r w:rsidR="00932453" w:rsidRPr="008C515C">
        <w:rPr>
          <w:rFonts w:cs="Times New Roman"/>
          <w:szCs w:val="24"/>
        </w:rPr>
        <w:t>¶ </w:t>
      </w:r>
      <w:r w:rsidRPr="008C515C">
        <w:rPr>
          <w:rFonts w:cs="Times New Roman"/>
          <w:szCs w:val="24"/>
        </w:rPr>
        <w:t xml:space="preserve">61,146, 61620 (2009) (explaining that a net sale only occurred where the </w:t>
      </w:r>
      <w:r w:rsidR="00BA1EAE">
        <w:rPr>
          <w:rFonts w:cs="Times New Roman"/>
          <w:szCs w:val="24"/>
        </w:rPr>
        <w:t>“</w:t>
      </w:r>
      <w:r w:rsidRPr="008C515C">
        <w:rPr>
          <w:rFonts w:cs="Times New Roman"/>
          <w:szCs w:val="24"/>
        </w:rPr>
        <w:t>end</w:t>
      </w:r>
      <w:r w:rsidR="00827602">
        <w:rPr>
          <w:rFonts w:cs="Times New Roman"/>
          <w:szCs w:val="24"/>
        </w:rPr>
        <w:noBreakHyphen/>
      </w:r>
      <w:r w:rsidRPr="008C515C">
        <w:rPr>
          <w:rFonts w:cs="Times New Roman"/>
          <w:szCs w:val="24"/>
        </w:rPr>
        <w:t>use customer participating in the net metering program produces more energy than it needs over the applicable billing period.</w:t>
      </w:r>
      <w:r w:rsidR="00BA1EAE">
        <w:rPr>
          <w:rFonts w:cs="Times New Roman"/>
          <w:szCs w:val="24"/>
        </w:rPr>
        <w:t>”</w:t>
      </w:r>
      <w:r w:rsidRPr="008C515C">
        <w:rPr>
          <w:rFonts w:cs="Times New Roman"/>
          <w:szCs w:val="24"/>
        </w:rPr>
        <w:t xml:space="preserve">) citing </w:t>
      </w:r>
      <w:r w:rsidRPr="008C515C">
        <w:rPr>
          <w:rFonts w:cs="Times New Roman"/>
          <w:i/>
          <w:iCs/>
          <w:szCs w:val="24"/>
        </w:rPr>
        <w:t>Standardization of Generator Interconnection Agreements and Procedures</w:t>
      </w:r>
      <w:r w:rsidRPr="008C515C">
        <w:rPr>
          <w:rFonts w:cs="Times New Roman"/>
          <w:szCs w:val="24"/>
        </w:rPr>
        <w:t xml:space="preserve">, Order </w:t>
      </w:r>
      <w:r w:rsidR="00932453" w:rsidRPr="008C515C">
        <w:rPr>
          <w:rFonts w:cs="Times New Roman"/>
          <w:szCs w:val="24"/>
        </w:rPr>
        <w:t>No. </w:t>
      </w:r>
      <w:r w:rsidRPr="008C515C">
        <w:rPr>
          <w:rFonts w:cs="Times New Roman"/>
          <w:szCs w:val="24"/>
        </w:rPr>
        <w:t>2003</w:t>
      </w:r>
      <w:r w:rsidR="00827602">
        <w:rPr>
          <w:rFonts w:cs="Times New Roman"/>
          <w:szCs w:val="24"/>
        </w:rPr>
        <w:noBreakHyphen/>
      </w:r>
      <w:r w:rsidRPr="008C515C">
        <w:rPr>
          <w:rFonts w:cs="Times New Roman"/>
          <w:szCs w:val="24"/>
        </w:rPr>
        <w:t>A, 106</w:t>
      </w:r>
      <w:r w:rsidR="00932453" w:rsidRPr="008C515C">
        <w:rPr>
          <w:rFonts w:cs="Times New Roman"/>
          <w:szCs w:val="24"/>
        </w:rPr>
        <w:t> FERC</w:t>
      </w:r>
      <w:r w:rsidRPr="008C515C">
        <w:rPr>
          <w:rFonts w:cs="Times New Roman"/>
          <w:szCs w:val="24"/>
        </w:rPr>
        <w:t xml:space="preserve"> </w:t>
      </w:r>
      <w:r w:rsidR="00932453" w:rsidRPr="008C515C">
        <w:rPr>
          <w:rFonts w:cs="Times New Roman"/>
          <w:szCs w:val="24"/>
        </w:rPr>
        <w:t>¶ </w:t>
      </w:r>
      <w:r w:rsidRPr="008C515C">
        <w:rPr>
          <w:rFonts w:cs="Times New Roman"/>
          <w:szCs w:val="24"/>
        </w:rPr>
        <w:t>61,220 at 744 (2004).</w:t>
      </w:r>
      <w:r w:rsidR="004F7C6F" w:rsidRPr="008C515C">
        <w:rPr>
          <w:rFonts w:cs="Times New Roman"/>
          <w:szCs w:val="24"/>
        </w:rPr>
        <w:t>)</w:t>
      </w:r>
    </w:p>
  </w:footnote>
  <w:footnote w:id="5">
    <w:p w14:paraId="0AFD9D19" w14:textId="62336601" w:rsidR="00A655AF" w:rsidRDefault="00A655AF" w:rsidP="008C515C">
      <w:pPr>
        <w:pStyle w:val="FootnoteText"/>
      </w:pPr>
      <w:r>
        <w:rPr>
          <w:rStyle w:val="FootnoteReference"/>
        </w:rPr>
        <w:footnoteRef/>
      </w:r>
      <w:r>
        <w:t xml:space="preserve"> </w:t>
      </w:r>
      <w:r w:rsidR="00EB4545">
        <w:t xml:space="preserve"> </w:t>
      </w:r>
      <w:r w:rsidRPr="008C515C">
        <w:rPr>
          <w:i/>
          <w:iCs/>
        </w:rPr>
        <w:t>See generally</w:t>
      </w:r>
      <w:r>
        <w:t xml:space="preserve"> 16</w:t>
      </w:r>
      <w:r w:rsidR="00396E11">
        <w:t> U.S.</w:t>
      </w:r>
      <w:r w:rsidR="00CD329D">
        <w:t>C.</w:t>
      </w:r>
      <w:r>
        <w:t xml:space="preserve"> </w:t>
      </w:r>
      <w:r w:rsidR="00CD329D">
        <w:t>§§ </w:t>
      </w:r>
      <w:r>
        <w:t>824a</w:t>
      </w:r>
      <w:r w:rsidR="00827602">
        <w:noBreakHyphen/>
      </w:r>
      <w:r>
        <w:t xml:space="preserve">3 </w:t>
      </w:r>
      <w:r w:rsidR="00F52E24">
        <w:rPr>
          <w:i/>
          <w:iCs/>
        </w:rPr>
        <w:t>et seq.</w:t>
      </w:r>
      <w:r>
        <w:t xml:space="preserve"> and 2601 </w:t>
      </w:r>
      <w:r w:rsidR="00F52E24">
        <w:rPr>
          <w:i/>
          <w:iCs/>
        </w:rPr>
        <w:t>et seq.</w:t>
      </w:r>
    </w:p>
  </w:footnote>
  <w:footnote w:id="6">
    <w:p w14:paraId="1724BDB8" w14:textId="0342F4E5" w:rsidR="00A655AF" w:rsidRDefault="00A655AF">
      <w:pPr>
        <w:pStyle w:val="FootnoteText"/>
      </w:pPr>
      <w:r>
        <w:rPr>
          <w:rStyle w:val="FootnoteReference"/>
        </w:rPr>
        <w:footnoteRef/>
      </w:r>
      <w:r>
        <w:t xml:space="preserve"> </w:t>
      </w:r>
      <w:r w:rsidR="00EB4545">
        <w:t xml:space="preserve"> </w:t>
      </w:r>
      <w:r>
        <w:t>16</w:t>
      </w:r>
      <w:r w:rsidR="00F52E24">
        <w:t> U.S.C.</w:t>
      </w:r>
      <w:r>
        <w:t xml:space="preserve"> </w:t>
      </w:r>
      <w:r w:rsidR="00A51C85">
        <w:t>§ </w:t>
      </w:r>
      <w:r>
        <w:t>824a</w:t>
      </w:r>
      <w:r w:rsidR="00827602">
        <w:noBreakHyphen/>
      </w:r>
      <w:r>
        <w:t>3(d) and 18</w:t>
      </w:r>
      <w:r w:rsidR="00F52E24">
        <w:t> CFR</w:t>
      </w:r>
      <w:r>
        <w:t xml:space="preserve"> </w:t>
      </w:r>
      <w:r w:rsidR="00CD329D">
        <w:t>§§ </w:t>
      </w:r>
      <w:r>
        <w:t>292.101(b)(6) and 292.304.</w:t>
      </w:r>
    </w:p>
  </w:footnote>
  <w:footnote w:id="7">
    <w:p w14:paraId="39CE221D" w14:textId="4A390FBB" w:rsidR="008723A9" w:rsidRDefault="008723A9">
      <w:pPr>
        <w:pStyle w:val="FootnoteText"/>
      </w:pPr>
      <w:r>
        <w:rPr>
          <w:rStyle w:val="FootnoteReference"/>
        </w:rPr>
        <w:footnoteRef/>
      </w:r>
      <w:r>
        <w:t xml:space="preserve"> </w:t>
      </w:r>
      <w:r w:rsidR="00A97A65">
        <w:t xml:space="preserve"> </w:t>
      </w:r>
      <w:r>
        <w:t xml:space="preserve">Net surplus compensation payment was authorized by </w:t>
      </w:r>
      <w:r w:rsidR="00F138A9">
        <w:t>AB </w:t>
      </w:r>
      <w:r>
        <w:t xml:space="preserve">920 (Huffman), </w:t>
      </w:r>
      <w:r w:rsidR="00D00CE5">
        <w:t>Stats. 2</w:t>
      </w:r>
      <w:r>
        <w:t>009</w:t>
      </w:r>
      <w:r w:rsidR="00D00CE5">
        <w:t xml:space="preserve">, </w:t>
      </w:r>
      <w:r w:rsidR="00D00CE5">
        <w:t>ch. </w:t>
      </w:r>
      <w:r>
        <w:t>376, and implemented by the Commission in D.11</w:t>
      </w:r>
      <w:r w:rsidR="00827602">
        <w:noBreakHyphen/>
      </w:r>
      <w:r>
        <w:t>06</w:t>
      </w:r>
      <w:r w:rsidR="00827602">
        <w:noBreakHyphen/>
      </w:r>
      <w:r>
        <w:t xml:space="preserve">016.  A customer producing power in excess of </w:t>
      </w:r>
      <w:r w:rsidR="005D6240">
        <w:t xml:space="preserve">their </w:t>
      </w:r>
      <w:r>
        <w:t>on</w:t>
      </w:r>
      <w:r w:rsidR="00827602">
        <w:noBreakHyphen/>
      </w:r>
      <w:r>
        <w:t>site load over the 12</w:t>
      </w:r>
      <w:r w:rsidR="00827602">
        <w:noBreakHyphen/>
      </w:r>
      <w:r>
        <w:t xml:space="preserve">month period </w:t>
      </w:r>
      <w:r w:rsidR="00DD4E06">
        <w:t>is</w:t>
      </w:r>
      <w:r>
        <w:t xml:space="preserve"> eligible for net surplus compensation under certain conditions.</w:t>
      </w:r>
      <w:r w:rsidR="00C53379">
        <w:t xml:space="preserve"> Net </w:t>
      </w:r>
      <w:r w:rsidR="00970263">
        <w:t>E</w:t>
      </w:r>
      <w:r w:rsidR="00C53379">
        <w:t xml:space="preserve">nergy </w:t>
      </w:r>
      <w:r w:rsidR="00970263">
        <w:t>M</w:t>
      </w:r>
      <w:r w:rsidR="00C53379">
        <w:t xml:space="preserve">etering </w:t>
      </w:r>
      <w:r w:rsidR="00970263">
        <w:t>A</w:t>
      </w:r>
      <w:r w:rsidR="00C53379">
        <w:t>ggregat</w:t>
      </w:r>
      <w:r w:rsidR="00970263">
        <w:t>ion</w:t>
      </w:r>
      <w:r w:rsidR="00C53379">
        <w:t xml:space="preserve"> (NEMA) customers do not receive full retail credits and do not receive net surplus compensation.</w:t>
      </w:r>
    </w:p>
  </w:footnote>
  <w:footnote w:id="8">
    <w:p w14:paraId="5D07F84B" w14:textId="491BFC65" w:rsidR="00236DBE" w:rsidRPr="00513D04" w:rsidRDefault="00236DBE">
      <w:pPr>
        <w:pStyle w:val="FootnoteText"/>
      </w:pPr>
      <w:r>
        <w:rPr>
          <w:rStyle w:val="FootnoteReference"/>
        </w:rPr>
        <w:footnoteRef/>
      </w:r>
      <w:r>
        <w:t xml:space="preserve"> </w:t>
      </w:r>
      <w:r w:rsidR="00A97A65">
        <w:t xml:space="preserve"> </w:t>
      </w:r>
      <w:r>
        <w:t>D.16</w:t>
      </w:r>
      <w:r w:rsidR="00827602">
        <w:noBreakHyphen/>
      </w:r>
      <w:r>
        <w:t>01</w:t>
      </w:r>
      <w:r w:rsidR="00827602">
        <w:noBreakHyphen/>
      </w:r>
      <w:r>
        <w:t xml:space="preserve">044 lists the </w:t>
      </w:r>
      <w:r w:rsidR="007D0E4A">
        <w:t xml:space="preserve">relevant </w:t>
      </w:r>
      <w:r>
        <w:t>non</w:t>
      </w:r>
      <w:r w:rsidR="00827602">
        <w:noBreakHyphen/>
      </w:r>
      <w:r>
        <w:t xml:space="preserve">bypassable </w:t>
      </w:r>
      <w:r w:rsidR="007D0E4A">
        <w:t xml:space="preserve">charges as </w:t>
      </w:r>
      <w:r w:rsidR="007D0E4A" w:rsidRPr="007D0E4A">
        <w:t xml:space="preserve">Public Purpose Program Charge; Nuclear </w:t>
      </w:r>
      <w:r w:rsidR="007D0E4A" w:rsidRPr="00513D04">
        <w:t xml:space="preserve">Decommissioning Charge; Competition Transition Charge; and Department of Water Resources bond charges. </w:t>
      </w:r>
      <w:r w:rsidR="00A4293D" w:rsidRPr="00513D04">
        <w:t xml:space="preserve"> </w:t>
      </w:r>
      <w:r w:rsidR="007D0E4A" w:rsidRPr="00513D04">
        <w:t>These charges are typically specified as non</w:t>
      </w:r>
      <w:r w:rsidR="00827602">
        <w:noBreakHyphen/>
      </w:r>
      <w:r w:rsidR="007D0E4A" w:rsidRPr="00513D04">
        <w:t>bypassable for departing load.  The decision notes that independent of the net energy metering successor tariff or any other rate schedule, the customers of community choice aggregators and direct access customers also pay the Powe</w:t>
      </w:r>
      <w:r w:rsidR="008E3E7A">
        <w:t>r</w:t>
      </w:r>
      <w:r w:rsidR="007D0E4A" w:rsidRPr="00513D04">
        <w:t xml:space="preserve"> </w:t>
      </w:r>
      <w:r w:rsidR="00675CB0">
        <w:t xml:space="preserve">Charge </w:t>
      </w:r>
      <w:r w:rsidR="007D0E4A" w:rsidRPr="00513D04">
        <w:t>Indifference Adjustment.  D.16</w:t>
      </w:r>
      <w:r w:rsidR="00827602">
        <w:noBreakHyphen/>
      </w:r>
      <w:r w:rsidR="007D0E4A" w:rsidRPr="00513D04">
        <w:t>01</w:t>
      </w:r>
      <w:r w:rsidR="00827602">
        <w:noBreakHyphen/>
      </w:r>
      <w:r w:rsidR="007D0E4A" w:rsidRPr="00513D04">
        <w:t>044</w:t>
      </w:r>
      <w:r w:rsidR="000B3DA8">
        <w:t xml:space="preserve"> at 8</w:t>
      </w:r>
      <w:r w:rsidR="007D0E4A" w:rsidRPr="00513D04">
        <w:t xml:space="preserve">9 and </w:t>
      </w:r>
      <w:r w:rsidR="002C5E7D">
        <w:t>f</w:t>
      </w:r>
      <w:r w:rsidR="007D0E4A" w:rsidRPr="00513D04">
        <w:t>ootnote</w:t>
      </w:r>
      <w:r w:rsidR="0044213C">
        <w:t> </w:t>
      </w:r>
      <w:r w:rsidR="007D0E4A" w:rsidRPr="00513D04">
        <w:t>100.</w:t>
      </w:r>
    </w:p>
  </w:footnote>
  <w:footnote w:id="9">
    <w:p w14:paraId="0EA10A75" w14:textId="32B7BC8A" w:rsidR="00C53379" w:rsidRDefault="00C53379">
      <w:pPr>
        <w:pStyle w:val="FootnoteText"/>
      </w:pPr>
      <w:r>
        <w:rPr>
          <w:rStyle w:val="FootnoteReference"/>
        </w:rPr>
        <w:footnoteRef/>
      </w:r>
      <w:r>
        <w:t xml:space="preserve"> </w:t>
      </w:r>
      <w:r w:rsidR="00EB4545">
        <w:t xml:space="preserve"> </w:t>
      </w:r>
      <w:r w:rsidR="008A0742">
        <w:t xml:space="preserve">Benefiting tenant account customers </w:t>
      </w:r>
      <w:r w:rsidR="00675CB0">
        <w:t>enrolled i</w:t>
      </w:r>
      <w:r w:rsidR="008A0742">
        <w:t xml:space="preserve">n the Solar </w:t>
      </w:r>
      <w:r w:rsidR="00675CB0">
        <w:t xml:space="preserve">on </w:t>
      </w:r>
      <w:r w:rsidR="008A0742">
        <w:t>Multi</w:t>
      </w:r>
      <w:r w:rsidR="00827602">
        <w:noBreakHyphen/>
      </w:r>
      <w:r w:rsidR="008A0742">
        <w:t>Family Affordable Housing (SOMAH) program are not subject to this requirement.</w:t>
      </w:r>
    </w:p>
  </w:footnote>
  <w:footnote w:id="10">
    <w:p w14:paraId="1E7B438C" w14:textId="33C2E9CE" w:rsidR="00A9367F" w:rsidRDefault="00A9367F">
      <w:pPr>
        <w:pStyle w:val="FootnoteText"/>
      </w:pPr>
      <w:r w:rsidRPr="00513D04">
        <w:rPr>
          <w:rStyle w:val="FootnoteReference"/>
        </w:rPr>
        <w:footnoteRef/>
      </w:r>
      <w:r w:rsidRPr="00513D04">
        <w:t xml:space="preserve"> </w:t>
      </w:r>
      <w:r w:rsidR="00A97A65" w:rsidRPr="00513D04">
        <w:t xml:space="preserve"> </w:t>
      </w:r>
      <w:r w:rsidRPr="00513D04">
        <w:t>D.16</w:t>
      </w:r>
      <w:r w:rsidR="00827602">
        <w:noBreakHyphen/>
      </w:r>
      <w:r w:rsidRPr="00513D04">
        <w:t>01</w:t>
      </w:r>
      <w:r w:rsidR="00827602">
        <w:noBreakHyphen/>
      </w:r>
      <w:r w:rsidRPr="00513D04">
        <w:t>044</w:t>
      </w:r>
      <w:r w:rsidR="000B3DA8">
        <w:t xml:space="preserve"> at 8</w:t>
      </w:r>
      <w:r w:rsidRPr="00513D04">
        <w:t>6</w:t>
      </w:r>
      <w:r w:rsidR="00236DBE" w:rsidRPr="00513D04">
        <w:t xml:space="preserve">, </w:t>
      </w:r>
      <w:r w:rsidR="000B3DA8">
        <w:t>Conclusion of Law 2</w:t>
      </w:r>
      <w:r w:rsidRPr="00513D04">
        <w:t>5</w:t>
      </w:r>
      <w:r w:rsidR="00236DBE" w:rsidRPr="00513D04">
        <w:t xml:space="preserve"> and </w:t>
      </w:r>
      <w:r w:rsidR="000B3DA8">
        <w:t>Ordering Paragraph 1</w:t>
      </w:r>
      <w:r w:rsidR="00236DBE" w:rsidRPr="00513D04">
        <w:t>1</w:t>
      </w:r>
      <w:r w:rsidRPr="00513D04">
        <w:t xml:space="preserve">.  </w:t>
      </w:r>
      <w:r w:rsidR="00BE4E7A" w:rsidRPr="00513D04">
        <w:t>(</w:t>
      </w:r>
      <w:r w:rsidRPr="00513D04">
        <w:rPr>
          <w:i/>
          <w:iCs/>
        </w:rPr>
        <w:t>See also</w:t>
      </w:r>
      <w:r w:rsidRPr="00513D04">
        <w:t xml:space="preserve"> </w:t>
      </w:r>
      <w:r w:rsidR="000B3DA8">
        <w:t>Conclusion of Law 2</w:t>
      </w:r>
      <w:r w:rsidRPr="00513D04">
        <w:t>9</w:t>
      </w:r>
      <w:r w:rsidR="00236DBE" w:rsidRPr="00513D04">
        <w:t xml:space="preserve"> and </w:t>
      </w:r>
      <w:r w:rsidR="000B3DA8">
        <w:t>Ordering Paragraph 1</w:t>
      </w:r>
      <w:r w:rsidR="00236DBE" w:rsidRPr="00513D04">
        <w:t>2</w:t>
      </w:r>
      <w:r w:rsidRPr="00513D04">
        <w:rPr>
          <w:b/>
          <w:bCs/>
        </w:rPr>
        <w:t>.</w:t>
      </w:r>
      <w:r w:rsidR="00BE4E7A" w:rsidRPr="00513D04">
        <w:t>)</w:t>
      </w:r>
    </w:p>
  </w:footnote>
  <w:footnote w:id="11">
    <w:p w14:paraId="7F77546D" w14:textId="45DFB248" w:rsidR="00EC2EF1" w:rsidRDefault="00EC2EF1">
      <w:pPr>
        <w:pStyle w:val="FootnoteText"/>
      </w:pPr>
      <w:r>
        <w:rPr>
          <w:rStyle w:val="FootnoteReference"/>
        </w:rPr>
        <w:footnoteRef/>
      </w:r>
      <w:r>
        <w:t xml:space="preserve"> </w:t>
      </w:r>
      <w:r w:rsidR="00A97A65">
        <w:t xml:space="preserve"> </w:t>
      </w:r>
      <w:r>
        <w:t>D.16</w:t>
      </w:r>
      <w:r w:rsidR="00827602">
        <w:noBreakHyphen/>
      </w:r>
      <w:r>
        <w:t>01</w:t>
      </w:r>
      <w:r w:rsidR="00827602">
        <w:noBreakHyphen/>
      </w:r>
      <w:r>
        <w:t>044</w:t>
      </w:r>
      <w:r w:rsidR="000B3DA8">
        <w:t xml:space="preserve"> at 1</w:t>
      </w:r>
      <w:r>
        <w:t>03.</w:t>
      </w:r>
    </w:p>
  </w:footnote>
  <w:footnote w:id="12">
    <w:p w14:paraId="684FA271" w14:textId="41A2F8D3" w:rsidR="002F14FD" w:rsidRDefault="002F14FD">
      <w:pPr>
        <w:pStyle w:val="FootnoteText"/>
      </w:pPr>
      <w:r>
        <w:rPr>
          <w:rStyle w:val="FootnoteReference"/>
        </w:rPr>
        <w:footnoteRef/>
      </w:r>
      <w:r>
        <w:t xml:space="preserve"> </w:t>
      </w:r>
      <w:r w:rsidR="00A97A65">
        <w:t xml:space="preserve"> </w:t>
      </w:r>
      <w:r>
        <w:t>D.21</w:t>
      </w:r>
      <w:r w:rsidR="00827602">
        <w:noBreakHyphen/>
      </w:r>
      <w:r>
        <w:t>02</w:t>
      </w:r>
      <w:r w:rsidR="00827602">
        <w:noBreakHyphen/>
      </w:r>
      <w:r>
        <w:t>007</w:t>
      </w:r>
      <w:r w:rsidR="000B3DA8">
        <w:t xml:space="preserve"> at 2</w:t>
      </w:r>
      <w:r>
        <w:t>.</w:t>
      </w:r>
    </w:p>
  </w:footnote>
  <w:footnote w:id="13">
    <w:p w14:paraId="7331796F" w14:textId="3818BAEA" w:rsidR="00103D3A" w:rsidRDefault="00103D3A" w:rsidP="00103D3A">
      <w:pPr>
        <w:pStyle w:val="FootnoteText"/>
      </w:pPr>
      <w:r>
        <w:rPr>
          <w:rStyle w:val="FootnoteReference"/>
        </w:rPr>
        <w:footnoteRef/>
      </w:r>
      <w:r>
        <w:t xml:space="preserve"> </w:t>
      </w:r>
      <w:r w:rsidR="00EB4545">
        <w:t xml:space="preserve"> </w:t>
      </w:r>
      <w:r>
        <w:t>In this proceeding, the acronym CARE has been used to refer to two entities</w:t>
      </w:r>
      <w:r w:rsidR="00555CC0">
        <w:t xml:space="preserve">:  </w:t>
      </w:r>
      <w:r>
        <w:t>the party, Californians for Renewable Energy and the program, California Alternate Rates for Energy.  For clarity, this decision will refer to the party by its full name and not the acronym.  References to the program in this decision will use the acronym, CARE.</w:t>
      </w:r>
    </w:p>
  </w:footnote>
  <w:footnote w:id="14">
    <w:p w14:paraId="077C9666" w14:textId="778B5347" w:rsidR="00ED2017" w:rsidRDefault="00ED2017">
      <w:pPr>
        <w:pStyle w:val="FootnoteText"/>
      </w:pPr>
      <w:r>
        <w:rPr>
          <w:rStyle w:val="FootnoteReference"/>
        </w:rPr>
        <w:footnoteRef/>
      </w:r>
      <w:r>
        <w:t xml:space="preserve"> </w:t>
      </w:r>
      <w:r w:rsidR="00EB4545">
        <w:t xml:space="preserve"> </w:t>
      </w:r>
      <w:r w:rsidR="00E27AE8">
        <w:t>SB </w:t>
      </w:r>
      <w:r>
        <w:t>100 establishes the requirements that</w:t>
      </w:r>
      <w:r w:rsidR="00555CC0">
        <w:t xml:space="preserve">:  </w:t>
      </w:r>
      <w:r w:rsidR="00E27AE8">
        <w:t>(</w:t>
      </w:r>
      <w:r>
        <w:t>i)</w:t>
      </w:r>
      <w:r w:rsidR="00E27AE8">
        <w:t> </w:t>
      </w:r>
      <w:r>
        <w:t>by 20</w:t>
      </w:r>
      <w:r w:rsidR="00D66A38">
        <w:t>3</w:t>
      </w:r>
      <w:r>
        <w:t>0 at least 6</w:t>
      </w:r>
      <w:r w:rsidR="00C04724">
        <w:t>0 percent</w:t>
      </w:r>
      <w:r>
        <w:t xml:space="preserve"> of California’s electricity is renewable</w:t>
      </w:r>
      <w:r w:rsidR="00E27AE8">
        <w:t>;</w:t>
      </w:r>
      <w:r>
        <w:t xml:space="preserve"> and </w:t>
      </w:r>
      <w:r w:rsidR="00E27AE8">
        <w:t>(</w:t>
      </w:r>
      <w:r>
        <w:t>ii)</w:t>
      </w:r>
      <w:r w:rsidR="00E27AE8">
        <w:t> </w:t>
      </w:r>
      <w:r>
        <w:t>by 2045 all retail electricity sold in California shall be powered by renewable and zero</w:t>
      </w:r>
      <w:r w:rsidR="00827602">
        <w:noBreakHyphen/>
      </w:r>
      <w:r>
        <w:t>carbon resources.</w:t>
      </w:r>
    </w:p>
  </w:footnote>
  <w:footnote w:id="15">
    <w:p w14:paraId="7868A6BE" w14:textId="728DC0BD" w:rsidR="000703BC" w:rsidRDefault="000703BC">
      <w:pPr>
        <w:pStyle w:val="FootnoteText"/>
      </w:pPr>
      <w:r>
        <w:rPr>
          <w:rStyle w:val="FootnoteReference"/>
        </w:rPr>
        <w:footnoteRef/>
      </w:r>
      <w:r>
        <w:t xml:space="preserve"> </w:t>
      </w:r>
      <w:r w:rsidR="00A97A65">
        <w:t xml:space="preserve"> </w:t>
      </w:r>
      <w:r w:rsidR="00647CE3">
        <w:t xml:space="preserve">The </w:t>
      </w:r>
      <w:r>
        <w:t>Lookback Study is in the administrative record of this proceeding through the January</w:t>
      </w:r>
      <w:r w:rsidR="00957ED6">
        <w:t> </w:t>
      </w:r>
      <w:r>
        <w:t>21,</w:t>
      </w:r>
      <w:r w:rsidR="00957ED6">
        <w:t> </w:t>
      </w:r>
      <w:r>
        <w:t>2021 Ruling</w:t>
      </w:r>
      <w:r w:rsidR="00647CE3">
        <w:t xml:space="preserve"> and </w:t>
      </w:r>
      <w:r>
        <w:t xml:space="preserve">is also in the evidentiary record of this proceeding </w:t>
      </w:r>
      <w:r w:rsidR="00647CE3">
        <w:t>as</w:t>
      </w:r>
      <w:r>
        <w:t xml:space="preserve"> exhibit PCF</w:t>
      </w:r>
      <w:r w:rsidR="00827602">
        <w:noBreakHyphen/>
      </w:r>
      <w:r w:rsidR="00647CE3">
        <w:t>15.  In briefs, parties cite to either the Lookback Study or PCF</w:t>
      </w:r>
      <w:r w:rsidR="00827602">
        <w:noBreakHyphen/>
      </w:r>
      <w:r w:rsidR="00647CE3">
        <w:t>15.  It is the same copy and therefore has the same page numbers.</w:t>
      </w:r>
    </w:p>
  </w:footnote>
  <w:footnote w:id="16">
    <w:p w14:paraId="6B8831D9" w14:textId="1B8F3504" w:rsidR="00E62DA3" w:rsidRDefault="00E62DA3">
      <w:pPr>
        <w:pStyle w:val="FootnoteText"/>
      </w:pPr>
      <w:r>
        <w:rPr>
          <w:rStyle w:val="FootnoteReference"/>
        </w:rPr>
        <w:footnoteRef/>
      </w:r>
      <w:r>
        <w:t xml:space="preserve"> </w:t>
      </w:r>
      <w:r w:rsidR="00A97A65">
        <w:t xml:space="preserve"> </w:t>
      </w:r>
      <w:r>
        <w:t xml:space="preserve">The PCT </w:t>
      </w:r>
      <w:r w:rsidR="00146662">
        <w:t>is the measure of</w:t>
      </w:r>
      <w:r>
        <w:t xml:space="preserve"> the quantifiable benefits and costs to the customer due to participation in a program.</w:t>
      </w:r>
      <w:r w:rsidR="00146662">
        <w:t xml:space="preserve">  (Standard Practice Manual</w:t>
      </w:r>
      <w:r w:rsidR="000B3DA8">
        <w:t xml:space="preserve"> at 8</w:t>
      </w:r>
      <w:r w:rsidR="00146662">
        <w:t>.)</w:t>
      </w:r>
    </w:p>
  </w:footnote>
  <w:footnote w:id="17">
    <w:p w14:paraId="20A22011" w14:textId="6F6C07DD" w:rsidR="00146662" w:rsidRDefault="00146662">
      <w:pPr>
        <w:pStyle w:val="FootnoteText"/>
      </w:pPr>
      <w:r>
        <w:rPr>
          <w:rStyle w:val="FootnoteReference"/>
        </w:rPr>
        <w:footnoteRef/>
      </w:r>
      <w:r>
        <w:t xml:space="preserve"> </w:t>
      </w:r>
      <w:r w:rsidR="00A97A65">
        <w:t xml:space="preserve"> </w:t>
      </w:r>
      <w:r>
        <w:t>The PAC test measures the net costs of a demand</w:t>
      </w:r>
      <w:r w:rsidR="00827602">
        <w:noBreakHyphen/>
      </w:r>
      <w:r>
        <w:t>side management program as a resource option based on the costs incurred by the program administrator (including incentive costs) and excluding any net costs incurred by the participant.  (Standard Practice Manual</w:t>
      </w:r>
      <w:r w:rsidR="000B3DA8">
        <w:t xml:space="preserve"> at 2</w:t>
      </w:r>
      <w:r>
        <w:t>3.)</w:t>
      </w:r>
    </w:p>
  </w:footnote>
  <w:footnote w:id="18">
    <w:p w14:paraId="1F570111" w14:textId="4A060A16" w:rsidR="00146662" w:rsidRDefault="00146662">
      <w:pPr>
        <w:pStyle w:val="FootnoteText"/>
      </w:pPr>
      <w:r>
        <w:rPr>
          <w:rStyle w:val="FootnoteReference"/>
        </w:rPr>
        <w:footnoteRef/>
      </w:r>
      <w:r>
        <w:t xml:space="preserve"> </w:t>
      </w:r>
      <w:r w:rsidR="00A97A65">
        <w:t xml:space="preserve"> </w:t>
      </w:r>
      <w:r>
        <w:t xml:space="preserve">The </w:t>
      </w:r>
      <w:r>
        <w:t>TRC measures the net costs of a demand</w:t>
      </w:r>
      <w:r w:rsidR="00827602">
        <w:noBreakHyphen/>
      </w:r>
      <w:r>
        <w:t>side management program as a resource option based on the total costs of the program, including both the participants’ and the utility’s costs.</w:t>
      </w:r>
      <w:r w:rsidR="00285698">
        <w:t xml:space="preserve"> (Standard Practice Manual</w:t>
      </w:r>
      <w:r w:rsidR="000B3DA8">
        <w:t xml:space="preserve"> at 1</w:t>
      </w:r>
      <w:r w:rsidR="00285698">
        <w:t>8.)</w:t>
      </w:r>
    </w:p>
  </w:footnote>
  <w:footnote w:id="19">
    <w:p w14:paraId="5A0ECBCD" w14:textId="5D43C398" w:rsidR="00146662" w:rsidRDefault="00146662">
      <w:pPr>
        <w:pStyle w:val="FootnoteText"/>
      </w:pPr>
      <w:r>
        <w:rPr>
          <w:rStyle w:val="FootnoteReference"/>
        </w:rPr>
        <w:footnoteRef/>
      </w:r>
      <w:r>
        <w:t xml:space="preserve"> </w:t>
      </w:r>
      <w:r w:rsidR="00A97A65">
        <w:t xml:space="preserve"> </w:t>
      </w:r>
      <w:r>
        <w:t>The RIM test measures what happens to customer bills or rates due to changes in utility revenues and operating costs caused by a program.  The Rim test has been described as the Non</w:t>
      </w:r>
      <w:r w:rsidR="00827602">
        <w:noBreakHyphen/>
      </w:r>
      <w:r>
        <w:t>Participant Test.  (Standard Practice Manual</w:t>
      </w:r>
      <w:r w:rsidR="000B3DA8">
        <w:t xml:space="preserve"> at 1</w:t>
      </w:r>
      <w:r>
        <w:t>3</w:t>
      </w:r>
      <w:r w:rsidR="00A7277D">
        <w:t>.</w:t>
      </w:r>
      <w:r>
        <w:t>)</w:t>
      </w:r>
    </w:p>
  </w:footnote>
  <w:footnote w:id="20">
    <w:p w14:paraId="0698A347" w14:textId="7412C53E" w:rsidR="00B05660" w:rsidRDefault="00B05660">
      <w:pPr>
        <w:pStyle w:val="FootnoteText"/>
      </w:pPr>
      <w:r>
        <w:rPr>
          <w:rStyle w:val="FootnoteReference"/>
        </w:rPr>
        <w:footnoteRef/>
      </w:r>
      <w:r>
        <w:t xml:space="preserve"> </w:t>
      </w:r>
      <w:r w:rsidR="00A97A65">
        <w:t xml:space="preserve"> </w:t>
      </w:r>
      <w:r>
        <w:t>Lookback Study</w:t>
      </w:r>
      <w:r w:rsidR="000B3DA8">
        <w:t xml:space="preserve"> at 4</w:t>
      </w:r>
      <w:r>
        <w:t>3.</w:t>
      </w:r>
    </w:p>
  </w:footnote>
  <w:footnote w:id="21">
    <w:p w14:paraId="6F756497" w14:textId="2EB61B01" w:rsidR="00B05660" w:rsidRDefault="00B05660">
      <w:pPr>
        <w:pStyle w:val="FootnoteText"/>
      </w:pPr>
      <w:r>
        <w:rPr>
          <w:rStyle w:val="FootnoteReference"/>
        </w:rPr>
        <w:footnoteRef/>
      </w:r>
      <w:r>
        <w:t xml:space="preserve"> </w:t>
      </w:r>
      <w:r w:rsidR="00A97A65">
        <w:t xml:space="preserve"> </w:t>
      </w:r>
      <w:r>
        <w:t>Lookback Study</w:t>
      </w:r>
      <w:r w:rsidR="000B3DA8">
        <w:t xml:space="preserve"> at 4</w:t>
      </w:r>
      <w:r>
        <w:t>4.</w:t>
      </w:r>
    </w:p>
  </w:footnote>
  <w:footnote w:id="22">
    <w:p w14:paraId="063A4C9E" w14:textId="4961AEF7" w:rsidR="007C2EB2" w:rsidRDefault="007C2EB2">
      <w:pPr>
        <w:pStyle w:val="FootnoteText"/>
      </w:pPr>
      <w:r>
        <w:rPr>
          <w:rStyle w:val="FootnoteReference"/>
        </w:rPr>
        <w:footnoteRef/>
      </w:r>
      <w:r>
        <w:t xml:space="preserve"> </w:t>
      </w:r>
      <w:r w:rsidR="00A97A65">
        <w:t xml:space="preserve"> </w:t>
      </w:r>
      <w:r>
        <w:t>Lookback Study</w:t>
      </w:r>
      <w:r w:rsidR="000B3DA8">
        <w:t xml:space="preserve"> at 5</w:t>
      </w:r>
      <w:r>
        <w:t>6.</w:t>
      </w:r>
    </w:p>
  </w:footnote>
  <w:footnote w:id="23">
    <w:p w14:paraId="49F6A4D9" w14:textId="0410CF93" w:rsidR="002B2BBA" w:rsidRDefault="002B2BBA" w:rsidP="002B2BBA">
      <w:pPr>
        <w:pStyle w:val="FootnoteText"/>
      </w:pPr>
      <w:r>
        <w:rPr>
          <w:rStyle w:val="FootnoteReference"/>
        </w:rPr>
        <w:footnoteRef/>
      </w:r>
      <w:r>
        <w:t xml:space="preserve">  Lookback Study at </w:t>
      </w:r>
      <w:r w:rsidR="007F6676">
        <w:t>Table 5</w:t>
      </w:r>
      <w:r w:rsidR="00827602">
        <w:noBreakHyphen/>
      </w:r>
      <w:r>
        <w:t>1.</w:t>
      </w:r>
    </w:p>
  </w:footnote>
  <w:footnote w:id="24">
    <w:p w14:paraId="3360C367" w14:textId="0CA2F1B2" w:rsidR="0018427D" w:rsidRDefault="0018427D">
      <w:pPr>
        <w:pStyle w:val="FootnoteText"/>
      </w:pPr>
      <w:r>
        <w:rPr>
          <w:rStyle w:val="FootnoteReference"/>
        </w:rPr>
        <w:footnoteRef/>
      </w:r>
      <w:r>
        <w:t xml:space="preserve">  The acronym NPV is defined as net present value.</w:t>
      </w:r>
    </w:p>
  </w:footnote>
  <w:footnote w:id="25">
    <w:p w14:paraId="7A1E92AE" w14:textId="3DA1ED6F" w:rsidR="007C2EB2" w:rsidRDefault="007C2EB2">
      <w:pPr>
        <w:pStyle w:val="FootnoteText"/>
      </w:pPr>
      <w:r>
        <w:rPr>
          <w:rStyle w:val="FootnoteReference"/>
        </w:rPr>
        <w:footnoteRef/>
      </w:r>
      <w:r>
        <w:t xml:space="preserve"> </w:t>
      </w:r>
      <w:r w:rsidR="00A97A65">
        <w:t xml:space="preserve"> </w:t>
      </w:r>
      <w:r>
        <w:t>Lookback Study</w:t>
      </w:r>
      <w:r w:rsidR="000B3DA8">
        <w:t xml:space="preserve"> at 4</w:t>
      </w:r>
      <w:r>
        <w:t>5.</w:t>
      </w:r>
    </w:p>
  </w:footnote>
  <w:footnote w:id="26">
    <w:p w14:paraId="46A43FEE" w14:textId="15F478F6" w:rsidR="007C2EB2" w:rsidRDefault="007C2EB2">
      <w:pPr>
        <w:pStyle w:val="FootnoteText"/>
      </w:pPr>
      <w:r>
        <w:rPr>
          <w:rStyle w:val="FootnoteReference"/>
        </w:rPr>
        <w:footnoteRef/>
      </w:r>
      <w:r>
        <w:t xml:space="preserve"> </w:t>
      </w:r>
      <w:r w:rsidR="00A97A65">
        <w:t xml:space="preserve"> </w:t>
      </w:r>
      <w:r>
        <w:t>Lookback Study</w:t>
      </w:r>
      <w:r w:rsidR="000B3DA8">
        <w:t xml:space="preserve"> at 4</w:t>
      </w:r>
      <w:r>
        <w:t>5.</w:t>
      </w:r>
    </w:p>
  </w:footnote>
  <w:footnote w:id="27">
    <w:p w14:paraId="37B1867D" w14:textId="2A7EB620" w:rsidR="007F6676" w:rsidRDefault="007F6676" w:rsidP="007F6676">
      <w:pPr>
        <w:pStyle w:val="FootnoteText"/>
      </w:pPr>
      <w:r>
        <w:rPr>
          <w:rStyle w:val="FootnoteReference"/>
        </w:rPr>
        <w:footnoteRef/>
      </w:r>
      <w:r>
        <w:t xml:space="preserve">  Lookback Study at Table 1</w:t>
      </w:r>
      <w:r w:rsidR="00827602">
        <w:noBreakHyphen/>
      </w:r>
      <w:r>
        <w:t>7.</w:t>
      </w:r>
    </w:p>
  </w:footnote>
  <w:footnote w:id="28">
    <w:p w14:paraId="1EB88A17" w14:textId="51E46C75" w:rsidR="007F1058" w:rsidRDefault="007F1058">
      <w:pPr>
        <w:pStyle w:val="FootnoteText"/>
      </w:pPr>
      <w:r>
        <w:rPr>
          <w:rStyle w:val="FootnoteReference"/>
        </w:rPr>
        <w:footnoteRef/>
      </w:r>
      <w:r>
        <w:t xml:space="preserve"> </w:t>
      </w:r>
      <w:r w:rsidR="00A97A65">
        <w:t xml:space="preserve"> </w:t>
      </w:r>
      <w:r>
        <w:t>Lookback Study</w:t>
      </w:r>
      <w:r w:rsidR="000B3DA8">
        <w:t xml:space="preserve"> at 1</w:t>
      </w:r>
      <w:r>
        <w:t>3.</w:t>
      </w:r>
    </w:p>
  </w:footnote>
  <w:footnote w:id="29">
    <w:p w14:paraId="1FD2E0C3" w14:textId="7EB865A0" w:rsidR="00E319D4" w:rsidRDefault="00E319D4">
      <w:pPr>
        <w:pStyle w:val="FootnoteText"/>
      </w:pPr>
      <w:r>
        <w:rPr>
          <w:rStyle w:val="FootnoteReference"/>
        </w:rPr>
        <w:footnoteRef/>
      </w:r>
      <w:r>
        <w:t xml:space="preserve"> </w:t>
      </w:r>
      <w:r w:rsidR="00A97A65">
        <w:t xml:space="preserve"> </w:t>
      </w:r>
      <w:r>
        <w:t>Lookback Study</w:t>
      </w:r>
      <w:r w:rsidR="000B3DA8">
        <w:t xml:space="preserve"> at 1</w:t>
      </w:r>
      <w:r>
        <w:t>3.</w:t>
      </w:r>
    </w:p>
  </w:footnote>
  <w:footnote w:id="30">
    <w:p w14:paraId="24FD921E" w14:textId="41A16C42" w:rsidR="00F00C93" w:rsidRDefault="00F00C93">
      <w:pPr>
        <w:pStyle w:val="FootnoteText"/>
      </w:pPr>
      <w:r>
        <w:rPr>
          <w:rStyle w:val="FootnoteReference"/>
        </w:rPr>
        <w:footnoteRef/>
      </w:r>
      <w:r>
        <w:t xml:space="preserve"> </w:t>
      </w:r>
      <w:r w:rsidR="00A97A65">
        <w:t xml:space="preserve"> </w:t>
      </w:r>
      <w:r>
        <w:t>White Paper</w:t>
      </w:r>
      <w:r w:rsidR="000B3DA8">
        <w:t xml:space="preserve"> at 3</w:t>
      </w:r>
      <w:r w:rsidR="00827602">
        <w:noBreakHyphen/>
      </w:r>
      <w:r>
        <w:t>6.</w:t>
      </w:r>
    </w:p>
  </w:footnote>
  <w:footnote w:id="31">
    <w:p w14:paraId="23E34DB0" w14:textId="7D6E4D4B" w:rsidR="00B53AED" w:rsidRDefault="00B53AED">
      <w:pPr>
        <w:pStyle w:val="FootnoteText"/>
      </w:pPr>
      <w:r>
        <w:rPr>
          <w:rStyle w:val="FootnoteReference"/>
        </w:rPr>
        <w:footnoteRef/>
      </w:r>
      <w:r>
        <w:t xml:space="preserve"> </w:t>
      </w:r>
      <w:r w:rsidR="00A97A65">
        <w:t xml:space="preserve"> </w:t>
      </w:r>
      <w:r>
        <w:t>White Paper</w:t>
      </w:r>
      <w:r w:rsidR="000B3DA8">
        <w:t xml:space="preserve"> at 4</w:t>
      </w:r>
      <w:r>
        <w:t xml:space="preserve"> and </w:t>
      </w:r>
      <w:r w:rsidR="007F6676">
        <w:t>Table 1</w:t>
      </w:r>
      <w:r>
        <w:t>.</w:t>
      </w:r>
    </w:p>
  </w:footnote>
  <w:footnote w:id="32">
    <w:p w14:paraId="29FED39A" w14:textId="39585534" w:rsidR="00F00C93" w:rsidRDefault="00F00C93">
      <w:pPr>
        <w:pStyle w:val="FootnoteText"/>
      </w:pPr>
      <w:r>
        <w:rPr>
          <w:rStyle w:val="FootnoteReference"/>
        </w:rPr>
        <w:footnoteRef/>
      </w:r>
      <w:r>
        <w:t xml:space="preserve"> </w:t>
      </w:r>
      <w:r w:rsidR="00A97A65">
        <w:t xml:space="preserve"> </w:t>
      </w:r>
      <w:r>
        <w:t xml:space="preserve">White Paper at </w:t>
      </w:r>
      <w:r w:rsidR="00037F69">
        <w:t>Figure 1</w:t>
      </w:r>
      <w:r>
        <w:t>.</w:t>
      </w:r>
    </w:p>
  </w:footnote>
  <w:footnote w:id="33">
    <w:p w14:paraId="5380C931" w14:textId="53CA0B44" w:rsidR="00F00C93" w:rsidRDefault="00F00C93">
      <w:pPr>
        <w:pStyle w:val="FootnoteText"/>
      </w:pPr>
      <w:r>
        <w:rPr>
          <w:rStyle w:val="FootnoteReference"/>
        </w:rPr>
        <w:footnoteRef/>
      </w:r>
      <w:r>
        <w:t xml:space="preserve"> </w:t>
      </w:r>
      <w:r w:rsidR="00A97A65">
        <w:t xml:space="preserve"> </w:t>
      </w:r>
      <w:r>
        <w:t xml:space="preserve">White Paper at </w:t>
      </w:r>
      <w:r w:rsidR="00037F69">
        <w:t>Figure 2</w:t>
      </w:r>
      <w:r>
        <w:t>.</w:t>
      </w:r>
    </w:p>
  </w:footnote>
  <w:footnote w:id="34">
    <w:p w14:paraId="48F28FF4" w14:textId="02A48CFB" w:rsidR="00C61F2D" w:rsidRDefault="00C61F2D">
      <w:pPr>
        <w:pStyle w:val="FootnoteText"/>
      </w:pPr>
      <w:r>
        <w:rPr>
          <w:rStyle w:val="FootnoteReference"/>
        </w:rPr>
        <w:footnoteRef/>
      </w:r>
      <w:r>
        <w:t xml:space="preserve"> </w:t>
      </w:r>
      <w:r w:rsidR="00A97A65">
        <w:t xml:space="preserve"> </w:t>
      </w:r>
      <w:r w:rsidR="00DB4129">
        <w:t>T</w:t>
      </w:r>
      <w:r>
        <w:t xml:space="preserve">he party, </w:t>
      </w:r>
      <w:r w:rsidR="00C647E5">
        <w:t>Californians for Renewable Energy</w:t>
      </w:r>
      <w:r>
        <w:t>, filed its proposal on March</w:t>
      </w:r>
      <w:r w:rsidR="00AD33F7">
        <w:t> </w:t>
      </w:r>
      <w:r>
        <w:t>14,</w:t>
      </w:r>
      <w:r w:rsidR="00AD33F7">
        <w:t> </w:t>
      </w:r>
      <w:r>
        <w:t>2021.</w:t>
      </w:r>
    </w:p>
  </w:footnote>
  <w:footnote w:id="35">
    <w:p w14:paraId="4648C042" w14:textId="25FCE4E5" w:rsidR="0029166C" w:rsidRPr="00910053" w:rsidRDefault="0029166C">
      <w:pPr>
        <w:pStyle w:val="FootnoteText"/>
      </w:pPr>
      <w:r w:rsidRPr="00910053">
        <w:rPr>
          <w:rStyle w:val="FootnoteReference"/>
        </w:rPr>
        <w:footnoteRef/>
      </w:r>
      <w:r w:rsidRPr="00910053">
        <w:t xml:space="preserve"> </w:t>
      </w:r>
      <w:r w:rsidR="00EB4545" w:rsidRPr="00910053">
        <w:t xml:space="preserve"> </w:t>
      </w:r>
      <w:r w:rsidRPr="00910053">
        <w:t xml:space="preserve">Ivy </w:t>
      </w:r>
      <w:r w:rsidR="006A107D" w:rsidRPr="00910053">
        <w:t xml:space="preserve">Energy </w:t>
      </w:r>
      <w:r w:rsidRPr="00910053">
        <w:t>March</w:t>
      </w:r>
      <w:r w:rsidR="00D569FF" w:rsidRPr="00910053">
        <w:t> </w:t>
      </w:r>
      <w:r w:rsidRPr="00910053">
        <w:t>15,</w:t>
      </w:r>
      <w:r w:rsidR="00D569FF" w:rsidRPr="00910053">
        <w:t> </w:t>
      </w:r>
      <w:r w:rsidRPr="00910053">
        <w:t>2021 Proposal</w:t>
      </w:r>
      <w:r w:rsidR="000B3DA8" w:rsidRPr="00910053">
        <w:t xml:space="preserve"> at 9</w:t>
      </w:r>
      <w:r w:rsidRPr="00910053">
        <w:t>.</w:t>
      </w:r>
    </w:p>
  </w:footnote>
  <w:footnote w:id="36">
    <w:p w14:paraId="7973BBAD" w14:textId="1A753E6B" w:rsidR="00BB3D92" w:rsidRDefault="00BB3D92">
      <w:pPr>
        <w:pStyle w:val="FootnoteText"/>
      </w:pPr>
      <w:r>
        <w:rPr>
          <w:rStyle w:val="FootnoteReference"/>
        </w:rPr>
        <w:footnoteRef/>
      </w:r>
      <w:r>
        <w:t xml:space="preserve"> </w:t>
      </w:r>
      <w:r w:rsidR="00A97A65">
        <w:t xml:space="preserve"> </w:t>
      </w:r>
      <w:r>
        <w:t xml:space="preserve">This would equate to $9.00 </w:t>
      </w:r>
      <w:r w:rsidR="0029539D">
        <w:t>per</w:t>
      </w:r>
      <w:r>
        <w:t xml:space="preserve"> month for a </w:t>
      </w:r>
      <w:r w:rsidR="00DE2B90">
        <w:t>six</w:t>
      </w:r>
      <w:r w:rsidR="00827602">
        <w:noBreakHyphen/>
      </w:r>
      <w:r w:rsidR="00DE2B90">
        <w:t>kilowatt</w:t>
      </w:r>
      <w:r>
        <w:t xml:space="preserve"> system.</w:t>
      </w:r>
    </w:p>
  </w:footnote>
  <w:footnote w:id="37">
    <w:p w14:paraId="563EF199" w14:textId="3DA2A2BA" w:rsidR="00EC1868" w:rsidRDefault="00EC1868">
      <w:pPr>
        <w:pStyle w:val="FootnoteText"/>
      </w:pPr>
      <w:r>
        <w:rPr>
          <w:rStyle w:val="FootnoteReference"/>
        </w:rPr>
        <w:footnoteRef/>
      </w:r>
      <w:r>
        <w:t xml:space="preserve"> </w:t>
      </w:r>
      <w:r w:rsidR="00EB4545">
        <w:t xml:space="preserve"> </w:t>
      </w:r>
      <w:r>
        <w:t>SBUA Proposal, March</w:t>
      </w:r>
      <w:r w:rsidR="005F1934">
        <w:t> </w:t>
      </w:r>
      <w:r>
        <w:t>15,</w:t>
      </w:r>
      <w:r w:rsidR="005F1934">
        <w:t> </w:t>
      </w:r>
      <w:r>
        <w:t>2021</w:t>
      </w:r>
      <w:r w:rsidR="000B3DA8">
        <w:t xml:space="preserve"> at 2</w:t>
      </w:r>
      <w:r>
        <w:t>0.</w:t>
      </w:r>
    </w:p>
  </w:footnote>
  <w:footnote w:id="38">
    <w:p w14:paraId="108CEA56" w14:textId="54004B8F" w:rsidR="00906C88" w:rsidRDefault="00906C88">
      <w:pPr>
        <w:pStyle w:val="FootnoteText"/>
      </w:pPr>
      <w:r>
        <w:rPr>
          <w:rStyle w:val="FootnoteReference"/>
        </w:rPr>
        <w:footnoteRef/>
      </w:r>
      <w:r>
        <w:t xml:space="preserve"> </w:t>
      </w:r>
      <w:r w:rsidR="00EB4545">
        <w:t xml:space="preserve"> </w:t>
      </w:r>
      <w:r>
        <w:t xml:space="preserve">SBUA </w:t>
      </w:r>
      <w:r w:rsidR="003E1A6E">
        <w:t>January</w:t>
      </w:r>
      <w:r w:rsidR="005F1934">
        <w:t> </w:t>
      </w:r>
      <w:r w:rsidR="003E1A6E">
        <w:t>7,</w:t>
      </w:r>
      <w:r w:rsidR="005F1934">
        <w:t> </w:t>
      </w:r>
      <w:r w:rsidR="003E1A6E">
        <w:t>2022 Comments</w:t>
      </w:r>
      <w:r w:rsidR="000B3DA8">
        <w:t xml:space="preserve"> at 6</w:t>
      </w:r>
      <w:r w:rsidR="00827602">
        <w:noBreakHyphen/>
      </w:r>
      <w:r w:rsidR="003E1A6E">
        <w:t>8.</w:t>
      </w:r>
    </w:p>
  </w:footnote>
  <w:footnote w:id="39">
    <w:p w14:paraId="1E56D43C" w14:textId="6F7878A5" w:rsidR="004B15B8" w:rsidRDefault="004B15B8" w:rsidP="004B15B8">
      <w:pPr>
        <w:pStyle w:val="FootnoteText"/>
      </w:pPr>
      <w:r>
        <w:rPr>
          <w:rStyle w:val="FootnoteReference"/>
        </w:rPr>
        <w:footnoteRef/>
      </w:r>
      <w:r>
        <w:t xml:space="preserve"> </w:t>
      </w:r>
      <w:r w:rsidR="00A97A65">
        <w:t xml:space="preserve"> </w:t>
      </w:r>
      <w:r>
        <w:t>CALSSA Opening Brief</w:t>
      </w:r>
      <w:r w:rsidR="000B3DA8">
        <w:t xml:space="preserve"> at 1</w:t>
      </w:r>
      <w:r>
        <w:t>7.</w:t>
      </w:r>
    </w:p>
  </w:footnote>
  <w:footnote w:id="40">
    <w:p w14:paraId="0418CB3B" w14:textId="2C66F4B4" w:rsidR="004B15B8" w:rsidRDefault="004B15B8" w:rsidP="004B15B8">
      <w:pPr>
        <w:pStyle w:val="FootnoteText"/>
      </w:pPr>
      <w:r>
        <w:rPr>
          <w:rStyle w:val="FootnoteReference"/>
        </w:rPr>
        <w:footnoteRef/>
      </w:r>
      <w:r>
        <w:t xml:space="preserve"> </w:t>
      </w:r>
      <w:r w:rsidR="00A97A65">
        <w:t xml:space="preserve"> </w:t>
      </w:r>
      <w:r>
        <w:t>SEIA/Vote Solar Opening Brief</w:t>
      </w:r>
      <w:r w:rsidR="000B3DA8">
        <w:t xml:space="preserve"> at 8</w:t>
      </w:r>
      <w:r w:rsidR="00827602">
        <w:noBreakHyphen/>
      </w:r>
      <w:r>
        <w:t>9.</w:t>
      </w:r>
    </w:p>
  </w:footnote>
  <w:footnote w:id="41">
    <w:p w14:paraId="52403BC4" w14:textId="4CC4C503" w:rsidR="00301A61" w:rsidRDefault="00301A61" w:rsidP="00301A61">
      <w:pPr>
        <w:pStyle w:val="FootnoteText"/>
      </w:pPr>
      <w:r>
        <w:rPr>
          <w:rStyle w:val="FootnoteReference"/>
        </w:rPr>
        <w:footnoteRef/>
      </w:r>
      <w:r>
        <w:t xml:space="preserve"> </w:t>
      </w:r>
      <w:r w:rsidR="00A97A65">
        <w:t xml:space="preserve"> </w:t>
      </w:r>
      <w:r>
        <w:t>SEIA/Vote Solar</w:t>
      </w:r>
      <w:r w:rsidR="000B3DA8">
        <w:t xml:space="preserve"> at 1</w:t>
      </w:r>
      <w:r>
        <w:t>0 citing Lookback Study</w:t>
      </w:r>
      <w:r w:rsidR="000B3DA8">
        <w:t xml:space="preserve"> at 6</w:t>
      </w:r>
      <w:r>
        <w:t xml:space="preserve">2 and </w:t>
      </w:r>
      <w:r w:rsidR="007F6676">
        <w:t>Table 3</w:t>
      </w:r>
      <w:r w:rsidR="00827602">
        <w:noBreakHyphen/>
      </w:r>
      <w:r>
        <w:t>1.</w:t>
      </w:r>
    </w:p>
  </w:footnote>
  <w:footnote w:id="42">
    <w:p w14:paraId="46394A36" w14:textId="6DBE7655" w:rsidR="004B15B8" w:rsidRDefault="004B15B8" w:rsidP="004B15B8">
      <w:pPr>
        <w:pStyle w:val="FootnoteText"/>
      </w:pPr>
      <w:r>
        <w:rPr>
          <w:rStyle w:val="FootnoteReference"/>
        </w:rPr>
        <w:footnoteRef/>
      </w:r>
      <w:r>
        <w:t xml:space="preserve"> </w:t>
      </w:r>
      <w:r w:rsidR="00A97A65">
        <w:t xml:space="preserve"> </w:t>
      </w:r>
      <w:r>
        <w:t>CUE Opening Brief</w:t>
      </w:r>
      <w:r w:rsidR="000B3DA8">
        <w:t xml:space="preserve"> at 6</w:t>
      </w:r>
      <w:r>
        <w:t xml:space="preserve"> citing CUE</w:t>
      </w:r>
      <w:r w:rsidR="00827602">
        <w:noBreakHyphen/>
      </w:r>
      <w:r>
        <w:t>02</w:t>
      </w:r>
      <w:r w:rsidR="000B3DA8">
        <w:t xml:space="preserve"> at 7</w:t>
      </w:r>
      <w:r>
        <w:t>.</w:t>
      </w:r>
    </w:p>
  </w:footnote>
  <w:footnote w:id="43">
    <w:p w14:paraId="1EE0C0CD" w14:textId="1B0B2970" w:rsidR="004B15B8" w:rsidRDefault="004B15B8" w:rsidP="004B15B8">
      <w:pPr>
        <w:pStyle w:val="FootnoteText"/>
      </w:pPr>
      <w:r>
        <w:rPr>
          <w:rStyle w:val="FootnoteReference"/>
        </w:rPr>
        <w:footnoteRef/>
      </w:r>
      <w:r>
        <w:t xml:space="preserve"> </w:t>
      </w:r>
      <w:r w:rsidR="00A97A65">
        <w:t xml:space="preserve"> </w:t>
      </w:r>
      <w:r>
        <w:t>Joint Utilities Opening Brief</w:t>
      </w:r>
      <w:r w:rsidR="000B3DA8">
        <w:t xml:space="preserve"> at 2</w:t>
      </w:r>
      <w:r>
        <w:t>2.</w:t>
      </w:r>
    </w:p>
  </w:footnote>
  <w:footnote w:id="44">
    <w:p w14:paraId="2F514161" w14:textId="12F5D649" w:rsidR="004B15B8" w:rsidRDefault="004B15B8" w:rsidP="004B15B8">
      <w:pPr>
        <w:pStyle w:val="FootnoteText"/>
      </w:pPr>
      <w:r>
        <w:rPr>
          <w:rStyle w:val="FootnoteReference"/>
        </w:rPr>
        <w:footnoteRef/>
      </w:r>
      <w:r>
        <w:t xml:space="preserve"> </w:t>
      </w:r>
      <w:r w:rsidR="00A97A65">
        <w:t xml:space="preserve"> </w:t>
      </w:r>
      <w:r>
        <w:t>CALSSA Opening Brief</w:t>
      </w:r>
      <w:r w:rsidR="000B3DA8">
        <w:t xml:space="preserve"> at 1</w:t>
      </w:r>
      <w:r>
        <w:t>8 citing to the CALSSA Reply Comments on the NEM</w:t>
      </w:r>
      <w:r w:rsidR="00827602">
        <w:noBreakHyphen/>
      </w:r>
      <w:r>
        <w:t>2.0 Lookback Study, February</w:t>
      </w:r>
      <w:r w:rsidR="00BF4120">
        <w:t> </w:t>
      </w:r>
      <w:r>
        <w:t>16,</w:t>
      </w:r>
      <w:r w:rsidR="00BF4120">
        <w:t> </w:t>
      </w:r>
      <w:r>
        <w:t>2021</w:t>
      </w:r>
      <w:r w:rsidR="00BF4120">
        <w:t>,</w:t>
      </w:r>
      <w:r w:rsidR="000B3DA8">
        <w:t xml:space="preserve"> at 1</w:t>
      </w:r>
      <w:r>
        <w:t>.</w:t>
      </w:r>
    </w:p>
  </w:footnote>
  <w:footnote w:id="45">
    <w:p w14:paraId="1C9E8AE0" w14:textId="0D9ADD08" w:rsidR="00C022D3" w:rsidRDefault="00C022D3" w:rsidP="00C022D3">
      <w:pPr>
        <w:pStyle w:val="FootnoteText"/>
      </w:pPr>
      <w:r>
        <w:rPr>
          <w:rStyle w:val="FootnoteReference"/>
        </w:rPr>
        <w:footnoteRef/>
      </w:r>
      <w:r>
        <w:t xml:space="preserve"> </w:t>
      </w:r>
      <w:r w:rsidR="00A97A65">
        <w:t xml:space="preserve"> </w:t>
      </w:r>
      <w:r>
        <w:t>Joint Utilities Opening Brief</w:t>
      </w:r>
      <w:r w:rsidR="000B3DA8">
        <w:t xml:space="preserve"> at 2</w:t>
      </w:r>
      <w:r>
        <w:t xml:space="preserve">2 at </w:t>
      </w:r>
      <w:r w:rsidR="0046297A">
        <w:t>footnote </w:t>
      </w:r>
      <w:r>
        <w:t>71 citing PCF</w:t>
      </w:r>
      <w:r w:rsidR="00827602">
        <w:noBreakHyphen/>
      </w:r>
      <w:r>
        <w:t>15 (the Lookback Study)</w:t>
      </w:r>
      <w:r w:rsidR="000B3DA8">
        <w:t xml:space="preserve"> at 1</w:t>
      </w:r>
      <w:r w:rsidRPr="0012458A">
        <w:t>04</w:t>
      </w:r>
      <w:r w:rsidR="00827602">
        <w:noBreakHyphen/>
      </w:r>
      <w:r w:rsidRPr="0012458A">
        <w:t>140.</w:t>
      </w:r>
    </w:p>
  </w:footnote>
  <w:footnote w:id="46">
    <w:p w14:paraId="156E3A30" w14:textId="54D9795D" w:rsidR="00C022D3" w:rsidRDefault="00C022D3" w:rsidP="00C022D3">
      <w:pPr>
        <w:pStyle w:val="FootnoteText"/>
      </w:pPr>
      <w:r>
        <w:rPr>
          <w:rStyle w:val="FootnoteReference"/>
        </w:rPr>
        <w:footnoteRef/>
      </w:r>
      <w:r w:rsidR="00A97A65">
        <w:t xml:space="preserve"> </w:t>
      </w:r>
      <w:r>
        <w:t xml:space="preserve"> Joint Utilities Opening Brief</w:t>
      </w:r>
      <w:r w:rsidR="000B3DA8">
        <w:t xml:space="preserve"> at 2</w:t>
      </w:r>
      <w:r>
        <w:t xml:space="preserve">2 at </w:t>
      </w:r>
      <w:r w:rsidR="0046297A">
        <w:t>footnote </w:t>
      </w:r>
      <w:r>
        <w:t>71 citing PCF</w:t>
      </w:r>
      <w:r w:rsidR="00827602">
        <w:noBreakHyphen/>
      </w:r>
      <w:r>
        <w:t>15 (the Lookback Study)</w:t>
      </w:r>
      <w:r w:rsidR="006428E9">
        <w:t xml:space="preserve">, </w:t>
      </w:r>
      <w:r w:rsidR="00123055">
        <w:t>Appendix B</w:t>
      </w:r>
      <w:r w:rsidR="000B3DA8">
        <w:t xml:space="preserve"> at 1</w:t>
      </w:r>
      <w:r w:rsidRPr="0012458A">
        <w:t>04</w:t>
      </w:r>
      <w:r w:rsidR="00827602">
        <w:noBreakHyphen/>
      </w:r>
      <w:r w:rsidRPr="0012458A">
        <w:t>140</w:t>
      </w:r>
      <w:r>
        <w:t>.</w:t>
      </w:r>
    </w:p>
  </w:footnote>
  <w:footnote w:id="47">
    <w:p w14:paraId="6B00F8B5" w14:textId="4CF4BBFD" w:rsidR="00C022D3" w:rsidRDefault="00C022D3" w:rsidP="00C022D3">
      <w:pPr>
        <w:pStyle w:val="FootnoteText"/>
      </w:pPr>
      <w:r>
        <w:rPr>
          <w:rStyle w:val="FootnoteReference"/>
        </w:rPr>
        <w:footnoteRef/>
      </w:r>
      <w:r>
        <w:t xml:space="preserve"> </w:t>
      </w:r>
      <w:r w:rsidR="00A97A65">
        <w:t xml:space="preserve"> </w:t>
      </w:r>
      <w:r>
        <w:t>Joint Utilities Opening Brief</w:t>
      </w:r>
      <w:r w:rsidR="000B3DA8">
        <w:t xml:space="preserve"> at 2</w:t>
      </w:r>
      <w:r>
        <w:t xml:space="preserve">2 at </w:t>
      </w:r>
      <w:r w:rsidR="0046297A">
        <w:t>footnote </w:t>
      </w:r>
      <w:r>
        <w:t>71 citing PCF</w:t>
      </w:r>
      <w:r w:rsidR="00827602">
        <w:noBreakHyphen/>
      </w:r>
      <w:r>
        <w:t>15 (the Lookback Study)</w:t>
      </w:r>
      <w:r w:rsidR="006428E9">
        <w:t xml:space="preserve">, </w:t>
      </w:r>
      <w:r w:rsidR="00123055">
        <w:t>Appendix B</w:t>
      </w:r>
      <w:r w:rsidR="000B3DA8">
        <w:t xml:space="preserve"> at 1</w:t>
      </w:r>
      <w:r w:rsidRPr="0012458A">
        <w:t>04</w:t>
      </w:r>
      <w:r w:rsidR="00827602">
        <w:noBreakHyphen/>
      </w:r>
      <w:r w:rsidRPr="0012458A">
        <w:t>140.</w:t>
      </w:r>
    </w:p>
  </w:footnote>
  <w:footnote w:id="48">
    <w:p w14:paraId="3E6B014F" w14:textId="34C7A499" w:rsidR="005C7E12" w:rsidRDefault="005C7E12">
      <w:pPr>
        <w:pStyle w:val="FootnoteText"/>
      </w:pPr>
      <w:r>
        <w:rPr>
          <w:rStyle w:val="FootnoteReference"/>
        </w:rPr>
        <w:footnoteRef/>
      </w:r>
      <w:r>
        <w:t xml:space="preserve"> Ivy Energy Opening Comments to November</w:t>
      </w:r>
      <w:r w:rsidR="00FC68B8">
        <w:t> </w:t>
      </w:r>
      <w:r>
        <w:t>10,</w:t>
      </w:r>
      <w:r w:rsidR="00FC68B8">
        <w:t> </w:t>
      </w:r>
      <w:r>
        <w:t>2022 Proposed Decision at</w:t>
      </w:r>
      <w:r w:rsidR="004A4E91">
        <w:t> </w:t>
      </w:r>
      <w:r>
        <w:t>7 citing IVY</w:t>
      </w:r>
      <w:r w:rsidR="00C53370">
        <w:noBreakHyphen/>
      </w:r>
      <w:r>
        <w:t>001 at</w:t>
      </w:r>
      <w:r w:rsidR="005816E2">
        <w:t> </w:t>
      </w:r>
      <w:r>
        <w:t>6.</w:t>
      </w:r>
    </w:p>
  </w:footnote>
  <w:footnote w:id="49">
    <w:p w14:paraId="17F71C3B" w14:textId="23CB0C8C" w:rsidR="0033432F" w:rsidRDefault="0033432F">
      <w:pPr>
        <w:pStyle w:val="FootnoteText"/>
      </w:pPr>
      <w:r>
        <w:rPr>
          <w:rStyle w:val="FootnoteReference"/>
        </w:rPr>
        <w:footnoteRef/>
      </w:r>
      <w:r>
        <w:t xml:space="preserve"> </w:t>
      </w:r>
      <w:r w:rsidR="00A97A65">
        <w:t xml:space="preserve"> </w:t>
      </w:r>
      <w:r>
        <w:t>Lookback Study</w:t>
      </w:r>
      <w:r w:rsidR="000B3DA8">
        <w:t xml:space="preserve"> at 4</w:t>
      </w:r>
      <w:r>
        <w:t>1</w:t>
      </w:r>
      <w:r w:rsidR="00827602">
        <w:noBreakHyphen/>
      </w:r>
      <w:r>
        <w:t>42.</w:t>
      </w:r>
    </w:p>
  </w:footnote>
  <w:footnote w:id="50">
    <w:p w14:paraId="11DE8777" w14:textId="716C0BBE" w:rsidR="0033432F" w:rsidRDefault="0033432F">
      <w:pPr>
        <w:pStyle w:val="FootnoteText"/>
      </w:pPr>
      <w:r>
        <w:rPr>
          <w:rStyle w:val="FootnoteReference"/>
        </w:rPr>
        <w:footnoteRef/>
      </w:r>
      <w:r>
        <w:t xml:space="preserve"> </w:t>
      </w:r>
      <w:r w:rsidR="00A97A65">
        <w:t xml:space="preserve"> </w:t>
      </w:r>
      <w:r>
        <w:t>Lookback Study</w:t>
      </w:r>
      <w:r w:rsidR="000B3DA8">
        <w:t xml:space="preserve"> at 5</w:t>
      </w:r>
      <w:r>
        <w:t>6.</w:t>
      </w:r>
    </w:p>
  </w:footnote>
  <w:footnote w:id="51">
    <w:p w14:paraId="3D18B2BA" w14:textId="700B065F" w:rsidR="00FA7C4A" w:rsidRDefault="00FA7C4A" w:rsidP="00FA7C4A">
      <w:pPr>
        <w:pStyle w:val="FootnoteText"/>
      </w:pPr>
      <w:r>
        <w:rPr>
          <w:rStyle w:val="FootnoteReference"/>
        </w:rPr>
        <w:footnoteRef/>
      </w:r>
      <w:r>
        <w:t xml:space="preserve"> </w:t>
      </w:r>
      <w:r w:rsidR="00A97A65">
        <w:t xml:space="preserve"> </w:t>
      </w:r>
      <w:r>
        <w:t>SEIA/Vote Solar Opening Brief</w:t>
      </w:r>
      <w:r w:rsidR="000B3DA8">
        <w:t xml:space="preserve"> at 8</w:t>
      </w:r>
      <w:r>
        <w:t>.</w:t>
      </w:r>
    </w:p>
  </w:footnote>
  <w:footnote w:id="52">
    <w:p w14:paraId="139E0A49" w14:textId="7D5D3D5F" w:rsidR="00571EE4" w:rsidRDefault="00571EE4" w:rsidP="00571EE4">
      <w:pPr>
        <w:pStyle w:val="FootnoteText"/>
      </w:pPr>
      <w:r>
        <w:rPr>
          <w:rStyle w:val="FootnoteReference"/>
        </w:rPr>
        <w:footnoteRef/>
      </w:r>
      <w:r>
        <w:t xml:space="preserve"> </w:t>
      </w:r>
      <w:r w:rsidR="00A97A65">
        <w:t xml:space="preserve"> </w:t>
      </w:r>
      <w:r w:rsidR="009355F1">
        <w:t>Cal Advoc</w:t>
      </w:r>
      <w:r>
        <w:t>ates Opening Brief</w:t>
      </w:r>
      <w:r w:rsidR="000B3DA8">
        <w:t xml:space="preserve"> at 7</w:t>
      </w:r>
      <w:r>
        <w:t>.</w:t>
      </w:r>
    </w:p>
  </w:footnote>
  <w:footnote w:id="53">
    <w:p w14:paraId="7E977EB3" w14:textId="5017F6E0" w:rsidR="00571EE4" w:rsidRDefault="00571EE4" w:rsidP="00571EE4">
      <w:pPr>
        <w:pStyle w:val="FootnoteText"/>
      </w:pPr>
      <w:r>
        <w:rPr>
          <w:rStyle w:val="FootnoteReference"/>
        </w:rPr>
        <w:footnoteRef/>
      </w:r>
      <w:r>
        <w:t xml:space="preserve"> </w:t>
      </w:r>
      <w:r w:rsidR="00A97A65">
        <w:t xml:space="preserve"> </w:t>
      </w:r>
      <w:r w:rsidR="009355F1">
        <w:t>Cal Advoc</w:t>
      </w:r>
      <w:r>
        <w:t>ates Opening Brief</w:t>
      </w:r>
      <w:r w:rsidR="000B3DA8">
        <w:t xml:space="preserve"> at 6</w:t>
      </w:r>
      <w:r>
        <w:t xml:space="preserve"> citing </w:t>
      </w:r>
      <w:r w:rsidR="00D7070E">
        <w:t>PAO</w:t>
      </w:r>
      <w:r w:rsidR="00827602">
        <w:noBreakHyphen/>
      </w:r>
      <w:r>
        <w:t>03</w:t>
      </w:r>
      <w:r w:rsidR="000B3DA8">
        <w:t xml:space="preserve"> at 2</w:t>
      </w:r>
      <w:r w:rsidR="00827602">
        <w:noBreakHyphen/>
      </w:r>
      <w:r>
        <w:t>32.</w:t>
      </w:r>
    </w:p>
  </w:footnote>
  <w:footnote w:id="54">
    <w:p w14:paraId="30A829C9" w14:textId="775A132F" w:rsidR="00A96348" w:rsidRDefault="00A96348">
      <w:pPr>
        <w:pStyle w:val="FootnoteText"/>
      </w:pPr>
      <w:r>
        <w:rPr>
          <w:rStyle w:val="FootnoteReference"/>
        </w:rPr>
        <w:footnoteRef/>
      </w:r>
      <w:r>
        <w:t xml:space="preserve"> </w:t>
      </w:r>
      <w:r w:rsidR="00A97A65">
        <w:t xml:space="preserve"> </w:t>
      </w:r>
      <w:r>
        <w:t>PAO</w:t>
      </w:r>
      <w:r w:rsidR="00827602">
        <w:noBreakHyphen/>
      </w:r>
      <w:r>
        <w:t>03</w:t>
      </w:r>
      <w:r w:rsidR="000B3DA8">
        <w:t xml:space="preserve"> at 2</w:t>
      </w:r>
      <w:r w:rsidR="00827602">
        <w:noBreakHyphen/>
      </w:r>
      <w:r>
        <w:t>17.</w:t>
      </w:r>
    </w:p>
  </w:footnote>
  <w:footnote w:id="55">
    <w:p w14:paraId="7A1ED497" w14:textId="3C6AB552" w:rsidR="000D5697" w:rsidRDefault="000D5697" w:rsidP="000D5697">
      <w:pPr>
        <w:pStyle w:val="FootnoteText"/>
      </w:pPr>
      <w:r>
        <w:rPr>
          <w:rStyle w:val="FootnoteReference"/>
        </w:rPr>
        <w:footnoteRef/>
      </w:r>
      <w:r>
        <w:t xml:space="preserve"> </w:t>
      </w:r>
      <w:r w:rsidR="00A97A65">
        <w:t xml:space="preserve"> </w:t>
      </w:r>
      <w:r>
        <w:t>Joint Utilities Opening Brief</w:t>
      </w:r>
      <w:r w:rsidR="000B3DA8">
        <w:t xml:space="preserve"> at 2</w:t>
      </w:r>
      <w:r>
        <w:t>3 citing PCF</w:t>
      </w:r>
      <w:r w:rsidR="00827602">
        <w:noBreakHyphen/>
      </w:r>
      <w:r>
        <w:t xml:space="preserve">15 (the Lookback Study) at </w:t>
      </w:r>
      <w:r w:rsidR="007F6676">
        <w:t>Table 5</w:t>
      </w:r>
      <w:r w:rsidR="00827602">
        <w:noBreakHyphen/>
      </w:r>
      <w:r>
        <w:t>1.  Utilities note the Table is in levelized values whereas in nominal dollars, the impact is likely over $20</w:t>
      </w:r>
      <w:r w:rsidR="002268EB">
        <w:t> billion</w:t>
      </w:r>
      <w:r>
        <w:t>.</w:t>
      </w:r>
      <w:r w:rsidR="00E72DF7">
        <w:t xml:space="preserve">  </w:t>
      </w:r>
      <w:r w:rsidR="00091B46">
        <w:t>(</w:t>
      </w:r>
      <w:r w:rsidR="00E72DF7" w:rsidRPr="00F93066">
        <w:rPr>
          <w:i/>
          <w:iCs/>
        </w:rPr>
        <w:t>See also</w:t>
      </w:r>
      <w:r w:rsidR="00E72DF7">
        <w:t xml:space="preserve"> Joint Utilities Reply Brief</w:t>
      </w:r>
      <w:r w:rsidR="000B3DA8">
        <w:t xml:space="preserve"> at 5</w:t>
      </w:r>
      <w:r w:rsidR="00E72DF7">
        <w:t xml:space="preserve"> explaining the difference between the Lookback Study $1</w:t>
      </w:r>
      <w:r w:rsidR="002268EB">
        <w:t> billion</w:t>
      </w:r>
      <w:r w:rsidR="00E72DF7">
        <w:t xml:space="preserve"> estimate of the cost shift (Lookback Study at </w:t>
      </w:r>
      <w:r w:rsidR="007F6676">
        <w:t>Table 5</w:t>
      </w:r>
      <w:r w:rsidR="00827602">
        <w:noBreakHyphen/>
      </w:r>
      <w:r w:rsidR="00E72DF7">
        <w:t>10) versus the Joint Utilities $3.4</w:t>
      </w:r>
      <w:r w:rsidR="002268EB">
        <w:t> billion</w:t>
      </w:r>
      <w:r w:rsidR="00E72DF7">
        <w:t xml:space="preserve"> estimate (IOU</w:t>
      </w:r>
      <w:r w:rsidR="00827602">
        <w:noBreakHyphen/>
      </w:r>
      <w:r w:rsidR="00E72DF7">
        <w:t>01</w:t>
      </w:r>
      <w:r w:rsidR="000B3DA8">
        <w:t xml:space="preserve"> at 6</w:t>
      </w:r>
      <w:r w:rsidR="00E72DF7">
        <w:t>4:3</w:t>
      </w:r>
      <w:r w:rsidR="00827602">
        <w:noBreakHyphen/>
      </w:r>
      <w:r w:rsidR="00E72DF7">
        <w:t>66:</w:t>
      </w:r>
      <w:r w:rsidR="00E72DF7" w:rsidRPr="0012458A">
        <w:t>11)</w:t>
      </w:r>
      <w:r w:rsidR="00131BAC" w:rsidRPr="00A943E5">
        <w:t>.</w:t>
      </w:r>
      <w:r w:rsidR="00091B46">
        <w:t>)</w:t>
      </w:r>
    </w:p>
  </w:footnote>
  <w:footnote w:id="56">
    <w:p w14:paraId="54AB2AF8" w14:textId="6DDF68D1" w:rsidR="003D2162" w:rsidRDefault="003D2162" w:rsidP="003D2162">
      <w:pPr>
        <w:pStyle w:val="FootnoteText"/>
      </w:pPr>
      <w:r>
        <w:rPr>
          <w:rStyle w:val="FootnoteReference"/>
        </w:rPr>
        <w:footnoteRef/>
      </w:r>
      <w:r>
        <w:t xml:space="preserve"> </w:t>
      </w:r>
      <w:r w:rsidR="00A97A65">
        <w:t xml:space="preserve"> </w:t>
      </w:r>
      <w:r>
        <w:t>IEPA Opening Brief</w:t>
      </w:r>
      <w:r w:rsidR="000B3DA8">
        <w:t xml:space="preserve"> at 3</w:t>
      </w:r>
      <w:r>
        <w:t xml:space="preserve"> citing PCF</w:t>
      </w:r>
      <w:r w:rsidR="00827602">
        <w:noBreakHyphen/>
      </w:r>
      <w:r>
        <w:t>15</w:t>
      </w:r>
      <w:r w:rsidR="000B3DA8">
        <w:t xml:space="preserve"> at 1</w:t>
      </w:r>
      <w:r>
        <w:t xml:space="preserve"> and 13 (the Lookback Study).</w:t>
      </w:r>
    </w:p>
  </w:footnote>
  <w:footnote w:id="57">
    <w:p w14:paraId="6BAAE242" w14:textId="5940847A" w:rsidR="0088102B" w:rsidRDefault="0088102B" w:rsidP="0088102B">
      <w:pPr>
        <w:pStyle w:val="FootnoteText"/>
      </w:pPr>
      <w:r>
        <w:rPr>
          <w:rStyle w:val="FootnoteReference"/>
        </w:rPr>
        <w:footnoteRef/>
      </w:r>
      <w:r>
        <w:t xml:space="preserve"> </w:t>
      </w:r>
      <w:r w:rsidR="00A97A65">
        <w:t xml:space="preserve"> </w:t>
      </w:r>
      <w:r>
        <w:t>TURN Opening Brief</w:t>
      </w:r>
      <w:r w:rsidR="000B3DA8">
        <w:t xml:space="preserve"> at 1</w:t>
      </w:r>
      <w:r>
        <w:t>5 citing TRN</w:t>
      </w:r>
      <w:r w:rsidR="00827602">
        <w:noBreakHyphen/>
      </w:r>
      <w:r>
        <w:t>01</w:t>
      </w:r>
      <w:r w:rsidR="000B3DA8">
        <w:t xml:space="preserve"> at 9</w:t>
      </w:r>
      <w:r>
        <w:t>.</w:t>
      </w:r>
    </w:p>
  </w:footnote>
  <w:footnote w:id="58">
    <w:p w14:paraId="15B6DEF0" w14:textId="558A6D97" w:rsidR="0088102B" w:rsidRDefault="0088102B" w:rsidP="0088102B">
      <w:pPr>
        <w:pStyle w:val="FootnoteText"/>
      </w:pPr>
      <w:r>
        <w:rPr>
          <w:rStyle w:val="FootnoteReference"/>
        </w:rPr>
        <w:footnoteRef/>
      </w:r>
      <w:r>
        <w:t xml:space="preserve"> </w:t>
      </w:r>
      <w:r w:rsidR="003361F0">
        <w:t xml:space="preserve"> </w:t>
      </w:r>
      <w:r>
        <w:t>TURN Opening Brief</w:t>
      </w:r>
      <w:r w:rsidR="000B3DA8">
        <w:t xml:space="preserve"> at 1</w:t>
      </w:r>
      <w:r>
        <w:t>5 citing TRN</w:t>
      </w:r>
      <w:r w:rsidR="00827602">
        <w:noBreakHyphen/>
      </w:r>
      <w:r>
        <w:t>01</w:t>
      </w:r>
      <w:r w:rsidR="000B3DA8">
        <w:t xml:space="preserve"> at 9</w:t>
      </w:r>
      <w:r>
        <w:t xml:space="preserve"> and Lookback Study</w:t>
      </w:r>
      <w:r w:rsidR="000B3DA8">
        <w:t xml:space="preserve"> at 1</w:t>
      </w:r>
      <w:r>
        <w:t xml:space="preserve">25 and </w:t>
      </w:r>
      <w:r w:rsidR="007F6676">
        <w:t>Table 5</w:t>
      </w:r>
      <w:r w:rsidR="00827602">
        <w:noBreakHyphen/>
      </w:r>
      <w:r>
        <w:t>1.</w:t>
      </w:r>
    </w:p>
  </w:footnote>
  <w:footnote w:id="59">
    <w:p w14:paraId="51A0B96F" w14:textId="7BAE32EB" w:rsidR="003269F8" w:rsidRDefault="003269F8" w:rsidP="003269F8">
      <w:pPr>
        <w:pStyle w:val="FootnoteText"/>
      </w:pPr>
      <w:r>
        <w:rPr>
          <w:rStyle w:val="FootnoteReference"/>
        </w:rPr>
        <w:footnoteRef/>
      </w:r>
      <w:r>
        <w:t xml:space="preserve"> </w:t>
      </w:r>
      <w:r w:rsidR="003361F0">
        <w:t xml:space="preserve"> </w:t>
      </w:r>
      <w:r>
        <w:t>IEPA Reply Brief</w:t>
      </w:r>
      <w:r w:rsidR="000B3DA8">
        <w:t xml:space="preserve"> at 4</w:t>
      </w:r>
      <w:r>
        <w:t>.</w:t>
      </w:r>
    </w:p>
  </w:footnote>
  <w:footnote w:id="60">
    <w:p w14:paraId="279B23E2" w14:textId="297A2AF9" w:rsidR="00721883" w:rsidRDefault="00721883" w:rsidP="00721883">
      <w:pPr>
        <w:pStyle w:val="FootnoteText"/>
      </w:pPr>
      <w:r>
        <w:rPr>
          <w:rStyle w:val="FootnoteReference"/>
        </w:rPr>
        <w:footnoteRef/>
      </w:r>
      <w:r>
        <w:t xml:space="preserve"> </w:t>
      </w:r>
      <w:r w:rsidR="003361F0">
        <w:t xml:space="preserve"> </w:t>
      </w:r>
      <w:r>
        <w:t>PCF Opening Brief</w:t>
      </w:r>
      <w:r w:rsidR="000B3DA8">
        <w:t xml:space="preserve"> at 1</w:t>
      </w:r>
      <w:r>
        <w:t>5 citing PCF 24</w:t>
      </w:r>
      <w:r w:rsidR="000B3DA8">
        <w:t xml:space="preserve"> at 4</w:t>
      </w:r>
      <w:r>
        <w:t>.</w:t>
      </w:r>
    </w:p>
  </w:footnote>
  <w:footnote w:id="61">
    <w:p w14:paraId="0936A8A1" w14:textId="6AC54008" w:rsidR="00721883" w:rsidRDefault="00721883" w:rsidP="00721883">
      <w:pPr>
        <w:pStyle w:val="FootnoteText"/>
      </w:pPr>
      <w:r>
        <w:rPr>
          <w:rStyle w:val="FootnoteReference"/>
        </w:rPr>
        <w:footnoteRef/>
      </w:r>
      <w:r>
        <w:t xml:space="preserve"> </w:t>
      </w:r>
      <w:r w:rsidR="003361F0">
        <w:t xml:space="preserve"> </w:t>
      </w:r>
      <w:r>
        <w:t>PCF Opening Brief</w:t>
      </w:r>
      <w:r w:rsidR="000B3DA8">
        <w:t xml:space="preserve"> at 1</w:t>
      </w:r>
      <w:r>
        <w:t>5 citing PCF</w:t>
      </w:r>
      <w:r w:rsidR="00827602">
        <w:noBreakHyphen/>
      </w:r>
      <w:r>
        <w:t>15</w:t>
      </w:r>
      <w:r w:rsidR="000B3DA8">
        <w:t xml:space="preserve"> at 9</w:t>
      </w:r>
      <w:r>
        <w:t>6 (the Lookback Study).</w:t>
      </w:r>
    </w:p>
  </w:footnote>
  <w:footnote w:id="62">
    <w:p w14:paraId="5B21780F" w14:textId="0B4D73BE" w:rsidR="00721883" w:rsidRDefault="00721883" w:rsidP="00721883">
      <w:pPr>
        <w:pStyle w:val="FootnoteText"/>
      </w:pPr>
      <w:r>
        <w:rPr>
          <w:rStyle w:val="FootnoteReference"/>
        </w:rPr>
        <w:footnoteRef/>
      </w:r>
      <w:r>
        <w:t xml:space="preserve"> </w:t>
      </w:r>
      <w:r w:rsidR="003361F0">
        <w:t xml:space="preserve"> </w:t>
      </w:r>
      <w:r>
        <w:t>PCF Opening Brief</w:t>
      </w:r>
      <w:r w:rsidR="000B3DA8">
        <w:t xml:space="preserve"> at 1</w:t>
      </w:r>
      <w:r>
        <w:t>6 citing PCF</w:t>
      </w:r>
      <w:r w:rsidR="00827602">
        <w:noBreakHyphen/>
      </w:r>
      <w:r>
        <w:t>15</w:t>
      </w:r>
      <w:r w:rsidR="000B3DA8">
        <w:t xml:space="preserve"> at 5</w:t>
      </w:r>
      <w:r>
        <w:t>6</w:t>
      </w:r>
      <w:r w:rsidR="00827602">
        <w:noBreakHyphen/>
      </w:r>
      <w:r>
        <w:t>57 (the Lookback Study).</w:t>
      </w:r>
    </w:p>
  </w:footnote>
  <w:footnote w:id="63">
    <w:p w14:paraId="2E07BD6E" w14:textId="12A39BE8" w:rsidR="00721883" w:rsidRDefault="00721883" w:rsidP="00721883">
      <w:pPr>
        <w:pStyle w:val="FootnoteText"/>
      </w:pPr>
      <w:r>
        <w:rPr>
          <w:rStyle w:val="FootnoteReference"/>
        </w:rPr>
        <w:footnoteRef/>
      </w:r>
      <w:r>
        <w:t xml:space="preserve"> </w:t>
      </w:r>
      <w:r w:rsidR="003361F0">
        <w:t xml:space="preserve"> </w:t>
      </w:r>
      <w:r>
        <w:t>Joint Utilities Reply Brief</w:t>
      </w:r>
      <w:r w:rsidR="000B3DA8">
        <w:t xml:space="preserve"> at 4</w:t>
      </w:r>
      <w:r>
        <w:t xml:space="preserve"> citing PCF Opening Brief</w:t>
      </w:r>
      <w:r w:rsidR="000B3DA8">
        <w:t xml:space="preserve"> at 8</w:t>
      </w:r>
      <w:r>
        <w:t>.</w:t>
      </w:r>
    </w:p>
  </w:footnote>
  <w:footnote w:id="64">
    <w:p w14:paraId="79FAE09A" w14:textId="3F288809" w:rsidR="00721883" w:rsidRDefault="00721883" w:rsidP="00721883">
      <w:pPr>
        <w:pStyle w:val="FootnoteText"/>
      </w:pPr>
      <w:r>
        <w:rPr>
          <w:rStyle w:val="FootnoteReference"/>
        </w:rPr>
        <w:footnoteRef/>
      </w:r>
      <w:r>
        <w:t xml:space="preserve"> </w:t>
      </w:r>
      <w:r w:rsidR="003361F0">
        <w:t xml:space="preserve"> </w:t>
      </w:r>
      <w:r>
        <w:t>Joint Utilities Reply Brief</w:t>
      </w:r>
      <w:r w:rsidR="000B3DA8">
        <w:t xml:space="preserve"> at 5</w:t>
      </w:r>
      <w:r>
        <w:t xml:space="preserve"> citing IOU</w:t>
      </w:r>
      <w:r w:rsidR="00827602">
        <w:noBreakHyphen/>
      </w:r>
      <w:r>
        <w:t>01</w:t>
      </w:r>
      <w:r w:rsidR="000B3DA8">
        <w:t xml:space="preserve"> at 6</w:t>
      </w:r>
      <w:r>
        <w:t>6:3</w:t>
      </w:r>
      <w:r w:rsidR="00827602">
        <w:noBreakHyphen/>
      </w:r>
      <w:r>
        <w:t>6, 66:12</w:t>
      </w:r>
      <w:r w:rsidR="00827602">
        <w:noBreakHyphen/>
      </w:r>
      <w:r>
        <w:t>67:5, 66:7</w:t>
      </w:r>
      <w:r w:rsidR="00827602">
        <w:noBreakHyphen/>
      </w:r>
      <w:r>
        <w:t>11, and 67:6</w:t>
      </w:r>
      <w:r w:rsidR="00827602">
        <w:noBreakHyphen/>
      </w:r>
      <w:r>
        <w:t>68:4.</w:t>
      </w:r>
    </w:p>
  </w:footnote>
  <w:footnote w:id="65">
    <w:p w14:paraId="74B30419" w14:textId="05F179BF" w:rsidR="00361CA8" w:rsidRDefault="00361CA8">
      <w:pPr>
        <w:pStyle w:val="FootnoteText"/>
      </w:pPr>
      <w:r>
        <w:rPr>
          <w:rStyle w:val="FootnoteReference"/>
        </w:rPr>
        <w:footnoteRef/>
      </w:r>
      <w:r>
        <w:t xml:space="preserve"> </w:t>
      </w:r>
      <w:r w:rsidR="003361F0">
        <w:t xml:space="preserve"> </w:t>
      </w:r>
      <w:r w:rsidR="009355F1">
        <w:t>Cal Advoc</w:t>
      </w:r>
      <w:r>
        <w:t>ates Opening Brief</w:t>
      </w:r>
      <w:r w:rsidR="000B3DA8">
        <w:t xml:space="preserve"> at 7</w:t>
      </w:r>
      <w:r>
        <w:t>, citing the Lookback Study</w:t>
      </w:r>
      <w:r w:rsidR="000B3DA8">
        <w:t xml:space="preserve"> at 1</w:t>
      </w:r>
      <w:r>
        <w:t>2.</w:t>
      </w:r>
    </w:p>
  </w:footnote>
  <w:footnote w:id="66">
    <w:p w14:paraId="28876444" w14:textId="54C29170" w:rsidR="00721883" w:rsidRDefault="00721883" w:rsidP="00721883">
      <w:pPr>
        <w:pStyle w:val="FootnoteText"/>
      </w:pPr>
      <w:r>
        <w:rPr>
          <w:rStyle w:val="FootnoteReference"/>
        </w:rPr>
        <w:footnoteRef/>
      </w:r>
      <w:r>
        <w:t xml:space="preserve"> </w:t>
      </w:r>
      <w:r w:rsidR="003361F0">
        <w:t xml:space="preserve"> </w:t>
      </w:r>
      <w:r>
        <w:t>Joint Utilities Reply Brief</w:t>
      </w:r>
      <w:r w:rsidR="000B3DA8">
        <w:t xml:space="preserve"> at 4</w:t>
      </w:r>
      <w:r w:rsidR="00827602">
        <w:noBreakHyphen/>
      </w:r>
      <w:r>
        <w:t xml:space="preserve">5, </w:t>
      </w:r>
      <w:r w:rsidR="0046297A">
        <w:t>footnote </w:t>
      </w:r>
      <w:r>
        <w:t xml:space="preserve">9 citing the Commission’s </w:t>
      </w:r>
      <w:r w:rsidR="00BA1EAE">
        <w:rPr>
          <w:i/>
          <w:iCs/>
        </w:rPr>
        <w:t>“</w:t>
      </w:r>
      <w:r w:rsidRPr="0039508B">
        <w:rPr>
          <w:i/>
          <w:iCs/>
        </w:rPr>
        <w:t>Utility Costs and Affordability of the Grid of the Future</w:t>
      </w:r>
      <w:r w:rsidR="00555CC0">
        <w:rPr>
          <w:i/>
          <w:iCs/>
        </w:rPr>
        <w:t xml:space="preserve">:  </w:t>
      </w:r>
      <w:r w:rsidRPr="0039508B">
        <w:rPr>
          <w:i/>
          <w:iCs/>
        </w:rPr>
        <w:t>An Evaluation of Electric Costs, Rates, and Equity Issues</w:t>
      </w:r>
      <w:r w:rsidR="00BA1EAE">
        <w:rPr>
          <w:i/>
          <w:iCs/>
        </w:rPr>
        <w:t>”</w:t>
      </w:r>
      <w:r>
        <w:t xml:space="preserve"> </w:t>
      </w:r>
      <w:r w:rsidR="00296E56">
        <w:t>(Affordability Report)</w:t>
      </w:r>
      <w:r w:rsidR="000B3DA8">
        <w:t xml:space="preserve"> at 2</w:t>
      </w:r>
      <w:r>
        <w:t>7</w:t>
      </w:r>
      <w:r w:rsidR="00827602">
        <w:noBreakHyphen/>
      </w:r>
      <w:r>
        <w:t xml:space="preserve">28. </w:t>
      </w:r>
      <w:r w:rsidR="003361F0">
        <w:t xml:space="preserve"> </w:t>
      </w:r>
      <w:r>
        <w:t>Available at</w:t>
      </w:r>
      <w:r w:rsidR="00555CC0">
        <w:t xml:space="preserve">:  </w:t>
      </w:r>
      <w:hyperlink r:id="rId1" w:history="1">
        <w:r w:rsidRPr="00837785">
          <w:rPr>
            <w:rStyle w:val="Hyperlink"/>
          </w:rPr>
          <w:t>https://www.cpuc.ca.gov/</w:t>
        </w:r>
        <w:r w:rsidR="00827602">
          <w:rPr>
            <w:rStyle w:val="Hyperlink"/>
          </w:rPr>
          <w:noBreakHyphen/>
        </w:r>
        <w:r w:rsidRPr="00837785">
          <w:rPr>
            <w:rStyle w:val="Hyperlink"/>
          </w:rPr>
          <w:t>/media/cpuc</w:t>
        </w:r>
        <w:r w:rsidR="00827602">
          <w:rPr>
            <w:rStyle w:val="Hyperlink"/>
          </w:rPr>
          <w:noBreakHyphen/>
        </w:r>
        <w:r w:rsidRPr="00837785">
          <w:rPr>
            <w:rStyle w:val="Hyperlink"/>
          </w:rPr>
          <w:t>website/divisions/energy</w:t>
        </w:r>
        <w:r w:rsidR="00827602">
          <w:rPr>
            <w:rStyle w:val="Hyperlink"/>
          </w:rPr>
          <w:noBreakHyphen/>
        </w:r>
        <w:r w:rsidRPr="00837785">
          <w:rPr>
            <w:rStyle w:val="Hyperlink"/>
          </w:rPr>
          <w:t>division/documents/en</w:t>
        </w:r>
        <w:r w:rsidR="00827602">
          <w:rPr>
            <w:rStyle w:val="Hyperlink"/>
          </w:rPr>
          <w:noBreakHyphen/>
        </w:r>
        <w:r w:rsidRPr="00837785">
          <w:rPr>
            <w:rStyle w:val="Hyperlink"/>
          </w:rPr>
          <w:t>banc/feb</w:t>
        </w:r>
        <w:r w:rsidR="00827602">
          <w:rPr>
            <w:rStyle w:val="Hyperlink"/>
          </w:rPr>
          <w:noBreakHyphen/>
        </w:r>
        <w:r w:rsidRPr="00837785">
          <w:rPr>
            <w:rStyle w:val="Hyperlink"/>
          </w:rPr>
          <w:t>2021</w:t>
        </w:r>
        <w:r w:rsidR="00827602">
          <w:rPr>
            <w:rStyle w:val="Hyperlink"/>
          </w:rPr>
          <w:noBreakHyphen/>
        </w:r>
        <w:r w:rsidRPr="00837785">
          <w:rPr>
            <w:rStyle w:val="Hyperlink"/>
          </w:rPr>
          <w:t>utility</w:t>
        </w:r>
        <w:r w:rsidR="00827602">
          <w:rPr>
            <w:rStyle w:val="Hyperlink"/>
          </w:rPr>
          <w:noBreakHyphen/>
        </w:r>
        <w:r w:rsidRPr="00837785">
          <w:rPr>
            <w:rStyle w:val="Hyperlink"/>
          </w:rPr>
          <w:t>costs</w:t>
        </w:r>
        <w:r w:rsidR="00827602">
          <w:rPr>
            <w:rStyle w:val="Hyperlink"/>
          </w:rPr>
          <w:noBreakHyphen/>
        </w:r>
        <w:r w:rsidRPr="00837785">
          <w:rPr>
            <w:rStyle w:val="Hyperlink"/>
          </w:rPr>
          <w:t>and</w:t>
        </w:r>
        <w:r w:rsidR="00827602">
          <w:rPr>
            <w:rStyle w:val="Hyperlink"/>
          </w:rPr>
          <w:noBreakHyphen/>
        </w:r>
        <w:r w:rsidRPr="00837785">
          <w:rPr>
            <w:rStyle w:val="Hyperlink"/>
          </w:rPr>
          <w:t>affordability</w:t>
        </w:r>
        <w:r w:rsidR="00827602">
          <w:rPr>
            <w:rStyle w:val="Hyperlink"/>
          </w:rPr>
          <w:noBreakHyphen/>
        </w:r>
        <w:r w:rsidRPr="00837785">
          <w:rPr>
            <w:rStyle w:val="Hyperlink"/>
          </w:rPr>
          <w:t>of</w:t>
        </w:r>
        <w:r w:rsidR="00827602">
          <w:rPr>
            <w:rStyle w:val="Hyperlink"/>
          </w:rPr>
          <w:noBreakHyphen/>
        </w:r>
        <w:r w:rsidRPr="00837785">
          <w:rPr>
            <w:rStyle w:val="Hyperlink"/>
          </w:rPr>
          <w:t>the</w:t>
        </w:r>
        <w:r w:rsidR="00827602">
          <w:rPr>
            <w:rStyle w:val="Hyperlink"/>
          </w:rPr>
          <w:noBreakHyphen/>
        </w:r>
        <w:r w:rsidRPr="00837785">
          <w:rPr>
            <w:rStyle w:val="Hyperlink"/>
          </w:rPr>
          <w:t>grid</w:t>
        </w:r>
        <w:r w:rsidR="00827602">
          <w:rPr>
            <w:rStyle w:val="Hyperlink"/>
          </w:rPr>
          <w:noBreakHyphen/>
        </w:r>
        <w:r w:rsidRPr="00837785">
          <w:rPr>
            <w:rStyle w:val="Hyperlink"/>
          </w:rPr>
          <w:t>of</w:t>
        </w:r>
        <w:r w:rsidR="00827602">
          <w:rPr>
            <w:rStyle w:val="Hyperlink"/>
          </w:rPr>
          <w:noBreakHyphen/>
        </w:r>
        <w:r w:rsidRPr="00837785">
          <w:rPr>
            <w:rStyle w:val="Hyperlink"/>
          </w:rPr>
          <w:t>the</w:t>
        </w:r>
        <w:r w:rsidR="00827602">
          <w:rPr>
            <w:rStyle w:val="Hyperlink"/>
          </w:rPr>
          <w:noBreakHyphen/>
        </w:r>
        <w:r w:rsidRPr="00837785">
          <w:rPr>
            <w:rStyle w:val="Hyperlink"/>
          </w:rPr>
          <w:t>future.pdf</w:t>
        </w:r>
      </w:hyperlink>
      <w:r w:rsidR="00076AF3">
        <w:rPr>
          <w:rStyle w:val="Hyperlink"/>
        </w:rPr>
        <w:t>.</w:t>
      </w:r>
    </w:p>
  </w:footnote>
  <w:footnote w:id="67">
    <w:p w14:paraId="57B50412" w14:textId="3D1AB032" w:rsidR="0080506F" w:rsidRDefault="0080506F">
      <w:pPr>
        <w:pStyle w:val="FootnoteText"/>
      </w:pPr>
      <w:r>
        <w:rPr>
          <w:rStyle w:val="FootnoteReference"/>
        </w:rPr>
        <w:footnoteRef/>
      </w:r>
      <w:r>
        <w:t xml:space="preserve"> </w:t>
      </w:r>
      <w:r w:rsidR="008E59BE">
        <w:t xml:space="preserve"> </w:t>
      </w:r>
      <w:r>
        <w:t>Affordability Report</w:t>
      </w:r>
      <w:r w:rsidR="000B3DA8">
        <w:t xml:space="preserve"> at 9</w:t>
      </w:r>
      <w:r w:rsidR="00827602">
        <w:noBreakHyphen/>
      </w:r>
      <w:r>
        <w:t>10.</w:t>
      </w:r>
    </w:p>
  </w:footnote>
  <w:footnote w:id="68">
    <w:p w14:paraId="1E6CA681" w14:textId="6ACC2396" w:rsidR="00B41F6A" w:rsidRDefault="00B41F6A" w:rsidP="00B41F6A">
      <w:pPr>
        <w:pStyle w:val="FootnoteText"/>
      </w:pPr>
      <w:r>
        <w:rPr>
          <w:rStyle w:val="FootnoteReference"/>
        </w:rPr>
        <w:footnoteRef/>
      </w:r>
      <w:r>
        <w:t xml:space="preserve"> </w:t>
      </w:r>
      <w:r w:rsidR="003361F0">
        <w:t xml:space="preserve"> </w:t>
      </w:r>
      <w:r>
        <w:t>PCF Opening Brief</w:t>
      </w:r>
      <w:r w:rsidR="000B3DA8">
        <w:t xml:space="preserve"> at 1</w:t>
      </w:r>
      <w:r>
        <w:t>3.</w:t>
      </w:r>
    </w:p>
  </w:footnote>
  <w:footnote w:id="69">
    <w:p w14:paraId="03FE7BA1" w14:textId="1BA815D6" w:rsidR="00943FB5" w:rsidRDefault="00943FB5" w:rsidP="00943FB5">
      <w:pPr>
        <w:pStyle w:val="FootnoteText"/>
      </w:pPr>
      <w:r>
        <w:rPr>
          <w:rStyle w:val="FootnoteReference"/>
        </w:rPr>
        <w:footnoteRef/>
      </w:r>
      <w:r>
        <w:t xml:space="preserve">  Walmart Opening Brief at 5 citing Lookback Study at 80</w:t>
      </w:r>
      <w:r w:rsidR="00827602">
        <w:noBreakHyphen/>
      </w:r>
      <w:r>
        <w:t>81 and Table 5</w:t>
      </w:r>
      <w:r w:rsidR="00827602">
        <w:noBreakHyphen/>
      </w:r>
      <w:r>
        <w:t>13.</w:t>
      </w:r>
    </w:p>
  </w:footnote>
  <w:footnote w:id="70">
    <w:p w14:paraId="54D97A92" w14:textId="1A5DB504" w:rsidR="00943FB5" w:rsidRDefault="00943FB5" w:rsidP="00943FB5">
      <w:pPr>
        <w:pStyle w:val="FootnoteText"/>
      </w:pPr>
      <w:r>
        <w:rPr>
          <w:rStyle w:val="FootnoteReference"/>
        </w:rPr>
        <w:footnoteRef/>
      </w:r>
      <w:r>
        <w:t xml:space="preserve">  SEIA/Vote Solar Opening Brief at 10 citing Lookback Study at Table 5</w:t>
      </w:r>
      <w:r w:rsidR="00827602">
        <w:noBreakHyphen/>
      </w:r>
      <w:r>
        <w:t>11.</w:t>
      </w:r>
    </w:p>
  </w:footnote>
  <w:footnote w:id="71">
    <w:p w14:paraId="36401DE3" w14:textId="12AE0B65" w:rsidR="00943FB5" w:rsidRDefault="00943FB5" w:rsidP="00943FB5">
      <w:pPr>
        <w:pStyle w:val="FootnoteText"/>
      </w:pPr>
      <w:r>
        <w:rPr>
          <w:rStyle w:val="FootnoteReference"/>
        </w:rPr>
        <w:footnoteRef/>
      </w:r>
      <w:r>
        <w:t xml:space="preserve">  </w:t>
      </w:r>
      <w:r w:rsidRPr="00BD4AC8">
        <w:rPr>
          <w:i/>
          <w:iCs/>
        </w:rPr>
        <w:t>See</w:t>
      </w:r>
      <w:r>
        <w:t xml:space="preserve"> Foundation </w:t>
      </w:r>
      <w:r>
        <w:t>Windpower Opening Brief at 6 and Agricultural Energy Consumers Association and Farm Bureau Reply Brief at 4.</w:t>
      </w:r>
    </w:p>
  </w:footnote>
  <w:footnote w:id="72">
    <w:p w14:paraId="51A1D329" w14:textId="16FF6E0F" w:rsidR="00412015" w:rsidRDefault="00412015" w:rsidP="002911BA">
      <w:pPr>
        <w:pStyle w:val="FootnoteText"/>
        <w:spacing w:before="240"/>
      </w:pPr>
      <w:r>
        <w:rPr>
          <w:rStyle w:val="FootnoteReference"/>
        </w:rPr>
        <w:footnoteRef/>
      </w:r>
      <w:r>
        <w:t xml:space="preserve"> </w:t>
      </w:r>
      <w:r w:rsidR="008E59BE">
        <w:t xml:space="preserve"> </w:t>
      </w:r>
      <w:r>
        <w:t xml:space="preserve">The RIM results for wind resources are questionable as these results include residential and other customers who do not have demand charges in their rate structure. </w:t>
      </w:r>
      <w:r w:rsidR="002911BA">
        <w:t>(</w:t>
      </w:r>
      <w:r w:rsidRPr="002911BA">
        <w:rPr>
          <w:i/>
          <w:iCs/>
        </w:rPr>
        <w:t>See</w:t>
      </w:r>
      <w:r>
        <w:t xml:space="preserve"> Foundation </w:t>
      </w:r>
      <w:r>
        <w:t>Windpower January</w:t>
      </w:r>
      <w:r w:rsidR="002E66DC">
        <w:t> </w:t>
      </w:r>
      <w:r>
        <w:t>7,</w:t>
      </w:r>
      <w:r w:rsidR="002E66DC">
        <w:t> </w:t>
      </w:r>
      <w:r>
        <w:t>2022 Comments</w:t>
      </w:r>
      <w:r w:rsidR="000B3DA8">
        <w:t xml:space="preserve"> at 3</w:t>
      </w:r>
      <w:r>
        <w:t>.</w:t>
      </w:r>
      <w:r w:rsidR="00765073">
        <w:t>)</w:t>
      </w:r>
    </w:p>
  </w:footnote>
  <w:footnote w:id="73">
    <w:p w14:paraId="61C0A710" w14:textId="58895237" w:rsidR="00C07F03" w:rsidRDefault="00C07F03" w:rsidP="00C07F03">
      <w:pPr>
        <w:pStyle w:val="FootnoteText"/>
      </w:pPr>
      <w:r>
        <w:rPr>
          <w:rStyle w:val="FootnoteReference"/>
        </w:rPr>
        <w:footnoteRef/>
      </w:r>
      <w:r>
        <w:t xml:space="preserve"> </w:t>
      </w:r>
      <w:r w:rsidR="008E59BE">
        <w:t xml:space="preserve"> </w:t>
      </w:r>
      <w:r>
        <w:t>IOU</w:t>
      </w:r>
      <w:r w:rsidR="00827602">
        <w:noBreakHyphen/>
      </w:r>
      <w:r>
        <w:t>02</w:t>
      </w:r>
      <w:r w:rsidR="000B3DA8">
        <w:t xml:space="preserve"> at 8</w:t>
      </w:r>
      <w:r>
        <w:t>7.</w:t>
      </w:r>
    </w:p>
  </w:footnote>
  <w:footnote w:id="74">
    <w:p w14:paraId="1618C7FB" w14:textId="268407FF" w:rsidR="00B0609D" w:rsidRDefault="00B0609D" w:rsidP="00B0609D">
      <w:pPr>
        <w:pStyle w:val="FootnoteText"/>
      </w:pPr>
      <w:r>
        <w:rPr>
          <w:rStyle w:val="FootnoteReference"/>
        </w:rPr>
        <w:footnoteRef/>
      </w:r>
      <w:r>
        <w:t xml:space="preserve"> </w:t>
      </w:r>
      <w:r w:rsidR="003361F0">
        <w:t xml:space="preserve"> </w:t>
      </w:r>
      <w:r>
        <w:t>Joint Utilities Opening Brief</w:t>
      </w:r>
      <w:r w:rsidR="000B3DA8">
        <w:t xml:space="preserve"> at 2</w:t>
      </w:r>
      <w:r>
        <w:t>3 citing PCF</w:t>
      </w:r>
      <w:r w:rsidR="00827602">
        <w:noBreakHyphen/>
      </w:r>
      <w:r>
        <w:t>15</w:t>
      </w:r>
      <w:r w:rsidR="000B3DA8">
        <w:t xml:space="preserve"> at 4</w:t>
      </w:r>
      <w:r>
        <w:t>, 5, and 39.</w:t>
      </w:r>
    </w:p>
  </w:footnote>
  <w:footnote w:id="75">
    <w:p w14:paraId="2993A593" w14:textId="3D966BC5" w:rsidR="00A87BFA" w:rsidRDefault="00A87BFA" w:rsidP="00A87BFA">
      <w:pPr>
        <w:pStyle w:val="FootnoteText"/>
      </w:pPr>
      <w:r>
        <w:rPr>
          <w:rStyle w:val="FootnoteReference"/>
        </w:rPr>
        <w:footnoteRef/>
      </w:r>
      <w:r>
        <w:t xml:space="preserve"> </w:t>
      </w:r>
      <w:r w:rsidR="003361F0">
        <w:t xml:space="preserve"> </w:t>
      </w:r>
      <w:r>
        <w:t>CUE Opening Brief</w:t>
      </w:r>
      <w:r w:rsidR="000B3DA8">
        <w:t xml:space="preserve"> at 7</w:t>
      </w:r>
      <w:r>
        <w:t xml:space="preserve"> citing the Lookback Study</w:t>
      </w:r>
      <w:r w:rsidR="000B3DA8">
        <w:t xml:space="preserve"> at 6</w:t>
      </w:r>
      <w:r>
        <w:t xml:space="preserve"> and 9.</w:t>
      </w:r>
    </w:p>
  </w:footnote>
  <w:footnote w:id="76">
    <w:p w14:paraId="4DA432C2" w14:textId="00003315" w:rsidR="00B0609D" w:rsidRDefault="00B0609D" w:rsidP="00B0609D">
      <w:pPr>
        <w:pStyle w:val="FootnoteText"/>
      </w:pPr>
      <w:r>
        <w:rPr>
          <w:rStyle w:val="FootnoteReference"/>
        </w:rPr>
        <w:footnoteRef/>
      </w:r>
      <w:r>
        <w:t xml:space="preserve"> </w:t>
      </w:r>
      <w:r w:rsidR="003361F0">
        <w:t xml:space="preserve"> </w:t>
      </w:r>
      <w:r>
        <w:t>Sierra Club Opening Brief</w:t>
      </w:r>
      <w:r w:rsidR="000B3DA8">
        <w:t xml:space="preserve"> at 6</w:t>
      </w:r>
      <w:r>
        <w:t xml:space="preserve"> citing Lookback Study</w:t>
      </w:r>
      <w:r w:rsidR="000B3DA8">
        <w:t xml:space="preserve"> at 8</w:t>
      </w:r>
      <w:r>
        <w:t>0</w:t>
      </w:r>
      <w:r w:rsidR="00827602">
        <w:noBreakHyphen/>
      </w:r>
      <w:r>
        <w:t>81.</w:t>
      </w:r>
    </w:p>
  </w:footnote>
  <w:footnote w:id="77">
    <w:p w14:paraId="4B0BDDE1" w14:textId="67C9B0E5" w:rsidR="006E7F5E" w:rsidRDefault="006E7F5E" w:rsidP="006E7F5E">
      <w:pPr>
        <w:pStyle w:val="FootnoteText"/>
      </w:pPr>
      <w:r>
        <w:rPr>
          <w:rStyle w:val="FootnoteReference"/>
        </w:rPr>
        <w:footnoteRef/>
      </w:r>
      <w:r>
        <w:t xml:space="preserve"> </w:t>
      </w:r>
      <w:r w:rsidR="003361F0">
        <w:t xml:space="preserve"> </w:t>
      </w:r>
      <w:r>
        <w:t>TURN Opening Brief</w:t>
      </w:r>
      <w:r w:rsidR="000B3DA8">
        <w:t xml:space="preserve"> at 1</w:t>
      </w:r>
      <w:r>
        <w:t>7.</w:t>
      </w:r>
    </w:p>
  </w:footnote>
  <w:footnote w:id="78">
    <w:p w14:paraId="033F8485" w14:textId="1A82D37C" w:rsidR="009E6103" w:rsidRDefault="009E6103" w:rsidP="009E6103">
      <w:pPr>
        <w:pStyle w:val="FootnoteText"/>
      </w:pPr>
      <w:r>
        <w:rPr>
          <w:rStyle w:val="FootnoteReference"/>
        </w:rPr>
        <w:footnoteRef/>
      </w:r>
      <w:r>
        <w:t xml:space="preserve"> </w:t>
      </w:r>
      <w:r w:rsidR="003361F0">
        <w:t xml:space="preserve"> </w:t>
      </w:r>
      <w:r>
        <w:t>TURN Opening Brief</w:t>
      </w:r>
      <w:r w:rsidR="000B3DA8">
        <w:t xml:space="preserve"> at 1</w:t>
      </w:r>
      <w:r>
        <w:t>6 citing TRN</w:t>
      </w:r>
      <w:r w:rsidR="00827602">
        <w:noBreakHyphen/>
      </w:r>
      <w:r>
        <w:t>1</w:t>
      </w:r>
      <w:r w:rsidR="000B3DA8">
        <w:t xml:space="preserve"> at 1</w:t>
      </w:r>
      <w:r>
        <w:t xml:space="preserve">0 and Lookback Study at </w:t>
      </w:r>
      <w:r w:rsidR="009F4022">
        <w:t>Table </w:t>
      </w:r>
      <w:r>
        <w:t>5</w:t>
      </w:r>
      <w:r w:rsidR="00827602">
        <w:noBreakHyphen/>
      </w:r>
      <w:r>
        <w:t xml:space="preserve">9 and </w:t>
      </w:r>
      <w:r w:rsidR="009F4022">
        <w:t>Table </w:t>
      </w:r>
      <w:r>
        <w:t>5</w:t>
      </w:r>
      <w:r w:rsidR="00827602">
        <w:noBreakHyphen/>
      </w:r>
      <w:r>
        <w:t>11.</w:t>
      </w:r>
    </w:p>
  </w:footnote>
  <w:footnote w:id="79">
    <w:p w14:paraId="36CBA71A" w14:textId="6FD4A085" w:rsidR="009E6103" w:rsidRDefault="009E6103" w:rsidP="009E6103">
      <w:pPr>
        <w:pStyle w:val="FootnoteText"/>
      </w:pPr>
      <w:r>
        <w:rPr>
          <w:rStyle w:val="FootnoteReference"/>
        </w:rPr>
        <w:footnoteRef/>
      </w:r>
      <w:r>
        <w:t xml:space="preserve"> </w:t>
      </w:r>
      <w:r w:rsidR="003361F0">
        <w:t xml:space="preserve"> </w:t>
      </w:r>
      <w:r>
        <w:t>TURN Opening Brief</w:t>
      </w:r>
      <w:r w:rsidR="000B3DA8">
        <w:t xml:space="preserve"> at 1</w:t>
      </w:r>
      <w:r>
        <w:t>6 citing TRN</w:t>
      </w:r>
      <w:r w:rsidR="00827602">
        <w:noBreakHyphen/>
      </w:r>
      <w:r>
        <w:t>1</w:t>
      </w:r>
      <w:r w:rsidR="000B3DA8">
        <w:t xml:space="preserve"> at 1</w:t>
      </w:r>
      <w:r>
        <w:t>0 and Lookback Study</w:t>
      </w:r>
      <w:r w:rsidR="000B3DA8">
        <w:t xml:space="preserve"> at 3</w:t>
      </w:r>
      <w:r>
        <w:t>3.</w:t>
      </w:r>
    </w:p>
  </w:footnote>
  <w:footnote w:id="80">
    <w:p w14:paraId="634AF5B5" w14:textId="7DD3C038" w:rsidR="00C776C7" w:rsidRDefault="00C776C7" w:rsidP="00C776C7">
      <w:pPr>
        <w:pStyle w:val="FootnoteText"/>
      </w:pPr>
      <w:r>
        <w:rPr>
          <w:rStyle w:val="FootnoteReference"/>
        </w:rPr>
        <w:footnoteRef/>
      </w:r>
      <w:r>
        <w:t xml:space="preserve"> </w:t>
      </w:r>
      <w:r w:rsidR="003361F0">
        <w:t xml:space="preserve"> </w:t>
      </w:r>
      <w:r w:rsidR="00076AF3">
        <w:t>GRID</w:t>
      </w:r>
      <w:r>
        <w:t xml:space="preserve"> </w:t>
      </w:r>
      <w:r w:rsidR="001C71AF">
        <w:rPr>
          <w:i/>
          <w:iCs/>
        </w:rPr>
        <w:t>et al</w:t>
      </w:r>
      <w:r w:rsidR="006C282F" w:rsidRPr="00522CEC">
        <w:rPr>
          <w:i/>
          <w:iCs/>
        </w:rPr>
        <w:t>.</w:t>
      </w:r>
      <w:r>
        <w:t xml:space="preserve"> Opening Brief</w:t>
      </w:r>
      <w:r w:rsidR="000B3DA8">
        <w:t xml:space="preserve"> at 4</w:t>
      </w:r>
      <w:r>
        <w:t xml:space="preserve"> citing Lookback Study</w:t>
      </w:r>
      <w:r w:rsidR="000B3DA8">
        <w:t xml:space="preserve"> at 3</w:t>
      </w:r>
      <w:r>
        <w:t xml:space="preserve">3, </w:t>
      </w:r>
      <w:r w:rsidR="00037F69">
        <w:t>Figure 3</w:t>
      </w:r>
      <w:r w:rsidR="00827602">
        <w:noBreakHyphen/>
      </w:r>
      <w:r>
        <w:t>6.</w:t>
      </w:r>
    </w:p>
  </w:footnote>
  <w:footnote w:id="81">
    <w:p w14:paraId="77AA7E58" w14:textId="319DDD12" w:rsidR="00F2003E" w:rsidRDefault="00F2003E" w:rsidP="00F2003E">
      <w:pPr>
        <w:pStyle w:val="FootnoteText"/>
      </w:pPr>
      <w:r>
        <w:rPr>
          <w:rStyle w:val="FootnoteReference"/>
        </w:rPr>
        <w:footnoteRef/>
      </w:r>
      <w:r>
        <w:t xml:space="preserve"> </w:t>
      </w:r>
      <w:r w:rsidR="003361F0">
        <w:t xml:space="preserve"> </w:t>
      </w:r>
      <w:r>
        <w:t>IEPA Opening Brief</w:t>
      </w:r>
      <w:r w:rsidR="000B3DA8">
        <w:t xml:space="preserve"> at 3</w:t>
      </w:r>
      <w:r>
        <w:t xml:space="preserve"> citing PCF 15</w:t>
      </w:r>
      <w:r w:rsidR="000B3DA8">
        <w:t xml:space="preserve"> at 3</w:t>
      </w:r>
      <w:r>
        <w:t>3 and 35 (the Lookback Study).</w:t>
      </w:r>
    </w:p>
  </w:footnote>
  <w:footnote w:id="82">
    <w:p w14:paraId="43FEE85E" w14:textId="6A22C851" w:rsidR="00B21865" w:rsidRDefault="00B21865" w:rsidP="00B21865">
      <w:pPr>
        <w:pStyle w:val="FootnoteText"/>
      </w:pPr>
      <w:r>
        <w:rPr>
          <w:rStyle w:val="FootnoteReference"/>
        </w:rPr>
        <w:footnoteRef/>
      </w:r>
      <w:r>
        <w:t xml:space="preserve"> </w:t>
      </w:r>
      <w:r w:rsidR="003361F0">
        <w:t xml:space="preserve"> </w:t>
      </w:r>
      <w:r>
        <w:t>NRD</w:t>
      </w:r>
      <w:r w:rsidR="00827602">
        <w:noBreakHyphen/>
      </w:r>
      <w:r>
        <w:t>01</w:t>
      </w:r>
      <w:r w:rsidR="000B3DA8">
        <w:t xml:space="preserve"> at 5</w:t>
      </w:r>
      <w:r w:rsidR="00FF627C">
        <w:t xml:space="preserve"> citing the </w:t>
      </w:r>
      <w:r w:rsidR="00FF627C">
        <w:t>LBNL Solar Demographic Tool which can be found at</w:t>
      </w:r>
      <w:r w:rsidR="00555CC0">
        <w:t xml:space="preserve">:  </w:t>
      </w:r>
      <w:hyperlink r:id="rId2" w:history="1">
        <w:r w:rsidR="00FF627C" w:rsidRPr="001165E4">
          <w:rPr>
            <w:rStyle w:val="Hyperlink"/>
          </w:rPr>
          <w:t>https://emp.lbl.gov/solar</w:t>
        </w:r>
        <w:r w:rsidR="00827602">
          <w:rPr>
            <w:rStyle w:val="Hyperlink"/>
          </w:rPr>
          <w:noBreakHyphen/>
        </w:r>
        <w:r w:rsidR="00FF627C" w:rsidRPr="001165E4">
          <w:rPr>
            <w:rStyle w:val="Hyperlink"/>
          </w:rPr>
          <w:t>demographics</w:t>
        </w:r>
        <w:r w:rsidR="00827602">
          <w:rPr>
            <w:rStyle w:val="Hyperlink"/>
          </w:rPr>
          <w:noBreakHyphen/>
        </w:r>
        <w:r w:rsidR="00FF627C" w:rsidRPr="001165E4">
          <w:rPr>
            <w:rStyle w:val="Hyperlink"/>
          </w:rPr>
          <w:t>tool</w:t>
        </w:r>
      </w:hyperlink>
      <w:r w:rsidR="00FF627C">
        <w:t xml:space="preserve"> (accessed by NRDC on 6/12/2021)</w:t>
      </w:r>
      <w:r w:rsidR="0074021C">
        <w:t>.</w:t>
      </w:r>
    </w:p>
  </w:footnote>
  <w:footnote w:id="83">
    <w:p w14:paraId="6EE15BC3" w14:textId="02C1F5CA" w:rsidR="00C776C7" w:rsidRDefault="00C776C7" w:rsidP="00C776C7">
      <w:pPr>
        <w:pStyle w:val="FootnoteText"/>
      </w:pPr>
      <w:r>
        <w:rPr>
          <w:rStyle w:val="FootnoteReference"/>
        </w:rPr>
        <w:footnoteRef/>
      </w:r>
      <w:r>
        <w:t xml:space="preserve"> </w:t>
      </w:r>
      <w:r w:rsidR="003361F0">
        <w:t xml:space="preserve"> </w:t>
      </w:r>
      <w:r>
        <w:t>CUE Opening Brief</w:t>
      </w:r>
      <w:r w:rsidR="000B3DA8">
        <w:t xml:space="preserve"> at 7</w:t>
      </w:r>
      <w:r>
        <w:t xml:space="preserve"> citing the Lookback Study</w:t>
      </w:r>
      <w:r w:rsidR="000B3DA8">
        <w:t xml:space="preserve"> at 3</w:t>
      </w:r>
      <w:r>
        <w:t>7.</w:t>
      </w:r>
    </w:p>
  </w:footnote>
  <w:footnote w:id="84">
    <w:p w14:paraId="0FAC05A6" w14:textId="483ABF36" w:rsidR="00B30F35" w:rsidRDefault="00B30F35">
      <w:pPr>
        <w:pStyle w:val="FootnoteText"/>
      </w:pPr>
      <w:r>
        <w:rPr>
          <w:rStyle w:val="FootnoteReference"/>
        </w:rPr>
        <w:footnoteRef/>
      </w:r>
      <w:r>
        <w:t xml:space="preserve"> </w:t>
      </w:r>
      <w:r w:rsidR="003361F0">
        <w:t xml:space="preserve"> </w:t>
      </w:r>
      <w:r>
        <w:t>PCF Opening Brief</w:t>
      </w:r>
      <w:r w:rsidR="000B3DA8">
        <w:t xml:space="preserve"> at 4</w:t>
      </w:r>
      <w:r>
        <w:t>5.</w:t>
      </w:r>
    </w:p>
  </w:footnote>
  <w:footnote w:id="85">
    <w:p w14:paraId="41AF28F4" w14:textId="29D34776" w:rsidR="00B30F35" w:rsidRDefault="00B30F35">
      <w:pPr>
        <w:pStyle w:val="FootnoteText"/>
      </w:pPr>
      <w:r>
        <w:rPr>
          <w:rStyle w:val="FootnoteReference"/>
        </w:rPr>
        <w:footnoteRef/>
      </w:r>
      <w:r>
        <w:t xml:space="preserve"> </w:t>
      </w:r>
      <w:r w:rsidR="003361F0">
        <w:t xml:space="preserve"> </w:t>
      </w:r>
      <w:r>
        <w:t>PCF Opening Brief</w:t>
      </w:r>
      <w:r w:rsidR="000B3DA8">
        <w:t xml:space="preserve"> at 4</w:t>
      </w:r>
      <w:r>
        <w:t>5</w:t>
      </w:r>
      <w:r w:rsidR="00827602">
        <w:noBreakHyphen/>
      </w:r>
      <w:r>
        <w:t>46 citing PCF</w:t>
      </w:r>
      <w:r w:rsidR="00827602">
        <w:noBreakHyphen/>
      </w:r>
      <w:r>
        <w:t>15</w:t>
      </w:r>
      <w:r w:rsidR="000B3DA8">
        <w:t xml:space="preserve"> at 3</w:t>
      </w:r>
      <w:r>
        <w:t>3 (Lookback Study).</w:t>
      </w:r>
    </w:p>
  </w:footnote>
  <w:footnote w:id="86">
    <w:p w14:paraId="295B6D87" w14:textId="0E4F2FEF" w:rsidR="00B30F35" w:rsidRDefault="00B30F35">
      <w:pPr>
        <w:pStyle w:val="FootnoteText"/>
      </w:pPr>
      <w:r>
        <w:rPr>
          <w:rStyle w:val="FootnoteReference"/>
        </w:rPr>
        <w:footnoteRef/>
      </w:r>
      <w:r>
        <w:t xml:space="preserve"> </w:t>
      </w:r>
      <w:r w:rsidR="003361F0">
        <w:t xml:space="preserve"> </w:t>
      </w:r>
      <w:r w:rsidR="00246D65">
        <w:t>PCF Opening Brief</w:t>
      </w:r>
      <w:r w:rsidR="000B3DA8">
        <w:t xml:space="preserve"> at 4</w:t>
      </w:r>
      <w:r w:rsidR="00246D65">
        <w:t>6.</w:t>
      </w:r>
    </w:p>
  </w:footnote>
  <w:footnote w:id="87">
    <w:p w14:paraId="2211B84E" w14:textId="74629D4B" w:rsidR="00246D65" w:rsidRDefault="00246D65">
      <w:pPr>
        <w:pStyle w:val="FootnoteText"/>
      </w:pPr>
      <w:r>
        <w:rPr>
          <w:rStyle w:val="FootnoteReference"/>
        </w:rPr>
        <w:footnoteRef/>
      </w:r>
      <w:r>
        <w:t xml:space="preserve"> </w:t>
      </w:r>
      <w:r w:rsidR="003361F0">
        <w:t xml:space="preserve"> </w:t>
      </w:r>
      <w:r>
        <w:t>PCF Opening Brief</w:t>
      </w:r>
      <w:r w:rsidR="000B3DA8">
        <w:t xml:space="preserve"> at 4</w:t>
      </w:r>
      <w:r>
        <w:t>7.</w:t>
      </w:r>
    </w:p>
  </w:footnote>
  <w:footnote w:id="88">
    <w:p w14:paraId="4A1A6BFB" w14:textId="7E1B5E2B" w:rsidR="002C591D" w:rsidRDefault="002C591D" w:rsidP="002C591D">
      <w:pPr>
        <w:pStyle w:val="FootnoteText"/>
      </w:pPr>
      <w:r>
        <w:rPr>
          <w:rStyle w:val="FootnoteReference"/>
        </w:rPr>
        <w:footnoteRef/>
      </w:r>
      <w:r>
        <w:t xml:space="preserve"> </w:t>
      </w:r>
      <w:r w:rsidR="003361F0">
        <w:t xml:space="preserve"> </w:t>
      </w:r>
      <w:r>
        <w:t>CALSSA Opening Brief</w:t>
      </w:r>
      <w:r w:rsidR="000B3DA8">
        <w:t xml:space="preserve"> at 1</w:t>
      </w:r>
      <w:r>
        <w:t>8.</w:t>
      </w:r>
    </w:p>
  </w:footnote>
  <w:footnote w:id="89">
    <w:p w14:paraId="09D02506" w14:textId="2F18DDA3" w:rsidR="006F24EA" w:rsidRDefault="006F24EA" w:rsidP="006F24EA">
      <w:pPr>
        <w:pStyle w:val="FootnoteText"/>
      </w:pPr>
      <w:r>
        <w:rPr>
          <w:rStyle w:val="FootnoteReference"/>
        </w:rPr>
        <w:footnoteRef/>
      </w:r>
      <w:r>
        <w:t xml:space="preserve"> </w:t>
      </w:r>
      <w:r w:rsidR="003361F0">
        <w:t xml:space="preserve"> </w:t>
      </w:r>
      <w:r>
        <w:t>CALSSA Opening Brief</w:t>
      </w:r>
      <w:r w:rsidR="000B3DA8">
        <w:t xml:space="preserve"> at 1</w:t>
      </w:r>
      <w:r>
        <w:t>9.</w:t>
      </w:r>
    </w:p>
  </w:footnote>
  <w:footnote w:id="90">
    <w:p w14:paraId="655A99B1" w14:textId="03AA08BE" w:rsidR="00D416A8" w:rsidRDefault="00D416A8" w:rsidP="00D416A8">
      <w:pPr>
        <w:pStyle w:val="FootnoteText"/>
      </w:pPr>
      <w:r>
        <w:rPr>
          <w:rStyle w:val="FootnoteReference"/>
        </w:rPr>
        <w:footnoteRef/>
      </w:r>
      <w:r>
        <w:t xml:space="preserve"> </w:t>
      </w:r>
      <w:r w:rsidR="003361F0">
        <w:t xml:space="preserve"> </w:t>
      </w:r>
      <w:r>
        <w:t>CALSSA Opening Brief</w:t>
      </w:r>
      <w:r w:rsidR="000B3DA8">
        <w:t xml:space="preserve"> at 7</w:t>
      </w:r>
      <w:r>
        <w:t>.</w:t>
      </w:r>
    </w:p>
  </w:footnote>
  <w:footnote w:id="91">
    <w:p w14:paraId="5FC6F716" w14:textId="38034412" w:rsidR="00D416A8" w:rsidRDefault="00D416A8" w:rsidP="00D416A8">
      <w:pPr>
        <w:pStyle w:val="FootnoteText"/>
      </w:pPr>
      <w:r>
        <w:rPr>
          <w:rStyle w:val="FootnoteReference"/>
        </w:rPr>
        <w:footnoteRef/>
      </w:r>
      <w:r>
        <w:t xml:space="preserve"> </w:t>
      </w:r>
      <w:r w:rsidR="003361F0">
        <w:t xml:space="preserve"> </w:t>
      </w:r>
      <w:r>
        <w:t>CALSSA Opening Brief</w:t>
      </w:r>
      <w:r w:rsidR="000B3DA8">
        <w:t xml:space="preserve"> at 1</w:t>
      </w:r>
      <w:r>
        <w:t>0.</w:t>
      </w:r>
    </w:p>
  </w:footnote>
  <w:footnote w:id="92">
    <w:p w14:paraId="6F01F463" w14:textId="78389FFE" w:rsidR="00D416A8" w:rsidRDefault="00D416A8" w:rsidP="00D416A8">
      <w:pPr>
        <w:pStyle w:val="FootnoteText"/>
      </w:pPr>
      <w:r>
        <w:rPr>
          <w:rStyle w:val="FootnoteReference"/>
        </w:rPr>
        <w:footnoteRef/>
      </w:r>
      <w:r>
        <w:t xml:space="preserve"> </w:t>
      </w:r>
      <w:r w:rsidR="003361F0">
        <w:t xml:space="preserve"> </w:t>
      </w:r>
      <w:r>
        <w:t>CALSSA Opening Brief</w:t>
      </w:r>
      <w:r w:rsidR="000B3DA8">
        <w:t xml:space="preserve"> at 7</w:t>
      </w:r>
      <w:r>
        <w:t>, citing D.16</w:t>
      </w:r>
      <w:r w:rsidR="00827602">
        <w:noBreakHyphen/>
      </w:r>
      <w:r>
        <w:t>01</w:t>
      </w:r>
      <w:r w:rsidR="00827602">
        <w:noBreakHyphen/>
      </w:r>
      <w:r>
        <w:t>044</w:t>
      </w:r>
      <w:r w:rsidR="000B3DA8">
        <w:t xml:space="preserve"> at 5</w:t>
      </w:r>
      <w:r>
        <w:t>8.</w:t>
      </w:r>
    </w:p>
  </w:footnote>
  <w:footnote w:id="93">
    <w:p w14:paraId="39095B4C" w14:textId="4E8F8BC9" w:rsidR="00D416A8" w:rsidRDefault="00D416A8" w:rsidP="00D416A8">
      <w:pPr>
        <w:pStyle w:val="FootnoteText"/>
      </w:pPr>
      <w:r>
        <w:rPr>
          <w:rStyle w:val="FootnoteReference"/>
        </w:rPr>
        <w:footnoteRef/>
      </w:r>
      <w:r>
        <w:t xml:space="preserve"> </w:t>
      </w:r>
      <w:r w:rsidR="003361F0">
        <w:t xml:space="preserve"> </w:t>
      </w:r>
      <w:r>
        <w:t>TURN Reply Brief</w:t>
      </w:r>
      <w:r w:rsidR="000B3DA8">
        <w:t xml:space="preserve"> at 3</w:t>
      </w:r>
      <w:r>
        <w:t>9 citing D.16</w:t>
      </w:r>
      <w:r w:rsidR="00827602">
        <w:noBreakHyphen/>
      </w:r>
      <w:r>
        <w:t>09</w:t>
      </w:r>
      <w:r w:rsidR="00827602">
        <w:noBreakHyphen/>
      </w:r>
      <w:r>
        <w:t>036</w:t>
      </w:r>
      <w:r w:rsidR="000B3DA8">
        <w:t xml:space="preserve"> at 1</w:t>
      </w:r>
      <w:r>
        <w:t>3.</w:t>
      </w:r>
    </w:p>
  </w:footnote>
  <w:footnote w:id="94">
    <w:p w14:paraId="37004AA7" w14:textId="2E755BAC" w:rsidR="00D416A8" w:rsidRDefault="00D416A8" w:rsidP="00D416A8">
      <w:pPr>
        <w:pStyle w:val="FootnoteText"/>
      </w:pPr>
      <w:r>
        <w:rPr>
          <w:rStyle w:val="FootnoteReference"/>
        </w:rPr>
        <w:footnoteRef/>
      </w:r>
      <w:r>
        <w:t xml:space="preserve"> </w:t>
      </w:r>
      <w:r w:rsidR="003361F0">
        <w:t xml:space="preserve"> </w:t>
      </w:r>
      <w:r>
        <w:t>TURN Opening Brief</w:t>
      </w:r>
      <w:r w:rsidR="000B3DA8">
        <w:t xml:space="preserve"> at 4</w:t>
      </w:r>
      <w:r>
        <w:t>7 citing TRN</w:t>
      </w:r>
      <w:r w:rsidR="00827602">
        <w:noBreakHyphen/>
      </w:r>
      <w:r>
        <w:t>01</w:t>
      </w:r>
      <w:r w:rsidR="000B3DA8">
        <w:t xml:space="preserve"> at 3</w:t>
      </w:r>
      <w:r>
        <w:t>1</w:t>
      </w:r>
      <w:r w:rsidR="00827602">
        <w:noBreakHyphen/>
      </w:r>
      <w:r>
        <w:t>32.</w:t>
      </w:r>
    </w:p>
  </w:footnote>
  <w:footnote w:id="95">
    <w:p w14:paraId="213CAC8E" w14:textId="35B3A628" w:rsidR="00D416A8" w:rsidRDefault="00D416A8" w:rsidP="00E74B23">
      <w:pPr>
        <w:pStyle w:val="FootnoteText"/>
        <w:spacing w:before="240"/>
      </w:pPr>
      <w:r>
        <w:rPr>
          <w:rStyle w:val="FootnoteReference"/>
        </w:rPr>
        <w:footnoteRef/>
      </w:r>
      <w:r>
        <w:t xml:space="preserve"> </w:t>
      </w:r>
      <w:r w:rsidR="003361F0">
        <w:t xml:space="preserve"> </w:t>
      </w:r>
      <w:r>
        <w:t>CUE Opening Brief</w:t>
      </w:r>
      <w:r w:rsidR="000B3DA8">
        <w:t xml:space="preserve"> at 1</w:t>
      </w:r>
      <w:r>
        <w:t>1 citing CUE</w:t>
      </w:r>
      <w:r w:rsidR="00827602">
        <w:noBreakHyphen/>
      </w:r>
      <w:r>
        <w:t>02</w:t>
      </w:r>
      <w:r w:rsidR="000B3DA8">
        <w:t xml:space="preserve"> at 1</w:t>
      </w:r>
      <w:r>
        <w:t xml:space="preserve">3, citing from </w:t>
      </w:r>
      <w:r w:rsidR="00BA1EAE">
        <w:t>“</w:t>
      </w:r>
      <w:r>
        <w:t>What Does Sustainable Growth Really Mean?</w:t>
      </w:r>
      <w:r w:rsidR="00BA1EAE">
        <w:t>”</w:t>
      </w:r>
      <w:r>
        <w:t xml:space="preserve"> Forbes, Rick Miller, August</w:t>
      </w:r>
      <w:r w:rsidR="00E664F7">
        <w:t> </w:t>
      </w:r>
      <w:r>
        <w:t>16,</w:t>
      </w:r>
      <w:r w:rsidR="00E664F7">
        <w:t> </w:t>
      </w:r>
      <w:r>
        <w:t xml:space="preserve">2018. </w:t>
      </w:r>
      <w:r w:rsidR="003361F0">
        <w:t xml:space="preserve"> </w:t>
      </w:r>
      <w:r w:rsidR="00E74B23">
        <w:t>(</w:t>
      </w:r>
      <w:r w:rsidRPr="003361F0">
        <w:rPr>
          <w:i/>
          <w:iCs/>
        </w:rPr>
        <w:t>See also</w:t>
      </w:r>
      <w:r>
        <w:t xml:space="preserve"> the United Nations view on sustainability at</w:t>
      </w:r>
      <w:r w:rsidR="00555CC0">
        <w:t xml:space="preserve">:  </w:t>
      </w:r>
      <w:hyperlink r:id="rId3" w:history="1">
        <w:r w:rsidRPr="00321C14">
          <w:rPr>
            <w:rStyle w:val="Hyperlink"/>
          </w:rPr>
          <w:t>https://sustainabledevelopment.un.org/rio20/about</w:t>
        </w:r>
      </w:hyperlink>
      <w:r>
        <w:t>.</w:t>
      </w:r>
      <w:r w:rsidR="00E74B23">
        <w:t>)</w:t>
      </w:r>
    </w:p>
  </w:footnote>
  <w:footnote w:id="96">
    <w:p w14:paraId="2FB48CCB" w14:textId="030AE32D" w:rsidR="00D416A8" w:rsidRDefault="00D416A8" w:rsidP="00D416A8">
      <w:pPr>
        <w:pStyle w:val="FootnoteText"/>
      </w:pPr>
      <w:r>
        <w:rPr>
          <w:rStyle w:val="FootnoteReference"/>
        </w:rPr>
        <w:footnoteRef/>
      </w:r>
      <w:r>
        <w:t xml:space="preserve"> </w:t>
      </w:r>
      <w:r w:rsidR="003361F0">
        <w:t xml:space="preserve"> </w:t>
      </w:r>
      <w:r>
        <w:t>CUE Opening Brief</w:t>
      </w:r>
      <w:r w:rsidR="000B3DA8">
        <w:t xml:space="preserve"> at 1</w:t>
      </w:r>
      <w:r>
        <w:t>1.</w:t>
      </w:r>
    </w:p>
  </w:footnote>
  <w:footnote w:id="97">
    <w:p w14:paraId="3C8A0CFB" w14:textId="5F12850D" w:rsidR="00D416A8" w:rsidRDefault="00D416A8" w:rsidP="000D365F">
      <w:pPr>
        <w:pStyle w:val="FootnoteText"/>
      </w:pPr>
      <w:r>
        <w:rPr>
          <w:rStyle w:val="FootnoteReference"/>
        </w:rPr>
        <w:footnoteRef/>
      </w:r>
      <w:r>
        <w:t xml:space="preserve"> </w:t>
      </w:r>
      <w:r w:rsidR="003361F0">
        <w:t xml:space="preserve"> </w:t>
      </w:r>
      <w:r>
        <w:t>SEIA/Vote Solar Opening Brief</w:t>
      </w:r>
      <w:r w:rsidR="000B3DA8">
        <w:t xml:space="preserve"> at 7</w:t>
      </w:r>
      <w:r>
        <w:t>4 citing Donovan</w:t>
      </w:r>
      <w:r w:rsidR="000A6509">
        <w:t xml:space="preserve"> v. </w:t>
      </w:r>
      <w:r>
        <w:t xml:space="preserve">Poway </w:t>
      </w:r>
      <w:r>
        <w:rPr>
          <w:rFonts w:ascii="TimesNewRoman,Italic" w:hAnsi="TimesNewRoman,Italic" w:cs="TimesNewRoman,Italic"/>
          <w:i/>
          <w:iCs/>
        </w:rPr>
        <w:t xml:space="preserve">Unified School Dist. </w:t>
      </w:r>
      <w:r w:rsidRPr="000D365F">
        <w:rPr>
          <w:rFonts w:cs="TimesNewRoman"/>
        </w:rPr>
        <w:t>(2008) 167</w:t>
      </w:r>
      <w:r w:rsidR="000D365F" w:rsidRPr="000D365F">
        <w:rPr>
          <w:rFonts w:cs="TimesNewRoman"/>
        </w:rPr>
        <w:t> Cal. App.</w:t>
      </w:r>
      <w:r w:rsidR="009F013F">
        <w:rPr>
          <w:rFonts w:cs="TimesNewRoman"/>
        </w:rPr>
        <w:t> </w:t>
      </w:r>
      <w:r w:rsidRPr="000D365F">
        <w:rPr>
          <w:rFonts w:cs="TimesNewRoman"/>
        </w:rPr>
        <w:t>4th 567, 590</w:t>
      </w:r>
      <w:r w:rsidR="00827602">
        <w:rPr>
          <w:rFonts w:cs="TimesNewRoman"/>
        </w:rPr>
        <w:noBreakHyphen/>
      </w:r>
      <w:r w:rsidRPr="000D365F">
        <w:rPr>
          <w:rFonts w:cs="TimesNewRoman"/>
        </w:rPr>
        <w:t>591.</w:t>
      </w:r>
    </w:p>
  </w:footnote>
  <w:footnote w:id="98">
    <w:p w14:paraId="1720CCBB" w14:textId="5F375EC6" w:rsidR="00D416A8" w:rsidRDefault="00D416A8" w:rsidP="00D416A8">
      <w:pPr>
        <w:pStyle w:val="FootnoteText"/>
      </w:pPr>
      <w:r>
        <w:rPr>
          <w:rStyle w:val="FootnoteReference"/>
        </w:rPr>
        <w:footnoteRef/>
      </w:r>
      <w:r>
        <w:t xml:space="preserve"> </w:t>
      </w:r>
      <w:r w:rsidR="003361F0">
        <w:t xml:space="preserve"> </w:t>
      </w:r>
      <w:r>
        <w:t>SEIA/Vote Solar Opening Brief</w:t>
      </w:r>
      <w:r w:rsidR="000B3DA8">
        <w:t xml:space="preserve"> at 7</w:t>
      </w:r>
      <w:r>
        <w:t>6.</w:t>
      </w:r>
    </w:p>
  </w:footnote>
  <w:footnote w:id="99">
    <w:p w14:paraId="605AE9B7" w14:textId="0976A886" w:rsidR="00D416A8" w:rsidRDefault="00D416A8" w:rsidP="00D416A8">
      <w:pPr>
        <w:pStyle w:val="FootnoteText"/>
      </w:pPr>
      <w:r>
        <w:rPr>
          <w:rStyle w:val="FootnoteReference"/>
        </w:rPr>
        <w:footnoteRef/>
      </w:r>
      <w:r>
        <w:t xml:space="preserve"> </w:t>
      </w:r>
      <w:r w:rsidR="003361F0">
        <w:t xml:space="preserve"> </w:t>
      </w:r>
      <w:r>
        <w:t>D.16</w:t>
      </w:r>
      <w:r w:rsidR="00827602">
        <w:noBreakHyphen/>
      </w:r>
      <w:r>
        <w:t>09</w:t>
      </w:r>
      <w:r w:rsidR="00827602">
        <w:noBreakHyphen/>
      </w:r>
      <w:r>
        <w:t>036</w:t>
      </w:r>
      <w:r w:rsidR="000B3DA8">
        <w:t xml:space="preserve"> at 1</w:t>
      </w:r>
      <w:r>
        <w:t>3.</w:t>
      </w:r>
    </w:p>
  </w:footnote>
  <w:footnote w:id="100">
    <w:p w14:paraId="0BBEFC80" w14:textId="3D84EDAC" w:rsidR="009258CC" w:rsidRDefault="009258CC">
      <w:pPr>
        <w:pStyle w:val="FootnoteText"/>
      </w:pPr>
      <w:r>
        <w:rPr>
          <w:rStyle w:val="FootnoteReference"/>
        </w:rPr>
        <w:footnoteRef/>
      </w:r>
      <w:r>
        <w:t xml:space="preserve"> </w:t>
      </w:r>
      <w:r w:rsidR="008E59BE">
        <w:t xml:space="preserve"> </w:t>
      </w:r>
      <w:r w:rsidRPr="00490092">
        <w:rPr>
          <w:i/>
          <w:iCs/>
        </w:rPr>
        <w:t>See</w:t>
      </w:r>
      <w:r>
        <w:t xml:space="preserve"> </w:t>
      </w:r>
      <w:hyperlink r:id="rId4" w:history="1">
        <w:r w:rsidRPr="00490092">
          <w:rPr>
            <w:rStyle w:val="Hyperlink"/>
          </w:rPr>
          <w:t>http</w:t>
        </w:r>
        <w:r w:rsidR="00B76984" w:rsidRPr="00490092">
          <w:rPr>
            <w:rStyle w:val="Hyperlink"/>
          </w:rPr>
          <w:t>s</w:t>
        </w:r>
        <w:r w:rsidRPr="00490092">
          <w:rPr>
            <w:rStyle w:val="Hyperlink"/>
          </w:rPr>
          <w:t>://www.californiadgstats.ca.gov</w:t>
        </w:r>
      </w:hyperlink>
      <w:r w:rsidR="00490092">
        <w:t>.</w:t>
      </w:r>
    </w:p>
  </w:footnote>
  <w:footnote w:id="101">
    <w:p w14:paraId="619A5AFB" w14:textId="3BA41BD3" w:rsidR="00C81C58" w:rsidRDefault="00C81C58">
      <w:pPr>
        <w:pStyle w:val="FootnoteText"/>
      </w:pPr>
      <w:r>
        <w:rPr>
          <w:rStyle w:val="FootnoteReference"/>
        </w:rPr>
        <w:footnoteRef/>
      </w:r>
      <w:r>
        <w:t xml:space="preserve"> </w:t>
      </w:r>
      <w:r w:rsidR="003361F0">
        <w:t xml:space="preserve"> </w:t>
      </w:r>
      <w:r>
        <w:t>D.21</w:t>
      </w:r>
      <w:r w:rsidR="00827602">
        <w:noBreakHyphen/>
      </w:r>
      <w:r>
        <w:t>02</w:t>
      </w:r>
      <w:r w:rsidR="00827602">
        <w:noBreakHyphen/>
      </w:r>
      <w:r>
        <w:t>007</w:t>
      </w:r>
      <w:r w:rsidR="000B3DA8">
        <w:t xml:space="preserve"> at 1</w:t>
      </w:r>
      <w:r>
        <w:t>2</w:t>
      </w:r>
      <w:r w:rsidR="00827602">
        <w:noBreakHyphen/>
      </w:r>
      <w:r>
        <w:t>13.</w:t>
      </w:r>
    </w:p>
  </w:footnote>
  <w:footnote w:id="102">
    <w:p w14:paraId="5D5415CC" w14:textId="4802DB28" w:rsidR="00477A31" w:rsidRDefault="00477A31">
      <w:pPr>
        <w:pStyle w:val="FootnoteText"/>
      </w:pPr>
      <w:r>
        <w:rPr>
          <w:rStyle w:val="FootnoteReference"/>
        </w:rPr>
        <w:footnoteRef/>
      </w:r>
      <w:r>
        <w:t xml:space="preserve"> </w:t>
      </w:r>
      <w:r w:rsidR="008E59BE">
        <w:t xml:space="preserve"> </w:t>
      </w:r>
      <w:r>
        <w:t>D.22</w:t>
      </w:r>
      <w:r w:rsidR="00827602">
        <w:noBreakHyphen/>
      </w:r>
      <w:r>
        <w:t>05</w:t>
      </w:r>
      <w:r w:rsidR="00827602">
        <w:noBreakHyphen/>
      </w:r>
      <w:r>
        <w:t>002</w:t>
      </w:r>
      <w:r w:rsidR="000B3DA8">
        <w:t xml:space="preserve"> at 2</w:t>
      </w:r>
      <w:r w:rsidR="00827602">
        <w:noBreakHyphen/>
      </w:r>
      <w:r>
        <w:t>3.</w:t>
      </w:r>
    </w:p>
  </w:footnote>
  <w:footnote w:id="103">
    <w:p w14:paraId="126EDD5C" w14:textId="61D9C7B3" w:rsidR="00D43419" w:rsidRDefault="00D43419">
      <w:pPr>
        <w:pStyle w:val="FootnoteText"/>
      </w:pPr>
      <w:r>
        <w:rPr>
          <w:rStyle w:val="FootnoteReference"/>
        </w:rPr>
        <w:footnoteRef/>
      </w:r>
      <w:r>
        <w:t xml:space="preserve">  </w:t>
      </w:r>
      <w:r w:rsidRPr="00F036C6">
        <w:rPr>
          <w:i/>
          <w:iCs/>
        </w:rPr>
        <w:t>See</w:t>
      </w:r>
      <w:r>
        <w:t xml:space="preserve"> 18</w:t>
      </w:r>
      <w:r w:rsidR="00F52E24">
        <w:t> CFR</w:t>
      </w:r>
      <w:r>
        <w:t xml:space="preserve"> </w:t>
      </w:r>
      <w:r w:rsidR="00CD329D">
        <w:t>§ </w:t>
      </w:r>
      <w:r>
        <w:t xml:space="preserve">292.101 defining </w:t>
      </w:r>
      <w:r w:rsidR="00BA1EAE">
        <w:t>“</w:t>
      </w:r>
      <w:r>
        <w:t>avoided cost</w:t>
      </w:r>
      <w:r w:rsidR="00BA1EAE">
        <w:t>”</w:t>
      </w:r>
      <w:r>
        <w:t xml:space="preserve"> as used in </w:t>
      </w:r>
      <w:r>
        <w:t>PURPA.</w:t>
      </w:r>
    </w:p>
  </w:footnote>
  <w:footnote w:id="104">
    <w:p w14:paraId="4FF88826" w14:textId="33DFFBA8" w:rsidR="00BB013F" w:rsidRDefault="00BB013F">
      <w:pPr>
        <w:pStyle w:val="FootnoteText"/>
      </w:pPr>
      <w:r>
        <w:rPr>
          <w:rStyle w:val="FootnoteReference"/>
        </w:rPr>
        <w:footnoteRef/>
      </w:r>
      <w:r>
        <w:t xml:space="preserve"> </w:t>
      </w:r>
      <w:r w:rsidR="008E59BE">
        <w:t xml:space="preserve"> </w:t>
      </w:r>
      <w:r w:rsidRPr="00F036C6">
        <w:rPr>
          <w:i/>
          <w:iCs/>
        </w:rPr>
        <w:t>See</w:t>
      </w:r>
      <w:r w:rsidRPr="004A68E5">
        <w:rPr>
          <w:i/>
          <w:iCs/>
        </w:rPr>
        <w:t xml:space="preserve"> also </w:t>
      </w:r>
      <w:r>
        <w:t>discussion at Section</w:t>
      </w:r>
      <w:r w:rsidR="00926F9F">
        <w:t> </w:t>
      </w:r>
      <w:r>
        <w:t xml:space="preserve">8.3.3, </w:t>
      </w:r>
      <w:r w:rsidR="007A6BFC">
        <w:t>Section </w:t>
      </w:r>
      <w:r>
        <w:t xml:space="preserve">8.4.9, and </w:t>
      </w:r>
      <w:r w:rsidR="007A6BFC">
        <w:t>Section </w:t>
      </w:r>
      <w:r>
        <w:t>8.5.3.</w:t>
      </w:r>
    </w:p>
  </w:footnote>
  <w:footnote w:id="105">
    <w:p w14:paraId="7234C822" w14:textId="47BCBB83" w:rsidR="00F95B01" w:rsidRDefault="00F95B01">
      <w:pPr>
        <w:pStyle w:val="FootnoteText"/>
      </w:pPr>
      <w:r>
        <w:rPr>
          <w:rStyle w:val="FootnoteReference"/>
        </w:rPr>
        <w:footnoteRef/>
      </w:r>
      <w:r>
        <w:t xml:space="preserve"> </w:t>
      </w:r>
      <w:r w:rsidR="003361F0">
        <w:t xml:space="preserve"> </w:t>
      </w:r>
      <w:r>
        <w:t>PCF Opening Brief</w:t>
      </w:r>
      <w:r w:rsidR="000B3DA8">
        <w:t xml:space="preserve"> at 1</w:t>
      </w:r>
      <w:r>
        <w:t>1</w:t>
      </w:r>
      <w:r w:rsidR="00827602">
        <w:noBreakHyphen/>
      </w:r>
      <w:r>
        <w:t>12.</w:t>
      </w:r>
    </w:p>
  </w:footnote>
  <w:footnote w:id="106">
    <w:p w14:paraId="3D504AA9" w14:textId="26D249E9" w:rsidR="00F95B01" w:rsidRDefault="00F95B01">
      <w:pPr>
        <w:pStyle w:val="FootnoteText"/>
      </w:pPr>
      <w:r>
        <w:rPr>
          <w:rStyle w:val="FootnoteReference"/>
        </w:rPr>
        <w:footnoteRef/>
      </w:r>
      <w:r>
        <w:t xml:space="preserve"> </w:t>
      </w:r>
      <w:r w:rsidR="003361F0">
        <w:t xml:space="preserve"> </w:t>
      </w:r>
      <w:r>
        <w:t>PCF Opening Brief</w:t>
      </w:r>
      <w:r w:rsidR="000B3DA8">
        <w:t xml:space="preserve"> at 1</w:t>
      </w:r>
      <w:r>
        <w:t>2.</w:t>
      </w:r>
    </w:p>
  </w:footnote>
  <w:footnote w:id="107">
    <w:p w14:paraId="291EFC79" w14:textId="75F6D4CE" w:rsidR="00F95B01" w:rsidRDefault="00F95B01">
      <w:pPr>
        <w:pStyle w:val="FootnoteText"/>
      </w:pPr>
      <w:r>
        <w:rPr>
          <w:rStyle w:val="FootnoteReference"/>
        </w:rPr>
        <w:footnoteRef/>
      </w:r>
      <w:r>
        <w:t xml:space="preserve"> </w:t>
      </w:r>
      <w:r w:rsidR="003361F0">
        <w:t xml:space="preserve"> </w:t>
      </w:r>
      <w:r>
        <w:t>PCF Opening Brief</w:t>
      </w:r>
      <w:r w:rsidR="000B3DA8">
        <w:t xml:space="preserve"> at 1</w:t>
      </w:r>
      <w:r>
        <w:t>3</w:t>
      </w:r>
      <w:r w:rsidR="00827602">
        <w:noBreakHyphen/>
      </w:r>
      <w:r>
        <w:t>14.</w:t>
      </w:r>
    </w:p>
  </w:footnote>
  <w:footnote w:id="108">
    <w:p w14:paraId="00491E53" w14:textId="26FA501C" w:rsidR="00F95B01" w:rsidRDefault="00F95B01">
      <w:pPr>
        <w:pStyle w:val="FootnoteText"/>
      </w:pPr>
      <w:r>
        <w:rPr>
          <w:rStyle w:val="FootnoteReference"/>
        </w:rPr>
        <w:footnoteRef/>
      </w:r>
      <w:r>
        <w:t xml:space="preserve"> </w:t>
      </w:r>
      <w:r w:rsidR="003361F0">
        <w:t xml:space="preserve"> </w:t>
      </w:r>
      <w:r>
        <w:t>PCF Opening Brief</w:t>
      </w:r>
      <w:r w:rsidR="000B3DA8">
        <w:t xml:space="preserve"> at 1</w:t>
      </w:r>
      <w:r>
        <w:t>3.</w:t>
      </w:r>
    </w:p>
  </w:footnote>
  <w:footnote w:id="109">
    <w:p w14:paraId="624010A4" w14:textId="0F0437C0" w:rsidR="0071796A" w:rsidRDefault="0071796A">
      <w:pPr>
        <w:pStyle w:val="FootnoteText"/>
      </w:pPr>
      <w:r>
        <w:rPr>
          <w:rStyle w:val="FootnoteReference"/>
        </w:rPr>
        <w:footnoteRef/>
      </w:r>
      <w:r w:rsidR="008E59BE">
        <w:t xml:space="preserve"> </w:t>
      </w:r>
      <w:r>
        <w:t xml:space="preserve"> PCF Opening Brief</w:t>
      </w:r>
      <w:r w:rsidR="000B3DA8">
        <w:t xml:space="preserve"> at 1</w:t>
      </w:r>
      <w:r>
        <w:t>2</w:t>
      </w:r>
      <w:r w:rsidR="0048238A">
        <w:t xml:space="preserve"> and 13</w:t>
      </w:r>
      <w:r>
        <w:t>.</w:t>
      </w:r>
    </w:p>
  </w:footnote>
  <w:footnote w:id="110">
    <w:p w14:paraId="31ACE51B" w14:textId="0FD034B6" w:rsidR="0071796A" w:rsidRDefault="0071796A">
      <w:pPr>
        <w:pStyle w:val="FootnoteText"/>
      </w:pPr>
      <w:r>
        <w:rPr>
          <w:rStyle w:val="FootnoteReference"/>
        </w:rPr>
        <w:footnoteRef/>
      </w:r>
      <w:r>
        <w:t xml:space="preserve"> </w:t>
      </w:r>
      <w:r w:rsidR="008E59BE">
        <w:t xml:space="preserve"> </w:t>
      </w:r>
      <w:r>
        <w:t>PCF Opening Brief</w:t>
      </w:r>
      <w:r w:rsidR="000B3DA8">
        <w:t xml:space="preserve"> at 1</w:t>
      </w:r>
      <w:r>
        <w:t>3.</w:t>
      </w:r>
    </w:p>
  </w:footnote>
  <w:footnote w:id="111">
    <w:p w14:paraId="2BC04EF9" w14:textId="5338BFE3" w:rsidR="00C27468" w:rsidRDefault="00C27468">
      <w:pPr>
        <w:pStyle w:val="FootnoteText"/>
      </w:pPr>
      <w:r>
        <w:rPr>
          <w:rStyle w:val="FootnoteReference"/>
        </w:rPr>
        <w:footnoteRef/>
      </w:r>
      <w:r>
        <w:t xml:space="preserve"> </w:t>
      </w:r>
      <w:r w:rsidR="003361F0">
        <w:t xml:space="preserve"> </w:t>
      </w:r>
      <w:r>
        <w:t>D.20</w:t>
      </w:r>
      <w:r w:rsidR="00827602">
        <w:noBreakHyphen/>
      </w:r>
      <w:r>
        <w:t>04</w:t>
      </w:r>
      <w:r w:rsidR="00827602">
        <w:noBreakHyphen/>
      </w:r>
      <w:r>
        <w:t>010</w:t>
      </w:r>
      <w:r w:rsidR="000B3DA8">
        <w:t xml:space="preserve"> at 4</w:t>
      </w:r>
      <w:r>
        <w:t>2</w:t>
      </w:r>
      <w:r w:rsidR="00827602">
        <w:noBreakHyphen/>
      </w:r>
      <w:r>
        <w:t>43, 50</w:t>
      </w:r>
      <w:r w:rsidR="00827602">
        <w:noBreakHyphen/>
      </w:r>
      <w:r>
        <w:t>56, 56</w:t>
      </w:r>
      <w:r w:rsidR="00827602">
        <w:noBreakHyphen/>
      </w:r>
      <w:r>
        <w:t>61, and 69</w:t>
      </w:r>
      <w:r w:rsidR="00827602">
        <w:noBreakHyphen/>
      </w:r>
      <w:r>
        <w:t>70.</w:t>
      </w:r>
    </w:p>
  </w:footnote>
  <w:footnote w:id="112">
    <w:p w14:paraId="2B6E0271" w14:textId="19E5FB11" w:rsidR="007C4232" w:rsidRDefault="007C4232">
      <w:pPr>
        <w:pStyle w:val="FootnoteText"/>
      </w:pPr>
      <w:r>
        <w:rPr>
          <w:rStyle w:val="FootnoteReference"/>
        </w:rPr>
        <w:footnoteRef/>
      </w:r>
      <w:r>
        <w:t xml:space="preserve"> </w:t>
      </w:r>
      <w:r w:rsidR="003361F0">
        <w:t xml:space="preserve"> </w:t>
      </w:r>
      <w:r>
        <w:t>SBUA Opening Brief</w:t>
      </w:r>
      <w:r w:rsidR="000B3DA8">
        <w:t xml:space="preserve"> at 4</w:t>
      </w:r>
      <w:r>
        <w:t xml:space="preserve"> citing D.21</w:t>
      </w:r>
      <w:r w:rsidR="00827602">
        <w:noBreakHyphen/>
      </w:r>
      <w:r>
        <w:t>02</w:t>
      </w:r>
      <w:r w:rsidR="00827602">
        <w:noBreakHyphen/>
      </w:r>
      <w:r>
        <w:t xml:space="preserve">007 at </w:t>
      </w:r>
      <w:r w:rsidR="008C4866">
        <w:t>Finding of Fact </w:t>
      </w:r>
      <w:r>
        <w:t>4</w:t>
      </w:r>
      <w:r w:rsidR="00FA6834">
        <w:t>.</w:t>
      </w:r>
    </w:p>
  </w:footnote>
  <w:footnote w:id="113">
    <w:p w14:paraId="783B583C" w14:textId="30E03A9C" w:rsidR="004160B1" w:rsidRDefault="004160B1">
      <w:pPr>
        <w:pStyle w:val="FootnoteText"/>
      </w:pPr>
      <w:r>
        <w:rPr>
          <w:rStyle w:val="FootnoteReference"/>
        </w:rPr>
        <w:footnoteRef/>
      </w:r>
      <w:r w:rsidR="003361F0">
        <w:t xml:space="preserve"> </w:t>
      </w:r>
      <w:r>
        <w:t xml:space="preserve"> </w:t>
      </w:r>
      <w:r>
        <w:t>SBUA Opening Brief</w:t>
      </w:r>
      <w:r w:rsidR="000B3DA8">
        <w:t xml:space="preserve"> at 4</w:t>
      </w:r>
      <w:r>
        <w:t>.</w:t>
      </w:r>
    </w:p>
  </w:footnote>
  <w:footnote w:id="114">
    <w:p w14:paraId="26658D35" w14:textId="4176FFA6" w:rsidR="002D4647" w:rsidRPr="008E6792" w:rsidRDefault="002D4647" w:rsidP="007A75F6">
      <w:pPr>
        <w:pStyle w:val="FootnoteText"/>
        <w:rPr>
          <w:b/>
          <w:bCs/>
          <w:i/>
          <w:iCs/>
        </w:rPr>
      </w:pPr>
      <w:r>
        <w:rPr>
          <w:rStyle w:val="FootnoteReference"/>
        </w:rPr>
        <w:footnoteRef/>
      </w:r>
      <w:r>
        <w:t xml:space="preserve"> </w:t>
      </w:r>
      <w:r w:rsidR="003361F0">
        <w:t xml:space="preserve"> </w:t>
      </w:r>
      <w:r>
        <w:t>CALSSA Opening Brief</w:t>
      </w:r>
      <w:r w:rsidR="000B3DA8">
        <w:t xml:space="preserve"> at 4</w:t>
      </w:r>
      <w:r w:rsidR="007A75F6">
        <w:t xml:space="preserve">3 citing </w:t>
      </w:r>
      <w:r w:rsidR="007A75F6" w:rsidRPr="007A75F6">
        <w:rPr>
          <w:i/>
          <w:iCs/>
        </w:rPr>
        <w:t>California Standard Practice Manual</w:t>
      </w:r>
      <w:r w:rsidR="00555CC0">
        <w:rPr>
          <w:i/>
          <w:iCs/>
        </w:rPr>
        <w:t xml:space="preserve">:  </w:t>
      </w:r>
      <w:r w:rsidR="007A75F6" w:rsidRPr="007A75F6">
        <w:rPr>
          <w:i/>
          <w:iCs/>
        </w:rPr>
        <w:t>Economic Analysis of Demand</w:t>
      </w:r>
      <w:r w:rsidR="00827602">
        <w:rPr>
          <w:i/>
          <w:iCs/>
        </w:rPr>
        <w:noBreakHyphen/>
      </w:r>
      <w:r w:rsidR="007A75F6" w:rsidRPr="007A75F6">
        <w:rPr>
          <w:i/>
          <w:iCs/>
        </w:rPr>
        <w:t>Side Programs and</w:t>
      </w:r>
      <w:r w:rsidR="00FA6834">
        <w:rPr>
          <w:i/>
          <w:iCs/>
        </w:rPr>
        <w:t xml:space="preserve"> </w:t>
      </w:r>
      <w:r w:rsidR="007A75F6" w:rsidRPr="007A75F6">
        <w:rPr>
          <w:i/>
          <w:iCs/>
        </w:rPr>
        <w:t>Projects</w:t>
      </w:r>
      <w:r w:rsidR="007A75F6" w:rsidRPr="007A75F6">
        <w:t>,</w:t>
      </w:r>
      <w:r w:rsidR="004A7ECE">
        <w:t xml:space="preserve"> p. </w:t>
      </w:r>
      <w:r w:rsidR="007A75F6" w:rsidRPr="007A75F6">
        <w:t>6, California Public Utilities Commission (October</w:t>
      </w:r>
      <w:r w:rsidR="008C4866">
        <w:t> </w:t>
      </w:r>
      <w:r w:rsidR="007A75F6" w:rsidRPr="007A75F6">
        <w:t>2001),</w:t>
      </w:r>
      <w:r w:rsidR="007A75F6" w:rsidRPr="006B3A97">
        <w:t xml:space="preserve"> available at</w:t>
      </w:r>
      <w:r w:rsidR="00602BC5">
        <w:t xml:space="preserve">:  </w:t>
      </w:r>
      <w:hyperlink r:id="rId5" w:history="1">
        <w:r w:rsidR="00CC11B1">
          <w:rPr>
            <w:rStyle w:val="Hyperlink"/>
          </w:rPr>
          <w:t>cpuc</w:t>
        </w:r>
        <w:r w:rsidR="00827602">
          <w:rPr>
            <w:rStyle w:val="Hyperlink"/>
          </w:rPr>
          <w:noBreakHyphen/>
        </w:r>
        <w:r w:rsidR="00CC11B1">
          <w:rPr>
            <w:rStyle w:val="Hyperlink"/>
          </w:rPr>
          <w:t>standard</w:t>
        </w:r>
        <w:r w:rsidR="00827602">
          <w:rPr>
            <w:rStyle w:val="Hyperlink"/>
          </w:rPr>
          <w:noBreakHyphen/>
        </w:r>
        <w:r w:rsidR="00CC11B1">
          <w:rPr>
            <w:rStyle w:val="Hyperlink"/>
          </w:rPr>
          <w:t>practice</w:t>
        </w:r>
        <w:r w:rsidR="00827602">
          <w:rPr>
            <w:rStyle w:val="Hyperlink"/>
          </w:rPr>
          <w:noBreakHyphen/>
        </w:r>
        <w:r w:rsidR="00CC11B1">
          <w:rPr>
            <w:rStyle w:val="Hyperlink"/>
          </w:rPr>
          <w:t>manual.pdf</w:t>
        </w:r>
      </w:hyperlink>
      <w:r w:rsidR="006B3A97">
        <w:t xml:space="preserve"> </w:t>
      </w:r>
      <w:r w:rsidR="00CC11B1">
        <w:t xml:space="preserve">(ca.gov) </w:t>
      </w:r>
      <w:r w:rsidR="007A75F6" w:rsidRPr="007A75F6">
        <w:t>(Standard Practice</w:t>
      </w:r>
      <w:r w:rsidR="007A75F6">
        <w:t xml:space="preserve"> </w:t>
      </w:r>
      <w:r w:rsidR="007A75F6" w:rsidRPr="007A75F6">
        <w:t>Manual)</w:t>
      </w:r>
      <w:r w:rsidR="00CC11B1">
        <w:t>.</w:t>
      </w:r>
    </w:p>
  </w:footnote>
  <w:footnote w:id="115">
    <w:p w14:paraId="2D08665C" w14:textId="2B5C1D03" w:rsidR="007C4232" w:rsidRDefault="007C4232">
      <w:pPr>
        <w:pStyle w:val="FootnoteText"/>
      </w:pPr>
      <w:r>
        <w:rPr>
          <w:rStyle w:val="FootnoteReference"/>
        </w:rPr>
        <w:footnoteRef/>
      </w:r>
      <w:r>
        <w:t xml:space="preserve"> </w:t>
      </w:r>
      <w:r w:rsidR="003361F0">
        <w:t xml:space="preserve"> </w:t>
      </w:r>
      <w:r>
        <w:t>IEPA Opening Brief</w:t>
      </w:r>
      <w:r w:rsidR="000B3DA8">
        <w:t xml:space="preserve"> at 7</w:t>
      </w:r>
      <w:r>
        <w:t xml:space="preserve"> citing D.19</w:t>
      </w:r>
      <w:r w:rsidR="00827602">
        <w:noBreakHyphen/>
      </w:r>
      <w:r>
        <w:t>05</w:t>
      </w:r>
      <w:r w:rsidR="00827602">
        <w:noBreakHyphen/>
      </w:r>
      <w:r>
        <w:t>019.</w:t>
      </w:r>
    </w:p>
  </w:footnote>
  <w:footnote w:id="116">
    <w:p w14:paraId="581AE790" w14:textId="746C179B" w:rsidR="007C4232" w:rsidRDefault="007C4232">
      <w:pPr>
        <w:pStyle w:val="FootnoteText"/>
      </w:pPr>
      <w:r>
        <w:rPr>
          <w:rStyle w:val="FootnoteReference"/>
        </w:rPr>
        <w:footnoteRef/>
      </w:r>
      <w:r>
        <w:t xml:space="preserve"> </w:t>
      </w:r>
      <w:r w:rsidR="003361F0">
        <w:t xml:space="preserve"> </w:t>
      </w:r>
      <w:r>
        <w:t>IEPA Opening Brief</w:t>
      </w:r>
      <w:r w:rsidR="000B3DA8">
        <w:t xml:space="preserve"> at 7</w:t>
      </w:r>
      <w:r>
        <w:t>.</w:t>
      </w:r>
    </w:p>
  </w:footnote>
  <w:footnote w:id="117">
    <w:p w14:paraId="2EE8235D" w14:textId="53AA071F" w:rsidR="003E4029" w:rsidRDefault="003E4029">
      <w:pPr>
        <w:pStyle w:val="FootnoteText"/>
      </w:pPr>
      <w:r>
        <w:rPr>
          <w:rStyle w:val="FootnoteReference"/>
        </w:rPr>
        <w:footnoteRef/>
      </w:r>
      <w:r>
        <w:t xml:space="preserve"> </w:t>
      </w:r>
      <w:r w:rsidR="003361F0">
        <w:t xml:space="preserve"> </w:t>
      </w:r>
      <w:r>
        <w:t>Joint Utilities Opening Brief</w:t>
      </w:r>
      <w:r w:rsidR="000B3DA8">
        <w:t xml:space="preserve"> at 5</w:t>
      </w:r>
      <w:r>
        <w:t>4 citing the Standard Practice Manual</w:t>
      </w:r>
      <w:r w:rsidR="000B3DA8">
        <w:t xml:space="preserve"> at 5</w:t>
      </w:r>
      <w:r>
        <w:t>.</w:t>
      </w:r>
    </w:p>
  </w:footnote>
  <w:footnote w:id="118">
    <w:p w14:paraId="6FC6EBA9" w14:textId="6C758A97" w:rsidR="003E4029" w:rsidRDefault="003E4029">
      <w:pPr>
        <w:pStyle w:val="FootnoteText"/>
      </w:pPr>
      <w:r>
        <w:rPr>
          <w:rStyle w:val="FootnoteReference"/>
        </w:rPr>
        <w:footnoteRef/>
      </w:r>
      <w:r>
        <w:t xml:space="preserve"> </w:t>
      </w:r>
      <w:r w:rsidR="003361F0">
        <w:t xml:space="preserve"> </w:t>
      </w:r>
      <w:r>
        <w:t>Joint Utilities Opening Brief</w:t>
      </w:r>
      <w:r w:rsidR="000B3DA8">
        <w:t xml:space="preserve"> at 5</w:t>
      </w:r>
      <w:r w:rsidR="002119E0">
        <w:t>5</w:t>
      </w:r>
      <w:r>
        <w:t xml:space="preserve"> citing D.19</w:t>
      </w:r>
      <w:r w:rsidR="00827602">
        <w:noBreakHyphen/>
      </w:r>
      <w:r>
        <w:t>05</w:t>
      </w:r>
      <w:r w:rsidR="00827602">
        <w:noBreakHyphen/>
      </w:r>
      <w:r>
        <w:t>019</w:t>
      </w:r>
      <w:r w:rsidR="000B3DA8">
        <w:t xml:space="preserve"> at 9</w:t>
      </w:r>
      <w:r>
        <w:t>.</w:t>
      </w:r>
    </w:p>
  </w:footnote>
  <w:footnote w:id="119">
    <w:p w14:paraId="4CA53EF7" w14:textId="16CF2658" w:rsidR="003E4029" w:rsidRDefault="003E4029">
      <w:pPr>
        <w:pStyle w:val="FootnoteText"/>
      </w:pPr>
      <w:r>
        <w:rPr>
          <w:rStyle w:val="FootnoteReference"/>
        </w:rPr>
        <w:footnoteRef/>
      </w:r>
      <w:r>
        <w:t xml:space="preserve"> </w:t>
      </w:r>
      <w:r w:rsidR="003361F0">
        <w:t xml:space="preserve"> </w:t>
      </w:r>
      <w:r>
        <w:t>Joint Utilities Opening Brief</w:t>
      </w:r>
      <w:r w:rsidR="000B3DA8">
        <w:t xml:space="preserve"> at 5</w:t>
      </w:r>
      <w:r>
        <w:t>6</w:t>
      </w:r>
      <w:r w:rsidR="002119E0">
        <w:t xml:space="preserve"> citing D.09</w:t>
      </w:r>
      <w:r w:rsidR="00827602">
        <w:noBreakHyphen/>
      </w:r>
      <w:r w:rsidR="002119E0">
        <w:t>08</w:t>
      </w:r>
      <w:r w:rsidR="00827602">
        <w:noBreakHyphen/>
      </w:r>
      <w:r w:rsidR="002119E0">
        <w:t>026</w:t>
      </w:r>
      <w:r w:rsidR="000B3DA8">
        <w:t xml:space="preserve"> at 6</w:t>
      </w:r>
      <w:r w:rsidR="002119E0">
        <w:t xml:space="preserve">5 and </w:t>
      </w:r>
      <w:r w:rsidR="000B3DA8">
        <w:t>Conclusion of Law 5</w:t>
      </w:r>
      <w:r w:rsidR="002119E0">
        <w:t>.</w:t>
      </w:r>
    </w:p>
  </w:footnote>
  <w:footnote w:id="120">
    <w:p w14:paraId="759DA887" w14:textId="50EBE4EE" w:rsidR="00D87A35" w:rsidRDefault="00D87A35">
      <w:pPr>
        <w:pStyle w:val="FootnoteText"/>
      </w:pPr>
      <w:r>
        <w:rPr>
          <w:rStyle w:val="FootnoteReference"/>
        </w:rPr>
        <w:footnoteRef/>
      </w:r>
      <w:r>
        <w:t xml:space="preserve"> </w:t>
      </w:r>
      <w:r w:rsidR="003361F0">
        <w:t xml:space="preserve"> </w:t>
      </w:r>
      <w:r w:rsidR="009355F1">
        <w:t>Cal Advoc</w:t>
      </w:r>
      <w:r>
        <w:t>ates Opening Brief</w:t>
      </w:r>
      <w:r w:rsidR="000B3DA8">
        <w:t xml:space="preserve"> at 9</w:t>
      </w:r>
      <w:r>
        <w:t xml:space="preserve"> citing PAO</w:t>
      </w:r>
      <w:r w:rsidR="00827602">
        <w:noBreakHyphen/>
      </w:r>
      <w:r>
        <w:t>01</w:t>
      </w:r>
      <w:r w:rsidR="000B3DA8">
        <w:t xml:space="preserve"> at 5</w:t>
      </w:r>
      <w:r w:rsidR="00827602">
        <w:noBreakHyphen/>
      </w:r>
      <w:r>
        <w:t>6.</w:t>
      </w:r>
    </w:p>
  </w:footnote>
  <w:footnote w:id="121">
    <w:p w14:paraId="6A1080DF" w14:textId="68F26AD5" w:rsidR="005E6065" w:rsidRDefault="005E6065">
      <w:pPr>
        <w:pStyle w:val="FootnoteText"/>
      </w:pPr>
      <w:r>
        <w:rPr>
          <w:rStyle w:val="FootnoteReference"/>
        </w:rPr>
        <w:footnoteRef/>
      </w:r>
      <w:r>
        <w:t xml:space="preserve"> </w:t>
      </w:r>
      <w:r w:rsidR="003361F0">
        <w:t xml:space="preserve"> </w:t>
      </w:r>
      <w:r w:rsidR="009355F1">
        <w:t>Cal Advoc</w:t>
      </w:r>
      <w:r>
        <w:t>ates Opening Brief</w:t>
      </w:r>
      <w:r w:rsidR="000B3DA8">
        <w:t xml:space="preserve"> at 9</w:t>
      </w:r>
      <w:r>
        <w:t xml:space="preserve"> citing PAO</w:t>
      </w:r>
      <w:r w:rsidR="00827602">
        <w:noBreakHyphen/>
      </w:r>
      <w:r>
        <w:t>01</w:t>
      </w:r>
      <w:r w:rsidR="000B3DA8">
        <w:t xml:space="preserve"> at 5</w:t>
      </w:r>
      <w:r w:rsidR="00827602">
        <w:noBreakHyphen/>
      </w:r>
      <w:r>
        <w:t>5.</w:t>
      </w:r>
    </w:p>
  </w:footnote>
  <w:footnote w:id="122">
    <w:p w14:paraId="00DEFD4D" w14:textId="6DE81DD5" w:rsidR="00FA4005" w:rsidRDefault="00FA4005">
      <w:pPr>
        <w:pStyle w:val="FootnoteText"/>
      </w:pPr>
      <w:r>
        <w:rPr>
          <w:rStyle w:val="FootnoteReference"/>
        </w:rPr>
        <w:footnoteRef/>
      </w:r>
      <w:r>
        <w:t xml:space="preserve"> </w:t>
      </w:r>
      <w:r w:rsidR="003361F0">
        <w:t xml:space="preserve"> </w:t>
      </w:r>
      <w:r>
        <w:t>NRDC Opening Brief</w:t>
      </w:r>
      <w:r w:rsidR="000B3DA8">
        <w:t xml:space="preserve"> at 2</w:t>
      </w:r>
      <w:r>
        <w:t>1.</w:t>
      </w:r>
    </w:p>
  </w:footnote>
  <w:footnote w:id="123">
    <w:p w14:paraId="375A394B" w14:textId="6C0D82C7" w:rsidR="00FA4005" w:rsidRDefault="00FA4005">
      <w:pPr>
        <w:pStyle w:val="FootnoteText"/>
      </w:pPr>
      <w:r>
        <w:rPr>
          <w:rStyle w:val="FootnoteReference"/>
        </w:rPr>
        <w:footnoteRef/>
      </w:r>
      <w:r>
        <w:t xml:space="preserve"> </w:t>
      </w:r>
      <w:r w:rsidR="003361F0">
        <w:t xml:space="preserve"> </w:t>
      </w:r>
      <w:r>
        <w:t>NRDC Opening Brief</w:t>
      </w:r>
      <w:r w:rsidR="000B3DA8">
        <w:t xml:space="preserve"> at 2</w:t>
      </w:r>
      <w:r>
        <w:t>1.</w:t>
      </w:r>
    </w:p>
  </w:footnote>
  <w:footnote w:id="124">
    <w:p w14:paraId="1999B794" w14:textId="21FA8C65" w:rsidR="004160B1" w:rsidRDefault="004160B1">
      <w:pPr>
        <w:pStyle w:val="FootnoteText"/>
      </w:pPr>
      <w:r>
        <w:rPr>
          <w:rStyle w:val="FootnoteReference"/>
        </w:rPr>
        <w:footnoteRef/>
      </w:r>
      <w:r>
        <w:t xml:space="preserve"> </w:t>
      </w:r>
      <w:r w:rsidR="003361F0">
        <w:t xml:space="preserve"> </w:t>
      </w:r>
      <w:r>
        <w:t>SBUA Opening Brief</w:t>
      </w:r>
      <w:r w:rsidR="000B3DA8">
        <w:t xml:space="preserve"> at 6</w:t>
      </w:r>
      <w:r>
        <w:t xml:space="preserve"> citing SBU</w:t>
      </w:r>
      <w:r w:rsidR="00827602">
        <w:noBreakHyphen/>
      </w:r>
      <w:r>
        <w:t>01</w:t>
      </w:r>
      <w:r w:rsidR="000B3DA8">
        <w:t xml:space="preserve"> at 1</w:t>
      </w:r>
      <w:r>
        <w:t>3:26</w:t>
      </w:r>
      <w:r w:rsidR="00827602">
        <w:noBreakHyphen/>
      </w:r>
      <w:r>
        <w:t>27 and SBU</w:t>
      </w:r>
      <w:r w:rsidR="00827602">
        <w:noBreakHyphen/>
      </w:r>
      <w:r>
        <w:t>08</w:t>
      </w:r>
      <w:r w:rsidR="000B3DA8">
        <w:t xml:space="preserve"> at 6</w:t>
      </w:r>
      <w:r>
        <w:t>:12</w:t>
      </w:r>
      <w:r w:rsidR="00827602">
        <w:noBreakHyphen/>
      </w:r>
      <w:r>
        <w:t>15.</w:t>
      </w:r>
    </w:p>
  </w:footnote>
  <w:footnote w:id="125">
    <w:p w14:paraId="77BCF6DE" w14:textId="0328ECCF" w:rsidR="00014AD9" w:rsidRDefault="00153825">
      <w:pPr>
        <w:pStyle w:val="FootnoteText"/>
      </w:pPr>
      <w:r>
        <w:rPr>
          <w:rStyle w:val="FootnoteReference"/>
        </w:rPr>
        <w:footnoteRef/>
      </w:r>
      <w:r w:rsidR="00014AD9">
        <w:t xml:space="preserve"> </w:t>
      </w:r>
      <w:r w:rsidR="003361F0">
        <w:t xml:space="preserve"> </w:t>
      </w:r>
      <w:r w:rsidR="00014AD9">
        <w:t>TURN Opening Brief</w:t>
      </w:r>
      <w:r w:rsidR="000B3DA8">
        <w:t xml:space="preserve"> at 1</w:t>
      </w:r>
      <w:r w:rsidR="00014AD9">
        <w:t>9.</w:t>
      </w:r>
    </w:p>
  </w:footnote>
  <w:footnote w:id="126">
    <w:p w14:paraId="5F63B193" w14:textId="31780840" w:rsidR="00153825" w:rsidRDefault="00153825">
      <w:pPr>
        <w:pStyle w:val="FootnoteText"/>
      </w:pPr>
      <w:r>
        <w:rPr>
          <w:rStyle w:val="FootnoteReference"/>
        </w:rPr>
        <w:footnoteRef/>
      </w:r>
      <w:r>
        <w:t xml:space="preserve"> </w:t>
      </w:r>
      <w:r w:rsidR="003361F0">
        <w:t xml:space="preserve"> </w:t>
      </w:r>
      <w:r>
        <w:t>TURN Opening Brief</w:t>
      </w:r>
      <w:r w:rsidR="000B3DA8">
        <w:t xml:space="preserve"> at 2</w:t>
      </w:r>
      <w:r>
        <w:t>1, citing TRN</w:t>
      </w:r>
      <w:r w:rsidR="00827602">
        <w:noBreakHyphen/>
      </w:r>
      <w:r>
        <w:t>01</w:t>
      </w:r>
      <w:r w:rsidR="000B3DA8">
        <w:t xml:space="preserve"> at 1</w:t>
      </w:r>
      <w:r>
        <w:t>4.</w:t>
      </w:r>
    </w:p>
  </w:footnote>
  <w:footnote w:id="127">
    <w:p w14:paraId="3E5D3E5B" w14:textId="32FB8659" w:rsidR="003C41A0" w:rsidRDefault="003C41A0">
      <w:pPr>
        <w:pStyle w:val="FootnoteText"/>
      </w:pPr>
      <w:r>
        <w:rPr>
          <w:rStyle w:val="FootnoteReference"/>
        </w:rPr>
        <w:footnoteRef/>
      </w:r>
      <w:r>
        <w:t xml:space="preserve"> </w:t>
      </w:r>
      <w:r w:rsidR="003361F0">
        <w:t xml:space="preserve"> </w:t>
      </w:r>
      <w:r>
        <w:t>SEIA/Vote Solar Opening Brief</w:t>
      </w:r>
      <w:r w:rsidR="000B3DA8">
        <w:t xml:space="preserve"> at 1</w:t>
      </w:r>
      <w:r>
        <w:t>1</w:t>
      </w:r>
      <w:r w:rsidR="00827602">
        <w:noBreakHyphen/>
      </w:r>
      <w:r>
        <w:t>12.</w:t>
      </w:r>
    </w:p>
  </w:footnote>
  <w:footnote w:id="128">
    <w:p w14:paraId="05321415" w14:textId="02E847CF" w:rsidR="00153825" w:rsidRDefault="00153825" w:rsidP="00153825">
      <w:pPr>
        <w:pStyle w:val="FootnoteText"/>
      </w:pPr>
      <w:r>
        <w:rPr>
          <w:rStyle w:val="FootnoteReference"/>
        </w:rPr>
        <w:footnoteRef/>
      </w:r>
      <w:r>
        <w:t xml:space="preserve"> </w:t>
      </w:r>
      <w:r w:rsidR="003361F0">
        <w:t xml:space="preserve"> </w:t>
      </w:r>
      <w:r>
        <w:t>SEIA/Vote Solar Opening Brief</w:t>
      </w:r>
      <w:r w:rsidR="000B3DA8">
        <w:t xml:space="preserve"> at 1</w:t>
      </w:r>
      <w:r>
        <w:t xml:space="preserve">2, citing </w:t>
      </w:r>
      <w:r w:rsidRPr="00153825">
        <w:rPr>
          <w:i/>
          <w:iCs/>
        </w:rPr>
        <w:t xml:space="preserve">Cost Effectiveness of the NEM Successor Rate Proposals Under </w:t>
      </w:r>
      <w:r w:rsidR="00A27A49">
        <w:rPr>
          <w:i/>
          <w:iCs/>
        </w:rPr>
        <w:t>Rulemaking 2</w:t>
      </w:r>
      <w:r w:rsidRPr="00153825">
        <w:rPr>
          <w:i/>
          <w:iCs/>
        </w:rPr>
        <w:t>0</w:t>
      </w:r>
      <w:r w:rsidR="00827602">
        <w:rPr>
          <w:i/>
          <w:iCs/>
        </w:rPr>
        <w:noBreakHyphen/>
      </w:r>
      <w:r w:rsidRPr="00153825">
        <w:rPr>
          <w:i/>
          <w:iCs/>
        </w:rPr>
        <w:t>08</w:t>
      </w:r>
      <w:r w:rsidR="00827602">
        <w:rPr>
          <w:i/>
          <w:iCs/>
        </w:rPr>
        <w:noBreakHyphen/>
      </w:r>
      <w:r w:rsidRPr="00153825">
        <w:rPr>
          <w:i/>
          <w:iCs/>
        </w:rPr>
        <w:t>020</w:t>
      </w:r>
      <w:r w:rsidRPr="00153825">
        <w:t>, Energy,</w:t>
      </w:r>
      <w:r>
        <w:t xml:space="preserve"> </w:t>
      </w:r>
      <w:r w:rsidRPr="00153825">
        <w:t>Environmental Economic (May</w:t>
      </w:r>
      <w:r w:rsidR="003A7725">
        <w:t> </w:t>
      </w:r>
      <w:r w:rsidRPr="00153825">
        <w:t>28,</w:t>
      </w:r>
      <w:r w:rsidR="003A7725">
        <w:t> </w:t>
      </w:r>
      <w:r w:rsidRPr="00153825">
        <w:t>2021, updated June</w:t>
      </w:r>
      <w:r w:rsidR="003A7725">
        <w:t> </w:t>
      </w:r>
      <w:r w:rsidRPr="00153825">
        <w:t>15,</w:t>
      </w:r>
      <w:r w:rsidR="003A7725">
        <w:t> </w:t>
      </w:r>
      <w:r w:rsidRPr="00153825">
        <w:t>2021)</w:t>
      </w:r>
      <w:r w:rsidR="000B3DA8">
        <w:t xml:space="preserve"> at 5</w:t>
      </w:r>
      <w:r w:rsidR="00FA6834">
        <w:t>.</w:t>
      </w:r>
    </w:p>
  </w:footnote>
  <w:footnote w:id="129">
    <w:p w14:paraId="46B2C1AE" w14:textId="3568526B" w:rsidR="00585142" w:rsidRDefault="00585142">
      <w:pPr>
        <w:pStyle w:val="FootnoteText"/>
      </w:pPr>
      <w:r>
        <w:rPr>
          <w:rStyle w:val="FootnoteReference"/>
        </w:rPr>
        <w:footnoteRef/>
      </w:r>
      <w:r>
        <w:t xml:space="preserve"> </w:t>
      </w:r>
      <w:r w:rsidR="003361F0">
        <w:t xml:space="preserve"> </w:t>
      </w:r>
      <w:r>
        <w:t>SEIA/Vote Solar Opening Brief</w:t>
      </w:r>
      <w:r w:rsidR="000B3DA8">
        <w:t xml:space="preserve"> at 1</w:t>
      </w:r>
      <w:r>
        <w:t>2</w:t>
      </w:r>
      <w:r w:rsidR="00827602">
        <w:noBreakHyphen/>
      </w:r>
      <w:r>
        <w:t>17.</w:t>
      </w:r>
    </w:p>
  </w:footnote>
  <w:footnote w:id="130">
    <w:p w14:paraId="151D8F87" w14:textId="37B3F6E0" w:rsidR="004539D6" w:rsidRDefault="004539D6">
      <w:pPr>
        <w:pStyle w:val="FootnoteText"/>
      </w:pPr>
      <w:r>
        <w:rPr>
          <w:rStyle w:val="FootnoteReference"/>
        </w:rPr>
        <w:footnoteRef/>
      </w:r>
      <w:r>
        <w:t xml:space="preserve"> </w:t>
      </w:r>
      <w:r w:rsidR="003361F0">
        <w:t xml:space="preserve"> </w:t>
      </w:r>
      <w:r>
        <w:t>SEIA/Vote Solar</w:t>
      </w:r>
      <w:r w:rsidR="000B3DA8">
        <w:t xml:space="preserve"> at 1</w:t>
      </w:r>
      <w:r>
        <w:t>7.</w:t>
      </w:r>
    </w:p>
  </w:footnote>
  <w:footnote w:id="131">
    <w:p w14:paraId="00F0D3FF" w14:textId="5FB2F324" w:rsidR="00585142" w:rsidRDefault="00585142">
      <w:pPr>
        <w:pStyle w:val="FootnoteText"/>
      </w:pPr>
      <w:r>
        <w:rPr>
          <w:rStyle w:val="FootnoteReference"/>
        </w:rPr>
        <w:footnoteRef/>
      </w:r>
      <w:r>
        <w:t xml:space="preserve"> </w:t>
      </w:r>
      <w:r w:rsidR="003361F0">
        <w:t xml:space="preserve"> </w:t>
      </w:r>
      <w:r>
        <w:t>SEIA/Vote Solar Opening Brief</w:t>
      </w:r>
      <w:r w:rsidR="000B3DA8">
        <w:t xml:space="preserve"> at 1</w:t>
      </w:r>
      <w:r>
        <w:t>7</w:t>
      </w:r>
      <w:r w:rsidR="00827602">
        <w:noBreakHyphen/>
      </w:r>
      <w:r>
        <w:t>20.</w:t>
      </w:r>
    </w:p>
  </w:footnote>
  <w:footnote w:id="132">
    <w:p w14:paraId="464B86D7" w14:textId="07D49607" w:rsidR="00770999" w:rsidRDefault="00770999">
      <w:pPr>
        <w:pStyle w:val="FootnoteText"/>
      </w:pPr>
      <w:r>
        <w:rPr>
          <w:rStyle w:val="FootnoteReference"/>
        </w:rPr>
        <w:footnoteRef/>
      </w:r>
      <w:r>
        <w:t xml:space="preserve"> </w:t>
      </w:r>
      <w:r w:rsidR="003361F0">
        <w:t xml:space="preserve"> </w:t>
      </w:r>
      <w:r>
        <w:t>In D.19</w:t>
      </w:r>
      <w:r w:rsidR="00827602">
        <w:noBreakHyphen/>
      </w:r>
      <w:r>
        <w:t>05</w:t>
      </w:r>
      <w:r w:rsidR="00827602">
        <w:noBreakHyphen/>
      </w:r>
      <w:r>
        <w:t>019, the Commission adopted three elements of the Societal Cost Test (societal discount rate, social cost of carbon, and air quality co</w:t>
      </w:r>
      <w:r w:rsidR="00827602">
        <w:noBreakHyphen/>
      </w:r>
      <w:r>
        <w:t xml:space="preserve">benefits) for informational purposes and to test and evaluate the details of the three elements.  The test is being piloted in the Integrated Resources Planning proceeding.  A final </w:t>
      </w:r>
      <w:r w:rsidR="00B032BA">
        <w:t xml:space="preserve">review </w:t>
      </w:r>
      <w:r>
        <w:t>of the three elements will be reviewed in R.14</w:t>
      </w:r>
      <w:r w:rsidR="00827602">
        <w:noBreakHyphen/>
      </w:r>
      <w:r>
        <w:t>10</w:t>
      </w:r>
      <w:r w:rsidR="00827602">
        <w:noBreakHyphen/>
      </w:r>
      <w:r>
        <w:t>003</w:t>
      </w:r>
      <w:r w:rsidR="00B032BA">
        <w:t xml:space="preserve"> or a successor proceeding</w:t>
      </w:r>
      <w:r>
        <w:t>.</w:t>
      </w:r>
    </w:p>
  </w:footnote>
  <w:footnote w:id="133">
    <w:p w14:paraId="51F90B1D" w14:textId="63E4E193" w:rsidR="00EA5324" w:rsidRDefault="00EA5324">
      <w:pPr>
        <w:pStyle w:val="FootnoteText"/>
      </w:pPr>
      <w:r>
        <w:rPr>
          <w:rStyle w:val="FootnoteReference"/>
        </w:rPr>
        <w:footnoteRef/>
      </w:r>
      <w:r>
        <w:t xml:space="preserve"> </w:t>
      </w:r>
      <w:r w:rsidR="003361F0">
        <w:t xml:space="preserve"> </w:t>
      </w:r>
      <w:r>
        <w:t>PCF Opening Brief</w:t>
      </w:r>
      <w:r w:rsidR="000B3DA8">
        <w:t xml:space="preserve"> at 2</w:t>
      </w:r>
      <w:r>
        <w:t>6.</w:t>
      </w:r>
    </w:p>
  </w:footnote>
  <w:footnote w:id="134">
    <w:p w14:paraId="59AA4B9D" w14:textId="6C6F5CE4" w:rsidR="00EA5324" w:rsidRDefault="00EA5324">
      <w:pPr>
        <w:pStyle w:val="FootnoteText"/>
      </w:pPr>
      <w:r>
        <w:rPr>
          <w:rStyle w:val="FootnoteReference"/>
        </w:rPr>
        <w:footnoteRef/>
      </w:r>
      <w:r>
        <w:t xml:space="preserve"> </w:t>
      </w:r>
      <w:r w:rsidR="003361F0">
        <w:t xml:space="preserve"> </w:t>
      </w:r>
      <w:r>
        <w:t>PCF Opening Brief</w:t>
      </w:r>
      <w:r w:rsidR="000B3DA8">
        <w:t xml:space="preserve"> at 2</w:t>
      </w:r>
      <w:r>
        <w:t>7.</w:t>
      </w:r>
    </w:p>
  </w:footnote>
  <w:footnote w:id="135">
    <w:p w14:paraId="2DE7D2E1" w14:textId="5E5326D7" w:rsidR="00770999" w:rsidRDefault="00770999">
      <w:pPr>
        <w:pStyle w:val="FootnoteText"/>
      </w:pPr>
      <w:r>
        <w:rPr>
          <w:rStyle w:val="FootnoteReference"/>
        </w:rPr>
        <w:footnoteRef/>
      </w:r>
      <w:r>
        <w:t xml:space="preserve"> </w:t>
      </w:r>
      <w:r w:rsidR="003361F0">
        <w:t xml:space="preserve"> </w:t>
      </w:r>
      <w:r>
        <w:t>Joint Utilities Opening Brief</w:t>
      </w:r>
      <w:r w:rsidR="000B3DA8">
        <w:t xml:space="preserve"> at 5</w:t>
      </w:r>
      <w:r>
        <w:t>7.</w:t>
      </w:r>
      <w:r w:rsidR="00B032BA">
        <w:t xml:space="preserve">  </w:t>
      </w:r>
      <w:r w:rsidR="00641ACA">
        <w:t>(</w:t>
      </w:r>
      <w:r w:rsidR="00B032BA" w:rsidRPr="003361F0">
        <w:rPr>
          <w:i/>
          <w:iCs/>
        </w:rPr>
        <w:t>See also</w:t>
      </w:r>
      <w:r w:rsidR="00B032BA">
        <w:t xml:space="preserve"> D.19</w:t>
      </w:r>
      <w:r w:rsidR="00827602">
        <w:noBreakHyphen/>
      </w:r>
      <w:r w:rsidR="00B032BA">
        <w:t>05</w:t>
      </w:r>
      <w:r w:rsidR="00827602">
        <w:noBreakHyphen/>
      </w:r>
      <w:r w:rsidR="00B032BA">
        <w:t>019.</w:t>
      </w:r>
      <w:r w:rsidR="00641ACA">
        <w:t>)</w:t>
      </w:r>
    </w:p>
  </w:footnote>
  <w:footnote w:id="136">
    <w:p w14:paraId="5C30462C" w14:textId="7822306F" w:rsidR="00544D7D" w:rsidRDefault="00544D7D">
      <w:pPr>
        <w:pStyle w:val="FootnoteText"/>
      </w:pPr>
      <w:r>
        <w:rPr>
          <w:rStyle w:val="FootnoteReference"/>
        </w:rPr>
        <w:footnoteRef/>
      </w:r>
      <w:r>
        <w:t xml:space="preserve"> </w:t>
      </w:r>
      <w:r w:rsidR="003361F0">
        <w:t xml:space="preserve"> </w:t>
      </w:r>
      <w:r>
        <w:t>PCF Opening Brief</w:t>
      </w:r>
      <w:r w:rsidR="000B3DA8">
        <w:t xml:space="preserve"> at 2</w:t>
      </w:r>
      <w:r>
        <w:t>2</w:t>
      </w:r>
      <w:r w:rsidR="00827602">
        <w:noBreakHyphen/>
      </w:r>
      <w:r>
        <w:t>23.</w:t>
      </w:r>
    </w:p>
  </w:footnote>
  <w:footnote w:id="137">
    <w:p w14:paraId="704EF5A1" w14:textId="024B8781" w:rsidR="00544D7D" w:rsidRDefault="00544D7D">
      <w:pPr>
        <w:pStyle w:val="FootnoteText"/>
      </w:pPr>
      <w:r>
        <w:rPr>
          <w:rStyle w:val="FootnoteReference"/>
        </w:rPr>
        <w:footnoteRef/>
      </w:r>
      <w:r>
        <w:t xml:space="preserve"> </w:t>
      </w:r>
      <w:r w:rsidR="003361F0">
        <w:t xml:space="preserve"> </w:t>
      </w:r>
      <w:r>
        <w:t>PCF Opening Brief</w:t>
      </w:r>
      <w:r w:rsidR="000B3DA8">
        <w:t xml:space="preserve"> at 2</w:t>
      </w:r>
      <w:r>
        <w:t>4.</w:t>
      </w:r>
    </w:p>
  </w:footnote>
  <w:footnote w:id="138">
    <w:p w14:paraId="4DF37FAC" w14:textId="3C7D681A" w:rsidR="00605DE7" w:rsidRDefault="00605DE7">
      <w:pPr>
        <w:pStyle w:val="FootnoteText"/>
      </w:pPr>
      <w:r>
        <w:rPr>
          <w:rStyle w:val="FootnoteReference"/>
        </w:rPr>
        <w:footnoteRef/>
      </w:r>
      <w:r>
        <w:t xml:space="preserve"> </w:t>
      </w:r>
      <w:r w:rsidR="003361F0">
        <w:t xml:space="preserve"> </w:t>
      </w:r>
      <w:r>
        <w:t>SEIA/Vote Solar Opening Brief</w:t>
      </w:r>
      <w:r w:rsidR="000B3DA8">
        <w:t xml:space="preserve"> at 2</w:t>
      </w:r>
      <w:r>
        <w:t>6</w:t>
      </w:r>
      <w:r w:rsidR="00827602">
        <w:noBreakHyphen/>
      </w:r>
      <w:r>
        <w:t>28.</w:t>
      </w:r>
    </w:p>
  </w:footnote>
  <w:footnote w:id="139">
    <w:p w14:paraId="4B402136" w14:textId="17E87727" w:rsidR="00BD5E4E" w:rsidRDefault="00BD5E4E">
      <w:pPr>
        <w:pStyle w:val="FootnoteText"/>
      </w:pPr>
      <w:r>
        <w:rPr>
          <w:rStyle w:val="FootnoteReference"/>
        </w:rPr>
        <w:footnoteRef/>
      </w:r>
      <w:r w:rsidR="008E59BE">
        <w:t xml:space="preserve"> </w:t>
      </w:r>
      <w:r>
        <w:t xml:space="preserve"> SEIA/Vote Solar Opening Brief</w:t>
      </w:r>
      <w:r w:rsidR="000B3DA8">
        <w:t xml:space="preserve"> at 2</w:t>
      </w:r>
      <w:r>
        <w:t>8</w:t>
      </w:r>
      <w:r w:rsidR="00827602">
        <w:noBreakHyphen/>
      </w:r>
      <w:r>
        <w:t>31.</w:t>
      </w:r>
    </w:p>
  </w:footnote>
  <w:footnote w:id="140">
    <w:p w14:paraId="14D2B8E9" w14:textId="3A3E77DC" w:rsidR="003F3E70" w:rsidRDefault="003F3E70">
      <w:pPr>
        <w:pStyle w:val="FootnoteText"/>
      </w:pPr>
      <w:r>
        <w:rPr>
          <w:rStyle w:val="FootnoteReference"/>
        </w:rPr>
        <w:footnoteRef/>
      </w:r>
      <w:r>
        <w:t xml:space="preserve"> </w:t>
      </w:r>
      <w:r w:rsidR="003361F0">
        <w:t xml:space="preserve"> </w:t>
      </w:r>
      <w:r>
        <w:t>SEIA/Vote Solar Opening Brief</w:t>
      </w:r>
      <w:r w:rsidR="000B3DA8">
        <w:t xml:space="preserve"> at 3</w:t>
      </w:r>
      <w:r>
        <w:t>0.</w:t>
      </w:r>
    </w:p>
  </w:footnote>
  <w:footnote w:id="141">
    <w:p w14:paraId="5E995B7E" w14:textId="667F8BC1" w:rsidR="00605DE7" w:rsidRDefault="00605DE7">
      <w:pPr>
        <w:pStyle w:val="FootnoteText"/>
      </w:pPr>
      <w:r>
        <w:rPr>
          <w:rStyle w:val="FootnoteReference"/>
        </w:rPr>
        <w:footnoteRef/>
      </w:r>
      <w:r>
        <w:t xml:space="preserve"> </w:t>
      </w:r>
      <w:r w:rsidR="003361F0">
        <w:t xml:space="preserve"> </w:t>
      </w:r>
      <w:r>
        <w:t>SEIA/Vote Solar Opening Brief</w:t>
      </w:r>
      <w:r w:rsidR="000B3DA8">
        <w:t xml:space="preserve"> at 3</w:t>
      </w:r>
      <w:r>
        <w:t>1.</w:t>
      </w:r>
    </w:p>
  </w:footnote>
  <w:footnote w:id="142">
    <w:p w14:paraId="190B115A" w14:textId="70DFB1B8" w:rsidR="000C7668" w:rsidRDefault="000C7668">
      <w:pPr>
        <w:pStyle w:val="FootnoteText"/>
      </w:pPr>
      <w:r>
        <w:rPr>
          <w:rStyle w:val="FootnoteReference"/>
        </w:rPr>
        <w:footnoteRef/>
      </w:r>
      <w:r>
        <w:t xml:space="preserve"> </w:t>
      </w:r>
      <w:r w:rsidR="003361F0">
        <w:t xml:space="preserve"> </w:t>
      </w:r>
      <w:r>
        <w:t>CALSSA Opening Brief</w:t>
      </w:r>
      <w:r w:rsidR="000B3DA8">
        <w:t xml:space="preserve"> at 5</w:t>
      </w:r>
      <w:r>
        <w:t>1.</w:t>
      </w:r>
    </w:p>
  </w:footnote>
  <w:footnote w:id="143">
    <w:p w14:paraId="0027C6FF" w14:textId="528E2273" w:rsidR="000C7668" w:rsidRDefault="000C7668">
      <w:pPr>
        <w:pStyle w:val="FootnoteText"/>
      </w:pPr>
      <w:r>
        <w:rPr>
          <w:rStyle w:val="FootnoteReference"/>
        </w:rPr>
        <w:footnoteRef/>
      </w:r>
      <w:r>
        <w:t xml:space="preserve"> </w:t>
      </w:r>
      <w:r w:rsidR="003361F0">
        <w:t xml:space="preserve"> </w:t>
      </w:r>
      <w:r>
        <w:t>CALSSA Opening Brief</w:t>
      </w:r>
      <w:r w:rsidR="000B3DA8">
        <w:t xml:space="preserve"> at 5</w:t>
      </w:r>
      <w:r>
        <w:t>1.</w:t>
      </w:r>
    </w:p>
  </w:footnote>
  <w:footnote w:id="144">
    <w:p w14:paraId="7E5A6AC8" w14:textId="0A4A78EE" w:rsidR="000C7668" w:rsidRDefault="000C7668">
      <w:pPr>
        <w:pStyle w:val="FootnoteText"/>
      </w:pPr>
      <w:r>
        <w:rPr>
          <w:rStyle w:val="FootnoteReference"/>
        </w:rPr>
        <w:footnoteRef/>
      </w:r>
      <w:r w:rsidR="003361F0">
        <w:t xml:space="preserve"> </w:t>
      </w:r>
      <w:r>
        <w:t xml:space="preserve"> </w:t>
      </w:r>
      <w:r>
        <w:t>CALSSA Opening Brief</w:t>
      </w:r>
      <w:r w:rsidR="000B3DA8">
        <w:t xml:space="preserve"> at 5</w:t>
      </w:r>
      <w:r>
        <w:t>2.</w:t>
      </w:r>
    </w:p>
  </w:footnote>
  <w:footnote w:id="145">
    <w:p w14:paraId="65588D9B" w14:textId="3ECC3EF1" w:rsidR="00A93CA7" w:rsidRDefault="00A93CA7">
      <w:pPr>
        <w:pStyle w:val="FootnoteText"/>
      </w:pPr>
      <w:r>
        <w:rPr>
          <w:rStyle w:val="FootnoteReference"/>
        </w:rPr>
        <w:footnoteRef/>
      </w:r>
      <w:r>
        <w:t xml:space="preserve"> </w:t>
      </w:r>
      <w:r w:rsidR="003361F0">
        <w:t xml:space="preserve"> </w:t>
      </w:r>
      <w:r>
        <w:t>CALSSA Opening Brief</w:t>
      </w:r>
      <w:r w:rsidR="000B3DA8">
        <w:t xml:space="preserve"> at 5</w:t>
      </w:r>
      <w:r>
        <w:t>2.</w:t>
      </w:r>
    </w:p>
  </w:footnote>
  <w:footnote w:id="146">
    <w:p w14:paraId="45550265" w14:textId="01BECA52" w:rsidR="00CA4195" w:rsidRDefault="00CA4195">
      <w:pPr>
        <w:pStyle w:val="FootnoteText"/>
      </w:pPr>
      <w:r>
        <w:rPr>
          <w:rStyle w:val="FootnoteReference"/>
        </w:rPr>
        <w:footnoteRef/>
      </w:r>
      <w:r>
        <w:t xml:space="preserve"> </w:t>
      </w:r>
      <w:r w:rsidR="003361F0">
        <w:t xml:space="preserve"> </w:t>
      </w:r>
      <w:r>
        <w:t>D.20</w:t>
      </w:r>
      <w:r w:rsidR="00827602">
        <w:noBreakHyphen/>
      </w:r>
      <w:r>
        <w:t>04</w:t>
      </w:r>
      <w:r w:rsidR="00827602">
        <w:noBreakHyphen/>
      </w:r>
      <w:r>
        <w:t>010</w:t>
      </w:r>
      <w:r w:rsidR="000B3DA8">
        <w:t xml:space="preserve"> at 6</w:t>
      </w:r>
      <w:r>
        <w:t>9</w:t>
      </w:r>
      <w:r w:rsidR="00827602">
        <w:noBreakHyphen/>
      </w:r>
      <w:r>
        <w:t>70.</w:t>
      </w:r>
    </w:p>
  </w:footnote>
  <w:footnote w:id="147">
    <w:p w14:paraId="0AF12CF5" w14:textId="0E19C1F4" w:rsidR="00375193" w:rsidRDefault="00375193">
      <w:pPr>
        <w:pStyle w:val="FootnoteText"/>
      </w:pPr>
      <w:r>
        <w:rPr>
          <w:rStyle w:val="FootnoteReference"/>
        </w:rPr>
        <w:footnoteRef/>
      </w:r>
      <w:r>
        <w:t xml:space="preserve"> </w:t>
      </w:r>
      <w:r w:rsidR="003361F0">
        <w:t xml:space="preserve"> </w:t>
      </w:r>
      <w:r>
        <w:t>SEIA/Vote Solar Opening Brief</w:t>
      </w:r>
      <w:r w:rsidR="000B3DA8">
        <w:t xml:space="preserve"> at 2</w:t>
      </w:r>
      <w:r>
        <w:t>6</w:t>
      </w:r>
      <w:r w:rsidR="00827602">
        <w:noBreakHyphen/>
      </w:r>
      <w:r>
        <w:t>27 citing SVS</w:t>
      </w:r>
      <w:r w:rsidR="00827602">
        <w:noBreakHyphen/>
      </w:r>
      <w:r>
        <w:t>03</w:t>
      </w:r>
      <w:r w:rsidR="000B3DA8">
        <w:t xml:space="preserve"> at 1</w:t>
      </w:r>
      <w:r>
        <w:t>8</w:t>
      </w:r>
      <w:r w:rsidR="00672E41">
        <w:t>, line </w:t>
      </w:r>
      <w:r>
        <w:t xml:space="preserve">2.  </w:t>
      </w:r>
      <w:r w:rsidR="009129CB">
        <w:t>(</w:t>
      </w:r>
      <w:r w:rsidRPr="00C63A6F">
        <w:rPr>
          <w:i/>
          <w:iCs/>
        </w:rPr>
        <w:t>See also</w:t>
      </w:r>
      <w:r>
        <w:t xml:space="preserve"> SVS</w:t>
      </w:r>
      <w:r w:rsidR="00827602">
        <w:noBreakHyphen/>
      </w:r>
      <w:r>
        <w:t xml:space="preserve">3 at </w:t>
      </w:r>
      <w:r w:rsidR="00F412FF">
        <w:t>Attachment </w:t>
      </w:r>
      <w:r>
        <w:t>B.</w:t>
      </w:r>
      <w:r w:rsidR="009129CB">
        <w:t>)</w:t>
      </w:r>
      <w:r w:rsidR="004D0B26">
        <w:t xml:space="preserve">  SEIA/Vote Solar proposes the value of the residential resiliency calculator to be based on the average cost of a portable inverter electric generator, plus sales tax, fuel storage costs, and the installation of a manual transfer switch to feed circuits in the home.  SEIA/Vote Solar estimates this cost to be $3,605 and assumes availability of this generator for seven days of interruption in a 10</w:t>
      </w:r>
      <w:r w:rsidR="00827602">
        <w:noBreakHyphen/>
      </w:r>
      <w:r w:rsidR="004D0B26">
        <w:t>year period.</w:t>
      </w:r>
    </w:p>
  </w:footnote>
  <w:footnote w:id="148">
    <w:p w14:paraId="469DCDD7" w14:textId="7C381D9B" w:rsidR="00A016F9" w:rsidRDefault="00A016F9">
      <w:pPr>
        <w:pStyle w:val="FootnoteText"/>
      </w:pPr>
      <w:r>
        <w:rPr>
          <w:rStyle w:val="FootnoteReference"/>
        </w:rPr>
        <w:footnoteRef/>
      </w:r>
      <w:r w:rsidR="003361F0">
        <w:t xml:space="preserve">  </w:t>
      </w:r>
      <w:r>
        <w:t>SEIA/Vote Solar Opening Brief</w:t>
      </w:r>
      <w:r w:rsidR="000B3DA8">
        <w:t xml:space="preserve"> at 2</w:t>
      </w:r>
      <w:r>
        <w:t>8.</w:t>
      </w:r>
    </w:p>
  </w:footnote>
  <w:footnote w:id="149">
    <w:p w14:paraId="00452CDA" w14:textId="60BECDD4" w:rsidR="00FC2AB9" w:rsidRDefault="00FC2AB9">
      <w:pPr>
        <w:pStyle w:val="FootnoteText"/>
      </w:pPr>
      <w:r>
        <w:rPr>
          <w:rStyle w:val="FootnoteReference"/>
        </w:rPr>
        <w:footnoteRef/>
      </w:r>
      <w:r w:rsidR="003361F0">
        <w:t xml:space="preserve"> </w:t>
      </w:r>
      <w:r>
        <w:t xml:space="preserve"> PCF Opening Brief</w:t>
      </w:r>
      <w:r w:rsidR="000B3DA8">
        <w:t xml:space="preserve"> at 2</w:t>
      </w:r>
      <w:r>
        <w:t>2</w:t>
      </w:r>
      <w:r w:rsidR="00827602">
        <w:noBreakHyphen/>
      </w:r>
      <w:r>
        <w:t>23.</w:t>
      </w:r>
    </w:p>
  </w:footnote>
  <w:footnote w:id="150">
    <w:p w14:paraId="39D9421F" w14:textId="318B3079" w:rsidR="008822DE" w:rsidRDefault="008822DE">
      <w:pPr>
        <w:pStyle w:val="FootnoteText"/>
      </w:pPr>
      <w:r>
        <w:rPr>
          <w:rStyle w:val="FootnoteReference"/>
        </w:rPr>
        <w:footnoteRef/>
      </w:r>
      <w:r>
        <w:t xml:space="preserve"> </w:t>
      </w:r>
      <w:r w:rsidR="003361F0">
        <w:t xml:space="preserve"> </w:t>
      </w:r>
      <w:r>
        <w:t>TURN Reply Brief</w:t>
      </w:r>
      <w:r w:rsidR="000B3DA8">
        <w:t xml:space="preserve"> at 1</w:t>
      </w:r>
      <w:r>
        <w:t>8.</w:t>
      </w:r>
    </w:p>
  </w:footnote>
  <w:footnote w:id="151">
    <w:p w14:paraId="74B1736F" w14:textId="05143D8E" w:rsidR="008822DE" w:rsidRDefault="008822DE">
      <w:pPr>
        <w:pStyle w:val="FootnoteText"/>
      </w:pPr>
      <w:r>
        <w:rPr>
          <w:rStyle w:val="FootnoteReference"/>
        </w:rPr>
        <w:footnoteRef/>
      </w:r>
      <w:r>
        <w:t xml:space="preserve"> </w:t>
      </w:r>
      <w:r w:rsidR="00BA75E3">
        <w:t xml:space="preserve"> </w:t>
      </w:r>
      <w:r>
        <w:t>TURN Reply Brief</w:t>
      </w:r>
      <w:r w:rsidR="000B3DA8">
        <w:t xml:space="preserve"> at 1</w:t>
      </w:r>
      <w:r>
        <w:t>8.</w:t>
      </w:r>
    </w:p>
  </w:footnote>
  <w:footnote w:id="152">
    <w:p w14:paraId="794C92C3" w14:textId="73E0DC9C" w:rsidR="004D0B26" w:rsidRDefault="004D0B26">
      <w:pPr>
        <w:pStyle w:val="FootnoteText"/>
      </w:pPr>
      <w:r>
        <w:rPr>
          <w:rStyle w:val="FootnoteReference"/>
        </w:rPr>
        <w:footnoteRef/>
      </w:r>
      <w:r>
        <w:t xml:space="preserve"> </w:t>
      </w:r>
      <w:r w:rsidR="00BA75E3">
        <w:t xml:space="preserve"> </w:t>
      </w:r>
      <w:r>
        <w:t>Joint Utilities Reply Brief</w:t>
      </w:r>
      <w:r w:rsidR="000B3DA8">
        <w:t xml:space="preserve"> at 1</w:t>
      </w:r>
      <w:r>
        <w:t>3.</w:t>
      </w:r>
    </w:p>
  </w:footnote>
  <w:footnote w:id="153">
    <w:p w14:paraId="52A5FECA" w14:textId="7D87572C" w:rsidR="004D0B26" w:rsidRDefault="004D0B26">
      <w:pPr>
        <w:pStyle w:val="FootnoteText"/>
      </w:pPr>
      <w:r>
        <w:rPr>
          <w:rStyle w:val="FootnoteReference"/>
        </w:rPr>
        <w:footnoteRef/>
      </w:r>
      <w:r>
        <w:t xml:space="preserve"> </w:t>
      </w:r>
      <w:r w:rsidR="00BA75E3">
        <w:t xml:space="preserve"> </w:t>
      </w:r>
      <w:r>
        <w:t>Joint Utilities Reply Brief</w:t>
      </w:r>
      <w:r w:rsidR="000B3DA8">
        <w:t xml:space="preserve"> at 1</w:t>
      </w:r>
      <w:r>
        <w:t>3.</w:t>
      </w:r>
    </w:p>
  </w:footnote>
  <w:footnote w:id="154">
    <w:p w14:paraId="59B49C3B" w14:textId="23E95FF8" w:rsidR="00F15B43" w:rsidRDefault="00F15B43">
      <w:pPr>
        <w:pStyle w:val="FootnoteText"/>
      </w:pPr>
      <w:r>
        <w:rPr>
          <w:rStyle w:val="FootnoteReference"/>
        </w:rPr>
        <w:footnoteRef/>
      </w:r>
      <w:r>
        <w:t xml:space="preserve"> </w:t>
      </w:r>
      <w:r w:rsidR="008E59BE">
        <w:t xml:space="preserve"> </w:t>
      </w:r>
      <w:r>
        <w:t>CALSSA Opening Brief</w:t>
      </w:r>
      <w:r w:rsidR="000B3DA8">
        <w:t xml:space="preserve"> at 5</w:t>
      </w:r>
      <w:r>
        <w:t>1 citing CSA</w:t>
      </w:r>
      <w:r w:rsidR="00827602">
        <w:noBreakHyphen/>
      </w:r>
      <w:r>
        <w:t>01</w:t>
      </w:r>
      <w:r w:rsidR="000B3DA8">
        <w:t xml:space="preserve"> at 8</w:t>
      </w:r>
      <w:r>
        <w:t>2</w:t>
      </w:r>
      <w:r w:rsidR="00827602">
        <w:noBreakHyphen/>
      </w:r>
      <w:r>
        <w:t>84.</w:t>
      </w:r>
    </w:p>
  </w:footnote>
  <w:footnote w:id="155">
    <w:p w14:paraId="301681F0" w14:textId="41EB0D05" w:rsidR="009472DB" w:rsidRDefault="009472DB">
      <w:pPr>
        <w:pStyle w:val="FootnoteText"/>
      </w:pPr>
      <w:r>
        <w:rPr>
          <w:rStyle w:val="FootnoteReference"/>
        </w:rPr>
        <w:footnoteRef/>
      </w:r>
      <w:r>
        <w:t xml:space="preserve"> </w:t>
      </w:r>
      <w:r w:rsidR="008E59BE">
        <w:t xml:space="preserve"> </w:t>
      </w:r>
      <w:r>
        <w:t>SVS</w:t>
      </w:r>
      <w:r w:rsidR="00827602">
        <w:noBreakHyphen/>
      </w:r>
      <w:r>
        <w:t>03</w:t>
      </w:r>
      <w:r w:rsidR="000B3DA8">
        <w:t xml:space="preserve"> at 2</w:t>
      </w:r>
      <w:r>
        <w:t>1.</w:t>
      </w:r>
    </w:p>
  </w:footnote>
  <w:footnote w:id="156">
    <w:p w14:paraId="7D10D652" w14:textId="7273F75F" w:rsidR="00917412" w:rsidRDefault="00917412">
      <w:pPr>
        <w:pStyle w:val="FootnoteText"/>
      </w:pPr>
      <w:r>
        <w:rPr>
          <w:rStyle w:val="FootnoteReference"/>
        </w:rPr>
        <w:footnoteRef/>
      </w:r>
      <w:r>
        <w:t xml:space="preserve"> </w:t>
      </w:r>
      <w:r w:rsidR="008E59BE">
        <w:t xml:space="preserve"> </w:t>
      </w:r>
      <w:r>
        <w:t>SEIA/Vote Solar</w:t>
      </w:r>
      <w:r w:rsidR="000B3DA8">
        <w:t xml:space="preserve"> at 2</w:t>
      </w:r>
      <w:r>
        <w:t>9</w:t>
      </w:r>
      <w:r w:rsidR="00827602">
        <w:noBreakHyphen/>
      </w:r>
      <w:r>
        <w:t>30.</w:t>
      </w:r>
    </w:p>
  </w:footnote>
  <w:footnote w:id="157">
    <w:p w14:paraId="164C0B93" w14:textId="40071421" w:rsidR="00423320" w:rsidRDefault="00423320">
      <w:pPr>
        <w:pStyle w:val="FootnoteText"/>
      </w:pPr>
      <w:r>
        <w:rPr>
          <w:rStyle w:val="FootnoteReference"/>
        </w:rPr>
        <w:footnoteRef/>
      </w:r>
      <w:r>
        <w:t xml:space="preserve"> </w:t>
      </w:r>
      <w:r w:rsidR="008E59BE">
        <w:t xml:space="preserve"> </w:t>
      </w:r>
      <w:r>
        <w:t>CWA</w:t>
      </w:r>
      <w:r w:rsidR="00827602">
        <w:noBreakHyphen/>
      </w:r>
      <w:r>
        <w:t>01</w:t>
      </w:r>
      <w:r w:rsidR="000B3DA8">
        <w:t xml:space="preserve"> at 8</w:t>
      </w:r>
      <w:r>
        <w:t>.</w:t>
      </w:r>
    </w:p>
  </w:footnote>
  <w:footnote w:id="158">
    <w:p w14:paraId="46A4DA6D" w14:textId="0AB19904" w:rsidR="0040236E" w:rsidRDefault="0040236E" w:rsidP="0040236E">
      <w:pPr>
        <w:pStyle w:val="FootnoteText"/>
      </w:pPr>
      <w:r>
        <w:rPr>
          <w:rStyle w:val="FootnoteReference"/>
        </w:rPr>
        <w:footnoteRef/>
      </w:r>
      <w:r>
        <w:t xml:space="preserve"> </w:t>
      </w:r>
      <w:r w:rsidR="00BA75E3">
        <w:t xml:space="preserve"> </w:t>
      </w:r>
      <w:r>
        <w:t>TURN Opening Brief</w:t>
      </w:r>
      <w:r w:rsidR="000B3DA8">
        <w:t xml:space="preserve"> at 3</w:t>
      </w:r>
      <w:r>
        <w:t>6.</w:t>
      </w:r>
    </w:p>
  </w:footnote>
  <w:footnote w:id="159">
    <w:p w14:paraId="067FF6B4" w14:textId="7D4C49E3" w:rsidR="0052412C" w:rsidRDefault="0052412C" w:rsidP="0052412C">
      <w:pPr>
        <w:pStyle w:val="FootnoteText"/>
      </w:pPr>
      <w:r>
        <w:rPr>
          <w:rStyle w:val="FootnoteReference"/>
        </w:rPr>
        <w:footnoteRef/>
      </w:r>
      <w:r>
        <w:t xml:space="preserve"> </w:t>
      </w:r>
      <w:r w:rsidR="00BA75E3">
        <w:t xml:space="preserve"> </w:t>
      </w:r>
      <w:r>
        <w:t>Transcript</w:t>
      </w:r>
      <w:r w:rsidR="000B3DA8">
        <w:t xml:space="preserve"> at 9</w:t>
      </w:r>
      <w:r>
        <w:t>22:6</w:t>
      </w:r>
      <w:r w:rsidR="00827602">
        <w:noBreakHyphen/>
      </w:r>
      <w:r>
        <w:t>10 (August</w:t>
      </w:r>
      <w:r w:rsidR="00F412FF">
        <w:t> </w:t>
      </w:r>
      <w:r>
        <w:t>2,</w:t>
      </w:r>
      <w:r w:rsidR="00F412FF">
        <w:t> </w:t>
      </w:r>
      <w:r>
        <w:t>2021).</w:t>
      </w:r>
    </w:p>
  </w:footnote>
  <w:footnote w:id="160">
    <w:p w14:paraId="61C60039" w14:textId="131AB47B" w:rsidR="00CF6A34" w:rsidRDefault="00CF6A34" w:rsidP="00CF6A34">
      <w:pPr>
        <w:pStyle w:val="FootnoteText"/>
      </w:pPr>
      <w:r>
        <w:rPr>
          <w:rStyle w:val="FootnoteReference"/>
        </w:rPr>
        <w:footnoteRef/>
      </w:r>
      <w:r>
        <w:t xml:space="preserve"> </w:t>
      </w:r>
      <w:r w:rsidR="00BA75E3">
        <w:t xml:space="preserve"> </w:t>
      </w:r>
      <w:r>
        <w:t>PCF Opening Brief</w:t>
      </w:r>
      <w:r w:rsidR="000B3DA8">
        <w:t xml:space="preserve"> at 3</w:t>
      </w:r>
      <w:r>
        <w:t>2.</w:t>
      </w:r>
    </w:p>
  </w:footnote>
  <w:footnote w:id="161">
    <w:p w14:paraId="48273EF2" w14:textId="17FBDC8D" w:rsidR="00C21576" w:rsidRDefault="00C21576">
      <w:pPr>
        <w:pStyle w:val="FootnoteText"/>
      </w:pPr>
      <w:r>
        <w:rPr>
          <w:rStyle w:val="FootnoteReference"/>
        </w:rPr>
        <w:footnoteRef/>
      </w:r>
      <w:r>
        <w:t xml:space="preserve"> </w:t>
      </w:r>
      <w:r w:rsidR="00BA75E3">
        <w:t xml:space="preserve"> </w:t>
      </w:r>
      <w:r>
        <w:t>PCF Opening Brief</w:t>
      </w:r>
      <w:r w:rsidR="000B3DA8">
        <w:t xml:space="preserve"> at 3</w:t>
      </w:r>
      <w:r>
        <w:t>2.</w:t>
      </w:r>
    </w:p>
  </w:footnote>
  <w:footnote w:id="162">
    <w:p w14:paraId="1614A868" w14:textId="1E192841" w:rsidR="00CF6A34" w:rsidRDefault="00CF6A34" w:rsidP="00CF6A34">
      <w:pPr>
        <w:pStyle w:val="FootnoteText"/>
      </w:pPr>
      <w:r>
        <w:rPr>
          <w:rStyle w:val="FootnoteReference"/>
        </w:rPr>
        <w:footnoteRef/>
      </w:r>
      <w:r>
        <w:t xml:space="preserve"> </w:t>
      </w:r>
      <w:r w:rsidR="00BA75E3">
        <w:t xml:space="preserve"> </w:t>
      </w:r>
      <w:r>
        <w:t>PCF Opening Brief</w:t>
      </w:r>
      <w:r w:rsidR="000B3DA8">
        <w:t xml:space="preserve"> at 3</w:t>
      </w:r>
      <w:r>
        <w:t>4 citing SVS</w:t>
      </w:r>
      <w:r w:rsidR="00827602">
        <w:noBreakHyphen/>
      </w:r>
      <w:r>
        <w:t>03</w:t>
      </w:r>
      <w:r w:rsidR="000B3DA8">
        <w:t xml:space="preserve"> at 2</w:t>
      </w:r>
      <w:r>
        <w:t>7.</w:t>
      </w:r>
    </w:p>
  </w:footnote>
  <w:footnote w:id="163">
    <w:p w14:paraId="6B227764" w14:textId="20AD0426" w:rsidR="00C21576" w:rsidRDefault="00C21576" w:rsidP="00C21576">
      <w:pPr>
        <w:pStyle w:val="FootnoteText"/>
      </w:pPr>
      <w:r>
        <w:rPr>
          <w:rStyle w:val="FootnoteReference"/>
        </w:rPr>
        <w:footnoteRef/>
      </w:r>
      <w:r>
        <w:t xml:space="preserve"> </w:t>
      </w:r>
      <w:r w:rsidR="00BA75E3">
        <w:t xml:space="preserve"> </w:t>
      </w:r>
      <w:r>
        <w:t>PCF Opening Brief</w:t>
      </w:r>
      <w:r w:rsidR="000B3DA8">
        <w:t xml:space="preserve"> at 3</w:t>
      </w:r>
      <w:r>
        <w:t>4</w:t>
      </w:r>
      <w:r w:rsidR="00827602">
        <w:noBreakHyphen/>
      </w:r>
      <w:r>
        <w:t>35 citing EWG</w:t>
      </w:r>
      <w:r w:rsidR="00827602">
        <w:noBreakHyphen/>
      </w:r>
      <w:r>
        <w:t>01</w:t>
      </w:r>
      <w:r w:rsidR="000B3DA8">
        <w:t xml:space="preserve"> at 4</w:t>
      </w:r>
      <w:r>
        <w:t>0.</w:t>
      </w:r>
    </w:p>
  </w:footnote>
  <w:footnote w:id="164">
    <w:p w14:paraId="43A92F37" w14:textId="2D2DEDEB" w:rsidR="00C21576" w:rsidRDefault="00C21576" w:rsidP="00C21576">
      <w:pPr>
        <w:pStyle w:val="FootnoteText"/>
      </w:pPr>
      <w:r>
        <w:rPr>
          <w:rStyle w:val="FootnoteReference"/>
        </w:rPr>
        <w:footnoteRef/>
      </w:r>
      <w:r>
        <w:t xml:space="preserve"> </w:t>
      </w:r>
      <w:r w:rsidR="00BA75E3">
        <w:t xml:space="preserve"> </w:t>
      </w:r>
      <w:r>
        <w:t>CALSSA Opening Brief</w:t>
      </w:r>
      <w:r w:rsidR="000B3DA8">
        <w:t xml:space="preserve"> at 1</w:t>
      </w:r>
      <w:r>
        <w:t>9, citing CSA</w:t>
      </w:r>
      <w:r w:rsidR="00827602">
        <w:noBreakHyphen/>
      </w:r>
      <w:r>
        <w:t>01</w:t>
      </w:r>
      <w:r w:rsidR="000B3DA8">
        <w:t xml:space="preserve"> at 6</w:t>
      </w:r>
      <w:r>
        <w:t>0:15</w:t>
      </w:r>
      <w:r w:rsidR="00827602">
        <w:noBreakHyphen/>
      </w:r>
      <w:r>
        <w:t>61:23.</w:t>
      </w:r>
    </w:p>
  </w:footnote>
  <w:footnote w:id="165">
    <w:p w14:paraId="50BAB149" w14:textId="14E1FD49" w:rsidR="0040236E" w:rsidRDefault="0040236E" w:rsidP="0040236E">
      <w:pPr>
        <w:pStyle w:val="FootnoteText"/>
      </w:pPr>
      <w:r>
        <w:rPr>
          <w:rStyle w:val="FootnoteReference"/>
        </w:rPr>
        <w:footnoteRef/>
      </w:r>
      <w:r>
        <w:t xml:space="preserve"> </w:t>
      </w:r>
      <w:r w:rsidR="00BA75E3">
        <w:t xml:space="preserve"> </w:t>
      </w:r>
      <w:r>
        <w:t>SEIA/Vote Solar Opening Brief</w:t>
      </w:r>
      <w:r w:rsidR="000B3DA8">
        <w:t xml:space="preserve"> at 3</w:t>
      </w:r>
      <w:r>
        <w:t>2.</w:t>
      </w:r>
    </w:p>
  </w:footnote>
  <w:footnote w:id="166">
    <w:p w14:paraId="3D4B8960" w14:textId="63337EA1" w:rsidR="00C21576" w:rsidRDefault="00C21576" w:rsidP="00C21576">
      <w:pPr>
        <w:pStyle w:val="FootnoteText"/>
      </w:pPr>
      <w:r>
        <w:rPr>
          <w:rStyle w:val="FootnoteReference"/>
        </w:rPr>
        <w:footnoteRef/>
      </w:r>
      <w:r>
        <w:t xml:space="preserve"> </w:t>
      </w:r>
      <w:r w:rsidR="00BA75E3">
        <w:t xml:space="preserve"> </w:t>
      </w:r>
      <w:r>
        <w:t>PCF Opening Brief</w:t>
      </w:r>
      <w:r w:rsidR="000B3DA8">
        <w:t xml:space="preserve"> at 4</w:t>
      </w:r>
      <w:r>
        <w:t>0.</w:t>
      </w:r>
    </w:p>
  </w:footnote>
  <w:footnote w:id="167">
    <w:p w14:paraId="279484B4" w14:textId="5CE8D6DC" w:rsidR="00F87E7A" w:rsidRDefault="00F87E7A" w:rsidP="00F87E7A">
      <w:pPr>
        <w:pStyle w:val="FootnoteText"/>
      </w:pPr>
      <w:r>
        <w:rPr>
          <w:rStyle w:val="FootnoteReference"/>
        </w:rPr>
        <w:footnoteRef/>
      </w:r>
      <w:r>
        <w:t xml:space="preserve"> </w:t>
      </w:r>
      <w:r w:rsidR="00BA75E3">
        <w:t xml:space="preserve"> </w:t>
      </w:r>
      <w:r>
        <w:t>CALSSA Opening Brief</w:t>
      </w:r>
      <w:r w:rsidR="000B3DA8">
        <w:t xml:space="preserve"> at 2</w:t>
      </w:r>
      <w:r>
        <w:t>3.</w:t>
      </w:r>
    </w:p>
  </w:footnote>
  <w:footnote w:id="168">
    <w:p w14:paraId="1A71327D" w14:textId="679024A0" w:rsidR="00A0562E" w:rsidRDefault="00A0562E" w:rsidP="00A0562E">
      <w:pPr>
        <w:pStyle w:val="FootnoteText"/>
      </w:pPr>
      <w:r>
        <w:rPr>
          <w:rStyle w:val="FootnoteReference"/>
        </w:rPr>
        <w:footnoteRef/>
      </w:r>
      <w:r>
        <w:t xml:space="preserve"> </w:t>
      </w:r>
      <w:r w:rsidR="00BA75E3">
        <w:t xml:space="preserve"> </w:t>
      </w:r>
      <w:r>
        <w:t>CALSSA Opening Brief</w:t>
      </w:r>
      <w:r w:rsidR="000B3DA8">
        <w:t xml:space="preserve"> at 2</w:t>
      </w:r>
      <w:r>
        <w:t>0 citing CSA</w:t>
      </w:r>
      <w:r w:rsidR="00827602">
        <w:noBreakHyphen/>
      </w:r>
      <w:r>
        <w:t>01</w:t>
      </w:r>
      <w:r w:rsidR="000B3DA8">
        <w:t xml:space="preserve"> at 6</w:t>
      </w:r>
      <w:r>
        <w:t>0:15</w:t>
      </w:r>
      <w:r w:rsidR="00827602">
        <w:noBreakHyphen/>
      </w:r>
      <w:r>
        <w:t>61:23.</w:t>
      </w:r>
    </w:p>
  </w:footnote>
  <w:footnote w:id="169">
    <w:p w14:paraId="7B9D7965" w14:textId="0ADB63FB" w:rsidR="0052412C" w:rsidRDefault="0052412C" w:rsidP="0052412C">
      <w:pPr>
        <w:pStyle w:val="FootnoteText"/>
      </w:pPr>
      <w:r>
        <w:rPr>
          <w:rStyle w:val="FootnoteReference"/>
        </w:rPr>
        <w:footnoteRef/>
      </w:r>
      <w:r>
        <w:t xml:space="preserve"> </w:t>
      </w:r>
      <w:r w:rsidR="00BA75E3">
        <w:t xml:space="preserve"> </w:t>
      </w:r>
      <w:r>
        <w:t>SEIA/Vote Solar Opening Brief</w:t>
      </w:r>
      <w:r w:rsidR="000B3DA8">
        <w:t xml:space="preserve"> at 3</w:t>
      </w:r>
      <w:r>
        <w:t>3 citing SVS</w:t>
      </w:r>
      <w:r w:rsidR="00827602">
        <w:noBreakHyphen/>
      </w:r>
      <w:r>
        <w:t>04</w:t>
      </w:r>
      <w:r w:rsidR="000B3DA8">
        <w:t xml:space="preserve"> at 3</w:t>
      </w:r>
      <w:r>
        <w:t>7 and SBU</w:t>
      </w:r>
      <w:r w:rsidR="00827602">
        <w:noBreakHyphen/>
      </w:r>
      <w:r>
        <w:t>01</w:t>
      </w:r>
      <w:r w:rsidR="000B3DA8">
        <w:t xml:space="preserve"> at 2</w:t>
      </w:r>
      <w:r>
        <w:t xml:space="preserve">4 and </w:t>
      </w:r>
      <w:r w:rsidR="00037F69">
        <w:t>Figure 3</w:t>
      </w:r>
      <w:r>
        <w:t>.</w:t>
      </w:r>
    </w:p>
  </w:footnote>
  <w:footnote w:id="170">
    <w:p w14:paraId="00FC2C8A" w14:textId="073EB432" w:rsidR="0052412C" w:rsidRDefault="0052412C" w:rsidP="0052412C">
      <w:pPr>
        <w:pStyle w:val="FootnoteText"/>
      </w:pPr>
      <w:r>
        <w:rPr>
          <w:rStyle w:val="FootnoteReference"/>
        </w:rPr>
        <w:footnoteRef/>
      </w:r>
      <w:r>
        <w:t xml:space="preserve"> </w:t>
      </w:r>
      <w:r w:rsidR="00BA75E3">
        <w:t xml:space="preserve"> </w:t>
      </w:r>
      <w:r>
        <w:t>SEIA/Vote Solar Opening Brief</w:t>
      </w:r>
      <w:r w:rsidR="000B3DA8">
        <w:t xml:space="preserve"> at 3</w:t>
      </w:r>
      <w:r>
        <w:t>4.</w:t>
      </w:r>
    </w:p>
  </w:footnote>
  <w:footnote w:id="171">
    <w:p w14:paraId="486919E5" w14:textId="51375DF6" w:rsidR="00C4207F" w:rsidRDefault="00C4207F">
      <w:pPr>
        <w:pStyle w:val="FootnoteText"/>
      </w:pPr>
      <w:r>
        <w:rPr>
          <w:rStyle w:val="FootnoteReference"/>
        </w:rPr>
        <w:footnoteRef/>
      </w:r>
      <w:r>
        <w:t xml:space="preserve"> </w:t>
      </w:r>
      <w:r w:rsidR="00BA75E3">
        <w:t xml:space="preserve"> </w:t>
      </w:r>
      <w:r>
        <w:t>SBU</w:t>
      </w:r>
      <w:r w:rsidR="00827602">
        <w:noBreakHyphen/>
      </w:r>
      <w:r>
        <w:t>01</w:t>
      </w:r>
      <w:r w:rsidR="000B3DA8">
        <w:t xml:space="preserve"> at 2</w:t>
      </w:r>
      <w:r>
        <w:t>4.</w:t>
      </w:r>
    </w:p>
  </w:footnote>
  <w:footnote w:id="172">
    <w:p w14:paraId="7C6F0993" w14:textId="64248649" w:rsidR="0052412C" w:rsidRDefault="0052412C" w:rsidP="0052412C">
      <w:pPr>
        <w:pStyle w:val="FootnoteText"/>
      </w:pPr>
      <w:r>
        <w:rPr>
          <w:rStyle w:val="FootnoteReference"/>
        </w:rPr>
        <w:footnoteRef/>
      </w:r>
      <w:r>
        <w:t xml:space="preserve"> </w:t>
      </w:r>
      <w:r w:rsidR="00BA75E3">
        <w:t xml:space="preserve"> </w:t>
      </w:r>
      <w:r>
        <w:t>SBU</w:t>
      </w:r>
      <w:r w:rsidR="00827602">
        <w:noBreakHyphen/>
      </w:r>
      <w:r>
        <w:t>01</w:t>
      </w:r>
      <w:r w:rsidR="000B3DA8">
        <w:t xml:space="preserve"> at 2</w:t>
      </w:r>
      <w:r>
        <w:t>4.</w:t>
      </w:r>
    </w:p>
  </w:footnote>
  <w:footnote w:id="173">
    <w:p w14:paraId="43648661" w14:textId="6888C680" w:rsidR="00A0562E" w:rsidRDefault="00A0562E" w:rsidP="00A0562E">
      <w:pPr>
        <w:pStyle w:val="FootnoteText"/>
      </w:pPr>
      <w:r>
        <w:rPr>
          <w:rStyle w:val="FootnoteReference"/>
        </w:rPr>
        <w:footnoteRef/>
      </w:r>
      <w:r>
        <w:t xml:space="preserve"> </w:t>
      </w:r>
      <w:r w:rsidR="00BA75E3">
        <w:t xml:space="preserve"> </w:t>
      </w:r>
      <w:r>
        <w:t>CALSSA Opening Brief</w:t>
      </w:r>
      <w:r w:rsidR="000B3DA8">
        <w:t xml:space="preserve"> at 2</w:t>
      </w:r>
      <w:r>
        <w:t>0 citing CSA</w:t>
      </w:r>
      <w:r w:rsidR="00827602">
        <w:noBreakHyphen/>
      </w:r>
      <w:r>
        <w:t>01</w:t>
      </w:r>
      <w:r w:rsidR="000B3DA8">
        <w:t xml:space="preserve"> at 6</w:t>
      </w:r>
      <w:r>
        <w:t>0:15</w:t>
      </w:r>
      <w:r w:rsidR="00827602">
        <w:noBreakHyphen/>
      </w:r>
      <w:r>
        <w:t>61:23.</w:t>
      </w:r>
    </w:p>
  </w:footnote>
  <w:footnote w:id="174">
    <w:p w14:paraId="1CEF5C34" w14:textId="7EDCA231" w:rsidR="00A0562E" w:rsidRDefault="00A0562E" w:rsidP="00A0562E">
      <w:pPr>
        <w:pStyle w:val="FootnoteText"/>
      </w:pPr>
      <w:r>
        <w:rPr>
          <w:rStyle w:val="FootnoteReference"/>
        </w:rPr>
        <w:footnoteRef/>
      </w:r>
      <w:r>
        <w:t xml:space="preserve"> </w:t>
      </w:r>
      <w:r w:rsidR="00BA75E3">
        <w:t xml:space="preserve"> </w:t>
      </w:r>
      <w:r>
        <w:t>CALSSA Opening Brief</w:t>
      </w:r>
      <w:r w:rsidR="000B3DA8">
        <w:t xml:space="preserve"> at 2</w:t>
      </w:r>
      <w:r>
        <w:t>1 citing CSA</w:t>
      </w:r>
      <w:r w:rsidR="00827602">
        <w:noBreakHyphen/>
      </w:r>
      <w:r>
        <w:t>01</w:t>
      </w:r>
      <w:r w:rsidR="000B3DA8">
        <w:t xml:space="preserve"> at 6</w:t>
      </w:r>
      <w:r>
        <w:t>1:24</w:t>
      </w:r>
      <w:r w:rsidR="00827602">
        <w:noBreakHyphen/>
      </w:r>
      <w:r>
        <w:t xml:space="preserve">62:3, which cites to the Distributed Generation Market Demand Model, NREL, </w:t>
      </w:r>
      <w:hyperlink r:id="rId6" w:history="1">
        <w:r w:rsidRPr="00FD4FD5">
          <w:rPr>
            <w:rStyle w:val="Hyperlink"/>
          </w:rPr>
          <w:t>https://www.nrel.gov/analysis/dgen</w:t>
        </w:r>
      </w:hyperlink>
      <w:r>
        <w:t>.</w:t>
      </w:r>
    </w:p>
  </w:footnote>
  <w:footnote w:id="175">
    <w:p w14:paraId="25B0EF2B" w14:textId="497D3B38" w:rsidR="00A0562E" w:rsidRDefault="00A0562E" w:rsidP="00A0562E">
      <w:pPr>
        <w:pStyle w:val="FootnoteText"/>
      </w:pPr>
      <w:r>
        <w:rPr>
          <w:rStyle w:val="FootnoteReference"/>
        </w:rPr>
        <w:footnoteRef/>
      </w:r>
      <w:r>
        <w:t xml:space="preserve"> </w:t>
      </w:r>
      <w:r w:rsidR="00BA75E3">
        <w:t xml:space="preserve"> </w:t>
      </w:r>
      <w:r>
        <w:t>CALSSA Opening Brief</w:t>
      </w:r>
      <w:r w:rsidR="000B3DA8">
        <w:t xml:space="preserve"> at 2</w:t>
      </w:r>
      <w:r>
        <w:t>1</w:t>
      </w:r>
      <w:r w:rsidR="00827602">
        <w:noBreakHyphen/>
      </w:r>
      <w:r>
        <w:t xml:space="preserve">22 and at </w:t>
      </w:r>
      <w:r w:rsidR="0046297A">
        <w:t>footnote </w:t>
      </w:r>
      <w:r>
        <w:t>109 citing CSA</w:t>
      </w:r>
      <w:r w:rsidR="00827602">
        <w:noBreakHyphen/>
      </w:r>
      <w:r>
        <w:t>01</w:t>
      </w:r>
      <w:r w:rsidR="000B3DA8">
        <w:t xml:space="preserve"> at 6</w:t>
      </w:r>
      <w:r>
        <w:t>1:24</w:t>
      </w:r>
      <w:r w:rsidR="00827602">
        <w:noBreakHyphen/>
      </w:r>
      <w:r>
        <w:t>62:3, which cites to Ben Sigrin, National Renewable Energy Laboratory, Diffusion into new markets</w:t>
      </w:r>
      <w:r w:rsidR="00555CC0">
        <w:t xml:space="preserve">:  </w:t>
      </w:r>
      <w:r>
        <w:t>Economic returns required by households to adopt rooftop photovoltaics (January</w:t>
      </w:r>
      <w:r w:rsidR="0046297A">
        <w:t> </w:t>
      </w:r>
      <w:r>
        <w:t xml:space="preserve">2014) </w:t>
      </w:r>
      <w:hyperlink r:id="rId7" w:history="1">
        <w:r w:rsidR="000966CE" w:rsidRPr="00321C14">
          <w:rPr>
            <w:rStyle w:val="Hyperlink"/>
          </w:rPr>
          <w:t>https://www.researchgate.net/publication/282888559_Diffusion_into_new_markets_Economic_returns_required_by_households_to_adopt_rooftop_photovoltaics</w:t>
        </w:r>
      </w:hyperlink>
      <w:r w:rsidRPr="00D216DC">
        <w:t>)</w:t>
      </w:r>
      <w:r w:rsidR="000966CE">
        <w:t xml:space="preserve"> </w:t>
      </w:r>
      <w:r w:rsidR="00E9058E">
        <w:t>(2013 NREL Study)</w:t>
      </w:r>
      <w:r w:rsidRPr="00D216DC">
        <w:t>.</w:t>
      </w:r>
    </w:p>
  </w:footnote>
  <w:footnote w:id="176">
    <w:p w14:paraId="2EC84EAE" w14:textId="3C35A311" w:rsidR="00DA1CE9" w:rsidRDefault="00DA1CE9">
      <w:pPr>
        <w:pStyle w:val="FootnoteText"/>
      </w:pPr>
      <w:r>
        <w:rPr>
          <w:rStyle w:val="FootnoteReference"/>
        </w:rPr>
        <w:footnoteRef/>
      </w:r>
      <w:r>
        <w:t xml:space="preserve"> </w:t>
      </w:r>
      <w:r w:rsidR="00BA75E3">
        <w:t xml:space="preserve"> </w:t>
      </w:r>
      <w:r>
        <w:t>Joint Utilities Reply Brief</w:t>
      </w:r>
      <w:r w:rsidR="000B3DA8">
        <w:t xml:space="preserve"> at 2</w:t>
      </w:r>
      <w:r>
        <w:t xml:space="preserve">6, noting that the data for the 2013 </w:t>
      </w:r>
      <w:r>
        <w:t xml:space="preserve">NREL Study precedes </w:t>
      </w:r>
      <w:r w:rsidR="00F138A9">
        <w:t>AB </w:t>
      </w:r>
      <w:r>
        <w:t>327 and reflects a much different market than today.</w:t>
      </w:r>
    </w:p>
  </w:footnote>
  <w:footnote w:id="177">
    <w:p w14:paraId="4B047C37" w14:textId="77777777" w:rsidR="0048272A" w:rsidRDefault="0048272A" w:rsidP="0048272A">
      <w:pPr>
        <w:pStyle w:val="FootnoteText"/>
      </w:pPr>
      <w:r>
        <w:rPr>
          <w:rStyle w:val="FootnoteReference"/>
        </w:rPr>
        <w:footnoteRef/>
      </w:r>
      <w:r>
        <w:t xml:space="preserve">  Joint Utilities Reply Brief at 27 citing 2013 </w:t>
      </w:r>
      <w:r>
        <w:t>NREL Study at 6.</w:t>
      </w:r>
    </w:p>
  </w:footnote>
  <w:footnote w:id="178">
    <w:p w14:paraId="48C8DE17" w14:textId="7D80F783" w:rsidR="00DA1CE9" w:rsidRDefault="00DA1CE9">
      <w:pPr>
        <w:pStyle w:val="FootnoteText"/>
      </w:pPr>
      <w:r>
        <w:rPr>
          <w:rStyle w:val="FootnoteReference"/>
        </w:rPr>
        <w:footnoteRef/>
      </w:r>
      <w:r>
        <w:t xml:space="preserve"> </w:t>
      </w:r>
      <w:r w:rsidR="00BA75E3">
        <w:t xml:space="preserve"> </w:t>
      </w:r>
      <w:r>
        <w:t>Joint Utilities Reply Brief</w:t>
      </w:r>
      <w:r w:rsidR="000B3DA8">
        <w:t xml:space="preserve"> at 2</w:t>
      </w:r>
      <w:r w:rsidR="002B7BFD">
        <w:t>7</w:t>
      </w:r>
      <w:r>
        <w:t xml:space="preserve"> citing 2013 </w:t>
      </w:r>
      <w:r>
        <w:t>NREL Study at abstract.</w:t>
      </w:r>
    </w:p>
  </w:footnote>
  <w:footnote w:id="179">
    <w:p w14:paraId="76893085" w14:textId="28E85DB3" w:rsidR="00DA1CE9" w:rsidRDefault="00DA1CE9">
      <w:pPr>
        <w:pStyle w:val="FootnoteText"/>
      </w:pPr>
      <w:r>
        <w:rPr>
          <w:rStyle w:val="FootnoteReference"/>
        </w:rPr>
        <w:footnoteRef/>
      </w:r>
      <w:r>
        <w:t xml:space="preserve"> </w:t>
      </w:r>
      <w:r w:rsidR="00BA75E3">
        <w:t xml:space="preserve"> </w:t>
      </w:r>
      <w:r>
        <w:t>Joint Utilities Reply Brief</w:t>
      </w:r>
      <w:r w:rsidR="000B3DA8">
        <w:t xml:space="preserve"> at 2</w:t>
      </w:r>
      <w:r w:rsidR="002B7BFD">
        <w:t>7</w:t>
      </w:r>
      <w:r>
        <w:t xml:space="preserve"> citing 2013 </w:t>
      </w:r>
      <w:r>
        <w:t>NREL Study</w:t>
      </w:r>
      <w:r w:rsidR="000B3DA8">
        <w:t xml:space="preserve"> at 6</w:t>
      </w:r>
      <w:r>
        <w:t>.</w:t>
      </w:r>
    </w:p>
  </w:footnote>
  <w:footnote w:id="180">
    <w:p w14:paraId="49601FE7" w14:textId="38B4D8C0" w:rsidR="004429A5" w:rsidRDefault="004429A5" w:rsidP="004429A5">
      <w:pPr>
        <w:pStyle w:val="FootnoteText"/>
      </w:pPr>
      <w:r>
        <w:rPr>
          <w:rStyle w:val="FootnoteReference"/>
        </w:rPr>
        <w:footnoteRef/>
      </w:r>
      <w:r>
        <w:t xml:space="preserve"> </w:t>
      </w:r>
      <w:r w:rsidR="00BA75E3">
        <w:t xml:space="preserve"> </w:t>
      </w:r>
      <w:r>
        <w:t>Joint Utilities Reply Brief</w:t>
      </w:r>
      <w:r w:rsidR="000B3DA8">
        <w:t xml:space="preserve"> at 2</w:t>
      </w:r>
      <w:r>
        <w:t>7 citing PAO</w:t>
      </w:r>
      <w:r w:rsidR="00827602">
        <w:noBreakHyphen/>
      </w:r>
      <w:r>
        <w:t>02</w:t>
      </w:r>
      <w:r w:rsidR="000B3DA8">
        <w:t xml:space="preserve"> at 3</w:t>
      </w:r>
      <w:r w:rsidR="00827602">
        <w:noBreakHyphen/>
      </w:r>
      <w:r>
        <w:t>16 to 3</w:t>
      </w:r>
      <w:r w:rsidR="00827602">
        <w:noBreakHyphen/>
      </w:r>
      <w:r>
        <w:t>17.</w:t>
      </w:r>
    </w:p>
  </w:footnote>
  <w:footnote w:id="181">
    <w:p w14:paraId="7EE14378" w14:textId="51B7F41E" w:rsidR="00FA6006" w:rsidRDefault="00FA6006" w:rsidP="00FA6006">
      <w:pPr>
        <w:pStyle w:val="FootnoteText"/>
      </w:pPr>
      <w:r>
        <w:rPr>
          <w:rStyle w:val="FootnoteReference"/>
        </w:rPr>
        <w:footnoteRef/>
      </w:r>
      <w:r>
        <w:t xml:space="preserve"> </w:t>
      </w:r>
      <w:r w:rsidR="00BA75E3">
        <w:t xml:space="preserve"> </w:t>
      </w:r>
      <w:r>
        <w:t xml:space="preserve">Joint Utilities </w:t>
      </w:r>
      <w:r w:rsidR="00423FA0">
        <w:t xml:space="preserve">Opening Brief at 3 and </w:t>
      </w:r>
      <w:r>
        <w:t>Reply Brief</w:t>
      </w:r>
      <w:r w:rsidR="000B3DA8">
        <w:t xml:space="preserve"> at 5</w:t>
      </w:r>
      <w:r w:rsidR="002B7BFD">
        <w:t>3</w:t>
      </w:r>
      <w:r>
        <w:t>.</w:t>
      </w:r>
    </w:p>
  </w:footnote>
  <w:footnote w:id="182">
    <w:p w14:paraId="20BF82CC" w14:textId="28FEFF19" w:rsidR="00FA6006" w:rsidRDefault="00FA6006" w:rsidP="00FA6006">
      <w:pPr>
        <w:pStyle w:val="FootnoteText"/>
      </w:pPr>
      <w:r>
        <w:rPr>
          <w:rStyle w:val="FootnoteReference"/>
        </w:rPr>
        <w:footnoteRef/>
      </w:r>
      <w:r>
        <w:t xml:space="preserve"> </w:t>
      </w:r>
      <w:r w:rsidR="00BA75E3">
        <w:t xml:space="preserve"> </w:t>
      </w:r>
      <w:r>
        <w:t>Joint Utilities Reply Brief</w:t>
      </w:r>
      <w:r w:rsidR="000B3DA8">
        <w:t xml:space="preserve"> at 2</w:t>
      </w:r>
      <w:r>
        <w:t>5.</w:t>
      </w:r>
    </w:p>
  </w:footnote>
  <w:footnote w:id="183">
    <w:p w14:paraId="1AB98D3E" w14:textId="5934E34F" w:rsidR="00C4207F" w:rsidRDefault="00C4207F" w:rsidP="00C4207F">
      <w:pPr>
        <w:pStyle w:val="FootnoteText"/>
      </w:pPr>
      <w:r>
        <w:rPr>
          <w:rStyle w:val="FootnoteReference"/>
        </w:rPr>
        <w:footnoteRef/>
      </w:r>
      <w:r>
        <w:t xml:space="preserve"> </w:t>
      </w:r>
      <w:r w:rsidR="00BA75E3">
        <w:t xml:space="preserve"> </w:t>
      </w:r>
      <w:r w:rsidR="009355F1">
        <w:t>Cal Advoc</w:t>
      </w:r>
      <w:r>
        <w:t>ates Opening Brief</w:t>
      </w:r>
      <w:r w:rsidR="000B3DA8">
        <w:t xml:space="preserve"> at 2</w:t>
      </w:r>
      <w:r>
        <w:t xml:space="preserve">7 citing Hearing Transcript, </w:t>
      </w:r>
      <w:r w:rsidR="00100408">
        <w:t>Vol</w:t>
      </w:r>
      <w:r w:rsidR="002D33CC">
        <w:t>.</w:t>
      </w:r>
      <w:r w:rsidR="00100408">
        <w:t> </w:t>
      </w:r>
      <w:r>
        <w:t>8</w:t>
      </w:r>
      <w:r w:rsidR="000B3DA8">
        <w:t xml:space="preserve"> at 1</w:t>
      </w:r>
      <w:r>
        <w:t>282</w:t>
      </w:r>
      <w:r w:rsidR="00827602">
        <w:noBreakHyphen/>
      </w:r>
      <w:r w:rsidRPr="00513D04">
        <w:t>1283, Testimony</w:t>
      </w:r>
      <w:r>
        <w:t xml:space="preserve"> of Thomas R. Beach</w:t>
      </w:r>
      <w:r w:rsidR="00555CC0">
        <w:t xml:space="preserve">:  </w:t>
      </w:r>
      <w:r w:rsidR="00BA1EAE">
        <w:t>“</w:t>
      </w:r>
      <w:r>
        <w:t>I think that all parties for this case, as far as I know, have agreed that paybacks should be longer in California, that they’re too short.</w:t>
      </w:r>
      <w:r w:rsidR="00BA1EAE">
        <w:t>”</w:t>
      </w:r>
    </w:p>
  </w:footnote>
  <w:footnote w:id="184">
    <w:p w14:paraId="786F745E" w14:textId="70EC90E2" w:rsidR="00AC2055" w:rsidRDefault="00AC2055" w:rsidP="00AC2055">
      <w:pPr>
        <w:pStyle w:val="FootnoteText"/>
      </w:pPr>
      <w:r>
        <w:rPr>
          <w:rStyle w:val="FootnoteReference"/>
        </w:rPr>
        <w:footnoteRef/>
      </w:r>
      <w:r>
        <w:t xml:space="preserve"> </w:t>
      </w:r>
      <w:r w:rsidR="00BA75E3">
        <w:t xml:space="preserve"> </w:t>
      </w:r>
      <w:r>
        <w:t>Joint Utilities Opening Brief</w:t>
      </w:r>
      <w:r w:rsidR="000B3DA8">
        <w:t xml:space="preserve"> at 2</w:t>
      </w:r>
      <w:r>
        <w:t>5.</w:t>
      </w:r>
    </w:p>
  </w:footnote>
  <w:footnote w:id="185">
    <w:p w14:paraId="21847B2D" w14:textId="65B32B70" w:rsidR="00B9013E" w:rsidRDefault="00B9013E" w:rsidP="00B9013E">
      <w:pPr>
        <w:pStyle w:val="FootnoteText"/>
      </w:pPr>
      <w:r>
        <w:rPr>
          <w:rStyle w:val="FootnoteReference"/>
        </w:rPr>
        <w:footnoteRef/>
      </w:r>
      <w:r>
        <w:t xml:space="preserve"> </w:t>
      </w:r>
      <w:r w:rsidR="00BA75E3">
        <w:t xml:space="preserve"> </w:t>
      </w:r>
      <w:r>
        <w:t xml:space="preserve">2013 </w:t>
      </w:r>
      <w:r>
        <w:t>NREL Study</w:t>
      </w:r>
      <w:r w:rsidR="000B3DA8">
        <w:t xml:space="preserve"> at 6</w:t>
      </w:r>
      <w:r>
        <w:t>.</w:t>
      </w:r>
    </w:p>
  </w:footnote>
  <w:footnote w:id="186">
    <w:p w14:paraId="1BB7497B" w14:textId="79C479FA" w:rsidR="00F61583" w:rsidRDefault="00F61583" w:rsidP="00F61583">
      <w:pPr>
        <w:pStyle w:val="FootnoteText"/>
      </w:pPr>
      <w:r>
        <w:rPr>
          <w:rStyle w:val="FootnoteReference"/>
        </w:rPr>
        <w:footnoteRef/>
      </w:r>
      <w:r>
        <w:t xml:space="preserve"> </w:t>
      </w:r>
      <w:r w:rsidR="00BA75E3">
        <w:t xml:space="preserve"> </w:t>
      </w:r>
      <w:r>
        <w:t>TURN Opening Brief</w:t>
      </w:r>
      <w:r w:rsidR="000B3DA8">
        <w:t xml:space="preserve"> at 3</w:t>
      </w:r>
      <w:r>
        <w:t>8.</w:t>
      </w:r>
    </w:p>
  </w:footnote>
  <w:footnote w:id="187">
    <w:p w14:paraId="18A61D85" w14:textId="6C715567" w:rsidR="00447DD9" w:rsidRDefault="00447DD9">
      <w:pPr>
        <w:pStyle w:val="FootnoteText"/>
      </w:pPr>
      <w:r>
        <w:rPr>
          <w:rStyle w:val="FootnoteReference"/>
        </w:rPr>
        <w:footnoteRef/>
      </w:r>
      <w:r>
        <w:t xml:space="preserve"> </w:t>
      </w:r>
      <w:r w:rsidR="00912518">
        <w:t xml:space="preserve"> </w:t>
      </w:r>
      <w:bookmarkStart w:id="130" w:name="_Hlk118727063"/>
      <w:r w:rsidR="00912518">
        <w:t xml:space="preserve">This estimate </w:t>
      </w:r>
      <w:r w:rsidR="00B351BF">
        <w:t xml:space="preserve">represents an average monthly bill savings </w:t>
      </w:r>
      <w:r w:rsidR="00912518">
        <w:t xml:space="preserve">for residential </w:t>
      </w:r>
      <w:r w:rsidR="00B351BF">
        <w:t>non</w:t>
      </w:r>
      <w:r w:rsidR="00827602">
        <w:noBreakHyphen/>
      </w:r>
      <w:r w:rsidR="00912518">
        <w:t>CARE customers in PG&amp;E and SCE service territories</w:t>
      </w:r>
      <w:r w:rsidR="00684C6D">
        <w:t xml:space="preserve"> and all residential CARE customers</w:t>
      </w:r>
      <w:r w:rsidR="00912518">
        <w:t xml:space="preserve">.  </w:t>
      </w:r>
      <w:r w:rsidR="00684C6D">
        <w:t>R</w:t>
      </w:r>
      <w:r w:rsidR="00912518">
        <w:t>esidential non</w:t>
      </w:r>
      <w:r w:rsidR="00827602">
        <w:noBreakHyphen/>
      </w:r>
      <w:r w:rsidR="00912518">
        <w:t xml:space="preserve">CARE customers in SDG&amp;E service territory are estimated to experience </w:t>
      </w:r>
      <w:r w:rsidR="00684C6D">
        <w:t xml:space="preserve">a much higher average </w:t>
      </w:r>
      <w:r w:rsidR="00912518">
        <w:t>savings of over $14</w:t>
      </w:r>
      <w:r w:rsidR="00531F1A">
        <w:t>3</w:t>
      </w:r>
      <w:r w:rsidR="00912518">
        <w:t xml:space="preserve"> </w:t>
      </w:r>
      <w:r w:rsidR="0029539D">
        <w:t>per</w:t>
      </w:r>
      <w:r w:rsidR="00912518">
        <w:t xml:space="preserve"> month.  </w:t>
      </w:r>
      <w:bookmarkEnd w:id="130"/>
      <w:r w:rsidR="0077072A">
        <w:t>(</w:t>
      </w:r>
      <w:r w:rsidR="00912518" w:rsidRPr="0077072A">
        <w:rPr>
          <w:i/>
          <w:iCs/>
        </w:rPr>
        <w:t>See</w:t>
      </w:r>
      <w:r w:rsidR="00912518">
        <w:t xml:space="preserve"> Appendix</w:t>
      </w:r>
      <w:r w:rsidR="002F5949">
        <w:t> </w:t>
      </w:r>
      <w:r w:rsidR="00912518">
        <w:t>B of this decision.</w:t>
      </w:r>
      <w:r w:rsidR="0077072A">
        <w:t>)</w:t>
      </w:r>
    </w:p>
  </w:footnote>
  <w:footnote w:id="188">
    <w:p w14:paraId="7FC69FCC" w14:textId="37EB0D0A" w:rsidR="00531F1A" w:rsidRDefault="00531F1A">
      <w:pPr>
        <w:pStyle w:val="FootnoteText"/>
      </w:pPr>
      <w:r>
        <w:rPr>
          <w:rStyle w:val="FootnoteReference"/>
        </w:rPr>
        <w:footnoteRef/>
      </w:r>
      <w:r>
        <w:t xml:space="preserve"> </w:t>
      </w:r>
      <w:bookmarkStart w:id="132" w:name="_Hlk118729230"/>
      <w:r>
        <w:t xml:space="preserve">This is </w:t>
      </w:r>
      <w:r w:rsidR="0081051F">
        <w:t xml:space="preserve">the estimated monthly bill savings </w:t>
      </w:r>
      <w:r>
        <w:t xml:space="preserve">for a residential CARE customer in SCE territory.  This estimate is at the </w:t>
      </w:r>
      <w:r w:rsidR="00F05713">
        <w:t>low</w:t>
      </w:r>
      <w:r w:rsidR="003D1BC9">
        <w:noBreakHyphen/>
      </w:r>
      <w:r w:rsidR="00F05713">
        <w:t>end</w:t>
      </w:r>
      <w:r>
        <w:t xml:space="preserve"> </w:t>
      </w:r>
      <w:r w:rsidR="007B0CE1">
        <w:t xml:space="preserve">range of monthly bill savings </w:t>
      </w:r>
      <w:r>
        <w:t xml:space="preserve">for the three service territories.  </w:t>
      </w:r>
      <w:r w:rsidR="00D33D53">
        <w:t>(</w:t>
      </w:r>
      <w:r w:rsidRPr="00D33D53">
        <w:rPr>
          <w:i/>
          <w:iCs/>
        </w:rPr>
        <w:t>See</w:t>
      </w:r>
      <w:r>
        <w:t xml:space="preserve"> Appendix</w:t>
      </w:r>
      <w:r w:rsidR="002F5949">
        <w:t> </w:t>
      </w:r>
      <w:r>
        <w:t>B of this decision for a breakdown of the payback periods and annual bill savings for non</w:t>
      </w:r>
      <w:r w:rsidR="00827602">
        <w:noBreakHyphen/>
      </w:r>
      <w:r>
        <w:t>CARE customers and customers in PG&amp;E and SDG&amp;E service territories.</w:t>
      </w:r>
      <w:r w:rsidR="00D33D53">
        <w:t xml:space="preserve">) </w:t>
      </w:r>
      <w:bookmarkEnd w:id="132"/>
    </w:p>
  </w:footnote>
  <w:footnote w:id="189">
    <w:p w14:paraId="39769470" w14:textId="6612DD0D" w:rsidR="00875254" w:rsidRDefault="00875254">
      <w:pPr>
        <w:pStyle w:val="FootnoteText"/>
      </w:pPr>
      <w:r>
        <w:rPr>
          <w:rStyle w:val="FootnoteReference"/>
        </w:rPr>
        <w:footnoteRef/>
      </w:r>
      <w:r>
        <w:t xml:space="preserve"> </w:t>
      </w:r>
      <w:r w:rsidR="00BA75E3">
        <w:t xml:space="preserve"> </w:t>
      </w:r>
      <w:r>
        <w:t>TURN Opening Brief</w:t>
      </w:r>
      <w:r w:rsidR="000B3DA8">
        <w:t xml:space="preserve"> at 3</w:t>
      </w:r>
      <w:r>
        <w:t>6.</w:t>
      </w:r>
    </w:p>
  </w:footnote>
  <w:footnote w:id="190">
    <w:p w14:paraId="3E9C3D0A" w14:textId="18A8DC98" w:rsidR="00875254" w:rsidRDefault="00875254">
      <w:pPr>
        <w:pStyle w:val="FootnoteText"/>
      </w:pPr>
      <w:r>
        <w:rPr>
          <w:rStyle w:val="FootnoteReference"/>
        </w:rPr>
        <w:footnoteRef/>
      </w:r>
      <w:r>
        <w:t xml:space="preserve"> </w:t>
      </w:r>
      <w:r w:rsidR="00BA75E3">
        <w:t xml:space="preserve"> </w:t>
      </w:r>
      <w:r>
        <w:t>TURN Opening Brief</w:t>
      </w:r>
      <w:r w:rsidR="000B3DA8">
        <w:t xml:space="preserve"> at 3</w:t>
      </w:r>
      <w:r>
        <w:t>6.</w:t>
      </w:r>
    </w:p>
  </w:footnote>
  <w:footnote w:id="191">
    <w:p w14:paraId="6637C4EC" w14:textId="0FF89AF8" w:rsidR="00F61583" w:rsidRDefault="00F61583" w:rsidP="00F61583">
      <w:pPr>
        <w:pStyle w:val="FootnoteText"/>
      </w:pPr>
      <w:r>
        <w:rPr>
          <w:rStyle w:val="FootnoteReference"/>
        </w:rPr>
        <w:footnoteRef/>
      </w:r>
      <w:r>
        <w:t xml:space="preserve"> </w:t>
      </w:r>
      <w:r w:rsidR="00BA75E3">
        <w:t xml:space="preserve"> </w:t>
      </w:r>
      <w:r>
        <w:t>SEIA/Vote Solar Opening Brief</w:t>
      </w:r>
      <w:r w:rsidR="000B3DA8">
        <w:t xml:space="preserve"> at 3</w:t>
      </w:r>
      <w:r>
        <w:t>2</w:t>
      </w:r>
      <w:r w:rsidR="00827602">
        <w:noBreakHyphen/>
      </w:r>
      <w:r>
        <w:t>33.</w:t>
      </w:r>
    </w:p>
  </w:footnote>
  <w:footnote w:id="192">
    <w:p w14:paraId="3F78C302" w14:textId="5B3ED93D" w:rsidR="00422CC0" w:rsidRDefault="00422CC0">
      <w:pPr>
        <w:pStyle w:val="FootnoteText"/>
      </w:pPr>
      <w:r>
        <w:rPr>
          <w:rStyle w:val="FootnoteReference"/>
        </w:rPr>
        <w:footnoteRef/>
      </w:r>
      <w:r>
        <w:t xml:space="preserve"> </w:t>
      </w:r>
      <w:r w:rsidR="00BA75E3">
        <w:t xml:space="preserve"> </w:t>
      </w:r>
      <w:r>
        <w:t>TURN Opening Brief</w:t>
      </w:r>
      <w:r w:rsidR="000B3DA8">
        <w:t xml:space="preserve"> at 3</w:t>
      </w:r>
      <w:r>
        <w:t>7 citing TRN</w:t>
      </w:r>
      <w:r w:rsidR="00827602">
        <w:noBreakHyphen/>
      </w:r>
      <w:r>
        <w:t>01</w:t>
      </w:r>
      <w:r w:rsidR="000B3DA8">
        <w:t xml:space="preserve"> at 7</w:t>
      </w:r>
      <w:r>
        <w:t>6.</w:t>
      </w:r>
    </w:p>
  </w:footnote>
  <w:footnote w:id="193">
    <w:p w14:paraId="5648DAC2" w14:textId="287F0AD6" w:rsidR="00422CC0" w:rsidRDefault="00422CC0">
      <w:pPr>
        <w:pStyle w:val="FootnoteText"/>
      </w:pPr>
      <w:r>
        <w:rPr>
          <w:rStyle w:val="FootnoteReference"/>
        </w:rPr>
        <w:footnoteRef/>
      </w:r>
      <w:r>
        <w:t xml:space="preserve"> </w:t>
      </w:r>
      <w:r w:rsidR="00BA75E3">
        <w:t xml:space="preserve"> </w:t>
      </w:r>
      <w:r>
        <w:t>TURN Opening Brief</w:t>
      </w:r>
      <w:r w:rsidR="000B3DA8">
        <w:t xml:space="preserve"> at 3</w:t>
      </w:r>
      <w:r w:rsidR="00662D80">
        <w:t>7</w:t>
      </w:r>
      <w:r w:rsidR="00827602">
        <w:noBreakHyphen/>
      </w:r>
      <w:r>
        <w:t>38.</w:t>
      </w:r>
    </w:p>
  </w:footnote>
  <w:footnote w:id="194">
    <w:p w14:paraId="17D27B47" w14:textId="30065953" w:rsidR="00E02B8D" w:rsidRDefault="00E02B8D">
      <w:pPr>
        <w:pStyle w:val="FootnoteText"/>
      </w:pPr>
      <w:r>
        <w:rPr>
          <w:rStyle w:val="FootnoteReference"/>
        </w:rPr>
        <w:footnoteRef/>
      </w:r>
      <w:r>
        <w:t xml:space="preserve"> </w:t>
      </w:r>
      <w:r w:rsidR="00BA75E3">
        <w:t xml:space="preserve"> </w:t>
      </w:r>
      <w:r>
        <w:t>CALSSA Opening Brief</w:t>
      </w:r>
      <w:r w:rsidR="000B3DA8">
        <w:t xml:space="preserve"> at 2</w:t>
      </w:r>
      <w:r>
        <w:t>9.</w:t>
      </w:r>
    </w:p>
  </w:footnote>
  <w:footnote w:id="195">
    <w:p w14:paraId="1E3C6A28" w14:textId="2E8EE04C" w:rsidR="00C125EE" w:rsidRDefault="00C125EE" w:rsidP="00C125EE">
      <w:pPr>
        <w:pStyle w:val="FootnoteText"/>
      </w:pPr>
      <w:r>
        <w:rPr>
          <w:rStyle w:val="FootnoteReference"/>
        </w:rPr>
        <w:footnoteRef/>
      </w:r>
      <w:r>
        <w:t xml:space="preserve"> </w:t>
      </w:r>
      <w:r w:rsidR="00BA75E3">
        <w:t xml:space="preserve"> </w:t>
      </w:r>
      <w:r>
        <w:t>CALSSA Opening Brief</w:t>
      </w:r>
      <w:r w:rsidR="000B3DA8">
        <w:t xml:space="preserve"> at 2</w:t>
      </w:r>
      <w:r>
        <w:t>9 citing CSA</w:t>
      </w:r>
      <w:r w:rsidR="00827602">
        <w:noBreakHyphen/>
      </w:r>
      <w:r>
        <w:t>01</w:t>
      </w:r>
      <w:r w:rsidR="000B3DA8">
        <w:t xml:space="preserve"> at 6</w:t>
      </w:r>
      <w:r>
        <w:t>3:7 to 67:10.</w:t>
      </w:r>
    </w:p>
  </w:footnote>
  <w:footnote w:id="196">
    <w:p w14:paraId="101EFAEF" w14:textId="347142FF" w:rsidR="003C12CE" w:rsidRDefault="003C12CE">
      <w:pPr>
        <w:pStyle w:val="FootnoteText"/>
      </w:pPr>
      <w:r>
        <w:rPr>
          <w:rStyle w:val="FootnoteReference"/>
        </w:rPr>
        <w:footnoteRef/>
      </w:r>
      <w:r>
        <w:t xml:space="preserve"> </w:t>
      </w:r>
      <w:r w:rsidR="00BA75E3">
        <w:t xml:space="preserve"> </w:t>
      </w:r>
      <w:r>
        <w:t>CALSSA Opening Brief</w:t>
      </w:r>
      <w:r w:rsidR="000B3DA8">
        <w:t xml:space="preserve"> at 3</w:t>
      </w:r>
      <w:r>
        <w:t>2 citing CSA</w:t>
      </w:r>
      <w:r w:rsidR="00827602">
        <w:noBreakHyphen/>
      </w:r>
      <w:r>
        <w:t>01</w:t>
      </w:r>
      <w:r w:rsidR="000B3DA8">
        <w:t xml:space="preserve"> at 6</w:t>
      </w:r>
      <w:r>
        <w:t>3:7 to 67:10.</w:t>
      </w:r>
    </w:p>
  </w:footnote>
  <w:footnote w:id="197">
    <w:p w14:paraId="022C2F80" w14:textId="67CB4FBD" w:rsidR="004B6909" w:rsidRDefault="004B6909">
      <w:pPr>
        <w:pStyle w:val="FootnoteText"/>
      </w:pPr>
      <w:r>
        <w:rPr>
          <w:rStyle w:val="FootnoteReference"/>
        </w:rPr>
        <w:footnoteRef/>
      </w:r>
      <w:r>
        <w:t xml:space="preserve"> </w:t>
      </w:r>
      <w:r w:rsidR="00BA75E3">
        <w:t xml:space="preserve"> </w:t>
      </w:r>
      <w:r>
        <w:t>TURN Reply Brief</w:t>
      </w:r>
      <w:r w:rsidR="000B3DA8">
        <w:t xml:space="preserve"> at 2</w:t>
      </w:r>
      <w:r>
        <w:t>7.</w:t>
      </w:r>
    </w:p>
  </w:footnote>
  <w:footnote w:id="198">
    <w:p w14:paraId="6ED02278" w14:textId="22D831E7" w:rsidR="00530F03" w:rsidRDefault="00530F03">
      <w:pPr>
        <w:pStyle w:val="FootnoteText"/>
      </w:pPr>
      <w:r>
        <w:rPr>
          <w:rStyle w:val="FootnoteReference"/>
        </w:rPr>
        <w:footnoteRef/>
      </w:r>
      <w:r>
        <w:t xml:space="preserve"> </w:t>
      </w:r>
      <w:r w:rsidR="00BA75E3">
        <w:t xml:space="preserve"> </w:t>
      </w:r>
      <w:r>
        <w:t>TURN Reply Brief</w:t>
      </w:r>
      <w:r w:rsidR="000B3DA8">
        <w:t xml:space="preserve"> at 2</w:t>
      </w:r>
      <w:r>
        <w:t>7.</w:t>
      </w:r>
    </w:p>
  </w:footnote>
  <w:footnote w:id="199">
    <w:p w14:paraId="70708AF3" w14:textId="0899D63B" w:rsidR="00530F03" w:rsidRDefault="00530F03">
      <w:pPr>
        <w:pStyle w:val="FootnoteText"/>
      </w:pPr>
      <w:r>
        <w:rPr>
          <w:rStyle w:val="FootnoteReference"/>
        </w:rPr>
        <w:footnoteRef/>
      </w:r>
      <w:r>
        <w:t xml:space="preserve"> </w:t>
      </w:r>
      <w:r w:rsidR="00BA75E3">
        <w:t xml:space="preserve"> </w:t>
      </w:r>
      <w:r>
        <w:t>TURN Reply Brief</w:t>
      </w:r>
      <w:r w:rsidR="000B3DA8">
        <w:t xml:space="preserve"> at 2</w:t>
      </w:r>
      <w:r>
        <w:t>8.</w:t>
      </w:r>
    </w:p>
  </w:footnote>
  <w:footnote w:id="200">
    <w:p w14:paraId="19C67B0C" w14:textId="31190967" w:rsidR="00E44765" w:rsidRDefault="00E44765">
      <w:pPr>
        <w:pStyle w:val="FootnoteText"/>
      </w:pPr>
      <w:r>
        <w:rPr>
          <w:rStyle w:val="FootnoteReference"/>
        </w:rPr>
        <w:footnoteRef/>
      </w:r>
      <w:r>
        <w:t xml:space="preserve">  NRDC Opening Comments to </w:t>
      </w:r>
      <w:r w:rsidR="00693EB0">
        <w:t>May 9, 2022</w:t>
      </w:r>
      <w:r>
        <w:t xml:space="preserve"> Ruling</w:t>
      </w:r>
      <w:r w:rsidR="000B3DA8">
        <w:t xml:space="preserve"> at 9</w:t>
      </w:r>
      <w:r>
        <w:t>.</w:t>
      </w:r>
    </w:p>
  </w:footnote>
  <w:footnote w:id="201">
    <w:p w14:paraId="13ABDB91" w14:textId="4A4EB26A" w:rsidR="00083239" w:rsidRDefault="00083239" w:rsidP="00083239">
      <w:pPr>
        <w:pStyle w:val="FootnoteText"/>
      </w:pPr>
      <w:r>
        <w:rPr>
          <w:rStyle w:val="FootnoteReference"/>
        </w:rPr>
        <w:footnoteRef/>
      </w:r>
      <w:r>
        <w:t xml:space="preserve"> </w:t>
      </w:r>
      <w:r w:rsidR="008E59BE">
        <w:t xml:space="preserve"> </w:t>
      </w:r>
      <w:r>
        <w:t>CSA</w:t>
      </w:r>
      <w:r w:rsidR="00827602">
        <w:noBreakHyphen/>
      </w:r>
      <w:r>
        <w:t>01</w:t>
      </w:r>
      <w:r w:rsidR="000B3DA8">
        <w:t xml:space="preserve"> at 3</w:t>
      </w:r>
      <w:r>
        <w:t>4 citing Lawrence Berkeley National Laboratory’s report, Residential Solar</w:t>
      </w:r>
      <w:r w:rsidR="00827602">
        <w:noBreakHyphen/>
      </w:r>
      <w:r>
        <w:t>Adopter Income and Demographic Trends</w:t>
      </w:r>
      <w:r w:rsidR="00555CC0">
        <w:t xml:space="preserve">:  </w:t>
      </w:r>
      <w:r>
        <w:t>2021 Update</w:t>
      </w:r>
      <w:r w:rsidR="000B3DA8">
        <w:t xml:space="preserve"> at 2</w:t>
      </w:r>
      <w:r>
        <w:t>0.</w:t>
      </w:r>
    </w:p>
  </w:footnote>
  <w:footnote w:id="202">
    <w:p w14:paraId="04CEE022" w14:textId="31C0069A" w:rsidR="00BF2474" w:rsidRDefault="00BF2474">
      <w:pPr>
        <w:pStyle w:val="FootnoteText"/>
      </w:pPr>
      <w:r>
        <w:rPr>
          <w:rStyle w:val="FootnoteReference"/>
        </w:rPr>
        <w:footnoteRef/>
      </w:r>
      <w:r>
        <w:t xml:space="preserve"> </w:t>
      </w:r>
      <w:r w:rsidR="008E59BE">
        <w:t xml:space="preserve"> </w:t>
      </w:r>
      <w:r w:rsidR="00621868">
        <w:t>Comments of The Solar Energy Industries Association and Vote Solar on the Net Energy Metering 2.0 Lookback Study, February 2021</w:t>
      </w:r>
      <w:r w:rsidR="000B3DA8">
        <w:t xml:space="preserve"> at 1</w:t>
      </w:r>
      <w:r w:rsidR="00621868">
        <w:t>0.</w:t>
      </w:r>
    </w:p>
  </w:footnote>
  <w:footnote w:id="203">
    <w:p w14:paraId="4652CFC3" w14:textId="20DCE526" w:rsidR="00621868" w:rsidRDefault="00621868">
      <w:pPr>
        <w:pStyle w:val="FootnoteText"/>
      </w:pPr>
      <w:r>
        <w:rPr>
          <w:rStyle w:val="FootnoteReference"/>
        </w:rPr>
        <w:footnoteRef/>
      </w:r>
      <w:r>
        <w:t xml:space="preserve"> </w:t>
      </w:r>
      <w:r w:rsidR="008E59BE">
        <w:t xml:space="preserve"> </w:t>
      </w:r>
      <w:r>
        <w:t>Comments of The California Solar</w:t>
      </w:r>
      <w:r w:rsidR="00827602">
        <w:t xml:space="preserve"> &amp; </w:t>
      </w:r>
      <w:r>
        <w:t>Storage Association on the Net Energy Metering 2.0 Lookback Study, February 2021</w:t>
      </w:r>
      <w:r w:rsidR="000B3DA8">
        <w:t xml:space="preserve"> at 2</w:t>
      </w:r>
      <w:r>
        <w:t>.</w:t>
      </w:r>
    </w:p>
  </w:footnote>
  <w:footnote w:id="204">
    <w:p w14:paraId="1A2883F0" w14:textId="3454E56F" w:rsidR="00455FFA" w:rsidRDefault="00455FFA">
      <w:pPr>
        <w:pStyle w:val="FootnoteText"/>
      </w:pPr>
      <w:r>
        <w:rPr>
          <w:rStyle w:val="FootnoteReference"/>
        </w:rPr>
        <w:footnoteRef/>
      </w:r>
      <w:r>
        <w:t xml:space="preserve"> G</w:t>
      </w:r>
      <w:r w:rsidR="007E120D">
        <w:t>RID</w:t>
      </w:r>
      <w:r>
        <w:t xml:space="preserve"> </w:t>
      </w:r>
      <w:r w:rsidRPr="00C441E0">
        <w:rPr>
          <w:i/>
          <w:iCs/>
        </w:rPr>
        <w:t>et</w:t>
      </w:r>
      <w:r w:rsidR="00C441E0">
        <w:rPr>
          <w:i/>
          <w:iCs/>
        </w:rPr>
        <w:t> </w:t>
      </w:r>
      <w:r w:rsidRPr="00C441E0">
        <w:rPr>
          <w:i/>
          <w:iCs/>
        </w:rPr>
        <w:t>al.</w:t>
      </w:r>
      <w:r>
        <w:t xml:space="preserve"> Opening Comments to November</w:t>
      </w:r>
      <w:r w:rsidR="00AB0BDF">
        <w:t> </w:t>
      </w:r>
      <w:r>
        <w:t>10,</w:t>
      </w:r>
      <w:r w:rsidR="00AB0BDF">
        <w:t> </w:t>
      </w:r>
      <w:r>
        <w:t>2022 Proposed Decision at Section</w:t>
      </w:r>
      <w:r w:rsidR="00AB0BDF">
        <w:t> </w:t>
      </w:r>
      <w:r>
        <w:t>III citing Cal</w:t>
      </w:r>
      <w:r w:rsidR="00AB0BDF">
        <w:t> </w:t>
      </w:r>
      <w:r>
        <w:t>Advocates March</w:t>
      </w:r>
      <w:r w:rsidR="00AB0BDF">
        <w:t> </w:t>
      </w:r>
      <w:r>
        <w:t>15,</w:t>
      </w:r>
      <w:r w:rsidR="00AB0BDF">
        <w:t> </w:t>
      </w:r>
      <w:r>
        <w:t>2022 proposal</w:t>
      </w:r>
      <w:r w:rsidR="005D5936">
        <w:t xml:space="preserve">. </w:t>
      </w:r>
    </w:p>
  </w:footnote>
  <w:footnote w:id="205">
    <w:p w14:paraId="713BB609" w14:textId="1B8A37ED" w:rsidR="005D5936" w:rsidRDefault="005D5936">
      <w:pPr>
        <w:pStyle w:val="FootnoteText"/>
      </w:pPr>
      <w:r>
        <w:rPr>
          <w:rStyle w:val="FootnoteReference"/>
        </w:rPr>
        <w:footnoteRef/>
      </w:r>
      <w:r>
        <w:t xml:space="preserve"> G</w:t>
      </w:r>
      <w:r w:rsidR="00614D3E">
        <w:t>RID</w:t>
      </w:r>
      <w:r>
        <w:t xml:space="preserve"> </w:t>
      </w:r>
      <w:r w:rsidRPr="00C441E0">
        <w:rPr>
          <w:i/>
          <w:iCs/>
        </w:rPr>
        <w:t>et</w:t>
      </w:r>
      <w:r w:rsidR="00C441E0">
        <w:rPr>
          <w:i/>
          <w:iCs/>
        </w:rPr>
        <w:t> </w:t>
      </w:r>
      <w:r w:rsidRPr="00C441E0">
        <w:rPr>
          <w:i/>
          <w:iCs/>
        </w:rPr>
        <w:t>al.</w:t>
      </w:r>
      <w:r>
        <w:t xml:space="preserve"> Opening Comments to November</w:t>
      </w:r>
      <w:r w:rsidR="00AB0BDF">
        <w:t> </w:t>
      </w:r>
      <w:r>
        <w:t>10,</w:t>
      </w:r>
      <w:r w:rsidR="00AB0BDF">
        <w:t> </w:t>
      </w:r>
      <w:r>
        <w:t>2022 Proposed Decision at Section</w:t>
      </w:r>
      <w:r w:rsidR="00AB0BDF">
        <w:t> </w:t>
      </w:r>
      <w:r>
        <w:t>III</w:t>
      </w:r>
      <w:r w:rsidR="0087080C">
        <w:t>.</w:t>
      </w:r>
    </w:p>
  </w:footnote>
  <w:footnote w:id="206">
    <w:p w14:paraId="632455A0" w14:textId="300B86FA" w:rsidR="00E02EDE" w:rsidRDefault="00E02EDE">
      <w:pPr>
        <w:pStyle w:val="FootnoteText"/>
      </w:pPr>
      <w:r>
        <w:rPr>
          <w:rStyle w:val="FootnoteReference"/>
        </w:rPr>
        <w:footnoteRef/>
      </w:r>
      <w:r>
        <w:t xml:space="preserve"> G</w:t>
      </w:r>
      <w:r w:rsidR="00614D3E">
        <w:t>RID</w:t>
      </w:r>
      <w:r>
        <w:t xml:space="preserve"> </w:t>
      </w:r>
      <w:r w:rsidRPr="00C441E0">
        <w:rPr>
          <w:i/>
          <w:iCs/>
        </w:rPr>
        <w:t>et</w:t>
      </w:r>
      <w:r w:rsidR="00C441E0">
        <w:rPr>
          <w:i/>
          <w:iCs/>
        </w:rPr>
        <w:t> </w:t>
      </w:r>
      <w:r w:rsidRPr="00C441E0">
        <w:rPr>
          <w:i/>
          <w:iCs/>
        </w:rPr>
        <w:t>al.</w:t>
      </w:r>
      <w:r>
        <w:t xml:space="preserve"> Opening Comments to November</w:t>
      </w:r>
      <w:r w:rsidR="00AB0BDF">
        <w:t> </w:t>
      </w:r>
      <w:r>
        <w:t>10,</w:t>
      </w:r>
      <w:r w:rsidR="00AB0BDF">
        <w:t> </w:t>
      </w:r>
      <w:r>
        <w:t>2022 Proposed Decision at Section</w:t>
      </w:r>
      <w:r w:rsidR="00AB0BDF">
        <w:t> </w:t>
      </w:r>
      <w:r>
        <w:t>III.</w:t>
      </w:r>
    </w:p>
  </w:footnote>
  <w:footnote w:id="207">
    <w:p w14:paraId="3B50EA59" w14:textId="4EED92A8" w:rsidR="00BA4649" w:rsidRDefault="00BA4649">
      <w:pPr>
        <w:pStyle w:val="FootnoteText"/>
      </w:pPr>
      <w:r>
        <w:rPr>
          <w:rStyle w:val="FootnoteReference"/>
        </w:rPr>
        <w:footnoteRef/>
      </w:r>
      <w:r>
        <w:t xml:space="preserve"> TURN Opening Comments to November</w:t>
      </w:r>
      <w:r w:rsidR="00AB0BDF">
        <w:t> </w:t>
      </w:r>
      <w:r>
        <w:t>10,</w:t>
      </w:r>
      <w:r w:rsidR="00AB0BDF">
        <w:t> </w:t>
      </w:r>
      <w:r>
        <w:t>2022 Proposed Decision at</w:t>
      </w:r>
      <w:r w:rsidR="00AB0BDF">
        <w:t> </w:t>
      </w:r>
      <w:r>
        <w:t>7</w:t>
      </w:r>
      <w:r w:rsidR="003D1BC9">
        <w:noBreakHyphen/>
      </w:r>
      <w:r>
        <w:t>8 and Joint Utilities Reply Comments to November</w:t>
      </w:r>
      <w:r w:rsidR="00AB0BDF">
        <w:t> </w:t>
      </w:r>
      <w:r>
        <w:t>10,</w:t>
      </w:r>
      <w:r w:rsidR="00AB0BDF">
        <w:t> </w:t>
      </w:r>
      <w:r>
        <w:t>2022 Proposed Decision at</w:t>
      </w:r>
      <w:r w:rsidR="00AB0BDF">
        <w:t> </w:t>
      </w:r>
      <w:r>
        <w:t>3.</w:t>
      </w:r>
    </w:p>
  </w:footnote>
  <w:footnote w:id="208">
    <w:p w14:paraId="30471943" w14:textId="73B9F018" w:rsidR="00625AB5" w:rsidRDefault="00625AB5">
      <w:pPr>
        <w:pStyle w:val="FootnoteText"/>
      </w:pPr>
      <w:r>
        <w:rPr>
          <w:rStyle w:val="FootnoteReference"/>
        </w:rPr>
        <w:footnoteRef/>
      </w:r>
      <w:r>
        <w:t xml:space="preserve"> Joint Utilities Reply Comments to November</w:t>
      </w:r>
      <w:r w:rsidR="007A369D">
        <w:t> </w:t>
      </w:r>
      <w:r>
        <w:t>10,</w:t>
      </w:r>
      <w:r w:rsidR="007A369D">
        <w:t> </w:t>
      </w:r>
      <w:r>
        <w:t>2022 Proposed Decision at</w:t>
      </w:r>
      <w:r w:rsidR="007A369D">
        <w:t> </w:t>
      </w:r>
      <w:r>
        <w:t>3.</w:t>
      </w:r>
    </w:p>
  </w:footnote>
  <w:footnote w:id="209">
    <w:p w14:paraId="1E5CEC32" w14:textId="733B3E3B" w:rsidR="000835B5" w:rsidRDefault="000835B5">
      <w:pPr>
        <w:pStyle w:val="FootnoteText"/>
      </w:pPr>
      <w:r>
        <w:rPr>
          <w:rStyle w:val="FootnoteReference"/>
        </w:rPr>
        <w:footnoteRef/>
      </w:r>
      <w:r>
        <w:t xml:space="preserve"> 2020 Semi Annual Progress Report at</w:t>
      </w:r>
      <w:r w:rsidR="007A369D">
        <w:t> </w:t>
      </w:r>
      <w:r>
        <w:t>13.</w:t>
      </w:r>
    </w:p>
  </w:footnote>
  <w:footnote w:id="210">
    <w:p w14:paraId="0BA27DE7" w14:textId="426DA512" w:rsidR="009F4923" w:rsidRDefault="009F4923">
      <w:pPr>
        <w:pStyle w:val="FootnoteText"/>
      </w:pPr>
      <w:r>
        <w:rPr>
          <w:rStyle w:val="FootnoteReference"/>
        </w:rPr>
        <w:footnoteRef/>
      </w:r>
      <w:r>
        <w:t xml:space="preserve"> GRID </w:t>
      </w:r>
      <w:r w:rsidRPr="00C441E0">
        <w:rPr>
          <w:i/>
          <w:iCs/>
        </w:rPr>
        <w:t>et</w:t>
      </w:r>
      <w:r w:rsidR="00C441E0">
        <w:rPr>
          <w:i/>
          <w:iCs/>
        </w:rPr>
        <w:t> </w:t>
      </w:r>
      <w:r w:rsidRPr="00C441E0">
        <w:rPr>
          <w:i/>
          <w:iCs/>
        </w:rPr>
        <w:t>al.</w:t>
      </w:r>
      <w:r>
        <w:t xml:space="preserve"> at Reply Comments to November</w:t>
      </w:r>
      <w:r w:rsidR="007A369D">
        <w:t> </w:t>
      </w:r>
      <w:r>
        <w:t>10,</w:t>
      </w:r>
      <w:r w:rsidR="007A369D">
        <w:t> </w:t>
      </w:r>
      <w:r>
        <w:t>2022 Proposed Decision at</w:t>
      </w:r>
      <w:r w:rsidR="007A369D">
        <w:t> </w:t>
      </w:r>
      <w:r>
        <w:t>2</w:t>
      </w:r>
      <w:r w:rsidR="003D1BC9">
        <w:noBreakHyphen/>
      </w:r>
      <w:r>
        <w:t xml:space="preserve">4.  </w:t>
      </w:r>
      <w:r w:rsidR="007A369D">
        <w:t>(</w:t>
      </w:r>
      <w:r w:rsidRPr="00A0614A">
        <w:rPr>
          <w:i/>
          <w:iCs/>
        </w:rPr>
        <w:t>See also</w:t>
      </w:r>
      <w:r>
        <w:t xml:space="preserve"> 350</w:t>
      </w:r>
      <w:r w:rsidR="007A369D">
        <w:t> </w:t>
      </w:r>
      <w:r>
        <w:t>Bay Area Opening Comments to November</w:t>
      </w:r>
      <w:r w:rsidR="007A369D">
        <w:t> </w:t>
      </w:r>
      <w:r>
        <w:t>10,</w:t>
      </w:r>
      <w:r w:rsidR="007A369D">
        <w:t> </w:t>
      </w:r>
      <w:r>
        <w:t>2022 Proposed Decision at</w:t>
      </w:r>
      <w:r w:rsidR="007A369D">
        <w:t> </w:t>
      </w:r>
      <w:r>
        <w:t>3.</w:t>
      </w:r>
      <w:r w:rsidR="007A369D">
        <w:t>)</w:t>
      </w:r>
    </w:p>
  </w:footnote>
  <w:footnote w:id="211">
    <w:p w14:paraId="5510AFAB" w14:textId="6A15BDDB" w:rsidR="004B4837" w:rsidRDefault="004B4837">
      <w:pPr>
        <w:pStyle w:val="FootnoteText"/>
      </w:pPr>
      <w:r>
        <w:rPr>
          <w:rStyle w:val="FootnoteReference"/>
        </w:rPr>
        <w:footnoteRef/>
      </w:r>
      <w:r>
        <w:t xml:space="preserve"> GRID </w:t>
      </w:r>
      <w:r w:rsidRPr="00C441E0">
        <w:rPr>
          <w:i/>
          <w:iCs/>
        </w:rPr>
        <w:t>et</w:t>
      </w:r>
      <w:r w:rsidR="00C441E0">
        <w:rPr>
          <w:i/>
          <w:iCs/>
        </w:rPr>
        <w:t> </w:t>
      </w:r>
      <w:r w:rsidRPr="00C441E0">
        <w:rPr>
          <w:i/>
          <w:iCs/>
        </w:rPr>
        <w:t>al.</w:t>
      </w:r>
      <w:r>
        <w:t xml:space="preserve"> Opening Comments to November</w:t>
      </w:r>
      <w:r w:rsidR="007A369D">
        <w:t> </w:t>
      </w:r>
      <w:r>
        <w:t>10,</w:t>
      </w:r>
      <w:r w:rsidR="007A369D">
        <w:t> </w:t>
      </w:r>
      <w:r>
        <w:t>2022 Proposed Decision at Section</w:t>
      </w:r>
      <w:r w:rsidR="007A369D">
        <w:t> </w:t>
      </w:r>
      <w:r>
        <w:t>III.</w:t>
      </w:r>
    </w:p>
  </w:footnote>
  <w:footnote w:id="212">
    <w:p w14:paraId="16D99797" w14:textId="44974908" w:rsidR="004B4837" w:rsidRDefault="004B4837">
      <w:pPr>
        <w:pStyle w:val="FootnoteText"/>
      </w:pPr>
      <w:r>
        <w:rPr>
          <w:rStyle w:val="FootnoteReference"/>
        </w:rPr>
        <w:footnoteRef/>
      </w:r>
      <w:r>
        <w:t xml:space="preserve"> </w:t>
      </w:r>
      <w:r>
        <w:rPr>
          <w:rStyle w:val="FootnoteReference"/>
        </w:rPr>
        <w:footnoteRef/>
      </w:r>
      <w:r>
        <w:t xml:space="preserve"> GRID </w:t>
      </w:r>
      <w:r w:rsidRPr="00C441E0">
        <w:rPr>
          <w:i/>
          <w:iCs/>
        </w:rPr>
        <w:t>et</w:t>
      </w:r>
      <w:r w:rsidR="00C441E0">
        <w:rPr>
          <w:i/>
          <w:iCs/>
        </w:rPr>
        <w:t> </w:t>
      </w:r>
      <w:r w:rsidRPr="00C441E0">
        <w:rPr>
          <w:i/>
          <w:iCs/>
        </w:rPr>
        <w:t>al.</w:t>
      </w:r>
      <w:r>
        <w:t xml:space="preserve"> Opening Comments to November</w:t>
      </w:r>
      <w:r w:rsidR="00E17CB1">
        <w:t> </w:t>
      </w:r>
      <w:r>
        <w:t>10,</w:t>
      </w:r>
      <w:r w:rsidR="00E17CB1">
        <w:t> </w:t>
      </w:r>
      <w:r>
        <w:t>2022 Proposed Decision at Section</w:t>
      </w:r>
      <w:r w:rsidR="00E17CB1">
        <w:t> </w:t>
      </w:r>
      <w:r>
        <w:t>III citing Cal</w:t>
      </w:r>
      <w:r w:rsidR="00E17CB1">
        <w:t> </w:t>
      </w:r>
      <w:r>
        <w:t>Advocates’ March</w:t>
      </w:r>
      <w:r w:rsidR="00E17CB1">
        <w:t> </w:t>
      </w:r>
      <w:r>
        <w:t>15,</w:t>
      </w:r>
      <w:r w:rsidR="00E17CB1">
        <w:t> </w:t>
      </w:r>
      <w:r>
        <w:t>2021 proposal.</w:t>
      </w:r>
    </w:p>
  </w:footnote>
  <w:footnote w:id="213">
    <w:p w14:paraId="2800ADCF" w14:textId="5CC2134B" w:rsidR="00A46B08" w:rsidRDefault="00A46B08">
      <w:pPr>
        <w:pStyle w:val="FootnoteText"/>
      </w:pPr>
      <w:r>
        <w:rPr>
          <w:rStyle w:val="FootnoteReference"/>
        </w:rPr>
        <w:footnoteRef/>
      </w:r>
      <w:r>
        <w:t xml:space="preserve"> </w:t>
      </w:r>
      <w:r w:rsidR="00BA75E3">
        <w:t xml:space="preserve"> </w:t>
      </w:r>
      <w:r>
        <w:t>CALSSA Opening Brief</w:t>
      </w:r>
      <w:r w:rsidR="000B3DA8">
        <w:t xml:space="preserve"> at 1</w:t>
      </w:r>
      <w:r>
        <w:t>09.</w:t>
      </w:r>
    </w:p>
  </w:footnote>
  <w:footnote w:id="214">
    <w:p w14:paraId="1349C538" w14:textId="79A01F3D" w:rsidR="0040042D" w:rsidRDefault="0040042D">
      <w:pPr>
        <w:pStyle w:val="FootnoteText"/>
      </w:pPr>
      <w:r>
        <w:rPr>
          <w:rStyle w:val="FootnoteReference"/>
        </w:rPr>
        <w:footnoteRef/>
      </w:r>
      <w:r>
        <w:t xml:space="preserve"> </w:t>
      </w:r>
      <w:r w:rsidR="00BA75E3">
        <w:t xml:space="preserve"> </w:t>
      </w:r>
      <w:r>
        <w:t>CALSSA Opening Brief</w:t>
      </w:r>
      <w:r w:rsidR="000B3DA8">
        <w:t xml:space="preserve"> at 1</w:t>
      </w:r>
      <w:r>
        <w:t>09</w:t>
      </w:r>
      <w:r w:rsidR="00827602">
        <w:noBreakHyphen/>
      </w:r>
      <w:r>
        <w:t>112.</w:t>
      </w:r>
    </w:p>
  </w:footnote>
  <w:footnote w:id="215">
    <w:p w14:paraId="07FF0D08" w14:textId="23E85F68" w:rsidR="00D874EF" w:rsidRDefault="00D874EF">
      <w:pPr>
        <w:pStyle w:val="FootnoteText"/>
      </w:pPr>
      <w:r>
        <w:rPr>
          <w:rStyle w:val="FootnoteReference"/>
        </w:rPr>
        <w:footnoteRef/>
      </w:r>
      <w:r>
        <w:t xml:space="preserve"> </w:t>
      </w:r>
      <w:r w:rsidR="00BA75E3">
        <w:t xml:space="preserve"> </w:t>
      </w:r>
      <w:r>
        <w:t>CALSSA Opening Brief</w:t>
      </w:r>
      <w:r w:rsidR="000B3DA8">
        <w:t xml:space="preserve"> at 8</w:t>
      </w:r>
      <w:r>
        <w:t>7.</w:t>
      </w:r>
    </w:p>
  </w:footnote>
  <w:footnote w:id="216">
    <w:p w14:paraId="01977F28" w14:textId="1C86669B" w:rsidR="00D874EF" w:rsidRDefault="00D874EF">
      <w:pPr>
        <w:pStyle w:val="FootnoteText"/>
      </w:pPr>
      <w:r>
        <w:rPr>
          <w:rStyle w:val="FootnoteReference"/>
        </w:rPr>
        <w:footnoteRef/>
      </w:r>
      <w:r>
        <w:t xml:space="preserve"> </w:t>
      </w:r>
      <w:r w:rsidR="00BA75E3">
        <w:t xml:space="preserve"> </w:t>
      </w:r>
      <w:r>
        <w:t>SEIA/Vote Solar Opening Brief</w:t>
      </w:r>
      <w:r w:rsidR="000B3DA8">
        <w:t xml:space="preserve"> at 3</w:t>
      </w:r>
      <w:r>
        <w:t>8.</w:t>
      </w:r>
    </w:p>
  </w:footnote>
  <w:footnote w:id="217">
    <w:p w14:paraId="3640BE7A" w14:textId="1291E71A" w:rsidR="00D874EF" w:rsidRDefault="00D874EF">
      <w:pPr>
        <w:pStyle w:val="FootnoteText"/>
      </w:pPr>
      <w:r>
        <w:rPr>
          <w:rStyle w:val="FootnoteReference"/>
        </w:rPr>
        <w:footnoteRef/>
      </w:r>
      <w:r>
        <w:t xml:space="preserve"> </w:t>
      </w:r>
      <w:r w:rsidR="00BA75E3">
        <w:t xml:space="preserve"> </w:t>
      </w:r>
      <w:r>
        <w:t>SEIA/Vote Solar Opening Brief</w:t>
      </w:r>
      <w:r w:rsidR="000B3DA8">
        <w:t xml:space="preserve"> at 3</w:t>
      </w:r>
      <w:r>
        <w:t>8</w:t>
      </w:r>
      <w:r w:rsidR="00827602">
        <w:noBreakHyphen/>
      </w:r>
      <w:r>
        <w:t>39.</w:t>
      </w:r>
    </w:p>
  </w:footnote>
  <w:footnote w:id="218">
    <w:p w14:paraId="139F8652" w14:textId="0FA97AD4" w:rsidR="00444CA0" w:rsidRDefault="00444CA0">
      <w:pPr>
        <w:pStyle w:val="FootnoteText"/>
      </w:pPr>
      <w:r>
        <w:rPr>
          <w:rStyle w:val="FootnoteReference"/>
        </w:rPr>
        <w:footnoteRef/>
      </w:r>
      <w:r>
        <w:t xml:space="preserve"> </w:t>
      </w:r>
      <w:r w:rsidR="00BA75E3">
        <w:t xml:space="preserve"> </w:t>
      </w:r>
      <w:r>
        <w:t>Sierra Club Opening Brief</w:t>
      </w:r>
      <w:r w:rsidR="000B3DA8">
        <w:t xml:space="preserve"> at 1</w:t>
      </w:r>
      <w:r w:rsidR="0086500C">
        <w:t>4</w:t>
      </w:r>
      <w:r w:rsidR="00827602">
        <w:noBreakHyphen/>
      </w:r>
      <w:r w:rsidR="0086500C">
        <w:t>16.</w:t>
      </w:r>
    </w:p>
  </w:footnote>
  <w:footnote w:id="219">
    <w:p w14:paraId="6A956801" w14:textId="7728D18E" w:rsidR="0086500C" w:rsidRDefault="0086500C">
      <w:pPr>
        <w:pStyle w:val="FootnoteText"/>
      </w:pPr>
      <w:r>
        <w:rPr>
          <w:rStyle w:val="FootnoteReference"/>
        </w:rPr>
        <w:footnoteRef/>
      </w:r>
      <w:r>
        <w:t xml:space="preserve"> </w:t>
      </w:r>
      <w:r w:rsidR="00BA75E3">
        <w:t xml:space="preserve"> </w:t>
      </w:r>
      <w:r>
        <w:t>Sierra Club Opening Brief</w:t>
      </w:r>
      <w:r w:rsidR="000B3DA8">
        <w:t xml:space="preserve"> at 1</w:t>
      </w:r>
      <w:r>
        <w:t>6.</w:t>
      </w:r>
    </w:p>
  </w:footnote>
  <w:footnote w:id="220">
    <w:p w14:paraId="56497FED" w14:textId="0400DA8C" w:rsidR="0086500C" w:rsidRDefault="0086500C">
      <w:pPr>
        <w:pStyle w:val="FootnoteText"/>
      </w:pPr>
      <w:r>
        <w:rPr>
          <w:rStyle w:val="FootnoteReference"/>
        </w:rPr>
        <w:footnoteRef/>
      </w:r>
      <w:r>
        <w:t xml:space="preserve"> </w:t>
      </w:r>
      <w:r w:rsidR="00BA75E3">
        <w:t xml:space="preserve"> </w:t>
      </w:r>
      <w:r>
        <w:t>Sierra Club Opening Brief</w:t>
      </w:r>
      <w:r w:rsidR="000B3DA8">
        <w:t xml:space="preserve"> at 1</w:t>
      </w:r>
      <w:r>
        <w:t>6 citing ASO</w:t>
      </w:r>
      <w:r w:rsidR="00827602">
        <w:noBreakHyphen/>
      </w:r>
      <w:r>
        <w:t>01</w:t>
      </w:r>
      <w:r w:rsidR="000B3DA8">
        <w:t xml:space="preserve"> at 1</w:t>
      </w:r>
      <w:r>
        <w:t>4.</w:t>
      </w:r>
    </w:p>
  </w:footnote>
  <w:footnote w:id="221">
    <w:p w14:paraId="5C182D88" w14:textId="646D7664" w:rsidR="00176C96" w:rsidRDefault="00176C96">
      <w:pPr>
        <w:pStyle w:val="FootnoteText"/>
      </w:pPr>
      <w:r>
        <w:rPr>
          <w:rStyle w:val="FootnoteReference"/>
        </w:rPr>
        <w:footnoteRef/>
      </w:r>
      <w:r>
        <w:t xml:space="preserve"> </w:t>
      </w:r>
      <w:r w:rsidR="00BA75E3">
        <w:t xml:space="preserve"> </w:t>
      </w:r>
      <w:r>
        <w:t>Sierra Club Opening Brief</w:t>
      </w:r>
      <w:r w:rsidR="000B3DA8">
        <w:t xml:space="preserve"> at 1</w:t>
      </w:r>
      <w:r>
        <w:t>6 citing ASO</w:t>
      </w:r>
      <w:r w:rsidR="00827602">
        <w:noBreakHyphen/>
      </w:r>
      <w:r>
        <w:t>02</w:t>
      </w:r>
      <w:r w:rsidR="000B3DA8">
        <w:t xml:space="preserve"> at 8</w:t>
      </w:r>
      <w:r>
        <w:t>–9.</w:t>
      </w:r>
    </w:p>
  </w:footnote>
  <w:footnote w:id="222">
    <w:p w14:paraId="23EACA03" w14:textId="4DACBD22" w:rsidR="004C3EF2" w:rsidRDefault="004C3EF2" w:rsidP="004C3EF2">
      <w:pPr>
        <w:pStyle w:val="FootnoteText"/>
      </w:pPr>
      <w:r>
        <w:rPr>
          <w:rStyle w:val="FootnoteReference"/>
        </w:rPr>
        <w:footnoteRef/>
      </w:r>
      <w:r>
        <w:t xml:space="preserve">  Joint Utilities Opening Brief</w:t>
      </w:r>
      <w:r w:rsidR="000B3DA8">
        <w:t xml:space="preserve"> at 3</w:t>
      </w:r>
      <w:r w:rsidR="00827602">
        <w:noBreakHyphen/>
      </w:r>
      <w:r>
        <w:t>4.</w:t>
      </w:r>
    </w:p>
  </w:footnote>
  <w:footnote w:id="223">
    <w:p w14:paraId="2E84FE84" w14:textId="2272480E" w:rsidR="00F4206A" w:rsidRDefault="00F4206A">
      <w:pPr>
        <w:pStyle w:val="FootnoteText"/>
      </w:pPr>
      <w:r>
        <w:rPr>
          <w:rStyle w:val="FootnoteReference"/>
        </w:rPr>
        <w:footnoteRef/>
      </w:r>
      <w:r>
        <w:t xml:space="preserve"> </w:t>
      </w:r>
      <w:r w:rsidR="00BA75E3">
        <w:t xml:space="preserve"> </w:t>
      </w:r>
      <w:r w:rsidR="009355F1">
        <w:t>Cal Advoc</w:t>
      </w:r>
      <w:r>
        <w:t>ates Opening Brief</w:t>
      </w:r>
      <w:r w:rsidR="000B3DA8">
        <w:t xml:space="preserve"> at 4</w:t>
      </w:r>
      <w:r>
        <w:t>2 and A</w:t>
      </w:r>
      <w:r w:rsidR="00827602">
        <w:noBreakHyphen/>
      </w:r>
      <w:r>
        <w:t>11 to A</w:t>
      </w:r>
      <w:r w:rsidR="00827602">
        <w:noBreakHyphen/>
      </w:r>
      <w:r>
        <w:t>12.</w:t>
      </w:r>
    </w:p>
  </w:footnote>
  <w:footnote w:id="224">
    <w:p w14:paraId="2AE6F497" w14:textId="49C60F45" w:rsidR="00E073A1" w:rsidRDefault="00E073A1">
      <w:pPr>
        <w:pStyle w:val="FootnoteText"/>
      </w:pPr>
      <w:r>
        <w:rPr>
          <w:rStyle w:val="FootnoteReference"/>
        </w:rPr>
        <w:footnoteRef/>
      </w:r>
      <w:r>
        <w:t xml:space="preserve"> </w:t>
      </w:r>
      <w:r w:rsidR="00BA75E3">
        <w:t xml:space="preserve"> </w:t>
      </w:r>
      <w:r>
        <w:t>TURN Reply Brief</w:t>
      </w:r>
      <w:r w:rsidR="000B3DA8">
        <w:t xml:space="preserve"> at 9</w:t>
      </w:r>
      <w:r>
        <w:t>2</w:t>
      </w:r>
      <w:r w:rsidR="00827602">
        <w:noBreakHyphen/>
      </w:r>
      <w:r>
        <w:t>93.</w:t>
      </w:r>
    </w:p>
  </w:footnote>
  <w:footnote w:id="225">
    <w:p w14:paraId="043C98F6" w14:textId="3B92BE78" w:rsidR="007C2E89" w:rsidRDefault="007C2E89">
      <w:pPr>
        <w:pStyle w:val="FootnoteText"/>
      </w:pPr>
      <w:r>
        <w:rPr>
          <w:rStyle w:val="FootnoteReference"/>
        </w:rPr>
        <w:footnoteRef/>
      </w:r>
      <w:r>
        <w:t xml:space="preserve"> </w:t>
      </w:r>
      <w:r w:rsidR="00BA75E3">
        <w:t xml:space="preserve"> </w:t>
      </w:r>
      <w:r>
        <w:t>NRDC Opening Brief</w:t>
      </w:r>
      <w:r w:rsidR="000B3DA8">
        <w:t xml:space="preserve"> at 3</w:t>
      </w:r>
      <w:r>
        <w:t>8</w:t>
      </w:r>
      <w:r w:rsidR="00827602">
        <w:noBreakHyphen/>
      </w:r>
      <w:r>
        <w:t>41.</w:t>
      </w:r>
    </w:p>
  </w:footnote>
  <w:footnote w:id="226">
    <w:p w14:paraId="76961C3B" w14:textId="672CC5D7" w:rsidR="008818E0" w:rsidRDefault="008818E0">
      <w:pPr>
        <w:pStyle w:val="FootnoteText"/>
      </w:pPr>
      <w:r>
        <w:rPr>
          <w:rStyle w:val="FootnoteReference"/>
        </w:rPr>
        <w:footnoteRef/>
      </w:r>
      <w:r>
        <w:t xml:space="preserve"> </w:t>
      </w:r>
      <w:r w:rsidR="00BA75E3">
        <w:t xml:space="preserve"> </w:t>
      </w:r>
      <w:r>
        <w:t>CUE Opening Brief</w:t>
      </w:r>
      <w:r w:rsidR="000B3DA8">
        <w:t xml:space="preserve"> at 1</w:t>
      </w:r>
      <w:r>
        <w:t>9</w:t>
      </w:r>
      <w:r w:rsidR="00827602">
        <w:noBreakHyphen/>
      </w:r>
      <w:r>
        <w:t>20.</w:t>
      </w:r>
    </w:p>
  </w:footnote>
  <w:footnote w:id="227">
    <w:p w14:paraId="3A7B4EC5" w14:textId="7C7E51AA" w:rsidR="008818E0" w:rsidRDefault="008818E0">
      <w:pPr>
        <w:pStyle w:val="FootnoteText"/>
      </w:pPr>
      <w:r>
        <w:rPr>
          <w:rStyle w:val="FootnoteReference"/>
        </w:rPr>
        <w:footnoteRef/>
      </w:r>
      <w:r>
        <w:t xml:space="preserve"> </w:t>
      </w:r>
      <w:r w:rsidR="00BA75E3">
        <w:t xml:space="preserve"> </w:t>
      </w:r>
      <w:r w:rsidR="009F0CE7" w:rsidRPr="00822440">
        <w:rPr>
          <w:i/>
          <w:iCs/>
        </w:rPr>
        <w:t>See</w:t>
      </w:r>
      <w:r w:rsidR="009F0CE7">
        <w:t xml:space="preserve"> </w:t>
      </w:r>
      <w:r w:rsidR="009355F1">
        <w:t>Cal Advoc</w:t>
      </w:r>
      <w:r w:rsidR="009F0CE7">
        <w:t xml:space="preserve">ates Opening Brief at </w:t>
      </w:r>
      <w:r w:rsidR="00123055">
        <w:t>Appendix A</w:t>
      </w:r>
      <w:r w:rsidR="009F0CE7">
        <w:t xml:space="preserve"> listing </w:t>
      </w:r>
      <w:r w:rsidR="009F0CE7">
        <w:t>CalWEA as one of the groups supporting the recommendation for an interim rate (</w:t>
      </w:r>
      <w:r w:rsidR="00D374EE" w:rsidRPr="00822440">
        <w:rPr>
          <w:i/>
          <w:iCs/>
        </w:rPr>
        <w:t>i.e</w:t>
      </w:r>
      <w:r w:rsidR="00D374EE">
        <w:t>.,</w:t>
      </w:r>
      <w:r w:rsidR="009F0CE7">
        <w:t xml:space="preserve"> glide path).</w:t>
      </w:r>
    </w:p>
  </w:footnote>
  <w:footnote w:id="228">
    <w:p w14:paraId="6283D2C4" w14:textId="37B3584F" w:rsidR="007C2E89" w:rsidRDefault="007C2E89">
      <w:pPr>
        <w:pStyle w:val="FootnoteText"/>
      </w:pPr>
      <w:r>
        <w:rPr>
          <w:rStyle w:val="FootnoteReference"/>
        </w:rPr>
        <w:footnoteRef/>
      </w:r>
      <w:r>
        <w:t xml:space="preserve"> </w:t>
      </w:r>
      <w:r w:rsidR="00BA75E3">
        <w:t xml:space="preserve"> </w:t>
      </w:r>
      <w:r>
        <w:t>IEPA Opening Brief</w:t>
      </w:r>
      <w:r w:rsidR="000B3DA8">
        <w:t xml:space="preserve"> at 2</w:t>
      </w:r>
      <w:r>
        <w:t>4</w:t>
      </w:r>
      <w:r w:rsidR="00827602">
        <w:noBreakHyphen/>
      </w:r>
      <w:r>
        <w:t>25.</w:t>
      </w:r>
    </w:p>
  </w:footnote>
  <w:footnote w:id="229">
    <w:p w14:paraId="277B1643" w14:textId="23D1D0FB" w:rsidR="00AC5A0B" w:rsidRDefault="00AC5A0B">
      <w:pPr>
        <w:pStyle w:val="FootnoteText"/>
      </w:pPr>
      <w:r>
        <w:rPr>
          <w:rStyle w:val="FootnoteReference"/>
        </w:rPr>
        <w:footnoteRef/>
      </w:r>
      <w:r>
        <w:t xml:space="preserve"> </w:t>
      </w:r>
      <w:r w:rsidR="00D54FC0">
        <w:t xml:space="preserve"> </w:t>
      </w:r>
      <w:r>
        <w:t>White Paper at Executive Summary.</w:t>
      </w:r>
    </w:p>
  </w:footnote>
  <w:footnote w:id="230">
    <w:p w14:paraId="4E014FBA" w14:textId="24FF4FA1" w:rsidR="008D6DCC" w:rsidRDefault="008D6DCC">
      <w:pPr>
        <w:pStyle w:val="FootnoteText"/>
      </w:pPr>
      <w:r>
        <w:rPr>
          <w:rStyle w:val="FootnoteReference"/>
        </w:rPr>
        <w:footnoteRef/>
      </w:r>
      <w:r>
        <w:t xml:space="preserve"> </w:t>
      </w:r>
      <w:r w:rsidR="00D54FC0">
        <w:t xml:space="preserve"> </w:t>
      </w:r>
      <w:r>
        <w:t>PCF Opening Brief</w:t>
      </w:r>
      <w:r w:rsidR="000B3DA8">
        <w:t xml:space="preserve"> at 5</w:t>
      </w:r>
      <w:r>
        <w:t>8.</w:t>
      </w:r>
    </w:p>
  </w:footnote>
  <w:footnote w:id="231">
    <w:p w14:paraId="220AE6E5" w14:textId="6D52B95E" w:rsidR="00665D2B" w:rsidRDefault="00665D2B">
      <w:pPr>
        <w:pStyle w:val="FootnoteText"/>
      </w:pPr>
      <w:r>
        <w:rPr>
          <w:rStyle w:val="FootnoteReference"/>
        </w:rPr>
        <w:footnoteRef/>
      </w:r>
      <w:r>
        <w:t xml:space="preserve"> </w:t>
      </w:r>
      <w:r w:rsidR="00D54FC0">
        <w:t xml:space="preserve"> </w:t>
      </w:r>
      <w:r>
        <w:t>CALSSA Opening Brief</w:t>
      </w:r>
      <w:r w:rsidR="000B3DA8">
        <w:t xml:space="preserve"> at 5</w:t>
      </w:r>
      <w:r>
        <w:t>6.</w:t>
      </w:r>
    </w:p>
  </w:footnote>
  <w:footnote w:id="232">
    <w:p w14:paraId="73AE4229" w14:textId="69308844" w:rsidR="00665D2B" w:rsidRDefault="00665D2B">
      <w:pPr>
        <w:pStyle w:val="FootnoteText"/>
      </w:pPr>
      <w:r>
        <w:rPr>
          <w:rStyle w:val="FootnoteReference"/>
        </w:rPr>
        <w:footnoteRef/>
      </w:r>
      <w:r>
        <w:t xml:space="preserve"> </w:t>
      </w:r>
      <w:r w:rsidR="00D54FC0">
        <w:t xml:space="preserve"> </w:t>
      </w:r>
      <w:r>
        <w:t>CALSSA Opening Brief</w:t>
      </w:r>
      <w:r w:rsidR="000B3DA8">
        <w:t xml:space="preserve"> at 5</w:t>
      </w:r>
      <w:r>
        <w:t>5.</w:t>
      </w:r>
    </w:p>
  </w:footnote>
  <w:footnote w:id="233">
    <w:p w14:paraId="320CA54E" w14:textId="72FDC2F2" w:rsidR="00046A62" w:rsidRDefault="00046A62">
      <w:pPr>
        <w:pStyle w:val="FootnoteText"/>
      </w:pPr>
      <w:r>
        <w:rPr>
          <w:rStyle w:val="FootnoteReference"/>
        </w:rPr>
        <w:footnoteRef/>
      </w:r>
      <w:r>
        <w:t xml:space="preserve"> </w:t>
      </w:r>
      <w:r w:rsidR="00D54FC0">
        <w:t xml:space="preserve"> </w:t>
      </w:r>
      <w:r>
        <w:t>GRID Opening Brief</w:t>
      </w:r>
      <w:r w:rsidR="000B3DA8">
        <w:t xml:space="preserve"> at 1</w:t>
      </w:r>
      <w:r>
        <w:t>.</w:t>
      </w:r>
    </w:p>
  </w:footnote>
  <w:footnote w:id="234">
    <w:p w14:paraId="1C541B4F" w14:textId="6701DED3" w:rsidR="000403AB" w:rsidRDefault="000403AB">
      <w:pPr>
        <w:pStyle w:val="FootnoteText"/>
      </w:pPr>
      <w:r>
        <w:rPr>
          <w:rStyle w:val="FootnoteReference"/>
        </w:rPr>
        <w:footnoteRef/>
      </w:r>
      <w:r>
        <w:t xml:space="preserve"> </w:t>
      </w:r>
      <w:r w:rsidR="00D54FC0">
        <w:t xml:space="preserve"> </w:t>
      </w:r>
      <w:r>
        <w:t>GRID Opening Brief</w:t>
      </w:r>
      <w:r w:rsidR="000B3DA8">
        <w:t xml:space="preserve"> at 1</w:t>
      </w:r>
      <w:r>
        <w:t>5</w:t>
      </w:r>
      <w:r w:rsidR="00827602">
        <w:noBreakHyphen/>
      </w:r>
      <w:r>
        <w:t>19.</w:t>
      </w:r>
    </w:p>
  </w:footnote>
  <w:footnote w:id="235">
    <w:p w14:paraId="32CC24FB" w14:textId="78159233" w:rsidR="000403AB" w:rsidRDefault="000403AB">
      <w:pPr>
        <w:pStyle w:val="FootnoteText"/>
      </w:pPr>
      <w:r>
        <w:rPr>
          <w:rStyle w:val="FootnoteReference"/>
        </w:rPr>
        <w:footnoteRef/>
      </w:r>
      <w:r>
        <w:t xml:space="preserve"> </w:t>
      </w:r>
      <w:r w:rsidR="00D54FC0">
        <w:t xml:space="preserve"> </w:t>
      </w:r>
      <w:r>
        <w:t>Joint Utilities Opening Brief</w:t>
      </w:r>
      <w:r w:rsidR="000B3DA8">
        <w:t xml:space="preserve"> at 7</w:t>
      </w:r>
      <w:r>
        <w:t>3</w:t>
      </w:r>
      <w:r w:rsidR="00827602">
        <w:noBreakHyphen/>
      </w:r>
      <w:r>
        <w:t>74.</w:t>
      </w:r>
    </w:p>
  </w:footnote>
  <w:footnote w:id="236">
    <w:p w14:paraId="2E5049BE" w14:textId="3FDEA42D" w:rsidR="009E690A" w:rsidRDefault="009E690A" w:rsidP="009E690A">
      <w:pPr>
        <w:pStyle w:val="FootnoteText"/>
      </w:pPr>
      <w:r>
        <w:rPr>
          <w:rStyle w:val="FootnoteReference"/>
        </w:rPr>
        <w:footnoteRef/>
      </w:r>
      <w:r>
        <w:t xml:space="preserve"> </w:t>
      </w:r>
      <w:r w:rsidR="00D54FC0">
        <w:t xml:space="preserve"> </w:t>
      </w:r>
      <w:r>
        <w:t>IEPA Opening Brief</w:t>
      </w:r>
      <w:r w:rsidR="000B3DA8">
        <w:t xml:space="preserve"> at 2</w:t>
      </w:r>
      <w:r>
        <w:t>0</w:t>
      </w:r>
      <w:r w:rsidR="00827602">
        <w:noBreakHyphen/>
      </w:r>
      <w:r>
        <w:t xml:space="preserve">21 and </w:t>
      </w:r>
      <w:r w:rsidR="009355F1">
        <w:t>Cal Advoc</w:t>
      </w:r>
      <w:r>
        <w:t>ates Opening Brief at A</w:t>
      </w:r>
      <w:r w:rsidR="00827602">
        <w:noBreakHyphen/>
      </w:r>
      <w:r>
        <w:t>1.</w:t>
      </w:r>
    </w:p>
  </w:footnote>
  <w:footnote w:id="237">
    <w:p w14:paraId="6826C88E" w14:textId="6557C5E2" w:rsidR="009E690A" w:rsidRDefault="009E690A">
      <w:pPr>
        <w:pStyle w:val="FootnoteText"/>
      </w:pPr>
      <w:r>
        <w:rPr>
          <w:rStyle w:val="FootnoteReference"/>
        </w:rPr>
        <w:footnoteRef/>
      </w:r>
      <w:r>
        <w:t xml:space="preserve"> </w:t>
      </w:r>
      <w:r w:rsidR="00D54FC0">
        <w:t xml:space="preserve"> </w:t>
      </w:r>
      <w:r>
        <w:t>IEPA Opening Brief</w:t>
      </w:r>
      <w:r w:rsidR="000B3DA8">
        <w:t xml:space="preserve"> at 2</w:t>
      </w:r>
      <w:r>
        <w:t>0</w:t>
      </w:r>
      <w:r w:rsidR="00827602">
        <w:noBreakHyphen/>
      </w:r>
      <w:r>
        <w:t xml:space="preserve">21 and </w:t>
      </w:r>
      <w:r w:rsidR="009355F1">
        <w:t>Cal Advoc</w:t>
      </w:r>
      <w:r>
        <w:t>ates Opening Brief at A</w:t>
      </w:r>
      <w:r w:rsidR="00827602">
        <w:noBreakHyphen/>
      </w:r>
      <w:r>
        <w:t>1.</w:t>
      </w:r>
    </w:p>
  </w:footnote>
  <w:footnote w:id="238">
    <w:p w14:paraId="623B5133" w14:textId="16795E78" w:rsidR="00E23BD2" w:rsidRDefault="00E23BD2">
      <w:pPr>
        <w:pStyle w:val="FootnoteText"/>
      </w:pPr>
      <w:r>
        <w:rPr>
          <w:rStyle w:val="FootnoteReference"/>
        </w:rPr>
        <w:footnoteRef/>
      </w:r>
      <w:r>
        <w:t xml:space="preserve"> </w:t>
      </w:r>
      <w:r w:rsidR="00D54FC0">
        <w:t xml:space="preserve"> </w:t>
      </w:r>
      <w:r w:rsidR="008B10AE">
        <w:t>CALSSA Opening Brief</w:t>
      </w:r>
      <w:r w:rsidR="000B3DA8">
        <w:t xml:space="preserve"> at 7</w:t>
      </w:r>
      <w:r w:rsidR="008B10AE">
        <w:t xml:space="preserve">3 and </w:t>
      </w:r>
      <w:r w:rsidR="008546DB">
        <w:t>GRID Opening Brief</w:t>
      </w:r>
      <w:r w:rsidR="000B3DA8">
        <w:t xml:space="preserve"> at 1</w:t>
      </w:r>
      <w:r w:rsidR="008546DB">
        <w:t>4 citing the ESJ Action Plan</w:t>
      </w:r>
      <w:r w:rsidR="000B3DA8">
        <w:t xml:space="preserve"> at 1</w:t>
      </w:r>
      <w:r w:rsidR="008546DB">
        <w:t>0</w:t>
      </w:r>
      <w:r w:rsidR="008B10AE">
        <w:t>.  The ESJ Action Plan, adopted by the Commission in February 2019, is available at</w:t>
      </w:r>
      <w:r w:rsidR="00555CC0">
        <w:t xml:space="preserve">:  </w:t>
      </w:r>
      <w:hyperlink r:id="rId8" w:history="1">
        <w:r w:rsidR="008B10AE" w:rsidRPr="00321C14">
          <w:rPr>
            <w:rStyle w:val="Hyperlink"/>
            <w:sz w:val="23"/>
            <w:szCs w:val="23"/>
          </w:rPr>
          <w:t>https://www.cpuc.ca.gov/news</w:t>
        </w:r>
        <w:r w:rsidR="00827602">
          <w:rPr>
            <w:rStyle w:val="Hyperlink"/>
            <w:sz w:val="23"/>
            <w:szCs w:val="23"/>
          </w:rPr>
          <w:noBreakHyphen/>
        </w:r>
        <w:r w:rsidR="008B10AE" w:rsidRPr="00321C14">
          <w:rPr>
            <w:rStyle w:val="Hyperlink"/>
            <w:sz w:val="23"/>
            <w:szCs w:val="23"/>
          </w:rPr>
          <w:t>and</w:t>
        </w:r>
        <w:r w:rsidR="00827602">
          <w:rPr>
            <w:rStyle w:val="Hyperlink"/>
            <w:sz w:val="23"/>
            <w:szCs w:val="23"/>
          </w:rPr>
          <w:noBreakHyphen/>
        </w:r>
        <w:r w:rsidR="008B10AE" w:rsidRPr="00321C14">
          <w:rPr>
            <w:rStyle w:val="Hyperlink"/>
            <w:sz w:val="23"/>
            <w:szCs w:val="23"/>
          </w:rPr>
          <w:t>updates/newsroom/environmental</w:t>
        </w:r>
        <w:r w:rsidR="00827602">
          <w:rPr>
            <w:rStyle w:val="Hyperlink"/>
            <w:sz w:val="23"/>
            <w:szCs w:val="23"/>
          </w:rPr>
          <w:noBreakHyphen/>
        </w:r>
        <w:r w:rsidR="008B10AE" w:rsidRPr="00321C14">
          <w:rPr>
            <w:rStyle w:val="Hyperlink"/>
            <w:sz w:val="23"/>
            <w:szCs w:val="23"/>
          </w:rPr>
          <w:t>and</w:t>
        </w:r>
        <w:r w:rsidR="00827602">
          <w:rPr>
            <w:rStyle w:val="Hyperlink"/>
            <w:sz w:val="23"/>
            <w:szCs w:val="23"/>
          </w:rPr>
          <w:noBreakHyphen/>
        </w:r>
        <w:r w:rsidR="008B10AE" w:rsidRPr="00321C14">
          <w:rPr>
            <w:rStyle w:val="Hyperlink"/>
            <w:sz w:val="23"/>
            <w:szCs w:val="23"/>
          </w:rPr>
          <w:t>social</w:t>
        </w:r>
        <w:r w:rsidR="00827602">
          <w:rPr>
            <w:rStyle w:val="Hyperlink"/>
            <w:sz w:val="23"/>
            <w:szCs w:val="23"/>
          </w:rPr>
          <w:noBreakHyphen/>
        </w:r>
        <w:r w:rsidR="008B10AE" w:rsidRPr="00321C14">
          <w:rPr>
            <w:rStyle w:val="Hyperlink"/>
            <w:sz w:val="23"/>
            <w:szCs w:val="23"/>
          </w:rPr>
          <w:t>justice</w:t>
        </w:r>
        <w:r w:rsidR="00827602">
          <w:rPr>
            <w:rStyle w:val="Hyperlink"/>
            <w:sz w:val="23"/>
            <w:szCs w:val="23"/>
          </w:rPr>
          <w:noBreakHyphen/>
        </w:r>
        <w:r w:rsidR="008B10AE" w:rsidRPr="00321C14">
          <w:rPr>
            <w:rStyle w:val="Hyperlink"/>
            <w:sz w:val="23"/>
            <w:szCs w:val="23"/>
          </w:rPr>
          <w:t>action</w:t>
        </w:r>
        <w:r w:rsidR="00827602">
          <w:rPr>
            <w:rStyle w:val="Hyperlink"/>
            <w:sz w:val="23"/>
            <w:szCs w:val="23"/>
          </w:rPr>
          <w:noBreakHyphen/>
        </w:r>
        <w:r w:rsidR="008B10AE" w:rsidRPr="00321C14">
          <w:rPr>
            <w:rStyle w:val="Hyperlink"/>
            <w:sz w:val="23"/>
            <w:szCs w:val="23"/>
          </w:rPr>
          <w:t>plan</w:t>
        </w:r>
      </w:hyperlink>
      <w:r w:rsidR="008B10AE">
        <w:rPr>
          <w:sz w:val="23"/>
          <w:szCs w:val="23"/>
        </w:rPr>
        <w:t>.</w:t>
      </w:r>
    </w:p>
  </w:footnote>
  <w:footnote w:id="239">
    <w:p w14:paraId="3641CF90" w14:textId="5C59F471" w:rsidR="00E23BD2" w:rsidRDefault="00E23BD2" w:rsidP="00E23BD2">
      <w:pPr>
        <w:pStyle w:val="FootnoteText"/>
      </w:pPr>
      <w:r>
        <w:rPr>
          <w:rStyle w:val="FootnoteReference"/>
        </w:rPr>
        <w:footnoteRef/>
      </w:r>
      <w:r>
        <w:t xml:space="preserve"> </w:t>
      </w:r>
      <w:r w:rsidR="00D54FC0">
        <w:t xml:space="preserve"> </w:t>
      </w:r>
      <w:r>
        <w:t>CALSSA Opening Brief</w:t>
      </w:r>
      <w:r w:rsidR="000B3DA8">
        <w:t xml:space="preserve"> at 7</w:t>
      </w:r>
      <w:r>
        <w:t>2.</w:t>
      </w:r>
    </w:p>
  </w:footnote>
  <w:footnote w:id="240">
    <w:p w14:paraId="00524528" w14:textId="6F8D87BC" w:rsidR="00E23BD2" w:rsidRDefault="00E23BD2">
      <w:pPr>
        <w:pStyle w:val="FootnoteText"/>
      </w:pPr>
      <w:r>
        <w:rPr>
          <w:rStyle w:val="FootnoteReference"/>
        </w:rPr>
        <w:footnoteRef/>
      </w:r>
      <w:r>
        <w:t xml:space="preserve"> </w:t>
      </w:r>
      <w:r w:rsidR="00D54FC0">
        <w:t xml:space="preserve"> </w:t>
      </w:r>
      <w:r>
        <w:t>CALSSA Opening Brief</w:t>
      </w:r>
      <w:r w:rsidR="000B3DA8">
        <w:t xml:space="preserve"> at 7</w:t>
      </w:r>
      <w:r>
        <w:t>3 citing GRD</w:t>
      </w:r>
      <w:r w:rsidR="00827602">
        <w:noBreakHyphen/>
      </w:r>
      <w:r>
        <w:t>01</w:t>
      </w:r>
      <w:r w:rsidR="000B3DA8">
        <w:t xml:space="preserve"> at 1</w:t>
      </w:r>
      <w:r>
        <w:t>6</w:t>
      </w:r>
      <w:r w:rsidR="00827602">
        <w:noBreakHyphen/>
      </w:r>
      <w:r>
        <w:t>17, GRD</w:t>
      </w:r>
      <w:r w:rsidR="00827602">
        <w:noBreakHyphen/>
      </w:r>
      <w:r>
        <w:t xml:space="preserve">01 at </w:t>
      </w:r>
      <w:r w:rsidR="007F6676">
        <w:t>Table 3</w:t>
      </w:r>
      <w:r>
        <w:t>, and CSA</w:t>
      </w:r>
      <w:r w:rsidR="00827602">
        <w:noBreakHyphen/>
      </w:r>
      <w:r>
        <w:t xml:space="preserve">02 at </w:t>
      </w:r>
      <w:r w:rsidR="007F6676">
        <w:t>Table 3</w:t>
      </w:r>
      <w:r>
        <w:t>.</w:t>
      </w:r>
    </w:p>
  </w:footnote>
  <w:footnote w:id="241">
    <w:p w14:paraId="6370B378" w14:textId="5EC37990" w:rsidR="008546DB" w:rsidRDefault="008546DB">
      <w:pPr>
        <w:pStyle w:val="FootnoteText"/>
      </w:pPr>
      <w:r>
        <w:rPr>
          <w:rStyle w:val="FootnoteReference"/>
        </w:rPr>
        <w:footnoteRef/>
      </w:r>
      <w:r w:rsidR="00D54FC0">
        <w:t xml:space="preserve"> </w:t>
      </w:r>
      <w:r>
        <w:t xml:space="preserve"> GRID Opening Brief</w:t>
      </w:r>
      <w:r w:rsidR="000B3DA8">
        <w:t xml:space="preserve"> at 1</w:t>
      </w:r>
      <w:r>
        <w:t xml:space="preserve">4 and </w:t>
      </w:r>
      <w:r w:rsidR="002733A3">
        <w:t>Tr. </w:t>
      </w:r>
      <w:r w:rsidR="002D33CC">
        <w:t>Vol. </w:t>
      </w:r>
      <w:r>
        <w:t>12</w:t>
      </w:r>
      <w:r w:rsidR="000B3DA8">
        <w:t xml:space="preserve"> at 2</w:t>
      </w:r>
      <w:r>
        <w:t>137:11</w:t>
      </w:r>
      <w:r w:rsidR="00827602">
        <w:noBreakHyphen/>
      </w:r>
      <w:r>
        <w:t xml:space="preserve">22 where </w:t>
      </w:r>
      <w:r w:rsidR="009355F1">
        <w:t>Cal Advoc</w:t>
      </w:r>
      <w:r>
        <w:t>ates</w:t>
      </w:r>
      <w:r w:rsidR="00893753">
        <w:t>’</w:t>
      </w:r>
      <w:r>
        <w:t xml:space="preserve"> Witness </w:t>
      </w:r>
      <w:r w:rsidR="00D374EE">
        <w:t>Buchholz</w:t>
      </w:r>
      <w:r>
        <w:t xml:space="preserve"> agrees the 8</w:t>
      </w:r>
      <w:r w:rsidR="00C04724">
        <w:t>0 percent</w:t>
      </w:r>
      <w:r>
        <w:t xml:space="preserve"> AMI definition is an eligibility requirement for the </w:t>
      </w:r>
      <w:r>
        <w:t>SGIP.</w:t>
      </w:r>
    </w:p>
  </w:footnote>
  <w:footnote w:id="242">
    <w:p w14:paraId="5B5A4A0A" w14:textId="2725FC76" w:rsidR="005E1AD0" w:rsidRDefault="005E1AD0">
      <w:pPr>
        <w:pStyle w:val="FootnoteText"/>
      </w:pPr>
      <w:r>
        <w:rPr>
          <w:rStyle w:val="FootnoteReference"/>
        </w:rPr>
        <w:footnoteRef/>
      </w:r>
      <w:r>
        <w:t xml:space="preserve"> </w:t>
      </w:r>
      <w:r w:rsidR="00D54FC0">
        <w:t xml:space="preserve"> </w:t>
      </w:r>
      <w:r>
        <w:t>CALSSA Opening Brief</w:t>
      </w:r>
      <w:r w:rsidR="000B3DA8">
        <w:t xml:space="preserve"> at 7</w:t>
      </w:r>
      <w:r>
        <w:t>3.</w:t>
      </w:r>
    </w:p>
  </w:footnote>
  <w:footnote w:id="243">
    <w:p w14:paraId="4CB921C8" w14:textId="1DBE8569" w:rsidR="009362F4" w:rsidRDefault="009362F4" w:rsidP="009362F4">
      <w:pPr>
        <w:pStyle w:val="FootnoteText"/>
      </w:pPr>
      <w:r>
        <w:rPr>
          <w:rStyle w:val="FootnoteReference"/>
        </w:rPr>
        <w:footnoteRef/>
      </w:r>
      <w:r>
        <w:t xml:space="preserve"> </w:t>
      </w:r>
      <w:r w:rsidR="00D54FC0">
        <w:t xml:space="preserve"> </w:t>
      </w:r>
      <w:r>
        <w:t>NRDC Opening Brief</w:t>
      </w:r>
      <w:r w:rsidR="000B3DA8">
        <w:t xml:space="preserve"> at 2</w:t>
      </w:r>
      <w:r>
        <w:t>3.</w:t>
      </w:r>
    </w:p>
  </w:footnote>
  <w:footnote w:id="244">
    <w:p w14:paraId="2689A6A6" w14:textId="22927DFB" w:rsidR="00342D10" w:rsidRDefault="00342D10">
      <w:pPr>
        <w:pStyle w:val="FootnoteText"/>
      </w:pPr>
      <w:r>
        <w:rPr>
          <w:rStyle w:val="FootnoteReference"/>
        </w:rPr>
        <w:footnoteRef/>
      </w:r>
      <w:r>
        <w:t xml:space="preserve"> </w:t>
      </w:r>
      <w:r w:rsidR="00D54FC0">
        <w:t xml:space="preserve"> </w:t>
      </w:r>
      <w:r>
        <w:t>Joint Utilities Opening Brief</w:t>
      </w:r>
      <w:r w:rsidR="000B3DA8">
        <w:t xml:space="preserve"> at 8</w:t>
      </w:r>
      <w:r>
        <w:t>9 citing IOU</w:t>
      </w:r>
      <w:r w:rsidR="00827602">
        <w:noBreakHyphen/>
      </w:r>
      <w:r>
        <w:t>01</w:t>
      </w:r>
      <w:r w:rsidR="000B3DA8">
        <w:t xml:space="preserve"> at 1</w:t>
      </w:r>
      <w:r>
        <w:t>:3</w:t>
      </w:r>
      <w:r w:rsidR="00827602">
        <w:noBreakHyphen/>
      </w:r>
      <w:r>
        <w:t>14, 15:32</w:t>
      </w:r>
      <w:r w:rsidR="00827602">
        <w:noBreakHyphen/>
      </w:r>
      <w:r>
        <w:t>16:3.</w:t>
      </w:r>
      <w:r w:rsidR="00AE281E">
        <w:t xml:space="preserve">  </w:t>
      </w:r>
      <w:r w:rsidR="002733A3">
        <w:t>(</w:t>
      </w:r>
      <w:r w:rsidR="00AE281E" w:rsidRPr="00A03290">
        <w:rPr>
          <w:i/>
          <w:iCs/>
        </w:rPr>
        <w:t>See also</w:t>
      </w:r>
      <w:r w:rsidR="00AE281E">
        <w:t xml:space="preserve"> </w:t>
      </w:r>
      <w:r w:rsidR="00AE281E">
        <w:t>IEPA Opening Brief</w:t>
      </w:r>
      <w:r w:rsidR="000B3DA8">
        <w:t xml:space="preserve"> at 2</w:t>
      </w:r>
      <w:r w:rsidR="00AE281E">
        <w:t>6</w:t>
      </w:r>
      <w:r w:rsidR="00BB746F">
        <w:t xml:space="preserve"> and </w:t>
      </w:r>
      <w:r w:rsidR="009355F1">
        <w:t>Cal Advoc</w:t>
      </w:r>
      <w:r w:rsidR="00BB746F">
        <w:t>ates Opening Brief</w:t>
      </w:r>
      <w:r w:rsidR="000B3DA8">
        <w:t xml:space="preserve"> at 3</w:t>
      </w:r>
      <w:r w:rsidR="00BB746F">
        <w:t>5</w:t>
      </w:r>
      <w:r w:rsidR="00AE281E">
        <w:t>.</w:t>
      </w:r>
      <w:r w:rsidR="002733A3">
        <w:t>)</w:t>
      </w:r>
    </w:p>
  </w:footnote>
  <w:footnote w:id="245">
    <w:p w14:paraId="745F4CF5" w14:textId="5475F34B" w:rsidR="00E82DDF" w:rsidRDefault="00E82DDF">
      <w:pPr>
        <w:pStyle w:val="FootnoteText"/>
      </w:pPr>
      <w:r>
        <w:rPr>
          <w:rStyle w:val="FootnoteReference"/>
        </w:rPr>
        <w:footnoteRef/>
      </w:r>
      <w:r>
        <w:t xml:space="preserve"> </w:t>
      </w:r>
      <w:r w:rsidR="00D54FC0">
        <w:t xml:space="preserve"> </w:t>
      </w:r>
      <w:r>
        <w:t>PCF Opening Brief</w:t>
      </w:r>
      <w:r w:rsidR="000B3DA8">
        <w:t xml:space="preserve"> at 5</w:t>
      </w:r>
      <w:r>
        <w:t>2 citing PCF</w:t>
      </w:r>
      <w:r w:rsidR="00827602">
        <w:noBreakHyphen/>
      </w:r>
      <w:r>
        <w:t>01</w:t>
      </w:r>
      <w:r w:rsidR="000B3DA8">
        <w:t xml:space="preserve"> at 1</w:t>
      </w:r>
      <w:r>
        <w:t>4 and PCF</w:t>
      </w:r>
      <w:r w:rsidR="00827602">
        <w:noBreakHyphen/>
      </w:r>
      <w:r>
        <w:t>24</w:t>
      </w:r>
      <w:r w:rsidR="000B3DA8">
        <w:t xml:space="preserve"> at 1</w:t>
      </w:r>
      <w:r>
        <w:t>5.</w:t>
      </w:r>
    </w:p>
  </w:footnote>
  <w:footnote w:id="246">
    <w:p w14:paraId="77A7F031" w14:textId="3B28A20A" w:rsidR="00A62F31" w:rsidRDefault="00A62F31">
      <w:pPr>
        <w:pStyle w:val="FootnoteText"/>
      </w:pPr>
      <w:r>
        <w:rPr>
          <w:rStyle w:val="FootnoteReference"/>
        </w:rPr>
        <w:footnoteRef/>
      </w:r>
      <w:r>
        <w:t xml:space="preserve"> </w:t>
      </w:r>
      <w:r w:rsidR="00D54FC0">
        <w:t xml:space="preserve"> </w:t>
      </w:r>
      <w:r>
        <w:t>PCF</w:t>
      </w:r>
      <w:r w:rsidR="00827602">
        <w:noBreakHyphen/>
      </w:r>
      <w:r>
        <w:t>24</w:t>
      </w:r>
      <w:r w:rsidR="000B3DA8">
        <w:t xml:space="preserve"> at 1</w:t>
      </w:r>
      <w:r>
        <w:t>5.</w:t>
      </w:r>
    </w:p>
  </w:footnote>
  <w:footnote w:id="247">
    <w:p w14:paraId="3ADAB058" w14:textId="6162B6BF" w:rsidR="00E779D8" w:rsidRDefault="00E779D8" w:rsidP="00E779D8">
      <w:pPr>
        <w:pStyle w:val="FootnoteText"/>
      </w:pPr>
      <w:r>
        <w:rPr>
          <w:rStyle w:val="FootnoteReference"/>
        </w:rPr>
        <w:footnoteRef/>
      </w:r>
      <w:r>
        <w:t xml:space="preserve"> </w:t>
      </w:r>
      <w:r w:rsidR="00D54FC0">
        <w:t xml:space="preserve"> </w:t>
      </w:r>
      <w:r>
        <w:t>PCF Opening Brief</w:t>
      </w:r>
      <w:r w:rsidR="000B3DA8">
        <w:t xml:space="preserve"> at 5</w:t>
      </w:r>
      <w:r>
        <w:t>2</w:t>
      </w:r>
      <w:r w:rsidR="00827602">
        <w:noBreakHyphen/>
      </w:r>
      <w:r>
        <w:t>55.</w:t>
      </w:r>
    </w:p>
  </w:footnote>
  <w:footnote w:id="248">
    <w:p w14:paraId="64CAA892" w14:textId="6D2B4F37" w:rsidR="00A62F31" w:rsidRDefault="00A62F31">
      <w:pPr>
        <w:pStyle w:val="FootnoteText"/>
      </w:pPr>
      <w:r>
        <w:rPr>
          <w:rStyle w:val="FootnoteReference"/>
        </w:rPr>
        <w:footnoteRef/>
      </w:r>
      <w:r>
        <w:t xml:space="preserve"> </w:t>
      </w:r>
      <w:r w:rsidR="00D54FC0">
        <w:t xml:space="preserve"> </w:t>
      </w:r>
      <w:r>
        <w:t>PCF Opening Brief</w:t>
      </w:r>
      <w:r w:rsidR="000B3DA8">
        <w:t xml:space="preserve"> at 5</w:t>
      </w:r>
      <w:r>
        <w:t>4</w:t>
      </w:r>
      <w:r w:rsidR="00827602">
        <w:noBreakHyphen/>
      </w:r>
      <w:r>
        <w:t>55 citing PCF</w:t>
      </w:r>
      <w:r w:rsidR="00827602">
        <w:noBreakHyphen/>
      </w:r>
      <w:r>
        <w:t>15</w:t>
      </w:r>
      <w:r w:rsidR="000B3DA8">
        <w:t xml:space="preserve"> at 4</w:t>
      </w:r>
      <w:r>
        <w:t xml:space="preserve"> and 30 (Lookback Study)</w:t>
      </w:r>
      <w:r w:rsidR="00FA6834">
        <w:t>.</w:t>
      </w:r>
    </w:p>
  </w:footnote>
  <w:footnote w:id="249">
    <w:p w14:paraId="23C9024A" w14:textId="384E011A" w:rsidR="00E779D8" w:rsidRDefault="00E779D8">
      <w:pPr>
        <w:pStyle w:val="FootnoteText"/>
      </w:pPr>
      <w:r>
        <w:rPr>
          <w:rStyle w:val="FootnoteReference"/>
        </w:rPr>
        <w:footnoteRef/>
      </w:r>
      <w:r>
        <w:t xml:space="preserve"> </w:t>
      </w:r>
      <w:r w:rsidR="00D54FC0">
        <w:t xml:space="preserve"> </w:t>
      </w:r>
      <w:r>
        <w:t>SEIA/Vote Solar Reply Brief</w:t>
      </w:r>
      <w:r w:rsidR="000B3DA8">
        <w:t xml:space="preserve"> at 4</w:t>
      </w:r>
      <w:r>
        <w:t>0 citing Lookback Study</w:t>
      </w:r>
      <w:r w:rsidR="000B3DA8">
        <w:t xml:space="preserve"> at 6</w:t>
      </w:r>
      <w:r>
        <w:t xml:space="preserve">2.  </w:t>
      </w:r>
      <w:r w:rsidR="00F11093">
        <w:t>(</w:t>
      </w:r>
      <w:r w:rsidRPr="00D54FC0">
        <w:rPr>
          <w:i/>
          <w:iCs/>
        </w:rPr>
        <w:t>See also</w:t>
      </w:r>
      <w:r>
        <w:t xml:space="preserve"> Lookback Study at </w:t>
      </w:r>
      <w:r w:rsidR="007F6676">
        <w:t>Table 3</w:t>
      </w:r>
      <w:r w:rsidR="00827602">
        <w:noBreakHyphen/>
      </w:r>
      <w:r>
        <w:t>1 indicating 3</w:t>
      </w:r>
      <w:r w:rsidR="00C04724">
        <w:t>0 percent</w:t>
      </w:r>
      <w:r>
        <w:t xml:space="preserve"> increased electric usage after adding solar.</w:t>
      </w:r>
      <w:r w:rsidR="00F11093">
        <w:t>)</w:t>
      </w:r>
    </w:p>
  </w:footnote>
  <w:footnote w:id="250">
    <w:p w14:paraId="4E1C1FB4" w14:textId="6058AB59" w:rsidR="009E1044" w:rsidRDefault="009E1044">
      <w:pPr>
        <w:pStyle w:val="FootnoteText"/>
      </w:pPr>
      <w:r>
        <w:rPr>
          <w:rStyle w:val="FootnoteReference"/>
        </w:rPr>
        <w:footnoteRef/>
      </w:r>
      <w:r>
        <w:t xml:space="preserve"> </w:t>
      </w:r>
      <w:r w:rsidR="00D54FC0">
        <w:t xml:space="preserve"> </w:t>
      </w:r>
      <w:r>
        <w:t>Lookback Study</w:t>
      </w:r>
      <w:r w:rsidR="000B3DA8">
        <w:t xml:space="preserve"> at 2</w:t>
      </w:r>
      <w:r>
        <w:t>.</w:t>
      </w:r>
    </w:p>
  </w:footnote>
  <w:footnote w:id="251">
    <w:p w14:paraId="3C989A9E" w14:textId="74ABAEE8" w:rsidR="00795F41" w:rsidRDefault="00795F41">
      <w:pPr>
        <w:pStyle w:val="FootnoteText"/>
      </w:pPr>
      <w:r>
        <w:rPr>
          <w:rStyle w:val="FootnoteReference"/>
        </w:rPr>
        <w:footnoteRef/>
      </w:r>
      <w:r>
        <w:t xml:space="preserve"> </w:t>
      </w:r>
      <w:r w:rsidR="00D54FC0">
        <w:t xml:space="preserve"> </w:t>
      </w:r>
      <w:r>
        <w:t xml:space="preserve">Lookback Study at </w:t>
      </w:r>
      <w:r w:rsidR="007F6676">
        <w:t>Table 1</w:t>
      </w:r>
      <w:r w:rsidR="00827602">
        <w:noBreakHyphen/>
      </w:r>
      <w:r>
        <w:t>1.</w:t>
      </w:r>
    </w:p>
  </w:footnote>
  <w:footnote w:id="252">
    <w:p w14:paraId="713FB8D9" w14:textId="1410353C" w:rsidR="00704962" w:rsidRDefault="00704962" w:rsidP="00704962">
      <w:pPr>
        <w:pStyle w:val="FootnoteText"/>
      </w:pPr>
      <w:r>
        <w:rPr>
          <w:rStyle w:val="FootnoteReference"/>
        </w:rPr>
        <w:footnoteRef/>
      </w:r>
      <w:r>
        <w:t xml:space="preserve"> </w:t>
      </w:r>
      <w:r w:rsidR="00D54FC0">
        <w:t xml:space="preserve"> </w:t>
      </w:r>
      <w:r>
        <w:t>SEIA/Vote Solar Opening Brief</w:t>
      </w:r>
      <w:r w:rsidR="000B3DA8">
        <w:t xml:space="preserve"> at 4</w:t>
      </w:r>
      <w:r>
        <w:t>1 and 46.</w:t>
      </w:r>
    </w:p>
  </w:footnote>
  <w:footnote w:id="253">
    <w:p w14:paraId="5D9A59A1" w14:textId="3FC78DBA" w:rsidR="009E63BB" w:rsidRDefault="009E63BB">
      <w:pPr>
        <w:pStyle w:val="FootnoteText"/>
      </w:pPr>
      <w:r>
        <w:rPr>
          <w:rStyle w:val="FootnoteReference"/>
        </w:rPr>
        <w:footnoteRef/>
      </w:r>
      <w:r>
        <w:t xml:space="preserve"> </w:t>
      </w:r>
      <w:r w:rsidR="008E59BE">
        <w:t xml:space="preserve"> </w:t>
      </w:r>
      <w:r>
        <w:t>SVS</w:t>
      </w:r>
      <w:r w:rsidR="00827602">
        <w:noBreakHyphen/>
      </w:r>
      <w:r>
        <w:t>03</w:t>
      </w:r>
      <w:r w:rsidR="000B3DA8">
        <w:t xml:space="preserve"> at 4</w:t>
      </w:r>
      <w:r>
        <w:t>0.</w:t>
      </w:r>
    </w:p>
  </w:footnote>
  <w:footnote w:id="254">
    <w:p w14:paraId="28A17ED6" w14:textId="1D558121" w:rsidR="00704962" w:rsidRPr="00533B2F" w:rsidRDefault="00704962" w:rsidP="00533B2F">
      <w:pPr>
        <w:pStyle w:val="FootnoteText"/>
      </w:pPr>
      <w:r w:rsidRPr="00A03290">
        <w:rPr>
          <w:rStyle w:val="FootnoteReference"/>
        </w:rPr>
        <w:footnoteRef/>
      </w:r>
      <w:r>
        <w:t xml:space="preserve"> </w:t>
      </w:r>
      <w:r w:rsidR="00D54FC0">
        <w:t xml:space="preserve"> </w:t>
      </w:r>
      <w:r w:rsidRPr="00704962">
        <w:t>SEIA/Vote Solar Opening Brief</w:t>
      </w:r>
      <w:r w:rsidR="000B3DA8">
        <w:t xml:space="preserve"> at 4</w:t>
      </w:r>
      <w:r w:rsidRPr="00704962">
        <w:t>7 citing</w:t>
      </w:r>
      <w:r>
        <w:t xml:space="preserve"> </w:t>
      </w:r>
      <w:hyperlink r:id="rId9" w:history="1">
        <w:r w:rsidRPr="00321C14">
          <w:rPr>
            <w:rStyle w:val="Hyperlink"/>
            <w:rFonts w:cs="TimesNewRoman"/>
          </w:rPr>
          <w:t>https://www.sce.com/sites/default/files/inline</w:t>
        </w:r>
        <w:r w:rsidR="00827602">
          <w:rPr>
            <w:rStyle w:val="Hyperlink"/>
            <w:rFonts w:cs="TimesNewRoman"/>
          </w:rPr>
          <w:noBreakHyphen/>
        </w:r>
        <w:r w:rsidRPr="00321C14">
          <w:rPr>
            <w:rStyle w:val="Hyperlink"/>
            <w:rFonts w:cs="TimesNewRoman"/>
          </w:rPr>
          <w:t>files/FINAL%2BNET%2BENERGY%2BMETERING%2B%28NEM%29%2BRESIDENTIAL%2BCUSTOMER%2BSYSTEM%2BSIZE%2BACKNOWLEDGEMENT%2B30%2BKW%2BOR%2BLESS.pdf</w:t>
        </w:r>
      </w:hyperlink>
      <w:r w:rsidR="00533B2F">
        <w:t>.</w:t>
      </w:r>
    </w:p>
  </w:footnote>
  <w:footnote w:id="255">
    <w:p w14:paraId="7A5D0A3C" w14:textId="4625AF5D" w:rsidR="00FC1E83" w:rsidRDefault="00FC1E83">
      <w:pPr>
        <w:pStyle w:val="FootnoteText"/>
      </w:pPr>
      <w:r>
        <w:rPr>
          <w:rStyle w:val="FootnoteReference"/>
        </w:rPr>
        <w:footnoteRef/>
      </w:r>
      <w:r>
        <w:t xml:space="preserve"> </w:t>
      </w:r>
      <w:r w:rsidR="00D54FC0">
        <w:t xml:space="preserve"> </w:t>
      </w:r>
      <w:r>
        <w:t>SEIA/Vote Solar Opening Brief</w:t>
      </w:r>
      <w:r w:rsidR="000B3DA8">
        <w:t xml:space="preserve"> at 4</w:t>
      </w:r>
      <w:r>
        <w:t>6</w:t>
      </w:r>
      <w:r w:rsidR="00827602">
        <w:noBreakHyphen/>
      </w:r>
      <w:r>
        <w:t>47 citing PAO</w:t>
      </w:r>
      <w:r w:rsidR="00827602">
        <w:noBreakHyphen/>
      </w:r>
      <w:r>
        <w:t>02</w:t>
      </w:r>
      <w:r w:rsidR="000B3DA8">
        <w:t xml:space="preserve"> at 5</w:t>
      </w:r>
      <w:r w:rsidR="00827602">
        <w:noBreakHyphen/>
      </w:r>
      <w:r>
        <w:t>16</w:t>
      </w:r>
      <w:r w:rsidR="00FF30B0">
        <w:t>, lines </w:t>
      </w:r>
      <w:r>
        <w:t>21</w:t>
      </w:r>
      <w:r w:rsidR="00827602">
        <w:noBreakHyphen/>
      </w:r>
      <w:r>
        <w:t>26.</w:t>
      </w:r>
    </w:p>
  </w:footnote>
  <w:footnote w:id="256">
    <w:p w14:paraId="7BD1088A" w14:textId="6C1A3E23" w:rsidR="00500D9E" w:rsidRDefault="00500D9E">
      <w:pPr>
        <w:pStyle w:val="FootnoteText"/>
      </w:pPr>
      <w:r>
        <w:rPr>
          <w:rStyle w:val="FootnoteReference"/>
        </w:rPr>
        <w:footnoteRef/>
      </w:r>
      <w:r>
        <w:t xml:space="preserve"> </w:t>
      </w:r>
      <w:r w:rsidR="00D54FC0">
        <w:t xml:space="preserve"> </w:t>
      </w:r>
      <w:r w:rsidR="00893753">
        <w:t>PAO</w:t>
      </w:r>
      <w:r w:rsidR="00827602">
        <w:noBreakHyphen/>
      </w:r>
      <w:r>
        <w:t>02</w:t>
      </w:r>
      <w:r w:rsidR="000B3DA8">
        <w:t xml:space="preserve"> at 5</w:t>
      </w:r>
      <w:r w:rsidR="00827602">
        <w:noBreakHyphen/>
      </w:r>
      <w:r>
        <w:t>16 to 5</w:t>
      </w:r>
      <w:r w:rsidR="00827602">
        <w:noBreakHyphen/>
      </w:r>
      <w:r>
        <w:t>17.</w:t>
      </w:r>
    </w:p>
  </w:footnote>
  <w:footnote w:id="257">
    <w:p w14:paraId="109DEB0A" w14:textId="3F5FFC5F" w:rsidR="00701047" w:rsidRDefault="00701047" w:rsidP="00701047">
      <w:pPr>
        <w:pStyle w:val="FootnoteText"/>
      </w:pPr>
      <w:r>
        <w:rPr>
          <w:rStyle w:val="FootnoteReference"/>
        </w:rPr>
        <w:footnoteRef/>
      </w:r>
      <w:r>
        <w:t xml:space="preserve"> </w:t>
      </w:r>
      <w:r w:rsidR="00D54FC0">
        <w:t xml:space="preserve"> </w:t>
      </w:r>
      <w:r>
        <w:t>Sierra Club Opening Brief</w:t>
      </w:r>
      <w:r w:rsidR="00BC0D80">
        <w:t xml:space="preserve"> at v</w:t>
      </w:r>
      <w:r>
        <w:t>i.</w:t>
      </w:r>
    </w:p>
  </w:footnote>
  <w:footnote w:id="258">
    <w:p w14:paraId="0B9C0674" w14:textId="2609EBB7" w:rsidR="00500D9E" w:rsidRDefault="00500D9E">
      <w:pPr>
        <w:pStyle w:val="FootnoteText"/>
      </w:pPr>
      <w:r>
        <w:rPr>
          <w:rStyle w:val="FootnoteReference"/>
        </w:rPr>
        <w:footnoteRef/>
      </w:r>
      <w:r>
        <w:t xml:space="preserve"> </w:t>
      </w:r>
      <w:r w:rsidR="00D54FC0">
        <w:t xml:space="preserve"> </w:t>
      </w:r>
      <w:r>
        <w:t>SEIA/Vote Solar Opening Brief</w:t>
      </w:r>
      <w:r w:rsidR="000B3DA8">
        <w:t xml:space="preserve"> at 4</w:t>
      </w:r>
      <w:r>
        <w:t>7 citing IOU</w:t>
      </w:r>
      <w:r w:rsidR="00827602">
        <w:noBreakHyphen/>
      </w:r>
      <w:r>
        <w:t>02</w:t>
      </w:r>
      <w:r w:rsidR="000B3DA8">
        <w:t xml:space="preserve"> at 6</w:t>
      </w:r>
      <w:r>
        <w:t>9</w:t>
      </w:r>
      <w:r w:rsidR="00827602">
        <w:noBreakHyphen/>
      </w:r>
      <w:r>
        <w:t>71.</w:t>
      </w:r>
    </w:p>
  </w:footnote>
  <w:footnote w:id="259">
    <w:p w14:paraId="5D2CD609" w14:textId="6935CC59" w:rsidR="00986C63" w:rsidRDefault="00986C63">
      <w:pPr>
        <w:pStyle w:val="FootnoteText"/>
      </w:pPr>
      <w:r>
        <w:rPr>
          <w:rStyle w:val="FootnoteReference"/>
        </w:rPr>
        <w:footnoteRef/>
      </w:r>
      <w:r>
        <w:t xml:space="preserve"> </w:t>
      </w:r>
      <w:r w:rsidR="00D54FC0">
        <w:t xml:space="preserve"> </w:t>
      </w:r>
      <w:r>
        <w:t>Joint Utilities Opening Brief</w:t>
      </w:r>
      <w:r w:rsidR="000B3DA8">
        <w:t xml:space="preserve"> at 1</w:t>
      </w:r>
      <w:r>
        <w:t>0</w:t>
      </w:r>
      <w:r w:rsidR="00827602">
        <w:noBreakHyphen/>
      </w:r>
      <w:r>
        <w:t xml:space="preserve">14 citing </w:t>
      </w:r>
      <w:r w:rsidR="00AF2EF1">
        <w:t>D.06</w:t>
      </w:r>
      <w:r w:rsidR="00827602">
        <w:noBreakHyphen/>
      </w:r>
      <w:r w:rsidR="00AF2EF1">
        <w:t>01</w:t>
      </w:r>
      <w:r w:rsidR="00827602">
        <w:noBreakHyphen/>
      </w:r>
      <w:r w:rsidR="00AF2EF1">
        <w:t>024</w:t>
      </w:r>
      <w:r w:rsidR="000B3DA8">
        <w:t xml:space="preserve"> at 1</w:t>
      </w:r>
      <w:r w:rsidR="00AF2EF1">
        <w:t>5, D.06</w:t>
      </w:r>
      <w:r w:rsidR="00827602">
        <w:noBreakHyphen/>
      </w:r>
      <w:r w:rsidR="00AF2EF1">
        <w:t>07</w:t>
      </w:r>
      <w:r w:rsidR="00827602">
        <w:noBreakHyphen/>
      </w:r>
      <w:r w:rsidR="00AF2EF1">
        <w:t>028</w:t>
      </w:r>
      <w:r w:rsidR="000B3DA8">
        <w:t xml:space="preserve"> at 2</w:t>
      </w:r>
      <w:r w:rsidR="00827602">
        <w:noBreakHyphen/>
      </w:r>
      <w:r w:rsidR="00AF2EF1">
        <w:t>6, D.11</w:t>
      </w:r>
      <w:r w:rsidR="00827602">
        <w:noBreakHyphen/>
      </w:r>
      <w:r w:rsidR="00AF2EF1">
        <w:t>06</w:t>
      </w:r>
      <w:r w:rsidR="00827602">
        <w:noBreakHyphen/>
      </w:r>
      <w:r w:rsidR="00AF2EF1">
        <w:t>016</w:t>
      </w:r>
      <w:r w:rsidR="000B3DA8">
        <w:t xml:space="preserve"> at 3</w:t>
      </w:r>
      <w:r w:rsidR="00AF2EF1">
        <w:t>4, and D.14</w:t>
      </w:r>
      <w:r w:rsidR="00827602">
        <w:noBreakHyphen/>
      </w:r>
      <w:r w:rsidR="00AF2EF1">
        <w:t>11</w:t>
      </w:r>
      <w:r w:rsidR="00827602">
        <w:noBreakHyphen/>
      </w:r>
      <w:r w:rsidR="00AF2EF1">
        <w:t>001</w:t>
      </w:r>
      <w:r w:rsidR="000B3DA8">
        <w:t xml:space="preserve"> at 1</w:t>
      </w:r>
      <w:r w:rsidR="00AF2EF1">
        <w:t>7.</w:t>
      </w:r>
    </w:p>
  </w:footnote>
  <w:footnote w:id="260">
    <w:p w14:paraId="0ED9C3D3" w14:textId="5FF6750D" w:rsidR="00054964" w:rsidRDefault="00054964" w:rsidP="00054964">
      <w:pPr>
        <w:pStyle w:val="FootnoteText"/>
      </w:pPr>
      <w:r>
        <w:rPr>
          <w:rStyle w:val="FootnoteReference"/>
        </w:rPr>
        <w:footnoteRef/>
      </w:r>
      <w:r>
        <w:t xml:space="preserve"> Joint Utilities Opening Comments to November</w:t>
      </w:r>
      <w:r w:rsidR="00E17CB1">
        <w:t> </w:t>
      </w:r>
      <w:r>
        <w:t>10,</w:t>
      </w:r>
      <w:r w:rsidR="00E17CB1">
        <w:t> </w:t>
      </w:r>
      <w:r>
        <w:t>2022 Proposed Decision at</w:t>
      </w:r>
      <w:r w:rsidR="00E17CB1">
        <w:t> </w:t>
      </w:r>
      <w:r>
        <w:t>3 recommending the Commission add clarity.</w:t>
      </w:r>
    </w:p>
  </w:footnote>
  <w:footnote w:id="261">
    <w:p w14:paraId="01D7409E" w14:textId="216ADFCC" w:rsidR="00141E2A" w:rsidRDefault="00141E2A">
      <w:pPr>
        <w:pStyle w:val="FootnoteText"/>
      </w:pPr>
      <w:r>
        <w:rPr>
          <w:rStyle w:val="FootnoteReference"/>
        </w:rPr>
        <w:footnoteRef/>
      </w:r>
      <w:r>
        <w:t xml:space="preserve"> </w:t>
      </w:r>
      <w:r w:rsidR="008E59BE">
        <w:t xml:space="preserve"> </w:t>
      </w:r>
      <w:r>
        <w:t>Joint Utilities Opening Brief</w:t>
      </w:r>
      <w:r w:rsidR="000B3DA8">
        <w:t xml:space="preserve"> at 1</w:t>
      </w:r>
      <w:r>
        <w:t>7 citing D.11</w:t>
      </w:r>
      <w:r w:rsidR="00827602">
        <w:noBreakHyphen/>
      </w:r>
      <w:r>
        <w:t>06</w:t>
      </w:r>
      <w:r w:rsidR="00827602">
        <w:noBreakHyphen/>
      </w:r>
      <w:r>
        <w:t>016</w:t>
      </w:r>
      <w:r w:rsidR="000B3DA8">
        <w:t xml:space="preserve"> at 5</w:t>
      </w:r>
      <w:r>
        <w:t xml:space="preserve">3, 65, and </w:t>
      </w:r>
      <w:r w:rsidR="000B3DA8">
        <w:t>Conclusion of Law 2</w:t>
      </w:r>
      <w:r>
        <w:t>5.</w:t>
      </w:r>
    </w:p>
  </w:footnote>
  <w:footnote w:id="262">
    <w:p w14:paraId="3322DC2B" w14:textId="104E05E6" w:rsidR="00E24E16" w:rsidRDefault="00E24E16">
      <w:pPr>
        <w:pStyle w:val="FootnoteText"/>
      </w:pPr>
      <w:r>
        <w:rPr>
          <w:rStyle w:val="FootnoteReference"/>
        </w:rPr>
        <w:footnoteRef/>
      </w:r>
      <w:r>
        <w:t xml:space="preserve"> </w:t>
      </w:r>
      <w:r w:rsidR="008E59BE">
        <w:t xml:space="preserve"> </w:t>
      </w:r>
      <w:r>
        <w:t>This decision neither revises the net surplus generation netting period nor net surplus compensation, as further discussed in Section</w:t>
      </w:r>
      <w:r w:rsidR="00533B2F">
        <w:t> </w:t>
      </w:r>
      <w:r>
        <w:t xml:space="preserve">8.4.9 and </w:t>
      </w:r>
      <w:r w:rsidR="00533B2F">
        <w:t>Section </w:t>
      </w:r>
      <w:r>
        <w:t>8.5.3.</w:t>
      </w:r>
    </w:p>
  </w:footnote>
  <w:footnote w:id="263">
    <w:p w14:paraId="0670A22C" w14:textId="5DD9627F" w:rsidR="006216CC" w:rsidRDefault="006216CC">
      <w:pPr>
        <w:pStyle w:val="FootnoteText"/>
      </w:pPr>
      <w:r>
        <w:rPr>
          <w:rStyle w:val="FootnoteReference"/>
        </w:rPr>
        <w:footnoteRef/>
      </w:r>
      <w:r w:rsidR="00D54FC0">
        <w:t xml:space="preserve"> </w:t>
      </w:r>
      <w:r>
        <w:t xml:space="preserve"> SEIA/Vote Solar Opening Brief</w:t>
      </w:r>
      <w:r w:rsidR="000B3DA8">
        <w:t xml:space="preserve"> at 4</w:t>
      </w:r>
      <w:r>
        <w:t>7.</w:t>
      </w:r>
    </w:p>
  </w:footnote>
  <w:footnote w:id="264">
    <w:p w14:paraId="1BAB27B7" w14:textId="6F627D96" w:rsidR="00B31D64" w:rsidRDefault="00B31D64" w:rsidP="00B31D64">
      <w:pPr>
        <w:pStyle w:val="FootnoteText"/>
      </w:pPr>
      <w:r>
        <w:rPr>
          <w:rStyle w:val="FootnoteReference"/>
        </w:rPr>
        <w:footnoteRef/>
      </w:r>
      <w:r>
        <w:t xml:space="preserve"> </w:t>
      </w:r>
      <w:r w:rsidR="00D54FC0">
        <w:t xml:space="preserve"> </w:t>
      </w:r>
      <w:r>
        <w:t>PCF Opening Brief</w:t>
      </w:r>
      <w:r w:rsidR="000B3DA8">
        <w:t xml:space="preserve"> at 5</w:t>
      </w:r>
      <w:r>
        <w:t>7 citing IOU</w:t>
      </w:r>
      <w:r w:rsidR="00827602">
        <w:noBreakHyphen/>
      </w:r>
      <w:r>
        <w:t>01</w:t>
      </w:r>
      <w:r w:rsidR="000B3DA8">
        <w:t xml:space="preserve"> at 1</w:t>
      </w:r>
      <w:r>
        <w:t>03.</w:t>
      </w:r>
    </w:p>
  </w:footnote>
  <w:footnote w:id="265">
    <w:p w14:paraId="6D0588BF" w14:textId="67F20447" w:rsidR="008A3924" w:rsidRDefault="008A3924">
      <w:pPr>
        <w:pStyle w:val="FootnoteText"/>
      </w:pPr>
      <w:r>
        <w:rPr>
          <w:rStyle w:val="FootnoteReference"/>
        </w:rPr>
        <w:footnoteRef/>
      </w:r>
      <w:r>
        <w:t xml:space="preserve"> </w:t>
      </w:r>
      <w:r w:rsidR="00D54FC0">
        <w:t xml:space="preserve"> </w:t>
      </w:r>
      <w:r>
        <w:t>PCF Opening Brief</w:t>
      </w:r>
      <w:r w:rsidR="000B3DA8">
        <w:t xml:space="preserve"> at 5</w:t>
      </w:r>
      <w:r>
        <w:t>7 citing PCF</w:t>
      </w:r>
      <w:r w:rsidR="00827602">
        <w:noBreakHyphen/>
      </w:r>
      <w:r>
        <w:t>01</w:t>
      </w:r>
      <w:r w:rsidR="000B3DA8">
        <w:t xml:space="preserve"> at 1</w:t>
      </w:r>
      <w:r>
        <w:t>0 and 12</w:t>
      </w:r>
      <w:r w:rsidR="00827602">
        <w:noBreakHyphen/>
      </w:r>
      <w:r>
        <w:t>13.</w:t>
      </w:r>
    </w:p>
  </w:footnote>
  <w:footnote w:id="266">
    <w:p w14:paraId="50DD9B2C" w14:textId="6D487C14" w:rsidR="00320820" w:rsidRDefault="00320820">
      <w:pPr>
        <w:pStyle w:val="FootnoteText"/>
      </w:pPr>
      <w:r>
        <w:rPr>
          <w:rStyle w:val="FootnoteReference"/>
        </w:rPr>
        <w:footnoteRef/>
      </w:r>
      <w:r>
        <w:t xml:space="preserve"> </w:t>
      </w:r>
      <w:r w:rsidR="00D54FC0">
        <w:t xml:space="preserve"> </w:t>
      </w:r>
      <w:r>
        <w:t>Joint Utilities Opening Brief</w:t>
      </w:r>
      <w:r w:rsidR="000B3DA8">
        <w:t xml:space="preserve"> at 5</w:t>
      </w:r>
      <w:r>
        <w:t>9.</w:t>
      </w:r>
    </w:p>
  </w:footnote>
  <w:footnote w:id="267">
    <w:p w14:paraId="0B17E827" w14:textId="5D6CA6B2" w:rsidR="000B2505" w:rsidRDefault="000B2505">
      <w:pPr>
        <w:pStyle w:val="FootnoteText"/>
      </w:pPr>
      <w:r>
        <w:rPr>
          <w:rStyle w:val="FootnoteReference"/>
        </w:rPr>
        <w:footnoteRef/>
      </w:r>
      <w:r>
        <w:t xml:space="preserve"> </w:t>
      </w:r>
      <w:r w:rsidR="00D54FC0">
        <w:t xml:space="preserve"> </w:t>
      </w:r>
      <w:r>
        <w:t>CALSSA Opening Brief</w:t>
      </w:r>
      <w:r w:rsidR="000B3DA8">
        <w:t xml:space="preserve"> at 2</w:t>
      </w:r>
      <w:r w:rsidR="00827602">
        <w:noBreakHyphen/>
      </w:r>
      <w:r>
        <w:t>3, citing CSA</w:t>
      </w:r>
      <w:r w:rsidR="00827602">
        <w:noBreakHyphen/>
      </w:r>
      <w:r>
        <w:t>01</w:t>
      </w:r>
      <w:r w:rsidR="000B3DA8">
        <w:t xml:space="preserve"> at 6</w:t>
      </w:r>
      <w:r>
        <w:t>:10.</w:t>
      </w:r>
    </w:p>
  </w:footnote>
  <w:footnote w:id="268">
    <w:p w14:paraId="048987B8" w14:textId="23B3FE23" w:rsidR="000119F0" w:rsidRDefault="000119F0">
      <w:pPr>
        <w:pStyle w:val="FootnoteText"/>
      </w:pPr>
      <w:r>
        <w:rPr>
          <w:rStyle w:val="FootnoteReference"/>
        </w:rPr>
        <w:footnoteRef/>
      </w:r>
      <w:r>
        <w:t xml:space="preserve"> </w:t>
      </w:r>
      <w:r w:rsidR="00D54FC0">
        <w:t xml:space="preserve"> </w:t>
      </w:r>
      <w:r>
        <w:t>PCF Opening Brief</w:t>
      </w:r>
      <w:r w:rsidR="000B3DA8">
        <w:t xml:space="preserve"> at 5</w:t>
      </w:r>
      <w:r>
        <w:t>5.</w:t>
      </w:r>
    </w:p>
  </w:footnote>
  <w:footnote w:id="269">
    <w:p w14:paraId="62C8983F" w14:textId="07C21CF3" w:rsidR="000C4710" w:rsidRDefault="000C4710">
      <w:pPr>
        <w:pStyle w:val="FootnoteText"/>
      </w:pPr>
      <w:r>
        <w:rPr>
          <w:rStyle w:val="FootnoteReference"/>
        </w:rPr>
        <w:footnoteRef/>
      </w:r>
      <w:r>
        <w:t xml:space="preserve"> </w:t>
      </w:r>
      <w:r w:rsidR="00D54FC0">
        <w:t xml:space="preserve"> </w:t>
      </w:r>
      <w:r>
        <w:t>PCF Opening Brief</w:t>
      </w:r>
      <w:r w:rsidR="000B3DA8">
        <w:t xml:space="preserve"> at 5</w:t>
      </w:r>
      <w:r>
        <w:t>6.</w:t>
      </w:r>
    </w:p>
  </w:footnote>
  <w:footnote w:id="270">
    <w:p w14:paraId="4CC670BC" w14:textId="11B393A8" w:rsidR="000C4710" w:rsidRDefault="000C4710">
      <w:pPr>
        <w:pStyle w:val="FootnoteText"/>
      </w:pPr>
      <w:r>
        <w:rPr>
          <w:rStyle w:val="FootnoteReference"/>
        </w:rPr>
        <w:footnoteRef/>
      </w:r>
      <w:r>
        <w:t xml:space="preserve"> </w:t>
      </w:r>
      <w:r w:rsidR="00D54FC0">
        <w:t xml:space="preserve"> </w:t>
      </w:r>
      <w:r>
        <w:t>PCF Opening Brief</w:t>
      </w:r>
      <w:r w:rsidR="000B3DA8">
        <w:t xml:space="preserve"> at 5</w:t>
      </w:r>
      <w:r>
        <w:t>6.</w:t>
      </w:r>
    </w:p>
  </w:footnote>
  <w:footnote w:id="271">
    <w:p w14:paraId="245BA836" w14:textId="7B8E9372" w:rsidR="00DF71F8" w:rsidRDefault="00DF71F8">
      <w:pPr>
        <w:pStyle w:val="FootnoteText"/>
      </w:pPr>
      <w:r>
        <w:rPr>
          <w:rStyle w:val="FootnoteReference"/>
        </w:rPr>
        <w:footnoteRef/>
      </w:r>
      <w:r>
        <w:t xml:space="preserve"> </w:t>
      </w:r>
      <w:r w:rsidR="00D54FC0">
        <w:t xml:space="preserve"> </w:t>
      </w:r>
      <w:r>
        <w:t>Joint Utilities Opening Brief</w:t>
      </w:r>
      <w:r w:rsidR="000B3DA8">
        <w:t xml:space="preserve"> at 6</w:t>
      </w:r>
      <w:r>
        <w:t>4</w:t>
      </w:r>
      <w:r w:rsidR="00827602">
        <w:noBreakHyphen/>
      </w:r>
      <w:r>
        <w:t>65 citing IOU</w:t>
      </w:r>
      <w:r w:rsidR="00827602">
        <w:noBreakHyphen/>
      </w:r>
      <w:r>
        <w:t>02</w:t>
      </w:r>
      <w:r w:rsidR="000B3DA8">
        <w:t xml:space="preserve"> at 1</w:t>
      </w:r>
      <w:r>
        <w:t>03:13 to 104:6.</w:t>
      </w:r>
    </w:p>
  </w:footnote>
  <w:footnote w:id="272">
    <w:p w14:paraId="783123A6" w14:textId="7E287BDC" w:rsidR="00DF71F8" w:rsidRDefault="00DF71F8">
      <w:pPr>
        <w:pStyle w:val="FootnoteText"/>
      </w:pPr>
      <w:r>
        <w:rPr>
          <w:rStyle w:val="FootnoteReference"/>
        </w:rPr>
        <w:footnoteRef/>
      </w:r>
      <w:r>
        <w:t xml:space="preserve"> </w:t>
      </w:r>
      <w:r w:rsidR="00D54FC0">
        <w:t xml:space="preserve"> </w:t>
      </w:r>
      <w:r>
        <w:t>Joint Utilities Opening Brief</w:t>
      </w:r>
      <w:r w:rsidR="000B3DA8">
        <w:t xml:space="preserve"> at 6</w:t>
      </w:r>
      <w:r>
        <w:t>5.</w:t>
      </w:r>
    </w:p>
  </w:footnote>
  <w:footnote w:id="273">
    <w:p w14:paraId="24F26793" w14:textId="003E0A34" w:rsidR="005B4DEB" w:rsidRDefault="005B4DEB">
      <w:pPr>
        <w:pStyle w:val="FootnoteText"/>
      </w:pPr>
      <w:r>
        <w:rPr>
          <w:rStyle w:val="FootnoteReference"/>
        </w:rPr>
        <w:footnoteRef/>
      </w:r>
      <w:r>
        <w:t xml:space="preserve"> </w:t>
      </w:r>
      <w:r w:rsidR="00D54FC0">
        <w:t xml:space="preserve"> </w:t>
      </w:r>
      <w:r>
        <w:t>Joint Utilities Opening Brief</w:t>
      </w:r>
      <w:r w:rsidR="000B3DA8">
        <w:t xml:space="preserve"> at 6</w:t>
      </w:r>
      <w:r>
        <w:t>5.</w:t>
      </w:r>
    </w:p>
  </w:footnote>
  <w:footnote w:id="274">
    <w:p w14:paraId="4B515D3F" w14:textId="3EABE757" w:rsidR="001C3E48" w:rsidRDefault="001C3E48">
      <w:pPr>
        <w:pStyle w:val="FootnoteText"/>
      </w:pPr>
      <w:r>
        <w:rPr>
          <w:rStyle w:val="FootnoteReference"/>
        </w:rPr>
        <w:footnoteRef/>
      </w:r>
      <w:r>
        <w:t xml:space="preserve"> </w:t>
      </w:r>
      <w:r w:rsidR="00D54FC0">
        <w:t xml:space="preserve"> </w:t>
      </w:r>
      <w:r>
        <w:t>CSA</w:t>
      </w:r>
      <w:r w:rsidR="00827602">
        <w:noBreakHyphen/>
      </w:r>
      <w:r>
        <w:t>01</w:t>
      </w:r>
      <w:r w:rsidR="000B3DA8">
        <w:t xml:space="preserve"> at 8</w:t>
      </w:r>
      <w:r>
        <w:t>8 and CLC</w:t>
      </w:r>
      <w:r w:rsidR="00827602">
        <w:noBreakHyphen/>
      </w:r>
      <w:r>
        <w:t>01</w:t>
      </w:r>
      <w:r w:rsidR="000B3DA8">
        <w:t xml:space="preserve"> at 5</w:t>
      </w:r>
      <w:r>
        <w:t>.</w:t>
      </w:r>
    </w:p>
  </w:footnote>
  <w:footnote w:id="275">
    <w:p w14:paraId="327738FD" w14:textId="4482CCA6" w:rsidR="001E6766" w:rsidRDefault="001E6766" w:rsidP="001E6766">
      <w:pPr>
        <w:pStyle w:val="FootnoteText"/>
      </w:pPr>
      <w:r>
        <w:rPr>
          <w:rStyle w:val="FootnoteReference"/>
        </w:rPr>
        <w:footnoteRef/>
      </w:r>
      <w:r>
        <w:t xml:space="preserve">  Lookback Study</w:t>
      </w:r>
      <w:r w:rsidR="000B3DA8">
        <w:t xml:space="preserve"> at 7</w:t>
      </w:r>
      <w:r>
        <w:t>.</w:t>
      </w:r>
    </w:p>
  </w:footnote>
  <w:footnote w:id="276">
    <w:p w14:paraId="234FB2A9" w14:textId="142328CF" w:rsidR="006F4726" w:rsidRDefault="006F4726">
      <w:pPr>
        <w:pStyle w:val="FootnoteText"/>
      </w:pPr>
      <w:r>
        <w:rPr>
          <w:rStyle w:val="FootnoteReference"/>
        </w:rPr>
        <w:footnoteRef/>
      </w:r>
      <w:r>
        <w:t xml:space="preserve"> </w:t>
      </w:r>
      <w:r w:rsidR="00D54FC0">
        <w:t xml:space="preserve"> </w:t>
      </w:r>
      <w:r>
        <w:t>PCF Opening Brief</w:t>
      </w:r>
      <w:r w:rsidR="000B3DA8">
        <w:t xml:space="preserve"> at 5</w:t>
      </w:r>
      <w:r>
        <w:t>7 citing CSA</w:t>
      </w:r>
      <w:r w:rsidR="00827602">
        <w:noBreakHyphen/>
      </w:r>
      <w:r>
        <w:t>32</w:t>
      </w:r>
      <w:r w:rsidR="000B3DA8">
        <w:t xml:space="preserve"> at 3</w:t>
      </w:r>
      <w:r>
        <w:t>4</w:t>
      </w:r>
      <w:r w:rsidR="00827602">
        <w:noBreakHyphen/>
      </w:r>
      <w:r>
        <w:t>35 (E3, Cost</w:t>
      </w:r>
      <w:r w:rsidR="00827602">
        <w:noBreakHyphen/>
      </w:r>
      <w:r>
        <w:t xml:space="preserve">effectiveness of net energy metering Successor Rate Proposals under </w:t>
      </w:r>
      <w:r w:rsidR="00A27A49">
        <w:t>Rulemaking 2</w:t>
      </w:r>
      <w:r>
        <w:t>0</w:t>
      </w:r>
      <w:r w:rsidR="00827602">
        <w:noBreakHyphen/>
      </w:r>
      <w:r>
        <w:t>08</w:t>
      </w:r>
      <w:r w:rsidR="00827602">
        <w:noBreakHyphen/>
      </w:r>
      <w:r>
        <w:t>020, a Comparative Analysis (June</w:t>
      </w:r>
      <w:r w:rsidR="00D54FC0">
        <w:t> </w:t>
      </w:r>
      <w:r>
        <w:t>15,</w:t>
      </w:r>
      <w:r w:rsidR="00D54FC0">
        <w:t> </w:t>
      </w:r>
      <w:r>
        <w:t>2021)</w:t>
      </w:r>
      <w:r w:rsidR="005034EB">
        <w:t xml:space="preserve">.  </w:t>
      </w:r>
      <w:r w:rsidR="00F61098">
        <w:t>(</w:t>
      </w:r>
      <w:r w:rsidR="005034EB" w:rsidRPr="00A03290">
        <w:rPr>
          <w:i/>
          <w:iCs/>
        </w:rPr>
        <w:t>See also</w:t>
      </w:r>
      <w:r w:rsidR="005034EB">
        <w:t xml:space="preserve"> </w:t>
      </w:r>
      <w:r w:rsidR="005034EB">
        <w:t>CALSSA Opening Brief</w:t>
      </w:r>
      <w:r w:rsidR="000B3DA8">
        <w:t xml:space="preserve"> at 2</w:t>
      </w:r>
      <w:r w:rsidR="005034EB">
        <w:t>3</w:t>
      </w:r>
      <w:r w:rsidR="00827602">
        <w:noBreakHyphen/>
      </w:r>
      <w:r w:rsidR="005034EB">
        <w:t>24 and</w:t>
      </w:r>
      <w:r w:rsidR="00BF4EC4">
        <w:t xml:space="preserve"> </w:t>
      </w:r>
      <w:r w:rsidR="009F4022">
        <w:t>Table </w:t>
      </w:r>
      <w:r w:rsidR="005034EB">
        <w:t xml:space="preserve">1 and </w:t>
      </w:r>
      <w:r w:rsidR="009F4022">
        <w:t>Table </w:t>
      </w:r>
      <w:r w:rsidR="005034EB">
        <w:t>2.</w:t>
      </w:r>
      <w:r w:rsidR="00F61098">
        <w:t>)</w:t>
      </w:r>
    </w:p>
  </w:footnote>
  <w:footnote w:id="277">
    <w:p w14:paraId="79A4A898" w14:textId="566D6BD9" w:rsidR="00293EDE" w:rsidRDefault="00293EDE">
      <w:pPr>
        <w:pStyle w:val="FootnoteText"/>
      </w:pPr>
      <w:r>
        <w:rPr>
          <w:rStyle w:val="FootnoteReference"/>
        </w:rPr>
        <w:footnoteRef/>
      </w:r>
      <w:r>
        <w:t xml:space="preserve"> </w:t>
      </w:r>
      <w:r w:rsidR="00D54FC0">
        <w:t xml:space="preserve"> </w:t>
      </w:r>
      <w:r w:rsidR="009355F1">
        <w:t>Cal Advoc</w:t>
      </w:r>
      <w:r w:rsidR="00893753">
        <w:t>ates</w:t>
      </w:r>
      <w:r>
        <w:t xml:space="preserve"> Opening Brief</w:t>
      </w:r>
      <w:r w:rsidR="000B3DA8">
        <w:t xml:space="preserve"> at 1</w:t>
      </w:r>
      <w:r>
        <w:t>4.</w:t>
      </w:r>
    </w:p>
  </w:footnote>
  <w:footnote w:id="278">
    <w:p w14:paraId="237BC3BB" w14:textId="00F4E0CB" w:rsidR="00336EBF" w:rsidRDefault="00336EBF">
      <w:pPr>
        <w:pStyle w:val="FootnoteText"/>
      </w:pPr>
      <w:r>
        <w:rPr>
          <w:rStyle w:val="FootnoteReference"/>
        </w:rPr>
        <w:footnoteRef/>
      </w:r>
      <w:r w:rsidR="00D54FC0">
        <w:t xml:space="preserve"> </w:t>
      </w:r>
      <w:r>
        <w:t xml:space="preserve"> SEIA/Vote Solar Opening Brief</w:t>
      </w:r>
      <w:r w:rsidR="000B3DA8">
        <w:t xml:space="preserve"> at 4</w:t>
      </w:r>
      <w:r>
        <w:t>.</w:t>
      </w:r>
    </w:p>
  </w:footnote>
  <w:footnote w:id="279">
    <w:p w14:paraId="69897193" w14:textId="381754BD" w:rsidR="008A2559" w:rsidRDefault="008A2559" w:rsidP="008A2559">
      <w:pPr>
        <w:pStyle w:val="FootnoteText"/>
      </w:pPr>
      <w:r>
        <w:rPr>
          <w:rStyle w:val="FootnoteReference"/>
        </w:rPr>
        <w:footnoteRef/>
      </w:r>
      <w:r>
        <w:t xml:space="preserve"> </w:t>
      </w:r>
      <w:r w:rsidR="00D54FC0">
        <w:t xml:space="preserve"> </w:t>
      </w:r>
      <w:r>
        <w:t xml:space="preserve">Joint Utilities Opening Brief </w:t>
      </w:r>
      <w:r w:rsidR="00BC0D80">
        <w:t>at x</w:t>
      </w:r>
      <w:r>
        <w:t>ii.</w:t>
      </w:r>
    </w:p>
  </w:footnote>
  <w:footnote w:id="280">
    <w:p w14:paraId="3C76E3FF" w14:textId="4A4CE528" w:rsidR="008A2559" w:rsidRDefault="008A2559" w:rsidP="008A2559">
      <w:pPr>
        <w:pStyle w:val="FootnoteText"/>
      </w:pPr>
      <w:r>
        <w:rPr>
          <w:rStyle w:val="FootnoteReference"/>
        </w:rPr>
        <w:footnoteRef/>
      </w:r>
      <w:r>
        <w:t xml:space="preserve"> </w:t>
      </w:r>
      <w:r w:rsidR="00D54FC0">
        <w:t xml:space="preserve"> </w:t>
      </w:r>
      <w:r>
        <w:t>IEPA Opening Brief</w:t>
      </w:r>
      <w:r w:rsidR="000B3DA8">
        <w:t xml:space="preserve"> at 1</w:t>
      </w:r>
      <w:r>
        <w:t>.</w:t>
      </w:r>
    </w:p>
  </w:footnote>
  <w:footnote w:id="281">
    <w:p w14:paraId="4099E5BA" w14:textId="413EBD90" w:rsidR="00336EBF" w:rsidRDefault="00336EBF">
      <w:pPr>
        <w:pStyle w:val="FootnoteText"/>
      </w:pPr>
      <w:r>
        <w:rPr>
          <w:rStyle w:val="FootnoteReference"/>
        </w:rPr>
        <w:footnoteRef/>
      </w:r>
      <w:r>
        <w:t xml:space="preserve"> </w:t>
      </w:r>
      <w:r w:rsidR="00D54FC0">
        <w:t xml:space="preserve"> </w:t>
      </w:r>
      <w:r>
        <w:t>NRDC Opening Brief</w:t>
      </w:r>
      <w:r w:rsidR="000B3DA8">
        <w:t xml:space="preserve"> at 2</w:t>
      </w:r>
      <w:r>
        <w:t>6.</w:t>
      </w:r>
    </w:p>
  </w:footnote>
  <w:footnote w:id="282">
    <w:p w14:paraId="24E71045" w14:textId="29DED45E" w:rsidR="00AD5CD4" w:rsidRDefault="00AD5CD4">
      <w:pPr>
        <w:pStyle w:val="FootnoteText"/>
      </w:pPr>
      <w:r>
        <w:rPr>
          <w:rStyle w:val="FootnoteReference"/>
        </w:rPr>
        <w:footnoteRef/>
      </w:r>
      <w:r>
        <w:t xml:space="preserve"> </w:t>
      </w:r>
      <w:r w:rsidR="00D54FC0">
        <w:t xml:space="preserve"> </w:t>
      </w:r>
      <w:r>
        <w:t>Joint Utilities Opening Brief</w:t>
      </w:r>
      <w:r w:rsidR="000B3DA8">
        <w:t xml:space="preserve"> at 6</w:t>
      </w:r>
      <w:r>
        <w:t xml:space="preserve">3.  </w:t>
      </w:r>
      <w:r w:rsidR="000F23C8">
        <w:t>(</w:t>
      </w:r>
      <w:r w:rsidRPr="00D54FC0">
        <w:rPr>
          <w:i/>
          <w:iCs/>
        </w:rPr>
        <w:t>See also</w:t>
      </w:r>
      <w:r>
        <w:t xml:space="preserve"> NRDC Opening Brief</w:t>
      </w:r>
      <w:r w:rsidR="000B3DA8">
        <w:t xml:space="preserve"> at 2</w:t>
      </w:r>
      <w:r>
        <w:t xml:space="preserve">7, </w:t>
      </w:r>
      <w:r w:rsidR="00BA1EAE">
        <w:t>“</w:t>
      </w:r>
      <w:r>
        <w:t>exports should be valued at the total hourly benefit as estimated by the Avoided Cost Calculator</w:t>
      </w:r>
      <w:r w:rsidR="00FA6834">
        <w:t>.</w:t>
      </w:r>
      <w:r w:rsidR="00BA1EAE">
        <w:t>”</w:t>
      </w:r>
      <w:r w:rsidR="000F23C8">
        <w:t>)</w:t>
      </w:r>
    </w:p>
  </w:footnote>
  <w:footnote w:id="283">
    <w:p w14:paraId="54041400" w14:textId="3F829259" w:rsidR="00EF7EE1" w:rsidRDefault="00EF7EE1" w:rsidP="00EF7EE1">
      <w:pPr>
        <w:pStyle w:val="FootnoteText"/>
      </w:pPr>
      <w:r>
        <w:rPr>
          <w:rStyle w:val="FootnoteReference"/>
        </w:rPr>
        <w:footnoteRef/>
      </w:r>
      <w:r>
        <w:t xml:space="preserve"> </w:t>
      </w:r>
      <w:r w:rsidR="00D54FC0">
        <w:t xml:space="preserve"> </w:t>
      </w:r>
      <w:r>
        <w:t>CALSSA Opening Brief</w:t>
      </w:r>
      <w:r w:rsidR="000B3DA8">
        <w:t xml:space="preserve"> at 2</w:t>
      </w:r>
      <w:r>
        <w:t>3</w:t>
      </w:r>
      <w:r w:rsidR="00AE524D">
        <w:t xml:space="preserve"> and 94</w:t>
      </w:r>
      <w:r>
        <w:t>.</w:t>
      </w:r>
    </w:p>
  </w:footnote>
  <w:footnote w:id="284">
    <w:p w14:paraId="1419BE0D" w14:textId="641C499F" w:rsidR="003A05AF" w:rsidRDefault="003A05AF">
      <w:pPr>
        <w:pStyle w:val="FootnoteText"/>
      </w:pPr>
      <w:r>
        <w:rPr>
          <w:rStyle w:val="FootnoteReference"/>
        </w:rPr>
        <w:footnoteRef/>
      </w:r>
      <w:r>
        <w:t xml:space="preserve"> </w:t>
      </w:r>
      <w:r w:rsidR="00D54FC0">
        <w:t xml:space="preserve"> </w:t>
      </w:r>
      <w:r>
        <w:t>CALSSA Opening Brief</w:t>
      </w:r>
      <w:r w:rsidR="000B3DA8">
        <w:t xml:space="preserve"> at 9</w:t>
      </w:r>
      <w:r>
        <w:t>0</w:t>
      </w:r>
      <w:r w:rsidR="00827602">
        <w:noBreakHyphen/>
      </w:r>
      <w:r>
        <w:t>91 citing IOU</w:t>
      </w:r>
      <w:r w:rsidR="00827602">
        <w:noBreakHyphen/>
      </w:r>
      <w:r>
        <w:t>01</w:t>
      </w:r>
      <w:r w:rsidR="000B3DA8">
        <w:t xml:space="preserve"> at 1</w:t>
      </w:r>
      <w:r>
        <w:t>25:3</w:t>
      </w:r>
      <w:r w:rsidR="00827602">
        <w:noBreakHyphen/>
      </w:r>
      <w:r>
        <w:t>4.</w:t>
      </w:r>
    </w:p>
  </w:footnote>
  <w:footnote w:id="285">
    <w:p w14:paraId="554CCDE2" w14:textId="1FE2246D" w:rsidR="00E33577" w:rsidRDefault="00E33577">
      <w:pPr>
        <w:pStyle w:val="FootnoteText"/>
      </w:pPr>
      <w:r>
        <w:rPr>
          <w:rStyle w:val="FootnoteReference"/>
        </w:rPr>
        <w:footnoteRef/>
      </w:r>
      <w:r>
        <w:t xml:space="preserve"> </w:t>
      </w:r>
      <w:r w:rsidR="00D54FC0">
        <w:t xml:space="preserve"> </w:t>
      </w:r>
      <w:r>
        <w:t>SEIA/Vote Solar Opening Brief</w:t>
      </w:r>
      <w:r w:rsidR="000B3DA8">
        <w:t xml:space="preserve"> at 7</w:t>
      </w:r>
      <w:r>
        <w:t>.</w:t>
      </w:r>
    </w:p>
  </w:footnote>
  <w:footnote w:id="286">
    <w:p w14:paraId="2D3C4467" w14:textId="60A8BCCA" w:rsidR="00A34BAE" w:rsidRDefault="00A34BAE" w:rsidP="00A34BAE">
      <w:pPr>
        <w:pStyle w:val="FootnoteText"/>
      </w:pPr>
      <w:r>
        <w:rPr>
          <w:rStyle w:val="FootnoteReference"/>
        </w:rPr>
        <w:footnoteRef/>
      </w:r>
      <w:r>
        <w:t xml:space="preserve"> </w:t>
      </w:r>
      <w:r w:rsidR="00D54FC0">
        <w:t xml:space="preserve"> </w:t>
      </w:r>
      <w:r>
        <w:t>CALSSA Opening Brief</w:t>
      </w:r>
      <w:r w:rsidR="000B3DA8">
        <w:t xml:space="preserve"> at 9</w:t>
      </w:r>
      <w:r>
        <w:t>1</w:t>
      </w:r>
      <w:r w:rsidR="00827602">
        <w:noBreakHyphen/>
      </w:r>
      <w:r>
        <w:t>92.</w:t>
      </w:r>
    </w:p>
  </w:footnote>
  <w:footnote w:id="287">
    <w:p w14:paraId="4C8E3EB2" w14:textId="01C0F2ED" w:rsidR="00DC2AFB" w:rsidRDefault="00DC2AFB">
      <w:pPr>
        <w:pStyle w:val="FootnoteText"/>
      </w:pPr>
      <w:r>
        <w:rPr>
          <w:rStyle w:val="FootnoteReference"/>
        </w:rPr>
        <w:footnoteRef/>
      </w:r>
      <w:r>
        <w:t xml:space="preserve"> </w:t>
      </w:r>
      <w:r w:rsidR="00D54FC0">
        <w:t xml:space="preserve"> </w:t>
      </w:r>
      <w:r>
        <w:t>SEIA/Vote Solar Opening Brief</w:t>
      </w:r>
      <w:r w:rsidR="000B3DA8">
        <w:t xml:space="preserve"> at 3</w:t>
      </w:r>
      <w:r>
        <w:t>9.</w:t>
      </w:r>
    </w:p>
  </w:footnote>
  <w:footnote w:id="288">
    <w:p w14:paraId="68AA06DF" w14:textId="07685D21" w:rsidR="00DC2AFB" w:rsidRDefault="00DC2AFB">
      <w:pPr>
        <w:pStyle w:val="FootnoteText"/>
      </w:pPr>
      <w:r>
        <w:rPr>
          <w:rStyle w:val="FootnoteReference"/>
        </w:rPr>
        <w:footnoteRef/>
      </w:r>
      <w:r>
        <w:t xml:space="preserve"> </w:t>
      </w:r>
      <w:r w:rsidR="00D54FC0">
        <w:t xml:space="preserve"> </w:t>
      </w:r>
      <w:r>
        <w:t>SEIA/Vote Solar Opening Brief</w:t>
      </w:r>
      <w:r w:rsidR="000B3DA8">
        <w:t xml:space="preserve"> at 4</w:t>
      </w:r>
      <w:r>
        <w:t>0.</w:t>
      </w:r>
    </w:p>
  </w:footnote>
  <w:footnote w:id="289">
    <w:p w14:paraId="4AF1010A" w14:textId="4F96FD4A" w:rsidR="005C6351" w:rsidRDefault="005C6351">
      <w:pPr>
        <w:pStyle w:val="FootnoteText"/>
      </w:pPr>
      <w:r>
        <w:rPr>
          <w:rStyle w:val="FootnoteReference"/>
        </w:rPr>
        <w:footnoteRef/>
      </w:r>
      <w:r>
        <w:t xml:space="preserve"> </w:t>
      </w:r>
      <w:r w:rsidR="00D54FC0">
        <w:t xml:space="preserve"> </w:t>
      </w:r>
      <w:r>
        <w:t>SEIA/Vote Solar Reply Brief</w:t>
      </w:r>
      <w:r w:rsidR="000B3DA8">
        <w:t xml:space="preserve"> at 4</w:t>
      </w:r>
      <w:r>
        <w:t>2.</w:t>
      </w:r>
    </w:p>
  </w:footnote>
  <w:footnote w:id="290">
    <w:p w14:paraId="7E73D883" w14:textId="72789085" w:rsidR="00F97007" w:rsidRDefault="00F97007">
      <w:pPr>
        <w:pStyle w:val="FootnoteText"/>
      </w:pPr>
      <w:r>
        <w:rPr>
          <w:rStyle w:val="FootnoteReference"/>
        </w:rPr>
        <w:footnoteRef/>
      </w:r>
      <w:r>
        <w:t xml:space="preserve"> </w:t>
      </w:r>
      <w:r w:rsidR="00D54FC0">
        <w:t xml:space="preserve"> </w:t>
      </w:r>
      <w:r>
        <w:t>CALSSA Opening Brief</w:t>
      </w:r>
      <w:r w:rsidR="000B3DA8">
        <w:t xml:space="preserve"> at 8</w:t>
      </w:r>
      <w:r>
        <w:t>6.</w:t>
      </w:r>
    </w:p>
  </w:footnote>
  <w:footnote w:id="291">
    <w:p w14:paraId="6A3D491C" w14:textId="1942AF0A" w:rsidR="003B2AE7" w:rsidRDefault="003B2AE7">
      <w:pPr>
        <w:pStyle w:val="FootnoteText"/>
      </w:pPr>
      <w:r>
        <w:rPr>
          <w:rStyle w:val="FootnoteReference"/>
        </w:rPr>
        <w:footnoteRef/>
      </w:r>
      <w:r>
        <w:t xml:space="preserve"> </w:t>
      </w:r>
      <w:r w:rsidR="00D54FC0">
        <w:t xml:space="preserve"> </w:t>
      </w:r>
      <w:r>
        <w:t>CALSSA Opening Brief</w:t>
      </w:r>
      <w:r w:rsidR="00BC0D80">
        <w:t xml:space="preserve"> at v</w:t>
      </w:r>
      <w:r>
        <w:t>ii.</w:t>
      </w:r>
    </w:p>
  </w:footnote>
  <w:footnote w:id="292">
    <w:p w14:paraId="4B44FF79" w14:textId="2CF80ABB" w:rsidR="00E63FE5" w:rsidRDefault="00E63FE5">
      <w:pPr>
        <w:pStyle w:val="FootnoteText"/>
      </w:pPr>
      <w:r>
        <w:rPr>
          <w:rStyle w:val="FootnoteReference"/>
        </w:rPr>
        <w:footnoteRef/>
      </w:r>
      <w:r>
        <w:t xml:space="preserve"> </w:t>
      </w:r>
      <w:r w:rsidR="00D54FC0">
        <w:t xml:space="preserve"> </w:t>
      </w:r>
      <w:r>
        <w:t>CALSSA Opening Brief</w:t>
      </w:r>
      <w:r w:rsidR="00BC0D80">
        <w:t xml:space="preserve"> at v</w:t>
      </w:r>
      <w:r>
        <w:t>ii.</w:t>
      </w:r>
    </w:p>
  </w:footnote>
  <w:footnote w:id="293">
    <w:p w14:paraId="5EDFC13E" w14:textId="3983D164" w:rsidR="00AA6498" w:rsidRDefault="00AA6498">
      <w:pPr>
        <w:pStyle w:val="FootnoteText"/>
      </w:pPr>
      <w:r>
        <w:rPr>
          <w:rStyle w:val="FootnoteReference"/>
        </w:rPr>
        <w:footnoteRef/>
      </w:r>
      <w:r>
        <w:t xml:space="preserve"> </w:t>
      </w:r>
      <w:r w:rsidR="00D54FC0">
        <w:t xml:space="preserve"> </w:t>
      </w:r>
      <w:r>
        <w:t>SEIA/Vote Solar Opening Brief</w:t>
      </w:r>
      <w:r w:rsidR="000B3DA8">
        <w:t xml:space="preserve"> at 5</w:t>
      </w:r>
      <w:r>
        <w:t>.</w:t>
      </w:r>
    </w:p>
  </w:footnote>
  <w:footnote w:id="294">
    <w:p w14:paraId="09D032ED" w14:textId="026693B2" w:rsidR="000B20B0" w:rsidRDefault="000B20B0" w:rsidP="000B20B0">
      <w:pPr>
        <w:pStyle w:val="FootnoteText"/>
      </w:pPr>
      <w:r>
        <w:rPr>
          <w:rStyle w:val="FootnoteReference"/>
        </w:rPr>
        <w:footnoteRef/>
      </w:r>
      <w:r>
        <w:t xml:space="preserve"> </w:t>
      </w:r>
      <w:r w:rsidR="00D54FC0">
        <w:t xml:space="preserve"> </w:t>
      </w:r>
      <w:r>
        <w:t>SEIA/Vote Solar Opening Brief</w:t>
      </w:r>
      <w:r w:rsidR="000B3DA8">
        <w:t xml:space="preserve"> at 3</w:t>
      </w:r>
      <w:r>
        <w:t>8.</w:t>
      </w:r>
    </w:p>
  </w:footnote>
  <w:footnote w:id="295">
    <w:p w14:paraId="48F057F8" w14:textId="768D4093" w:rsidR="002B6B8F" w:rsidRDefault="002B6B8F" w:rsidP="002B6B8F">
      <w:pPr>
        <w:pStyle w:val="FootnoteText"/>
      </w:pPr>
      <w:r>
        <w:rPr>
          <w:rStyle w:val="FootnoteReference"/>
        </w:rPr>
        <w:footnoteRef/>
      </w:r>
      <w:r>
        <w:t xml:space="preserve"> </w:t>
      </w:r>
      <w:r w:rsidR="00D54FC0">
        <w:t xml:space="preserve"> </w:t>
      </w:r>
      <w:r w:rsidR="009355F1">
        <w:t>Cal Advoc</w:t>
      </w:r>
      <w:r>
        <w:t>ates Opening Brief</w:t>
      </w:r>
      <w:r w:rsidR="000B3DA8">
        <w:t xml:space="preserve"> at 1</w:t>
      </w:r>
      <w:r>
        <w:t xml:space="preserve">4 citing </w:t>
      </w:r>
      <w:r w:rsidR="006806FE">
        <w:t>PAO</w:t>
      </w:r>
      <w:r w:rsidR="00827602">
        <w:noBreakHyphen/>
      </w:r>
      <w:r>
        <w:t>03</w:t>
      </w:r>
      <w:r w:rsidR="000B3DA8">
        <w:t xml:space="preserve"> at 2</w:t>
      </w:r>
      <w:r w:rsidR="00827602">
        <w:noBreakHyphen/>
      </w:r>
      <w:r>
        <w:t xml:space="preserve">21, </w:t>
      </w:r>
      <w:r w:rsidR="007F6676">
        <w:t>Table 2</w:t>
      </w:r>
      <w:r w:rsidR="00827602">
        <w:noBreakHyphen/>
      </w:r>
      <w:r>
        <w:t>3 and l</w:t>
      </w:r>
      <w:r w:rsidR="00BC0D80">
        <w:t>ine</w:t>
      </w:r>
      <w:r w:rsidR="00D54FC0">
        <w:t> </w:t>
      </w:r>
      <w:r>
        <w:t>10</w:t>
      </w:r>
      <w:r w:rsidR="00827602">
        <w:noBreakHyphen/>
      </w:r>
      <w:r>
        <w:t>12.</w:t>
      </w:r>
    </w:p>
  </w:footnote>
  <w:footnote w:id="296">
    <w:p w14:paraId="3C2D01AB" w14:textId="3A24CD8C" w:rsidR="00C1672A" w:rsidRDefault="00C1672A">
      <w:pPr>
        <w:pStyle w:val="FootnoteText"/>
      </w:pPr>
      <w:r>
        <w:rPr>
          <w:rStyle w:val="FootnoteReference"/>
        </w:rPr>
        <w:footnoteRef/>
      </w:r>
      <w:r>
        <w:t xml:space="preserve"> </w:t>
      </w:r>
      <w:r w:rsidR="00D54FC0">
        <w:t xml:space="preserve"> </w:t>
      </w:r>
      <w:r w:rsidR="009355F1">
        <w:t>Cal Advoc</w:t>
      </w:r>
      <w:r>
        <w:t>ates Opening Brief</w:t>
      </w:r>
      <w:r w:rsidR="000B3DA8">
        <w:t xml:space="preserve"> at 1</w:t>
      </w:r>
      <w:r>
        <w:t>8.</w:t>
      </w:r>
    </w:p>
  </w:footnote>
  <w:footnote w:id="297">
    <w:p w14:paraId="57C9B587" w14:textId="3E2DDFF9" w:rsidR="00C1672A" w:rsidRDefault="00C1672A">
      <w:pPr>
        <w:pStyle w:val="FootnoteText"/>
      </w:pPr>
      <w:r>
        <w:rPr>
          <w:rStyle w:val="FootnoteReference"/>
        </w:rPr>
        <w:footnoteRef/>
      </w:r>
      <w:r>
        <w:t xml:space="preserve"> </w:t>
      </w:r>
      <w:r w:rsidR="00D54FC0">
        <w:t xml:space="preserve"> </w:t>
      </w:r>
      <w:r w:rsidR="009355F1">
        <w:t>Cal Advoc</w:t>
      </w:r>
      <w:r>
        <w:t>ates Opening Brief</w:t>
      </w:r>
      <w:r w:rsidR="000B3DA8">
        <w:t xml:space="preserve"> at 1</w:t>
      </w:r>
      <w:r>
        <w:t>8.</w:t>
      </w:r>
    </w:p>
  </w:footnote>
  <w:footnote w:id="298">
    <w:p w14:paraId="7716C562" w14:textId="1BC47557" w:rsidR="00066322" w:rsidRDefault="00066322" w:rsidP="00066322">
      <w:pPr>
        <w:pStyle w:val="FootnoteText"/>
      </w:pPr>
      <w:r>
        <w:rPr>
          <w:rStyle w:val="FootnoteReference"/>
        </w:rPr>
        <w:footnoteRef/>
      </w:r>
      <w:r>
        <w:t xml:space="preserve"> </w:t>
      </w:r>
      <w:r w:rsidR="00D54FC0">
        <w:t xml:space="preserve"> </w:t>
      </w:r>
      <w:r>
        <w:t xml:space="preserve">Foundation </w:t>
      </w:r>
      <w:r>
        <w:t>Windpower Opening Brief</w:t>
      </w:r>
      <w:r w:rsidR="000B3DA8">
        <w:t xml:space="preserve"> at 3</w:t>
      </w:r>
      <w:r>
        <w:t>.</w:t>
      </w:r>
    </w:p>
  </w:footnote>
  <w:footnote w:id="299">
    <w:p w14:paraId="3F9F25D4" w14:textId="3B996B51" w:rsidR="00066322" w:rsidRDefault="00066322" w:rsidP="00066322">
      <w:pPr>
        <w:pStyle w:val="FootnoteText"/>
      </w:pPr>
      <w:r>
        <w:rPr>
          <w:rStyle w:val="FootnoteReference"/>
        </w:rPr>
        <w:footnoteRef/>
      </w:r>
      <w:r>
        <w:t xml:space="preserve"> </w:t>
      </w:r>
      <w:r w:rsidR="00D54FC0">
        <w:t xml:space="preserve"> </w:t>
      </w:r>
      <w:r>
        <w:t xml:space="preserve">Foundation </w:t>
      </w:r>
      <w:r>
        <w:t>Windpower Opening Brief</w:t>
      </w:r>
      <w:r w:rsidR="000B3DA8">
        <w:t xml:space="preserve"> at 4</w:t>
      </w:r>
      <w:r>
        <w:t>.</w:t>
      </w:r>
    </w:p>
  </w:footnote>
  <w:footnote w:id="300">
    <w:p w14:paraId="0EFF4A45" w14:textId="43B4E2B5" w:rsidR="004A3047" w:rsidRDefault="004A3047" w:rsidP="004A3047">
      <w:pPr>
        <w:pStyle w:val="FootnoteText"/>
      </w:pPr>
      <w:r>
        <w:rPr>
          <w:rStyle w:val="FootnoteReference"/>
        </w:rPr>
        <w:footnoteRef/>
      </w:r>
      <w:r>
        <w:t xml:space="preserve"> </w:t>
      </w:r>
      <w:r w:rsidR="00D54FC0">
        <w:t xml:space="preserve"> </w:t>
      </w:r>
      <w:r>
        <w:t>CALSSA Opening Brief</w:t>
      </w:r>
      <w:r w:rsidR="000B3DA8">
        <w:t xml:space="preserve"> at 1</w:t>
      </w:r>
      <w:r>
        <w:t>04 citing CSA</w:t>
      </w:r>
      <w:r w:rsidR="00827602">
        <w:noBreakHyphen/>
      </w:r>
      <w:r>
        <w:t>01</w:t>
      </w:r>
      <w:r w:rsidR="000B3DA8">
        <w:t xml:space="preserve"> at 1</w:t>
      </w:r>
      <w:r>
        <w:t>8:7</w:t>
      </w:r>
      <w:r w:rsidR="00827602">
        <w:noBreakHyphen/>
      </w:r>
      <w:r>
        <w:t>9.</w:t>
      </w:r>
    </w:p>
  </w:footnote>
  <w:footnote w:id="301">
    <w:p w14:paraId="577B1F24" w14:textId="6E39DD3B" w:rsidR="00066322" w:rsidRDefault="00066322" w:rsidP="00066322">
      <w:pPr>
        <w:pStyle w:val="FootnoteText"/>
      </w:pPr>
      <w:r>
        <w:rPr>
          <w:rStyle w:val="FootnoteReference"/>
        </w:rPr>
        <w:footnoteRef/>
      </w:r>
      <w:r>
        <w:t xml:space="preserve"> </w:t>
      </w:r>
      <w:r w:rsidR="00D54FC0">
        <w:t xml:space="preserve"> </w:t>
      </w:r>
      <w:r>
        <w:t>SEIA/Vote Solar Opening Brief</w:t>
      </w:r>
      <w:r w:rsidR="000B3DA8">
        <w:t xml:space="preserve"> at 6</w:t>
      </w:r>
      <w:r>
        <w:t>.</w:t>
      </w:r>
    </w:p>
  </w:footnote>
  <w:footnote w:id="302">
    <w:p w14:paraId="5FA264BD" w14:textId="398CDF3F" w:rsidR="00045D3F" w:rsidRDefault="00045D3F">
      <w:pPr>
        <w:pStyle w:val="FootnoteText"/>
      </w:pPr>
      <w:r>
        <w:rPr>
          <w:rStyle w:val="FootnoteReference"/>
        </w:rPr>
        <w:footnoteRef/>
      </w:r>
      <w:r>
        <w:t xml:space="preserve"> </w:t>
      </w:r>
      <w:r w:rsidR="00A27C55">
        <w:t xml:space="preserve"> </w:t>
      </w:r>
      <w:r>
        <w:t>IOU</w:t>
      </w:r>
      <w:r w:rsidR="00827602">
        <w:noBreakHyphen/>
      </w:r>
      <w:r>
        <w:t>02</w:t>
      </w:r>
      <w:r w:rsidR="000B3DA8">
        <w:t xml:space="preserve"> at 8</w:t>
      </w:r>
      <w:r>
        <w:t>6.</w:t>
      </w:r>
    </w:p>
  </w:footnote>
  <w:footnote w:id="303">
    <w:p w14:paraId="230166BA" w14:textId="0245E721" w:rsidR="00045D3F" w:rsidRDefault="00045D3F">
      <w:pPr>
        <w:pStyle w:val="FootnoteText"/>
      </w:pPr>
      <w:r>
        <w:rPr>
          <w:rStyle w:val="FootnoteReference"/>
        </w:rPr>
        <w:footnoteRef/>
      </w:r>
      <w:r>
        <w:t xml:space="preserve"> </w:t>
      </w:r>
      <w:r w:rsidR="00A27C55">
        <w:t xml:space="preserve"> </w:t>
      </w:r>
      <w:r>
        <w:t>IOU</w:t>
      </w:r>
      <w:r w:rsidR="00827602">
        <w:noBreakHyphen/>
      </w:r>
      <w:r>
        <w:t>02</w:t>
      </w:r>
      <w:r w:rsidR="000B3DA8">
        <w:t xml:space="preserve"> at 8</w:t>
      </w:r>
      <w:r>
        <w:t>6</w:t>
      </w:r>
      <w:r w:rsidR="00827602">
        <w:noBreakHyphen/>
      </w:r>
      <w:r w:rsidR="00C07F03">
        <w:t>87</w:t>
      </w:r>
      <w:r>
        <w:t>.</w:t>
      </w:r>
    </w:p>
  </w:footnote>
  <w:footnote w:id="304">
    <w:p w14:paraId="1BCE5E56" w14:textId="39EA5172" w:rsidR="00F07E9C" w:rsidRDefault="00F07E9C">
      <w:pPr>
        <w:pStyle w:val="FootnoteText"/>
      </w:pPr>
      <w:r>
        <w:rPr>
          <w:rStyle w:val="FootnoteReference"/>
        </w:rPr>
        <w:footnoteRef/>
      </w:r>
      <w:r>
        <w:t xml:space="preserve">  Foundation </w:t>
      </w:r>
      <w:r>
        <w:t>Windpower Opening Comments to November</w:t>
      </w:r>
      <w:r w:rsidR="00E17CB1">
        <w:t> </w:t>
      </w:r>
      <w:r>
        <w:t>10,</w:t>
      </w:r>
      <w:r w:rsidR="00E17CB1">
        <w:t> </w:t>
      </w:r>
      <w:r>
        <w:t>2022 Proposed Decision.</w:t>
      </w:r>
    </w:p>
  </w:footnote>
  <w:footnote w:id="305">
    <w:p w14:paraId="068B22C4" w14:textId="7F023751" w:rsidR="00447150" w:rsidRDefault="00447150">
      <w:pPr>
        <w:pStyle w:val="FootnoteText"/>
      </w:pPr>
      <w:r>
        <w:rPr>
          <w:rStyle w:val="FootnoteReference"/>
        </w:rPr>
        <w:footnoteRef/>
      </w:r>
      <w:r>
        <w:t xml:space="preserve"> </w:t>
      </w:r>
      <w:r w:rsidR="00D54FC0">
        <w:t xml:space="preserve"> </w:t>
      </w:r>
      <w:r>
        <w:t>PCF Opening Brief</w:t>
      </w:r>
      <w:r w:rsidR="000B3DA8">
        <w:t xml:space="preserve"> at 5</w:t>
      </w:r>
      <w:r>
        <w:t>5.</w:t>
      </w:r>
    </w:p>
  </w:footnote>
  <w:footnote w:id="306">
    <w:p w14:paraId="04E755A3" w14:textId="100AD81B" w:rsidR="006528C9" w:rsidRDefault="006528C9">
      <w:pPr>
        <w:pStyle w:val="FootnoteText"/>
      </w:pPr>
      <w:r>
        <w:rPr>
          <w:rStyle w:val="FootnoteReference"/>
        </w:rPr>
        <w:footnoteRef/>
      </w:r>
      <w:r>
        <w:t xml:space="preserve"> </w:t>
      </w:r>
      <w:r w:rsidR="00D54FC0">
        <w:t xml:space="preserve"> </w:t>
      </w:r>
      <w:r>
        <w:t>PCF Opening Brief</w:t>
      </w:r>
      <w:r w:rsidR="000B3DA8">
        <w:t xml:space="preserve"> at 5</w:t>
      </w:r>
      <w:r>
        <w:t>6.</w:t>
      </w:r>
    </w:p>
  </w:footnote>
  <w:footnote w:id="307">
    <w:p w14:paraId="7E4BC65B" w14:textId="31823AAA" w:rsidR="006528C9" w:rsidRDefault="006528C9">
      <w:pPr>
        <w:pStyle w:val="FootnoteText"/>
      </w:pPr>
      <w:r>
        <w:rPr>
          <w:rStyle w:val="FootnoteReference"/>
        </w:rPr>
        <w:footnoteRef/>
      </w:r>
      <w:r>
        <w:t xml:space="preserve"> </w:t>
      </w:r>
      <w:r w:rsidR="00D54FC0">
        <w:t xml:space="preserve"> </w:t>
      </w:r>
      <w:r>
        <w:t>PCF Opening Brief</w:t>
      </w:r>
      <w:r w:rsidR="000B3DA8">
        <w:t xml:space="preserve"> at 5</w:t>
      </w:r>
      <w:r>
        <w:t>6.</w:t>
      </w:r>
    </w:p>
  </w:footnote>
  <w:footnote w:id="308">
    <w:p w14:paraId="707B6254" w14:textId="12F96664" w:rsidR="00F25C03" w:rsidRDefault="00F25C03" w:rsidP="00F25C03">
      <w:pPr>
        <w:pStyle w:val="FootnoteText"/>
      </w:pPr>
      <w:r>
        <w:rPr>
          <w:rStyle w:val="FootnoteReference"/>
        </w:rPr>
        <w:footnoteRef/>
      </w:r>
      <w:r>
        <w:t xml:space="preserve"> </w:t>
      </w:r>
      <w:r w:rsidR="00D54FC0">
        <w:t xml:space="preserve"> </w:t>
      </w:r>
      <w:r>
        <w:t>SBUA Opening Brief</w:t>
      </w:r>
      <w:r w:rsidR="000B3DA8">
        <w:t xml:space="preserve"> at 1</w:t>
      </w:r>
      <w:r>
        <w:t>3</w:t>
      </w:r>
      <w:r w:rsidR="00132F73">
        <w:t>.</w:t>
      </w:r>
    </w:p>
  </w:footnote>
  <w:footnote w:id="309">
    <w:p w14:paraId="6FADFBE7" w14:textId="1CBAACF3" w:rsidR="00996482" w:rsidRDefault="00996482">
      <w:pPr>
        <w:pStyle w:val="FootnoteText"/>
      </w:pPr>
      <w:r>
        <w:rPr>
          <w:rStyle w:val="FootnoteReference"/>
        </w:rPr>
        <w:footnoteRef/>
      </w:r>
      <w:r>
        <w:t xml:space="preserve"> </w:t>
      </w:r>
      <w:r w:rsidR="00D54FC0">
        <w:t xml:space="preserve"> </w:t>
      </w:r>
      <w:r w:rsidR="009355F1">
        <w:t>Cal Advoc</w:t>
      </w:r>
      <w:r>
        <w:t xml:space="preserve">ates Opening Brief at </w:t>
      </w:r>
      <w:r w:rsidR="00123055">
        <w:t>Appendix A</w:t>
      </w:r>
      <w:r>
        <w:t>.</w:t>
      </w:r>
    </w:p>
  </w:footnote>
  <w:footnote w:id="310">
    <w:p w14:paraId="186419C6" w14:textId="6E76FE29" w:rsidR="00996482" w:rsidRDefault="00996482">
      <w:pPr>
        <w:pStyle w:val="FootnoteText"/>
      </w:pPr>
      <w:r>
        <w:rPr>
          <w:rStyle w:val="FootnoteReference"/>
        </w:rPr>
        <w:footnoteRef/>
      </w:r>
      <w:r>
        <w:t xml:space="preserve"> </w:t>
      </w:r>
      <w:r w:rsidR="00D54FC0">
        <w:t xml:space="preserve"> </w:t>
      </w:r>
      <w:r>
        <w:t>TURN Opening Brief</w:t>
      </w:r>
      <w:r w:rsidR="000B3DA8">
        <w:t xml:space="preserve"> at 5</w:t>
      </w:r>
      <w:r>
        <w:t>5.</w:t>
      </w:r>
    </w:p>
  </w:footnote>
  <w:footnote w:id="311">
    <w:p w14:paraId="117FC4D0" w14:textId="52C5A4F4" w:rsidR="00381E5C" w:rsidRDefault="00381E5C" w:rsidP="00381E5C">
      <w:pPr>
        <w:pStyle w:val="FootnoteText"/>
      </w:pPr>
      <w:r>
        <w:rPr>
          <w:rStyle w:val="FootnoteReference"/>
        </w:rPr>
        <w:footnoteRef/>
      </w:r>
      <w:r>
        <w:t xml:space="preserve"> </w:t>
      </w:r>
      <w:r w:rsidR="00D54FC0">
        <w:t xml:space="preserve"> </w:t>
      </w:r>
      <w:r>
        <w:t>Sierra Club Opening Brief</w:t>
      </w:r>
      <w:r w:rsidR="000B3DA8">
        <w:t xml:space="preserve"> at 8</w:t>
      </w:r>
      <w:r>
        <w:t>.</w:t>
      </w:r>
    </w:p>
  </w:footnote>
  <w:footnote w:id="312">
    <w:p w14:paraId="47CDF12C" w14:textId="4E4A61B2" w:rsidR="00C4592C" w:rsidRDefault="00C4592C">
      <w:pPr>
        <w:pStyle w:val="FootnoteText"/>
      </w:pPr>
      <w:r>
        <w:rPr>
          <w:rStyle w:val="FootnoteReference"/>
        </w:rPr>
        <w:footnoteRef/>
      </w:r>
      <w:r>
        <w:t xml:space="preserve"> </w:t>
      </w:r>
      <w:r w:rsidR="00D54FC0">
        <w:t xml:space="preserve"> </w:t>
      </w:r>
      <w:r>
        <w:t>SEIA/Vote Solar Opening Brief</w:t>
      </w:r>
      <w:r w:rsidR="000B3DA8">
        <w:t xml:space="preserve"> at 4</w:t>
      </w:r>
      <w:r>
        <w:t>1</w:t>
      </w:r>
      <w:r w:rsidR="00827602">
        <w:noBreakHyphen/>
      </w:r>
      <w:r>
        <w:t>42.</w:t>
      </w:r>
    </w:p>
  </w:footnote>
  <w:footnote w:id="313">
    <w:p w14:paraId="289E6D00" w14:textId="1737DF7A" w:rsidR="00EA0B93" w:rsidRDefault="00EA0B93" w:rsidP="00EA0B93">
      <w:pPr>
        <w:pStyle w:val="FootnoteText"/>
      </w:pPr>
      <w:r>
        <w:rPr>
          <w:rStyle w:val="FootnoteReference"/>
        </w:rPr>
        <w:footnoteRef/>
      </w:r>
      <w:r>
        <w:t xml:space="preserve"> </w:t>
      </w:r>
      <w:r w:rsidR="00D54FC0">
        <w:t xml:space="preserve"> </w:t>
      </w:r>
      <w:r>
        <w:t>SEIA/Vote Solar Opening Brief</w:t>
      </w:r>
      <w:r w:rsidR="000B3DA8">
        <w:t xml:space="preserve"> at 4</w:t>
      </w:r>
      <w:r>
        <w:t>2 citing SVS</w:t>
      </w:r>
      <w:r w:rsidR="00827602">
        <w:noBreakHyphen/>
      </w:r>
      <w:r>
        <w:t>04</w:t>
      </w:r>
      <w:r w:rsidR="000B3DA8">
        <w:t xml:space="preserve"> at 5</w:t>
      </w:r>
      <w:r>
        <w:t>7.</w:t>
      </w:r>
    </w:p>
  </w:footnote>
  <w:footnote w:id="314">
    <w:p w14:paraId="60C85CBC" w14:textId="6DA22213" w:rsidR="00EA0B93" w:rsidRDefault="00EA0B93" w:rsidP="00EA0B93">
      <w:pPr>
        <w:pStyle w:val="FootnoteText"/>
      </w:pPr>
      <w:r>
        <w:rPr>
          <w:rStyle w:val="FootnoteReference"/>
        </w:rPr>
        <w:footnoteRef/>
      </w:r>
      <w:r>
        <w:t xml:space="preserve"> </w:t>
      </w:r>
      <w:r w:rsidR="00D54FC0">
        <w:t xml:space="preserve"> </w:t>
      </w:r>
      <w:r>
        <w:t>SEIA/Vote Solar Opening Brief</w:t>
      </w:r>
      <w:r w:rsidR="000B3DA8">
        <w:t xml:space="preserve"> at 4</w:t>
      </w:r>
      <w:r>
        <w:t>3</w:t>
      </w:r>
      <w:r w:rsidR="00827602">
        <w:noBreakHyphen/>
      </w:r>
      <w:r>
        <w:t>44.</w:t>
      </w:r>
    </w:p>
  </w:footnote>
  <w:footnote w:id="315">
    <w:p w14:paraId="3F95E307" w14:textId="615E9269" w:rsidR="007E5B8A" w:rsidRDefault="007E5B8A">
      <w:pPr>
        <w:pStyle w:val="FootnoteText"/>
      </w:pPr>
      <w:r>
        <w:rPr>
          <w:rStyle w:val="FootnoteReference"/>
        </w:rPr>
        <w:footnoteRef/>
      </w:r>
      <w:r>
        <w:t xml:space="preserve"> </w:t>
      </w:r>
      <w:r w:rsidR="00D54FC0">
        <w:t xml:space="preserve"> </w:t>
      </w:r>
      <w:r>
        <w:t>SEIA/Vote Solar Opening Brief</w:t>
      </w:r>
      <w:r w:rsidR="000B3DA8">
        <w:t xml:space="preserve"> at 4</w:t>
      </w:r>
      <w:r>
        <w:t>4.</w:t>
      </w:r>
    </w:p>
  </w:footnote>
  <w:footnote w:id="316">
    <w:p w14:paraId="2F91E969" w14:textId="02348FBB" w:rsidR="00C4592C" w:rsidRDefault="00C4592C">
      <w:pPr>
        <w:pStyle w:val="FootnoteText"/>
      </w:pPr>
      <w:r>
        <w:rPr>
          <w:rStyle w:val="FootnoteReference"/>
        </w:rPr>
        <w:footnoteRef/>
      </w:r>
      <w:r>
        <w:t xml:space="preserve"> </w:t>
      </w:r>
      <w:r w:rsidR="00D54FC0">
        <w:t xml:space="preserve"> </w:t>
      </w:r>
      <w:r>
        <w:t xml:space="preserve">Joint Utilities Opening Brief </w:t>
      </w:r>
      <w:r w:rsidR="00BC0D80">
        <w:t>at x</w:t>
      </w:r>
      <w:r>
        <w:t>ii.</w:t>
      </w:r>
    </w:p>
  </w:footnote>
  <w:footnote w:id="317">
    <w:p w14:paraId="7E7CD2FF" w14:textId="559BCA23" w:rsidR="00C4592C" w:rsidRDefault="00C4592C">
      <w:pPr>
        <w:pStyle w:val="FootnoteText"/>
      </w:pPr>
      <w:r>
        <w:rPr>
          <w:rStyle w:val="FootnoteReference"/>
        </w:rPr>
        <w:footnoteRef/>
      </w:r>
      <w:r>
        <w:t xml:space="preserve"> </w:t>
      </w:r>
      <w:r w:rsidR="00D54FC0">
        <w:t xml:space="preserve"> </w:t>
      </w:r>
      <w:r>
        <w:t>Joint Utilities Opening Brief</w:t>
      </w:r>
      <w:r w:rsidR="000B3DA8">
        <w:t xml:space="preserve"> at 6</w:t>
      </w:r>
      <w:r>
        <w:t>2.</w:t>
      </w:r>
    </w:p>
  </w:footnote>
  <w:footnote w:id="318">
    <w:p w14:paraId="0A963072" w14:textId="683E66D7" w:rsidR="005376B0" w:rsidRDefault="005376B0">
      <w:pPr>
        <w:pStyle w:val="FootnoteText"/>
      </w:pPr>
      <w:r>
        <w:rPr>
          <w:rStyle w:val="FootnoteReference"/>
        </w:rPr>
        <w:footnoteRef/>
      </w:r>
      <w:r>
        <w:t xml:space="preserve"> </w:t>
      </w:r>
      <w:r w:rsidR="00D54FC0">
        <w:t xml:space="preserve"> </w:t>
      </w:r>
      <w:r>
        <w:t>SEIA/Vote Solar Reply Brief</w:t>
      </w:r>
      <w:r w:rsidR="000B3DA8">
        <w:t xml:space="preserve"> at 4</w:t>
      </w:r>
      <w:r>
        <w:t>5.</w:t>
      </w:r>
    </w:p>
  </w:footnote>
  <w:footnote w:id="319">
    <w:p w14:paraId="37F9532E" w14:textId="341F6203" w:rsidR="007E5B8A" w:rsidRDefault="007E5B8A">
      <w:pPr>
        <w:pStyle w:val="FootnoteText"/>
      </w:pPr>
      <w:r>
        <w:rPr>
          <w:rStyle w:val="FootnoteReference"/>
        </w:rPr>
        <w:footnoteRef/>
      </w:r>
      <w:r>
        <w:t xml:space="preserve"> </w:t>
      </w:r>
      <w:r w:rsidR="00D54FC0">
        <w:t xml:space="preserve"> </w:t>
      </w:r>
      <w:r>
        <w:t>SEIA/Vote Solar Reply Brief</w:t>
      </w:r>
      <w:r w:rsidR="000B3DA8">
        <w:t xml:space="preserve"> at 4</w:t>
      </w:r>
      <w:r>
        <w:t>5.</w:t>
      </w:r>
    </w:p>
  </w:footnote>
  <w:footnote w:id="320">
    <w:p w14:paraId="7C64DDBD" w14:textId="22D551F5" w:rsidR="009D0FC5" w:rsidRDefault="009D0FC5">
      <w:pPr>
        <w:pStyle w:val="FootnoteText"/>
      </w:pPr>
      <w:r>
        <w:rPr>
          <w:rStyle w:val="FootnoteReference"/>
        </w:rPr>
        <w:footnoteRef/>
      </w:r>
      <w:r>
        <w:t xml:space="preserve"> </w:t>
      </w:r>
      <w:r w:rsidR="00D54FC0">
        <w:t xml:space="preserve"> </w:t>
      </w:r>
      <w:r>
        <w:t>PCF Opening Brief</w:t>
      </w:r>
      <w:r w:rsidR="000B3DA8">
        <w:t xml:space="preserve"> at 5</w:t>
      </w:r>
      <w:r>
        <w:t>9.</w:t>
      </w:r>
    </w:p>
  </w:footnote>
  <w:footnote w:id="321">
    <w:p w14:paraId="0BB723EF" w14:textId="33E58FFF" w:rsidR="00EE3794" w:rsidRDefault="00EE3794" w:rsidP="00EE3794">
      <w:pPr>
        <w:pStyle w:val="FootnoteText"/>
      </w:pPr>
      <w:r>
        <w:rPr>
          <w:rStyle w:val="FootnoteReference"/>
        </w:rPr>
        <w:footnoteRef/>
      </w:r>
      <w:r>
        <w:t xml:space="preserve"> </w:t>
      </w:r>
      <w:r w:rsidR="00D54FC0">
        <w:t xml:space="preserve"> </w:t>
      </w:r>
      <w:r>
        <w:t xml:space="preserve">Joint Utilities </w:t>
      </w:r>
      <w:r w:rsidR="002A7304">
        <w:t>Opening</w:t>
      </w:r>
      <w:r>
        <w:t xml:space="preserve"> Brief</w:t>
      </w:r>
      <w:r w:rsidR="000B3DA8">
        <w:t xml:space="preserve"> at 7</w:t>
      </w:r>
      <w:r>
        <w:t>0.</w:t>
      </w:r>
    </w:p>
  </w:footnote>
  <w:footnote w:id="322">
    <w:p w14:paraId="36388F29" w14:textId="79F386F9" w:rsidR="002A7304" w:rsidRDefault="002A7304">
      <w:pPr>
        <w:pStyle w:val="FootnoteText"/>
      </w:pPr>
      <w:r>
        <w:rPr>
          <w:rStyle w:val="FootnoteReference"/>
        </w:rPr>
        <w:footnoteRef/>
      </w:r>
      <w:r>
        <w:t xml:space="preserve"> </w:t>
      </w:r>
      <w:r w:rsidR="00D54FC0">
        <w:t xml:space="preserve"> </w:t>
      </w:r>
      <w:r>
        <w:t>Joint Utilities Opening Brief</w:t>
      </w:r>
      <w:r w:rsidR="000B3DA8">
        <w:t xml:space="preserve"> at 7</w:t>
      </w:r>
      <w:r>
        <w:t>0.</w:t>
      </w:r>
    </w:p>
  </w:footnote>
  <w:footnote w:id="323">
    <w:p w14:paraId="29362271" w14:textId="79DF5A96" w:rsidR="00F85563" w:rsidRDefault="00F85563">
      <w:pPr>
        <w:pStyle w:val="FootnoteText"/>
      </w:pPr>
      <w:r>
        <w:rPr>
          <w:rStyle w:val="FootnoteReference"/>
        </w:rPr>
        <w:footnoteRef/>
      </w:r>
      <w:r>
        <w:t xml:space="preserve"> </w:t>
      </w:r>
      <w:r w:rsidR="00D54FC0">
        <w:t xml:space="preserve"> </w:t>
      </w:r>
      <w:r>
        <w:t xml:space="preserve">Joint Utilities </w:t>
      </w:r>
      <w:r w:rsidR="008D3611">
        <w:t>Opening</w:t>
      </w:r>
      <w:r>
        <w:t xml:space="preserve"> Brief</w:t>
      </w:r>
      <w:r w:rsidR="000B3DA8">
        <w:t xml:space="preserve"> at 7</w:t>
      </w:r>
      <w:r>
        <w:t>1.</w:t>
      </w:r>
    </w:p>
  </w:footnote>
  <w:footnote w:id="324">
    <w:p w14:paraId="4AF4ABD7" w14:textId="6F7DC3D5" w:rsidR="0044793D" w:rsidRDefault="0044793D">
      <w:pPr>
        <w:pStyle w:val="FootnoteText"/>
      </w:pPr>
      <w:r>
        <w:rPr>
          <w:rStyle w:val="FootnoteReference"/>
        </w:rPr>
        <w:footnoteRef/>
      </w:r>
      <w:r>
        <w:t xml:space="preserve"> </w:t>
      </w:r>
      <w:r w:rsidR="008E59BE">
        <w:t xml:space="preserve"> </w:t>
      </w:r>
      <w:r>
        <w:t>NR</w:t>
      </w:r>
      <w:r w:rsidR="008E59BE">
        <w:t>D</w:t>
      </w:r>
      <w:r w:rsidR="00827602">
        <w:noBreakHyphen/>
      </w:r>
      <w:r>
        <w:t>02</w:t>
      </w:r>
      <w:r w:rsidR="000B3DA8">
        <w:t xml:space="preserve"> at 2</w:t>
      </w:r>
      <w:r>
        <w:t>7.</w:t>
      </w:r>
    </w:p>
  </w:footnote>
  <w:footnote w:id="325">
    <w:p w14:paraId="41EE754E" w14:textId="01E3F215" w:rsidR="009C12FB" w:rsidRDefault="009C12FB" w:rsidP="009C12FB">
      <w:pPr>
        <w:pStyle w:val="FootnoteText"/>
      </w:pPr>
      <w:r>
        <w:rPr>
          <w:rStyle w:val="FootnoteReference"/>
        </w:rPr>
        <w:footnoteRef/>
      </w:r>
      <w:r>
        <w:t xml:space="preserve"> </w:t>
      </w:r>
      <w:r w:rsidR="00C3007B">
        <w:t xml:space="preserve"> </w:t>
      </w:r>
      <w:r>
        <w:t>NRD</w:t>
      </w:r>
      <w:r w:rsidR="00827602">
        <w:noBreakHyphen/>
      </w:r>
      <w:r>
        <w:t>02</w:t>
      </w:r>
      <w:r w:rsidR="000B3DA8">
        <w:t xml:space="preserve"> at 2</w:t>
      </w:r>
      <w:r>
        <w:t>7.</w:t>
      </w:r>
    </w:p>
  </w:footnote>
  <w:footnote w:id="326">
    <w:p w14:paraId="7416FECF" w14:textId="3401072B" w:rsidR="009C12FB" w:rsidRDefault="009C12FB" w:rsidP="009C12FB">
      <w:pPr>
        <w:pStyle w:val="FootnoteText"/>
      </w:pPr>
      <w:r>
        <w:rPr>
          <w:rStyle w:val="FootnoteReference"/>
        </w:rPr>
        <w:footnoteRef/>
      </w:r>
      <w:r w:rsidR="00C3007B">
        <w:t xml:space="preserve"> </w:t>
      </w:r>
      <w:r>
        <w:t xml:space="preserve"> NRD</w:t>
      </w:r>
      <w:r w:rsidR="00827602">
        <w:noBreakHyphen/>
      </w:r>
      <w:r>
        <w:t>02</w:t>
      </w:r>
      <w:r w:rsidR="000B3DA8">
        <w:t xml:space="preserve"> at 2</w:t>
      </w:r>
      <w:r>
        <w:t>7</w:t>
      </w:r>
      <w:r w:rsidR="00827602">
        <w:noBreakHyphen/>
      </w:r>
      <w:r>
        <w:t>28</w:t>
      </w:r>
    </w:p>
  </w:footnote>
  <w:footnote w:id="327">
    <w:p w14:paraId="2CB86516" w14:textId="0785E5D0" w:rsidR="00093416" w:rsidRDefault="00093416" w:rsidP="00093416">
      <w:pPr>
        <w:pStyle w:val="FootnoteText"/>
      </w:pPr>
      <w:r>
        <w:rPr>
          <w:rStyle w:val="FootnoteReference"/>
        </w:rPr>
        <w:footnoteRef/>
      </w:r>
      <w:r>
        <w:t xml:space="preserve"> </w:t>
      </w:r>
      <w:r w:rsidR="00C3007B">
        <w:t xml:space="preserve"> </w:t>
      </w:r>
      <w:r>
        <w:t>CALSSA Opening Brief</w:t>
      </w:r>
      <w:r w:rsidR="000B3DA8">
        <w:t xml:space="preserve"> at 1</w:t>
      </w:r>
      <w:r>
        <w:t xml:space="preserve">25 citing Public Utilities Code </w:t>
      </w:r>
      <w:r w:rsidR="0034029C">
        <w:t>Section 4</w:t>
      </w:r>
      <w:r>
        <w:t>51.</w:t>
      </w:r>
    </w:p>
  </w:footnote>
  <w:footnote w:id="328">
    <w:p w14:paraId="390AC2AD" w14:textId="27A09084" w:rsidR="00093416" w:rsidRDefault="00093416" w:rsidP="00093416">
      <w:pPr>
        <w:pStyle w:val="FootnoteText"/>
      </w:pPr>
      <w:r>
        <w:rPr>
          <w:rStyle w:val="FootnoteReference"/>
        </w:rPr>
        <w:footnoteRef/>
      </w:r>
      <w:r>
        <w:t xml:space="preserve"> </w:t>
      </w:r>
      <w:r w:rsidR="00C3007B">
        <w:t xml:space="preserve"> </w:t>
      </w:r>
      <w:r>
        <w:t>CALSSA Opening Brief</w:t>
      </w:r>
      <w:r w:rsidR="000B3DA8">
        <w:t xml:space="preserve"> at 1</w:t>
      </w:r>
      <w:r>
        <w:t>25 citing D.15</w:t>
      </w:r>
      <w:r w:rsidR="00827602">
        <w:noBreakHyphen/>
      </w:r>
      <w:r>
        <w:t>07</w:t>
      </w:r>
      <w:r w:rsidR="00827602">
        <w:noBreakHyphen/>
      </w:r>
      <w:r>
        <w:t>001</w:t>
      </w:r>
      <w:r w:rsidR="000B3DA8">
        <w:t xml:space="preserve"> at 2</w:t>
      </w:r>
      <w:r>
        <w:t>.</w:t>
      </w:r>
    </w:p>
  </w:footnote>
  <w:footnote w:id="329">
    <w:p w14:paraId="6CDB3DD6" w14:textId="0B3ABE6B" w:rsidR="00093416" w:rsidRDefault="00093416" w:rsidP="00093416">
      <w:pPr>
        <w:pStyle w:val="FootnoteText"/>
      </w:pPr>
      <w:r>
        <w:rPr>
          <w:rStyle w:val="FootnoteReference"/>
        </w:rPr>
        <w:footnoteRef/>
      </w:r>
      <w:r>
        <w:t xml:space="preserve"> </w:t>
      </w:r>
      <w:r w:rsidR="00C3007B">
        <w:t xml:space="preserve"> </w:t>
      </w:r>
      <w:r>
        <w:t>CALSSA Opening Brief</w:t>
      </w:r>
      <w:r w:rsidR="000B3DA8">
        <w:t xml:space="preserve"> at 1</w:t>
      </w:r>
      <w:r>
        <w:t>25.</w:t>
      </w:r>
    </w:p>
  </w:footnote>
  <w:footnote w:id="330">
    <w:p w14:paraId="248B7A7D" w14:textId="7BD8210C" w:rsidR="00402603" w:rsidRDefault="00402603">
      <w:pPr>
        <w:pStyle w:val="FootnoteText"/>
      </w:pPr>
      <w:r>
        <w:rPr>
          <w:rStyle w:val="FootnoteReference"/>
        </w:rPr>
        <w:footnoteRef/>
      </w:r>
      <w:r>
        <w:t xml:space="preserve"> </w:t>
      </w:r>
      <w:r w:rsidR="00C3007B">
        <w:t xml:space="preserve"> </w:t>
      </w:r>
      <w:r w:rsidR="009355F1">
        <w:t>Cal Advoc</w:t>
      </w:r>
      <w:r>
        <w:t>ates Reply Brief</w:t>
      </w:r>
      <w:r w:rsidR="000B3DA8">
        <w:t xml:space="preserve"> at 2</w:t>
      </w:r>
      <w:r>
        <w:t>1.</w:t>
      </w:r>
    </w:p>
  </w:footnote>
  <w:footnote w:id="331">
    <w:p w14:paraId="40BCBB15" w14:textId="69ADCB10" w:rsidR="006F531A" w:rsidRDefault="006F531A">
      <w:pPr>
        <w:pStyle w:val="FootnoteText"/>
      </w:pPr>
      <w:r>
        <w:rPr>
          <w:rStyle w:val="FootnoteReference"/>
        </w:rPr>
        <w:footnoteRef/>
      </w:r>
      <w:r>
        <w:t xml:space="preserve"> </w:t>
      </w:r>
      <w:r w:rsidR="00C3007B">
        <w:t xml:space="preserve"> </w:t>
      </w:r>
      <w:r>
        <w:t>Joint Utilities Reply Brief</w:t>
      </w:r>
      <w:r w:rsidR="000B3DA8">
        <w:t xml:space="preserve"> at 3</w:t>
      </w:r>
      <w:r>
        <w:t>7.</w:t>
      </w:r>
    </w:p>
  </w:footnote>
  <w:footnote w:id="332">
    <w:p w14:paraId="761C2E38" w14:textId="6A41A18A" w:rsidR="001052B1" w:rsidRDefault="001052B1">
      <w:pPr>
        <w:pStyle w:val="FootnoteText"/>
      </w:pPr>
      <w:r>
        <w:rPr>
          <w:rStyle w:val="FootnoteReference"/>
        </w:rPr>
        <w:footnoteRef/>
      </w:r>
      <w:r>
        <w:t xml:space="preserve"> </w:t>
      </w:r>
      <w:r w:rsidR="0015271B">
        <w:t xml:space="preserve"> </w:t>
      </w:r>
      <w:r>
        <w:t>D.16</w:t>
      </w:r>
      <w:r w:rsidR="00827602">
        <w:noBreakHyphen/>
      </w:r>
      <w:r>
        <w:t>0</w:t>
      </w:r>
      <w:r w:rsidR="00506964">
        <w:t>1</w:t>
      </w:r>
      <w:r w:rsidR="00827602">
        <w:noBreakHyphen/>
      </w:r>
      <w:r w:rsidR="00506964">
        <w:t xml:space="preserve">044 at </w:t>
      </w:r>
      <w:r w:rsidR="000B3DA8">
        <w:t>Conclusion of Law 1</w:t>
      </w:r>
      <w:r w:rsidR="00506964">
        <w:t>13.</w:t>
      </w:r>
    </w:p>
  </w:footnote>
  <w:footnote w:id="333">
    <w:p w14:paraId="5E021C23" w14:textId="0D7C1ABC" w:rsidR="00506964" w:rsidRDefault="00506964">
      <w:pPr>
        <w:pStyle w:val="FootnoteText"/>
      </w:pPr>
      <w:r>
        <w:rPr>
          <w:rStyle w:val="FootnoteReference"/>
        </w:rPr>
        <w:footnoteRef/>
      </w:r>
      <w:r>
        <w:t xml:space="preserve"> </w:t>
      </w:r>
      <w:r w:rsidR="0015271B">
        <w:t xml:space="preserve"> </w:t>
      </w:r>
      <w:r>
        <w:t>D.16</w:t>
      </w:r>
      <w:r w:rsidR="00827602">
        <w:noBreakHyphen/>
      </w:r>
      <w:r>
        <w:t>01</w:t>
      </w:r>
      <w:r w:rsidR="00827602">
        <w:noBreakHyphen/>
      </w:r>
      <w:r>
        <w:t xml:space="preserve">044 at </w:t>
      </w:r>
      <w:r w:rsidR="008C4866">
        <w:t>Finding of Fact </w:t>
      </w:r>
      <w:r>
        <w:t>42.</w:t>
      </w:r>
    </w:p>
  </w:footnote>
  <w:footnote w:id="334">
    <w:p w14:paraId="04663E7A" w14:textId="27A2D4E0" w:rsidR="004871FF" w:rsidRDefault="004871FF">
      <w:pPr>
        <w:pStyle w:val="FootnoteText"/>
      </w:pPr>
      <w:r>
        <w:rPr>
          <w:rStyle w:val="FootnoteReference"/>
        </w:rPr>
        <w:footnoteRef/>
      </w:r>
      <w:r>
        <w:t xml:space="preserve"> </w:t>
      </w:r>
      <w:r w:rsidR="00823BEA">
        <w:t xml:space="preserve"> </w:t>
      </w:r>
      <w:r>
        <w:t>Sierra Club Opening Comments on December</w:t>
      </w:r>
      <w:r w:rsidR="009B5431">
        <w:t> </w:t>
      </w:r>
      <w:r>
        <w:t>13,</w:t>
      </w:r>
      <w:r w:rsidR="009B5431">
        <w:t> </w:t>
      </w:r>
      <w:r>
        <w:t xml:space="preserve">2022 Proposed Decision Revising Net Energy Metering Tariff and </w:t>
      </w:r>
      <w:r w:rsidR="00EF04CF">
        <w:t>S</w:t>
      </w:r>
      <w:r>
        <w:t>ubtariffs (now withdrawn)</w:t>
      </w:r>
      <w:r w:rsidR="000B3DA8">
        <w:t xml:space="preserve"> at 1</w:t>
      </w:r>
      <w:r w:rsidR="00EF04CF">
        <w:t>2</w:t>
      </w:r>
      <w:r w:rsidR="00827602">
        <w:noBreakHyphen/>
      </w:r>
      <w:r w:rsidR="00EF04CF">
        <w:t>13.</w:t>
      </w:r>
    </w:p>
  </w:footnote>
  <w:footnote w:id="335">
    <w:p w14:paraId="0AD788DA" w14:textId="6475232F" w:rsidR="00525813" w:rsidRDefault="00525813">
      <w:pPr>
        <w:pStyle w:val="FootnoteText"/>
      </w:pPr>
      <w:r>
        <w:rPr>
          <w:rStyle w:val="FootnoteReference"/>
        </w:rPr>
        <w:footnoteRef/>
      </w:r>
      <w:r>
        <w:t xml:space="preserve"> </w:t>
      </w:r>
      <w:r w:rsidR="00823BEA">
        <w:t xml:space="preserve"> </w:t>
      </w:r>
      <w:r>
        <w:t xml:space="preserve">CALSSA Opening Comments to </w:t>
      </w:r>
      <w:r w:rsidR="00693EB0">
        <w:t>May 9, 2022</w:t>
      </w:r>
      <w:r>
        <w:t xml:space="preserve"> Ruling</w:t>
      </w:r>
      <w:r w:rsidR="000B3DA8">
        <w:t xml:space="preserve"> at 1</w:t>
      </w:r>
      <w:r>
        <w:t>2.</w:t>
      </w:r>
    </w:p>
  </w:footnote>
  <w:footnote w:id="336">
    <w:p w14:paraId="3FC9E9AD" w14:textId="5FDFE646" w:rsidR="001A1402" w:rsidRDefault="001A1402">
      <w:pPr>
        <w:pStyle w:val="FootnoteText"/>
      </w:pPr>
      <w:r>
        <w:rPr>
          <w:rStyle w:val="FootnoteReference"/>
        </w:rPr>
        <w:footnoteRef/>
      </w:r>
      <w:r>
        <w:t xml:space="preserve"> </w:t>
      </w:r>
      <w:r w:rsidR="00823BEA">
        <w:t xml:space="preserve"> </w:t>
      </w:r>
      <w:r>
        <w:t xml:space="preserve">CALSSA Opening Comments to </w:t>
      </w:r>
      <w:r w:rsidR="00693EB0">
        <w:t>May 9, 2022</w:t>
      </w:r>
      <w:r>
        <w:t xml:space="preserve"> Ruling</w:t>
      </w:r>
      <w:r w:rsidR="000B3DA8">
        <w:t xml:space="preserve"> at 1</w:t>
      </w:r>
      <w:r>
        <w:t>3.</w:t>
      </w:r>
      <w:r w:rsidR="005023FD">
        <w:t xml:space="preserve">  </w:t>
      </w:r>
      <w:r w:rsidR="00BD4AC8">
        <w:t>(</w:t>
      </w:r>
      <w:r w:rsidR="005023FD" w:rsidRPr="00BD4AC8">
        <w:rPr>
          <w:i/>
          <w:iCs/>
        </w:rPr>
        <w:t>See also</w:t>
      </w:r>
      <w:r w:rsidR="005023FD">
        <w:t xml:space="preserve"> SEIA/Vote Solar Opening Comments to </w:t>
      </w:r>
      <w:r w:rsidR="00693EB0">
        <w:t>May 9, 2022</w:t>
      </w:r>
      <w:r w:rsidR="005023FD">
        <w:t xml:space="preserve"> Ruling</w:t>
      </w:r>
      <w:r w:rsidR="000B3DA8">
        <w:t xml:space="preserve"> at 1</w:t>
      </w:r>
      <w:r w:rsidR="005023FD">
        <w:t>4</w:t>
      </w:r>
      <w:r w:rsidR="00827602">
        <w:noBreakHyphen/>
      </w:r>
      <w:r w:rsidR="005023FD">
        <w:t>15.</w:t>
      </w:r>
      <w:r w:rsidR="00BD4AC8">
        <w:t>)</w:t>
      </w:r>
    </w:p>
  </w:footnote>
  <w:footnote w:id="337">
    <w:p w14:paraId="6F00C4CA" w14:textId="170F9A00" w:rsidR="00391906" w:rsidRDefault="00391906">
      <w:pPr>
        <w:pStyle w:val="FootnoteText"/>
      </w:pPr>
      <w:r>
        <w:rPr>
          <w:rStyle w:val="FootnoteReference"/>
        </w:rPr>
        <w:footnoteRef/>
      </w:r>
      <w:r>
        <w:t xml:space="preserve"> </w:t>
      </w:r>
      <w:r w:rsidR="008E59BE">
        <w:t xml:space="preserve"> </w:t>
      </w:r>
      <w:r>
        <w:t xml:space="preserve">Joint Utilities Reply Comments to </w:t>
      </w:r>
      <w:r w:rsidR="00693EB0">
        <w:t>May 9, 2022</w:t>
      </w:r>
      <w:r>
        <w:t xml:space="preserve"> Ruling</w:t>
      </w:r>
      <w:r w:rsidR="000B3DA8">
        <w:t xml:space="preserve"> at 6</w:t>
      </w:r>
      <w:r w:rsidR="00827602">
        <w:noBreakHyphen/>
      </w:r>
      <w:r>
        <w:t>7</w:t>
      </w:r>
    </w:p>
  </w:footnote>
  <w:footnote w:id="338">
    <w:p w14:paraId="692C25AD" w14:textId="511C2231" w:rsidR="009C63A8" w:rsidRDefault="009C63A8">
      <w:pPr>
        <w:pStyle w:val="FootnoteText"/>
      </w:pPr>
      <w:r>
        <w:rPr>
          <w:rStyle w:val="FootnoteReference"/>
        </w:rPr>
        <w:footnoteRef/>
      </w:r>
      <w:r>
        <w:t xml:space="preserve"> </w:t>
      </w:r>
      <w:r w:rsidR="008E59BE">
        <w:t xml:space="preserve"> </w:t>
      </w:r>
      <w:r>
        <w:t xml:space="preserve">CALSSA Opening Comments to </w:t>
      </w:r>
      <w:r w:rsidR="00693EB0">
        <w:t>May 9, 2022</w:t>
      </w:r>
      <w:r>
        <w:t xml:space="preserve"> Ruling</w:t>
      </w:r>
      <w:r w:rsidR="000B3DA8">
        <w:t xml:space="preserve"> at 2</w:t>
      </w:r>
      <w:r>
        <w:t>.</w:t>
      </w:r>
    </w:p>
  </w:footnote>
  <w:footnote w:id="339">
    <w:p w14:paraId="1386EC48" w14:textId="586AFD8B" w:rsidR="00957CE9" w:rsidRDefault="00957CE9">
      <w:pPr>
        <w:pStyle w:val="FootnoteText"/>
      </w:pPr>
      <w:r>
        <w:rPr>
          <w:rStyle w:val="FootnoteReference"/>
        </w:rPr>
        <w:footnoteRef/>
      </w:r>
      <w:r>
        <w:t xml:space="preserve"> </w:t>
      </w:r>
      <w:r w:rsidR="008E59BE">
        <w:t xml:space="preserve"> </w:t>
      </w:r>
      <w:r>
        <w:t xml:space="preserve">Joint Utilities Opening Comments to </w:t>
      </w:r>
      <w:r w:rsidR="00693EB0">
        <w:t>May 9, 2022</w:t>
      </w:r>
      <w:r>
        <w:t xml:space="preserve"> Ruling</w:t>
      </w:r>
      <w:r w:rsidR="000B3DA8">
        <w:t xml:space="preserve"> at 1</w:t>
      </w:r>
      <w:r w:rsidR="005B5992">
        <w:t>7</w:t>
      </w:r>
      <w:r w:rsidR="00827602">
        <w:noBreakHyphen/>
      </w:r>
      <w:r w:rsidR="005B5992">
        <w:t>19</w:t>
      </w:r>
    </w:p>
  </w:footnote>
  <w:footnote w:id="340">
    <w:p w14:paraId="7CB2B684" w14:textId="0C08ED39" w:rsidR="00AD533E" w:rsidRPr="00E21578" w:rsidRDefault="00AD533E">
      <w:pPr>
        <w:pStyle w:val="FootnoteText"/>
        <w:rPr>
          <w:lang w:val="en-ZW"/>
        </w:rPr>
      </w:pPr>
      <w:r>
        <w:rPr>
          <w:rStyle w:val="FootnoteReference"/>
        </w:rPr>
        <w:footnoteRef/>
      </w:r>
      <w:r>
        <w:t xml:space="preserve"> D.20</w:t>
      </w:r>
      <w:r w:rsidR="00827602">
        <w:noBreakHyphen/>
      </w:r>
      <w:r>
        <w:t>09</w:t>
      </w:r>
      <w:r w:rsidR="00827602">
        <w:noBreakHyphen/>
      </w:r>
      <w:r>
        <w:t>005.</w:t>
      </w:r>
    </w:p>
  </w:footnote>
  <w:footnote w:id="341">
    <w:p w14:paraId="5CAB848C" w14:textId="777BA66A" w:rsidR="00F21DB9" w:rsidRDefault="00F21DB9" w:rsidP="00F21DB9">
      <w:pPr>
        <w:pStyle w:val="FootnoteText"/>
      </w:pPr>
      <w:r>
        <w:rPr>
          <w:rStyle w:val="FootnoteReference"/>
        </w:rPr>
        <w:footnoteRef/>
      </w:r>
      <w:r>
        <w:t xml:space="preserve">  TURN Opening Brief at </w:t>
      </w:r>
      <w:r w:rsidR="00123055">
        <w:t>Appendix A</w:t>
      </w:r>
      <w:r w:rsidR="000B3DA8">
        <w:t xml:space="preserve"> at 6</w:t>
      </w:r>
      <w:r w:rsidR="00827602">
        <w:noBreakHyphen/>
      </w:r>
      <w:r>
        <w:t>7.</w:t>
      </w:r>
    </w:p>
  </w:footnote>
  <w:footnote w:id="342">
    <w:p w14:paraId="72E31D18" w14:textId="7CC2AD7A" w:rsidR="00F21DB9" w:rsidRDefault="00F21DB9" w:rsidP="00F21DB9">
      <w:pPr>
        <w:pStyle w:val="FootnoteText"/>
      </w:pPr>
      <w:r>
        <w:rPr>
          <w:rStyle w:val="FootnoteReference"/>
        </w:rPr>
        <w:footnoteRef/>
      </w:r>
      <w:r>
        <w:t xml:space="preserve"> </w:t>
      </w:r>
      <w:r w:rsidR="00C10796">
        <w:t xml:space="preserve"> </w:t>
      </w:r>
      <w:r>
        <w:t>TURN Opening Brief</w:t>
      </w:r>
      <w:r w:rsidR="000B3DA8">
        <w:t xml:space="preserve"> at 1</w:t>
      </w:r>
      <w:r>
        <w:t>10.</w:t>
      </w:r>
    </w:p>
  </w:footnote>
  <w:footnote w:id="343">
    <w:p w14:paraId="545DBB65" w14:textId="75340699" w:rsidR="00AD6AAA" w:rsidRDefault="00AD6AAA">
      <w:pPr>
        <w:pStyle w:val="FootnoteText"/>
      </w:pPr>
      <w:r>
        <w:rPr>
          <w:rStyle w:val="FootnoteReference"/>
        </w:rPr>
        <w:footnoteRef/>
      </w:r>
      <w:r>
        <w:t xml:space="preserve"> </w:t>
      </w:r>
      <w:r w:rsidR="00C10796">
        <w:t xml:space="preserve"> </w:t>
      </w:r>
      <w:r>
        <w:t>White Paper</w:t>
      </w:r>
      <w:r w:rsidR="000B3DA8">
        <w:t xml:space="preserve"> at 3</w:t>
      </w:r>
      <w:r>
        <w:t>.</w:t>
      </w:r>
    </w:p>
  </w:footnote>
  <w:footnote w:id="344">
    <w:p w14:paraId="6AECB723" w14:textId="32E3B441" w:rsidR="00AD6AAA" w:rsidRDefault="00AD6AAA" w:rsidP="00AD6AAA">
      <w:pPr>
        <w:pStyle w:val="FootnoteText"/>
      </w:pPr>
      <w:r>
        <w:rPr>
          <w:rStyle w:val="FootnoteReference"/>
        </w:rPr>
        <w:footnoteRef/>
      </w:r>
      <w:r>
        <w:t xml:space="preserve"> </w:t>
      </w:r>
      <w:r w:rsidR="00C10796">
        <w:t xml:space="preserve"> </w:t>
      </w:r>
      <w:r>
        <w:t>White Paper</w:t>
      </w:r>
      <w:r w:rsidR="000B3DA8">
        <w:t xml:space="preserve"> at 3</w:t>
      </w:r>
      <w:r>
        <w:t>.</w:t>
      </w:r>
    </w:p>
  </w:footnote>
  <w:footnote w:id="345">
    <w:p w14:paraId="12B28980" w14:textId="2F7FA2C4" w:rsidR="00382DF8" w:rsidRDefault="00382DF8">
      <w:pPr>
        <w:pStyle w:val="FootnoteText"/>
      </w:pPr>
      <w:r>
        <w:rPr>
          <w:rStyle w:val="FootnoteReference"/>
        </w:rPr>
        <w:footnoteRef/>
      </w:r>
      <w:r>
        <w:t xml:space="preserve"> </w:t>
      </w:r>
      <w:r w:rsidR="00C10796">
        <w:t xml:space="preserve"> </w:t>
      </w:r>
      <w:r>
        <w:t>CCSA and GRID/Vote Solar/Sierra Club recommend a Market Transition Credit as part of their proposals that are focused on income</w:t>
      </w:r>
      <w:r w:rsidR="00827602">
        <w:noBreakHyphen/>
      </w:r>
      <w:r>
        <w:t xml:space="preserve">challenged customers.  </w:t>
      </w:r>
      <w:r w:rsidR="00DB4129">
        <w:t>T</w:t>
      </w:r>
      <w:r>
        <w:t xml:space="preserve">hese proposals and the recommended elements </w:t>
      </w:r>
      <w:r w:rsidR="00DB4129">
        <w:t xml:space="preserve">are discussed </w:t>
      </w:r>
      <w:r>
        <w:t xml:space="preserve">in </w:t>
      </w:r>
      <w:r w:rsidR="0034029C">
        <w:t>Section 8</w:t>
      </w:r>
      <w:r>
        <w:t>.6 below.</w:t>
      </w:r>
    </w:p>
  </w:footnote>
  <w:footnote w:id="346">
    <w:p w14:paraId="19256EE8" w14:textId="156F6217" w:rsidR="00033302" w:rsidRDefault="00033302">
      <w:pPr>
        <w:pStyle w:val="FootnoteText"/>
      </w:pPr>
      <w:r>
        <w:rPr>
          <w:rStyle w:val="FootnoteReference"/>
        </w:rPr>
        <w:footnoteRef/>
      </w:r>
      <w:r>
        <w:t xml:space="preserve"> </w:t>
      </w:r>
      <w:r w:rsidR="008E59BE">
        <w:t xml:space="preserve"> </w:t>
      </w:r>
      <w:r>
        <w:t>TURN Opening Brief</w:t>
      </w:r>
      <w:r w:rsidR="000B3DA8">
        <w:t xml:space="preserve"> at 8</w:t>
      </w:r>
      <w:r>
        <w:t>5.</w:t>
      </w:r>
    </w:p>
  </w:footnote>
  <w:footnote w:id="347">
    <w:p w14:paraId="3EDBF0B4" w14:textId="1EDF9EDF" w:rsidR="00033302" w:rsidRDefault="00033302">
      <w:pPr>
        <w:pStyle w:val="FootnoteText"/>
      </w:pPr>
      <w:r>
        <w:rPr>
          <w:rStyle w:val="FootnoteReference"/>
        </w:rPr>
        <w:footnoteRef/>
      </w:r>
      <w:r>
        <w:t xml:space="preserve"> </w:t>
      </w:r>
      <w:r w:rsidR="008E59BE">
        <w:t xml:space="preserve"> </w:t>
      </w:r>
      <w:r>
        <w:t>TURN Opening Brief</w:t>
      </w:r>
      <w:r w:rsidR="000B3DA8">
        <w:t xml:space="preserve"> at 8</w:t>
      </w:r>
      <w:r>
        <w:t>4</w:t>
      </w:r>
      <w:r w:rsidR="00827602">
        <w:noBreakHyphen/>
      </w:r>
      <w:r>
        <w:t>85.</w:t>
      </w:r>
    </w:p>
  </w:footnote>
  <w:footnote w:id="348">
    <w:p w14:paraId="6659A832" w14:textId="29CDFE4A" w:rsidR="00E35759" w:rsidRDefault="00E35759">
      <w:pPr>
        <w:pStyle w:val="FootnoteText"/>
      </w:pPr>
      <w:r>
        <w:rPr>
          <w:rStyle w:val="FootnoteReference"/>
        </w:rPr>
        <w:footnoteRef/>
      </w:r>
      <w:r>
        <w:t xml:space="preserve"> </w:t>
      </w:r>
      <w:r w:rsidR="00647840">
        <w:t xml:space="preserve"> </w:t>
      </w:r>
      <w:r>
        <w:t>NRDC Opening Brief</w:t>
      </w:r>
      <w:r w:rsidR="000B3DA8">
        <w:t xml:space="preserve"> at 3</w:t>
      </w:r>
      <w:r>
        <w:t>4.</w:t>
      </w:r>
    </w:p>
  </w:footnote>
  <w:footnote w:id="349">
    <w:p w14:paraId="556CDEB1" w14:textId="344E639E" w:rsidR="00482A84" w:rsidRDefault="00482A84">
      <w:pPr>
        <w:pStyle w:val="FootnoteText"/>
      </w:pPr>
      <w:r>
        <w:rPr>
          <w:rStyle w:val="FootnoteReference"/>
        </w:rPr>
        <w:footnoteRef/>
      </w:r>
      <w:r>
        <w:t xml:space="preserve"> </w:t>
      </w:r>
      <w:r w:rsidR="00647840">
        <w:t xml:space="preserve"> </w:t>
      </w:r>
      <w:r>
        <w:t>CALSSA Opening Brief</w:t>
      </w:r>
      <w:r w:rsidR="000B3DA8">
        <w:t xml:space="preserve"> at 1</w:t>
      </w:r>
      <w:r>
        <w:t>19 and SEIA/Vote Solar</w:t>
      </w:r>
      <w:r w:rsidR="000B3DA8">
        <w:t xml:space="preserve"> at 6</w:t>
      </w:r>
      <w:r>
        <w:t>8.</w:t>
      </w:r>
    </w:p>
  </w:footnote>
  <w:footnote w:id="350">
    <w:p w14:paraId="6259600F" w14:textId="0EC93054" w:rsidR="00A36BFB" w:rsidRDefault="00A36BFB">
      <w:pPr>
        <w:pStyle w:val="FootnoteText"/>
      </w:pPr>
      <w:r>
        <w:rPr>
          <w:rStyle w:val="FootnoteReference"/>
        </w:rPr>
        <w:footnoteRef/>
      </w:r>
      <w:r>
        <w:t xml:space="preserve"> </w:t>
      </w:r>
      <w:r w:rsidR="00647840">
        <w:t xml:space="preserve"> </w:t>
      </w:r>
      <w:r>
        <w:t>CALSSA Opening Brief</w:t>
      </w:r>
      <w:r w:rsidR="000B3DA8">
        <w:t xml:space="preserve"> at 1</w:t>
      </w:r>
      <w:r>
        <w:t>17 citing SVS</w:t>
      </w:r>
      <w:r w:rsidR="00827602">
        <w:noBreakHyphen/>
      </w:r>
      <w:r>
        <w:t>04</w:t>
      </w:r>
      <w:r w:rsidR="000B3DA8">
        <w:t xml:space="preserve"> at 4</w:t>
      </w:r>
      <w:r>
        <w:t>9.</w:t>
      </w:r>
    </w:p>
  </w:footnote>
  <w:footnote w:id="351">
    <w:p w14:paraId="282DF78C" w14:textId="4436F075" w:rsidR="00A36BFB" w:rsidRDefault="00A36BFB">
      <w:pPr>
        <w:pStyle w:val="FootnoteText"/>
      </w:pPr>
      <w:r>
        <w:rPr>
          <w:rStyle w:val="FootnoteReference"/>
        </w:rPr>
        <w:footnoteRef/>
      </w:r>
      <w:r>
        <w:t xml:space="preserve"> </w:t>
      </w:r>
      <w:r w:rsidR="00647840">
        <w:t xml:space="preserve"> </w:t>
      </w:r>
      <w:r>
        <w:t>CALSSA Opening Brief</w:t>
      </w:r>
      <w:r w:rsidR="000B3DA8">
        <w:t xml:space="preserve"> at 1</w:t>
      </w:r>
      <w:r w:rsidR="003D240D">
        <w:t xml:space="preserve">17 citing </w:t>
      </w:r>
      <w:r w:rsidR="009D6D3B">
        <w:t>SVS</w:t>
      </w:r>
      <w:r w:rsidR="00827602">
        <w:noBreakHyphen/>
      </w:r>
      <w:r w:rsidR="009D6D3B">
        <w:t>04</w:t>
      </w:r>
      <w:r w:rsidR="000B3DA8">
        <w:t xml:space="preserve"> at 5</w:t>
      </w:r>
      <w:r w:rsidR="003D240D">
        <w:t>0:8</w:t>
      </w:r>
      <w:r w:rsidR="00827602">
        <w:noBreakHyphen/>
      </w:r>
      <w:r w:rsidR="003D240D">
        <w:t>11.</w:t>
      </w:r>
    </w:p>
  </w:footnote>
  <w:footnote w:id="352">
    <w:p w14:paraId="44BB786A" w14:textId="7ACF8547" w:rsidR="00482A84" w:rsidRDefault="00482A84">
      <w:pPr>
        <w:pStyle w:val="FootnoteText"/>
      </w:pPr>
      <w:r>
        <w:rPr>
          <w:rStyle w:val="FootnoteReference"/>
        </w:rPr>
        <w:footnoteRef/>
      </w:r>
      <w:r>
        <w:t xml:space="preserve"> </w:t>
      </w:r>
      <w:r w:rsidR="00647840">
        <w:t xml:space="preserve"> </w:t>
      </w:r>
      <w:r>
        <w:t>TURN Reply Brief</w:t>
      </w:r>
      <w:r w:rsidR="000B3DA8">
        <w:t xml:space="preserve"> at 2</w:t>
      </w:r>
      <w:r>
        <w:t>9.</w:t>
      </w:r>
    </w:p>
  </w:footnote>
  <w:footnote w:id="353">
    <w:p w14:paraId="2318844F" w14:textId="23A946AC" w:rsidR="00F0418E" w:rsidRDefault="00F0418E">
      <w:pPr>
        <w:pStyle w:val="FootnoteText"/>
      </w:pPr>
      <w:r>
        <w:rPr>
          <w:rStyle w:val="FootnoteReference"/>
        </w:rPr>
        <w:footnoteRef/>
      </w:r>
      <w:r>
        <w:t xml:space="preserve"> </w:t>
      </w:r>
      <w:r w:rsidR="00647840">
        <w:t xml:space="preserve"> </w:t>
      </w:r>
      <w:r>
        <w:t>SEIA/Vote Solar Opening Brief</w:t>
      </w:r>
      <w:r w:rsidR="000B3DA8">
        <w:t xml:space="preserve"> at 6</w:t>
      </w:r>
      <w:r>
        <w:t>6</w:t>
      </w:r>
      <w:r w:rsidR="00827602">
        <w:noBreakHyphen/>
      </w:r>
      <w:r>
        <w:t>67.</w:t>
      </w:r>
    </w:p>
  </w:footnote>
  <w:footnote w:id="354">
    <w:p w14:paraId="668122E2" w14:textId="633E5CF0" w:rsidR="00C963C8" w:rsidRDefault="00C963C8">
      <w:pPr>
        <w:pStyle w:val="FootnoteText"/>
      </w:pPr>
      <w:r>
        <w:rPr>
          <w:rStyle w:val="FootnoteReference"/>
        </w:rPr>
        <w:footnoteRef/>
      </w:r>
      <w:r>
        <w:t xml:space="preserve"> </w:t>
      </w:r>
      <w:r w:rsidR="00647840">
        <w:t xml:space="preserve"> </w:t>
      </w:r>
      <w:r>
        <w:t>CALSSA Opening Brief</w:t>
      </w:r>
      <w:r w:rsidR="000B3DA8">
        <w:t xml:space="preserve"> at 1</w:t>
      </w:r>
      <w:r>
        <w:t>16 citing to CSA</w:t>
      </w:r>
      <w:r w:rsidR="00827602">
        <w:noBreakHyphen/>
      </w:r>
      <w:r>
        <w:t>01</w:t>
      </w:r>
      <w:r w:rsidR="000B3DA8">
        <w:t xml:space="preserve"> at 4</w:t>
      </w:r>
      <w:r>
        <w:t>6:17 to 47:19.</w:t>
      </w:r>
    </w:p>
  </w:footnote>
  <w:footnote w:id="355">
    <w:p w14:paraId="055E7E15" w14:textId="210829B3" w:rsidR="00C707A2" w:rsidRDefault="00C707A2" w:rsidP="00C707A2">
      <w:pPr>
        <w:pStyle w:val="FootnoteText"/>
      </w:pPr>
      <w:r>
        <w:rPr>
          <w:rStyle w:val="FootnoteReference"/>
        </w:rPr>
        <w:footnoteRef/>
      </w:r>
      <w:r>
        <w:t xml:space="preserve"> </w:t>
      </w:r>
      <w:r w:rsidR="008E59BE">
        <w:t xml:space="preserve"> </w:t>
      </w:r>
      <w:r>
        <w:t xml:space="preserve">For the </w:t>
      </w:r>
      <w:r w:rsidR="008E59BE">
        <w:t xml:space="preserve">opening </w:t>
      </w:r>
      <w:r>
        <w:t xml:space="preserve">comments </w:t>
      </w:r>
      <w:r w:rsidR="008E59BE">
        <w:t xml:space="preserve">on </w:t>
      </w:r>
      <w:r>
        <w:t xml:space="preserve">the </w:t>
      </w:r>
      <w:r w:rsidR="00693EB0">
        <w:t>May 9, 2022</w:t>
      </w:r>
      <w:r>
        <w:t xml:space="preserve"> Ruling, Sierra Club filed with G</w:t>
      </w:r>
      <w:r w:rsidR="00B53899">
        <w:t xml:space="preserve">RID </w:t>
      </w:r>
      <w:r>
        <w:t>on subjects related to low</w:t>
      </w:r>
      <w:r w:rsidR="00827602">
        <w:noBreakHyphen/>
      </w:r>
      <w:r>
        <w:t>income households and individually with regard to issues not related to low</w:t>
      </w:r>
      <w:r w:rsidR="00827602">
        <w:noBreakHyphen/>
      </w:r>
      <w:r>
        <w:t>income households.</w:t>
      </w:r>
    </w:p>
  </w:footnote>
  <w:footnote w:id="356">
    <w:p w14:paraId="3345FBD2" w14:textId="7747D429" w:rsidR="00223AF5" w:rsidRDefault="00223AF5">
      <w:pPr>
        <w:pStyle w:val="FootnoteText"/>
      </w:pPr>
      <w:r>
        <w:rPr>
          <w:rStyle w:val="FootnoteReference"/>
        </w:rPr>
        <w:footnoteRef/>
      </w:r>
      <w:r>
        <w:t xml:space="preserve"> </w:t>
      </w:r>
      <w:r w:rsidR="008E59BE">
        <w:t xml:space="preserve"> </w:t>
      </w:r>
      <w:r>
        <w:t xml:space="preserve">CUE Opening Comments to </w:t>
      </w:r>
      <w:r w:rsidR="00693EB0">
        <w:t>May 9, 2022</w:t>
      </w:r>
      <w:r>
        <w:t xml:space="preserve"> Ruling</w:t>
      </w:r>
      <w:r w:rsidR="000B3DA8">
        <w:t xml:space="preserve"> at 2</w:t>
      </w:r>
      <w:r w:rsidR="00827602">
        <w:noBreakHyphen/>
      </w:r>
      <w:r>
        <w:t xml:space="preserve">3; </w:t>
      </w:r>
      <w:r>
        <w:t xml:space="preserve">IEPA Opening Comments to </w:t>
      </w:r>
      <w:r w:rsidR="00693EB0">
        <w:t>May 9, 2022</w:t>
      </w:r>
      <w:r>
        <w:t xml:space="preserve"> Ruling</w:t>
      </w:r>
      <w:r w:rsidR="000B3DA8">
        <w:t xml:space="preserve"> at 2</w:t>
      </w:r>
      <w:r w:rsidR="00310B8D">
        <w:t xml:space="preserve">; NRDC Opening Comments to </w:t>
      </w:r>
      <w:r w:rsidR="00693EB0">
        <w:t>May 9, 2022</w:t>
      </w:r>
      <w:r w:rsidR="00310B8D">
        <w:t xml:space="preserve"> Ruling</w:t>
      </w:r>
      <w:r w:rsidR="000B3DA8">
        <w:t xml:space="preserve"> at 5</w:t>
      </w:r>
      <w:r w:rsidR="00555CC0">
        <w:t xml:space="preserve">:  </w:t>
      </w:r>
      <w:r w:rsidR="009355F1">
        <w:t>Cal Advoc</w:t>
      </w:r>
      <w:r w:rsidR="00310B8D">
        <w:t xml:space="preserve">ates Opening Comments to </w:t>
      </w:r>
      <w:r w:rsidR="00693EB0">
        <w:t>May 9, 2022</w:t>
      </w:r>
      <w:r w:rsidR="00310B8D">
        <w:t xml:space="preserve"> Ruling</w:t>
      </w:r>
      <w:r w:rsidR="000B3DA8">
        <w:t xml:space="preserve"> at 3</w:t>
      </w:r>
      <w:r w:rsidR="00827602">
        <w:noBreakHyphen/>
      </w:r>
      <w:r w:rsidR="00310B8D">
        <w:t xml:space="preserve">4; </w:t>
      </w:r>
      <w:r w:rsidR="00617788">
        <w:t xml:space="preserve">and TURN Opening Comments to </w:t>
      </w:r>
      <w:r w:rsidR="00693EB0">
        <w:t>May 9, 2022</w:t>
      </w:r>
      <w:r w:rsidR="00617788">
        <w:t xml:space="preserve"> Ruling</w:t>
      </w:r>
      <w:r w:rsidR="000B3DA8">
        <w:t xml:space="preserve"> at 1</w:t>
      </w:r>
      <w:r w:rsidR="00827602">
        <w:noBreakHyphen/>
      </w:r>
      <w:r w:rsidR="00617788">
        <w:t>3.</w:t>
      </w:r>
    </w:p>
  </w:footnote>
  <w:footnote w:id="357">
    <w:p w14:paraId="144132DD" w14:textId="533594D2" w:rsidR="00D265BF" w:rsidRDefault="00D265BF">
      <w:pPr>
        <w:pStyle w:val="FootnoteText"/>
      </w:pPr>
      <w:r>
        <w:rPr>
          <w:rStyle w:val="FootnoteReference"/>
        </w:rPr>
        <w:footnoteRef/>
      </w:r>
      <w:r>
        <w:t xml:space="preserve"> </w:t>
      </w:r>
      <w:r w:rsidR="008E59BE">
        <w:t xml:space="preserve"> </w:t>
      </w:r>
      <w:r>
        <w:t xml:space="preserve">Sierra Club Opening Comments to </w:t>
      </w:r>
      <w:r w:rsidR="00693EB0">
        <w:t>May 9, 2022</w:t>
      </w:r>
      <w:r>
        <w:t xml:space="preserve"> Ruling</w:t>
      </w:r>
      <w:r w:rsidR="000B3DA8">
        <w:t xml:space="preserve"> at 2</w:t>
      </w:r>
      <w:r w:rsidR="00827602">
        <w:noBreakHyphen/>
      </w:r>
      <w:r>
        <w:t>3</w:t>
      </w:r>
      <w:r w:rsidR="00835808">
        <w:t>;</w:t>
      </w:r>
      <w:r>
        <w:t xml:space="preserve"> </w:t>
      </w:r>
      <w:r w:rsidR="007F1822">
        <w:t>350 Bay Area</w:t>
      </w:r>
      <w:r>
        <w:t xml:space="preserve"> </w:t>
      </w:r>
      <w:r w:rsidR="00BB3E3C">
        <w:t xml:space="preserve">Opening Comments to </w:t>
      </w:r>
      <w:r w:rsidR="00693EB0">
        <w:t>May 9, 2022</w:t>
      </w:r>
      <w:r w:rsidR="00BB3E3C">
        <w:t xml:space="preserve"> Ruling</w:t>
      </w:r>
      <w:r w:rsidR="000B3DA8">
        <w:t xml:space="preserve"> at 2</w:t>
      </w:r>
      <w:r w:rsidR="00827602">
        <w:noBreakHyphen/>
      </w:r>
      <w:r>
        <w:t>4</w:t>
      </w:r>
      <w:r w:rsidR="00835808">
        <w:t xml:space="preserve">; and SEIA/Vote Solar Opening Comments to </w:t>
      </w:r>
      <w:r w:rsidR="00693EB0">
        <w:t>May 9, 2022</w:t>
      </w:r>
      <w:r w:rsidR="00835808">
        <w:t xml:space="preserve"> Ruling</w:t>
      </w:r>
      <w:r w:rsidR="000B3DA8">
        <w:t xml:space="preserve"> at 4</w:t>
      </w:r>
      <w:r w:rsidR="00835808">
        <w:t>.</w:t>
      </w:r>
    </w:p>
  </w:footnote>
  <w:footnote w:id="358">
    <w:p w14:paraId="5AD463B1" w14:textId="5FFFC6E3" w:rsidR="001135AC" w:rsidRDefault="001135AC">
      <w:pPr>
        <w:pStyle w:val="FootnoteText"/>
      </w:pPr>
      <w:r>
        <w:rPr>
          <w:rStyle w:val="FootnoteReference"/>
        </w:rPr>
        <w:footnoteRef/>
      </w:r>
      <w:r>
        <w:t xml:space="preserve"> </w:t>
      </w:r>
      <w:r w:rsidR="008E59BE">
        <w:t xml:space="preserve"> </w:t>
      </w:r>
      <w:r>
        <w:t xml:space="preserve">NRDC Reply Comments to </w:t>
      </w:r>
      <w:r w:rsidR="00693EB0">
        <w:t>May 9, 2022</w:t>
      </w:r>
      <w:r>
        <w:t xml:space="preserve"> Ruling</w:t>
      </w:r>
      <w:r w:rsidR="000B3DA8">
        <w:t xml:space="preserve"> at 7</w:t>
      </w:r>
      <w:r w:rsidR="00827602">
        <w:noBreakHyphen/>
      </w:r>
      <w:r>
        <w:t xml:space="preserve">8.  </w:t>
      </w:r>
      <w:r w:rsidR="00CA7562">
        <w:t>(</w:t>
      </w:r>
      <w:r w:rsidRPr="00CA7562">
        <w:rPr>
          <w:i/>
          <w:iCs/>
        </w:rPr>
        <w:t>See also</w:t>
      </w:r>
      <w:r>
        <w:t xml:space="preserve"> </w:t>
      </w:r>
      <w:r w:rsidR="007670A4">
        <w:t>Ivy E</w:t>
      </w:r>
      <w:r>
        <w:t xml:space="preserve">nergy </w:t>
      </w:r>
      <w:r w:rsidR="002B4479">
        <w:t xml:space="preserve">Opening Comments to </w:t>
      </w:r>
      <w:r w:rsidR="00693EB0">
        <w:t>May 9, 2022</w:t>
      </w:r>
      <w:r w:rsidR="002B4479">
        <w:t xml:space="preserve"> Ruling</w:t>
      </w:r>
      <w:r w:rsidR="000B3DA8">
        <w:t xml:space="preserve"> at 3</w:t>
      </w:r>
      <w:r w:rsidR="002B4479">
        <w:t xml:space="preserve"> and 4</w:t>
      </w:r>
      <w:r w:rsidR="00F2091F">
        <w:t xml:space="preserve">; </w:t>
      </w:r>
      <w:r w:rsidR="009355F1">
        <w:t>Cal Advoc</w:t>
      </w:r>
      <w:r w:rsidR="00F2091F">
        <w:t xml:space="preserve">ates Opening Comments to </w:t>
      </w:r>
      <w:r w:rsidR="00693EB0">
        <w:t>May 9, 2022</w:t>
      </w:r>
      <w:r w:rsidR="00F2091F">
        <w:t xml:space="preserve"> Ruling</w:t>
      </w:r>
      <w:r w:rsidR="000B3DA8">
        <w:t xml:space="preserve"> at 8</w:t>
      </w:r>
      <w:r w:rsidR="00F2091F">
        <w:t xml:space="preserve">; and CESA Opening Comments to </w:t>
      </w:r>
      <w:r w:rsidR="00693EB0">
        <w:t>May 9, 2022</w:t>
      </w:r>
      <w:r w:rsidR="00F2091F">
        <w:t xml:space="preserve"> Ruling</w:t>
      </w:r>
      <w:r w:rsidR="000B3DA8">
        <w:t xml:space="preserve"> at 6</w:t>
      </w:r>
      <w:r w:rsidR="00F2091F">
        <w:t>.</w:t>
      </w:r>
      <w:r w:rsidR="00CA7562">
        <w:t>)</w:t>
      </w:r>
    </w:p>
  </w:footnote>
  <w:footnote w:id="359">
    <w:p w14:paraId="7789441D" w14:textId="63664C37" w:rsidR="001A335C" w:rsidRDefault="001A335C">
      <w:pPr>
        <w:pStyle w:val="FootnoteText"/>
      </w:pPr>
      <w:r>
        <w:rPr>
          <w:rStyle w:val="FootnoteReference"/>
        </w:rPr>
        <w:footnoteRef/>
      </w:r>
      <w:r>
        <w:t xml:space="preserve"> </w:t>
      </w:r>
      <w:r w:rsidR="008E59BE">
        <w:t xml:space="preserve"> </w:t>
      </w:r>
      <w:r>
        <w:t xml:space="preserve">SEIA/Vote Solar Opening Comments to </w:t>
      </w:r>
      <w:r w:rsidR="00693EB0">
        <w:t>May 9, 2022</w:t>
      </w:r>
      <w:r>
        <w:t xml:space="preserve"> Ruling</w:t>
      </w:r>
      <w:r w:rsidR="000B3DA8">
        <w:t xml:space="preserve"> at 9</w:t>
      </w:r>
      <w:r w:rsidR="00827602">
        <w:noBreakHyphen/>
      </w:r>
      <w:r>
        <w:t>10.</w:t>
      </w:r>
    </w:p>
  </w:footnote>
  <w:footnote w:id="360">
    <w:p w14:paraId="473C7C6C" w14:textId="6B3A9D61" w:rsidR="00793348" w:rsidRDefault="00793348">
      <w:pPr>
        <w:pStyle w:val="FootnoteText"/>
      </w:pPr>
      <w:r>
        <w:rPr>
          <w:rStyle w:val="FootnoteReference"/>
        </w:rPr>
        <w:footnoteRef/>
      </w:r>
      <w:r>
        <w:t xml:space="preserve"> </w:t>
      </w:r>
      <w:r w:rsidR="008E59BE">
        <w:t xml:space="preserve"> </w:t>
      </w:r>
      <w:r>
        <w:t xml:space="preserve">SEIA/Vote Solar Opening Comments to </w:t>
      </w:r>
      <w:r w:rsidR="00693EB0">
        <w:t>May 9, 2022</w:t>
      </w:r>
      <w:r>
        <w:t xml:space="preserve"> Ruling</w:t>
      </w:r>
      <w:r w:rsidR="000B3DA8">
        <w:t xml:space="preserve"> at 4</w:t>
      </w:r>
      <w:r>
        <w:t>.</w:t>
      </w:r>
    </w:p>
  </w:footnote>
  <w:footnote w:id="361">
    <w:p w14:paraId="202765E9" w14:textId="5C50A70F" w:rsidR="00E719E4" w:rsidRDefault="00E719E4">
      <w:pPr>
        <w:pStyle w:val="FootnoteText"/>
      </w:pPr>
      <w:r>
        <w:rPr>
          <w:rStyle w:val="FootnoteReference"/>
        </w:rPr>
        <w:footnoteRef/>
      </w:r>
      <w:r>
        <w:t xml:space="preserve"> </w:t>
      </w:r>
      <w:r w:rsidR="008E59BE">
        <w:t xml:space="preserve"> </w:t>
      </w:r>
      <w:r>
        <w:t xml:space="preserve">SEIA/Vote Solar Opening Comments to </w:t>
      </w:r>
      <w:r w:rsidR="00693EB0">
        <w:t>May 9, 2022</w:t>
      </w:r>
      <w:r>
        <w:t xml:space="preserve"> Ruling</w:t>
      </w:r>
      <w:r w:rsidR="000B3DA8">
        <w:t xml:space="preserve"> at 3</w:t>
      </w:r>
      <w:r w:rsidR="00827602">
        <w:noBreakHyphen/>
      </w:r>
      <w:r>
        <w:t>5.</w:t>
      </w:r>
    </w:p>
  </w:footnote>
  <w:footnote w:id="362">
    <w:p w14:paraId="628A372B" w14:textId="4DF65066" w:rsidR="00586F42" w:rsidRDefault="00586F42">
      <w:pPr>
        <w:pStyle w:val="FootnoteText"/>
      </w:pPr>
      <w:r>
        <w:rPr>
          <w:rStyle w:val="FootnoteReference"/>
        </w:rPr>
        <w:footnoteRef/>
      </w:r>
      <w:r>
        <w:t xml:space="preserve"> </w:t>
      </w:r>
      <w:r w:rsidR="008E59BE">
        <w:t xml:space="preserve"> </w:t>
      </w:r>
      <w:r>
        <w:t xml:space="preserve">SEIA/Vote Solar Opening Comments to </w:t>
      </w:r>
      <w:r w:rsidR="00693EB0">
        <w:t>May 9, 2022</w:t>
      </w:r>
      <w:r>
        <w:t xml:space="preserve"> Ruling</w:t>
      </w:r>
      <w:r w:rsidR="000B3DA8">
        <w:t xml:space="preserve"> at 3</w:t>
      </w:r>
      <w:r w:rsidR="00827602">
        <w:noBreakHyphen/>
      </w:r>
      <w:r>
        <w:t>5.</w:t>
      </w:r>
    </w:p>
  </w:footnote>
  <w:footnote w:id="363">
    <w:p w14:paraId="548531BE" w14:textId="6047541B" w:rsidR="00BB4918" w:rsidRDefault="00BB4918">
      <w:pPr>
        <w:pStyle w:val="FootnoteText"/>
      </w:pPr>
      <w:r>
        <w:rPr>
          <w:rStyle w:val="FootnoteReference"/>
        </w:rPr>
        <w:footnoteRef/>
      </w:r>
      <w:r>
        <w:t xml:space="preserve"> </w:t>
      </w:r>
      <w:r w:rsidR="008E59BE">
        <w:t xml:space="preserve"> </w:t>
      </w:r>
      <w:r>
        <w:t xml:space="preserve">Joint Utilities Opening Comments to </w:t>
      </w:r>
      <w:r w:rsidR="00693EB0">
        <w:t>May 9, 2022</w:t>
      </w:r>
      <w:r>
        <w:t xml:space="preserve"> Ruling</w:t>
      </w:r>
      <w:r w:rsidR="000B3DA8">
        <w:t xml:space="preserve"> at 8</w:t>
      </w:r>
      <w:r w:rsidR="00827602">
        <w:noBreakHyphen/>
      </w:r>
      <w:r>
        <w:t xml:space="preserve">9 and County of </w:t>
      </w:r>
      <w:r w:rsidR="007061A7">
        <w:t>Los </w:t>
      </w:r>
      <w:r>
        <w:t xml:space="preserve">Angeles Opening Comments to </w:t>
      </w:r>
      <w:r w:rsidR="00693EB0">
        <w:t>May 9, 2022</w:t>
      </w:r>
      <w:r>
        <w:t xml:space="preserve"> Ruling</w:t>
      </w:r>
      <w:r w:rsidR="000B3DA8">
        <w:t xml:space="preserve"> at 6</w:t>
      </w:r>
      <w:r>
        <w:t>.</w:t>
      </w:r>
    </w:p>
  </w:footnote>
  <w:footnote w:id="364">
    <w:p w14:paraId="3246DF0B" w14:textId="5F575675" w:rsidR="008F041A" w:rsidRDefault="008F041A">
      <w:pPr>
        <w:pStyle w:val="FootnoteText"/>
      </w:pPr>
      <w:r>
        <w:rPr>
          <w:rStyle w:val="FootnoteReference"/>
        </w:rPr>
        <w:footnoteRef/>
      </w:r>
      <w:r>
        <w:t xml:space="preserve"> </w:t>
      </w:r>
      <w:r w:rsidR="008E59BE">
        <w:t xml:space="preserve"> </w:t>
      </w:r>
      <w:r>
        <w:t xml:space="preserve">Joint Utilities Opening Comments to </w:t>
      </w:r>
      <w:r w:rsidR="00693EB0">
        <w:t>May 9, 2022</w:t>
      </w:r>
      <w:r>
        <w:t xml:space="preserve"> Ruling</w:t>
      </w:r>
      <w:r w:rsidR="000B3DA8">
        <w:t xml:space="preserve"> at 8</w:t>
      </w:r>
      <w:r w:rsidR="00827602">
        <w:noBreakHyphen/>
      </w:r>
      <w:r>
        <w:t>9.</w:t>
      </w:r>
    </w:p>
  </w:footnote>
  <w:footnote w:id="365">
    <w:p w14:paraId="2CDC495E" w14:textId="29845FF9" w:rsidR="002341C1" w:rsidRDefault="002341C1">
      <w:pPr>
        <w:pStyle w:val="FootnoteText"/>
      </w:pPr>
      <w:r>
        <w:rPr>
          <w:rStyle w:val="FootnoteReference"/>
        </w:rPr>
        <w:footnoteRef/>
      </w:r>
      <w:r>
        <w:t xml:space="preserve"> </w:t>
      </w:r>
      <w:r w:rsidR="008E59BE">
        <w:t xml:space="preserve"> </w:t>
      </w:r>
      <w:r>
        <w:t xml:space="preserve">CESA </w:t>
      </w:r>
      <w:r w:rsidR="00D20F85">
        <w:t xml:space="preserve">Opening Comments to </w:t>
      </w:r>
      <w:r w:rsidR="00693EB0">
        <w:t>May 9, 2022</w:t>
      </w:r>
      <w:r w:rsidR="00D20F85">
        <w:t xml:space="preserve"> Ruling</w:t>
      </w:r>
      <w:r w:rsidR="000B3DA8">
        <w:t xml:space="preserve"> at 5</w:t>
      </w:r>
      <w:r w:rsidR="00D20F85">
        <w:t>; Grid Alternatives</w:t>
      </w:r>
      <w:r w:rsidR="00D20F85" w:rsidRPr="00966241">
        <w:rPr>
          <w:i/>
          <w:iCs/>
        </w:rPr>
        <w:t xml:space="preserve"> </w:t>
      </w:r>
      <w:r w:rsidR="001C71AF" w:rsidRPr="00966241">
        <w:rPr>
          <w:i/>
          <w:iCs/>
        </w:rPr>
        <w:t>et al</w:t>
      </w:r>
      <w:r w:rsidR="00D20F85">
        <w:t xml:space="preserve">. Opening Comments to </w:t>
      </w:r>
      <w:r w:rsidR="00693EB0">
        <w:t>May 9, 2022</w:t>
      </w:r>
      <w:r w:rsidR="00D20F85">
        <w:t xml:space="preserve"> Ruling</w:t>
      </w:r>
      <w:r w:rsidR="000B3DA8">
        <w:t xml:space="preserve"> at 6</w:t>
      </w:r>
      <w:r w:rsidR="00827602">
        <w:noBreakHyphen/>
      </w:r>
      <w:r w:rsidR="00D20F85">
        <w:t xml:space="preserve">7; IEP Opening Comments to </w:t>
      </w:r>
      <w:r w:rsidR="00693EB0">
        <w:t>May 9, 2022</w:t>
      </w:r>
      <w:r w:rsidR="00D20F85">
        <w:t xml:space="preserve"> Ruling</w:t>
      </w:r>
      <w:r w:rsidR="000B3DA8">
        <w:t xml:space="preserve"> at 2</w:t>
      </w:r>
      <w:r w:rsidR="00827602">
        <w:noBreakHyphen/>
      </w:r>
      <w:r w:rsidR="00D20F85">
        <w:t xml:space="preserve">3; Joint Utilities Opening Comments to </w:t>
      </w:r>
      <w:r w:rsidR="00693EB0">
        <w:t>May 9, 2022</w:t>
      </w:r>
      <w:r w:rsidR="00D20F85">
        <w:t xml:space="preserve"> Ruling</w:t>
      </w:r>
      <w:r w:rsidR="000B3DA8">
        <w:t xml:space="preserve"> at 8</w:t>
      </w:r>
      <w:r w:rsidR="00827602">
        <w:noBreakHyphen/>
      </w:r>
      <w:r w:rsidR="00D20F85">
        <w:t xml:space="preserve">9; NRDC Opening Comments to </w:t>
      </w:r>
      <w:r w:rsidR="00693EB0">
        <w:t>May 9, 2022</w:t>
      </w:r>
      <w:r w:rsidR="00D20F85">
        <w:t xml:space="preserve"> Ruling</w:t>
      </w:r>
      <w:r w:rsidR="000B3DA8">
        <w:t xml:space="preserve"> at 6</w:t>
      </w:r>
      <w:r w:rsidR="00B20A42">
        <w:t xml:space="preserve">; </w:t>
      </w:r>
      <w:r w:rsidR="009355F1">
        <w:t>Cal Advoc</w:t>
      </w:r>
      <w:r w:rsidR="00B20A42">
        <w:t xml:space="preserve">ates Opening Comments to </w:t>
      </w:r>
      <w:r w:rsidR="00693EB0">
        <w:t>May 9, 2022</w:t>
      </w:r>
      <w:r w:rsidR="00B20A42">
        <w:t xml:space="preserve"> Ruling</w:t>
      </w:r>
      <w:r w:rsidR="000B3DA8">
        <w:t xml:space="preserve"> at 6</w:t>
      </w:r>
      <w:r w:rsidR="00827602">
        <w:noBreakHyphen/>
      </w:r>
      <w:r w:rsidR="00B20A42">
        <w:t xml:space="preserve">7; and SEIA/Vote Solar Reply Comments to </w:t>
      </w:r>
      <w:r w:rsidR="00693EB0">
        <w:t>May 9, 2022</w:t>
      </w:r>
      <w:r w:rsidR="00B20A42">
        <w:t xml:space="preserve"> Ruling</w:t>
      </w:r>
      <w:r w:rsidR="000B3DA8">
        <w:t xml:space="preserve"> at 3</w:t>
      </w:r>
      <w:r w:rsidR="00827602">
        <w:noBreakHyphen/>
      </w:r>
      <w:r w:rsidR="00B20A42">
        <w:t>4.</w:t>
      </w:r>
    </w:p>
  </w:footnote>
  <w:footnote w:id="366">
    <w:p w14:paraId="408A23F1" w14:textId="3BD18F80" w:rsidR="00FE49C1" w:rsidRDefault="00FE49C1" w:rsidP="00E950DE">
      <w:pPr>
        <w:pStyle w:val="FootnoteText"/>
      </w:pPr>
      <w:r>
        <w:rPr>
          <w:rStyle w:val="FootnoteReference"/>
        </w:rPr>
        <w:footnoteRef/>
      </w:r>
      <w:r>
        <w:t xml:space="preserve"> </w:t>
      </w:r>
      <w:r w:rsidR="00647840">
        <w:t xml:space="preserve"> </w:t>
      </w:r>
      <w:r w:rsidR="009355F1">
        <w:t>Cal Advoc</w:t>
      </w:r>
      <w:r w:rsidR="00E950DE">
        <w:t>ates Opening Brief</w:t>
      </w:r>
      <w:r w:rsidR="000B3DA8">
        <w:t xml:space="preserve"> at 2</w:t>
      </w:r>
      <w:r w:rsidR="00E950DE">
        <w:t xml:space="preserve">2.  </w:t>
      </w:r>
      <w:r w:rsidR="00394705">
        <w:t>(</w:t>
      </w:r>
      <w:r w:rsidR="00E950DE" w:rsidRPr="00647840">
        <w:rPr>
          <w:i/>
          <w:iCs/>
        </w:rPr>
        <w:t>See also</w:t>
      </w:r>
      <w:r w:rsidR="00E950DE">
        <w:t xml:space="preserve"> CUE Opening Brief</w:t>
      </w:r>
      <w:r w:rsidR="000B3DA8">
        <w:t xml:space="preserve"> at 1</w:t>
      </w:r>
      <w:r w:rsidR="00E950DE">
        <w:t>7 citing Transcript</w:t>
      </w:r>
      <w:r w:rsidR="004A7ECE">
        <w:t xml:space="preserve"> pp. </w:t>
      </w:r>
      <w:r w:rsidR="00E950DE" w:rsidRPr="00E950DE">
        <w:t>1864:10</w:t>
      </w:r>
      <w:r w:rsidR="00827602">
        <w:noBreakHyphen/>
      </w:r>
      <w:r w:rsidR="00E950DE" w:rsidRPr="00E950DE">
        <w:t xml:space="preserve">1865:11 (Chhabra) </w:t>
      </w:r>
      <w:r w:rsidR="00E950DE">
        <w:t>and Transcript</w:t>
      </w:r>
      <w:r w:rsidR="004A7ECE">
        <w:t xml:space="preserve"> p. </w:t>
      </w:r>
      <w:r w:rsidR="00E950DE" w:rsidRPr="00E950DE">
        <w:t>1663</w:t>
      </w:r>
      <w:r w:rsidR="00E27AE8">
        <w:t>:</w:t>
      </w:r>
      <w:r w:rsidR="00E950DE" w:rsidRPr="00E950DE">
        <w:t>8</w:t>
      </w:r>
      <w:r w:rsidR="00827602">
        <w:noBreakHyphen/>
      </w:r>
      <w:r w:rsidR="00E950DE" w:rsidRPr="00E950DE">
        <w:t>21 (Chait).</w:t>
      </w:r>
      <w:r w:rsidR="00394705">
        <w:t>)</w:t>
      </w:r>
    </w:p>
  </w:footnote>
  <w:footnote w:id="367">
    <w:p w14:paraId="777B3252" w14:textId="543E5BB1" w:rsidR="00A77EBB" w:rsidRDefault="00A77EBB">
      <w:pPr>
        <w:pStyle w:val="FootnoteText"/>
      </w:pPr>
      <w:r>
        <w:rPr>
          <w:rStyle w:val="FootnoteReference"/>
        </w:rPr>
        <w:footnoteRef/>
      </w:r>
      <w:r>
        <w:t xml:space="preserve"> </w:t>
      </w:r>
      <w:r w:rsidR="00647840">
        <w:t xml:space="preserve"> </w:t>
      </w:r>
      <w:r>
        <w:t>Joint Utilities Reply Brief</w:t>
      </w:r>
      <w:r w:rsidR="000B3DA8">
        <w:t xml:space="preserve"> at 3</w:t>
      </w:r>
      <w:r>
        <w:t>1</w:t>
      </w:r>
      <w:r w:rsidR="00A5242D">
        <w:t>.</w:t>
      </w:r>
    </w:p>
  </w:footnote>
  <w:footnote w:id="368">
    <w:p w14:paraId="0ECCD712" w14:textId="63460F70" w:rsidR="00A77EBB" w:rsidRDefault="00A77EBB">
      <w:pPr>
        <w:pStyle w:val="FootnoteText"/>
      </w:pPr>
      <w:r>
        <w:rPr>
          <w:rStyle w:val="FootnoteReference"/>
        </w:rPr>
        <w:footnoteRef/>
      </w:r>
      <w:r>
        <w:t xml:space="preserve"> </w:t>
      </w:r>
      <w:r w:rsidR="00647840">
        <w:t xml:space="preserve"> </w:t>
      </w:r>
      <w:r>
        <w:t>Joint Utilities Reply Brief</w:t>
      </w:r>
      <w:r w:rsidR="000B3DA8">
        <w:t xml:space="preserve"> at 3</w:t>
      </w:r>
      <w:r>
        <w:t>2.</w:t>
      </w:r>
    </w:p>
  </w:footnote>
  <w:footnote w:id="369">
    <w:p w14:paraId="7E90B963" w14:textId="24096ED1" w:rsidR="00A77EBB" w:rsidRDefault="00A77EBB">
      <w:pPr>
        <w:pStyle w:val="FootnoteText"/>
      </w:pPr>
      <w:r>
        <w:rPr>
          <w:rStyle w:val="FootnoteReference"/>
        </w:rPr>
        <w:footnoteRef/>
      </w:r>
      <w:r>
        <w:t xml:space="preserve"> </w:t>
      </w:r>
      <w:r w:rsidR="00647840">
        <w:t xml:space="preserve"> </w:t>
      </w:r>
      <w:r w:rsidR="009355F1">
        <w:t>Cal Advoc</w:t>
      </w:r>
      <w:r>
        <w:t xml:space="preserve">ates Opening Brief at </w:t>
      </w:r>
      <w:r>
        <w:t>i.</w:t>
      </w:r>
    </w:p>
  </w:footnote>
  <w:footnote w:id="370">
    <w:p w14:paraId="47793B27" w14:textId="3401F2CA" w:rsidR="00371B39" w:rsidRDefault="00371B39">
      <w:pPr>
        <w:pStyle w:val="FootnoteText"/>
      </w:pPr>
      <w:r>
        <w:rPr>
          <w:rStyle w:val="FootnoteReference"/>
        </w:rPr>
        <w:footnoteRef/>
      </w:r>
      <w:r>
        <w:t xml:space="preserve"> </w:t>
      </w:r>
      <w:r w:rsidR="00647840">
        <w:t xml:space="preserve"> </w:t>
      </w:r>
      <w:r>
        <w:t>SEIA/Vote Solar Opening Brief</w:t>
      </w:r>
      <w:r w:rsidR="000B3DA8">
        <w:t xml:space="preserve"> at 7</w:t>
      </w:r>
      <w:r>
        <w:t>1.</w:t>
      </w:r>
    </w:p>
  </w:footnote>
  <w:footnote w:id="371">
    <w:p w14:paraId="3BE5E399" w14:textId="14799342" w:rsidR="00371B39" w:rsidRDefault="00371B39">
      <w:pPr>
        <w:pStyle w:val="FootnoteText"/>
      </w:pPr>
      <w:r>
        <w:rPr>
          <w:rStyle w:val="FootnoteReference"/>
        </w:rPr>
        <w:footnoteRef/>
      </w:r>
      <w:r>
        <w:t xml:space="preserve"> </w:t>
      </w:r>
      <w:r w:rsidR="00647840">
        <w:t xml:space="preserve"> </w:t>
      </w:r>
      <w:r>
        <w:t>CSA</w:t>
      </w:r>
      <w:r w:rsidR="00827602">
        <w:noBreakHyphen/>
      </w:r>
      <w:r>
        <w:t>01</w:t>
      </w:r>
      <w:r w:rsidR="000B3DA8">
        <w:t xml:space="preserve"> at 1</w:t>
      </w:r>
      <w:r>
        <w:t>17:3</w:t>
      </w:r>
      <w:r w:rsidR="00745F7B">
        <w:t xml:space="preserve"> and </w:t>
      </w:r>
      <w:r w:rsidR="00745F7B">
        <w:t>SBUA Opening Brief</w:t>
      </w:r>
      <w:r w:rsidR="000B3DA8">
        <w:t xml:space="preserve"> at 1</w:t>
      </w:r>
      <w:r w:rsidR="00745F7B">
        <w:t>4</w:t>
      </w:r>
      <w:r>
        <w:t>.</w:t>
      </w:r>
    </w:p>
  </w:footnote>
  <w:footnote w:id="372">
    <w:p w14:paraId="5A78CB79" w14:textId="52AC4C4A" w:rsidR="00387875" w:rsidRDefault="00387875">
      <w:pPr>
        <w:pStyle w:val="FootnoteText"/>
      </w:pPr>
      <w:r>
        <w:rPr>
          <w:rStyle w:val="FootnoteReference"/>
        </w:rPr>
        <w:footnoteRef/>
      </w:r>
      <w:r>
        <w:t xml:space="preserve"> </w:t>
      </w:r>
      <w:r w:rsidR="004102E6">
        <w:t xml:space="preserve"> </w:t>
      </w:r>
      <w:r>
        <w:t>SEIA/Vote Solar Opening Brief</w:t>
      </w:r>
      <w:r w:rsidR="000B3DA8">
        <w:t xml:space="preserve"> at 7</w:t>
      </w:r>
      <w:r>
        <w:t>2 citing AOS</w:t>
      </w:r>
      <w:r w:rsidR="00827602">
        <w:noBreakHyphen/>
      </w:r>
      <w:r>
        <w:t>02</w:t>
      </w:r>
      <w:r w:rsidR="000B3DA8">
        <w:t xml:space="preserve"> at 1</w:t>
      </w:r>
      <w:r>
        <w:t>6.</w:t>
      </w:r>
    </w:p>
  </w:footnote>
  <w:footnote w:id="373">
    <w:p w14:paraId="119DF828" w14:textId="2042B577" w:rsidR="00510DB0" w:rsidRDefault="00510DB0">
      <w:pPr>
        <w:pStyle w:val="FootnoteText"/>
      </w:pPr>
      <w:r>
        <w:rPr>
          <w:rStyle w:val="FootnoteReference"/>
        </w:rPr>
        <w:footnoteRef/>
      </w:r>
      <w:r>
        <w:t xml:space="preserve"> </w:t>
      </w:r>
      <w:r w:rsidR="00647840">
        <w:t xml:space="preserve"> </w:t>
      </w:r>
      <w:r>
        <w:t>Joint Utilities Reply Brief</w:t>
      </w:r>
      <w:r w:rsidR="000B3DA8">
        <w:t xml:space="preserve"> at 3</w:t>
      </w:r>
      <w:r>
        <w:t>1 citing IOU</w:t>
      </w:r>
      <w:r w:rsidR="00827602">
        <w:noBreakHyphen/>
      </w:r>
      <w:r>
        <w:t>02</w:t>
      </w:r>
      <w:r w:rsidR="000B3DA8">
        <w:t xml:space="preserve"> at 5</w:t>
      </w:r>
      <w:r>
        <w:t>5:3</w:t>
      </w:r>
      <w:r w:rsidR="00827602">
        <w:noBreakHyphen/>
      </w:r>
      <w:r>
        <w:t>9.</w:t>
      </w:r>
    </w:p>
  </w:footnote>
  <w:footnote w:id="374">
    <w:p w14:paraId="2E42E00E" w14:textId="27EE69DB" w:rsidR="004102E6" w:rsidRDefault="004102E6" w:rsidP="004102E6">
      <w:pPr>
        <w:pStyle w:val="FootnoteText"/>
      </w:pPr>
      <w:r>
        <w:rPr>
          <w:rStyle w:val="FootnoteReference"/>
        </w:rPr>
        <w:footnoteRef/>
      </w:r>
      <w:r>
        <w:t xml:space="preserve">  Joint Utilities Reply Brief</w:t>
      </w:r>
      <w:r w:rsidR="000B3DA8">
        <w:t xml:space="preserve"> at 3</w:t>
      </w:r>
      <w:r>
        <w:t>1.</w:t>
      </w:r>
    </w:p>
  </w:footnote>
  <w:footnote w:id="375">
    <w:p w14:paraId="569A430A" w14:textId="1E929DDB" w:rsidR="004102E6" w:rsidRDefault="004102E6" w:rsidP="004102E6">
      <w:pPr>
        <w:pStyle w:val="FootnoteText"/>
      </w:pPr>
      <w:r>
        <w:rPr>
          <w:rStyle w:val="FootnoteReference"/>
        </w:rPr>
        <w:footnoteRef/>
      </w:r>
      <w:r>
        <w:t xml:space="preserve">  CSA</w:t>
      </w:r>
      <w:r w:rsidR="00827602">
        <w:noBreakHyphen/>
      </w:r>
      <w:r>
        <w:t>01</w:t>
      </w:r>
      <w:r w:rsidR="000B3DA8">
        <w:t xml:space="preserve"> at 1</w:t>
      </w:r>
      <w:r>
        <w:t xml:space="preserve">17:3 and </w:t>
      </w:r>
      <w:r>
        <w:t>CALSSA Opening Brief</w:t>
      </w:r>
      <w:r w:rsidR="000B3DA8">
        <w:t xml:space="preserve"> at 1</w:t>
      </w:r>
      <w:r>
        <w:t>74.</w:t>
      </w:r>
    </w:p>
  </w:footnote>
  <w:footnote w:id="376">
    <w:p w14:paraId="25364DDA" w14:textId="638A8589" w:rsidR="00395003" w:rsidRDefault="00395003">
      <w:pPr>
        <w:pStyle w:val="FootnoteText"/>
      </w:pPr>
      <w:r>
        <w:rPr>
          <w:rStyle w:val="FootnoteReference"/>
        </w:rPr>
        <w:footnoteRef/>
      </w:r>
      <w:r>
        <w:t xml:space="preserve"> PAO</w:t>
      </w:r>
      <w:r w:rsidR="00827602">
        <w:noBreakHyphen/>
      </w:r>
      <w:r>
        <w:t>02</w:t>
      </w:r>
      <w:r w:rsidR="000B3DA8">
        <w:t xml:space="preserve"> at 5</w:t>
      </w:r>
      <w:r w:rsidR="00827602">
        <w:noBreakHyphen/>
      </w:r>
      <w:r>
        <w:t>45</w:t>
      </w:r>
      <w:r w:rsidR="001661A2">
        <w:t>.</w:t>
      </w:r>
    </w:p>
  </w:footnote>
  <w:footnote w:id="377">
    <w:p w14:paraId="1F92BAC4" w14:textId="74D31231" w:rsidR="00395003" w:rsidRDefault="00395003">
      <w:pPr>
        <w:pStyle w:val="FootnoteText"/>
      </w:pPr>
      <w:r>
        <w:rPr>
          <w:rStyle w:val="FootnoteReference"/>
        </w:rPr>
        <w:footnoteRef/>
      </w:r>
      <w:r>
        <w:t xml:space="preserve"> </w:t>
      </w:r>
      <w:r w:rsidR="008E59BE">
        <w:t xml:space="preserve"> </w:t>
      </w:r>
      <w:r>
        <w:t>PAO</w:t>
      </w:r>
      <w:r w:rsidR="00827602">
        <w:noBreakHyphen/>
      </w:r>
      <w:r>
        <w:t>02</w:t>
      </w:r>
      <w:r w:rsidR="000B3DA8">
        <w:t xml:space="preserve"> at 5</w:t>
      </w:r>
      <w:r w:rsidR="00827602">
        <w:noBreakHyphen/>
      </w:r>
      <w:r>
        <w:t>46.</w:t>
      </w:r>
    </w:p>
  </w:footnote>
  <w:footnote w:id="378">
    <w:p w14:paraId="5D522FD3" w14:textId="56F585FD" w:rsidR="00C45E40" w:rsidRDefault="00C45E40">
      <w:pPr>
        <w:pStyle w:val="FootnoteText"/>
      </w:pPr>
      <w:r>
        <w:rPr>
          <w:rStyle w:val="FootnoteReference"/>
        </w:rPr>
        <w:footnoteRef/>
      </w:r>
      <w:r>
        <w:t xml:space="preserve"> </w:t>
      </w:r>
      <w:r w:rsidR="008E59BE">
        <w:t xml:space="preserve"> </w:t>
      </w:r>
      <w:r>
        <w:t>P</w:t>
      </w:r>
      <w:r w:rsidR="00576BA3">
        <w:t>AO</w:t>
      </w:r>
      <w:r w:rsidR="00827602">
        <w:noBreakHyphen/>
      </w:r>
      <w:r>
        <w:t>02</w:t>
      </w:r>
      <w:r w:rsidR="000B3DA8">
        <w:t xml:space="preserve"> at 5</w:t>
      </w:r>
      <w:r w:rsidR="00827602">
        <w:noBreakHyphen/>
      </w:r>
      <w:r>
        <w:t>47 to 5</w:t>
      </w:r>
      <w:r w:rsidR="00827602">
        <w:noBreakHyphen/>
      </w:r>
      <w:r>
        <w:t>48 citing the evaluation</w:t>
      </w:r>
      <w:r w:rsidR="00555CC0">
        <w:t xml:space="preserve">:  </w:t>
      </w:r>
      <w:r>
        <w:t xml:space="preserve">Itron and Verdant, LLC, </w:t>
      </w:r>
      <w:r w:rsidRPr="00F036C6">
        <w:rPr>
          <w:i/>
          <w:iCs/>
        </w:rPr>
        <w:t>California Solar Initiative Final Impact Evaluation</w:t>
      </w:r>
      <w:r>
        <w:t>, January</w:t>
      </w:r>
      <w:r w:rsidR="002A6D3F">
        <w:t> </w:t>
      </w:r>
      <w:r>
        <w:t>28,</w:t>
      </w:r>
      <w:r w:rsidR="002A6D3F">
        <w:t> </w:t>
      </w:r>
      <w:r>
        <w:t>2021,</w:t>
      </w:r>
      <w:r w:rsidR="004A7ECE">
        <w:t xml:space="preserve"> </w:t>
      </w:r>
      <w:r w:rsidR="002A6D3F">
        <w:t>at </w:t>
      </w:r>
      <w:r>
        <w:t>161.</w:t>
      </w:r>
    </w:p>
  </w:footnote>
  <w:footnote w:id="379">
    <w:p w14:paraId="772BA9DD" w14:textId="0B64D337" w:rsidR="00576BA3" w:rsidRDefault="00576BA3">
      <w:pPr>
        <w:pStyle w:val="FootnoteText"/>
      </w:pPr>
      <w:r>
        <w:rPr>
          <w:rStyle w:val="FootnoteReference"/>
        </w:rPr>
        <w:footnoteRef/>
      </w:r>
      <w:r>
        <w:t xml:space="preserve"> </w:t>
      </w:r>
      <w:r w:rsidR="008E59BE">
        <w:t xml:space="preserve"> </w:t>
      </w:r>
      <w:r>
        <w:t>PAO</w:t>
      </w:r>
      <w:r w:rsidR="00827602">
        <w:noBreakHyphen/>
      </w:r>
      <w:r>
        <w:t>02</w:t>
      </w:r>
      <w:r w:rsidR="000B3DA8">
        <w:t xml:space="preserve"> at 5</w:t>
      </w:r>
      <w:r w:rsidR="00827602">
        <w:noBreakHyphen/>
      </w:r>
      <w:r>
        <w:t>45 to 5</w:t>
      </w:r>
      <w:r w:rsidR="00827602">
        <w:noBreakHyphen/>
      </w:r>
      <w:r>
        <w:t>46.</w:t>
      </w:r>
    </w:p>
  </w:footnote>
  <w:footnote w:id="380">
    <w:p w14:paraId="6F2B3932" w14:textId="0CE7EEEC" w:rsidR="00353809" w:rsidRDefault="00353809">
      <w:pPr>
        <w:pStyle w:val="FootnoteText"/>
      </w:pPr>
      <w:r>
        <w:rPr>
          <w:rStyle w:val="FootnoteReference"/>
        </w:rPr>
        <w:footnoteRef/>
      </w:r>
      <w:r>
        <w:t xml:space="preserve">  D.19</w:t>
      </w:r>
      <w:r w:rsidR="00827602">
        <w:noBreakHyphen/>
      </w:r>
      <w:r>
        <w:t>04</w:t>
      </w:r>
      <w:r w:rsidR="00827602">
        <w:noBreakHyphen/>
      </w:r>
      <w:r>
        <w:t>019 at Ordering Paragraph 1.</w:t>
      </w:r>
    </w:p>
  </w:footnote>
  <w:footnote w:id="381">
    <w:p w14:paraId="63F0FE3C" w14:textId="4F5E1071" w:rsidR="0071504C" w:rsidRDefault="0071504C">
      <w:pPr>
        <w:pStyle w:val="FootnoteText"/>
      </w:pPr>
      <w:r>
        <w:rPr>
          <w:rStyle w:val="FootnoteReference"/>
        </w:rPr>
        <w:footnoteRef/>
      </w:r>
      <w:r>
        <w:t xml:space="preserve"> Joint Utilities Opening Comments to November</w:t>
      </w:r>
      <w:r w:rsidR="00E17CB1">
        <w:t> </w:t>
      </w:r>
      <w:r>
        <w:t>10,</w:t>
      </w:r>
      <w:r w:rsidR="00E17CB1">
        <w:t> </w:t>
      </w:r>
      <w:r>
        <w:t>2022 Proposed Decision at</w:t>
      </w:r>
      <w:r w:rsidR="00E17CB1">
        <w:t> </w:t>
      </w:r>
      <w:r>
        <w:t>12.</w:t>
      </w:r>
    </w:p>
  </w:footnote>
  <w:footnote w:id="382">
    <w:p w14:paraId="77489C8C" w14:textId="3042ECD4" w:rsidR="0071504C" w:rsidRDefault="0071504C">
      <w:pPr>
        <w:pStyle w:val="FootnoteText"/>
      </w:pPr>
      <w:r>
        <w:rPr>
          <w:rStyle w:val="FootnoteReference"/>
        </w:rPr>
        <w:footnoteRef/>
      </w:r>
      <w:r>
        <w:t xml:space="preserve"> Joint Utilities Opening Comments to November</w:t>
      </w:r>
      <w:r w:rsidR="00E17CB1">
        <w:t> </w:t>
      </w:r>
      <w:r>
        <w:t>10,</w:t>
      </w:r>
      <w:r w:rsidR="00E17CB1">
        <w:t> </w:t>
      </w:r>
      <w:r>
        <w:t>2022 Proposed Decision at</w:t>
      </w:r>
      <w:r w:rsidR="00E17CB1">
        <w:t> </w:t>
      </w:r>
      <w:r>
        <w:t>12.</w:t>
      </w:r>
    </w:p>
  </w:footnote>
  <w:footnote w:id="383">
    <w:p w14:paraId="53116734" w14:textId="7A02F84C" w:rsidR="00A81525" w:rsidRDefault="00A81525">
      <w:pPr>
        <w:pStyle w:val="FootnoteText"/>
      </w:pPr>
      <w:r>
        <w:rPr>
          <w:rStyle w:val="FootnoteReference"/>
        </w:rPr>
        <w:footnoteRef/>
      </w:r>
      <w:r>
        <w:t xml:space="preserve"> Aurora Opening Comments to November</w:t>
      </w:r>
      <w:r w:rsidR="00E17CB1">
        <w:t> </w:t>
      </w:r>
      <w:r>
        <w:t>10,</w:t>
      </w:r>
      <w:r w:rsidR="00E17CB1">
        <w:t> </w:t>
      </w:r>
      <w:r>
        <w:t>2022 Proposed Decision at</w:t>
      </w:r>
      <w:r w:rsidR="00E17CB1">
        <w:t> </w:t>
      </w:r>
      <w:r>
        <w:t>5.</w:t>
      </w:r>
    </w:p>
  </w:footnote>
  <w:footnote w:id="384">
    <w:p w14:paraId="346E14D3" w14:textId="3940878B" w:rsidR="008219BE" w:rsidRDefault="008219BE">
      <w:pPr>
        <w:pStyle w:val="FootnoteText"/>
      </w:pPr>
      <w:r>
        <w:rPr>
          <w:rStyle w:val="FootnoteReference"/>
        </w:rPr>
        <w:footnoteRef/>
      </w:r>
      <w:r>
        <w:t xml:space="preserve"> </w:t>
      </w:r>
      <w:r w:rsidR="008E59BE">
        <w:t xml:space="preserve"> </w:t>
      </w:r>
      <w:r>
        <w:t>PAO</w:t>
      </w:r>
      <w:r w:rsidR="00827602">
        <w:noBreakHyphen/>
      </w:r>
      <w:r>
        <w:t xml:space="preserve">02 at </w:t>
      </w:r>
      <w:r w:rsidR="007F6676">
        <w:t>Table 5</w:t>
      </w:r>
      <w:r w:rsidR="00827602">
        <w:noBreakHyphen/>
      </w:r>
      <w:r>
        <w:t>15.</w:t>
      </w:r>
    </w:p>
  </w:footnote>
  <w:footnote w:id="385">
    <w:p w14:paraId="53BD3831" w14:textId="5D90DC10" w:rsidR="00EB5C4C" w:rsidRPr="008C515C" w:rsidRDefault="00EB5C4C" w:rsidP="008C515C">
      <w:pPr>
        <w:pStyle w:val="FootnoteText"/>
      </w:pPr>
      <w:r>
        <w:rPr>
          <w:rStyle w:val="FootnoteReference"/>
        </w:rPr>
        <w:footnoteRef/>
      </w:r>
      <w:r>
        <w:t xml:space="preserve"> </w:t>
      </w:r>
      <w:r w:rsidR="008E59BE">
        <w:t xml:space="preserve"> </w:t>
      </w:r>
      <w:r>
        <w:rPr>
          <w:i/>
          <w:iCs/>
        </w:rPr>
        <w:t>See</w:t>
      </w:r>
      <w:r w:rsidR="00447F19">
        <w:rPr>
          <w:i/>
          <w:iCs/>
        </w:rPr>
        <w:t>,</w:t>
      </w:r>
      <w:r>
        <w:rPr>
          <w:i/>
          <w:iCs/>
        </w:rPr>
        <w:t xml:space="preserve"> </w:t>
      </w:r>
      <w:r w:rsidR="00F036C6">
        <w:rPr>
          <w:i/>
          <w:iCs/>
        </w:rPr>
        <w:t>e.g.,</w:t>
      </w:r>
      <w:r>
        <w:t xml:space="preserve"> </w:t>
      </w:r>
      <w:r w:rsidRPr="00EC49D4">
        <w:rPr>
          <w:i/>
          <w:iCs/>
        </w:rPr>
        <w:t>Sun Edison LLC</w:t>
      </w:r>
      <w:r w:rsidRPr="002B58A9">
        <w:t>, 129</w:t>
      </w:r>
      <w:r w:rsidR="00932453">
        <w:t> FERC</w:t>
      </w:r>
      <w:r w:rsidRPr="002B58A9">
        <w:t xml:space="preserve"> </w:t>
      </w:r>
      <w:r w:rsidR="00932453">
        <w:t>¶ </w:t>
      </w:r>
      <w:r w:rsidRPr="002B58A9">
        <w:t>61,146</w:t>
      </w:r>
      <w:r>
        <w:t>, 61620</w:t>
      </w:r>
      <w:r w:rsidRPr="002B58A9">
        <w:t xml:space="preserve"> (2009) (</w:t>
      </w:r>
      <w:r>
        <w:t>under federal law a net sale occurs</w:t>
      </w:r>
      <w:r w:rsidRPr="002B58A9">
        <w:t xml:space="preserve"> </w:t>
      </w:r>
      <w:r>
        <w:t xml:space="preserve">where a </w:t>
      </w:r>
      <w:r w:rsidR="009B045F">
        <w:t xml:space="preserve">net energy metering </w:t>
      </w:r>
      <w:r>
        <w:t>customer</w:t>
      </w:r>
      <w:r w:rsidRPr="002B58A9">
        <w:t xml:space="preserve"> produces more energy than </w:t>
      </w:r>
      <w:r>
        <w:t>the customer needs</w:t>
      </w:r>
      <w:r w:rsidRPr="002B58A9">
        <w:t xml:space="preserve"> </w:t>
      </w:r>
      <w:r w:rsidR="00BA1EAE">
        <w:t>“</w:t>
      </w:r>
      <w:r w:rsidRPr="002B58A9">
        <w:t>over the applicable billing period.</w:t>
      </w:r>
      <w:r w:rsidR="00BA1EAE">
        <w:t>”</w:t>
      </w:r>
      <w:r w:rsidRPr="002B58A9">
        <w:t>)</w:t>
      </w:r>
      <w:r w:rsidR="001C1463">
        <w:t>.</w:t>
      </w:r>
    </w:p>
  </w:footnote>
  <w:footnote w:id="386">
    <w:p w14:paraId="3B8E92F5" w14:textId="7D70A9A6" w:rsidR="009B3B42" w:rsidRDefault="009B3B42">
      <w:pPr>
        <w:pStyle w:val="FootnoteText"/>
      </w:pPr>
      <w:r>
        <w:rPr>
          <w:rStyle w:val="FootnoteReference"/>
        </w:rPr>
        <w:footnoteRef/>
      </w:r>
      <w:r>
        <w:t xml:space="preserve"> </w:t>
      </w:r>
      <w:r w:rsidR="00647840">
        <w:t xml:space="preserve"> </w:t>
      </w:r>
      <w:r>
        <w:t>PAO</w:t>
      </w:r>
      <w:r w:rsidR="00827602">
        <w:noBreakHyphen/>
      </w:r>
      <w:r>
        <w:t>01</w:t>
      </w:r>
      <w:r w:rsidR="000B3DA8">
        <w:t xml:space="preserve"> at 3</w:t>
      </w:r>
      <w:r w:rsidR="00827602">
        <w:noBreakHyphen/>
      </w:r>
      <w:r>
        <w:t>7.</w:t>
      </w:r>
    </w:p>
  </w:footnote>
  <w:footnote w:id="387">
    <w:p w14:paraId="1331CFA8" w14:textId="58EC1781" w:rsidR="000F6251" w:rsidRDefault="000F6251">
      <w:pPr>
        <w:pStyle w:val="FootnoteText"/>
      </w:pPr>
      <w:r>
        <w:rPr>
          <w:rStyle w:val="FootnoteReference"/>
        </w:rPr>
        <w:footnoteRef/>
      </w:r>
      <w:r>
        <w:t xml:space="preserve"> </w:t>
      </w:r>
      <w:r w:rsidR="00647840">
        <w:t xml:space="preserve"> </w:t>
      </w:r>
      <w:r>
        <w:t>Joint Utilities Opening Brief</w:t>
      </w:r>
      <w:r w:rsidR="000B3DA8">
        <w:t xml:space="preserve"> at 6</w:t>
      </w:r>
      <w:r>
        <w:t>7</w:t>
      </w:r>
      <w:r w:rsidR="00827602">
        <w:noBreakHyphen/>
      </w:r>
      <w:r>
        <w:t>68</w:t>
      </w:r>
      <w:r w:rsidR="008C515C">
        <w:t>.</w:t>
      </w:r>
    </w:p>
  </w:footnote>
  <w:footnote w:id="388">
    <w:p w14:paraId="0EEA47B2" w14:textId="00304F30" w:rsidR="000F6251" w:rsidRDefault="000F6251">
      <w:pPr>
        <w:pStyle w:val="FootnoteText"/>
      </w:pPr>
      <w:r>
        <w:rPr>
          <w:rStyle w:val="FootnoteReference"/>
        </w:rPr>
        <w:footnoteRef/>
      </w:r>
      <w:r>
        <w:t xml:space="preserve"> </w:t>
      </w:r>
      <w:r w:rsidR="00647840">
        <w:t xml:space="preserve"> </w:t>
      </w:r>
      <w:r>
        <w:t>Joint Utilities Opening Brief</w:t>
      </w:r>
      <w:r w:rsidR="000B3DA8">
        <w:t xml:space="preserve"> at 6</w:t>
      </w:r>
      <w:r>
        <w:t>7</w:t>
      </w:r>
      <w:r w:rsidR="008C515C">
        <w:t>.</w:t>
      </w:r>
    </w:p>
  </w:footnote>
  <w:footnote w:id="389">
    <w:p w14:paraId="6F771855" w14:textId="78615D34" w:rsidR="00852B18" w:rsidRDefault="00852B18" w:rsidP="00852B18">
      <w:pPr>
        <w:pStyle w:val="FootnoteText"/>
      </w:pPr>
      <w:r>
        <w:rPr>
          <w:rStyle w:val="FootnoteReference"/>
        </w:rPr>
        <w:footnoteRef/>
      </w:r>
      <w:r>
        <w:t xml:space="preserve"> </w:t>
      </w:r>
      <w:r w:rsidR="008E59BE">
        <w:t xml:space="preserve"> </w:t>
      </w:r>
      <w:r>
        <w:t>CALSSA Opening Brief</w:t>
      </w:r>
      <w:r w:rsidR="000B3DA8">
        <w:t xml:space="preserve"> at 1</w:t>
      </w:r>
      <w:r>
        <w:t>79.</w:t>
      </w:r>
    </w:p>
  </w:footnote>
  <w:footnote w:id="390">
    <w:p w14:paraId="46ED777B" w14:textId="50E98DBE" w:rsidR="00852B18" w:rsidRDefault="00852B18" w:rsidP="00852B18">
      <w:pPr>
        <w:pStyle w:val="FootnoteText"/>
      </w:pPr>
      <w:r>
        <w:rPr>
          <w:rStyle w:val="FootnoteReference"/>
        </w:rPr>
        <w:footnoteRef/>
      </w:r>
      <w:r>
        <w:t xml:space="preserve"> </w:t>
      </w:r>
      <w:r w:rsidR="008E59BE">
        <w:t xml:space="preserve"> </w:t>
      </w:r>
      <w:r>
        <w:t>CALSSA Opening Brief</w:t>
      </w:r>
      <w:r w:rsidR="000B3DA8">
        <w:t xml:space="preserve"> at 1</w:t>
      </w:r>
      <w:r>
        <w:t>79.</w:t>
      </w:r>
    </w:p>
  </w:footnote>
  <w:footnote w:id="391">
    <w:p w14:paraId="239F7067" w14:textId="456D7115" w:rsidR="00E07C03" w:rsidRDefault="00E07C03">
      <w:pPr>
        <w:pStyle w:val="FootnoteText"/>
      </w:pPr>
      <w:r>
        <w:rPr>
          <w:rStyle w:val="FootnoteReference"/>
        </w:rPr>
        <w:footnoteRef/>
      </w:r>
      <w:r w:rsidR="00647840">
        <w:t xml:space="preserve"> </w:t>
      </w:r>
      <w:r>
        <w:t xml:space="preserve"> </w:t>
      </w:r>
      <w:r>
        <w:t>CALSSA Opening Brief</w:t>
      </w:r>
      <w:r w:rsidR="000B3DA8">
        <w:t xml:space="preserve"> at 1</w:t>
      </w:r>
      <w:r>
        <w:t>75.</w:t>
      </w:r>
    </w:p>
  </w:footnote>
  <w:footnote w:id="392">
    <w:p w14:paraId="014226F8" w14:textId="089D3B2C" w:rsidR="00F57C3E" w:rsidRDefault="00F57C3E">
      <w:pPr>
        <w:pStyle w:val="FootnoteText"/>
      </w:pPr>
      <w:r>
        <w:rPr>
          <w:rStyle w:val="FootnoteReference"/>
        </w:rPr>
        <w:footnoteRef/>
      </w:r>
      <w:r>
        <w:t xml:space="preserve"> </w:t>
      </w:r>
      <w:r w:rsidR="00647840">
        <w:t xml:space="preserve"> </w:t>
      </w:r>
      <w:r>
        <w:t>CALSSA Opening Brief</w:t>
      </w:r>
      <w:r w:rsidR="000B3DA8">
        <w:t xml:space="preserve"> at 1</w:t>
      </w:r>
      <w:r>
        <w:t xml:space="preserve">76.  </w:t>
      </w:r>
      <w:r w:rsidR="001E7A52">
        <w:t>(</w:t>
      </w:r>
      <w:r w:rsidRPr="00647840">
        <w:rPr>
          <w:i/>
          <w:iCs/>
        </w:rPr>
        <w:t>See also</w:t>
      </w:r>
      <w:r>
        <w:t xml:space="preserve"> SEIA/Vote Solar Opening Brief</w:t>
      </w:r>
      <w:r w:rsidR="000B3DA8">
        <w:t xml:space="preserve"> at 6</w:t>
      </w:r>
      <w:r>
        <w:t>9</w:t>
      </w:r>
      <w:r w:rsidR="00827602">
        <w:noBreakHyphen/>
      </w:r>
      <w:r>
        <w:t>71.</w:t>
      </w:r>
      <w:r w:rsidR="001E7A52">
        <w:t>)</w:t>
      </w:r>
    </w:p>
  </w:footnote>
  <w:footnote w:id="393">
    <w:p w14:paraId="5192F3AA" w14:textId="09531C25" w:rsidR="00F57C3E" w:rsidRDefault="00F57C3E">
      <w:pPr>
        <w:pStyle w:val="FootnoteText"/>
      </w:pPr>
      <w:r>
        <w:rPr>
          <w:rStyle w:val="FootnoteReference"/>
        </w:rPr>
        <w:footnoteRef/>
      </w:r>
      <w:r>
        <w:t xml:space="preserve"> </w:t>
      </w:r>
      <w:r w:rsidR="00647840">
        <w:t xml:space="preserve"> </w:t>
      </w:r>
      <w:r>
        <w:t>CALSSA Opening Brief</w:t>
      </w:r>
      <w:r w:rsidR="000B3DA8">
        <w:t xml:space="preserve"> at 1</w:t>
      </w:r>
      <w:r>
        <w:t>76</w:t>
      </w:r>
      <w:r w:rsidR="00FA6834">
        <w:t>.</w:t>
      </w:r>
    </w:p>
  </w:footnote>
  <w:footnote w:id="394">
    <w:p w14:paraId="12C01660" w14:textId="2B958EEB" w:rsidR="00427C4E" w:rsidRDefault="00427C4E">
      <w:pPr>
        <w:pStyle w:val="FootnoteText"/>
      </w:pPr>
      <w:r>
        <w:rPr>
          <w:rStyle w:val="FootnoteReference"/>
        </w:rPr>
        <w:footnoteRef/>
      </w:r>
      <w:r>
        <w:t xml:space="preserve"> </w:t>
      </w:r>
      <w:r w:rsidR="00A27C55">
        <w:t xml:space="preserve"> </w:t>
      </w:r>
      <w:r>
        <w:t>IOU</w:t>
      </w:r>
      <w:r w:rsidR="00827602">
        <w:noBreakHyphen/>
      </w:r>
      <w:r>
        <w:t>01</w:t>
      </w:r>
      <w:r w:rsidR="000B3DA8">
        <w:t xml:space="preserve"> at 1</w:t>
      </w:r>
      <w:r>
        <w:t>32.</w:t>
      </w:r>
    </w:p>
  </w:footnote>
  <w:footnote w:id="395">
    <w:p w14:paraId="7CEEDB3B" w14:textId="65F70824" w:rsidR="00427C4E" w:rsidRDefault="00427C4E">
      <w:pPr>
        <w:pStyle w:val="FootnoteText"/>
      </w:pPr>
      <w:r>
        <w:rPr>
          <w:rStyle w:val="FootnoteReference"/>
        </w:rPr>
        <w:footnoteRef/>
      </w:r>
      <w:r>
        <w:t xml:space="preserve"> </w:t>
      </w:r>
      <w:r w:rsidR="008E59BE">
        <w:t xml:space="preserve"> </w:t>
      </w:r>
      <w:r>
        <w:t>CALSSA Opening Brief</w:t>
      </w:r>
      <w:r w:rsidR="000B3DA8">
        <w:t xml:space="preserve"> at 1</w:t>
      </w:r>
      <w:r>
        <w:t>79.</w:t>
      </w:r>
    </w:p>
  </w:footnote>
  <w:footnote w:id="396">
    <w:p w14:paraId="1C041C47" w14:textId="128221C4" w:rsidR="00F924CF" w:rsidRDefault="00F924CF" w:rsidP="00F924CF">
      <w:pPr>
        <w:pStyle w:val="FootnoteText"/>
      </w:pPr>
      <w:r>
        <w:rPr>
          <w:rStyle w:val="FootnoteReference"/>
        </w:rPr>
        <w:footnoteRef/>
      </w:r>
      <w:r>
        <w:t xml:space="preserve"> </w:t>
      </w:r>
      <w:r w:rsidR="00647840">
        <w:t xml:space="preserve"> </w:t>
      </w:r>
      <w:r>
        <w:t>CALSSA Opening Brief</w:t>
      </w:r>
      <w:r w:rsidR="000B3DA8">
        <w:t xml:space="preserve"> at 1</w:t>
      </w:r>
      <w:r>
        <w:t>01.</w:t>
      </w:r>
    </w:p>
  </w:footnote>
  <w:footnote w:id="397">
    <w:p w14:paraId="64BD8810" w14:textId="7017A9BA" w:rsidR="00F924CF" w:rsidRDefault="00F924CF" w:rsidP="00F924CF">
      <w:pPr>
        <w:pStyle w:val="FootnoteText"/>
      </w:pPr>
      <w:r>
        <w:rPr>
          <w:rStyle w:val="FootnoteReference"/>
        </w:rPr>
        <w:footnoteRef/>
      </w:r>
      <w:r>
        <w:t xml:space="preserve"> </w:t>
      </w:r>
      <w:r w:rsidR="00647840">
        <w:t xml:space="preserve"> </w:t>
      </w:r>
      <w:r>
        <w:t>CALSSA Opening Brief</w:t>
      </w:r>
      <w:r w:rsidR="000B3DA8">
        <w:t xml:space="preserve"> at 1</w:t>
      </w:r>
      <w:r>
        <w:t>01.</w:t>
      </w:r>
    </w:p>
  </w:footnote>
  <w:footnote w:id="398">
    <w:p w14:paraId="5619B776" w14:textId="1A623E18" w:rsidR="00F924CF" w:rsidRDefault="00F924CF" w:rsidP="00F924CF">
      <w:pPr>
        <w:pStyle w:val="FootnoteText"/>
      </w:pPr>
      <w:r>
        <w:rPr>
          <w:rStyle w:val="FootnoteReference"/>
        </w:rPr>
        <w:footnoteRef/>
      </w:r>
      <w:r>
        <w:t xml:space="preserve"> </w:t>
      </w:r>
      <w:r w:rsidR="00647840">
        <w:t xml:space="preserve"> </w:t>
      </w:r>
      <w:r>
        <w:t>CALSSA Opening Brief</w:t>
      </w:r>
      <w:r w:rsidR="000B3DA8">
        <w:t xml:space="preserve"> at 1</w:t>
      </w:r>
      <w:r>
        <w:t>87.</w:t>
      </w:r>
    </w:p>
  </w:footnote>
  <w:footnote w:id="399">
    <w:p w14:paraId="33A0080E" w14:textId="19258C03" w:rsidR="00F924CF" w:rsidRDefault="00F924CF" w:rsidP="00F924CF">
      <w:pPr>
        <w:pStyle w:val="FootnoteText"/>
      </w:pPr>
      <w:r>
        <w:rPr>
          <w:rStyle w:val="FootnoteReference"/>
        </w:rPr>
        <w:footnoteRef/>
      </w:r>
      <w:r>
        <w:t xml:space="preserve"> </w:t>
      </w:r>
      <w:r w:rsidR="00647840">
        <w:t xml:space="preserve"> </w:t>
      </w:r>
      <w:r>
        <w:t>Joint Utilities Reply Brief</w:t>
      </w:r>
      <w:r w:rsidR="000B3DA8">
        <w:t xml:space="preserve"> at 2</w:t>
      </w:r>
      <w:r>
        <w:t xml:space="preserve">9 citing </w:t>
      </w:r>
      <w:r>
        <w:t>CALSSA Opening Brief</w:t>
      </w:r>
      <w:r w:rsidR="000B3DA8">
        <w:t xml:space="preserve"> at 9</w:t>
      </w:r>
      <w:r>
        <w:t>3 and SEIA/Vote Solar Brief</w:t>
      </w:r>
      <w:r w:rsidR="000B3DA8">
        <w:t xml:space="preserve"> at 2</w:t>
      </w:r>
      <w:r>
        <w:t>0.</w:t>
      </w:r>
    </w:p>
  </w:footnote>
  <w:footnote w:id="400">
    <w:p w14:paraId="1D61C0ED" w14:textId="20C43A88" w:rsidR="00F924CF" w:rsidRDefault="00F924CF" w:rsidP="00F924CF">
      <w:pPr>
        <w:pStyle w:val="FootnoteText"/>
      </w:pPr>
      <w:r>
        <w:rPr>
          <w:rStyle w:val="FootnoteReference"/>
        </w:rPr>
        <w:footnoteRef/>
      </w:r>
      <w:r>
        <w:t xml:space="preserve"> </w:t>
      </w:r>
      <w:r w:rsidR="00647840">
        <w:t xml:space="preserve"> </w:t>
      </w:r>
      <w:r>
        <w:t>Joint Utilities Opening Brief</w:t>
      </w:r>
      <w:r w:rsidR="000B3DA8">
        <w:t xml:space="preserve"> at 2</w:t>
      </w:r>
      <w:r>
        <w:t>9.</w:t>
      </w:r>
    </w:p>
  </w:footnote>
  <w:footnote w:id="401">
    <w:p w14:paraId="4A3314A5" w14:textId="7E26891A" w:rsidR="00F924CF" w:rsidRDefault="00F924CF" w:rsidP="00F924CF">
      <w:pPr>
        <w:pStyle w:val="FootnoteText"/>
      </w:pPr>
      <w:r>
        <w:rPr>
          <w:rStyle w:val="FootnoteReference"/>
        </w:rPr>
        <w:footnoteRef/>
      </w:r>
      <w:r>
        <w:t xml:space="preserve"> </w:t>
      </w:r>
      <w:r w:rsidR="008E59BE">
        <w:t xml:space="preserve"> </w:t>
      </w:r>
      <w:r w:rsidRPr="00647840">
        <w:rPr>
          <w:i/>
          <w:iCs/>
        </w:rPr>
        <w:t>See</w:t>
      </w:r>
      <w:r>
        <w:t xml:space="preserve"> CUE</w:t>
      </w:r>
      <w:r w:rsidR="00827602">
        <w:noBreakHyphen/>
      </w:r>
      <w:r>
        <w:t>01</w:t>
      </w:r>
      <w:r w:rsidR="000B3DA8">
        <w:t xml:space="preserve"> at 1</w:t>
      </w:r>
      <w:r>
        <w:t>4, TRN</w:t>
      </w:r>
      <w:r w:rsidR="00827602">
        <w:noBreakHyphen/>
      </w:r>
      <w:r>
        <w:t>01</w:t>
      </w:r>
      <w:r w:rsidR="000B3DA8">
        <w:t xml:space="preserve"> at 9</w:t>
      </w:r>
      <w:r>
        <w:t>, PAO</w:t>
      </w:r>
      <w:r w:rsidR="00827602">
        <w:noBreakHyphen/>
      </w:r>
      <w:r>
        <w:t>01</w:t>
      </w:r>
      <w:r w:rsidR="000B3DA8">
        <w:t xml:space="preserve"> at 3</w:t>
      </w:r>
      <w:r w:rsidR="00827602">
        <w:noBreakHyphen/>
      </w:r>
      <w:r>
        <w:t>17 to 4</w:t>
      </w:r>
      <w:r w:rsidR="00827602">
        <w:noBreakHyphen/>
      </w:r>
      <w:r>
        <w:t>7 and NRD</w:t>
      </w:r>
      <w:r w:rsidR="00827602">
        <w:noBreakHyphen/>
      </w:r>
      <w:r>
        <w:t>01</w:t>
      </w:r>
      <w:r w:rsidR="000B3DA8">
        <w:t xml:space="preserve"> at 1</w:t>
      </w:r>
      <w:r>
        <w:t>5:10 to 16:12</w:t>
      </w:r>
      <w:r w:rsidR="00FA6834">
        <w:t>.</w:t>
      </w:r>
    </w:p>
  </w:footnote>
  <w:footnote w:id="402">
    <w:p w14:paraId="24ABE1E6" w14:textId="5530D7E3" w:rsidR="00F924CF" w:rsidRDefault="00F924CF" w:rsidP="00F924CF">
      <w:pPr>
        <w:pStyle w:val="FootnoteText"/>
      </w:pPr>
      <w:r>
        <w:rPr>
          <w:rStyle w:val="FootnoteReference"/>
        </w:rPr>
        <w:footnoteRef/>
      </w:r>
      <w:r>
        <w:t xml:space="preserve"> </w:t>
      </w:r>
      <w:r w:rsidR="00647840">
        <w:t xml:space="preserve"> </w:t>
      </w:r>
      <w:r>
        <w:t>NRD</w:t>
      </w:r>
      <w:r w:rsidR="00827602">
        <w:noBreakHyphen/>
      </w:r>
      <w:r>
        <w:t>01</w:t>
      </w:r>
      <w:r w:rsidR="000B3DA8">
        <w:t xml:space="preserve"> at 1</w:t>
      </w:r>
      <w:r>
        <w:t>5</w:t>
      </w:r>
      <w:r w:rsidR="00827602">
        <w:noBreakHyphen/>
      </w:r>
      <w:r>
        <w:t>16.</w:t>
      </w:r>
    </w:p>
  </w:footnote>
  <w:footnote w:id="403">
    <w:p w14:paraId="7105F3DE" w14:textId="57D14071" w:rsidR="00F924CF" w:rsidRDefault="00F924CF" w:rsidP="00F924CF">
      <w:pPr>
        <w:pStyle w:val="FootnoteText"/>
      </w:pPr>
      <w:r>
        <w:rPr>
          <w:rStyle w:val="FootnoteReference"/>
        </w:rPr>
        <w:footnoteRef/>
      </w:r>
      <w:r>
        <w:t xml:space="preserve"> </w:t>
      </w:r>
      <w:r w:rsidR="00647840">
        <w:t xml:space="preserve"> </w:t>
      </w:r>
      <w:r w:rsidR="009355F1">
        <w:t>Cal Advoc</w:t>
      </w:r>
      <w:r>
        <w:t>ates Opening Brief</w:t>
      </w:r>
      <w:r w:rsidR="000B3DA8">
        <w:t xml:space="preserve"> at 1</w:t>
      </w:r>
      <w:r>
        <w:t>5.</w:t>
      </w:r>
    </w:p>
  </w:footnote>
  <w:footnote w:id="404">
    <w:p w14:paraId="0C697826" w14:textId="102D8526" w:rsidR="00F924CF" w:rsidRDefault="00F924CF" w:rsidP="00F924CF">
      <w:pPr>
        <w:pStyle w:val="FootnoteText"/>
      </w:pPr>
      <w:r>
        <w:rPr>
          <w:rStyle w:val="FootnoteReference"/>
        </w:rPr>
        <w:footnoteRef/>
      </w:r>
      <w:r>
        <w:t xml:space="preserve"> </w:t>
      </w:r>
      <w:r w:rsidR="00647840">
        <w:t xml:space="preserve"> </w:t>
      </w:r>
      <w:r w:rsidR="009355F1">
        <w:t>Cal Advoc</w:t>
      </w:r>
      <w:r>
        <w:t>ates Opening Brief</w:t>
      </w:r>
      <w:r w:rsidR="000B3DA8">
        <w:t xml:space="preserve"> at 1</w:t>
      </w:r>
      <w:r>
        <w:t>6.</w:t>
      </w:r>
    </w:p>
  </w:footnote>
  <w:footnote w:id="405">
    <w:p w14:paraId="4532FDE1" w14:textId="38B7F70A" w:rsidR="00F924CF" w:rsidRDefault="00F924CF" w:rsidP="00F924CF">
      <w:pPr>
        <w:pStyle w:val="FootnoteText"/>
      </w:pPr>
      <w:r>
        <w:rPr>
          <w:rStyle w:val="FootnoteReference"/>
        </w:rPr>
        <w:footnoteRef/>
      </w:r>
      <w:r>
        <w:t xml:space="preserve"> </w:t>
      </w:r>
      <w:r w:rsidR="00647840">
        <w:t xml:space="preserve"> </w:t>
      </w:r>
      <w:r w:rsidR="009355F1">
        <w:t>Cal Advoc</w:t>
      </w:r>
      <w:r>
        <w:t>ates Opening Brief</w:t>
      </w:r>
      <w:r w:rsidR="000B3DA8">
        <w:t xml:space="preserve"> at 1</w:t>
      </w:r>
      <w:r>
        <w:t>6.</w:t>
      </w:r>
    </w:p>
  </w:footnote>
  <w:footnote w:id="406">
    <w:p w14:paraId="504283CB" w14:textId="7E001306" w:rsidR="00F924CF" w:rsidRDefault="00F924CF" w:rsidP="00F924CF">
      <w:pPr>
        <w:pStyle w:val="FootnoteText"/>
      </w:pPr>
      <w:r>
        <w:rPr>
          <w:rStyle w:val="FootnoteReference"/>
        </w:rPr>
        <w:footnoteRef/>
      </w:r>
      <w:r>
        <w:t xml:space="preserve"> </w:t>
      </w:r>
      <w:r w:rsidR="00647840">
        <w:t xml:space="preserve"> </w:t>
      </w:r>
      <w:r>
        <w:t>PAO</w:t>
      </w:r>
      <w:r w:rsidR="00827602">
        <w:noBreakHyphen/>
      </w:r>
      <w:r>
        <w:t>01</w:t>
      </w:r>
      <w:r w:rsidR="000B3DA8">
        <w:t xml:space="preserve"> at 3</w:t>
      </w:r>
      <w:r w:rsidR="00827602">
        <w:noBreakHyphen/>
      </w:r>
      <w:r>
        <w:t>21.</w:t>
      </w:r>
    </w:p>
  </w:footnote>
  <w:footnote w:id="407">
    <w:p w14:paraId="22C6E188" w14:textId="33DE518D" w:rsidR="00F924CF" w:rsidRDefault="00F924CF" w:rsidP="00F924CF">
      <w:pPr>
        <w:pStyle w:val="FootnoteText"/>
      </w:pPr>
      <w:r>
        <w:rPr>
          <w:rStyle w:val="FootnoteReference"/>
        </w:rPr>
        <w:footnoteRef/>
      </w:r>
      <w:r>
        <w:t xml:space="preserve"> </w:t>
      </w:r>
      <w:r w:rsidR="00647840">
        <w:t xml:space="preserve"> </w:t>
      </w:r>
      <w:r w:rsidR="009355F1">
        <w:t>Cal Advoc</w:t>
      </w:r>
      <w:r>
        <w:t>ates Opening Brief</w:t>
      </w:r>
      <w:r w:rsidR="000B3DA8">
        <w:t xml:space="preserve"> at 1</w:t>
      </w:r>
      <w:r>
        <w:t>6</w:t>
      </w:r>
      <w:r w:rsidR="00FA6834">
        <w:t>.</w:t>
      </w:r>
    </w:p>
  </w:footnote>
  <w:footnote w:id="408">
    <w:p w14:paraId="11012E55" w14:textId="4F254A73" w:rsidR="00C24BC9" w:rsidRDefault="00C24BC9" w:rsidP="00C24BC9">
      <w:pPr>
        <w:pStyle w:val="FootnoteText"/>
      </w:pPr>
      <w:r>
        <w:rPr>
          <w:rStyle w:val="FootnoteReference"/>
        </w:rPr>
        <w:footnoteRef/>
      </w:r>
      <w:r>
        <w:t xml:space="preserve"> </w:t>
      </w:r>
      <w:r w:rsidRPr="00E17CB1">
        <w:rPr>
          <w:i/>
          <w:iCs/>
        </w:rPr>
        <w:t>See</w:t>
      </w:r>
      <w:r>
        <w:t>, for example, County of Los</w:t>
      </w:r>
      <w:r w:rsidR="00E17CB1">
        <w:t> </w:t>
      </w:r>
      <w:r>
        <w:t>Angeles Opening Comments to November</w:t>
      </w:r>
      <w:r w:rsidR="00E17CB1">
        <w:t> </w:t>
      </w:r>
      <w:r>
        <w:t>10,</w:t>
      </w:r>
      <w:r w:rsidR="00E17CB1">
        <w:t> </w:t>
      </w:r>
      <w:r>
        <w:t>2022 Proposed Decision at</w:t>
      </w:r>
      <w:r w:rsidR="00E17CB1">
        <w:t> </w:t>
      </w:r>
      <w:r>
        <w:t>4</w:t>
      </w:r>
      <w:r w:rsidR="003D1BC9">
        <w:noBreakHyphen/>
      </w:r>
      <w:r>
        <w:t>5, Joint Utilities Opening Comments to November</w:t>
      </w:r>
      <w:r w:rsidR="00E17CB1">
        <w:t> </w:t>
      </w:r>
      <w:r>
        <w:t>10,</w:t>
      </w:r>
      <w:r w:rsidR="00E17CB1">
        <w:t> </w:t>
      </w:r>
      <w:r>
        <w:t>2022 Proposed Decision at</w:t>
      </w:r>
      <w:r w:rsidR="00E17CB1">
        <w:t> </w:t>
      </w:r>
      <w:r>
        <w:t xml:space="preserve">6, </w:t>
      </w:r>
      <w:r>
        <w:t>CALSSA Opening Comments to November</w:t>
      </w:r>
      <w:r w:rsidR="00E17CB1">
        <w:t> </w:t>
      </w:r>
      <w:r>
        <w:t>10,</w:t>
      </w:r>
      <w:r w:rsidR="00E17CB1">
        <w:t> </w:t>
      </w:r>
      <w:r>
        <w:t>2022 Proposed Decision at</w:t>
      </w:r>
      <w:r w:rsidR="00E17CB1">
        <w:t> </w:t>
      </w:r>
      <w:r>
        <w:t>11, and SEIA/Vote Solar Opening Comments to November</w:t>
      </w:r>
      <w:r w:rsidR="00E17CB1">
        <w:t> </w:t>
      </w:r>
      <w:r>
        <w:t>10,</w:t>
      </w:r>
      <w:r w:rsidR="00E17CB1">
        <w:t> </w:t>
      </w:r>
      <w:r>
        <w:t>2022 Proposed Decision at</w:t>
      </w:r>
      <w:r w:rsidR="00E17CB1">
        <w:t> </w:t>
      </w:r>
      <w:r>
        <w:t>11</w:t>
      </w:r>
      <w:r w:rsidR="003D1BC9">
        <w:noBreakHyphen/>
      </w:r>
      <w:r>
        <w:t>12</w:t>
      </w:r>
      <w:r w:rsidR="00E17CB1">
        <w:t>.</w:t>
      </w:r>
    </w:p>
  </w:footnote>
  <w:footnote w:id="409">
    <w:p w14:paraId="755B2CDF" w14:textId="54D38754" w:rsidR="00C24BC9" w:rsidRDefault="00C24BC9" w:rsidP="00C24BC9">
      <w:pPr>
        <w:pStyle w:val="FootnoteText"/>
      </w:pPr>
      <w:r>
        <w:rPr>
          <w:rStyle w:val="FootnoteReference"/>
        </w:rPr>
        <w:footnoteRef/>
      </w:r>
      <w:r>
        <w:t xml:space="preserve"> Joint Utilities Opening Comments to November</w:t>
      </w:r>
      <w:r w:rsidR="00E17CB1">
        <w:t> </w:t>
      </w:r>
      <w:r>
        <w:t>10,</w:t>
      </w:r>
      <w:r w:rsidR="00E17CB1">
        <w:t> </w:t>
      </w:r>
      <w:r>
        <w:t>2022 Proposed Decision at</w:t>
      </w:r>
      <w:r w:rsidR="00E17CB1">
        <w:t> </w:t>
      </w:r>
      <w:r>
        <w:t>6</w:t>
      </w:r>
      <w:r w:rsidR="003D1BC9">
        <w:noBreakHyphen/>
      </w:r>
      <w:r>
        <w:t xml:space="preserve">7 and </w:t>
      </w:r>
      <w:r>
        <w:t>CALSSA Opening Comments to November</w:t>
      </w:r>
      <w:r w:rsidR="00E17CB1">
        <w:t> </w:t>
      </w:r>
      <w:r>
        <w:t>10,</w:t>
      </w:r>
      <w:r w:rsidR="00E17CB1">
        <w:t> </w:t>
      </w:r>
      <w:r>
        <w:t>2022 Proposed Decision at</w:t>
      </w:r>
      <w:r w:rsidR="00E17CB1">
        <w:t> </w:t>
      </w:r>
      <w:r>
        <w:t>11.</w:t>
      </w:r>
    </w:p>
  </w:footnote>
  <w:footnote w:id="410">
    <w:p w14:paraId="47E38848" w14:textId="405AA629" w:rsidR="00671C98" w:rsidRDefault="00671C98" w:rsidP="00671C98">
      <w:pPr>
        <w:pStyle w:val="FootnoteText"/>
      </w:pPr>
      <w:r>
        <w:rPr>
          <w:rStyle w:val="FootnoteReference"/>
        </w:rPr>
        <w:footnoteRef/>
      </w:r>
      <w:r>
        <w:t xml:space="preserve"> SEIA/Vote Solar Opening Comments to November</w:t>
      </w:r>
      <w:r w:rsidR="00E17CB1">
        <w:t> </w:t>
      </w:r>
      <w:r>
        <w:t>10,</w:t>
      </w:r>
      <w:r w:rsidR="00E17CB1">
        <w:t> </w:t>
      </w:r>
      <w:r>
        <w:t>2022 Proposed Decision at</w:t>
      </w:r>
      <w:r w:rsidR="00E17CB1">
        <w:t> </w:t>
      </w:r>
      <w:r>
        <w:t>11</w:t>
      </w:r>
      <w:r w:rsidR="003D1BC9">
        <w:noBreakHyphen/>
      </w:r>
      <w:r>
        <w:t>12.</w:t>
      </w:r>
    </w:p>
  </w:footnote>
  <w:footnote w:id="411">
    <w:p w14:paraId="108196B8" w14:textId="21C2C18C" w:rsidR="00671C98" w:rsidRDefault="00671C98" w:rsidP="00671C98">
      <w:pPr>
        <w:pStyle w:val="FootnoteText"/>
      </w:pPr>
      <w:r>
        <w:rPr>
          <w:rStyle w:val="FootnoteReference"/>
        </w:rPr>
        <w:footnoteRef/>
      </w:r>
      <w:r>
        <w:t xml:space="preserve"> SEIA/Vote Solar Opening Comments to November</w:t>
      </w:r>
      <w:r w:rsidR="00E17CB1">
        <w:t> </w:t>
      </w:r>
      <w:r>
        <w:t>10,</w:t>
      </w:r>
      <w:r w:rsidR="00E17CB1">
        <w:t> </w:t>
      </w:r>
      <w:r>
        <w:t>2022 Proposed Decision at</w:t>
      </w:r>
      <w:r w:rsidR="00E17CB1">
        <w:t> </w:t>
      </w:r>
      <w:r>
        <w:t>11</w:t>
      </w:r>
      <w:r w:rsidR="003D1BC9">
        <w:noBreakHyphen/>
      </w:r>
      <w:r>
        <w:t>12.</w:t>
      </w:r>
    </w:p>
  </w:footnote>
  <w:footnote w:id="412">
    <w:p w14:paraId="5AC253A7" w14:textId="038E26D1" w:rsidR="00C24BC9" w:rsidRDefault="00C24BC9">
      <w:pPr>
        <w:pStyle w:val="FootnoteText"/>
      </w:pPr>
      <w:r>
        <w:rPr>
          <w:rStyle w:val="FootnoteReference"/>
        </w:rPr>
        <w:footnoteRef/>
      </w:r>
      <w:r>
        <w:t xml:space="preserve"> </w:t>
      </w:r>
      <w:r>
        <w:t>CALSSA Opening Comments to November</w:t>
      </w:r>
      <w:r w:rsidR="00E17CB1">
        <w:t> </w:t>
      </w:r>
      <w:r>
        <w:t>10,</w:t>
      </w:r>
      <w:r w:rsidR="00E17CB1">
        <w:t> </w:t>
      </w:r>
      <w:r>
        <w:t>2022 Proposed Decision at</w:t>
      </w:r>
      <w:r w:rsidR="00E17CB1">
        <w:t> </w:t>
      </w:r>
      <w:r>
        <w:t>11.</w:t>
      </w:r>
    </w:p>
  </w:footnote>
  <w:footnote w:id="413">
    <w:p w14:paraId="66BCF5C9" w14:textId="277EE47E" w:rsidR="0042198E" w:rsidRDefault="0042198E">
      <w:pPr>
        <w:pStyle w:val="FootnoteText"/>
      </w:pPr>
      <w:r>
        <w:rPr>
          <w:rStyle w:val="FootnoteReference"/>
        </w:rPr>
        <w:footnoteRef/>
      </w:r>
      <w:r>
        <w:t xml:space="preserve"> </w:t>
      </w:r>
      <w:r w:rsidR="008E59BE">
        <w:t xml:space="preserve"> </w:t>
      </w:r>
      <w:r>
        <w:t>IOU</w:t>
      </w:r>
      <w:r w:rsidR="00827602">
        <w:noBreakHyphen/>
      </w:r>
      <w:r>
        <w:t>01</w:t>
      </w:r>
      <w:r w:rsidR="000B3DA8">
        <w:t xml:space="preserve"> at 1</w:t>
      </w:r>
      <w:r>
        <w:t>2.</w:t>
      </w:r>
    </w:p>
  </w:footnote>
  <w:footnote w:id="414">
    <w:p w14:paraId="05D283E4" w14:textId="6F95551E" w:rsidR="00D818AC" w:rsidRDefault="00D818AC">
      <w:pPr>
        <w:pStyle w:val="FootnoteText"/>
      </w:pPr>
      <w:r>
        <w:rPr>
          <w:rStyle w:val="FootnoteReference"/>
        </w:rPr>
        <w:footnoteRef/>
      </w:r>
      <w:r>
        <w:t xml:space="preserve"> CESA Opening Comments to November</w:t>
      </w:r>
      <w:r w:rsidR="002A460A">
        <w:t> </w:t>
      </w:r>
      <w:r>
        <w:t>10,</w:t>
      </w:r>
      <w:r w:rsidR="002A460A">
        <w:t> </w:t>
      </w:r>
      <w:r>
        <w:t>2022 Proposed Decision at</w:t>
      </w:r>
      <w:r w:rsidR="002A460A">
        <w:t> </w:t>
      </w:r>
      <w:r>
        <w:t>4 and SEIA/Vote Solar Opening Comments to November</w:t>
      </w:r>
      <w:r w:rsidR="002A460A">
        <w:t> </w:t>
      </w:r>
      <w:r>
        <w:t>10,</w:t>
      </w:r>
      <w:r w:rsidR="002A460A">
        <w:t> </w:t>
      </w:r>
      <w:r>
        <w:t>2022 Proposed Decision at</w:t>
      </w:r>
      <w:r w:rsidR="002A460A">
        <w:t> </w:t>
      </w:r>
      <w:r>
        <w:t>9</w:t>
      </w:r>
      <w:r w:rsidR="003D1BC9">
        <w:noBreakHyphen/>
      </w:r>
      <w:r>
        <w:t xml:space="preserve">10.  </w:t>
      </w:r>
      <w:r w:rsidR="002A460A">
        <w:t>(</w:t>
      </w:r>
      <w:r w:rsidRPr="00A0614A">
        <w:rPr>
          <w:i/>
          <w:iCs/>
        </w:rPr>
        <w:t>See also</w:t>
      </w:r>
      <w:r>
        <w:t xml:space="preserve"> </w:t>
      </w:r>
      <w:r>
        <w:t>CALSSA Opening Comments to November</w:t>
      </w:r>
      <w:r w:rsidR="002A460A">
        <w:t> </w:t>
      </w:r>
      <w:r>
        <w:t>10,</w:t>
      </w:r>
      <w:r w:rsidR="002A460A">
        <w:t> </w:t>
      </w:r>
      <w:r>
        <w:t>2022 Proposed Decision at</w:t>
      </w:r>
      <w:r w:rsidR="002A460A">
        <w:t> </w:t>
      </w:r>
      <w:r>
        <w:t>12</w:t>
      </w:r>
      <w:r w:rsidR="003D1BC9">
        <w:noBreakHyphen/>
      </w:r>
      <w:r>
        <w:t>13 and SBUA Opening Comments to November</w:t>
      </w:r>
      <w:r w:rsidR="002A460A">
        <w:t> </w:t>
      </w:r>
      <w:r>
        <w:t>10,</w:t>
      </w:r>
      <w:r w:rsidR="002A460A">
        <w:t> </w:t>
      </w:r>
      <w:r>
        <w:t>2022 Proposed Decision at</w:t>
      </w:r>
      <w:r w:rsidR="002A460A">
        <w:t> </w:t>
      </w:r>
      <w:r>
        <w:t>9.</w:t>
      </w:r>
      <w:r w:rsidR="002A460A">
        <w:t>)</w:t>
      </w:r>
    </w:p>
  </w:footnote>
  <w:footnote w:id="415">
    <w:p w14:paraId="1F94C84C" w14:textId="7BE96B1E" w:rsidR="00A2326D" w:rsidRDefault="00A2326D">
      <w:pPr>
        <w:pStyle w:val="FootnoteText"/>
      </w:pPr>
      <w:r>
        <w:rPr>
          <w:rStyle w:val="FootnoteReference"/>
        </w:rPr>
        <w:footnoteRef/>
      </w:r>
      <w:r>
        <w:t xml:space="preserve"> </w:t>
      </w:r>
      <w:r w:rsidR="00647840">
        <w:t xml:space="preserve"> </w:t>
      </w:r>
      <w:r w:rsidR="009355F1">
        <w:t>Cal Advoc</w:t>
      </w:r>
      <w:r>
        <w:t>ates recommends using four years from the last two Avoided Cost Calculators (</w:t>
      </w:r>
      <w:r w:rsidR="009355F1">
        <w:t>Cal Advoc</w:t>
      </w:r>
      <w:r>
        <w:t>ates Reply Brief</w:t>
      </w:r>
      <w:r w:rsidR="000B3DA8">
        <w:t xml:space="preserve"> at 5</w:t>
      </w:r>
      <w:r>
        <w:t>0).  NRDC recommends adopted fixed 2021</w:t>
      </w:r>
      <w:r w:rsidR="005505B6">
        <w:t> </w:t>
      </w:r>
      <w:r>
        <w:t>avoided cost and to use three years of the Avoided Cost Calculator (NRD</w:t>
      </w:r>
      <w:r w:rsidR="00827602">
        <w:noBreakHyphen/>
      </w:r>
      <w:r>
        <w:t>01</w:t>
      </w:r>
      <w:r w:rsidR="000B3DA8">
        <w:t xml:space="preserve"> at 1</w:t>
      </w:r>
      <w:r>
        <w:t>5</w:t>
      </w:r>
      <w:r w:rsidR="00827602">
        <w:noBreakHyphen/>
      </w:r>
      <w:r>
        <w:t>16)</w:t>
      </w:r>
      <w:r w:rsidR="00D73FE9">
        <w:t>.</w:t>
      </w:r>
      <w:r>
        <w:t xml:space="preserve"> </w:t>
      </w:r>
      <w:r>
        <w:t>CalWEA suggest</w:t>
      </w:r>
      <w:r w:rsidR="00CA600D">
        <w:t>s</w:t>
      </w:r>
      <w:r>
        <w:t xml:space="preserve"> basing </w:t>
      </w:r>
      <w:r w:rsidR="00556D4B">
        <w:t xml:space="preserve">retail </w:t>
      </w:r>
      <w:r>
        <w:t xml:space="preserve">export </w:t>
      </w:r>
      <w:r w:rsidR="00116E9B">
        <w:t xml:space="preserve">compensation </w:t>
      </w:r>
      <w:r>
        <w:t>rates on the last two Avoided Cost Calculators (CalWEA Opening Brief</w:t>
      </w:r>
      <w:r w:rsidR="000B3DA8">
        <w:t xml:space="preserve"> at 1</w:t>
      </w:r>
      <w:r>
        <w:t>1)</w:t>
      </w:r>
      <w:r w:rsidR="00D73FE9">
        <w:t>.</w:t>
      </w:r>
    </w:p>
  </w:footnote>
  <w:footnote w:id="416">
    <w:p w14:paraId="75F87E7C" w14:textId="7B200271" w:rsidR="000E4FB2" w:rsidRDefault="000E4FB2">
      <w:pPr>
        <w:pStyle w:val="FootnoteText"/>
      </w:pPr>
      <w:r>
        <w:rPr>
          <w:rStyle w:val="FootnoteReference"/>
        </w:rPr>
        <w:footnoteRef/>
      </w:r>
      <w:r>
        <w:t xml:space="preserve"> </w:t>
      </w:r>
      <w:r w:rsidR="008E59BE">
        <w:t xml:space="preserve"> </w:t>
      </w:r>
      <w:r>
        <w:t>Aurora January</w:t>
      </w:r>
      <w:r w:rsidR="00D73FE9">
        <w:t> </w:t>
      </w:r>
      <w:r>
        <w:t>7,</w:t>
      </w:r>
      <w:r w:rsidR="00D73FE9">
        <w:t> </w:t>
      </w:r>
      <w:r>
        <w:t>2022 Opening Comments</w:t>
      </w:r>
      <w:r w:rsidR="000B3DA8">
        <w:t xml:space="preserve"> at 5</w:t>
      </w:r>
      <w:r>
        <w:t>, Joint Utilities January</w:t>
      </w:r>
      <w:r w:rsidR="00D73FE9">
        <w:t> </w:t>
      </w:r>
      <w:r>
        <w:t>7,</w:t>
      </w:r>
      <w:r w:rsidR="00D73FE9">
        <w:t> </w:t>
      </w:r>
      <w:r>
        <w:t>2022 Opening Comments</w:t>
      </w:r>
      <w:r w:rsidR="000B3DA8">
        <w:t xml:space="preserve"> at 1</w:t>
      </w:r>
      <w:r>
        <w:t xml:space="preserve">4, </w:t>
      </w:r>
      <w:r>
        <w:t>CALSSA January</w:t>
      </w:r>
      <w:r w:rsidR="00D73FE9">
        <w:t> </w:t>
      </w:r>
      <w:r>
        <w:t>14,</w:t>
      </w:r>
      <w:r w:rsidR="00D73FE9">
        <w:t> </w:t>
      </w:r>
      <w:r>
        <w:t>2022 Reply Comments</w:t>
      </w:r>
      <w:r w:rsidR="000B3DA8">
        <w:t xml:space="preserve"> at 7</w:t>
      </w:r>
      <w:r>
        <w:t>, and IEPA January</w:t>
      </w:r>
      <w:r w:rsidR="00D73FE9">
        <w:t> </w:t>
      </w:r>
      <w:r>
        <w:t>14,</w:t>
      </w:r>
      <w:r w:rsidR="00D73FE9">
        <w:t> </w:t>
      </w:r>
      <w:r>
        <w:t>2022 Reply Comments</w:t>
      </w:r>
      <w:r w:rsidR="000B3DA8">
        <w:t xml:space="preserve"> at 4</w:t>
      </w:r>
      <w:r>
        <w:t>.</w:t>
      </w:r>
    </w:p>
  </w:footnote>
  <w:footnote w:id="417">
    <w:p w14:paraId="12667D68" w14:textId="45588979" w:rsidR="004E5BA1" w:rsidRDefault="004E5BA1" w:rsidP="004E5BA1">
      <w:pPr>
        <w:pStyle w:val="FootnoteText"/>
      </w:pPr>
      <w:r>
        <w:rPr>
          <w:rStyle w:val="FootnoteReference"/>
        </w:rPr>
        <w:footnoteRef/>
      </w:r>
      <w:r>
        <w:t xml:space="preserve"> </w:t>
      </w:r>
      <w:r w:rsidR="008E59BE">
        <w:t xml:space="preserve"> </w:t>
      </w:r>
      <w:r>
        <w:t>Aurora January</w:t>
      </w:r>
      <w:r w:rsidR="00D73FE9">
        <w:t> </w:t>
      </w:r>
      <w:r>
        <w:t>7,</w:t>
      </w:r>
      <w:r w:rsidR="00D73FE9">
        <w:t> </w:t>
      </w:r>
      <w:r>
        <w:t>2022 Comments</w:t>
      </w:r>
      <w:r w:rsidR="000B3DA8">
        <w:t xml:space="preserve"> at 5</w:t>
      </w:r>
      <w:r>
        <w:t xml:space="preserve">, </w:t>
      </w:r>
      <w:r>
        <w:t xml:space="preserve">CALSSA </w:t>
      </w:r>
      <w:r w:rsidRPr="00E77D7C">
        <w:t>January</w:t>
      </w:r>
      <w:r w:rsidR="00D73FE9">
        <w:t> </w:t>
      </w:r>
      <w:r w:rsidRPr="00E77D7C">
        <w:t>7,</w:t>
      </w:r>
      <w:r w:rsidR="00D73FE9">
        <w:t> </w:t>
      </w:r>
      <w:r w:rsidRPr="00E77D7C">
        <w:t xml:space="preserve">2022 </w:t>
      </w:r>
      <w:r>
        <w:t>C</w:t>
      </w:r>
      <w:r w:rsidRPr="00E77D7C">
        <w:t>omments</w:t>
      </w:r>
      <w:r w:rsidR="000B3DA8">
        <w:t xml:space="preserve"> at 1</w:t>
      </w:r>
      <w:r>
        <w:t>3</w:t>
      </w:r>
      <w:r w:rsidR="00827602">
        <w:noBreakHyphen/>
      </w:r>
      <w:r>
        <w:t xml:space="preserve">14, and Sierra Club </w:t>
      </w:r>
      <w:r w:rsidRPr="00E77D7C">
        <w:t>January</w:t>
      </w:r>
      <w:r w:rsidR="00D73FE9">
        <w:t> </w:t>
      </w:r>
      <w:r w:rsidRPr="00E77D7C">
        <w:t>7,</w:t>
      </w:r>
      <w:r w:rsidR="00D73FE9">
        <w:t> </w:t>
      </w:r>
      <w:r w:rsidRPr="00E77D7C">
        <w:t xml:space="preserve">2022 </w:t>
      </w:r>
      <w:r>
        <w:t>C</w:t>
      </w:r>
      <w:r w:rsidRPr="00E77D7C">
        <w:t>omments</w:t>
      </w:r>
      <w:r w:rsidR="000B3DA8">
        <w:t xml:space="preserve"> at 1</w:t>
      </w:r>
      <w:r>
        <w:t>5.</w:t>
      </w:r>
    </w:p>
  </w:footnote>
  <w:footnote w:id="418">
    <w:p w14:paraId="601E53AB" w14:textId="7A3187E6" w:rsidR="001C46A5" w:rsidRDefault="001C46A5">
      <w:pPr>
        <w:pStyle w:val="FootnoteText"/>
      </w:pPr>
      <w:r>
        <w:rPr>
          <w:rStyle w:val="FootnoteReference"/>
        </w:rPr>
        <w:footnoteRef/>
      </w:r>
      <w:r>
        <w:t xml:space="preserve"> </w:t>
      </w:r>
      <w:r w:rsidR="008E59BE">
        <w:t xml:space="preserve"> </w:t>
      </w:r>
      <w:r>
        <w:t xml:space="preserve">Joint Utilities Opening Comments to </w:t>
      </w:r>
      <w:r w:rsidR="00693EB0">
        <w:t>May 9, 2022</w:t>
      </w:r>
      <w:r>
        <w:t xml:space="preserve"> Ruling</w:t>
      </w:r>
      <w:r w:rsidR="000B3DA8">
        <w:t xml:space="preserve"> at 1</w:t>
      </w:r>
      <w:r>
        <w:t>1</w:t>
      </w:r>
      <w:r w:rsidR="00827602">
        <w:noBreakHyphen/>
      </w:r>
      <w:r>
        <w:t>12.</w:t>
      </w:r>
    </w:p>
  </w:footnote>
  <w:footnote w:id="419">
    <w:p w14:paraId="2B6B70C7" w14:textId="3FD1531F" w:rsidR="00292EE1" w:rsidRDefault="00292EE1">
      <w:pPr>
        <w:pStyle w:val="FootnoteText"/>
      </w:pPr>
      <w:r>
        <w:rPr>
          <w:rStyle w:val="FootnoteReference"/>
        </w:rPr>
        <w:footnoteRef/>
      </w:r>
      <w:r>
        <w:t xml:space="preserve"> </w:t>
      </w:r>
      <w:r w:rsidR="009C2603">
        <w:t xml:space="preserve"> </w:t>
      </w:r>
      <w:r>
        <w:t>TURN Opening Brief</w:t>
      </w:r>
      <w:r w:rsidR="000B3DA8">
        <w:t xml:space="preserve"> at 8</w:t>
      </w:r>
      <w:r>
        <w:t>8</w:t>
      </w:r>
      <w:r w:rsidR="00827602">
        <w:noBreakHyphen/>
      </w:r>
      <w:r>
        <w:t>91</w:t>
      </w:r>
      <w:r w:rsidR="006671AD">
        <w:t xml:space="preserve"> and CUE Opening Comments to </w:t>
      </w:r>
      <w:r w:rsidR="00693EB0">
        <w:t>May 9, 2022</w:t>
      </w:r>
      <w:r w:rsidR="006671AD">
        <w:t xml:space="preserve"> Ruling</w:t>
      </w:r>
      <w:r w:rsidR="000B3DA8">
        <w:t xml:space="preserve"> at 7</w:t>
      </w:r>
      <w:r w:rsidR="006671AD">
        <w:t>.</w:t>
      </w:r>
    </w:p>
  </w:footnote>
  <w:footnote w:id="420">
    <w:p w14:paraId="1DBD71D3" w14:textId="2F82FE1C" w:rsidR="00B75DC2" w:rsidRDefault="00B75DC2">
      <w:pPr>
        <w:pStyle w:val="FootnoteText"/>
      </w:pPr>
      <w:r>
        <w:rPr>
          <w:rStyle w:val="FootnoteReference"/>
        </w:rPr>
        <w:footnoteRef/>
      </w:r>
      <w:r>
        <w:t xml:space="preserve"> </w:t>
      </w:r>
      <w:r w:rsidR="008E59BE">
        <w:t xml:space="preserve"> </w:t>
      </w:r>
      <w:r>
        <w:t xml:space="preserve">Aurora Opening Comments to </w:t>
      </w:r>
      <w:r w:rsidR="00693EB0">
        <w:t>May 9, 2022</w:t>
      </w:r>
      <w:r>
        <w:t xml:space="preserve"> Ruling</w:t>
      </w:r>
      <w:r w:rsidR="000B3DA8">
        <w:t xml:space="preserve"> at 9</w:t>
      </w:r>
      <w:r>
        <w:t>.</w:t>
      </w:r>
    </w:p>
  </w:footnote>
  <w:footnote w:id="421">
    <w:p w14:paraId="44949466" w14:textId="7DC4EA7E" w:rsidR="00A60A4F" w:rsidRDefault="00A60A4F">
      <w:pPr>
        <w:pStyle w:val="FootnoteText"/>
      </w:pPr>
      <w:r>
        <w:rPr>
          <w:rStyle w:val="FootnoteReference"/>
        </w:rPr>
        <w:footnoteRef/>
      </w:r>
      <w:r>
        <w:t xml:space="preserve"> </w:t>
      </w:r>
      <w:r w:rsidR="008E59BE">
        <w:t xml:space="preserve"> </w:t>
      </w:r>
      <w:r>
        <w:t xml:space="preserve">CALSSA Opening Comments to </w:t>
      </w:r>
      <w:r w:rsidR="00693EB0">
        <w:t>May 9, 2022</w:t>
      </w:r>
      <w:r>
        <w:t xml:space="preserve"> Ruling</w:t>
      </w:r>
      <w:r w:rsidR="000B3DA8">
        <w:t xml:space="preserve"> at 4</w:t>
      </w:r>
      <w:r>
        <w:t>.</w:t>
      </w:r>
    </w:p>
  </w:footnote>
  <w:footnote w:id="422">
    <w:p w14:paraId="0E499609" w14:textId="6457847F" w:rsidR="005E1659" w:rsidRDefault="005E1659">
      <w:pPr>
        <w:pStyle w:val="FootnoteText"/>
      </w:pPr>
      <w:r>
        <w:rPr>
          <w:rStyle w:val="FootnoteReference"/>
        </w:rPr>
        <w:footnoteRef/>
      </w:r>
      <w:r>
        <w:t xml:space="preserve"> </w:t>
      </w:r>
      <w:r w:rsidR="008E59BE">
        <w:t xml:space="preserve"> </w:t>
      </w:r>
      <w:r>
        <w:t xml:space="preserve">Joint Utilities Opening Comments to </w:t>
      </w:r>
      <w:r w:rsidR="00693EB0">
        <w:t>May 9, 2022</w:t>
      </w:r>
      <w:r>
        <w:t xml:space="preserve"> Ruling</w:t>
      </w:r>
      <w:r w:rsidR="000B3DA8">
        <w:t xml:space="preserve"> at 9</w:t>
      </w:r>
      <w:r>
        <w:t>.</w:t>
      </w:r>
    </w:p>
  </w:footnote>
  <w:footnote w:id="423">
    <w:p w14:paraId="30116A68" w14:textId="17E6897B" w:rsidR="008B725C" w:rsidRDefault="008B725C">
      <w:pPr>
        <w:pStyle w:val="FootnoteText"/>
      </w:pPr>
      <w:r>
        <w:rPr>
          <w:rStyle w:val="FootnoteReference"/>
        </w:rPr>
        <w:footnoteRef/>
      </w:r>
      <w:r>
        <w:t xml:space="preserve"> </w:t>
      </w:r>
      <w:r w:rsidR="008E59BE">
        <w:t xml:space="preserve"> </w:t>
      </w:r>
      <w:r>
        <w:t xml:space="preserve">SEIA/Vote Solar Opening Comments to </w:t>
      </w:r>
      <w:r w:rsidR="00693EB0">
        <w:t>May 9, 2022</w:t>
      </w:r>
      <w:r>
        <w:t xml:space="preserve"> Ruling</w:t>
      </w:r>
      <w:r w:rsidR="000B3DA8">
        <w:t xml:space="preserve"> at 9</w:t>
      </w:r>
      <w:r>
        <w:t>.</w:t>
      </w:r>
    </w:p>
  </w:footnote>
  <w:footnote w:id="424">
    <w:p w14:paraId="7A803F21" w14:textId="4183CDDA" w:rsidR="00FF1E95" w:rsidRDefault="00FF1E95">
      <w:pPr>
        <w:pStyle w:val="FootnoteText"/>
      </w:pPr>
      <w:r>
        <w:rPr>
          <w:rStyle w:val="FootnoteReference"/>
        </w:rPr>
        <w:footnoteRef/>
      </w:r>
      <w:r>
        <w:t xml:space="preserve"> </w:t>
      </w:r>
      <w:r w:rsidR="008E59BE">
        <w:t xml:space="preserve"> </w:t>
      </w:r>
      <w:r w:rsidR="009355F1">
        <w:t>Cal Advoc</w:t>
      </w:r>
      <w:r>
        <w:t xml:space="preserve">ates Opening Comments to </w:t>
      </w:r>
      <w:r w:rsidR="00693EB0">
        <w:t>May 9, 2022</w:t>
      </w:r>
      <w:r>
        <w:t xml:space="preserve"> Ruling</w:t>
      </w:r>
      <w:r w:rsidR="000B3DA8">
        <w:t xml:space="preserve"> at 7</w:t>
      </w:r>
      <w:r w:rsidR="004A107B">
        <w:t>.</w:t>
      </w:r>
    </w:p>
  </w:footnote>
  <w:footnote w:id="425">
    <w:p w14:paraId="6537E777" w14:textId="19DEBC87" w:rsidR="00314673" w:rsidRDefault="00314673" w:rsidP="00314673">
      <w:pPr>
        <w:pStyle w:val="FootnoteText"/>
      </w:pPr>
      <w:r>
        <w:rPr>
          <w:rStyle w:val="FootnoteReference"/>
        </w:rPr>
        <w:footnoteRef/>
      </w:r>
      <w:r>
        <w:t xml:space="preserve"> Joint Utilities Opening Comments to </w:t>
      </w:r>
      <w:r w:rsidR="00693EB0">
        <w:t>May 9, 2022</w:t>
      </w:r>
      <w:r>
        <w:t xml:space="preserve"> Ruling</w:t>
      </w:r>
      <w:r w:rsidR="000B3DA8">
        <w:t xml:space="preserve"> at 8</w:t>
      </w:r>
      <w:r w:rsidR="00827602">
        <w:noBreakHyphen/>
      </w:r>
      <w:r>
        <w:t>9.</w:t>
      </w:r>
    </w:p>
  </w:footnote>
  <w:footnote w:id="426">
    <w:p w14:paraId="2C1C4223" w14:textId="60941568" w:rsidR="00CE4C4E" w:rsidRDefault="00CE4C4E" w:rsidP="00CE4C4E">
      <w:pPr>
        <w:pStyle w:val="FootnoteText"/>
      </w:pPr>
      <w:r>
        <w:rPr>
          <w:rStyle w:val="FootnoteReference"/>
        </w:rPr>
        <w:footnoteRef/>
      </w:r>
      <w:r>
        <w:t xml:space="preserve">  Sierra Club Opening Brief</w:t>
      </w:r>
      <w:r w:rsidR="000B3DA8">
        <w:t xml:space="preserve"> at 5</w:t>
      </w:r>
      <w:r>
        <w:t xml:space="preserve">.  While </w:t>
      </w:r>
      <w:r>
        <w:t>CALSSA and SEIA/Vote Solar do not support the Market Transition Credit, they do support providing a stepped</w:t>
      </w:r>
      <w:r w:rsidR="00827602">
        <w:noBreakHyphen/>
      </w:r>
      <w:r>
        <w:t>down glide path</w:t>
      </w:r>
      <w:r w:rsidRPr="00790E5D">
        <w:t>.  (</w:t>
      </w:r>
      <w:r w:rsidRPr="00790E5D">
        <w:rPr>
          <w:i/>
          <w:iCs/>
        </w:rPr>
        <w:t>See</w:t>
      </w:r>
      <w:r w:rsidRPr="00790E5D">
        <w:t xml:space="preserve"> CALSSA Opening Brief</w:t>
      </w:r>
      <w:r w:rsidR="000B3DA8">
        <w:t xml:space="preserve"> at 1</w:t>
      </w:r>
      <w:r w:rsidRPr="00790E5D">
        <w:t xml:space="preserve">09 describing its gradual step down in </w:t>
      </w:r>
      <w:r w:rsidR="00F64859">
        <w:t xml:space="preserve">retail </w:t>
      </w:r>
      <w:r w:rsidRPr="00790E5D">
        <w:t xml:space="preserve">export </w:t>
      </w:r>
      <w:r w:rsidR="00116E9B">
        <w:t xml:space="preserve">compensation </w:t>
      </w:r>
      <w:r w:rsidRPr="00790E5D">
        <w:t xml:space="preserve">rates and SEIA/Vote Solar </w:t>
      </w:r>
      <w:r w:rsidR="00147013">
        <w:t>Opening Brief</w:t>
      </w:r>
      <w:r w:rsidR="000B3DA8">
        <w:t xml:space="preserve"> at 5</w:t>
      </w:r>
      <w:r w:rsidRPr="00790E5D">
        <w:t xml:space="preserve"> describing the goal of its </w:t>
      </w:r>
      <w:r w:rsidR="00F64859">
        <w:t xml:space="preserve">retail </w:t>
      </w:r>
      <w:r w:rsidRPr="00790E5D">
        <w:t xml:space="preserve">export </w:t>
      </w:r>
      <w:r w:rsidR="00F64859">
        <w:t xml:space="preserve">compensation rate </w:t>
      </w:r>
      <w:r w:rsidRPr="00790E5D">
        <w:t xml:space="preserve">stepdown is to align bill savings with generator benefits, as measured by the </w:t>
      </w:r>
      <w:r w:rsidR="00147013">
        <w:t>Avoided Cost Calculator</w:t>
      </w:r>
      <w:r w:rsidRPr="00790E5D">
        <w:t>.)</w:t>
      </w:r>
    </w:p>
  </w:footnote>
  <w:footnote w:id="427">
    <w:p w14:paraId="64BCBBD7" w14:textId="01258503" w:rsidR="00E6685B" w:rsidRDefault="00E6685B">
      <w:pPr>
        <w:pStyle w:val="FootnoteText"/>
      </w:pPr>
      <w:r>
        <w:rPr>
          <w:rStyle w:val="FootnoteReference"/>
        </w:rPr>
        <w:footnoteRef/>
      </w:r>
      <w:r>
        <w:t xml:space="preserve"> </w:t>
      </w:r>
      <w:r w:rsidR="0091632D">
        <w:t xml:space="preserve"> </w:t>
      </w:r>
      <w:r>
        <w:t>TURN Opening Brief</w:t>
      </w:r>
      <w:r w:rsidR="000B3DA8">
        <w:t xml:space="preserve"> at 9</w:t>
      </w:r>
      <w:r>
        <w:t>1</w:t>
      </w:r>
      <w:r w:rsidR="00827602">
        <w:noBreakHyphen/>
      </w:r>
      <w:r>
        <w:t>93.</w:t>
      </w:r>
    </w:p>
  </w:footnote>
  <w:footnote w:id="428">
    <w:p w14:paraId="65ECE63D" w14:textId="109EF8E9" w:rsidR="00D020FB" w:rsidRDefault="00D020FB">
      <w:pPr>
        <w:pStyle w:val="FootnoteText"/>
      </w:pPr>
      <w:r>
        <w:rPr>
          <w:rStyle w:val="FootnoteReference"/>
        </w:rPr>
        <w:footnoteRef/>
      </w:r>
      <w:r>
        <w:t xml:space="preserve"> </w:t>
      </w:r>
      <w:r w:rsidR="0091632D">
        <w:t xml:space="preserve"> </w:t>
      </w:r>
      <w:r>
        <w:t>TURN Opening Brief</w:t>
      </w:r>
      <w:r w:rsidR="000B3DA8">
        <w:t xml:space="preserve"> at 9</w:t>
      </w:r>
      <w:r>
        <w:t>2.</w:t>
      </w:r>
    </w:p>
  </w:footnote>
  <w:footnote w:id="429">
    <w:p w14:paraId="1A3C5F18" w14:textId="39309075" w:rsidR="000C5686" w:rsidRDefault="000C5686">
      <w:pPr>
        <w:pStyle w:val="FootnoteText"/>
      </w:pPr>
      <w:r>
        <w:rPr>
          <w:rStyle w:val="FootnoteReference"/>
        </w:rPr>
        <w:footnoteRef/>
      </w:r>
      <w:r>
        <w:t xml:space="preserve"> </w:t>
      </w:r>
      <w:r w:rsidR="0091632D">
        <w:t xml:space="preserve"> </w:t>
      </w:r>
      <w:r>
        <w:t>IOU</w:t>
      </w:r>
      <w:r w:rsidR="00827602">
        <w:noBreakHyphen/>
      </w:r>
      <w:r>
        <w:t>01</w:t>
      </w:r>
      <w:r w:rsidR="000B3DA8">
        <w:t xml:space="preserve"> at 6</w:t>
      </w:r>
      <w:r>
        <w:t>1.</w:t>
      </w:r>
    </w:p>
  </w:footnote>
  <w:footnote w:id="430">
    <w:p w14:paraId="2469BF7D" w14:textId="12DA76B9" w:rsidR="00DD5285" w:rsidRDefault="00DD5285">
      <w:pPr>
        <w:pStyle w:val="FootnoteText"/>
      </w:pPr>
      <w:r>
        <w:rPr>
          <w:rStyle w:val="FootnoteReference"/>
        </w:rPr>
        <w:footnoteRef/>
      </w:r>
      <w:r>
        <w:t xml:space="preserve"> </w:t>
      </w:r>
      <w:r>
        <w:t>SBUA Opening Comments to November</w:t>
      </w:r>
      <w:r w:rsidR="002A460A">
        <w:t> </w:t>
      </w:r>
      <w:r>
        <w:t>10,</w:t>
      </w:r>
      <w:r w:rsidR="002A460A">
        <w:t> </w:t>
      </w:r>
      <w:r>
        <w:t>2022 Proposed Decision at</w:t>
      </w:r>
      <w:r w:rsidR="002A460A">
        <w:t> </w:t>
      </w:r>
      <w:r>
        <w:t>10</w:t>
      </w:r>
      <w:r w:rsidR="003D1BC9">
        <w:noBreakHyphen/>
      </w:r>
      <w:r>
        <w:t>11</w:t>
      </w:r>
      <w:r w:rsidR="0083500F">
        <w:t xml:space="preserve">; </w:t>
      </w:r>
      <w:r w:rsidR="00A27BA9">
        <w:t>Farm Bureau Opening Comments to November</w:t>
      </w:r>
      <w:r w:rsidR="002A460A">
        <w:t> </w:t>
      </w:r>
      <w:r w:rsidR="00A27BA9">
        <w:t>10,</w:t>
      </w:r>
      <w:r w:rsidR="002A460A">
        <w:t> </w:t>
      </w:r>
      <w:r w:rsidR="00A27BA9">
        <w:t>2022 Proposed Decision at</w:t>
      </w:r>
      <w:r w:rsidR="002A460A">
        <w:t> </w:t>
      </w:r>
      <w:r w:rsidR="00A27BA9">
        <w:t xml:space="preserve">7; </w:t>
      </w:r>
      <w:r>
        <w:t>Joint CCAs Opening Comments to November</w:t>
      </w:r>
      <w:r w:rsidR="002A460A">
        <w:t> </w:t>
      </w:r>
      <w:r>
        <w:t>10,</w:t>
      </w:r>
      <w:r w:rsidR="002A460A">
        <w:t> </w:t>
      </w:r>
      <w:r>
        <w:t>2022 Proposed Decision at</w:t>
      </w:r>
      <w:r w:rsidR="002A460A">
        <w:t> </w:t>
      </w:r>
      <w:r>
        <w:t>6</w:t>
      </w:r>
      <w:r w:rsidR="003D1BC9">
        <w:noBreakHyphen/>
      </w:r>
      <w:r>
        <w:t>7</w:t>
      </w:r>
      <w:r w:rsidR="0083500F">
        <w:t xml:space="preserve"> and SEIA/Vote Solar Opening Comments to November</w:t>
      </w:r>
      <w:r w:rsidR="002A460A">
        <w:t> </w:t>
      </w:r>
      <w:r w:rsidR="0083500F">
        <w:t>10,</w:t>
      </w:r>
      <w:r w:rsidR="002A460A">
        <w:t> </w:t>
      </w:r>
      <w:r w:rsidR="0083500F">
        <w:t>2022 Proposed Decision at</w:t>
      </w:r>
      <w:r w:rsidR="002A460A">
        <w:t> </w:t>
      </w:r>
      <w:r w:rsidR="0083500F">
        <w:t>8</w:t>
      </w:r>
      <w:r w:rsidR="003D1BC9">
        <w:noBreakHyphen/>
      </w:r>
      <w:r w:rsidR="0083500F">
        <w:t>9</w:t>
      </w:r>
      <w:r>
        <w:t>.</w:t>
      </w:r>
    </w:p>
  </w:footnote>
  <w:footnote w:id="431">
    <w:p w14:paraId="0711ECED" w14:textId="6E6A6F3E" w:rsidR="00C64F90" w:rsidRDefault="00C64F90" w:rsidP="00C64F90">
      <w:pPr>
        <w:pStyle w:val="FootnoteText"/>
      </w:pPr>
      <w:r>
        <w:rPr>
          <w:rStyle w:val="FootnoteReference"/>
        </w:rPr>
        <w:footnoteRef/>
      </w:r>
      <w:r>
        <w:t xml:space="preserve"> </w:t>
      </w:r>
      <w:r w:rsidR="00B83072">
        <w:t xml:space="preserve"> </w:t>
      </w:r>
      <w:r w:rsidRPr="00A00359">
        <w:rPr>
          <w:i/>
          <w:iCs/>
        </w:rPr>
        <w:t>See</w:t>
      </w:r>
      <w:r>
        <w:t xml:space="preserve"> </w:t>
      </w:r>
      <w:r w:rsidR="00123055">
        <w:t>Appendix B</w:t>
      </w:r>
      <w:r>
        <w:t xml:space="preserve"> for modeling results.</w:t>
      </w:r>
    </w:p>
  </w:footnote>
  <w:footnote w:id="432">
    <w:p w14:paraId="7E4C4B99" w14:textId="2AB4896F" w:rsidR="00784F0D" w:rsidRDefault="00784F0D" w:rsidP="00784F0D">
      <w:pPr>
        <w:pStyle w:val="FootnoteText"/>
      </w:pPr>
      <w:r>
        <w:rPr>
          <w:rStyle w:val="FootnoteReference"/>
        </w:rPr>
        <w:footnoteRef/>
      </w:r>
      <w:r>
        <w:t xml:space="preserve"> </w:t>
      </w:r>
      <w:r w:rsidR="00E37749">
        <w:t xml:space="preserve"> </w:t>
      </w:r>
      <w:r>
        <w:t>TURN Opening Brief</w:t>
      </w:r>
      <w:r w:rsidR="000B3DA8">
        <w:t xml:space="preserve"> at 8</w:t>
      </w:r>
      <w:r>
        <w:t>7</w:t>
      </w:r>
      <w:r w:rsidR="00827602">
        <w:noBreakHyphen/>
      </w:r>
      <w:r>
        <w:t>88.</w:t>
      </w:r>
    </w:p>
  </w:footnote>
  <w:footnote w:id="433">
    <w:p w14:paraId="27EC8D65" w14:textId="0C18BCE3" w:rsidR="00CF5B2E" w:rsidRDefault="00CF5B2E">
      <w:pPr>
        <w:pStyle w:val="FootnoteText"/>
      </w:pPr>
      <w:r>
        <w:rPr>
          <w:rStyle w:val="FootnoteReference"/>
        </w:rPr>
        <w:footnoteRef/>
      </w:r>
      <w:r>
        <w:t xml:space="preserve"> </w:t>
      </w:r>
      <w:r w:rsidR="00E37749">
        <w:t xml:space="preserve"> </w:t>
      </w:r>
      <w:r w:rsidR="00B66013">
        <w:t>IOU</w:t>
      </w:r>
      <w:r w:rsidR="00827602">
        <w:noBreakHyphen/>
      </w:r>
      <w:r w:rsidR="00B66013">
        <w:t>0</w:t>
      </w:r>
      <w:r w:rsidR="00AE3974">
        <w:t>1</w:t>
      </w:r>
      <w:r w:rsidR="000B3DA8">
        <w:t xml:space="preserve"> at 1</w:t>
      </w:r>
      <w:r w:rsidR="00AE3974">
        <w:t>06</w:t>
      </w:r>
      <w:r w:rsidR="003B28A3">
        <w:t xml:space="preserve"> and 107</w:t>
      </w:r>
      <w:r w:rsidR="00827602">
        <w:noBreakHyphen/>
      </w:r>
      <w:r w:rsidR="00537983">
        <w:t>125</w:t>
      </w:r>
      <w:r w:rsidR="00AE3974">
        <w:t>.</w:t>
      </w:r>
    </w:p>
  </w:footnote>
  <w:footnote w:id="434">
    <w:p w14:paraId="7B382F52" w14:textId="73FA9EA5" w:rsidR="00D02092" w:rsidRDefault="00D02092">
      <w:pPr>
        <w:pStyle w:val="FootnoteText"/>
      </w:pPr>
      <w:r>
        <w:rPr>
          <w:rStyle w:val="FootnoteReference"/>
        </w:rPr>
        <w:footnoteRef/>
      </w:r>
      <w:r>
        <w:t xml:space="preserve"> </w:t>
      </w:r>
      <w:r w:rsidR="00E37749">
        <w:t xml:space="preserve"> </w:t>
      </w:r>
      <w:r w:rsidR="00AE3974">
        <w:t>IOU</w:t>
      </w:r>
      <w:r w:rsidR="00827602">
        <w:noBreakHyphen/>
      </w:r>
      <w:r w:rsidR="00AE3974">
        <w:t>01</w:t>
      </w:r>
      <w:r w:rsidR="000B3DA8">
        <w:t xml:space="preserve"> at 1</w:t>
      </w:r>
      <w:r w:rsidR="00AE3974">
        <w:t>12</w:t>
      </w:r>
      <w:r w:rsidR="00CF5B2E">
        <w:t>.</w:t>
      </w:r>
    </w:p>
  </w:footnote>
  <w:footnote w:id="435">
    <w:p w14:paraId="4C055517" w14:textId="6D3E3F99" w:rsidR="00985295" w:rsidRDefault="00985295" w:rsidP="00985295">
      <w:pPr>
        <w:pStyle w:val="FootnoteText"/>
      </w:pPr>
      <w:r>
        <w:rPr>
          <w:rStyle w:val="FootnoteReference"/>
        </w:rPr>
        <w:footnoteRef/>
      </w:r>
      <w:r>
        <w:t xml:space="preserve"> </w:t>
      </w:r>
      <w:r w:rsidR="00B83072">
        <w:t xml:space="preserve"> </w:t>
      </w:r>
      <w:r w:rsidR="009355F1">
        <w:t>Cal Advoc</w:t>
      </w:r>
      <w:r>
        <w:t>ates January</w:t>
      </w:r>
      <w:r w:rsidR="00111EE7">
        <w:t> </w:t>
      </w:r>
      <w:r>
        <w:t>7,</w:t>
      </w:r>
      <w:r w:rsidR="00111EE7">
        <w:t> </w:t>
      </w:r>
      <w:r>
        <w:t>2022 Opening Comments</w:t>
      </w:r>
      <w:r w:rsidR="000B3DA8">
        <w:t xml:space="preserve"> at 9</w:t>
      </w:r>
      <w:r>
        <w:t>.</w:t>
      </w:r>
    </w:p>
  </w:footnote>
  <w:footnote w:id="436">
    <w:p w14:paraId="5E26BEB4" w14:textId="572A6F6C" w:rsidR="000C70D7" w:rsidRDefault="000C70D7">
      <w:pPr>
        <w:pStyle w:val="FootnoteText"/>
      </w:pPr>
      <w:r>
        <w:rPr>
          <w:rStyle w:val="FootnoteReference"/>
        </w:rPr>
        <w:footnoteRef/>
      </w:r>
      <w:r>
        <w:t xml:space="preserve"> </w:t>
      </w:r>
      <w:r w:rsidR="00B83072">
        <w:t xml:space="preserve"> </w:t>
      </w:r>
      <w:r>
        <w:t>Joint Utilities Opening Comments to Proposed Decision, January</w:t>
      </w:r>
      <w:r w:rsidR="00111EE7">
        <w:t> </w:t>
      </w:r>
      <w:r>
        <w:t>7,</w:t>
      </w:r>
      <w:r w:rsidR="00111EE7">
        <w:t> </w:t>
      </w:r>
      <w:r>
        <w:t>2022</w:t>
      </w:r>
      <w:r w:rsidR="000B3DA8">
        <w:t xml:space="preserve"> at 1</w:t>
      </w:r>
      <w:r>
        <w:t>8.</w:t>
      </w:r>
    </w:p>
  </w:footnote>
  <w:footnote w:id="437">
    <w:p w14:paraId="7C8D14A5" w14:textId="0A7B756F" w:rsidR="008A5760" w:rsidRDefault="008A5760">
      <w:pPr>
        <w:pStyle w:val="FootnoteText"/>
      </w:pPr>
      <w:r>
        <w:rPr>
          <w:rStyle w:val="FootnoteReference"/>
        </w:rPr>
        <w:footnoteRef/>
      </w:r>
      <w:r>
        <w:t xml:space="preserve"> </w:t>
      </w:r>
      <w:r w:rsidR="00E37749">
        <w:t xml:space="preserve"> </w:t>
      </w:r>
      <w:r>
        <w:t>SEIA/Vote Solar Opening Brief</w:t>
      </w:r>
      <w:r w:rsidR="000B3DA8">
        <w:t xml:space="preserve"> at 1</w:t>
      </w:r>
      <w:r>
        <w:t>26</w:t>
      </w:r>
      <w:r w:rsidR="00827602">
        <w:noBreakHyphen/>
      </w:r>
      <w:r>
        <w:t>127.</w:t>
      </w:r>
    </w:p>
  </w:footnote>
  <w:footnote w:id="438">
    <w:p w14:paraId="6BAA56CF" w14:textId="792EDA3F" w:rsidR="003B5550" w:rsidRDefault="003B5550">
      <w:pPr>
        <w:pStyle w:val="FootnoteText"/>
      </w:pPr>
      <w:r>
        <w:rPr>
          <w:rStyle w:val="FootnoteReference"/>
        </w:rPr>
        <w:footnoteRef/>
      </w:r>
      <w:r>
        <w:t xml:space="preserve"> </w:t>
      </w:r>
      <w:r w:rsidR="00E37749">
        <w:t xml:space="preserve"> </w:t>
      </w:r>
      <w:r>
        <w:t>SEIA/Vote Solar Opening Brief</w:t>
      </w:r>
      <w:r w:rsidR="000B3DA8">
        <w:t xml:space="preserve"> at 1</w:t>
      </w:r>
      <w:r>
        <w:t>27 citing SVS</w:t>
      </w:r>
      <w:r w:rsidR="00827602">
        <w:noBreakHyphen/>
      </w:r>
      <w:r>
        <w:t>03</w:t>
      </w:r>
      <w:r w:rsidR="000B3DA8">
        <w:t xml:space="preserve"> at 7</w:t>
      </w:r>
      <w:r>
        <w:t>4.</w:t>
      </w:r>
    </w:p>
  </w:footnote>
  <w:footnote w:id="439">
    <w:p w14:paraId="1F171C51" w14:textId="29E0B94B" w:rsidR="003B5550" w:rsidRDefault="003B5550">
      <w:pPr>
        <w:pStyle w:val="FootnoteText"/>
      </w:pPr>
      <w:r>
        <w:rPr>
          <w:rStyle w:val="FootnoteReference"/>
        </w:rPr>
        <w:footnoteRef/>
      </w:r>
      <w:r>
        <w:t xml:space="preserve"> </w:t>
      </w:r>
      <w:r w:rsidR="00E37749">
        <w:t xml:space="preserve"> </w:t>
      </w:r>
      <w:r>
        <w:t>SEIA/Vote Solar Opening Brief</w:t>
      </w:r>
      <w:r w:rsidR="000B3DA8">
        <w:t xml:space="preserve"> at 1</w:t>
      </w:r>
      <w:r>
        <w:t>27 citing SVS</w:t>
      </w:r>
      <w:r w:rsidR="00827602">
        <w:noBreakHyphen/>
      </w:r>
      <w:r>
        <w:t>03</w:t>
      </w:r>
      <w:r w:rsidR="000B3DA8">
        <w:t xml:space="preserve"> at 7</w:t>
      </w:r>
      <w:r>
        <w:t>4.</w:t>
      </w:r>
    </w:p>
  </w:footnote>
  <w:footnote w:id="440">
    <w:p w14:paraId="61A84E5F" w14:textId="4F8DB5DA" w:rsidR="00FA752E" w:rsidRDefault="00FA752E">
      <w:pPr>
        <w:pStyle w:val="FootnoteText"/>
      </w:pPr>
      <w:r>
        <w:rPr>
          <w:rStyle w:val="FootnoteReference"/>
        </w:rPr>
        <w:footnoteRef/>
      </w:r>
      <w:r>
        <w:t xml:space="preserve"> Joint Utilities January</w:t>
      </w:r>
      <w:r w:rsidR="002F5949">
        <w:t> </w:t>
      </w:r>
      <w:r>
        <w:t>7,</w:t>
      </w:r>
      <w:r w:rsidR="002F5949">
        <w:t> </w:t>
      </w:r>
      <w:r>
        <w:t>2022 Opening Comments at</w:t>
      </w:r>
      <w:r w:rsidR="002F5949">
        <w:t> </w:t>
      </w:r>
      <w:r>
        <w:t>15</w:t>
      </w:r>
      <w:r w:rsidR="00AA45ED">
        <w:t>.</w:t>
      </w:r>
    </w:p>
  </w:footnote>
  <w:footnote w:id="441">
    <w:p w14:paraId="38521C0F" w14:textId="5A4BE398" w:rsidR="00960D3A" w:rsidRDefault="00960D3A">
      <w:pPr>
        <w:pStyle w:val="FootnoteText"/>
      </w:pPr>
      <w:r>
        <w:rPr>
          <w:rStyle w:val="FootnoteReference"/>
        </w:rPr>
        <w:footnoteRef/>
      </w:r>
      <w:r>
        <w:t xml:space="preserve"> Joint Utilities Opening Comments to November</w:t>
      </w:r>
      <w:r w:rsidR="002A460A">
        <w:t> </w:t>
      </w:r>
      <w:r>
        <w:t>10,</w:t>
      </w:r>
      <w:r w:rsidR="002A460A">
        <w:t> </w:t>
      </w:r>
      <w:r>
        <w:t>2022 Proposed Decision at</w:t>
      </w:r>
      <w:r w:rsidR="002A460A">
        <w:t> </w:t>
      </w:r>
      <w:r>
        <w:t>3</w:t>
      </w:r>
      <w:r w:rsidR="003D1BC9">
        <w:noBreakHyphen/>
      </w:r>
      <w:r>
        <w:t>4</w:t>
      </w:r>
      <w:r w:rsidR="00FF1AD4">
        <w:t>.</w:t>
      </w:r>
    </w:p>
  </w:footnote>
  <w:footnote w:id="442">
    <w:p w14:paraId="1CF58B22" w14:textId="780C0892" w:rsidR="009D3E03" w:rsidRDefault="009D3E03" w:rsidP="009D3E03">
      <w:pPr>
        <w:pStyle w:val="FootnoteText"/>
      </w:pPr>
      <w:r>
        <w:rPr>
          <w:rStyle w:val="FootnoteReference"/>
        </w:rPr>
        <w:footnoteRef/>
      </w:r>
      <w:r>
        <w:t xml:space="preserve"> </w:t>
      </w:r>
      <w:r w:rsidRPr="00A0614A">
        <w:rPr>
          <w:i/>
          <w:iCs/>
        </w:rPr>
        <w:t>See</w:t>
      </w:r>
      <w:r>
        <w:t>, for example, CESA Opening Comments to November</w:t>
      </w:r>
      <w:r w:rsidR="002A460A">
        <w:t> </w:t>
      </w:r>
      <w:r>
        <w:t>10,</w:t>
      </w:r>
      <w:r w:rsidR="002A460A">
        <w:t> </w:t>
      </w:r>
      <w:r>
        <w:t>2022 Proposed Decision at</w:t>
      </w:r>
      <w:r w:rsidR="002A460A">
        <w:t> </w:t>
      </w:r>
      <w:r>
        <w:t>6.</w:t>
      </w:r>
    </w:p>
  </w:footnote>
  <w:footnote w:id="443">
    <w:p w14:paraId="38600F86" w14:textId="39B77492" w:rsidR="006312BE" w:rsidRDefault="006312BE">
      <w:pPr>
        <w:pStyle w:val="FootnoteText"/>
      </w:pPr>
      <w:r>
        <w:rPr>
          <w:rStyle w:val="FootnoteReference"/>
        </w:rPr>
        <w:footnoteRef/>
      </w:r>
      <w:r>
        <w:t xml:space="preserve"> </w:t>
      </w:r>
      <w:r>
        <w:t>SBUA Opening Comments to November</w:t>
      </w:r>
      <w:r w:rsidR="002A460A">
        <w:t> </w:t>
      </w:r>
      <w:r>
        <w:t>10,</w:t>
      </w:r>
      <w:r w:rsidR="002A460A">
        <w:t> </w:t>
      </w:r>
      <w:r>
        <w:t>2022 Proposed Decision at</w:t>
      </w:r>
      <w:r w:rsidR="002A460A">
        <w:t> </w:t>
      </w:r>
      <w:r>
        <w:t>14.</w:t>
      </w:r>
    </w:p>
  </w:footnote>
  <w:footnote w:id="444">
    <w:p w14:paraId="22D3372E" w14:textId="52BECC52" w:rsidR="009D3E03" w:rsidRDefault="009D3E03">
      <w:pPr>
        <w:pStyle w:val="FootnoteText"/>
      </w:pPr>
      <w:r>
        <w:rPr>
          <w:rStyle w:val="FootnoteReference"/>
        </w:rPr>
        <w:footnoteRef/>
      </w:r>
      <w:r>
        <w:t xml:space="preserve"> </w:t>
      </w:r>
      <w:r>
        <w:t>CALSSA Opening Comments to November</w:t>
      </w:r>
      <w:r w:rsidR="002A460A">
        <w:t> </w:t>
      </w:r>
      <w:r>
        <w:t>10,</w:t>
      </w:r>
      <w:r w:rsidR="002A460A">
        <w:t> </w:t>
      </w:r>
      <w:r>
        <w:t>2022 Proposed Decision at</w:t>
      </w:r>
      <w:r w:rsidR="002A460A">
        <w:t> </w:t>
      </w:r>
      <w:r>
        <w:t>13.</w:t>
      </w:r>
    </w:p>
  </w:footnote>
  <w:footnote w:id="445">
    <w:p w14:paraId="774E87CC" w14:textId="45BD555B" w:rsidR="00420E6C" w:rsidRDefault="00420E6C">
      <w:pPr>
        <w:pStyle w:val="FootnoteText"/>
      </w:pPr>
      <w:r>
        <w:rPr>
          <w:rStyle w:val="FootnoteReference"/>
        </w:rPr>
        <w:footnoteRef/>
      </w:r>
      <w:r w:rsidR="006746E0">
        <w:t xml:space="preserve"> </w:t>
      </w:r>
      <w:r>
        <w:t xml:space="preserve"> IOU</w:t>
      </w:r>
      <w:r w:rsidR="00827602">
        <w:noBreakHyphen/>
      </w:r>
      <w:r>
        <w:t>02</w:t>
      </w:r>
      <w:r w:rsidR="000B3DA8">
        <w:t xml:space="preserve"> at 5</w:t>
      </w:r>
      <w:r>
        <w:t>5</w:t>
      </w:r>
      <w:r w:rsidR="00827602">
        <w:noBreakHyphen/>
      </w:r>
      <w:r>
        <w:t>56.</w:t>
      </w:r>
    </w:p>
  </w:footnote>
  <w:footnote w:id="446">
    <w:p w14:paraId="67F24F18" w14:textId="32FDB35C" w:rsidR="006E3F76" w:rsidRDefault="006E3F76" w:rsidP="006E3F76">
      <w:pPr>
        <w:pStyle w:val="FootnoteText"/>
      </w:pPr>
      <w:r>
        <w:rPr>
          <w:rStyle w:val="FootnoteReference"/>
        </w:rPr>
        <w:footnoteRef/>
      </w:r>
      <w:r>
        <w:t xml:space="preserve"> </w:t>
      </w:r>
      <w:r w:rsidR="00B83072">
        <w:t xml:space="preserve"> </w:t>
      </w:r>
      <w:r>
        <w:t>D.16</w:t>
      </w:r>
      <w:r w:rsidR="00827602">
        <w:noBreakHyphen/>
      </w:r>
      <w:r>
        <w:t>01</w:t>
      </w:r>
      <w:r w:rsidR="00827602">
        <w:noBreakHyphen/>
      </w:r>
      <w:r>
        <w:t>044</w:t>
      </w:r>
      <w:r w:rsidR="000B3DA8">
        <w:t xml:space="preserve"> at 1</w:t>
      </w:r>
      <w:r>
        <w:t>01.</w:t>
      </w:r>
    </w:p>
  </w:footnote>
  <w:footnote w:id="447">
    <w:p w14:paraId="55D135E4" w14:textId="4C00D5FE" w:rsidR="006E3F76" w:rsidRPr="00710541" w:rsidRDefault="006E3F76" w:rsidP="006E3F76">
      <w:pPr>
        <w:pStyle w:val="FootnoteText"/>
        <w:rPr>
          <w:b/>
          <w:bCs/>
        </w:rPr>
      </w:pPr>
      <w:r>
        <w:rPr>
          <w:rStyle w:val="FootnoteReference"/>
        </w:rPr>
        <w:footnoteRef/>
      </w:r>
      <w:r>
        <w:t xml:space="preserve"> </w:t>
      </w:r>
      <w:r w:rsidR="00B83072">
        <w:t xml:space="preserve"> </w:t>
      </w:r>
      <w:bookmarkStart w:id="212" w:name="_Hlk118190310"/>
      <w:r w:rsidR="00E27AE8">
        <w:t>S</w:t>
      </w:r>
      <w:r w:rsidR="00E27AE8" w:rsidRPr="00297F84">
        <w:t>B </w:t>
      </w:r>
      <w:r w:rsidRPr="00297F84">
        <w:t>1 (2006, Murray) added Public Resources Code Chapter</w:t>
      </w:r>
      <w:r w:rsidR="00710541" w:rsidRPr="00297F84">
        <w:t> </w:t>
      </w:r>
      <w:r w:rsidRPr="00297F84">
        <w:t xml:space="preserve">8.8 ‘California Solar Initiative’, </w:t>
      </w:r>
      <w:r w:rsidR="0034029C" w:rsidRPr="00297F84">
        <w:t>Section 2</w:t>
      </w:r>
      <w:r w:rsidRPr="00297F84">
        <w:t>5782(a</w:t>
      </w:r>
      <w:r w:rsidR="00710541" w:rsidRPr="00297F84">
        <w:t>)</w:t>
      </w:r>
      <w:r w:rsidR="00827602">
        <w:noBreakHyphen/>
      </w:r>
      <w:r w:rsidR="00710541" w:rsidRPr="00297F84">
        <w:t>(</w:t>
      </w:r>
      <w:r w:rsidRPr="00297F84">
        <w:t>d)</w:t>
      </w:r>
      <w:r w:rsidR="00710541" w:rsidRPr="00297F84">
        <w:t>.</w:t>
      </w:r>
      <w:bookmarkEnd w:id="212"/>
    </w:p>
  </w:footnote>
  <w:footnote w:id="448">
    <w:p w14:paraId="69B409A8" w14:textId="66B7FB9D" w:rsidR="004B6BDE" w:rsidRDefault="004B6BDE">
      <w:pPr>
        <w:pStyle w:val="FootnoteText"/>
      </w:pPr>
      <w:r>
        <w:rPr>
          <w:rStyle w:val="FootnoteReference"/>
        </w:rPr>
        <w:footnoteRef/>
      </w:r>
      <w:r>
        <w:t xml:space="preserve"> Joint Utilities Opening Comments to November</w:t>
      </w:r>
      <w:r w:rsidR="002B00BF">
        <w:t> </w:t>
      </w:r>
      <w:r>
        <w:t>10,</w:t>
      </w:r>
      <w:r w:rsidR="002B00BF">
        <w:t> </w:t>
      </w:r>
      <w:r>
        <w:t>2022 Proposed Decision at</w:t>
      </w:r>
      <w:r w:rsidR="002B00BF">
        <w:t> </w:t>
      </w:r>
      <w:r>
        <w:t>11</w:t>
      </w:r>
      <w:r w:rsidR="003D1BC9">
        <w:noBreakHyphen/>
      </w:r>
      <w:r w:rsidR="0046614C">
        <w:t>12</w:t>
      </w:r>
      <w:r>
        <w:t>.</w:t>
      </w:r>
    </w:p>
  </w:footnote>
  <w:footnote w:id="449">
    <w:p w14:paraId="3253D6E5" w14:textId="22D4B796" w:rsidR="0046614C" w:rsidRDefault="0046614C">
      <w:pPr>
        <w:pStyle w:val="FootnoteText"/>
      </w:pPr>
      <w:r>
        <w:rPr>
          <w:rStyle w:val="FootnoteReference"/>
        </w:rPr>
        <w:footnoteRef/>
      </w:r>
      <w:r>
        <w:t xml:space="preserve"> Aurora Reply Comments to November</w:t>
      </w:r>
      <w:r w:rsidR="002B00BF">
        <w:t> </w:t>
      </w:r>
      <w:r>
        <w:t>10,</w:t>
      </w:r>
      <w:r w:rsidR="002B00BF">
        <w:t> </w:t>
      </w:r>
      <w:r>
        <w:t>2022 Proposed Decision at</w:t>
      </w:r>
      <w:r w:rsidR="002B00BF">
        <w:t> </w:t>
      </w:r>
      <w:r>
        <w:t>5</w:t>
      </w:r>
      <w:r w:rsidR="003D1BC9">
        <w:noBreakHyphen/>
      </w:r>
      <w:r>
        <w:t>6.</w:t>
      </w:r>
    </w:p>
  </w:footnote>
  <w:footnote w:id="450">
    <w:p w14:paraId="003F6E5B" w14:textId="48580A1C" w:rsidR="00416685" w:rsidRDefault="00416685">
      <w:pPr>
        <w:pStyle w:val="FootnoteText"/>
      </w:pPr>
      <w:r>
        <w:rPr>
          <w:rStyle w:val="FootnoteReference"/>
        </w:rPr>
        <w:footnoteRef/>
      </w:r>
      <w:r>
        <w:t xml:space="preserve"> </w:t>
      </w:r>
      <w:r w:rsidR="006746E0">
        <w:t xml:space="preserve"> </w:t>
      </w:r>
      <w:r>
        <w:t>CSA</w:t>
      </w:r>
      <w:r w:rsidR="00827602">
        <w:noBreakHyphen/>
      </w:r>
      <w:r>
        <w:t>32</w:t>
      </w:r>
      <w:r w:rsidR="000B3DA8">
        <w:t xml:space="preserve"> at 3</w:t>
      </w:r>
      <w:r>
        <w:t>4</w:t>
      </w:r>
      <w:r w:rsidR="00827602">
        <w:noBreakHyphen/>
      </w:r>
      <w:r>
        <w:t>35, 38</w:t>
      </w:r>
      <w:r w:rsidR="00827602">
        <w:noBreakHyphen/>
      </w:r>
      <w:r>
        <w:t>39, 53</w:t>
      </w:r>
      <w:r w:rsidR="00827602">
        <w:noBreakHyphen/>
      </w:r>
      <w:r>
        <w:t xml:space="preserve">54, </w:t>
      </w:r>
      <w:r w:rsidR="0051031D">
        <w:t xml:space="preserve">and </w:t>
      </w:r>
      <w:r>
        <w:t>57</w:t>
      </w:r>
      <w:r w:rsidR="00827602">
        <w:noBreakHyphen/>
      </w:r>
      <w:r>
        <w:t>58.</w:t>
      </w:r>
    </w:p>
  </w:footnote>
  <w:footnote w:id="451">
    <w:p w14:paraId="6F5190DC" w14:textId="1CEF8BA9" w:rsidR="00D0382F" w:rsidRPr="0063305D" w:rsidRDefault="00D0382F">
      <w:pPr>
        <w:pStyle w:val="FootnoteText"/>
        <w:rPr>
          <w:b/>
          <w:bCs/>
        </w:rPr>
      </w:pPr>
      <w:r>
        <w:rPr>
          <w:rStyle w:val="FootnoteReference"/>
        </w:rPr>
        <w:footnoteRef/>
      </w:r>
      <w:r>
        <w:t xml:space="preserve"> </w:t>
      </w:r>
      <w:r w:rsidR="00004D9E">
        <w:t xml:space="preserve"> </w:t>
      </w:r>
      <w:r w:rsidR="00004D9E" w:rsidRPr="00004D9E">
        <w:t>Commercial customers’ cost shifts are larger due to having larger solar systems.</w:t>
      </w:r>
    </w:p>
  </w:footnote>
  <w:footnote w:id="452">
    <w:p w14:paraId="07415870" w14:textId="3C1AE8A8" w:rsidR="003A4C25" w:rsidRDefault="003A4C25">
      <w:pPr>
        <w:pStyle w:val="FootnoteText"/>
      </w:pPr>
      <w:r>
        <w:rPr>
          <w:rStyle w:val="FootnoteReference"/>
        </w:rPr>
        <w:footnoteRef/>
      </w:r>
      <w:r>
        <w:t xml:space="preserve"> </w:t>
      </w:r>
      <w:r w:rsidR="006746E0">
        <w:t xml:space="preserve"> </w:t>
      </w:r>
      <w:r>
        <w:t xml:space="preserve">GRID </w:t>
      </w:r>
      <w:r w:rsidR="001C71AF">
        <w:rPr>
          <w:i/>
          <w:iCs/>
        </w:rPr>
        <w:t>et al</w:t>
      </w:r>
      <w:r w:rsidRPr="006746E0">
        <w:rPr>
          <w:i/>
          <w:iCs/>
        </w:rPr>
        <w:t>.</w:t>
      </w:r>
      <w:r>
        <w:t xml:space="preserve"> Opening Brief</w:t>
      </w:r>
      <w:r w:rsidR="000B3DA8">
        <w:t xml:space="preserve"> at 2</w:t>
      </w:r>
      <w:r>
        <w:t>0 citing GRD</w:t>
      </w:r>
      <w:r w:rsidR="00827602">
        <w:noBreakHyphen/>
      </w:r>
      <w:r>
        <w:t>01</w:t>
      </w:r>
      <w:r w:rsidR="000B3DA8">
        <w:t xml:space="preserve"> at 8</w:t>
      </w:r>
      <w:r>
        <w:t>.</w:t>
      </w:r>
    </w:p>
  </w:footnote>
  <w:footnote w:id="453">
    <w:p w14:paraId="1FD8B2C0" w14:textId="4AF3BC65" w:rsidR="003A4C25" w:rsidRDefault="003A4C25">
      <w:pPr>
        <w:pStyle w:val="FootnoteText"/>
      </w:pPr>
      <w:r>
        <w:rPr>
          <w:rStyle w:val="FootnoteReference"/>
        </w:rPr>
        <w:footnoteRef/>
      </w:r>
      <w:r>
        <w:t xml:space="preserve"> </w:t>
      </w:r>
      <w:r w:rsidR="006746E0">
        <w:t xml:space="preserve"> </w:t>
      </w:r>
      <w:r>
        <w:t xml:space="preserve">GRID </w:t>
      </w:r>
      <w:r w:rsidR="001C71AF">
        <w:rPr>
          <w:i/>
          <w:iCs/>
        </w:rPr>
        <w:t>et al</w:t>
      </w:r>
      <w:r>
        <w:t>. Opening Brief</w:t>
      </w:r>
      <w:r w:rsidR="000B3DA8">
        <w:t xml:space="preserve"> at 2</w:t>
      </w:r>
      <w:r>
        <w:t>1.</w:t>
      </w:r>
    </w:p>
  </w:footnote>
  <w:footnote w:id="454">
    <w:p w14:paraId="0F1482E3" w14:textId="430595CA" w:rsidR="002308CF" w:rsidRDefault="002308CF">
      <w:pPr>
        <w:pStyle w:val="FootnoteText"/>
      </w:pPr>
      <w:r>
        <w:rPr>
          <w:rStyle w:val="FootnoteReference"/>
        </w:rPr>
        <w:footnoteRef/>
      </w:r>
      <w:r>
        <w:t xml:space="preserve"> </w:t>
      </w:r>
      <w:r w:rsidR="006746E0">
        <w:t xml:space="preserve"> </w:t>
      </w:r>
      <w:r>
        <w:t>SEIA/Vote Solar Opening Brief</w:t>
      </w:r>
      <w:r w:rsidR="000B3DA8">
        <w:t xml:space="preserve"> at 4</w:t>
      </w:r>
      <w:r>
        <w:t xml:space="preserve">, </w:t>
      </w:r>
      <w:r w:rsidR="0046297A">
        <w:t>footnote </w:t>
      </w:r>
      <w:r>
        <w:t>7 citing GRD</w:t>
      </w:r>
      <w:r w:rsidR="00827602">
        <w:noBreakHyphen/>
      </w:r>
      <w:r>
        <w:t>01.</w:t>
      </w:r>
    </w:p>
  </w:footnote>
  <w:footnote w:id="455">
    <w:p w14:paraId="056FF18E" w14:textId="474438D5" w:rsidR="00525F9E" w:rsidRDefault="00525F9E">
      <w:pPr>
        <w:pStyle w:val="FootnoteText"/>
      </w:pPr>
      <w:r>
        <w:rPr>
          <w:rStyle w:val="FootnoteReference"/>
        </w:rPr>
        <w:footnoteRef/>
      </w:r>
      <w:r>
        <w:t xml:space="preserve"> </w:t>
      </w:r>
      <w:r w:rsidR="006746E0">
        <w:t xml:space="preserve"> </w:t>
      </w:r>
      <w:r>
        <w:t>CALSSA Opening Brief</w:t>
      </w:r>
      <w:r w:rsidR="000B3DA8">
        <w:t xml:space="preserve"> at 5</w:t>
      </w:r>
      <w:r>
        <w:t>8 citing CSA</w:t>
      </w:r>
      <w:r w:rsidR="00827602">
        <w:noBreakHyphen/>
      </w:r>
      <w:r>
        <w:t>01</w:t>
      </w:r>
      <w:r w:rsidR="000B3DA8">
        <w:t xml:space="preserve"> at 2</w:t>
      </w:r>
      <w:r>
        <w:t>2:13 to 23:3.</w:t>
      </w:r>
    </w:p>
  </w:footnote>
  <w:footnote w:id="456">
    <w:p w14:paraId="60F759AA" w14:textId="61C778FF" w:rsidR="002308CF" w:rsidRDefault="002308CF">
      <w:pPr>
        <w:pStyle w:val="FootnoteText"/>
      </w:pPr>
      <w:r>
        <w:rPr>
          <w:rStyle w:val="FootnoteReference"/>
        </w:rPr>
        <w:footnoteRef/>
      </w:r>
      <w:r>
        <w:t xml:space="preserve"> </w:t>
      </w:r>
      <w:r w:rsidR="006746E0">
        <w:t xml:space="preserve"> </w:t>
      </w:r>
      <w:r>
        <w:t>CALSSA Opening Brief</w:t>
      </w:r>
      <w:r w:rsidR="000B3DA8">
        <w:t xml:space="preserve"> at 5</w:t>
      </w:r>
      <w:r>
        <w:t>8.</w:t>
      </w:r>
    </w:p>
  </w:footnote>
  <w:footnote w:id="457">
    <w:p w14:paraId="31F48F1F" w14:textId="590C0049" w:rsidR="00D752F8" w:rsidRDefault="00D752F8">
      <w:pPr>
        <w:pStyle w:val="FootnoteText"/>
      </w:pPr>
      <w:r>
        <w:rPr>
          <w:rStyle w:val="FootnoteReference"/>
        </w:rPr>
        <w:footnoteRef/>
      </w:r>
      <w:r>
        <w:t xml:space="preserve"> </w:t>
      </w:r>
      <w:r w:rsidR="006746E0">
        <w:t xml:space="preserve"> </w:t>
      </w:r>
      <w:r>
        <w:t>Joint Utilities Opening Brief</w:t>
      </w:r>
      <w:r w:rsidR="000B3DA8">
        <w:t xml:space="preserve"> at 7</w:t>
      </w:r>
      <w:r>
        <w:t>5.</w:t>
      </w:r>
    </w:p>
  </w:footnote>
  <w:footnote w:id="458">
    <w:p w14:paraId="48954F98" w14:textId="3751181B" w:rsidR="00D752F8" w:rsidRDefault="00D752F8">
      <w:pPr>
        <w:pStyle w:val="FootnoteText"/>
      </w:pPr>
      <w:r>
        <w:rPr>
          <w:rStyle w:val="FootnoteReference"/>
        </w:rPr>
        <w:footnoteRef/>
      </w:r>
      <w:r>
        <w:t xml:space="preserve"> </w:t>
      </w:r>
      <w:r w:rsidR="006746E0">
        <w:t xml:space="preserve"> </w:t>
      </w:r>
      <w:r>
        <w:t>Joint Utilities Opening Brief</w:t>
      </w:r>
      <w:r w:rsidR="000B3DA8">
        <w:t xml:space="preserve"> at 7</w:t>
      </w:r>
      <w:r>
        <w:t>5</w:t>
      </w:r>
      <w:r w:rsidR="00827602">
        <w:noBreakHyphen/>
      </w:r>
      <w:r>
        <w:t>76.</w:t>
      </w:r>
    </w:p>
  </w:footnote>
  <w:footnote w:id="459">
    <w:p w14:paraId="2C929A6A" w14:textId="26ADC65C" w:rsidR="00B3736D" w:rsidRDefault="00B3736D">
      <w:pPr>
        <w:pStyle w:val="FootnoteText"/>
      </w:pPr>
      <w:r>
        <w:rPr>
          <w:rStyle w:val="FootnoteReference"/>
        </w:rPr>
        <w:footnoteRef/>
      </w:r>
      <w:r>
        <w:t xml:space="preserve"> </w:t>
      </w:r>
      <w:r w:rsidR="006746E0">
        <w:t xml:space="preserve"> </w:t>
      </w:r>
      <w:r>
        <w:t>Joint Utilities Opening Brief</w:t>
      </w:r>
      <w:r w:rsidR="000B3DA8">
        <w:t xml:space="preserve"> at 7</w:t>
      </w:r>
      <w:r>
        <w:t>7 citing IOU</w:t>
      </w:r>
      <w:r w:rsidR="00827602">
        <w:noBreakHyphen/>
      </w:r>
      <w:r>
        <w:t>01</w:t>
      </w:r>
      <w:r w:rsidR="000B3DA8">
        <w:t xml:space="preserve"> at 1</w:t>
      </w:r>
      <w:r>
        <w:t>72.</w:t>
      </w:r>
    </w:p>
  </w:footnote>
  <w:footnote w:id="460">
    <w:p w14:paraId="3976DDBF" w14:textId="485E6E00" w:rsidR="00900FA4" w:rsidRDefault="00900FA4">
      <w:pPr>
        <w:pStyle w:val="FootnoteText"/>
      </w:pPr>
      <w:r>
        <w:rPr>
          <w:rStyle w:val="FootnoteReference"/>
        </w:rPr>
        <w:footnoteRef/>
      </w:r>
      <w:r>
        <w:t xml:space="preserve"> </w:t>
      </w:r>
      <w:r w:rsidR="006746E0">
        <w:t xml:space="preserve"> </w:t>
      </w:r>
      <w:r>
        <w:t>Joint Utilities Opening Brief</w:t>
      </w:r>
      <w:r w:rsidR="000B3DA8">
        <w:t xml:space="preserve"> at 7</w:t>
      </w:r>
      <w:r>
        <w:t>8 citing IOU</w:t>
      </w:r>
      <w:r w:rsidR="00827602">
        <w:noBreakHyphen/>
      </w:r>
      <w:r>
        <w:t>01</w:t>
      </w:r>
      <w:r w:rsidR="000B3DA8">
        <w:t xml:space="preserve"> at 1</w:t>
      </w:r>
      <w:r>
        <w:t>78.</w:t>
      </w:r>
    </w:p>
  </w:footnote>
  <w:footnote w:id="461">
    <w:p w14:paraId="449D0900" w14:textId="5CE9D028" w:rsidR="00E419F3" w:rsidRDefault="00E419F3">
      <w:pPr>
        <w:pStyle w:val="FootnoteText"/>
      </w:pPr>
      <w:r>
        <w:rPr>
          <w:rStyle w:val="FootnoteReference"/>
        </w:rPr>
        <w:footnoteRef/>
      </w:r>
      <w:r>
        <w:t xml:space="preserve"> </w:t>
      </w:r>
      <w:r w:rsidR="006746E0">
        <w:t xml:space="preserve"> </w:t>
      </w:r>
      <w:r>
        <w:t>NRDC Opening Brief</w:t>
      </w:r>
      <w:r w:rsidR="000B3DA8">
        <w:t xml:space="preserve"> at 3</w:t>
      </w:r>
      <w:r w:rsidR="000A40C9">
        <w:t>2.</w:t>
      </w:r>
    </w:p>
  </w:footnote>
  <w:footnote w:id="462">
    <w:p w14:paraId="751183CC" w14:textId="03F33EF7" w:rsidR="000A40C9" w:rsidRDefault="000A40C9">
      <w:pPr>
        <w:pStyle w:val="FootnoteText"/>
      </w:pPr>
      <w:r>
        <w:rPr>
          <w:rStyle w:val="FootnoteReference"/>
        </w:rPr>
        <w:footnoteRef/>
      </w:r>
      <w:r>
        <w:t xml:space="preserve"> </w:t>
      </w:r>
      <w:r w:rsidR="006746E0">
        <w:t xml:space="preserve"> </w:t>
      </w:r>
      <w:r>
        <w:t>NRDC Opening Brief</w:t>
      </w:r>
      <w:r w:rsidR="000B3DA8">
        <w:t xml:space="preserve"> at 3</w:t>
      </w:r>
      <w:r>
        <w:t>2.</w:t>
      </w:r>
    </w:p>
  </w:footnote>
  <w:footnote w:id="463">
    <w:p w14:paraId="7025D433" w14:textId="730DE4DD" w:rsidR="00BD0E25" w:rsidRDefault="00BD0E25">
      <w:pPr>
        <w:pStyle w:val="FootnoteText"/>
      </w:pPr>
      <w:r>
        <w:rPr>
          <w:rStyle w:val="FootnoteReference"/>
        </w:rPr>
        <w:footnoteRef/>
      </w:r>
      <w:r>
        <w:t xml:space="preserve"> </w:t>
      </w:r>
      <w:r w:rsidR="006746E0">
        <w:t xml:space="preserve"> </w:t>
      </w:r>
      <w:r w:rsidR="009355F1">
        <w:t>Cal Advoc</w:t>
      </w:r>
      <w:r>
        <w:t>ates Opening Brief</w:t>
      </w:r>
      <w:r w:rsidR="000B3DA8">
        <w:t xml:space="preserve"> at 3</w:t>
      </w:r>
      <w:r>
        <w:t>0 citing PAO</w:t>
      </w:r>
      <w:r w:rsidR="00827602">
        <w:noBreakHyphen/>
      </w:r>
      <w:r>
        <w:t>01</w:t>
      </w:r>
      <w:r w:rsidR="000B3DA8">
        <w:t xml:space="preserve"> at 3</w:t>
      </w:r>
      <w:r w:rsidR="00827602">
        <w:noBreakHyphen/>
      </w:r>
      <w:r>
        <w:t xml:space="preserve">56 and </w:t>
      </w:r>
      <w:r w:rsidR="0046297A">
        <w:t>footnote </w:t>
      </w:r>
      <w:r>
        <w:t>330.</w:t>
      </w:r>
    </w:p>
  </w:footnote>
  <w:footnote w:id="464">
    <w:p w14:paraId="6083D50C" w14:textId="091FCAF4" w:rsidR="00266037" w:rsidRDefault="00266037">
      <w:pPr>
        <w:pStyle w:val="FootnoteText"/>
      </w:pPr>
      <w:r>
        <w:rPr>
          <w:rStyle w:val="FootnoteReference"/>
        </w:rPr>
        <w:footnoteRef/>
      </w:r>
      <w:r>
        <w:t xml:space="preserve"> </w:t>
      </w:r>
      <w:r w:rsidR="006746E0">
        <w:t xml:space="preserve"> </w:t>
      </w:r>
      <w:r w:rsidR="009355F1">
        <w:t>Cal Advoc</w:t>
      </w:r>
      <w:r>
        <w:t>ates Opening Brief</w:t>
      </w:r>
      <w:r w:rsidR="000B3DA8">
        <w:t xml:space="preserve"> at 3</w:t>
      </w:r>
      <w:r>
        <w:t>0 citing P</w:t>
      </w:r>
      <w:r w:rsidR="00BD0E25">
        <w:t>AO</w:t>
      </w:r>
      <w:r w:rsidR="00827602">
        <w:noBreakHyphen/>
      </w:r>
      <w:r>
        <w:t>01</w:t>
      </w:r>
      <w:r w:rsidR="000B3DA8">
        <w:t xml:space="preserve"> at 3</w:t>
      </w:r>
      <w:r w:rsidR="00827602">
        <w:noBreakHyphen/>
      </w:r>
      <w:r>
        <w:t>55 to 3</w:t>
      </w:r>
      <w:r w:rsidR="00827602">
        <w:noBreakHyphen/>
      </w:r>
      <w:r>
        <w:t xml:space="preserve">56 and </w:t>
      </w:r>
      <w:r w:rsidR="0046297A">
        <w:t>footnote </w:t>
      </w:r>
      <w:r>
        <w:t>330.</w:t>
      </w:r>
    </w:p>
  </w:footnote>
  <w:footnote w:id="465">
    <w:p w14:paraId="244BFE0E" w14:textId="3516A6F6" w:rsidR="006549C5" w:rsidRDefault="006549C5">
      <w:pPr>
        <w:pStyle w:val="FootnoteText"/>
      </w:pPr>
      <w:r>
        <w:rPr>
          <w:rStyle w:val="FootnoteReference"/>
        </w:rPr>
        <w:footnoteRef/>
      </w:r>
      <w:r>
        <w:t xml:space="preserve"> </w:t>
      </w:r>
      <w:r w:rsidR="006746E0">
        <w:t xml:space="preserve"> </w:t>
      </w:r>
      <w:r>
        <w:t>PAO</w:t>
      </w:r>
      <w:r w:rsidR="00827602">
        <w:noBreakHyphen/>
      </w:r>
      <w:r>
        <w:t>01</w:t>
      </w:r>
      <w:r w:rsidR="000B3DA8">
        <w:t xml:space="preserve"> at 3</w:t>
      </w:r>
      <w:r w:rsidR="00827602">
        <w:noBreakHyphen/>
      </w:r>
      <w:r>
        <w:t>59.</w:t>
      </w:r>
    </w:p>
  </w:footnote>
  <w:footnote w:id="466">
    <w:p w14:paraId="76D6E03E" w14:textId="77DBA60A" w:rsidR="00CB7003" w:rsidRDefault="00CB7003">
      <w:pPr>
        <w:pStyle w:val="FootnoteText"/>
      </w:pPr>
      <w:r>
        <w:rPr>
          <w:rStyle w:val="FootnoteReference"/>
        </w:rPr>
        <w:footnoteRef/>
      </w:r>
      <w:r>
        <w:t xml:space="preserve"> </w:t>
      </w:r>
      <w:r w:rsidR="006746E0">
        <w:t xml:space="preserve"> </w:t>
      </w:r>
      <w:r>
        <w:t>PCF Opening Brief</w:t>
      </w:r>
      <w:r w:rsidR="000B3DA8">
        <w:t xml:space="preserve"> at 6</w:t>
      </w:r>
      <w:r>
        <w:t>1.</w:t>
      </w:r>
    </w:p>
  </w:footnote>
  <w:footnote w:id="467">
    <w:p w14:paraId="1D234320" w14:textId="349C2482" w:rsidR="00CB7003" w:rsidRDefault="00CB7003">
      <w:pPr>
        <w:pStyle w:val="FootnoteText"/>
      </w:pPr>
      <w:r>
        <w:rPr>
          <w:rStyle w:val="FootnoteReference"/>
        </w:rPr>
        <w:footnoteRef/>
      </w:r>
      <w:r>
        <w:t xml:space="preserve"> </w:t>
      </w:r>
      <w:r w:rsidR="006746E0">
        <w:t xml:space="preserve"> </w:t>
      </w:r>
      <w:r>
        <w:t>PCF Opening Brief</w:t>
      </w:r>
      <w:r w:rsidR="000B3DA8">
        <w:t xml:space="preserve"> at 6</w:t>
      </w:r>
      <w:r>
        <w:t>1.</w:t>
      </w:r>
    </w:p>
  </w:footnote>
  <w:footnote w:id="468">
    <w:p w14:paraId="75F92F90" w14:textId="77777777" w:rsidR="00985188" w:rsidRDefault="00985188" w:rsidP="00985188">
      <w:pPr>
        <w:pStyle w:val="FootnoteText"/>
      </w:pPr>
      <w:r>
        <w:rPr>
          <w:rStyle w:val="FootnoteReference"/>
        </w:rPr>
        <w:footnoteRef/>
      </w:r>
      <w:r>
        <w:t xml:space="preserve">  Lookback Study at 94.</w:t>
      </w:r>
    </w:p>
  </w:footnote>
  <w:footnote w:id="469">
    <w:p w14:paraId="73A2A171" w14:textId="77777777" w:rsidR="00985188" w:rsidRDefault="00985188" w:rsidP="00985188">
      <w:pPr>
        <w:pStyle w:val="FootnoteText"/>
      </w:pPr>
      <w:r>
        <w:rPr>
          <w:rStyle w:val="FootnoteReference"/>
        </w:rPr>
        <w:footnoteRef/>
      </w:r>
      <w:r>
        <w:t xml:space="preserve">  Lookback Study at 94.</w:t>
      </w:r>
    </w:p>
  </w:footnote>
  <w:footnote w:id="470">
    <w:p w14:paraId="70737812" w14:textId="5B52032F" w:rsidR="004E4E1A" w:rsidRDefault="004E4E1A">
      <w:pPr>
        <w:pStyle w:val="FootnoteText"/>
      </w:pPr>
      <w:r>
        <w:rPr>
          <w:rStyle w:val="FootnoteReference"/>
        </w:rPr>
        <w:footnoteRef/>
      </w:r>
      <w:r>
        <w:t xml:space="preserve"> Lookback Study at 94.</w:t>
      </w:r>
    </w:p>
  </w:footnote>
  <w:footnote w:id="471">
    <w:p w14:paraId="06057FE8" w14:textId="2AE41AD2" w:rsidR="00EE3DB8" w:rsidRDefault="00EE3DB8">
      <w:pPr>
        <w:pStyle w:val="FootnoteText"/>
      </w:pPr>
      <w:r>
        <w:rPr>
          <w:rStyle w:val="FootnoteReference"/>
        </w:rPr>
        <w:footnoteRef/>
      </w:r>
      <w:r>
        <w:t xml:space="preserve"> </w:t>
      </w:r>
      <w:r w:rsidR="0065481A">
        <w:t xml:space="preserve"> </w:t>
      </w:r>
      <w:r w:rsidR="006549C5">
        <w:t xml:space="preserve">GRID </w:t>
      </w:r>
      <w:r w:rsidR="001C71AF">
        <w:rPr>
          <w:i/>
          <w:iCs/>
        </w:rPr>
        <w:t>et al</w:t>
      </w:r>
      <w:r w:rsidR="00F57102">
        <w:t>.</w:t>
      </w:r>
      <w:r w:rsidR="006549C5">
        <w:t xml:space="preserve"> Opening Brief</w:t>
      </w:r>
      <w:r w:rsidR="000B3DA8">
        <w:t xml:space="preserve"> at 1</w:t>
      </w:r>
      <w:r w:rsidR="006549C5">
        <w:t>7.</w:t>
      </w:r>
    </w:p>
  </w:footnote>
  <w:footnote w:id="472">
    <w:p w14:paraId="3BC88744" w14:textId="68499E05" w:rsidR="00B5044D" w:rsidRDefault="00B5044D" w:rsidP="00B5044D">
      <w:pPr>
        <w:pStyle w:val="FootnoteText"/>
      </w:pPr>
      <w:r>
        <w:rPr>
          <w:rStyle w:val="FootnoteReference"/>
        </w:rPr>
        <w:footnoteRef/>
      </w:r>
      <w:r>
        <w:t xml:space="preserve">  </w:t>
      </w:r>
      <w:r w:rsidR="009355F1">
        <w:t>Cal Advoc</w:t>
      </w:r>
      <w:r>
        <w:t>ates Opening Brief</w:t>
      </w:r>
      <w:r w:rsidR="000B3DA8">
        <w:t xml:space="preserve"> at 3</w:t>
      </w:r>
      <w:r>
        <w:t>0</w:t>
      </w:r>
      <w:r w:rsidR="00827602">
        <w:noBreakHyphen/>
      </w:r>
      <w:r>
        <w:t>31 citing PAO</w:t>
      </w:r>
      <w:r w:rsidR="00827602">
        <w:noBreakHyphen/>
      </w:r>
      <w:r>
        <w:t xml:space="preserve">01 at </w:t>
      </w:r>
      <w:r w:rsidR="0046297A">
        <w:t>footnote </w:t>
      </w:r>
      <w:r>
        <w:t>30.</w:t>
      </w:r>
    </w:p>
  </w:footnote>
  <w:footnote w:id="473">
    <w:p w14:paraId="16FA10F9" w14:textId="28F7029F" w:rsidR="00B5044D" w:rsidRDefault="00B5044D" w:rsidP="00B5044D">
      <w:pPr>
        <w:pStyle w:val="FootnoteText"/>
      </w:pPr>
      <w:r>
        <w:rPr>
          <w:rStyle w:val="FootnoteReference"/>
        </w:rPr>
        <w:footnoteRef/>
      </w:r>
      <w:r>
        <w:t xml:space="preserve">  </w:t>
      </w:r>
      <w:r w:rsidR="009355F1">
        <w:t>Cal Advoc</w:t>
      </w:r>
      <w:r>
        <w:t>ates Opening Brief</w:t>
      </w:r>
      <w:r w:rsidR="000B3DA8">
        <w:t xml:space="preserve"> at 3</w:t>
      </w:r>
      <w:r>
        <w:t>0</w:t>
      </w:r>
      <w:r w:rsidR="00827602">
        <w:noBreakHyphen/>
      </w:r>
      <w:r>
        <w:t>31 citing PAO</w:t>
      </w:r>
      <w:r w:rsidR="00827602">
        <w:noBreakHyphen/>
      </w:r>
      <w:r>
        <w:t xml:space="preserve">01 at </w:t>
      </w:r>
      <w:r w:rsidR="0046297A">
        <w:t>footnote </w:t>
      </w:r>
      <w:r>
        <w:t>30.</w:t>
      </w:r>
    </w:p>
  </w:footnote>
  <w:footnote w:id="474">
    <w:p w14:paraId="1269EF0F" w14:textId="69F1BA42" w:rsidR="00B5044D" w:rsidRDefault="00B5044D" w:rsidP="00B5044D">
      <w:pPr>
        <w:pStyle w:val="FootnoteText"/>
      </w:pPr>
      <w:r>
        <w:rPr>
          <w:rStyle w:val="FootnoteReference"/>
        </w:rPr>
        <w:footnoteRef/>
      </w:r>
      <w:r>
        <w:t xml:space="preserve">  Joint Utilities Opening Brief</w:t>
      </w:r>
      <w:r w:rsidR="000B3DA8">
        <w:t xml:space="preserve"> at 7</w:t>
      </w:r>
      <w:r>
        <w:t>8 citing IOU</w:t>
      </w:r>
      <w:r w:rsidR="00827602">
        <w:noBreakHyphen/>
      </w:r>
      <w:r>
        <w:t>01</w:t>
      </w:r>
      <w:r w:rsidR="000B3DA8">
        <w:t xml:space="preserve"> at 1</w:t>
      </w:r>
      <w:r>
        <w:t>73.</w:t>
      </w:r>
    </w:p>
  </w:footnote>
  <w:footnote w:id="475">
    <w:p w14:paraId="6ABDEF17" w14:textId="13C3AF9B" w:rsidR="009525C0" w:rsidRDefault="009525C0">
      <w:pPr>
        <w:pStyle w:val="FootnoteText"/>
      </w:pPr>
      <w:r>
        <w:rPr>
          <w:rStyle w:val="FootnoteReference"/>
        </w:rPr>
        <w:footnoteRef/>
      </w:r>
      <w:r>
        <w:t xml:space="preserve">  </w:t>
      </w:r>
      <w:hyperlink r:id="rId10" w:history="1">
        <w:r w:rsidR="00404813" w:rsidRPr="003236D0">
          <w:rPr>
            <w:rStyle w:val="Hyperlink"/>
          </w:rPr>
          <w:t>https://ebudget.ca.gov/2022</w:t>
        </w:r>
        <w:r w:rsidR="00827602">
          <w:rPr>
            <w:rStyle w:val="Hyperlink"/>
          </w:rPr>
          <w:noBreakHyphen/>
        </w:r>
        <w:r w:rsidR="00404813" w:rsidRPr="003236D0">
          <w:rPr>
            <w:rStyle w:val="Hyperlink"/>
          </w:rPr>
          <w:t>BudgetAddendum.pdf</w:t>
        </w:r>
      </w:hyperlink>
      <w:r w:rsidR="00404813">
        <w:t xml:space="preserve"> at 5</w:t>
      </w:r>
      <w:r w:rsidR="00827602">
        <w:noBreakHyphen/>
      </w:r>
      <w:r w:rsidR="00404813">
        <w:t>6.</w:t>
      </w:r>
    </w:p>
  </w:footnote>
  <w:footnote w:id="476">
    <w:p w14:paraId="4CDA43A2" w14:textId="5A9F2C4B" w:rsidR="009525C0" w:rsidRDefault="009525C0">
      <w:pPr>
        <w:pStyle w:val="FootnoteText"/>
      </w:pPr>
      <w:r>
        <w:rPr>
          <w:rStyle w:val="FootnoteReference"/>
        </w:rPr>
        <w:footnoteRef/>
      </w:r>
      <w:r>
        <w:t xml:space="preserve"> California Department of Finance 2022</w:t>
      </w:r>
      <w:r w:rsidR="00827602">
        <w:noBreakHyphen/>
      </w:r>
      <w:r>
        <w:t>23 California State Budget Addendum</w:t>
      </w:r>
      <w:r w:rsidR="00404813">
        <w:t>.</w:t>
      </w:r>
    </w:p>
  </w:footnote>
  <w:footnote w:id="477">
    <w:p w14:paraId="53297CE8" w14:textId="62E7E9EF" w:rsidR="004F5D97" w:rsidRDefault="004F5D97">
      <w:pPr>
        <w:pStyle w:val="FootnoteText"/>
      </w:pPr>
      <w:r>
        <w:rPr>
          <w:rStyle w:val="FootnoteReference"/>
        </w:rPr>
        <w:footnoteRef/>
      </w:r>
      <w:r>
        <w:t xml:space="preserve"> Center for Biological Diversity Opening Comments to November</w:t>
      </w:r>
      <w:r w:rsidR="002B00BF">
        <w:t> </w:t>
      </w:r>
      <w:r>
        <w:t>10,</w:t>
      </w:r>
      <w:r w:rsidR="002B00BF">
        <w:t> </w:t>
      </w:r>
      <w:r>
        <w:t>2022 Proposed Decision at</w:t>
      </w:r>
      <w:r w:rsidR="002B00BF">
        <w:t> </w:t>
      </w:r>
      <w:r>
        <w:t>7.</w:t>
      </w:r>
      <w:r w:rsidR="00DE192D">
        <w:t xml:space="preserve">  </w:t>
      </w:r>
      <w:r w:rsidR="002B00BF">
        <w:t>(</w:t>
      </w:r>
      <w:r w:rsidR="00DE192D" w:rsidRPr="00A0614A">
        <w:rPr>
          <w:i/>
          <w:iCs/>
        </w:rPr>
        <w:t>See also</w:t>
      </w:r>
      <w:r w:rsidR="00DE192D">
        <w:t xml:space="preserve"> Grid </w:t>
      </w:r>
      <w:r w:rsidR="00DE192D" w:rsidRPr="007F1615">
        <w:rPr>
          <w:i/>
          <w:iCs/>
        </w:rPr>
        <w:t>et</w:t>
      </w:r>
      <w:r w:rsidR="007F1615">
        <w:rPr>
          <w:i/>
          <w:iCs/>
        </w:rPr>
        <w:t> </w:t>
      </w:r>
      <w:r w:rsidR="00DE192D" w:rsidRPr="007F1615">
        <w:rPr>
          <w:i/>
          <w:iCs/>
        </w:rPr>
        <w:t>al.</w:t>
      </w:r>
      <w:r w:rsidR="00DE192D">
        <w:t xml:space="preserve"> Opening Comments to November</w:t>
      </w:r>
      <w:r w:rsidR="002B00BF">
        <w:t> </w:t>
      </w:r>
      <w:r w:rsidR="00DE192D">
        <w:t>10,</w:t>
      </w:r>
      <w:r w:rsidR="002B00BF">
        <w:t> </w:t>
      </w:r>
      <w:r w:rsidR="00DE192D">
        <w:t>2022 Proposed Decision at Section</w:t>
      </w:r>
      <w:r w:rsidR="002B00BF">
        <w:t> </w:t>
      </w:r>
      <w:r w:rsidR="00DE192D">
        <w:t>IV.</w:t>
      </w:r>
      <w:r w:rsidR="002B00BF">
        <w:t>)</w:t>
      </w:r>
    </w:p>
  </w:footnote>
  <w:footnote w:id="478">
    <w:p w14:paraId="125E9C6B" w14:textId="1891BC5B" w:rsidR="00263629" w:rsidRDefault="00263629">
      <w:pPr>
        <w:pStyle w:val="FootnoteText"/>
      </w:pPr>
      <w:r>
        <w:rPr>
          <w:rStyle w:val="FootnoteReference"/>
        </w:rPr>
        <w:footnoteRef/>
      </w:r>
      <w:r>
        <w:t xml:space="preserve"> </w:t>
      </w:r>
      <w:r w:rsidR="0065481A">
        <w:t xml:space="preserve"> </w:t>
      </w:r>
      <w:r>
        <w:t xml:space="preserve">Order Instituting </w:t>
      </w:r>
      <w:r w:rsidR="00A27A49">
        <w:t>Rulemaking 2</w:t>
      </w:r>
      <w:r>
        <w:t>0</w:t>
      </w:r>
      <w:r w:rsidR="00827602">
        <w:noBreakHyphen/>
      </w:r>
      <w:r>
        <w:t>08</w:t>
      </w:r>
      <w:r w:rsidR="00827602">
        <w:noBreakHyphen/>
      </w:r>
      <w:r>
        <w:t>020</w:t>
      </w:r>
      <w:r w:rsidR="000B3DA8">
        <w:t xml:space="preserve"> at 7</w:t>
      </w:r>
      <w:r w:rsidR="00827602">
        <w:noBreakHyphen/>
      </w:r>
      <w:r>
        <w:t>8 stating the proceeding would coordinate with several other proceedings, listing those proceeding</w:t>
      </w:r>
      <w:r w:rsidR="00986B95">
        <w:t>s</w:t>
      </w:r>
      <w:r>
        <w:t>, but noting the coordination is not limited to those proceedings.</w:t>
      </w:r>
    </w:p>
  </w:footnote>
  <w:footnote w:id="479">
    <w:p w14:paraId="4D71FCF3" w14:textId="6B63EF8E" w:rsidR="007E0841" w:rsidRDefault="007E0841">
      <w:pPr>
        <w:pStyle w:val="FootnoteText"/>
      </w:pPr>
      <w:r>
        <w:rPr>
          <w:rStyle w:val="FootnoteReference"/>
        </w:rPr>
        <w:footnoteRef/>
      </w:r>
      <w:r>
        <w:t xml:space="preserve"> </w:t>
      </w:r>
      <w:r w:rsidR="0065481A">
        <w:t xml:space="preserve"> </w:t>
      </w:r>
      <w:r>
        <w:t>D.17</w:t>
      </w:r>
      <w:r w:rsidR="00827602">
        <w:noBreakHyphen/>
      </w:r>
      <w:r>
        <w:t>12</w:t>
      </w:r>
      <w:r w:rsidR="00827602">
        <w:noBreakHyphen/>
      </w:r>
      <w:r>
        <w:t xml:space="preserve">022 at </w:t>
      </w:r>
      <w:r w:rsidR="000B3DA8">
        <w:t>Ordering Paragraph 1</w:t>
      </w:r>
      <w:r>
        <w:t>3 requiring measurement and evaluation of SOMAH.</w:t>
      </w:r>
    </w:p>
  </w:footnote>
  <w:footnote w:id="480">
    <w:p w14:paraId="37C41BFD" w14:textId="1822ACD0" w:rsidR="00191FC2" w:rsidRDefault="007E0841">
      <w:pPr>
        <w:pStyle w:val="FootnoteText"/>
      </w:pPr>
      <w:r>
        <w:rPr>
          <w:rStyle w:val="FootnoteReference"/>
        </w:rPr>
        <w:footnoteRef/>
      </w:r>
      <w:r>
        <w:t xml:space="preserve"> </w:t>
      </w:r>
      <w:r w:rsidR="0065481A">
        <w:t xml:space="preserve"> </w:t>
      </w:r>
      <w:r>
        <w:t xml:space="preserve">The </w:t>
      </w:r>
      <w:r w:rsidR="006A4E9F">
        <w:t>October</w:t>
      </w:r>
      <w:r w:rsidR="00F758ED">
        <w:t> </w:t>
      </w:r>
      <w:r w:rsidR="00191FC2">
        <w:t>13</w:t>
      </w:r>
      <w:r>
        <w:t>,</w:t>
      </w:r>
      <w:r w:rsidR="00F758ED">
        <w:t> </w:t>
      </w:r>
      <w:r>
        <w:t>2021 report can be found at</w:t>
      </w:r>
      <w:r w:rsidR="00555CC0">
        <w:t xml:space="preserve">:  </w:t>
      </w:r>
      <w:hyperlink r:id="rId11" w:history="1">
        <w:r w:rsidR="00352EDF">
          <w:rPr>
            <w:rStyle w:val="Hyperlink"/>
          </w:rPr>
          <w:t>somah_phaseii_report_20211013_final.pdf</w:t>
        </w:r>
      </w:hyperlink>
      <w:r w:rsidR="00D846D4">
        <w:t xml:space="preserve"> </w:t>
      </w:r>
      <w:r w:rsidR="00D846D4" w:rsidRPr="00D846D4">
        <w:t>(ca.gov)</w:t>
      </w:r>
      <w:r w:rsidR="00D846D4">
        <w:t>.</w:t>
      </w:r>
      <w:r w:rsidR="00CB0FCB">
        <w:t xml:space="preserve">  </w:t>
      </w:r>
      <w:r w:rsidR="00CB0FCB">
        <w:t>SOHAH Phase</w:t>
      </w:r>
      <w:r w:rsidR="002B00BF">
        <w:t> </w:t>
      </w:r>
      <w:r w:rsidR="00CB0FCB">
        <w:t>1 Evaluation Report (</w:t>
      </w:r>
      <w:r w:rsidR="00CB0FCB" w:rsidRPr="00CA6F8E">
        <w:t>CPU0330.01</w:t>
      </w:r>
      <w:r w:rsidR="00CB0FCB">
        <w:t>), SOMAH Phase</w:t>
      </w:r>
      <w:r w:rsidR="002B00BF">
        <w:t> </w:t>
      </w:r>
      <w:r w:rsidR="00CB0FCB">
        <w:t>2 Evaluation Report (</w:t>
      </w:r>
      <w:r w:rsidR="00CB0FCB" w:rsidRPr="006E69B9">
        <w:t>CPU0330.02</w:t>
      </w:r>
      <w:r w:rsidR="00CB0FCB">
        <w:t>), and SOMAH Vendor Assessment Evaluation Report (</w:t>
      </w:r>
      <w:r w:rsidR="00CB0FCB" w:rsidRPr="006733E7">
        <w:t>CPU0330.05</w:t>
      </w:r>
      <w:r w:rsidR="00CB0FCB">
        <w:t xml:space="preserve">). </w:t>
      </w:r>
      <w:r w:rsidR="002B00BF">
        <w:t xml:space="preserve"> </w:t>
      </w:r>
      <w:r w:rsidR="00CB0FCB">
        <w:t xml:space="preserve">Retrievable from: </w:t>
      </w:r>
      <w:r w:rsidR="002B00BF">
        <w:t xml:space="preserve"> </w:t>
      </w:r>
      <w:hyperlink r:id="rId12" w:history="1">
        <w:r w:rsidR="002B00BF" w:rsidRPr="002B00BF">
          <w:rPr>
            <w:rStyle w:val="Hyperlink"/>
          </w:rPr>
          <w:t>www.calmac.org/search.asp</w:t>
        </w:r>
      </w:hyperlink>
      <w:r w:rsidR="00CB0FCB">
        <w:t xml:space="preserve"> or </w:t>
      </w:r>
      <w:hyperlink r:id="rId13" w:history="1">
        <w:r w:rsidR="00CB0FCB" w:rsidRPr="00560409">
          <w:rPr>
            <w:rStyle w:val="Hyperlink"/>
          </w:rPr>
          <w:t>www.cpuc.ca.gov/somah</w:t>
        </w:r>
      </w:hyperlink>
      <w:r w:rsidR="002B00BF">
        <w:t>.</w:t>
      </w:r>
    </w:p>
  </w:footnote>
  <w:footnote w:id="481">
    <w:p w14:paraId="21AA1DF3" w14:textId="31159A4E" w:rsidR="00652158" w:rsidRDefault="00652158">
      <w:pPr>
        <w:pStyle w:val="FootnoteText"/>
      </w:pPr>
      <w:r>
        <w:rPr>
          <w:rStyle w:val="FootnoteReference"/>
        </w:rPr>
        <w:footnoteRef/>
      </w:r>
      <w:r>
        <w:t xml:space="preserve"> </w:t>
      </w:r>
      <w:r w:rsidR="0065481A">
        <w:t xml:space="preserve"> </w:t>
      </w:r>
      <w:r>
        <w:t>CALSSA Opening Brief</w:t>
      </w:r>
      <w:r w:rsidR="000B3DA8">
        <w:t xml:space="preserve"> at 2</w:t>
      </w:r>
      <w:r>
        <w:t>14</w:t>
      </w:r>
      <w:r w:rsidR="00827602">
        <w:noBreakHyphen/>
      </w:r>
      <w:r>
        <w:t>215 citing CSA</w:t>
      </w:r>
      <w:r w:rsidR="00827602">
        <w:noBreakHyphen/>
      </w:r>
      <w:r>
        <w:t>01</w:t>
      </w:r>
      <w:r w:rsidR="000B3DA8">
        <w:t xml:space="preserve"> at 2</w:t>
      </w:r>
      <w:r>
        <w:t>7.</w:t>
      </w:r>
    </w:p>
  </w:footnote>
  <w:footnote w:id="482">
    <w:p w14:paraId="7D2DB8EA" w14:textId="79C2C049" w:rsidR="00652158" w:rsidRDefault="00652158">
      <w:pPr>
        <w:pStyle w:val="FootnoteText"/>
      </w:pPr>
      <w:r>
        <w:rPr>
          <w:rStyle w:val="FootnoteReference"/>
        </w:rPr>
        <w:footnoteRef/>
      </w:r>
      <w:r>
        <w:t xml:space="preserve"> </w:t>
      </w:r>
      <w:r w:rsidR="0065481A">
        <w:t xml:space="preserve"> </w:t>
      </w:r>
      <w:r>
        <w:t>CALSSA Opening Brief</w:t>
      </w:r>
      <w:r w:rsidR="000B3DA8">
        <w:t xml:space="preserve"> at 2</w:t>
      </w:r>
      <w:r>
        <w:t>15 citing CSA</w:t>
      </w:r>
      <w:r w:rsidR="00827602">
        <w:noBreakHyphen/>
      </w:r>
      <w:r>
        <w:t>01</w:t>
      </w:r>
      <w:r w:rsidR="000B3DA8">
        <w:t xml:space="preserve"> at 2</w:t>
      </w:r>
      <w:r>
        <w:t>7.</w:t>
      </w:r>
    </w:p>
  </w:footnote>
  <w:footnote w:id="483">
    <w:p w14:paraId="796DA836" w14:textId="33DC0498" w:rsidR="00240EC6" w:rsidRDefault="00240EC6">
      <w:pPr>
        <w:pStyle w:val="FootnoteText"/>
      </w:pPr>
      <w:r>
        <w:rPr>
          <w:rStyle w:val="FootnoteReference"/>
        </w:rPr>
        <w:footnoteRef/>
      </w:r>
      <w:r>
        <w:t xml:space="preserve"> </w:t>
      </w:r>
      <w:r w:rsidR="0065481A">
        <w:t xml:space="preserve"> </w:t>
      </w:r>
      <w:r w:rsidR="007670A4">
        <w:t>Ivy E</w:t>
      </w:r>
      <w:r>
        <w:t>nergy Opening Brief</w:t>
      </w:r>
      <w:r w:rsidR="000B3DA8">
        <w:t xml:space="preserve"> at 3</w:t>
      </w:r>
      <w:r>
        <w:t>.</w:t>
      </w:r>
    </w:p>
  </w:footnote>
  <w:footnote w:id="484">
    <w:p w14:paraId="78CACA98" w14:textId="6493C6DE" w:rsidR="00240EC6" w:rsidRDefault="00240EC6">
      <w:pPr>
        <w:pStyle w:val="FootnoteText"/>
      </w:pPr>
      <w:r>
        <w:rPr>
          <w:rStyle w:val="FootnoteReference"/>
        </w:rPr>
        <w:footnoteRef/>
      </w:r>
      <w:r>
        <w:t xml:space="preserve"> </w:t>
      </w:r>
      <w:r w:rsidR="0065481A">
        <w:t xml:space="preserve"> </w:t>
      </w:r>
      <w:r w:rsidR="007670A4">
        <w:t>Ivy E</w:t>
      </w:r>
      <w:r>
        <w:t>nergy Opening Brief</w:t>
      </w:r>
      <w:r w:rsidR="000B3DA8">
        <w:t xml:space="preserve"> at 3</w:t>
      </w:r>
      <w:r>
        <w:t>.</w:t>
      </w:r>
    </w:p>
  </w:footnote>
  <w:footnote w:id="485">
    <w:p w14:paraId="1CBC47E9" w14:textId="3E8D11CB" w:rsidR="006E54D5" w:rsidRDefault="006E54D5">
      <w:pPr>
        <w:pStyle w:val="FootnoteText"/>
      </w:pPr>
      <w:r>
        <w:rPr>
          <w:rStyle w:val="FootnoteReference"/>
        </w:rPr>
        <w:footnoteRef/>
      </w:r>
      <w:r>
        <w:t xml:space="preserve"> </w:t>
      </w:r>
      <w:r w:rsidR="0065481A">
        <w:t xml:space="preserve"> </w:t>
      </w:r>
      <w:r>
        <w:t>Joint Utilities Opening Brief</w:t>
      </w:r>
      <w:r w:rsidR="000B3DA8">
        <w:t xml:space="preserve"> at 1</w:t>
      </w:r>
      <w:r>
        <w:t>17.</w:t>
      </w:r>
    </w:p>
  </w:footnote>
  <w:footnote w:id="486">
    <w:p w14:paraId="57369598" w14:textId="1D5E5CEA" w:rsidR="007A7CC1" w:rsidRDefault="007A7CC1" w:rsidP="007A7CC1">
      <w:pPr>
        <w:pStyle w:val="FootnoteText"/>
      </w:pPr>
      <w:r>
        <w:rPr>
          <w:rStyle w:val="FootnoteReference"/>
        </w:rPr>
        <w:footnoteRef/>
      </w:r>
      <w:r>
        <w:t xml:space="preserve"> Ivy Energy Opening Comments to November</w:t>
      </w:r>
      <w:r w:rsidR="002B00BF">
        <w:t> </w:t>
      </w:r>
      <w:r>
        <w:t>10,</w:t>
      </w:r>
      <w:r w:rsidR="002B00BF">
        <w:t> </w:t>
      </w:r>
      <w:r>
        <w:t>2022 Proposed Decision at</w:t>
      </w:r>
      <w:r w:rsidR="002B00BF">
        <w:t> </w:t>
      </w:r>
      <w:r>
        <w:t>7 citing IVY</w:t>
      </w:r>
      <w:r w:rsidR="003D1BC9">
        <w:noBreakHyphen/>
      </w:r>
      <w:r>
        <w:t>01 at</w:t>
      </w:r>
      <w:r w:rsidR="002B00BF">
        <w:t> </w:t>
      </w:r>
      <w:r>
        <w:t>6.</w:t>
      </w:r>
    </w:p>
  </w:footnote>
  <w:footnote w:id="487">
    <w:p w14:paraId="15E5BE73" w14:textId="13BE7942" w:rsidR="007A7CC1" w:rsidRDefault="007A7CC1">
      <w:pPr>
        <w:pStyle w:val="FootnoteText"/>
      </w:pPr>
      <w:r>
        <w:rPr>
          <w:rStyle w:val="FootnoteReference"/>
        </w:rPr>
        <w:footnoteRef/>
      </w:r>
      <w:r>
        <w:t xml:space="preserve"> Ivy Energy Opening Comments to November</w:t>
      </w:r>
      <w:r w:rsidR="002B00BF">
        <w:t> </w:t>
      </w:r>
      <w:r>
        <w:t>10,</w:t>
      </w:r>
      <w:r w:rsidR="002B00BF">
        <w:t> </w:t>
      </w:r>
      <w:r>
        <w:t>2022 Proposed Decision at</w:t>
      </w:r>
      <w:r w:rsidR="002B00BF">
        <w:t> </w:t>
      </w:r>
      <w:r>
        <w:t>6 and Joint Utilities Opening Comments to November</w:t>
      </w:r>
      <w:r w:rsidR="002B00BF">
        <w:t> </w:t>
      </w:r>
      <w:r>
        <w:t>10,</w:t>
      </w:r>
      <w:r w:rsidR="002B00BF">
        <w:t> </w:t>
      </w:r>
      <w:r>
        <w:t>2022 Proposed Decision at</w:t>
      </w:r>
      <w:r w:rsidR="002B00BF">
        <w:t> </w:t>
      </w:r>
      <w:r>
        <w:t>9.</w:t>
      </w:r>
      <w:r w:rsidR="00CA7FE7">
        <w:t xml:space="preserve">  </w:t>
      </w:r>
      <w:r w:rsidR="002B00BF">
        <w:t>(</w:t>
      </w:r>
      <w:r w:rsidR="00CA7FE7" w:rsidRPr="00F3775C">
        <w:rPr>
          <w:i/>
          <w:iCs/>
        </w:rPr>
        <w:t>See also</w:t>
      </w:r>
      <w:r w:rsidR="00CA7FE7">
        <w:t xml:space="preserve"> </w:t>
      </w:r>
      <w:r w:rsidR="00CA7FE7">
        <w:t>CALSSA Opening Comments to November</w:t>
      </w:r>
      <w:r w:rsidR="002B00BF">
        <w:t> </w:t>
      </w:r>
      <w:r w:rsidR="00CA7FE7">
        <w:t>10,</w:t>
      </w:r>
      <w:r w:rsidR="002B00BF">
        <w:t> </w:t>
      </w:r>
      <w:r w:rsidR="00CA7FE7">
        <w:t>2022 Proposed Decision at</w:t>
      </w:r>
      <w:r w:rsidR="002B00BF">
        <w:t> </w:t>
      </w:r>
      <w:r w:rsidR="00CA7FE7">
        <w:t>10.</w:t>
      </w:r>
      <w:r w:rsidR="002B00BF">
        <w:t>)</w:t>
      </w:r>
    </w:p>
  </w:footnote>
  <w:footnote w:id="488">
    <w:p w14:paraId="2F162974" w14:textId="7145E330" w:rsidR="00334649" w:rsidRDefault="00334649">
      <w:pPr>
        <w:pStyle w:val="FootnoteText"/>
      </w:pPr>
      <w:r>
        <w:rPr>
          <w:rStyle w:val="FootnoteReference"/>
        </w:rPr>
        <w:footnoteRef/>
      </w:r>
      <w:r>
        <w:t xml:space="preserve"> Agricultural Energy Consumers Association Opening Comments to November</w:t>
      </w:r>
      <w:r w:rsidR="002B00BF">
        <w:t> </w:t>
      </w:r>
      <w:r>
        <w:t>10,</w:t>
      </w:r>
      <w:r w:rsidR="002B00BF">
        <w:t> </w:t>
      </w:r>
      <w:r>
        <w:t>2022 Proposed Decision at</w:t>
      </w:r>
      <w:r w:rsidR="002B00BF">
        <w:t> </w:t>
      </w:r>
      <w:r>
        <w:t>7</w:t>
      </w:r>
      <w:r w:rsidR="003D1BC9">
        <w:noBreakHyphen/>
      </w:r>
      <w:r>
        <w:t>9.</w:t>
      </w:r>
    </w:p>
  </w:footnote>
  <w:footnote w:id="489">
    <w:p w14:paraId="48C7D3CD" w14:textId="54E15CA4" w:rsidR="00334649" w:rsidRDefault="00334649">
      <w:pPr>
        <w:pStyle w:val="FootnoteText"/>
      </w:pPr>
      <w:r>
        <w:rPr>
          <w:rStyle w:val="FootnoteReference"/>
        </w:rPr>
        <w:footnoteRef/>
      </w:r>
      <w:r>
        <w:t xml:space="preserve"> Agricultural Energy Consumers Association Opening Comments to November</w:t>
      </w:r>
      <w:r w:rsidR="002B00BF">
        <w:t> </w:t>
      </w:r>
      <w:r>
        <w:t>10,</w:t>
      </w:r>
      <w:r w:rsidR="002B00BF">
        <w:t> </w:t>
      </w:r>
      <w:r>
        <w:t>2022 Proposed Decision at</w:t>
      </w:r>
      <w:r w:rsidR="002B00BF">
        <w:t> </w:t>
      </w:r>
      <w:r>
        <w:t>7</w:t>
      </w:r>
      <w:r w:rsidR="003D1BC9">
        <w:noBreakHyphen/>
      </w:r>
      <w:r>
        <w:t>9.</w:t>
      </w:r>
    </w:p>
  </w:footnote>
  <w:footnote w:id="490">
    <w:p w14:paraId="4F54118B" w14:textId="2E705EAD" w:rsidR="00334649" w:rsidRDefault="00334649">
      <w:pPr>
        <w:pStyle w:val="FootnoteText"/>
      </w:pPr>
      <w:r>
        <w:rPr>
          <w:rStyle w:val="FootnoteReference"/>
        </w:rPr>
        <w:footnoteRef/>
      </w:r>
      <w:r>
        <w:t xml:space="preserve"> Agricultural Energy Consumers Association Opening Comments to November</w:t>
      </w:r>
      <w:r w:rsidR="002B00BF">
        <w:t> </w:t>
      </w:r>
      <w:r>
        <w:t>10,</w:t>
      </w:r>
      <w:r w:rsidR="002B00BF">
        <w:t> </w:t>
      </w:r>
      <w:r>
        <w:t>2022 Proposed Decision at</w:t>
      </w:r>
      <w:r w:rsidR="002B00BF">
        <w:t> </w:t>
      </w:r>
      <w:r>
        <w:t>7</w:t>
      </w:r>
      <w:r w:rsidR="003D1BC9">
        <w:noBreakHyphen/>
      </w:r>
      <w:r>
        <w:t>9.</w:t>
      </w:r>
    </w:p>
  </w:footnote>
  <w:footnote w:id="491">
    <w:p w14:paraId="6023AACF" w14:textId="44B46AF7" w:rsidR="00334649" w:rsidRDefault="00334649">
      <w:pPr>
        <w:pStyle w:val="FootnoteText"/>
      </w:pPr>
      <w:r>
        <w:rPr>
          <w:rStyle w:val="FootnoteReference"/>
        </w:rPr>
        <w:footnoteRef/>
      </w:r>
      <w:r>
        <w:t xml:space="preserve"> Agricultural Energy Consumers Association Opening Comments to November</w:t>
      </w:r>
      <w:r w:rsidR="002B00BF">
        <w:t> </w:t>
      </w:r>
      <w:r>
        <w:t>10,</w:t>
      </w:r>
      <w:r w:rsidR="002B00BF">
        <w:t> </w:t>
      </w:r>
      <w:r>
        <w:t>2022 Proposed Decision at</w:t>
      </w:r>
      <w:r w:rsidR="002B00BF">
        <w:t> </w:t>
      </w:r>
      <w:r>
        <w:t>7</w:t>
      </w:r>
      <w:r w:rsidR="003D1BC9">
        <w:noBreakHyphen/>
      </w:r>
      <w:r>
        <w:t>9.</w:t>
      </w:r>
    </w:p>
  </w:footnote>
  <w:footnote w:id="492">
    <w:p w14:paraId="5E6C459E" w14:textId="334C2BAF" w:rsidR="005C06A0" w:rsidRDefault="005C06A0">
      <w:pPr>
        <w:pStyle w:val="FootnoteText"/>
      </w:pPr>
      <w:r>
        <w:rPr>
          <w:rStyle w:val="FootnoteReference"/>
        </w:rPr>
        <w:footnoteRef/>
      </w:r>
      <w:r>
        <w:t xml:space="preserve"> Farm Bureau Opening Comments to November</w:t>
      </w:r>
      <w:r w:rsidR="002B00BF">
        <w:t> </w:t>
      </w:r>
      <w:r>
        <w:t>10,</w:t>
      </w:r>
      <w:r w:rsidR="002B00BF">
        <w:t> </w:t>
      </w:r>
      <w:r>
        <w:t>2022 Proposed Decision at</w:t>
      </w:r>
      <w:r w:rsidR="002B00BF">
        <w:t> </w:t>
      </w:r>
      <w:r>
        <w:t>9.</w:t>
      </w:r>
    </w:p>
  </w:footnote>
  <w:footnote w:id="493">
    <w:p w14:paraId="38117913" w14:textId="1F1C3D03" w:rsidR="00027537" w:rsidRDefault="00027537">
      <w:pPr>
        <w:pStyle w:val="FootnoteText"/>
      </w:pPr>
      <w:r>
        <w:rPr>
          <w:rStyle w:val="FootnoteReference"/>
        </w:rPr>
        <w:footnoteRef/>
      </w:r>
      <w:r>
        <w:t xml:space="preserve"> Farm Bureau Opening Comments to November</w:t>
      </w:r>
      <w:r w:rsidR="002B00BF">
        <w:t> </w:t>
      </w:r>
      <w:r>
        <w:t>10,</w:t>
      </w:r>
      <w:r w:rsidR="002B00BF">
        <w:t> </w:t>
      </w:r>
      <w:r>
        <w:t>2022 Proposed Decision at</w:t>
      </w:r>
      <w:r w:rsidR="002B00BF">
        <w:t> </w:t>
      </w:r>
      <w:r>
        <w:t>9</w:t>
      </w:r>
      <w:r w:rsidR="003D1BC9">
        <w:noBreakHyphen/>
      </w:r>
      <w:r>
        <w:t>13.</w:t>
      </w:r>
    </w:p>
  </w:footnote>
  <w:footnote w:id="494">
    <w:p w14:paraId="1847C45B" w14:textId="0337011F" w:rsidR="005B373B" w:rsidRDefault="005B373B">
      <w:pPr>
        <w:pStyle w:val="FootnoteText"/>
      </w:pPr>
      <w:r>
        <w:rPr>
          <w:rStyle w:val="FootnoteReference"/>
        </w:rPr>
        <w:footnoteRef/>
      </w:r>
      <w:r>
        <w:t xml:space="preserve"> Ivy Energy Opening Comments to November</w:t>
      </w:r>
      <w:r w:rsidR="002B00BF">
        <w:t> </w:t>
      </w:r>
      <w:r>
        <w:t>10,</w:t>
      </w:r>
      <w:r w:rsidR="002B00BF">
        <w:t> </w:t>
      </w:r>
      <w:r>
        <w:t>2022 Proposed Decision at</w:t>
      </w:r>
      <w:r w:rsidR="002B00BF">
        <w:t> </w:t>
      </w:r>
      <w:r>
        <w:t>35.</w:t>
      </w:r>
    </w:p>
  </w:footnote>
  <w:footnote w:id="495">
    <w:p w14:paraId="1F5BC445" w14:textId="1F7479CA" w:rsidR="007A4C22" w:rsidRDefault="007A4C22">
      <w:pPr>
        <w:pStyle w:val="FootnoteText"/>
      </w:pPr>
      <w:r>
        <w:rPr>
          <w:rStyle w:val="FootnoteReference"/>
        </w:rPr>
        <w:footnoteRef/>
      </w:r>
      <w:r>
        <w:t xml:space="preserve"> </w:t>
      </w:r>
      <w:r w:rsidR="0065481A">
        <w:t xml:space="preserve"> </w:t>
      </w:r>
      <w:r w:rsidR="007670A4">
        <w:t>Ivy E</w:t>
      </w:r>
      <w:r>
        <w:t>nergy Opening Brief</w:t>
      </w:r>
      <w:r w:rsidR="000B3DA8">
        <w:t xml:space="preserve"> at 5</w:t>
      </w:r>
      <w:r>
        <w:t xml:space="preserve"> citing IOU</w:t>
      </w:r>
      <w:r w:rsidR="00827602">
        <w:noBreakHyphen/>
      </w:r>
      <w:r>
        <w:t>01</w:t>
      </w:r>
      <w:r w:rsidR="000B3DA8">
        <w:t xml:space="preserve"> at 1</w:t>
      </w:r>
      <w:r>
        <w:t>56.</w:t>
      </w:r>
    </w:p>
  </w:footnote>
  <w:footnote w:id="496">
    <w:p w14:paraId="57BAC1E2" w14:textId="553056C0" w:rsidR="002A5E75" w:rsidRDefault="002A5E75">
      <w:pPr>
        <w:pStyle w:val="FootnoteText"/>
      </w:pPr>
      <w:r>
        <w:rPr>
          <w:rStyle w:val="FootnoteReference"/>
        </w:rPr>
        <w:footnoteRef/>
      </w:r>
      <w:r>
        <w:t xml:space="preserve"> </w:t>
      </w:r>
      <w:r w:rsidR="0065481A">
        <w:t xml:space="preserve"> </w:t>
      </w:r>
      <w:r w:rsidR="007670A4">
        <w:t>Ivy E</w:t>
      </w:r>
      <w:r>
        <w:t>nergy Opening Brief</w:t>
      </w:r>
      <w:r w:rsidR="000B3DA8">
        <w:t xml:space="preserve"> at 6</w:t>
      </w:r>
      <w:r>
        <w:t xml:space="preserve"> citing IOU</w:t>
      </w:r>
      <w:r w:rsidR="00827602">
        <w:noBreakHyphen/>
      </w:r>
      <w:r>
        <w:t>02</w:t>
      </w:r>
      <w:r w:rsidR="000B3DA8">
        <w:t xml:space="preserve"> at 1</w:t>
      </w:r>
      <w:r>
        <w:t>10.</w:t>
      </w:r>
    </w:p>
  </w:footnote>
  <w:footnote w:id="497">
    <w:p w14:paraId="25E3113B" w14:textId="065F7142" w:rsidR="007A4C22" w:rsidRDefault="007A4C22">
      <w:pPr>
        <w:pStyle w:val="FootnoteText"/>
      </w:pPr>
      <w:r>
        <w:rPr>
          <w:rStyle w:val="FootnoteReference"/>
        </w:rPr>
        <w:footnoteRef/>
      </w:r>
      <w:r>
        <w:t xml:space="preserve"> </w:t>
      </w:r>
      <w:r w:rsidR="0065481A">
        <w:t xml:space="preserve"> </w:t>
      </w:r>
      <w:r w:rsidR="007670A4">
        <w:t>Ivy E</w:t>
      </w:r>
      <w:r>
        <w:t xml:space="preserve">nergy </w:t>
      </w:r>
      <w:r w:rsidR="002A5E75">
        <w:t>Opening Brief</w:t>
      </w:r>
      <w:r w:rsidR="000B3DA8">
        <w:t xml:space="preserve"> at 5</w:t>
      </w:r>
      <w:r w:rsidR="00827602">
        <w:noBreakHyphen/>
      </w:r>
      <w:r w:rsidR="00D32F2E">
        <w:t>6</w:t>
      </w:r>
      <w:r>
        <w:t xml:space="preserve"> citing IVY</w:t>
      </w:r>
      <w:r w:rsidR="00827602">
        <w:noBreakHyphen/>
      </w:r>
      <w:r>
        <w:t>02</w:t>
      </w:r>
      <w:r w:rsidR="000B3DA8">
        <w:t xml:space="preserve"> at 2</w:t>
      </w:r>
      <w:r w:rsidR="00827602">
        <w:noBreakHyphen/>
      </w:r>
      <w:r>
        <w:t>4.</w:t>
      </w:r>
    </w:p>
  </w:footnote>
  <w:footnote w:id="498">
    <w:p w14:paraId="2530BBA2" w14:textId="7B211963" w:rsidR="00080346" w:rsidRDefault="00080346" w:rsidP="00080346">
      <w:pPr>
        <w:pStyle w:val="FootnoteText"/>
      </w:pPr>
      <w:r>
        <w:rPr>
          <w:rStyle w:val="FootnoteReference"/>
        </w:rPr>
        <w:footnoteRef/>
      </w:r>
      <w:r>
        <w:t xml:space="preserve"> Joint Utilities Opening Comments to November</w:t>
      </w:r>
      <w:r w:rsidR="002B00BF">
        <w:t> </w:t>
      </w:r>
      <w:r>
        <w:t>10,</w:t>
      </w:r>
      <w:r w:rsidR="002B00BF">
        <w:t> </w:t>
      </w:r>
      <w:r>
        <w:t>2022 Proposed Decision</w:t>
      </w:r>
      <w:r w:rsidRPr="004E4FA8">
        <w:t xml:space="preserve"> at</w:t>
      </w:r>
      <w:r w:rsidR="002B00BF">
        <w:t> </w:t>
      </w:r>
      <w:r>
        <w:t>10.</w:t>
      </w:r>
    </w:p>
  </w:footnote>
  <w:footnote w:id="499">
    <w:p w14:paraId="185564BA" w14:textId="50C6025C" w:rsidR="0055104D" w:rsidRDefault="0055104D">
      <w:pPr>
        <w:pStyle w:val="FootnoteText"/>
      </w:pPr>
      <w:r>
        <w:rPr>
          <w:rStyle w:val="FootnoteReference"/>
        </w:rPr>
        <w:footnoteRef/>
      </w:r>
      <w:r>
        <w:rPr>
          <w:rStyle w:val="FootnoteReference"/>
        </w:rPr>
        <w:t xml:space="preserve"> </w:t>
      </w:r>
      <w:r w:rsidR="0065481A">
        <w:rPr>
          <w:rStyle w:val="FootnoteReference"/>
        </w:rPr>
        <w:t xml:space="preserve"> </w:t>
      </w:r>
      <w:r w:rsidR="007670A4">
        <w:t>Ivy E</w:t>
      </w:r>
      <w:r>
        <w:t>nergy Opening Brief</w:t>
      </w:r>
      <w:r w:rsidR="000B3DA8">
        <w:t xml:space="preserve"> at 7</w:t>
      </w:r>
      <w:r>
        <w:t>.</w:t>
      </w:r>
    </w:p>
  </w:footnote>
  <w:footnote w:id="500">
    <w:p w14:paraId="7ECAB5BD" w14:textId="154D2E78" w:rsidR="006910E8" w:rsidRDefault="006910E8">
      <w:pPr>
        <w:pStyle w:val="FootnoteText"/>
      </w:pPr>
      <w:r>
        <w:rPr>
          <w:rStyle w:val="FootnoteReference"/>
        </w:rPr>
        <w:footnoteRef/>
      </w:r>
      <w:r>
        <w:t xml:space="preserve"> </w:t>
      </w:r>
      <w:r w:rsidR="0065481A">
        <w:t xml:space="preserve"> </w:t>
      </w:r>
      <w:r w:rsidR="007670A4">
        <w:t>Ivy E</w:t>
      </w:r>
      <w:r>
        <w:t>nergy Opening Brief</w:t>
      </w:r>
      <w:r w:rsidR="000B3DA8">
        <w:t xml:space="preserve"> at 7</w:t>
      </w:r>
      <w:r>
        <w:t xml:space="preserve"> citing Transcript </w:t>
      </w:r>
      <w:r w:rsidR="002D33CC">
        <w:t>Vol. </w:t>
      </w:r>
      <w:r>
        <w:t>5</w:t>
      </w:r>
      <w:r w:rsidR="000B3DA8">
        <w:t xml:space="preserve"> at 8</w:t>
      </w:r>
      <w:r>
        <w:t>03</w:t>
      </w:r>
      <w:r w:rsidR="00827602">
        <w:noBreakHyphen/>
      </w:r>
      <w:r>
        <w:t>804.</w:t>
      </w:r>
    </w:p>
  </w:footnote>
  <w:footnote w:id="501">
    <w:p w14:paraId="3CE910DD" w14:textId="095C799D" w:rsidR="006910E8" w:rsidRDefault="006910E8">
      <w:pPr>
        <w:pStyle w:val="FootnoteText"/>
      </w:pPr>
      <w:r>
        <w:rPr>
          <w:rStyle w:val="FootnoteReference"/>
        </w:rPr>
        <w:footnoteRef/>
      </w:r>
      <w:r>
        <w:t xml:space="preserve"> </w:t>
      </w:r>
      <w:r w:rsidR="0065481A">
        <w:t xml:space="preserve"> </w:t>
      </w:r>
      <w:r>
        <w:t>CSA</w:t>
      </w:r>
      <w:r w:rsidR="00827602">
        <w:noBreakHyphen/>
      </w:r>
      <w:r>
        <w:t>01</w:t>
      </w:r>
      <w:r w:rsidR="000B3DA8">
        <w:t xml:space="preserve"> at 8</w:t>
      </w:r>
      <w:r>
        <w:t>.</w:t>
      </w:r>
    </w:p>
  </w:footnote>
  <w:footnote w:id="502">
    <w:p w14:paraId="0359B6A4" w14:textId="3BC49E0F" w:rsidR="00E4110A" w:rsidRDefault="00E4110A" w:rsidP="00E4110A">
      <w:pPr>
        <w:pStyle w:val="FootnoteText"/>
      </w:pPr>
      <w:r>
        <w:rPr>
          <w:rStyle w:val="FootnoteReference"/>
        </w:rPr>
        <w:footnoteRef/>
      </w:r>
      <w:r>
        <w:t xml:space="preserve"> </w:t>
      </w:r>
      <w:r w:rsidR="0065481A">
        <w:t xml:space="preserve"> </w:t>
      </w:r>
      <w:r>
        <w:t>CALSSA Opening Brief</w:t>
      </w:r>
      <w:r w:rsidR="000B3DA8">
        <w:t xml:space="preserve"> at 2</w:t>
      </w:r>
      <w:r>
        <w:t>15 citing CSA</w:t>
      </w:r>
      <w:r w:rsidR="00827602">
        <w:noBreakHyphen/>
      </w:r>
      <w:r>
        <w:t>01</w:t>
      </w:r>
      <w:r w:rsidR="000B3DA8">
        <w:t xml:space="preserve"> at 2</w:t>
      </w:r>
      <w:r>
        <w:t>7.</w:t>
      </w:r>
    </w:p>
  </w:footnote>
  <w:footnote w:id="503">
    <w:p w14:paraId="6B0139DB" w14:textId="24AA4496" w:rsidR="00CA7A1D" w:rsidRDefault="00CA7A1D">
      <w:pPr>
        <w:pStyle w:val="FootnoteText"/>
      </w:pPr>
      <w:r>
        <w:rPr>
          <w:rStyle w:val="FootnoteReference"/>
        </w:rPr>
        <w:footnoteRef/>
      </w:r>
      <w:r>
        <w:t xml:space="preserve"> </w:t>
      </w:r>
      <w:r w:rsidR="0065481A">
        <w:t xml:space="preserve"> </w:t>
      </w:r>
      <w:r>
        <w:t>D.16</w:t>
      </w:r>
      <w:r w:rsidR="00827602">
        <w:noBreakHyphen/>
      </w:r>
      <w:r>
        <w:t>01</w:t>
      </w:r>
      <w:r w:rsidR="00827602">
        <w:noBreakHyphen/>
      </w:r>
      <w:r>
        <w:t>044</w:t>
      </w:r>
      <w:r w:rsidR="000B3DA8">
        <w:t xml:space="preserve"> at 8</w:t>
      </w:r>
      <w:r w:rsidR="00F17D75">
        <w:t>5</w:t>
      </w:r>
      <w:r w:rsidR="00827602">
        <w:noBreakHyphen/>
      </w:r>
      <w:r w:rsidR="00F17D75">
        <w:t>86.</w:t>
      </w:r>
    </w:p>
  </w:footnote>
  <w:footnote w:id="504">
    <w:p w14:paraId="47CB8C9B" w14:textId="28566D29" w:rsidR="00AF33DF" w:rsidRDefault="00AF33DF">
      <w:pPr>
        <w:pStyle w:val="FootnoteText"/>
      </w:pPr>
      <w:r>
        <w:rPr>
          <w:rStyle w:val="FootnoteReference"/>
        </w:rPr>
        <w:footnoteRef/>
      </w:r>
      <w:r>
        <w:t xml:space="preserve"> </w:t>
      </w:r>
      <w:r w:rsidR="00EC65F2">
        <w:t xml:space="preserve"> </w:t>
      </w:r>
      <w:r>
        <w:t>TURN Reply Brief</w:t>
      </w:r>
      <w:r w:rsidR="000B3DA8">
        <w:t xml:space="preserve"> at 8</w:t>
      </w:r>
      <w:r>
        <w:t>9.</w:t>
      </w:r>
    </w:p>
  </w:footnote>
  <w:footnote w:id="505">
    <w:p w14:paraId="1321B2A0" w14:textId="6BBE1F6A" w:rsidR="00AF33DF" w:rsidRDefault="00AF33DF">
      <w:pPr>
        <w:pStyle w:val="FootnoteText"/>
      </w:pPr>
      <w:r>
        <w:rPr>
          <w:rStyle w:val="FootnoteReference"/>
        </w:rPr>
        <w:footnoteRef/>
      </w:r>
      <w:r>
        <w:t xml:space="preserve"> </w:t>
      </w:r>
      <w:r w:rsidR="00EC65F2">
        <w:t xml:space="preserve"> </w:t>
      </w:r>
      <w:r>
        <w:t>TURN Reply Brief</w:t>
      </w:r>
      <w:r w:rsidR="000B3DA8">
        <w:t xml:space="preserve"> at 8</w:t>
      </w:r>
      <w:r>
        <w:t>9</w:t>
      </w:r>
      <w:r w:rsidR="00827602">
        <w:noBreakHyphen/>
      </w:r>
      <w:r>
        <w:t>90.</w:t>
      </w:r>
    </w:p>
  </w:footnote>
  <w:footnote w:id="506">
    <w:p w14:paraId="356371E4" w14:textId="06231166" w:rsidR="006476D6" w:rsidRDefault="006476D6">
      <w:pPr>
        <w:pStyle w:val="FootnoteText"/>
      </w:pPr>
      <w:r>
        <w:rPr>
          <w:rStyle w:val="FootnoteReference"/>
        </w:rPr>
        <w:footnoteRef/>
      </w:r>
      <w:r>
        <w:t xml:space="preserve"> </w:t>
      </w:r>
      <w:r w:rsidR="00EC65F2">
        <w:t xml:space="preserve"> </w:t>
      </w:r>
      <w:r>
        <w:t>TURN Reply Brief</w:t>
      </w:r>
      <w:r w:rsidR="000B3DA8">
        <w:t xml:space="preserve"> at 9</w:t>
      </w:r>
      <w:r>
        <w:t>0.</w:t>
      </w:r>
    </w:p>
  </w:footnote>
  <w:footnote w:id="507">
    <w:p w14:paraId="30C183B8" w14:textId="25B4CB06" w:rsidR="005945CE" w:rsidRDefault="005945CE">
      <w:pPr>
        <w:pStyle w:val="FootnoteText"/>
      </w:pPr>
      <w:r>
        <w:rPr>
          <w:rStyle w:val="FootnoteReference"/>
        </w:rPr>
        <w:footnoteRef/>
      </w:r>
      <w:r>
        <w:t xml:space="preserve"> </w:t>
      </w:r>
      <w:r w:rsidR="00EC65F2">
        <w:t xml:space="preserve"> </w:t>
      </w:r>
      <w:r>
        <w:t>D.16</w:t>
      </w:r>
      <w:r w:rsidR="00827602">
        <w:noBreakHyphen/>
      </w:r>
      <w:r>
        <w:t>01</w:t>
      </w:r>
      <w:r w:rsidR="00827602">
        <w:noBreakHyphen/>
      </w:r>
      <w:r>
        <w:t>044</w:t>
      </w:r>
      <w:r w:rsidR="000B3DA8">
        <w:t xml:space="preserve"> at 1</w:t>
      </w:r>
      <w:r>
        <w:t>00.</w:t>
      </w:r>
    </w:p>
  </w:footnote>
  <w:footnote w:id="508">
    <w:p w14:paraId="569B2E7F" w14:textId="2AE556FB" w:rsidR="00F17D75" w:rsidRDefault="00F17D75">
      <w:pPr>
        <w:pStyle w:val="FootnoteText"/>
      </w:pPr>
      <w:r>
        <w:rPr>
          <w:rStyle w:val="FootnoteReference"/>
        </w:rPr>
        <w:footnoteRef/>
      </w:r>
      <w:r>
        <w:t xml:space="preserve"> </w:t>
      </w:r>
      <w:r w:rsidR="00EC65F2">
        <w:t xml:space="preserve"> </w:t>
      </w:r>
      <w:r>
        <w:t>Sierra Club Opening Brief</w:t>
      </w:r>
      <w:r w:rsidR="000B3DA8">
        <w:t xml:space="preserve"> at 4</w:t>
      </w:r>
      <w:r>
        <w:t>0.</w:t>
      </w:r>
    </w:p>
  </w:footnote>
  <w:footnote w:id="509">
    <w:p w14:paraId="0AF88075" w14:textId="32C34941" w:rsidR="00F716F0" w:rsidRDefault="00F716F0" w:rsidP="00F716F0">
      <w:pPr>
        <w:pStyle w:val="FootnoteText"/>
      </w:pPr>
      <w:r>
        <w:rPr>
          <w:rStyle w:val="FootnoteReference"/>
        </w:rPr>
        <w:footnoteRef/>
      </w:r>
      <w:r>
        <w:t xml:space="preserve"> </w:t>
      </w:r>
      <w:r w:rsidR="00EC65F2">
        <w:t xml:space="preserve"> </w:t>
      </w:r>
      <w:r w:rsidR="009355F1">
        <w:t>Cal Advoc</w:t>
      </w:r>
      <w:r>
        <w:t xml:space="preserve">ates Opening Brief at </w:t>
      </w:r>
      <w:r w:rsidR="00123055">
        <w:t>Appendix A</w:t>
      </w:r>
      <w:r>
        <w:t>.</w:t>
      </w:r>
    </w:p>
  </w:footnote>
  <w:footnote w:id="510">
    <w:p w14:paraId="30ABA296" w14:textId="304D4F4B" w:rsidR="00F51D4F" w:rsidRDefault="00F51D4F">
      <w:pPr>
        <w:pStyle w:val="FootnoteText"/>
      </w:pPr>
      <w:r>
        <w:rPr>
          <w:rStyle w:val="FootnoteReference"/>
        </w:rPr>
        <w:footnoteRef/>
      </w:r>
      <w:r>
        <w:t xml:space="preserve"> </w:t>
      </w:r>
      <w:r w:rsidR="00EC65F2">
        <w:t xml:space="preserve"> </w:t>
      </w:r>
      <w:r>
        <w:t>TURN Opening Brief</w:t>
      </w:r>
      <w:r w:rsidR="000B3DA8">
        <w:t xml:space="preserve"> at 6</w:t>
      </w:r>
      <w:r>
        <w:t>9.</w:t>
      </w:r>
    </w:p>
  </w:footnote>
  <w:footnote w:id="511">
    <w:p w14:paraId="354929E7" w14:textId="3D647B03" w:rsidR="005212B4" w:rsidRDefault="005212B4">
      <w:pPr>
        <w:pStyle w:val="FootnoteText"/>
      </w:pPr>
      <w:r>
        <w:rPr>
          <w:rStyle w:val="FootnoteReference"/>
        </w:rPr>
        <w:footnoteRef/>
      </w:r>
      <w:r>
        <w:t xml:space="preserve"> </w:t>
      </w:r>
      <w:r w:rsidR="00EC65F2">
        <w:t xml:space="preserve"> </w:t>
      </w:r>
      <w:r w:rsidR="009355F1">
        <w:t>Cal Advoc</w:t>
      </w:r>
      <w:r>
        <w:t>ates Opening Brief</w:t>
      </w:r>
      <w:r w:rsidR="000B3DA8">
        <w:t xml:space="preserve"> at 3</w:t>
      </w:r>
      <w:r>
        <w:t xml:space="preserve">5 and </w:t>
      </w:r>
      <w:r w:rsidR="0046297A">
        <w:t>footnote </w:t>
      </w:r>
      <w:r>
        <w:t>151 citing PAO</w:t>
      </w:r>
      <w:r w:rsidR="00827602">
        <w:noBreakHyphen/>
      </w:r>
      <w:r>
        <w:t>02</w:t>
      </w:r>
      <w:r w:rsidR="000B3DA8">
        <w:t xml:space="preserve"> at 5</w:t>
      </w:r>
      <w:r w:rsidR="00827602">
        <w:noBreakHyphen/>
      </w:r>
      <w:r>
        <w:t>31.</w:t>
      </w:r>
    </w:p>
  </w:footnote>
  <w:footnote w:id="512">
    <w:p w14:paraId="52427C88" w14:textId="2DD75B33" w:rsidR="003A36C5" w:rsidRDefault="003A36C5">
      <w:pPr>
        <w:pStyle w:val="FootnoteText"/>
      </w:pPr>
      <w:r>
        <w:rPr>
          <w:rStyle w:val="FootnoteReference"/>
        </w:rPr>
        <w:footnoteRef/>
      </w:r>
      <w:r>
        <w:t xml:space="preserve"> </w:t>
      </w:r>
      <w:r w:rsidR="00EC65F2">
        <w:t xml:space="preserve"> </w:t>
      </w:r>
      <w:r w:rsidR="009355F1">
        <w:t>Cal Advoc</w:t>
      </w:r>
      <w:r>
        <w:t>ates Opening Brief</w:t>
      </w:r>
      <w:r w:rsidR="000B3DA8">
        <w:t xml:space="preserve"> at 4</w:t>
      </w:r>
      <w:r>
        <w:t>0.</w:t>
      </w:r>
    </w:p>
  </w:footnote>
  <w:footnote w:id="513">
    <w:p w14:paraId="7D7FA61F" w14:textId="75100FE2" w:rsidR="00F51D4F" w:rsidRDefault="00F51D4F" w:rsidP="00F51D4F">
      <w:pPr>
        <w:pStyle w:val="FootnoteText"/>
      </w:pPr>
      <w:r>
        <w:rPr>
          <w:rStyle w:val="FootnoteReference"/>
        </w:rPr>
        <w:footnoteRef/>
      </w:r>
      <w:r>
        <w:t xml:space="preserve"> </w:t>
      </w:r>
      <w:r w:rsidR="00EC65F2">
        <w:t xml:space="preserve"> </w:t>
      </w:r>
      <w:r>
        <w:t>TURN Opening Brief</w:t>
      </w:r>
      <w:r w:rsidR="000B3DA8">
        <w:t xml:space="preserve"> at 6</w:t>
      </w:r>
      <w:r>
        <w:t>8.</w:t>
      </w:r>
    </w:p>
  </w:footnote>
  <w:footnote w:id="514">
    <w:p w14:paraId="6AF94717" w14:textId="6F1FED3E" w:rsidR="0029181A" w:rsidRDefault="0029181A">
      <w:pPr>
        <w:pStyle w:val="FootnoteText"/>
      </w:pPr>
      <w:r>
        <w:rPr>
          <w:rStyle w:val="FootnoteReference"/>
        </w:rPr>
        <w:footnoteRef/>
      </w:r>
      <w:r>
        <w:t xml:space="preserve"> </w:t>
      </w:r>
      <w:r w:rsidR="00EC65F2">
        <w:t xml:space="preserve"> </w:t>
      </w:r>
      <w:r>
        <w:t>SEIA/Vote Solar Opening Brief</w:t>
      </w:r>
      <w:r w:rsidR="000B3DA8">
        <w:t xml:space="preserve"> at 1</w:t>
      </w:r>
      <w:r>
        <w:t>2</w:t>
      </w:r>
      <w:r w:rsidR="00D537D7">
        <w:t>2</w:t>
      </w:r>
      <w:r>
        <w:t>.</w:t>
      </w:r>
    </w:p>
  </w:footnote>
  <w:footnote w:id="515">
    <w:p w14:paraId="0E3BF4A6" w14:textId="637348E8" w:rsidR="0029181A" w:rsidRDefault="0029181A">
      <w:pPr>
        <w:pStyle w:val="FootnoteText"/>
      </w:pPr>
      <w:r>
        <w:rPr>
          <w:rStyle w:val="FootnoteReference"/>
        </w:rPr>
        <w:footnoteRef/>
      </w:r>
      <w:r>
        <w:t xml:space="preserve"> </w:t>
      </w:r>
      <w:r w:rsidR="00EC65F2">
        <w:t xml:space="preserve"> </w:t>
      </w:r>
      <w:r>
        <w:t>SEIA/Vote Solar Opening Brief</w:t>
      </w:r>
      <w:r w:rsidR="000B3DA8">
        <w:t xml:space="preserve"> at 1</w:t>
      </w:r>
      <w:r>
        <w:t>22.</w:t>
      </w:r>
    </w:p>
  </w:footnote>
  <w:footnote w:id="516">
    <w:p w14:paraId="657DB2FB" w14:textId="77DEF506" w:rsidR="0029181A" w:rsidRDefault="0029181A">
      <w:pPr>
        <w:pStyle w:val="FootnoteText"/>
      </w:pPr>
      <w:r>
        <w:rPr>
          <w:rStyle w:val="FootnoteReference"/>
        </w:rPr>
        <w:footnoteRef/>
      </w:r>
      <w:r>
        <w:t xml:space="preserve"> </w:t>
      </w:r>
      <w:r w:rsidR="00EC65F2">
        <w:t xml:space="preserve"> </w:t>
      </w:r>
      <w:r w:rsidR="00304625">
        <w:t>SEIA/Vote Solar Opening Brief</w:t>
      </w:r>
      <w:r w:rsidR="000B3DA8">
        <w:t xml:space="preserve"> at 1</w:t>
      </w:r>
      <w:r w:rsidR="00304625">
        <w:t>23.</w:t>
      </w:r>
    </w:p>
  </w:footnote>
  <w:footnote w:id="517">
    <w:p w14:paraId="6B44401E" w14:textId="1083754A" w:rsidR="00304625" w:rsidRDefault="00304625">
      <w:pPr>
        <w:pStyle w:val="FootnoteText"/>
      </w:pPr>
      <w:r>
        <w:rPr>
          <w:rStyle w:val="FootnoteReference"/>
        </w:rPr>
        <w:footnoteRef/>
      </w:r>
      <w:r>
        <w:t xml:space="preserve"> </w:t>
      </w:r>
      <w:r w:rsidR="00EC65F2">
        <w:t xml:space="preserve"> </w:t>
      </w:r>
      <w:r w:rsidR="0001316D">
        <w:t>SEIA/Vote Solar</w:t>
      </w:r>
      <w:r>
        <w:t xml:space="preserve"> Opening Brief</w:t>
      </w:r>
      <w:r w:rsidR="000B3DA8">
        <w:t xml:space="preserve"> at 1</w:t>
      </w:r>
      <w:r>
        <w:t>23</w:t>
      </w:r>
      <w:r w:rsidR="00827602">
        <w:noBreakHyphen/>
      </w:r>
      <w:r>
        <w:t>124.</w:t>
      </w:r>
    </w:p>
  </w:footnote>
  <w:footnote w:id="518">
    <w:p w14:paraId="1C5DCE9F" w14:textId="7314F38E" w:rsidR="00767644" w:rsidRDefault="00767644">
      <w:pPr>
        <w:pStyle w:val="FootnoteText"/>
      </w:pPr>
      <w:r>
        <w:rPr>
          <w:rStyle w:val="FootnoteReference"/>
        </w:rPr>
        <w:footnoteRef/>
      </w:r>
      <w:r>
        <w:t xml:space="preserve"> D.</w:t>
      </w:r>
      <w:r w:rsidR="00A56B3D">
        <w:t>16</w:t>
      </w:r>
      <w:r w:rsidR="003D1BC9">
        <w:noBreakHyphen/>
      </w:r>
      <w:r w:rsidR="00A56B3D">
        <w:t>01</w:t>
      </w:r>
      <w:r w:rsidR="003D1BC9">
        <w:noBreakHyphen/>
      </w:r>
      <w:r w:rsidR="00A56B3D">
        <w:t>044 at</w:t>
      </w:r>
      <w:r w:rsidR="002B00BF">
        <w:t> </w:t>
      </w:r>
      <w:r w:rsidR="00A56B3D">
        <w:t>100</w:t>
      </w:r>
      <w:r w:rsidR="003D1BC9">
        <w:noBreakHyphen/>
      </w:r>
      <w:r w:rsidR="00A56B3D">
        <w:t>101.</w:t>
      </w:r>
    </w:p>
  </w:footnote>
  <w:footnote w:id="519">
    <w:p w14:paraId="1B846693" w14:textId="4B6C8D6B" w:rsidR="00FB6997" w:rsidRDefault="00FB6997">
      <w:pPr>
        <w:pStyle w:val="FootnoteText"/>
      </w:pPr>
      <w:r>
        <w:rPr>
          <w:rStyle w:val="FootnoteReference"/>
        </w:rPr>
        <w:footnoteRef/>
      </w:r>
      <w:r>
        <w:t xml:space="preserve"> </w:t>
      </w:r>
      <w:r w:rsidR="00F305E7">
        <w:t xml:space="preserve"> </w:t>
      </w:r>
      <w:r>
        <w:t>Joint Utilities Opening Brief</w:t>
      </w:r>
      <w:r w:rsidR="000B3DA8">
        <w:t xml:space="preserve"> at 1</w:t>
      </w:r>
      <w:r>
        <w:t>01 citing IOU</w:t>
      </w:r>
      <w:r w:rsidR="00827602">
        <w:noBreakHyphen/>
      </w:r>
      <w:r>
        <w:t>01</w:t>
      </w:r>
      <w:r w:rsidR="000B3DA8">
        <w:t xml:space="preserve"> at 1</w:t>
      </w:r>
      <w:r>
        <w:t>81.</w:t>
      </w:r>
    </w:p>
  </w:footnote>
  <w:footnote w:id="520">
    <w:p w14:paraId="184E5919" w14:textId="622247FB" w:rsidR="00DE0E59" w:rsidRDefault="00DE0E59" w:rsidP="00DE0E59">
      <w:pPr>
        <w:pStyle w:val="FootnoteText"/>
      </w:pPr>
      <w:r>
        <w:rPr>
          <w:rStyle w:val="FootnoteReference"/>
        </w:rPr>
        <w:footnoteRef/>
      </w:r>
      <w:r>
        <w:t xml:space="preserve"> Joint Utilities Opening Comments to November</w:t>
      </w:r>
      <w:r w:rsidR="002B00BF">
        <w:t> </w:t>
      </w:r>
      <w:r>
        <w:t>10,</w:t>
      </w:r>
      <w:r w:rsidR="002B00BF">
        <w:t> </w:t>
      </w:r>
      <w:r>
        <w:t>2022 Proposed Decision at</w:t>
      </w:r>
      <w:r w:rsidR="002B00BF">
        <w:t> </w:t>
      </w:r>
      <w:r>
        <w:t>11.</w:t>
      </w:r>
    </w:p>
  </w:footnote>
  <w:footnote w:id="521">
    <w:p w14:paraId="6FF08088" w14:textId="502C4844" w:rsidR="00160490" w:rsidRDefault="00160490">
      <w:pPr>
        <w:pStyle w:val="FootnoteText"/>
      </w:pPr>
      <w:r>
        <w:rPr>
          <w:rStyle w:val="FootnoteReference"/>
        </w:rPr>
        <w:footnoteRef/>
      </w:r>
      <w:r>
        <w:t xml:space="preserve"> </w:t>
      </w:r>
      <w:r w:rsidR="00F305E7">
        <w:t xml:space="preserve"> </w:t>
      </w:r>
      <w:r>
        <w:t>IOU</w:t>
      </w:r>
      <w:r w:rsidR="00827602">
        <w:noBreakHyphen/>
      </w:r>
      <w:r>
        <w:t>02</w:t>
      </w:r>
      <w:r w:rsidR="000B3DA8">
        <w:t xml:space="preserve"> at 9</w:t>
      </w:r>
      <w:r>
        <w:t>9.</w:t>
      </w:r>
    </w:p>
  </w:footnote>
  <w:footnote w:id="522">
    <w:p w14:paraId="7A83A693" w14:textId="0ABAF26C" w:rsidR="00523663" w:rsidRDefault="00523663">
      <w:pPr>
        <w:pStyle w:val="FootnoteText"/>
      </w:pPr>
      <w:r>
        <w:rPr>
          <w:rStyle w:val="FootnoteReference"/>
        </w:rPr>
        <w:footnoteRef/>
      </w:r>
      <w:r>
        <w:t xml:space="preserve"> </w:t>
      </w:r>
      <w:r w:rsidR="00F305E7">
        <w:t xml:space="preserve"> </w:t>
      </w:r>
      <w:r>
        <w:t>PAO</w:t>
      </w:r>
      <w:r w:rsidR="00827602">
        <w:noBreakHyphen/>
      </w:r>
      <w:r>
        <w:t>01</w:t>
      </w:r>
      <w:r w:rsidR="000B3DA8">
        <w:t xml:space="preserve"> at 6</w:t>
      </w:r>
      <w:r w:rsidR="00827602">
        <w:noBreakHyphen/>
      </w:r>
      <w:r>
        <w:t>1.</w:t>
      </w:r>
    </w:p>
  </w:footnote>
  <w:footnote w:id="523">
    <w:p w14:paraId="06AEDE6C" w14:textId="656A1DB6" w:rsidR="00A56B3D" w:rsidRDefault="00A56B3D">
      <w:pPr>
        <w:pStyle w:val="FootnoteText"/>
      </w:pPr>
      <w:r>
        <w:rPr>
          <w:rStyle w:val="FootnoteReference"/>
        </w:rPr>
        <w:footnoteRef/>
      </w:r>
      <w:r>
        <w:t xml:space="preserve"> TURN Opening Comments to November</w:t>
      </w:r>
      <w:r w:rsidR="002B00BF">
        <w:t> </w:t>
      </w:r>
      <w:r>
        <w:t>10,</w:t>
      </w:r>
      <w:r w:rsidR="002B00BF">
        <w:t> </w:t>
      </w:r>
      <w:r>
        <w:t>2022 Proposed Decision at</w:t>
      </w:r>
      <w:r w:rsidR="002B00BF">
        <w:t> </w:t>
      </w:r>
      <w:r>
        <w:t>9</w:t>
      </w:r>
      <w:r w:rsidR="003D1BC9">
        <w:noBreakHyphen/>
      </w:r>
      <w:r>
        <w:t>10.</w:t>
      </w:r>
    </w:p>
  </w:footnote>
  <w:footnote w:id="524">
    <w:p w14:paraId="4C793685" w14:textId="3BF50730" w:rsidR="00847972" w:rsidRDefault="00847972" w:rsidP="00847972">
      <w:pPr>
        <w:pStyle w:val="FootnoteText"/>
      </w:pPr>
      <w:r>
        <w:rPr>
          <w:rStyle w:val="FootnoteReference"/>
        </w:rPr>
        <w:footnoteRef/>
      </w:r>
      <w:r>
        <w:t xml:space="preserve"> </w:t>
      </w:r>
      <w:r w:rsidR="003D7B62">
        <w:t xml:space="preserve"> </w:t>
      </w:r>
      <w:r>
        <w:t>IOU</w:t>
      </w:r>
      <w:r w:rsidR="00827602">
        <w:noBreakHyphen/>
      </w:r>
      <w:r>
        <w:t>02</w:t>
      </w:r>
      <w:r w:rsidR="000B3DA8">
        <w:t xml:space="preserve"> at 1</w:t>
      </w:r>
      <w:r>
        <w:t>00.</w:t>
      </w:r>
    </w:p>
  </w:footnote>
  <w:footnote w:id="525">
    <w:p w14:paraId="0FBCD267" w14:textId="6B8DD041" w:rsidR="003B3919" w:rsidRDefault="003B3919" w:rsidP="003B3919">
      <w:pPr>
        <w:pStyle w:val="FootnoteText"/>
      </w:pPr>
      <w:r>
        <w:rPr>
          <w:rStyle w:val="FootnoteReference"/>
        </w:rPr>
        <w:footnoteRef/>
      </w:r>
      <w:r>
        <w:t xml:space="preserve"> </w:t>
      </w:r>
      <w:r w:rsidR="00EB4545">
        <w:t xml:space="preserve"> </w:t>
      </w:r>
      <w:r>
        <w:t>CALSSA January</w:t>
      </w:r>
      <w:r w:rsidR="004D2582">
        <w:t> </w:t>
      </w:r>
      <w:r>
        <w:t>7,</w:t>
      </w:r>
      <w:r w:rsidR="004D2582">
        <w:t> </w:t>
      </w:r>
      <w:r>
        <w:t>2022 Comments</w:t>
      </w:r>
      <w:r w:rsidR="000B3DA8">
        <w:t xml:space="preserve"> at 2</w:t>
      </w:r>
      <w:r>
        <w:t>0.</w:t>
      </w:r>
    </w:p>
  </w:footnote>
  <w:footnote w:id="526">
    <w:p w14:paraId="59E06A6B" w14:textId="689E878C" w:rsidR="003B3919" w:rsidRDefault="003B3919" w:rsidP="003B3919">
      <w:pPr>
        <w:pStyle w:val="FootnoteText"/>
      </w:pPr>
      <w:r>
        <w:rPr>
          <w:rStyle w:val="FootnoteReference"/>
        </w:rPr>
        <w:footnoteRef/>
      </w:r>
      <w:r>
        <w:t xml:space="preserve"> </w:t>
      </w:r>
      <w:r w:rsidR="00EB4545">
        <w:t xml:space="preserve"> </w:t>
      </w:r>
      <w:r>
        <w:t>SEIA January</w:t>
      </w:r>
      <w:r w:rsidR="004D2582">
        <w:t> </w:t>
      </w:r>
      <w:r>
        <w:t>14,</w:t>
      </w:r>
      <w:r w:rsidR="004D2582">
        <w:t> </w:t>
      </w:r>
      <w:r>
        <w:t>2022 Reply Comments</w:t>
      </w:r>
      <w:r w:rsidR="000B3DA8">
        <w:t xml:space="preserve"> at 8</w:t>
      </w:r>
      <w:r>
        <w:t>.</w:t>
      </w:r>
    </w:p>
  </w:footnote>
  <w:footnote w:id="527">
    <w:p w14:paraId="2672FE22" w14:textId="11091E96" w:rsidR="00DE0E59" w:rsidRDefault="00DE0E59">
      <w:pPr>
        <w:pStyle w:val="FootnoteText"/>
      </w:pPr>
      <w:r>
        <w:rPr>
          <w:rStyle w:val="FootnoteReference"/>
        </w:rPr>
        <w:footnoteRef/>
      </w:r>
      <w:r>
        <w:t xml:space="preserve"> </w:t>
      </w:r>
      <w:r>
        <w:t>CALSSA Opening Comments to November</w:t>
      </w:r>
      <w:r w:rsidR="002B00BF">
        <w:t> </w:t>
      </w:r>
      <w:r>
        <w:t>10,</w:t>
      </w:r>
      <w:r w:rsidR="002B00BF">
        <w:t> </w:t>
      </w:r>
      <w:r>
        <w:t>2022 Proposed Decision at</w:t>
      </w:r>
      <w:r w:rsidR="002B00BF">
        <w:t> </w:t>
      </w:r>
      <w:r>
        <w:t xml:space="preserve">14 discussing that nonresidential customers do not receive a California Contractors License Board Solar System Disclosure Document or a California </w:t>
      </w:r>
      <w:r w:rsidR="00F93C8D">
        <w:t xml:space="preserve">Consumer Protection Guide.  </w:t>
      </w:r>
      <w:r w:rsidR="002B00BF">
        <w:t>(</w:t>
      </w:r>
      <w:r w:rsidR="00F93C8D" w:rsidRPr="00F3775C">
        <w:rPr>
          <w:i/>
          <w:iCs/>
        </w:rPr>
        <w:t>See also</w:t>
      </w:r>
      <w:r w:rsidR="00F93C8D">
        <w:t xml:space="preserve"> CESA Opening Comments to November</w:t>
      </w:r>
      <w:r w:rsidR="002B00BF">
        <w:t> </w:t>
      </w:r>
      <w:r w:rsidR="00F93C8D">
        <w:t>10,</w:t>
      </w:r>
      <w:r w:rsidR="002B00BF">
        <w:t> </w:t>
      </w:r>
      <w:r w:rsidR="00F93C8D">
        <w:t>2022 Proposed Decision at</w:t>
      </w:r>
      <w:r w:rsidR="002B00BF">
        <w:t> </w:t>
      </w:r>
      <w:r w:rsidR="00F93C8D">
        <w:t>7</w:t>
      </w:r>
      <w:r w:rsidR="00A523D0">
        <w:t>;</w:t>
      </w:r>
      <w:r w:rsidR="00F93C8D">
        <w:t xml:space="preserve"> SEIA/Vote Solar Opening Comments to November</w:t>
      </w:r>
      <w:r w:rsidR="00370A0A">
        <w:t> </w:t>
      </w:r>
      <w:r w:rsidR="00F93C8D">
        <w:t>10,</w:t>
      </w:r>
      <w:r w:rsidR="00370A0A">
        <w:t> </w:t>
      </w:r>
      <w:r w:rsidR="00F93C8D">
        <w:t>2022 Proposed Decision at</w:t>
      </w:r>
      <w:r w:rsidR="00370A0A">
        <w:t> </w:t>
      </w:r>
      <w:r w:rsidR="00F93C8D">
        <w:t>14</w:t>
      </w:r>
      <w:r w:rsidR="00A523D0">
        <w:t>;</w:t>
      </w:r>
      <w:r w:rsidR="00F93C8D">
        <w:t xml:space="preserve"> and Joint Utilities Opening Comments to November</w:t>
      </w:r>
      <w:r w:rsidR="00370A0A">
        <w:t> </w:t>
      </w:r>
      <w:r w:rsidR="00F93C8D">
        <w:t>10,</w:t>
      </w:r>
      <w:r w:rsidR="00370A0A">
        <w:t> </w:t>
      </w:r>
      <w:r w:rsidR="00F93C8D">
        <w:t>2022 Proposed Decision at</w:t>
      </w:r>
      <w:r w:rsidR="00370A0A">
        <w:t> </w:t>
      </w:r>
      <w:r w:rsidR="00F93C8D">
        <w:t>15.</w:t>
      </w:r>
      <w:r w:rsidR="00141989">
        <w:t>)</w:t>
      </w:r>
      <w:r>
        <w:t xml:space="preserve"> </w:t>
      </w:r>
    </w:p>
  </w:footnote>
  <w:footnote w:id="528">
    <w:p w14:paraId="6D8DDF66" w14:textId="0F1D01DB" w:rsidR="00F93C8D" w:rsidRDefault="00F93C8D">
      <w:pPr>
        <w:pStyle w:val="FootnoteText"/>
      </w:pPr>
      <w:r>
        <w:rPr>
          <w:rStyle w:val="FootnoteReference"/>
        </w:rPr>
        <w:footnoteRef/>
      </w:r>
      <w:r>
        <w:t xml:space="preserve"> Joint Utilities Opening Comments to November</w:t>
      </w:r>
      <w:r w:rsidR="00370A0A">
        <w:t> </w:t>
      </w:r>
      <w:r>
        <w:t>10,</w:t>
      </w:r>
      <w:r w:rsidR="00370A0A">
        <w:t> </w:t>
      </w:r>
      <w:r>
        <w:t>2022 Proposed Decision at</w:t>
      </w:r>
      <w:r w:rsidR="00370A0A">
        <w:t> </w:t>
      </w:r>
      <w:r>
        <w:t>15.</w:t>
      </w:r>
    </w:p>
  </w:footnote>
  <w:footnote w:id="529">
    <w:p w14:paraId="5774826A" w14:textId="1E246CBE" w:rsidR="004126FA" w:rsidRDefault="004126FA">
      <w:pPr>
        <w:pStyle w:val="FootnoteText"/>
      </w:pPr>
      <w:r>
        <w:rPr>
          <w:rStyle w:val="FootnoteReference"/>
        </w:rPr>
        <w:footnoteRef/>
      </w:r>
      <w:r>
        <w:t xml:space="preserve"> </w:t>
      </w:r>
      <w:r w:rsidR="00F305E7">
        <w:t xml:space="preserve"> </w:t>
      </w:r>
      <w:r>
        <w:t>IOU</w:t>
      </w:r>
      <w:r w:rsidR="00827602">
        <w:noBreakHyphen/>
      </w:r>
      <w:r>
        <w:t>02</w:t>
      </w:r>
      <w:r w:rsidR="000B3DA8">
        <w:t xml:space="preserve"> at 1</w:t>
      </w:r>
      <w:r>
        <w:t>85.</w:t>
      </w:r>
    </w:p>
  </w:footnote>
  <w:footnote w:id="530">
    <w:p w14:paraId="720FDE31" w14:textId="4CA32213" w:rsidR="006A14FA" w:rsidRDefault="006A14FA">
      <w:pPr>
        <w:pStyle w:val="FootnoteText"/>
      </w:pPr>
      <w:r>
        <w:rPr>
          <w:rStyle w:val="FootnoteReference"/>
        </w:rPr>
        <w:footnoteRef/>
      </w:r>
      <w:r>
        <w:t xml:space="preserve"> Joint Utilities Opening Comments to November</w:t>
      </w:r>
      <w:r w:rsidR="00370A0A">
        <w:t> </w:t>
      </w:r>
      <w:r>
        <w:t>10,</w:t>
      </w:r>
      <w:r w:rsidR="00370A0A">
        <w:t> </w:t>
      </w:r>
      <w:r>
        <w:t>2022 Proposed Decision at</w:t>
      </w:r>
      <w:r w:rsidR="00370A0A">
        <w:t> </w:t>
      </w:r>
      <w:r>
        <w:t>14 requesting to maintain NEM</w:t>
      </w:r>
      <w:r w:rsidR="00370A0A">
        <w:t> </w:t>
      </w:r>
      <w:r>
        <w:t xml:space="preserve">2.0 rates until successor tariff customers are transitioned to the </w:t>
      </w:r>
      <w:r w:rsidR="00CE2C8B">
        <w:t>n</w:t>
      </w:r>
      <w:r>
        <w:t xml:space="preserve">et </w:t>
      </w:r>
      <w:r w:rsidR="00CE2C8B">
        <w:t>b</w:t>
      </w:r>
      <w:r>
        <w:t>illing tariff.</w:t>
      </w:r>
    </w:p>
  </w:footnote>
  <w:footnote w:id="531">
    <w:p w14:paraId="3CAF561D" w14:textId="20D7CFDF" w:rsidR="0022240C" w:rsidRDefault="0022240C">
      <w:pPr>
        <w:pStyle w:val="FootnoteText"/>
      </w:pPr>
      <w:r>
        <w:rPr>
          <w:rStyle w:val="FootnoteReference"/>
        </w:rPr>
        <w:footnoteRef/>
      </w:r>
      <w:r>
        <w:t xml:space="preserve"> </w:t>
      </w:r>
      <w:r w:rsidR="00F305E7">
        <w:t xml:space="preserve"> </w:t>
      </w:r>
      <w:r>
        <w:t>PAO</w:t>
      </w:r>
      <w:r w:rsidR="00827602">
        <w:noBreakHyphen/>
      </w:r>
      <w:r>
        <w:t>01</w:t>
      </w:r>
      <w:r w:rsidR="000B3DA8">
        <w:t xml:space="preserve"> at 6</w:t>
      </w:r>
      <w:r w:rsidR="00827602">
        <w:noBreakHyphen/>
      </w:r>
      <w:r>
        <w:t>1.</w:t>
      </w:r>
    </w:p>
  </w:footnote>
  <w:footnote w:id="532">
    <w:p w14:paraId="40A83792" w14:textId="16CE3E2C" w:rsidR="00D05D36" w:rsidRDefault="00D05D36">
      <w:pPr>
        <w:pStyle w:val="FootnoteText"/>
      </w:pPr>
      <w:r>
        <w:rPr>
          <w:rStyle w:val="FootnoteReference"/>
        </w:rPr>
        <w:footnoteRef/>
      </w:r>
      <w:r>
        <w:t xml:space="preserve"> Joint Utilities Opening Comments to November</w:t>
      </w:r>
      <w:r w:rsidR="00370A0A">
        <w:t> </w:t>
      </w:r>
      <w:r>
        <w:t>10,</w:t>
      </w:r>
      <w:r w:rsidR="00370A0A">
        <w:t> </w:t>
      </w:r>
      <w:r>
        <w:t>2022 Proposed Decision at</w:t>
      </w:r>
      <w:r w:rsidR="00370A0A">
        <w:t> </w:t>
      </w:r>
      <w:r>
        <w:t>15.</w:t>
      </w:r>
    </w:p>
  </w:footnote>
  <w:footnote w:id="533">
    <w:p w14:paraId="222CDA23" w14:textId="41357302" w:rsidR="00D05D36" w:rsidRDefault="00D05D36">
      <w:pPr>
        <w:pStyle w:val="FootnoteText"/>
      </w:pPr>
      <w:r>
        <w:rPr>
          <w:rStyle w:val="FootnoteReference"/>
        </w:rPr>
        <w:footnoteRef/>
      </w:r>
      <w:r>
        <w:t xml:space="preserve"> Joint Utilities Opening Comments to November</w:t>
      </w:r>
      <w:r w:rsidR="00370A0A">
        <w:t> </w:t>
      </w:r>
      <w:r>
        <w:t>10,</w:t>
      </w:r>
      <w:r w:rsidR="00370A0A">
        <w:t> </w:t>
      </w:r>
      <w:r>
        <w:t>2022 Proposed Decision at</w:t>
      </w:r>
      <w:r w:rsidR="00370A0A">
        <w:t> </w:t>
      </w:r>
      <w:r>
        <w:t>15.</w:t>
      </w:r>
    </w:p>
  </w:footnote>
  <w:footnote w:id="534">
    <w:p w14:paraId="75F92960" w14:textId="2F2BBA5E" w:rsidR="00D05D36" w:rsidRDefault="00D05D36">
      <w:pPr>
        <w:pStyle w:val="FootnoteText"/>
      </w:pPr>
      <w:r>
        <w:rPr>
          <w:rStyle w:val="FootnoteReference"/>
        </w:rPr>
        <w:footnoteRef/>
      </w:r>
      <w:r>
        <w:t xml:space="preserve"> Joint Utilities Opening Comments to November</w:t>
      </w:r>
      <w:r w:rsidR="00370A0A">
        <w:t> </w:t>
      </w:r>
      <w:r>
        <w:t>10,</w:t>
      </w:r>
      <w:r w:rsidR="00370A0A">
        <w:t> </w:t>
      </w:r>
      <w:r>
        <w:t>2022 Proposed Decision at</w:t>
      </w:r>
      <w:r w:rsidR="00370A0A">
        <w:t> </w:t>
      </w:r>
      <w:r>
        <w:t>15.</w:t>
      </w:r>
    </w:p>
  </w:footnote>
  <w:footnote w:id="535">
    <w:p w14:paraId="70EFBF3C" w14:textId="5783B91B" w:rsidR="00D05D36" w:rsidRDefault="00D05D36">
      <w:pPr>
        <w:pStyle w:val="FootnoteText"/>
      </w:pPr>
      <w:r>
        <w:rPr>
          <w:rStyle w:val="FootnoteReference"/>
        </w:rPr>
        <w:footnoteRef/>
      </w:r>
      <w:r>
        <w:t xml:space="preserve"> SEIA/Vote Solar Reply Comments to November</w:t>
      </w:r>
      <w:r w:rsidR="00370A0A">
        <w:t> </w:t>
      </w:r>
      <w:r>
        <w:t>10,</w:t>
      </w:r>
      <w:r w:rsidR="00370A0A">
        <w:t> </w:t>
      </w:r>
      <w:r>
        <w:t>2022 Proposed Decision at</w:t>
      </w:r>
      <w:r w:rsidR="00370A0A">
        <w:t> </w:t>
      </w:r>
      <w:r>
        <w:t>5.</w:t>
      </w:r>
    </w:p>
  </w:footnote>
  <w:footnote w:id="536">
    <w:p w14:paraId="053194F6" w14:textId="0C657F26" w:rsidR="005511A3" w:rsidRDefault="005511A3">
      <w:pPr>
        <w:pStyle w:val="FootnoteText"/>
      </w:pPr>
      <w:r>
        <w:rPr>
          <w:rStyle w:val="FootnoteReference"/>
        </w:rPr>
        <w:footnoteRef/>
      </w:r>
      <w:r>
        <w:t xml:space="preserve"> Joint Utilities Opening Comments to November</w:t>
      </w:r>
      <w:r w:rsidR="00370A0A">
        <w:t> </w:t>
      </w:r>
      <w:r>
        <w:t>10,</w:t>
      </w:r>
      <w:r w:rsidR="00370A0A">
        <w:t> </w:t>
      </w:r>
      <w:r>
        <w:t>2022 Proposed Decision at</w:t>
      </w:r>
      <w:r w:rsidR="00370A0A">
        <w:t> </w:t>
      </w:r>
      <w:r>
        <w:t>5</w:t>
      </w:r>
      <w:r w:rsidR="003D1BC9">
        <w:noBreakHyphen/>
      </w:r>
      <w:r>
        <w:t>6.</w:t>
      </w:r>
    </w:p>
  </w:footnote>
  <w:footnote w:id="537">
    <w:p w14:paraId="7CD563E1" w14:textId="1654EE0C" w:rsidR="005511A3" w:rsidRDefault="005511A3">
      <w:pPr>
        <w:pStyle w:val="FootnoteText"/>
      </w:pPr>
      <w:r>
        <w:rPr>
          <w:rStyle w:val="FootnoteReference"/>
        </w:rPr>
        <w:footnoteRef/>
      </w:r>
      <w:r>
        <w:t xml:space="preserve"> Cal</w:t>
      </w:r>
      <w:r w:rsidR="00370A0A">
        <w:t> </w:t>
      </w:r>
      <w:r>
        <w:t>Advocates Opening Comments to November</w:t>
      </w:r>
      <w:r w:rsidR="00370A0A">
        <w:t> </w:t>
      </w:r>
      <w:r>
        <w:t>10,</w:t>
      </w:r>
      <w:r w:rsidR="00370A0A">
        <w:t> </w:t>
      </w:r>
      <w:r>
        <w:t>2022 Proposed Decision at</w:t>
      </w:r>
      <w:r w:rsidR="00370A0A">
        <w:t> </w:t>
      </w:r>
      <w:r w:rsidR="00B83E9A">
        <w:t>13</w:t>
      </w:r>
      <w:r w:rsidR="003D1BC9">
        <w:noBreakHyphen/>
      </w:r>
      <w:r>
        <w:t>14.</w:t>
      </w:r>
    </w:p>
  </w:footnote>
  <w:footnote w:id="538">
    <w:p w14:paraId="4D68B1FF" w14:textId="13DC0325" w:rsidR="00B83E9A" w:rsidRDefault="00B83E9A">
      <w:pPr>
        <w:pStyle w:val="FootnoteText"/>
      </w:pPr>
      <w:r>
        <w:rPr>
          <w:rStyle w:val="FootnoteReference"/>
        </w:rPr>
        <w:footnoteRef/>
      </w:r>
      <w:r>
        <w:t xml:space="preserve"> </w:t>
      </w:r>
      <w:r>
        <w:t>CALSSA Reply Comments to November</w:t>
      </w:r>
      <w:r w:rsidR="00370A0A">
        <w:t> </w:t>
      </w:r>
      <w:r>
        <w:t>10,</w:t>
      </w:r>
      <w:r w:rsidR="00370A0A">
        <w:t> </w:t>
      </w:r>
      <w:r>
        <w:t>2022 Proposed Decision at</w:t>
      </w:r>
      <w:r w:rsidR="00370A0A">
        <w:t> </w:t>
      </w:r>
      <w:r>
        <w:t>5.</w:t>
      </w:r>
    </w:p>
  </w:footnote>
  <w:footnote w:id="539">
    <w:p w14:paraId="7EB96FE6" w14:textId="21FDC4E7" w:rsidR="00BD2D4E" w:rsidRDefault="00BD2D4E">
      <w:pPr>
        <w:pStyle w:val="FootnoteText"/>
      </w:pPr>
      <w:r>
        <w:rPr>
          <w:rStyle w:val="FootnoteReference"/>
        </w:rPr>
        <w:footnoteRef/>
      </w:r>
      <w:r>
        <w:t xml:space="preserve"> Joint Community Choice Aggregators are San Diego Community Power, the Redwood Coast Energy Authority, East Bay Community Energy, San Jose Clean Energy, and Peninsula Clean Energy Authority.</w:t>
      </w:r>
    </w:p>
  </w:footnote>
  <w:footnote w:id="540">
    <w:p w14:paraId="7509F46F" w14:textId="5F3F5A0D" w:rsidR="00835F59" w:rsidRDefault="00835F59">
      <w:pPr>
        <w:pStyle w:val="FootnoteText"/>
      </w:pPr>
      <w:r>
        <w:rPr>
          <w:rStyle w:val="FootnoteReference"/>
        </w:rPr>
        <w:footnoteRef/>
      </w:r>
      <w:r>
        <w:t xml:space="preserve"> </w:t>
      </w:r>
      <w:r>
        <w:t>CALSSA Opening Comments to November</w:t>
      </w:r>
      <w:r w:rsidR="00370A0A">
        <w:t> </w:t>
      </w:r>
      <w:r>
        <w:t>10,</w:t>
      </w:r>
      <w:r w:rsidR="00370A0A">
        <w:t> </w:t>
      </w:r>
      <w:r>
        <w:t>2022 Proposed Decision at</w:t>
      </w:r>
      <w:r w:rsidR="00370A0A">
        <w:t> </w:t>
      </w:r>
      <w:r>
        <w:t>3</w:t>
      </w:r>
      <w:r w:rsidR="003D1BC9">
        <w:noBreakHyphen/>
      </w:r>
      <w:r>
        <w:t>4</w:t>
      </w:r>
      <w:r w:rsidR="0083500F">
        <w:t xml:space="preserve"> and SEIA/Vote Solar Opening Comments to November</w:t>
      </w:r>
      <w:r w:rsidR="00370A0A">
        <w:t> </w:t>
      </w:r>
      <w:r w:rsidR="0083500F">
        <w:t>10,</w:t>
      </w:r>
      <w:r w:rsidR="00370A0A">
        <w:t> </w:t>
      </w:r>
      <w:r w:rsidR="0083500F">
        <w:t>2022 Proposed Decision at</w:t>
      </w:r>
      <w:r w:rsidR="00370A0A">
        <w:t> </w:t>
      </w:r>
      <w:r w:rsidR="0083500F">
        <w:t>3</w:t>
      </w:r>
      <w:r w:rsidR="003D1BC9">
        <w:noBreakHyphen/>
      </w:r>
      <w:r w:rsidR="0083500F">
        <w:t>5</w:t>
      </w:r>
      <w:r>
        <w:t>.</w:t>
      </w:r>
    </w:p>
  </w:footnote>
  <w:footnote w:id="541">
    <w:p w14:paraId="25033DFE" w14:textId="441EAA4E" w:rsidR="00835F59" w:rsidRDefault="00835F59">
      <w:pPr>
        <w:pStyle w:val="FootnoteText"/>
      </w:pPr>
      <w:r>
        <w:rPr>
          <w:rStyle w:val="FootnoteReference"/>
        </w:rPr>
        <w:footnoteRef/>
      </w:r>
      <w:r>
        <w:t xml:space="preserve"> </w:t>
      </w:r>
      <w:r>
        <w:t>CALSSA Opening Comments to November</w:t>
      </w:r>
      <w:r w:rsidR="00370A0A">
        <w:t> </w:t>
      </w:r>
      <w:r>
        <w:t>10,</w:t>
      </w:r>
      <w:r w:rsidR="00370A0A">
        <w:t> </w:t>
      </w:r>
      <w:r>
        <w:t>2022 Proposed Decision at</w:t>
      </w:r>
      <w:r w:rsidR="00370A0A">
        <w:t> </w:t>
      </w:r>
      <w:r>
        <w:t>1</w:t>
      </w:r>
      <w:r w:rsidR="003D1BC9">
        <w:noBreakHyphen/>
      </w:r>
      <w:r>
        <w:t>3</w:t>
      </w:r>
      <w:r w:rsidR="00CA7FE7">
        <w:t xml:space="preserve"> and 6</w:t>
      </w:r>
      <w:r w:rsidR="003D1BC9">
        <w:noBreakHyphen/>
      </w:r>
      <w:r w:rsidR="00CA7FE7">
        <w:t>9</w:t>
      </w:r>
      <w:r w:rsidR="0083500F">
        <w:t xml:space="preserve">; </w:t>
      </w:r>
      <w:r w:rsidR="00182813">
        <w:t>Sierra Club Opening Comments to November</w:t>
      </w:r>
      <w:r w:rsidR="00370A0A">
        <w:t> </w:t>
      </w:r>
      <w:r w:rsidR="00182813">
        <w:t>10,</w:t>
      </w:r>
      <w:r w:rsidR="00370A0A">
        <w:t> </w:t>
      </w:r>
      <w:r w:rsidR="00182813">
        <w:t>2022 Proposed Decision at</w:t>
      </w:r>
      <w:r w:rsidR="00370A0A">
        <w:t> </w:t>
      </w:r>
      <w:r w:rsidR="00182813">
        <w:t>3</w:t>
      </w:r>
      <w:r w:rsidR="003D1BC9">
        <w:noBreakHyphen/>
      </w:r>
      <w:r w:rsidR="00182813">
        <w:t>8</w:t>
      </w:r>
      <w:r w:rsidR="0083500F">
        <w:t xml:space="preserve">; </w:t>
      </w:r>
      <w:r w:rsidR="008F0920">
        <w:t>SBUA Opening Comments to November</w:t>
      </w:r>
      <w:r w:rsidR="00370A0A">
        <w:t> </w:t>
      </w:r>
      <w:r w:rsidR="008F0920">
        <w:t>10,</w:t>
      </w:r>
      <w:r w:rsidR="00370A0A">
        <w:t> </w:t>
      </w:r>
      <w:r w:rsidR="008F0920">
        <w:t>2022 Proposed Decision at</w:t>
      </w:r>
      <w:r w:rsidR="00370A0A">
        <w:t> </w:t>
      </w:r>
      <w:r w:rsidR="008F0920">
        <w:t>8</w:t>
      </w:r>
      <w:r w:rsidR="003D1BC9">
        <w:noBreakHyphen/>
      </w:r>
      <w:r w:rsidR="008F0920">
        <w:t xml:space="preserve">9; </w:t>
      </w:r>
      <w:r w:rsidR="0083500F">
        <w:t>SEIA/Vote Solar Opening Comments to November</w:t>
      </w:r>
      <w:r w:rsidR="00370A0A">
        <w:t> </w:t>
      </w:r>
      <w:r w:rsidR="0083500F">
        <w:t>10,</w:t>
      </w:r>
      <w:r w:rsidR="00370A0A">
        <w:t> </w:t>
      </w:r>
      <w:r w:rsidR="0083500F">
        <w:t>2022 Proposed Decision at</w:t>
      </w:r>
      <w:r w:rsidR="00370A0A">
        <w:t> </w:t>
      </w:r>
      <w:r w:rsidR="0083500F">
        <w:t>5</w:t>
      </w:r>
      <w:r w:rsidR="003D1BC9">
        <w:noBreakHyphen/>
      </w:r>
      <w:r w:rsidR="0083500F">
        <w:t>8</w:t>
      </w:r>
      <w:r w:rsidR="008F0920">
        <w:t>; and TURN Opening Comments to November</w:t>
      </w:r>
      <w:r w:rsidR="00370A0A">
        <w:t> </w:t>
      </w:r>
      <w:r w:rsidR="008F0920">
        <w:t>10,</w:t>
      </w:r>
      <w:r w:rsidR="00370A0A">
        <w:t> </w:t>
      </w:r>
      <w:r w:rsidR="008F0920">
        <w:t>2022 Proposed Decision at</w:t>
      </w:r>
      <w:r w:rsidR="00370A0A">
        <w:t> </w:t>
      </w:r>
      <w:r w:rsidR="008F0920">
        <w:t>5</w:t>
      </w:r>
      <w:r w:rsidR="003D1BC9">
        <w:noBreakHyphen/>
      </w:r>
      <w:r w:rsidR="008F0920">
        <w:t>9</w:t>
      </w:r>
      <w:r>
        <w:t>.</w:t>
      </w:r>
    </w:p>
  </w:footnote>
  <w:footnote w:id="542">
    <w:p w14:paraId="79AE8DF9" w14:textId="3429C731" w:rsidR="00182813" w:rsidRDefault="00182813">
      <w:pPr>
        <w:pStyle w:val="FootnoteText"/>
      </w:pPr>
      <w:r>
        <w:rPr>
          <w:rStyle w:val="FootnoteReference"/>
        </w:rPr>
        <w:footnoteRef/>
      </w:r>
      <w:r>
        <w:t xml:space="preserve"> Public Advocates Office Opening Comments to November</w:t>
      </w:r>
      <w:r w:rsidR="00370A0A">
        <w:t> </w:t>
      </w:r>
      <w:r>
        <w:t>10,</w:t>
      </w:r>
      <w:r w:rsidR="00370A0A">
        <w:t> </w:t>
      </w:r>
      <w:r>
        <w:t>2022 Proposed Decision at</w:t>
      </w:r>
      <w:r w:rsidR="00370A0A">
        <w:t> </w:t>
      </w:r>
      <w:r>
        <w:t>5</w:t>
      </w:r>
      <w:r w:rsidR="003D1BC9">
        <w:noBreakHyphen/>
      </w:r>
      <w:r>
        <w:t>7</w:t>
      </w:r>
      <w:r w:rsidR="008F0920">
        <w:t xml:space="preserve">; </w:t>
      </w:r>
      <w:r w:rsidR="0083500F">
        <w:t>SEIA/Vote Solar Opening Comments to November</w:t>
      </w:r>
      <w:r w:rsidR="00370A0A">
        <w:t> </w:t>
      </w:r>
      <w:r w:rsidR="0083500F">
        <w:t>10,</w:t>
      </w:r>
      <w:r w:rsidR="00370A0A">
        <w:t> </w:t>
      </w:r>
      <w:r w:rsidR="0083500F">
        <w:t>2022 Proposed Decision at</w:t>
      </w:r>
      <w:r w:rsidR="00370A0A">
        <w:t> </w:t>
      </w:r>
      <w:r w:rsidR="0083500F">
        <w:t>8</w:t>
      </w:r>
      <w:r w:rsidR="003D1BC9">
        <w:noBreakHyphen/>
      </w:r>
      <w:r w:rsidR="0083500F">
        <w:t>9</w:t>
      </w:r>
      <w:r w:rsidR="008F0920">
        <w:t>; and TURN Opening Comments to November</w:t>
      </w:r>
      <w:r w:rsidR="00370A0A">
        <w:t> </w:t>
      </w:r>
      <w:r w:rsidR="008F0920">
        <w:t>10,</w:t>
      </w:r>
      <w:r w:rsidR="00370A0A">
        <w:t> </w:t>
      </w:r>
      <w:r w:rsidR="008F0920">
        <w:t>2022 Proposed Decision at</w:t>
      </w:r>
      <w:r w:rsidR="00370A0A">
        <w:t> </w:t>
      </w:r>
      <w:r w:rsidR="008F0920">
        <w:t>5</w:t>
      </w:r>
      <w:r w:rsidR="003D1BC9">
        <w:noBreakHyphen/>
      </w:r>
      <w:r w:rsidR="008F0920">
        <w:t>9.</w:t>
      </w:r>
    </w:p>
  </w:footnote>
  <w:footnote w:id="543">
    <w:p w14:paraId="34FE5FC1" w14:textId="6EADF808" w:rsidR="00847CB6" w:rsidRDefault="00847CB6">
      <w:pPr>
        <w:pStyle w:val="FootnoteText"/>
      </w:pPr>
      <w:r>
        <w:rPr>
          <w:rStyle w:val="FootnoteReference"/>
        </w:rPr>
        <w:footnoteRef/>
      </w:r>
      <w:r>
        <w:t xml:space="preserve"> CUE Opening Comments to November</w:t>
      </w:r>
      <w:r w:rsidR="00370A0A">
        <w:t> </w:t>
      </w:r>
      <w:r>
        <w:t>10,</w:t>
      </w:r>
      <w:r w:rsidR="00370A0A">
        <w:t> </w:t>
      </w:r>
      <w:r>
        <w:t>2022 Proposed Decision at</w:t>
      </w:r>
      <w:r w:rsidR="00370A0A">
        <w:t> </w:t>
      </w:r>
      <w:r>
        <w:t>3</w:t>
      </w:r>
      <w:r w:rsidR="003D1BC9">
        <w:noBreakHyphen/>
      </w:r>
      <w:r>
        <w:t>5</w:t>
      </w:r>
      <w:r w:rsidR="0083500F">
        <w:t xml:space="preserve">; </w:t>
      </w:r>
      <w:r w:rsidR="00182813">
        <w:t>Public Advocates Office Opening Comments to November</w:t>
      </w:r>
      <w:r w:rsidR="00370A0A">
        <w:t> </w:t>
      </w:r>
      <w:r w:rsidR="00182813">
        <w:t>10,</w:t>
      </w:r>
      <w:r w:rsidR="00370A0A">
        <w:t> </w:t>
      </w:r>
      <w:r w:rsidR="00182813">
        <w:t>2022 Proposed Decision at</w:t>
      </w:r>
      <w:r w:rsidR="00370A0A">
        <w:t> </w:t>
      </w:r>
      <w:r w:rsidR="00182813">
        <w:t>10</w:t>
      </w:r>
      <w:r w:rsidR="003D1BC9">
        <w:noBreakHyphen/>
      </w:r>
      <w:r w:rsidR="00182813">
        <w:t>13</w:t>
      </w:r>
      <w:r w:rsidR="00370A0A">
        <w:t>;</w:t>
      </w:r>
      <w:r w:rsidR="0083500F">
        <w:t xml:space="preserve"> and Sierra Club Opening Comments to November</w:t>
      </w:r>
      <w:r w:rsidR="00370A0A">
        <w:t> </w:t>
      </w:r>
      <w:r w:rsidR="0083500F">
        <w:t>10,</w:t>
      </w:r>
      <w:r w:rsidR="00370A0A">
        <w:t> </w:t>
      </w:r>
      <w:r w:rsidR="0083500F">
        <w:t>2022 Proposed Decision at</w:t>
      </w:r>
      <w:r w:rsidR="00370A0A">
        <w:t> </w:t>
      </w:r>
      <w:r w:rsidR="0083500F">
        <w:t>8</w:t>
      </w:r>
      <w:r w:rsidR="003D1BC9">
        <w:noBreakHyphen/>
      </w:r>
      <w:r w:rsidR="0083500F">
        <w:t>11</w:t>
      </w:r>
      <w:r>
        <w:t>.</w:t>
      </w:r>
    </w:p>
  </w:footnote>
  <w:footnote w:id="544">
    <w:p w14:paraId="38411F44" w14:textId="2BDFE4BF" w:rsidR="00CD7721" w:rsidRDefault="00CD7721">
      <w:pPr>
        <w:pStyle w:val="FootnoteText"/>
      </w:pPr>
      <w:r>
        <w:rPr>
          <w:rStyle w:val="FootnoteReference"/>
        </w:rPr>
        <w:footnoteRef/>
      </w:r>
      <w:r>
        <w:t xml:space="preserve"> Center for Biological Diversity Opening Comments to November</w:t>
      </w:r>
      <w:r w:rsidR="00370A0A">
        <w:t> </w:t>
      </w:r>
      <w:r>
        <w:t>10,</w:t>
      </w:r>
      <w:r w:rsidR="00370A0A">
        <w:t> </w:t>
      </w:r>
      <w:r>
        <w:t>2022 Proposed Decision at</w:t>
      </w:r>
      <w:r w:rsidR="00370A0A">
        <w:t> </w:t>
      </w:r>
      <w:r>
        <w:t>9</w:t>
      </w:r>
      <w:r w:rsidR="00A81525">
        <w:t>;</w:t>
      </w:r>
      <w:r w:rsidR="00C456C7">
        <w:t xml:space="preserve"> Clean Coalition Opening Comments to November</w:t>
      </w:r>
      <w:r w:rsidR="00370A0A">
        <w:t> </w:t>
      </w:r>
      <w:r w:rsidR="00C456C7">
        <w:t>10,</w:t>
      </w:r>
      <w:r w:rsidR="00370A0A">
        <w:t> </w:t>
      </w:r>
      <w:r w:rsidR="00C456C7">
        <w:t>2022 Proposed Decision at</w:t>
      </w:r>
      <w:r w:rsidR="00370A0A">
        <w:t> </w:t>
      </w:r>
      <w:r w:rsidR="00C456C7">
        <w:t>4</w:t>
      </w:r>
      <w:r w:rsidR="003D1BC9">
        <w:noBreakHyphen/>
      </w:r>
      <w:r w:rsidR="00C456C7">
        <w:t>6</w:t>
      </w:r>
      <w:r w:rsidR="00A81525">
        <w:t>; and PCF Opening Comments to November</w:t>
      </w:r>
      <w:r w:rsidR="00370A0A">
        <w:t> </w:t>
      </w:r>
      <w:r w:rsidR="00A81525">
        <w:t>10,</w:t>
      </w:r>
      <w:r w:rsidR="00370A0A">
        <w:t> </w:t>
      </w:r>
      <w:r w:rsidR="00A81525">
        <w:t>2022 Proposed Decision at</w:t>
      </w:r>
      <w:r w:rsidR="00370A0A">
        <w:t> </w:t>
      </w:r>
      <w:r w:rsidR="00A81525">
        <w:t>2</w:t>
      </w:r>
      <w:r w:rsidR="003D1BC9">
        <w:noBreakHyphen/>
      </w:r>
      <w:r w:rsidR="00A81525">
        <w:t>10</w:t>
      </w:r>
      <w:r w:rsidR="00C456C7">
        <w:t>.</w:t>
      </w:r>
    </w:p>
  </w:footnote>
  <w:footnote w:id="545">
    <w:p w14:paraId="4BCF38DA" w14:textId="33787182" w:rsidR="00CD7721" w:rsidRDefault="00CD7721">
      <w:pPr>
        <w:pStyle w:val="FootnoteText"/>
      </w:pPr>
      <w:r>
        <w:rPr>
          <w:rStyle w:val="FootnoteReference"/>
        </w:rPr>
        <w:footnoteRef/>
      </w:r>
      <w:r>
        <w:t xml:space="preserve"> Center for Biological Diversity Opening Comments to November</w:t>
      </w:r>
      <w:r w:rsidR="00210E82">
        <w:t> </w:t>
      </w:r>
      <w:r>
        <w:t>10,</w:t>
      </w:r>
      <w:r w:rsidR="00210E82">
        <w:t> </w:t>
      </w:r>
      <w:r>
        <w:t>2022 Proposed Decision at</w:t>
      </w:r>
      <w:r w:rsidR="00210E82">
        <w:t> </w:t>
      </w:r>
      <w:r>
        <w:t>9.</w:t>
      </w:r>
    </w:p>
  </w:footnote>
  <w:footnote w:id="546">
    <w:p w14:paraId="0403B948" w14:textId="6239648A" w:rsidR="00067B15" w:rsidRDefault="00067B15">
      <w:pPr>
        <w:pStyle w:val="FootnoteText"/>
      </w:pPr>
      <w:r>
        <w:rPr>
          <w:rStyle w:val="FootnoteReference"/>
        </w:rPr>
        <w:footnoteRef/>
      </w:r>
      <w:r>
        <w:t xml:space="preserve"> D.20</w:t>
      </w:r>
      <w:r w:rsidR="003D1BC9">
        <w:noBreakHyphen/>
      </w:r>
      <w:r>
        <w:t>04</w:t>
      </w:r>
      <w:r w:rsidR="003D1BC9">
        <w:noBreakHyphen/>
      </w:r>
      <w:r>
        <w:t>010 at</w:t>
      </w:r>
      <w:r w:rsidR="00210E82">
        <w:t> </w:t>
      </w:r>
      <w:r>
        <w:t>76</w:t>
      </w:r>
      <w:r w:rsidR="003D1BC9">
        <w:noBreakHyphen/>
      </w:r>
      <w:r>
        <w:t>77.</w:t>
      </w:r>
    </w:p>
  </w:footnote>
  <w:footnote w:id="547">
    <w:p w14:paraId="388CF694" w14:textId="166DCD55" w:rsidR="00333F8E" w:rsidRDefault="00333F8E">
      <w:pPr>
        <w:pStyle w:val="FootnoteText"/>
      </w:pPr>
      <w:r>
        <w:rPr>
          <w:rStyle w:val="FootnoteReference"/>
        </w:rPr>
        <w:footnoteRef/>
      </w:r>
      <w:r>
        <w:t xml:space="preserve"> </w:t>
      </w:r>
      <w:r>
        <w:t>SBUA Opening Comments to November</w:t>
      </w:r>
      <w:r w:rsidR="00210E82">
        <w:t> </w:t>
      </w:r>
      <w:r>
        <w:t>10,</w:t>
      </w:r>
      <w:r w:rsidR="00210E82">
        <w:t> </w:t>
      </w:r>
      <w:r>
        <w:t>2022 Proposed Decision at</w:t>
      </w:r>
      <w:r w:rsidR="00210E82">
        <w:t> </w:t>
      </w:r>
      <w:r>
        <w:t>5</w:t>
      </w:r>
      <w:r w:rsidR="003D1BC9">
        <w:noBreakHyphen/>
      </w:r>
      <w:r>
        <w:t>8.</w:t>
      </w:r>
    </w:p>
  </w:footnote>
  <w:footnote w:id="548">
    <w:p w14:paraId="421035BE" w14:textId="5D1EF058" w:rsidR="00FE6875" w:rsidRDefault="00FE6875">
      <w:pPr>
        <w:pStyle w:val="FootnoteText"/>
      </w:pPr>
      <w:r>
        <w:rPr>
          <w:rStyle w:val="FootnoteReference"/>
        </w:rPr>
        <w:footnoteRef/>
      </w:r>
      <w:r>
        <w:t xml:space="preserve"> </w:t>
      </w:r>
      <w:r>
        <w:t>CALSSA Opening Comments to November</w:t>
      </w:r>
      <w:r w:rsidR="00210E82">
        <w:t> </w:t>
      </w:r>
      <w:r>
        <w:t>10,</w:t>
      </w:r>
      <w:r w:rsidR="00210E82">
        <w:t> </w:t>
      </w:r>
      <w:r>
        <w:t>2022 Proposed Decision at</w:t>
      </w:r>
      <w:r w:rsidR="00210E82">
        <w:t> </w:t>
      </w:r>
      <w:r>
        <w:t>5.</w:t>
      </w:r>
      <w:r w:rsidR="0083500F">
        <w:t xml:space="preserve"> </w:t>
      </w:r>
      <w:r w:rsidR="00210E82">
        <w:t xml:space="preserve"> (</w:t>
      </w:r>
      <w:r w:rsidR="0083500F" w:rsidRPr="00F3775C">
        <w:rPr>
          <w:i/>
          <w:iCs/>
        </w:rPr>
        <w:t>See also</w:t>
      </w:r>
      <w:r w:rsidR="0083500F">
        <w:t xml:space="preserve"> SEIA/Vote Solar Opening Comments to November</w:t>
      </w:r>
      <w:r w:rsidR="00210E82">
        <w:t> </w:t>
      </w:r>
      <w:r w:rsidR="0083500F">
        <w:t>10,</w:t>
      </w:r>
      <w:r w:rsidR="00210E82">
        <w:t> </w:t>
      </w:r>
      <w:r w:rsidR="0083500F">
        <w:t>2022 Proposed Decision at</w:t>
      </w:r>
      <w:r w:rsidR="00210E82">
        <w:t> </w:t>
      </w:r>
      <w:r w:rsidR="0083500F">
        <w:t>12</w:t>
      </w:r>
      <w:r w:rsidR="003D1BC9">
        <w:noBreakHyphen/>
      </w:r>
      <w:r w:rsidR="0083500F">
        <w:t>13.</w:t>
      </w:r>
      <w:r w:rsidR="00210E82">
        <w:t>)</w:t>
      </w:r>
    </w:p>
  </w:footnote>
  <w:footnote w:id="549">
    <w:p w14:paraId="093978D9" w14:textId="58F82343" w:rsidR="00502F84" w:rsidRDefault="00502F84">
      <w:pPr>
        <w:pStyle w:val="FootnoteText"/>
      </w:pPr>
      <w:r>
        <w:rPr>
          <w:rStyle w:val="FootnoteReference"/>
        </w:rPr>
        <w:footnoteRef/>
      </w:r>
      <w:r>
        <w:t xml:space="preserve"> </w:t>
      </w:r>
      <w:r>
        <w:t>CALSSA Opening Comments to November</w:t>
      </w:r>
      <w:r w:rsidR="00210E82">
        <w:t> </w:t>
      </w:r>
      <w:r>
        <w:t>10,</w:t>
      </w:r>
      <w:r w:rsidR="00210E82">
        <w:t> </w:t>
      </w:r>
      <w:r>
        <w:t>2022 Proposed Decision at</w:t>
      </w:r>
      <w:r w:rsidR="00210E82">
        <w:t> </w:t>
      </w:r>
      <w:r>
        <w:t>4</w:t>
      </w:r>
      <w:r w:rsidR="003D1BC9">
        <w:noBreakHyphen/>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719A" w14:textId="333E0CED" w:rsidR="00566FD2" w:rsidRPr="00566FD2" w:rsidRDefault="001F0687" w:rsidP="00566FD2">
    <w:pPr>
      <w:pStyle w:val="Header"/>
      <w:tabs>
        <w:tab w:val="clear" w:pos="4680"/>
      </w:tabs>
      <w:ind w:firstLine="0"/>
      <w:rPr>
        <w:bCs/>
      </w:rPr>
    </w:pPr>
    <w:r>
      <w:t>R.20</w:t>
    </w:r>
    <w:r w:rsidR="00827602">
      <w:noBreakHyphen/>
    </w:r>
    <w:r>
      <w:t>08</w:t>
    </w:r>
    <w:r w:rsidR="00827602">
      <w:noBreakHyphen/>
    </w:r>
    <w:r>
      <w:t>020  ALJ/KHY/nd3</w:t>
    </w:r>
    <w:r w:rsidRPr="007D45F7">
      <w:rPr>
        <w:bCs/>
      </w:rPr>
      <w:tab/>
      <w:t>PROPOSED DECISION</w:t>
    </w:r>
    <w:r w:rsidR="00F37D11">
      <w:rPr>
        <w:bCs/>
      </w:rPr>
      <w:t xml:space="preserve"> </w:t>
    </w:r>
    <w:r w:rsidR="00F37D11" w:rsidRPr="00F37D11">
      <w:rPr>
        <w:bC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E7A" w14:textId="152AAD87" w:rsidR="00A4293D" w:rsidRPr="00864AEA" w:rsidRDefault="00A4293D" w:rsidP="00864AE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16BE" w14:textId="3E81B5BF" w:rsidR="00261C61" w:rsidRDefault="00261C61" w:rsidP="00261C61">
    <w:pPr>
      <w:pStyle w:val="Header"/>
      <w:tabs>
        <w:tab w:val="clear" w:pos="4680"/>
      </w:tabs>
      <w:ind w:firstLine="0"/>
      <w:rPr>
        <w:bCs/>
      </w:rPr>
    </w:pPr>
    <w:r>
      <w:t>R.20</w:t>
    </w:r>
    <w:r w:rsidR="00827602">
      <w:noBreakHyphen/>
    </w:r>
    <w:r>
      <w:t>08</w:t>
    </w:r>
    <w:r w:rsidR="00827602">
      <w:noBreakHyphen/>
    </w:r>
    <w:r>
      <w:t>020  ALJ/KHY/nd3</w:t>
    </w:r>
    <w:r w:rsidRPr="007D45F7">
      <w:rPr>
        <w:bCs/>
      </w:rPr>
      <w:tab/>
      <w:t>PROPOSED DECISION</w:t>
    </w:r>
  </w:p>
  <w:p w14:paraId="7AA22028" w14:textId="77777777" w:rsidR="00261C61" w:rsidRPr="00566FD2" w:rsidRDefault="00261C61" w:rsidP="00261C61">
    <w:pPr>
      <w:pStyle w:val="BoxCheck1"/>
      <w:ind w:left="0" w:firstLine="0"/>
      <w:rPr>
        <w:rFonts w:ascii="Book Antiqua" w:hAnsi="Book Antiqua"/>
        <w:i/>
        <w:color w:val="FF0000"/>
        <w:sz w:val="26"/>
      </w:rPr>
    </w:pPr>
    <w:r>
      <w:rPr>
        <w:rFonts w:ascii="Book Antiqua" w:hAnsi="Book Antiqua"/>
        <w:i/>
        <w:color w:val="FF0000"/>
        <w:sz w:val="26"/>
      </w:rPr>
      <w:t xml:space="preserve">[10/25/22] </w:t>
    </w:r>
    <w:r w:rsidRPr="00566FD2">
      <w:rPr>
        <w:rFonts w:ascii="Book Antiqua" w:hAnsi="Book Antiqua"/>
        <w:i/>
        <w:color w:val="FF0000"/>
        <w:sz w:val="26"/>
      </w:rPr>
      <w:t xml:space="preserve">Internal Review Draft; Subject to </w:t>
    </w:r>
    <w:r w:rsidRPr="00566FD2">
      <w:rPr>
        <w:rFonts w:ascii="Book Antiqua" w:hAnsi="Book Antiqua"/>
        <w:b/>
        <w:i/>
        <w:color w:val="FF0000"/>
        <w:sz w:val="26"/>
      </w:rPr>
      <w:t>ALJ Division Review</w:t>
    </w:r>
  </w:p>
  <w:p w14:paraId="38B89405" w14:textId="77777777" w:rsidR="00261C61" w:rsidRPr="00566FD2" w:rsidRDefault="00261C61" w:rsidP="00261C61">
    <w:pPr>
      <w:pStyle w:val="Header"/>
      <w:tabs>
        <w:tab w:val="clear" w:pos="4680"/>
      </w:tabs>
      <w:ind w:firstLine="0"/>
      <w:rPr>
        <w:i/>
        <w:color w:val="FF0000"/>
      </w:rPr>
    </w:pPr>
    <w:r w:rsidRPr="00566FD2">
      <w:rPr>
        <w:b/>
        <w:i/>
        <w:color w:val="FF0000"/>
      </w:rPr>
      <w:t>CONFIDENTIAL</w:t>
    </w:r>
    <w:r w:rsidRPr="00566FD2">
      <w:rPr>
        <w:b/>
        <w:color w:val="FF0000"/>
      </w:rPr>
      <w:t xml:space="preserve">; </w:t>
    </w:r>
    <w:r w:rsidRPr="00566FD2">
      <w:rPr>
        <w:i/>
        <w:color w:val="FF0000"/>
      </w:rPr>
      <w:t>Deliberative Process Privilege</w:t>
    </w:r>
  </w:p>
  <w:p w14:paraId="1C135677" w14:textId="77777777" w:rsidR="00261C61" w:rsidRPr="00566FD2" w:rsidRDefault="00261C61" w:rsidP="00261C61">
    <w:pPr>
      <w:pStyle w:val="Header"/>
      <w:tabs>
        <w:tab w:val="clear" w:pos="4680"/>
      </w:tabs>
      <w:ind w:firstLine="0"/>
      <w:rPr>
        <w:bCs/>
      </w:rPr>
    </w:pPr>
  </w:p>
  <w:p w14:paraId="6952597E" w14:textId="42068B0C" w:rsidR="00987ABA" w:rsidRPr="00261C61" w:rsidRDefault="00987ABA" w:rsidP="00261C61">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F285" w14:textId="327D3A13" w:rsidR="00261C61" w:rsidRDefault="00261C61" w:rsidP="00261C61">
    <w:pPr>
      <w:pStyle w:val="Header"/>
      <w:tabs>
        <w:tab w:val="clear" w:pos="4680"/>
      </w:tabs>
      <w:ind w:firstLine="0"/>
      <w:rPr>
        <w:bCs/>
      </w:rPr>
    </w:pPr>
    <w:r>
      <w:t>R.20</w:t>
    </w:r>
    <w:r w:rsidR="00827602">
      <w:noBreakHyphen/>
    </w:r>
    <w:r>
      <w:t>08</w:t>
    </w:r>
    <w:r w:rsidR="00827602">
      <w:noBreakHyphen/>
    </w:r>
    <w:r>
      <w:t>020  ALJ/KHY/nd3</w:t>
    </w:r>
    <w:r w:rsidRPr="007D45F7">
      <w:rPr>
        <w:bCs/>
      </w:rPr>
      <w:tab/>
      <w:t>PROPOSED DECISION</w:t>
    </w:r>
  </w:p>
  <w:p w14:paraId="064F9ED4" w14:textId="77777777" w:rsidR="00261C61" w:rsidRPr="00566FD2" w:rsidRDefault="00261C61" w:rsidP="00261C61">
    <w:pPr>
      <w:pStyle w:val="BoxCheck1"/>
      <w:ind w:left="0" w:firstLine="0"/>
      <w:rPr>
        <w:rFonts w:ascii="Book Antiqua" w:hAnsi="Book Antiqua"/>
        <w:i/>
        <w:color w:val="FF0000"/>
        <w:sz w:val="26"/>
      </w:rPr>
    </w:pPr>
    <w:r>
      <w:rPr>
        <w:rFonts w:ascii="Book Antiqua" w:hAnsi="Book Antiqua"/>
        <w:i/>
        <w:color w:val="FF0000"/>
        <w:sz w:val="26"/>
      </w:rPr>
      <w:t xml:space="preserve">[10/25/22] </w:t>
    </w:r>
    <w:r w:rsidRPr="00566FD2">
      <w:rPr>
        <w:rFonts w:ascii="Book Antiqua" w:hAnsi="Book Antiqua"/>
        <w:i/>
        <w:color w:val="FF0000"/>
        <w:sz w:val="26"/>
      </w:rPr>
      <w:t xml:space="preserve">Internal Review Draft; Subject to </w:t>
    </w:r>
    <w:r w:rsidRPr="00566FD2">
      <w:rPr>
        <w:rFonts w:ascii="Book Antiqua" w:hAnsi="Book Antiqua"/>
        <w:b/>
        <w:i/>
        <w:color w:val="FF0000"/>
        <w:sz w:val="26"/>
      </w:rPr>
      <w:t>ALJ Division Review</w:t>
    </w:r>
  </w:p>
  <w:p w14:paraId="378CDB92" w14:textId="77777777" w:rsidR="00261C61" w:rsidRPr="00566FD2" w:rsidRDefault="00261C61" w:rsidP="00261C61">
    <w:pPr>
      <w:pStyle w:val="Header"/>
      <w:tabs>
        <w:tab w:val="clear" w:pos="4680"/>
      </w:tabs>
      <w:ind w:firstLine="0"/>
      <w:rPr>
        <w:i/>
        <w:color w:val="FF0000"/>
      </w:rPr>
    </w:pPr>
    <w:r w:rsidRPr="00566FD2">
      <w:rPr>
        <w:b/>
        <w:i/>
        <w:color w:val="FF0000"/>
      </w:rPr>
      <w:t>CONFIDENTIAL</w:t>
    </w:r>
    <w:r w:rsidRPr="00566FD2">
      <w:rPr>
        <w:b/>
        <w:color w:val="FF0000"/>
      </w:rPr>
      <w:t xml:space="preserve">; </w:t>
    </w:r>
    <w:r w:rsidRPr="00566FD2">
      <w:rPr>
        <w:i/>
        <w:color w:val="FF0000"/>
      </w:rPr>
      <w:t>Deliberative Process Privilege</w:t>
    </w:r>
  </w:p>
  <w:p w14:paraId="31D03E7D" w14:textId="77777777" w:rsidR="00261C61" w:rsidRPr="00566FD2" w:rsidRDefault="00261C61" w:rsidP="00261C61">
    <w:pPr>
      <w:pStyle w:val="Header"/>
      <w:tabs>
        <w:tab w:val="clear" w:pos="4680"/>
      </w:tabs>
      <w:ind w:firstLine="0"/>
      <w:rPr>
        <w:bCs/>
      </w:rPr>
    </w:pPr>
  </w:p>
  <w:p w14:paraId="24A1E7E6" w14:textId="2381996F" w:rsidR="00625EA2" w:rsidRPr="00261C61" w:rsidRDefault="00625EA2" w:rsidP="00261C6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E46F71C"/>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BB59FA"/>
    <w:multiLevelType w:val="multilevel"/>
    <w:tmpl w:val="EDA68DEC"/>
    <w:styleLink w:val="E3MultilevelList"/>
    <w:lvl w:ilvl="0">
      <w:start w:val="1"/>
      <w:numFmt w:val="decimal"/>
      <w:pStyle w:val="ListNumber"/>
      <w:lvlText w:val="%1."/>
      <w:lvlJc w:val="left"/>
      <w:rPr>
        <w:b/>
        <w:bCs/>
        <w:i w:val="0"/>
        <w:iCs w:val="0"/>
        <w:caps w:val="0"/>
        <w:smallCaps w:val="0"/>
        <w:strike w:val="0"/>
        <w:dstrike w:val="0"/>
        <w:noProof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D2B6C"/>
    <w:multiLevelType w:val="hybridMultilevel"/>
    <w:tmpl w:val="9B84BD7C"/>
    <w:lvl w:ilvl="0" w:tplc="62666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C1C14"/>
    <w:multiLevelType w:val="multilevel"/>
    <w:tmpl w:val="18F4A5AC"/>
    <w:styleLink w:val="FoFCoLOP"/>
    <w:lvl w:ilvl="0">
      <w:start w:val="1"/>
      <w:numFmt w:val="decimal"/>
      <w:lvlText w:val="%1."/>
      <w:lvlJc w:val="right"/>
      <w:pPr>
        <w:ind w:left="180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5" w15:restartNumberingAfterBreak="0">
    <w:nsid w:val="15F056CB"/>
    <w:multiLevelType w:val="multilevel"/>
    <w:tmpl w:val="18F4A5AC"/>
    <w:numStyleLink w:val="FoFCoLOP"/>
  </w:abstractNum>
  <w:abstractNum w:abstractNumId="6" w15:restartNumberingAfterBreak="0">
    <w:nsid w:val="198E06C2"/>
    <w:multiLevelType w:val="hybridMultilevel"/>
    <w:tmpl w:val="C7A23446"/>
    <w:lvl w:ilvl="0" w:tplc="B2A4D2B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B939AD"/>
    <w:multiLevelType w:val="hybridMultilevel"/>
    <w:tmpl w:val="B3BA77F4"/>
    <w:lvl w:ilvl="0" w:tplc="CC9AA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D06BD"/>
    <w:multiLevelType w:val="hybridMultilevel"/>
    <w:tmpl w:val="EDE2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954B6"/>
    <w:multiLevelType w:val="multilevel"/>
    <w:tmpl w:val="031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F6D42"/>
    <w:multiLevelType w:val="multilevel"/>
    <w:tmpl w:val="3C526EDE"/>
    <w:styleLink w:val="Headings"/>
    <w:lvl w:ilvl="0">
      <w:start w:val="1"/>
      <w:numFmt w:val="decimal"/>
      <w:lvlText w:val="%1."/>
      <w:lvlJc w:val="left"/>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rPr>
        <w:rFonts w:ascii="Arial" w:hAnsi="Arial" w:hint="default"/>
        <w:b/>
        <w:i w:val="0"/>
        <w:caps w:val="0"/>
        <w:strike w:val="0"/>
        <w:dstrike w:val="0"/>
        <w:vanish w:val="0"/>
        <w:color w:val="auto"/>
        <w:kern w:val="0"/>
        <w:sz w:val="26"/>
        <w:u w:val="none"/>
        <w:vertAlign w:val="baseline"/>
      </w:rPr>
    </w:lvl>
    <w:lvl w:ilvl="3">
      <w:start w:val="1"/>
      <w:numFmt w:val="decimal"/>
      <w:lvlText w:val="%1.%2.%3.%4."/>
      <w:lvlJc w:val="left"/>
      <w:rPr>
        <w:rFonts w:ascii="Arial" w:hAnsi="Arial" w:hint="default"/>
        <w:b/>
        <w:i w:val="0"/>
        <w:caps w:val="0"/>
        <w:strike w:val="0"/>
        <w:dstrike w:val="0"/>
        <w:vanish w:val="0"/>
        <w:kern w:val="0"/>
        <w:sz w:val="26"/>
        <w:vertAlign w:val="baseline"/>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1" w15:restartNumberingAfterBreak="0">
    <w:nsid w:val="44AB1F45"/>
    <w:multiLevelType w:val="hybridMultilevel"/>
    <w:tmpl w:val="58CE3304"/>
    <w:lvl w:ilvl="0" w:tplc="C340E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34951"/>
    <w:multiLevelType w:val="hybridMultilevel"/>
    <w:tmpl w:val="756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11C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F221AB1"/>
    <w:multiLevelType w:val="multilevel"/>
    <w:tmpl w:val="6EEE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0971BE"/>
    <w:multiLevelType w:val="hybridMultilevel"/>
    <w:tmpl w:val="22A8DC36"/>
    <w:lvl w:ilvl="0" w:tplc="67B4E922">
      <w:start w:val="1"/>
      <w:numFmt w:val="bullet"/>
      <w:lvlText w:val="È"/>
      <w:lvlJc w:val="left"/>
      <w:pPr>
        <w:ind w:left="720" w:hanging="360"/>
      </w:pPr>
      <w:rPr>
        <w:rFonts w:ascii="Wingdings 2" w:hAnsi="Wingdings 2" w:hint="default"/>
        <w:b/>
        <w:i w:val="0"/>
        <w:color w:val="4472C4" w:themeColor="accen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D042D7"/>
    <w:multiLevelType w:val="multilevel"/>
    <w:tmpl w:val="18F4A5AC"/>
    <w:numStyleLink w:val="FoFCoLOP"/>
  </w:abstractNum>
  <w:abstractNum w:abstractNumId="17" w15:restartNumberingAfterBreak="0">
    <w:nsid w:val="5CD47EB0"/>
    <w:multiLevelType w:val="multilevel"/>
    <w:tmpl w:val="DE2CC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1A25780"/>
    <w:multiLevelType w:val="multilevel"/>
    <w:tmpl w:val="0B1EE542"/>
    <w:lvl w:ilvl="0">
      <w:start w:val="1"/>
      <w:numFmt w:val="decimal"/>
      <w:pStyle w:val="Heading1"/>
      <w:lvlText w:val="%1."/>
      <w:lvlJc w:val="left"/>
      <w:pPr>
        <w:ind w:left="475" w:hanging="475"/>
      </w:pPr>
      <w:rPr>
        <w:rFonts w:ascii="Arial" w:hAnsi="Arial" w:hint="default"/>
        <w:b/>
        <w:i w:val="0"/>
        <w:caps w:val="0"/>
        <w:strike w:val="0"/>
        <w:dstrike w:val="0"/>
        <w:vanish w:val="0"/>
        <w:color w:val="auto"/>
        <w:kern w:val="0"/>
        <w:position w:val="0"/>
        <w:sz w:val="26"/>
        <w:u w:val="none"/>
        <w:vertAlign w:val="baseline"/>
      </w:rPr>
    </w:lvl>
    <w:lvl w:ilvl="1">
      <w:start w:val="1"/>
      <w:numFmt w:val="decimal"/>
      <w:pStyle w:val="Heading2"/>
      <w:lvlText w:val="%1.%2."/>
      <w:lvlJc w:val="left"/>
      <w:pPr>
        <w:ind w:left="1224" w:hanging="749"/>
      </w:pPr>
      <w:rPr>
        <w:rFonts w:ascii="Arial" w:hAnsi="Arial" w:hint="default"/>
        <w:b/>
        <w:i w:val="0"/>
        <w:caps w:val="0"/>
        <w:strike w:val="0"/>
        <w:dstrike w:val="0"/>
        <w:vanish w:val="0"/>
        <w:color w:val="auto"/>
        <w:kern w:val="0"/>
        <w:sz w:val="26"/>
        <w:u w:val="none"/>
        <w:vertAlign w:val="baseline"/>
      </w:rPr>
    </w:lvl>
    <w:lvl w:ilvl="2">
      <w:start w:val="1"/>
      <w:numFmt w:val="decimal"/>
      <w:pStyle w:val="Heading3"/>
      <w:lvlText w:val="%1.%2.%3."/>
      <w:lvlJc w:val="left"/>
      <w:pPr>
        <w:ind w:left="2160" w:hanging="936"/>
      </w:pPr>
      <w:rPr>
        <w:rFonts w:ascii="Arial" w:hAnsi="Arial" w:hint="default"/>
        <w:b/>
        <w:i w:val="0"/>
        <w:caps w:val="0"/>
        <w:strike w:val="0"/>
        <w:dstrike w:val="0"/>
        <w:vanish w:val="0"/>
        <w:color w:val="auto"/>
        <w:kern w:val="0"/>
        <w:sz w:val="26"/>
        <w:u w:val="none"/>
        <w:vertAlign w:val="baseline"/>
      </w:rPr>
    </w:lvl>
    <w:lvl w:ilvl="3">
      <w:start w:val="1"/>
      <w:numFmt w:val="decimal"/>
      <w:pStyle w:val="Heading4"/>
      <w:lvlText w:val="%1.%2.%3.%4."/>
      <w:lvlJc w:val="left"/>
      <w:pPr>
        <w:ind w:left="0" w:firstLine="0"/>
      </w:pPr>
      <w:rPr>
        <w:rFonts w:ascii="Arial" w:hAnsi="Arial" w:hint="default"/>
        <w:b/>
        <w:i w:val="0"/>
        <w:caps w:val="0"/>
        <w:strike w:val="0"/>
        <w:dstrike w:val="0"/>
        <w:vanish w:val="0"/>
        <w:kern w:val="0"/>
        <w:sz w:val="26"/>
        <w:vertAlign w:val="baseline"/>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789A0AFE"/>
    <w:multiLevelType w:val="multilevel"/>
    <w:tmpl w:val="18F4A5AC"/>
    <w:styleLink w:val="E3MultilevelList1"/>
    <w:lvl w:ilvl="0">
      <w:start w:val="1"/>
      <w:numFmt w:val="decimal"/>
      <w:pStyle w:val="OP"/>
      <w:lvlText w:val="%1."/>
      <w:lvlJc w:val="right"/>
      <w:pPr>
        <w:ind w:left="180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num w:numId="1" w16cid:durableId="262108407">
    <w:abstractNumId w:val="4"/>
  </w:num>
  <w:num w:numId="2" w16cid:durableId="2077505319">
    <w:abstractNumId w:val="16"/>
  </w:num>
  <w:num w:numId="3" w16cid:durableId="365644110">
    <w:abstractNumId w:val="5"/>
  </w:num>
  <w:num w:numId="4" w16cid:durableId="2025402089">
    <w:abstractNumId w:val="19"/>
    <w:lvlOverride w:ilvl="0">
      <w:lvl w:ilvl="0">
        <w:start w:val="1"/>
        <w:numFmt w:val="decimal"/>
        <w:pStyle w:val="OP"/>
        <w:lvlText w:val="%1."/>
        <w:lvlJc w:val="right"/>
        <w:pPr>
          <w:ind w:left="1800" w:firstLine="540"/>
        </w:pPr>
        <w:rPr>
          <w:rFonts w:hint="default"/>
        </w:rPr>
      </w:lvl>
    </w:lvlOverride>
    <w:lvlOverride w:ilvl="1">
      <w:lvl w:ilvl="1">
        <w:start w:val="1"/>
        <w:numFmt w:val="lowerLetter"/>
        <w:lvlText w:val="(%2)"/>
        <w:lvlJc w:val="right"/>
        <w:pPr>
          <w:ind w:left="1152" w:hanging="72"/>
        </w:pPr>
        <w:rPr>
          <w:rFonts w:hint="default"/>
        </w:rPr>
      </w:lvl>
    </w:lvlOverride>
  </w:num>
  <w:num w:numId="5" w16cid:durableId="350647991">
    <w:abstractNumId w:val="10"/>
  </w:num>
  <w:num w:numId="6" w16cid:durableId="678387417">
    <w:abstractNumId w:val="1"/>
  </w:num>
  <w:num w:numId="7" w16cid:durableId="1437404558">
    <w:abstractNumId w:val="18"/>
  </w:num>
  <w:num w:numId="8" w16cid:durableId="137889624">
    <w:abstractNumId w:val="11"/>
  </w:num>
  <w:num w:numId="9" w16cid:durableId="144205606">
    <w:abstractNumId w:val="3"/>
  </w:num>
  <w:num w:numId="10" w16cid:durableId="1512988141">
    <w:abstractNumId w:val="7"/>
  </w:num>
  <w:num w:numId="11" w16cid:durableId="1238712941">
    <w:abstractNumId w:val="6"/>
  </w:num>
  <w:num w:numId="12" w16cid:durableId="577178635">
    <w:abstractNumId w:val="19"/>
    <w:lvlOverride w:ilvl="0">
      <w:lvl w:ilvl="0">
        <w:start w:val="1"/>
        <w:numFmt w:val="decimal"/>
        <w:pStyle w:val="OP"/>
        <w:lvlText w:val="%1."/>
        <w:lvlJc w:val="right"/>
        <w:pPr>
          <w:ind w:left="1800" w:firstLine="540"/>
        </w:pPr>
        <w:rPr>
          <w:rFonts w:hint="default"/>
        </w:rPr>
      </w:lvl>
    </w:lvlOverride>
    <w:lvlOverride w:ilvl="1">
      <w:lvl w:ilvl="1">
        <w:start w:val="1"/>
        <w:numFmt w:val="lowerLetter"/>
        <w:lvlText w:val="(%2)"/>
        <w:lvlJc w:val="right"/>
        <w:pPr>
          <w:ind w:left="1152" w:hanging="72"/>
        </w:pPr>
        <w:rPr>
          <w:rFonts w:hint="default"/>
        </w:rPr>
      </w:lvl>
    </w:lvlOverride>
  </w:num>
  <w:num w:numId="13" w16cid:durableId="1451045170">
    <w:abstractNumId w:val="2"/>
  </w:num>
  <w:num w:numId="14" w16cid:durableId="1706321588">
    <w:abstractNumId w:val="12"/>
  </w:num>
  <w:num w:numId="15" w16cid:durableId="698555656">
    <w:abstractNumId w:val="19"/>
  </w:num>
  <w:num w:numId="16" w16cid:durableId="1866213178">
    <w:abstractNumId w:val="0"/>
  </w:num>
  <w:num w:numId="17" w16cid:durableId="2132088437">
    <w:abstractNumId w:val="15"/>
    <w:lvlOverride w:ilvl="0">
      <w:startOverride w:val="1"/>
    </w:lvlOverride>
  </w:num>
  <w:num w:numId="18" w16cid:durableId="1180045986">
    <w:abstractNumId w:val="8"/>
  </w:num>
  <w:num w:numId="19" w16cid:durableId="1756706240">
    <w:abstractNumId w:val="9"/>
  </w:num>
  <w:num w:numId="20" w16cid:durableId="1824153544">
    <w:abstractNumId w:val="14"/>
  </w:num>
  <w:num w:numId="21" w16cid:durableId="749691563">
    <w:abstractNumId w:val="19"/>
    <w:lvlOverride w:ilvl="0">
      <w:lvl w:ilvl="0">
        <w:start w:val="1"/>
        <w:numFmt w:val="decimal"/>
        <w:pStyle w:val="OP"/>
        <w:lvlText w:val="%1."/>
        <w:lvlJc w:val="right"/>
        <w:pPr>
          <w:ind w:left="1800" w:firstLine="540"/>
        </w:pPr>
        <w:rPr>
          <w:rFonts w:hint="default"/>
        </w:rPr>
      </w:lvl>
    </w:lvlOverride>
    <w:lvlOverride w:ilvl="1">
      <w:lvl w:ilvl="1">
        <w:start w:val="1"/>
        <w:numFmt w:val="lowerLetter"/>
        <w:lvlText w:val="(%2)"/>
        <w:lvlJc w:val="right"/>
        <w:pPr>
          <w:ind w:left="1152" w:hanging="72"/>
        </w:pPr>
        <w:rPr>
          <w:rFonts w:hint="default"/>
        </w:rPr>
      </w:lvl>
    </w:lvlOverride>
  </w:num>
  <w:num w:numId="22" w16cid:durableId="1075056515">
    <w:abstractNumId w:val="19"/>
    <w:lvlOverride w:ilvl="0">
      <w:lvl w:ilvl="0">
        <w:start w:val="1"/>
        <w:numFmt w:val="decimal"/>
        <w:pStyle w:val="OP"/>
        <w:lvlText w:val="%1."/>
        <w:lvlJc w:val="right"/>
        <w:pPr>
          <w:ind w:left="1800" w:firstLine="540"/>
        </w:pPr>
        <w:rPr>
          <w:rFonts w:hint="default"/>
        </w:rPr>
      </w:lvl>
    </w:lvlOverride>
    <w:lvlOverride w:ilvl="1">
      <w:lvl w:ilvl="1">
        <w:start w:val="1"/>
        <w:numFmt w:val="lowerLetter"/>
        <w:lvlText w:val="(%2)"/>
        <w:lvlJc w:val="right"/>
        <w:pPr>
          <w:ind w:left="1152" w:hanging="72"/>
        </w:pPr>
        <w:rPr>
          <w:rFonts w:hint="default"/>
        </w:rPr>
      </w:lvl>
    </w:lvlOverride>
  </w:num>
  <w:num w:numId="23" w16cid:durableId="1495564209">
    <w:abstractNumId w:val="19"/>
    <w:lvlOverride w:ilvl="0">
      <w:startOverride w:val="1"/>
      <w:lvl w:ilvl="0">
        <w:start w:val="1"/>
        <w:numFmt w:val="decimal"/>
        <w:pStyle w:val="OP"/>
        <w:lvlText w:val="%1."/>
        <w:lvlJc w:val="right"/>
        <w:pPr>
          <w:ind w:left="1800" w:firstLine="540"/>
        </w:pPr>
      </w:lvl>
    </w:lvlOverride>
    <w:lvlOverride w:ilvl="1">
      <w:startOverride w:val="1"/>
      <w:lvl w:ilvl="1">
        <w:start w:val="1"/>
        <w:numFmt w:val="decimal"/>
        <w:lvlText w:val="(%2)"/>
        <w:lvlJc w:val="right"/>
        <w:pPr>
          <w:ind w:left="1152" w:hanging="72"/>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16cid:durableId="170417255">
    <w:abstractNumId w:val="13"/>
  </w:num>
  <w:num w:numId="25" w16cid:durableId="707071462">
    <w:abstractNumId w:val="17"/>
  </w:num>
  <w:num w:numId="26" w16cid:durableId="1937860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4668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20591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50074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3434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51"/>
    <w:rsid w:val="000005EE"/>
    <w:rsid w:val="00000DAE"/>
    <w:rsid w:val="00000F6A"/>
    <w:rsid w:val="000026A1"/>
    <w:rsid w:val="00002E75"/>
    <w:rsid w:val="00004074"/>
    <w:rsid w:val="00004D9E"/>
    <w:rsid w:val="00005025"/>
    <w:rsid w:val="00005441"/>
    <w:rsid w:val="000077BE"/>
    <w:rsid w:val="00007BAF"/>
    <w:rsid w:val="00007D92"/>
    <w:rsid w:val="000119F0"/>
    <w:rsid w:val="00011C67"/>
    <w:rsid w:val="00011D48"/>
    <w:rsid w:val="0001223C"/>
    <w:rsid w:val="00012AF5"/>
    <w:rsid w:val="00012B11"/>
    <w:rsid w:val="00012B54"/>
    <w:rsid w:val="0001316D"/>
    <w:rsid w:val="0001375B"/>
    <w:rsid w:val="00013813"/>
    <w:rsid w:val="00013E60"/>
    <w:rsid w:val="00014923"/>
    <w:rsid w:val="00014A35"/>
    <w:rsid w:val="00014AD9"/>
    <w:rsid w:val="00014CFF"/>
    <w:rsid w:val="00015467"/>
    <w:rsid w:val="0001719D"/>
    <w:rsid w:val="00020541"/>
    <w:rsid w:val="00020A88"/>
    <w:rsid w:val="00020E74"/>
    <w:rsid w:val="0002131B"/>
    <w:rsid w:val="0002139F"/>
    <w:rsid w:val="00021473"/>
    <w:rsid w:val="000228FB"/>
    <w:rsid w:val="00023318"/>
    <w:rsid w:val="00024285"/>
    <w:rsid w:val="00024914"/>
    <w:rsid w:val="00024A91"/>
    <w:rsid w:val="00024BF8"/>
    <w:rsid w:val="00024F8B"/>
    <w:rsid w:val="0002545D"/>
    <w:rsid w:val="00025E89"/>
    <w:rsid w:val="0002602F"/>
    <w:rsid w:val="00026379"/>
    <w:rsid w:val="00026AC1"/>
    <w:rsid w:val="00026B44"/>
    <w:rsid w:val="00027537"/>
    <w:rsid w:val="00027AC5"/>
    <w:rsid w:val="000313AC"/>
    <w:rsid w:val="000321D0"/>
    <w:rsid w:val="00032FC3"/>
    <w:rsid w:val="00033302"/>
    <w:rsid w:val="0003366B"/>
    <w:rsid w:val="00033689"/>
    <w:rsid w:val="00034C91"/>
    <w:rsid w:val="00034D52"/>
    <w:rsid w:val="00035657"/>
    <w:rsid w:val="00035F12"/>
    <w:rsid w:val="000360AF"/>
    <w:rsid w:val="0003614B"/>
    <w:rsid w:val="00036939"/>
    <w:rsid w:val="00036D19"/>
    <w:rsid w:val="000373A3"/>
    <w:rsid w:val="00037F69"/>
    <w:rsid w:val="000403AB"/>
    <w:rsid w:val="00040460"/>
    <w:rsid w:val="00040A6E"/>
    <w:rsid w:val="00040F06"/>
    <w:rsid w:val="0004136B"/>
    <w:rsid w:val="00042EA8"/>
    <w:rsid w:val="0004307E"/>
    <w:rsid w:val="00043248"/>
    <w:rsid w:val="00043581"/>
    <w:rsid w:val="00043F8F"/>
    <w:rsid w:val="00045D3F"/>
    <w:rsid w:val="00046A62"/>
    <w:rsid w:val="00046D36"/>
    <w:rsid w:val="0004721D"/>
    <w:rsid w:val="0005015D"/>
    <w:rsid w:val="0005016E"/>
    <w:rsid w:val="000502B5"/>
    <w:rsid w:val="00051685"/>
    <w:rsid w:val="00051CBB"/>
    <w:rsid w:val="00052692"/>
    <w:rsid w:val="00054964"/>
    <w:rsid w:val="00054F28"/>
    <w:rsid w:val="00056229"/>
    <w:rsid w:val="000563E5"/>
    <w:rsid w:val="00056A4E"/>
    <w:rsid w:val="00056DF0"/>
    <w:rsid w:val="000611AB"/>
    <w:rsid w:val="000614BC"/>
    <w:rsid w:val="00061A9A"/>
    <w:rsid w:val="00061C1A"/>
    <w:rsid w:val="00062119"/>
    <w:rsid w:val="0006246B"/>
    <w:rsid w:val="000636AF"/>
    <w:rsid w:val="00063A84"/>
    <w:rsid w:val="00064E5D"/>
    <w:rsid w:val="00065811"/>
    <w:rsid w:val="00066322"/>
    <w:rsid w:val="00066BF1"/>
    <w:rsid w:val="00067877"/>
    <w:rsid w:val="00067B15"/>
    <w:rsid w:val="0007023C"/>
    <w:rsid w:val="00070340"/>
    <w:rsid w:val="000703BC"/>
    <w:rsid w:val="00070DFD"/>
    <w:rsid w:val="0007115A"/>
    <w:rsid w:val="000711BF"/>
    <w:rsid w:val="00071337"/>
    <w:rsid w:val="00071EA8"/>
    <w:rsid w:val="000720B8"/>
    <w:rsid w:val="000730B4"/>
    <w:rsid w:val="0007392A"/>
    <w:rsid w:val="000764E1"/>
    <w:rsid w:val="000769B1"/>
    <w:rsid w:val="000769BA"/>
    <w:rsid w:val="00076AF3"/>
    <w:rsid w:val="0007768F"/>
    <w:rsid w:val="000776AB"/>
    <w:rsid w:val="00080346"/>
    <w:rsid w:val="0008087B"/>
    <w:rsid w:val="00080D30"/>
    <w:rsid w:val="00080E90"/>
    <w:rsid w:val="00081B98"/>
    <w:rsid w:val="00082E07"/>
    <w:rsid w:val="00083239"/>
    <w:rsid w:val="000835B5"/>
    <w:rsid w:val="0008430A"/>
    <w:rsid w:val="000844FE"/>
    <w:rsid w:val="00084BE3"/>
    <w:rsid w:val="00084F83"/>
    <w:rsid w:val="00085B96"/>
    <w:rsid w:val="00087EB9"/>
    <w:rsid w:val="00090664"/>
    <w:rsid w:val="00091B46"/>
    <w:rsid w:val="00092670"/>
    <w:rsid w:val="00093416"/>
    <w:rsid w:val="00093AA6"/>
    <w:rsid w:val="00093C2F"/>
    <w:rsid w:val="00093D3A"/>
    <w:rsid w:val="00094C16"/>
    <w:rsid w:val="0009503E"/>
    <w:rsid w:val="000966CE"/>
    <w:rsid w:val="000973C8"/>
    <w:rsid w:val="00097455"/>
    <w:rsid w:val="00097E9C"/>
    <w:rsid w:val="000A05F2"/>
    <w:rsid w:val="000A2AA9"/>
    <w:rsid w:val="000A3CB4"/>
    <w:rsid w:val="000A40C9"/>
    <w:rsid w:val="000A4899"/>
    <w:rsid w:val="000A54F1"/>
    <w:rsid w:val="000A5669"/>
    <w:rsid w:val="000A56F2"/>
    <w:rsid w:val="000A6509"/>
    <w:rsid w:val="000A6A05"/>
    <w:rsid w:val="000A6E05"/>
    <w:rsid w:val="000A7C1F"/>
    <w:rsid w:val="000B0D69"/>
    <w:rsid w:val="000B12FA"/>
    <w:rsid w:val="000B20B0"/>
    <w:rsid w:val="000B2505"/>
    <w:rsid w:val="000B2BCD"/>
    <w:rsid w:val="000B3DA8"/>
    <w:rsid w:val="000B3EEB"/>
    <w:rsid w:val="000B3FB9"/>
    <w:rsid w:val="000B407C"/>
    <w:rsid w:val="000B4726"/>
    <w:rsid w:val="000B5FDF"/>
    <w:rsid w:val="000B7693"/>
    <w:rsid w:val="000C02B0"/>
    <w:rsid w:val="000C08BF"/>
    <w:rsid w:val="000C0D5B"/>
    <w:rsid w:val="000C178C"/>
    <w:rsid w:val="000C2715"/>
    <w:rsid w:val="000C3AA5"/>
    <w:rsid w:val="000C3B9A"/>
    <w:rsid w:val="000C4375"/>
    <w:rsid w:val="000C43BE"/>
    <w:rsid w:val="000C4710"/>
    <w:rsid w:val="000C4EB8"/>
    <w:rsid w:val="000C5686"/>
    <w:rsid w:val="000C5A90"/>
    <w:rsid w:val="000C669A"/>
    <w:rsid w:val="000C68C1"/>
    <w:rsid w:val="000C6CEA"/>
    <w:rsid w:val="000C70D7"/>
    <w:rsid w:val="000C7446"/>
    <w:rsid w:val="000C7668"/>
    <w:rsid w:val="000C79A9"/>
    <w:rsid w:val="000D25A8"/>
    <w:rsid w:val="000D307A"/>
    <w:rsid w:val="000D319A"/>
    <w:rsid w:val="000D365F"/>
    <w:rsid w:val="000D39CB"/>
    <w:rsid w:val="000D3B40"/>
    <w:rsid w:val="000D48E4"/>
    <w:rsid w:val="000D4A55"/>
    <w:rsid w:val="000D504F"/>
    <w:rsid w:val="000D5697"/>
    <w:rsid w:val="000D71DC"/>
    <w:rsid w:val="000E094C"/>
    <w:rsid w:val="000E0967"/>
    <w:rsid w:val="000E1579"/>
    <w:rsid w:val="000E270A"/>
    <w:rsid w:val="000E3124"/>
    <w:rsid w:val="000E4C53"/>
    <w:rsid w:val="000E4FB2"/>
    <w:rsid w:val="000E502B"/>
    <w:rsid w:val="000E5835"/>
    <w:rsid w:val="000E5A44"/>
    <w:rsid w:val="000E711C"/>
    <w:rsid w:val="000F13D4"/>
    <w:rsid w:val="000F2183"/>
    <w:rsid w:val="000F23C8"/>
    <w:rsid w:val="000F2437"/>
    <w:rsid w:val="000F4A85"/>
    <w:rsid w:val="000F5628"/>
    <w:rsid w:val="000F6251"/>
    <w:rsid w:val="00100408"/>
    <w:rsid w:val="0010258B"/>
    <w:rsid w:val="00102597"/>
    <w:rsid w:val="001025F0"/>
    <w:rsid w:val="00102719"/>
    <w:rsid w:val="00103D3A"/>
    <w:rsid w:val="001052B1"/>
    <w:rsid w:val="00105785"/>
    <w:rsid w:val="00106A35"/>
    <w:rsid w:val="00106D4C"/>
    <w:rsid w:val="00107022"/>
    <w:rsid w:val="0010758B"/>
    <w:rsid w:val="001102AE"/>
    <w:rsid w:val="0011045B"/>
    <w:rsid w:val="00111EE7"/>
    <w:rsid w:val="001129EC"/>
    <w:rsid w:val="00112BBB"/>
    <w:rsid w:val="0011320F"/>
    <w:rsid w:val="001135AC"/>
    <w:rsid w:val="0011423F"/>
    <w:rsid w:val="00116E9B"/>
    <w:rsid w:val="00116F1F"/>
    <w:rsid w:val="00117709"/>
    <w:rsid w:val="00117A7D"/>
    <w:rsid w:val="00117EE9"/>
    <w:rsid w:val="00121089"/>
    <w:rsid w:val="001218D7"/>
    <w:rsid w:val="00121E32"/>
    <w:rsid w:val="001228E5"/>
    <w:rsid w:val="00122AB6"/>
    <w:rsid w:val="00123055"/>
    <w:rsid w:val="001243CC"/>
    <w:rsid w:val="0012456A"/>
    <w:rsid w:val="0012458A"/>
    <w:rsid w:val="00124D4D"/>
    <w:rsid w:val="00124D96"/>
    <w:rsid w:val="00124E71"/>
    <w:rsid w:val="001252BD"/>
    <w:rsid w:val="00125558"/>
    <w:rsid w:val="00125A6F"/>
    <w:rsid w:val="0012680C"/>
    <w:rsid w:val="00126D3F"/>
    <w:rsid w:val="00126ECC"/>
    <w:rsid w:val="00127772"/>
    <w:rsid w:val="00130485"/>
    <w:rsid w:val="001308BE"/>
    <w:rsid w:val="0013172B"/>
    <w:rsid w:val="00131BAC"/>
    <w:rsid w:val="00132F73"/>
    <w:rsid w:val="001338C9"/>
    <w:rsid w:val="00133D92"/>
    <w:rsid w:val="00133DF7"/>
    <w:rsid w:val="00133F4D"/>
    <w:rsid w:val="001343E9"/>
    <w:rsid w:val="001347A3"/>
    <w:rsid w:val="00135415"/>
    <w:rsid w:val="00135651"/>
    <w:rsid w:val="00135BB0"/>
    <w:rsid w:val="00135D55"/>
    <w:rsid w:val="0013614F"/>
    <w:rsid w:val="00136910"/>
    <w:rsid w:val="00136ED8"/>
    <w:rsid w:val="00137B1B"/>
    <w:rsid w:val="00140DD8"/>
    <w:rsid w:val="00140FB2"/>
    <w:rsid w:val="00141989"/>
    <w:rsid w:val="00141A9B"/>
    <w:rsid w:val="00141D22"/>
    <w:rsid w:val="00141E2A"/>
    <w:rsid w:val="001425A4"/>
    <w:rsid w:val="00142CCD"/>
    <w:rsid w:val="001438DC"/>
    <w:rsid w:val="00144178"/>
    <w:rsid w:val="0014528C"/>
    <w:rsid w:val="001456E6"/>
    <w:rsid w:val="001459BF"/>
    <w:rsid w:val="0014631D"/>
    <w:rsid w:val="00146662"/>
    <w:rsid w:val="00147013"/>
    <w:rsid w:val="00147182"/>
    <w:rsid w:val="00147211"/>
    <w:rsid w:val="00150111"/>
    <w:rsid w:val="00150629"/>
    <w:rsid w:val="0015176E"/>
    <w:rsid w:val="00151F02"/>
    <w:rsid w:val="0015232D"/>
    <w:rsid w:val="001526CC"/>
    <w:rsid w:val="0015271B"/>
    <w:rsid w:val="001533B1"/>
    <w:rsid w:val="001534FF"/>
    <w:rsid w:val="00153825"/>
    <w:rsid w:val="001539F5"/>
    <w:rsid w:val="00156611"/>
    <w:rsid w:val="001567E5"/>
    <w:rsid w:val="00160490"/>
    <w:rsid w:val="001620D0"/>
    <w:rsid w:val="0016243D"/>
    <w:rsid w:val="00162517"/>
    <w:rsid w:val="001634A5"/>
    <w:rsid w:val="0016402A"/>
    <w:rsid w:val="00165B44"/>
    <w:rsid w:val="00165FEC"/>
    <w:rsid w:val="001661A2"/>
    <w:rsid w:val="00166FA0"/>
    <w:rsid w:val="00167583"/>
    <w:rsid w:val="00170A9A"/>
    <w:rsid w:val="0017214C"/>
    <w:rsid w:val="001725FB"/>
    <w:rsid w:val="00172660"/>
    <w:rsid w:val="00172B92"/>
    <w:rsid w:val="00172EA0"/>
    <w:rsid w:val="00172F98"/>
    <w:rsid w:val="00173DE0"/>
    <w:rsid w:val="001741C7"/>
    <w:rsid w:val="001744D8"/>
    <w:rsid w:val="00174F5C"/>
    <w:rsid w:val="00175640"/>
    <w:rsid w:val="001764F0"/>
    <w:rsid w:val="00176C96"/>
    <w:rsid w:val="001800AF"/>
    <w:rsid w:val="001802FD"/>
    <w:rsid w:val="00180360"/>
    <w:rsid w:val="001808EA"/>
    <w:rsid w:val="001812FE"/>
    <w:rsid w:val="001816B5"/>
    <w:rsid w:val="001821C5"/>
    <w:rsid w:val="001826F7"/>
    <w:rsid w:val="00182813"/>
    <w:rsid w:val="0018427D"/>
    <w:rsid w:val="001844BB"/>
    <w:rsid w:val="001847C7"/>
    <w:rsid w:val="00185070"/>
    <w:rsid w:val="00185FE3"/>
    <w:rsid w:val="0018611A"/>
    <w:rsid w:val="00186A5D"/>
    <w:rsid w:val="00186F95"/>
    <w:rsid w:val="00187472"/>
    <w:rsid w:val="00190125"/>
    <w:rsid w:val="0019055E"/>
    <w:rsid w:val="00191FC2"/>
    <w:rsid w:val="00194373"/>
    <w:rsid w:val="00194C94"/>
    <w:rsid w:val="001953B3"/>
    <w:rsid w:val="00195513"/>
    <w:rsid w:val="00195AE8"/>
    <w:rsid w:val="0019628E"/>
    <w:rsid w:val="00196C78"/>
    <w:rsid w:val="00197311"/>
    <w:rsid w:val="0019780F"/>
    <w:rsid w:val="00197B85"/>
    <w:rsid w:val="001A0619"/>
    <w:rsid w:val="001A1248"/>
    <w:rsid w:val="001A1402"/>
    <w:rsid w:val="001A150B"/>
    <w:rsid w:val="001A1ADB"/>
    <w:rsid w:val="001A1ECE"/>
    <w:rsid w:val="001A2813"/>
    <w:rsid w:val="001A2FDB"/>
    <w:rsid w:val="001A3191"/>
    <w:rsid w:val="001A335C"/>
    <w:rsid w:val="001A370D"/>
    <w:rsid w:val="001A378D"/>
    <w:rsid w:val="001A3951"/>
    <w:rsid w:val="001A4158"/>
    <w:rsid w:val="001A4219"/>
    <w:rsid w:val="001A4E5C"/>
    <w:rsid w:val="001A4E88"/>
    <w:rsid w:val="001A6220"/>
    <w:rsid w:val="001A6FC6"/>
    <w:rsid w:val="001A7087"/>
    <w:rsid w:val="001B05A0"/>
    <w:rsid w:val="001B0C34"/>
    <w:rsid w:val="001B1BB2"/>
    <w:rsid w:val="001B1DF4"/>
    <w:rsid w:val="001B2582"/>
    <w:rsid w:val="001B32CB"/>
    <w:rsid w:val="001B349F"/>
    <w:rsid w:val="001B3CEF"/>
    <w:rsid w:val="001B4E4A"/>
    <w:rsid w:val="001B7726"/>
    <w:rsid w:val="001B7951"/>
    <w:rsid w:val="001C0278"/>
    <w:rsid w:val="001C0867"/>
    <w:rsid w:val="001C0A0B"/>
    <w:rsid w:val="001C0F1B"/>
    <w:rsid w:val="001C1463"/>
    <w:rsid w:val="001C363F"/>
    <w:rsid w:val="001C3D95"/>
    <w:rsid w:val="001C3E48"/>
    <w:rsid w:val="001C46A5"/>
    <w:rsid w:val="001C46B9"/>
    <w:rsid w:val="001C570C"/>
    <w:rsid w:val="001C5E14"/>
    <w:rsid w:val="001C71AF"/>
    <w:rsid w:val="001C721E"/>
    <w:rsid w:val="001C722A"/>
    <w:rsid w:val="001C7B36"/>
    <w:rsid w:val="001C7D02"/>
    <w:rsid w:val="001C7F3B"/>
    <w:rsid w:val="001D0CE6"/>
    <w:rsid w:val="001D25BE"/>
    <w:rsid w:val="001D293E"/>
    <w:rsid w:val="001D29B8"/>
    <w:rsid w:val="001D2DB3"/>
    <w:rsid w:val="001D4A6E"/>
    <w:rsid w:val="001D5CFF"/>
    <w:rsid w:val="001D6551"/>
    <w:rsid w:val="001D6AF9"/>
    <w:rsid w:val="001D7483"/>
    <w:rsid w:val="001D7984"/>
    <w:rsid w:val="001E15C2"/>
    <w:rsid w:val="001E2A62"/>
    <w:rsid w:val="001E2B3E"/>
    <w:rsid w:val="001E3D38"/>
    <w:rsid w:val="001E5933"/>
    <w:rsid w:val="001E5FCF"/>
    <w:rsid w:val="001E6766"/>
    <w:rsid w:val="001E720A"/>
    <w:rsid w:val="001E79F5"/>
    <w:rsid w:val="001E7A52"/>
    <w:rsid w:val="001F0687"/>
    <w:rsid w:val="001F1FA5"/>
    <w:rsid w:val="001F21C6"/>
    <w:rsid w:val="001F2209"/>
    <w:rsid w:val="001F270B"/>
    <w:rsid w:val="001F2819"/>
    <w:rsid w:val="001F4B97"/>
    <w:rsid w:val="001F4E19"/>
    <w:rsid w:val="001F5254"/>
    <w:rsid w:val="001F56D3"/>
    <w:rsid w:val="001F656D"/>
    <w:rsid w:val="0020042B"/>
    <w:rsid w:val="0020048F"/>
    <w:rsid w:val="00200CCA"/>
    <w:rsid w:val="00200D5C"/>
    <w:rsid w:val="00201C2F"/>
    <w:rsid w:val="00201EFE"/>
    <w:rsid w:val="002023A7"/>
    <w:rsid w:val="00202FCA"/>
    <w:rsid w:val="00203376"/>
    <w:rsid w:val="00203B08"/>
    <w:rsid w:val="00203CC2"/>
    <w:rsid w:val="002043EC"/>
    <w:rsid w:val="00204B79"/>
    <w:rsid w:val="0020575E"/>
    <w:rsid w:val="00205D65"/>
    <w:rsid w:val="00205FBE"/>
    <w:rsid w:val="002067A2"/>
    <w:rsid w:val="00207B4B"/>
    <w:rsid w:val="00210E82"/>
    <w:rsid w:val="00210F67"/>
    <w:rsid w:val="002118BC"/>
    <w:rsid w:val="002119E0"/>
    <w:rsid w:val="00212A78"/>
    <w:rsid w:val="00213F4B"/>
    <w:rsid w:val="00217566"/>
    <w:rsid w:val="00220110"/>
    <w:rsid w:val="00220221"/>
    <w:rsid w:val="0022095B"/>
    <w:rsid w:val="002210EF"/>
    <w:rsid w:val="00221877"/>
    <w:rsid w:val="00221976"/>
    <w:rsid w:val="00221B62"/>
    <w:rsid w:val="002220BD"/>
    <w:rsid w:val="0022240C"/>
    <w:rsid w:val="002235AF"/>
    <w:rsid w:val="00223AF5"/>
    <w:rsid w:val="002249EB"/>
    <w:rsid w:val="0022567F"/>
    <w:rsid w:val="002257DC"/>
    <w:rsid w:val="002268EB"/>
    <w:rsid w:val="00227C1B"/>
    <w:rsid w:val="00230109"/>
    <w:rsid w:val="002308CF"/>
    <w:rsid w:val="00230D5D"/>
    <w:rsid w:val="00230F1E"/>
    <w:rsid w:val="00232101"/>
    <w:rsid w:val="00232B24"/>
    <w:rsid w:val="0023338F"/>
    <w:rsid w:val="0023353C"/>
    <w:rsid w:val="002341C1"/>
    <w:rsid w:val="002358B8"/>
    <w:rsid w:val="00235E96"/>
    <w:rsid w:val="0023661E"/>
    <w:rsid w:val="00236748"/>
    <w:rsid w:val="00236DBE"/>
    <w:rsid w:val="00240EC6"/>
    <w:rsid w:val="00242348"/>
    <w:rsid w:val="00243461"/>
    <w:rsid w:val="00243AE4"/>
    <w:rsid w:val="00243D07"/>
    <w:rsid w:val="00243DC0"/>
    <w:rsid w:val="0024583F"/>
    <w:rsid w:val="00245BEE"/>
    <w:rsid w:val="00246B22"/>
    <w:rsid w:val="00246D65"/>
    <w:rsid w:val="00247477"/>
    <w:rsid w:val="002501A3"/>
    <w:rsid w:val="002513D9"/>
    <w:rsid w:val="00251594"/>
    <w:rsid w:val="0025197E"/>
    <w:rsid w:val="0025229C"/>
    <w:rsid w:val="00252DB7"/>
    <w:rsid w:val="00254D48"/>
    <w:rsid w:val="00255823"/>
    <w:rsid w:val="00255E5C"/>
    <w:rsid w:val="00255EC7"/>
    <w:rsid w:val="00256000"/>
    <w:rsid w:val="00256DB9"/>
    <w:rsid w:val="00257C77"/>
    <w:rsid w:val="00257C7D"/>
    <w:rsid w:val="00257FF2"/>
    <w:rsid w:val="00260255"/>
    <w:rsid w:val="00260CCD"/>
    <w:rsid w:val="00261C61"/>
    <w:rsid w:val="00263629"/>
    <w:rsid w:val="002637F4"/>
    <w:rsid w:val="00263A1C"/>
    <w:rsid w:val="00263BEA"/>
    <w:rsid w:val="00265066"/>
    <w:rsid w:val="0026582D"/>
    <w:rsid w:val="00265F1B"/>
    <w:rsid w:val="00266037"/>
    <w:rsid w:val="002668A8"/>
    <w:rsid w:val="00270440"/>
    <w:rsid w:val="002707FD"/>
    <w:rsid w:val="00270822"/>
    <w:rsid w:val="002708A3"/>
    <w:rsid w:val="00271BB0"/>
    <w:rsid w:val="00272459"/>
    <w:rsid w:val="00272500"/>
    <w:rsid w:val="002727BE"/>
    <w:rsid w:val="0027288F"/>
    <w:rsid w:val="00272BB5"/>
    <w:rsid w:val="002732A5"/>
    <w:rsid w:val="002733A3"/>
    <w:rsid w:val="002737CA"/>
    <w:rsid w:val="00273CAD"/>
    <w:rsid w:val="00275277"/>
    <w:rsid w:val="00276B16"/>
    <w:rsid w:val="00277254"/>
    <w:rsid w:val="00277661"/>
    <w:rsid w:val="00277F9E"/>
    <w:rsid w:val="00280E85"/>
    <w:rsid w:val="0028129A"/>
    <w:rsid w:val="0028135C"/>
    <w:rsid w:val="00282960"/>
    <w:rsid w:val="0028345B"/>
    <w:rsid w:val="002838AC"/>
    <w:rsid w:val="00283C31"/>
    <w:rsid w:val="00284045"/>
    <w:rsid w:val="002849A0"/>
    <w:rsid w:val="00285698"/>
    <w:rsid w:val="00286003"/>
    <w:rsid w:val="002863FB"/>
    <w:rsid w:val="00286A66"/>
    <w:rsid w:val="00286CF3"/>
    <w:rsid w:val="00286F25"/>
    <w:rsid w:val="002873C5"/>
    <w:rsid w:val="00287414"/>
    <w:rsid w:val="002877DE"/>
    <w:rsid w:val="00287AA7"/>
    <w:rsid w:val="00287BC5"/>
    <w:rsid w:val="00290DA7"/>
    <w:rsid w:val="002911BA"/>
    <w:rsid w:val="0029166C"/>
    <w:rsid w:val="0029181A"/>
    <w:rsid w:val="00292111"/>
    <w:rsid w:val="00292EE1"/>
    <w:rsid w:val="00293DEE"/>
    <w:rsid w:val="00293EDE"/>
    <w:rsid w:val="0029539D"/>
    <w:rsid w:val="0029634B"/>
    <w:rsid w:val="002964B7"/>
    <w:rsid w:val="00296E56"/>
    <w:rsid w:val="00297F84"/>
    <w:rsid w:val="002A002F"/>
    <w:rsid w:val="002A013A"/>
    <w:rsid w:val="002A0B5D"/>
    <w:rsid w:val="002A1A2E"/>
    <w:rsid w:val="002A1D2F"/>
    <w:rsid w:val="002A3377"/>
    <w:rsid w:val="002A39A0"/>
    <w:rsid w:val="002A3F75"/>
    <w:rsid w:val="002A42E2"/>
    <w:rsid w:val="002A460A"/>
    <w:rsid w:val="002A4774"/>
    <w:rsid w:val="002A48A7"/>
    <w:rsid w:val="002A4DB0"/>
    <w:rsid w:val="002A57A3"/>
    <w:rsid w:val="002A5E75"/>
    <w:rsid w:val="002A6B21"/>
    <w:rsid w:val="002A6D3F"/>
    <w:rsid w:val="002A6E18"/>
    <w:rsid w:val="002A7304"/>
    <w:rsid w:val="002B00BF"/>
    <w:rsid w:val="002B2BBA"/>
    <w:rsid w:val="002B3E78"/>
    <w:rsid w:val="002B41A7"/>
    <w:rsid w:val="002B4479"/>
    <w:rsid w:val="002B44FC"/>
    <w:rsid w:val="002B5654"/>
    <w:rsid w:val="002B65EA"/>
    <w:rsid w:val="002B6B8F"/>
    <w:rsid w:val="002B712E"/>
    <w:rsid w:val="002B7BFD"/>
    <w:rsid w:val="002C05A0"/>
    <w:rsid w:val="002C0E54"/>
    <w:rsid w:val="002C1AB8"/>
    <w:rsid w:val="002C292C"/>
    <w:rsid w:val="002C2D0D"/>
    <w:rsid w:val="002C2D54"/>
    <w:rsid w:val="002C5713"/>
    <w:rsid w:val="002C591D"/>
    <w:rsid w:val="002C5E7D"/>
    <w:rsid w:val="002C7BA5"/>
    <w:rsid w:val="002C7F94"/>
    <w:rsid w:val="002C7FE9"/>
    <w:rsid w:val="002D0DC5"/>
    <w:rsid w:val="002D1598"/>
    <w:rsid w:val="002D2383"/>
    <w:rsid w:val="002D24E6"/>
    <w:rsid w:val="002D2919"/>
    <w:rsid w:val="002D33CC"/>
    <w:rsid w:val="002D4647"/>
    <w:rsid w:val="002D4EFD"/>
    <w:rsid w:val="002D4F6C"/>
    <w:rsid w:val="002D54C8"/>
    <w:rsid w:val="002D63C9"/>
    <w:rsid w:val="002D7D2A"/>
    <w:rsid w:val="002D7DE4"/>
    <w:rsid w:val="002E05E0"/>
    <w:rsid w:val="002E0B10"/>
    <w:rsid w:val="002E0F0A"/>
    <w:rsid w:val="002E1746"/>
    <w:rsid w:val="002E1A01"/>
    <w:rsid w:val="002E1B86"/>
    <w:rsid w:val="002E1F66"/>
    <w:rsid w:val="002E2417"/>
    <w:rsid w:val="002E3FCD"/>
    <w:rsid w:val="002E44C0"/>
    <w:rsid w:val="002E4AA0"/>
    <w:rsid w:val="002E6025"/>
    <w:rsid w:val="002E66DC"/>
    <w:rsid w:val="002E6918"/>
    <w:rsid w:val="002E72DA"/>
    <w:rsid w:val="002E790E"/>
    <w:rsid w:val="002E7C3C"/>
    <w:rsid w:val="002E7D1A"/>
    <w:rsid w:val="002F08E2"/>
    <w:rsid w:val="002F0C30"/>
    <w:rsid w:val="002F1116"/>
    <w:rsid w:val="002F14FD"/>
    <w:rsid w:val="002F1DC1"/>
    <w:rsid w:val="002F327F"/>
    <w:rsid w:val="002F3B7E"/>
    <w:rsid w:val="002F4769"/>
    <w:rsid w:val="002F4BBF"/>
    <w:rsid w:val="002F4F58"/>
    <w:rsid w:val="002F5949"/>
    <w:rsid w:val="002F5AA3"/>
    <w:rsid w:val="002F7058"/>
    <w:rsid w:val="002F7F53"/>
    <w:rsid w:val="0030024E"/>
    <w:rsid w:val="00300E21"/>
    <w:rsid w:val="00301122"/>
    <w:rsid w:val="00301A61"/>
    <w:rsid w:val="00302665"/>
    <w:rsid w:val="0030356A"/>
    <w:rsid w:val="0030401B"/>
    <w:rsid w:val="00304625"/>
    <w:rsid w:val="00304840"/>
    <w:rsid w:val="003051BA"/>
    <w:rsid w:val="0030715E"/>
    <w:rsid w:val="003072DF"/>
    <w:rsid w:val="00307FBB"/>
    <w:rsid w:val="00310B8D"/>
    <w:rsid w:val="00310E05"/>
    <w:rsid w:val="0031117D"/>
    <w:rsid w:val="00311B1A"/>
    <w:rsid w:val="003128D6"/>
    <w:rsid w:val="00312D55"/>
    <w:rsid w:val="0031365C"/>
    <w:rsid w:val="0031366A"/>
    <w:rsid w:val="003138CB"/>
    <w:rsid w:val="00313D1B"/>
    <w:rsid w:val="00314673"/>
    <w:rsid w:val="00314B5D"/>
    <w:rsid w:val="00314D00"/>
    <w:rsid w:val="00315275"/>
    <w:rsid w:val="00315A97"/>
    <w:rsid w:val="00315DEF"/>
    <w:rsid w:val="00316071"/>
    <w:rsid w:val="0031678A"/>
    <w:rsid w:val="00316F82"/>
    <w:rsid w:val="00317D04"/>
    <w:rsid w:val="00320361"/>
    <w:rsid w:val="00320371"/>
    <w:rsid w:val="00320820"/>
    <w:rsid w:val="00321311"/>
    <w:rsid w:val="003213E6"/>
    <w:rsid w:val="003217C7"/>
    <w:rsid w:val="00321AE9"/>
    <w:rsid w:val="003224DB"/>
    <w:rsid w:val="00322A29"/>
    <w:rsid w:val="00322A4A"/>
    <w:rsid w:val="00322CEE"/>
    <w:rsid w:val="003236BD"/>
    <w:rsid w:val="00324E98"/>
    <w:rsid w:val="00325B9C"/>
    <w:rsid w:val="00325FED"/>
    <w:rsid w:val="003269F8"/>
    <w:rsid w:val="0032784E"/>
    <w:rsid w:val="00330262"/>
    <w:rsid w:val="003302A8"/>
    <w:rsid w:val="0033064F"/>
    <w:rsid w:val="00330F3C"/>
    <w:rsid w:val="00331D85"/>
    <w:rsid w:val="00332298"/>
    <w:rsid w:val="00333171"/>
    <w:rsid w:val="00333A7C"/>
    <w:rsid w:val="00333F8E"/>
    <w:rsid w:val="0033432F"/>
    <w:rsid w:val="00334649"/>
    <w:rsid w:val="00334984"/>
    <w:rsid w:val="00334E25"/>
    <w:rsid w:val="00335FAC"/>
    <w:rsid w:val="003361F0"/>
    <w:rsid w:val="00336EBF"/>
    <w:rsid w:val="00337040"/>
    <w:rsid w:val="00337EBC"/>
    <w:rsid w:val="00337F73"/>
    <w:rsid w:val="0034029C"/>
    <w:rsid w:val="00340F35"/>
    <w:rsid w:val="00342D10"/>
    <w:rsid w:val="00343E5C"/>
    <w:rsid w:val="00344219"/>
    <w:rsid w:val="0034433F"/>
    <w:rsid w:val="00344FB8"/>
    <w:rsid w:val="00345671"/>
    <w:rsid w:val="00345867"/>
    <w:rsid w:val="00345E69"/>
    <w:rsid w:val="0034667E"/>
    <w:rsid w:val="00346B63"/>
    <w:rsid w:val="00347FC9"/>
    <w:rsid w:val="0035099C"/>
    <w:rsid w:val="0035118A"/>
    <w:rsid w:val="003512A7"/>
    <w:rsid w:val="003525DA"/>
    <w:rsid w:val="00352EDF"/>
    <w:rsid w:val="0035303A"/>
    <w:rsid w:val="003537FB"/>
    <w:rsid w:val="00353809"/>
    <w:rsid w:val="00353C90"/>
    <w:rsid w:val="00353EC6"/>
    <w:rsid w:val="00354650"/>
    <w:rsid w:val="003556D3"/>
    <w:rsid w:val="003569A4"/>
    <w:rsid w:val="00356C70"/>
    <w:rsid w:val="00357F08"/>
    <w:rsid w:val="0036017B"/>
    <w:rsid w:val="003602D0"/>
    <w:rsid w:val="00361CA8"/>
    <w:rsid w:val="00361E6E"/>
    <w:rsid w:val="00362755"/>
    <w:rsid w:val="00362B88"/>
    <w:rsid w:val="00364637"/>
    <w:rsid w:val="00364DCF"/>
    <w:rsid w:val="00367F14"/>
    <w:rsid w:val="00370A02"/>
    <w:rsid w:val="00370A0A"/>
    <w:rsid w:val="00371486"/>
    <w:rsid w:val="00371738"/>
    <w:rsid w:val="00371B39"/>
    <w:rsid w:val="00371C89"/>
    <w:rsid w:val="00371D55"/>
    <w:rsid w:val="00371FEF"/>
    <w:rsid w:val="003723AE"/>
    <w:rsid w:val="00372A86"/>
    <w:rsid w:val="00372C43"/>
    <w:rsid w:val="00373B93"/>
    <w:rsid w:val="00374049"/>
    <w:rsid w:val="00374F0E"/>
    <w:rsid w:val="00375193"/>
    <w:rsid w:val="0037527B"/>
    <w:rsid w:val="003755E9"/>
    <w:rsid w:val="00380CD1"/>
    <w:rsid w:val="0038155D"/>
    <w:rsid w:val="0038160B"/>
    <w:rsid w:val="00381E5C"/>
    <w:rsid w:val="0038249A"/>
    <w:rsid w:val="00382DF8"/>
    <w:rsid w:val="00383863"/>
    <w:rsid w:val="00383987"/>
    <w:rsid w:val="00384A70"/>
    <w:rsid w:val="00386D6A"/>
    <w:rsid w:val="00387476"/>
    <w:rsid w:val="00387702"/>
    <w:rsid w:val="00387875"/>
    <w:rsid w:val="00387BAB"/>
    <w:rsid w:val="00387F9B"/>
    <w:rsid w:val="00390EED"/>
    <w:rsid w:val="003911F7"/>
    <w:rsid w:val="00391906"/>
    <w:rsid w:val="00391A3B"/>
    <w:rsid w:val="003929B1"/>
    <w:rsid w:val="00393CD6"/>
    <w:rsid w:val="00394705"/>
    <w:rsid w:val="00394710"/>
    <w:rsid w:val="00395003"/>
    <w:rsid w:val="0039508B"/>
    <w:rsid w:val="00396ACB"/>
    <w:rsid w:val="00396E11"/>
    <w:rsid w:val="00397635"/>
    <w:rsid w:val="00397881"/>
    <w:rsid w:val="00397883"/>
    <w:rsid w:val="00397B96"/>
    <w:rsid w:val="003A05AF"/>
    <w:rsid w:val="003A1274"/>
    <w:rsid w:val="003A12E1"/>
    <w:rsid w:val="003A14A0"/>
    <w:rsid w:val="003A25AE"/>
    <w:rsid w:val="003A2E59"/>
    <w:rsid w:val="003A3645"/>
    <w:rsid w:val="003A36AF"/>
    <w:rsid w:val="003A36C5"/>
    <w:rsid w:val="003A38F0"/>
    <w:rsid w:val="003A3B91"/>
    <w:rsid w:val="003A4C25"/>
    <w:rsid w:val="003A4C48"/>
    <w:rsid w:val="003A5B48"/>
    <w:rsid w:val="003A64D8"/>
    <w:rsid w:val="003A73D8"/>
    <w:rsid w:val="003A7725"/>
    <w:rsid w:val="003B0661"/>
    <w:rsid w:val="003B0EC3"/>
    <w:rsid w:val="003B27AA"/>
    <w:rsid w:val="003B28A3"/>
    <w:rsid w:val="003B2AE7"/>
    <w:rsid w:val="003B32D3"/>
    <w:rsid w:val="003B3919"/>
    <w:rsid w:val="003B393D"/>
    <w:rsid w:val="003B3D44"/>
    <w:rsid w:val="003B3FF7"/>
    <w:rsid w:val="003B5550"/>
    <w:rsid w:val="003B5AB6"/>
    <w:rsid w:val="003B5D3B"/>
    <w:rsid w:val="003B5FCF"/>
    <w:rsid w:val="003B68D0"/>
    <w:rsid w:val="003B6968"/>
    <w:rsid w:val="003B6C7D"/>
    <w:rsid w:val="003B723C"/>
    <w:rsid w:val="003B765A"/>
    <w:rsid w:val="003C0603"/>
    <w:rsid w:val="003C12CE"/>
    <w:rsid w:val="003C1332"/>
    <w:rsid w:val="003C2AAD"/>
    <w:rsid w:val="003C2C19"/>
    <w:rsid w:val="003C34E0"/>
    <w:rsid w:val="003C368A"/>
    <w:rsid w:val="003C41A0"/>
    <w:rsid w:val="003C462A"/>
    <w:rsid w:val="003C6FCB"/>
    <w:rsid w:val="003C74FA"/>
    <w:rsid w:val="003D03E2"/>
    <w:rsid w:val="003D0C9E"/>
    <w:rsid w:val="003D11B2"/>
    <w:rsid w:val="003D1AE6"/>
    <w:rsid w:val="003D1BC9"/>
    <w:rsid w:val="003D2162"/>
    <w:rsid w:val="003D240D"/>
    <w:rsid w:val="003D29E2"/>
    <w:rsid w:val="003D3DD7"/>
    <w:rsid w:val="003D453B"/>
    <w:rsid w:val="003D54CC"/>
    <w:rsid w:val="003D612E"/>
    <w:rsid w:val="003D7B62"/>
    <w:rsid w:val="003E03AE"/>
    <w:rsid w:val="003E12E4"/>
    <w:rsid w:val="003E14F7"/>
    <w:rsid w:val="003E1813"/>
    <w:rsid w:val="003E1A6E"/>
    <w:rsid w:val="003E25A2"/>
    <w:rsid w:val="003E294B"/>
    <w:rsid w:val="003E37D1"/>
    <w:rsid w:val="003E385E"/>
    <w:rsid w:val="003E4029"/>
    <w:rsid w:val="003E4198"/>
    <w:rsid w:val="003E6AA4"/>
    <w:rsid w:val="003E6C66"/>
    <w:rsid w:val="003E71D8"/>
    <w:rsid w:val="003E7E97"/>
    <w:rsid w:val="003F012D"/>
    <w:rsid w:val="003F069A"/>
    <w:rsid w:val="003F06A5"/>
    <w:rsid w:val="003F076F"/>
    <w:rsid w:val="003F0F3A"/>
    <w:rsid w:val="003F1EE0"/>
    <w:rsid w:val="003F1FF8"/>
    <w:rsid w:val="003F2206"/>
    <w:rsid w:val="003F252C"/>
    <w:rsid w:val="003F26A6"/>
    <w:rsid w:val="003F2E8B"/>
    <w:rsid w:val="003F3E70"/>
    <w:rsid w:val="003F4072"/>
    <w:rsid w:val="003F4329"/>
    <w:rsid w:val="003F4502"/>
    <w:rsid w:val="003F517F"/>
    <w:rsid w:val="003F53BA"/>
    <w:rsid w:val="003F644C"/>
    <w:rsid w:val="003F6B87"/>
    <w:rsid w:val="003F6CB7"/>
    <w:rsid w:val="003F7202"/>
    <w:rsid w:val="003F728B"/>
    <w:rsid w:val="0040042D"/>
    <w:rsid w:val="00400812"/>
    <w:rsid w:val="004009A3"/>
    <w:rsid w:val="004013A7"/>
    <w:rsid w:val="00401AEA"/>
    <w:rsid w:val="0040236E"/>
    <w:rsid w:val="00402603"/>
    <w:rsid w:val="00402C97"/>
    <w:rsid w:val="004032B6"/>
    <w:rsid w:val="004034AC"/>
    <w:rsid w:val="00403A71"/>
    <w:rsid w:val="00404266"/>
    <w:rsid w:val="004044C5"/>
    <w:rsid w:val="00404813"/>
    <w:rsid w:val="00404A45"/>
    <w:rsid w:val="00405FA5"/>
    <w:rsid w:val="004069C9"/>
    <w:rsid w:val="00406A22"/>
    <w:rsid w:val="00407342"/>
    <w:rsid w:val="004102E6"/>
    <w:rsid w:val="0041083E"/>
    <w:rsid w:val="00410BAE"/>
    <w:rsid w:val="00411814"/>
    <w:rsid w:val="0041182C"/>
    <w:rsid w:val="00412015"/>
    <w:rsid w:val="00412534"/>
    <w:rsid w:val="004126A0"/>
    <w:rsid w:val="004126FA"/>
    <w:rsid w:val="00412BE2"/>
    <w:rsid w:val="00412C83"/>
    <w:rsid w:val="00412E7A"/>
    <w:rsid w:val="004141B1"/>
    <w:rsid w:val="004160B1"/>
    <w:rsid w:val="00416685"/>
    <w:rsid w:val="00416C56"/>
    <w:rsid w:val="00417808"/>
    <w:rsid w:val="004203A4"/>
    <w:rsid w:val="0042067E"/>
    <w:rsid w:val="00420E6C"/>
    <w:rsid w:val="004217E7"/>
    <w:rsid w:val="0042198E"/>
    <w:rsid w:val="00421A5B"/>
    <w:rsid w:val="00422094"/>
    <w:rsid w:val="0042286A"/>
    <w:rsid w:val="00422CC0"/>
    <w:rsid w:val="00423320"/>
    <w:rsid w:val="00423FA0"/>
    <w:rsid w:val="00424628"/>
    <w:rsid w:val="004257FE"/>
    <w:rsid w:val="00425E13"/>
    <w:rsid w:val="00425EBC"/>
    <w:rsid w:val="00426014"/>
    <w:rsid w:val="00426F3A"/>
    <w:rsid w:val="004273EF"/>
    <w:rsid w:val="00427C4E"/>
    <w:rsid w:val="0043017D"/>
    <w:rsid w:val="00430903"/>
    <w:rsid w:val="00431BAB"/>
    <w:rsid w:val="0043228A"/>
    <w:rsid w:val="00434915"/>
    <w:rsid w:val="00434E5B"/>
    <w:rsid w:val="00434F7E"/>
    <w:rsid w:val="00436003"/>
    <w:rsid w:val="00437748"/>
    <w:rsid w:val="0044069B"/>
    <w:rsid w:val="00440BEB"/>
    <w:rsid w:val="0044213C"/>
    <w:rsid w:val="00442162"/>
    <w:rsid w:val="00442250"/>
    <w:rsid w:val="004429A5"/>
    <w:rsid w:val="00443101"/>
    <w:rsid w:val="004439AC"/>
    <w:rsid w:val="00443C5E"/>
    <w:rsid w:val="00444AB0"/>
    <w:rsid w:val="00444CA0"/>
    <w:rsid w:val="00445E93"/>
    <w:rsid w:val="00446132"/>
    <w:rsid w:val="0044617E"/>
    <w:rsid w:val="004461E0"/>
    <w:rsid w:val="00447150"/>
    <w:rsid w:val="00447684"/>
    <w:rsid w:val="00447811"/>
    <w:rsid w:val="0044793D"/>
    <w:rsid w:val="00447DD9"/>
    <w:rsid w:val="00447F19"/>
    <w:rsid w:val="00450596"/>
    <w:rsid w:val="0045121C"/>
    <w:rsid w:val="004514F2"/>
    <w:rsid w:val="00451C74"/>
    <w:rsid w:val="00452308"/>
    <w:rsid w:val="00452D51"/>
    <w:rsid w:val="0045370E"/>
    <w:rsid w:val="004539D6"/>
    <w:rsid w:val="00453B5E"/>
    <w:rsid w:val="00453BBE"/>
    <w:rsid w:val="00454165"/>
    <w:rsid w:val="00454CC5"/>
    <w:rsid w:val="00455C70"/>
    <w:rsid w:val="00455FFA"/>
    <w:rsid w:val="00457C7D"/>
    <w:rsid w:val="0046035E"/>
    <w:rsid w:val="004607F9"/>
    <w:rsid w:val="00460B7D"/>
    <w:rsid w:val="00461BD1"/>
    <w:rsid w:val="00461F21"/>
    <w:rsid w:val="0046297A"/>
    <w:rsid w:val="00462E71"/>
    <w:rsid w:val="004630DB"/>
    <w:rsid w:val="0046319A"/>
    <w:rsid w:val="004633B9"/>
    <w:rsid w:val="004643E4"/>
    <w:rsid w:val="0046614C"/>
    <w:rsid w:val="004663A6"/>
    <w:rsid w:val="004664B2"/>
    <w:rsid w:val="00466B31"/>
    <w:rsid w:val="00467EB8"/>
    <w:rsid w:val="00470564"/>
    <w:rsid w:val="0047062D"/>
    <w:rsid w:val="00470992"/>
    <w:rsid w:val="00470BC3"/>
    <w:rsid w:val="00471F92"/>
    <w:rsid w:val="004735FD"/>
    <w:rsid w:val="0047416E"/>
    <w:rsid w:val="00474EA3"/>
    <w:rsid w:val="004752BE"/>
    <w:rsid w:val="004752D6"/>
    <w:rsid w:val="004757F9"/>
    <w:rsid w:val="0047607E"/>
    <w:rsid w:val="00476870"/>
    <w:rsid w:val="00476D99"/>
    <w:rsid w:val="004770A9"/>
    <w:rsid w:val="00477A31"/>
    <w:rsid w:val="00477ED8"/>
    <w:rsid w:val="00477EE8"/>
    <w:rsid w:val="00480541"/>
    <w:rsid w:val="00480CB0"/>
    <w:rsid w:val="004811BE"/>
    <w:rsid w:val="00481749"/>
    <w:rsid w:val="00481869"/>
    <w:rsid w:val="00481A2D"/>
    <w:rsid w:val="00481BA0"/>
    <w:rsid w:val="00482133"/>
    <w:rsid w:val="0048238A"/>
    <w:rsid w:val="0048272A"/>
    <w:rsid w:val="00482990"/>
    <w:rsid w:val="0048299B"/>
    <w:rsid w:val="00482A84"/>
    <w:rsid w:val="0048434F"/>
    <w:rsid w:val="00484AC3"/>
    <w:rsid w:val="00484E11"/>
    <w:rsid w:val="00485077"/>
    <w:rsid w:val="004859E8"/>
    <w:rsid w:val="00485C1A"/>
    <w:rsid w:val="00485CAE"/>
    <w:rsid w:val="004871FF"/>
    <w:rsid w:val="00487BBF"/>
    <w:rsid w:val="00490050"/>
    <w:rsid w:val="00490092"/>
    <w:rsid w:val="004914EE"/>
    <w:rsid w:val="00492133"/>
    <w:rsid w:val="004921FC"/>
    <w:rsid w:val="00492C20"/>
    <w:rsid w:val="00493EAB"/>
    <w:rsid w:val="00493EEF"/>
    <w:rsid w:val="00494333"/>
    <w:rsid w:val="0049462C"/>
    <w:rsid w:val="00495263"/>
    <w:rsid w:val="00495675"/>
    <w:rsid w:val="004964E3"/>
    <w:rsid w:val="00496B75"/>
    <w:rsid w:val="004970DB"/>
    <w:rsid w:val="004973B9"/>
    <w:rsid w:val="004A107B"/>
    <w:rsid w:val="004A1AD3"/>
    <w:rsid w:val="004A2296"/>
    <w:rsid w:val="004A2D72"/>
    <w:rsid w:val="004A3047"/>
    <w:rsid w:val="004A3C15"/>
    <w:rsid w:val="004A4301"/>
    <w:rsid w:val="004A438B"/>
    <w:rsid w:val="004A46A7"/>
    <w:rsid w:val="004A4CAB"/>
    <w:rsid w:val="004A4E91"/>
    <w:rsid w:val="004A5B7F"/>
    <w:rsid w:val="004A5DE4"/>
    <w:rsid w:val="004A6293"/>
    <w:rsid w:val="004A68E5"/>
    <w:rsid w:val="004A6AFB"/>
    <w:rsid w:val="004A6C94"/>
    <w:rsid w:val="004A7545"/>
    <w:rsid w:val="004A7666"/>
    <w:rsid w:val="004A7EC7"/>
    <w:rsid w:val="004A7ECE"/>
    <w:rsid w:val="004B096F"/>
    <w:rsid w:val="004B0FBF"/>
    <w:rsid w:val="004B15B8"/>
    <w:rsid w:val="004B207F"/>
    <w:rsid w:val="004B2881"/>
    <w:rsid w:val="004B3366"/>
    <w:rsid w:val="004B34EA"/>
    <w:rsid w:val="004B3505"/>
    <w:rsid w:val="004B42BB"/>
    <w:rsid w:val="004B4837"/>
    <w:rsid w:val="004B4950"/>
    <w:rsid w:val="004B4E57"/>
    <w:rsid w:val="004B5494"/>
    <w:rsid w:val="004B6909"/>
    <w:rsid w:val="004B6BDE"/>
    <w:rsid w:val="004B6E43"/>
    <w:rsid w:val="004B7039"/>
    <w:rsid w:val="004B713E"/>
    <w:rsid w:val="004C0CB0"/>
    <w:rsid w:val="004C0D8B"/>
    <w:rsid w:val="004C1129"/>
    <w:rsid w:val="004C1379"/>
    <w:rsid w:val="004C19D1"/>
    <w:rsid w:val="004C27B6"/>
    <w:rsid w:val="004C2A44"/>
    <w:rsid w:val="004C3045"/>
    <w:rsid w:val="004C30AC"/>
    <w:rsid w:val="004C319F"/>
    <w:rsid w:val="004C3EE8"/>
    <w:rsid w:val="004C3EF2"/>
    <w:rsid w:val="004C4DB7"/>
    <w:rsid w:val="004C51F2"/>
    <w:rsid w:val="004C6558"/>
    <w:rsid w:val="004C6C5B"/>
    <w:rsid w:val="004C6E62"/>
    <w:rsid w:val="004C72CA"/>
    <w:rsid w:val="004C7A2B"/>
    <w:rsid w:val="004C7B5F"/>
    <w:rsid w:val="004C7D3A"/>
    <w:rsid w:val="004D0651"/>
    <w:rsid w:val="004D0B26"/>
    <w:rsid w:val="004D0CDA"/>
    <w:rsid w:val="004D117F"/>
    <w:rsid w:val="004D1B07"/>
    <w:rsid w:val="004D2582"/>
    <w:rsid w:val="004D2748"/>
    <w:rsid w:val="004D4B38"/>
    <w:rsid w:val="004D5147"/>
    <w:rsid w:val="004D5864"/>
    <w:rsid w:val="004D58E3"/>
    <w:rsid w:val="004D5A59"/>
    <w:rsid w:val="004D62D1"/>
    <w:rsid w:val="004D7E3C"/>
    <w:rsid w:val="004E0EF0"/>
    <w:rsid w:val="004E16C1"/>
    <w:rsid w:val="004E2A76"/>
    <w:rsid w:val="004E3CCA"/>
    <w:rsid w:val="004E4D71"/>
    <w:rsid w:val="004E4E1A"/>
    <w:rsid w:val="004E4FD8"/>
    <w:rsid w:val="004E54E5"/>
    <w:rsid w:val="004E59AD"/>
    <w:rsid w:val="004E5BA1"/>
    <w:rsid w:val="004E6545"/>
    <w:rsid w:val="004E6BFE"/>
    <w:rsid w:val="004E6D86"/>
    <w:rsid w:val="004E70BD"/>
    <w:rsid w:val="004E7AAE"/>
    <w:rsid w:val="004E7F89"/>
    <w:rsid w:val="004F04F3"/>
    <w:rsid w:val="004F286F"/>
    <w:rsid w:val="004F3248"/>
    <w:rsid w:val="004F3A98"/>
    <w:rsid w:val="004F3EE3"/>
    <w:rsid w:val="004F4018"/>
    <w:rsid w:val="004F4209"/>
    <w:rsid w:val="004F4F02"/>
    <w:rsid w:val="004F5897"/>
    <w:rsid w:val="004F5D97"/>
    <w:rsid w:val="004F619B"/>
    <w:rsid w:val="004F716B"/>
    <w:rsid w:val="004F7C16"/>
    <w:rsid w:val="004F7C6F"/>
    <w:rsid w:val="00500D9E"/>
    <w:rsid w:val="00500FD4"/>
    <w:rsid w:val="005015BC"/>
    <w:rsid w:val="005018A8"/>
    <w:rsid w:val="00501F13"/>
    <w:rsid w:val="005023FD"/>
    <w:rsid w:val="00502F84"/>
    <w:rsid w:val="00503142"/>
    <w:rsid w:val="005034EB"/>
    <w:rsid w:val="00503A28"/>
    <w:rsid w:val="00505313"/>
    <w:rsid w:val="00505654"/>
    <w:rsid w:val="005059E8"/>
    <w:rsid w:val="00505A39"/>
    <w:rsid w:val="00505D88"/>
    <w:rsid w:val="005067FB"/>
    <w:rsid w:val="00506964"/>
    <w:rsid w:val="00506DB8"/>
    <w:rsid w:val="005070CD"/>
    <w:rsid w:val="00507AE6"/>
    <w:rsid w:val="00507C4B"/>
    <w:rsid w:val="0051031D"/>
    <w:rsid w:val="0051053A"/>
    <w:rsid w:val="00510DB0"/>
    <w:rsid w:val="00511DA0"/>
    <w:rsid w:val="00512404"/>
    <w:rsid w:val="00513D04"/>
    <w:rsid w:val="005144D3"/>
    <w:rsid w:val="00514ADF"/>
    <w:rsid w:val="00515041"/>
    <w:rsid w:val="00515366"/>
    <w:rsid w:val="005161D2"/>
    <w:rsid w:val="005168FE"/>
    <w:rsid w:val="00516D54"/>
    <w:rsid w:val="00517044"/>
    <w:rsid w:val="005201DD"/>
    <w:rsid w:val="00520AD7"/>
    <w:rsid w:val="005212B4"/>
    <w:rsid w:val="005215D8"/>
    <w:rsid w:val="00522493"/>
    <w:rsid w:val="00522CEC"/>
    <w:rsid w:val="00523133"/>
    <w:rsid w:val="00523663"/>
    <w:rsid w:val="005240BF"/>
    <w:rsid w:val="0052412C"/>
    <w:rsid w:val="005253D4"/>
    <w:rsid w:val="00525813"/>
    <w:rsid w:val="00525F9E"/>
    <w:rsid w:val="00526A73"/>
    <w:rsid w:val="00527B40"/>
    <w:rsid w:val="005307BB"/>
    <w:rsid w:val="00530F03"/>
    <w:rsid w:val="005311AD"/>
    <w:rsid w:val="00531689"/>
    <w:rsid w:val="00531F1A"/>
    <w:rsid w:val="00532999"/>
    <w:rsid w:val="0053388C"/>
    <w:rsid w:val="00533B2F"/>
    <w:rsid w:val="0053487E"/>
    <w:rsid w:val="0053488E"/>
    <w:rsid w:val="00534E06"/>
    <w:rsid w:val="005359F4"/>
    <w:rsid w:val="00535D73"/>
    <w:rsid w:val="005376B0"/>
    <w:rsid w:val="005377BD"/>
    <w:rsid w:val="00537983"/>
    <w:rsid w:val="00541A15"/>
    <w:rsid w:val="00542A08"/>
    <w:rsid w:val="00543117"/>
    <w:rsid w:val="00544C6F"/>
    <w:rsid w:val="00544D7D"/>
    <w:rsid w:val="00545052"/>
    <w:rsid w:val="00545CDF"/>
    <w:rsid w:val="005478F3"/>
    <w:rsid w:val="005505B6"/>
    <w:rsid w:val="00550789"/>
    <w:rsid w:val="00550ECD"/>
    <w:rsid w:val="0055104D"/>
    <w:rsid w:val="005511A3"/>
    <w:rsid w:val="00551FA7"/>
    <w:rsid w:val="005526C8"/>
    <w:rsid w:val="005532CE"/>
    <w:rsid w:val="005532D2"/>
    <w:rsid w:val="005539FA"/>
    <w:rsid w:val="00555CC0"/>
    <w:rsid w:val="00556C65"/>
    <w:rsid w:val="00556D4B"/>
    <w:rsid w:val="0055707E"/>
    <w:rsid w:val="0055723B"/>
    <w:rsid w:val="00557D49"/>
    <w:rsid w:val="0056006E"/>
    <w:rsid w:val="00560AA4"/>
    <w:rsid w:val="00562885"/>
    <w:rsid w:val="00564D94"/>
    <w:rsid w:val="00565CBA"/>
    <w:rsid w:val="00566058"/>
    <w:rsid w:val="00566936"/>
    <w:rsid w:val="00566F69"/>
    <w:rsid w:val="00566FD2"/>
    <w:rsid w:val="00567248"/>
    <w:rsid w:val="005672BE"/>
    <w:rsid w:val="00567304"/>
    <w:rsid w:val="00567577"/>
    <w:rsid w:val="0057038C"/>
    <w:rsid w:val="00571352"/>
    <w:rsid w:val="005717DA"/>
    <w:rsid w:val="00571EE4"/>
    <w:rsid w:val="005720DC"/>
    <w:rsid w:val="00572AF3"/>
    <w:rsid w:val="0057411A"/>
    <w:rsid w:val="00574E7E"/>
    <w:rsid w:val="00574F44"/>
    <w:rsid w:val="005750FC"/>
    <w:rsid w:val="00576BA3"/>
    <w:rsid w:val="0057799E"/>
    <w:rsid w:val="0058108F"/>
    <w:rsid w:val="005813E4"/>
    <w:rsid w:val="005816E2"/>
    <w:rsid w:val="00582094"/>
    <w:rsid w:val="00582FCE"/>
    <w:rsid w:val="00583AFB"/>
    <w:rsid w:val="00583CEE"/>
    <w:rsid w:val="00585142"/>
    <w:rsid w:val="00585390"/>
    <w:rsid w:val="00585775"/>
    <w:rsid w:val="005864F5"/>
    <w:rsid w:val="0058675B"/>
    <w:rsid w:val="00586CE6"/>
    <w:rsid w:val="00586EBC"/>
    <w:rsid w:val="00586F42"/>
    <w:rsid w:val="0058766F"/>
    <w:rsid w:val="0058770B"/>
    <w:rsid w:val="005904AE"/>
    <w:rsid w:val="005913E2"/>
    <w:rsid w:val="00591B0A"/>
    <w:rsid w:val="00593835"/>
    <w:rsid w:val="005939A5"/>
    <w:rsid w:val="00593BB3"/>
    <w:rsid w:val="00594169"/>
    <w:rsid w:val="005945CE"/>
    <w:rsid w:val="00594A9A"/>
    <w:rsid w:val="00595548"/>
    <w:rsid w:val="00595C50"/>
    <w:rsid w:val="00595D2F"/>
    <w:rsid w:val="00596BA1"/>
    <w:rsid w:val="00596F4D"/>
    <w:rsid w:val="00597074"/>
    <w:rsid w:val="005A0A50"/>
    <w:rsid w:val="005A0BF7"/>
    <w:rsid w:val="005A12E7"/>
    <w:rsid w:val="005A143A"/>
    <w:rsid w:val="005A148C"/>
    <w:rsid w:val="005A1BEA"/>
    <w:rsid w:val="005A3AB4"/>
    <w:rsid w:val="005A3C78"/>
    <w:rsid w:val="005A4209"/>
    <w:rsid w:val="005A4F88"/>
    <w:rsid w:val="005A599A"/>
    <w:rsid w:val="005A5F6A"/>
    <w:rsid w:val="005A5FEA"/>
    <w:rsid w:val="005A6693"/>
    <w:rsid w:val="005A7617"/>
    <w:rsid w:val="005A7990"/>
    <w:rsid w:val="005B0ABA"/>
    <w:rsid w:val="005B12C2"/>
    <w:rsid w:val="005B3414"/>
    <w:rsid w:val="005B373B"/>
    <w:rsid w:val="005B3EE6"/>
    <w:rsid w:val="005B45A6"/>
    <w:rsid w:val="005B4DEB"/>
    <w:rsid w:val="005B5589"/>
    <w:rsid w:val="005B5992"/>
    <w:rsid w:val="005B602A"/>
    <w:rsid w:val="005C06A0"/>
    <w:rsid w:val="005C1A37"/>
    <w:rsid w:val="005C1F10"/>
    <w:rsid w:val="005C39E9"/>
    <w:rsid w:val="005C3E1C"/>
    <w:rsid w:val="005C4048"/>
    <w:rsid w:val="005C48DC"/>
    <w:rsid w:val="005C4D66"/>
    <w:rsid w:val="005C58FA"/>
    <w:rsid w:val="005C6351"/>
    <w:rsid w:val="005C718E"/>
    <w:rsid w:val="005C71C3"/>
    <w:rsid w:val="005C7B6E"/>
    <w:rsid w:val="005C7E12"/>
    <w:rsid w:val="005D014F"/>
    <w:rsid w:val="005D0999"/>
    <w:rsid w:val="005D0BF7"/>
    <w:rsid w:val="005D0F26"/>
    <w:rsid w:val="005D1402"/>
    <w:rsid w:val="005D17DE"/>
    <w:rsid w:val="005D17F8"/>
    <w:rsid w:val="005D285A"/>
    <w:rsid w:val="005D385E"/>
    <w:rsid w:val="005D4B92"/>
    <w:rsid w:val="005D4C6C"/>
    <w:rsid w:val="005D5936"/>
    <w:rsid w:val="005D5AAE"/>
    <w:rsid w:val="005D6240"/>
    <w:rsid w:val="005D640B"/>
    <w:rsid w:val="005D6411"/>
    <w:rsid w:val="005D709A"/>
    <w:rsid w:val="005D730E"/>
    <w:rsid w:val="005E0476"/>
    <w:rsid w:val="005E1659"/>
    <w:rsid w:val="005E1AD0"/>
    <w:rsid w:val="005E2795"/>
    <w:rsid w:val="005E3833"/>
    <w:rsid w:val="005E435E"/>
    <w:rsid w:val="005E4E9A"/>
    <w:rsid w:val="005E6065"/>
    <w:rsid w:val="005E6734"/>
    <w:rsid w:val="005E6A5D"/>
    <w:rsid w:val="005E6C4B"/>
    <w:rsid w:val="005E7044"/>
    <w:rsid w:val="005E70C4"/>
    <w:rsid w:val="005E7C4C"/>
    <w:rsid w:val="005F0EDA"/>
    <w:rsid w:val="005F1934"/>
    <w:rsid w:val="005F1C9F"/>
    <w:rsid w:val="005F270C"/>
    <w:rsid w:val="005F358F"/>
    <w:rsid w:val="005F38E5"/>
    <w:rsid w:val="005F3D95"/>
    <w:rsid w:val="005F493E"/>
    <w:rsid w:val="005F4DEE"/>
    <w:rsid w:val="005F6027"/>
    <w:rsid w:val="005F6656"/>
    <w:rsid w:val="005F6B59"/>
    <w:rsid w:val="005F76D6"/>
    <w:rsid w:val="00600767"/>
    <w:rsid w:val="00600F37"/>
    <w:rsid w:val="006010D2"/>
    <w:rsid w:val="006013F9"/>
    <w:rsid w:val="00601CB3"/>
    <w:rsid w:val="0060269C"/>
    <w:rsid w:val="006026DB"/>
    <w:rsid w:val="00602AAD"/>
    <w:rsid w:val="00602BC5"/>
    <w:rsid w:val="00602D66"/>
    <w:rsid w:val="006034B0"/>
    <w:rsid w:val="00604202"/>
    <w:rsid w:val="00605DE7"/>
    <w:rsid w:val="00605E98"/>
    <w:rsid w:val="00607310"/>
    <w:rsid w:val="006075D2"/>
    <w:rsid w:val="00607727"/>
    <w:rsid w:val="006107DF"/>
    <w:rsid w:val="00611763"/>
    <w:rsid w:val="00612119"/>
    <w:rsid w:val="0061245F"/>
    <w:rsid w:val="00612C53"/>
    <w:rsid w:val="00613F7C"/>
    <w:rsid w:val="006141F4"/>
    <w:rsid w:val="00614D3E"/>
    <w:rsid w:val="00615E80"/>
    <w:rsid w:val="00616D5D"/>
    <w:rsid w:val="00617788"/>
    <w:rsid w:val="00620507"/>
    <w:rsid w:val="00621064"/>
    <w:rsid w:val="0062130E"/>
    <w:rsid w:val="00621318"/>
    <w:rsid w:val="0062162B"/>
    <w:rsid w:val="00621687"/>
    <w:rsid w:val="006216CC"/>
    <w:rsid w:val="00621868"/>
    <w:rsid w:val="006218C8"/>
    <w:rsid w:val="00621FE9"/>
    <w:rsid w:val="006229BE"/>
    <w:rsid w:val="0062416B"/>
    <w:rsid w:val="0062445D"/>
    <w:rsid w:val="00624FE6"/>
    <w:rsid w:val="00625AB5"/>
    <w:rsid w:val="00625EA2"/>
    <w:rsid w:val="00626763"/>
    <w:rsid w:val="006268ED"/>
    <w:rsid w:val="00630236"/>
    <w:rsid w:val="006303E1"/>
    <w:rsid w:val="00630AD1"/>
    <w:rsid w:val="006312BE"/>
    <w:rsid w:val="00632207"/>
    <w:rsid w:val="00632A89"/>
    <w:rsid w:val="0063305D"/>
    <w:rsid w:val="00633A41"/>
    <w:rsid w:val="00634026"/>
    <w:rsid w:val="0063491C"/>
    <w:rsid w:val="00637A0B"/>
    <w:rsid w:val="00640AA3"/>
    <w:rsid w:val="00640C0B"/>
    <w:rsid w:val="00641ACA"/>
    <w:rsid w:val="00641D29"/>
    <w:rsid w:val="006428E9"/>
    <w:rsid w:val="00642D06"/>
    <w:rsid w:val="0064372B"/>
    <w:rsid w:val="006438AF"/>
    <w:rsid w:val="00643922"/>
    <w:rsid w:val="00643D41"/>
    <w:rsid w:val="00643DA8"/>
    <w:rsid w:val="00644E27"/>
    <w:rsid w:val="00645F1C"/>
    <w:rsid w:val="00646BEE"/>
    <w:rsid w:val="00646D7B"/>
    <w:rsid w:val="006476D6"/>
    <w:rsid w:val="00647840"/>
    <w:rsid w:val="00647CE3"/>
    <w:rsid w:val="0065041B"/>
    <w:rsid w:val="006506C9"/>
    <w:rsid w:val="00650D2F"/>
    <w:rsid w:val="00651013"/>
    <w:rsid w:val="00651079"/>
    <w:rsid w:val="006511CE"/>
    <w:rsid w:val="00652158"/>
    <w:rsid w:val="006527EB"/>
    <w:rsid w:val="006528C9"/>
    <w:rsid w:val="006529AC"/>
    <w:rsid w:val="00654639"/>
    <w:rsid w:val="0065481A"/>
    <w:rsid w:val="006549C5"/>
    <w:rsid w:val="0065512F"/>
    <w:rsid w:val="00655F44"/>
    <w:rsid w:val="0065635A"/>
    <w:rsid w:val="006607D8"/>
    <w:rsid w:val="006608D3"/>
    <w:rsid w:val="00660F17"/>
    <w:rsid w:val="006618D9"/>
    <w:rsid w:val="00661AFE"/>
    <w:rsid w:val="00661FC1"/>
    <w:rsid w:val="00662C26"/>
    <w:rsid w:val="00662D80"/>
    <w:rsid w:val="006647E1"/>
    <w:rsid w:val="00664B35"/>
    <w:rsid w:val="00664C0A"/>
    <w:rsid w:val="00665B0E"/>
    <w:rsid w:val="00665D1D"/>
    <w:rsid w:val="00665D2B"/>
    <w:rsid w:val="00666036"/>
    <w:rsid w:val="006660CA"/>
    <w:rsid w:val="006671AD"/>
    <w:rsid w:val="00667461"/>
    <w:rsid w:val="006676C9"/>
    <w:rsid w:val="006679CA"/>
    <w:rsid w:val="00667B8B"/>
    <w:rsid w:val="00667E15"/>
    <w:rsid w:val="006708ED"/>
    <w:rsid w:val="00670AD1"/>
    <w:rsid w:val="00670CE2"/>
    <w:rsid w:val="006716D2"/>
    <w:rsid w:val="00671881"/>
    <w:rsid w:val="00671C98"/>
    <w:rsid w:val="00671D89"/>
    <w:rsid w:val="00672035"/>
    <w:rsid w:val="0067219D"/>
    <w:rsid w:val="00672663"/>
    <w:rsid w:val="00672E41"/>
    <w:rsid w:val="00673F94"/>
    <w:rsid w:val="00673FF4"/>
    <w:rsid w:val="006746E0"/>
    <w:rsid w:val="00674D8A"/>
    <w:rsid w:val="00674E9B"/>
    <w:rsid w:val="00675CB0"/>
    <w:rsid w:val="006775EF"/>
    <w:rsid w:val="006776DB"/>
    <w:rsid w:val="00680567"/>
    <w:rsid w:val="006806FE"/>
    <w:rsid w:val="00680B59"/>
    <w:rsid w:val="00680F19"/>
    <w:rsid w:val="00681234"/>
    <w:rsid w:val="00681C46"/>
    <w:rsid w:val="0068202D"/>
    <w:rsid w:val="00682BD3"/>
    <w:rsid w:val="00682FCA"/>
    <w:rsid w:val="006836BC"/>
    <w:rsid w:val="0068491E"/>
    <w:rsid w:val="00684C6D"/>
    <w:rsid w:val="00685B64"/>
    <w:rsid w:val="00685D8D"/>
    <w:rsid w:val="00687F90"/>
    <w:rsid w:val="006903C5"/>
    <w:rsid w:val="006908BC"/>
    <w:rsid w:val="00690A7D"/>
    <w:rsid w:val="006910E8"/>
    <w:rsid w:val="006913D8"/>
    <w:rsid w:val="0069156E"/>
    <w:rsid w:val="00691928"/>
    <w:rsid w:val="00692D88"/>
    <w:rsid w:val="00692FD8"/>
    <w:rsid w:val="00693C57"/>
    <w:rsid w:val="00693EB0"/>
    <w:rsid w:val="00694063"/>
    <w:rsid w:val="00695BF5"/>
    <w:rsid w:val="006966C8"/>
    <w:rsid w:val="006A107D"/>
    <w:rsid w:val="006A14FA"/>
    <w:rsid w:val="006A2362"/>
    <w:rsid w:val="006A375D"/>
    <w:rsid w:val="006A41F1"/>
    <w:rsid w:val="006A462A"/>
    <w:rsid w:val="006A46F6"/>
    <w:rsid w:val="006A4E9F"/>
    <w:rsid w:val="006A5027"/>
    <w:rsid w:val="006A51B7"/>
    <w:rsid w:val="006A5308"/>
    <w:rsid w:val="006A5787"/>
    <w:rsid w:val="006A59DF"/>
    <w:rsid w:val="006A629E"/>
    <w:rsid w:val="006A7DEE"/>
    <w:rsid w:val="006B03BF"/>
    <w:rsid w:val="006B0B07"/>
    <w:rsid w:val="006B0D7C"/>
    <w:rsid w:val="006B0FD9"/>
    <w:rsid w:val="006B1D67"/>
    <w:rsid w:val="006B1E11"/>
    <w:rsid w:val="006B3411"/>
    <w:rsid w:val="006B3A97"/>
    <w:rsid w:val="006B4534"/>
    <w:rsid w:val="006B54AA"/>
    <w:rsid w:val="006B66A3"/>
    <w:rsid w:val="006B769C"/>
    <w:rsid w:val="006C0238"/>
    <w:rsid w:val="006C0968"/>
    <w:rsid w:val="006C0FA1"/>
    <w:rsid w:val="006C1765"/>
    <w:rsid w:val="006C1F10"/>
    <w:rsid w:val="006C282F"/>
    <w:rsid w:val="006C38CF"/>
    <w:rsid w:val="006C62F9"/>
    <w:rsid w:val="006C6359"/>
    <w:rsid w:val="006C63D5"/>
    <w:rsid w:val="006C7201"/>
    <w:rsid w:val="006C72CC"/>
    <w:rsid w:val="006C7609"/>
    <w:rsid w:val="006D02B3"/>
    <w:rsid w:val="006D0BFA"/>
    <w:rsid w:val="006D0C0F"/>
    <w:rsid w:val="006D1A33"/>
    <w:rsid w:val="006D2033"/>
    <w:rsid w:val="006D2BBE"/>
    <w:rsid w:val="006D2BD2"/>
    <w:rsid w:val="006D4A02"/>
    <w:rsid w:val="006D5772"/>
    <w:rsid w:val="006D6881"/>
    <w:rsid w:val="006E024C"/>
    <w:rsid w:val="006E0540"/>
    <w:rsid w:val="006E1F1B"/>
    <w:rsid w:val="006E2C1A"/>
    <w:rsid w:val="006E3F76"/>
    <w:rsid w:val="006E46A0"/>
    <w:rsid w:val="006E47AF"/>
    <w:rsid w:val="006E4CF1"/>
    <w:rsid w:val="006E54D5"/>
    <w:rsid w:val="006E5E28"/>
    <w:rsid w:val="006E6574"/>
    <w:rsid w:val="006E6DE4"/>
    <w:rsid w:val="006E72B3"/>
    <w:rsid w:val="006E7F5E"/>
    <w:rsid w:val="006E7F96"/>
    <w:rsid w:val="006F202D"/>
    <w:rsid w:val="006F24EA"/>
    <w:rsid w:val="006F3855"/>
    <w:rsid w:val="006F3B92"/>
    <w:rsid w:val="006F42D3"/>
    <w:rsid w:val="006F4726"/>
    <w:rsid w:val="006F490F"/>
    <w:rsid w:val="006F4EAD"/>
    <w:rsid w:val="006F514E"/>
    <w:rsid w:val="006F531A"/>
    <w:rsid w:val="006F649C"/>
    <w:rsid w:val="006F6EFD"/>
    <w:rsid w:val="006F7DD7"/>
    <w:rsid w:val="00701047"/>
    <w:rsid w:val="007010BF"/>
    <w:rsid w:val="007030A0"/>
    <w:rsid w:val="007030FB"/>
    <w:rsid w:val="007033E9"/>
    <w:rsid w:val="00703B2D"/>
    <w:rsid w:val="00703E3E"/>
    <w:rsid w:val="00704962"/>
    <w:rsid w:val="007049A6"/>
    <w:rsid w:val="00704BDB"/>
    <w:rsid w:val="00705372"/>
    <w:rsid w:val="00705682"/>
    <w:rsid w:val="00705D58"/>
    <w:rsid w:val="007061A7"/>
    <w:rsid w:val="007068D9"/>
    <w:rsid w:val="007068DF"/>
    <w:rsid w:val="00706C6C"/>
    <w:rsid w:val="0071053D"/>
    <w:rsid w:val="00710541"/>
    <w:rsid w:val="00712D12"/>
    <w:rsid w:val="0071326B"/>
    <w:rsid w:val="00713998"/>
    <w:rsid w:val="00713EA2"/>
    <w:rsid w:val="007147D0"/>
    <w:rsid w:val="00714CF2"/>
    <w:rsid w:val="0071504C"/>
    <w:rsid w:val="007150C9"/>
    <w:rsid w:val="007155C8"/>
    <w:rsid w:val="00715648"/>
    <w:rsid w:val="007156B9"/>
    <w:rsid w:val="007167E7"/>
    <w:rsid w:val="00716C31"/>
    <w:rsid w:val="0071796A"/>
    <w:rsid w:val="00720271"/>
    <w:rsid w:val="00720817"/>
    <w:rsid w:val="00720FDB"/>
    <w:rsid w:val="00721883"/>
    <w:rsid w:val="00722850"/>
    <w:rsid w:val="00722CC8"/>
    <w:rsid w:val="00723252"/>
    <w:rsid w:val="00724794"/>
    <w:rsid w:val="00724ABD"/>
    <w:rsid w:val="00724F53"/>
    <w:rsid w:val="00725415"/>
    <w:rsid w:val="00725BF3"/>
    <w:rsid w:val="007267B5"/>
    <w:rsid w:val="0072776D"/>
    <w:rsid w:val="0072783C"/>
    <w:rsid w:val="007279E5"/>
    <w:rsid w:val="007306C8"/>
    <w:rsid w:val="00730960"/>
    <w:rsid w:val="007317CF"/>
    <w:rsid w:val="00731CB3"/>
    <w:rsid w:val="0073217E"/>
    <w:rsid w:val="00732221"/>
    <w:rsid w:val="00732490"/>
    <w:rsid w:val="007325A5"/>
    <w:rsid w:val="0073289E"/>
    <w:rsid w:val="00732A88"/>
    <w:rsid w:val="007334C8"/>
    <w:rsid w:val="0073353F"/>
    <w:rsid w:val="007336D9"/>
    <w:rsid w:val="00733795"/>
    <w:rsid w:val="00733EC8"/>
    <w:rsid w:val="0073418D"/>
    <w:rsid w:val="007341B9"/>
    <w:rsid w:val="00735A91"/>
    <w:rsid w:val="0073674C"/>
    <w:rsid w:val="00736F15"/>
    <w:rsid w:val="00737031"/>
    <w:rsid w:val="007375D9"/>
    <w:rsid w:val="0074016B"/>
    <w:rsid w:val="0074021C"/>
    <w:rsid w:val="00740504"/>
    <w:rsid w:val="00740BE7"/>
    <w:rsid w:val="00740F10"/>
    <w:rsid w:val="00740FC8"/>
    <w:rsid w:val="007414D9"/>
    <w:rsid w:val="007426D2"/>
    <w:rsid w:val="00742E45"/>
    <w:rsid w:val="00743593"/>
    <w:rsid w:val="00743F36"/>
    <w:rsid w:val="00743F3A"/>
    <w:rsid w:val="007447AF"/>
    <w:rsid w:val="00744DD3"/>
    <w:rsid w:val="007454C1"/>
    <w:rsid w:val="007454F8"/>
    <w:rsid w:val="00745AFE"/>
    <w:rsid w:val="00745B8E"/>
    <w:rsid w:val="00745F7B"/>
    <w:rsid w:val="00746132"/>
    <w:rsid w:val="0074616C"/>
    <w:rsid w:val="007465B7"/>
    <w:rsid w:val="007468AE"/>
    <w:rsid w:val="0075009E"/>
    <w:rsid w:val="00750601"/>
    <w:rsid w:val="00750816"/>
    <w:rsid w:val="00751F16"/>
    <w:rsid w:val="00751FD1"/>
    <w:rsid w:val="00752EFE"/>
    <w:rsid w:val="007535A6"/>
    <w:rsid w:val="00754138"/>
    <w:rsid w:val="007543A3"/>
    <w:rsid w:val="007546C5"/>
    <w:rsid w:val="0075485D"/>
    <w:rsid w:val="007549D7"/>
    <w:rsid w:val="00755563"/>
    <w:rsid w:val="00755572"/>
    <w:rsid w:val="00755A5D"/>
    <w:rsid w:val="007575C9"/>
    <w:rsid w:val="0075765B"/>
    <w:rsid w:val="007601FA"/>
    <w:rsid w:val="007603EF"/>
    <w:rsid w:val="00760EAD"/>
    <w:rsid w:val="0076154B"/>
    <w:rsid w:val="00761693"/>
    <w:rsid w:val="00762ADF"/>
    <w:rsid w:val="0076423C"/>
    <w:rsid w:val="007642E8"/>
    <w:rsid w:val="00764A12"/>
    <w:rsid w:val="00765073"/>
    <w:rsid w:val="007657C1"/>
    <w:rsid w:val="00765B79"/>
    <w:rsid w:val="007660B9"/>
    <w:rsid w:val="007661FA"/>
    <w:rsid w:val="0076678F"/>
    <w:rsid w:val="00767087"/>
    <w:rsid w:val="007670A4"/>
    <w:rsid w:val="00767185"/>
    <w:rsid w:val="0076736F"/>
    <w:rsid w:val="00767644"/>
    <w:rsid w:val="0076794F"/>
    <w:rsid w:val="00767D8E"/>
    <w:rsid w:val="0077049C"/>
    <w:rsid w:val="00770511"/>
    <w:rsid w:val="0077060E"/>
    <w:rsid w:val="0077072A"/>
    <w:rsid w:val="00770890"/>
    <w:rsid w:val="00770999"/>
    <w:rsid w:val="00771194"/>
    <w:rsid w:val="007713CC"/>
    <w:rsid w:val="007715AC"/>
    <w:rsid w:val="007717BC"/>
    <w:rsid w:val="00771827"/>
    <w:rsid w:val="00772BEC"/>
    <w:rsid w:val="00772D16"/>
    <w:rsid w:val="00773A75"/>
    <w:rsid w:val="00773A96"/>
    <w:rsid w:val="00775A00"/>
    <w:rsid w:val="00775D26"/>
    <w:rsid w:val="00777494"/>
    <w:rsid w:val="0077755F"/>
    <w:rsid w:val="00780025"/>
    <w:rsid w:val="00780D7A"/>
    <w:rsid w:val="00781B1C"/>
    <w:rsid w:val="00781F4F"/>
    <w:rsid w:val="007825BF"/>
    <w:rsid w:val="00782F23"/>
    <w:rsid w:val="00784A44"/>
    <w:rsid w:val="00784E8C"/>
    <w:rsid w:val="00784F0D"/>
    <w:rsid w:val="00785A92"/>
    <w:rsid w:val="00785B35"/>
    <w:rsid w:val="00786E98"/>
    <w:rsid w:val="00786FE1"/>
    <w:rsid w:val="00786FEF"/>
    <w:rsid w:val="007876A0"/>
    <w:rsid w:val="00787ABE"/>
    <w:rsid w:val="00790141"/>
    <w:rsid w:val="0079073E"/>
    <w:rsid w:val="00790E5D"/>
    <w:rsid w:val="0079137C"/>
    <w:rsid w:val="0079190C"/>
    <w:rsid w:val="00792A86"/>
    <w:rsid w:val="00792B0F"/>
    <w:rsid w:val="00792D54"/>
    <w:rsid w:val="00793333"/>
    <w:rsid w:val="00793348"/>
    <w:rsid w:val="007941EA"/>
    <w:rsid w:val="00794757"/>
    <w:rsid w:val="007955EB"/>
    <w:rsid w:val="007959F5"/>
    <w:rsid w:val="00795F41"/>
    <w:rsid w:val="00796D5E"/>
    <w:rsid w:val="0079730B"/>
    <w:rsid w:val="007A01D3"/>
    <w:rsid w:val="007A0954"/>
    <w:rsid w:val="007A0DCB"/>
    <w:rsid w:val="007A170E"/>
    <w:rsid w:val="007A1859"/>
    <w:rsid w:val="007A2142"/>
    <w:rsid w:val="007A2BDC"/>
    <w:rsid w:val="007A3127"/>
    <w:rsid w:val="007A32CC"/>
    <w:rsid w:val="007A369D"/>
    <w:rsid w:val="007A3CB3"/>
    <w:rsid w:val="007A406D"/>
    <w:rsid w:val="007A4150"/>
    <w:rsid w:val="007A4C07"/>
    <w:rsid w:val="007A4C22"/>
    <w:rsid w:val="007A4D02"/>
    <w:rsid w:val="007A59AB"/>
    <w:rsid w:val="007A6263"/>
    <w:rsid w:val="007A62B0"/>
    <w:rsid w:val="007A6BD8"/>
    <w:rsid w:val="007A6BFC"/>
    <w:rsid w:val="007A75F6"/>
    <w:rsid w:val="007A7B48"/>
    <w:rsid w:val="007A7C8B"/>
    <w:rsid w:val="007A7CC1"/>
    <w:rsid w:val="007B0493"/>
    <w:rsid w:val="007B0CE1"/>
    <w:rsid w:val="007B0D0D"/>
    <w:rsid w:val="007B1792"/>
    <w:rsid w:val="007B1932"/>
    <w:rsid w:val="007B1D05"/>
    <w:rsid w:val="007B2217"/>
    <w:rsid w:val="007B22C3"/>
    <w:rsid w:val="007B25B8"/>
    <w:rsid w:val="007B3862"/>
    <w:rsid w:val="007B3ECC"/>
    <w:rsid w:val="007B46C3"/>
    <w:rsid w:val="007B46DA"/>
    <w:rsid w:val="007B4BA0"/>
    <w:rsid w:val="007B58DC"/>
    <w:rsid w:val="007B5BB0"/>
    <w:rsid w:val="007C2045"/>
    <w:rsid w:val="007C217B"/>
    <w:rsid w:val="007C247F"/>
    <w:rsid w:val="007C2535"/>
    <w:rsid w:val="007C2564"/>
    <w:rsid w:val="007C2663"/>
    <w:rsid w:val="007C2E89"/>
    <w:rsid w:val="007C2EB2"/>
    <w:rsid w:val="007C3197"/>
    <w:rsid w:val="007C35D1"/>
    <w:rsid w:val="007C3686"/>
    <w:rsid w:val="007C4232"/>
    <w:rsid w:val="007C4D10"/>
    <w:rsid w:val="007C56B0"/>
    <w:rsid w:val="007C5A0C"/>
    <w:rsid w:val="007C6573"/>
    <w:rsid w:val="007C740A"/>
    <w:rsid w:val="007C752C"/>
    <w:rsid w:val="007C7E4D"/>
    <w:rsid w:val="007D00C9"/>
    <w:rsid w:val="007D0284"/>
    <w:rsid w:val="007D0545"/>
    <w:rsid w:val="007D05C5"/>
    <w:rsid w:val="007D0DE8"/>
    <w:rsid w:val="007D0E4A"/>
    <w:rsid w:val="007D13A3"/>
    <w:rsid w:val="007D1499"/>
    <w:rsid w:val="007D1A60"/>
    <w:rsid w:val="007D2077"/>
    <w:rsid w:val="007D3179"/>
    <w:rsid w:val="007D3239"/>
    <w:rsid w:val="007D45F7"/>
    <w:rsid w:val="007D4D37"/>
    <w:rsid w:val="007D55D4"/>
    <w:rsid w:val="007D7B76"/>
    <w:rsid w:val="007E07D7"/>
    <w:rsid w:val="007E0833"/>
    <w:rsid w:val="007E0841"/>
    <w:rsid w:val="007E0A84"/>
    <w:rsid w:val="007E0FEE"/>
    <w:rsid w:val="007E120D"/>
    <w:rsid w:val="007E1813"/>
    <w:rsid w:val="007E1A6F"/>
    <w:rsid w:val="007E2C3A"/>
    <w:rsid w:val="007E2FE2"/>
    <w:rsid w:val="007E46D8"/>
    <w:rsid w:val="007E4E1B"/>
    <w:rsid w:val="007E5B8A"/>
    <w:rsid w:val="007E5D14"/>
    <w:rsid w:val="007E70B7"/>
    <w:rsid w:val="007E7E82"/>
    <w:rsid w:val="007F0872"/>
    <w:rsid w:val="007F1058"/>
    <w:rsid w:val="007F1615"/>
    <w:rsid w:val="007F17CF"/>
    <w:rsid w:val="007F1822"/>
    <w:rsid w:val="007F1A7C"/>
    <w:rsid w:val="007F2017"/>
    <w:rsid w:val="007F4381"/>
    <w:rsid w:val="007F5446"/>
    <w:rsid w:val="007F608B"/>
    <w:rsid w:val="007F6676"/>
    <w:rsid w:val="007F678E"/>
    <w:rsid w:val="007F6DE5"/>
    <w:rsid w:val="007F6E20"/>
    <w:rsid w:val="007F6EA1"/>
    <w:rsid w:val="007F7889"/>
    <w:rsid w:val="00800326"/>
    <w:rsid w:val="008009A4"/>
    <w:rsid w:val="008013F3"/>
    <w:rsid w:val="008015FD"/>
    <w:rsid w:val="008021FF"/>
    <w:rsid w:val="00802228"/>
    <w:rsid w:val="0080301F"/>
    <w:rsid w:val="00803D4F"/>
    <w:rsid w:val="0080506F"/>
    <w:rsid w:val="0080538E"/>
    <w:rsid w:val="008061DC"/>
    <w:rsid w:val="008074FC"/>
    <w:rsid w:val="00807722"/>
    <w:rsid w:val="00807C5E"/>
    <w:rsid w:val="00807EAF"/>
    <w:rsid w:val="0081051F"/>
    <w:rsid w:val="008105F4"/>
    <w:rsid w:val="0081061C"/>
    <w:rsid w:val="0081091E"/>
    <w:rsid w:val="008114D6"/>
    <w:rsid w:val="0081155F"/>
    <w:rsid w:val="00811A81"/>
    <w:rsid w:val="00812B81"/>
    <w:rsid w:val="00813129"/>
    <w:rsid w:val="008136FF"/>
    <w:rsid w:val="00813D18"/>
    <w:rsid w:val="0081446E"/>
    <w:rsid w:val="008153B4"/>
    <w:rsid w:val="008159CF"/>
    <w:rsid w:val="00815A43"/>
    <w:rsid w:val="00815AFB"/>
    <w:rsid w:val="00815EA6"/>
    <w:rsid w:val="0081689C"/>
    <w:rsid w:val="00816E05"/>
    <w:rsid w:val="0081717D"/>
    <w:rsid w:val="00820169"/>
    <w:rsid w:val="0082104C"/>
    <w:rsid w:val="008219BE"/>
    <w:rsid w:val="00822440"/>
    <w:rsid w:val="00822B05"/>
    <w:rsid w:val="00822EB1"/>
    <w:rsid w:val="0082346F"/>
    <w:rsid w:val="00823631"/>
    <w:rsid w:val="00823BEA"/>
    <w:rsid w:val="00824B51"/>
    <w:rsid w:val="00824F76"/>
    <w:rsid w:val="00826278"/>
    <w:rsid w:val="00826EA8"/>
    <w:rsid w:val="00827602"/>
    <w:rsid w:val="008307F3"/>
    <w:rsid w:val="00830AA0"/>
    <w:rsid w:val="00831ECC"/>
    <w:rsid w:val="00832C07"/>
    <w:rsid w:val="008339BB"/>
    <w:rsid w:val="00834145"/>
    <w:rsid w:val="0083500F"/>
    <w:rsid w:val="00835808"/>
    <w:rsid w:val="00835F59"/>
    <w:rsid w:val="00836033"/>
    <w:rsid w:val="008367B5"/>
    <w:rsid w:val="00837708"/>
    <w:rsid w:val="008379D7"/>
    <w:rsid w:val="0084305C"/>
    <w:rsid w:val="00844564"/>
    <w:rsid w:val="008449E7"/>
    <w:rsid w:val="0084525A"/>
    <w:rsid w:val="008455DA"/>
    <w:rsid w:val="00846FA5"/>
    <w:rsid w:val="00847376"/>
    <w:rsid w:val="008473D4"/>
    <w:rsid w:val="00847972"/>
    <w:rsid w:val="00847CB6"/>
    <w:rsid w:val="008500AA"/>
    <w:rsid w:val="008509FA"/>
    <w:rsid w:val="00850ACA"/>
    <w:rsid w:val="00850B05"/>
    <w:rsid w:val="00850BE6"/>
    <w:rsid w:val="00850BFD"/>
    <w:rsid w:val="00850C04"/>
    <w:rsid w:val="00851CA3"/>
    <w:rsid w:val="00852504"/>
    <w:rsid w:val="00852770"/>
    <w:rsid w:val="00852B18"/>
    <w:rsid w:val="008546DB"/>
    <w:rsid w:val="00854AE4"/>
    <w:rsid w:val="00855AE7"/>
    <w:rsid w:val="00855C77"/>
    <w:rsid w:val="00855D51"/>
    <w:rsid w:val="00855D8B"/>
    <w:rsid w:val="00856209"/>
    <w:rsid w:val="008571E6"/>
    <w:rsid w:val="00857338"/>
    <w:rsid w:val="00857FAD"/>
    <w:rsid w:val="00860117"/>
    <w:rsid w:val="008604D5"/>
    <w:rsid w:val="0086056A"/>
    <w:rsid w:val="0086239B"/>
    <w:rsid w:val="00862DDF"/>
    <w:rsid w:val="0086419A"/>
    <w:rsid w:val="00864AEA"/>
    <w:rsid w:val="0086500C"/>
    <w:rsid w:val="00867616"/>
    <w:rsid w:val="00867AE7"/>
    <w:rsid w:val="0087023B"/>
    <w:rsid w:val="0087080C"/>
    <w:rsid w:val="00871797"/>
    <w:rsid w:val="00871FE5"/>
    <w:rsid w:val="008723A9"/>
    <w:rsid w:val="00872F09"/>
    <w:rsid w:val="00873676"/>
    <w:rsid w:val="00875254"/>
    <w:rsid w:val="00876280"/>
    <w:rsid w:val="0087729A"/>
    <w:rsid w:val="00877A30"/>
    <w:rsid w:val="00880A17"/>
    <w:rsid w:val="00880F5D"/>
    <w:rsid w:val="0088102B"/>
    <w:rsid w:val="008818E0"/>
    <w:rsid w:val="008822DE"/>
    <w:rsid w:val="00882332"/>
    <w:rsid w:val="00882783"/>
    <w:rsid w:val="00883315"/>
    <w:rsid w:val="00883508"/>
    <w:rsid w:val="008856DA"/>
    <w:rsid w:val="00887BAE"/>
    <w:rsid w:val="00890222"/>
    <w:rsid w:val="008906EB"/>
    <w:rsid w:val="00890854"/>
    <w:rsid w:val="00891FB1"/>
    <w:rsid w:val="008924C3"/>
    <w:rsid w:val="00892790"/>
    <w:rsid w:val="00892E3A"/>
    <w:rsid w:val="00893753"/>
    <w:rsid w:val="00894A6A"/>
    <w:rsid w:val="00894ED2"/>
    <w:rsid w:val="00894ED7"/>
    <w:rsid w:val="008959D1"/>
    <w:rsid w:val="00895D8C"/>
    <w:rsid w:val="00895D94"/>
    <w:rsid w:val="00896148"/>
    <w:rsid w:val="008971FA"/>
    <w:rsid w:val="00897890"/>
    <w:rsid w:val="0089789A"/>
    <w:rsid w:val="008A03E0"/>
    <w:rsid w:val="008A0742"/>
    <w:rsid w:val="008A0A62"/>
    <w:rsid w:val="008A1771"/>
    <w:rsid w:val="008A179F"/>
    <w:rsid w:val="008A2559"/>
    <w:rsid w:val="008A316E"/>
    <w:rsid w:val="008A3924"/>
    <w:rsid w:val="008A4DFF"/>
    <w:rsid w:val="008A5760"/>
    <w:rsid w:val="008A66FA"/>
    <w:rsid w:val="008A7157"/>
    <w:rsid w:val="008B0576"/>
    <w:rsid w:val="008B0864"/>
    <w:rsid w:val="008B0ECE"/>
    <w:rsid w:val="008B102F"/>
    <w:rsid w:val="008B10AE"/>
    <w:rsid w:val="008B12A6"/>
    <w:rsid w:val="008B196A"/>
    <w:rsid w:val="008B2454"/>
    <w:rsid w:val="008B2752"/>
    <w:rsid w:val="008B3AB6"/>
    <w:rsid w:val="008B4248"/>
    <w:rsid w:val="008B725C"/>
    <w:rsid w:val="008C05D4"/>
    <w:rsid w:val="008C0743"/>
    <w:rsid w:val="008C11D0"/>
    <w:rsid w:val="008C1808"/>
    <w:rsid w:val="008C1ADF"/>
    <w:rsid w:val="008C2342"/>
    <w:rsid w:val="008C3247"/>
    <w:rsid w:val="008C32F2"/>
    <w:rsid w:val="008C3D0A"/>
    <w:rsid w:val="008C4866"/>
    <w:rsid w:val="008C4B79"/>
    <w:rsid w:val="008C515C"/>
    <w:rsid w:val="008C5BD1"/>
    <w:rsid w:val="008C5CC4"/>
    <w:rsid w:val="008C64D0"/>
    <w:rsid w:val="008C692F"/>
    <w:rsid w:val="008C7413"/>
    <w:rsid w:val="008C7BCA"/>
    <w:rsid w:val="008D16B7"/>
    <w:rsid w:val="008D17D0"/>
    <w:rsid w:val="008D2260"/>
    <w:rsid w:val="008D2724"/>
    <w:rsid w:val="008D2D91"/>
    <w:rsid w:val="008D2F2D"/>
    <w:rsid w:val="008D3611"/>
    <w:rsid w:val="008D45A0"/>
    <w:rsid w:val="008D590D"/>
    <w:rsid w:val="008D63FF"/>
    <w:rsid w:val="008D6DCC"/>
    <w:rsid w:val="008E0183"/>
    <w:rsid w:val="008E1E2D"/>
    <w:rsid w:val="008E22AB"/>
    <w:rsid w:val="008E2596"/>
    <w:rsid w:val="008E2F6B"/>
    <w:rsid w:val="008E3A9D"/>
    <w:rsid w:val="008E3E7A"/>
    <w:rsid w:val="008E5334"/>
    <w:rsid w:val="008E59BE"/>
    <w:rsid w:val="008E6483"/>
    <w:rsid w:val="008E66A4"/>
    <w:rsid w:val="008E6792"/>
    <w:rsid w:val="008E6AD9"/>
    <w:rsid w:val="008E6AE6"/>
    <w:rsid w:val="008E76BE"/>
    <w:rsid w:val="008E7A0D"/>
    <w:rsid w:val="008F0116"/>
    <w:rsid w:val="008F041A"/>
    <w:rsid w:val="008F0920"/>
    <w:rsid w:val="008F0CB9"/>
    <w:rsid w:val="008F143D"/>
    <w:rsid w:val="008F1A6E"/>
    <w:rsid w:val="008F1E69"/>
    <w:rsid w:val="008F2E48"/>
    <w:rsid w:val="008F39BC"/>
    <w:rsid w:val="008F4750"/>
    <w:rsid w:val="008F531A"/>
    <w:rsid w:val="008F6024"/>
    <w:rsid w:val="008F73BC"/>
    <w:rsid w:val="008F79AB"/>
    <w:rsid w:val="008F7CD8"/>
    <w:rsid w:val="008F7DC4"/>
    <w:rsid w:val="0090031C"/>
    <w:rsid w:val="00900FA4"/>
    <w:rsid w:val="00901372"/>
    <w:rsid w:val="00902626"/>
    <w:rsid w:val="00903386"/>
    <w:rsid w:val="00904D17"/>
    <w:rsid w:val="00905744"/>
    <w:rsid w:val="009062C5"/>
    <w:rsid w:val="0090665F"/>
    <w:rsid w:val="0090671C"/>
    <w:rsid w:val="009067F1"/>
    <w:rsid w:val="00906C88"/>
    <w:rsid w:val="00907907"/>
    <w:rsid w:val="00910053"/>
    <w:rsid w:val="009104D9"/>
    <w:rsid w:val="00910E81"/>
    <w:rsid w:val="009113AB"/>
    <w:rsid w:val="00911ADE"/>
    <w:rsid w:val="00912499"/>
    <w:rsid w:val="00912518"/>
    <w:rsid w:val="00912587"/>
    <w:rsid w:val="009129CB"/>
    <w:rsid w:val="009132A6"/>
    <w:rsid w:val="00913EA3"/>
    <w:rsid w:val="009145CF"/>
    <w:rsid w:val="0091632D"/>
    <w:rsid w:val="00917412"/>
    <w:rsid w:val="009205BD"/>
    <w:rsid w:val="009220C6"/>
    <w:rsid w:val="0092281D"/>
    <w:rsid w:val="00922C0B"/>
    <w:rsid w:val="00924A2E"/>
    <w:rsid w:val="00924B73"/>
    <w:rsid w:val="009258CC"/>
    <w:rsid w:val="00925E6F"/>
    <w:rsid w:val="0092695C"/>
    <w:rsid w:val="00926F9F"/>
    <w:rsid w:val="009279B3"/>
    <w:rsid w:val="00927CE0"/>
    <w:rsid w:val="009306ED"/>
    <w:rsid w:val="00931D75"/>
    <w:rsid w:val="00932453"/>
    <w:rsid w:val="009327E5"/>
    <w:rsid w:val="00932865"/>
    <w:rsid w:val="009355F1"/>
    <w:rsid w:val="00935904"/>
    <w:rsid w:val="00935F0A"/>
    <w:rsid w:val="009362F4"/>
    <w:rsid w:val="00936B9E"/>
    <w:rsid w:val="00937109"/>
    <w:rsid w:val="009409F4"/>
    <w:rsid w:val="0094162A"/>
    <w:rsid w:val="00942424"/>
    <w:rsid w:val="00942C88"/>
    <w:rsid w:val="00942DD0"/>
    <w:rsid w:val="00943FB5"/>
    <w:rsid w:val="009447CF"/>
    <w:rsid w:val="00944EBC"/>
    <w:rsid w:val="009450A4"/>
    <w:rsid w:val="009459E2"/>
    <w:rsid w:val="00946003"/>
    <w:rsid w:val="009464DA"/>
    <w:rsid w:val="00946627"/>
    <w:rsid w:val="009472DB"/>
    <w:rsid w:val="00947C8C"/>
    <w:rsid w:val="00951AF5"/>
    <w:rsid w:val="009522AE"/>
    <w:rsid w:val="009525C0"/>
    <w:rsid w:val="00955405"/>
    <w:rsid w:val="009572A7"/>
    <w:rsid w:val="00957782"/>
    <w:rsid w:val="00957CE9"/>
    <w:rsid w:val="00957ED6"/>
    <w:rsid w:val="00957FB5"/>
    <w:rsid w:val="009608D0"/>
    <w:rsid w:val="00960D3A"/>
    <w:rsid w:val="009615F0"/>
    <w:rsid w:val="00961924"/>
    <w:rsid w:val="00961CC1"/>
    <w:rsid w:val="00961DA4"/>
    <w:rsid w:val="009626FD"/>
    <w:rsid w:val="00962ACC"/>
    <w:rsid w:val="00962AFE"/>
    <w:rsid w:val="00962DD9"/>
    <w:rsid w:val="00963C2B"/>
    <w:rsid w:val="00964066"/>
    <w:rsid w:val="009651DC"/>
    <w:rsid w:val="00965788"/>
    <w:rsid w:val="009661A0"/>
    <w:rsid w:val="00966241"/>
    <w:rsid w:val="009662C9"/>
    <w:rsid w:val="00966659"/>
    <w:rsid w:val="00966B80"/>
    <w:rsid w:val="00966DAE"/>
    <w:rsid w:val="00967724"/>
    <w:rsid w:val="00970263"/>
    <w:rsid w:val="0097033B"/>
    <w:rsid w:val="00970E61"/>
    <w:rsid w:val="009714A7"/>
    <w:rsid w:val="009716EC"/>
    <w:rsid w:val="00972333"/>
    <w:rsid w:val="00972652"/>
    <w:rsid w:val="00973A57"/>
    <w:rsid w:val="00974105"/>
    <w:rsid w:val="009759AB"/>
    <w:rsid w:val="00975C71"/>
    <w:rsid w:val="009768E2"/>
    <w:rsid w:val="0097756B"/>
    <w:rsid w:val="00977E10"/>
    <w:rsid w:val="009807F7"/>
    <w:rsid w:val="0098138E"/>
    <w:rsid w:val="00981C91"/>
    <w:rsid w:val="00982047"/>
    <w:rsid w:val="0098205C"/>
    <w:rsid w:val="00982099"/>
    <w:rsid w:val="009829AF"/>
    <w:rsid w:val="00982FCA"/>
    <w:rsid w:val="00983815"/>
    <w:rsid w:val="0098438F"/>
    <w:rsid w:val="00984F7F"/>
    <w:rsid w:val="00985188"/>
    <w:rsid w:val="00985295"/>
    <w:rsid w:val="00985467"/>
    <w:rsid w:val="0098655A"/>
    <w:rsid w:val="00986B95"/>
    <w:rsid w:val="00986C63"/>
    <w:rsid w:val="00987ABA"/>
    <w:rsid w:val="00990641"/>
    <w:rsid w:val="00990909"/>
    <w:rsid w:val="00990B05"/>
    <w:rsid w:val="0099169B"/>
    <w:rsid w:val="00992529"/>
    <w:rsid w:val="00993D96"/>
    <w:rsid w:val="00994BEA"/>
    <w:rsid w:val="00995023"/>
    <w:rsid w:val="009951A3"/>
    <w:rsid w:val="009960D2"/>
    <w:rsid w:val="00996482"/>
    <w:rsid w:val="00996761"/>
    <w:rsid w:val="00996FC0"/>
    <w:rsid w:val="00997D48"/>
    <w:rsid w:val="00997E27"/>
    <w:rsid w:val="00997F06"/>
    <w:rsid w:val="009A1910"/>
    <w:rsid w:val="009A2FA6"/>
    <w:rsid w:val="009A3010"/>
    <w:rsid w:val="009A3132"/>
    <w:rsid w:val="009A31FB"/>
    <w:rsid w:val="009A399B"/>
    <w:rsid w:val="009A4856"/>
    <w:rsid w:val="009A4A25"/>
    <w:rsid w:val="009A5F1D"/>
    <w:rsid w:val="009A666D"/>
    <w:rsid w:val="009A756C"/>
    <w:rsid w:val="009B045F"/>
    <w:rsid w:val="009B078F"/>
    <w:rsid w:val="009B206A"/>
    <w:rsid w:val="009B2262"/>
    <w:rsid w:val="009B27E4"/>
    <w:rsid w:val="009B2809"/>
    <w:rsid w:val="009B2871"/>
    <w:rsid w:val="009B2D2D"/>
    <w:rsid w:val="009B2EB6"/>
    <w:rsid w:val="009B2FB4"/>
    <w:rsid w:val="009B3B42"/>
    <w:rsid w:val="009B4E88"/>
    <w:rsid w:val="009B5431"/>
    <w:rsid w:val="009B5F1F"/>
    <w:rsid w:val="009B6454"/>
    <w:rsid w:val="009B661D"/>
    <w:rsid w:val="009B6F72"/>
    <w:rsid w:val="009B70FC"/>
    <w:rsid w:val="009B73BA"/>
    <w:rsid w:val="009B7A5F"/>
    <w:rsid w:val="009C12FB"/>
    <w:rsid w:val="009C2603"/>
    <w:rsid w:val="009C442C"/>
    <w:rsid w:val="009C542B"/>
    <w:rsid w:val="009C63A8"/>
    <w:rsid w:val="009C6D30"/>
    <w:rsid w:val="009C7831"/>
    <w:rsid w:val="009D0626"/>
    <w:rsid w:val="009D0BA9"/>
    <w:rsid w:val="009D0FC5"/>
    <w:rsid w:val="009D251E"/>
    <w:rsid w:val="009D291F"/>
    <w:rsid w:val="009D378F"/>
    <w:rsid w:val="009D3E03"/>
    <w:rsid w:val="009D4990"/>
    <w:rsid w:val="009D56DF"/>
    <w:rsid w:val="009D6D3B"/>
    <w:rsid w:val="009D6E8F"/>
    <w:rsid w:val="009E08B2"/>
    <w:rsid w:val="009E1044"/>
    <w:rsid w:val="009E1670"/>
    <w:rsid w:val="009E1F8E"/>
    <w:rsid w:val="009E3F5F"/>
    <w:rsid w:val="009E3FD5"/>
    <w:rsid w:val="009E430D"/>
    <w:rsid w:val="009E46A1"/>
    <w:rsid w:val="009E540D"/>
    <w:rsid w:val="009E5717"/>
    <w:rsid w:val="009E6052"/>
    <w:rsid w:val="009E6103"/>
    <w:rsid w:val="009E63BB"/>
    <w:rsid w:val="009E690A"/>
    <w:rsid w:val="009E7BB4"/>
    <w:rsid w:val="009E7C7F"/>
    <w:rsid w:val="009F013F"/>
    <w:rsid w:val="009F0421"/>
    <w:rsid w:val="009F0823"/>
    <w:rsid w:val="009F0CE7"/>
    <w:rsid w:val="009F1219"/>
    <w:rsid w:val="009F216F"/>
    <w:rsid w:val="009F2712"/>
    <w:rsid w:val="009F2B8D"/>
    <w:rsid w:val="009F30E0"/>
    <w:rsid w:val="009F35A8"/>
    <w:rsid w:val="009F3D47"/>
    <w:rsid w:val="009F4022"/>
    <w:rsid w:val="009F4923"/>
    <w:rsid w:val="009F4A01"/>
    <w:rsid w:val="009F5C12"/>
    <w:rsid w:val="009F716C"/>
    <w:rsid w:val="009F75CF"/>
    <w:rsid w:val="00A002F6"/>
    <w:rsid w:val="00A00359"/>
    <w:rsid w:val="00A0049D"/>
    <w:rsid w:val="00A010BE"/>
    <w:rsid w:val="00A015B3"/>
    <w:rsid w:val="00A016F9"/>
    <w:rsid w:val="00A01890"/>
    <w:rsid w:val="00A01BBB"/>
    <w:rsid w:val="00A03290"/>
    <w:rsid w:val="00A04D7D"/>
    <w:rsid w:val="00A04F6B"/>
    <w:rsid w:val="00A055D3"/>
    <w:rsid w:val="00A0562E"/>
    <w:rsid w:val="00A0614A"/>
    <w:rsid w:val="00A063C2"/>
    <w:rsid w:val="00A0687C"/>
    <w:rsid w:val="00A06B2D"/>
    <w:rsid w:val="00A0746F"/>
    <w:rsid w:val="00A079FF"/>
    <w:rsid w:val="00A11B09"/>
    <w:rsid w:val="00A11DD2"/>
    <w:rsid w:val="00A11EA4"/>
    <w:rsid w:val="00A120E8"/>
    <w:rsid w:val="00A1351A"/>
    <w:rsid w:val="00A13834"/>
    <w:rsid w:val="00A13C61"/>
    <w:rsid w:val="00A13D5E"/>
    <w:rsid w:val="00A14465"/>
    <w:rsid w:val="00A1584B"/>
    <w:rsid w:val="00A16692"/>
    <w:rsid w:val="00A166DA"/>
    <w:rsid w:val="00A177B9"/>
    <w:rsid w:val="00A17CE0"/>
    <w:rsid w:val="00A20621"/>
    <w:rsid w:val="00A20635"/>
    <w:rsid w:val="00A207B4"/>
    <w:rsid w:val="00A21ECD"/>
    <w:rsid w:val="00A22588"/>
    <w:rsid w:val="00A225E7"/>
    <w:rsid w:val="00A227CA"/>
    <w:rsid w:val="00A2326D"/>
    <w:rsid w:val="00A23D48"/>
    <w:rsid w:val="00A24908"/>
    <w:rsid w:val="00A24FBA"/>
    <w:rsid w:val="00A253BE"/>
    <w:rsid w:val="00A25653"/>
    <w:rsid w:val="00A26142"/>
    <w:rsid w:val="00A265EF"/>
    <w:rsid w:val="00A26702"/>
    <w:rsid w:val="00A27098"/>
    <w:rsid w:val="00A27A49"/>
    <w:rsid w:val="00A27BA9"/>
    <w:rsid w:val="00A27C55"/>
    <w:rsid w:val="00A27EF9"/>
    <w:rsid w:val="00A30A12"/>
    <w:rsid w:val="00A32468"/>
    <w:rsid w:val="00A32538"/>
    <w:rsid w:val="00A3292F"/>
    <w:rsid w:val="00A34BAE"/>
    <w:rsid w:val="00A35038"/>
    <w:rsid w:val="00A35423"/>
    <w:rsid w:val="00A357CC"/>
    <w:rsid w:val="00A35DBA"/>
    <w:rsid w:val="00A365A2"/>
    <w:rsid w:val="00A36BFB"/>
    <w:rsid w:val="00A41CB1"/>
    <w:rsid w:val="00A41E95"/>
    <w:rsid w:val="00A42306"/>
    <w:rsid w:val="00A4293D"/>
    <w:rsid w:val="00A434E6"/>
    <w:rsid w:val="00A4441F"/>
    <w:rsid w:val="00A445CC"/>
    <w:rsid w:val="00A44E8D"/>
    <w:rsid w:val="00A46B08"/>
    <w:rsid w:val="00A46EA8"/>
    <w:rsid w:val="00A476AD"/>
    <w:rsid w:val="00A51C85"/>
    <w:rsid w:val="00A51C89"/>
    <w:rsid w:val="00A51CDC"/>
    <w:rsid w:val="00A51ED8"/>
    <w:rsid w:val="00A523D0"/>
    <w:rsid w:val="00A5242D"/>
    <w:rsid w:val="00A529C7"/>
    <w:rsid w:val="00A533D8"/>
    <w:rsid w:val="00A5353E"/>
    <w:rsid w:val="00A53835"/>
    <w:rsid w:val="00A55ACD"/>
    <w:rsid w:val="00A55D23"/>
    <w:rsid w:val="00A55E65"/>
    <w:rsid w:val="00A56B3D"/>
    <w:rsid w:val="00A57C1D"/>
    <w:rsid w:val="00A57E9C"/>
    <w:rsid w:val="00A60A4F"/>
    <w:rsid w:val="00A60E33"/>
    <w:rsid w:val="00A6157B"/>
    <w:rsid w:val="00A615AC"/>
    <w:rsid w:val="00A615E4"/>
    <w:rsid w:val="00A62D47"/>
    <w:rsid w:val="00A62F31"/>
    <w:rsid w:val="00A6313B"/>
    <w:rsid w:val="00A643B4"/>
    <w:rsid w:val="00A64B4E"/>
    <w:rsid w:val="00A650E8"/>
    <w:rsid w:val="00A655AF"/>
    <w:rsid w:val="00A65944"/>
    <w:rsid w:val="00A661E2"/>
    <w:rsid w:val="00A66CA6"/>
    <w:rsid w:val="00A6768E"/>
    <w:rsid w:val="00A7012D"/>
    <w:rsid w:val="00A70B77"/>
    <w:rsid w:val="00A72347"/>
    <w:rsid w:val="00A7277D"/>
    <w:rsid w:val="00A72ECD"/>
    <w:rsid w:val="00A746AD"/>
    <w:rsid w:val="00A74DF2"/>
    <w:rsid w:val="00A77EBB"/>
    <w:rsid w:val="00A80D4F"/>
    <w:rsid w:val="00A8112F"/>
    <w:rsid w:val="00A81145"/>
    <w:rsid w:val="00A81525"/>
    <w:rsid w:val="00A8185E"/>
    <w:rsid w:val="00A830E0"/>
    <w:rsid w:val="00A8341F"/>
    <w:rsid w:val="00A837F3"/>
    <w:rsid w:val="00A846B2"/>
    <w:rsid w:val="00A85614"/>
    <w:rsid w:val="00A85C8D"/>
    <w:rsid w:val="00A85D27"/>
    <w:rsid w:val="00A87BFA"/>
    <w:rsid w:val="00A90026"/>
    <w:rsid w:val="00A9134C"/>
    <w:rsid w:val="00A918BC"/>
    <w:rsid w:val="00A91EA9"/>
    <w:rsid w:val="00A92E52"/>
    <w:rsid w:val="00A93051"/>
    <w:rsid w:val="00A9367F"/>
    <w:rsid w:val="00A93695"/>
    <w:rsid w:val="00A93CA7"/>
    <w:rsid w:val="00A943E5"/>
    <w:rsid w:val="00A94641"/>
    <w:rsid w:val="00A95D2F"/>
    <w:rsid w:val="00A96348"/>
    <w:rsid w:val="00A97A65"/>
    <w:rsid w:val="00AA0061"/>
    <w:rsid w:val="00AA06F4"/>
    <w:rsid w:val="00AA1ED5"/>
    <w:rsid w:val="00AA21E9"/>
    <w:rsid w:val="00AA45ED"/>
    <w:rsid w:val="00AA497E"/>
    <w:rsid w:val="00AA4DFE"/>
    <w:rsid w:val="00AA4ED3"/>
    <w:rsid w:val="00AA5598"/>
    <w:rsid w:val="00AA5988"/>
    <w:rsid w:val="00AA6498"/>
    <w:rsid w:val="00AA7C0D"/>
    <w:rsid w:val="00AA7F7E"/>
    <w:rsid w:val="00AB0BDF"/>
    <w:rsid w:val="00AB0F76"/>
    <w:rsid w:val="00AB1864"/>
    <w:rsid w:val="00AB1AA3"/>
    <w:rsid w:val="00AB2A56"/>
    <w:rsid w:val="00AB411B"/>
    <w:rsid w:val="00AB4D36"/>
    <w:rsid w:val="00AB554D"/>
    <w:rsid w:val="00AB66C7"/>
    <w:rsid w:val="00AB6912"/>
    <w:rsid w:val="00AB6A42"/>
    <w:rsid w:val="00AB7875"/>
    <w:rsid w:val="00AC0072"/>
    <w:rsid w:val="00AC037E"/>
    <w:rsid w:val="00AC0B0D"/>
    <w:rsid w:val="00AC11D3"/>
    <w:rsid w:val="00AC1958"/>
    <w:rsid w:val="00AC1C93"/>
    <w:rsid w:val="00AC2055"/>
    <w:rsid w:val="00AC34D5"/>
    <w:rsid w:val="00AC3F86"/>
    <w:rsid w:val="00AC424B"/>
    <w:rsid w:val="00AC4307"/>
    <w:rsid w:val="00AC45CB"/>
    <w:rsid w:val="00AC4E1B"/>
    <w:rsid w:val="00AC5A0B"/>
    <w:rsid w:val="00AC68EE"/>
    <w:rsid w:val="00AC74DE"/>
    <w:rsid w:val="00AC78E6"/>
    <w:rsid w:val="00AD2CB0"/>
    <w:rsid w:val="00AD33F7"/>
    <w:rsid w:val="00AD3419"/>
    <w:rsid w:val="00AD3467"/>
    <w:rsid w:val="00AD5227"/>
    <w:rsid w:val="00AD533E"/>
    <w:rsid w:val="00AD5CD4"/>
    <w:rsid w:val="00AD6AAA"/>
    <w:rsid w:val="00AD71E0"/>
    <w:rsid w:val="00AE025A"/>
    <w:rsid w:val="00AE06C6"/>
    <w:rsid w:val="00AE07D3"/>
    <w:rsid w:val="00AE0D52"/>
    <w:rsid w:val="00AE0E53"/>
    <w:rsid w:val="00AE1120"/>
    <w:rsid w:val="00AE17D9"/>
    <w:rsid w:val="00AE1EF1"/>
    <w:rsid w:val="00AE239C"/>
    <w:rsid w:val="00AE281E"/>
    <w:rsid w:val="00AE3974"/>
    <w:rsid w:val="00AE40DB"/>
    <w:rsid w:val="00AE441F"/>
    <w:rsid w:val="00AE4D06"/>
    <w:rsid w:val="00AE5011"/>
    <w:rsid w:val="00AE524D"/>
    <w:rsid w:val="00AE5423"/>
    <w:rsid w:val="00AE557A"/>
    <w:rsid w:val="00AE5BB9"/>
    <w:rsid w:val="00AE6608"/>
    <w:rsid w:val="00AE7832"/>
    <w:rsid w:val="00AE7E95"/>
    <w:rsid w:val="00AF0444"/>
    <w:rsid w:val="00AF086A"/>
    <w:rsid w:val="00AF14DE"/>
    <w:rsid w:val="00AF17DC"/>
    <w:rsid w:val="00AF1DB0"/>
    <w:rsid w:val="00AF2354"/>
    <w:rsid w:val="00AF2732"/>
    <w:rsid w:val="00AF2947"/>
    <w:rsid w:val="00AF2D17"/>
    <w:rsid w:val="00AF2EF1"/>
    <w:rsid w:val="00AF2F9F"/>
    <w:rsid w:val="00AF33DF"/>
    <w:rsid w:val="00AF3775"/>
    <w:rsid w:val="00AF3B9D"/>
    <w:rsid w:val="00AF3E5E"/>
    <w:rsid w:val="00AF3F36"/>
    <w:rsid w:val="00AF46C4"/>
    <w:rsid w:val="00AF6A75"/>
    <w:rsid w:val="00B01997"/>
    <w:rsid w:val="00B01F7E"/>
    <w:rsid w:val="00B0247A"/>
    <w:rsid w:val="00B032BA"/>
    <w:rsid w:val="00B03378"/>
    <w:rsid w:val="00B038C4"/>
    <w:rsid w:val="00B0518E"/>
    <w:rsid w:val="00B053DF"/>
    <w:rsid w:val="00B05416"/>
    <w:rsid w:val="00B05660"/>
    <w:rsid w:val="00B0609D"/>
    <w:rsid w:val="00B0637C"/>
    <w:rsid w:val="00B0728B"/>
    <w:rsid w:val="00B07468"/>
    <w:rsid w:val="00B07CD8"/>
    <w:rsid w:val="00B10653"/>
    <w:rsid w:val="00B11594"/>
    <w:rsid w:val="00B118B9"/>
    <w:rsid w:val="00B1241F"/>
    <w:rsid w:val="00B15857"/>
    <w:rsid w:val="00B16C2A"/>
    <w:rsid w:val="00B17BD3"/>
    <w:rsid w:val="00B204A6"/>
    <w:rsid w:val="00B20A42"/>
    <w:rsid w:val="00B21865"/>
    <w:rsid w:val="00B21D80"/>
    <w:rsid w:val="00B22206"/>
    <w:rsid w:val="00B2284E"/>
    <w:rsid w:val="00B23047"/>
    <w:rsid w:val="00B23413"/>
    <w:rsid w:val="00B23AA5"/>
    <w:rsid w:val="00B23B52"/>
    <w:rsid w:val="00B256D6"/>
    <w:rsid w:val="00B25784"/>
    <w:rsid w:val="00B258C9"/>
    <w:rsid w:val="00B259F9"/>
    <w:rsid w:val="00B25E03"/>
    <w:rsid w:val="00B25F33"/>
    <w:rsid w:val="00B26851"/>
    <w:rsid w:val="00B306EE"/>
    <w:rsid w:val="00B3087D"/>
    <w:rsid w:val="00B30AA9"/>
    <w:rsid w:val="00B30F35"/>
    <w:rsid w:val="00B3121B"/>
    <w:rsid w:val="00B3133D"/>
    <w:rsid w:val="00B314F8"/>
    <w:rsid w:val="00B31D64"/>
    <w:rsid w:val="00B346C0"/>
    <w:rsid w:val="00B34794"/>
    <w:rsid w:val="00B34A32"/>
    <w:rsid w:val="00B34E5B"/>
    <w:rsid w:val="00B351BF"/>
    <w:rsid w:val="00B35F7A"/>
    <w:rsid w:val="00B3736D"/>
    <w:rsid w:val="00B377D2"/>
    <w:rsid w:val="00B4028F"/>
    <w:rsid w:val="00B40364"/>
    <w:rsid w:val="00B41F6A"/>
    <w:rsid w:val="00B4255A"/>
    <w:rsid w:val="00B436F4"/>
    <w:rsid w:val="00B4387F"/>
    <w:rsid w:val="00B43E7E"/>
    <w:rsid w:val="00B44665"/>
    <w:rsid w:val="00B44E58"/>
    <w:rsid w:val="00B45FFD"/>
    <w:rsid w:val="00B4748A"/>
    <w:rsid w:val="00B5044D"/>
    <w:rsid w:val="00B50473"/>
    <w:rsid w:val="00B51D01"/>
    <w:rsid w:val="00B52399"/>
    <w:rsid w:val="00B526DA"/>
    <w:rsid w:val="00B5294C"/>
    <w:rsid w:val="00B53899"/>
    <w:rsid w:val="00B53AED"/>
    <w:rsid w:val="00B5465A"/>
    <w:rsid w:val="00B5480F"/>
    <w:rsid w:val="00B56CA6"/>
    <w:rsid w:val="00B56D24"/>
    <w:rsid w:val="00B57F9C"/>
    <w:rsid w:val="00B6016C"/>
    <w:rsid w:val="00B60421"/>
    <w:rsid w:val="00B62123"/>
    <w:rsid w:val="00B62BC2"/>
    <w:rsid w:val="00B62FCF"/>
    <w:rsid w:val="00B634FB"/>
    <w:rsid w:val="00B63506"/>
    <w:rsid w:val="00B63D3E"/>
    <w:rsid w:val="00B63FCF"/>
    <w:rsid w:val="00B654C7"/>
    <w:rsid w:val="00B66013"/>
    <w:rsid w:val="00B66F94"/>
    <w:rsid w:val="00B674BE"/>
    <w:rsid w:val="00B7009E"/>
    <w:rsid w:val="00B70788"/>
    <w:rsid w:val="00B70C1A"/>
    <w:rsid w:val="00B70D78"/>
    <w:rsid w:val="00B7155D"/>
    <w:rsid w:val="00B71C50"/>
    <w:rsid w:val="00B729E3"/>
    <w:rsid w:val="00B72D29"/>
    <w:rsid w:val="00B72F23"/>
    <w:rsid w:val="00B7346C"/>
    <w:rsid w:val="00B747E5"/>
    <w:rsid w:val="00B74C96"/>
    <w:rsid w:val="00B74FF7"/>
    <w:rsid w:val="00B758CA"/>
    <w:rsid w:val="00B7595E"/>
    <w:rsid w:val="00B75DC2"/>
    <w:rsid w:val="00B75DF3"/>
    <w:rsid w:val="00B75FAA"/>
    <w:rsid w:val="00B76984"/>
    <w:rsid w:val="00B801D7"/>
    <w:rsid w:val="00B80698"/>
    <w:rsid w:val="00B80B83"/>
    <w:rsid w:val="00B81196"/>
    <w:rsid w:val="00B81E8E"/>
    <w:rsid w:val="00B81EB6"/>
    <w:rsid w:val="00B820A3"/>
    <w:rsid w:val="00B8234E"/>
    <w:rsid w:val="00B826E6"/>
    <w:rsid w:val="00B82761"/>
    <w:rsid w:val="00B828F5"/>
    <w:rsid w:val="00B83072"/>
    <w:rsid w:val="00B83E9A"/>
    <w:rsid w:val="00B8651E"/>
    <w:rsid w:val="00B86B40"/>
    <w:rsid w:val="00B86BB5"/>
    <w:rsid w:val="00B8755F"/>
    <w:rsid w:val="00B87E54"/>
    <w:rsid w:val="00B9013E"/>
    <w:rsid w:val="00B9036C"/>
    <w:rsid w:val="00B91972"/>
    <w:rsid w:val="00B92C9F"/>
    <w:rsid w:val="00B92D9E"/>
    <w:rsid w:val="00B933AF"/>
    <w:rsid w:val="00B93AC8"/>
    <w:rsid w:val="00B93F5F"/>
    <w:rsid w:val="00B940C6"/>
    <w:rsid w:val="00B944AD"/>
    <w:rsid w:val="00B947F5"/>
    <w:rsid w:val="00B94F01"/>
    <w:rsid w:val="00B952CB"/>
    <w:rsid w:val="00B95CB5"/>
    <w:rsid w:val="00B965EE"/>
    <w:rsid w:val="00B97319"/>
    <w:rsid w:val="00BA1937"/>
    <w:rsid w:val="00BA1EAE"/>
    <w:rsid w:val="00BA2329"/>
    <w:rsid w:val="00BA2475"/>
    <w:rsid w:val="00BA3A49"/>
    <w:rsid w:val="00BA4231"/>
    <w:rsid w:val="00BA4649"/>
    <w:rsid w:val="00BA536D"/>
    <w:rsid w:val="00BA69AC"/>
    <w:rsid w:val="00BA6A01"/>
    <w:rsid w:val="00BA744F"/>
    <w:rsid w:val="00BA75E3"/>
    <w:rsid w:val="00BB013F"/>
    <w:rsid w:val="00BB0243"/>
    <w:rsid w:val="00BB092B"/>
    <w:rsid w:val="00BB0D0A"/>
    <w:rsid w:val="00BB11BE"/>
    <w:rsid w:val="00BB1A29"/>
    <w:rsid w:val="00BB2412"/>
    <w:rsid w:val="00BB3864"/>
    <w:rsid w:val="00BB3C2F"/>
    <w:rsid w:val="00BB3D92"/>
    <w:rsid w:val="00BB3E3C"/>
    <w:rsid w:val="00BB42CD"/>
    <w:rsid w:val="00BB4918"/>
    <w:rsid w:val="00BB6391"/>
    <w:rsid w:val="00BB6FED"/>
    <w:rsid w:val="00BB746F"/>
    <w:rsid w:val="00BB771D"/>
    <w:rsid w:val="00BB7D5D"/>
    <w:rsid w:val="00BC0D80"/>
    <w:rsid w:val="00BC102F"/>
    <w:rsid w:val="00BC36C7"/>
    <w:rsid w:val="00BC3791"/>
    <w:rsid w:val="00BC77A7"/>
    <w:rsid w:val="00BC77D0"/>
    <w:rsid w:val="00BD0E25"/>
    <w:rsid w:val="00BD1534"/>
    <w:rsid w:val="00BD27FA"/>
    <w:rsid w:val="00BD2888"/>
    <w:rsid w:val="00BD2D4E"/>
    <w:rsid w:val="00BD3F1A"/>
    <w:rsid w:val="00BD4AC8"/>
    <w:rsid w:val="00BD4BAC"/>
    <w:rsid w:val="00BD4D5A"/>
    <w:rsid w:val="00BD4DD1"/>
    <w:rsid w:val="00BD5738"/>
    <w:rsid w:val="00BD5835"/>
    <w:rsid w:val="00BD594D"/>
    <w:rsid w:val="00BD5E4E"/>
    <w:rsid w:val="00BD5E98"/>
    <w:rsid w:val="00BD6332"/>
    <w:rsid w:val="00BD693E"/>
    <w:rsid w:val="00BD790C"/>
    <w:rsid w:val="00BE137A"/>
    <w:rsid w:val="00BE1422"/>
    <w:rsid w:val="00BE4193"/>
    <w:rsid w:val="00BE4E7A"/>
    <w:rsid w:val="00BE50B8"/>
    <w:rsid w:val="00BE5120"/>
    <w:rsid w:val="00BE6101"/>
    <w:rsid w:val="00BE6D28"/>
    <w:rsid w:val="00BE7153"/>
    <w:rsid w:val="00BF0A9B"/>
    <w:rsid w:val="00BF2396"/>
    <w:rsid w:val="00BF2474"/>
    <w:rsid w:val="00BF2A7F"/>
    <w:rsid w:val="00BF3273"/>
    <w:rsid w:val="00BF4120"/>
    <w:rsid w:val="00BF4802"/>
    <w:rsid w:val="00BF4B6E"/>
    <w:rsid w:val="00BF4EC4"/>
    <w:rsid w:val="00BF624F"/>
    <w:rsid w:val="00BF70BD"/>
    <w:rsid w:val="00C022D3"/>
    <w:rsid w:val="00C0321A"/>
    <w:rsid w:val="00C0370E"/>
    <w:rsid w:val="00C04724"/>
    <w:rsid w:val="00C055D5"/>
    <w:rsid w:val="00C05A66"/>
    <w:rsid w:val="00C06697"/>
    <w:rsid w:val="00C07CB1"/>
    <w:rsid w:val="00C07F03"/>
    <w:rsid w:val="00C07F3D"/>
    <w:rsid w:val="00C10796"/>
    <w:rsid w:val="00C107C2"/>
    <w:rsid w:val="00C10B5F"/>
    <w:rsid w:val="00C125EE"/>
    <w:rsid w:val="00C12CD1"/>
    <w:rsid w:val="00C12F95"/>
    <w:rsid w:val="00C13D1D"/>
    <w:rsid w:val="00C14229"/>
    <w:rsid w:val="00C14FFB"/>
    <w:rsid w:val="00C151C8"/>
    <w:rsid w:val="00C1672A"/>
    <w:rsid w:val="00C16CE0"/>
    <w:rsid w:val="00C175D1"/>
    <w:rsid w:val="00C2104E"/>
    <w:rsid w:val="00C21576"/>
    <w:rsid w:val="00C22067"/>
    <w:rsid w:val="00C224D0"/>
    <w:rsid w:val="00C22836"/>
    <w:rsid w:val="00C2370D"/>
    <w:rsid w:val="00C23787"/>
    <w:rsid w:val="00C241F3"/>
    <w:rsid w:val="00C24BC9"/>
    <w:rsid w:val="00C25303"/>
    <w:rsid w:val="00C253FB"/>
    <w:rsid w:val="00C2601D"/>
    <w:rsid w:val="00C26913"/>
    <w:rsid w:val="00C26DC4"/>
    <w:rsid w:val="00C27468"/>
    <w:rsid w:val="00C277A8"/>
    <w:rsid w:val="00C27C37"/>
    <w:rsid w:val="00C27D26"/>
    <w:rsid w:val="00C3007B"/>
    <w:rsid w:val="00C30645"/>
    <w:rsid w:val="00C3081D"/>
    <w:rsid w:val="00C3132A"/>
    <w:rsid w:val="00C34663"/>
    <w:rsid w:val="00C3471B"/>
    <w:rsid w:val="00C347ED"/>
    <w:rsid w:val="00C3498A"/>
    <w:rsid w:val="00C35E25"/>
    <w:rsid w:val="00C35FB6"/>
    <w:rsid w:val="00C3624F"/>
    <w:rsid w:val="00C36E77"/>
    <w:rsid w:val="00C40412"/>
    <w:rsid w:val="00C40AAB"/>
    <w:rsid w:val="00C4207F"/>
    <w:rsid w:val="00C42363"/>
    <w:rsid w:val="00C426DF"/>
    <w:rsid w:val="00C42721"/>
    <w:rsid w:val="00C43D7B"/>
    <w:rsid w:val="00C441E0"/>
    <w:rsid w:val="00C448FB"/>
    <w:rsid w:val="00C44C3B"/>
    <w:rsid w:val="00C44F44"/>
    <w:rsid w:val="00C4504F"/>
    <w:rsid w:val="00C451B6"/>
    <w:rsid w:val="00C451C5"/>
    <w:rsid w:val="00C45475"/>
    <w:rsid w:val="00C456C7"/>
    <w:rsid w:val="00C4592C"/>
    <w:rsid w:val="00C45B79"/>
    <w:rsid w:val="00C45E40"/>
    <w:rsid w:val="00C45FAC"/>
    <w:rsid w:val="00C468E5"/>
    <w:rsid w:val="00C51416"/>
    <w:rsid w:val="00C52EA7"/>
    <w:rsid w:val="00C5330A"/>
    <w:rsid w:val="00C53370"/>
    <w:rsid w:val="00C53379"/>
    <w:rsid w:val="00C53825"/>
    <w:rsid w:val="00C54186"/>
    <w:rsid w:val="00C54DD9"/>
    <w:rsid w:val="00C559BB"/>
    <w:rsid w:val="00C57695"/>
    <w:rsid w:val="00C57877"/>
    <w:rsid w:val="00C57CDE"/>
    <w:rsid w:val="00C6006E"/>
    <w:rsid w:val="00C61324"/>
    <w:rsid w:val="00C61766"/>
    <w:rsid w:val="00C619F5"/>
    <w:rsid w:val="00C61F2D"/>
    <w:rsid w:val="00C61F5B"/>
    <w:rsid w:val="00C61FC6"/>
    <w:rsid w:val="00C6320E"/>
    <w:rsid w:val="00C63A6F"/>
    <w:rsid w:val="00C647E5"/>
    <w:rsid w:val="00C64F90"/>
    <w:rsid w:val="00C652A0"/>
    <w:rsid w:val="00C652A4"/>
    <w:rsid w:val="00C66669"/>
    <w:rsid w:val="00C66935"/>
    <w:rsid w:val="00C67C11"/>
    <w:rsid w:val="00C701C6"/>
    <w:rsid w:val="00C70310"/>
    <w:rsid w:val="00C707A2"/>
    <w:rsid w:val="00C72302"/>
    <w:rsid w:val="00C72EAF"/>
    <w:rsid w:val="00C73748"/>
    <w:rsid w:val="00C739EA"/>
    <w:rsid w:val="00C74830"/>
    <w:rsid w:val="00C75D60"/>
    <w:rsid w:val="00C75F3E"/>
    <w:rsid w:val="00C76CD5"/>
    <w:rsid w:val="00C772BC"/>
    <w:rsid w:val="00C776C4"/>
    <w:rsid w:val="00C776C7"/>
    <w:rsid w:val="00C81B90"/>
    <w:rsid w:val="00C81C58"/>
    <w:rsid w:val="00C84083"/>
    <w:rsid w:val="00C85559"/>
    <w:rsid w:val="00C86148"/>
    <w:rsid w:val="00C86D04"/>
    <w:rsid w:val="00C872D1"/>
    <w:rsid w:val="00C878D5"/>
    <w:rsid w:val="00C87B17"/>
    <w:rsid w:val="00C9033B"/>
    <w:rsid w:val="00C91335"/>
    <w:rsid w:val="00C913A1"/>
    <w:rsid w:val="00C91EAA"/>
    <w:rsid w:val="00C9203E"/>
    <w:rsid w:val="00C922C4"/>
    <w:rsid w:val="00C92562"/>
    <w:rsid w:val="00C92C48"/>
    <w:rsid w:val="00C93264"/>
    <w:rsid w:val="00C93A8F"/>
    <w:rsid w:val="00C93D4D"/>
    <w:rsid w:val="00C93EAF"/>
    <w:rsid w:val="00C940EA"/>
    <w:rsid w:val="00C9491C"/>
    <w:rsid w:val="00C9584A"/>
    <w:rsid w:val="00C96245"/>
    <w:rsid w:val="00C963C8"/>
    <w:rsid w:val="00C977A8"/>
    <w:rsid w:val="00C97E0A"/>
    <w:rsid w:val="00CA1BA0"/>
    <w:rsid w:val="00CA2105"/>
    <w:rsid w:val="00CA30A8"/>
    <w:rsid w:val="00CA4195"/>
    <w:rsid w:val="00CA428B"/>
    <w:rsid w:val="00CA45B6"/>
    <w:rsid w:val="00CA4DE1"/>
    <w:rsid w:val="00CA5FED"/>
    <w:rsid w:val="00CA600D"/>
    <w:rsid w:val="00CA6787"/>
    <w:rsid w:val="00CA73BF"/>
    <w:rsid w:val="00CA7562"/>
    <w:rsid w:val="00CA7A1D"/>
    <w:rsid w:val="00CA7C4D"/>
    <w:rsid w:val="00CA7D5B"/>
    <w:rsid w:val="00CA7FE7"/>
    <w:rsid w:val="00CB0DBD"/>
    <w:rsid w:val="00CB0DE7"/>
    <w:rsid w:val="00CB0E38"/>
    <w:rsid w:val="00CB0FCB"/>
    <w:rsid w:val="00CB144C"/>
    <w:rsid w:val="00CB14FF"/>
    <w:rsid w:val="00CB1E83"/>
    <w:rsid w:val="00CB2F77"/>
    <w:rsid w:val="00CB30C4"/>
    <w:rsid w:val="00CB6048"/>
    <w:rsid w:val="00CB6AFC"/>
    <w:rsid w:val="00CB7003"/>
    <w:rsid w:val="00CC06F5"/>
    <w:rsid w:val="00CC0781"/>
    <w:rsid w:val="00CC11B1"/>
    <w:rsid w:val="00CC1B57"/>
    <w:rsid w:val="00CC27E6"/>
    <w:rsid w:val="00CC514C"/>
    <w:rsid w:val="00CC6A99"/>
    <w:rsid w:val="00CC7497"/>
    <w:rsid w:val="00CC75B8"/>
    <w:rsid w:val="00CD026E"/>
    <w:rsid w:val="00CD15E6"/>
    <w:rsid w:val="00CD1621"/>
    <w:rsid w:val="00CD1F8A"/>
    <w:rsid w:val="00CD203B"/>
    <w:rsid w:val="00CD3183"/>
    <w:rsid w:val="00CD329D"/>
    <w:rsid w:val="00CD39B6"/>
    <w:rsid w:val="00CD3DC0"/>
    <w:rsid w:val="00CD40BD"/>
    <w:rsid w:val="00CD4BF3"/>
    <w:rsid w:val="00CD71DB"/>
    <w:rsid w:val="00CD7721"/>
    <w:rsid w:val="00CD7F08"/>
    <w:rsid w:val="00CE01CC"/>
    <w:rsid w:val="00CE1536"/>
    <w:rsid w:val="00CE2C8B"/>
    <w:rsid w:val="00CE3D72"/>
    <w:rsid w:val="00CE4A1D"/>
    <w:rsid w:val="00CE4C4E"/>
    <w:rsid w:val="00CE5C26"/>
    <w:rsid w:val="00CE77DC"/>
    <w:rsid w:val="00CF023B"/>
    <w:rsid w:val="00CF0DE3"/>
    <w:rsid w:val="00CF13A0"/>
    <w:rsid w:val="00CF1B3D"/>
    <w:rsid w:val="00CF1C2E"/>
    <w:rsid w:val="00CF2812"/>
    <w:rsid w:val="00CF3935"/>
    <w:rsid w:val="00CF48F6"/>
    <w:rsid w:val="00CF4EFC"/>
    <w:rsid w:val="00CF5B2E"/>
    <w:rsid w:val="00CF6A34"/>
    <w:rsid w:val="00CF6EDA"/>
    <w:rsid w:val="00CF7896"/>
    <w:rsid w:val="00D00706"/>
    <w:rsid w:val="00D00AA3"/>
    <w:rsid w:val="00D00CE5"/>
    <w:rsid w:val="00D01C63"/>
    <w:rsid w:val="00D02092"/>
    <w:rsid w:val="00D020FB"/>
    <w:rsid w:val="00D0382F"/>
    <w:rsid w:val="00D04731"/>
    <w:rsid w:val="00D0504E"/>
    <w:rsid w:val="00D052FA"/>
    <w:rsid w:val="00D05D36"/>
    <w:rsid w:val="00D05D6F"/>
    <w:rsid w:val="00D068C8"/>
    <w:rsid w:val="00D07F73"/>
    <w:rsid w:val="00D1108C"/>
    <w:rsid w:val="00D1271F"/>
    <w:rsid w:val="00D1283D"/>
    <w:rsid w:val="00D13B6F"/>
    <w:rsid w:val="00D1454A"/>
    <w:rsid w:val="00D14844"/>
    <w:rsid w:val="00D15967"/>
    <w:rsid w:val="00D16E59"/>
    <w:rsid w:val="00D17121"/>
    <w:rsid w:val="00D17553"/>
    <w:rsid w:val="00D2041C"/>
    <w:rsid w:val="00D20B01"/>
    <w:rsid w:val="00D20F85"/>
    <w:rsid w:val="00D210C8"/>
    <w:rsid w:val="00D216DC"/>
    <w:rsid w:val="00D217B7"/>
    <w:rsid w:val="00D226BC"/>
    <w:rsid w:val="00D23320"/>
    <w:rsid w:val="00D239E0"/>
    <w:rsid w:val="00D23FF4"/>
    <w:rsid w:val="00D24156"/>
    <w:rsid w:val="00D24E93"/>
    <w:rsid w:val="00D2580F"/>
    <w:rsid w:val="00D25ADE"/>
    <w:rsid w:val="00D265BF"/>
    <w:rsid w:val="00D27C73"/>
    <w:rsid w:val="00D30D00"/>
    <w:rsid w:val="00D30E14"/>
    <w:rsid w:val="00D30FAF"/>
    <w:rsid w:val="00D320A9"/>
    <w:rsid w:val="00D326DA"/>
    <w:rsid w:val="00D32D54"/>
    <w:rsid w:val="00D32F2E"/>
    <w:rsid w:val="00D336B5"/>
    <w:rsid w:val="00D33B1B"/>
    <w:rsid w:val="00D33D53"/>
    <w:rsid w:val="00D34C82"/>
    <w:rsid w:val="00D34CBF"/>
    <w:rsid w:val="00D34D5A"/>
    <w:rsid w:val="00D35222"/>
    <w:rsid w:val="00D35692"/>
    <w:rsid w:val="00D35B77"/>
    <w:rsid w:val="00D3612A"/>
    <w:rsid w:val="00D36A1C"/>
    <w:rsid w:val="00D36F39"/>
    <w:rsid w:val="00D374EE"/>
    <w:rsid w:val="00D416A8"/>
    <w:rsid w:val="00D4236B"/>
    <w:rsid w:val="00D43297"/>
    <w:rsid w:val="00D43419"/>
    <w:rsid w:val="00D43D8C"/>
    <w:rsid w:val="00D43F04"/>
    <w:rsid w:val="00D440DF"/>
    <w:rsid w:val="00D44DB6"/>
    <w:rsid w:val="00D45777"/>
    <w:rsid w:val="00D46109"/>
    <w:rsid w:val="00D4672A"/>
    <w:rsid w:val="00D47328"/>
    <w:rsid w:val="00D50119"/>
    <w:rsid w:val="00D50EDD"/>
    <w:rsid w:val="00D516D1"/>
    <w:rsid w:val="00D517C8"/>
    <w:rsid w:val="00D51D25"/>
    <w:rsid w:val="00D52645"/>
    <w:rsid w:val="00D537D7"/>
    <w:rsid w:val="00D53CD8"/>
    <w:rsid w:val="00D53F5B"/>
    <w:rsid w:val="00D540CC"/>
    <w:rsid w:val="00D54665"/>
    <w:rsid w:val="00D54FC0"/>
    <w:rsid w:val="00D55375"/>
    <w:rsid w:val="00D553B5"/>
    <w:rsid w:val="00D56064"/>
    <w:rsid w:val="00D569FF"/>
    <w:rsid w:val="00D56E24"/>
    <w:rsid w:val="00D57523"/>
    <w:rsid w:val="00D60899"/>
    <w:rsid w:val="00D60B78"/>
    <w:rsid w:val="00D61296"/>
    <w:rsid w:val="00D61EFB"/>
    <w:rsid w:val="00D625D4"/>
    <w:rsid w:val="00D62D95"/>
    <w:rsid w:val="00D6361D"/>
    <w:rsid w:val="00D64149"/>
    <w:rsid w:val="00D644A0"/>
    <w:rsid w:val="00D650DE"/>
    <w:rsid w:val="00D650EE"/>
    <w:rsid w:val="00D65E86"/>
    <w:rsid w:val="00D66A38"/>
    <w:rsid w:val="00D678AC"/>
    <w:rsid w:val="00D67A4B"/>
    <w:rsid w:val="00D67D69"/>
    <w:rsid w:val="00D706BE"/>
    <w:rsid w:val="00D7070E"/>
    <w:rsid w:val="00D70B78"/>
    <w:rsid w:val="00D71BFA"/>
    <w:rsid w:val="00D72B09"/>
    <w:rsid w:val="00D73B49"/>
    <w:rsid w:val="00D73FE9"/>
    <w:rsid w:val="00D752F8"/>
    <w:rsid w:val="00D75302"/>
    <w:rsid w:val="00D75D8C"/>
    <w:rsid w:val="00D760F5"/>
    <w:rsid w:val="00D7614E"/>
    <w:rsid w:val="00D76B60"/>
    <w:rsid w:val="00D772B1"/>
    <w:rsid w:val="00D77C02"/>
    <w:rsid w:val="00D818AC"/>
    <w:rsid w:val="00D82A43"/>
    <w:rsid w:val="00D83027"/>
    <w:rsid w:val="00D8337A"/>
    <w:rsid w:val="00D835B3"/>
    <w:rsid w:val="00D83AE4"/>
    <w:rsid w:val="00D846D4"/>
    <w:rsid w:val="00D84A2B"/>
    <w:rsid w:val="00D84AB6"/>
    <w:rsid w:val="00D850D1"/>
    <w:rsid w:val="00D850DE"/>
    <w:rsid w:val="00D8618C"/>
    <w:rsid w:val="00D8683F"/>
    <w:rsid w:val="00D872A8"/>
    <w:rsid w:val="00D874EF"/>
    <w:rsid w:val="00D875EC"/>
    <w:rsid w:val="00D8778F"/>
    <w:rsid w:val="00D87A19"/>
    <w:rsid w:val="00D87A35"/>
    <w:rsid w:val="00D90132"/>
    <w:rsid w:val="00D90D8D"/>
    <w:rsid w:val="00D9204C"/>
    <w:rsid w:val="00D93380"/>
    <w:rsid w:val="00D935BF"/>
    <w:rsid w:val="00D93759"/>
    <w:rsid w:val="00D942C9"/>
    <w:rsid w:val="00D94658"/>
    <w:rsid w:val="00D946BE"/>
    <w:rsid w:val="00D94AF7"/>
    <w:rsid w:val="00D94B7B"/>
    <w:rsid w:val="00D94BD0"/>
    <w:rsid w:val="00D97601"/>
    <w:rsid w:val="00D976BC"/>
    <w:rsid w:val="00D978DE"/>
    <w:rsid w:val="00D9799A"/>
    <w:rsid w:val="00D97E3F"/>
    <w:rsid w:val="00D97E5D"/>
    <w:rsid w:val="00DA0FE9"/>
    <w:rsid w:val="00DA1CE9"/>
    <w:rsid w:val="00DA3D0F"/>
    <w:rsid w:val="00DA451D"/>
    <w:rsid w:val="00DA453B"/>
    <w:rsid w:val="00DA4A81"/>
    <w:rsid w:val="00DA53B1"/>
    <w:rsid w:val="00DA59D7"/>
    <w:rsid w:val="00DA6D9A"/>
    <w:rsid w:val="00DA707C"/>
    <w:rsid w:val="00DA746D"/>
    <w:rsid w:val="00DA7B5D"/>
    <w:rsid w:val="00DA7FC0"/>
    <w:rsid w:val="00DB0CD6"/>
    <w:rsid w:val="00DB1640"/>
    <w:rsid w:val="00DB221A"/>
    <w:rsid w:val="00DB26EB"/>
    <w:rsid w:val="00DB2853"/>
    <w:rsid w:val="00DB2875"/>
    <w:rsid w:val="00DB29B0"/>
    <w:rsid w:val="00DB3817"/>
    <w:rsid w:val="00DB4129"/>
    <w:rsid w:val="00DB617E"/>
    <w:rsid w:val="00DB6EC1"/>
    <w:rsid w:val="00DC041C"/>
    <w:rsid w:val="00DC12DE"/>
    <w:rsid w:val="00DC13B4"/>
    <w:rsid w:val="00DC2398"/>
    <w:rsid w:val="00DC2628"/>
    <w:rsid w:val="00DC292A"/>
    <w:rsid w:val="00DC2AFB"/>
    <w:rsid w:val="00DC34DD"/>
    <w:rsid w:val="00DC453B"/>
    <w:rsid w:val="00DC5328"/>
    <w:rsid w:val="00DC5C8E"/>
    <w:rsid w:val="00DC69EB"/>
    <w:rsid w:val="00DD16FA"/>
    <w:rsid w:val="00DD180C"/>
    <w:rsid w:val="00DD1D00"/>
    <w:rsid w:val="00DD22CF"/>
    <w:rsid w:val="00DD25B2"/>
    <w:rsid w:val="00DD2EFD"/>
    <w:rsid w:val="00DD3B32"/>
    <w:rsid w:val="00DD4727"/>
    <w:rsid w:val="00DD4A48"/>
    <w:rsid w:val="00DD4E06"/>
    <w:rsid w:val="00DD5285"/>
    <w:rsid w:val="00DD5863"/>
    <w:rsid w:val="00DD77A0"/>
    <w:rsid w:val="00DE0E59"/>
    <w:rsid w:val="00DE1350"/>
    <w:rsid w:val="00DE143D"/>
    <w:rsid w:val="00DE1566"/>
    <w:rsid w:val="00DE192D"/>
    <w:rsid w:val="00DE28BA"/>
    <w:rsid w:val="00DE2B90"/>
    <w:rsid w:val="00DE2E4E"/>
    <w:rsid w:val="00DE34F3"/>
    <w:rsid w:val="00DE38DB"/>
    <w:rsid w:val="00DE3B9C"/>
    <w:rsid w:val="00DE4262"/>
    <w:rsid w:val="00DE42B8"/>
    <w:rsid w:val="00DE47E6"/>
    <w:rsid w:val="00DE7A2F"/>
    <w:rsid w:val="00DF1A89"/>
    <w:rsid w:val="00DF2EA3"/>
    <w:rsid w:val="00DF3338"/>
    <w:rsid w:val="00DF3483"/>
    <w:rsid w:val="00DF3D51"/>
    <w:rsid w:val="00DF58E7"/>
    <w:rsid w:val="00DF590A"/>
    <w:rsid w:val="00DF71F8"/>
    <w:rsid w:val="00DF7F56"/>
    <w:rsid w:val="00E0000C"/>
    <w:rsid w:val="00E003E8"/>
    <w:rsid w:val="00E01822"/>
    <w:rsid w:val="00E0250F"/>
    <w:rsid w:val="00E02B8D"/>
    <w:rsid w:val="00E02EDE"/>
    <w:rsid w:val="00E03240"/>
    <w:rsid w:val="00E04C2F"/>
    <w:rsid w:val="00E056D6"/>
    <w:rsid w:val="00E05F5C"/>
    <w:rsid w:val="00E06B5B"/>
    <w:rsid w:val="00E073A1"/>
    <w:rsid w:val="00E07C03"/>
    <w:rsid w:val="00E10064"/>
    <w:rsid w:val="00E10262"/>
    <w:rsid w:val="00E1083A"/>
    <w:rsid w:val="00E10B8E"/>
    <w:rsid w:val="00E11415"/>
    <w:rsid w:val="00E11876"/>
    <w:rsid w:val="00E11EAA"/>
    <w:rsid w:val="00E121F2"/>
    <w:rsid w:val="00E129A7"/>
    <w:rsid w:val="00E12A22"/>
    <w:rsid w:val="00E12AD8"/>
    <w:rsid w:val="00E15085"/>
    <w:rsid w:val="00E15D06"/>
    <w:rsid w:val="00E16081"/>
    <w:rsid w:val="00E16836"/>
    <w:rsid w:val="00E168FE"/>
    <w:rsid w:val="00E17128"/>
    <w:rsid w:val="00E17CB1"/>
    <w:rsid w:val="00E2018E"/>
    <w:rsid w:val="00E20772"/>
    <w:rsid w:val="00E20FF7"/>
    <w:rsid w:val="00E21578"/>
    <w:rsid w:val="00E21D4A"/>
    <w:rsid w:val="00E221CA"/>
    <w:rsid w:val="00E2278E"/>
    <w:rsid w:val="00E22E54"/>
    <w:rsid w:val="00E23BD2"/>
    <w:rsid w:val="00E23CBB"/>
    <w:rsid w:val="00E2411B"/>
    <w:rsid w:val="00E24143"/>
    <w:rsid w:val="00E244E4"/>
    <w:rsid w:val="00E24700"/>
    <w:rsid w:val="00E24C8B"/>
    <w:rsid w:val="00E24E16"/>
    <w:rsid w:val="00E25695"/>
    <w:rsid w:val="00E25C69"/>
    <w:rsid w:val="00E25E6C"/>
    <w:rsid w:val="00E26342"/>
    <w:rsid w:val="00E26A04"/>
    <w:rsid w:val="00E27956"/>
    <w:rsid w:val="00E27975"/>
    <w:rsid w:val="00E27A2E"/>
    <w:rsid w:val="00E27AE8"/>
    <w:rsid w:val="00E30132"/>
    <w:rsid w:val="00E315C9"/>
    <w:rsid w:val="00E31896"/>
    <w:rsid w:val="00E319D4"/>
    <w:rsid w:val="00E31C98"/>
    <w:rsid w:val="00E32F21"/>
    <w:rsid w:val="00E32FBF"/>
    <w:rsid w:val="00E33577"/>
    <w:rsid w:val="00E33D94"/>
    <w:rsid w:val="00E35759"/>
    <w:rsid w:val="00E37749"/>
    <w:rsid w:val="00E37B59"/>
    <w:rsid w:val="00E40C3B"/>
    <w:rsid w:val="00E40EC1"/>
    <w:rsid w:val="00E40FD3"/>
    <w:rsid w:val="00E41082"/>
    <w:rsid w:val="00E4110A"/>
    <w:rsid w:val="00E419F3"/>
    <w:rsid w:val="00E421FA"/>
    <w:rsid w:val="00E42E08"/>
    <w:rsid w:val="00E43033"/>
    <w:rsid w:val="00E446B3"/>
    <w:rsid w:val="00E44765"/>
    <w:rsid w:val="00E45364"/>
    <w:rsid w:val="00E45AA9"/>
    <w:rsid w:val="00E46300"/>
    <w:rsid w:val="00E464FA"/>
    <w:rsid w:val="00E465AB"/>
    <w:rsid w:val="00E46A77"/>
    <w:rsid w:val="00E46E5A"/>
    <w:rsid w:val="00E474E8"/>
    <w:rsid w:val="00E47FF5"/>
    <w:rsid w:val="00E50190"/>
    <w:rsid w:val="00E5112F"/>
    <w:rsid w:val="00E513DE"/>
    <w:rsid w:val="00E51D7C"/>
    <w:rsid w:val="00E53438"/>
    <w:rsid w:val="00E5370D"/>
    <w:rsid w:val="00E53DC6"/>
    <w:rsid w:val="00E547FD"/>
    <w:rsid w:val="00E54E69"/>
    <w:rsid w:val="00E554DF"/>
    <w:rsid w:val="00E5625F"/>
    <w:rsid w:val="00E60D10"/>
    <w:rsid w:val="00E60D9D"/>
    <w:rsid w:val="00E6132D"/>
    <w:rsid w:val="00E61DDD"/>
    <w:rsid w:val="00E62DA3"/>
    <w:rsid w:val="00E63388"/>
    <w:rsid w:val="00E63A3E"/>
    <w:rsid w:val="00E63FE5"/>
    <w:rsid w:val="00E6463F"/>
    <w:rsid w:val="00E664F7"/>
    <w:rsid w:val="00E665E8"/>
    <w:rsid w:val="00E6685B"/>
    <w:rsid w:val="00E66AAD"/>
    <w:rsid w:val="00E66D5B"/>
    <w:rsid w:val="00E67984"/>
    <w:rsid w:val="00E70007"/>
    <w:rsid w:val="00E70170"/>
    <w:rsid w:val="00E706E2"/>
    <w:rsid w:val="00E709B8"/>
    <w:rsid w:val="00E70D1A"/>
    <w:rsid w:val="00E713DC"/>
    <w:rsid w:val="00E71430"/>
    <w:rsid w:val="00E719E4"/>
    <w:rsid w:val="00E71D01"/>
    <w:rsid w:val="00E71FF3"/>
    <w:rsid w:val="00E725FC"/>
    <w:rsid w:val="00E7268B"/>
    <w:rsid w:val="00E72DF7"/>
    <w:rsid w:val="00E74B23"/>
    <w:rsid w:val="00E74F32"/>
    <w:rsid w:val="00E74F4B"/>
    <w:rsid w:val="00E750F3"/>
    <w:rsid w:val="00E755AA"/>
    <w:rsid w:val="00E75A70"/>
    <w:rsid w:val="00E75F79"/>
    <w:rsid w:val="00E779D8"/>
    <w:rsid w:val="00E77E32"/>
    <w:rsid w:val="00E8178D"/>
    <w:rsid w:val="00E823D1"/>
    <w:rsid w:val="00E82404"/>
    <w:rsid w:val="00E82B95"/>
    <w:rsid w:val="00E82DDF"/>
    <w:rsid w:val="00E84B70"/>
    <w:rsid w:val="00E84E68"/>
    <w:rsid w:val="00E8528B"/>
    <w:rsid w:val="00E857EC"/>
    <w:rsid w:val="00E86342"/>
    <w:rsid w:val="00E8733D"/>
    <w:rsid w:val="00E901C1"/>
    <w:rsid w:val="00E9058E"/>
    <w:rsid w:val="00E9098C"/>
    <w:rsid w:val="00E90BCE"/>
    <w:rsid w:val="00E90D7E"/>
    <w:rsid w:val="00E90EC6"/>
    <w:rsid w:val="00E91C73"/>
    <w:rsid w:val="00E9202F"/>
    <w:rsid w:val="00E9203E"/>
    <w:rsid w:val="00E922B2"/>
    <w:rsid w:val="00E92911"/>
    <w:rsid w:val="00E92DDF"/>
    <w:rsid w:val="00E94426"/>
    <w:rsid w:val="00E950DE"/>
    <w:rsid w:val="00E95118"/>
    <w:rsid w:val="00E955D9"/>
    <w:rsid w:val="00EA06E2"/>
    <w:rsid w:val="00EA09E8"/>
    <w:rsid w:val="00EA0B93"/>
    <w:rsid w:val="00EA118A"/>
    <w:rsid w:val="00EA1C6E"/>
    <w:rsid w:val="00EA28A0"/>
    <w:rsid w:val="00EA36C6"/>
    <w:rsid w:val="00EA4423"/>
    <w:rsid w:val="00EA4536"/>
    <w:rsid w:val="00EA4CBB"/>
    <w:rsid w:val="00EA50B3"/>
    <w:rsid w:val="00EA5324"/>
    <w:rsid w:val="00EA619C"/>
    <w:rsid w:val="00EA69EA"/>
    <w:rsid w:val="00EA722B"/>
    <w:rsid w:val="00EB00F7"/>
    <w:rsid w:val="00EB03EF"/>
    <w:rsid w:val="00EB09B2"/>
    <w:rsid w:val="00EB10DF"/>
    <w:rsid w:val="00EB1388"/>
    <w:rsid w:val="00EB1FEF"/>
    <w:rsid w:val="00EB28CA"/>
    <w:rsid w:val="00EB35F8"/>
    <w:rsid w:val="00EB4545"/>
    <w:rsid w:val="00EB59A7"/>
    <w:rsid w:val="00EB5C4C"/>
    <w:rsid w:val="00EB6045"/>
    <w:rsid w:val="00EB696C"/>
    <w:rsid w:val="00EB7DA2"/>
    <w:rsid w:val="00EB7DE9"/>
    <w:rsid w:val="00EC0562"/>
    <w:rsid w:val="00EC0588"/>
    <w:rsid w:val="00EC0A01"/>
    <w:rsid w:val="00EC1455"/>
    <w:rsid w:val="00EC1868"/>
    <w:rsid w:val="00EC2EF1"/>
    <w:rsid w:val="00EC30F9"/>
    <w:rsid w:val="00EC358C"/>
    <w:rsid w:val="00EC41B1"/>
    <w:rsid w:val="00EC65F2"/>
    <w:rsid w:val="00EC6C8F"/>
    <w:rsid w:val="00EC76A7"/>
    <w:rsid w:val="00EC7850"/>
    <w:rsid w:val="00ED0B9F"/>
    <w:rsid w:val="00ED113E"/>
    <w:rsid w:val="00ED14F2"/>
    <w:rsid w:val="00ED2017"/>
    <w:rsid w:val="00ED2723"/>
    <w:rsid w:val="00ED2B85"/>
    <w:rsid w:val="00ED316A"/>
    <w:rsid w:val="00ED398B"/>
    <w:rsid w:val="00ED3D92"/>
    <w:rsid w:val="00ED4920"/>
    <w:rsid w:val="00ED49C0"/>
    <w:rsid w:val="00ED4E10"/>
    <w:rsid w:val="00ED5725"/>
    <w:rsid w:val="00ED6D2B"/>
    <w:rsid w:val="00ED7031"/>
    <w:rsid w:val="00ED759A"/>
    <w:rsid w:val="00EE03CE"/>
    <w:rsid w:val="00EE087C"/>
    <w:rsid w:val="00EE2A51"/>
    <w:rsid w:val="00EE3060"/>
    <w:rsid w:val="00EE3139"/>
    <w:rsid w:val="00EE335A"/>
    <w:rsid w:val="00EE3794"/>
    <w:rsid w:val="00EE37E8"/>
    <w:rsid w:val="00EE3DB8"/>
    <w:rsid w:val="00EE4315"/>
    <w:rsid w:val="00EE57E6"/>
    <w:rsid w:val="00EE5961"/>
    <w:rsid w:val="00EE59AE"/>
    <w:rsid w:val="00EE61E9"/>
    <w:rsid w:val="00EE63E1"/>
    <w:rsid w:val="00EE6473"/>
    <w:rsid w:val="00EE6F4E"/>
    <w:rsid w:val="00EF04CF"/>
    <w:rsid w:val="00EF1640"/>
    <w:rsid w:val="00EF199A"/>
    <w:rsid w:val="00EF2C39"/>
    <w:rsid w:val="00EF37BF"/>
    <w:rsid w:val="00EF3918"/>
    <w:rsid w:val="00EF434E"/>
    <w:rsid w:val="00EF4B9C"/>
    <w:rsid w:val="00EF5481"/>
    <w:rsid w:val="00EF6925"/>
    <w:rsid w:val="00EF6CBE"/>
    <w:rsid w:val="00EF6E9E"/>
    <w:rsid w:val="00EF70B6"/>
    <w:rsid w:val="00EF724A"/>
    <w:rsid w:val="00EF7EE1"/>
    <w:rsid w:val="00F00C93"/>
    <w:rsid w:val="00F0109A"/>
    <w:rsid w:val="00F0163C"/>
    <w:rsid w:val="00F02AF8"/>
    <w:rsid w:val="00F036C6"/>
    <w:rsid w:val="00F0418E"/>
    <w:rsid w:val="00F04406"/>
    <w:rsid w:val="00F0497D"/>
    <w:rsid w:val="00F04C32"/>
    <w:rsid w:val="00F05713"/>
    <w:rsid w:val="00F070F7"/>
    <w:rsid w:val="00F07BEE"/>
    <w:rsid w:val="00F07E9C"/>
    <w:rsid w:val="00F11093"/>
    <w:rsid w:val="00F138A9"/>
    <w:rsid w:val="00F1580A"/>
    <w:rsid w:val="00F15B43"/>
    <w:rsid w:val="00F15E9F"/>
    <w:rsid w:val="00F16BAA"/>
    <w:rsid w:val="00F17D75"/>
    <w:rsid w:val="00F17D83"/>
    <w:rsid w:val="00F2003E"/>
    <w:rsid w:val="00F2091F"/>
    <w:rsid w:val="00F20A9E"/>
    <w:rsid w:val="00F20CFC"/>
    <w:rsid w:val="00F20D88"/>
    <w:rsid w:val="00F21588"/>
    <w:rsid w:val="00F21A42"/>
    <w:rsid w:val="00F21DB9"/>
    <w:rsid w:val="00F23CB0"/>
    <w:rsid w:val="00F246BD"/>
    <w:rsid w:val="00F25C03"/>
    <w:rsid w:val="00F263DA"/>
    <w:rsid w:val="00F26CF7"/>
    <w:rsid w:val="00F26ED3"/>
    <w:rsid w:val="00F305E7"/>
    <w:rsid w:val="00F30BA9"/>
    <w:rsid w:val="00F322A8"/>
    <w:rsid w:val="00F33228"/>
    <w:rsid w:val="00F335A1"/>
    <w:rsid w:val="00F3441D"/>
    <w:rsid w:val="00F349B7"/>
    <w:rsid w:val="00F34B10"/>
    <w:rsid w:val="00F35000"/>
    <w:rsid w:val="00F37522"/>
    <w:rsid w:val="00F3775C"/>
    <w:rsid w:val="00F37B3A"/>
    <w:rsid w:val="00F37D11"/>
    <w:rsid w:val="00F40D61"/>
    <w:rsid w:val="00F412FF"/>
    <w:rsid w:val="00F419E1"/>
    <w:rsid w:val="00F4206A"/>
    <w:rsid w:val="00F4220A"/>
    <w:rsid w:val="00F42573"/>
    <w:rsid w:val="00F4291E"/>
    <w:rsid w:val="00F44A77"/>
    <w:rsid w:val="00F45335"/>
    <w:rsid w:val="00F463FA"/>
    <w:rsid w:val="00F50305"/>
    <w:rsid w:val="00F503AA"/>
    <w:rsid w:val="00F504C5"/>
    <w:rsid w:val="00F51BAD"/>
    <w:rsid w:val="00F51CC0"/>
    <w:rsid w:val="00F51D4F"/>
    <w:rsid w:val="00F52E24"/>
    <w:rsid w:val="00F54212"/>
    <w:rsid w:val="00F54585"/>
    <w:rsid w:val="00F54A87"/>
    <w:rsid w:val="00F55701"/>
    <w:rsid w:val="00F5678E"/>
    <w:rsid w:val="00F56CCE"/>
    <w:rsid w:val="00F56D8D"/>
    <w:rsid w:val="00F57082"/>
    <w:rsid w:val="00F57102"/>
    <w:rsid w:val="00F57C3E"/>
    <w:rsid w:val="00F61098"/>
    <w:rsid w:val="00F61188"/>
    <w:rsid w:val="00F6148B"/>
    <w:rsid w:val="00F61583"/>
    <w:rsid w:val="00F61850"/>
    <w:rsid w:val="00F618BF"/>
    <w:rsid w:val="00F61AE4"/>
    <w:rsid w:val="00F61E0B"/>
    <w:rsid w:val="00F62B7A"/>
    <w:rsid w:val="00F636F7"/>
    <w:rsid w:val="00F6397D"/>
    <w:rsid w:val="00F64859"/>
    <w:rsid w:val="00F64C11"/>
    <w:rsid w:val="00F65BB0"/>
    <w:rsid w:val="00F67BF8"/>
    <w:rsid w:val="00F705A1"/>
    <w:rsid w:val="00F711B8"/>
    <w:rsid w:val="00F711E3"/>
    <w:rsid w:val="00F713D0"/>
    <w:rsid w:val="00F716F0"/>
    <w:rsid w:val="00F7178A"/>
    <w:rsid w:val="00F7293E"/>
    <w:rsid w:val="00F72D76"/>
    <w:rsid w:val="00F73146"/>
    <w:rsid w:val="00F743F3"/>
    <w:rsid w:val="00F7484B"/>
    <w:rsid w:val="00F758ED"/>
    <w:rsid w:val="00F76650"/>
    <w:rsid w:val="00F76897"/>
    <w:rsid w:val="00F76D70"/>
    <w:rsid w:val="00F76D76"/>
    <w:rsid w:val="00F76FB7"/>
    <w:rsid w:val="00F77052"/>
    <w:rsid w:val="00F77E3F"/>
    <w:rsid w:val="00F801F8"/>
    <w:rsid w:val="00F80601"/>
    <w:rsid w:val="00F806AC"/>
    <w:rsid w:val="00F810B6"/>
    <w:rsid w:val="00F833C7"/>
    <w:rsid w:val="00F83D6E"/>
    <w:rsid w:val="00F8417C"/>
    <w:rsid w:val="00F850E8"/>
    <w:rsid w:val="00F852B2"/>
    <w:rsid w:val="00F852C4"/>
    <w:rsid w:val="00F85563"/>
    <w:rsid w:val="00F862F2"/>
    <w:rsid w:val="00F869A1"/>
    <w:rsid w:val="00F87E7A"/>
    <w:rsid w:val="00F903E5"/>
    <w:rsid w:val="00F90767"/>
    <w:rsid w:val="00F90E3B"/>
    <w:rsid w:val="00F9127C"/>
    <w:rsid w:val="00F9187B"/>
    <w:rsid w:val="00F91E9E"/>
    <w:rsid w:val="00F92385"/>
    <w:rsid w:val="00F924CF"/>
    <w:rsid w:val="00F92FFE"/>
    <w:rsid w:val="00F93066"/>
    <w:rsid w:val="00F93165"/>
    <w:rsid w:val="00F93C8D"/>
    <w:rsid w:val="00F95B01"/>
    <w:rsid w:val="00F9612A"/>
    <w:rsid w:val="00F969CD"/>
    <w:rsid w:val="00F97007"/>
    <w:rsid w:val="00F97CA6"/>
    <w:rsid w:val="00FA002A"/>
    <w:rsid w:val="00FA17EF"/>
    <w:rsid w:val="00FA1B4F"/>
    <w:rsid w:val="00FA1B80"/>
    <w:rsid w:val="00FA3385"/>
    <w:rsid w:val="00FA4005"/>
    <w:rsid w:val="00FA53C5"/>
    <w:rsid w:val="00FA5EE7"/>
    <w:rsid w:val="00FA6006"/>
    <w:rsid w:val="00FA60DB"/>
    <w:rsid w:val="00FA6834"/>
    <w:rsid w:val="00FA6D19"/>
    <w:rsid w:val="00FA70F0"/>
    <w:rsid w:val="00FA752E"/>
    <w:rsid w:val="00FA75E5"/>
    <w:rsid w:val="00FA7C4A"/>
    <w:rsid w:val="00FA7F54"/>
    <w:rsid w:val="00FB03EC"/>
    <w:rsid w:val="00FB113F"/>
    <w:rsid w:val="00FB15BD"/>
    <w:rsid w:val="00FB294D"/>
    <w:rsid w:val="00FB2DEF"/>
    <w:rsid w:val="00FB2F13"/>
    <w:rsid w:val="00FB333A"/>
    <w:rsid w:val="00FB4725"/>
    <w:rsid w:val="00FB4A0C"/>
    <w:rsid w:val="00FB4C03"/>
    <w:rsid w:val="00FB4DE2"/>
    <w:rsid w:val="00FB631F"/>
    <w:rsid w:val="00FB6997"/>
    <w:rsid w:val="00FC0B47"/>
    <w:rsid w:val="00FC0E34"/>
    <w:rsid w:val="00FC19F7"/>
    <w:rsid w:val="00FC1E28"/>
    <w:rsid w:val="00FC1E83"/>
    <w:rsid w:val="00FC203C"/>
    <w:rsid w:val="00FC204A"/>
    <w:rsid w:val="00FC285D"/>
    <w:rsid w:val="00FC286C"/>
    <w:rsid w:val="00FC2AB9"/>
    <w:rsid w:val="00FC327E"/>
    <w:rsid w:val="00FC3BC7"/>
    <w:rsid w:val="00FC3D9A"/>
    <w:rsid w:val="00FC47F9"/>
    <w:rsid w:val="00FC5B9F"/>
    <w:rsid w:val="00FC5DF5"/>
    <w:rsid w:val="00FC6357"/>
    <w:rsid w:val="00FC68B8"/>
    <w:rsid w:val="00FC7C78"/>
    <w:rsid w:val="00FD0CD4"/>
    <w:rsid w:val="00FD2AAA"/>
    <w:rsid w:val="00FD31B6"/>
    <w:rsid w:val="00FD3BBA"/>
    <w:rsid w:val="00FD5387"/>
    <w:rsid w:val="00FD53AF"/>
    <w:rsid w:val="00FD54A8"/>
    <w:rsid w:val="00FD69C4"/>
    <w:rsid w:val="00FD6B96"/>
    <w:rsid w:val="00FD6EA3"/>
    <w:rsid w:val="00FD772D"/>
    <w:rsid w:val="00FD7B99"/>
    <w:rsid w:val="00FD7D2E"/>
    <w:rsid w:val="00FE0411"/>
    <w:rsid w:val="00FE207A"/>
    <w:rsid w:val="00FE2351"/>
    <w:rsid w:val="00FE337D"/>
    <w:rsid w:val="00FE38EA"/>
    <w:rsid w:val="00FE49C1"/>
    <w:rsid w:val="00FE5580"/>
    <w:rsid w:val="00FE5621"/>
    <w:rsid w:val="00FE583C"/>
    <w:rsid w:val="00FE6718"/>
    <w:rsid w:val="00FE6875"/>
    <w:rsid w:val="00FE78B5"/>
    <w:rsid w:val="00FE7B4B"/>
    <w:rsid w:val="00FE7D0A"/>
    <w:rsid w:val="00FF03B7"/>
    <w:rsid w:val="00FF0A13"/>
    <w:rsid w:val="00FF0D0C"/>
    <w:rsid w:val="00FF110C"/>
    <w:rsid w:val="00FF186E"/>
    <w:rsid w:val="00FF1AD4"/>
    <w:rsid w:val="00FF1B6A"/>
    <w:rsid w:val="00FF1E95"/>
    <w:rsid w:val="00FF214D"/>
    <w:rsid w:val="00FF2849"/>
    <w:rsid w:val="00FF2BE1"/>
    <w:rsid w:val="00FF2CD5"/>
    <w:rsid w:val="00FF2D5E"/>
    <w:rsid w:val="00FF30B0"/>
    <w:rsid w:val="00FF3F00"/>
    <w:rsid w:val="00FF41E7"/>
    <w:rsid w:val="00FF4A47"/>
    <w:rsid w:val="00FF4DCA"/>
    <w:rsid w:val="00FF600C"/>
    <w:rsid w:val="00FF627C"/>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9"/>
    <w:qFormat/>
    <w:rsid w:val="00480541"/>
    <w:pPr>
      <w:numPr>
        <w:numId w:val="7"/>
      </w:numPr>
      <w:ind w:right="2160"/>
    </w:pPr>
    <w:rPr>
      <w:rFonts w:eastAsiaTheme="majorEastAsia" w:cstheme="majorBidi"/>
      <w:szCs w:val="32"/>
    </w:rPr>
  </w:style>
  <w:style w:type="paragraph" w:styleId="Heading2">
    <w:name w:val="heading 2"/>
    <w:basedOn w:val="Dummy"/>
    <w:next w:val="Standard"/>
    <w:link w:val="Heading2Char"/>
    <w:uiPriority w:val="9"/>
    <w:qFormat/>
    <w:rsid w:val="00480541"/>
    <w:pPr>
      <w:numPr>
        <w:ilvl w:val="1"/>
        <w:numId w:val="7"/>
      </w:numPr>
      <w:ind w:right="2160"/>
      <w:outlineLvl w:val="1"/>
    </w:pPr>
  </w:style>
  <w:style w:type="paragraph" w:styleId="Heading3">
    <w:name w:val="heading 3"/>
    <w:basedOn w:val="Dummy"/>
    <w:next w:val="Standard"/>
    <w:link w:val="Heading3Char"/>
    <w:uiPriority w:val="9"/>
    <w:qFormat/>
    <w:rsid w:val="004805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9"/>
    <w:qFormat/>
    <w:rsid w:val="000E270A"/>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9"/>
    <w:qFormat/>
    <w:rsid w:val="000E270A"/>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9"/>
    <w:qFormat/>
    <w:rsid w:val="000E270A"/>
    <w:pPr>
      <w:numPr>
        <w:ilvl w:val="5"/>
        <w:numId w:val="7"/>
      </w:numPr>
      <w:spacing w:before="40"/>
      <w:ind w:right="216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8F0CB9"/>
    <w:pPr>
      <w:keepNext/>
      <w:keepLines/>
      <w:spacing w:before="40" w:line="264" w:lineRule="auto"/>
      <w:ind w:left="1296" w:hanging="1296"/>
      <w:jc w:val="both"/>
      <w:outlineLvl w:val="6"/>
    </w:pPr>
    <w:rPr>
      <w:rFonts w:asciiTheme="majorHAnsi" w:eastAsiaTheme="majorEastAsia" w:hAnsiTheme="majorHAnsi" w:cstheme="majorBidi"/>
      <w:i/>
      <w:iCs/>
      <w:color w:val="1F3763" w:themeColor="accent1" w:themeShade="7F"/>
      <w:sz w:val="22"/>
      <w:szCs w:val="20"/>
    </w:rPr>
  </w:style>
  <w:style w:type="paragraph" w:styleId="Heading8">
    <w:name w:val="heading 8"/>
    <w:basedOn w:val="Normal"/>
    <w:next w:val="Normal"/>
    <w:link w:val="Heading8Char"/>
    <w:uiPriority w:val="9"/>
    <w:semiHidden/>
    <w:unhideWhenUsed/>
    <w:qFormat/>
    <w:rsid w:val="008F0CB9"/>
    <w:pPr>
      <w:keepNext/>
      <w:keepLines/>
      <w:spacing w:before="40" w:line="264"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0CB9"/>
    <w:pPr>
      <w:keepNext/>
      <w:keepLines/>
      <w:spacing w:before="40" w:line="264"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541"/>
    <w:rPr>
      <w:rFonts w:ascii="Arial" w:eastAsiaTheme="majorEastAsia" w:hAnsi="Arial" w:cstheme="majorBidi"/>
      <w:b/>
      <w:sz w:val="26"/>
      <w:szCs w:val="32"/>
    </w:rPr>
  </w:style>
  <w:style w:type="paragraph" w:styleId="TOCHeading">
    <w:name w:val="TOC Heading"/>
    <w:next w:val="Normal"/>
    <w:uiPriority w:val="39"/>
    <w:unhideWhenUsed/>
    <w:qFormat/>
    <w:rsid w:val="008E6AD9"/>
    <w:pPr>
      <w:spacing w:after="0" w:line="360" w:lineRule="auto"/>
      <w:jc w:val="center"/>
    </w:pPr>
    <w:rPr>
      <w:rFonts w:ascii="Book Antiqua" w:eastAsiaTheme="majorEastAsia" w:hAnsi="Book Antiqua" w:cstheme="majorBidi"/>
      <w:b/>
      <w:sz w:val="26"/>
      <w:szCs w:val="32"/>
    </w:rPr>
  </w:style>
  <w:style w:type="paragraph" w:styleId="Title">
    <w:name w:val="Title"/>
    <w:basedOn w:val="Dummy"/>
    <w:next w:val="Normal"/>
    <w:link w:val="TitleChar"/>
    <w:uiPriority w:val="10"/>
    <w:qFormat/>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9"/>
    <w:rsid w:val="00480541"/>
    <w:rPr>
      <w:rFonts w:ascii="Arial" w:hAnsi="Arial" w:cs="Arial"/>
      <w:b/>
      <w:sz w:val="26"/>
      <w:szCs w:val="26"/>
    </w:rPr>
  </w:style>
  <w:style w:type="character" w:customStyle="1" w:styleId="Heading3Char">
    <w:name w:val="Heading 3 Char"/>
    <w:basedOn w:val="DefaultParagraphFont"/>
    <w:link w:val="Heading3"/>
    <w:uiPriority w:val="9"/>
    <w:rsid w:val="00480541"/>
    <w:rPr>
      <w:rFonts w:ascii="Arial" w:eastAsiaTheme="majorEastAsia" w:hAnsi="Arial" w:cstheme="majorBidi"/>
      <w:b/>
      <w:sz w:val="26"/>
      <w:szCs w:val="24"/>
    </w:rPr>
  </w:style>
  <w:style w:type="character" w:customStyle="1" w:styleId="Heading4Char">
    <w:name w:val="Heading 4 Char"/>
    <w:basedOn w:val="DefaultParagraphFont"/>
    <w:link w:val="Heading4"/>
    <w:uiPriority w:val="9"/>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9"/>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755A5D"/>
    <w:pPr>
      <w:spacing w:line="240" w:lineRule="auto"/>
      <w:ind w:left="1123" w:right="720" w:hanging="648"/>
    </w:pPr>
    <w:rPr>
      <w:rFonts w:eastAsiaTheme="minorEastAsia" w:cs="Times New Roman"/>
    </w:rPr>
  </w:style>
  <w:style w:type="paragraph" w:styleId="TOC1">
    <w:name w:val="toc 1"/>
    <w:basedOn w:val="Normal"/>
    <w:next w:val="Normal"/>
    <w:uiPriority w:val="39"/>
    <w:unhideWhenUsed/>
    <w:rsid w:val="00755A5D"/>
    <w:pPr>
      <w:spacing w:line="240" w:lineRule="auto"/>
      <w:ind w:left="475" w:right="720" w:hanging="475"/>
    </w:pPr>
    <w:rPr>
      <w:rFonts w:eastAsiaTheme="minorEastAsia" w:cs="Times New Roman"/>
    </w:rPr>
  </w:style>
  <w:style w:type="paragraph" w:styleId="TOC3">
    <w:name w:val="toc 3"/>
    <w:basedOn w:val="Normal"/>
    <w:next w:val="Normal"/>
    <w:uiPriority w:val="39"/>
    <w:unhideWhenUsed/>
    <w:rsid w:val="00755A5D"/>
    <w:pPr>
      <w:spacing w:line="240" w:lineRule="auto"/>
      <w:ind w:left="1944" w:right="720"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2"/>
      </w:numPr>
      <w:ind w:left="0" w:firstLine="547"/>
    </w:pPr>
  </w:style>
  <w:style w:type="paragraph" w:customStyle="1" w:styleId="CoL">
    <w:name w:val="CoL"/>
    <w:basedOn w:val="Standard"/>
    <w:uiPriority w:val="7"/>
    <w:qFormat/>
    <w:rsid w:val="001E2A62"/>
    <w:pPr>
      <w:numPr>
        <w:numId w:val="3"/>
      </w:numPr>
      <w:ind w:left="0" w:firstLine="547"/>
    </w:pPr>
  </w:style>
  <w:style w:type="paragraph" w:styleId="NoSpacing">
    <w:name w:val="No Spacing"/>
    <w:basedOn w:val="Standard"/>
    <w:link w:val="NoSpacingChar"/>
    <w:uiPriority w:val="1"/>
    <w:qFormat/>
    <w:rsid w:val="00287BC5"/>
    <w:pPr>
      <w:spacing w:after="120" w:line="240" w:lineRule="auto"/>
      <w:ind w:firstLine="0"/>
      <w:contextualSpacing/>
    </w:pPr>
  </w:style>
  <w:style w:type="paragraph" w:customStyle="1" w:styleId="OP">
    <w:name w:val="OP"/>
    <w:basedOn w:val="Standard"/>
    <w:uiPriority w:val="8"/>
    <w:qFormat/>
    <w:rsid w:val="001E2A62"/>
    <w:pPr>
      <w:numPr>
        <w:numId w:val="4"/>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7"/>
      </w:numPr>
      <w:spacing w:after="120" w:line="240" w:lineRule="auto"/>
    </w:pPr>
  </w:style>
  <w:style w:type="paragraph" w:styleId="ListBullet">
    <w:name w:val="List Bullet"/>
    <w:basedOn w:val="Standard"/>
    <w:uiPriority w:val="99"/>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uiPriority w:val="9"/>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7"/>
      </w:numPr>
      <w:spacing w:after="120" w:line="240" w:lineRule="auto"/>
    </w:pPr>
  </w:style>
  <w:style w:type="character" w:styleId="UnresolvedMention">
    <w:name w:val="Unresolved Mention"/>
    <w:basedOn w:val="DefaultParagraphFont"/>
    <w:uiPriority w:val="99"/>
    <w:semiHidden/>
    <w:unhideWhenUsed/>
    <w:rsid w:val="0039508B"/>
    <w:rPr>
      <w:color w:val="605E5C"/>
      <w:shd w:val="clear" w:color="auto" w:fill="E1DFDD"/>
    </w:rPr>
  </w:style>
  <w:style w:type="character" w:styleId="FollowedHyperlink">
    <w:name w:val="FollowedHyperlink"/>
    <w:basedOn w:val="DefaultParagraphFont"/>
    <w:uiPriority w:val="99"/>
    <w:semiHidden/>
    <w:unhideWhenUsed/>
    <w:rsid w:val="00416C56"/>
    <w:rPr>
      <w:color w:val="954F72" w:themeColor="followedHyperlink"/>
      <w:u w:val="single"/>
    </w:rPr>
  </w:style>
  <w:style w:type="paragraph" w:styleId="ListParagraph">
    <w:name w:val="List Paragraph"/>
    <w:basedOn w:val="Normal"/>
    <w:link w:val="ListParagraphChar"/>
    <w:uiPriority w:val="34"/>
    <w:qFormat/>
    <w:rsid w:val="00FA7C4A"/>
    <w:pPr>
      <w:ind w:left="720"/>
      <w:contextualSpacing/>
    </w:pPr>
  </w:style>
  <w:style w:type="character" w:styleId="CommentReference">
    <w:name w:val="annotation reference"/>
    <w:basedOn w:val="DefaultParagraphFont"/>
    <w:uiPriority w:val="99"/>
    <w:semiHidden/>
    <w:unhideWhenUsed/>
    <w:rsid w:val="00772D16"/>
    <w:rPr>
      <w:sz w:val="16"/>
      <w:szCs w:val="16"/>
    </w:rPr>
  </w:style>
  <w:style w:type="paragraph" w:styleId="CommentText">
    <w:name w:val="annotation text"/>
    <w:basedOn w:val="Normal"/>
    <w:link w:val="CommentTextChar"/>
    <w:uiPriority w:val="99"/>
    <w:unhideWhenUsed/>
    <w:rsid w:val="00772D16"/>
    <w:pPr>
      <w:spacing w:line="240" w:lineRule="auto"/>
    </w:pPr>
    <w:rPr>
      <w:sz w:val="20"/>
      <w:szCs w:val="20"/>
    </w:rPr>
  </w:style>
  <w:style w:type="character" w:customStyle="1" w:styleId="CommentTextChar">
    <w:name w:val="Comment Text Char"/>
    <w:basedOn w:val="DefaultParagraphFont"/>
    <w:link w:val="CommentText"/>
    <w:uiPriority w:val="99"/>
    <w:rsid w:val="00772D1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72D16"/>
    <w:rPr>
      <w:b/>
      <w:bCs/>
    </w:rPr>
  </w:style>
  <w:style w:type="character" w:customStyle="1" w:styleId="CommentSubjectChar">
    <w:name w:val="Comment Subject Char"/>
    <w:basedOn w:val="CommentTextChar"/>
    <w:link w:val="CommentSubject"/>
    <w:uiPriority w:val="99"/>
    <w:semiHidden/>
    <w:rsid w:val="00772D16"/>
    <w:rPr>
      <w:rFonts w:ascii="Book Antiqua" w:hAnsi="Book Antiqua"/>
      <w:b/>
      <w:bCs/>
      <w:sz w:val="20"/>
      <w:szCs w:val="20"/>
    </w:rPr>
  </w:style>
  <w:style w:type="paragraph" w:customStyle="1" w:styleId="xmsonormal">
    <w:name w:val="x_msonormal"/>
    <w:basedOn w:val="Normal"/>
    <w:rsid w:val="00B801D7"/>
    <w:pPr>
      <w:spacing w:before="100" w:beforeAutospacing="1" w:after="100" w:afterAutospacing="1" w:line="240" w:lineRule="auto"/>
      <w:ind w:firstLine="0"/>
    </w:pPr>
    <w:rPr>
      <w:rFonts w:ascii="Calibri" w:hAnsi="Calibri" w:cs="Calibri"/>
      <w:sz w:val="22"/>
    </w:rPr>
  </w:style>
  <w:style w:type="paragraph" w:customStyle="1" w:styleId="TableHeading">
    <w:name w:val="TableHeading"/>
    <w:basedOn w:val="Normal"/>
    <w:link w:val="TableHeadingChar"/>
    <w:autoRedefine/>
    <w:qFormat/>
    <w:rsid w:val="007334C8"/>
    <w:pPr>
      <w:keepNext/>
      <w:keepLines/>
      <w:spacing w:line="240" w:lineRule="auto"/>
      <w:ind w:firstLine="0"/>
      <w:jc w:val="center"/>
    </w:pPr>
    <w:rPr>
      <w:rFonts w:ascii="Tw Cen MT Condensed" w:eastAsia="Times New Roman" w:hAnsi="Tw Cen MT Condensed" w:cs="Times New Roman"/>
      <w:b/>
      <w:sz w:val="22"/>
      <w:szCs w:val="24"/>
    </w:rPr>
  </w:style>
  <w:style w:type="character" w:customStyle="1" w:styleId="TableHeadingChar">
    <w:name w:val="TableHeading Char"/>
    <w:basedOn w:val="DefaultParagraphFont"/>
    <w:link w:val="TableHeading"/>
    <w:rsid w:val="007334C8"/>
    <w:rPr>
      <w:rFonts w:ascii="Tw Cen MT Condensed" w:eastAsia="Times New Roman" w:hAnsi="Tw Cen MT Condensed" w:cs="Times New Roman"/>
      <w:b/>
      <w:szCs w:val="24"/>
    </w:rPr>
  </w:style>
  <w:style w:type="paragraph" w:customStyle="1" w:styleId="TableCells">
    <w:name w:val="TableCells"/>
    <w:basedOn w:val="TableCellsFirstColumn"/>
    <w:link w:val="TableCellsChar"/>
    <w:qFormat/>
    <w:rsid w:val="007334C8"/>
    <w:pPr>
      <w:jc w:val="center"/>
    </w:pPr>
    <w:rPr>
      <w:szCs w:val="20"/>
    </w:rPr>
  </w:style>
  <w:style w:type="character" w:customStyle="1" w:styleId="TableCellsChar">
    <w:name w:val="TableCells Char"/>
    <w:basedOn w:val="DefaultParagraphFont"/>
    <w:link w:val="TableCells"/>
    <w:rsid w:val="007334C8"/>
    <w:rPr>
      <w:rFonts w:ascii="Calibri" w:eastAsia="Times New Roman" w:hAnsi="Calibri" w:cs="Times New Roman"/>
      <w:sz w:val="20"/>
      <w:szCs w:val="20"/>
    </w:rPr>
  </w:style>
  <w:style w:type="paragraph" w:customStyle="1" w:styleId="TableCellsFirstColumn">
    <w:name w:val="TableCells First Column"/>
    <w:basedOn w:val="Normal"/>
    <w:link w:val="TableCellsFirstColumnChar"/>
    <w:autoRedefine/>
    <w:qFormat/>
    <w:rsid w:val="007334C8"/>
    <w:pPr>
      <w:keepLines/>
      <w:spacing w:line="240" w:lineRule="auto"/>
      <w:ind w:firstLine="0"/>
    </w:pPr>
    <w:rPr>
      <w:rFonts w:ascii="Calibri" w:eastAsia="Times New Roman" w:hAnsi="Calibri" w:cs="Times New Roman"/>
      <w:sz w:val="20"/>
      <w:szCs w:val="24"/>
    </w:rPr>
  </w:style>
  <w:style w:type="character" w:customStyle="1" w:styleId="TableCellsFirstColumnChar">
    <w:name w:val="TableCells First Column Char"/>
    <w:basedOn w:val="DefaultParagraphFont"/>
    <w:link w:val="TableCellsFirstColumn"/>
    <w:rsid w:val="007334C8"/>
    <w:rPr>
      <w:rFonts w:ascii="Calibri" w:eastAsia="Times New Roman" w:hAnsi="Calibri" w:cs="Times New Roman"/>
      <w:sz w:val="20"/>
      <w:szCs w:val="24"/>
    </w:rPr>
  </w:style>
  <w:style w:type="paragraph" w:customStyle="1" w:styleId="TableHeadingFirstColumn">
    <w:name w:val="TableHeading First Column"/>
    <w:basedOn w:val="Normal"/>
    <w:link w:val="TableHeadingFirstColumnChar"/>
    <w:autoRedefine/>
    <w:qFormat/>
    <w:rsid w:val="007334C8"/>
    <w:pPr>
      <w:keepNext/>
      <w:keepLines/>
      <w:spacing w:line="240" w:lineRule="auto"/>
      <w:ind w:firstLine="0"/>
    </w:pPr>
    <w:rPr>
      <w:rFonts w:ascii="Tw Cen MT Condensed" w:eastAsia="Times New Roman" w:hAnsi="Tw Cen MT Condensed" w:cs="Times New Roman"/>
      <w:b/>
      <w:sz w:val="22"/>
      <w:szCs w:val="24"/>
    </w:rPr>
  </w:style>
  <w:style w:type="character" w:customStyle="1" w:styleId="TableHeadingFirstColumnChar">
    <w:name w:val="TableHeading First Column Char"/>
    <w:basedOn w:val="DefaultParagraphFont"/>
    <w:link w:val="TableHeadingFirstColumn"/>
    <w:rsid w:val="007334C8"/>
    <w:rPr>
      <w:rFonts w:ascii="Tw Cen MT Condensed" w:eastAsia="Times New Roman" w:hAnsi="Tw Cen MT Condensed" w:cs="Times New Roman"/>
      <w:b/>
      <w:szCs w:val="24"/>
    </w:rPr>
  </w:style>
  <w:style w:type="paragraph" w:styleId="Revision">
    <w:name w:val="Revision"/>
    <w:hidden/>
    <w:uiPriority w:val="99"/>
    <w:semiHidden/>
    <w:rsid w:val="004A2296"/>
    <w:pPr>
      <w:spacing w:after="0" w:line="240" w:lineRule="auto"/>
    </w:pPr>
    <w:rPr>
      <w:rFonts w:ascii="Book Antiqua" w:hAnsi="Book Antiqua"/>
      <w:sz w:val="26"/>
    </w:rPr>
  </w:style>
  <w:style w:type="paragraph" w:customStyle="1" w:styleId="paragraph">
    <w:name w:val="paragraph"/>
    <w:basedOn w:val="Normal"/>
    <w:rsid w:val="001C3D95"/>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1C3D95"/>
  </w:style>
  <w:style w:type="character" w:customStyle="1" w:styleId="eop">
    <w:name w:val="eop"/>
    <w:basedOn w:val="DefaultParagraphFont"/>
    <w:rsid w:val="001C3D95"/>
  </w:style>
  <w:style w:type="character" w:customStyle="1" w:styleId="contextualspellingandgrammarerror">
    <w:name w:val="contextualspellingandgrammarerror"/>
    <w:basedOn w:val="DefaultParagraphFont"/>
    <w:rsid w:val="001C3D95"/>
  </w:style>
  <w:style w:type="character" w:customStyle="1" w:styleId="Heading7Char">
    <w:name w:val="Heading 7 Char"/>
    <w:basedOn w:val="DefaultParagraphFont"/>
    <w:link w:val="Heading7"/>
    <w:uiPriority w:val="9"/>
    <w:semiHidden/>
    <w:rsid w:val="008F0CB9"/>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8F0C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0CB9"/>
    <w:rPr>
      <w:rFonts w:asciiTheme="majorHAnsi" w:eastAsiaTheme="majorEastAsia" w:hAnsiTheme="majorHAnsi" w:cstheme="majorBidi"/>
      <w:i/>
      <w:iCs/>
      <w:color w:val="272727" w:themeColor="text1" w:themeTint="D8"/>
      <w:sz w:val="21"/>
      <w:szCs w:val="21"/>
    </w:rPr>
  </w:style>
  <w:style w:type="paragraph" w:styleId="Subtitle">
    <w:name w:val="Subtitle"/>
    <w:basedOn w:val="Title"/>
    <w:next w:val="Normal"/>
    <w:link w:val="SubtitleChar"/>
    <w:uiPriority w:val="11"/>
    <w:qFormat/>
    <w:rsid w:val="008F0CB9"/>
    <w:pPr>
      <w:keepNext w:val="0"/>
      <w:keepLines w:val="0"/>
      <w:spacing w:before="320" w:after="320"/>
      <w:jc w:val="left"/>
      <w:outlineLvl w:val="9"/>
    </w:pPr>
    <w:rPr>
      <w:rFonts w:asciiTheme="majorHAnsi" w:eastAsia="Times New Roman" w:hAnsiTheme="majorHAnsi" w:cs="Arial"/>
      <w:bCs/>
      <w:caps w:val="0"/>
      <w:noProof/>
      <w:color w:val="4472C4" w:themeColor="accent1"/>
      <w:spacing w:val="-10"/>
      <w:kern w:val="28"/>
      <w:sz w:val="36"/>
      <w:szCs w:val="28"/>
    </w:rPr>
  </w:style>
  <w:style w:type="character" w:customStyle="1" w:styleId="SubtitleChar">
    <w:name w:val="Subtitle Char"/>
    <w:basedOn w:val="DefaultParagraphFont"/>
    <w:link w:val="Subtitle"/>
    <w:uiPriority w:val="11"/>
    <w:rsid w:val="008F0CB9"/>
    <w:rPr>
      <w:rFonts w:asciiTheme="majorHAnsi" w:eastAsia="Times New Roman" w:hAnsiTheme="majorHAnsi" w:cs="Arial"/>
      <w:b/>
      <w:bCs/>
      <w:noProof/>
      <w:color w:val="4472C4" w:themeColor="accent1"/>
      <w:spacing w:val="-10"/>
      <w:kern w:val="28"/>
      <w:sz w:val="36"/>
      <w:szCs w:val="28"/>
    </w:rPr>
  </w:style>
  <w:style w:type="paragraph" w:customStyle="1" w:styleId="Table">
    <w:name w:val="Table"/>
    <w:basedOn w:val="Normal"/>
    <w:qFormat/>
    <w:rsid w:val="008F0CB9"/>
    <w:pPr>
      <w:keepNext/>
      <w:spacing w:line="240" w:lineRule="auto"/>
      <w:ind w:firstLine="0"/>
    </w:pPr>
    <w:rPr>
      <w:rFonts w:asciiTheme="minorHAnsi" w:eastAsia="Times New Roman" w:hAnsiTheme="minorHAnsi" w:cs="Arial"/>
      <w:sz w:val="20"/>
      <w:szCs w:val="20"/>
    </w:rPr>
  </w:style>
  <w:style w:type="table" w:styleId="ListTable3-Accent1">
    <w:name w:val="List Table 3 Accent 1"/>
    <w:basedOn w:val="TableNormal"/>
    <w:uiPriority w:val="48"/>
    <w:rsid w:val="008F0CB9"/>
    <w:pPr>
      <w:spacing w:after="0" w:line="240" w:lineRule="auto"/>
    </w:pPr>
    <w:rPr>
      <w:rFonts w:cstheme="minorHAnsi"/>
      <w:sz w:val="20"/>
      <w:szCs w:val="20"/>
    </w:rPr>
    <w:tblPr>
      <w:tblStyleRowBandSize w:val="1"/>
      <w:tblStyleColBandSize w:val="1"/>
      <w:jc w:val="cente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72" w:type="dxa"/>
        <w:bottom w:w="72" w:type="dxa"/>
      </w:tblCellMar>
    </w:tblPr>
    <w:trPr>
      <w:jc w:val="center"/>
    </w:tr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Caption">
    <w:name w:val="caption"/>
    <w:basedOn w:val="Normal"/>
    <w:next w:val="Normal"/>
    <w:uiPriority w:val="35"/>
    <w:unhideWhenUsed/>
    <w:qFormat/>
    <w:rsid w:val="008F0CB9"/>
    <w:pPr>
      <w:keepNext/>
      <w:spacing w:before="240" w:after="40" w:line="240" w:lineRule="auto"/>
      <w:ind w:firstLine="0"/>
      <w:jc w:val="both"/>
    </w:pPr>
    <w:rPr>
      <w:rFonts w:asciiTheme="minorHAnsi" w:hAnsiTheme="minorHAnsi" w:cs="Arial"/>
      <w:b/>
      <w:bCs/>
      <w:i/>
      <w:iCs/>
      <w:color w:val="4472C4" w:themeColor="accent1"/>
      <w:sz w:val="24"/>
      <w:szCs w:val="20"/>
    </w:rPr>
  </w:style>
  <w:style w:type="character" w:styleId="PlaceholderText">
    <w:name w:val="Placeholder Text"/>
    <w:basedOn w:val="DefaultParagraphFont"/>
    <w:uiPriority w:val="99"/>
    <w:semiHidden/>
    <w:rsid w:val="008F0CB9"/>
    <w:rPr>
      <w:color w:val="808080"/>
    </w:rPr>
  </w:style>
  <w:style w:type="table" w:styleId="ListTable5Dark-Accent1">
    <w:name w:val="List Table 5 Dark Accent 1"/>
    <w:basedOn w:val="TableNormal"/>
    <w:uiPriority w:val="50"/>
    <w:rsid w:val="008F0CB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ListParagraphChar">
    <w:name w:val="List Paragraph Char"/>
    <w:basedOn w:val="DefaultParagraphFont"/>
    <w:link w:val="ListParagraph"/>
    <w:uiPriority w:val="34"/>
    <w:rsid w:val="008F0CB9"/>
    <w:rPr>
      <w:rFonts w:ascii="Book Antiqua" w:hAnsi="Book Antiqua"/>
      <w:sz w:val="26"/>
    </w:rPr>
  </w:style>
  <w:style w:type="paragraph" w:styleId="TOC7">
    <w:name w:val="toc 7"/>
    <w:basedOn w:val="Normal"/>
    <w:next w:val="Normal"/>
    <w:autoRedefine/>
    <w:uiPriority w:val="39"/>
    <w:unhideWhenUsed/>
    <w:rsid w:val="008F0CB9"/>
    <w:pPr>
      <w:spacing w:line="264" w:lineRule="auto"/>
      <w:ind w:left="1200" w:firstLine="0"/>
    </w:pPr>
    <w:rPr>
      <w:rFonts w:asciiTheme="minorHAnsi" w:hAnsiTheme="minorHAnsi" w:cstheme="minorHAnsi"/>
      <w:sz w:val="22"/>
      <w:szCs w:val="20"/>
    </w:rPr>
  </w:style>
  <w:style w:type="paragraph" w:styleId="TOC8">
    <w:name w:val="toc 8"/>
    <w:basedOn w:val="Normal"/>
    <w:next w:val="Normal"/>
    <w:autoRedefine/>
    <w:uiPriority w:val="39"/>
    <w:unhideWhenUsed/>
    <w:rsid w:val="008F0CB9"/>
    <w:pPr>
      <w:spacing w:line="264" w:lineRule="auto"/>
      <w:ind w:left="1400" w:firstLine="0"/>
    </w:pPr>
    <w:rPr>
      <w:rFonts w:asciiTheme="minorHAnsi" w:hAnsiTheme="minorHAnsi" w:cstheme="minorHAnsi"/>
      <w:sz w:val="22"/>
      <w:szCs w:val="20"/>
    </w:rPr>
  </w:style>
  <w:style w:type="paragraph" w:styleId="Date">
    <w:name w:val="Date"/>
    <w:basedOn w:val="Normal"/>
    <w:next w:val="Normal"/>
    <w:link w:val="DateChar"/>
    <w:uiPriority w:val="99"/>
    <w:unhideWhenUsed/>
    <w:rsid w:val="008F0CB9"/>
    <w:pPr>
      <w:spacing w:before="160" w:after="320" w:line="264" w:lineRule="auto"/>
      <w:ind w:firstLine="0"/>
      <w:jc w:val="both"/>
    </w:pPr>
    <w:rPr>
      <w:rFonts w:asciiTheme="minorHAnsi" w:hAnsiTheme="minorHAnsi" w:cs="Arial"/>
      <w:b/>
      <w:color w:val="4472C4" w:themeColor="accent1"/>
      <w:sz w:val="22"/>
      <w:szCs w:val="20"/>
    </w:rPr>
  </w:style>
  <w:style w:type="character" w:customStyle="1" w:styleId="DateChar">
    <w:name w:val="Date Char"/>
    <w:basedOn w:val="DefaultParagraphFont"/>
    <w:link w:val="Date"/>
    <w:uiPriority w:val="99"/>
    <w:rsid w:val="008F0CB9"/>
    <w:rPr>
      <w:rFonts w:cs="Arial"/>
      <w:b/>
      <w:color w:val="4472C4" w:themeColor="accent1"/>
      <w:szCs w:val="20"/>
    </w:rPr>
  </w:style>
  <w:style w:type="character" w:styleId="PageNumber">
    <w:name w:val="page number"/>
    <w:basedOn w:val="DefaultParagraphFont"/>
    <w:uiPriority w:val="99"/>
    <w:semiHidden/>
    <w:unhideWhenUsed/>
    <w:rsid w:val="008F0CB9"/>
  </w:style>
  <w:style w:type="character" w:styleId="IntenseEmphasis">
    <w:name w:val="Intense Emphasis"/>
    <w:uiPriority w:val="21"/>
    <w:rsid w:val="008F0CB9"/>
    <w:rPr>
      <w:rFonts w:asciiTheme="minorHAnsi" w:hAnsiTheme="minorHAnsi"/>
      <w:b/>
      <w:bCs/>
      <w:i/>
      <w:iCs/>
      <w:color w:val="FFFFFF" w:themeColor="background1"/>
      <w:shd w:val="clear" w:color="auto" w:fill="525252" w:themeFill="accent3" w:themeFillShade="80"/>
    </w:rPr>
  </w:style>
  <w:style w:type="character" w:styleId="Emphasis">
    <w:name w:val="Emphasis"/>
    <w:basedOn w:val="DefaultParagraphFont"/>
    <w:uiPriority w:val="20"/>
    <w:rsid w:val="008F0CB9"/>
    <w:rPr>
      <w:b/>
      <w:i w:val="0"/>
      <w:iCs/>
      <w:color w:val="4472C4" w:themeColor="accent1"/>
    </w:rPr>
  </w:style>
  <w:style w:type="character" w:customStyle="1" w:styleId="NoSpacingChar">
    <w:name w:val="No Spacing Char"/>
    <w:basedOn w:val="DefaultParagraphFont"/>
    <w:link w:val="NoSpacing"/>
    <w:uiPriority w:val="1"/>
    <w:rsid w:val="008F0CB9"/>
    <w:rPr>
      <w:rFonts w:ascii="Book Antiqua" w:hAnsi="Book Antiqua"/>
      <w:sz w:val="26"/>
    </w:rPr>
  </w:style>
  <w:style w:type="character" w:styleId="SubtleEmphasis">
    <w:name w:val="Subtle Emphasis"/>
    <w:basedOn w:val="DefaultParagraphFont"/>
    <w:uiPriority w:val="19"/>
    <w:rsid w:val="008F0CB9"/>
    <w:rPr>
      <w:i/>
      <w:iCs/>
      <w:color w:val="404040" w:themeColor="text1" w:themeTint="BF"/>
    </w:rPr>
  </w:style>
  <w:style w:type="paragraph" w:styleId="Salutation">
    <w:name w:val="Salutation"/>
    <w:basedOn w:val="Normal"/>
    <w:next w:val="Normal"/>
    <w:link w:val="SalutationChar"/>
    <w:uiPriority w:val="99"/>
    <w:unhideWhenUsed/>
    <w:rsid w:val="008F0CB9"/>
    <w:pPr>
      <w:spacing w:before="160" w:after="160" w:line="264" w:lineRule="auto"/>
      <w:ind w:firstLine="0"/>
    </w:pPr>
    <w:rPr>
      <w:rFonts w:asciiTheme="minorHAnsi" w:hAnsiTheme="minorHAnsi" w:cs="Arial"/>
      <w:b/>
      <w:bCs/>
      <w:color w:val="4472C4" w:themeColor="accent1"/>
      <w:sz w:val="22"/>
      <w:szCs w:val="20"/>
    </w:rPr>
  </w:style>
  <w:style w:type="character" w:customStyle="1" w:styleId="SalutationChar">
    <w:name w:val="Salutation Char"/>
    <w:basedOn w:val="DefaultParagraphFont"/>
    <w:link w:val="Salutation"/>
    <w:uiPriority w:val="99"/>
    <w:rsid w:val="008F0CB9"/>
    <w:rPr>
      <w:rFonts w:cs="Arial"/>
      <w:b/>
      <w:bCs/>
      <w:color w:val="4472C4" w:themeColor="accent1"/>
      <w:szCs w:val="20"/>
    </w:rPr>
  </w:style>
  <w:style w:type="paragraph" w:styleId="ListNumber">
    <w:name w:val="List Number"/>
    <w:basedOn w:val="Normal"/>
    <w:uiPriority w:val="99"/>
    <w:unhideWhenUsed/>
    <w:rsid w:val="008F0CB9"/>
    <w:pPr>
      <w:numPr>
        <w:numId w:val="13"/>
      </w:numPr>
      <w:spacing w:before="160" w:after="160" w:line="264" w:lineRule="auto"/>
      <w:ind w:left="720"/>
      <w:contextualSpacing/>
      <w:jc w:val="both"/>
    </w:pPr>
    <w:rPr>
      <w:rFonts w:asciiTheme="minorHAnsi" w:hAnsiTheme="minorHAnsi" w:cs="Arial"/>
      <w:sz w:val="22"/>
      <w:szCs w:val="20"/>
    </w:rPr>
  </w:style>
  <w:style w:type="table" w:styleId="ListTable3-Accent2">
    <w:name w:val="List Table 3 Accent 2"/>
    <w:basedOn w:val="TableNormal"/>
    <w:uiPriority w:val="48"/>
    <w:rsid w:val="008F0CB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4">
    <w:name w:val="List Table 3 Accent 4"/>
    <w:basedOn w:val="TableNormal"/>
    <w:uiPriority w:val="48"/>
    <w:rsid w:val="008F0CB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
    <w:name w:val="List Table 3"/>
    <w:basedOn w:val="TableNormal"/>
    <w:uiPriority w:val="48"/>
    <w:rsid w:val="008F0CB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E3MultilevelList">
    <w:name w:val="E3 Multilevel List"/>
    <w:uiPriority w:val="99"/>
    <w:rsid w:val="008F0CB9"/>
    <w:pPr>
      <w:numPr>
        <w:numId w:val="13"/>
      </w:numPr>
    </w:pPr>
  </w:style>
  <w:style w:type="paragraph" w:styleId="TableofFigures">
    <w:name w:val="table of figures"/>
    <w:basedOn w:val="Normal"/>
    <w:next w:val="Normal"/>
    <w:uiPriority w:val="99"/>
    <w:unhideWhenUsed/>
    <w:rsid w:val="008F0CB9"/>
    <w:pPr>
      <w:spacing w:before="160" w:line="264" w:lineRule="auto"/>
      <w:ind w:firstLine="0"/>
      <w:jc w:val="both"/>
    </w:pPr>
    <w:rPr>
      <w:rFonts w:asciiTheme="minorHAnsi" w:hAnsiTheme="minorHAnsi" w:cs="Arial"/>
      <w:sz w:val="22"/>
      <w:szCs w:val="20"/>
    </w:rPr>
  </w:style>
  <w:style w:type="table" w:customStyle="1" w:styleId="ListTable3-Accent11">
    <w:name w:val="List Table 3 - Accent 11"/>
    <w:basedOn w:val="TableNormal"/>
    <w:next w:val="ListTable3-Accent1"/>
    <w:uiPriority w:val="48"/>
    <w:rsid w:val="008F0CB9"/>
    <w:pPr>
      <w:spacing w:after="0" w:line="240" w:lineRule="auto"/>
    </w:pPr>
    <w:rPr>
      <w:rFonts w:cs="Calibri"/>
      <w:sz w:val="20"/>
      <w:szCs w:val="20"/>
    </w:rPr>
    <w:tblPr>
      <w:tblStyleRowBandSize w:val="1"/>
      <w:tblStyleColBandSize w:val="1"/>
      <w:jc w:val="center"/>
      <w:tblBorders>
        <w:top w:val="single" w:sz="4" w:space="0" w:color="034E6E"/>
        <w:left w:val="single" w:sz="4" w:space="0" w:color="034E6E"/>
        <w:bottom w:val="single" w:sz="4" w:space="0" w:color="034E6E"/>
        <w:right w:val="single" w:sz="4" w:space="0" w:color="034E6E"/>
      </w:tblBorders>
      <w:tblCellMar>
        <w:top w:w="72" w:type="dxa"/>
        <w:bottom w:w="72" w:type="dxa"/>
      </w:tblCellMar>
    </w:tblPr>
    <w:trPr>
      <w:jc w:val="center"/>
    </w:trPr>
    <w:tblStylePr w:type="firstRow">
      <w:rPr>
        <w:b/>
        <w:bCs/>
        <w:color w:val="FFFFFF"/>
      </w:rPr>
      <w:tblPr/>
      <w:tcPr>
        <w:shd w:val="clear" w:color="auto" w:fill="034E6E"/>
      </w:tcPr>
    </w:tblStylePr>
    <w:tblStylePr w:type="lastRow">
      <w:rPr>
        <w:b/>
        <w:bCs/>
      </w:rPr>
      <w:tblPr/>
      <w:tcPr>
        <w:tcBorders>
          <w:top w:val="double" w:sz="4" w:space="0" w:color="034E6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34E6E"/>
          <w:right w:val="single" w:sz="4" w:space="0" w:color="034E6E"/>
        </w:tcBorders>
      </w:tcPr>
    </w:tblStylePr>
    <w:tblStylePr w:type="band1Horz">
      <w:tblPr/>
      <w:tcPr>
        <w:tcBorders>
          <w:top w:val="single" w:sz="4" w:space="0" w:color="034E6E"/>
          <w:bottom w:val="single" w:sz="4" w:space="0" w:color="034E6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4E6E"/>
          <w:left w:val="nil"/>
        </w:tcBorders>
      </w:tcPr>
    </w:tblStylePr>
    <w:tblStylePr w:type="swCell">
      <w:tblPr/>
      <w:tcPr>
        <w:tcBorders>
          <w:top w:val="double" w:sz="4" w:space="0" w:color="034E6E"/>
          <w:right w:val="nil"/>
        </w:tcBorders>
      </w:tcPr>
    </w:tblStylePr>
  </w:style>
  <w:style w:type="table" w:customStyle="1" w:styleId="TableGrid1">
    <w:name w:val="Table Grid1"/>
    <w:basedOn w:val="TableNormal"/>
    <w:next w:val="TableGrid"/>
    <w:uiPriority w:val="39"/>
    <w:rsid w:val="008F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11">
    <w:name w:val="List Table 5 Dark - Accent 11"/>
    <w:basedOn w:val="TableNormal"/>
    <w:next w:val="ListTable5Dark-Accent1"/>
    <w:uiPriority w:val="50"/>
    <w:rsid w:val="008F0CB9"/>
    <w:pPr>
      <w:spacing w:after="0" w:line="240" w:lineRule="auto"/>
    </w:pPr>
    <w:rPr>
      <w:color w:val="FFFFFF"/>
    </w:rPr>
    <w:tblPr>
      <w:tblStyleRowBandSize w:val="1"/>
      <w:tblStyleColBandSize w:val="1"/>
      <w:tblBorders>
        <w:top w:val="single" w:sz="24" w:space="0" w:color="034E6E"/>
        <w:left w:val="single" w:sz="24" w:space="0" w:color="034E6E"/>
        <w:bottom w:val="single" w:sz="24" w:space="0" w:color="034E6E"/>
        <w:right w:val="single" w:sz="24" w:space="0" w:color="034E6E"/>
      </w:tblBorders>
    </w:tblPr>
    <w:tcPr>
      <w:shd w:val="clear" w:color="auto" w:fill="034E6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21">
    <w:name w:val="List Table 3 - Accent 21"/>
    <w:basedOn w:val="TableNormal"/>
    <w:next w:val="ListTable3-Accent2"/>
    <w:uiPriority w:val="48"/>
    <w:rsid w:val="008F0CB9"/>
    <w:pPr>
      <w:spacing w:after="0" w:line="240" w:lineRule="auto"/>
    </w:pPr>
    <w:tblPr>
      <w:tblStyleRowBandSize w:val="1"/>
      <w:tblStyleColBandSize w:val="1"/>
      <w:tblBorders>
        <w:top w:val="single" w:sz="4" w:space="0" w:color="FFC635"/>
        <w:left w:val="single" w:sz="4" w:space="0" w:color="FFC635"/>
        <w:bottom w:val="single" w:sz="4" w:space="0" w:color="FFC635"/>
        <w:right w:val="single" w:sz="4" w:space="0" w:color="FFC635"/>
      </w:tblBorders>
    </w:tblPr>
    <w:tblStylePr w:type="firstRow">
      <w:rPr>
        <w:b/>
        <w:bCs/>
        <w:color w:val="FFFFFF"/>
      </w:rPr>
      <w:tblPr/>
      <w:tcPr>
        <w:shd w:val="clear" w:color="auto" w:fill="FFC635"/>
      </w:tcPr>
    </w:tblStylePr>
    <w:tblStylePr w:type="lastRow">
      <w:rPr>
        <w:b/>
        <w:bCs/>
      </w:rPr>
      <w:tblPr/>
      <w:tcPr>
        <w:tcBorders>
          <w:top w:val="double" w:sz="4" w:space="0" w:color="FFC6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635"/>
          <w:right w:val="single" w:sz="4" w:space="0" w:color="FFC635"/>
        </w:tcBorders>
      </w:tcPr>
    </w:tblStylePr>
    <w:tblStylePr w:type="band1Horz">
      <w:tblPr/>
      <w:tcPr>
        <w:tcBorders>
          <w:top w:val="single" w:sz="4" w:space="0" w:color="FFC635"/>
          <w:bottom w:val="single" w:sz="4" w:space="0" w:color="FFC6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635"/>
          <w:left w:val="nil"/>
        </w:tcBorders>
      </w:tcPr>
    </w:tblStylePr>
    <w:tblStylePr w:type="swCell">
      <w:tblPr/>
      <w:tcPr>
        <w:tcBorders>
          <w:top w:val="double" w:sz="4" w:space="0" w:color="FFC635"/>
          <w:right w:val="nil"/>
        </w:tcBorders>
      </w:tcPr>
    </w:tblStylePr>
  </w:style>
  <w:style w:type="table" w:customStyle="1" w:styleId="ListTable3-Accent41">
    <w:name w:val="List Table 3 - Accent 41"/>
    <w:basedOn w:val="TableNormal"/>
    <w:next w:val="ListTable3-Accent4"/>
    <w:uiPriority w:val="48"/>
    <w:rsid w:val="008F0CB9"/>
    <w:pPr>
      <w:spacing w:after="0" w:line="240" w:lineRule="auto"/>
    </w:pPr>
    <w:tblPr>
      <w:tblStyleRowBandSize w:val="1"/>
      <w:tblStyleColBandSize w:val="1"/>
      <w:tblBorders>
        <w:top w:val="single" w:sz="4" w:space="0" w:color="18FF75"/>
        <w:left w:val="single" w:sz="4" w:space="0" w:color="18FF75"/>
        <w:bottom w:val="single" w:sz="4" w:space="0" w:color="18FF75"/>
        <w:right w:val="single" w:sz="4" w:space="0" w:color="18FF75"/>
      </w:tblBorders>
    </w:tblPr>
    <w:tblStylePr w:type="firstRow">
      <w:rPr>
        <w:b/>
        <w:bCs/>
        <w:color w:val="FFFFFF"/>
      </w:rPr>
      <w:tblPr/>
      <w:tcPr>
        <w:shd w:val="clear" w:color="auto" w:fill="18FF75"/>
      </w:tcPr>
    </w:tblStylePr>
    <w:tblStylePr w:type="lastRow">
      <w:rPr>
        <w:b/>
        <w:bCs/>
      </w:rPr>
      <w:tblPr/>
      <w:tcPr>
        <w:tcBorders>
          <w:top w:val="double" w:sz="4" w:space="0" w:color="18FF7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8FF75"/>
          <w:right w:val="single" w:sz="4" w:space="0" w:color="18FF75"/>
        </w:tcBorders>
      </w:tcPr>
    </w:tblStylePr>
    <w:tblStylePr w:type="band1Horz">
      <w:tblPr/>
      <w:tcPr>
        <w:tcBorders>
          <w:top w:val="single" w:sz="4" w:space="0" w:color="18FF75"/>
          <w:bottom w:val="single" w:sz="4" w:space="0" w:color="18FF7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FF75"/>
          <w:left w:val="nil"/>
        </w:tcBorders>
      </w:tcPr>
    </w:tblStylePr>
    <w:tblStylePr w:type="swCell">
      <w:tblPr/>
      <w:tcPr>
        <w:tcBorders>
          <w:top w:val="double" w:sz="4" w:space="0" w:color="18FF75"/>
          <w:right w:val="nil"/>
        </w:tcBorders>
      </w:tcPr>
    </w:tblStylePr>
  </w:style>
  <w:style w:type="table" w:customStyle="1" w:styleId="ListTable31">
    <w:name w:val="List Table 31"/>
    <w:basedOn w:val="TableNormal"/>
    <w:next w:val="ListTable3"/>
    <w:uiPriority w:val="48"/>
    <w:rsid w:val="008F0CB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E3MultilevelList1">
    <w:name w:val="E3 Multilevel List1"/>
    <w:uiPriority w:val="99"/>
    <w:rsid w:val="008F0CB9"/>
    <w:pPr>
      <w:numPr>
        <w:numId w:val="15"/>
      </w:numPr>
    </w:pPr>
  </w:style>
  <w:style w:type="paragraph" w:customStyle="1" w:styleId="BoxCheck1">
    <w:name w:val="Box&amp;Check1"/>
    <w:basedOn w:val="Normal"/>
    <w:qFormat/>
    <w:rsid w:val="00566FD2"/>
    <w:pPr>
      <w:spacing w:line="240" w:lineRule="exact"/>
      <w:ind w:left="288" w:hanging="288"/>
    </w:pPr>
    <w:rPr>
      <w:rFonts w:ascii="Times New Roman" w:hAnsi="Times New Roman"/>
      <w:sz w:val="24"/>
    </w:rPr>
  </w:style>
  <w:style w:type="paragraph" w:customStyle="1" w:styleId="BlockQuoteH033">
    <w:name w:val="BlockQuoteH033"/>
    <w:basedOn w:val="Normal"/>
    <w:qFormat/>
    <w:rsid w:val="00396E11"/>
    <w:pPr>
      <w:spacing w:after="120" w:line="240" w:lineRule="auto"/>
      <w:ind w:left="1195" w:right="1440" w:hanging="475"/>
    </w:pPr>
  </w:style>
  <w:style w:type="paragraph" w:customStyle="1" w:styleId="TableTitleBodyH085">
    <w:name w:val="TableTitleBodyH085"/>
    <w:basedOn w:val="Normal"/>
    <w:qFormat/>
    <w:rsid w:val="002B2BBA"/>
    <w:pPr>
      <w:keepNext/>
      <w:spacing w:after="120" w:line="240" w:lineRule="auto"/>
      <w:ind w:left="1224" w:hanging="1224"/>
      <w:jc w:val="center"/>
    </w:pPr>
    <w:rPr>
      <w:bCs/>
    </w:rPr>
  </w:style>
  <w:style w:type="paragraph" w:customStyle="1" w:styleId="BlockQuoteH025">
    <w:name w:val="BlockQuoteH025"/>
    <w:basedOn w:val="BlockQuoteH033"/>
    <w:qFormat/>
    <w:rsid w:val="00F37B3A"/>
    <w:pPr>
      <w:ind w:left="1080" w:hanging="360"/>
    </w:pPr>
  </w:style>
  <w:style w:type="paragraph" w:customStyle="1" w:styleId="BlockQuote0">
    <w:name w:val="BlockQuote"/>
    <w:basedOn w:val="Normal"/>
    <w:rsid w:val="006B4534"/>
    <w:pPr>
      <w:spacing w:after="120" w:line="240" w:lineRule="auto"/>
      <w:ind w:left="720" w:right="1440" w:firstLine="0"/>
    </w:pPr>
  </w:style>
  <w:style w:type="paragraph" w:customStyle="1" w:styleId="TableTitleBodyH095">
    <w:name w:val="TableTitleBodyH095"/>
    <w:basedOn w:val="Normal"/>
    <w:qFormat/>
    <w:rsid w:val="0048272A"/>
    <w:pPr>
      <w:keepNext/>
      <w:spacing w:after="120" w:line="240" w:lineRule="auto"/>
      <w:ind w:left="1368" w:hanging="1368"/>
      <w:jc w:val="center"/>
    </w:pPr>
    <w:rPr>
      <w:bCs/>
    </w:rPr>
  </w:style>
  <w:style w:type="paragraph" w:customStyle="1" w:styleId="BlockQuoteH033subH033">
    <w:name w:val="BlockQuoteH033subH033"/>
    <w:basedOn w:val="Normal"/>
    <w:qFormat/>
    <w:rsid w:val="005D1402"/>
    <w:pPr>
      <w:spacing w:after="120" w:line="240" w:lineRule="auto"/>
      <w:ind w:left="1670" w:right="1440" w:hanging="475"/>
    </w:pPr>
  </w:style>
  <w:style w:type="paragraph" w:styleId="BodyText">
    <w:name w:val="Body Text"/>
    <w:basedOn w:val="Normal"/>
    <w:link w:val="BodyTextChar"/>
    <w:unhideWhenUsed/>
    <w:rsid w:val="0073289E"/>
    <w:pPr>
      <w:tabs>
        <w:tab w:val="left" w:pos="2160"/>
        <w:tab w:val="left" w:pos="3600"/>
      </w:tabs>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289E"/>
    <w:rPr>
      <w:rFonts w:ascii="Times New Roman" w:eastAsia="Times New Roman" w:hAnsi="Times New Roman" w:cs="Times New Roman"/>
      <w:sz w:val="24"/>
      <w:szCs w:val="20"/>
    </w:rPr>
  </w:style>
  <w:style w:type="table" w:styleId="GridTable1Light">
    <w:name w:val="Grid Table 1 Light"/>
    <w:basedOn w:val="TableNormal"/>
    <w:uiPriority w:val="46"/>
    <w:rsid w:val="00C448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dvancedproofingissue">
    <w:name w:val="advancedproofingissue"/>
    <w:basedOn w:val="DefaultParagraphFont"/>
    <w:rsid w:val="002732A5"/>
  </w:style>
  <w:style w:type="paragraph" w:customStyle="1" w:styleId="TableTOC">
    <w:name w:val="TableTOC"/>
    <w:basedOn w:val="Normal"/>
    <w:rsid w:val="007E07D7"/>
    <w:pPr>
      <w:spacing w:line="240" w:lineRule="auto"/>
      <w:ind w:firstLine="0"/>
    </w:pPr>
    <w:rPr>
      <w:rFonts w:cs="Arial"/>
      <w:bCs/>
      <w:szCs w:val="26"/>
    </w:rPr>
  </w:style>
  <w:style w:type="character" w:customStyle="1" w:styleId="spellingerror">
    <w:name w:val="spellingerror"/>
    <w:basedOn w:val="DefaultParagraphFont"/>
    <w:rsid w:val="0039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2005">
      <w:bodyDiv w:val="1"/>
      <w:marLeft w:val="0"/>
      <w:marRight w:val="0"/>
      <w:marTop w:val="0"/>
      <w:marBottom w:val="0"/>
      <w:divBdr>
        <w:top w:val="none" w:sz="0" w:space="0" w:color="auto"/>
        <w:left w:val="none" w:sz="0" w:space="0" w:color="auto"/>
        <w:bottom w:val="none" w:sz="0" w:space="0" w:color="auto"/>
        <w:right w:val="none" w:sz="0" w:space="0" w:color="auto"/>
      </w:divBdr>
      <w:divsChild>
        <w:div w:id="6446474">
          <w:marLeft w:val="0"/>
          <w:marRight w:val="0"/>
          <w:marTop w:val="0"/>
          <w:marBottom w:val="240"/>
          <w:divBdr>
            <w:top w:val="none" w:sz="0" w:space="0" w:color="auto"/>
            <w:left w:val="none" w:sz="0" w:space="0" w:color="auto"/>
            <w:bottom w:val="none" w:sz="0" w:space="0" w:color="auto"/>
            <w:right w:val="none" w:sz="0" w:space="0" w:color="auto"/>
          </w:divBdr>
        </w:div>
        <w:div w:id="175268378">
          <w:marLeft w:val="0"/>
          <w:marRight w:val="0"/>
          <w:marTop w:val="0"/>
          <w:marBottom w:val="240"/>
          <w:divBdr>
            <w:top w:val="none" w:sz="0" w:space="0" w:color="auto"/>
            <w:left w:val="none" w:sz="0" w:space="0" w:color="auto"/>
            <w:bottom w:val="none" w:sz="0" w:space="0" w:color="auto"/>
            <w:right w:val="none" w:sz="0" w:space="0" w:color="auto"/>
          </w:divBdr>
        </w:div>
        <w:div w:id="235743245">
          <w:marLeft w:val="0"/>
          <w:marRight w:val="0"/>
          <w:marTop w:val="0"/>
          <w:marBottom w:val="240"/>
          <w:divBdr>
            <w:top w:val="none" w:sz="0" w:space="0" w:color="auto"/>
            <w:left w:val="none" w:sz="0" w:space="0" w:color="auto"/>
            <w:bottom w:val="none" w:sz="0" w:space="0" w:color="auto"/>
            <w:right w:val="none" w:sz="0" w:space="0" w:color="auto"/>
          </w:divBdr>
        </w:div>
        <w:div w:id="458915023">
          <w:marLeft w:val="0"/>
          <w:marRight w:val="0"/>
          <w:marTop w:val="0"/>
          <w:marBottom w:val="240"/>
          <w:divBdr>
            <w:top w:val="none" w:sz="0" w:space="0" w:color="auto"/>
            <w:left w:val="none" w:sz="0" w:space="0" w:color="auto"/>
            <w:bottom w:val="none" w:sz="0" w:space="0" w:color="auto"/>
            <w:right w:val="none" w:sz="0" w:space="0" w:color="auto"/>
          </w:divBdr>
        </w:div>
        <w:div w:id="554396289">
          <w:marLeft w:val="0"/>
          <w:marRight w:val="0"/>
          <w:marTop w:val="0"/>
          <w:marBottom w:val="240"/>
          <w:divBdr>
            <w:top w:val="none" w:sz="0" w:space="0" w:color="auto"/>
            <w:left w:val="none" w:sz="0" w:space="0" w:color="auto"/>
            <w:bottom w:val="none" w:sz="0" w:space="0" w:color="auto"/>
            <w:right w:val="none" w:sz="0" w:space="0" w:color="auto"/>
          </w:divBdr>
        </w:div>
        <w:div w:id="839125975">
          <w:marLeft w:val="0"/>
          <w:marRight w:val="0"/>
          <w:marTop w:val="0"/>
          <w:marBottom w:val="240"/>
          <w:divBdr>
            <w:top w:val="none" w:sz="0" w:space="0" w:color="auto"/>
            <w:left w:val="none" w:sz="0" w:space="0" w:color="auto"/>
            <w:bottom w:val="none" w:sz="0" w:space="0" w:color="auto"/>
            <w:right w:val="none" w:sz="0" w:space="0" w:color="auto"/>
          </w:divBdr>
        </w:div>
        <w:div w:id="1300528971">
          <w:marLeft w:val="0"/>
          <w:marRight w:val="0"/>
          <w:marTop w:val="0"/>
          <w:marBottom w:val="240"/>
          <w:divBdr>
            <w:top w:val="none" w:sz="0" w:space="0" w:color="auto"/>
            <w:left w:val="none" w:sz="0" w:space="0" w:color="auto"/>
            <w:bottom w:val="none" w:sz="0" w:space="0" w:color="auto"/>
            <w:right w:val="none" w:sz="0" w:space="0" w:color="auto"/>
          </w:divBdr>
        </w:div>
      </w:divsChild>
    </w:div>
    <w:div w:id="102267241">
      <w:bodyDiv w:val="1"/>
      <w:marLeft w:val="0"/>
      <w:marRight w:val="0"/>
      <w:marTop w:val="0"/>
      <w:marBottom w:val="0"/>
      <w:divBdr>
        <w:top w:val="none" w:sz="0" w:space="0" w:color="auto"/>
        <w:left w:val="none" w:sz="0" w:space="0" w:color="auto"/>
        <w:bottom w:val="none" w:sz="0" w:space="0" w:color="auto"/>
        <w:right w:val="none" w:sz="0" w:space="0" w:color="auto"/>
      </w:divBdr>
    </w:div>
    <w:div w:id="108859697">
      <w:bodyDiv w:val="1"/>
      <w:marLeft w:val="0"/>
      <w:marRight w:val="0"/>
      <w:marTop w:val="0"/>
      <w:marBottom w:val="0"/>
      <w:divBdr>
        <w:top w:val="none" w:sz="0" w:space="0" w:color="auto"/>
        <w:left w:val="none" w:sz="0" w:space="0" w:color="auto"/>
        <w:bottom w:val="none" w:sz="0" w:space="0" w:color="auto"/>
        <w:right w:val="none" w:sz="0" w:space="0" w:color="auto"/>
      </w:divBdr>
      <w:divsChild>
        <w:div w:id="895165178">
          <w:marLeft w:val="0"/>
          <w:marRight w:val="0"/>
          <w:marTop w:val="0"/>
          <w:marBottom w:val="240"/>
          <w:divBdr>
            <w:top w:val="none" w:sz="0" w:space="0" w:color="auto"/>
            <w:left w:val="none" w:sz="0" w:space="0" w:color="auto"/>
            <w:bottom w:val="none" w:sz="0" w:space="0" w:color="auto"/>
            <w:right w:val="none" w:sz="0" w:space="0" w:color="auto"/>
          </w:divBdr>
        </w:div>
        <w:div w:id="1275866287">
          <w:marLeft w:val="0"/>
          <w:marRight w:val="0"/>
          <w:marTop w:val="0"/>
          <w:marBottom w:val="240"/>
          <w:divBdr>
            <w:top w:val="none" w:sz="0" w:space="0" w:color="auto"/>
            <w:left w:val="none" w:sz="0" w:space="0" w:color="auto"/>
            <w:bottom w:val="none" w:sz="0" w:space="0" w:color="auto"/>
            <w:right w:val="none" w:sz="0" w:space="0" w:color="auto"/>
          </w:divBdr>
        </w:div>
        <w:div w:id="1448546865">
          <w:marLeft w:val="0"/>
          <w:marRight w:val="0"/>
          <w:marTop w:val="0"/>
          <w:marBottom w:val="240"/>
          <w:divBdr>
            <w:top w:val="none" w:sz="0" w:space="0" w:color="auto"/>
            <w:left w:val="none" w:sz="0" w:space="0" w:color="auto"/>
            <w:bottom w:val="none" w:sz="0" w:space="0" w:color="auto"/>
            <w:right w:val="none" w:sz="0" w:space="0" w:color="auto"/>
          </w:divBdr>
        </w:div>
        <w:div w:id="1470325016">
          <w:marLeft w:val="0"/>
          <w:marRight w:val="0"/>
          <w:marTop w:val="0"/>
          <w:marBottom w:val="240"/>
          <w:divBdr>
            <w:top w:val="none" w:sz="0" w:space="0" w:color="auto"/>
            <w:left w:val="none" w:sz="0" w:space="0" w:color="auto"/>
            <w:bottom w:val="none" w:sz="0" w:space="0" w:color="auto"/>
            <w:right w:val="none" w:sz="0" w:space="0" w:color="auto"/>
          </w:divBdr>
        </w:div>
        <w:div w:id="1595746889">
          <w:marLeft w:val="0"/>
          <w:marRight w:val="0"/>
          <w:marTop w:val="0"/>
          <w:marBottom w:val="240"/>
          <w:divBdr>
            <w:top w:val="none" w:sz="0" w:space="0" w:color="auto"/>
            <w:left w:val="none" w:sz="0" w:space="0" w:color="auto"/>
            <w:bottom w:val="none" w:sz="0" w:space="0" w:color="auto"/>
            <w:right w:val="none" w:sz="0" w:space="0" w:color="auto"/>
          </w:divBdr>
        </w:div>
        <w:div w:id="1676683872">
          <w:marLeft w:val="0"/>
          <w:marRight w:val="0"/>
          <w:marTop w:val="0"/>
          <w:marBottom w:val="240"/>
          <w:divBdr>
            <w:top w:val="none" w:sz="0" w:space="0" w:color="auto"/>
            <w:left w:val="none" w:sz="0" w:space="0" w:color="auto"/>
            <w:bottom w:val="none" w:sz="0" w:space="0" w:color="auto"/>
            <w:right w:val="none" w:sz="0" w:space="0" w:color="auto"/>
          </w:divBdr>
        </w:div>
        <w:div w:id="1913193278">
          <w:marLeft w:val="0"/>
          <w:marRight w:val="0"/>
          <w:marTop w:val="0"/>
          <w:marBottom w:val="240"/>
          <w:divBdr>
            <w:top w:val="none" w:sz="0" w:space="0" w:color="auto"/>
            <w:left w:val="none" w:sz="0" w:space="0" w:color="auto"/>
            <w:bottom w:val="none" w:sz="0" w:space="0" w:color="auto"/>
            <w:right w:val="none" w:sz="0" w:space="0" w:color="auto"/>
          </w:divBdr>
        </w:div>
      </w:divsChild>
    </w:div>
    <w:div w:id="174654905">
      <w:bodyDiv w:val="1"/>
      <w:marLeft w:val="0"/>
      <w:marRight w:val="0"/>
      <w:marTop w:val="0"/>
      <w:marBottom w:val="0"/>
      <w:divBdr>
        <w:top w:val="none" w:sz="0" w:space="0" w:color="auto"/>
        <w:left w:val="none" w:sz="0" w:space="0" w:color="auto"/>
        <w:bottom w:val="none" w:sz="0" w:space="0" w:color="auto"/>
        <w:right w:val="none" w:sz="0" w:space="0" w:color="auto"/>
      </w:divBdr>
    </w:div>
    <w:div w:id="224221392">
      <w:bodyDiv w:val="1"/>
      <w:marLeft w:val="0"/>
      <w:marRight w:val="0"/>
      <w:marTop w:val="0"/>
      <w:marBottom w:val="0"/>
      <w:divBdr>
        <w:top w:val="none" w:sz="0" w:space="0" w:color="auto"/>
        <w:left w:val="none" w:sz="0" w:space="0" w:color="auto"/>
        <w:bottom w:val="none" w:sz="0" w:space="0" w:color="auto"/>
        <w:right w:val="none" w:sz="0" w:space="0" w:color="auto"/>
      </w:divBdr>
    </w:div>
    <w:div w:id="248972669">
      <w:bodyDiv w:val="1"/>
      <w:marLeft w:val="0"/>
      <w:marRight w:val="0"/>
      <w:marTop w:val="0"/>
      <w:marBottom w:val="0"/>
      <w:divBdr>
        <w:top w:val="none" w:sz="0" w:space="0" w:color="auto"/>
        <w:left w:val="none" w:sz="0" w:space="0" w:color="auto"/>
        <w:bottom w:val="none" w:sz="0" w:space="0" w:color="auto"/>
        <w:right w:val="none" w:sz="0" w:space="0" w:color="auto"/>
      </w:divBdr>
      <w:divsChild>
        <w:div w:id="1985039764">
          <w:marLeft w:val="0"/>
          <w:marRight w:val="0"/>
          <w:marTop w:val="0"/>
          <w:marBottom w:val="0"/>
          <w:divBdr>
            <w:top w:val="none" w:sz="0" w:space="0" w:color="auto"/>
            <w:left w:val="none" w:sz="0" w:space="0" w:color="auto"/>
            <w:bottom w:val="none" w:sz="0" w:space="0" w:color="auto"/>
            <w:right w:val="none" w:sz="0" w:space="0" w:color="auto"/>
          </w:divBdr>
        </w:div>
        <w:div w:id="1410152792">
          <w:marLeft w:val="0"/>
          <w:marRight w:val="0"/>
          <w:marTop w:val="0"/>
          <w:marBottom w:val="0"/>
          <w:divBdr>
            <w:top w:val="none" w:sz="0" w:space="0" w:color="auto"/>
            <w:left w:val="none" w:sz="0" w:space="0" w:color="auto"/>
            <w:bottom w:val="none" w:sz="0" w:space="0" w:color="auto"/>
            <w:right w:val="none" w:sz="0" w:space="0" w:color="auto"/>
          </w:divBdr>
        </w:div>
      </w:divsChild>
    </w:div>
    <w:div w:id="268002223">
      <w:bodyDiv w:val="1"/>
      <w:marLeft w:val="0"/>
      <w:marRight w:val="0"/>
      <w:marTop w:val="0"/>
      <w:marBottom w:val="0"/>
      <w:divBdr>
        <w:top w:val="none" w:sz="0" w:space="0" w:color="auto"/>
        <w:left w:val="none" w:sz="0" w:space="0" w:color="auto"/>
        <w:bottom w:val="none" w:sz="0" w:space="0" w:color="auto"/>
        <w:right w:val="none" w:sz="0" w:space="0" w:color="auto"/>
      </w:divBdr>
      <w:divsChild>
        <w:div w:id="2088766318">
          <w:marLeft w:val="0"/>
          <w:marRight w:val="0"/>
          <w:marTop w:val="0"/>
          <w:marBottom w:val="0"/>
          <w:divBdr>
            <w:top w:val="none" w:sz="0" w:space="0" w:color="auto"/>
            <w:left w:val="none" w:sz="0" w:space="0" w:color="auto"/>
            <w:bottom w:val="none" w:sz="0" w:space="0" w:color="auto"/>
            <w:right w:val="none" w:sz="0" w:space="0" w:color="auto"/>
          </w:divBdr>
        </w:div>
        <w:div w:id="85004063">
          <w:marLeft w:val="0"/>
          <w:marRight w:val="0"/>
          <w:marTop w:val="0"/>
          <w:marBottom w:val="0"/>
          <w:divBdr>
            <w:top w:val="none" w:sz="0" w:space="0" w:color="auto"/>
            <w:left w:val="none" w:sz="0" w:space="0" w:color="auto"/>
            <w:bottom w:val="none" w:sz="0" w:space="0" w:color="auto"/>
            <w:right w:val="none" w:sz="0" w:space="0" w:color="auto"/>
          </w:divBdr>
        </w:div>
        <w:div w:id="705299732">
          <w:marLeft w:val="0"/>
          <w:marRight w:val="0"/>
          <w:marTop w:val="0"/>
          <w:marBottom w:val="0"/>
          <w:divBdr>
            <w:top w:val="none" w:sz="0" w:space="0" w:color="auto"/>
            <w:left w:val="none" w:sz="0" w:space="0" w:color="auto"/>
            <w:bottom w:val="none" w:sz="0" w:space="0" w:color="auto"/>
            <w:right w:val="none" w:sz="0" w:space="0" w:color="auto"/>
          </w:divBdr>
        </w:div>
        <w:div w:id="1300458437">
          <w:marLeft w:val="0"/>
          <w:marRight w:val="0"/>
          <w:marTop w:val="0"/>
          <w:marBottom w:val="0"/>
          <w:divBdr>
            <w:top w:val="none" w:sz="0" w:space="0" w:color="auto"/>
            <w:left w:val="none" w:sz="0" w:space="0" w:color="auto"/>
            <w:bottom w:val="none" w:sz="0" w:space="0" w:color="auto"/>
            <w:right w:val="none" w:sz="0" w:space="0" w:color="auto"/>
          </w:divBdr>
        </w:div>
      </w:divsChild>
    </w:div>
    <w:div w:id="369913061">
      <w:bodyDiv w:val="1"/>
      <w:marLeft w:val="0"/>
      <w:marRight w:val="0"/>
      <w:marTop w:val="0"/>
      <w:marBottom w:val="0"/>
      <w:divBdr>
        <w:top w:val="none" w:sz="0" w:space="0" w:color="auto"/>
        <w:left w:val="none" w:sz="0" w:space="0" w:color="auto"/>
        <w:bottom w:val="none" w:sz="0" w:space="0" w:color="auto"/>
        <w:right w:val="none" w:sz="0" w:space="0" w:color="auto"/>
      </w:divBdr>
    </w:div>
    <w:div w:id="385959397">
      <w:bodyDiv w:val="1"/>
      <w:marLeft w:val="0"/>
      <w:marRight w:val="0"/>
      <w:marTop w:val="0"/>
      <w:marBottom w:val="0"/>
      <w:divBdr>
        <w:top w:val="none" w:sz="0" w:space="0" w:color="auto"/>
        <w:left w:val="none" w:sz="0" w:space="0" w:color="auto"/>
        <w:bottom w:val="none" w:sz="0" w:space="0" w:color="auto"/>
        <w:right w:val="none" w:sz="0" w:space="0" w:color="auto"/>
      </w:divBdr>
      <w:divsChild>
        <w:div w:id="368379243">
          <w:marLeft w:val="0"/>
          <w:marRight w:val="0"/>
          <w:marTop w:val="0"/>
          <w:marBottom w:val="0"/>
          <w:divBdr>
            <w:top w:val="none" w:sz="0" w:space="0" w:color="auto"/>
            <w:left w:val="none" w:sz="0" w:space="0" w:color="auto"/>
            <w:bottom w:val="none" w:sz="0" w:space="0" w:color="auto"/>
            <w:right w:val="none" w:sz="0" w:space="0" w:color="auto"/>
          </w:divBdr>
        </w:div>
        <w:div w:id="1434518927">
          <w:marLeft w:val="0"/>
          <w:marRight w:val="0"/>
          <w:marTop w:val="0"/>
          <w:marBottom w:val="0"/>
          <w:divBdr>
            <w:top w:val="none" w:sz="0" w:space="0" w:color="auto"/>
            <w:left w:val="none" w:sz="0" w:space="0" w:color="auto"/>
            <w:bottom w:val="none" w:sz="0" w:space="0" w:color="auto"/>
            <w:right w:val="none" w:sz="0" w:space="0" w:color="auto"/>
          </w:divBdr>
        </w:div>
        <w:div w:id="1241334756">
          <w:marLeft w:val="0"/>
          <w:marRight w:val="0"/>
          <w:marTop w:val="0"/>
          <w:marBottom w:val="0"/>
          <w:divBdr>
            <w:top w:val="none" w:sz="0" w:space="0" w:color="auto"/>
            <w:left w:val="none" w:sz="0" w:space="0" w:color="auto"/>
            <w:bottom w:val="none" w:sz="0" w:space="0" w:color="auto"/>
            <w:right w:val="none" w:sz="0" w:space="0" w:color="auto"/>
          </w:divBdr>
        </w:div>
        <w:div w:id="1838031505">
          <w:marLeft w:val="0"/>
          <w:marRight w:val="0"/>
          <w:marTop w:val="0"/>
          <w:marBottom w:val="0"/>
          <w:divBdr>
            <w:top w:val="none" w:sz="0" w:space="0" w:color="auto"/>
            <w:left w:val="none" w:sz="0" w:space="0" w:color="auto"/>
            <w:bottom w:val="none" w:sz="0" w:space="0" w:color="auto"/>
            <w:right w:val="none" w:sz="0" w:space="0" w:color="auto"/>
          </w:divBdr>
        </w:div>
      </w:divsChild>
    </w:div>
    <w:div w:id="477192038">
      <w:bodyDiv w:val="1"/>
      <w:marLeft w:val="0"/>
      <w:marRight w:val="0"/>
      <w:marTop w:val="0"/>
      <w:marBottom w:val="0"/>
      <w:divBdr>
        <w:top w:val="none" w:sz="0" w:space="0" w:color="auto"/>
        <w:left w:val="none" w:sz="0" w:space="0" w:color="auto"/>
        <w:bottom w:val="none" w:sz="0" w:space="0" w:color="auto"/>
        <w:right w:val="none" w:sz="0" w:space="0" w:color="auto"/>
      </w:divBdr>
    </w:div>
    <w:div w:id="506363785">
      <w:bodyDiv w:val="1"/>
      <w:marLeft w:val="0"/>
      <w:marRight w:val="0"/>
      <w:marTop w:val="0"/>
      <w:marBottom w:val="0"/>
      <w:divBdr>
        <w:top w:val="none" w:sz="0" w:space="0" w:color="auto"/>
        <w:left w:val="none" w:sz="0" w:space="0" w:color="auto"/>
        <w:bottom w:val="none" w:sz="0" w:space="0" w:color="auto"/>
        <w:right w:val="none" w:sz="0" w:space="0" w:color="auto"/>
      </w:divBdr>
    </w:div>
    <w:div w:id="689643319">
      <w:bodyDiv w:val="1"/>
      <w:marLeft w:val="0"/>
      <w:marRight w:val="0"/>
      <w:marTop w:val="0"/>
      <w:marBottom w:val="0"/>
      <w:divBdr>
        <w:top w:val="none" w:sz="0" w:space="0" w:color="auto"/>
        <w:left w:val="none" w:sz="0" w:space="0" w:color="auto"/>
        <w:bottom w:val="none" w:sz="0" w:space="0" w:color="auto"/>
        <w:right w:val="none" w:sz="0" w:space="0" w:color="auto"/>
      </w:divBdr>
    </w:div>
    <w:div w:id="757597223">
      <w:bodyDiv w:val="1"/>
      <w:marLeft w:val="0"/>
      <w:marRight w:val="0"/>
      <w:marTop w:val="0"/>
      <w:marBottom w:val="0"/>
      <w:divBdr>
        <w:top w:val="none" w:sz="0" w:space="0" w:color="auto"/>
        <w:left w:val="none" w:sz="0" w:space="0" w:color="auto"/>
        <w:bottom w:val="none" w:sz="0" w:space="0" w:color="auto"/>
        <w:right w:val="none" w:sz="0" w:space="0" w:color="auto"/>
      </w:divBdr>
      <w:divsChild>
        <w:div w:id="966667703">
          <w:marLeft w:val="0"/>
          <w:marRight w:val="0"/>
          <w:marTop w:val="0"/>
          <w:marBottom w:val="0"/>
          <w:divBdr>
            <w:top w:val="none" w:sz="0" w:space="0" w:color="auto"/>
            <w:left w:val="none" w:sz="0" w:space="0" w:color="auto"/>
            <w:bottom w:val="none" w:sz="0" w:space="0" w:color="auto"/>
            <w:right w:val="none" w:sz="0" w:space="0" w:color="auto"/>
          </w:divBdr>
        </w:div>
        <w:div w:id="1255826503">
          <w:marLeft w:val="0"/>
          <w:marRight w:val="0"/>
          <w:marTop w:val="0"/>
          <w:marBottom w:val="0"/>
          <w:divBdr>
            <w:top w:val="none" w:sz="0" w:space="0" w:color="auto"/>
            <w:left w:val="none" w:sz="0" w:space="0" w:color="auto"/>
            <w:bottom w:val="none" w:sz="0" w:space="0" w:color="auto"/>
            <w:right w:val="none" w:sz="0" w:space="0" w:color="auto"/>
          </w:divBdr>
        </w:div>
      </w:divsChild>
    </w:div>
    <w:div w:id="800271435">
      <w:bodyDiv w:val="1"/>
      <w:marLeft w:val="0"/>
      <w:marRight w:val="0"/>
      <w:marTop w:val="0"/>
      <w:marBottom w:val="0"/>
      <w:divBdr>
        <w:top w:val="none" w:sz="0" w:space="0" w:color="auto"/>
        <w:left w:val="none" w:sz="0" w:space="0" w:color="auto"/>
        <w:bottom w:val="none" w:sz="0" w:space="0" w:color="auto"/>
        <w:right w:val="none" w:sz="0" w:space="0" w:color="auto"/>
      </w:divBdr>
      <w:divsChild>
        <w:div w:id="699671075">
          <w:marLeft w:val="0"/>
          <w:marRight w:val="0"/>
          <w:marTop w:val="0"/>
          <w:marBottom w:val="0"/>
          <w:divBdr>
            <w:top w:val="none" w:sz="0" w:space="0" w:color="auto"/>
            <w:left w:val="none" w:sz="0" w:space="0" w:color="auto"/>
            <w:bottom w:val="none" w:sz="0" w:space="0" w:color="auto"/>
            <w:right w:val="none" w:sz="0" w:space="0" w:color="auto"/>
          </w:divBdr>
        </w:div>
        <w:div w:id="706875761">
          <w:marLeft w:val="0"/>
          <w:marRight w:val="0"/>
          <w:marTop w:val="0"/>
          <w:marBottom w:val="0"/>
          <w:divBdr>
            <w:top w:val="none" w:sz="0" w:space="0" w:color="auto"/>
            <w:left w:val="none" w:sz="0" w:space="0" w:color="auto"/>
            <w:bottom w:val="none" w:sz="0" w:space="0" w:color="auto"/>
            <w:right w:val="none" w:sz="0" w:space="0" w:color="auto"/>
          </w:divBdr>
        </w:div>
        <w:div w:id="1075083685">
          <w:marLeft w:val="0"/>
          <w:marRight w:val="0"/>
          <w:marTop w:val="0"/>
          <w:marBottom w:val="0"/>
          <w:divBdr>
            <w:top w:val="none" w:sz="0" w:space="0" w:color="auto"/>
            <w:left w:val="none" w:sz="0" w:space="0" w:color="auto"/>
            <w:bottom w:val="none" w:sz="0" w:space="0" w:color="auto"/>
            <w:right w:val="none" w:sz="0" w:space="0" w:color="auto"/>
          </w:divBdr>
        </w:div>
        <w:div w:id="1179000935">
          <w:marLeft w:val="0"/>
          <w:marRight w:val="0"/>
          <w:marTop w:val="0"/>
          <w:marBottom w:val="0"/>
          <w:divBdr>
            <w:top w:val="none" w:sz="0" w:space="0" w:color="auto"/>
            <w:left w:val="none" w:sz="0" w:space="0" w:color="auto"/>
            <w:bottom w:val="none" w:sz="0" w:space="0" w:color="auto"/>
            <w:right w:val="none" w:sz="0" w:space="0" w:color="auto"/>
          </w:divBdr>
        </w:div>
      </w:divsChild>
    </w:div>
    <w:div w:id="991373082">
      <w:bodyDiv w:val="1"/>
      <w:marLeft w:val="0"/>
      <w:marRight w:val="0"/>
      <w:marTop w:val="0"/>
      <w:marBottom w:val="0"/>
      <w:divBdr>
        <w:top w:val="none" w:sz="0" w:space="0" w:color="auto"/>
        <w:left w:val="none" w:sz="0" w:space="0" w:color="auto"/>
        <w:bottom w:val="none" w:sz="0" w:space="0" w:color="auto"/>
        <w:right w:val="none" w:sz="0" w:space="0" w:color="auto"/>
      </w:divBdr>
    </w:div>
    <w:div w:id="1000888398">
      <w:bodyDiv w:val="1"/>
      <w:marLeft w:val="0"/>
      <w:marRight w:val="0"/>
      <w:marTop w:val="0"/>
      <w:marBottom w:val="0"/>
      <w:divBdr>
        <w:top w:val="none" w:sz="0" w:space="0" w:color="auto"/>
        <w:left w:val="none" w:sz="0" w:space="0" w:color="auto"/>
        <w:bottom w:val="none" w:sz="0" w:space="0" w:color="auto"/>
        <w:right w:val="none" w:sz="0" w:space="0" w:color="auto"/>
      </w:divBdr>
    </w:div>
    <w:div w:id="1002199991">
      <w:bodyDiv w:val="1"/>
      <w:marLeft w:val="0"/>
      <w:marRight w:val="0"/>
      <w:marTop w:val="0"/>
      <w:marBottom w:val="0"/>
      <w:divBdr>
        <w:top w:val="none" w:sz="0" w:space="0" w:color="auto"/>
        <w:left w:val="none" w:sz="0" w:space="0" w:color="auto"/>
        <w:bottom w:val="none" w:sz="0" w:space="0" w:color="auto"/>
        <w:right w:val="none" w:sz="0" w:space="0" w:color="auto"/>
      </w:divBdr>
      <w:divsChild>
        <w:div w:id="170487286">
          <w:marLeft w:val="0"/>
          <w:marRight w:val="0"/>
          <w:marTop w:val="0"/>
          <w:marBottom w:val="0"/>
          <w:divBdr>
            <w:top w:val="none" w:sz="0" w:space="0" w:color="auto"/>
            <w:left w:val="none" w:sz="0" w:space="0" w:color="auto"/>
            <w:bottom w:val="none" w:sz="0" w:space="0" w:color="auto"/>
            <w:right w:val="none" w:sz="0" w:space="0" w:color="auto"/>
          </w:divBdr>
        </w:div>
        <w:div w:id="209658517">
          <w:marLeft w:val="0"/>
          <w:marRight w:val="0"/>
          <w:marTop w:val="0"/>
          <w:marBottom w:val="0"/>
          <w:divBdr>
            <w:top w:val="none" w:sz="0" w:space="0" w:color="auto"/>
            <w:left w:val="none" w:sz="0" w:space="0" w:color="auto"/>
            <w:bottom w:val="none" w:sz="0" w:space="0" w:color="auto"/>
            <w:right w:val="none" w:sz="0" w:space="0" w:color="auto"/>
          </w:divBdr>
        </w:div>
      </w:divsChild>
    </w:div>
    <w:div w:id="1036583569">
      <w:bodyDiv w:val="1"/>
      <w:marLeft w:val="0"/>
      <w:marRight w:val="0"/>
      <w:marTop w:val="0"/>
      <w:marBottom w:val="0"/>
      <w:divBdr>
        <w:top w:val="none" w:sz="0" w:space="0" w:color="auto"/>
        <w:left w:val="none" w:sz="0" w:space="0" w:color="auto"/>
        <w:bottom w:val="none" w:sz="0" w:space="0" w:color="auto"/>
        <w:right w:val="none" w:sz="0" w:space="0" w:color="auto"/>
      </w:divBdr>
    </w:div>
    <w:div w:id="1045328408">
      <w:bodyDiv w:val="1"/>
      <w:marLeft w:val="0"/>
      <w:marRight w:val="0"/>
      <w:marTop w:val="0"/>
      <w:marBottom w:val="0"/>
      <w:divBdr>
        <w:top w:val="none" w:sz="0" w:space="0" w:color="auto"/>
        <w:left w:val="none" w:sz="0" w:space="0" w:color="auto"/>
        <w:bottom w:val="none" w:sz="0" w:space="0" w:color="auto"/>
        <w:right w:val="none" w:sz="0" w:space="0" w:color="auto"/>
      </w:divBdr>
    </w:div>
    <w:div w:id="1138913099">
      <w:bodyDiv w:val="1"/>
      <w:marLeft w:val="0"/>
      <w:marRight w:val="0"/>
      <w:marTop w:val="0"/>
      <w:marBottom w:val="0"/>
      <w:divBdr>
        <w:top w:val="none" w:sz="0" w:space="0" w:color="auto"/>
        <w:left w:val="none" w:sz="0" w:space="0" w:color="auto"/>
        <w:bottom w:val="none" w:sz="0" w:space="0" w:color="auto"/>
        <w:right w:val="none" w:sz="0" w:space="0" w:color="auto"/>
      </w:divBdr>
    </w:div>
    <w:div w:id="1140607935">
      <w:bodyDiv w:val="1"/>
      <w:marLeft w:val="0"/>
      <w:marRight w:val="0"/>
      <w:marTop w:val="0"/>
      <w:marBottom w:val="0"/>
      <w:divBdr>
        <w:top w:val="none" w:sz="0" w:space="0" w:color="auto"/>
        <w:left w:val="none" w:sz="0" w:space="0" w:color="auto"/>
        <w:bottom w:val="none" w:sz="0" w:space="0" w:color="auto"/>
        <w:right w:val="none" w:sz="0" w:space="0" w:color="auto"/>
      </w:divBdr>
    </w:div>
    <w:div w:id="1194732364">
      <w:bodyDiv w:val="1"/>
      <w:marLeft w:val="0"/>
      <w:marRight w:val="0"/>
      <w:marTop w:val="0"/>
      <w:marBottom w:val="0"/>
      <w:divBdr>
        <w:top w:val="none" w:sz="0" w:space="0" w:color="auto"/>
        <w:left w:val="none" w:sz="0" w:space="0" w:color="auto"/>
        <w:bottom w:val="none" w:sz="0" w:space="0" w:color="auto"/>
        <w:right w:val="none" w:sz="0" w:space="0" w:color="auto"/>
      </w:divBdr>
    </w:div>
    <w:div w:id="1286350821">
      <w:bodyDiv w:val="1"/>
      <w:marLeft w:val="0"/>
      <w:marRight w:val="0"/>
      <w:marTop w:val="0"/>
      <w:marBottom w:val="0"/>
      <w:divBdr>
        <w:top w:val="none" w:sz="0" w:space="0" w:color="auto"/>
        <w:left w:val="none" w:sz="0" w:space="0" w:color="auto"/>
        <w:bottom w:val="none" w:sz="0" w:space="0" w:color="auto"/>
        <w:right w:val="none" w:sz="0" w:space="0" w:color="auto"/>
      </w:divBdr>
    </w:div>
    <w:div w:id="1309094964">
      <w:bodyDiv w:val="1"/>
      <w:marLeft w:val="0"/>
      <w:marRight w:val="0"/>
      <w:marTop w:val="0"/>
      <w:marBottom w:val="0"/>
      <w:divBdr>
        <w:top w:val="none" w:sz="0" w:space="0" w:color="auto"/>
        <w:left w:val="none" w:sz="0" w:space="0" w:color="auto"/>
        <w:bottom w:val="none" w:sz="0" w:space="0" w:color="auto"/>
        <w:right w:val="none" w:sz="0" w:space="0" w:color="auto"/>
      </w:divBdr>
    </w:div>
    <w:div w:id="1344087393">
      <w:bodyDiv w:val="1"/>
      <w:marLeft w:val="0"/>
      <w:marRight w:val="0"/>
      <w:marTop w:val="0"/>
      <w:marBottom w:val="0"/>
      <w:divBdr>
        <w:top w:val="none" w:sz="0" w:space="0" w:color="auto"/>
        <w:left w:val="none" w:sz="0" w:space="0" w:color="auto"/>
        <w:bottom w:val="none" w:sz="0" w:space="0" w:color="auto"/>
        <w:right w:val="none" w:sz="0" w:space="0" w:color="auto"/>
      </w:divBdr>
    </w:div>
    <w:div w:id="1456561859">
      <w:bodyDiv w:val="1"/>
      <w:marLeft w:val="0"/>
      <w:marRight w:val="0"/>
      <w:marTop w:val="0"/>
      <w:marBottom w:val="0"/>
      <w:divBdr>
        <w:top w:val="none" w:sz="0" w:space="0" w:color="auto"/>
        <w:left w:val="none" w:sz="0" w:space="0" w:color="auto"/>
        <w:bottom w:val="none" w:sz="0" w:space="0" w:color="auto"/>
        <w:right w:val="none" w:sz="0" w:space="0" w:color="auto"/>
      </w:divBdr>
    </w:div>
    <w:div w:id="1458911880">
      <w:bodyDiv w:val="1"/>
      <w:marLeft w:val="0"/>
      <w:marRight w:val="0"/>
      <w:marTop w:val="0"/>
      <w:marBottom w:val="0"/>
      <w:divBdr>
        <w:top w:val="none" w:sz="0" w:space="0" w:color="auto"/>
        <w:left w:val="none" w:sz="0" w:space="0" w:color="auto"/>
        <w:bottom w:val="none" w:sz="0" w:space="0" w:color="auto"/>
        <w:right w:val="none" w:sz="0" w:space="0" w:color="auto"/>
      </w:divBdr>
      <w:divsChild>
        <w:div w:id="1589726255">
          <w:marLeft w:val="0"/>
          <w:marRight w:val="0"/>
          <w:marTop w:val="0"/>
          <w:marBottom w:val="240"/>
          <w:divBdr>
            <w:top w:val="none" w:sz="0" w:space="0" w:color="auto"/>
            <w:left w:val="none" w:sz="0" w:space="0" w:color="auto"/>
            <w:bottom w:val="none" w:sz="0" w:space="0" w:color="auto"/>
            <w:right w:val="none" w:sz="0" w:space="0" w:color="auto"/>
          </w:divBdr>
        </w:div>
        <w:div w:id="1382485162">
          <w:marLeft w:val="0"/>
          <w:marRight w:val="0"/>
          <w:marTop w:val="0"/>
          <w:marBottom w:val="0"/>
          <w:divBdr>
            <w:top w:val="none" w:sz="0" w:space="0" w:color="auto"/>
            <w:left w:val="none" w:sz="0" w:space="0" w:color="auto"/>
            <w:bottom w:val="none" w:sz="0" w:space="0" w:color="auto"/>
            <w:right w:val="none" w:sz="0" w:space="0" w:color="auto"/>
          </w:divBdr>
          <w:divsChild>
            <w:div w:id="2134863972">
              <w:marLeft w:val="0"/>
              <w:marRight w:val="0"/>
              <w:marTop w:val="0"/>
              <w:marBottom w:val="0"/>
              <w:divBdr>
                <w:top w:val="none" w:sz="0" w:space="0" w:color="auto"/>
                <w:left w:val="none" w:sz="0" w:space="0" w:color="auto"/>
                <w:bottom w:val="none" w:sz="0" w:space="0" w:color="auto"/>
                <w:right w:val="none" w:sz="0" w:space="0" w:color="auto"/>
              </w:divBdr>
              <w:divsChild>
                <w:div w:id="966205591">
                  <w:marLeft w:val="0"/>
                  <w:marRight w:val="0"/>
                  <w:marTop w:val="0"/>
                  <w:marBottom w:val="240"/>
                  <w:divBdr>
                    <w:top w:val="none" w:sz="0" w:space="0" w:color="auto"/>
                    <w:left w:val="none" w:sz="0" w:space="0" w:color="auto"/>
                    <w:bottom w:val="none" w:sz="0" w:space="0" w:color="auto"/>
                    <w:right w:val="none" w:sz="0" w:space="0" w:color="auto"/>
                  </w:divBdr>
                </w:div>
                <w:div w:id="1070421081">
                  <w:marLeft w:val="240"/>
                  <w:marRight w:val="0"/>
                  <w:marTop w:val="0"/>
                  <w:marBottom w:val="240"/>
                  <w:divBdr>
                    <w:top w:val="none" w:sz="0" w:space="0" w:color="auto"/>
                    <w:left w:val="none" w:sz="0" w:space="0" w:color="auto"/>
                    <w:bottom w:val="none" w:sz="0" w:space="0" w:color="auto"/>
                    <w:right w:val="none" w:sz="0" w:space="0" w:color="auto"/>
                  </w:divBdr>
                </w:div>
                <w:div w:id="200620290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2888163">
      <w:bodyDiv w:val="1"/>
      <w:marLeft w:val="0"/>
      <w:marRight w:val="0"/>
      <w:marTop w:val="0"/>
      <w:marBottom w:val="0"/>
      <w:divBdr>
        <w:top w:val="none" w:sz="0" w:space="0" w:color="auto"/>
        <w:left w:val="none" w:sz="0" w:space="0" w:color="auto"/>
        <w:bottom w:val="none" w:sz="0" w:space="0" w:color="auto"/>
        <w:right w:val="none" w:sz="0" w:space="0" w:color="auto"/>
      </w:divBdr>
    </w:div>
    <w:div w:id="1718776862">
      <w:bodyDiv w:val="1"/>
      <w:marLeft w:val="0"/>
      <w:marRight w:val="0"/>
      <w:marTop w:val="0"/>
      <w:marBottom w:val="0"/>
      <w:divBdr>
        <w:top w:val="none" w:sz="0" w:space="0" w:color="auto"/>
        <w:left w:val="none" w:sz="0" w:space="0" w:color="auto"/>
        <w:bottom w:val="none" w:sz="0" w:space="0" w:color="auto"/>
        <w:right w:val="none" w:sz="0" w:space="0" w:color="auto"/>
      </w:divBdr>
    </w:div>
    <w:div w:id="1726755533">
      <w:bodyDiv w:val="1"/>
      <w:marLeft w:val="0"/>
      <w:marRight w:val="0"/>
      <w:marTop w:val="0"/>
      <w:marBottom w:val="0"/>
      <w:divBdr>
        <w:top w:val="none" w:sz="0" w:space="0" w:color="auto"/>
        <w:left w:val="none" w:sz="0" w:space="0" w:color="auto"/>
        <w:bottom w:val="none" w:sz="0" w:space="0" w:color="auto"/>
        <w:right w:val="none" w:sz="0" w:space="0" w:color="auto"/>
      </w:divBdr>
    </w:div>
    <w:div w:id="1757170536">
      <w:bodyDiv w:val="1"/>
      <w:marLeft w:val="0"/>
      <w:marRight w:val="0"/>
      <w:marTop w:val="0"/>
      <w:marBottom w:val="0"/>
      <w:divBdr>
        <w:top w:val="none" w:sz="0" w:space="0" w:color="auto"/>
        <w:left w:val="none" w:sz="0" w:space="0" w:color="auto"/>
        <w:bottom w:val="none" w:sz="0" w:space="0" w:color="auto"/>
        <w:right w:val="none" w:sz="0" w:space="0" w:color="auto"/>
      </w:divBdr>
      <w:divsChild>
        <w:div w:id="469248101">
          <w:marLeft w:val="0"/>
          <w:marRight w:val="0"/>
          <w:marTop w:val="0"/>
          <w:marBottom w:val="240"/>
          <w:divBdr>
            <w:top w:val="none" w:sz="0" w:space="0" w:color="auto"/>
            <w:left w:val="none" w:sz="0" w:space="0" w:color="auto"/>
            <w:bottom w:val="none" w:sz="0" w:space="0" w:color="auto"/>
            <w:right w:val="none" w:sz="0" w:space="0" w:color="auto"/>
          </w:divBdr>
        </w:div>
        <w:div w:id="1067722948">
          <w:marLeft w:val="0"/>
          <w:marRight w:val="0"/>
          <w:marTop w:val="0"/>
          <w:marBottom w:val="0"/>
          <w:divBdr>
            <w:top w:val="none" w:sz="0" w:space="0" w:color="auto"/>
            <w:left w:val="none" w:sz="0" w:space="0" w:color="auto"/>
            <w:bottom w:val="none" w:sz="0" w:space="0" w:color="auto"/>
            <w:right w:val="none" w:sz="0" w:space="0" w:color="auto"/>
          </w:divBdr>
          <w:divsChild>
            <w:div w:id="363410194">
              <w:marLeft w:val="0"/>
              <w:marRight w:val="0"/>
              <w:marTop w:val="0"/>
              <w:marBottom w:val="0"/>
              <w:divBdr>
                <w:top w:val="none" w:sz="0" w:space="0" w:color="auto"/>
                <w:left w:val="none" w:sz="0" w:space="0" w:color="auto"/>
                <w:bottom w:val="none" w:sz="0" w:space="0" w:color="auto"/>
                <w:right w:val="none" w:sz="0" w:space="0" w:color="auto"/>
              </w:divBdr>
              <w:divsChild>
                <w:div w:id="730811811">
                  <w:marLeft w:val="0"/>
                  <w:marRight w:val="0"/>
                  <w:marTop w:val="0"/>
                  <w:marBottom w:val="240"/>
                  <w:divBdr>
                    <w:top w:val="none" w:sz="0" w:space="0" w:color="auto"/>
                    <w:left w:val="none" w:sz="0" w:space="0" w:color="auto"/>
                    <w:bottom w:val="none" w:sz="0" w:space="0" w:color="auto"/>
                    <w:right w:val="none" w:sz="0" w:space="0" w:color="auto"/>
                  </w:divBdr>
                </w:div>
                <w:div w:id="1937714684">
                  <w:marLeft w:val="240"/>
                  <w:marRight w:val="0"/>
                  <w:marTop w:val="0"/>
                  <w:marBottom w:val="240"/>
                  <w:divBdr>
                    <w:top w:val="none" w:sz="0" w:space="0" w:color="auto"/>
                    <w:left w:val="none" w:sz="0" w:space="0" w:color="auto"/>
                    <w:bottom w:val="none" w:sz="0" w:space="0" w:color="auto"/>
                    <w:right w:val="none" w:sz="0" w:space="0" w:color="auto"/>
                  </w:divBdr>
                </w:div>
                <w:div w:id="81764913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6263463">
      <w:bodyDiv w:val="1"/>
      <w:marLeft w:val="0"/>
      <w:marRight w:val="0"/>
      <w:marTop w:val="0"/>
      <w:marBottom w:val="0"/>
      <w:divBdr>
        <w:top w:val="none" w:sz="0" w:space="0" w:color="auto"/>
        <w:left w:val="none" w:sz="0" w:space="0" w:color="auto"/>
        <w:bottom w:val="none" w:sz="0" w:space="0" w:color="auto"/>
        <w:right w:val="none" w:sz="0" w:space="0" w:color="auto"/>
      </w:divBdr>
    </w:div>
    <w:div w:id="1774324602">
      <w:bodyDiv w:val="1"/>
      <w:marLeft w:val="0"/>
      <w:marRight w:val="0"/>
      <w:marTop w:val="0"/>
      <w:marBottom w:val="0"/>
      <w:divBdr>
        <w:top w:val="none" w:sz="0" w:space="0" w:color="auto"/>
        <w:left w:val="none" w:sz="0" w:space="0" w:color="auto"/>
        <w:bottom w:val="none" w:sz="0" w:space="0" w:color="auto"/>
        <w:right w:val="none" w:sz="0" w:space="0" w:color="auto"/>
      </w:divBdr>
      <w:divsChild>
        <w:div w:id="547297600">
          <w:marLeft w:val="0"/>
          <w:marRight w:val="0"/>
          <w:marTop w:val="0"/>
          <w:marBottom w:val="240"/>
          <w:divBdr>
            <w:top w:val="none" w:sz="0" w:space="0" w:color="auto"/>
            <w:left w:val="none" w:sz="0" w:space="0" w:color="auto"/>
            <w:bottom w:val="none" w:sz="0" w:space="0" w:color="auto"/>
            <w:right w:val="none" w:sz="0" w:space="0" w:color="auto"/>
          </w:divBdr>
        </w:div>
        <w:div w:id="989217128">
          <w:marLeft w:val="0"/>
          <w:marRight w:val="0"/>
          <w:marTop w:val="0"/>
          <w:marBottom w:val="240"/>
          <w:divBdr>
            <w:top w:val="none" w:sz="0" w:space="0" w:color="auto"/>
            <w:left w:val="none" w:sz="0" w:space="0" w:color="auto"/>
            <w:bottom w:val="none" w:sz="0" w:space="0" w:color="auto"/>
            <w:right w:val="none" w:sz="0" w:space="0" w:color="auto"/>
          </w:divBdr>
        </w:div>
        <w:div w:id="1182280283">
          <w:marLeft w:val="0"/>
          <w:marRight w:val="0"/>
          <w:marTop w:val="0"/>
          <w:marBottom w:val="240"/>
          <w:divBdr>
            <w:top w:val="none" w:sz="0" w:space="0" w:color="auto"/>
            <w:left w:val="none" w:sz="0" w:space="0" w:color="auto"/>
            <w:bottom w:val="none" w:sz="0" w:space="0" w:color="auto"/>
            <w:right w:val="none" w:sz="0" w:space="0" w:color="auto"/>
          </w:divBdr>
        </w:div>
        <w:div w:id="1525829160">
          <w:marLeft w:val="0"/>
          <w:marRight w:val="0"/>
          <w:marTop w:val="0"/>
          <w:marBottom w:val="240"/>
          <w:divBdr>
            <w:top w:val="none" w:sz="0" w:space="0" w:color="auto"/>
            <w:left w:val="none" w:sz="0" w:space="0" w:color="auto"/>
            <w:bottom w:val="none" w:sz="0" w:space="0" w:color="auto"/>
            <w:right w:val="none" w:sz="0" w:space="0" w:color="auto"/>
          </w:divBdr>
        </w:div>
        <w:div w:id="2002851739">
          <w:marLeft w:val="0"/>
          <w:marRight w:val="0"/>
          <w:marTop w:val="0"/>
          <w:marBottom w:val="240"/>
          <w:divBdr>
            <w:top w:val="none" w:sz="0" w:space="0" w:color="auto"/>
            <w:left w:val="none" w:sz="0" w:space="0" w:color="auto"/>
            <w:bottom w:val="none" w:sz="0" w:space="0" w:color="auto"/>
            <w:right w:val="none" w:sz="0" w:space="0" w:color="auto"/>
          </w:divBdr>
        </w:div>
        <w:div w:id="2047754648">
          <w:marLeft w:val="0"/>
          <w:marRight w:val="0"/>
          <w:marTop w:val="0"/>
          <w:marBottom w:val="240"/>
          <w:divBdr>
            <w:top w:val="none" w:sz="0" w:space="0" w:color="auto"/>
            <w:left w:val="none" w:sz="0" w:space="0" w:color="auto"/>
            <w:bottom w:val="none" w:sz="0" w:space="0" w:color="auto"/>
            <w:right w:val="none" w:sz="0" w:space="0" w:color="auto"/>
          </w:divBdr>
        </w:div>
        <w:div w:id="2115511177">
          <w:marLeft w:val="0"/>
          <w:marRight w:val="0"/>
          <w:marTop w:val="0"/>
          <w:marBottom w:val="240"/>
          <w:divBdr>
            <w:top w:val="none" w:sz="0" w:space="0" w:color="auto"/>
            <w:left w:val="none" w:sz="0" w:space="0" w:color="auto"/>
            <w:bottom w:val="none" w:sz="0" w:space="0" w:color="auto"/>
            <w:right w:val="none" w:sz="0" w:space="0" w:color="auto"/>
          </w:divBdr>
        </w:div>
      </w:divsChild>
    </w:div>
    <w:div w:id="1836218617">
      <w:bodyDiv w:val="1"/>
      <w:marLeft w:val="0"/>
      <w:marRight w:val="0"/>
      <w:marTop w:val="0"/>
      <w:marBottom w:val="0"/>
      <w:divBdr>
        <w:top w:val="none" w:sz="0" w:space="0" w:color="auto"/>
        <w:left w:val="none" w:sz="0" w:space="0" w:color="auto"/>
        <w:bottom w:val="none" w:sz="0" w:space="0" w:color="auto"/>
        <w:right w:val="none" w:sz="0" w:space="0" w:color="auto"/>
      </w:divBdr>
      <w:divsChild>
        <w:div w:id="593125">
          <w:marLeft w:val="0"/>
          <w:marRight w:val="0"/>
          <w:marTop w:val="0"/>
          <w:marBottom w:val="0"/>
          <w:divBdr>
            <w:top w:val="none" w:sz="0" w:space="0" w:color="auto"/>
            <w:left w:val="none" w:sz="0" w:space="0" w:color="auto"/>
            <w:bottom w:val="none" w:sz="0" w:space="0" w:color="auto"/>
            <w:right w:val="none" w:sz="0" w:space="0" w:color="auto"/>
          </w:divBdr>
          <w:divsChild>
            <w:div w:id="379744167">
              <w:marLeft w:val="0"/>
              <w:marRight w:val="0"/>
              <w:marTop w:val="0"/>
              <w:marBottom w:val="0"/>
              <w:divBdr>
                <w:top w:val="none" w:sz="0" w:space="0" w:color="auto"/>
                <w:left w:val="none" w:sz="0" w:space="0" w:color="auto"/>
                <w:bottom w:val="none" w:sz="0" w:space="0" w:color="auto"/>
                <w:right w:val="none" w:sz="0" w:space="0" w:color="auto"/>
              </w:divBdr>
            </w:div>
          </w:divsChild>
        </w:div>
        <w:div w:id="15929997">
          <w:marLeft w:val="0"/>
          <w:marRight w:val="0"/>
          <w:marTop w:val="0"/>
          <w:marBottom w:val="0"/>
          <w:divBdr>
            <w:top w:val="none" w:sz="0" w:space="0" w:color="auto"/>
            <w:left w:val="none" w:sz="0" w:space="0" w:color="auto"/>
            <w:bottom w:val="none" w:sz="0" w:space="0" w:color="auto"/>
            <w:right w:val="none" w:sz="0" w:space="0" w:color="auto"/>
          </w:divBdr>
          <w:divsChild>
            <w:div w:id="1430735086">
              <w:marLeft w:val="0"/>
              <w:marRight w:val="0"/>
              <w:marTop w:val="0"/>
              <w:marBottom w:val="0"/>
              <w:divBdr>
                <w:top w:val="none" w:sz="0" w:space="0" w:color="auto"/>
                <w:left w:val="none" w:sz="0" w:space="0" w:color="auto"/>
                <w:bottom w:val="none" w:sz="0" w:space="0" w:color="auto"/>
                <w:right w:val="none" w:sz="0" w:space="0" w:color="auto"/>
              </w:divBdr>
            </w:div>
          </w:divsChild>
        </w:div>
        <w:div w:id="21132254">
          <w:marLeft w:val="0"/>
          <w:marRight w:val="0"/>
          <w:marTop w:val="0"/>
          <w:marBottom w:val="0"/>
          <w:divBdr>
            <w:top w:val="none" w:sz="0" w:space="0" w:color="auto"/>
            <w:left w:val="none" w:sz="0" w:space="0" w:color="auto"/>
            <w:bottom w:val="none" w:sz="0" w:space="0" w:color="auto"/>
            <w:right w:val="none" w:sz="0" w:space="0" w:color="auto"/>
          </w:divBdr>
          <w:divsChild>
            <w:div w:id="586423615">
              <w:marLeft w:val="0"/>
              <w:marRight w:val="0"/>
              <w:marTop w:val="0"/>
              <w:marBottom w:val="0"/>
              <w:divBdr>
                <w:top w:val="none" w:sz="0" w:space="0" w:color="auto"/>
                <w:left w:val="none" w:sz="0" w:space="0" w:color="auto"/>
                <w:bottom w:val="none" w:sz="0" w:space="0" w:color="auto"/>
                <w:right w:val="none" w:sz="0" w:space="0" w:color="auto"/>
              </w:divBdr>
            </w:div>
          </w:divsChild>
        </w:div>
        <w:div w:id="40597036">
          <w:marLeft w:val="0"/>
          <w:marRight w:val="0"/>
          <w:marTop w:val="0"/>
          <w:marBottom w:val="0"/>
          <w:divBdr>
            <w:top w:val="none" w:sz="0" w:space="0" w:color="auto"/>
            <w:left w:val="none" w:sz="0" w:space="0" w:color="auto"/>
            <w:bottom w:val="none" w:sz="0" w:space="0" w:color="auto"/>
            <w:right w:val="none" w:sz="0" w:space="0" w:color="auto"/>
          </w:divBdr>
          <w:divsChild>
            <w:div w:id="654382045">
              <w:marLeft w:val="0"/>
              <w:marRight w:val="0"/>
              <w:marTop w:val="0"/>
              <w:marBottom w:val="0"/>
              <w:divBdr>
                <w:top w:val="none" w:sz="0" w:space="0" w:color="auto"/>
                <w:left w:val="none" w:sz="0" w:space="0" w:color="auto"/>
                <w:bottom w:val="none" w:sz="0" w:space="0" w:color="auto"/>
                <w:right w:val="none" w:sz="0" w:space="0" w:color="auto"/>
              </w:divBdr>
            </w:div>
          </w:divsChild>
        </w:div>
        <w:div w:id="95372709">
          <w:marLeft w:val="0"/>
          <w:marRight w:val="0"/>
          <w:marTop w:val="0"/>
          <w:marBottom w:val="0"/>
          <w:divBdr>
            <w:top w:val="none" w:sz="0" w:space="0" w:color="auto"/>
            <w:left w:val="none" w:sz="0" w:space="0" w:color="auto"/>
            <w:bottom w:val="none" w:sz="0" w:space="0" w:color="auto"/>
            <w:right w:val="none" w:sz="0" w:space="0" w:color="auto"/>
          </w:divBdr>
          <w:divsChild>
            <w:div w:id="96340833">
              <w:marLeft w:val="0"/>
              <w:marRight w:val="0"/>
              <w:marTop w:val="0"/>
              <w:marBottom w:val="0"/>
              <w:divBdr>
                <w:top w:val="none" w:sz="0" w:space="0" w:color="auto"/>
                <w:left w:val="none" w:sz="0" w:space="0" w:color="auto"/>
                <w:bottom w:val="none" w:sz="0" w:space="0" w:color="auto"/>
                <w:right w:val="none" w:sz="0" w:space="0" w:color="auto"/>
              </w:divBdr>
            </w:div>
          </w:divsChild>
        </w:div>
        <w:div w:id="146869402">
          <w:marLeft w:val="0"/>
          <w:marRight w:val="0"/>
          <w:marTop w:val="0"/>
          <w:marBottom w:val="0"/>
          <w:divBdr>
            <w:top w:val="none" w:sz="0" w:space="0" w:color="auto"/>
            <w:left w:val="none" w:sz="0" w:space="0" w:color="auto"/>
            <w:bottom w:val="none" w:sz="0" w:space="0" w:color="auto"/>
            <w:right w:val="none" w:sz="0" w:space="0" w:color="auto"/>
          </w:divBdr>
          <w:divsChild>
            <w:div w:id="1269776662">
              <w:marLeft w:val="0"/>
              <w:marRight w:val="0"/>
              <w:marTop w:val="0"/>
              <w:marBottom w:val="0"/>
              <w:divBdr>
                <w:top w:val="none" w:sz="0" w:space="0" w:color="auto"/>
                <w:left w:val="none" w:sz="0" w:space="0" w:color="auto"/>
                <w:bottom w:val="none" w:sz="0" w:space="0" w:color="auto"/>
                <w:right w:val="none" w:sz="0" w:space="0" w:color="auto"/>
              </w:divBdr>
            </w:div>
          </w:divsChild>
        </w:div>
        <w:div w:id="147214892">
          <w:marLeft w:val="0"/>
          <w:marRight w:val="0"/>
          <w:marTop w:val="0"/>
          <w:marBottom w:val="0"/>
          <w:divBdr>
            <w:top w:val="none" w:sz="0" w:space="0" w:color="auto"/>
            <w:left w:val="none" w:sz="0" w:space="0" w:color="auto"/>
            <w:bottom w:val="none" w:sz="0" w:space="0" w:color="auto"/>
            <w:right w:val="none" w:sz="0" w:space="0" w:color="auto"/>
          </w:divBdr>
          <w:divsChild>
            <w:div w:id="314726006">
              <w:marLeft w:val="0"/>
              <w:marRight w:val="0"/>
              <w:marTop w:val="0"/>
              <w:marBottom w:val="0"/>
              <w:divBdr>
                <w:top w:val="none" w:sz="0" w:space="0" w:color="auto"/>
                <w:left w:val="none" w:sz="0" w:space="0" w:color="auto"/>
                <w:bottom w:val="none" w:sz="0" w:space="0" w:color="auto"/>
                <w:right w:val="none" w:sz="0" w:space="0" w:color="auto"/>
              </w:divBdr>
            </w:div>
          </w:divsChild>
        </w:div>
        <w:div w:id="213200428">
          <w:marLeft w:val="0"/>
          <w:marRight w:val="0"/>
          <w:marTop w:val="0"/>
          <w:marBottom w:val="0"/>
          <w:divBdr>
            <w:top w:val="none" w:sz="0" w:space="0" w:color="auto"/>
            <w:left w:val="none" w:sz="0" w:space="0" w:color="auto"/>
            <w:bottom w:val="none" w:sz="0" w:space="0" w:color="auto"/>
            <w:right w:val="none" w:sz="0" w:space="0" w:color="auto"/>
          </w:divBdr>
          <w:divsChild>
            <w:div w:id="1867139481">
              <w:marLeft w:val="0"/>
              <w:marRight w:val="0"/>
              <w:marTop w:val="0"/>
              <w:marBottom w:val="0"/>
              <w:divBdr>
                <w:top w:val="none" w:sz="0" w:space="0" w:color="auto"/>
                <w:left w:val="none" w:sz="0" w:space="0" w:color="auto"/>
                <w:bottom w:val="none" w:sz="0" w:space="0" w:color="auto"/>
                <w:right w:val="none" w:sz="0" w:space="0" w:color="auto"/>
              </w:divBdr>
            </w:div>
          </w:divsChild>
        </w:div>
        <w:div w:id="256132708">
          <w:marLeft w:val="0"/>
          <w:marRight w:val="0"/>
          <w:marTop w:val="0"/>
          <w:marBottom w:val="0"/>
          <w:divBdr>
            <w:top w:val="none" w:sz="0" w:space="0" w:color="auto"/>
            <w:left w:val="none" w:sz="0" w:space="0" w:color="auto"/>
            <w:bottom w:val="none" w:sz="0" w:space="0" w:color="auto"/>
            <w:right w:val="none" w:sz="0" w:space="0" w:color="auto"/>
          </w:divBdr>
          <w:divsChild>
            <w:div w:id="2121953895">
              <w:marLeft w:val="0"/>
              <w:marRight w:val="0"/>
              <w:marTop w:val="0"/>
              <w:marBottom w:val="0"/>
              <w:divBdr>
                <w:top w:val="none" w:sz="0" w:space="0" w:color="auto"/>
                <w:left w:val="none" w:sz="0" w:space="0" w:color="auto"/>
                <w:bottom w:val="none" w:sz="0" w:space="0" w:color="auto"/>
                <w:right w:val="none" w:sz="0" w:space="0" w:color="auto"/>
              </w:divBdr>
            </w:div>
          </w:divsChild>
        </w:div>
        <w:div w:id="282274364">
          <w:marLeft w:val="0"/>
          <w:marRight w:val="0"/>
          <w:marTop w:val="0"/>
          <w:marBottom w:val="0"/>
          <w:divBdr>
            <w:top w:val="none" w:sz="0" w:space="0" w:color="auto"/>
            <w:left w:val="none" w:sz="0" w:space="0" w:color="auto"/>
            <w:bottom w:val="none" w:sz="0" w:space="0" w:color="auto"/>
            <w:right w:val="none" w:sz="0" w:space="0" w:color="auto"/>
          </w:divBdr>
          <w:divsChild>
            <w:div w:id="1386955077">
              <w:marLeft w:val="0"/>
              <w:marRight w:val="0"/>
              <w:marTop w:val="0"/>
              <w:marBottom w:val="0"/>
              <w:divBdr>
                <w:top w:val="none" w:sz="0" w:space="0" w:color="auto"/>
                <w:left w:val="none" w:sz="0" w:space="0" w:color="auto"/>
                <w:bottom w:val="none" w:sz="0" w:space="0" w:color="auto"/>
                <w:right w:val="none" w:sz="0" w:space="0" w:color="auto"/>
              </w:divBdr>
            </w:div>
          </w:divsChild>
        </w:div>
        <w:div w:id="354039531">
          <w:marLeft w:val="0"/>
          <w:marRight w:val="0"/>
          <w:marTop w:val="0"/>
          <w:marBottom w:val="0"/>
          <w:divBdr>
            <w:top w:val="none" w:sz="0" w:space="0" w:color="auto"/>
            <w:left w:val="none" w:sz="0" w:space="0" w:color="auto"/>
            <w:bottom w:val="none" w:sz="0" w:space="0" w:color="auto"/>
            <w:right w:val="none" w:sz="0" w:space="0" w:color="auto"/>
          </w:divBdr>
          <w:divsChild>
            <w:div w:id="374503209">
              <w:marLeft w:val="0"/>
              <w:marRight w:val="0"/>
              <w:marTop w:val="0"/>
              <w:marBottom w:val="0"/>
              <w:divBdr>
                <w:top w:val="none" w:sz="0" w:space="0" w:color="auto"/>
                <w:left w:val="none" w:sz="0" w:space="0" w:color="auto"/>
                <w:bottom w:val="none" w:sz="0" w:space="0" w:color="auto"/>
                <w:right w:val="none" w:sz="0" w:space="0" w:color="auto"/>
              </w:divBdr>
            </w:div>
          </w:divsChild>
        </w:div>
        <w:div w:id="385303833">
          <w:marLeft w:val="0"/>
          <w:marRight w:val="0"/>
          <w:marTop w:val="0"/>
          <w:marBottom w:val="0"/>
          <w:divBdr>
            <w:top w:val="none" w:sz="0" w:space="0" w:color="auto"/>
            <w:left w:val="none" w:sz="0" w:space="0" w:color="auto"/>
            <w:bottom w:val="none" w:sz="0" w:space="0" w:color="auto"/>
            <w:right w:val="none" w:sz="0" w:space="0" w:color="auto"/>
          </w:divBdr>
          <w:divsChild>
            <w:div w:id="2099212587">
              <w:marLeft w:val="0"/>
              <w:marRight w:val="0"/>
              <w:marTop w:val="0"/>
              <w:marBottom w:val="0"/>
              <w:divBdr>
                <w:top w:val="none" w:sz="0" w:space="0" w:color="auto"/>
                <w:left w:val="none" w:sz="0" w:space="0" w:color="auto"/>
                <w:bottom w:val="none" w:sz="0" w:space="0" w:color="auto"/>
                <w:right w:val="none" w:sz="0" w:space="0" w:color="auto"/>
              </w:divBdr>
            </w:div>
          </w:divsChild>
        </w:div>
        <w:div w:id="388070425">
          <w:marLeft w:val="0"/>
          <w:marRight w:val="0"/>
          <w:marTop w:val="0"/>
          <w:marBottom w:val="0"/>
          <w:divBdr>
            <w:top w:val="none" w:sz="0" w:space="0" w:color="auto"/>
            <w:left w:val="none" w:sz="0" w:space="0" w:color="auto"/>
            <w:bottom w:val="none" w:sz="0" w:space="0" w:color="auto"/>
            <w:right w:val="none" w:sz="0" w:space="0" w:color="auto"/>
          </w:divBdr>
          <w:divsChild>
            <w:div w:id="1337610193">
              <w:marLeft w:val="0"/>
              <w:marRight w:val="0"/>
              <w:marTop w:val="0"/>
              <w:marBottom w:val="0"/>
              <w:divBdr>
                <w:top w:val="none" w:sz="0" w:space="0" w:color="auto"/>
                <w:left w:val="none" w:sz="0" w:space="0" w:color="auto"/>
                <w:bottom w:val="none" w:sz="0" w:space="0" w:color="auto"/>
                <w:right w:val="none" w:sz="0" w:space="0" w:color="auto"/>
              </w:divBdr>
            </w:div>
          </w:divsChild>
        </w:div>
        <w:div w:id="390999418">
          <w:marLeft w:val="0"/>
          <w:marRight w:val="0"/>
          <w:marTop w:val="0"/>
          <w:marBottom w:val="0"/>
          <w:divBdr>
            <w:top w:val="none" w:sz="0" w:space="0" w:color="auto"/>
            <w:left w:val="none" w:sz="0" w:space="0" w:color="auto"/>
            <w:bottom w:val="none" w:sz="0" w:space="0" w:color="auto"/>
            <w:right w:val="none" w:sz="0" w:space="0" w:color="auto"/>
          </w:divBdr>
          <w:divsChild>
            <w:div w:id="695621138">
              <w:marLeft w:val="0"/>
              <w:marRight w:val="0"/>
              <w:marTop w:val="0"/>
              <w:marBottom w:val="0"/>
              <w:divBdr>
                <w:top w:val="none" w:sz="0" w:space="0" w:color="auto"/>
                <w:left w:val="none" w:sz="0" w:space="0" w:color="auto"/>
                <w:bottom w:val="none" w:sz="0" w:space="0" w:color="auto"/>
                <w:right w:val="none" w:sz="0" w:space="0" w:color="auto"/>
              </w:divBdr>
            </w:div>
          </w:divsChild>
        </w:div>
        <w:div w:id="407580260">
          <w:marLeft w:val="0"/>
          <w:marRight w:val="0"/>
          <w:marTop w:val="0"/>
          <w:marBottom w:val="0"/>
          <w:divBdr>
            <w:top w:val="none" w:sz="0" w:space="0" w:color="auto"/>
            <w:left w:val="none" w:sz="0" w:space="0" w:color="auto"/>
            <w:bottom w:val="none" w:sz="0" w:space="0" w:color="auto"/>
            <w:right w:val="none" w:sz="0" w:space="0" w:color="auto"/>
          </w:divBdr>
          <w:divsChild>
            <w:div w:id="1120609443">
              <w:marLeft w:val="0"/>
              <w:marRight w:val="0"/>
              <w:marTop w:val="0"/>
              <w:marBottom w:val="0"/>
              <w:divBdr>
                <w:top w:val="none" w:sz="0" w:space="0" w:color="auto"/>
                <w:left w:val="none" w:sz="0" w:space="0" w:color="auto"/>
                <w:bottom w:val="none" w:sz="0" w:space="0" w:color="auto"/>
                <w:right w:val="none" w:sz="0" w:space="0" w:color="auto"/>
              </w:divBdr>
            </w:div>
          </w:divsChild>
        </w:div>
        <w:div w:id="427043051">
          <w:marLeft w:val="0"/>
          <w:marRight w:val="0"/>
          <w:marTop w:val="0"/>
          <w:marBottom w:val="0"/>
          <w:divBdr>
            <w:top w:val="none" w:sz="0" w:space="0" w:color="auto"/>
            <w:left w:val="none" w:sz="0" w:space="0" w:color="auto"/>
            <w:bottom w:val="none" w:sz="0" w:space="0" w:color="auto"/>
            <w:right w:val="none" w:sz="0" w:space="0" w:color="auto"/>
          </w:divBdr>
          <w:divsChild>
            <w:div w:id="592058781">
              <w:marLeft w:val="0"/>
              <w:marRight w:val="0"/>
              <w:marTop w:val="0"/>
              <w:marBottom w:val="0"/>
              <w:divBdr>
                <w:top w:val="none" w:sz="0" w:space="0" w:color="auto"/>
                <w:left w:val="none" w:sz="0" w:space="0" w:color="auto"/>
                <w:bottom w:val="none" w:sz="0" w:space="0" w:color="auto"/>
                <w:right w:val="none" w:sz="0" w:space="0" w:color="auto"/>
              </w:divBdr>
            </w:div>
          </w:divsChild>
        </w:div>
        <w:div w:id="478112587">
          <w:marLeft w:val="0"/>
          <w:marRight w:val="0"/>
          <w:marTop w:val="0"/>
          <w:marBottom w:val="0"/>
          <w:divBdr>
            <w:top w:val="none" w:sz="0" w:space="0" w:color="auto"/>
            <w:left w:val="none" w:sz="0" w:space="0" w:color="auto"/>
            <w:bottom w:val="none" w:sz="0" w:space="0" w:color="auto"/>
            <w:right w:val="none" w:sz="0" w:space="0" w:color="auto"/>
          </w:divBdr>
          <w:divsChild>
            <w:div w:id="720327266">
              <w:marLeft w:val="0"/>
              <w:marRight w:val="0"/>
              <w:marTop w:val="0"/>
              <w:marBottom w:val="0"/>
              <w:divBdr>
                <w:top w:val="none" w:sz="0" w:space="0" w:color="auto"/>
                <w:left w:val="none" w:sz="0" w:space="0" w:color="auto"/>
                <w:bottom w:val="none" w:sz="0" w:space="0" w:color="auto"/>
                <w:right w:val="none" w:sz="0" w:space="0" w:color="auto"/>
              </w:divBdr>
            </w:div>
          </w:divsChild>
        </w:div>
        <w:div w:id="525601592">
          <w:marLeft w:val="0"/>
          <w:marRight w:val="0"/>
          <w:marTop w:val="0"/>
          <w:marBottom w:val="0"/>
          <w:divBdr>
            <w:top w:val="none" w:sz="0" w:space="0" w:color="auto"/>
            <w:left w:val="none" w:sz="0" w:space="0" w:color="auto"/>
            <w:bottom w:val="none" w:sz="0" w:space="0" w:color="auto"/>
            <w:right w:val="none" w:sz="0" w:space="0" w:color="auto"/>
          </w:divBdr>
          <w:divsChild>
            <w:div w:id="1081484858">
              <w:marLeft w:val="0"/>
              <w:marRight w:val="0"/>
              <w:marTop w:val="0"/>
              <w:marBottom w:val="0"/>
              <w:divBdr>
                <w:top w:val="none" w:sz="0" w:space="0" w:color="auto"/>
                <w:left w:val="none" w:sz="0" w:space="0" w:color="auto"/>
                <w:bottom w:val="none" w:sz="0" w:space="0" w:color="auto"/>
                <w:right w:val="none" w:sz="0" w:space="0" w:color="auto"/>
              </w:divBdr>
            </w:div>
          </w:divsChild>
        </w:div>
        <w:div w:id="548882190">
          <w:marLeft w:val="0"/>
          <w:marRight w:val="0"/>
          <w:marTop w:val="0"/>
          <w:marBottom w:val="0"/>
          <w:divBdr>
            <w:top w:val="none" w:sz="0" w:space="0" w:color="auto"/>
            <w:left w:val="none" w:sz="0" w:space="0" w:color="auto"/>
            <w:bottom w:val="none" w:sz="0" w:space="0" w:color="auto"/>
            <w:right w:val="none" w:sz="0" w:space="0" w:color="auto"/>
          </w:divBdr>
          <w:divsChild>
            <w:div w:id="2066685091">
              <w:marLeft w:val="0"/>
              <w:marRight w:val="0"/>
              <w:marTop w:val="0"/>
              <w:marBottom w:val="0"/>
              <w:divBdr>
                <w:top w:val="none" w:sz="0" w:space="0" w:color="auto"/>
                <w:left w:val="none" w:sz="0" w:space="0" w:color="auto"/>
                <w:bottom w:val="none" w:sz="0" w:space="0" w:color="auto"/>
                <w:right w:val="none" w:sz="0" w:space="0" w:color="auto"/>
              </w:divBdr>
            </w:div>
          </w:divsChild>
        </w:div>
        <w:div w:id="562329235">
          <w:marLeft w:val="0"/>
          <w:marRight w:val="0"/>
          <w:marTop w:val="0"/>
          <w:marBottom w:val="0"/>
          <w:divBdr>
            <w:top w:val="none" w:sz="0" w:space="0" w:color="auto"/>
            <w:left w:val="none" w:sz="0" w:space="0" w:color="auto"/>
            <w:bottom w:val="none" w:sz="0" w:space="0" w:color="auto"/>
            <w:right w:val="none" w:sz="0" w:space="0" w:color="auto"/>
          </w:divBdr>
          <w:divsChild>
            <w:div w:id="1208027604">
              <w:marLeft w:val="0"/>
              <w:marRight w:val="0"/>
              <w:marTop w:val="0"/>
              <w:marBottom w:val="0"/>
              <w:divBdr>
                <w:top w:val="none" w:sz="0" w:space="0" w:color="auto"/>
                <w:left w:val="none" w:sz="0" w:space="0" w:color="auto"/>
                <w:bottom w:val="none" w:sz="0" w:space="0" w:color="auto"/>
                <w:right w:val="none" w:sz="0" w:space="0" w:color="auto"/>
              </w:divBdr>
            </w:div>
          </w:divsChild>
        </w:div>
        <w:div w:id="611471696">
          <w:marLeft w:val="0"/>
          <w:marRight w:val="0"/>
          <w:marTop w:val="0"/>
          <w:marBottom w:val="0"/>
          <w:divBdr>
            <w:top w:val="none" w:sz="0" w:space="0" w:color="auto"/>
            <w:left w:val="none" w:sz="0" w:space="0" w:color="auto"/>
            <w:bottom w:val="none" w:sz="0" w:space="0" w:color="auto"/>
            <w:right w:val="none" w:sz="0" w:space="0" w:color="auto"/>
          </w:divBdr>
          <w:divsChild>
            <w:div w:id="1336960772">
              <w:marLeft w:val="0"/>
              <w:marRight w:val="0"/>
              <w:marTop w:val="0"/>
              <w:marBottom w:val="0"/>
              <w:divBdr>
                <w:top w:val="none" w:sz="0" w:space="0" w:color="auto"/>
                <w:left w:val="none" w:sz="0" w:space="0" w:color="auto"/>
                <w:bottom w:val="none" w:sz="0" w:space="0" w:color="auto"/>
                <w:right w:val="none" w:sz="0" w:space="0" w:color="auto"/>
              </w:divBdr>
            </w:div>
          </w:divsChild>
        </w:div>
        <w:div w:id="638077093">
          <w:marLeft w:val="0"/>
          <w:marRight w:val="0"/>
          <w:marTop w:val="0"/>
          <w:marBottom w:val="0"/>
          <w:divBdr>
            <w:top w:val="none" w:sz="0" w:space="0" w:color="auto"/>
            <w:left w:val="none" w:sz="0" w:space="0" w:color="auto"/>
            <w:bottom w:val="none" w:sz="0" w:space="0" w:color="auto"/>
            <w:right w:val="none" w:sz="0" w:space="0" w:color="auto"/>
          </w:divBdr>
          <w:divsChild>
            <w:div w:id="1984312508">
              <w:marLeft w:val="0"/>
              <w:marRight w:val="0"/>
              <w:marTop w:val="0"/>
              <w:marBottom w:val="0"/>
              <w:divBdr>
                <w:top w:val="none" w:sz="0" w:space="0" w:color="auto"/>
                <w:left w:val="none" w:sz="0" w:space="0" w:color="auto"/>
                <w:bottom w:val="none" w:sz="0" w:space="0" w:color="auto"/>
                <w:right w:val="none" w:sz="0" w:space="0" w:color="auto"/>
              </w:divBdr>
            </w:div>
          </w:divsChild>
        </w:div>
        <w:div w:id="644553528">
          <w:marLeft w:val="0"/>
          <w:marRight w:val="0"/>
          <w:marTop w:val="0"/>
          <w:marBottom w:val="0"/>
          <w:divBdr>
            <w:top w:val="none" w:sz="0" w:space="0" w:color="auto"/>
            <w:left w:val="none" w:sz="0" w:space="0" w:color="auto"/>
            <w:bottom w:val="none" w:sz="0" w:space="0" w:color="auto"/>
            <w:right w:val="none" w:sz="0" w:space="0" w:color="auto"/>
          </w:divBdr>
          <w:divsChild>
            <w:div w:id="1466312918">
              <w:marLeft w:val="0"/>
              <w:marRight w:val="0"/>
              <w:marTop w:val="0"/>
              <w:marBottom w:val="0"/>
              <w:divBdr>
                <w:top w:val="none" w:sz="0" w:space="0" w:color="auto"/>
                <w:left w:val="none" w:sz="0" w:space="0" w:color="auto"/>
                <w:bottom w:val="none" w:sz="0" w:space="0" w:color="auto"/>
                <w:right w:val="none" w:sz="0" w:space="0" w:color="auto"/>
              </w:divBdr>
            </w:div>
          </w:divsChild>
        </w:div>
        <w:div w:id="688726328">
          <w:marLeft w:val="0"/>
          <w:marRight w:val="0"/>
          <w:marTop w:val="0"/>
          <w:marBottom w:val="0"/>
          <w:divBdr>
            <w:top w:val="none" w:sz="0" w:space="0" w:color="auto"/>
            <w:left w:val="none" w:sz="0" w:space="0" w:color="auto"/>
            <w:bottom w:val="none" w:sz="0" w:space="0" w:color="auto"/>
            <w:right w:val="none" w:sz="0" w:space="0" w:color="auto"/>
          </w:divBdr>
          <w:divsChild>
            <w:div w:id="274097163">
              <w:marLeft w:val="0"/>
              <w:marRight w:val="0"/>
              <w:marTop w:val="0"/>
              <w:marBottom w:val="0"/>
              <w:divBdr>
                <w:top w:val="none" w:sz="0" w:space="0" w:color="auto"/>
                <w:left w:val="none" w:sz="0" w:space="0" w:color="auto"/>
                <w:bottom w:val="none" w:sz="0" w:space="0" w:color="auto"/>
                <w:right w:val="none" w:sz="0" w:space="0" w:color="auto"/>
              </w:divBdr>
            </w:div>
          </w:divsChild>
        </w:div>
        <w:div w:id="700907600">
          <w:marLeft w:val="0"/>
          <w:marRight w:val="0"/>
          <w:marTop w:val="0"/>
          <w:marBottom w:val="0"/>
          <w:divBdr>
            <w:top w:val="none" w:sz="0" w:space="0" w:color="auto"/>
            <w:left w:val="none" w:sz="0" w:space="0" w:color="auto"/>
            <w:bottom w:val="none" w:sz="0" w:space="0" w:color="auto"/>
            <w:right w:val="none" w:sz="0" w:space="0" w:color="auto"/>
          </w:divBdr>
          <w:divsChild>
            <w:div w:id="1054157334">
              <w:marLeft w:val="0"/>
              <w:marRight w:val="0"/>
              <w:marTop w:val="0"/>
              <w:marBottom w:val="0"/>
              <w:divBdr>
                <w:top w:val="none" w:sz="0" w:space="0" w:color="auto"/>
                <w:left w:val="none" w:sz="0" w:space="0" w:color="auto"/>
                <w:bottom w:val="none" w:sz="0" w:space="0" w:color="auto"/>
                <w:right w:val="none" w:sz="0" w:space="0" w:color="auto"/>
              </w:divBdr>
            </w:div>
          </w:divsChild>
        </w:div>
        <w:div w:id="707874464">
          <w:marLeft w:val="0"/>
          <w:marRight w:val="0"/>
          <w:marTop w:val="0"/>
          <w:marBottom w:val="0"/>
          <w:divBdr>
            <w:top w:val="none" w:sz="0" w:space="0" w:color="auto"/>
            <w:left w:val="none" w:sz="0" w:space="0" w:color="auto"/>
            <w:bottom w:val="none" w:sz="0" w:space="0" w:color="auto"/>
            <w:right w:val="none" w:sz="0" w:space="0" w:color="auto"/>
          </w:divBdr>
          <w:divsChild>
            <w:div w:id="1326474795">
              <w:marLeft w:val="0"/>
              <w:marRight w:val="0"/>
              <w:marTop w:val="0"/>
              <w:marBottom w:val="0"/>
              <w:divBdr>
                <w:top w:val="none" w:sz="0" w:space="0" w:color="auto"/>
                <w:left w:val="none" w:sz="0" w:space="0" w:color="auto"/>
                <w:bottom w:val="none" w:sz="0" w:space="0" w:color="auto"/>
                <w:right w:val="none" w:sz="0" w:space="0" w:color="auto"/>
              </w:divBdr>
            </w:div>
          </w:divsChild>
        </w:div>
        <w:div w:id="71731951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
          </w:divsChild>
        </w:div>
        <w:div w:id="734624368">
          <w:marLeft w:val="0"/>
          <w:marRight w:val="0"/>
          <w:marTop w:val="0"/>
          <w:marBottom w:val="0"/>
          <w:divBdr>
            <w:top w:val="none" w:sz="0" w:space="0" w:color="auto"/>
            <w:left w:val="none" w:sz="0" w:space="0" w:color="auto"/>
            <w:bottom w:val="none" w:sz="0" w:space="0" w:color="auto"/>
            <w:right w:val="none" w:sz="0" w:space="0" w:color="auto"/>
          </w:divBdr>
          <w:divsChild>
            <w:div w:id="99180915">
              <w:marLeft w:val="0"/>
              <w:marRight w:val="0"/>
              <w:marTop w:val="0"/>
              <w:marBottom w:val="0"/>
              <w:divBdr>
                <w:top w:val="none" w:sz="0" w:space="0" w:color="auto"/>
                <w:left w:val="none" w:sz="0" w:space="0" w:color="auto"/>
                <w:bottom w:val="none" w:sz="0" w:space="0" w:color="auto"/>
                <w:right w:val="none" w:sz="0" w:space="0" w:color="auto"/>
              </w:divBdr>
            </w:div>
          </w:divsChild>
        </w:div>
        <w:div w:id="755593427">
          <w:marLeft w:val="0"/>
          <w:marRight w:val="0"/>
          <w:marTop w:val="0"/>
          <w:marBottom w:val="0"/>
          <w:divBdr>
            <w:top w:val="none" w:sz="0" w:space="0" w:color="auto"/>
            <w:left w:val="none" w:sz="0" w:space="0" w:color="auto"/>
            <w:bottom w:val="none" w:sz="0" w:space="0" w:color="auto"/>
            <w:right w:val="none" w:sz="0" w:space="0" w:color="auto"/>
          </w:divBdr>
          <w:divsChild>
            <w:div w:id="142242502">
              <w:marLeft w:val="0"/>
              <w:marRight w:val="0"/>
              <w:marTop w:val="0"/>
              <w:marBottom w:val="0"/>
              <w:divBdr>
                <w:top w:val="none" w:sz="0" w:space="0" w:color="auto"/>
                <w:left w:val="none" w:sz="0" w:space="0" w:color="auto"/>
                <w:bottom w:val="none" w:sz="0" w:space="0" w:color="auto"/>
                <w:right w:val="none" w:sz="0" w:space="0" w:color="auto"/>
              </w:divBdr>
            </w:div>
          </w:divsChild>
        </w:div>
        <w:div w:id="864438530">
          <w:marLeft w:val="0"/>
          <w:marRight w:val="0"/>
          <w:marTop w:val="0"/>
          <w:marBottom w:val="0"/>
          <w:divBdr>
            <w:top w:val="none" w:sz="0" w:space="0" w:color="auto"/>
            <w:left w:val="none" w:sz="0" w:space="0" w:color="auto"/>
            <w:bottom w:val="none" w:sz="0" w:space="0" w:color="auto"/>
            <w:right w:val="none" w:sz="0" w:space="0" w:color="auto"/>
          </w:divBdr>
          <w:divsChild>
            <w:div w:id="271789771">
              <w:marLeft w:val="0"/>
              <w:marRight w:val="0"/>
              <w:marTop w:val="0"/>
              <w:marBottom w:val="0"/>
              <w:divBdr>
                <w:top w:val="none" w:sz="0" w:space="0" w:color="auto"/>
                <w:left w:val="none" w:sz="0" w:space="0" w:color="auto"/>
                <w:bottom w:val="none" w:sz="0" w:space="0" w:color="auto"/>
                <w:right w:val="none" w:sz="0" w:space="0" w:color="auto"/>
              </w:divBdr>
            </w:div>
          </w:divsChild>
        </w:div>
        <w:div w:id="869102401">
          <w:marLeft w:val="0"/>
          <w:marRight w:val="0"/>
          <w:marTop w:val="0"/>
          <w:marBottom w:val="0"/>
          <w:divBdr>
            <w:top w:val="none" w:sz="0" w:space="0" w:color="auto"/>
            <w:left w:val="none" w:sz="0" w:space="0" w:color="auto"/>
            <w:bottom w:val="none" w:sz="0" w:space="0" w:color="auto"/>
            <w:right w:val="none" w:sz="0" w:space="0" w:color="auto"/>
          </w:divBdr>
          <w:divsChild>
            <w:div w:id="1686051529">
              <w:marLeft w:val="0"/>
              <w:marRight w:val="0"/>
              <w:marTop w:val="0"/>
              <w:marBottom w:val="0"/>
              <w:divBdr>
                <w:top w:val="none" w:sz="0" w:space="0" w:color="auto"/>
                <w:left w:val="none" w:sz="0" w:space="0" w:color="auto"/>
                <w:bottom w:val="none" w:sz="0" w:space="0" w:color="auto"/>
                <w:right w:val="none" w:sz="0" w:space="0" w:color="auto"/>
              </w:divBdr>
            </w:div>
          </w:divsChild>
        </w:div>
        <w:div w:id="873736987">
          <w:marLeft w:val="0"/>
          <w:marRight w:val="0"/>
          <w:marTop w:val="0"/>
          <w:marBottom w:val="0"/>
          <w:divBdr>
            <w:top w:val="none" w:sz="0" w:space="0" w:color="auto"/>
            <w:left w:val="none" w:sz="0" w:space="0" w:color="auto"/>
            <w:bottom w:val="none" w:sz="0" w:space="0" w:color="auto"/>
            <w:right w:val="none" w:sz="0" w:space="0" w:color="auto"/>
          </w:divBdr>
          <w:divsChild>
            <w:div w:id="1393502736">
              <w:marLeft w:val="0"/>
              <w:marRight w:val="0"/>
              <w:marTop w:val="0"/>
              <w:marBottom w:val="0"/>
              <w:divBdr>
                <w:top w:val="none" w:sz="0" w:space="0" w:color="auto"/>
                <w:left w:val="none" w:sz="0" w:space="0" w:color="auto"/>
                <w:bottom w:val="none" w:sz="0" w:space="0" w:color="auto"/>
                <w:right w:val="none" w:sz="0" w:space="0" w:color="auto"/>
              </w:divBdr>
            </w:div>
          </w:divsChild>
        </w:div>
        <w:div w:id="899709402">
          <w:marLeft w:val="0"/>
          <w:marRight w:val="0"/>
          <w:marTop w:val="0"/>
          <w:marBottom w:val="0"/>
          <w:divBdr>
            <w:top w:val="none" w:sz="0" w:space="0" w:color="auto"/>
            <w:left w:val="none" w:sz="0" w:space="0" w:color="auto"/>
            <w:bottom w:val="none" w:sz="0" w:space="0" w:color="auto"/>
            <w:right w:val="none" w:sz="0" w:space="0" w:color="auto"/>
          </w:divBdr>
          <w:divsChild>
            <w:div w:id="1002053846">
              <w:marLeft w:val="0"/>
              <w:marRight w:val="0"/>
              <w:marTop w:val="0"/>
              <w:marBottom w:val="0"/>
              <w:divBdr>
                <w:top w:val="none" w:sz="0" w:space="0" w:color="auto"/>
                <w:left w:val="none" w:sz="0" w:space="0" w:color="auto"/>
                <w:bottom w:val="none" w:sz="0" w:space="0" w:color="auto"/>
                <w:right w:val="none" w:sz="0" w:space="0" w:color="auto"/>
              </w:divBdr>
            </w:div>
          </w:divsChild>
        </w:div>
        <w:div w:id="939606453">
          <w:marLeft w:val="0"/>
          <w:marRight w:val="0"/>
          <w:marTop w:val="0"/>
          <w:marBottom w:val="0"/>
          <w:divBdr>
            <w:top w:val="none" w:sz="0" w:space="0" w:color="auto"/>
            <w:left w:val="none" w:sz="0" w:space="0" w:color="auto"/>
            <w:bottom w:val="none" w:sz="0" w:space="0" w:color="auto"/>
            <w:right w:val="none" w:sz="0" w:space="0" w:color="auto"/>
          </w:divBdr>
          <w:divsChild>
            <w:div w:id="2063753137">
              <w:marLeft w:val="0"/>
              <w:marRight w:val="0"/>
              <w:marTop w:val="0"/>
              <w:marBottom w:val="0"/>
              <w:divBdr>
                <w:top w:val="none" w:sz="0" w:space="0" w:color="auto"/>
                <w:left w:val="none" w:sz="0" w:space="0" w:color="auto"/>
                <w:bottom w:val="none" w:sz="0" w:space="0" w:color="auto"/>
                <w:right w:val="none" w:sz="0" w:space="0" w:color="auto"/>
              </w:divBdr>
            </w:div>
          </w:divsChild>
        </w:div>
        <w:div w:id="993530999">
          <w:marLeft w:val="0"/>
          <w:marRight w:val="0"/>
          <w:marTop w:val="0"/>
          <w:marBottom w:val="0"/>
          <w:divBdr>
            <w:top w:val="none" w:sz="0" w:space="0" w:color="auto"/>
            <w:left w:val="none" w:sz="0" w:space="0" w:color="auto"/>
            <w:bottom w:val="none" w:sz="0" w:space="0" w:color="auto"/>
            <w:right w:val="none" w:sz="0" w:space="0" w:color="auto"/>
          </w:divBdr>
          <w:divsChild>
            <w:div w:id="1894659467">
              <w:marLeft w:val="0"/>
              <w:marRight w:val="0"/>
              <w:marTop w:val="0"/>
              <w:marBottom w:val="0"/>
              <w:divBdr>
                <w:top w:val="none" w:sz="0" w:space="0" w:color="auto"/>
                <w:left w:val="none" w:sz="0" w:space="0" w:color="auto"/>
                <w:bottom w:val="none" w:sz="0" w:space="0" w:color="auto"/>
                <w:right w:val="none" w:sz="0" w:space="0" w:color="auto"/>
              </w:divBdr>
            </w:div>
          </w:divsChild>
        </w:div>
        <w:div w:id="1030453824">
          <w:marLeft w:val="0"/>
          <w:marRight w:val="0"/>
          <w:marTop w:val="0"/>
          <w:marBottom w:val="0"/>
          <w:divBdr>
            <w:top w:val="none" w:sz="0" w:space="0" w:color="auto"/>
            <w:left w:val="none" w:sz="0" w:space="0" w:color="auto"/>
            <w:bottom w:val="none" w:sz="0" w:space="0" w:color="auto"/>
            <w:right w:val="none" w:sz="0" w:space="0" w:color="auto"/>
          </w:divBdr>
          <w:divsChild>
            <w:div w:id="727413399">
              <w:marLeft w:val="0"/>
              <w:marRight w:val="0"/>
              <w:marTop w:val="0"/>
              <w:marBottom w:val="0"/>
              <w:divBdr>
                <w:top w:val="none" w:sz="0" w:space="0" w:color="auto"/>
                <w:left w:val="none" w:sz="0" w:space="0" w:color="auto"/>
                <w:bottom w:val="none" w:sz="0" w:space="0" w:color="auto"/>
                <w:right w:val="none" w:sz="0" w:space="0" w:color="auto"/>
              </w:divBdr>
            </w:div>
          </w:divsChild>
        </w:div>
        <w:div w:id="1087654928">
          <w:marLeft w:val="0"/>
          <w:marRight w:val="0"/>
          <w:marTop w:val="0"/>
          <w:marBottom w:val="0"/>
          <w:divBdr>
            <w:top w:val="none" w:sz="0" w:space="0" w:color="auto"/>
            <w:left w:val="none" w:sz="0" w:space="0" w:color="auto"/>
            <w:bottom w:val="none" w:sz="0" w:space="0" w:color="auto"/>
            <w:right w:val="none" w:sz="0" w:space="0" w:color="auto"/>
          </w:divBdr>
          <w:divsChild>
            <w:div w:id="2020160400">
              <w:marLeft w:val="0"/>
              <w:marRight w:val="0"/>
              <w:marTop w:val="0"/>
              <w:marBottom w:val="0"/>
              <w:divBdr>
                <w:top w:val="none" w:sz="0" w:space="0" w:color="auto"/>
                <w:left w:val="none" w:sz="0" w:space="0" w:color="auto"/>
                <w:bottom w:val="none" w:sz="0" w:space="0" w:color="auto"/>
                <w:right w:val="none" w:sz="0" w:space="0" w:color="auto"/>
              </w:divBdr>
            </w:div>
          </w:divsChild>
        </w:div>
        <w:div w:id="1100369414">
          <w:marLeft w:val="0"/>
          <w:marRight w:val="0"/>
          <w:marTop w:val="0"/>
          <w:marBottom w:val="0"/>
          <w:divBdr>
            <w:top w:val="none" w:sz="0" w:space="0" w:color="auto"/>
            <w:left w:val="none" w:sz="0" w:space="0" w:color="auto"/>
            <w:bottom w:val="none" w:sz="0" w:space="0" w:color="auto"/>
            <w:right w:val="none" w:sz="0" w:space="0" w:color="auto"/>
          </w:divBdr>
          <w:divsChild>
            <w:div w:id="1611090157">
              <w:marLeft w:val="0"/>
              <w:marRight w:val="0"/>
              <w:marTop w:val="0"/>
              <w:marBottom w:val="0"/>
              <w:divBdr>
                <w:top w:val="none" w:sz="0" w:space="0" w:color="auto"/>
                <w:left w:val="none" w:sz="0" w:space="0" w:color="auto"/>
                <w:bottom w:val="none" w:sz="0" w:space="0" w:color="auto"/>
                <w:right w:val="none" w:sz="0" w:space="0" w:color="auto"/>
              </w:divBdr>
            </w:div>
          </w:divsChild>
        </w:div>
        <w:div w:id="1151214858">
          <w:marLeft w:val="0"/>
          <w:marRight w:val="0"/>
          <w:marTop w:val="0"/>
          <w:marBottom w:val="0"/>
          <w:divBdr>
            <w:top w:val="none" w:sz="0" w:space="0" w:color="auto"/>
            <w:left w:val="none" w:sz="0" w:space="0" w:color="auto"/>
            <w:bottom w:val="none" w:sz="0" w:space="0" w:color="auto"/>
            <w:right w:val="none" w:sz="0" w:space="0" w:color="auto"/>
          </w:divBdr>
          <w:divsChild>
            <w:div w:id="1694189665">
              <w:marLeft w:val="0"/>
              <w:marRight w:val="0"/>
              <w:marTop w:val="0"/>
              <w:marBottom w:val="0"/>
              <w:divBdr>
                <w:top w:val="none" w:sz="0" w:space="0" w:color="auto"/>
                <w:left w:val="none" w:sz="0" w:space="0" w:color="auto"/>
                <w:bottom w:val="none" w:sz="0" w:space="0" w:color="auto"/>
                <w:right w:val="none" w:sz="0" w:space="0" w:color="auto"/>
              </w:divBdr>
            </w:div>
          </w:divsChild>
        </w:div>
        <w:div w:id="1167474446">
          <w:marLeft w:val="0"/>
          <w:marRight w:val="0"/>
          <w:marTop w:val="0"/>
          <w:marBottom w:val="0"/>
          <w:divBdr>
            <w:top w:val="none" w:sz="0" w:space="0" w:color="auto"/>
            <w:left w:val="none" w:sz="0" w:space="0" w:color="auto"/>
            <w:bottom w:val="none" w:sz="0" w:space="0" w:color="auto"/>
            <w:right w:val="none" w:sz="0" w:space="0" w:color="auto"/>
          </w:divBdr>
          <w:divsChild>
            <w:div w:id="1325276337">
              <w:marLeft w:val="0"/>
              <w:marRight w:val="0"/>
              <w:marTop w:val="0"/>
              <w:marBottom w:val="0"/>
              <w:divBdr>
                <w:top w:val="none" w:sz="0" w:space="0" w:color="auto"/>
                <w:left w:val="none" w:sz="0" w:space="0" w:color="auto"/>
                <w:bottom w:val="none" w:sz="0" w:space="0" w:color="auto"/>
                <w:right w:val="none" w:sz="0" w:space="0" w:color="auto"/>
              </w:divBdr>
            </w:div>
          </w:divsChild>
        </w:div>
        <w:div w:id="1176843136">
          <w:marLeft w:val="0"/>
          <w:marRight w:val="0"/>
          <w:marTop w:val="0"/>
          <w:marBottom w:val="0"/>
          <w:divBdr>
            <w:top w:val="none" w:sz="0" w:space="0" w:color="auto"/>
            <w:left w:val="none" w:sz="0" w:space="0" w:color="auto"/>
            <w:bottom w:val="none" w:sz="0" w:space="0" w:color="auto"/>
            <w:right w:val="none" w:sz="0" w:space="0" w:color="auto"/>
          </w:divBdr>
          <w:divsChild>
            <w:div w:id="2004971499">
              <w:marLeft w:val="0"/>
              <w:marRight w:val="0"/>
              <w:marTop w:val="0"/>
              <w:marBottom w:val="0"/>
              <w:divBdr>
                <w:top w:val="none" w:sz="0" w:space="0" w:color="auto"/>
                <w:left w:val="none" w:sz="0" w:space="0" w:color="auto"/>
                <w:bottom w:val="none" w:sz="0" w:space="0" w:color="auto"/>
                <w:right w:val="none" w:sz="0" w:space="0" w:color="auto"/>
              </w:divBdr>
            </w:div>
          </w:divsChild>
        </w:div>
        <w:div w:id="1184131421">
          <w:marLeft w:val="0"/>
          <w:marRight w:val="0"/>
          <w:marTop w:val="0"/>
          <w:marBottom w:val="0"/>
          <w:divBdr>
            <w:top w:val="none" w:sz="0" w:space="0" w:color="auto"/>
            <w:left w:val="none" w:sz="0" w:space="0" w:color="auto"/>
            <w:bottom w:val="none" w:sz="0" w:space="0" w:color="auto"/>
            <w:right w:val="none" w:sz="0" w:space="0" w:color="auto"/>
          </w:divBdr>
          <w:divsChild>
            <w:div w:id="673995664">
              <w:marLeft w:val="0"/>
              <w:marRight w:val="0"/>
              <w:marTop w:val="0"/>
              <w:marBottom w:val="0"/>
              <w:divBdr>
                <w:top w:val="none" w:sz="0" w:space="0" w:color="auto"/>
                <w:left w:val="none" w:sz="0" w:space="0" w:color="auto"/>
                <w:bottom w:val="none" w:sz="0" w:space="0" w:color="auto"/>
                <w:right w:val="none" w:sz="0" w:space="0" w:color="auto"/>
              </w:divBdr>
            </w:div>
          </w:divsChild>
        </w:div>
        <w:div w:id="1197620571">
          <w:marLeft w:val="0"/>
          <w:marRight w:val="0"/>
          <w:marTop w:val="0"/>
          <w:marBottom w:val="0"/>
          <w:divBdr>
            <w:top w:val="none" w:sz="0" w:space="0" w:color="auto"/>
            <w:left w:val="none" w:sz="0" w:space="0" w:color="auto"/>
            <w:bottom w:val="none" w:sz="0" w:space="0" w:color="auto"/>
            <w:right w:val="none" w:sz="0" w:space="0" w:color="auto"/>
          </w:divBdr>
          <w:divsChild>
            <w:div w:id="864757087">
              <w:marLeft w:val="0"/>
              <w:marRight w:val="0"/>
              <w:marTop w:val="0"/>
              <w:marBottom w:val="0"/>
              <w:divBdr>
                <w:top w:val="none" w:sz="0" w:space="0" w:color="auto"/>
                <w:left w:val="none" w:sz="0" w:space="0" w:color="auto"/>
                <w:bottom w:val="none" w:sz="0" w:space="0" w:color="auto"/>
                <w:right w:val="none" w:sz="0" w:space="0" w:color="auto"/>
              </w:divBdr>
            </w:div>
          </w:divsChild>
        </w:div>
        <w:div w:id="1234856821">
          <w:marLeft w:val="0"/>
          <w:marRight w:val="0"/>
          <w:marTop w:val="0"/>
          <w:marBottom w:val="0"/>
          <w:divBdr>
            <w:top w:val="none" w:sz="0" w:space="0" w:color="auto"/>
            <w:left w:val="none" w:sz="0" w:space="0" w:color="auto"/>
            <w:bottom w:val="none" w:sz="0" w:space="0" w:color="auto"/>
            <w:right w:val="none" w:sz="0" w:space="0" w:color="auto"/>
          </w:divBdr>
          <w:divsChild>
            <w:div w:id="2029022261">
              <w:marLeft w:val="0"/>
              <w:marRight w:val="0"/>
              <w:marTop w:val="0"/>
              <w:marBottom w:val="0"/>
              <w:divBdr>
                <w:top w:val="none" w:sz="0" w:space="0" w:color="auto"/>
                <w:left w:val="none" w:sz="0" w:space="0" w:color="auto"/>
                <w:bottom w:val="none" w:sz="0" w:space="0" w:color="auto"/>
                <w:right w:val="none" w:sz="0" w:space="0" w:color="auto"/>
              </w:divBdr>
            </w:div>
          </w:divsChild>
        </w:div>
        <w:div w:id="1245337361">
          <w:marLeft w:val="0"/>
          <w:marRight w:val="0"/>
          <w:marTop w:val="0"/>
          <w:marBottom w:val="0"/>
          <w:divBdr>
            <w:top w:val="none" w:sz="0" w:space="0" w:color="auto"/>
            <w:left w:val="none" w:sz="0" w:space="0" w:color="auto"/>
            <w:bottom w:val="none" w:sz="0" w:space="0" w:color="auto"/>
            <w:right w:val="none" w:sz="0" w:space="0" w:color="auto"/>
          </w:divBdr>
          <w:divsChild>
            <w:div w:id="1749036517">
              <w:marLeft w:val="0"/>
              <w:marRight w:val="0"/>
              <w:marTop w:val="0"/>
              <w:marBottom w:val="0"/>
              <w:divBdr>
                <w:top w:val="none" w:sz="0" w:space="0" w:color="auto"/>
                <w:left w:val="none" w:sz="0" w:space="0" w:color="auto"/>
                <w:bottom w:val="none" w:sz="0" w:space="0" w:color="auto"/>
                <w:right w:val="none" w:sz="0" w:space="0" w:color="auto"/>
              </w:divBdr>
            </w:div>
          </w:divsChild>
        </w:div>
        <w:div w:id="1269584103">
          <w:marLeft w:val="0"/>
          <w:marRight w:val="0"/>
          <w:marTop w:val="0"/>
          <w:marBottom w:val="0"/>
          <w:divBdr>
            <w:top w:val="none" w:sz="0" w:space="0" w:color="auto"/>
            <w:left w:val="none" w:sz="0" w:space="0" w:color="auto"/>
            <w:bottom w:val="none" w:sz="0" w:space="0" w:color="auto"/>
            <w:right w:val="none" w:sz="0" w:space="0" w:color="auto"/>
          </w:divBdr>
          <w:divsChild>
            <w:div w:id="119812365">
              <w:marLeft w:val="0"/>
              <w:marRight w:val="0"/>
              <w:marTop w:val="0"/>
              <w:marBottom w:val="0"/>
              <w:divBdr>
                <w:top w:val="none" w:sz="0" w:space="0" w:color="auto"/>
                <w:left w:val="none" w:sz="0" w:space="0" w:color="auto"/>
                <w:bottom w:val="none" w:sz="0" w:space="0" w:color="auto"/>
                <w:right w:val="none" w:sz="0" w:space="0" w:color="auto"/>
              </w:divBdr>
            </w:div>
          </w:divsChild>
        </w:div>
        <w:div w:id="1297759796">
          <w:marLeft w:val="0"/>
          <w:marRight w:val="0"/>
          <w:marTop w:val="0"/>
          <w:marBottom w:val="0"/>
          <w:divBdr>
            <w:top w:val="none" w:sz="0" w:space="0" w:color="auto"/>
            <w:left w:val="none" w:sz="0" w:space="0" w:color="auto"/>
            <w:bottom w:val="none" w:sz="0" w:space="0" w:color="auto"/>
            <w:right w:val="none" w:sz="0" w:space="0" w:color="auto"/>
          </w:divBdr>
          <w:divsChild>
            <w:div w:id="1440487171">
              <w:marLeft w:val="0"/>
              <w:marRight w:val="0"/>
              <w:marTop w:val="0"/>
              <w:marBottom w:val="0"/>
              <w:divBdr>
                <w:top w:val="none" w:sz="0" w:space="0" w:color="auto"/>
                <w:left w:val="none" w:sz="0" w:space="0" w:color="auto"/>
                <w:bottom w:val="none" w:sz="0" w:space="0" w:color="auto"/>
                <w:right w:val="none" w:sz="0" w:space="0" w:color="auto"/>
              </w:divBdr>
            </w:div>
          </w:divsChild>
        </w:div>
        <w:div w:id="1336615124">
          <w:marLeft w:val="0"/>
          <w:marRight w:val="0"/>
          <w:marTop w:val="0"/>
          <w:marBottom w:val="0"/>
          <w:divBdr>
            <w:top w:val="none" w:sz="0" w:space="0" w:color="auto"/>
            <w:left w:val="none" w:sz="0" w:space="0" w:color="auto"/>
            <w:bottom w:val="none" w:sz="0" w:space="0" w:color="auto"/>
            <w:right w:val="none" w:sz="0" w:space="0" w:color="auto"/>
          </w:divBdr>
          <w:divsChild>
            <w:div w:id="607810590">
              <w:marLeft w:val="0"/>
              <w:marRight w:val="0"/>
              <w:marTop w:val="0"/>
              <w:marBottom w:val="0"/>
              <w:divBdr>
                <w:top w:val="none" w:sz="0" w:space="0" w:color="auto"/>
                <w:left w:val="none" w:sz="0" w:space="0" w:color="auto"/>
                <w:bottom w:val="none" w:sz="0" w:space="0" w:color="auto"/>
                <w:right w:val="none" w:sz="0" w:space="0" w:color="auto"/>
              </w:divBdr>
            </w:div>
          </w:divsChild>
        </w:div>
        <w:div w:id="1358777049">
          <w:marLeft w:val="0"/>
          <w:marRight w:val="0"/>
          <w:marTop w:val="0"/>
          <w:marBottom w:val="0"/>
          <w:divBdr>
            <w:top w:val="none" w:sz="0" w:space="0" w:color="auto"/>
            <w:left w:val="none" w:sz="0" w:space="0" w:color="auto"/>
            <w:bottom w:val="none" w:sz="0" w:space="0" w:color="auto"/>
            <w:right w:val="none" w:sz="0" w:space="0" w:color="auto"/>
          </w:divBdr>
          <w:divsChild>
            <w:div w:id="1519195156">
              <w:marLeft w:val="0"/>
              <w:marRight w:val="0"/>
              <w:marTop w:val="0"/>
              <w:marBottom w:val="0"/>
              <w:divBdr>
                <w:top w:val="none" w:sz="0" w:space="0" w:color="auto"/>
                <w:left w:val="none" w:sz="0" w:space="0" w:color="auto"/>
                <w:bottom w:val="none" w:sz="0" w:space="0" w:color="auto"/>
                <w:right w:val="none" w:sz="0" w:space="0" w:color="auto"/>
              </w:divBdr>
            </w:div>
          </w:divsChild>
        </w:div>
        <w:div w:id="1405420937">
          <w:marLeft w:val="0"/>
          <w:marRight w:val="0"/>
          <w:marTop w:val="0"/>
          <w:marBottom w:val="0"/>
          <w:divBdr>
            <w:top w:val="none" w:sz="0" w:space="0" w:color="auto"/>
            <w:left w:val="none" w:sz="0" w:space="0" w:color="auto"/>
            <w:bottom w:val="none" w:sz="0" w:space="0" w:color="auto"/>
            <w:right w:val="none" w:sz="0" w:space="0" w:color="auto"/>
          </w:divBdr>
          <w:divsChild>
            <w:div w:id="1712221667">
              <w:marLeft w:val="0"/>
              <w:marRight w:val="0"/>
              <w:marTop w:val="0"/>
              <w:marBottom w:val="0"/>
              <w:divBdr>
                <w:top w:val="none" w:sz="0" w:space="0" w:color="auto"/>
                <w:left w:val="none" w:sz="0" w:space="0" w:color="auto"/>
                <w:bottom w:val="none" w:sz="0" w:space="0" w:color="auto"/>
                <w:right w:val="none" w:sz="0" w:space="0" w:color="auto"/>
              </w:divBdr>
            </w:div>
          </w:divsChild>
        </w:div>
        <w:div w:id="1428621736">
          <w:marLeft w:val="0"/>
          <w:marRight w:val="0"/>
          <w:marTop w:val="0"/>
          <w:marBottom w:val="0"/>
          <w:divBdr>
            <w:top w:val="none" w:sz="0" w:space="0" w:color="auto"/>
            <w:left w:val="none" w:sz="0" w:space="0" w:color="auto"/>
            <w:bottom w:val="none" w:sz="0" w:space="0" w:color="auto"/>
            <w:right w:val="none" w:sz="0" w:space="0" w:color="auto"/>
          </w:divBdr>
          <w:divsChild>
            <w:div w:id="1035034513">
              <w:marLeft w:val="0"/>
              <w:marRight w:val="0"/>
              <w:marTop w:val="0"/>
              <w:marBottom w:val="0"/>
              <w:divBdr>
                <w:top w:val="none" w:sz="0" w:space="0" w:color="auto"/>
                <w:left w:val="none" w:sz="0" w:space="0" w:color="auto"/>
                <w:bottom w:val="none" w:sz="0" w:space="0" w:color="auto"/>
                <w:right w:val="none" w:sz="0" w:space="0" w:color="auto"/>
              </w:divBdr>
            </w:div>
          </w:divsChild>
        </w:div>
        <w:div w:id="1480875794">
          <w:marLeft w:val="0"/>
          <w:marRight w:val="0"/>
          <w:marTop w:val="0"/>
          <w:marBottom w:val="0"/>
          <w:divBdr>
            <w:top w:val="none" w:sz="0" w:space="0" w:color="auto"/>
            <w:left w:val="none" w:sz="0" w:space="0" w:color="auto"/>
            <w:bottom w:val="none" w:sz="0" w:space="0" w:color="auto"/>
            <w:right w:val="none" w:sz="0" w:space="0" w:color="auto"/>
          </w:divBdr>
          <w:divsChild>
            <w:div w:id="1779520250">
              <w:marLeft w:val="0"/>
              <w:marRight w:val="0"/>
              <w:marTop w:val="0"/>
              <w:marBottom w:val="0"/>
              <w:divBdr>
                <w:top w:val="none" w:sz="0" w:space="0" w:color="auto"/>
                <w:left w:val="none" w:sz="0" w:space="0" w:color="auto"/>
                <w:bottom w:val="none" w:sz="0" w:space="0" w:color="auto"/>
                <w:right w:val="none" w:sz="0" w:space="0" w:color="auto"/>
              </w:divBdr>
            </w:div>
          </w:divsChild>
        </w:div>
        <w:div w:id="1481965896">
          <w:marLeft w:val="0"/>
          <w:marRight w:val="0"/>
          <w:marTop w:val="0"/>
          <w:marBottom w:val="0"/>
          <w:divBdr>
            <w:top w:val="none" w:sz="0" w:space="0" w:color="auto"/>
            <w:left w:val="none" w:sz="0" w:space="0" w:color="auto"/>
            <w:bottom w:val="none" w:sz="0" w:space="0" w:color="auto"/>
            <w:right w:val="none" w:sz="0" w:space="0" w:color="auto"/>
          </w:divBdr>
          <w:divsChild>
            <w:div w:id="54276962">
              <w:marLeft w:val="0"/>
              <w:marRight w:val="0"/>
              <w:marTop w:val="0"/>
              <w:marBottom w:val="0"/>
              <w:divBdr>
                <w:top w:val="none" w:sz="0" w:space="0" w:color="auto"/>
                <w:left w:val="none" w:sz="0" w:space="0" w:color="auto"/>
                <w:bottom w:val="none" w:sz="0" w:space="0" w:color="auto"/>
                <w:right w:val="none" w:sz="0" w:space="0" w:color="auto"/>
              </w:divBdr>
            </w:div>
          </w:divsChild>
        </w:div>
        <w:div w:id="1514608944">
          <w:marLeft w:val="0"/>
          <w:marRight w:val="0"/>
          <w:marTop w:val="0"/>
          <w:marBottom w:val="0"/>
          <w:divBdr>
            <w:top w:val="none" w:sz="0" w:space="0" w:color="auto"/>
            <w:left w:val="none" w:sz="0" w:space="0" w:color="auto"/>
            <w:bottom w:val="none" w:sz="0" w:space="0" w:color="auto"/>
            <w:right w:val="none" w:sz="0" w:space="0" w:color="auto"/>
          </w:divBdr>
          <w:divsChild>
            <w:div w:id="2032297710">
              <w:marLeft w:val="0"/>
              <w:marRight w:val="0"/>
              <w:marTop w:val="0"/>
              <w:marBottom w:val="0"/>
              <w:divBdr>
                <w:top w:val="none" w:sz="0" w:space="0" w:color="auto"/>
                <w:left w:val="none" w:sz="0" w:space="0" w:color="auto"/>
                <w:bottom w:val="none" w:sz="0" w:space="0" w:color="auto"/>
                <w:right w:val="none" w:sz="0" w:space="0" w:color="auto"/>
              </w:divBdr>
            </w:div>
          </w:divsChild>
        </w:div>
        <w:div w:id="1562474500">
          <w:marLeft w:val="0"/>
          <w:marRight w:val="0"/>
          <w:marTop w:val="0"/>
          <w:marBottom w:val="0"/>
          <w:divBdr>
            <w:top w:val="none" w:sz="0" w:space="0" w:color="auto"/>
            <w:left w:val="none" w:sz="0" w:space="0" w:color="auto"/>
            <w:bottom w:val="none" w:sz="0" w:space="0" w:color="auto"/>
            <w:right w:val="none" w:sz="0" w:space="0" w:color="auto"/>
          </w:divBdr>
          <w:divsChild>
            <w:div w:id="114491654">
              <w:marLeft w:val="0"/>
              <w:marRight w:val="0"/>
              <w:marTop w:val="0"/>
              <w:marBottom w:val="0"/>
              <w:divBdr>
                <w:top w:val="none" w:sz="0" w:space="0" w:color="auto"/>
                <w:left w:val="none" w:sz="0" w:space="0" w:color="auto"/>
                <w:bottom w:val="none" w:sz="0" w:space="0" w:color="auto"/>
                <w:right w:val="none" w:sz="0" w:space="0" w:color="auto"/>
              </w:divBdr>
            </w:div>
          </w:divsChild>
        </w:div>
        <w:div w:id="1565986230">
          <w:marLeft w:val="0"/>
          <w:marRight w:val="0"/>
          <w:marTop w:val="0"/>
          <w:marBottom w:val="0"/>
          <w:divBdr>
            <w:top w:val="none" w:sz="0" w:space="0" w:color="auto"/>
            <w:left w:val="none" w:sz="0" w:space="0" w:color="auto"/>
            <w:bottom w:val="none" w:sz="0" w:space="0" w:color="auto"/>
            <w:right w:val="none" w:sz="0" w:space="0" w:color="auto"/>
          </w:divBdr>
          <w:divsChild>
            <w:div w:id="1194877214">
              <w:marLeft w:val="0"/>
              <w:marRight w:val="0"/>
              <w:marTop w:val="0"/>
              <w:marBottom w:val="0"/>
              <w:divBdr>
                <w:top w:val="none" w:sz="0" w:space="0" w:color="auto"/>
                <w:left w:val="none" w:sz="0" w:space="0" w:color="auto"/>
                <w:bottom w:val="none" w:sz="0" w:space="0" w:color="auto"/>
                <w:right w:val="none" w:sz="0" w:space="0" w:color="auto"/>
              </w:divBdr>
            </w:div>
          </w:divsChild>
        </w:div>
        <w:div w:id="1566988963">
          <w:marLeft w:val="0"/>
          <w:marRight w:val="0"/>
          <w:marTop w:val="0"/>
          <w:marBottom w:val="0"/>
          <w:divBdr>
            <w:top w:val="none" w:sz="0" w:space="0" w:color="auto"/>
            <w:left w:val="none" w:sz="0" w:space="0" w:color="auto"/>
            <w:bottom w:val="none" w:sz="0" w:space="0" w:color="auto"/>
            <w:right w:val="none" w:sz="0" w:space="0" w:color="auto"/>
          </w:divBdr>
          <w:divsChild>
            <w:div w:id="1423069175">
              <w:marLeft w:val="0"/>
              <w:marRight w:val="0"/>
              <w:marTop w:val="0"/>
              <w:marBottom w:val="0"/>
              <w:divBdr>
                <w:top w:val="none" w:sz="0" w:space="0" w:color="auto"/>
                <w:left w:val="none" w:sz="0" w:space="0" w:color="auto"/>
                <w:bottom w:val="none" w:sz="0" w:space="0" w:color="auto"/>
                <w:right w:val="none" w:sz="0" w:space="0" w:color="auto"/>
              </w:divBdr>
            </w:div>
          </w:divsChild>
        </w:div>
        <w:div w:id="1602297876">
          <w:marLeft w:val="0"/>
          <w:marRight w:val="0"/>
          <w:marTop w:val="0"/>
          <w:marBottom w:val="0"/>
          <w:divBdr>
            <w:top w:val="none" w:sz="0" w:space="0" w:color="auto"/>
            <w:left w:val="none" w:sz="0" w:space="0" w:color="auto"/>
            <w:bottom w:val="none" w:sz="0" w:space="0" w:color="auto"/>
            <w:right w:val="none" w:sz="0" w:space="0" w:color="auto"/>
          </w:divBdr>
          <w:divsChild>
            <w:div w:id="1892304423">
              <w:marLeft w:val="0"/>
              <w:marRight w:val="0"/>
              <w:marTop w:val="0"/>
              <w:marBottom w:val="0"/>
              <w:divBdr>
                <w:top w:val="none" w:sz="0" w:space="0" w:color="auto"/>
                <w:left w:val="none" w:sz="0" w:space="0" w:color="auto"/>
                <w:bottom w:val="none" w:sz="0" w:space="0" w:color="auto"/>
                <w:right w:val="none" w:sz="0" w:space="0" w:color="auto"/>
              </w:divBdr>
            </w:div>
          </w:divsChild>
        </w:div>
        <w:div w:id="1606615854">
          <w:marLeft w:val="0"/>
          <w:marRight w:val="0"/>
          <w:marTop w:val="0"/>
          <w:marBottom w:val="0"/>
          <w:divBdr>
            <w:top w:val="none" w:sz="0" w:space="0" w:color="auto"/>
            <w:left w:val="none" w:sz="0" w:space="0" w:color="auto"/>
            <w:bottom w:val="none" w:sz="0" w:space="0" w:color="auto"/>
            <w:right w:val="none" w:sz="0" w:space="0" w:color="auto"/>
          </w:divBdr>
          <w:divsChild>
            <w:div w:id="632516708">
              <w:marLeft w:val="0"/>
              <w:marRight w:val="0"/>
              <w:marTop w:val="0"/>
              <w:marBottom w:val="0"/>
              <w:divBdr>
                <w:top w:val="none" w:sz="0" w:space="0" w:color="auto"/>
                <w:left w:val="none" w:sz="0" w:space="0" w:color="auto"/>
                <w:bottom w:val="none" w:sz="0" w:space="0" w:color="auto"/>
                <w:right w:val="none" w:sz="0" w:space="0" w:color="auto"/>
              </w:divBdr>
            </w:div>
          </w:divsChild>
        </w:div>
        <w:div w:id="1692682519">
          <w:marLeft w:val="0"/>
          <w:marRight w:val="0"/>
          <w:marTop w:val="0"/>
          <w:marBottom w:val="0"/>
          <w:divBdr>
            <w:top w:val="none" w:sz="0" w:space="0" w:color="auto"/>
            <w:left w:val="none" w:sz="0" w:space="0" w:color="auto"/>
            <w:bottom w:val="none" w:sz="0" w:space="0" w:color="auto"/>
            <w:right w:val="none" w:sz="0" w:space="0" w:color="auto"/>
          </w:divBdr>
          <w:divsChild>
            <w:div w:id="2083334032">
              <w:marLeft w:val="0"/>
              <w:marRight w:val="0"/>
              <w:marTop w:val="0"/>
              <w:marBottom w:val="0"/>
              <w:divBdr>
                <w:top w:val="none" w:sz="0" w:space="0" w:color="auto"/>
                <w:left w:val="none" w:sz="0" w:space="0" w:color="auto"/>
                <w:bottom w:val="none" w:sz="0" w:space="0" w:color="auto"/>
                <w:right w:val="none" w:sz="0" w:space="0" w:color="auto"/>
              </w:divBdr>
            </w:div>
          </w:divsChild>
        </w:div>
        <w:div w:id="1716343972">
          <w:marLeft w:val="0"/>
          <w:marRight w:val="0"/>
          <w:marTop w:val="0"/>
          <w:marBottom w:val="0"/>
          <w:divBdr>
            <w:top w:val="none" w:sz="0" w:space="0" w:color="auto"/>
            <w:left w:val="none" w:sz="0" w:space="0" w:color="auto"/>
            <w:bottom w:val="none" w:sz="0" w:space="0" w:color="auto"/>
            <w:right w:val="none" w:sz="0" w:space="0" w:color="auto"/>
          </w:divBdr>
          <w:divsChild>
            <w:div w:id="845022935">
              <w:marLeft w:val="0"/>
              <w:marRight w:val="0"/>
              <w:marTop w:val="0"/>
              <w:marBottom w:val="0"/>
              <w:divBdr>
                <w:top w:val="none" w:sz="0" w:space="0" w:color="auto"/>
                <w:left w:val="none" w:sz="0" w:space="0" w:color="auto"/>
                <w:bottom w:val="none" w:sz="0" w:space="0" w:color="auto"/>
                <w:right w:val="none" w:sz="0" w:space="0" w:color="auto"/>
              </w:divBdr>
            </w:div>
          </w:divsChild>
        </w:div>
        <w:div w:id="1750812240">
          <w:marLeft w:val="0"/>
          <w:marRight w:val="0"/>
          <w:marTop w:val="0"/>
          <w:marBottom w:val="0"/>
          <w:divBdr>
            <w:top w:val="none" w:sz="0" w:space="0" w:color="auto"/>
            <w:left w:val="none" w:sz="0" w:space="0" w:color="auto"/>
            <w:bottom w:val="none" w:sz="0" w:space="0" w:color="auto"/>
            <w:right w:val="none" w:sz="0" w:space="0" w:color="auto"/>
          </w:divBdr>
          <w:divsChild>
            <w:div w:id="102381785">
              <w:marLeft w:val="0"/>
              <w:marRight w:val="0"/>
              <w:marTop w:val="0"/>
              <w:marBottom w:val="0"/>
              <w:divBdr>
                <w:top w:val="none" w:sz="0" w:space="0" w:color="auto"/>
                <w:left w:val="none" w:sz="0" w:space="0" w:color="auto"/>
                <w:bottom w:val="none" w:sz="0" w:space="0" w:color="auto"/>
                <w:right w:val="none" w:sz="0" w:space="0" w:color="auto"/>
              </w:divBdr>
            </w:div>
          </w:divsChild>
        </w:div>
        <w:div w:id="1777604002">
          <w:marLeft w:val="0"/>
          <w:marRight w:val="0"/>
          <w:marTop w:val="0"/>
          <w:marBottom w:val="0"/>
          <w:divBdr>
            <w:top w:val="none" w:sz="0" w:space="0" w:color="auto"/>
            <w:left w:val="none" w:sz="0" w:space="0" w:color="auto"/>
            <w:bottom w:val="none" w:sz="0" w:space="0" w:color="auto"/>
            <w:right w:val="none" w:sz="0" w:space="0" w:color="auto"/>
          </w:divBdr>
          <w:divsChild>
            <w:div w:id="613753424">
              <w:marLeft w:val="0"/>
              <w:marRight w:val="0"/>
              <w:marTop w:val="0"/>
              <w:marBottom w:val="0"/>
              <w:divBdr>
                <w:top w:val="none" w:sz="0" w:space="0" w:color="auto"/>
                <w:left w:val="none" w:sz="0" w:space="0" w:color="auto"/>
                <w:bottom w:val="none" w:sz="0" w:space="0" w:color="auto"/>
                <w:right w:val="none" w:sz="0" w:space="0" w:color="auto"/>
              </w:divBdr>
            </w:div>
          </w:divsChild>
        </w:div>
        <w:div w:id="1853448722">
          <w:marLeft w:val="0"/>
          <w:marRight w:val="0"/>
          <w:marTop w:val="0"/>
          <w:marBottom w:val="0"/>
          <w:divBdr>
            <w:top w:val="none" w:sz="0" w:space="0" w:color="auto"/>
            <w:left w:val="none" w:sz="0" w:space="0" w:color="auto"/>
            <w:bottom w:val="none" w:sz="0" w:space="0" w:color="auto"/>
            <w:right w:val="none" w:sz="0" w:space="0" w:color="auto"/>
          </w:divBdr>
          <w:divsChild>
            <w:div w:id="1079599831">
              <w:marLeft w:val="0"/>
              <w:marRight w:val="0"/>
              <w:marTop w:val="0"/>
              <w:marBottom w:val="0"/>
              <w:divBdr>
                <w:top w:val="none" w:sz="0" w:space="0" w:color="auto"/>
                <w:left w:val="none" w:sz="0" w:space="0" w:color="auto"/>
                <w:bottom w:val="none" w:sz="0" w:space="0" w:color="auto"/>
                <w:right w:val="none" w:sz="0" w:space="0" w:color="auto"/>
              </w:divBdr>
            </w:div>
          </w:divsChild>
        </w:div>
        <w:div w:id="1942832942">
          <w:marLeft w:val="0"/>
          <w:marRight w:val="0"/>
          <w:marTop w:val="0"/>
          <w:marBottom w:val="0"/>
          <w:divBdr>
            <w:top w:val="none" w:sz="0" w:space="0" w:color="auto"/>
            <w:left w:val="none" w:sz="0" w:space="0" w:color="auto"/>
            <w:bottom w:val="none" w:sz="0" w:space="0" w:color="auto"/>
            <w:right w:val="none" w:sz="0" w:space="0" w:color="auto"/>
          </w:divBdr>
          <w:divsChild>
            <w:div w:id="2040348062">
              <w:marLeft w:val="0"/>
              <w:marRight w:val="0"/>
              <w:marTop w:val="0"/>
              <w:marBottom w:val="0"/>
              <w:divBdr>
                <w:top w:val="none" w:sz="0" w:space="0" w:color="auto"/>
                <w:left w:val="none" w:sz="0" w:space="0" w:color="auto"/>
                <w:bottom w:val="none" w:sz="0" w:space="0" w:color="auto"/>
                <w:right w:val="none" w:sz="0" w:space="0" w:color="auto"/>
              </w:divBdr>
            </w:div>
          </w:divsChild>
        </w:div>
        <w:div w:id="1955137537">
          <w:marLeft w:val="0"/>
          <w:marRight w:val="0"/>
          <w:marTop w:val="0"/>
          <w:marBottom w:val="0"/>
          <w:divBdr>
            <w:top w:val="none" w:sz="0" w:space="0" w:color="auto"/>
            <w:left w:val="none" w:sz="0" w:space="0" w:color="auto"/>
            <w:bottom w:val="none" w:sz="0" w:space="0" w:color="auto"/>
            <w:right w:val="none" w:sz="0" w:space="0" w:color="auto"/>
          </w:divBdr>
          <w:divsChild>
            <w:div w:id="716592470">
              <w:marLeft w:val="0"/>
              <w:marRight w:val="0"/>
              <w:marTop w:val="0"/>
              <w:marBottom w:val="0"/>
              <w:divBdr>
                <w:top w:val="none" w:sz="0" w:space="0" w:color="auto"/>
                <w:left w:val="none" w:sz="0" w:space="0" w:color="auto"/>
                <w:bottom w:val="none" w:sz="0" w:space="0" w:color="auto"/>
                <w:right w:val="none" w:sz="0" w:space="0" w:color="auto"/>
              </w:divBdr>
            </w:div>
          </w:divsChild>
        </w:div>
        <w:div w:id="1971668209">
          <w:marLeft w:val="0"/>
          <w:marRight w:val="0"/>
          <w:marTop w:val="0"/>
          <w:marBottom w:val="0"/>
          <w:divBdr>
            <w:top w:val="none" w:sz="0" w:space="0" w:color="auto"/>
            <w:left w:val="none" w:sz="0" w:space="0" w:color="auto"/>
            <w:bottom w:val="none" w:sz="0" w:space="0" w:color="auto"/>
            <w:right w:val="none" w:sz="0" w:space="0" w:color="auto"/>
          </w:divBdr>
          <w:divsChild>
            <w:div w:id="1785611842">
              <w:marLeft w:val="0"/>
              <w:marRight w:val="0"/>
              <w:marTop w:val="0"/>
              <w:marBottom w:val="0"/>
              <w:divBdr>
                <w:top w:val="none" w:sz="0" w:space="0" w:color="auto"/>
                <w:left w:val="none" w:sz="0" w:space="0" w:color="auto"/>
                <w:bottom w:val="none" w:sz="0" w:space="0" w:color="auto"/>
                <w:right w:val="none" w:sz="0" w:space="0" w:color="auto"/>
              </w:divBdr>
            </w:div>
          </w:divsChild>
        </w:div>
        <w:div w:id="1978802089">
          <w:marLeft w:val="0"/>
          <w:marRight w:val="0"/>
          <w:marTop w:val="0"/>
          <w:marBottom w:val="0"/>
          <w:divBdr>
            <w:top w:val="none" w:sz="0" w:space="0" w:color="auto"/>
            <w:left w:val="none" w:sz="0" w:space="0" w:color="auto"/>
            <w:bottom w:val="none" w:sz="0" w:space="0" w:color="auto"/>
            <w:right w:val="none" w:sz="0" w:space="0" w:color="auto"/>
          </w:divBdr>
          <w:divsChild>
            <w:div w:id="2006475462">
              <w:marLeft w:val="0"/>
              <w:marRight w:val="0"/>
              <w:marTop w:val="0"/>
              <w:marBottom w:val="0"/>
              <w:divBdr>
                <w:top w:val="none" w:sz="0" w:space="0" w:color="auto"/>
                <w:left w:val="none" w:sz="0" w:space="0" w:color="auto"/>
                <w:bottom w:val="none" w:sz="0" w:space="0" w:color="auto"/>
                <w:right w:val="none" w:sz="0" w:space="0" w:color="auto"/>
              </w:divBdr>
            </w:div>
          </w:divsChild>
        </w:div>
        <w:div w:id="2020542166">
          <w:marLeft w:val="0"/>
          <w:marRight w:val="0"/>
          <w:marTop w:val="0"/>
          <w:marBottom w:val="0"/>
          <w:divBdr>
            <w:top w:val="none" w:sz="0" w:space="0" w:color="auto"/>
            <w:left w:val="none" w:sz="0" w:space="0" w:color="auto"/>
            <w:bottom w:val="none" w:sz="0" w:space="0" w:color="auto"/>
            <w:right w:val="none" w:sz="0" w:space="0" w:color="auto"/>
          </w:divBdr>
          <w:divsChild>
            <w:div w:id="756950519">
              <w:marLeft w:val="0"/>
              <w:marRight w:val="0"/>
              <w:marTop w:val="0"/>
              <w:marBottom w:val="0"/>
              <w:divBdr>
                <w:top w:val="none" w:sz="0" w:space="0" w:color="auto"/>
                <w:left w:val="none" w:sz="0" w:space="0" w:color="auto"/>
                <w:bottom w:val="none" w:sz="0" w:space="0" w:color="auto"/>
                <w:right w:val="none" w:sz="0" w:space="0" w:color="auto"/>
              </w:divBdr>
            </w:div>
          </w:divsChild>
        </w:div>
        <w:div w:id="2114088956">
          <w:marLeft w:val="0"/>
          <w:marRight w:val="0"/>
          <w:marTop w:val="0"/>
          <w:marBottom w:val="0"/>
          <w:divBdr>
            <w:top w:val="none" w:sz="0" w:space="0" w:color="auto"/>
            <w:left w:val="none" w:sz="0" w:space="0" w:color="auto"/>
            <w:bottom w:val="none" w:sz="0" w:space="0" w:color="auto"/>
            <w:right w:val="none" w:sz="0" w:space="0" w:color="auto"/>
          </w:divBdr>
          <w:divsChild>
            <w:div w:id="507713704">
              <w:marLeft w:val="0"/>
              <w:marRight w:val="0"/>
              <w:marTop w:val="0"/>
              <w:marBottom w:val="0"/>
              <w:divBdr>
                <w:top w:val="none" w:sz="0" w:space="0" w:color="auto"/>
                <w:left w:val="none" w:sz="0" w:space="0" w:color="auto"/>
                <w:bottom w:val="none" w:sz="0" w:space="0" w:color="auto"/>
                <w:right w:val="none" w:sz="0" w:space="0" w:color="auto"/>
              </w:divBdr>
            </w:div>
          </w:divsChild>
        </w:div>
        <w:div w:id="2115317974">
          <w:marLeft w:val="0"/>
          <w:marRight w:val="0"/>
          <w:marTop w:val="0"/>
          <w:marBottom w:val="0"/>
          <w:divBdr>
            <w:top w:val="none" w:sz="0" w:space="0" w:color="auto"/>
            <w:left w:val="none" w:sz="0" w:space="0" w:color="auto"/>
            <w:bottom w:val="none" w:sz="0" w:space="0" w:color="auto"/>
            <w:right w:val="none" w:sz="0" w:space="0" w:color="auto"/>
          </w:divBdr>
          <w:divsChild>
            <w:div w:id="1001153613">
              <w:marLeft w:val="0"/>
              <w:marRight w:val="0"/>
              <w:marTop w:val="0"/>
              <w:marBottom w:val="0"/>
              <w:divBdr>
                <w:top w:val="none" w:sz="0" w:space="0" w:color="auto"/>
                <w:left w:val="none" w:sz="0" w:space="0" w:color="auto"/>
                <w:bottom w:val="none" w:sz="0" w:space="0" w:color="auto"/>
                <w:right w:val="none" w:sz="0" w:space="0" w:color="auto"/>
              </w:divBdr>
            </w:div>
          </w:divsChild>
        </w:div>
        <w:div w:id="2142267400">
          <w:marLeft w:val="0"/>
          <w:marRight w:val="0"/>
          <w:marTop w:val="0"/>
          <w:marBottom w:val="0"/>
          <w:divBdr>
            <w:top w:val="none" w:sz="0" w:space="0" w:color="auto"/>
            <w:left w:val="none" w:sz="0" w:space="0" w:color="auto"/>
            <w:bottom w:val="none" w:sz="0" w:space="0" w:color="auto"/>
            <w:right w:val="none" w:sz="0" w:space="0" w:color="auto"/>
          </w:divBdr>
          <w:divsChild>
            <w:div w:id="17312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04102">
      <w:bodyDiv w:val="1"/>
      <w:marLeft w:val="0"/>
      <w:marRight w:val="0"/>
      <w:marTop w:val="0"/>
      <w:marBottom w:val="0"/>
      <w:divBdr>
        <w:top w:val="none" w:sz="0" w:space="0" w:color="auto"/>
        <w:left w:val="none" w:sz="0" w:space="0" w:color="auto"/>
        <w:bottom w:val="none" w:sz="0" w:space="0" w:color="auto"/>
        <w:right w:val="none" w:sz="0" w:space="0" w:color="auto"/>
      </w:divBdr>
      <w:divsChild>
        <w:div w:id="619343553">
          <w:marLeft w:val="0"/>
          <w:marRight w:val="0"/>
          <w:marTop w:val="0"/>
          <w:marBottom w:val="0"/>
          <w:divBdr>
            <w:top w:val="none" w:sz="0" w:space="0" w:color="auto"/>
            <w:left w:val="none" w:sz="0" w:space="0" w:color="auto"/>
            <w:bottom w:val="none" w:sz="0" w:space="0" w:color="auto"/>
            <w:right w:val="none" w:sz="0" w:space="0" w:color="auto"/>
          </w:divBdr>
        </w:div>
        <w:div w:id="852449756">
          <w:marLeft w:val="0"/>
          <w:marRight w:val="0"/>
          <w:marTop w:val="0"/>
          <w:marBottom w:val="0"/>
          <w:divBdr>
            <w:top w:val="none" w:sz="0" w:space="0" w:color="auto"/>
            <w:left w:val="none" w:sz="0" w:space="0" w:color="auto"/>
            <w:bottom w:val="none" w:sz="0" w:space="0" w:color="auto"/>
            <w:right w:val="none" w:sz="0" w:space="0" w:color="auto"/>
          </w:divBdr>
        </w:div>
        <w:div w:id="1228952746">
          <w:marLeft w:val="0"/>
          <w:marRight w:val="0"/>
          <w:marTop w:val="0"/>
          <w:marBottom w:val="0"/>
          <w:divBdr>
            <w:top w:val="none" w:sz="0" w:space="0" w:color="auto"/>
            <w:left w:val="none" w:sz="0" w:space="0" w:color="auto"/>
            <w:bottom w:val="none" w:sz="0" w:space="0" w:color="auto"/>
            <w:right w:val="none" w:sz="0" w:space="0" w:color="auto"/>
          </w:divBdr>
        </w:div>
        <w:div w:id="1640068565">
          <w:marLeft w:val="0"/>
          <w:marRight w:val="0"/>
          <w:marTop w:val="0"/>
          <w:marBottom w:val="0"/>
          <w:divBdr>
            <w:top w:val="none" w:sz="0" w:space="0" w:color="auto"/>
            <w:left w:val="none" w:sz="0" w:space="0" w:color="auto"/>
            <w:bottom w:val="none" w:sz="0" w:space="0" w:color="auto"/>
            <w:right w:val="none" w:sz="0" w:space="0" w:color="auto"/>
          </w:divBdr>
        </w:div>
      </w:divsChild>
    </w:div>
    <w:div w:id="1994023765">
      <w:bodyDiv w:val="1"/>
      <w:marLeft w:val="0"/>
      <w:marRight w:val="0"/>
      <w:marTop w:val="0"/>
      <w:marBottom w:val="0"/>
      <w:divBdr>
        <w:top w:val="none" w:sz="0" w:space="0" w:color="auto"/>
        <w:left w:val="none" w:sz="0" w:space="0" w:color="auto"/>
        <w:bottom w:val="none" w:sz="0" w:space="0" w:color="auto"/>
        <w:right w:val="none" w:sz="0" w:space="0" w:color="auto"/>
      </w:divBdr>
      <w:divsChild>
        <w:div w:id="114374905">
          <w:marLeft w:val="0"/>
          <w:marRight w:val="0"/>
          <w:marTop w:val="0"/>
          <w:marBottom w:val="0"/>
          <w:divBdr>
            <w:top w:val="none" w:sz="0" w:space="0" w:color="auto"/>
            <w:left w:val="none" w:sz="0" w:space="0" w:color="auto"/>
            <w:bottom w:val="none" w:sz="0" w:space="0" w:color="auto"/>
            <w:right w:val="none" w:sz="0" w:space="0" w:color="auto"/>
          </w:divBdr>
          <w:divsChild>
            <w:div w:id="1075708781">
              <w:marLeft w:val="0"/>
              <w:marRight w:val="0"/>
              <w:marTop w:val="0"/>
              <w:marBottom w:val="0"/>
              <w:divBdr>
                <w:top w:val="none" w:sz="0" w:space="0" w:color="auto"/>
                <w:left w:val="none" w:sz="0" w:space="0" w:color="auto"/>
                <w:bottom w:val="none" w:sz="0" w:space="0" w:color="auto"/>
                <w:right w:val="none" w:sz="0" w:space="0" w:color="auto"/>
              </w:divBdr>
            </w:div>
          </w:divsChild>
        </w:div>
        <w:div w:id="141507803">
          <w:marLeft w:val="0"/>
          <w:marRight w:val="0"/>
          <w:marTop w:val="0"/>
          <w:marBottom w:val="0"/>
          <w:divBdr>
            <w:top w:val="none" w:sz="0" w:space="0" w:color="auto"/>
            <w:left w:val="none" w:sz="0" w:space="0" w:color="auto"/>
            <w:bottom w:val="none" w:sz="0" w:space="0" w:color="auto"/>
            <w:right w:val="none" w:sz="0" w:space="0" w:color="auto"/>
          </w:divBdr>
          <w:divsChild>
            <w:div w:id="1420101729">
              <w:marLeft w:val="0"/>
              <w:marRight w:val="0"/>
              <w:marTop w:val="0"/>
              <w:marBottom w:val="0"/>
              <w:divBdr>
                <w:top w:val="none" w:sz="0" w:space="0" w:color="auto"/>
                <w:left w:val="none" w:sz="0" w:space="0" w:color="auto"/>
                <w:bottom w:val="none" w:sz="0" w:space="0" w:color="auto"/>
                <w:right w:val="none" w:sz="0" w:space="0" w:color="auto"/>
              </w:divBdr>
            </w:div>
          </w:divsChild>
        </w:div>
        <w:div w:id="163935371">
          <w:marLeft w:val="0"/>
          <w:marRight w:val="0"/>
          <w:marTop w:val="0"/>
          <w:marBottom w:val="0"/>
          <w:divBdr>
            <w:top w:val="none" w:sz="0" w:space="0" w:color="auto"/>
            <w:left w:val="none" w:sz="0" w:space="0" w:color="auto"/>
            <w:bottom w:val="none" w:sz="0" w:space="0" w:color="auto"/>
            <w:right w:val="none" w:sz="0" w:space="0" w:color="auto"/>
          </w:divBdr>
          <w:divsChild>
            <w:div w:id="1473133482">
              <w:marLeft w:val="0"/>
              <w:marRight w:val="0"/>
              <w:marTop w:val="0"/>
              <w:marBottom w:val="0"/>
              <w:divBdr>
                <w:top w:val="none" w:sz="0" w:space="0" w:color="auto"/>
                <w:left w:val="none" w:sz="0" w:space="0" w:color="auto"/>
                <w:bottom w:val="none" w:sz="0" w:space="0" w:color="auto"/>
                <w:right w:val="none" w:sz="0" w:space="0" w:color="auto"/>
              </w:divBdr>
            </w:div>
          </w:divsChild>
        </w:div>
        <w:div w:id="165635611">
          <w:marLeft w:val="0"/>
          <w:marRight w:val="0"/>
          <w:marTop w:val="0"/>
          <w:marBottom w:val="0"/>
          <w:divBdr>
            <w:top w:val="none" w:sz="0" w:space="0" w:color="auto"/>
            <w:left w:val="none" w:sz="0" w:space="0" w:color="auto"/>
            <w:bottom w:val="none" w:sz="0" w:space="0" w:color="auto"/>
            <w:right w:val="none" w:sz="0" w:space="0" w:color="auto"/>
          </w:divBdr>
          <w:divsChild>
            <w:div w:id="2120249979">
              <w:marLeft w:val="0"/>
              <w:marRight w:val="0"/>
              <w:marTop w:val="0"/>
              <w:marBottom w:val="0"/>
              <w:divBdr>
                <w:top w:val="none" w:sz="0" w:space="0" w:color="auto"/>
                <w:left w:val="none" w:sz="0" w:space="0" w:color="auto"/>
                <w:bottom w:val="none" w:sz="0" w:space="0" w:color="auto"/>
                <w:right w:val="none" w:sz="0" w:space="0" w:color="auto"/>
              </w:divBdr>
            </w:div>
          </w:divsChild>
        </w:div>
        <w:div w:id="170338171">
          <w:marLeft w:val="0"/>
          <w:marRight w:val="0"/>
          <w:marTop w:val="0"/>
          <w:marBottom w:val="0"/>
          <w:divBdr>
            <w:top w:val="none" w:sz="0" w:space="0" w:color="auto"/>
            <w:left w:val="none" w:sz="0" w:space="0" w:color="auto"/>
            <w:bottom w:val="none" w:sz="0" w:space="0" w:color="auto"/>
            <w:right w:val="none" w:sz="0" w:space="0" w:color="auto"/>
          </w:divBdr>
          <w:divsChild>
            <w:div w:id="377752103">
              <w:marLeft w:val="0"/>
              <w:marRight w:val="0"/>
              <w:marTop w:val="0"/>
              <w:marBottom w:val="0"/>
              <w:divBdr>
                <w:top w:val="none" w:sz="0" w:space="0" w:color="auto"/>
                <w:left w:val="none" w:sz="0" w:space="0" w:color="auto"/>
                <w:bottom w:val="none" w:sz="0" w:space="0" w:color="auto"/>
                <w:right w:val="none" w:sz="0" w:space="0" w:color="auto"/>
              </w:divBdr>
            </w:div>
          </w:divsChild>
        </w:div>
        <w:div w:id="180780852">
          <w:marLeft w:val="0"/>
          <w:marRight w:val="0"/>
          <w:marTop w:val="0"/>
          <w:marBottom w:val="0"/>
          <w:divBdr>
            <w:top w:val="none" w:sz="0" w:space="0" w:color="auto"/>
            <w:left w:val="none" w:sz="0" w:space="0" w:color="auto"/>
            <w:bottom w:val="none" w:sz="0" w:space="0" w:color="auto"/>
            <w:right w:val="none" w:sz="0" w:space="0" w:color="auto"/>
          </w:divBdr>
          <w:divsChild>
            <w:div w:id="1703241462">
              <w:marLeft w:val="0"/>
              <w:marRight w:val="0"/>
              <w:marTop w:val="0"/>
              <w:marBottom w:val="0"/>
              <w:divBdr>
                <w:top w:val="none" w:sz="0" w:space="0" w:color="auto"/>
                <w:left w:val="none" w:sz="0" w:space="0" w:color="auto"/>
                <w:bottom w:val="none" w:sz="0" w:space="0" w:color="auto"/>
                <w:right w:val="none" w:sz="0" w:space="0" w:color="auto"/>
              </w:divBdr>
            </w:div>
          </w:divsChild>
        </w:div>
        <w:div w:id="204635017">
          <w:marLeft w:val="0"/>
          <w:marRight w:val="0"/>
          <w:marTop w:val="0"/>
          <w:marBottom w:val="0"/>
          <w:divBdr>
            <w:top w:val="none" w:sz="0" w:space="0" w:color="auto"/>
            <w:left w:val="none" w:sz="0" w:space="0" w:color="auto"/>
            <w:bottom w:val="none" w:sz="0" w:space="0" w:color="auto"/>
            <w:right w:val="none" w:sz="0" w:space="0" w:color="auto"/>
          </w:divBdr>
          <w:divsChild>
            <w:div w:id="980770443">
              <w:marLeft w:val="0"/>
              <w:marRight w:val="0"/>
              <w:marTop w:val="0"/>
              <w:marBottom w:val="0"/>
              <w:divBdr>
                <w:top w:val="none" w:sz="0" w:space="0" w:color="auto"/>
                <w:left w:val="none" w:sz="0" w:space="0" w:color="auto"/>
                <w:bottom w:val="none" w:sz="0" w:space="0" w:color="auto"/>
                <w:right w:val="none" w:sz="0" w:space="0" w:color="auto"/>
              </w:divBdr>
            </w:div>
          </w:divsChild>
        </w:div>
        <w:div w:id="230772178">
          <w:marLeft w:val="0"/>
          <w:marRight w:val="0"/>
          <w:marTop w:val="0"/>
          <w:marBottom w:val="0"/>
          <w:divBdr>
            <w:top w:val="none" w:sz="0" w:space="0" w:color="auto"/>
            <w:left w:val="none" w:sz="0" w:space="0" w:color="auto"/>
            <w:bottom w:val="none" w:sz="0" w:space="0" w:color="auto"/>
            <w:right w:val="none" w:sz="0" w:space="0" w:color="auto"/>
          </w:divBdr>
          <w:divsChild>
            <w:div w:id="525798571">
              <w:marLeft w:val="0"/>
              <w:marRight w:val="0"/>
              <w:marTop w:val="0"/>
              <w:marBottom w:val="0"/>
              <w:divBdr>
                <w:top w:val="none" w:sz="0" w:space="0" w:color="auto"/>
                <w:left w:val="none" w:sz="0" w:space="0" w:color="auto"/>
                <w:bottom w:val="none" w:sz="0" w:space="0" w:color="auto"/>
                <w:right w:val="none" w:sz="0" w:space="0" w:color="auto"/>
              </w:divBdr>
            </w:div>
          </w:divsChild>
        </w:div>
        <w:div w:id="308560134">
          <w:marLeft w:val="0"/>
          <w:marRight w:val="0"/>
          <w:marTop w:val="0"/>
          <w:marBottom w:val="0"/>
          <w:divBdr>
            <w:top w:val="none" w:sz="0" w:space="0" w:color="auto"/>
            <w:left w:val="none" w:sz="0" w:space="0" w:color="auto"/>
            <w:bottom w:val="none" w:sz="0" w:space="0" w:color="auto"/>
            <w:right w:val="none" w:sz="0" w:space="0" w:color="auto"/>
          </w:divBdr>
          <w:divsChild>
            <w:div w:id="1596594175">
              <w:marLeft w:val="0"/>
              <w:marRight w:val="0"/>
              <w:marTop w:val="0"/>
              <w:marBottom w:val="0"/>
              <w:divBdr>
                <w:top w:val="none" w:sz="0" w:space="0" w:color="auto"/>
                <w:left w:val="none" w:sz="0" w:space="0" w:color="auto"/>
                <w:bottom w:val="none" w:sz="0" w:space="0" w:color="auto"/>
                <w:right w:val="none" w:sz="0" w:space="0" w:color="auto"/>
              </w:divBdr>
            </w:div>
          </w:divsChild>
        </w:div>
        <w:div w:id="443230342">
          <w:marLeft w:val="0"/>
          <w:marRight w:val="0"/>
          <w:marTop w:val="0"/>
          <w:marBottom w:val="0"/>
          <w:divBdr>
            <w:top w:val="none" w:sz="0" w:space="0" w:color="auto"/>
            <w:left w:val="none" w:sz="0" w:space="0" w:color="auto"/>
            <w:bottom w:val="none" w:sz="0" w:space="0" w:color="auto"/>
            <w:right w:val="none" w:sz="0" w:space="0" w:color="auto"/>
          </w:divBdr>
          <w:divsChild>
            <w:div w:id="621613618">
              <w:marLeft w:val="0"/>
              <w:marRight w:val="0"/>
              <w:marTop w:val="0"/>
              <w:marBottom w:val="0"/>
              <w:divBdr>
                <w:top w:val="none" w:sz="0" w:space="0" w:color="auto"/>
                <w:left w:val="none" w:sz="0" w:space="0" w:color="auto"/>
                <w:bottom w:val="none" w:sz="0" w:space="0" w:color="auto"/>
                <w:right w:val="none" w:sz="0" w:space="0" w:color="auto"/>
              </w:divBdr>
            </w:div>
          </w:divsChild>
        </w:div>
        <w:div w:id="547572910">
          <w:marLeft w:val="0"/>
          <w:marRight w:val="0"/>
          <w:marTop w:val="0"/>
          <w:marBottom w:val="0"/>
          <w:divBdr>
            <w:top w:val="none" w:sz="0" w:space="0" w:color="auto"/>
            <w:left w:val="none" w:sz="0" w:space="0" w:color="auto"/>
            <w:bottom w:val="none" w:sz="0" w:space="0" w:color="auto"/>
            <w:right w:val="none" w:sz="0" w:space="0" w:color="auto"/>
          </w:divBdr>
          <w:divsChild>
            <w:div w:id="1541170010">
              <w:marLeft w:val="0"/>
              <w:marRight w:val="0"/>
              <w:marTop w:val="0"/>
              <w:marBottom w:val="0"/>
              <w:divBdr>
                <w:top w:val="none" w:sz="0" w:space="0" w:color="auto"/>
                <w:left w:val="none" w:sz="0" w:space="0" w:color="auto"/>
                <w:bottom w:val="none" w:sz="0" w:space="0" w:color="auto"/>
                <w:right w:val="none" w:sz="0" w:space="0" w:color="auto"/>
              </w:divBdr>
            </w:div>
          </w:divsChild>
        </w:div>
        <w:div w:id="563833457">
          <w:marLeft w:val="0"/>
          <w:marRight w:val="0"/>
          <w:marTop w:val="0"/>
          <w:marBottom w:val="0"/>
          <w:divBdr>
            <w:top w:val="none" w:sz="0" w:space="0" w:color="auto"/>
            <w:left w:val="none" w:sz="0" w:space="0" w:color="auto"/>
            <w:bottom w:val="none" w:sz="0" w:space="0" w:color="auto"/>
            <w:right w:val="none" w:sz="0" w:space="0" w:color="auto"/>
          </w:divBdr>
          <w:divsChild>
            <w:div w:id="1352682886">
              <w:marLeft w:val="0"/>
              <w:marRight w:val="0"/>
              <w:marTop w:val="0"/>
              <w:marBottom w:val="0"/>
              <w:divBdr>
                <w:top w:val="none" w:sz="0" w:space="0" w:color="auto"/>
                <w:left w:val="none" w:sz="0" w:space="0" w:color="auto"/>
                <w:bottom w:val="none" w:sz="0" w:space="0" w:color="auto"/>
                <w:right w:val="none" w:sz="0" w:space="0" w:color="auto"/>
              </w:divBdr>
            </w:div>
          </w:divsChild>
        </w:div>
        <w:div w:id="594824965">
          <w:marLeft w:val="0"/>
          <w:marRight w:val="0"/>
          <w:marTop w:val="0"/>
          <w:marBottom w:val="0"/>
          <w:divBdr>
            <w:top w:val="none" w:sz="0" w:space="0" w:color="auto"/>
            <w:left w:val="none" w:sz="0" w:space="0" w:color="auto"/>
            <w:bottom w:val="none" w:sz="0" w:space="0" w:color="auto"/>
            <w:right w:val="none" w:sz="0" w:space="0" w:color="auto"/>
          </w:divBdr>
          <w:divsChild>
            <w:div w:id="1333605117">
              <w:marLeft w:val="0"/>
              <w:marRight w:val="0"/>
              <w:marTop w:val="0"/>
              <w:marBottom w:val="0"/>
              <w:divBdr>
                <w:top w:val="none" w:sz="0" w:space="0" w:color="auto"/>
                <w:left w:val="none" w:sz="0" w:space="0" w:color="auto"/>
                <w:bottom w:val="none" w:sz="0" w:space="0" w:color="auto"/>
                <w:right w:val="none" w:sz="0" w:space="0" w:color="auto"/>
              </w:divBdr>
            </w:div>
          </w:divsChild>
        </w:div>
        <w:div w:id="644236441">
          <w:marLeft w:val="0"/>
          <w:marRight w:val="0"/>
          <w:marTop w:val="0"/>
          <w:marBottom w:val="0"/>
          <w:divBdr>
            <w:top w:val="none" w:sz="0" w:space="0" w:color="auto"/>
            <w:left w:val="none" w:sz="0" w:space="0" w:color="auto"/>
            <w:bottom w:val="none" w:sz="0" w:space="0" w:color="auto"/>
            <w:right w:val="none" w:sz="0" w:space="0" w:color="auto"/>
          </w:divBdr>
          <w:divsChild>
            <w:div w:id="1363894566">
              <w:marLeft w:val="0"/>
              <w:marRight w:val="0"/>
              <w:marTop w:val="0"/>
              <w:marBottom w:val="0"/>
              <w:divBdr>
                <w:top w:val="none" w:sz="0" w:space="0" w:color="auto"/>
                <w:left w:val="none" w:sz="0" w:space="0" w:color="auto"/>
                <w:bottom w:val="none" w:sz="0" w:space="0" w:color="auto"/>
                <w:right w:val="none" w:sz="0" w:space="0" w:color="auto"/>
              </w:divBdr>
            </w:div>
          </w:divsChild>
        </w:div>
        <w:div w:id="701326021">
          <w:marLeft w:val="0"/>
          <w:marRight w:val="0"/>
          <w:marTop w:val="0"/>
          <w:marBottom w:val="0"/>
          <w:divBdr>
            <w:top w:val="none" w:sz="0" w:space="0" w:color="auto"/>
            <w:left w:val="none" w:sz="0" w:space="0" w:color="auto"/>
            <w:bottom w:val="none" w:sz="0" w:space="0" w:color="auto"/>
            <w:right w:val="none" w:sz="0" w:space="0" w:color="auto"/>
          </w:divBdr>
          <w:divsChild>
            <w:div w:id="1190483311">
              <w:marLeft w:val="0"/>
              <w:marRight w:val="0"/>
              <w:marTop w:val="0"/>
              <w:marBottom w:val="0"/>
              <w:divBdr>
                <w:top w:val="none" w:sz="0" w:space="0" w:color="auto"/>
                <w:left w:val="none" w:sz="0" w:space="0" w:color="auto"/>
                <w:bottom w:val="none" w:sz="0" w:space="0" w:color="auto"/>
                <w:right w:val="none" w:sz="0" w:space="0" w:color="auto"/>
              </w:divBdr>
            </w:div>
          </w:divsChild>
        </w:div>
        <w:div w:id="704335202">
          <w:marLeft w:val="0"/>
          <w:marRight w:val="0"/>
          <w:marTop w:val="0"/>
          <w:marBottom w:val="0"/>
          <w:divBdr>
            <w:top w:val="none" w:sz="0" w:space="0" w:color="auto"/>
            <w:left w:val="none" w:sz="0" w:space="0" w:color="auto"/>
            <w:bottom w:val="none" w:sz="0" w:space="0" w:color="auto"/>
            <w:right w:val="none" w:sz="0" w:space="0" w:color="auto"/>
          </w:divBdr>
          <w:divsChild>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769937184">
          <w:marLeft w:val="0"/>
          <w:marRight w:val="0"/>
          <w:marTop w:val="0"/>
          <w:marBottom w:val="0"/>
          <w:divBdr>
            <w:top w:val="none" w:sz="0" w:space="0" w:color="auto"/>
            <w:left w:val="none" w:sz="0" w:space="0" w:color="auto"/>
            <w:bottom w:val="none" w:sz="0" w:space="0" w:color="auto"/>
            <w:right w:val="none" w:sz="0" w:space="0" w:color="auto"/>
          </w:divBdr>
          <w:divsChild>
            <w:div w:id="1352687023">
              <w:marLeft w:val="0"/>
              <w:marRight w:val="0"/>
              <w:marTop w:val="0"/>
              <w:marBottom w:val="0"/>
              <w:divBdr>
                <w:top w:val="none" w:sz="0" w:space="0" w:color="auto"/>
                <w:left w:val="none" w:sz="0" w:space="0" w:color="auto"/>
                <w:bottom w:val="none" w:sz="0" w:space="0" w:color="auto"/>
                <w:right w:val="none" w:sz="0" w:space="0" w:color="auto"/>
              </w:divBdr>
            </w:div>
          </w:divsChild>
        </w:div>
        <w:div w:id="779909201">
          <w:marLeft w:val="0"/>
          <w:marRight w:val="0"/>
          <w:marTop w:val="0"/>
          <w:marBottom w:val="0"/>
          <w:divBdr>
            <w:top w:val="none" w:sz="0" w:space="0" w:color="auto"/>
            <w:left w:val="none" w:sz="0" w:space="0" w:color="auto"/>
            <w:bottom w:val="none" w:sz="0" w:space="0" w:color="auto"/>
            <w:right w:val="none" w:sz="0" w:space="0" w:color="auto"/>
          </w:divBdr>
          <w:divsChild>
            <w:div w:id="2005237607">
              <w:marLeft w:val="0"/>
              <w:marRight w:val="0"/>
              <w:marTop w:val="0"/>
              <w:marBottom w:val="0"/>
              <w:divBdr>
                <w:top w:val="none" w:sz="0" w:space="0" w:color="auto"/>
                <w:left w:val="none" w:sz="0" w:space="0" w:color="auto"/>
                <w:bottom w:val="none" w:sz="0" w:space="0" w:color="auto"/>
                <w:right w:val="none" w:sz="0" w:space="0" w:color="auto"/>
              </w:divBdr>
            </w:div>
          </w:divsChild>
        </w:div>
        <w:div w:id="782504900">
          <w:marLeft w:val="0"/>
          <w:marRight w:val="0"/>
          <w:marTop w:val="0"/>
          <w:marBottom w:val="0"/>
          <w:divBdr>
            <w:top w:val="none" w:sz="0" w:space="0" w:color="auto"/>
            <w:left w:val="none" w:sz="0" w:space="0" w:color="auto"/>
            <w:bottom w:val="none" w:sz="0" w:space="0" w:color="auto"/>
            <w:right w:val="none" w:sz="0" w:space="0" w:color="auto"/>
          </w:divBdr>
          <w:divsChild>
            <w:div w:id="207573456">
              <w:marLeft w:val="0"/>
              <w:marRight w:val="0"/>
              <w:marTop w:val="0"/>
              <w:marBottom w:val="0"/>
              <w:divBdr>
                <w:top w:val="none" w:sz="0" w:space="0" w:color="auto"/>
                <w:left w:val="none" w:sz="0" w:space="0" w:color="auto"/>
                <w:bottom w:val="none" w:sz="0" w:space="0" w:color="auto"/>
                <w:right w:val="none" w:sz="0" w:space="0" w:color="auto"/>
              </w:divBdr>
            </w:div>
          </w:divsChild>
        </w:div>
        <w:div w:id="877543613">
          <w:marLeft w:val="0"/>
          <w:marRight w:val="0"/>
          <w:marTop w:val="0"/>
          <w:marBottom w:val="0"/>
          <w:divBdr>
            <w:top w:val="none" w:sz="0" w:space="0" w:color="auto"/>
            <w:left w:val="none" w:sz="0" w:space="0" w:color="auto"/>
            <w:bottom w:val="none" w:sz="0" w:space="0" w:color="auto"/>
            <w:right w:val="none" w:sz="0" w:space="0" w:color="auto"/>
          </w:divBdr>
          <w:divsChild>
            <w:div w:id="1294939945">
              <w:marLeft w:val="0"/>
              <w:marRight w:val="0"/>
              <w:marTop w:val="0"/>
              <w:marBottom w:val="0"/>
              <w:divBdr>
                <w:top w:val="none" w:sz="0" w:space="0" w:color="auto"/>
                <w:left w:val="none" w:sz="0" w:space="0" w:color="auto"/>
                <w:bottom w:val="none" w:sz="0" w:space="0" w:color="auto"/>
                <w:right w:val="none" w:sz="0" w:space="0" w:color="auto"/>
              </w:divBdr>
            </w:div>
          </w:divsChild>
        </w:div>
        <w:div w:id="882064077">
          <w:marLeft w:val="0"/>
          <w:marRight w:val="0"/>
          <w:marTop w:val="0"/>
          <w:marBottom w:val="0"/>
          <w:divBdr>
            <w:top w:val="none" w:sz="0" w:space="0" w:color="auto"/>
            <w:left w:val="none" w:sz="0" w:space="0" w:color="auto"/>
            <w:bottom w:val="none" w:sz="0" w:space="0" w:color="auto"/>
            <w:right w:val="none" w:sz="0" w:space="0" w:color="auto"/>
          </w:divBdr>
          <w:divsChild>
            <w:div w:id="315836956">
              <w:marLeft w:val="0"/>
              <w:marRight w:val="0"/>
              <w:marTop w:val="0"/>
              <w:marBottom w:val="0"/>
              <w:divBdr>
                <w:top w:val="none" w:sz="0" w:space="0" w:color="auto"/>
                <w:left w:val="none" w:sz="0" w:space="0" w:color="auto"/>
                <w:bottom w:val="none" w:sz="0" w:space="0" w:color="auto"/>
                <w:right w:val="none" w:sz="0" w:space="0" w:color="auto"/>
              </w:divBdr>
            </w:div>
          </w:divsChild>
        </w:div>
        <w:div w:id="978612353">
          <w:marLeft w:val="0"/>
          <w:marRight w:val="0"/>
          <w:marTop w:val="0"/>
          <w:marBottom w:val="0"/>
          <w:divBdr>
            <w:top w:val="none" w:sz="0" w:space="0" w:color="auto"/>
            <w:left w:val="none" w:sz="0" w:space="0" w:color="auto"/>
            <w:bottom w:val="none" w:sz="0" w:space="0" w:color="auto"/>
            <w:right w:val="none" w:sz="0" w:space="0" w:color="auto"/>
          </w:divBdr>
          <w:divsChild>
            <w:div w:id="1074816465">
              <w:marLeft w:val="0"/>
              <w:marRight w:val="0"/>
              <w:marTop w:val="0"/>
              <w:marBottom w:val="0"/>
              <w:divBdr>
                <w:top w:val="none" w:sz="0" w:space="0" w:color="auto"/>
                <w:left w:val="none" w:sz="0" w:space="0" w:color="auto"/>
                <w:bottom w:val="none" w:sz="0" w:space="0" w:color="auto"/>
                <w:right w:val="none" w:sz="0" w:space="0" w:color="auto"/>
              </w:divBdr>
            </w:div>
          </w:divsChild>
        </w:div>
        <w:div w:id="988365243">
          <w:marLeft w:val="0"/>
          <w:marRight w:val="0"/>
          <w:marTop w:val="0"/>
          <w:marBottom w:val="0"/>
          <w:divBdr>
            <w:top w:val="none" w:sz="0" w:space="0" w:color="auto"/>
            <w:left w:val="none" w:sz="0" w:space="0" w:color="auto"/>
            <w:bottom w:val="none" w:sz="0" w:space="0" w:color="auto"/>
            <w:right w:val="none" w:sz="0" w:space="0" w:color="auto"/>
          </w:divBdr>
          <w:divsChild>
            <w:div w:id="182136476">
              <w:marLeft w:val="0"/>
              <w:marRight w:val="0"/>
              <w:marTop w:val="0"/>
              <w:marBottom w:val="0"/>
              <w:divBdr>
                <w:top w:val="none" w:sz="0" w:space="0" w:color="auto"/>
                <w:left w:val="none" w:sz="0" w:space="0" w:color="auto"/>
                <w:bottom w:val="none" w:sz="0" w:space="0" w:color="auto"/>
                <w:right w:val="none" w:sz="0" w:space="0" w:color="auto"/>
              </w:divBdr>
            </w:div>
          </w:divsChild>
        </w:div>
        <w:div w:id="1005742349">
          <w:marLeft w:val="0"/>
          <w:marRight w:val="0"/>
          <w:marTop w:val="0"/>
          <w:marBottom w:val="0"/>
          <w:divBdr>
            <w:top w:val="none" w:sz="0" w:space="0" w:color="auto"/>
            <w:left w:val="none" w:sz="0" w:space="0" w:color="auto"/>
            <w:bottom w:val="none" w:sz="0" w:space="0" w:color="auto"/>
            <w:right w:val="none" w:sz="0" w:space="0" w:color="auto"/>
          </w:divBdr>
          <w:divsChild>
            <w:div w:id="1003314871">
              <w:marLeft w:val="0"/>
              <w:marRight w:val="0"/>
              <w:marTop w:val="0"/>
              <w:marBottom w:val="0"/>
              <w:divBdr>
                <w:top w:val="none" w:sz="0" w:space="0" w:color="auto"/>
                <w:left w:val="none" w:sz="0" w:space="0" w:color="auto"/>
                <w:bottom w:val="none" w:sz="0" w:space="0" w:color="auto"/>
                <w:right w:val="none" w:sz="0" w:space="0" w:color="auto"/>
              </w:divBdr>
            </w:div>
          </w:divsChild>
        </w:div>
        <w:div w:id="1026369169">
          <w:marLeft w:val="0"/>
          <w:marRight w:val="0"/>
          <w:marTop w:val="0"/>
          <w:marBottom w:val="0"/>
          <w:divBdr>
            <w:top w:val="none" w:sz="0" w:space="0" w:color="auto"/>
            <w:left w:val="none" w:sz="0" w:space="0" w:color="auto"/>
            <w:bottom w:val="none" w:sz="0" w:space="0" w:color="auto"/>
            <w:right w:val="none" w:sz="0" w:space="0" w:color="auto"/>
          </w:divBdr>
          <w:divsChild>
            <w:div w:id="392043270">
              <w:marLeft w:val="0"/>
              <w:marRight w:val="0"/>
              <w:marTop w:val="0"/>
              <w:marBottom w:val="0"/>
              <w:divBdr>
                <w:top w:val="none" w:sz="0" w:space="0" w:color="auto"/>
                <w:left w:val="none" w:sz="0" w:space="0" w:color="auto"/>
                <w:bottom w:val="none" w:sz="0" w:space="0" w:color="auto"/>
                <w:right w:val="none" w:sz="0" w:space="0" w:color="auto"/>
              </w:divBdr>
            </w:div>
          </w:divsChild>
        </w:div>
        <w:div w:id="1080639845">
          <w:marLeft w:val="0"/>
          <w:marRight w:val="0"/>
          <w:marTop w:val="0"/>
          <w:marBottom w:val="0"/>
          <w:divBdr>
            <w:top w:val="none" w:sz="0" w:space="0" w:color="auto"/>
            <w:left w:val="none" w:sz="0" w:space="0" w:color="auto"/>
            <w:bottom w:val="none" w:sz="0" w:space="0" w:color="auto"/>
            <w:right w:val="none" w:sz="0" w:space="0" w:color="auto"/>
          </w:divBdr>
          <w:divsChild>
            <w:div w:id="1460219692">
              <w:marLeft w:val="0"/>
              <w:marRight w:val="0"/>
              <w:marTop w:val="0"/>
              <w:marBottom w:val="0"/>
              <w:divBdr>
                <w:top w:val="none" w:sz="0" w:space="0" w:color="auto"/>
                <w:left w:val="none" w:sz="0" w:space="0" w:color="auto"/>
                <w:bottom w:val="none" w:sz="0" w:space="0" w:color="auto"/>
                <w:right w:val="none" w:sz="0" w:space="0" w:color="auto"/>
              </w:divBdr>
            </w:div>
          </w:divsChild>
        </w:div>
        <w:div w:id="1081373150">
          <w:marLeft w:val="0"/>
          <w:marRight w:val="0"/>
          <w:marTop w:val="0"/>
          <w:marBottom w:val="0"/>
          <w:divBdr>
            <w:top w:val="none" w:sz="0" w:space="0" w:color="auto"/>
            <w:left w:val="none" w:sz="0" w:space="0" w:color="auto"/>
            <w:bottom w:val="none" w:sz="0" w:space="0" w:color="auto"/>
            <w:right w:val="none" w:sz="0" w:space="0" w:color="auto"/>
          </w:divBdr>
          <w:divsChild>
            <w:div w:id="1790318068">
              <w:marLeft w:val="0"/>
              <w:marRight w:val="0"/>
              <w:marTop w:val="0"/>
              <w:marBottom w:val="0"/>
              <w:divBdr>
                <w:top w:val="none" w:sz="0" w:space="0" w:color="auto"/>
                <w:left w:val="none" w:sz="0" w:space="0" w:color="auto"/>
                <w:bottom w:val="none" w:sz="0" w:space="0" w:color="auto"/>
                <w:right w:val="none" w:sz="0" w:space="0" w:color="auto"/>
              </w:divBdr>
            </w:div>
          </w:divsChild>
        </w:div>
        <w:div w:id="1112943134">
          <w:marLeft w:val="0"/>
          <w:marRight w:val="0"/>
          <w:marTop w:val="0"/>
          <w:marBottom w:val="0"/>
          <w:divBdr>
            <w:top w:val="none" w:sz="0" w:space="0" w:color="auto"/>
            <w:left w:val="none" w:sz="0" w:space="0" w:color="auto"/>
            <w:bottom w:val="none" w:sz="0" w:space="0" w:color="auto"/>
            <w:right w:val="none" w:sz="0" w:space="0" w:color="auto"/>
          </w:divBdr>
          <w:divsChild>
            <w:div w:id="1376001605">
              <w:marLeft w:val="0"/>
              <w:marRight w:val="0"/>
              <w:marTop w:val="0"/>
              <w:marBottom w:val="0"/>
              <w:divBdr>
                <w:top w:val="none" w:sz="0" w:space="0" w:color="auto"/>
                <w:left w:val="none" w:sz="0" w:space="0" w:color="auto"/>
                <w:bottom w:val="none" w:sz="0" w:space="0" w:color="auto"/>
                <w:right w:val="none" w:sz="0" w:space="0" w:color="auto"/>
              </w:divBdr>
            </w:div>
          </w:divsChild>
        </w:div>
        <w:div w:id="1126853549">
          <w:marLeft w:val="0"/>
          <w:marRight w:val="0"/>
          <w:marTop w:val="0"/>
          <w:marBottom w:val="0"/>
          <w:divBdr>
            <w:top w:val="none" w:sz="0" w:space="0" w:color="auto"/>
            <w:left w:val="none" w:sz="0" w:space="0" w:color="auto"/>
            <w:bottom w:val="none" w:sz="0" w:space="0" w:color="auto"/>
            <w:right w:val="none" w:sz="0" w:space="0" w:color="auto"/>
          </w:divBdr>
          <w:divsChild>
            <w:div w:id="1508792358">
              <w:marLeft w:val="0"/>
              <w:marRight w:val="0"/>
              <w:marTop w:val="0"/>
              <w:marBottom w:val="0"/>
              <w:divBdr>
                <w:top w:val="none" w:sz="0" w:space="0" w:color="auto"/>
                <w:left w:val="none" w:sz="0" w:space="0" w:color="auto"/>
                <w:bottom w:val="none" w:sz="0" w:space="0" w:color="auto"/>
                <w:right w:val="none" w:sz="0" w:space="0" w:color="auto"/>
              </w:divBdr>
            </w:div>
          </w:divsChild>
        </w:div>
        <w:div w:id="1179076651">
          <w:marLeft w:val="0"/>
          <w:marRight w:val="0"/>
          <w:marTop w:val="0"/>
          <w:marBottom w:val="0"/>
          <w:divBdr>
            <w:top w:val="none" w:sz="0" w:space="0" w:color="auto"/>
            <w:left w:val="none" w:sz="0" w:space="0" w:color="auto"/>
            <w:bottom w:val="none" w:sz="0" w:space="0" w:color="auto"/>
            <w:right w:val="none" w:sz="0" w:space="0" w:color="auto"/>
          </w:divBdr>
          <w:divsChild>
            <w:div w:id="1022976275">
              <w:marLeft w:val="0"/>
              <w:marRight w:val="0"/>
              <w:marTop w:val="0"/>
              <w:marBottom w:val="0"/>
              <w:divBdr>
                <w:top w:val="none" w:sz="0" w:space="0" w:color="auto"/>
                <w:left w:val="none" w:sz="0" w:space="0" w:color="auto"/>
                <w:bottom w:val="none" w:sz="0" w:space="0" w:color="auto"/>
                <w:right w:val="none" w:sz="0" w:space="0" w:color="auto"/>
              </w:divBdr>
            </w:div>
          </w:divsChild>
        </w:div>
        <w:div w:id="1206218630">
          <w:marLeft w:val="0"/>
          <w:marRight w:val="0"/>
          <w:marTop w:val="0"/>
          <w:marBottom w:val="0"/>
          <w:divBdr>
            <w:top w:val="none" w:sz="0" w:space="0" w:color="auto"/>
            <w:left w:val="none" w:sz="0" w:space="0" w:color="auto"/>
            <w:bottom w:val="none" w:sz="0" w:space="0" w:color="auto"/>
            <w:right w:val="none" w:sz="0" w:space="0" w:color="auto"/>
          </w:divBdr>
          <w:divsChild>
            <w:div w:id="431558015">
              <w:marLeft w:val="0"/>
              <w:marRight w:val="0"/>
              <w:marTop w:val="0"/>
              <w:marBottom w:val="0"/>
              <w:divBdr>
                <w:top w:val="none" w:sz="0" w:space="0" w:color="auto"/>
                <w:left w:val="none" w:sz="0" w:space="0" w:color="auto"/>
                <w:bottom w:val="none" w:sz="0" w:space="0" w:color="auto"/>
                <w:right w:val="none" w:sz="0" w:space="0" w:color="auto"/>
              </w:divBdr>
            </w:div>
          </w:divsChild>
        </w:div>
        <w:div w:id="1233737751">
          <w:marLeft w:val="0"/>
          <w:marRight w:val="0"/>
          <w:marTop w:val="0"/>
          <w:marBottom w:val="0"/>
          <w:divBdr>
            <w:top w:val="none" w:sz="0" w:space="0" w:color="auto"/>
            <w:left w:val="none" w:sz="0" w:space="0" w:color="auto"/>
            <w:bottom w:val="none" w:sz="0" w:space="0" w:color="auto"/>
            <w:right w:val="none" w:sz="0" w:space="0" w:color="auto"/>
          </w:divBdr>
          <w:divsChild>
            <w:div w:id="1054620551">
              <w:marLeft w:val="0"/>
              <w:marRight w:val="0"/>
              <w:marTop w:val="0"/>
              <w:marBottom w:val="0"/>
              <w:divBdr>
                <w:top w:val="none" w:sz="0" w:space="0" w:color="auto"/>
                <w:left w:val="none" w:sz="0" w:space="0" w:color="auto"/>
                <w:bottom w:val="none" w:sz="0" w:space="0" w:color="auto"/>
                <w:right w:val="none" w:sz="0" w:space="0" w:color="auto"/>
              </w:divBdr>
            </w:div>
          </w:divsChild>
        </w:div>
        <w:div w:id="1238514866">
          <w:marLeft w:val="0"/>
          <w:marRight w:val="0"/>
          <w:marTop w:val="0"/>
          <w:marBottom w:val="0"/>
          <w:divBdr>
            <w:top w:val="none" w:sz="0" w:space="0" w:color="auto"/>
            <w:left w:val="none" w:sz="0" w:space="0" w:color="auto"/>
            <w:bottom w:val="none" w:sz="0" w:space="0" w:color="auto"/>
            <w:right w:val="none" w:sz="0" w:space="0" w:color="auto"/>
          </w:divBdr>
          <w:divsChild>
            <w:div w:id="392968485">
              <w:marLeft w:val="0"/>
              <w:marRight w:val="0"/>
              <w:marTop w:val="0"/>
              <w:marBottom w:val="0"/>
              <w:divBdr>
                <w:top w:val="none" w:sz="0" w:space="0" w:color="auto"/>
                <w:left w:val="none" w:sz="0" w:space="0" w:color="auto"/>
                <w:bottom w:val="none" w:sz="0" w:space="0" w:color="auto"/>
                <w:right w:val="none" w:sz="0" w:space="0" w:color="auto"/>
              </w:divBdr>
            </w:div>
          </w:divsChild>
        </w:div>
        <w:div w:id="1267998945">
          <w:marLeft w:val="0"/>
          <w:marRight w:val="0"/>
          <w:marTop w:val="0"/>
          <w:marBottom w:val="0"/>
          <w:divBdr>
            <w:top w:val="none" w:sz="0" w:space="0" w:color="auto"/>
            <w:left w:val="none" w:sz="0" w:space="0" w:color="auto"/>
            <w:bottom w:val="none" w:sz="0" w:space="0" w:color="auto"/>
            <w:right w:val="none" w:sz="0" w:space="0" w:color="auto"/>
          </w:divBdr>
          <w:divsChild>
            <w:div w:id="1281962019">
              <w:marLeft w:val="0"/>
              <w:marRight w:val="0"/>
              <w:marTop w:val="0"/>
              <w:marBottom w:val="0"/>
              <w:divBdr>
                <w:top w:val="none" w:sz="0" w:space="0" w:color="auto"/>
                <w:left w:val="none" w:sz="0" w:space="0" w:color="auto"/>
                <w:bottom w:val="none" w:sz="0" w:space="0" w:color="auto"/>
                <w:right w:val="none" w:sz="0" w:space="0" w:color="auto"/>
              </w:divBdr>
            </w:div>
          </w:divsChild>
        </w:div>
        <w:div w:id="1283730350">
          <w:marLeft w:val="0"/>
          <w:marRight w:val="0"/>
          <w:marTop w:val="0"/>
          <w:marBottom w:val="0"/>
          <w:divBdr>
            <w:top w:val="none" w:sz="0" w:space="0" w:color="auto"/>
            <w:left w:val="none" w:sz="0" w:space="0" w:color="auto"/>
            <w:bottom w:val="none" w:sz="0" w:space="0" w:color="auto"/>
            <w:right w:val="none" w:sz="0" w:space="0" w:color="auto"/>
          </w:divBdr>
          <w:divsChild>
            <w:div w:id="268516008">
              <w:marLeft w:val="0"/>
              <w:marRight w:val="0"/>
              <w:marTop w:val="0"/>
              <w:marBottom w:val="0"/>
              <w:divBdr>
                <w:top w:val="none" w:sz="0" w:space="0" w:color="auto"/>
                <w:left w:val="none" w:sz="0" w:space="0" w:color="auto"/>
                <w:bottom w:val="none" w:sz="0" w:space="0" w:color="auto"/>
                <w:right w:val="none" w:sz="0" w:space="0" w:color="auto"/>
              </w:divBdr>
            </w:div>
          </w:divsChild>
        </w:div>
        <w:div w:id="1287397482">
          <w:marLeft w:val="0"/>
          <w:marRight w:val="0"/>
          <w:marTop w:val="0"/>
          <w:marBottom w:val="0"/>
          <w:divBdr>
            <w:top w:val="none" w:sz="0" w:space="0" w:color="auto"/>
            <w:left w:val="none" w:sz="0" w:space="0" w:color="auto"/>
            <w:bottom w:val="none" w:sz="0" w:space="0" w:color="auto"/>
            <w:right w:val="none" w:sz="0" w:space="0" w:color="auto"/>
          </w:divBdr>
          <w:divsChild>
            <w:div w:id="1314874213">
              <w:marLeft w:val="0"/>
              <w:marRight w:val="0"/>
              <w:marTop w:val="0"/>
              <w:marBottom w:val="0"/>
              <w:divBdr>
                <w:top w:val="none" w:sz="0" w:space="0" w:color="auto"/>
                <w:left w:val="none" w:sz="0" w:space="0" w:color="auto"/>
                <w:bottom w:val="none" w:sz="0" w:space="0" w:color="auto"/>
                <w:right w:val="none" w:sz="0" w:space="0" w:color="auto"/>
              </w:divBdr>
            </w:div>
          </w:divsChild>
        </w:div>
        <w:div w:id="1435251952">
          <w:marLeft w:val="0"/>
          <w:marRight w:val="0"/>
          <w:marTop w:val="0"/>
          <w:marBottom w:val="0"/>
          <w:divBdr>
            <w:top w:val="none" w:sz="0" w:space="0" w:color="auto"/>
            <w:left w:val="none" w:sz="0" w:space="0" w:color="auto"/>
            <w:bottom w:val="none" w:sz="0" w:space="0" w:color="auto"/>
            <w:right w:val="none" w:sz="0" w:space="0" w:color="auto"/>
          </w:divBdr>
          <w:divsChild>
            <w:div w:id="674576687">
              <w:marLeft w:val="0"/>
              <w:marRight w:val="0"/>
              <w:marTop w:val="0"/>
              <w:marBottom w:val="0"/>
              <w:divBdr>
                <w:top w:val="none" w:sz="0" w:space="0" w:color="auto"/>
                <w:left w:val="none" w:sz="0" w:space="0" w:color="auto"/>
                <w:bottom w:val="none" w:sz="0" w:space="0" w:color="auto"/>
                <w:right w:val="none" w:sz="0" w:space="0" w:color="auto"/>
              </w:divBdr>
            </w:div>
          </w:divsChild>
        </w:div>
        <w:div w:id="1448624319">
          <w:marLeft w:val="0"/>
          <w:marRight w:val="0"/>
          <w:marTop w:val="0"/>
          <w:marBottom w:val="0"/>
          <w:divBdr>
            <w:top w:val="none" w:sz="0" w:space="0" w:color="auto"/>
            <w:left w:val="none" w:sz="0" w:space="0" w:color="auto"/>
            <w:bottom w:val="none" w:sz="0" w:space="0" w:color="auto"/>
            <w:right w:val="none" w:sz="0" w:space="0" w:color="auto"/>
          </w:divBdr>
          <w:divsChild>
            <w:div w:id="689989788">
              <w:marLeft w:val="0"/>
              <w:marRight w:val="0"/>
              <w:marTop w:val="0"/>
              <w:marBottom w:val="0"/>
              <w:divBdr>
                <w:top w:val="none" w:sz="0" w:space="0" w:color="auto"/>
                <w:left w:val="none" w:sz="0" w:space="0" w:color="auto"/>
                <w:bottom w:val="none" w:sz="0" w:space="0" w:color="auto"/>
                <w:right w:val="none" w:sz="0" w:space="0" w:color="auto"/>
              </w:divBdr>
            </w:div>
          </w:divsChild>
        </w:div>
        <w:div w:id="1462771683">
          <w:marLeft w:val="0"/>
          <w:marRight w:val="0"/>
          <w:marTop w:val="0"/>
          <w:marBottom w:val="0"/>
          <w:divBdr>
            <w:top w:val="none" w:sz="0" w:space="0" w:color="auto"/>
            <w:left w:val="none" w:sz="0" w:space="0" w:color="auto"/>
            <w:bottom w:val="none" w:sz="0" w:space="0" w:color="auto"/>
            <w:right w:val="none" w:sz="0" w:space="0" w:color="auto"/>
          </w:divBdr>
          <w:divsChild>
            <w:div w:id="1956862978">
              <w:marLeft w:val="0"/>
              <w:marRight w:val="0"/>
              <w:marTop w:val="0"/>
              <w:marBottom w:val="0"/>
              <w:divBdr>
                <w:top w:val="none" w:sz="0" w:space="0" w:color="auto"/>
                <w:left w:val="none" w:sz="0" w:space="0" w:color="auto"/>
                <w:bottom w:val="none" w:sz="0" w:space="0" w:color="auto"/>
                <w:right w:val="none" w:sz="0" w:space="0" w:color="auto"/>
              </w:divBdr>
            </w:div>
          </w:divsChild>
        </w:div>
        <w:div w:id="1515532320">
          <w:marLeft w:val="0"/>
          <w:marRight w:val="0"/>
          <w:marTop w:val="0"/>
          <w:marBottom w:val="0"/>
          <w:divBdr>
            <w:top w:val="none" w:sz="0" w:space="0" w:color="auto"/>
            <w:left w:val="none" w:sz="0" w:space="0" w:color="auto"/>
            <w:bottom w:val="none" w:sz="0" w:space="0" w:color="auto"/>
            <w:right w:val="none" w:sz="0" w:space="0" w:color="auto"/>
          </w:divBdr>
          <w:divsChild>
            <w:div w:id="963460112">
              <w:marLeft w:val="0"/>
              <w:marRight w:val="0"/>
              <w:marTop w:val="0"/>
              <w:marBottom w:val="0"/>
              <w:divBdr>
                <w:top w:val="none" w:sz="0" w:space="0" w:color="auto"/>
                <w:left w:val="none" w:sz="0" w:space="0" w:color="auto"/>
                <w:bottom w:val="none" w:sz="0" w:space="0" w:color="auto"/>
                <w:right w:val="none" w:sz="0" w:space="0" w:color="auto"/>
              </w:divBdr>
            </w:div>
          </w:divsChild>
        </w:div>
        <w:div w:id="1523468626">
          <w:marLeft w:val="0"/>
          <w:marRight w:val="0"/>
          <w:marTop w:val="0"/>
          <w:marBottom w:val="0"/>
          <w:divBdr>
            <w:top w:val="none" w:sz="0" w:space="0" w:color="auto"/>
            <w:left w:val="none" w:sz="0" w:space="0" w:color="auto"/>
            <w:bottom w:val="none" w:sz="0" w:space="0" w:color="auto"/>
            <w:right w:val="none" w:sz="0" w:space="0" w:color="auto"/>
          </w:divBdr>
          <w:divsChild>
            <w:div w:id="190653738">
              <w:marLeft w:val="0"/>
              <w:marRight w:val="0"/>
              <w:marTop w:val="0"/>
              <w:marBottom w:val="0"/>
              <w:divBdr>
                <w:top w:val="none" w:sz="0" w:space="0" w:color="auto"/>
                <w:left w:val="none" w:sz="0" w:space="0" w:color="auto"/>
                <w:bottom w:val="none" w:sz="0" w:space="0" w:color="auto"/>
                <w:right w:val="none" w:sz="0" w:space="0" w:color="auto"/>
              </w:divBdr>
            </w:div>
          </w:divsChild>
        </w:div>
        <w:div w:id="1582984481">
          <w:marLeft w:val="0"/>
          <w:marRight w:val="0"/>
          <w:marTop w:val="0"/>
          <w:marBottom w:val="0"/>
          <w:divBdr>
            <w:top w:val="none" w:sz="0" w:space="0" w:color="auto"/>
            <w:left w:val="none" w:sz="0" w:space="0" w:color="auto"/>
            <w:bottom w:val="none" w:sz="0" w:space="0" w:color="auto"/>
            <w:right w:val="none" w:sz="0" w:space="0" w:color="auto"/>
          </w:divBdr>
          <w:divsChild>
            <w:div w:id="119301309">
              <w:marLeft w:val="0"/>
              <w:marRight w:val="0"/>
              <w:marTop w:val="0"/>
              <w:marBottom w:val="0"/>
              <w:divBdr>
                <w:top w:val="none" w:sz="0" w:space="0" w:color="auto"/>
                <w:left w:val="none" w:sz="0" w:space="0" w:color="auto"/>
                <w:bottom w:val="none" w:sz="0" w:space="0" w:color="auto"/>
                <w:right w:val="none" w:sz="0" w:space="0" w:color="auto"/>
              </w:divBdr>
            </w:div>
          </w:divsChild>
        </w:div>
        <w:div w:id="1592004589">
          <w:marLeft w:val="0"/>
          <w:marRight w:val="0"/>
          <w:marTop w:val="0"/>
          <w:marBottom w:val="0"/>
          <w:divBdr>
            <w:top w:val="none" w:sz="0" w:space="0" w:color="auto"/>
            <w:left w:val="none" w:sz="0" w:space="0" w:color="auto"/>
            <w:bottom w:val="none" w:sz="0" w:space="0" w:color="auto"/>
            <w:right w:val="none" w:sz="0" w:space="0" w:color="auto"/>
          </w:divBdr>
          <w:divsChild>
            <w:div w:id="12196948">
              <w:marLeft w:val="0"/>
              <w:marRight w:val="0"/>
              <w:marTop w:val="0"/>
              <w:marBottom w:val="0"/>
              <w:divBdr>
                <w:top w:val="none" w:sz="0" w:space="0" w:color="auto"/>
                <w:left w:val="none" w:sz="0" w:space="0" w:color="auto"/>
                <w:bottom w:val="none" w:sz="0" w:space="0" w:color="auto"/>
                <w:right w:val="none" w:sz="0" w:space="0" w:color="auto"/>
              </w:divBdr>
            </w:div>
          </w:divsChild>
        </w:div>
        <w:div w:id="1599680179">
          <w:marLeft w:val="0"/>
          <w:marRight w:val="0"/>
          <w:marTop w:val="0"/>
          <w:marBottom w:val="0"/>
          <w:divBdr>
            <w:top w:val="none" w:sz="0" w:space="0" w:color="auto"/>
            <w:left w:val="none" w:sz="0" w:space="0" w:color="auto"/>
            <w:bottom w:val="none" w:sz="0" w:space="0" w:color="auto"/>
            <w:right w:val="none" w:sz="0" w:space="0" w:color="auto"/>
          </w:divBdr>
          <w:divsChild>
            <w:div w:id="127287753">
              <w:marLeft w:val="0"/>
              <w:marRight w:val="0"/>
              <w:marTop w:val="0"/>
              <w:marBottom w:val="0"/>
              <w:divBdr>
                <w:top w:val="none" w:sz="0" w:space="0" w:color="auto"/>
                <w:left w:val="none" w:sz="0" w:space="0" w:color="auto"/>
                <w:bottom w:val="none" w:sz="0" w:space="0" w:color="auto"/>
                <w:right w:val="none" w:sz="0" w:space="0" w:color="auto"/>
              </w:divBdr>
            </w:div>
          </w:divsChild>
        </w:div>
        <w:div w:id="1616407593">
          <w:marLeft w:val="0"/>
          <w:marRight w:val="0"/>
          <w:marTop w:val="0"/>
          <w:marBottom w:val="0"/>
          <w:divBdr>
            <w:top w:val="none" w:sz="0" w:space="0" w:color="auto"/>
            <w:left w:val="none" w:sz="0" w:space="0" w:color="auto"/>
            <w:bottom w:val="none" w:sz="0" w:space="0" w:color="auto"/>
            <w:right w:val="none" w:sz="0" w:space="0" w:color="auto"/>
          </w:divBdr>
          <w:divsChild>
            <w:div w:id="13970337">
              <w:marLeft w:val="0"/>
              <w:marRight w:val="0"/>
              <w:marTop w:val="0"/>
              <w:marBottom w:val="0"/>
              <w:divBdr>
                <w:top w:val="none" w:sz="0" w:space="0" w:color="auto"/>
                <w:left w:val="none" w:sz="0" w:space="0" w:color="auto"/>
                <w:bottom w:val="none" w:sz="0" w:space="0" w:color="auto"/>
                <w:right w:val="none" w:sz="0" w:space="0" w:color="auto"/>
              </w:divBdr>
            </w:div>
          </w:divsChild>
        </w:div>
        <w:div w:id="1618486834">
          <w:marLeft w:val="0"/>
          <w:marRight w:val="0"/>
          <w:marTop w:val="0"/>
          <w:marBottom w:val="0"/>
          <w:divBdr>
            <w:top w:val="none" w:sz="0" w:space="0" w:color="auto"/>
            <w:left w:val="none" w:sz="0" w:space="0" w:color="auto"/>
            <w:bottom w:val="none" w:sz="0" w:space="0" w:color="auto"/>
            <w:right w:val="none" w:sz="0" w:space="0" w:color="auto"/>
          </w:divBdr>
          <w:divsChild>
            <w:div w:id="2053000433">
              <w:marLeft w:val="0"/>
              <w:marRight w:val="0"/>
              <w:marTop w:val="0"/>
              <w:marBottom w:val="0"/>
              <w:divBdr>
                <w:top w:val="none" w:sz="0" w:space="0" w:color="auto"/>
                <w:left w:val="none" w:sz="0" w:space="0" w:color="auto"/>
                <w:bottom w:val="none" w:sz="0" w:space="0" w:color="auto"/>
                <w:right w:val="none" w:sz="0" w:space="0" w:color="auto"/>
              </w:divBdr>
            </w:div>
          </w:divsChild>
        </w:div>
        <w:div w:id="1632903746">
          <w:marLeft w:val="0"/>
          <w:marRight w:val="0"/>
          <w:marTop w:val="0"/>
          <w:marBottom w:val="0"/>
          <w:divBdr>
            <w:top w:val="none" w:sz="0" w:space="0" w:color="auto"/>
            <w:left w:val="none" w:sz="0" w:space="0" w:color="auto"/>
            <w:bottom w:val="none" w:sz="0" w:space="0" w:color="auto"/>
            <w:right w:val="none" w:sz="0" w:space="0" w:color="auto"/>
          </w:divBdr>
          <w:divsChild>
            <w:div w:id="1478302758">
              <w:marLeft w:val="0"/>
              <w:marRight w:val="0"/>
              <w:marTop w:val="0"/>
              <w:marBottom w:val="0"/>
              <w:divBdr>
                <w:top w:val="none" w:sz="0" w:space="0" w:color="auto"/>
                <w:left w:val="none" w:sz="0" w:space="0" w:color="auto"/>
                <w:bottom w:val="none" w:sz="0" w:space="0" w:color="auto"/>
                <w:right w:val="none" w:sz="0" w:space="0" w:color="auto"/>
              </w:divBdr>
            </w:div>
          </w:divsChild>
        </w:div>
        <w:div w:id="1665208632">
          <w:marLeft w:val="0"/>
          <w:marRight w:val="0"/>
          <w:marTop w:val="0"/>
          <w:marBottom w:val="0"/>
          <w:divBdr>
            <w:top w:val="none" w:sz="0" w:space="0" w:color="auto"/>
            <w:left w:val="none" w:sz="0" w:space="0" w:color="auto"/>
            <w:bottom w:val="none" w:sz="0" w:space="0" w:color="auto"/>
            <w:right w:val="none" w:sz="0" w:space="0" w:color="auto"/>
          </w:divBdr>
          <w:divsChild>
            <w:div w:id="1755545551">
              <w:marLeft w:val="0"/>
              <w:marRight w:val="0"/>
              <w:marTop w:val="0"/>
              <w:marBottom w:val="0"/>
              <w:divBdr>
                <w:top w:val="none" w:sz="0" w:space="0" w:color="auto"/>
                <w:left w:val="none" w:sz="0" w:space="0" w:color="auto"/>
                <w:bottom w:val="none" w:sz="0" w:space="0" w:color="auto"/>
                <w:right w:val="none" w:sz="0" w:space="0" w:color="auto"/>
              </w:divBdr>
            </w:div>
          </w:divsChild>
        </w:div>
        <w:div w:id="1704014824">
          <w:marLeft w:val="0"/>
          <w:marRight w:val="0"/>
          <w:marTop w:val="0"/>
          <w:marBottom w:val="0"/>
          <w:divBdr>
            <w:top w:val="none" w:sz="0" w:space="0" w:color="auto"/>
            <w:left w:val="none" w:sz="0" w:space="0" w:color="auto"/>
            <w:bottom w:val="none" w:sz="0" w:space="0" w:color="auto"/>
            <w:right w:val="none" w:sz="0" w:space="0" w:color="auto"/>
          </w:divBdr>
          <w:divsChild>
            <w:div w:id="403989657">
              <w:marLeft w:val="0"/>
              <w:marRight w:val="0"/>
              <w:marTop w:val="0"/>
              <w:marBottom w:val="0"/>
              <w:divBdr>
                <w:top w:val="none" w:sz="0" w:space="0" w:color="auto"/>
                <w:left w:val="none" w:sz="0" w:space="0" w:color="auto"/>
                <w:bottom w:val="none" w:sz="0" w:space="0" w:color="auto"/>
                <w:right w:val="none" w:sz="0" w:space="0" w:color="auto"/>
              </w:divBdr>
            </w:div>
          </w:divsChild>
        </w:div>
        <w:div w:id="1758790428">
          <w:marLeft w:val="0"/>
          <w:marRight w:val="0"/>
          <w:marTop w:val="0"/>
          <w:marBottom w:val="0"/>
          <w:divBdr>
            <w:top w:val="none" w:sz="0" w:space="0" w:color="auto"/>
            <w:left w:val="none" w:sz="0" w:space="0" w:color="auto"/>
            <w:bottom w:val="none" w:sz="0" w:space="0" w:color="auto"/>
            <w:right w:val="none" w:sz="0" w:space="0" w:color="auto"/>
          </w:divBdr>
          <w:divsChild>
            <w:div w:id="316343389">
              <w:marLeft w:val="0"/>
              <w:marRight w:val="0"/>
              <w:marTop w:val="0"/>
              <w:marBottom w:val="0"/>
              <w:divBdr>
                <w:top w:val="none" w:sz="0" w:space="0" w:color="auto"/>
                <w:left w:val="none" w:sz="0" w:space="0" w:color="auto"/>
                <w:bottom w:val="none" w:sz="0" w:space="0" w:color="auto"/>
                <w:right w:val="none" w:sz="0" w:space="0" w:color="auto"/>
              </w:divBdr>
            </w:div>
          </w:divsChild>
        </w:div>
        <w:div w:id="1774860140">
          <w:marLeft w:val="0"/>
          <w:marRight w:val="0"/>
          <w:marTop w:val="0"/>
          <w:marBottom w:val="0"/>
          <w:divBdr>
            <w:top w:val="none" w:sz="0" w:space="0" w:color="auto"/>
            <w:left w:val="none" w:sz="0" w:space="0" w:color="auto"/>
            <w:bottom w:val="none" w:sz="0" w:space="0" w:color="auto"/>
            <w:right w:val="none" w:sz="0" w:space="0" w:color="auto"/>
          </w:divBdr>
          <w:divsChild>
            <w:div w:id="1309743318">
              <w:marLeft w:val="0"/>
              <w:marRight w:val="0"/>
              <w:marTop w:val="0"/>
              <w:marBottom w:val="0"/>
              <w:divBdr>
                <w:top w:val="none" w:sz="0" w:space="0" w:color="auto"/>
                <w:left w:val="none" w:sz="0" w:space="0" w:color="auto"/>
                <w:bottom w:val="none" w:sz="0" w:space="0" w:color="auto"/>
                <w:right w:val="none" w:sz="0" w:space="0" w:color="auto"/>
              </w:divBdr>
            </w:div>
          </w:divsChild>
        </w:div>
        <w:div w:id="1781219648">
          <w:marLeft w:val="0"/>
          <w:marRight w:val="0"/>
          <w:marTop w:val="0"/>
          <w:marBottom w:val="0"/>
          <w:divBdr>
            <w:top w:val="none" w:sz="0" w:space="0" w:color="auto"/>
            <w:left w:val="none" w:sz="0" w:space="0" w:color="auto"/>
            <w:bottom w:val="none" w:sz="0" w:space="0" w:color="auto"/>
            <w:right w:val="none" w:sz="0" w:space="0" w:color="auto"/>
          </w:divBdr>
          <w:divsChild>
            <w:div w:id="2111965891">
              <w:marLeft w:val="0"/>
              <w:marRight w:val="0"/>
              <w:marTop w:val="0"/>
              <w:marBottom w:val="0"/>
              <w:divBdr>
                <w:top w:val="none" w:sz="0" w:space="0" w:color="auto"/>
                <w:left w:val="none" w:sz="0" w:space="0" w:color="auto"/>
                <w:bottom w:val="none" w:sz="0" w:space="0" w:color="auto"/>
                <w:right w:val="none" w:sz="0" w:space="0" w:color="auto"/>
              </w:divBdr>
            </w:div>
          </w:divsChild>
        </w:div>
        <w:div w:id="1799833850">
          <w:marLeft w:val="0"/>
          <w:marRight w:val="0"/>
          <w:marTop w:val="0"/>
          <w:marBottom w:val="0"/>
          <w:divBdr>
            <w:top w:val="none" w:sz="0" w:space="0" w:color="auto"/>
            <w:left w:val="none" w:sz="0" w:space="0" w:color="auto"/>
            <w:bottom w:val="none" w:sz="0" w:space="0" w:color="auto"/>
            <w:right w:val="none" w:sz="0" w:space="0" w:color="auto"/>
          </w:divBdr>
          <w:divsChild>
            <w:div w:id="988289505">
              <w:marLeft w:val="0"/>
              <w:marRight w:val="0"/>
              <w:marTop w:val="0"/>
              <w:marBottom w:val="0"/>
              <w:divBdr>
                <w:top w:val="none" w:sz="0" w:space="0" w:color="auto"/>
                <w:left w:val="none" w:sz="0" w:space="0" w:color="auto"/>
                <w:bottom w:val="none" w:sz="0" w:space="0" w:color="auto"/>
                <w:right w:val="none" w:sz="0" w:space="0" w:color="auto"/>
              </w:divBdr>
            </w:div>
          </w:divsChild>
        </w:div>
        <w:div w:id="1855336000">
          <w:marLeft w:val="0"/>
          <w:marRight w:val="0"/>
          <w:marTop w:val="0"/>
          <w:marBottom w:val="0"/>
          <w:divBdr>
            <w:top w:val="none" w:sz="0" w:space="0" w:color="auto"/>
            <w:left w:val="none" w:sz="0" w:space="0" w:color="auto"/>
            <w:bottom w:val="none" w:sz="0" w:space="0" w:color="auto"/>
            <w:right w:val="none" w:sz="0" w:space="0" w:color="auto"/>
          </w:divBdr>
          <w:divsChild>
            <w:div w:id="482897213">
              <w:marLeft w:val="0"/>
              <w:marRight w:val="0"/>
              <w:marTop w:val="0"/>
              <w:marBottom w:val="0"/>
              <w:divBdr>
                <w:top w:val="none" w:sz="0" w:space="0" w:color="auto"/>
                <w:left w:val="none" w:sz="0" w:space="0" w:color="auto"/>
                <w:bottom w:val="none" w:sz="0" w:space="0" w:color="auto"/>
                <w:right w:val="none" w:sz="0" w:space="0" w:color="auto"/>
              </w:divBdr>
            </w:div>
          </w:divsChild>
        </w:div>
        <w:div w:id="1872263764">
          <w:marLeft w:val="0"/>
          <w:marRight w:val="0"/>
          <w:marTop w:val="0"/>
          <w:marBottom w:val="0"/>
          <w:divBdr>
            <w:top w:val="none" w:sz="0" w:space="0" w:color="auto"/>
            <w:left w:val="none" w:sz="0" w:space="0" w:color="auto"/>
            <w:bottom w:val="none" w:sz="0" w:space="0" w:color="auto"/>
            <w:right w:val="none" w:sz="0" w:space="0" w:color="auto"/>
          </w:divBdr>
          <w:divsChild>
            <w:div w:id="393431725">
              <w:marLeft w:val="0"/>
              <w:marRight w:val="0"/>
              <w:marTop w:val="0"/>
              <w:marBottom w:val="0"/>
              <w:divBdr>
                <w:top w:val="none" w:sz="0" w:space="0" w:color="auto"/>
                <w:left w:val="none" w:sz="0" w:space="0" w:color="auto"/>
                <w:bottom w:val="none" w:sz="0" w:space="0" w:color="auto"/>
                <w:right w:val="none" w:sz="0" w:space="0" w:color="auto"/>
              </w:divBdr>
            </w:div>
          </w:divsChild>
        </w:div>
        <w:div w:id="1886675950">
          <w:marLeft w:val="0"/>
          <w:marRight w:val="0"/>
          <w:marTop w:val="0"/>
          <w:marBottom w:val="0"/>
          <w:divBdr>
            <w:top w:val="none" w:sz="0" w:space="0" w:color="auto"/>
            <w:left w:val="none" w:sz="0" w:space="0" w:color="auto"/>
            <w:bottom w:val="none" w:sz="0" w:space="0" w:color="auto"/>
            <w:right w:val="none" w:sz="0" w:space="0" w:color="auto"/>
          </w:divBdr>
          <w:divsChild>
            <w:div w:id="732195530">
              <w:marLeft w:val="0"/>
              <w:marRight w:val="0"/>
              <w:marTop w:val="0"/>
              <w:marBottom w:val="0"/>
              <w:divBdr>
                <w:top w:val="none" w:sz="0" w:space="0" w:color="auto"/>
                <w:left w:val="none" w:sz="0" w:space="0" w:color="auto"/>
                <w:bottom w:val="none" w:sz="0" w:space="0" w:color="auto"/>
                <w:right w:val="none" w:sz="0" w:space="0" w:color="auto"/>
              </w:divBdr>
            </w:div>
          </w:divsChild>
        </w:div>
        <w:div w:id="1894807180">
          <w:marLeft w:val="0"/>
          <w:marRight w:val="0"/>
          <w:marTop w:val="0"/>
          <w:marBottom w:val="0"/>
          <w:divBdr>
            <w:top w:val="none" w:sz="0" w:space="0" w:color="auto"/>
            <w:left w:val="none" w:sz="0" w:space="0" w:color="auto"/>
            <w:bottom w:val="none" w:sz="0" w:space="0" w:color="auto"/>
            <w:right w:val="none" w:sz="0" w:space="0" w:color="auto"/>
          </w:divBdr>
          <w:divsChild>
            <w:div w:id="227502387">
              <w:marLeft w:val="0"/>
              <w:marRight w:val="0"/>
              <w:marTop w:val="0"/>
              <w:marBottom w:val="0"/>
              <w:divBdr>
                <w:top w:val="none" w:sz="0" w:space="0" w:color="auto"/>
                <w:left w:val="none" w:sz="0" w:space="0" w:color="auto"/>
                <w:bottom w:val="none" w:sz="0" w:space="0" w:color="auto"/>
                <w:right w:val="none" w:sz="0" w:space="0" w:color="auto"/>
              </w:divBdr>
            </w:div>
          </w:divsChild>
        </w:div>
        <w:div w:id="1897812703">
          <w:marLeft w:val="0"/>
          <w:marRight w:val="0"/>
          <w:marTop w:val="0"/>
          <w:marBottom w:val="0"/>
          <w:divBdr>
            <w:top w:val="none" w:sz="0" w:space="0" w:color="auto"/>
            <w:left w:val="none" w:sz="0" w:space="0" w:color="auto"/>
            <w:bottom w:val="none" w:sz="0" w:space="0" w:color="auto"/>
            <w:right w:val="none" w:sz="0" w:space="0" w:color="auto"/>
          </w:divBdr>
          <w:divsChild>
            <w:div w:id="1130056722">
              <w:marLeft w:val="0"/>
              <w:marRight w:val="0"/>
              <w:marTop w:val="0"/>
              <w:marBottom w:val="0"/>
              <w:divBdr>
                <w:top w:val="none" w:sz="0" w:space="0" w:color="auto"/>
                <w:left w:val="none" w:sz="0" w:space="0" w:color="auto"/>
                <w:bottom w:val="none" w:sz="0" w:space="0" w:color="auto"/>
                <w:right w:val="none" w:sz="0" w:space="0" w:color="auto"/>
              </w:divBdr>
            </w:div>
          </w:divsChild>
        </w:div>
        <w:div w:id="1901938338">
          <w:marLeft w:val="0"/>
          <w:marRight w:val="0"/>
          <w:marTop w:val="0"/>
          <w:marBottom w:val="0"/>
          <w:divBdr>
            <w:top w:val="none" w:sz="0" w:space="0" w:color="auto"/>
            <w:left w:val="none" w:sz="0" w:space="0" w:color="auto"/>
            <w:bottom w:val="none" w:sz="0" w:space="0" w:color="auto"/>
            <w:right w:val="none" w:sz="0" w:space="0" w:color="auto"/>
          </w:divBdr>
          <w:divsChild>
            <w:div w:id="294145372">
              <w:marLeft w:val="0"/>
              <w:marRight w:val="0"/>
              <w:marTop w:val="0"/>
              <w:marBottom w:val="0"/>
              <w:divBdr>
                <w:top w:val="none" w:sz="0" w:space="0" w:color="auto"/>
                <w:left w:val="none" w:sz="0" w:space="0" w:color="auto"/>
                <w:bottom w:val="none" w:sz="0" w:space="0" w:color="auto"/>
                <w:right w:val="none" w:sz="0" w:space="0" w:color="auto"/>
              </w:divBdr>
            </w:div>
          </w:divsChild>
        </w:div>
        <w:div w:id="1908952974">
          <w:marLeft w:val="0"/>
          <w:marRight w:val="0"/>
          <w:marTop w:val="0"/>
          <w:marBottom w:val="0"/>
          <w:divBdr>
            <w:top w:val="none" w:sz="0" w:space="0" w:color="auto"/>
            <w:left w:val="none" w:sz="0" w:space="0" w:color="auto"/>
            <w:bottom w:val="none" w:sz="0" w:space="0" w:color="auto"/>
            <w:right w:val="none" w:sz="0" w:space="0" w:color="auto"/>
          </w:divBdr>
          <w:divsChild>
            <w:div w:id="143281831">
              <w:marLeft w:val="0"/>
              <w:marRight w:val="0"/>
              <w:marTop w:val="0"/>
              <w:marBottom w:val="0"/>
              <w:divBdr>
                <w:top w:val="none" w:sz="0" w:space="0" w:color="auto"/>
                <w:left w:val="none" w:sz="0" w:space="0" w:color="auto"/>
                <w:bottom w:val="none" w:sz="0" w:space="0" w:color="auto"/>
                <w:right w:val="none" w:sz="0" w:space="0" w:color="auto"/>
              </w:divBdr>
            </w:div>
          </w:divsChild>
        </w:div>
        <w:div w:id="1922566081">
          <w:marLeft w:val="0"/>
          <w:marRight w:val="0"/>
          <w:marTop w:val="0"/>
          <w:marBottom w:val="0"/>
          <w:divBdr>
            <w:top w:val="none" w:sz="0" w:space="0" w:color="auto"/>
            <w:left w:val="none" w:sz="0" w:space="0" w:color="auto"/>
            <w:bottom w:val="none" w:sz="0" w:space="0" w:color="auto"/>
            <w:right w:val="none" w:sz="0" w:space="0" w:color="auto"/>
          </w:divBdr>
          <w:divsChild>
            <w:div w:id="1044984151">
              <w:marLeft w:val="0"/>
              <w:marRight w:val="0"/>
              <w:marTop w:val="0"/>
              <w:marBottom w:val="0"/>
              <w:divBdr>
                <w:top w:val="none" w:sz="0" w:space="0" w:color="auto"/>
                <w:left w:val="none" w:sz="0" w:space="0" w:color="auto"/>
                <w:bottom w:val="none" w:sz="0" w:space="0" w:color="auto"/>
                <w:right w:val="none" w:sz="0" w:space="0" w:color="auto"/>
              </w:divBdr>
            </w:div>
          </w:divsChild>
        </w:div>
        <w:div w:id="1955012956">
          <w:marLeft w:val="0"/>
          <w:marRight w:val="0"/>
          <w:marTop w:val="0"/>
          <w:marBottom w:val="0"/>
          <w:divBdr>
            <w:top w:val="none" w:sz="0" w:space="0" w:color="auto"/>
            <w:left w:val="none" w:sz="0" w:space="0" w:color="auto"/>
            <w:bottom w:val="none" w:sz="0" w:space="0" w:color="auto"/>
            <w:right w:val="none" w:sz="0" w:space="0" w:color="auto"/>
          </w:divBdr>
          <w:divsChild>
            <w:div w:id="192772671">
              <w:marLeft w:val="0"/>
              <w:marRight w:val="0"/>
              <w:marTop w:val="0"/>
              <w:marBottom w:val="0"/>
              <w:divBdr>
                <w:top w:val="none" w:sz="0" w:space="0" w:color="auto"/>
                <w:left w:val="none" w:sz="0" w:space="0" w:color="auto"/>
                <w:bottom w:val="none" w:sz="0" w:space="0" w:color="auto"/>
                <w:right w:val="none" w:sz="0" w:space="0" w:color="auto"/>
              </w:divBdr>
            </w:div>
          </w:divsChild>
        </w:div>
        <w:div w:id="1972010815">
          <w:marLeft w:val="0"/>
          <w:marRight w:val="0"/>
          <w:marTop w:val="0"/>
          <w:marBottom w:val="0"/>
          <w:divBdr>
            <w:top w:val="none" w:sz="0" w:space="0" w:color="auto"/>
            <w:left w:val="none" w:sz="0" w:space="0" w:color="auto"/>
            <w:bottom w:val="none" w:sz="0" w:space="0" w:color="auto"/>
            <w:right w:val="none" w:sz="0" w:space="0" w:color="auto"/>
          </w:divBdr>
          <w:divsChild>
            <w:div w:id="1671448280">
              <w:marLeft w:val="0"/>
              <w:marRight w:val="0"/>
              <w:marTop w:val="0"/>
              <w:marBottom w:val="0"/>
              <w:divBdr>
                <w:top w:val="none" w:sz="0" w:space="0" w:color="auto"/>
                <w:left w:val="none" w:sz="0" w:space="0" w:color="auto"/>
                <w:bottom w:val="none" w:sz="0" w:space="0" w:color="auto"/>
                <w:right w:val="none" w:sz="0" w:space="0" w:color="auto"/>
              </w:divBdr>
            </w:div>
          </w:divsChild>
        </w:div>
        <w:div w:id="1998536435">
          <w:marLeft w:val="0"/>
          <w:marRight w:val="0"/>
          <w:marTop w:val="0"/>
          <w:marBottom w:val="0"/>
          <w:divBdr>
            <w:top w:val="none" w:sz="0" w:space="0" w:color="auto"/>
            <w:left w:val="none" w:sz="0" w:space="0" w:color="auto"/>
            <w:bottom w:val="none" w:sz="0" w:space="0" w:color="auto"/>
            <w:right w:val="none" w:sz="0" w:space="0" w:color="auto"/>
          </w:divBdr>
          <w:divsChild>
            <w:div w:id="1497185144">
              <w:marLeft w:val="0"/>
              <w:marRight w:val="0"/>
              <w:marTop w:val="0"/>
              <w:marBottom w:val="0"/>
              <w:divBdr>
                <w:top w:val="none" w:sz="0" w:space="0" w:color="auto"/>
                <w:left w:val="none" w:sz="0" w:space="0" w:color="auto"/>
                <w:bottom w:val="none" w:sz="0" w:space="0" w:color="auto"/>
                <w:right w:val="none" w:sz="0" w:space="0" w:color="auto"/>
              </w:divBdr>
            </w:div>
          </w:divsChild>
        </w:div>
        <w:div w:id="2023781835">
          <w:marLeft w:val="0"/>
          <w:marRight w:val="0"/>
          <w:marTop w:val="0"/>
          <w:marBottom w:val="0"/>
          <w:divBdr>
            <w:top w:val="none" w:sz="0" w:space="0" w:color="auto"/>
            <w:left w:val="none" w:sz="0" w:space="0" w:color="auto"/>
            <w:bottom w:val="none" w:sz="0" w:space="0" w:color="auto"/>
            <w:right w:val="none" w:sz="0" w:space="0" w:color="auto"/>
          </w:divBdr>
          <w:divsChild>
            <w:div w:id="189153097">
              <w:marLeft w:val="0"/>
              <w:marRight w:val="0"/>
              <w:marTop w:val="0"/>
              <w:marBottom w:val="0"/>
              <w:divBdr>
                <w:top w:val="none" w:sz="0" w:space="0" w:color="auto"/>
                <w:left w:val="none" w:sz="0" w:space="0" w:color="auto"/>
                <w:bottom w:val="none" w:sz="0" w:space="0" w:color="auto"/>
                <w:right w:val="none" w:sz="0" w:space="0" w:color="auto"/>
              </w:divBdr>
            </w:div>
          </w:divsChild>
        </w:div>
        <w:div w:id="2063139026">
          <w:marLeft w:val="0"/>
          <w:marRight w:val="0"/>
          <w:marTop w:val="0"/>
          <w:marBottom w:val="0"/>
          <w:divBdr>
            <w:top w:val="none" w:sz="0" w:space="0" w:color="auto"/>
            <w:left w:val="none" w:sz="0" w:space="0" w:color="auto"/>
            <w:bottom w:val="none" w:sz="0" w:space="0" w:color="auto"/>
            <w:right w:val="none" w:sz="0" w:space="0" w:color="auto"/>
          </w:divBdr>
          <w:divsChild>
            <w:div w:id="1385519137">
              <w:marLeft w:val="0"/>
              <w:marRight w:val="0"/>
              <w:marTop w:val="0"/>
              <w:marBottom w:val="0"/>
              <w:divBdr>
                <w:top w:val="none" w:sz="0" w:space="0" w:color="auto"/>
                <w:left w:val="none" w:sz="0" w:space="0" w:color="auto"/>
                <w:bottom w:val="none" w:sz="0" w:space="0" w:color="auto"/>
                <w:right w:val="none" w:sz="0" w:space="0" w:color="auto"/>
              </w:divBdr>
            </w:div>
          </w:divsChild>
        </w:div>
        <w:div w:id="2088728862">
          <w:marLeft w:val="0"/>
          <w:marRight w:val="0"/>
          <w:marTop w:val="0"/>
          <w:marBottom w:val="0"/>
          <w:divBdr>
            <w:top w:val="none" w:sz="0" w:space="0" w:color="auto"/>
            <w:left w:val="none" w:sz="0" w:space="0" w:color="auto"/>
            <w:bottom w:val="none" w:sz="0" w:space="0" w:color="auto"/>
            <w:right w:val="none" w:sz="0" w:space="0" w:color="auto"/>
          </w:divBdr>
          <w:divsChild>
            <w:div w:id="1040326845">
              <w:marLeft w:val="0"/>
              <w:marRight w:val="0"/>
              <w:marTop w:val="0"/>
              <w:marBottom w:val="0"/>
              <w:divBdr>
                <w:top w:val="none" w:sz="0" w:space="0" w:color="auto"/>
                <w:left w:val="none" w:sz="0" w:space="0" w:color="auto"/>
                <w:bottom w:val="none" w:sz="0" w:space="0" w:color="auto"/>
                <w:right w:val="none" w:sz="0" w:space="0" w:color="auto"/>
              </w:divBdr>
            </w:div>
          </w:divsChild>
        </w:div>
        <w:div w:id="2108234674">
          <w:marLeft w:val="0"/>
          <w:marRight w:val="0"/>
          <w:marTop w:val="0"/>
          <w:marBottom w:val="0"/>
          <w:divBdr>
            <w:top w:val="none" w:sz="0" w:space="0" w:color="auto"/>
            <w:left w:val="none" w:sz="0" w:space="0" w:color="auto"/>
            <w:bottom w:val="none" w:sz="0" w:space="0" w:color="auto"/>
            <w:right w:val="none" w:sz="0" w:space="0" w:color="auto"/>
          </w:divBdr>
          <w:divsChild>
            <w:div w:id="1418359025">
              <w:marLeft w:val="0"/>
              <w:marRight w:val="0"/>
              <w:marTop w:val="0"/>
              <w:marBottom w:val="0"/>
              <w:divBdr>
                <w:top w:val="none" w:sz="0" w:space="0" w:color="auto"/>
                <w:left w:val="none" w:sz="0" w:space="0" w:color="auto"/>
                <w:bottom w:val="none" w:sz="0" w:space="0" w:color="auto"/>
                <w:right w:val="none" w:sz="0" w:space="0" w:color="auto"/>
              </w:divBdr>
            </w:div>
          </w:divsChild>
        </w:div>
        <w:div w:id="2110158655">
          <w:marLeft w:val="0"/>
          <w:marRight w:val="0"/>
          <w:marTop w:val="0"/>
          <w:marBottom w:val="0"/>
          <w:divBdr>
            <w:top w:val="none" w:sz="0" w:space="0" w:color="auto"/>
            <w:left w:val="none" w:sz="0" w:space="0" w:color="auto"/>
            <w:bottom w:val="none" w:sz="0" w:space="0" w:color="auto"/>
            <w:right w:val="none" w:sz="0" w:space="0" w:color="auto"/>
          </w:divBdr>
          <w:divsChild>
            <w:div w:id="1689940713">
              <w:marLeft w:val="0"/>
              <w:marRight w:val="0"/>
              <w:marTop w:val="0"/>
              <w:marBottom w:val="0"/>
              <w:divBdr>
                <w:top w:val="none" w:sz="0" w:space="0" w:color="auto"/>
                <w:left w:val="none" w:sz="0" w:space="0" w:color="auto"/>
                <w:bottom w:val="none" w:sz="0" w:space="0" w:color="auto"/>
                <w:right w:val="none" w:sz="0" w:space="0" w:color="auto"/>
              </w:divBdr>
            </w:div>
          </w:divsChild>
        </w:div>
        <w:div w:id="2111772332">
          <w:marLeft w:val="0"/>
          <w:marRight w:val="0"/>
          <w:marTop w:val="0"/>
          <w:marBottom w:val="0"/>
          <w:divBdr>
            <w:top w:val="none" w:sz="0" w:space="0" w:color="auto"/>
            <w:left w:val="none" w:sz="0" w:space="0" w:color="auto"/>
            <w:bottom w:val="none" w:sz="0" w:space="0" w:color="auto"/>
            <w:right w:val="none" w:sz="0" w:space="0" w:color="auto"/>
          </w:divBdr>
          <w:divsChild>
            <w:div w:id="776757261">
              <w:marLeft w:val="0"/>
              <w:marRight w:val="0"/>
              <w:marTop w:val="0"/>
              <w:marBottom w:val="0"/>
              <w:divBdr>
                <w:top w:val="none" w:sz="0" w:space="0" w:color="auto"/>
                <w:left w:val="none" w:sz="0" w:space="0" w:color="auto"/>
                <w:bottom w:val="none" w:sz="0" w:space="0" w:color="auto"/>
                <w:right w:val="none" w:sz="0" w:space="0" w:color="auto"/>
              </w:divBdr>
            </w:div>
          </w:divsChild>
        </w:div>
        <w:div w:id="2127844597">
          <w:marLeft w:val="0"/>
          <w:marRight w:val="0"/>
          <w:marTop w:val="0"/>
          <w:marBottom w:val="0"/>
          <w:divBdr>
            <w:top w:val="none" w:sz="0" w:space="0" w:color="auto"/>
            <w:left w:val="none" w:sz="0" w:space="0" w:color="auto"/>
            <w:bottom w:val="none" w:sz="0" w:space="0" w:color="auto"/>
            <w:right w:val="none" w:sz="0" w:space="0" w:color="auto"/>
          </w:divBdr>
          <w:divsChild>
            <w:div w:id="913978708">
              <w:marLeft w:val="0"/>
              <w:marRight w:val="0"/>
              <w:marTop w:val="0"/>
              <w:marBottom w:val="0"/>
              <w:divBdr>
                <w:top w:val="none" w:sz="0" w:space="0" w:color="auto"/>
                <w:left w:val="none" w:sz="0" w:space="0" w:color="auto"/>
                <w:bottom w:val="none" w:sz="0" w:space="0" w:color="auto"/>
                <w:right w:val="none" w:sz="0" w:space="0" w:color="auto"/>
              </w:divBdr>
            </w:div>
          </w:divsChild>
        </w:div>
        <w:div w:id="2144350525">
          <w:marLeft w:val="0"/>
          <w:marRight w:val="0"/>
          <w:marTop w:val="0"/>
          <w:marBottom w:val="0"/>
          <w:divBdr>
            <w:top w:val="none" w:sz="0" w:space="0" w:color="auto"/>
            <w:left w:val="none" w:sz="0" w:space="0" w:color="auto"/>
            <w:bottom w:val="none" w:sz="0" w:space="0" w:color="auto"/>
            <w:right w:val="none" w:sz="0" w:space="0" w:color="auto"/>
          </w:divBdr>
          <w:divsChild>
            <w:div w:id="16671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6968">
      <w:bodyDiv w:val="1"/>
      <w:marLeft w:val="0"/>
      <w:marRight w:val="0"/>
      <w:marTop w:val="0"/>
      <w:marBottom w:val="0"/>
      <w:divBdr>
        <w:top w:val="none" w:sz="0" w:space="0" w:color="auto"/>
        <w:left w:val="none" w:sz="0" w:space="0" w:color="auto"/>
        <w:bottom w:val="none" w:sz="0" w:space="0" w:color="auto"/>
        <w:right w:val="none" w:sz="0" w:space="0" w:color="auto"/>
      </w:divBdr>
    </w:div>
    <w:div w:id="2020501075">
      <w:bodyDiv w:val="1"/>
      <w:marLeft w:val="0"/>
      <w:marRight w:val="0"/>
      <w:marTop w:val="0"/>
      <w:marBottom w:val="0"/>
      <w:divBdr>
        <w:top w:val="none" w:sz="0" w:space="0" w:color="auto"/>
        <w:left w:val="none" w:sz="0" w:space="0" w:color="auto"/>
        <w:bottom w:val="none" w:sz="0" w:space="0" w:color="auto"/>
        <w:right w:val="none" w:sz="0" w:space="0" w:color="auto"/>
      </w:divBdr>
    </w:div>
    <w:div w:id="2024237107">
      <w:bodyDiv w:val="1"/>
      <w:marLeft w:val="0"/>
      <w:marRight w:val="0"/>
      <w:marTop w:val="0"/>
      <w:marBottom w:val="0"/>
      <w:divBdr>
        <w:top w:val="none" w:sz="0" w:space="0" w:color="auto"/>
        <w:left w:val="none" w:sz="0" w:space="0" w:color="auto"/>
        <w:bottom w:val="none" w:sz="0" w:space="0" w:color="auto"/>
        <w:right w:val="none" w:sz="0" w:space="0" w:color="auto"/>
      </w:divBdr>
      <w:divsChild>
        <w:div w:id="154343531">
          <w:marLeft w:val="0"/>
          <w:marRight w:val="0"/>
          <w:marTop w:val="0"/>
          <w:marBottom w:val="0"/>
          <w:divBdr>
            <w:top w:val="none" w:sz="0" w:space="0" w:color="auto"/>
            <w:left w:val="none" w:sz="0" w:space="0" w:color="auto"/>
            <w:bottom w:val="none" w:sz="0" w:space="0" w:color="auto"/>
            <w:right w:val="none" w:sz="0" w:space="0" w:color="auto"/>
          </w:divBdr>
        </w:div>
        <w:div w:id="360208303">
          <w:marLeft w:val="0"/>
          <w:marRight w:val="0"/>
          <w:marTop w:val="0"/>
          <w:marBottom w:val="0"/>
          <w:divBdr>
            <w:top w:val="none" w:sz="0" w:space="0" w:color="auto"/>
            <w:left w:val="none" w:sz="0" w:space="0" w:color="auto"/>
            <w:bottom w:val="none" w:sz="0" w:space="0" w:color="auto"/>
            <w:right w:val="none" w:sz="0" w:space="0" w:color="auto"/>
          </w:divBdr>
        </w:div>
        <w:div w:id="391664413">
          <w:marLeft w:val="0"/>
          <w:marRight w:val="0"/>
          <w:marTop w:val="0"/>
          <w:marBottom w:val="0"/>
          <w:divBdr>
            <w:top w:val="none" w:sz="0" w:space="0" w:color="auto"/>
            <w:left w:val="none" w:sz="0" w:space="0" w:color="auto"/>
            <w:bottom w:val="none" w:sz="0" w:space="0" w:color="auto"/>
            <w:right w:val="none" w:sz="0" w:space="0" w:color="auto"/>
          </w:divBdr>
        </w:div>
        <w:div w:id="391930762">
          <w:marLeft w:val="0"/>
          <w:marRight w:val="0"/>
          <w:marTop w:val="0"/>
          <w:marBottom w:val="0"/>
          <w:divBdr>
            <w:top w:val="none" w:sz="0" w:space="0" w:color="auto"/>
            <w:left w:val="none" w:sz="0" w:space="0" w:color="auto"/>
            <w:bottom w:val="none" w:sz="0" w:space="0" w:color="auto"/>
            <w:right w:val="none" w:sz="0" w:space="0" w:color="auto"/>
          </w:divBdr>
        </w:div>
        <w:div w:id="512501394">
          <w:marLeft w:val="0"/>
          <w:marRight w:val="0"/>
          <w:marTop w:val="0"/>
          <w:marBottom w:val="0"/>
          <w:divBdr>
            <w:top w:val="none" w:sz="0" w:space="0" w:color="auto"/>
            <w:left w:val="none" w:sz="0" w:space="0" w:color="auto"/>
            <w:bottom w:val="none" w:sz="0" w:space="0" w:color="auto"/>
            <w:right w:val="none" w:sz="0" w:space="0" w:color="auto"/>
          </w:divBdr>
        </w:div>
        <w:div w:id="573593013">
          <w:marLeft w:val="0"/>
          <w:marRight w:val="0"/>
          <w:marTop w:val="0"/>
          <w:marBottom w:val="0"/>
          <w:divBdr>
            <w:top w:val="none" w:sz="0" w:space="0" w:color="auto"/>
            <w:left w:val="none" w:sz="0" w:space="0" w:color="auto"/>
            <w:bottom w:val="none" w:sz="0" w:space="0" w:color="auto"/>
            <w:right w:val="none" w:sz="0" w:space="0" w:color="auto"/>
          </w:divBdr>
        </w:div>
        <w:div w:id="730083707">
          <w:marLeft w:val="-75"/>
          <w:marRight w:val="0"/>
          <w:marTop w:val="30"/>
          <w:marBottom w:val="30"/>
          <w:divBdr>
            <w:top w:val="none" w:sz="0" w:space="0" w:color="auto"/>
            <w:left w:val="none" w:sz="0" w:space="0" w:color="auto"/>
            <w:bottom w:val="none" w:sz="0" w:space="0" w:color="auto"/>
            <w:right w:val="none" w:sz="0" w:space="0" w:color="auto"/>
          </w:divBdr>
          <w:divsChild>
            <w:div w:id="102388055">
              <w:marLeft w:val="0"/>
              <w:marRight w:val="0"/>
              <w:marTop w:val="0"/>
              <w:marBottom w:val="0"/>
              <w:divBdr>
                <w:top w:val="none" w:sz="0" w:space="0" w:color="auto"/>
                <w:left w:val="none" w:sz="0" w:space="0" w:color="auto"/>
                <w:bottom w:val="none" w:sz="0" w:space="0" w:color="auto"/>
                <w:right w:val="none" w:sz="0" w:space="0" w:color="auto"/>
              </w:divBdr>
              <w:divsChild>
                <w:div w:id="805781202">
                  <w:marLeft w:val="0"/>
                  <w:marRight w:val="0"/>
                  <w:marTop w:val="0"/>
                  <w:marBottom w:val="0"/>
                  <w:divBdr>
                    <w:top w:val="none" w:sz="0" w:space="0" w:color="auto"/>
                    <w:left w:val="none" w:sz="0" w:space="0" w:color="auto"/>
                    <w:bottom w:val="none" w:sz="0" w:space="0" w:color="auto"/>
                    <w:right w:val="none" w:sz="0" w:space="0" w:color="auto"/>
                  </w:divBdr>
                </w:div>
              </w:divsChild>
            </w:div>
            <w:div w:id="165441407">
              <w:marLeft w:val="0"/>
              <w:marRight w:val="0"/>
              <w:marTop w:val="0"/>
              <w:marBottom w:val="0"/>
              <w:divBdr>
                <w:top w:val="none" w:sz="0" w:space="0" w:color="auto"/>
                <w:left w:val="none" w:sz="0" w:space="0" w:color="auto"/>
                <w:bottom w:val="none" w:sz="0" w:space="0" w:color="auto"/>
                <w:right w:val="none" w:sz="0" w:space="0" w:color="auto"/>
              </w:divBdr>
              <w:divsChild>
                <w:div w:id="664430663">
                  <w:marLeft w:val="0"/>
                  <w:marRight w:val="0"/>
                  <w:marTop w:val="0"/>
                  <w:marBottom w:val="0"/>
                  <w:divBdr>
                    <w:top w:val="none" w:sz="0" w:space="0" w:color="auto"/>
                    <w:left w:val="none" w:sz="0" w:space="0" w:color="auto"/>
                    <w:bottom w:val="none" w:sz="0" w:space="0" w:color="auto"/>
                    <w:right w:val="none" w:sz="0" w:space="0" w:color="auto"/>
                  </w:divBdr>
                </w:div>
              </w:divsChild>
            </w:div>
            <w:div w:id="261498443">
              <w:marLeft w:val="0"/>
              <w:marRight w:val="0"/>
              <w:marTop w:val="0"/>
              <w:marBottom w:val="0"/>
              <w:divBdr>
                <w:top w:val="none" w:sz="0" w:space="0" w:color="auto"/>
                <w:left w:val="none" w:sz="0" w:space="0" w:color="auto"/>
                <w:bottom w:val="none" w:sz="0" w:space="0" w:color="auto"/>
                <w:right w:val="none" w:sz="0" w:space="0" w:color="auto"/>
              </w:divBdr>
              <w:divsChild>
                <w:div w:id="1750228445">
                  <w:marLeft w:val="0"/>
                  <w:marRight w:val="0"/>
                  <w:marTop w:val="0"/>
                  <w:marBottom w:val="0"/>
                  <w:divBdr>
                    <w:top w:val="none" w:sz="0" w:space="0" w:color="auto"/>
                    <w:left w:val="none" w:sz="0" w:space="0" w:color="auto"/>
                    <w:bottom w:val="none" w:sz="0" w:space="0" w:color="auto"/>
                    <w:right w:val="none" w:sz="0" w:space="0" w:color="auto"/>
                  </w:divBdr>
                </w:div>
              </w:divsChild>
            </w:div>
            <w:div w:id="456143126">
              <w:marLeft w:val="0"/>
              <w:marRight w:val="0"/>
              <w:marTop w:val="0"/>
              <w:marBottom w:val="0"/>
              <w:divBdr>
                <w:top w:val="none" w:sz="0" w:space="0" w:color="auto"/>
                <w:left w:val="none" w:sz="0" w:space="0" w:color="auto"/>
                <w:bottom w:val="none" w:sz="0" w:space="0" w:color="auto"/>
                <w:right w:val="none" w:sz="0" w:space="0" w:color="auto"/>
              </w:divBdr>
              <w:divsChild>
                <w:div w:id="2081169784">
                  <w:marLeft w:val="0"/>
                  <w:marRight w:val="0"/>
                  <w:marTop w:val="0"/>
                  <w:marBottom w:val="0"/>
                  <w:divBdr>
                    <w:top w:val="none" w:sz="0" w:space="0" w:color="auto"/>
                    <w:left w:val="none" w:sz="0" w:space="0" w:color="auto"/>
                    <w:bottom w:val="none" w:sz="0" w:space="0" w:color="auto"/>
                    <w:right w:val="none" w:sz="0" w:space="0" w:color="auto"/>
                  </w:divBdr>
                </w:div>
              </w:divsChild>
            </w:div>
            <w:div w:id="622804496">
              <w:marLeft w:val="0"/>
              <w:marRight w:val="0"/>
              <w:marTop w:val="0"/>
              <w:marBottom w:val="0"/>
              <w:divBdr>
                <w:top w:val="none" w:sz="0" w:space="0" w:color="auto"/>
                <w:left w:val="none" w:sz="0" w:space="0" w:color="auto"/>
                <w:bottom w:val="none" w:sz="0" w:space="0" w:color="auto"/>
                <w:right w:val="none" w:sz="0" w:space="0" w:color="auto"/>
              </w:divBdr>
              <w:divsChild>
                <w:div w:id="348916130">
                  <w:marLeft w:val="0"/>
                  <w:marRight w:val="0"/>
                  <w:marTop w:val="0"/>
                  <w:marBottom w:val="0"/>
                  <w:divBdr>
                    <w:top w:val="none" w:sz="0" w:space="0" w:color="auto"/>
                    <w:left w:val="none" w:sz="0" w:space="0" w:color="auto"/>
                    <w:bottom w:val="none" w:sz="0" w:space="0" w:color="auto"/>
                    <w:right w:val="none" w:sz="0" w:space="0" w:color="auto"/>
                  </w:divBdr>
                </w:div>
              </w:divsChild>
            </w:div>
            <w:div w:id="896432424">
              <w:marLeft w:val="0"/>
              <w:marRight w:val="0"/>
              <w:marTop w:val="0"/>
              <w:marBottom w:val="0"/>
              <w:divBdr>
                <w:top w:val="none" w:sz="0" w:space="0" w:color="auto"/>
                <w:left w:val="none" w:sz="0" w:space="0" w:color="auto"/>
                <w:bottom w:val="none" w:sz="0" w:space="0" w:color="auto"/>
                <w:right w:val="none" w:sz="0" w:space="0" w:color="auto"/>
              </w:divBdr>
              <w:divsChild>
                <w:div w:id="676541241">
                  <w:marLeft w:val="0"/>
                  <w:marRight w:val="0"/>
                  <w:marTop w:val="0"/>
                  <w:marBottom w:val="0"/>
                  <w:divBdr>
                    <w:top w:val="none" w:sz="0" w:space="0" w:color="auto"/>
                    <w:left w:val="none" w:sz="0" w:space="0" w:color="auto"/>
                    <w:bottom w:val="none" w:sz="0" w:space="0" w:color="auto"/>
                    <w:right w:val="none" w:sz="0" w:space="0" w:color="auto"/>
                  </w:divBdr>
                </w:div>
              </w:divsChild>
            </w:div>
            <w:div w:id="1024788339">
              <w:marLeft w:val="0"/>
              <w:marRight w:val="0"/>
              <w:marTop w:val="0"/>
              <w:marBottom w:val="0"/>
              <w:divBdr>
                <w:top w:val="none" w:sz="0" w:space="0" w:color="auto"/>
                <w:left w:val="none" w:sz="0" w:space="0" w:color="auto"/>
                <w:bottom w:val="none" w:sz="0" w:space="0" w:color="auto"/>
                <w:right w:val="none" w:sz="0" w:space="0" w:color="auto"/>
              </w:divBdr>
              <w:divsChild>
                <w:div w:id="600644204">
                  <w:marLeft w:val="0"/>
                  <w:marRight w:val="0"/>
                  <w:marTop w:val="0"/>
                  <w:marBottom w:val="0"/>
                  <w:divBdr>
                    <w:top w:val="none" w:sz="0" w:space="0" w:color="auto"/>
                    <w:left w:val="none" w:sz="0" w:space="0" w:color="auto"/>
                    <w:bottom w:val="none" w:sz="0" w:space="0" w:color="auto"/>
                    <w:right w:val="none" w:sz="0" w:space="0" w:color="auto"/>
                  </w:divBdr>
                </w:div>
              </w:divsChild>
            </w:div>
            <w:div w:id="1133407913">
              <w:marLeft w:val="0"/>
              <w:marRight w:val="0"/>
              <w:marTop w:val="0"/>
              <w:marBottom w:val="0"/>
              <w:divBdr>
                <w:top w:val="none" w:sz="0" w:space="0" w:color="auto"/>
                <w:left w:val="none" w:sz="0" w:space="0" w:color="auto"/>
                <w:bottom w:val="none" w:sz="0" w:space="0" w:color="auto"/>
                <w:right w:val="none" w:sz="0" w:space="0" w:color="auto"/>
              </w:divBdr>
              <w:divsChild>
                <w:div w:id="212546865">
                  <w:marLeft w:val="0"/>
                  <w:marRight w:val="0"/>
                  <w:marTop w:val="0"/>
                  <w:marBottom w:val="0"/>
                  <w:divBdr>
                    <w:top w:val="none" w:sz="0" w:space="0" w:color="auto"/>
                    <w:left w:val="none" w:sz="0" w:space="0" w:color="auto"/>
                    <w:bottom w:val="none" w:sz="0" w:space="0" w:color="auto"/>
                    <w:right w:val="none" w:sz="0" w:space="0" w:color="auto"/>
                  </w:divBdr>
                </w:div>
              </w:divsChild>
            </w:div>
            <w:div w:id="1637955202">
              <w:marLeft w:val="0"/>
              <w:marRight w:val="0"/>
              <w:marTop w:val="0"/>
              <w:marBottom w:val="0"/>
              <w:divBdr>
                <w:top w:val="none" w:sz="0" w:space="0" w:color="auto"/>
                <w:left w:val="none" w:sz="0" w:space="0" w:color="auto"/>
                <w:bottom w:val="none" w:sz="0" w:space="0" w:color="auto"/>
                <w:right w:val="none" w:sz="0" w:space="0" w:color="auto"/>
              </w:divBdr>
              <w:divsChild>
                <w:div w:id="207031833">
                  <w:marLeft w:val="0"/>
                  <w:marRight w:val="0"/>
                  <w:marTop w:val="0"/>
                  <w:marBottom w:val="0"/>
                  <w:divBdr>
                    <w:top w:val="none" w:sz="0" w:space="0" w:color="auto"/>
                    <w:left w:val="none" w:sz="0" w:space="0" w:color="auto"/>
                    <w:bottom w:val="none" w:sz="0" w:space="0" w:color="auto"/>
                    <w:right w:val="none" w:sz="0" w:space="0" w:color="auto"/>
                  </w:divBdr>
                </w:div>
              </w:divsChild>
            </w:div>
            <w:div w:id="1727144156">
              <w:marLeft w:val="0"/>
              <w:marRight w:val="0"/>
              <w:marTop w:val="0"/>
              <w:marBottom w:val="0"/>
              <w:divBdr>
                <w:top w:val="none" w:sz="0" w:space="0" w:color="auto"/>
                <w:left w:val="none" w:sz="0" w:space="0" w:color="auto"/>
                <w:bottom w:val="none" w:sz="0" w:space="0" w:color="auto"/>
                <w:right w:val="none" w:sz="0" w:space="0" w:color="auto"/>
              </w:divBdr>
              <w:divsChild>
                <w:div w:id="708529527">
                  <w:marLeft w:val="0"/>
                  <w:marRight w:val="0"/>
                  <w:marTop w:val="0"/>
                  <w:marBottom w:val="0"/>
                  <w:divBdr>
                    <w:top w:val="none" w:sz="0" w:space="0" w:color="auto"/>
                    <w:left w:val="none" w:sz="0" w:space="0" w:color="auto"/>
                    <w:bottom w:val="none" w:sz="0" w:space="0" w:color="auto"/>
                    <w:right w:val="none" w:sz="0" w:space="0" w:color="auto"/>
                  </w:divBdr>
                </w:div>
              </w:divsChild>
            </w:div>
            <w:div w:id="1911578946">
              <w:marLeft w:val="0"/>
              <w:marRight w:val="0"/>
              <w:marTop w:val="0"/>
              <w:marBottom w:val="0"/>
              <w:divBdr>
                <w:top w:val="none" w:sz="0" w:space="0" w:color="auto"/>
                <w:left w:val="none" w:sz="0" w:space="0" w:color="auto"/>
                <w:bottom w:val="none" w:sz="0" w:space="0" w:color="auto"/>
                <w:right w:val="none" w:sz="0" w:space="0" w:color="auto"/>
              </w:divBdr>
              <w:divsChild>
                <w:div w:id="837426861">
                  <w:marLeft w:val="0"/>
                  <w:marRight w:val="0"/>
                  <w:marTop w:val="0"/>
                  <w:marBottom w:val="0"/>
                  <w:divBdr>
                    <w:top w:val="none" w:sz="0" w:space="0" w:color="auto"/>
                    <w:left w:val="none" w:sz="0" w:space="0" w:color="auto"/>
                    <w:bottom w:val="none" w:sz="0" w:space="0" w:color="auto"/>
                    <w:right w:val="none" w:sz="0" w:space="0" w:color="auto"/>
                  </w:divBdr>
                </w:div>
              </w:divsChild>
            </w:div>
            <w:div w:id="2145193752">
              <w:marLeft w:val="0"/>
              <w:marRight w:val="0"/>
              <w:marTop w:val="0"/>
              <w:marBottom w:val="0"/>
              <w:divBdr>
                <w:top w:val="none" w:sz="0" w:space="0" w:color="auto"/>
                <w:left w:val="none" w:sz="0" w:space="0" w:color="auto"/>
                <w:bottom w:val="none" w:sz="0" w:space="0" w:color="auto"/>
                <w:right w:val="none" w:sz="0" w:space="0" w:color="auto"/>
              </w:divBdr>
              <w:divsChild>
                <w:div w:id="1466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1665">
          <w:marLeft w:val="0"/>
          <w:marRight w:val="0"/>
          <w:marTop w:val="0"/>
          <w:marBottom w:val="0"/>
          <w:divBdr>
            <w:top w:val="none" w:sz="0" w:space="0" w:color="auto"/>
            <w:left w:val="none" w:sz="0" w:space="0" w:color="auto"/>
            <w:bottom w:val="none" w:sz="0" w:space="0" w:color="auto"/>
            <w:right w:val="none" w:sz="0" w:space="0" w:color="auto"/>
          </w:divBdr>
        </w:div>
        <w:div w:id="834077155">
          <w:marLeft w:val="0"/>
          <w:marRight w:val="0"/>
          <w:marTop w:val="0"/>
          <w:marBottom w:val="0"/>
          <w:divBdr>
            <w:top w:val="none" w:sz="0" w:space="0" w:color="auto"/>
            <w:left w:val="none" w:sz="0" w:space="0" w:color="auto"/>
            <w:bottom w:val="none" w:sz="0" w:space="0" w:color="auto"/>
            <w:right w:val="none" w:sz="0" w:space="0" w:color="auto"/>
          </w:divBdr>
        </w:div>
        <w:div w:id="884178226">
          <w:marLeft w:val="0"/>
          <w:marRight w:val="0"/>
          <w:marTop w:val="0"/>
          <w:marBottom w:val="0"/>
          <w:divBdr>
            <w:top w:val="none" w:sz="0" w:space="0" w:color="auto"/>
            <w:left w:val="none" w:sz="0" w:space="0" w:color="auto"/>
            <w:bottom w:val="none" w:sz="0" w:space="0" w:color="auto"/>
            <w:right w:val="none" w:sz="0" w:space="0" w:color="auto"/>
          </w:divBdr>
        </w:div>
        <w:div w:id="886986877">
          <w:marLeft w:val="-75"/>
          <w:marRight w:val="0"/>
          <w:marTop w:val="30"/>
          <w:marBottom w:val="30"/>
          <w:divBdr>
            <w:top w:val="none" w:sz="0" w:space="0" w:color="auto"/>
            <w:left w:val="none" w:sz="0" w:space="0" w:color="auto"/>
            <w:bottom w:val="none" w:sz="0" w:space="0" w:color="auto"/>
            <w:right w:val="none" w:sz="0" w:space="0" w:color="auto"/>
          </w:divBdr>
          <w:divsChild>
            <w:div w:id="271789216">
              <w:marLeft w:val="0"/>
              <w:marRight w:val="0"/>
              <w:marTop w:val="0"/>
              <w:marBottom w:val="0"/>
              <w:divBdr>
                <w:top w:val="none" w:sz="0" w:space="0" w:color="auto"/>
                <w:left w:val="none" w:sz="0" w:space="0" w:color="auto"/>
                <w:bottom w:val="none" w:sz="0" w:space="0" w:color="auto"/>
                <w:right w:val="none" w:sz="0" w:space="0" w:color="auto"/>
              </w:divBdr>
              <w:divsChild>
                <w:div w:id="725957029">
                  <w:marLeft w:val="0"/>
                  <w:marRight w:val="0"/>
                  <w:marTop w:val="0"/>
                  <w:marBottom w:val="0"/>
                  <w:divBdr>
                    <w:top w:val="none" w:sz="0" w:space="0" w:color="auto"/>
                    <w:left w:val="none" w:sz="0" w:space="0" w:color="auto"/>
                    <w:bottom w:val="none" w:sz="0" w:space="0" w:color="auto"/>
                    <w:right w:val="none" w:sz="0" w:space="0" w:color="auto"/>
                  </w:divBdr>
                </w:div>
              </w:divsChild>
            </w:div>
            <w:div w:id="387653671">
              <w:marLeft w:val="0"/>
              <w:marRight w:val="0"/>
              <w:marTop w:val="0"/>
              <w:marBottom w:val="0"/>
              <w:divBdr>
                <w:top w:val="none" w:sz="0" w:space="0" w:color="auto"/>
                <w:left w:val="none" w:sz="0" w:space="0" w:color="auto"/>
                <w:bottom w:val="none" w:sz="0" w:space="0" w:color="auto"/>
                <w:right w:val="none" w:sz="0" w:space="0" w:color="auto"/>
              </w:divBdr>
              <w:divsChild>
                <w:div w:id="2081322817">
                  <w:marLeft w:val="0"/>
                  <w:marRight w:val="0"/>
                  <w:marTop w:val="0"/>
                  <w:marBottom w:val="0"/>
                  <w:divBdr>
                    <w:top w:val="none" w:sz="0" w:space="0" w:color="auto"/>
                    <w:left w:val="none" w:sz="0" w:space="0" w:color="auto"/>
                    <w:bottom w:val="none" w:sz="0" w:space="0" w:color="auto"/>
                    <w:right w:val="none" w:sz="0" w:space="0" w:color="auto"/>
                  </w:divBdr>
                </w:div>
              </w:divsChild>
            </w:div>
            <w:div w:id="466319811">
              <w:marLeft w:val="0"/>
              <w:marRight w:val="0"/>
              <w:marTop w:val="0"/>
              <w:marBottom w:val="0"/>
              <w:divBdr>
                <w:top w:val="none" w:sz="0" w:space="0" w:color="auto"/>
                <w:left w:val="none" w:sz="0" w:space="0" w:color="auto"/>
                <w:bottom w:val="none" w:sz="0" w:space="0" w:color="auto"/>
                <w:right w:val="none" w:sz="0" w:space="0" w:color="auto"/>
              </w:divBdr>
              <w:divsChild>
                <w:div w:id="1187869581">
                  <w:marLeft w:val="0"/>
                  <w:marRight w:val="0"/>
                  <w:marTop w:val="0"/>
                  <w:marBottom w:val="0"/>
                  <w:divBdr>
                    <w:top w:val="none" w:sz="0" w:space="0" w:color="auto"/>
                    <w:left w:val="none" w:sz="0" w:space="0" w:color="auto"/>
                    <w:bottom w:val="none" w:sz="0" w:space="0" w:color="auto"/>
                    <w:right w:val="none" w:sz="0" w:space="0" w:color="auto"/>
                  </w:divBdr>
                </w:div>
              </w:divsChild>
            </w:div>
            <w:div w:id="638847039">
              <w:marLeft w:val="0"/>
              <w:marRight w:val="0"/>
              <w:marTop w:val="0"/>
              <w:marBottom w:val="0"/>
              <w:divBdr>
                <w:top w:val="none" w:sz="0" w:space="0" w:color="auto"/>
                <w:left w:val="none" w:sz="0" w:space="0" w:color="auto"/>
                <w:bottom w:val="none" w:sz="0" w:space="0" w:color="auto"/>
                <w:right w:val="none" w:sz="0" w:space="0" w:color="auto"/>
              </w:divBdr>
              <w:divsChild>
                <w:div w:id="761226061">
                  <w:marLeft w:val="0"/>
                  <w:marRight w:val="0"/>
                  <w:marTop w:val="0"/>
                  <w:marBottom w:val="0"/>
                  <w:divBdr>
                    <w:top w:val="none" w:sz="0" w:space="0" w:color="auto"/>
                    <w:left w:val="none" w:sz="0" w:space="0" w:color="auto"/>
                    <w:bottom w:val="none" w:sz="0" w:space="0" w:color="auto"/>
                    <w:right w:val="none" w:sz="0" w:space="0" w:color="auto"/>
                  </w:divBdr>
                </w:div>
              </w:divsChild>
            </w:div>
            <w:div w:id="714819637">
              <w:marLeft w:val="0"/>
              <w:marRight w:val="0"/>
              <w:marTop w:val="0"/>
              <w:marBottom w:val="0"/>
              <w:divBdr>
                <w:top w:val="none" w:sz="0" w:space="0" w:color="auto"/>
                <w:left w:val="none" w:sz="0" w:space="0" w:color="auto"/>
                <w:bottom w:val="none" w:sz="0" w:space="0" w:color="auto"/>
                <w:right w:val="none" w:sz="0" w:space="0" w:color="auto"/>
              </w:divBdr>
              <w:divsChild>
                <w:div w:id="96143872">
                  <w:marLeft w:val="0"/>
                  <w:marRight w:val="0"/>
                  <w:marTop w:val="0"/>
                  <w:marBottom w:val="0"/>
                  <w:divBdr>
                    <w:top w:val="none" w:sz="0" w:space="0" w:color="auto"/>
                    <w:left w:val="none" w:sz="0" w:space="0" w:color="auto"/>
                    <w:bottom w:val="none" w:sz="0" w:space="0" w:color="auto"/>
                    <w:right w:val="none" w:sz="0" w:space="0" w:color="auto"/>
                  </w:divBdr>
                </w:div>
              </w:divsChild>
            </w:div>
            <w:div w:id="718552584">
              <w:marLeft w:val="0"/>
              <w:marRight w:val="0"/>
              <w:marTop w:val="0"/>
              <w:marBottom w:val="0"/>
              <w:divBdr>
                <w:top w:val="none" w:sz="0" w:space="0" w:color="auto"/>
                <w:left w:val="none" w:sz="0" w:space="0" w:color="auto"/>
                <w:bottom w:val="none" w:sz="0" w:space="0" w:color="auto"/>
                <w:right w:val="none" w:sz="0" w:space="0" w:color="auto"/>
              </w:divBdr>
              <w:divsChild>
                <w:div w:id="1214583050">
                  <w:marLeft w:val="0"/>
                  <w:marRight w:val="0"/>
                  <w:marTop w:val="0"/>
                  <w:marBottom w:val="0"/>
                  <w:divBdr>
                    <w:top w:val="none" w:sz="0" w:space="0" w:color="auto"/>
                    <w:left w:val="none" w:sz="0" w:space="0" w:color="auto"/>
                    <w:bottom w:val="none" w:sz="0" w:space="0" w:color="auto"/>
                    <w:right w:val="none" w:sz="0" w:space="0" w:color="auto"/>
                  </w:divBdr>
                </w:div>
              </w:divsChild>
            </w:div>
            <w:div w:id="731007222">
              <w:marLeft w:val="0"/>
              <w:marRight w:val="0"/>
              <w:marTop w:val="0"/>
              <w:marBottom w:val="0"/>
              <w:divBdr>
                <w:top w:val="none" w:sz="0" w:space="0" w:color="auto"/>
                <w:left w:val="none" w:sz="0" w:space="0" w:color="auto"/>
                <w:bottom w:val="none" w:sz="0" w:space="0" w:color="auto"/>
                <w:right w:val="none" w:sz="0" w:space="0" w:color="auto"/>
              </w:divBdr>
              <w:divsChild>
                <w:div w:id="1735852437">
                  <w:marLeft w:val="0"/>
                  <w:marRight w:val="0"/>
                  <w:marTop w:val="0"/>
                  <w:marBottom w:val="0"/>
                  <w:divBdr>
                    <w:top w:val="none" w:sz="0" w:space="0" w:color="auto"/>
                    <w:left w:val="none" w:sz="0" w:space="0" w:color="auto"/>
                    <w:bottom w:val="none" w:sz="0" w:space="0" w:color="auto"/>
                    <w:right w:val="none" w:sz="0" w:space="0" w:color="auto"/>
                  </w:divBdr>
                </w:div>
              </w:divsChild>
            </w:div>
            <w:div w:id="901791747">
              <w:marLeft w:val="0"/>
              <w:marRight w:val="0"/>
              <w:marTop w:val="0"/>
              <w:marBottom w:val="0"/>
              <w:divBdr>
                <w:top w:val="none" w:sz="0" w:space="0" w:color="auto"/>
                <w:left w:val="none" w:sz="0" w:space="0" w:color="auto"/>
                <w:bottom w:val="none" w:sz="0" w:space="0" w:color="auto"/>
                <w:right w:val="none" w:sz="0" w:space="0" w:color="auto"/>
              </w:divBdr>
              <w:divsChild>
                <w:div w:id="170918877">
                  <w:marLeft w:val="0"/>
                  <w:marRight w:val="0"/>
                  <w:marTop w:val="0"/>
                  <w:marBottom w:val="0"/>
                  <w:divBdr>
                    <w:top w:val="none" w:sz="0" w:space="0" w:color="auto"/>
                    <w:left w:val="none" w:sz="0" w:space="0" w:color="auto"/>
                    <w:bottom w:val="none" w:sz="0" w:space="0" w:color="auto"/>
                    <w:right w:val="none" w:sz="0" w:space="0" w:color="auto"/>
                  </w:divBdr>
                </w:div>
              </w:divsChild>
            </w:div>
            <w:div w:id="930699428">
              <w:marLeft w:val="0"/>
              <w:marRight w:val="0"/>
              <w:marTop w:val="0"/>
              <w:marBottom w:val="0"/>
              <w:divBdr>
                <w:top w:val="none" w:sz="0" w:space="0" w:color="auto"/>
                <w:left w:val="none" w:sz="0" w:space="0" w:color="auto"/>
                <w:bottom w:val="none" w:sz="0" w:space="0" w:color="auto"/>
                <w:right w:val="none" w:sz="0" w:space="0" w:color="auto"/>
              </w:divBdr>
              <w:divsChild>
                <w:div w:id="1145121129">
                  <w:marLeft w:val="0"/>
                  <w:marRight w:val="0"/>
                  <w:marTop w:val="0"/>
                  <w:marBottom w:val="0"/>
                  <w:divBdr>
                    <w:top w:val="none" w:sz="0" w:space="0" w:color="auto"/>
                    <w:left w:val="none" w:sz="0" w:space="0" w:color="auto"/>
                    <w:bottom w:val="none" w:sz="0" w:space="0" w:color="auto"/>
                    <w:right w:val="none" w:sz="0" w:space="0" w:color="auto"/>
                  </w:divBdr>
                </w:div>
              </w:divsChild>
            </w:div>
            <w:div w:id="1426460748">
              <w:marLeft w:val="0"/>
              <w:marRight w:val="0"/>
              <w:marTop w:val="0"/>
              <w:marBottom w:val="0"/>
              <w:divBdr>
                <w:top w:val="none" w:sz="0" w:space="0" w:color="auto"/>
                <w:left w:val="none" w:sz="0" w:space="0" w:color="auto"/>
                <w:bottom w:val="none" w:sz="0" w:space="0" w:color="auto"/>
                <w:right w:val="none" w:sz="0" w:space="0" w:color="auto"/>
              </w:divBdr>
              <w:divsChild>
                <w:div w:id="1048992279">
                  <w:marLeft w:val="0"/>
                  <w:marRight w:val="0"/>
                  <w:marTop w:val="0"/>
                  <w:marBottom w:val="0"/>
                  <w:divBdr>
                    <w:top w:val="none" w:sz="0" w:space="0" w:color="auto"/>
                    <w:left w:val="none" w:sz="0" w:space="0" w:color="auto"/>
                    <w:bottom w:val="none" w:sz="0" w:space="0" w:color="auto"/>
                    <w:right w:val="none" w:sz="0" w:space="0" w:color="auto"/>
                  </w:divBdr>
                </w:div>
              </w:divsChild>
            </w:div>
            <w:div w:id="1902910845">
              <w:marLeft w:val="0"/>
              <w:marRight w:val="0"/>
              <w:marTop w:val="0"/>
              <w:marBottom w:val="0"/>
              <w:divBdr>
                <w:top w:val="none" w:sz="0" w:space="0" w:color="auto"/>
                <w:left w:val="none" w:sz="0" w:space="0" w:color="auto"/>
                <w:bottom w:val="none" w:sz="0" w:space="0" w:color="auto"/>
                <w:right w:val="none" w:sz="0" w:space="0" w:color="auto"/>
              </w:divBdr>
              <w:divsChild>
                <w:div w:id="1160659442">
                  <w:marLeft w:val="0"/>
                  <w:marRight w:val="0"/>
                  <w:marTop w:val="0"/>
                  <w:marBottom w:val="0"/>
                  <w:divBdr>
                    <w:top w:val="none" w:sz="0" w:space="0" w:color="auto"/>
                    <w:left w:val="none" w:sz="0" w:space="0" w:color="auto"/>
                    <w:bottom w:val="none" w:sz="0" w:space="0" w:color="auto"/>
                    <w:right w:val="none" w:sz="0" w:space="0" w:color="auto"/>
                  </w:divBdr>
                </w:div>
              </w:divsChild>
            </w:div>
            <w:div w:id="2095977974">
              <w:marLeft w:val="0"/>
              <w:marRight w:val="0"/>
              <w:marTop w:val="0"/>
              <w:marBottom w:val="0"/>
              <w:divBdr>
                <w:top w:val="none" w:sz="0" w:space="0" w:color="auto"/>
                <w:left w:val="none" w:sz="0" w:space="0" w:color="auto"/>
                <w:bottom w:val="none" w:sz="0" w:space="0" w:color="auto"/>
                <w:right w:val="none" w:sz="0" w:space="0" w:color="auto"/>
              </w:divBdr>
              <w:divsChild>
                <w:div w:id="14395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5612">
          <w:marLeft w:val="0"/>
          <w:marRight w:val="0"/>
          <w:marTop w:val="0"/>
          <w:marBottom w:val="0"/>
          <w:divBdr>
            <w:top w:val="none" w:sz="0" w:space="0" w:color="auto"/>
            <w:left w:val="none" w:sz="0" w:space="0" w:color="auto"/>
            <w:bottom w:val="none" w:sz="0" w:space="0" w:color="auto"/>
            <w:right w:val="none" w:sz="0" w:space="0" w:color="auto"/>
          </w:divBdr>
        </w:div>
        <w:div w:id="1246380296">
          <w:marLeft w:val="0"/>
          <w:marRight w:val="0"/>
          <w:marTop w:val="0"/>
          <w:marBottom w:val="0"/>
          <w:divBdr>
            <w:top w:val="none" w:sz="0" w:space="0" w:color="auto"/>
            <w:left w:val="none" w:sz="0" w:space="0" w:color="auto"/>
            <w:bottom w:val="none" w:sz="0" w:space="0" w:color="auto"/>
            <w:right w:val="none" w:sz="0" w:space="0" w:color="auto"/>
          </w:divBdr>
        </w:div>
        <w:div w:id="1267427715">
          <w:marLeft w:val="-75"/>
          <w:marRight w:val="0"/>
          <w:marTop w:val="30"/>
          <w:marBottom w:val="30"/>
          <w:divBdr>
            <w:top w:val="none" w:sz="0" w:space="0" w:color="auto"/>
            <w:left w:val="none" w:sz="0" w:space="0" w:color="auto"/>
            <w:bottom w:val="none" w:sz="0" w:space="0" w:color="auto"/>
            <w:right w:val="none" w:sz="0" w:space="0" w:color="auto"/>
          </w:divBdr>
          <w:divsChild>
            <w:div w:id="139810977">
              <w:marLeft w:val="0"/>
              <w:marRight w:val="0"/>
              <w:marTop w:val="0"/>
              <w:marBottom w:val="0"/>
              <w:divBdr>
                <w:top w:val="none" w:sz="0" w:space="0" w:color="auto"/>
                <w:left w:val="none" w:sz="0" w:space="0" w:color="auto"/>
                <w:bottom w:val="none" w:sz="0" w:space="0" w:color="auto"/>
                <w:right w:val="none" w:sz="0" w:space="0" w:color="auto"/>
              </w:divBdr>
              <w:divsChild>
                <w:div w:id="938411575">
                  <w:marLeft w:val="0"/>
                  <w:marRight w:val="0"/>
                  <w:marTop w:val="0"/>
                  <w:marBottom w:val="0"/>
                  <w:divBdr>
                    <w:top w:val="none" w:sz="0" w:space="0" w:color="auto"/>
                    <w:left w:val="none" w:sz="0" w:space="0" w:color="auto"/>
                    <w:bottom w:val="none" w:sz="0" w:space="0" w:color="auto"/>
                    <w:right w:val="none" w:sz="0" w:space="0" w:color="auto"/>
                  </w:divBdr>
                </w:div>
              </w:divsChild>
            </w:div>
            <w:div w:id="329409389">
              <w:marLeft w:val="0"/>
              <w:marRight w:val="0"/>
              <w:marTop w:val="0"/>
              <w:marBottom w:val="0"/>
              <w:divBdr>
                <w:top w:val="none" w:sz="0" w:space="0" w:color="auto"/>
                <w:left w:val="none" w:sz="0" w:space="0" w:color="auto"/>
                <w:bottom w:val="none" w:sz="0" w:space="0" w:color="auto"/>
                <w:right w:val="none" w:sz="0" w:space="0" w:color="auto"/>
              </w:divBdr>
              <w:divsChild>
                <w:div w:id="1531643344">
                  <w:marLeft w:val="0"/>
                  <w:marRight w:val="0"/>
                  <w:marTop w:val="0"/>
                  <w:marBottom w:val="0"/>
                  <w:divBdr>
                    <w:top w:val="none" w:sz="0" w:space="0" w:color="auto"/>
                    <w:left w:val="none" w:sz="0" w:space="0" w:color="auto"/>
                    <w:bottom w:val="none" w:sz="0" w:space="0" w:color="auto"/>
                    <w:right w:val="none" w:sz="0" w:space="0" w:color="auto"/>
                  </w:divBdr>
                </w:div>
              </w:divsChild>
            </w:div>
            <w:div w:id="374432220">
              <w:marLeft w:val="0"/>
              <w:marRight w:val="0"/>
              <w:marTop w:val="0"/>
              <w:marBottom w:val="0"/>
              <w:divBdr>
                <w:top w:val="none" w:sz="0" w:space="0" w:color="auto"/>
                <w:left w:val="none" w:sz="0" w:space="0" w:color="auto"/>
                <w:bottom w:val="none" w:sz="0" w:space="0" w:color="auto"/>
                <w:right w:val="none" w:sz="0" w:space="0" w:color="auto"/>
              </w:divBdr>
              <w:divsChild>
                <w:div w:id="377291143">
                  <w:marLeft w:val="0"/>
                  <w:marRight w:val="0"/>
                  <w:marTop w:val="0"/>
                  <w:marBottom w:val="0"/>
                  <w:divBdr>
                    <w:top w:val="none" w:sz="0" w:space="0" w:color="auto"/>
                    <w:left w:val="none" w:sz="0" w:space="0" w:color="auto"/>
                    <w:bottom w:val="none" w:sz="0" w:space="0" w:color="auto"/>
                    <w:right w:val="none" w:sz="0" w:space="0" w:color="auto"/>
                  </w:divBdr>
                </w:div>
              </w:divsChild>
            </w:div>
            <w:div w:id="379137169">
              <w:marLeft w:val="0"/>
              <w:marRight w:val="0"/>
              <w:marTop w:val="0"/>
              <w:marBottom w:val="0"/>
              <w:divBdr>
                <w:top w:val="none" w:sz="0" w:space="0" w:color="auto"/>
                <w:left w:val="none" w:sz="0" w:space="0" w:color="auto"/>
                <w:bottom w:val="none" w:sz="0" w:space="0" w:color="auto"/>
                <w:right w:val="none" w:sz="0" w:space="0" w:color="auto"/>
              </w:divBdr>
              <w:divsChild>
                <w:div w:id="1469784404">
                  <w:marLeft w:val="0"/>
                  <w:marRight w:val="0"/>
                  <w:marTop w:val="0"/>
                  <w:marBottom w:val="0"/>
                  <w:divBdr>
                    <w:top w:val="none" w:sz="0" w:space="0" w:color="auto"/>
                    <w:left w:val="none" w:sz="0" w:space="0" w:color="auto"/>
                    <w:bottom w:val="none" w:sz="0" w:space="0" w:color="auto"/>
                    <w:right w:val="none" w:sz="0" w:space="0" w:color="auto"/>
                  </w:divBdr>
                </w:div>
              </w:divsChild>
            </w:div>
            <w:div w:id="414281952">
              <w:marLeft w:val="0"/>
              <w:marRight w:val="0"/>
              <w:marTop w:val="0"/>
              <w:marBottom w:val="0"/>
              <w:divBdr>
                <w:top w:val="none" w:sz="0" w:space="0" w:color="auto"/>
                <w:left w:val="none" w:sz="0" w:space="0" w:color="auto"/>
                <w:bottom w:val="none" w:sz="0" w:space="0" w:color="auto"/>
                <w:right w:val="none" w:sz="0" w:space="0" w:color="auto"/>
              </w:divBdr>
              <w:divsChild>
                <w:div w:id="932474701">
                  <w:marLeft w:val="0"/>
                  <w:marRight w:val="0"/>
                  <w:marTop w:val="0"/>
                  <w:marBottom w:val="0"/>
                  <w:divBdr>
                    <w:top w:val="none" w:sz="0" w:space="0" w:color="auto"/>
                    <w:left w:val="none" w:sz="0" w:space="0" w:color="auto"/>
                    <w:bottom w:val="none" w:sz="0" w:space="0" w:color="auto"/>
                    <w:right w:val="none" w:sz="0" w:space="0" w:color="auto"/>
                  </w:divBdr>
                </w:div>
              </w:divsChild>
            </w:div>
            <w:div w:id="423959823">
              <w:marLeft w:val="0"/>
              <w:marRight w:val="0"/>
              <w:marTop w:val="0"/>
              <w:marBottom w:val="0"/>
              <w:divBdr>
                <w:top w:val="none" w:sz="0" w:space="0" w:color="auto"/>
                <w:left w:val="none" w:sz="0" w:space="0" w:color="auto"/>
                <w:bottom w:val="none" w:sz="0" w:space="0" w:color="auto"/>
                <w:right w:val="none" w:sz="0" w:space="0" w:color="auto"/>
              </w:divBdr>
              <w:divsChild>
                <w:div w:id="110516498">
                  <w:marLeft w:val="0"/>
                  <w:marRight w:val="0"/>
                  <w:marTop w:val="0"/>
                  <w:marBottom w:val="0"/>
                  <w:divBdr>
                    <w:top w:val="none" w:sz="0" w:space="0" w:color="auto"/>
                    <w:left w:val="none" w:sz="0" w:space="0" w:color="auto"/>
                    <w:bottom w:val="none" w:sz="0" w:space="0" w:color="auto"/>
                    <w:right w:val="none" w:sz="0" w:space="0" w:color="auto"/>
                  </w:divBdr>
                </w:div>
              </w:divsChild>
            </w:div>
            <w:div w:id="535772750">
              <w:marLeft w:val="0"/>
              <w:marRight w:val="0"/>
              <w:marTop w:val="0"/>
              <w:marBottom w:val="0"/>
              <w:divBdr>
                <w:top w:val="none" w:sz="0" w:space="0" w:color="auto"/>
                <w:left w:val="none" w:sz="0" w:space="0" w:color="auto"/>
                <w:bottom w:val="none" w:sz="0" w:space="0" w:color="auto"/>
                <w:right w:val="none" w:sz="0" w:space="0" w:color="auto"/>
              </w:divBdr>
              <w:divsChild>
                <w:div w:id="1559509791">
                  <w:marLeft w:val="0"/>
                  <w:marRight w:val="0"/>
                  <w:marTop w:val="0"/>
                  <w:marBottom w:val="0"/>
                  <w:divBdr>
                    <w:top w:val="none" w:sz="0" w:space="0" w:color="auto"/>
                    <w:left w:val="none" w:sz="0" w:space="0" w:color="auto"/>
                    <w:bottom w:val="none" w:sz="0" w:space="0" w:color="auto"/>
                    <w:right w:val="none" w:sz="0" w:space="0" w:color="auto"/>
                  </w:divBdr>
                </w:div>
              </w:divsChild>
            </w:div>
            <w:div w:id="682173356">
              <w:marLeft w:val="0"/>
              <w:marRight w:val="0"/>
              <w:marTop w:val="0"/>
              <w:marBottom w:val="0"/>
              <w:divBdr>
                <w:top w:val="none" w:sz="0" w:space="0" w:color="auto"/>
                <w:left w:val="none" w:sz="0" w:space="0" w:color="auto"/>
                <w:bottom w:val="none" w:sz="0" w:space="0" w:color="auto"/>
                <w:right w:val="none" w:sz="0" w:space="0" w:color="auto"/>
              </w:divBdr>
              <w:divsChild>
                <w:div w:id="1444112312">
                  <w:marLeft w:val="0"/>
                  <w:marRight w:val="0"/>
                  <w:marTop w:val="0"/>
                  <w:marBottom w:val="0"/>
                  <w:divBdr>
                    <w:top w:val="none" w:sz="0" w:space="0" w:color="auto"/>
                    <w:left w:val="none" w:sz="0" w:space="0" w:color="auto"/>
                    <w:bottom w:val="none" w:sz="0" w:space="0" w:color="auto"/>
                    <w:right w:val="none" w:sz="0" w:space="0" w:color="auto"/>
                  </w:divBdr>
                </w:div>
              </w:divsChild>
            </w:div>
            <w:div w:id="690187026">
              <w:marLeft w:val="0"/>
              <w:marRight w:val="0"/>
              <w:marTop w:val="0"/>
              <w:marBottom w:val="0"/>
              <w:divBdr>
                <w:top w:val="none" w:sz="0" w:space="0" w:color="auto"/>
                <w:left w:val="none" w:sz="0" w:space="0" w:color="auto"/>
                <w:bottom w:val="none" w:sz="0" w:space="0" w:color="auto"/>
                <w:right w:val="none" w:sz="0" w:space="0" w:color="auto"/>
              </w:divBdr>
              <w:divsChild>
                <w:div w:id="47539979">
                  <w:marLeft w:val="0"/>
                  <w:marRight w:val="0"/>
                  <w:marTop w:val="0"/>
                  <w:marBottom w:val="0"/>
                  <w:divBdr>
                    <w:top w:val="none" w:sz="0" w:space="0" w:color="auto"/>
                    <w:left w:val="none" w:sz="0" w:space="0" w:color="auto"/>
                    <w:bottom w:val="none" w:sz="0" w:space="0" w:color="auto"/>
                    <w:right w:val="none" w:sz="0" w:space="0" w:color="auto"/>
                  </w:divBdr>
                </w:div>
              </w:divsChild>
            </w:div>
            <w:div w:id="973409125">
              <w:marLeft w:val="0"/>
              <w:marRight w:val="0"/>
              <w:marTop w:val="0"/>
              <w:marBottom w:val="0"/>
              <w:divBdr>
                <w:top w:val="none" w:sz="0" w:space="0" w:color="auto"/>
                <w:left w:val="none" w:sz="0" w:space="0" w:color="auto"/>
                <w:bottom w:val="none" w:sz="0" w:space="0" w:color="auto"/>
                <w:right w:val="none" w:sz="0" w:space="0" w:color="auto"/>
              </w:divBdr>
              <w:divsChild>
                <w:div w:id="1506045314">
                  <w:marLeft w:val="0"/>
                  <w:marRight w:val="0"/>
                  <w:marTop w:val="0"/>
                  <w:marBottom w:val="0"/>
                  <w:divBdr>
                    <w:top w:val="none" w:sz="0" w:space="0" w:color="auto"/>
                    <w:left w:val="none" w:sz="0" w:space="0" w:color="auto"/>
                    <w:bottom w:val="none" w:sz="0" w:space="0" w:color="auto"/>
                    <w:right w:val="none" w:sz="0" w:space="0" w:color="auto"/>
                  </w:divBdr>
                </w:div>
              </w:divsChild>
            </w:div>
            <w:div w:id="1001011172">
              <w:marLeft w:val="0"/>
              <w:marRight w:val="0"/>
              <w:marTop w:val="0"/>
              <w:marBottom w:val="0"/>
              <w:divBdr>
                <w:top w:val="none" w:sz="0" w:space="0" w:color="auto"/>
                <w:left w:val="none" w:sz="0" w:space="0" w:color="auto"/>
                <w:bottom w:val="none" w:sz="0" w:space="0" w:color="auto"/>
                <w:right w:val="none" w:sz="0" w:space="0" w:color="auto"/>
              </w:divBdr>
              <w:divsChild>
                <w:div w:id="941962655">
                  <w:marLeft w:val="0"/>
                  <w:marRight w:val="0"/>
                  <w:marTop w:val="0"/>
                  <w:marBottom w:val="0"/>
                  <w:divBdr>
                    <w:top w:val="none" w:sz="0" w:space="0" w:color="auto"/>
                    <w:left w:val="none" w:sz="0" w:space="0" w:color="auto"/>
                    <w:bottom w:val="none" w:sz="0" w:space="0" w:color="auto"/>
                    <w:right w:val="none" w:sz="0" w:space="0" w:color="auto"/>
                  </w:divBdr>
                </w:div>
              </w:divsChild>
            </w:div>
            <w:div w:id="1240555575">
              <w:marLeft w:val="0"/>
              <w:marRight w:val="0"/>
              <w:marTop w:val="0"/>
              <w:marBottom w:val="0"/>
              <w:divBdr>
                <w:top w:val="none" w:sz="0" w:space="0" w:color="auto"/>
                <w:left w:val="none" w:sz="0" w:space="0" w:color="auto"/>
                <w:bottom w:val="none" w:sz="0" w:space="0" w:color="auto"/>
                <w:right w:val="none" w:sz="0" w:space="0" w:color="auto"/>
              </w:divBdr>
              <w:divsChild>
                <w:div w:id="750543601">
                  <w:marLeft w:val="0"/>
                  <w:marRight w:val="0"/>
                  <w:marTop w:val="0"/>
                  <w:marBottom w:val="0"/>
                  <w:divBdr>
                    <w:top w:val="none" w:sz="0" w:space="0" w:color="auto"/>
                    <w:left w:val="none" w:sz="0" w:space="0" w:color="auto"/>
                    <w:bottom w:val="none" w:sz="0" w:space="0" w:color="auto"/>
                    <w:right w:val="none" w:sz="0" w:space="0" w:color="auto"/>
                  </w:divBdr>
                </w:div>
              </w:divsChild>
            </w:div>
            <w:div w:id="1260598238">
              <w:marLeft w:val="0"/>
              <w:marRight w:val="0"/>
              <w:marTop w:val="0"/>
              <w:marBottom w:val="0"/>
              <w:divBdr>
                <w:top w:val="none" w:sz="0" w:space="0" w:color="auto"/>
                <w:left w:val="none" w:sz="0" w:space="0" w:color="auto"/>
                <w:bottom w:val="none" w:sz="0" w:space="0" w:color="auto"/>
                <w:right w:val="none" w:sz="0" w:space="0" w:color="auto"/>
              </w:divBdr>
              <w:divsChild>
                <w:div w:id="154684743">
                  <w:marLeft w:val="0"/>
                  <w:marRight w:val="0"/>
                  <w:marTop w:val="0"/>
                  <w:marBottom w:val="0"/>
                  <w:divBdr>
                    <w:top w:val="none" w:sz="0" w:space="0" w:color="auto"/>
                    <w:left w:val="none" w:sz="0" w:space="0" w:color="auto"/>
                    <w:bottom w:val="none" w:sz="0" w:space="0" w:color="auto"/>
                    <w:right w:val="none" w:sz="0" w:space="0" w:color="auto"/>
                  </w:divBdr>
                </w:div>
              </w:divsChild>
            </w:div>
            <w:div w:id="1818915735">
              <w:marLeft w:val="0"/>
              <w:marRight w:val="0"/>
              <w:marTop w:val="0"/>
              <w:marBottom w:val="0"/>
              <w:divBdr>
                <w:top w:val="none" w:sz="0" w:space="0" w:color="auto"/>
                <w:left w:val="none" w:sz="0" w:space="0" w:color="auto"/>
                <w:bottom w:val="none" w:sz="0" w:space="0" w:color="auto"/>
                <w:right w:val="none" w:sz="0" w:space="0" w:color="auto"/>
              </w:divBdr>
              <w:divsChild>
                <w:div w:id="940456199">
                  <w:marLeft w:val="0"/>
                  <w:marRight w:val="0"/>
                  <w:marTop w:val="0"/>
                  <w:marBottom w:val="0"/>
                  <w:divBdr>
                    <w:top w:val="none" w:sz="0" w:space="0" w:color="auto"/>
                    <w:left w:val="none" w:sz="0" w:space="0" w:color="auto"/>
                    <w:bottom w:val="none" w:sz="0" w:space="0" w:color="auto"/>
                    <w:right w:val="none" w:sz="0" w:space="0" w:color="auto"/>
                  </w:divBdr>
                </w:div>
              </w:divsChild>
            </w:div>
            <w:div w:id="1883594195">
              <w:marLeft w:val="0"/>
              <w:marRight w:val="0"/>
              <w:marTop w:val="0"/>
              <w:marBottom w:val="0"/>
              <w:divBdr>
                <w:top w:val="none" w:sz="0" w:space="0" w:color="auto"/>
                <w:left w:val="none" w:sz="0" w:space="0" w:color="auto"/>
                <w:bottom w:val="none" w:sz="0" w:space="0" w:color="auto"/>
                <w:right w:val="none" w:sz="0" w:space="0" w:color="auto"/>
              </w:divBdr>
              <w:divsChild>
                <w:div w:id="1653557493">
                  <w:marLeft w:val="0"/>
                  <w:marRight w:val="0"/>
                  <w:marTop w:val="0"/>
                  <w:marBottom w:val="0"/>
                  <w:divBdr>
                    <w:top w:val="none" w:sz="0" w:space="0" w:color="auto"/>
                    <w:left w:val="none" w:sz="0" w:space="0" w:color="auto"/>
                    <w:bottom w:val="none" w:sz="0" w:space="0" w:color="auto"/>
                    <w:right w:val="none" w:sz="0" w:space="0" w:color="auto"/>
                  </w:divBdr>
                </w:div>
              </w:divsChild>
            </w:div>
            <w:div w:id="2036999591">
              <w:marLeft w:val="0"/>
              <w:marRight w:val="0"/>
              <w:marTop w:val="0"/>
              <w:marBottom w:val="0"/>
              <w:divBdr>
                <w:top w:val="none" w:sz="0" w:space="0" w:color="auto"/>
                <w:left w:val="none" w:sz="0" w:space="0" w:color="auto"/>
                <w:bottom w:val="none" w:sz="0" w:space="0" w:color="auto"/>
                <w:right w:val="none" w:sz="0" w:space="0" w:color="auto"/>
              </w:divBdr>
              <w:divsChild>
                <w:div w:id="1118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8498">
          <w:marLeft w:val="0"/>
          <w:marRight w:val="0"/>
          <w:marTop w:val="0"/>
          <w:marBottom w:val="0"/>
          <w:divBdr>
            <w:top w:val="none" w:sz="0" w:space="0" w:color="auto"/>
            <w:left w:val="none" w:sz="0" w:space="0" w:color="auto"/>
            <w:bottom w:val="none" w:sz="0" w:space="0" w:color="auto"/>
            <w:right w:val="none" w:sz="0" w:space="0" w:color="auto"/>
          </w:divBdr>
        </w:div>
        <w:div w:id="1475951079">
          <w:marLeft w:val="0"/>
          <w:marRight w:val="0"/>
          <w:marTop w:val="0"/>
          <w:marBottom w:val="0"/>
          <w:divBdr>
            <w:top w:val="none" w:sz="0" w:space="0" w:color="auto"/>
            <w:left w:val="none" w:sz="0" w:space="0" w:color="auto"/>
            <w:bottom w:val="none" w:sz="0" w:space="0" w:color="auto"/>
            <w:right w:val="none" w:sz="0" w:space="0" w:color="auto"/>
          </w:divBdr>
        </w:div>
        <w:div w:id="1781490401">
          <w:marLeft w:val="0"/>
          <w:marRight w:val="0"/>
          <w:marTop w:val="0"/>
          <w:marBottom w:val="0"/>
          <w:divBdr>
            <w:top w:val="none" w:sz="0" w:space="0" w:color="auto"/>
            <w:left w:val="none" w:sz="0" w:space="0" w:color="auto"/>
            <w:bottom w:val="none" w:sz="0" w:space="0" w:color="auto"/>
            <w:right w:val="none" w:sz="0" w:space="0" w:color="auto"/>
          </w:divBdr>
        </w:div>
        <w:div w:id="1804302258">
          <w:marLeft w:val="0"/>
          <w:marRight w:val="0"/>
          <w:marTop w:val="0"/>
          <w:marBottom w:val="0"/>
          <w:divBdr>
            <w:top w:val="none" w:sz="0" w:space="0" w:color="auto"/>
            <w:left w:val="none" w:sz="0" w:space="0" w:color="auto"/>
            <w:bottom w:val="none" w:sz="0" w:space="0" w:color="auto"/>
            <w:right w:val="none" w:sz="0" w:space="0" w:color="auto"/>
          </w:divBdr>
        </w:div>
        <w:div w:id="1842768099">
          <w:marLeft w:val="0"/>
          <w:marRight w:val="0"/>
          <w:marTop w:val="0"/>
          <w:marBottom w:val="0"/>
          <w:divBdr>
            <w:top w:val="none" w:sz="0" w:space="0" w:color="auto"/>
            <w:left w:val="none" w:sz="0" w:space="0" w:color="auto"/>
            <w:bottom w:val="none" w:sz="0" w:space="0" w:color="auto"/>
            <w:right w:val="none" w:sz="0" w:space="0" w:color="auto"/>
          </w:divBdr>
        </w:div>
      </w:divsChild>
    </w:div>
    <w:div w:id="2054572287">
      <w:bodyDiv w:val="1"/>
      <w:marLeft w:val="0"/>
      <w:marRight w:val="0"/>
      <w:marTop w:val="0"/>
      <w:marBottom w:val="0"/>
      <w:divBdr>
        <w:top w:val="none" w:sz="0" w:space="0" w:color="auto"/>
        <w:left w:val="none" w:sz="0" w:space="0" w:color="auto"/>
        <w:bottom w:val="none" w:sz="0" w:space="0" w:color="auto"/>
        <w:right w:val="none" w:sz="0" w:space="0" w:color="auto"/>
      </w:divBdr>
    </w:div>
    <w:div w:id="2089496639">
      <w:bodyDiv w:val="1"/>
      <w:marLeft w:val="0"/>
      <w:marRight w:val="0"/>
      <w:marTop w:val="0"/>
      <w:marBottom w:val="0"/>
      <w:divBdr>
        <w:top w:val="none" w:sz="0" w:space="0" w:color="auto"/>
        <w:left w:val="none" w:sz="0" w:space="0" w:color="auto"/>
        <w:bottom w:val="none" w:sz="0" w:space="0" w:color="auto"/>
        <w:right w:val="none" w:sz="0" w:space="0" w:color="auto"/>
      </w:divBdr>
    </w:div>
    <w:div w:id="2130859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image" Target="media/image3.png" Id="rId18" /><Relationship Type="http://schemas.openxmlformats.org/officeDocument/2006/relationships/image" Target="media/image5.png" Id="rId26" /><Relationship Type="http://schemas.openxmlformats.org/officeDocument/2006/relationships/footer" Target="footer10.xml" Id="rId39" /><Relationship Type="http://schemas.openxmlformats.org/officeDocument/2006/relationships/customXml" Target="ink/ink3.xml" Id="rId21" /><Relationship Type="http://schemas.openxmlformats.org/officeDocument/2006/relationships/image" Target="media/image9.png"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ink/ink5.xml" Id="rId25" /><Relationship Type="http://schemas.openxmlformats.org/officeDocument/2006/relationships/hyperlink" Target="http://cpuc.ca.gov/electricrates" TargetMode="External" Id="rId33" /><Relationship Type="http://schemas.openxmlformats.org/officeDocument/2006/relationships/header" Target="header4.xml" Id="rId38" /><Relationship Type="http://schemas.openxmlformats.org/officeDocument/2006/relationships/numbering" Target="numbering.xml" Id="rId2" /><Relationship Type="http://schemas.openxmlformats.org/officeDocument/2006/relationships/image" Target="media/image4.png" Id="rId20" /><Relationship Type="http://schemas.openxmlformats.org/officeDocument/2006/relationships/footer" Target="footer4.xm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image" Target="media/image6.png" Id="rId24" /><Relationship Type="http://schemas.openxmlformats.org/officeDocument/2006/relationships/footer" Target="footer6.xml" Id="rId32" /><Relationship Type="http://schemas.openxmlformats.org/officeDocument/2006/relationships/footer" Target="footer9.xml" Id="rId37" /><Relationship Type="http://schemas.openxmlformats.org/officeDocument/2006/relationships/footer" Target="footer11.xml" Id="rId40" /><Relationship Type="http://schemas.openxmlformats.org/officeDocument/2006/relationships/webSettings" Target="webSettings.xml" Id="rId5" /><Relationship Type="http://schemas.openxmlformats.org/officeDocument/2006/relationships/customXml" Target="ink/ink2.xml" Id="rId15" /><Relationship Type="http://schemas.openxmlformats.org/officeDocument/2006/relationships/customXml" Target="ink/ink4.xml" Id="rId23" /><Relationship Type="http://schemas.openxmlformats.org/officeDocument/2006/relationships/image" Target="media/image8.png" Id="rId28" /><Relationship Type="http://schemas.openxmlformats.org/officeDocument/2006/relationships/footer" Target="footer8.xml" Id="rId36" /><Relationship Type="http://schemas.openxmlformats.org/officeDocument/2006/relationships/header" Target="header1.xml" Id="rId10" /><Relationship Type="http://schemas.openxmlformats.org/officeDocument/2006/relationships/image" Target="media/image2.png" Id="rId19" /><Relationship Type="http://schemas.openxmlformats.org/officeDocument/2006/relationships/header" Target="header3.xml" Id="rId31"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3.xml" Id="rId14" /><Relationship Type="http://schemas.openxmlformats.org/officeDocument/2006/relationships/image" Target="media/image20.png" Id="rId22" /><Relationship Type="http://schemas.openxmlformats.org/officeDocument/2006/relationships/image" Target="media/image7.png" Id="rId27" /><Relationship Type="http://schemas.openxmlformats.org/officeDocument/2006/relationships/footer" Target="footer5.xml" Id="rId30" /><Relationship Type="http://schemas.openxmlformats.org/officeDocument/2006/relationships/footer" Target="footer7.xml" Id="rId35" /><Relationship Type="http://schemas.openxmlformats.org/officeDocument/2006/relationships/customXml" Target="ink/ink1.xml" Id="rId8" /><Relationship Type="http://schemas.openxmlformats.org/officeDocument/2006/relationships/styles" Target="styles.xml" Id="rId3" /><Relationship Type="http://schemas.openxmlformats.org/officeDocument/2006/relationships/hyperlink" Target="http://docs.cpuc.ca.gov/PublishedDocs/Published/G000/M499/K965/499965615.pdf" TargetMode="External" Id="Rb6d1744a63b341b1" /></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news-and-updates/newsroom/environmental-and-social-justice-action-plan" TargetMode="External"/><Relationship Id="rId13" Type="http://schemas.openxmlformats.org/officeDocument/2006/relationships/hyperlink" Target="https://capuc.sharepoint.com/sites/CustomerGeneration/Shared%20Documents/R.20-08-020_NEM%20Revisit%20Proceeding/Phase%201%20-%20Net%20Billing%20Tariff/202211%20Post-Nov%202022%20PD/www.cpuc.ca.gov/somah" TargetMode="External"/><Relationship Id="rId3" Type="http://schemas.openxmlformats.org/officeDocument/2006/relationships/hyperlink" Target="https://sustainabledevelopment.un.org/rio20/about" TargetMode="External"/><Relationship Id="rId7" Type="http://schemas.openxmlformats.org/officeDocument/2006/relationships/hyperlink" Target="https://www.researchgate.net/publication/282888559_Diffusion_into_new_markets_Economic_returns_required_by_households_to_adopt_rooftop_photovoltaics" TargetMode="External"/><Relationship Id="rId12" Type="http://schemas.openxmlformats.org/officeDocument/2006/relationships/hyperlink" Target="http://www.calmac.org/search.asp" TargetMode="External"/><Relationship Id="rId2" Type="http://schemas.openxmlformats.org/officeDocument/2006/relationships/hyperlink" Target="https://emp.lbl.gov/solar-demographics-tool" TargetMode="External"/><Relationship Id="rId1" Type="http://schemas.openxmlformats.org/officeDocument/2006/relationships/hyperlink" Target="https://www.cpuc.ca.gov/-/media/cpuc-website/divisions/energy-division/documents/en-banc/feb-2021-utility-costs-and-affordability-of-the-grid-of-the-future.pdf" TargetMode="External"/><Relationship Id="rId6" Type="http://schemas.openxmlformats.org/officeDocument/2006/relationships/hyperlink" Target="https://www.nrel.gov/analysis/dgen" TargetMode="External"/><Relationship Id="rId11" Type="http://schemas.openxmlformats.org/officeDocument/2006/relationships/hyperlink" Target="https://www.cpuc.ca.gov/-/media/cpuc-website/divisions/energy-division/documents/somah/somah_phaseii_report_20211013_final.pdf" TargetMode="External"/><Relationship Id="rId5" Type="http://schemas.openxmlformats.org/officeDocument/2006/relationships/hyperlink" Target="https://www.cpuc.ca.gov/-/media/cpuc-website/files/uploadedfiles/cpuc_public_website/content/utilities_and_industries/energy_-_electricity_and_natural_gas/energy_programs/cpuc-standard-practice-manual.pdf" TargetMode="External"/><Relationship Id="rId10" Type="http://schemas.openxmlformats.org/officeDocument/2006/relationships/hyperlink" Target="https://ebudget.ca.gov/2022-BudgetAddendum.pdf" TargetMode="External"/><Relationship Id="rId4" Type="http://schemas.openxmlformats.org/officeDocument/2006/relationships/hyperlink" Target="http://www.californiadgstats.ca.gov/" TargetMode="External"/><Relationship Id="rId9" Type="http://schemas.openxmlformats.org/officeDocument/2006/relationships/hyperlink" Target="https://www.sce.com/sites/default/files/inline-files/FINAL%2BNET%2BENERGY%2BMETERING%2B%28NEM%29%2BRESIDENTIAL%2BCUSTOMER%2BSYSTEM%2BSIZE%2BACKNOWLEDGEMENT%2B30%2BKW%2BOR%2BLESS.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9T17:41:11.296"/>
    </inkml:context>
    <inkml:brush xml:id="br0">
      <inkml:brushProperty name="width" value="0.05" units="cm"/>
      <inkml:brushProperty name="height" value="0.05" units="cm"/>
    </inkml:brush>
  </inkml:definitions>
  <inkml:trace contextRef="#ctx0" brushRef="#br0">117 30 6598,'0'0'3492,"-10"-30"-3492,-1 30-417,-8 0-928,-12 0-737,6 45 64,4-10-2210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8T17:38:08.907"/>
    </inkml:context>
    <inkml:brush xml:id="br0">
      <inkml:brushProperty name="width" value="0.05" units="cm"/>
      <inkml:brushProperty name="height" value="0.05" units="cm"/>
    </inkml:brush>
  </inkml:definitions>
  <inkml:trace contextRef="#ctx0" brushRef="#br0">0 92 128,'0'0'4645,"64"-79"-4678,-64 73-127,0-1-96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4T15:35:59.184"/>
    </inkml:context>
    <inkml:brush xml:id="br0">
      <inkml:brushProperty name="width" value="0.05" units="cm"/>
      <inkml:brushProperty name="height" value="0.05" units="cm"/>
    </inkml:brush>
  </inkml:definitions>
  <inkml:trace contextRef="#ctx0" brushRef="#br0">0 0 8936,'0'0'225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4T16:52:27.495"/>
    </inkml:context>
    <inkml:brush xml:id="br0">
      <inkml:brushProperty name="width" value="0.05" units="cm"/>
      <inkml:brushProperty name="height" value="0.05" units="cm"/>
    </inkml:brush>
  </inkml:definitions>
  <inkml:trace contextRef="#ctx0" brushRef="#br0">31 51 8392,'0'0'2178,"-31"-26"-2178,68 26 0,4 0-1313,-23-25-6118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0T17:39:49.270"/>
    </inkml:context>
    <inkml:brush xml:id="br0">
      <inkml:brushProperty name="width" value="0.05" units="cm"/>
      <inkml:brushProperty name="height" value="0.05" units="cm"/>
    </inkml:brush>
  </inkml:definitions>
  <inkml:trace contextRef="#ctx0" brushRef="#br0">0 0 128,'0'0'96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261</ap:Pages>
  <ap:Words>61113</ap:Words>
  <ap:Characters>348348</ap:Characters>
  <ap:Application>Microsoft Office Word</ap:Application>
  <ap:DocSecurity>0</ap:DocSecurity>
  <ap:Lines>2902</ap:Lines>
  <ap:Paragraphs>817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408644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2022-12-14T16:24:04Z</dcterms:created>
  <dcterms:modified xsi:type="dcterms:W3CDTF">2022-12-14T16:24:04Z</dcterms:modified>
</cp:coreProperties>
</file>